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77A8" w14:textId="77777777" w:rsidR="00040C3A" w:rsidRPr="009165FD" w:rsidRDefault="00205713" w:rsidP="00627C9F">
      <w:pPr>
        <w:jc w:val="both"/>
        <w:rPr>
          <w:rFonts w:asciiTheme="majorHAnsi" w:hAnsiTheme="majorHAnsi" w:cs="Univers"/>
          <w:b/>
          <w:bCs/>
          <w:sz w:val="22"/>
          <w:szCs w:val="22"/>
          <w:lang w:val="es-ES_tradnl"/>
        </w:rPr>
      </w:pPr>
      <w:r w:rsidRPr="009165F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42427B1" wp14:editId="5A13ADC1">
                <wp:simplePos x="0" y="0"/>
                <wp:positionH relativeFrom="column">
                  <wp:posOffset>-299085</wp:posOffset>
                </wp:positionH>
                <wp:positionV relativeFrom="paragraph">
                  <wp:posOffset>-384810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9C4B5" id="Rectangle 1" o:spid="_x0000_s1026" style="position:absolute;margin-left:-23.55pt;margin-top:-30.3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" fillcolor="#67ae3c" stroked="f" strokeweight="2pt"/>
            </w:pict>
          </mc:Fallback>
        </mc:AlternateContent>
      </w:r>
      <w:r w:rsidR="00B31EBE" w:rsidRPr="009165F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FFDBA00" wp14:editId="03D579A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67D49" w14:textId="77777777" w:rsidR="00795A52" w:rsidRDefault="00795A52">
                            <w:r>
                              <w:rPr>
                                <w:noProof/>
                              </w:rPr>
                              <w:drawing>
                                <wp:inline distT="0" distB="0" distL="0" distR="0" wp14:anchorId="01E1D11C" wp14:editId="4F1FE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0A067D49" w14:textId="77777777" w:rsidR="00795A52" w:rsidRDefault="00795A52">
                      <w:r>
                        <w:rPr>
                          <w:noProof/>
                        </w:rPr>
                        <w:drawing>
                          <wp:inline distT="0" distB="0" distL="0" distR="0" wp14:anchorId="01E1D11C" wp14:editId="4F1FE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1BEB58A7" w14:textId="77777777" w:rsidR="00040C3A" w:rsidRPr="009165FD" w:rsidRDefault="00040C3A" w:rsidP="00040C3A">
      <w:pPr>
        <w:tabs>
          <w:tab w:val="center" w:pos="5400"/>
        </w:tabs>
        <w:suppressAutoHyphens/>
        <w:jc w:val="both"/>
        <w:rPr>
          <w:rFonts w:asciiTheme="majorHAnsi" w:hAnsiTheme="majorHAnsi"/>
          <w:sz w:val="22"/>
          <w:szCs w:val="22"/>
          <w:lang w:val="es-ES"/>
        </w:rPr>
      </w:pPr>
    </w:p>
    <w:p w14:paraId="2EB4B25F" w14:textId="77777777" w:rsidR="00040C3A" w:rsidRPr="009165FD" w:rsidRDefault="00040C3A" w:rsidP="00040C3A">
      <w:pPr>
        <w:tabs>
          <w:tab w:val="center" w:pos="5400"/>
        </w:tabs>
        <w:suppressAutoHyphens/>
        <w:jc w:val="both"/>
        <w:rPr>
          <w:rFonts w:asciiTheme="majorHAnsi" w:hAnsiTheme="majorHAnsi"/>
          <w:sz w:val="22"/>
          <w:szCs w:val="22"/>
          <w:lang w:val="es-ES"/>
        </w:rPr>
      </w:pPr>
    </w:p>
    <w:p w14:paraId="652BA6B9" w14:textId="77777777" w:rsidR="005128E4" w:rsidRPr="009165FD" w:rsidRDefault="005128E4" w:rsidP="00040C3A">
      <w:pPr>
        <w:tabs>
          <w:tab w:val="center" w:pos="5400"/>
        </w:tabs>
        <w:suppressAutoHyphens/>
        <w:rPr>
          <w:rFonts w:asciiTheme="majorHAnsi" w:hAnsiTheme="majorHAnsi"/>
          <w:sz w:val="22"/>
          <w:szCs w:val="22"/>
          <w:lang w:val="es-ES_tradnl"/>
        </w:rPr>
      </w:pPr>
    </w:p>
    <w:p w14:paraId="56A7FA98" w14:textId="77777777" w:rsidR="005128E4" w:rsidRPr="009165FD" w:rsidRDefault="005128E4" w:rsidP="00040C3A">
      <w:pPr>
        <w:tabs>
          <w:tab w:val="center" w:pos="5400"/>
        </w:tabs>
        <w:suppressAutoHyphens/>
        <w:rPr>
          <w:rFonts w:asciiTheme="majorHAnsi" w:hAnsiTheme="majorHAnsi"/>
          <w:sz w:val="22"/>
          <w:szCs w:val="22"/>
          <w:lang w:val="es-ES_tradnl"/>
        </w:rPr>
      </w:pPr>
    </w:p>
    <w:p w14:paraId="05458EEF" w14:textId="77777777" w:rsidR="005128E4" w:rsidRPr="009165FD" w:rsidRDefault="005128E4" w:rsidP="00040C3A">
      <w:pPr>
        <w:tabs>
          <w:tab w:val="center" w:pos="5400"/>
        </w:tabs>
        <w:suppressAutoHyphens/>
        <w:rPr>
          <w:rFonts w:asciiTheme="majorHAnsi" w:hAnsiTheme="majorHAnsi"/>
          <w:sz w:val="22"/>
          <w:szCs w:val="22"/>
          <w:lang w:val="es-ES_tradnl"/>
        </w:rPr>
      </w:pPr>
    </w:p>
    <w:p w14:paraId="58892803" w14:textId="77777777" w:rsidR="00040C3A" w:rsidRPr="009165FD" w:rsidRDefault="00040C3A" w:rsidP="005128E4">
      <w:pPr>
        <w:tabs>
          <w:tab w:val="center" w:pos="5400"/>
        </w:tabs>
        <w:suppressAutoHyphens/>
        <w:jc w:val="center"/>
        <w:rPr>
          <w:rFonts w:asciiTheme="majorHAnsi" w:hAnsiTheme="majorHAnsi"/>
          <w:sz w:val="22"/>
          <w:szCs w:val="22"/>
          <w:lang w:val="es-ES_tradnl"/>
        </w:rPr>
      </w:pPr>
    </w:p>
    <w:p w14:paraId="20D0D5FB" w14:textId="77777777" w:rsidR="00040C3A" w:rsidRPr="009165FD" w:rsidRDefault="00040C3A" w:rsidP="005128E4">
      <w:pPr>
        <w:tabs>
          <w:tab w:val="center" w:pos="5400"/>
        </w:tabs>
        <w:suppressAutoHyphens/>
        <w:jc w:val="center"/>
        <w:rPr>
          <w:rFonts w:asciiTheme="majorHAnsi" w:hAnsiTheme="majorHAnsi"/>
          <w:sz w:val="22"/>
          <w:szCs w:val="22"/>
          <w:lang w:val="es-ES_tradnl"/>
        </w:rPr>
      </w:pPr>
    </w:p>
    <w:p w14:paraId="06ADBE53" w14:textId="77777777" w:rsidR="005B52B0" w:rsidRPr="009165FD" w:rsidRDefault="005B52B0" w:rsidP="005128E4">
      <w:pPr>
        <w:tabs>
          <w:tab w:val="center" w:pos="5400"/>
        </w:tabs>
        <w:suppressAutoHyphens/>
        <w:jc w:val="center"/>
        <w:rPr>
          <w:rFonts w:asciiTheme="majorHAnsi" w:hAnsiTheme="majorHAnsi"/>
          <w:sz w:val="22"/>
          <w:szCs w:val="22"/>
          <w:lang w:val="es-ES_tradnl"/>
        </w:rPr>
      </w:pPr>
    </w:p>
    <w:p w14:paraId="526B3C36" w14:textId="77777777" w:rsidR="005B52B0" w:rsidRPr="009165FD" w:rsidRDefault="005B52B0" w:rsidP="005128E4">
      <w:pPr>
        <w:tabs>
          <w:tab w:val="center" w:pos="5400"/>
        </w:tabs>
        <w:suppressAutoHyphens/>
        <w:jc w:val="center"/>
        <w:rPr>
          <w:rFonts w:asciiTheme="majorHAnsi" w:hAnsiTheme="majorHAnsi"/>
          <w:sz w:val="22"/>
          <w:szCs w:val="22"/>
          <w:lang w:val="es-ES_tradnl"/>
        </w:rPr>
      </w:pPr>
    </w:p>
    <w:p w14:paraId="76F1B716" w14:textId="77777777" w:rsidR="005B52B0" w:rsidRPr="009165FD" w:rsidRDefault="005B52B0" w:rsidP="005128E4">
      <w:pPr>
        <w:tabs>
          <w:tab w:val="center" w:pos="5400"/>
        </w:tabs>
        <w:suppressAutoHyphens/>
        <w:jc w:val="center"/>
        <w:rPr>
          <w:rFonts w:asciiTheme="majorHAnsi" w:hAnsiTheme="majorHAnsi"/>
          <w:sz w:val="22"/>
          <w:szCs w:val="22"/>
          <w:lang w:val="es-ES_tradnl"/>
        </w:rPr>
      </w:pPr>
    </w:p>
    <w:p w14:paraId="3209AE2B"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386B861B"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10049586"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1AE8F5BF" w14:textId="3D72DF84" w:rsidR="00040C3A" w:rsidRPr="009165FD" w:rsidRDefault="009165FD" w:rsidP="00040C3A">
      <w:pPr>
        <w:tabs>
          <w:tab w:val="center" w:pos="5400"/>
        </w:tabs>
        <w:suppressAutoHyphens/>
        <w:jc w:val="center"/>
        <w:rPr>
          <w:rFonts w:asciiTheme="majorHAnsi" w:hAnsiTheme="majorHAnsi"/>
          <w:sz w:val="22"/>
          <w:szCs w:val="22"/>
          <w:lang w:val="es-ES_tradnl"/>
        </w:rPr>
      </w:pPr>
      <w:r w:rsidRPr="009165F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AA6F41B" wp14:editId="7D13D031">
                <wp:simplePos x="0" y="0"/>
                <wp:positionH relativeFrom="column">
                  <wp:posOffset>-240334</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4CD5D" w14:textId="0A4D57FA" w:rsidR="00795A52" w:rsidRPr="00795A52" w:rsidRDefault="00795A52" w:rsidP="002C1641">
                            <w:pPr>
                              <w:jc w:val="right"/>
                              <w:rPr>
                                <w:rFonts w:asciiTheme="minorHAnsi" w:hAnsiTheme="minorHAnsi"/>
                                <w:color w:val="FFFFFF" w:themeColor="background1"/>
                                <w:sz w:val="22"/>
                                <w:lang w:val="pt-BR"/>
                              </w:rPr>
                            </w:pPr>
                            <w:r w:rsidRPr="00795A52">
                              <w:rPr>
                                <w:rFonts w:asciiTheme="minorHAnsi" w:hAnsiTheme="minorHAnsi"/>
                                <w:color w:val="FFFFFF" w:themeColor="background1"/>
                                <w:sz w:val="22"/>
                                <w:lang w:val="pt-BR"/>
                              </w:rPr>
                              <w:t>OEA/Ser.L/V/II.164</w:t>
                            </w:r>
                          </w:p>
                          <w:p w14:paraId="33173E48" w14:textId="353FBD51" w:rsidR="00795A52" w:rsidRPr="00795A52" w:rsidRDefault="00795A52" w:rsidP="002C1641">
                            <w:pPr>
                              <w:jc w:val="right"/>
                              <w:rPr>
                                <w:rFonts w:asciiTheme="minorHAnsi" w:hAnsiTheme="minorHAnsi"/>
                                <w:color w:val="FFFFFF" w:themeColor="background1"/>
                                <w:sz w:val="22"/>
                                <w:lang w:val="pt-BR"/>
                              </w:rPr>
                            </w:pPr>
                            <w:r w:rsidRPr="00795A52">
                              <w:rPr>
                                <w:rFonts w:asciiTheme="minorHAnsi" w:hAnsiTheme="minorHAnsi"/>
                                <w:color w:val="FFFFFF" w:themeColor="background1"/>
                                <w:sz w:val="22"/>
                                <w:lang w:val="pt-BR"/>
                              </w:rPr>
                              <w:t>Doc. 119</w:t>
                            </w:r>
                          </w:p>
                          <w:p w14:paraId="1DBD0D4D" w14:textId="57FE50C4" w:rsidR="00795A52" w:rsidRPr="004F1FAE" w:rsidRDefault="00795A52" w:rsidP="002C1641">
                            <w:pPr>
                              <w:jc w:val="right"/>
                              <w:rPr>
                                <w:rFonts w:asciiTheme="minorHAnsi" w:hAnsiTheme="minorHAnsi"/>
                                <w:color w:val="FFFFFF" w:themeColor="background1"/>
                                <w:sz w:val="22"/>
                              </w:rPr>
                            </w:pPr>
                            <w:r w:rsidRPr="004F1FAE">
                              <w:rPr>
                                <w:rFonts w:asciiTheme="minorHAnsi" w:hAnsiTheme="minorHAnsi"/>
                                <w:color w:val="FFFFFF" w:themeColor="background1"/>
                                <w:sz w:val="22"/>
                              </w:rPr>
                              <w:t>5 September 2017</w:t>
                            </w:r>
                          </w:p>
                          <w:p w14:paraId="78B3FED6" w14:textId="7DA5E134" w:rsidR="00795A52" w:rsidRPr="004B7EB6" w:rsidRDefault="00795A5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8.9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" filled="f" stroked="f" strokeweight=".5pt">
                <v:textbox>
                  <w:txbxContent>
                    <w:p w14:paraId="4214CD5D" w14:textId="0A4D57FA" w:rsidR="00795A52" w:rsidRPr="00795A52" w:rsidRDefault="00795A52" w:rsidP="002C1641">
                      <w:pPr>
                        <w:jc w:val="right"/>
                        <w:rPr>
                          <w:rFonts w:asciiTheme="minorHAnsi" w:hAnsiTheme="minorHAnsi"/>
                          <w:color w:val="FFFFFF" w:themeColor="background1"/>
                          <w:sz w:val="22"/>
                          <w:lang w:val="pt-BR"/>
                        </w:rPr>
                      </w:pPr>
                      <w:r w:rsidRPr="00795A52">
                        <w:rPr>
                          <w:rFonts w:asciiTheme="minorHAnsi" w:hAnsiTheme="minorHAnsi"/>
                          <w:color w:val="FFFFFF" w:themeColor="background1"/>
                          <w:sz w:val="22"/>
                          <w:lang w:val="pt-BR"/>
                        </w:rPr>
                        <w:t>OEA/Ser.L/V/II.164</w:t>
                      </w:r>
                    </w:p>
                    <w:p w14:paraId="33173E48" w14:textId="353FBD51" w:rsidR="00795A52" w:rsidRPr="00795A52" w:rsidRDefault="00795A52" w:rsidP="002C1641">
                      <w:pPr>
                        <w:jc w:val="right"/>
                        <w:rPr>
                          <w:rFonts w:asciiTheme="minorHAnsi" w:hAnsiTheme="minorHAnsi"/>
                          <w:color w:val="FFFFFF" w:themeColor="background1"/>
                          <w:sz w:val="22"/>
                          <w:lang w:val="pt-BR"/>
                        </w:rPr>
                      </w:pPr>
                      <w:r w:rsidRPr="00795A52">
                        <w:rPr>
                          <w:rFonts w:asciiTheme="minorHAnsi" w:hAnsiTheme="minorHAnsi"/>
                          <w:color w:val="FFFFFF" w:themeColor="background1"/>
                          <w:sz w:val="22"/>
                          <w:lang w:val="pt-BR"/>
                        </w:rPr>
                        <w:t>Doc. 119</w:t>
                      </w:r>
                    </w:p>
                    <w:p w14:paraId="1DBD0D4D" w14:textId="57FE50C4" w:rsidR="00795A52" w:rsidRPr="004F1FAE" w:rsidRDefault="00795A52" w:rsidP="002C1641">
                      <w:pPr>
                        <w:jc w:val="right"/>
                        <w:rPr>
                          <w:rFonts w:asciiTheme="minorHAnsi" w:hAnsiTheme="minorHAnsi"/>
                          <w:color w:val="FFFFFF" w:themeColor="background1"/>
                          <w:sz w:val="22"/>
                        </w:rPr>
                      </w:pPr>
                      <w:r w:rsidRPr="004F1FAE">
                        <w:rPr>
                          <w:rFonts w:asciiTheme="minorHAnsi" w:hAnsiTheme="minorHAnsi"/>
                          <w:color w:val="FFFFFF" w:themeColor="background1"/>
                          <w:sz w:val="22"/>
                        </w:rPr>
                        <w:t>5 September 2017</w:t>
                      </w:r>
                    </w:p>
                    <w:p w14:paraId="78B3FED6" w14:textId="7DA5E134" w:rsidR="00795A52" w:rsidRPr="004B7EB6" w:rsidRDefault="00795A5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r w:rsidR="00E533FF" w:rsidRPr="009165F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FA7D0FC" wp14:editId="7AF58D3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40503" w14:textId="5FA60717" w:rsidR="00795A52" w:rsidRPr="004B7EB6" w:rsidRDefault="00795A5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101/17</w:t>
                            </w:r>
                          </w:p>
                          <w:p w14:paraId="6F111DA0" w14:textId="77777777" w:rsidR="00795A52" w:rsidRPr="004B7EB6" w:rsidRDefault="00795A5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12.414</w:t>
                            </w:r>
                          </w:p>
                          <w:p w14:paraId="7EAA85A6" w14:textId="158B68E3" w:rsidR="00795A52" w:rsidRPr="004B7EB6" w:rsidRDefault="00795A52" w:rsidP="0032741A">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r>
                              <w:rPr>
                                <w:rFonts w:asciiTheme="majorHAnsi" w:hAnsiTheme="majorHAnsi" w:cs="Arial"/>
                                <w:color w:val="0D0D0D" w:themeColor="text1" w:themeTint="F2"/>
                                <w:szCs w:val="22"/>
                              </w:rPr>
                              <w:t>(PUBLICATION)</w:t>
                            </w:r>
                          </w:p>
                          <w:p w14:paraId="6ED61B53" w14:textId="77777777" w:rsidR="00795A52" w:rsidRPr="004B7EB6" w:rsidRDefault="00795A52" w:rsidP="004B7EB6">
                            <w:pPr>
                              <w:spacing w:line="276" w:lineRule="auto"/>
                              <w:rPr>
                                <w:rFonts w:asciiTheme="majorHAnsi" w:hAnsiTheme="majorHAnsi" w:cs="Arial"/>
                                <w:color w:val="0D0D0D" w:themeColor="text1" w:themeTint="F2"/>
                                <w:szCs w:val="22"/>
                              </w:rPr>
                            </w:pPr>
                          </w:p>
                          <w:p w14:paraId="26E34041" w14:textId="77777777" w:rsidR="00795A52" w:rsidRPr="004B7EB6" w:rsidRDefault="00795A52" w:rsidP="004B7EB6">
                            <w:pPr>
                              <w:spacing w:line="276" w:lineRule="auto"/>
                              <w:rPr>
                                <w:rFonts w:asciiTheme="majorHAnsi" w:hAnsiTheme="majorHAnsi" w:cs="Arial"/>
                                <w:color w:val="0D0D0D" w:themeColor="text1" w:themeTint="F2"/>
                                <w:szCs w:val="22"/>
                              </w:rPr>
                            </w:pPr>
                          </w:p>
                          <w:p w14:paraId="7724D640" w14:textId="77777777" w:rsidR="00795A52" w:rsidRPr="004B7EB6" w:rsidRDefault="00795A52" w:rsidP="004B7EB6">
                            <w:pPr>
                              <w:spacing w:line="276" w:lineRule="auto"/>
                              <w:rPr>
                                <w:rFonts w:asciiTheme="majorHAnsi" w:hAnsiTheme="majorHAnsi" w:cs="Arial"/>
                                <w:color w:val="0D0D0D" w:themeColor="text1" w:themeTint="F2"/>
                                <w:szCs w:val="22"/>
                                <w:lang w:val="es-ES_tradnl"/>
                              </w:rPr>
                            </w:pPr>
                            <w:r w:rsidRPr="0032741A">
                              <w:rPr>
                                <w:rFonts w:asciiTheme="majorHAnsi" w:hAnsiTheme="majorHAnsi" w:cs="Arial"/>
                                <w:color w:val="0D0D0D" w:themeColor="text1" w:themeTint="F2"/>
                                <w:szCs w:val="22"/>
                                <w:lang w:val="es-ES_tradnl"/>
                              </w:rPr>
                              <w:t>ALCIDES TORRES ARIAS, ANGEL DAVID QUINTERO ET AL</w:t>
                            </w:r>
                          </w:p>
                          <w:p w14:paraId="5B3C50E1" w14:textId="77777777" w:rsidR="00795A52" w:rsidRPr="004B7EB6" w:rsidRDefault="00795A52"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4140503" w14:textId="5FA60717" w:rsidR="00795A52" w:rsidRPr="004B7EB6" w:rsidRDefault="00795A5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101/17</w:t>
                      </w:r>
                    </w:p>
                    <w:p w14:paraId="6F111DA0" w14:textId="77777777" w:rsidR="00795A52" w:rsidRPr="004B7EB6" w:rsidRDefault="00795A5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12.414</w:t>
                      </w:r>
                    </w:p>
                    <w:p w14:paraId="7EAA85A6" w14:textId="158B68E3" w:rsidR="00795A52" w:rsidRPr="004B7EB6" w:rsidRDefault="00795A52" w:rsidP="0032741A">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r>
                        <w:rPr>
                          <w:rFonts w:asciiTheme="majorHAnsi" w:hAnsiTheme="majorHAnsi" w:cs="Arial"/>
                          <w:color w:val="0D0D0D" w:themeColor="text1" w:themeTint="F2"/>
                          <w:szCs w:val="22"/>
                        </w:rPr>
                        <w:t>(PUBLICATION)</w:t>
                      </w:r>
                    </w:p>
                    <w:p w14:paraId="6ED61B53" w14:textId="77777777" w:rsidR="00795A52" w:rsidRPr="004B7EB6" w:rsidRDefault="00795A52" w:rsidP="004B7EB6">
                      <w:pPr>
                        <w:spacing w:line="276" w:lineRule="auto"/>
                        <w:rPr>
                          <w:rFonts w:asciiTheme="majorHAnsi" w:hAnsiTheme="majorHAnsi" w:cs="Arial"/>
                          <w:color w:val="0D0D0D" w:themeColor="text1" w:themeTint="F2"/>
                          <w:szCs w:val="22"/>
                        </w:rPr>
                      </w:pPr>
                    </w:p>
                    <w:p w14:paraId="26E34041" w14:textId="77777777" w:rsidR="00795A52" w:rsidRPr="004B7EB6" w:rsidRDefault="00795A52" w:rsidP="004B7EB6">
                      <w:pPr>
                        <w:spacing w:line="276" w:lineRule="auto"/>
                        <w:rPr>
                          <w:rFonts w:asciiTheme="majorHAnsi" w:hAnsiTheme="majorHAnsi" w:cs="Arial"/>
                          <w:color w:val="0D0D0D" w:themeColor="text1" w:themeTint="F2"/>
                          <w:szCs w:val="22"/>
                        </w:rPr>
                      </w:pPr>
                    </w:p>
                    <w:p w14:paraId="7724D640" w14:textId="77777777" w:rsidR="00795A52" w:rsidRPr="004B7EB6" w:rsidRDefault="00795A52" w:rsidP="004B7EB6">
                      <w:pPr>
                        <w:spacing w:line="276" w:lineRule="auto"/>
                        <w:rPr>
                          <w:rFonts w:asciiTheme="majorHAnsi" w:hAnsiTheme="majorHAnsi" w:cs="Arial"/>
                          <w:color w:val="0D0D0D" w:themeColor="text1" w:themeTint="F2"/>
                          <w:szCs w:val="22"/>
                          <w:lang w:val="es-ES_tradnl"/>
                        </w:rPr>
                      </w:pPr>
                      <w:r w:rsidRPr="0032741A">
                        <w:rPr>
                          <w:rFonts w:asciiTheme="majorHAnsi" w:hAnsiTheme="majorHAnsi" w:cs="Arial"/>
                          <w:color w:val="0D0D0D" w:themeColor="text1" w:themeTint="F2"/>
                          <w:szCs w:val="22"/>
                          <w:lang w:val="es-ES_tradnl"/>
                        </w:rPr>
                        <w:t>ALCIDES TORRES ARIAS, ANGEL DAVID QUINTERO ET AL</w:t>
                      </w:r>
                    </w:p>
                    <w:p w14:paraId="5B3C50E1" w14:textId="77777777" w:rsidR="00795A52" w:rsidRPr="004B7EB6" w:rsidRDefault="00795A52"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p>
    <w:p w14:paraId="76285F79"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05E3A2EA" w14:textId="77777777" w:rsidR="00040C3A" w:rsidRPr="009165FD" w:rsidRDefault="00040C3A" w:rsidP="00040C3A">
      <w:pPr>
        <w:tabs>
          <w:tab w:val="center" w:pos="5400"/>
        </w:tabs>
        <w:suppressAutoHyphens/>
        <w:jc w:val="center"/>
        <w:rPr>
          <w:rFonts w:asciiTheme="majorHAnsi" w:hAnsiTheme="majorHAnsi" w:cs="Arial"/>
          <w:sz w:val="22"/>
          <w:szCs w:val="22"/>
          <w:lang w:val="es-ES_tradnl"/>
        </w:rPr>
      </w:pPr>
    </w:p>
    <w:p w14:paraId="08EDAB86"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20D9F638"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64C78135"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54B4B74D"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33E8F823" w14:textId="77777777" w:rsidR="005128E4" w:rsidRPr="009165FD" w:rsidRDefault="005128E4" w:rsidP="00040C3A">
      <w:pPr>
        <w:tabs>
          <w:tab w:val="center" w:pos="5400"/>
        </w:tabs>
        <w:suppressAutoHyphens/>
        <w:jc w:val="center"/>
        <w:rPr>
          <w:rFonts w:asciiTheme="majorHAnsi" w:hAnsiTheme="majorHAnsi"/>
          <w:sz w:val="22"/>
          <w:szCs w:val="22"/>
          <w:lang w:val="es-ES_tradnl"/>
        </w:rPr>
      </w:pPr>
    </w:p>
    <w:p w14:paraId="0B843787"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6A52DD3A" w14:textId="77777777" w:rsidR="005128E4" w:rsidRPr="009165FD" w:rsidRDefault="005128E4" w:rsidP="00040C3A">
      <w:pPr>
        <w:tabs>
          <w:tab w:val="center" w:pos="5400"/>
        </w:tabs>
        <w:suppressAutoHyphens/>
        <w:jc w:val="center"/>
        <w:rPr>
          <w:rFonts w:asciiTheme="majorHAnsi" w:hAnsiTheme="majorHAnsi"/>
          <w:sz w:val="22"/>
          <w:szCs w:val="22"/>
          <w:lang w:val="es-ES_tradnl"/>
        </w:rPr>
      </w:pPr>
    </w:p>
    <w:p w14:paraId="07FDFA34" w14:textId="77777777" w:rsidR="005128E4" w:rsidRPr="009165FD" w:rsidRDefault="005128E4" w:rsidP="00040C3A">
      <w:pPr>
        <w:tabs>
          <w:tab w:val="center" w:pos="5400"/>
        </w:tabs>
        <w:suppressAutoHyphens/>
        <w:jc w:val="center"/>
        <w:rPr>
          <w:rFonts w:asciiTheme="majorHAnsi" w:hAnsiTheme="majorHAnsi"/>
          <w:sz w:val="22"/>
          <w:szCs w:val="22"/>
          <w:lang w:val="es-ES_tradnl"/>
        </w:rPr>
      </w:pPr>
    </w:p>
    <w:p w14:paraId="3574413B" w14:textId="77777777" w:rsidR="005128E4" w:rsidRPr="009165FD" w:rsidRDefault="005128E4" w:rsidP="00040C3A">
      <w:pPr>
        <w:tabs>
          <w:tab w:val="center" w:pos="5400"/>
        </w:tabs>
        <w:suppressAutoHyphens/>
        <w:jc w:val="center"/>
        <w:rPr>
          <w:rFonts w:asciiTheme="majorHAnsi" w:hAnsiTheme="majorHAnsi"/>
          <w:sz w:val="22"/>
          <w:szCs w:val="22"/>
          <w:lang w:val="es-ES_tradnl"/>
        </w:rPr>
      </w:pPr>
    </w:p>
    <w:p w14:paraId="47F751F2"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760F7EC3" w14:textId="77777777" w:rsidR="00040C3A" w:rsidRPr="009165FD" w:rsidRDefault="00040C3A" w:rsidP="00040C3A">
      <w:pPr>
        <w:tabs>
          <w:tab w:val="center" w:pos="5400"/>
        </w:tabs>
        <w:suppressAutoHyphens/>
        <w:jc w:val="center"/>
        <w:rPr>
          <w:rFonts w:asciiTheme="majorHAnsi" w:hAnsiTheme="majorHAnsi"/>
          <w:sz w:val="22"/>
          <w:szCs w:val="22"/>
          <w:lang w:val="es-ES_tradnl"/>
        </w:rPr>
      </w:pPr>
    </w:p>
    <w:p w14:paraId="4B7EF47A"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6075CD0D"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224858AC"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4C7E7601"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2A81F50F"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56A2FB1E"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4588905B"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2316C076"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3AE23AB2"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13F2919D"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5BC8EA6F"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45D67938"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4FF52B77" w14:textId="77777777" w:rsidR="002C1641" w:rsidRPr="009165FD" w:rsidRDefault="003C32BC" w:rsidP="00040C3A">
      <w:pPr>
        <w:tabs>
          <w:tab w:val="center" w:pos="5400"/>
        </w:tabs>
        <w:suppressAutoHyphens/>
        <w:jc w:val="center"/>
        <w:rPr>
          <w:rFonts w:asciiTheme="majorHAnsi" w:hAnsiTheme="majorHAnsi"/>
          <w:sz w:val="18"/>
          <w:szCs w:val="22"/>
          <w:lang w:val="es-ES_tradnl"/>
        </w:rPr>
      </w:pPr>
      <w:r w:rsidRPr="009165F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1C4C5E9" wp14:editId="44E93C9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F4812" w14:textId="19D06DE7" w:rsidR="00795A52" w:rsidRPr="003C32BC" w:rsidRDefault="00795A5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2096</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September 5, 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164</w:t>
                            </w:r>
                            <w:r w:rsidRPr="00795A52">
                              <w:rPr>
                                <w:rFonts w:asciiTheme="majorHAnsi" w:hAnsiTheme="majorHAnsi" w:cs="Univers"/>
                                <w:color w:val="0D0D0D" w:themeColor="text1" w:themeTint="F2"/>
                                <w:sz w:val="18"/>
                                <w:szCs w:val="20"/>
                                <w:vertAlign w:val="subscript"/>
                              </w:rPr>
                              <w:t>th</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55AF4812" w14:textId="19D06DE7" w:rsidR="00795A52" w:rsidRPr="003C32BC" w:rsidRDefault="00795A5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2096</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September 5, 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164</w:t>
                      </w:r>
                      <w:r w:rsidRPr="00795A52">
                        <w:rPr>
                          <w:rFonts w:asciiTheme="majorHAnsi" w:hAnsiTheme="majorHAnsi" w:cs="Univers"/>
                          <w:color w:val="0D0D0D" w:themeColor="text1" w:themeTint="F2"/>
                          <w:sz w:val="18"/>
                          <w:szCs w:val="20"/>
                          <w:vertAlign w:val="subscript"/>
                        </w:rPr>
                        <w:t>th</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Pr>
                          <w:rFonts w:asciiTheme="majorHAnsi" w:hAnsiTheme="majorHAnsi" w:cs="Univers"/>
                          <w:color w:val="0D0D0D" w:themeColor="text1" w:themeTint="F2"/>
                          <w:sz w:val="18"/>
                          <w:szCs w:val="20"/>
                        </w:rPr>
                        <w:t>.</w:t>
                      </w:r>
                    </w:p>
                  </w:txbxContent>
                </v:textbox>
              </v:shape>
            </w:pict>
          </mc:Fallback>
        </mc:AlternateContent>
      </w:r>
    </w:p>
    <w:p w14:paraId="0B915112"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60DFD509"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05FCAEA3"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49C45A10"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0CBFF028" w14:textId="77777777" w:rsidR="002C1641" w:rsidRPr="009165FD" w:rsidRDefault="003C32BC" w:rsidP="00040C3A">
      <w:pPr>
        <w:tabs>
          <w:tab w:val="center" w:pos="5400"/>
        </w:tabs>
        <w:suppressAutoHyphens/>
        <w:jc w:val="center"/>
        <w:rPr>
          <w:rFonts w:asciiTheme="majorHAnsi" w:hAnsiTheme="majorHAnsi"/>
          <w:sz w:val="18"/>
          <w:szCs w:val="22"/>
          <w:lang w:val="es-ES_tradnl"/>
        </w:rPr>
      </w:pPr>
      <w:r w:rsidRPr="009165F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2C6F2A8" wp14:editId="6557E38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37766" w14:textId="7C8C30AE" w:rsidR="00795A52" w:rsidRPr="009165FD" w:rsidRDefault="00795A52" w:rsidP="009165FD">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101/17</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12.214, Merits (Publication),</w:t>
                            </w:r>
                            <w:r w:rsidRPr="001311A8">
                              <w:rPr>
                                <w:rFonts w:asciiTheme="majorHAnsi" w:hAnsiTheme="majorHAnsi"/>
                                <w:color w:val="595959" w:themeColor="text1" w:themeTint="A6"/>
                                <w:sz w:val="18"/>
                                <w:lang w:val="en-GB"/>
                              </w:rPr>
                              <w:t xml:space="preserve"> </w:t>
                            </w:r>
                            <w:r w:rsidRPr="001311A8">
                              <w:rPr>
                                <w:rFonts w:ascii="Cambria" w:hAnsi="Cambria"/>
                                <w:color w:val="595959"/>
                                <w:sz w:val="18"/>
                                <w:szCs w:val="18"/>
                                <w:lang w:val="en-GB"/>
                              </w:rPr>
                              <w:t xml:space="preserve">Alcides Torres Arias, </w:t>
                            </w:r>
                            <w:r>
                              <w:rPr>
                                <w:rFonts w:ascii="Cambria" w:hAnsi="Cambria"/>
                                <w:color w:val="595959"/>
                                <w:sz w:val="18"/>
                                <w:szCs w:val="18"/>
                                <w:lang w:val="en-GB"/>
                              </w:rPr>
                              <w:t>Angel David Quintero and others,</w:t>
                            </w:r>
                            <w:r w:rsidRPr="001311A8">
                              <w:rPr>
                                <w:rFonts w:ascii="Cambria" w:hAnsi="Cambria"/>
                                <w:color w:val="595959"/>
                                <w:sz w:val="18"/>
                                <w:szCs w:val="18"/>
                                <w:lang w:val="en-GB"/>
                              </w:rPr>
                              <w:t xml:space="preserve"> </w:t>
                            </w:r>
                            <w:r w:rsidRPr="009D0DB5">
                              <w:rPr>
                                <w:rFonts w:ascii="Cambria" w:hAnsi="Cambria"/>
                                <w:color w:val="595959"/>
                                <w:sz w:val="18"/>
                                <w:szCs w:val="18"/>
                              </w:rPr>
                              <w:t xml:space="preserve">Colombia, </w:t>
                            </w:r>
                            <w:r>
                              <w:rPr>
                                <w:rFonts w:ascii="Cambria" w:hAnsi="Cambria"/>
                                <w:color w:val="595959"/>
                                <w:sz w:val="18"/>
                                <w:szCs w:val="18"/>
                              </w:rPr>
                              <w:t>September 5</w:t>
                            </w:r>
                            <w:r w:rsidRPr="009D0DB5">
                              <w:rPr>
                                <w:rFonts w:ascii="Cambria" w:hAnsi="Cambria"/>
                                <w:color w:val="595959"/>
                                <w:sz w:val="18"/>
                                <w:szCs w:val="18"/>
                              </w:rPr>
                              <w:t xml:space="preserve">, 2017. </w:t>
                            </w:r>
                          </w:p>
                          <w:p w14:paraId="41B84983" w14:textId="77777777" w:rsidR="00795A52" w:rsidRPr="003C32BC" w:rsidRDefault="00795A52" w:rsidP="00205713">
                            <w:pPr>
                              <w:spacing w:line="276" w:lineRule="auto"/>
                              <w:rPr>
                                <w:rFonts w:asciiTheme="majorHAnsi" w:hAnsiTheme="majorHAnsi"/>
                                <w:color w:val="595959" w:themeColor="text1" w:themeTint="A6"/>
                                <w:sz w:val="18"/>
                              </w:rPr>
                            </w:pPr>
                            <w:r w:rsidRPr="003C32BC">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D737766" w14:textId="7C8C30AE" w:rsidR="00795A52" w:rsidRPr="009165FD" w:rsidRDefault="00795A52" w:rsidP="009165FD">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101/17</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12.214, Merits (Publication),</w:t>
                      </w:r>
                      <w:r w:rsidRPr="001311A8">
                        <w:rPr>
                          <w:rFonts w:asciiTheme="majorHAnsi" w:hAnsiTheme="majorHAnsi"/>
                          <w:color w:val="595959" w:themeColor="text1" w:themeTint="A6"/>
                          <w:sz w:val="18"/>
                          <w:lang w:val="en-GB"/>
                        </w:rPr>
                        <w:t xml:space="preserve"> </w:t>
                      </w:r>
                      <w:r w:rsidRPr="001311A8">
                        <w:rPr>
                          <w:rFonts w:ascii="Cambria" w:hAnsi="Cambria"/>
                          <w:color w:val="595959"/>
                          <w:sz w:val="18"/>
                          <w:szCs w:val="18"/>
                          <w:lang w:val="en-GB"/>
                        </w:rPr>
                        <w:t xml:space="preserve">Alcides Torres Arias, </w:t>
                      </w:r>
                      <w:r>
                        <w:rPr>
                          <w:rFonts w:ascii="Cambria" w:hAnsi="Cambria"/>
                          <w:color w:val="595959"/>
                          <w:sz w:val="18"/>
                          <w:szCs w:val="18"/>
                          <w:lang w:val="en-GB"/>
                        </w:rPr>
                        <w:t>Angel David Quintero and others,</w:t>
                      </w:r>
                      <w:r w:rsidRPr="001311A8">
                        <w:rPr>
                          <w:rFonts w:ascii="Cambria" w:hAnsi="Cambria"/>
                          <w:color w:val="595959"/>
                          <w:sz w:val="18"/>
                          <w:szCs w:val="18"/>
                          <w:lang w:val="en-GB"/>
                        </w:rPr>
                        <w:t xml:space="preserve"> </w:t>
                      </w:r>
                      <w:r w:rsidRPr="009D0DB5">
                        <w:rPr>
                          <w:rFonts w:ascii="Cambria" w:hAnsi="Cambria"/>
                          <w:color w:val="595959"/>
                          <w:sz w:val="18"/>
                          <w:szCs w:val="18"/>
                        </w:rPr>
                        <w:t xml:space="preserve">Colombia, </w:t>
                      </w:r>
                      <w:r>
                        <w:rPr>
                          <w:rFonts w:ascii="Cambria" w:hAnsi="Cambria"/>
                          <w:color w:val="595959"/>
                          <w:sz w:val="18"/>
                          <w:szCs w:val="18"/>
                        </w:rPr>
                        <w:t>September 5</w:t>
                      </w:r>
                      <w:r w:rsidRPr="009D0DB5">
                        <w:rPr>
                          <w:rFonts w:ascii="Cambria" w:hAnsi="Cambria"/>
                          <w:color w:val="595959"/>
                          <w:sz w:val="18"/>
                          <w:szCs w:val="18"/>
                        </w:rPr>
                        <w:t xml:space="preserve">, 2017. </w:t>
                      </w:r>
                    </w:p>
                    <w:p w14:paraId="41B84983" w14:textId="77777777" w:rsidR="00795A52" w:rsidRPr="003C32BC" w:rsidRDefault="00795A52" w:rsidP="00205713">
                      <w:pPr>
                        <w:spacing w:line="276" w:lineRule="auto"/>
                        <w:rPr>
                          <w:rFonts w:asciiTheme="majorHAnsi" w:hAnsiTheme="majorHAnsi"/>
                          <w:color w:val="595959" w:themeColor="text1" w:themeTint="A6"/>
                          <w:sz w:val="18"/>
                        </w:rPr>
                      </w:pPr>
                      <w:r w:rsidRPr="003C32BC">
                        <w:rPr>
                          <w:rFonts w:asciiTheme="majorHAnsi" w:hAnsiTheme="majorHAnsi"/>
                          <w:color w:val="595959" w:themeColor="text1" w:themeTint="A6"/>
                          <w:sz w:val="18"/>
                        </w:rPr>
                        <w:t xml:space="preserve"> </w:t>
                      </w:r>
                    </w:p>
                  </w:txbxContent>
                </v:textbox>
              </v:shape>
            </w:pict>
          </mc:Fallback>
        </mc:AlternateContent>
      </w:r>
    </w:p>
    <w:p w14:paraId="3A6CE7ED"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7F0A4E2E" w14:textId="77777777" w:rsidR="002C1641" w:rsidRPr="009165FD" w:rsidRDefault="002C1641" w:rsidP="00040C3A">
      <w:pPr>
        <w:tabs>
          <w:tab w:val="center" w:pos="5400"/>
        </w:tabs>
        <w:suppressAutoHyphens/>
        <w:jc w:val="center"/>
        <w:rPr>
          <w:rFonts w:asciiTheme="majorHAnsi" w:hAnsiTheme="majorHAnsi"/>
          <w:sz w:val="18"/>
          <w:szCs w:val="22"/>
          <w:lang w:val="es-ES_tradnl"/>
        </w:rPr>
      </w:pPr>
    </w:p>
    <w:p w14:paraId="496627CE" w14:textId="77777777" w:rsidR="003C32BC" w:rsidRPr="009165FD" w:rsidRDefault="003C32BC" w:rsidP="003C32BC">
      <w:pPr>
        <w:tabs>
          <w:tab w:val="center" w:pos="5400"/>
        </w:tabs>
        <w:suppressAutoHyphens/>
        <w:jc w:val="center"/>
        <w:rPr>
          <w:rFonts w:asciiTheme="majorHAnsi" w:hAnsiTheme="majorHAnsi"/>
          <w:sz w:val="18"/>
          <w:szCs w:val="22"/>
        </w:rPr>
      </w:pPr>
    </w:p>
    <w:p w14:paraId="6F11F5A8" w14:textId="77777777" w:rsidR="003C32BC" w:rsidRPr="009165FD" w:rsidRDefault="006311DA" w:rsidP="003C32BC">
      <w:pPr>
        <w:tabs>
          <w:tab w:val="center" w:pos="5400"/>
        </w:tabs>
        <w:suppressAutoHyphens/>
        <w:jc w:val="center"/>
        <w:rPr>
          <w:rFonts w:asciiTheme="majorHAnsi" w:hAnsiTheme="majorHAnsi"/>
          <w:sz w:val="18"/>
          <w:szCs w:val="22"/>
        </w:rPr>
      </w:pPr>
      <w:r w:rsidRPr="009165F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7C0C3B3" wp14:editId="3920AE6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2D469" w14:textId="77777777" w:rsidR="00795A52" w:rsidRPr="004B7EB6" w:rsidRDefault="00795A5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8F2D469" w14:textId="77777777" w:rsidR="00795A52" w:rsidRPr="004B7EB6" w:rsidRDefault="00795A5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9165F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5D063F0" wp14:editId="1696CDF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B454B" w14:textId="77777777" w:rsidR="00795A52" w:rsidRDefault="00795A52">
                            <w:r>
                              <w:rPr>
                                <w:noProof/>
                              </w:rPr>
                              <w:drawing>
                                <wp:inline distT="0" distB="0" distL="0" distR="0" wp14:anchorId="14F1E430" wp14:editId="1ECBB21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11DB454B" w14:textId="77777777" w:rsidR="00795A52" w:rsidRDefault="00795A52">
                      <w:r>
                        <w:rPr>
                          <w:noProof/>
                        </w:rPr>
                        <w:drawing>
                          <wp:inline distT="0" distB="0" distL="0" distR="0" wp14:anchorId="14F1E430" wp14:editId="1ECBB21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F0A167C" w14:textId="77777777" w:rsidR="007607C4" w:rsidRPr="009165FD" w:rsidRDefault="007607C4" w:rsidP="003C32BC">
      <w:pPr>
        <w:tabs>
          <w:tab w:val="center" w:pos="5400"/>
        </w:tabs>
        <w:suppressAutoHyphens/>
        <w:jc w:val="center"/>
        <w:rPr>
          <w:rFonts w:asciiTheme="majorHAnsi" w:hAnsiTheme="majorHAnsi"/>
          <w:sz w:val="18"/>
          <w:szCs w:val="22"/>
        </w:rPr>
        <w:sectPr w:rsidR="007607C4" w:rsidRPr="009165FD"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610D4E9D" w14:textId="1E6D0D41" w:rsidR="0032741A" w:rsidRPr="009165FD" w:rsidRDefault="0032741A" w:rsidP="0032741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rPr>
      </w:pPr>
      <w:r w:rsidRPr="009165FD">
        <w:rPr>
          <w:rFonts w:asciiTheme="majorHAnsi" w:hAnsiTheme="majorHAnsi"/>
          <w:b/>
          <w:color w:val="000000" w:themeColor="text1"/>
          <w:sz w:val="18"/>
          <w:szCs w:val="20"/>
        </w:rPr>
        <w:lastRenderedPageBreak/>
        <w:t xml:space="preserve">REPORT No. </w:t>
      </w:r>
      <w:r w:rsidR="004F1FAE">
        <w:rPr>
          <w:rFonts w:asciiTheme="majorHAnsi" w:hAnsiTheme="majorHAnsi"/>
          <w:b/>
          <w:color w:val="000000" w:themeColor="text1"/>
          <w:sz w:val="18"/>
          <w:szCs w:val="20"/>
        </w:rPr>
        <w:t>101</w:t>
      </w:r>
      <w:r w:rsidR="00616BC4" w:rsidRPr="009165FD">
        <w:rPr>
          <w:rFonts w:asciiTheme="majorHAnsi" w:hAnsiTheme="majorHAnsi"/>
          <w:b/>
          <w:color w:val="000000" w:themeColor="text1"/>
          <w:sz w:val="18"/>
          <w:szCs w:val="20"/>
        </w:rPr>
        <w:t>/17</w:t>
      </w:r>
    </w:p>
    <w:p w14:paraId="568DC662" w14:textId="77777777" w:rsidR="0032741A" w:rsidRPr="009165FD" w:rsidRDefault="0032741A" w:rsidP="0032741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rPr>
      </w:pPr>
      <w:r w:rsidRPr="009165FD">
        <w:rPr>
          <w:rFonts w:asciiTheme="majorHAnsi" w:hAnsiTheme="majorHAnsi"/>
          <w:b/>
          <w:color w:val="000000" w:themeColor="text1"/>
          <w:sz w:val="18"/>
          <w:szCs w:val="20"/>
        </w:rPr>
        <w:t>CASE 12.414</w:t>
      </w:r>
    </w:p>
    <w:p w14:paraId="18008647" w14:textId="6422F620" w:rsidR="0032741A" w:rsidRPr="009165FD" w:rsidRDefault="0032741A" w:rsidP="0032741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rPr>
      </w:pPr>
      <w:r w:rsidRPr="009165FD">
        <w:rPr>
          <w:rFonts w:asciiTheme="majorHAnsi" w:hAnsiTheme="majorHAnsi"/>
          <w:color w:val="000000" w:themeColor="text1"/>
          <w:sz w:val="18"/>
          <w:szCs w:val="20"/>
        </w:rPr>
        <w:t>MERITS</w:t>
      </w:r>
      <w:r w:rsidR="009165FD" w:rsidRPr="009165FD">
        <w:rPr>
          <w:rFonts w:asciiTheme="majorHAnsi" w:hAnsiTheme="majorHAnsi"/>
          <w:color w:val="000000" w:themeColor="text1"/>
          <w:sz w:val="18"/>
          <w:szCs w:val="20"/>
        </w:rPr>
        <w:t xml:space="preserve"> (</w:t>
      </w:r>
      <w:r w:rsidR="009D0DB5">
        <w:rPr>
          <w:rFonts w:asciiTheme="majorHAnsi" w:hAnsiTheme="majorHAnsi"/>
          <w:color w:val="000000" w:themeColor="text1"/>
          <w:sz w:val="18"/>
          <w:szCs w:val="20"/>
        </w:rPr>
        <w:t>PUBLICATION</w:t>
      </w:r>
      <w:r w:rsidR="009165FD" w:rsidRPr="009165FD">
        <w:rPr>
          <w:rFonts w:asciiTheme="majorHAnsi" w:hAnsiTheme="majorHAnsi"/>
          <w:color w:val="000000" w:themeColor="text1"/>
          <w:sz w:val="18"/>
          <w:szCs w:val="20"/>
        </w:rPr>
        <w:t>)</w:t>
      </w:r>
    </w:p>
    <w:p w14:paraId="672C221D" w14:textId="77777777" w:rsidR="0032741A" w:rsidRPr="009165FD" w:rsidRDefault="0032741A" w:rsidP="0032741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lang w:val="es-ES"/>
        </w:rPr>
      </w:pPr>
      <w:r w:rsidRPr="009165FD">
        <w:rPr>
          <w:rFonts w:asciiTheme="majorHAnsi" w:hAnsiTheme="majorHAnsi"/>
          <w:color w:val="000000" w:themeColor="text1"/>
          <w:sz w:val="18"/>
          <w:szCs w:val="20"/>
          <w:lang w:val="es-ES"/>
        </w:rPr>
        <w:t>ALCIDES TORRES ARIAS, ANGEL DAVID QUINTERO ET AL</w:t>
      </w:r>
    </w:p>
    <w:p w14:paraId="2325A7F3" w14:textId="77777777" w:rsidR="0032741A" w:rsidRPr="009165FD" w:rsidRDefault="0032741A" w:rsidP="0032741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rPr>
      </w:pPr>
      <w:r w:rsidRPr="009165FD">
        <w:rPr>
          <w:rFonts w:asciiTheme="majorHAnsi" w:hAnsiTheme="majorHAnsi"/>
          <w:color w:val="000000" w:themeColor="text1"/>
          <w:sz w:val="18"/>
          <w:szCs w:val="20"/>
        </w:rPr>
        <w:t>COLOMBIA</w:t>
      </w:r>
    </w:p>
    <w:p w14:paraId="6F1686E8" w14:textId="77777777" w:rsidR="004F1FAE" w:rsidRPr="009165FD" w:rsidRDefault="004F1FAE" w:rsidP="004F1FA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rPr>
      </w:pPr>
      <w:r>
        <w:rPr>
          <w:rFonts w:asciiTheme="majorHAnsi" w:hAnsiTheme="majorHAnsi"/>
          <w:color w:val="000000" w:themeColor="text1"/>
          <w:sz w:val="18"/>
          <w:szCs w:val="20"/>
        </w:rPr>
        <w:t>SEPTEMBER 5</w:t>
      </w:r>
      <w:r w:rsidRPr="009165FD">
        <w:rPr>
          <w:rFonts w:asciiTheme="majorHAnsi" w:hAnsiTheme="majorHAnsi"/>
          <w:color w:val="000000" w:themeColor="text1"/>
          <w:sz w:val="18"/>
          <w:szCs w:val="20"/>
        </w:rPr>
        <w:t>, 2017</w:t>
      </w:r>
    </w:p>
    <w:p w14:paraId="47CADC03" w14:textId="77777777" w:rsidR="007607C4" w:rsidRPr="009165FD" w:rsidRDefault="007607C4" w:rsidP="00145EDC">
      <w:pPr>
        <w:tabs>
          <w:tab w:val="center" w:pos="5400"/>
        </w:tabs>
        <w:suppressAutoHyphens/>
        <w:spacing w:line="276" w:lineRule="auto"/>
        <w:rPr>
          <w:rFonts w:asciiTheme="majorHAnsi" w:hAnsiTheme="majorHAnsi"/>
          <w:sz w:val="20"/>
          <w:szCs w:val="20"/>
        </w:rPr>
      </w:pPr>
    </w:p>
    <w:p w14:paraId="4C67442B" w14:textId="77777777" w:rsidR="00FC3EB4" w:rsidRPr="009165FD" w:rsidRDefault="00FC3EB4" w:rsidP="00FC3EB4">
      <w:pPr>
        <w:tabs>
          <w:tab w:val="center" w:pos="5400"/>
        </w:tabs>
        <w:suppressAutoHyphens/>
        <w:spacing w:line="276" w:lineRule="auto"/>
        <w:jc w:val="center"/>
        <w:rPr>
          <w:rFonts w:asciiTheme="majorHAnsi" w:hAnsiTheme="majorHAnsi"/>
          <w:b/>
          <w:szCs w:val="20"/>
        </w:rPr>
      </w:pPr>
      <w:r w:rsidRPr="009165FD">
        <w:rPr>
          <w:rFonts w:asciiTheme="majorHAnsi" w:hAnsiTheme="majorHAnsi"/>
          <w:b/>
          <w:szCs w:val="20"/>
        </w:rPr>
        <w:t>INDEX</w:t>
      </w:r>
    </w:p>
    <w:p w14:paraId="30AF00BC" w14:textId="77777777" w:rsidR="007607C4" w:rsidRPr="009D0DB5" w:rsidRDefault="007607C4" w:rsidP="00795A52">
      <w:pPr>
        <w:tabs>
          <w:tab w:val="left" w:pos="720"/>
          <w:tab w:val="center" w:pos="5400"/>
        </w:tabs>
        <w:suppressAutoHyphens/>
        <w:spacing w:line="276" w:lineRule="auto"/>
        <w:rPr>
          <w:rFonts w:asciiTheme="majorHAnsi" w:hAnsiTheme="majorHAnsi"/>
          <w:sz w:val="20"/>
          <w:szCs w:val="20"/>
        </w:rPr>
      </w:pPr>
    </w:p>
    <w:p w14:paraId="72ADE575" w14:textId="77777777" w:rsidR="009D0DB5" w:rsidRPr="009D0DB5" w:rsidRDefault="009D0DB5" w:rsidP="00795A52">
      <w:pPr>
        <w:pStyle w:val="TOC1"/>
        <w:tabs>
          <w:tab w:val="left" w:pos="720"/>
          <w:tab w:val="left" w:pos="1440"/>
          <w:tab w:val="right" w:leader="dot" w:pos="9350"/>
        </w:tabs>
        <w:spacing w:after="0"/>
        <w:rPr>
          <w:rFonts w:eastAsiaTheme="minorEastAsia" w:cstheme="minorBidi"/>
          <w:noProof/>
          <w:szCs w:val="20"/>
          <w:bdr w:val="none" w:sz="0" w:space="0" w:color="auto"/>
          <w:lang w:val="es-ES" w:eastAsia="es-ES"/>
        </w:rPr>
      </w:pPr>
      <w:r w:rsidRPr="009D0DB5">
        <w:rPr>
          <w:szCs w:val="20"/>
        </w:rPr>
        <w:fldChar w:fldCharType="begin"/>
      </w:r>
      <w:r w:rsidRPr="009D0DB5">
        <w:rPr>
          <w:szCs w:val="20"/>
        </w:rPr>
        <w:instrText xml:space="preserve"> TOC \o "1-3" \h \z \u </w:instrText>
      </w:r>
      <w:r w:rsidRPr="009D0DB5">
        <w:rPr>
          <w:szCs w:val="20"/>
        </w:rPr>
        <w:fldChar w:fldCharType="separate"/>
      </w:r>
      <w:hyperlink w:anchor="_Toc489882485" w:history="1">
        <w:r w:rsidRPr="009D0DB5">
          <w:rPr>
            <w:rStyle w:val="Hyperlink"/>
            <w:noProof/>
            <w:szCs w:val="20"/>
          </w:rPr>
          <w:t>I.</w:t>
        </w:r>
        <w:r w:rsidRPr="009D0DB5">
          <w:rPr>
            <w:rFonts w:eastAsiaTheme="minorEastAsia" w:cstheme="minorBidi"/>
            <w:noProof/>
            <w:szCs w:val="20"/>
            <w:bdr w:val="none" w:sz="0" w:space="0" w:color="auto"/>
            <w:lang w:val="es-ES" w:eastAsia="es-ES"/>
          </w:rPr>
          <w:tab/>
        </w:r>
        <w:r w:rsidRPr="009D0DB5">
          <w:rPr>
            <w:rStyle w:val="Hyperlink"/>
            <w:noProof/>
            <w:szCs w:val="20"/>
          </w:rPr>
          <w:t>SUMMARY</w:t>
        </w:r>
        <w:r w:rsidRPr="009D0DB5">
          <w:rPr>
            <w:noProof/>
            <w:webHidden/>
            <w:szCs w:val="20"/>
          </w:rPr>
          <w:tab/>
        </w:r>
        <w:r w:rsidRPr="009D0DB5">
          <w:rPr>
            <w:noProof/>
            <w:webHidden/>
            <w:szCs w:val="20"/>
          </w:rPr>
          <w:fldChar w:fldCharType="begin"/>
        </w:r>
        <w:r w:rsidRPr="009D0DB5">
          <w:rPr>
            <w:noProof/>
            <w:webHidden/>
            <w:szCs w:val="20"/>
          </w:rPr>
          <w:instrText xml:space="preserve"> PAGEREF _Toc489882485 \h </w:instrText>
        </w:r>
        <w:r w:rsidRPr="009D0DB5">
          <w:rPr>
            <w:noProof/>
            <w:webHidden/>
            <w:szCs w:val="20"/>
          </w:rPr>
        </w:r>
        <w:r w:rsidRPr="009D0DB5">
          <w:rPr>
            <w:noProof/>
            <w:webHidden/>
            <w:szCs w:val="20"/>
          </w:rPr>
          <w:fldChar w:fldCharType="separate"/>
        </w:r>
        <w:r w:rsidR="008E5CEB">
          <w:rPr>
            <w:noProof/>
            <w:webHidden/>
            <w:szCs w:val="20"/>
          </w:rPr>
          <w:t>3</w:t>
        </w:r>
        <w:r w:rsidRPr="009D0DB5">
          <w:rPr>
            <w:noProof/>
            <w:webHidden/>
            <w:szCs w:val="20"/>
          </w:rPr>
          <w:fldChar w:fldCharType="end"/>
        </w:r>
      </w:hyperlink>
    </w:p>
    <w:p w14:paraId="2206CE68" w14:textId="77777777" w:rsidR="009D0DB5" w:rsidRDefault="009D0DB5" w:rsidP="00795A52">
      <w:pPr>
        <w:pStyle w:val="TOC1"/>
        <w:tabs>
          <w:tab w:val="left" w:pos="720"/>
          <w:tab w:val="left" w:pos="1440"/>
          <w:tab w:val="right" w:leader="dot" w:pos="9350"/>
        </w:tabs>
        <w:spacing w:after="0"/>
        <w:rPr>
          <w:rStyle w:val="Hyperlink"/>
          <w:noProof/>
          <w:szCs w:val="20"/>
        </w:rPr>
      </w:pPr>
    </w:p>
    <w:p w14:paraId="14489BAA" w14:textId="77777777" w:rsidR="009D0DB5" w:rsidRPr="009D0DB5" w:rsidRDefault="00795A52" w:rsidP="00795A52">
      <w:pPr>
        <w:pStyle w:val="TOC1"/>
        <w:tabs>
          <w:tab w:val="left" w:pos="720"/>
          <w:tab w:val="left" w:pos="1440"/>
          <w:tab w:val="right" w:leader="dot" w:pos="9350"/>
        </w:tabs>
        <w:spacing w:after="0"/>
        <w:rPr>
          <w:rFonts w:eastAsiaTheme="minorEastAsia" w:cstheme="minorBidi"/>
          <w:noProof/>
          <w:szCs w:val="20"/>
          <w:bdr w:val="none" w:sz="0" w:space="0" w:color="auto"/>
          <w:lang w:val="es-ES" w:eastAsia="es-ES"/>
        </w:rPr>
      </w:pPr>
      <w:hyperlink w:anchor="_Toc489882486" w:history="1">
        <w:r w:rsidR="009D0DB5" w:rsidRPr="009D0DB5">
          <w:rPr>
            <w:rStyle w:val="Hyperlink"/>
            <w:noProof/>
            <w:szCs w:val="20"/>
          </w:rPr>
          <w:t>II.</w:t>
        </w:r>
        <w:r w:rsidR="009D0DB5" w:rsidRPr="009D0DB5">
          <w:rPr>
            <w:rFonts w:eastAsiaTheme="minorEastAsia" w:cstheme="minorBidi"/>
            <w:noProof/>
            <w:szCs w:val="20"/>
            <w:bdr w:val="none" w:sz="0" w:space="0" w:color="auto"/>
            <w:lang w:val="es-ES" w:eastAsia="es-ES"/>
          </w:rPr>
          <w:tab/>
        </w:r>
        <w:r w:rsidR="009D0DB5" w:rsidRPr="009D0DB5">
          <w:rPr>
            <w:rStyle w:val="Hyperlink"/>
            <w:noProof/>
            <w:szCs w:val="20"/>
          </w:rPr>
          <w:t>PROCESSING BY THE IACHR</w:t>
        </w:r>
        <w:r w:rsidR="009D0DB5" w:rsidRPr="009D0DB5">
          <w:rPr>
            <w:noProof/>
            <w:webHidden/>
            <w:szCs w:val="20"/>
          </w:rPr>
          <w:tab/>
        </w:r>
        <w:r w:rsidR="009D0DB5" w:rsidRPr="009D0DB5">
          <w:rPr>
            <w:noProof/>
            <w:webHidden/>
            <w:szCs w:val="20"/>
          </w:rPr>
          <w:fldChar w:fldCharType="begin"/>
        </w:r>
        <w:r w:rsidR="009D0DB5" w:rsidRPr="009D0DB5">
          <w:rPr>
            <w:noProof/>
            <w:webHidden/>
            <w:szCs w:val="20"/>
          </w:rPr>
          <w:instrText xml:space="preserve"> PAGEREF _Toc489882486 \h </w:instrText>
        </w:r>
        <w:r w:rsidR="009D0DB5" w:rsidRPr="009D0DB5">
          <w:rPr>
            <w:noProof/>
            <w:webHidden/>
            <w:szCs w:val="20"/>
          </w:rPr>
        </w:r>
        <w:r w:rsidR="009D0DB5" w:rsidRPr="009D0DB5">
          <w:rPr>
            <w:noProof/>
            <w:webHidden/>
            <w:szCs w:val="20"/>
          </w:rPr>
          <w:fldChar w:fldCharType="separate"/>
        </w:r>
        <w:r w:rsidR="008E5CEB">
          <w:rPr>
            <w:noProof/>
            <w:webHidden/>
            <w:szCs w:val="20"/>
          </w:rPr>
          <w:t>3</w:t>
        </w:r>
        <w:r w:rsidR="009D0DB5" w:rsidRPr="009D0DB5">
          <w:rPr>
            <w:noProof/>
            <w:webHidden/>
            <w:szCs w:val="20"/>
          </w:rPr>
          <w:fldChar w:fldCharType="end"/>
        </w:r>
      </w:hyperlink>
    </w:p>
    <w:p w14:paraId="40887A70"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487" w:history="1">
        <w:r w:rsidR="009D0DB5" w:rsidRPr="009D0DB5">
          <w:rPr>
            <w:rStyle w:val="Hyperlink"/>
            <w:rFonts w:asciiTheme="majorHAnsi" w:hAnsiTheme="majorHAnsi"/>
            <w:noProof/>
            <w:sz w:val="20"/>
            <w:szCs w:val="20"/>
          </w:rPr>
          <w:t>A.</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Processing of the case</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_Toc489882487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3</w:t>
        </w:r>
        <w:r w:rsidR="009D0DB5" w:rsidRPr="009D0DB5">
          <w:rPr>
            <w:rFonts w:asciiTheme="majorHAnsi" w:hAnsiTheme="majorHAnsi"/>
            <w:noProof/>
            <w:webHidden/>
            <w:sz w:val="20"/>
            <w:szCs w:val="20"/>
          </w:rPr>
          <w:fldChar w:fldCharType="end"/>
        </w:r>
      </w:hyperlink>
    </w:p>
    <w:p w14:paraId="4ECDDE92"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488" w:history="1">
        <w:r w:rsidR="009D0DB5" w:rsidRPr="009D0DB5">
          <w:rPr>
            <w:rStyle w:val="Hyperlink"/>
            <w:rFonts w:asciiTheme="majorHAnsi" w:hAnsiTheme="majorHAnsi" w:cs="Cambria"/>
            <w:noProof/>
            <w:sz w:val="20"/>
            <w:szCs w:val="20"/>
            <w:u w:color="000000"/>
            <w:lang w:eastAsia="es-ES"/>
          </w:rPr>
          <w:t xml:space="preserve">B. </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Processing of precautionary measures</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_Toc489882488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4</w:t>
        </w:r>
        <w:r w:rsidR="009D0DB5" w:rsidRPr="009D0DB5">
          <w:rPr>
            <w:rFonts w:asciiTheme="majorHAnsi" w:hAnsiTheme="majorHAnsi"/>
            <w:noProof/>
            <w:webHidden/>
            <w:sz w:val="20"/>
            <w:szCs w:val="20"/>
          </w:rPr>
          <w:fldChar w:fldCharType="end"/>
        </w:r>
      </w:hyperlink>
    </w:p>
    <w:p w14:paraId="7A292CAA" w14:textId="77777777" w:rsidR="009D0DB5" w:rsidRDefault="009D0DB5" w:rsidP="00795A52">
      <w:pPr>
        <w:pStyle w:val="TOC1"/>
        <w:tabs>
          <w:tab w:val="left" w:pos="720"/>
          <w:tab w:val="left" w:pos="1440"/>
          <w:tab w:val="right" w:leader="dot" w:pos="9350"/>
        </w:tabs>
        <w:spacing w:after="0"/>
        <w:rPr>
          <w:rStyle w:val="Hyperlink"/>
          <w:noProof/>
          <w:szCs w:val="20"/>
        </w:rPr>
      </w:pPr>
    </w:p>
    <w:p w14:paraId="4AE0769B" w14:textId="77777777" w:rsidR="009D0DB5" w:rsidRPr="009D0DB5" w:rsidRDefault="00795A52" w:rsidP="00795A52">
      <w:pPr>
        <w:pStyle w:val="TOC1"/>
        <w:tabs>
          <w:tab w:val="left" w:pos="720"/>
          <w:tab w:val="left" w:pos="1440"/>
          <w:tab w:val="right" w:leader="dot" w:pos="9350"/>
        </w:tabs>
        <w:spacing w:after="0"/>
        <w:rPr>
          <w:rFonts w:eastAsiaTheme="minorEastAsia" w:cstheme="minorBidi"/>
          <w:noProof/>
          <w:szCs w:val="20"/>
          <w:bdr w:val="none" w:sz="0" w:space="0" w:color="auto"/>
          <w:lang w:val="es-ES" w:eastAsia="es-ES"/>
        </w:rPr>
      </w:pPr>
      <w:hyperlink w:anchor="_Toc489882489" w:history="1">
        <w:r w:rsidR="009D0DB5" w:rsidRPr="009D0DB5">
          <w:rPr>
            <w:rStyle w:val="Hyperlink"/>
            <w:noProof/>
            <w:szCs w:val="20"/>
          </w:rPr>
          <w:t>III.</w:t>
        </w:r>
        <w:r w:rsidR="009D0DB5" w:rsidRPr="009D0DB5">
          <w:rPr>
            <w:rFonts w:eastAsiaTheme="minorEastAsia" w:cstheme="minorBidi"/>
            <w:noProof/>
            <w:szCs w:val="20"/>
            <w:bdr w:val="none" w:sz="0" w:space="0" w:color="auto"/>
            <w:lang w:val="es-ES" w:eastAsia="es-ES"/>
          </w:rPr>
          <w:tab/>
        </w:r>
        <w:r w:rsidR="009D0DB5" w:rsidRPr="009D0DB5">
          <w:rPr>
            <w:rStyle w:val="Hyperlink"/>
            <w:noProof/>
            <w:szCs w:val="20"/>
          </w:rPr>
          <w:t>POSITIONS OF THE PARTIES</w:t>
        </w:r>
        <w:r w:rsidR="009D0DB5" w:rsidRPr="009D0DB5">
          <w:rPr>
            <w:noProof/>
            <w:webHidden/>
            <w:szCs w:val="20"/>
          </w:rPr>
          <w:tab/>
        </w:r>
        <w:r w:rsidR="009D0DB5" w:rsidRPr="009D0DB5">
          <w:rPr>
            <w:noProof/>
            <w:webHidden/>
            <w:szCs w:val="20"/>
          </w:rPr>
          <w:fldChar w:fldCharType="begin"/>
        </w:r>
        <w:r w:rsidR="009D0DB5" w:rsidRPr="009D0DB5">
          <w:rPr>
            <w:noProof/>
            <w:webHidden/>
            <w:szCs w:val="20"/>
          </w:rPr>
          <w:instrText xml:space="preserve"> PAGEREF _Toc489882489 \h </w:instrText>
        </w:r>
        <w:r w:rsidR="009D0DB5" w:rsidRPr="009D0DB5">
          <w:rPr>
            <w:noProof/>
            <w:webHidden/>
            <w:szCs w:val="20"/>
          </w:rPr>
        </w:r>
        <w:r w:rsidR="009D0DB5" w:rsidRPr="009D0DB5">
          <w:rPr>
            <w:noProof/>
            <w:webHidden/>
            <w:szCs w:val="20"/>
          </w:rPr>
          <w:fldChar w:fldCharType="separate"/>
        </w:r>
        <w:r w:rsidR="008E5CEB">
          <w:rPr>
            <w:noProof/>
            <w:webHidden/>
            <w:szCs w:val="20"/>
          </w:rPr>
          <w:t>5</w:t>
        </w:r>
        <w:r w:rsidR="009D0DB5" w:rsidRPr="009D0DB5">
          <w:rPr>
            <w:noProof/>
            <w:webHidden/>
            <w:szCs w:val="20"/>
          </w:rPr>
          <w:fldChar w:fldCharType="end"/>
        </w:r>
      </w:hyperlink>
    </w:p>
    <w:p w14:paraId="203303E8"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490" w:history="1">
        <w:r w:rsidR="009D0DB5" w:rsidRPr="009D0DB5">
          <w:rPr>
            <w:rStyle w:val="Hyperlink"/>
            <w:rFonts w:asciiTheme="majorHAnsi" w:hAnsiTheme="majorHAnsi"/>
            <w:noProof/>
            <w:sz w:val="20"/>
            <w:szCs w:val="20"/>
          </w:rPr>
          <w:t>A.</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The petitioners</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_Toc489882490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5</w:t>
        </w:r>
        <w:r w:rsidR="009D0DB5" w:rsidRPr="009D0DB5">
          <w:rPr>
            <w:rFonts w:asciiTheme="majorHAnsi" w:hAnsiTheme="majorHAnsi"/>
            <w:noProof/>
            <w:webHidden/>
            <w:sz w:val="20"/>
            <w:szCs w:val="20"/>
          </w:rPr>
          <w:fldChar w:fldCharType="end"/>
        </w:r>
      </w:hyperlink>
    </w:p>
    <w:p w14:paraId="6029AED3"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491" w:history="1">
        <w:r w:rsidR="009D0DB5" w:rsidRPr="009D0DB5">
          <w:rPr>
            <w:rStyle w:val="Hyperlink"/>
            <w:rFonts w:asciiTheme="majorHAnsi" w:hAnsiTheme="majorHAnsi"/>
            <w:noProof/>
            <w:sz w:val="20"/>
            <w:szCs w:val="20"/>
          </w:rPr>
          <w:t xml:space="preserve">B.  </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The State</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_Toc489882491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8</w:t>
        </w:r>
        <w:r w:rsidR="009D0DB5" w:rsidRPr="009D0DB5">
          <w:rPr>
            <w:rFonts w:asciiTheme="majorHAnsi" w:hAnsiTheme="majorHAnsi"/>
            <w:noProof/>
            <w:webHidden/>
            <w:sz w:val="20"/>
            <w:szCs w:val="20"/>
          </w:rPr>
          <w:fldChar w:fldCharType="end"/>
        </w:r>
      </w:hyperlink>
    </w:p>
    <w:p w14:paraId="032B5C0F" w14:textId="77777777" w:rsidR="009D0DB5" w:rsidRDefault="009D0DB5" w:rsidP="00795A52">
      <w:pPr>
        <w:pStyle w:val="TOC1"/>
        <w:tabs>
          <w:tab w:val="left" w:pos="720"/>
          <w:tab w:val="left" w:pos="1440"/>
          <w:tab w:val="right" w:leader="dot" w:pos="9350"/>
        </w:tabs>
        <w:spacing w:after="0"/>
        <w:rPr>
          <w:rStyle w:val="Hyperlink"/>
          <w:noProof/>
          <w:szCs w:val="20"/>
        </w:rPr>
      </w:pPr>
    </w:p>
    <w:p w14:paraId="3A24C2CC" w14:textId="77777777" w:rsidR="009D0DB5" w:rsidRPr="009D0DB5" w:rsidRDefault="00795A52" w:rsidP="00795A52">
      <w:pPr>
        <w:pStyle w:val="TOC1"/>
        <w:tabs>
          <w:tab w:val="left" w:pos="720"/>
          <w:tab w:val="left" w:pos="1440"/>
          <w:tab w:val="right" w:leader="dot" w:pos="9350"/>
        </w:tabs>
        <w:spacing w:after="0"/>
        <w:rPr>
          <w:rFonts w:eastAsiaTheme="minorEastAsia" w:cstheme="minorBidi"/>
          <w:noProof/>
          <w:szCs w:val="20"/>
          <w:bdr w:val="none" w:sz="0" w:space="0" w:color="auto"/>
          <w:lang w:val="es-ES" w:eastAsia="es-ES"/>
        </w:rPr>
      </w:pPr>
      <w:hyperlink w:anchor="_Toc489882492" w:history="1">
        <w:r w:rsidR="009D0DB5" w:rsidRPr="009D0DB5">
          <w:rPr>
            <w:rStyle w:val="Hyperlink"/>
            <w:noProof/>
            <w:szCs w:val="20"/>
          </w:rPr>
          <w:t>IV.</w:t>
        </w:r>
        <w:r w:rsidR="009D0DB5" w:rsidRPr="009D0DB5">
          <w:rPr>
            <w:rFonts w:eastAsiaTheme="minorEastAsia" w:cstheme="minorBidi"/>
            <w:noProof/>
            <w:szCs w:val="20"/>
            <w:bdr w:val="none" w:sz="0" w:space="0" w:color="auto"/>
            <w:lang w:val="es-ES" w:eastAsia="es-ES"/>
          </w:rPr>
          <w:tab/>
        </w:r>
        <w:r w:rsidR="009D0DB5" w:rsidRPr="009D0DB5">
          <w:rPr>
            <w:rStyle w:val="Hyperlink"/>
            <w:noProof/>
            <w:szCs w:val="20"/>
          </w:rPr>
          <w:t>PROVEN FACTS</w:t>
        </w:r>
        <w:r w:rsidR="009D0DB5" w:rsidRPr="009D0DB5">
          <w:rPr>
            <w:noProof/>
            <w:webHidden/>
            <w:szCs w:val="20"/>
          </w:rPr>
          <w:tab/>
        </w:r>
        <w:r w:rsidR="009D0DB5" w:rsidRPr="009D0DB5">
          <w:rPr>
            <w:noProof/>
            <w:webHidden/>
            <w:szCs w:val="20"/>
          </w:rPr>
          <w:fldChar w:fldCharType="begin"/>
        </w:r>
        <w:r w:rsidR="009D0DB5" w:rsidRPr="009D0DB5">
          <w:rPr>
            <w:noProof/>
            <w:webHidden/>
            <w:szCs w:val="20"/>
          </w:rPr>
          <w:instrText xml:space="preserve"> PAGEREF _Toc489882492 \h </w:instrText>
        </w:r>
        <w:r w:rsidR="009D0DB5" w:rsidRPr="009D0DB5">
          <w:rPr>
            <w:noProof/>
            <w:webHidden/>
            <w:szCs w:val="20"/>
          </w:rPr>
        </w:r>
        <w:r w:rsidR="009D0DB5" w:rsidRPr="009D0DB5">
          <w:rPr>
            <w:noProof/>
            <w:webHidden/>
            <w:szCs w:val="20"/>
          </w:rPr>
          <w:fldChar w:fldCharType="separate"/>
        </w:r>
        <w:r w:rsidR="008E5CEB">
          <w:rPr>
            <w:noProof/>
            <w:webHidden/>
            <w:szCs w:val="20"/>
          </w:rPr>
          <w:t>11</w:t>
        </w:r>
        <w:r w:rsidR="009D0DB5" w:rsidRPr="009D0DB5">
          <w:rPr>
            <w:noProof/>
            <w:webHidden/>
            <w:szCs w:val="20"/>
          </w:rPr>
          <w:fldChar w:fldCharType="end"/>
        </w:r>
      </w:hyperlink>
    </w:p>
    <w:p w14:paraId="2F51E666"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493" w:history="1">
        <w:r w:rsidR="009D0DB5" w:rsidRPr="009D0DB5">
          <w:rPr>
            <w:rStyle w:val="Hyperlink"/>
            <w:rFonts w:asciiTheme="majorHAnsi" w:hAnsiTheme="majorHAnsi"/>
            <w:noProof/>
            <w:sz w:val="20"/>
            <w:szCs w:val="20"/>
          </w:rPr>
          <w:t>A.</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Context</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_Toc489882493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11</w:t>
        </w:r>
        <w:r w:rsidR="009D0DB5" w:rsidRPr="009D0DB5">
          <w:rPr>
            <w:rFonts w:asciiTheme="majorHAnsi" w:hAnsiTheme="majorHAnsi"/>
            <w:noProof/>
            <w:webHidden/>
            <w:sz w:val="20"/>
            <w:szCs w:val="20"/>
          </w:rPr>
          <w:fldChar w:fldCharType="end"/>
        </w:r>
      </w:hyperlink>
    </w:p>
    <w:p w14:paraId="7400AC2C"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494" w:history="1">
        <w:r w:rsidR="009D0DB5" w:rsidRPr="009D0DB5">
          <w:rPr>
            <w:rStyle w:val="Hyperlink"/>
            <w:rFonts w:asciiTheme="majorHAnsi" w:hAnsiTheme="majorHAnsi"/>
            <w:noProof/>
            <w:sz w:val="20"/>
            <w:szCs w:val="20"/>
            <w:lang w:bidi="en-US"/>
          </w:rPr>
          <w:t>1.</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Regarding the paramilitary phenomenon in Colombia</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_Toc489882494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11</w:t>
        </w:r>
        <w:r w:rsidR="009D0DB5" w:rsidRPr="009D0DB5">
          <w:rPr>
            <w:rFonts w:asciiTheme="majorHAnsi" w:hAnsiTheme="majorHAnsi"/>
            <w:noProof/>
            <w:webHidden/>
            <w:sz w:val="20"/>
            <w:szCs w:val="20"/>
          </w:rPr>
          <w:fldChar w:fldCharType="end"/>
        </w:r>
      </w:hyperlink>
    </w:p>
    <w:p w14:paraId="58D9FB02"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495" w:history="1">
        <w:r w:rsidR="009D0DB5" w:rsidRPr="009D0DB5">
          <w:rPr>
            <w:rStyle w:val="Hyperlink"/>
            <w:rFonts w:asciiTheme="majorHAnsi" w:hAnsiTheme="majorHAnsi"/>
            <w:noProof/>
            <w:sz w:val="20"/>
            <w:szCs w:val="20"/>
            <w:lang w:bidi="en-US"/>
          </w:rPr>
          <w:t>2.</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The context of paramilitary activities in the area of Urabá</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_Toc489882495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15</w:t>
        </w:r>
        <w:r w:rsidR="009D0DB5" w:rsidRPr="009D0DB5">
          <w:rPr>
            <w:rFonts w:asciiTheme="majorHAnsi" w:hAnsiTheme="majorHAnsi"/>
            <w:noProof/>
            <w:webHidden/>
            <w:sz w:val="20"/>
            <w:szCs w:val="20"/>
          </w:rPr>
          <w:fldChar w:fldCharType="end"/>
        </w:r>
      </w:hyperlink>
    </w:p>
    <w:p w14:paraId="3D7F72A3"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496" w:history="1">
        <w:r w:rsidR="009D0DB5" w:rsidRPr="009D0DB5">
          <w:rPr>
            <w:rStyle w:val="Hyperlink"/>
            <w:rFonts w:asciiTheme="majorHAnsi" w:hAnsiTheme="majorHAnsi"/>
            <w:noProof/>
            <w:sz w:val="20"/>
            <w:szCs w:val="20"/>
          </w:rPr>
          <w:t>B.</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Detention and disappearance of Alcides Torres Arias and Angel David Quintero</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_Toc489882496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16</w:t>
        </w:r>
        <w:r w:rsidR="009D0DB5" w:rsidRPr="009D0DB5">
          <w:rPr>
            <w:rFonts w:asciiTheme="majorHAnsi" w:hAnsiTheme="majorHAnsi"/>
            <w:noProof/>
            <w:webHidden/>
            <w:sz w:val="20"/>
            <w:szCs w:val="20"/>
          </w:rPr>
          <w:fldChar w:fldCharType="end"/>
        </w:r>
      </w:hyperlink>
    </w:p>
    <w:p w14:paraId="5D5DBB2B"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497" w:history="1">
        <w:r w:rsidR="009D0DB5" w:rsidRPr="009D0DB5">
          <w:rPr>
            <w:rStyle w:val="Hyperlink"/>
            <w:rFonts w:asciiTheme="majorHAnsi" w:hAnsiTheme="majorHAnsi"/>
            <w:noProof/>
            <w:sz w:val="20"/>
            <w:szCs w:val="20"/>
          </w:rPr>
          <w:t>C.</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Internal processes related to forced disappearance</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_Toc489882497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24</w:t>
        </w:r>
        <w:r w:rsidR="009D0DB5" w:rsidRPr="009D0DB5">
          <w:rPr>
            <w:rFonts w:asciiTheme="majorHAnsi" w:hAnsiTheme="majorHAnsi"/>
            <w:noProof/>
            <w:webHidden/>
            <w:sz w:val="20"/>
            <w:szCs w:val="20"/>
          </w:rPr>
          <w:fldChar w:fldCharType="end"/>
        </w:r>
      </w:hyperlink>
    </w:p>
    <w:p w14:paraId="6FE2464C"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498" w:history="1">
        <w:r w:rsidR="009D0DB5" w:rsidRPr="009D0DB5">
          <w:rPr>
            <w:rStyle w:val="Hyperlink"/>
            <w:rFonts w:asciiTheme="majorHAnsi" w:hAnsiTheme="majorHAnsi"/>
            <w:noProof/>
            <w:sz w:val="20"/>
            <w:szCs w:val="20"/>
            <w:lang w:bidi="en-US"/>
          </w:rPr>
          <w:t>1.</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Habeas corpus appeal filed by the next of kin of Alcides Torres Arias</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_Toc489882498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25</w:t>
        </w:r>
        <w:r w:rsidR="009D0DB5" w:rsidRPr="009D0DB5">
          <w:rPr>
            <w:rFonts w:asciiTheme="majorHAnsi" w:hAnsiTheme="majorHAnsi"/>
            <w:noProof/>
            <w:webHidden/>
            <w:sz w:val="20"/>
            <w:szCs w:val="20"/>
          </w:rPr>
          <w:fldChar w:fldCharType="end"/>
        </w:r>
      </w:hyperlink>
    </w:p>
    <w:p w14:paraId="56AFBE1B"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499" w:history="1">
        <w:r w:rsidR="009D0DB5" w:rsidRPr="009D0DB5">
          <w:rPr>
            <w:rStyle w:val="Hyperlink"/>
            <w:rFonts w:asciiTheme="majorHAnsi" w:hAnsiTheme="majorHAnsi"/>
            <w:noProof/>
            <w:sz w:val="20"/>
            <w:szCs w:val="20"/>
            <w:lang w:bidi="en-US"/>
          </w:rPr>
          <w:t>2.</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Criminal proceedings</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_Toc489882499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27</w:t>
        </w:r>
        <w:r w:rsidR="009D0DB5" w:rsidRPr="009D0DB5">
          <w:rPr>
            <w:rFonts w:asciiTheme="majorHAnsi" w:hAnsiTheme="majorHAnsi"/>
            <w:noProof/>
            <w:webHidden/>
            <w:sz w:val="20"/>
            <w:szCs w:val="20"/>
          </w:rPr>
          <w:fldChar w:fldCharType="end"/>
        </w:r>
      </w:hyperlink>
    </w:p>
    <w:p w14:paraId="2F1CEC40"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500" w:history="1">
        <w:r w:rsidR="009D0DB5" w:rsidRPr="009D0DB5">
          <w:rPr>
            <w:rStyle w:val="Hyperlink"/>
            <w:rFonts w:asciiTheme="majorHAnsi" w:hAnsiTheme="majorHAnsi"/>
            <w:noProof/>
            <w:sz w:val="20"/>
            <w:szCs w:val="20"/>
            <w:lang w:bidi="en-US"/>
          </w:rPr>
          <w:t>3.</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Disciplinary proceedings</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_Toc489882500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29</w:t>
        </w:r>
        <w:r w:rsidR="009D0DB5" w:rsidRPr="009D0DB5">
          <w:rPr>
            <w:rFonts w:asciiTheme="majorHAnsi" w:hAnsiTheme="majorHAnsi"/>
            <w:noProof/>
            <w:webHidden/>
            <w:sz w:val="20"/>
            <w:szCs w:val="20"/>
          </w:rPr>
          <w:fldChar w:fldCharType="end"/>
        </w:r>
      </w:hyperlink>
    </w:p>
    <w:p w14:paraId="03A00FF2"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501" w:history="1">
        <w:r w:rsidR="009D0DB5" w:rsidRPr="009D0DB5">
          <w:rPr>
            <w:rStyle w:val="Hyperlink"/>
            <w:rFonts w:asciiTheme="majorHAnsi" w:hAnsiTheme="majorHAnsi"/>
            <w:noProof/>
            <w:sz w:val="20"/>
            <w:szCs w:val="20"/>
            <w:lang w:bidi="en-US"/>
          </w:rPr>
          <w:t>4.</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Justice and Police Act</w:t>
        </w:r>
        <w:bookmarkStart w:id="0" w:name="_GoBack"/>
        <w:bookmarkEnd w:id="0"/>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_Toc489882501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29</w:t>
        </w:r>
        <w:r w:rsidR="009D0DB5" w:rsidRPr="009D0DB5">
          <w:rPr>
            <w:rFonts w:asciiTheme="majorHAnsi" w:hAnsiTheme="majorHAnsi"/>
            <w:noProof/>
            <w:webHidden/>
            <w:sz w:val="20"/>
            <w:szCs w:val="20"/>
          </w:rPr>
          <w:fldChar w:fldCharType="end"/>
        </w:r>
      </w:hyperlink>
    </w:p>
    <w:p w14:paraId="31776286" w14:textId="77777777" w:rsidR="009D0DB5" w:rsidRDefault="009D0DB5" w:rsidP="00795A52">
      <w:pPr>
        <w:pStyle w:val="TOC1"/>
        <w:tabs>
          <w:tab w:val="left" w:pos="720"/>
          <w:tab w:val="left" w:pos="1440"/>
          <w:tab w:val="right" w:leader="dot" w:pos="9350"/>
        </w:tabs>
        <w:spacing w:after="0"/>
        <w:rPr>
          <w:rStyle w:val="Hyperlink"/>
          <w:noProof/>
          <w:szCs w:val="20"/>
        </w:rPr>
      </w:pPr>
    </w:p>
    <w:p w14:paraId="2E906F56" w14:textId="77777777" w:rsidR="009D0DB5" w:rsidRPr="009D0DB5" w:rsidRDefault="00795A52" w:rsidP="00795A52">
      <w:pPr>
        <w:pStyle w:val="TOC1"/>
        <w:tabs>
          <w:tab w:val="left" w:pos="720"/>
          <w:tab w:val="left" w:pos="1440"/>
          <w:tab w:val="right" w:leader="dot" w:pos="9350"/>
        </w:tabs>
        <w:spacing w:after="0"/>
        <w:rPr>
          <w:rFonts w:eastAsiaTheme="minorEastAsia" w:cstheme="minorBidi"/>
          <w:noProof/>
          <w:szCs w:val="20"/>
          <w:bdr w:val="none" w:sz="0" w:space="0" w:color="auto"/>
          <w:lang w:val="es-ES" w:eastAsia="es-ES"/>
        </w:rPr>
      </w:pPr>
      <w:hyperlink w:anchor="_Toc489882502" w:history="1">
        <w:r w:rsidR="009D0DB5" w:rsidRPr="009D0DB5">
          <w:rPr>
            <w:rStyle w:val="Hyperlink"/>
            <w:noProof/>
            <w:szCs w:val="20"/>
          </w:rPr>
          <w:t>V.</w:t>
        </w:r>
        <w:r w:rsidR="009D0DB5" w:rsidRPr="009D0DB5">
          <w:rPr>
            <w:rFonts w:eastAsiaTheme="minorEastAsia" w:cstheme="minorBidi"/>
            <w:noProof/>
            <w:szCs w:val="20"/>
            <w:bdr w:val="none" w:sz="0" w:space="0" w:color="auto"/>
            <w:lang w:val="es-ES" w:eastAsia="es-ES"/>
          </w:rPr>
          <w:tab/>
        </w:r>
        <w:r w:rsidR="009D0DB5" w:rsidRPr="009D0DB5">
          <w:rPr>
            <w:rStyle w:val="Hyperlink"/>
            <w:noProof/>
            <w:szCs w:val="20"/>
          </w:rPr>
          <w:t>LEGAL ANALYSIS</w:t>
        </w:r>
        <w:r w:rsidR="009D0DB5" w:rsidRPr="009D0DB5">
          <w:rPr>
            <w:noProof/>
            <w:webHidden/>
            <w:szCs w:val="20"/>
          </w:rPr>
          <w:tab/>
        </w:r>
        <w:r w:rsidR="009D0DB5" w:rsidRPr="009D0DB5">
          <w:rPr>
            <w:noProof/>
            <w:webHidden/>
            <w:szCs w:val="20"/>
          </w:rPr>
          <w:fldChar w:fldCharType="begin"/>
        </w:r>
        <w:r w:rsidR="009D0DB5" w:rsidRPr="009D0DB5">
          <w:rPr>
            <w:noProof/>
            <w:webHidden/>
            <w:szCs w:val="20"/>
          </w:rPr>
          <w:instrText xml:space="preserve"> PAGEREF _Toc489882502 \h </w:instrText>
        </w:r>
        <w:r w:rsidR="009D0DB5" w:rsidRPr="009D0DB5">
          <w:rPr>
            <w:noProof/>
            <w:webHidden/>
            <w:szCs w:val="20"/>
          </w:rPr>
        </w:r>
        <w:r w:rsidR="009D0DB5" w:rsidRPr="009D0DB5">
          <w:rPr>
            <w:noProof/>
            <w:webHidden/>
            <w:szCs w:val="20"/>
          </w:rPr>
          <w:fldChar w:fldCharType="separate"/>
        </w:r>
        <w:r w:rsidR="008E5CEB">
          <w:rPr>
            <w:noProof/>
            <w:webHidden/>
            <w:szCs w:val="20"/>
          </w:rPr>
          <w:t>30</w:t>
        </w:r>
        <w:r w:rsidR="009D0DB5" w:rsidRPr="009D0DB5">
          <w:rPr>
            <w:noProof/>
            <w:webHidden/>
            <w:szCs w:val="20"/>
          </w:rPr>
          <w:fldChar w:fldCharType="end"/>
        </w:r>
      </w:hyperlink>
    </w:p>
    <w:p w14:paraId="760C0776"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503" w:history="1">
        <w:r w:rsidR="009D0DB5" w:rsidRPr="009D0DB5">
          <w:rPr>
            <w:rStyle w:val="Hyperlink"/>
            <w:rFonts w:asciiTheme="majorHAnsi" w:hAnsiTheme="majorHAnsi"/>
            <w:noProof/>
            <w:sz w:val="20"/>
            <w:szCs w:val="20"/>
          </w:rPr>
          <w:t>A.</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Prior considerations</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_Toc489882503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30</w:t>
        </w:r>
        <w:r w:rsidR="009D0DB5" w:rsidRPr="009D0DB5">
          <w:rPr>
            <w:rFonts w:asciiTheme="majorHAnsi" w:hAnsiTheme="majorHAnsi"/>
            <w:noProof/>
            <w:webHidden/>
            <w:sz w:val="20"/>
            <w:szCs w:val="20"/>
          </w:rPr>
          <w:fldChar w:fldCharType="end"/>
        </w:r>
      </w:hyperlink>
    </w:p>
    <w:p w14:paraId="4687362C"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504" w:history="1">
        <w:r w:rsidR="009D0DB5" w:rsidRPr="009D0DB5">
          <w:rPr>
            <w:rStyle w:val="Hyperlink"/>
            <w:rFonts w:asciiTheme="majorHAnsi" w:hAnsiTheme="majorHAnsi"/>
            <w:noProof/>
            <w:sz w:val="20"/>
            <w:szCs w:val="20"/>
            <w:lang w:bidi="en-US"/>
          </w:rPr>
          <w:t>1.</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Determination of the alleged victims</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_Toc489882504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30</w:t>
        </w:r>
        <w:r w:rsidR="009D0DB5" w:rsidRPr="009D0DB5">
          <w:rPr>
            <w:rFonts w:asciiTheme="majorHAnsi" w:hAnsiTheme="majorHAnsi"/>
            <w:noProof/>
            <w:webHidden/>
            <w:sz w:val="20"/>
            <w:szCs w:val="20"/>
          </w:rPr>
          <w:fldChar w:fldCharType="end"/>
        </w:r>
      </w:hyperlink>
    </w:p>
    <w:p w14:paraId="4C361D03"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505" w:history="1">
        <w:r w:rsidR="009D0DB5" w:rsidRPr="009D0DB5">
          <w:rPr>
            <w:rStyle w:val="Hyperlink"/>
            <w:rFonts w:asciiTheme="majorHAnsi" w:hAnsiTheme="majorHAnsi"/>
            <w:noProof/>
            <w:sz w:val="20"/>
            <w:szCs w:val="20"/>
            <w:lang w:bidi="en-US"/>
          </w:rPr>
          <w:t>2.</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Regarding the procedural consequences of failing to meet the deadlines for presenting observations on the merits</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_Toc489882505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31</w:t>
        </w:r>
        <w:r w:rsidR="009D0DB5" w:rsidRPr="009D0DB5">
          <w:rPr>
            <w:rFonts w:asciiTheme="majorHAnsi" w:hAnsiTheme="majorHAnsi"/>
            <w:noProof/>
            <w:webHidden/>
            <w:sz w:val="20"/>
            <w:szCs w:val="20"/>
          </w:rPr>
          <w:fldChar w:fldCharType="end"/>
        </w:r>
      </w:hyperlink>
    </w:p>
    <w:p w14:paraId="5303CC90"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506" w:history="1">
        <w:r w:rsidR="009D0DB5" w:rsidRPr="009D0DB5">
          <w:rPr>
            <w:rStyle w:val="Hyperlink"/>
            <w:rFonts w:asciiTheme="majorHAnsi" w:hAnsiTheme="majorHAnsi"/>
            <w:noProof/>
            <w:sz w:val="20"/>
            <w:szCs w:val="20"/>
          </w:rPr>
          <w:t xml:space="preserve">B. </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Rights to recognition of juridical personality, to personal liberty, to personal integrity, and to life (Articles 3, 7, 5, and 4 of the American Convention; and the Inter-American Convention on Forced Disappearance of Persons (Article I.a)</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_Toc489882506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31</w:t>
        </w:r>
        <w:r w:rsidR="009D0DB5" w:rsidRPr="009D0DB5">
          <w:rPr>
            <w:rFonts w:asciiTheme="majorHAnsi" w:hAnsiTheme="majorHAnsi"/>
            <w:noProof/>
            <w:webHidden/>
            <w:sz w:val="20"/>
            <w:szCs w:val="20"/>
          </w:rPr>
          <w:fldChar w:fldCharType="end"/>
        </w:r>
      </w:hyperlink>
    </w:p>
    <w:p w14:paraId="53CB8D4C"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507" w:history="1">
        <w:r w:rsidR="009D0DB5" w:rsidRPr="009D0DB5">
          <w:rPr>
            <w:rStyle w:val="Hyperlink"/>
            <w:rFonts w:asciiTheme="majorHAnsi" w:hAnsiTheme="majorHAnsi"/>
            <w:noProof/>
            <w:sz w:val="20"/>
            <w:szCs w:val="20"/>
            <w:lang w:bidi="en-US"/>
          </w:rPr>
          <w:t>1.</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The deprivation of the liberty of Messrs. Alcides Torres Arias y Angel David Quintero</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_Toc489882507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34</w:t>
        </w:r>
        <w:r w:rsidR="009D0DB5" w:rsidRPr="009D0DB5">
          <w:rPr>
            <w:rFonts w:asciiTheme="majorHAnsi" w:hAnsiTheme="majorHAnsi"/>
            <w:noProof/>
            <w:webHidden/>
            <w:sz w:val="20"/>
            <w:szCs w:val="20"/>
          </w:rPr>
          <w:fldChar w:fldCharType="end"/>
        </w:r>
      </w:hyperlink>
    </w:p>
    <w:p w14:paraId="42F88669"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508" w:history="1">
        <w:r w:rsidR="009D0DB5" w:rsidRPr="009D0DB5">
          <w:rPr>
            <w:rStyle w:val="Hyperlink"/>
            <w:rFonts w:asciiTheme="majorHAnsi" w:hAnsiTheme="majorHAnsi"/>
            <w:noProof/>
            <w:sz w:val="20"/>
            <w:szCs w:val="20"/>
            <w:lang w:bidi="en-US"/>
          </w:rPr>
          <w:t>2.</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The alleged acquiescence and collaboration between paramilitary groups and the security forces</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_Toc489882508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35</w:t>
        </w:r>
        <w:r w:rsidR="009D0DB5" w:rsidRPr="009D0DB5">
          <w:rPr>
            <w:rFonts w:asciiTheme="majorHAnsi" w:hAnsiTheme="majorHAnsi"/>
            <w:noProof/>
            <w:webHidden/>
            <w:sz w:val="20"/>
            <w:szCs w:val="20"/>
          </w:rPr>
          <w:fldChar w:fldCharType="end"/>
        </w:r>
      </w:hyperlink>
    </w:p>
    <w:p w14:paraId="53492FE7"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509" w:history="1">
        <w:r w:rsidR="009D0DB5" w:rsidRPr="009D0DB5">
          <w:rPr>
            <w:rStyle w:val="Hyperlink"/>
            <w:rFonts w:asciiTheme="majorHAnsi" w:hAnsiTheme="majorHAnsi"/>
            <w:noProof/>
            <w:sz w:val="20"/>
            <w:szCs w:val="20"/>
            <w:lang w:bidi="en-US"/>
          </w:rPr>
          <w:t>3.</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Concealment</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_Toc489882509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36</w:t>
        </w:r>
        <w:r w:rsidR="009D0DB5" w:rsidRPr="009D0DB5">
          <w:rPr>
            <w:rFonts w:asciiTheme="majorHAnsi" w:hAnsiTheme="majorHAnsi"/>
            <w:noProof/>
            <w:webHidden/>
            <w:sz w:val="20"/>
            <w:szCs w:val="20"/>
          </w:rPr>
          <w:fldChar w:fldCharType="end"/>
        </w:r>
      </w:hyperlink>
    </w:p>
    <w:p w14:paraId="39BF8EE1" w14:textId="77777777" w:rsidR="009D0DB5" w:rsidRPr="009D0DB5" w:rsidRDefault="00795A52" w:rsidP="00795A52">
      <w:pPr>
        <w:pStyle w:val="TOC3"/>
        <w:tabs>
          <w:tab w:val="left" w:pos="720"/>
          <w:tab w:val="left" w:pos="2160"/>
        </w:tabs>
        <w:spacing w:after="0"/>
        <w:rPr>
          <w:rFonts w:asciiTheme="majorHAnsi" w:eastAsiaTheme="minorEastAsia" w:hAnsiTheme="majorHAnsi" w:cstheme="minorBidi"/>
          <w:noProof/>
          <w:sz w:val="20"/>
          <w:szCs w:val="20"/>
          <w:bdr w:val="none" w:sz="0" w:space="0" w:color="auto"/>
          <w:lang w:val="es-ES" w:eastAsia="es-ES"/>
        </w:rPr>
      </w:pPr>
      <w:hyperlink w:anchor="_Toc489882510" w:history="1">
        <w:r w:rsidR="009D0DB5" w:rsidRPr="009D0DB5">
          <w:rPr>
            <w:rStyle w:val="Hyperlink"/>
            <w:rFonts w:asciiTheme="majorHAnsi" w:hAnsiTheme="majorHAnsi"/>
            <w:noProof/>
            <w:sz w:val="20"/>
            <w:szCs w:val="20"/>
            <w:lang w:bidi="en-US"/>
          </w:rPr>
          <w:t>4.</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lang w:bidi="en-US"/>
          </w:rPr>
          <w:t>The corresponding legal characterization</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_Toc489882510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36</w:t>
        </w:r>
        <w:r w:rsidR="009D0DB5" w:rsidRPr="009D0DB5">
          <w:rPr>
            <w:rFonts w:asciiTheme="majorHAnsi" w:hAnsiTheme="majorHAnsi"/>
            <w:noProof/>
            <w:webHidden/>
            <w:sz w:val="20"/>
            <w:szCs w:val="20"/>
          </w:rPr>
          <w:fldChar w:fldCharType="end"/>
        </w:r>
      </w:hyperlink>
    </w:p>
    <w:p w14:paraId="04D91F0A"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511" w:history="1">
        <w:r w:rsidR="009D0DB5" w:rsidRPr="009D0DB5">
          <w:rPr>
            <w:rStyle w:val="Hyperlink"/>
            <w:rFonts w:asciiTheme="majorHAnsi" w:hAnsiTheme="majorHAnsi"/>
            <w:noProof/>
            <w:sz w:val="20"/>
            <w:szCs w:val="20"/>
          </w:rPr>
          <w:t>C.</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Right to judicial guarantees and right to judicial protection (Articles 8.1 and 25 of the American Convention) and the Inter-American Convention on Forced Disappearance of Persons (Article 1 (b))</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_Toc489882511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36</w:t>
        </w:r>
        <w:r w:rsidR="009D0DB5" w:rsidRPr="009D0DB5">
          <w:rPr>
            <w:rFonts w:asciiTheme="majorHAnsi" w:hAnsiTheme="majorHAnsi"/>
            <w:noProof/>
            <w:webHidden/>
            <w:sz w:val="20"/>
            <w:szCs w:val="20"/>
          </w:rPr>
          <w:fldChar w:fldCharType="end"/>
        </w:r>
      </w:hyperlink>
    </w:p>
    <w:p w14:paraId="1888792F" w14:textId="77777777" w:rsidR="009D0DB5" w:rsidRPr="009D0DB5" w:rsidRDefault="00795A52" w:rsidP="00795A52">
      <w:pPr>
        <w:pStyle w:val="TOC2"/>
        <w:tabs>
          <w:tab w:val="left" w:pos="720"/>
        </w:tabs>
        <w:spacing w:after="0"/>
        <w:rPr>
          <w:rFonts w:asciiTheme="majorHAnsi" w:eastAsiaTheme="minorEastAsia" w:hAnsiTheme="majorHAnsi" w:cstheme="minorBidi"/>
          <w:noProof/>
          <w:sz w:val="20"/>
          <w:szCs w:val="20"/>
          <w:bdr w:val="none" w:sz="0" w:space="0" w:color="auto"/>
          <w:lang w:val="es-ES" w:eastAsia="es-ES"/>
        </w:rPr>
      </w:pPr>
      <w:hyperlink w:anchor="_Toc489882512" w:history="1">
        <w:r w:rsidR="009D0DB5" w:rsidRPr="009D0DB5">
          <w:rPr>
            <w:rStyle w:val="Hyperlink"/>
            <w:rFonts w:asciiTheme="majorHAnsi" w:hAnsiTheme="majorHAnsi"/>
            <w:noProof/>
            <w:sz w:val="20"/>
            <w:szCs w:val="20"/>
          </w:rPr>
          <w:t>D.</w:t>
        </w:r>
        <w:r w:rsidR="009D0DB5" w:rsidRPr="009D0DB5">
          <w:rPr>
            <w:rFonts w:asciiTheme="majorHAnsi" w:eastAsiaTheme="minorEastAsia" w:hAnsiTheme="majorHAnsi" w:cstheme="minorBidi"/>
            <w:noProof/>
            <w:sz w:val="20"/>
            <w:szCs w:val="20"/>
            <w:bdr w:val="none" w:sz="0" w:space="0" w:color="auto"/>
            <w:lang w:val="es-ES" w:eastAsia="es-ES"/>
          </w:rPr>
          <w:tab/>
        </w:r>
        <w:r w:rsidR="009D0DB5" w:rsidRPr="009D0DB5">
          <w:rPr>
            <w:rStyle w:val="Hyperlink"/>
            <w:rFonts w:asciiTheme="majorHAnsi" w:hAnsiTheme="majorHAnsi"/>
            <w:noProof/>
            <w:sz w:val="20"/>
            <w:szCs w:val="20"/>
          </w:rPr>
          <w:t>Right to humane treatment of the families of the victims (Article 5(1) of the American Convention)</w:t>
        </w:r>
        <w:r w:rsidR="009D0DB5" w:rsidRPr="009D0DB5">
          <w:rPr>
            <w:rFonts w:asciiTheme="majorHAnsi" w:hAnsiTheme="majorHAnsi"/>
            <w:noProof/>
            <w:webHidden/>
            <w:sz w:val="20"/>
            <w:szCs w:val="20"/>
          </w:rPr>
          <w:tab/>
        </w:r>
        <w:r w:rsidR="009D0DB5" w:rsidRPr="009D0DB5">
          <w:rPr>
            <w:rFonts w:asciiTheme="majorHAnsi" w:hAnsiTheme="majorHAnsi"/>
            <w:noProof/>
            <w:webHidden/>
            <w:sz w:val="20"/>
            <w:szCs w:val="20"/>
          </w:rPr>
          <w:fldChar w:fldCharType="begin"/>
        </w:r>
        <w:r w:rsidR="009D0DB5" w:rsidRPr="009D0DB5">
          <w:rPr>
            <w:rFonts w:asciiTheme="majorHAnsi" w:hAnsiTheme="majorHAnsi"/>
            <w:noProof/>
            <w:webHidden/>
            <w:sz w:val="20"/>
            <w:szCs w:val="20"/>
          </w:rPr>
          <w:instrText xml:space="preserve"> PAGEREF _Toc489882512 \h </w:instrText>
        </w:r>
        <w:r w:rsidR="009D0DB5" w:rsidRPr="009D0DB5">
          <w:rPr>
            <w:rFonts w:asciiTheme="majorHAnsi" w:hAnsiTheme="majorHAnsi"/>
            <w:noProof/>
            <w:webHidden/>
            <w:sz w:val="20"/>
            <w:szCs w:val="20"/>
          </w:rPr>
        </w:r>
        <w:r w:rsidR="009D0DB5" w:rsidRPr="009D0DB5">
          <w:rPr>
            <w:rFonts w:asciiTheme="majorHAnsi" w:hAnsiTheme="majorHAnsi"/>
            <w:noProof/>
            <w:webHidden/>
            <w:sz w:val="20"/>
            <w:szCs w:val="20"/>
          </w:rPr>
          <w:fldChar w:fldCharType="separate"/>
        </w:r>
        <w:r w:rsidR="008E5CEB">
          <w:rPr>
            <w:rFonts w:asciiTheme="majorHAnsi" w:hAnsiTheme="majorHAnsi"/>
            <w:noProof/>
            <w:webHidden/>
            <w:sz w:val="20"/>
            <w:szCs w:val="20"/>
          </w:rPr>
          <w:t>41</w:t>
        </w:r>
        <w:r w:rsidR="009D0DB5" w:rsidRPr="009D0DB5">
          <w:rPr>
            <w:rFonts w:asciiTheme="majorHAnsi" w:hAnsiTheme="majorHAnsi"/>
            <w:noProof/>
            <w:webHidden/>
            <w:sz w:val="20"/>
            <w:szCs w:val="20"/>
          </w:rPr>
          <w:fldChar w:fldCharType="end"/>
        </w:r>
      </w:hyperlink>
    </w:p>
    <w:p w14:paraId="4C0B7590" w14:textId="77777777" w:rsidR="009D0DB5" w:rsidRPr="009D0DB5" w:rsidRDefault="009D0DB5" w:rsidP="00795A52">
      <w:pPr>
        <w:pStyle w:val="TOC1"/>
        <w:tabs>
          <w:tab w:val="left" w:pos="720"/>
          <w:tab w:val="left" w:pos="1440"/>
          <w:tab w:val="right" w:leader="dot" w:pos="9350"/>
        </w:tabs>
        <w:spacing w:after="0"/>
        <w:rPr>
          <w:rStyle w:val="Hyperlink"/>
          <w:noProof/>
          <w:szCs w:val="20"/>
        </w:rPr>
      </w:pPr>
    </w:p>
    <w:p w14:paraId="469DBC8B" w14:textId="77777777" w:rsidR="009D0DB5" w:rsidRPr="009D0DB5" w:rsidRDefault="00795A52" w:rsidP="00795A52">
      <w:pPr>
        <w:pStyle w:val="TOC1"/>
        <w:tabs>
          <w:tab w:val="left" w:pos="720"/>
          <w:tab w:val="left" w:pos="1440"/>
          <w:tab w:val="right" w:leader="dot" w:pos="9350"/>
        </w:tabs>
        <w:spacing w:after="0"/>
        <w:rPr>
          <w:rFonts w:eastAsiaTheme="minorEastAsia" w:cstheme="minorBidi"/>
          <w:noProof/>
          <w:szCs w:val="20"/>
          <w:bdr w:val="none" w:sz="0" w:space="0" w:color="auto"/>
          <w:lang w:val="es-ES" w:eastAsia="es-ES"/>
        </w:rPr>
      </w:pPr>
      <w:hyperlink w:anchor="_Toc489882513" w:history="1">
        <w:r w:rsidR="009D0DB5" w:rsidRPr="009D0DB5">
          <w:rPr>
            <w:rStyle w:val="Hyperlink"/>
            <w:noProof/>
            <w:szCs w:val="20"/>
          </w:rPr>
          <w:t>VI.</w:t>
        </w:r>
        <w:r w:rsidR="009D0DB5" w:rsidRPr="009D0DB5">
          <w:rPr>
            <w:rFonts w:eastAsiaTheme="minorEastAsia" w:cstheme="minorBidi"/>
            <w:noProof/>
            <w:szCs w:val="20"/>
            <w:bdr w:val="none" w:sz="0" w:space="0" w:color="auto"/>
            <w:lang w:val="es-ES" w:eastAsia="es-ES"/>
          </w:rPr>
          <w:tab/>
        </w:r>
        <w:r w:rsidR="009D0DB5" w:rsidRPr="009D0DB5">
          <w:rPr>
            <w:rStyle w:val="Hyperlink"/>
            <w:noProof/>
            <w:szCs w:val="20"/>
            <w:lang w:val="en"/>
          </w:rPr>
          <w:t>PROCEEDINGS THAT FOLLOWED REPORT NO. 89/14</w:t>
        </w:r>
        <w:r w:rsidR="009D0DB5" w:rsidRPr="009D0DB5">
          <w:rPr>
            <w:noProof/>
            <w:webHidden/>
            <w:szCs w:val="20"/>
          </w:rPr>
          <w:tab/>
        </w:r>
        <w:r w:rsidR="009D0DB5" w:rsidRPr="009D0DB5">
          <w:rPr>
            <w:noProof/>
            <w:webHidden/>
            <w:szCs w:val="20"/>
          </w:rPr>
          <w:fldChar w:fldCharType="begin"/>
        </w:r>
        <w:r w:rsidR="009D0DB5" w:rsidRPr="009D0DB5">
          <w:rPr>
            <w:noProof/>
            <w:webHidden/>
            <w:szCs w:val="20"/>
          </w:rPr>
          <w:instrText xml:space="preserve"> PAGEREF _Toc489882513 \h </w:instrText>
        </w:r>
        <w:r w:rsidR="009D0DB5" w:rsidRPr="009D0DB5">
          <w:rPr>
            <w:noProof/>
            <w:webHidden/>
            <w:szCs w:val="20"/>
          </w:rPr>
        </w:r>
        <w:r w:rsidR="009D0DB5" w:rsidRPr="009D0DB5">
          <w:rPr>
            <w:noProof/>
            <w:webHidden/>
            <w:szCs w:val="20"/>
          </w:rPr>
          <w:fldChar w:fldCharType="separate"/>
        </w:r>
        <w:r w:rsidR="008E5CEB">
          <w:rPr>
            <w:noProof/>
            <w:webHidden/>
            <w:szCs w:val="20"/>
          </w:rPr>
          <w:t>42</w:t>
        </w:r>
        <w:r w:rsidR="009D0DB5" w:rsidRPr="009D0DB5">
          <w:rPr>
            <w:noProof/>
            <w:webHidden/>
            <w:szCs w:val="20"/>
          </w:rPr>
          <w:fldChar w:fldCharType="end"/>
        </w:r>
      </w:hyperlink>
    </w:p>
    <w:p w14:paraId="6EA9FFB5" w14:textId="77777777" w:rsidR="009D0DB5" w:rsidRPr="009D0DB5" w:rsidRDefault="009D0DB5" w:rsidP="00795A52">
      <w:pPr>
        <w:pStyle w:val="TOC1"/>
        <w:tabs>
          <w:tab w:val="left" w:pos="720"/>
          <w:tab w:val="left" w:pos="1440"/>
          <w:tab w:val="right" w:leader="dot" w:pos="9350"/>
        </w:tabs>
        <w:spacing w:after="0"/>
        <w:rPr>
          <w:rStyle w:val="Hyperlink"/>
          <w:noProof/>
          <w:szCs w:val="20"/>
        </w:rPr>
      </w:pPr>
    </w:p>
    <w:p w14:paraId="2C56EA60" w14:textId="77777777" w:rsidR="009D0DB5" w:rsidRPr="009D0DB5" w:rsidRDefault="00795A52" w:rsidP="00795A52">
      <w:pPr>
        <w:pStyle w:val="TOC1"/>
        <w:tabs>
          <w:tab w:val="left" w:pos="720"/>
          <w:tab w:val="left" w:pos="1440"/>
          <w:tab w:val="right" w:leader="dot" w:pos="9350"/>
        </w:tabs>
        <w:spacing w:after="0"/>
        <w:rPr>
          <w:rFonts w:eastAsiaTheme="minorEastAsia" w:cstheme="minorBidi"/>
          <w:noProof/>
          <w:szCs w:val="20"/>
          <w:bdr w:val="none" w:sz="0" w:space="0" w:color="auto"/>
          <w:lang w:val="es-ES" w:eastAsia="es-ES"/>
        </w:rPr>
      </w:pPr>
      <w:hyperlink w:anchor="_Toc489882514" w:history="1">
        <w:r w:rsidR="009D0DB5" w:rsidRPr="009D0DB5">
          <w:rPr>
            <w:rStyle w:val="Hyperlink"/>
            <w:noProof/>
            <w:szCs w:val="20"/>
          </w:rPr>
          <w:t>VII.</w:t>
        </w:r>
        <w:r w:rsidR="009D0DB5" w:rsidRPr="009D0DB5">
          <w:rPr>
            <w:rFonts w:eastAsiaTheme="minorEastAsia" w:cstheme="minorBidi"/>
            <w:noProof/>
            <w:szCs w:val="20"/>
            <w:bdr w:val="none" w:sz="0" w:space="0" w:color="auto"/>
            <w:lang w:val="es-ES" w:eastAsia="es-ES"/>
          </w:rPr>
          <w:tab/>
        </w:r>
        <w:r w:rsidR="009D0DB5" w:rsidRPr="009D0DB5">
          <w:rPr>
            <w:rStyle w:val="Hyperlink"/>
            <w:noProof/>
            <w:szCs w:val="20"/>
            <w:lang w:val="en"/>
          </w:rPr>
          <w:t>PROCEEDINGS THAT FOLLOWED REPORT NO. 43/17</w:t>
        </w:r>
        <w:r w:rsidR="009D0DB5" w:rsidRPr="009D0DB5">
          <w:rPr>
            <w:noProof/>
            <w:webHidden/>
            <w:szCs w:val="20"/>
          </w:rPr>
          <w:tab/>
        </w:r>
        <w:r w:rsidR="009D0DB5" w:rsidRPr="009D0DB5">
          <w:rPr>
            <w:noProof/>
            <w:webHidden/>
            <w:szCs w:val="20"/>
          </w:rPr>
          <w:fldChar w:fldCharType="begin"/>
        </w:r>
        <w:r w:rsidR="009D0DB5" w:rsidRPr="009D0DB5">
          <w:rPr>
            <w:noProof/>
            <w:webHidden/>
            <w:szCs w:val="20"/>
          </w:rPr>
          <w:instrText xml:space="preserve"> PAGEREF _Toc489882514 \h </w:instrText>
        </w:r>
        <w:r w:rsidR="009D0DB5" w:rsidRPr="009D0DB5">
          <w:rPr>
            <w:noProof/>
            <w:webHidden/>
            <w:szCs w:val="20"/>
          </w:rPr>
        </w:r>
        <w:r w:rsidR="009D0DB5" w:rsidRPr="009D0DB5">
          <w:rPr>
            <w:noProof/>
            <w:webHidden/>
            <w:szCs w:val="20"/>
          </w:rPr>
          <w:fldChar w:fldCharType="separate"/>
        </w:r>
        <w:r w:rsidR="008E5CEB">
          <w:rPr>
            <w:noProof/>
            <w:webHidden/>
            <w:szCs w:val="20"/>
          </w:rPr>
          <w:t>42</w:t>
        </w:r>
        <w:r w:rsidR="009D0DB5" w:rsidRPr="009D0DB5">
          <w:rPr>
            <w:noProof/>
            <w:webHidden/>
            <w:szCs w:val="20"/>
          </w:rPr>
          <w:fldChar w:fldCharType="end"/>
        </w:r>
      </w:hyperlink>
    </w:p>
    <w:p w14:paraId="0AC3C043" w14:textId="77777777" w:rsidR="009D0DB5" w:rsidRPr="009D0DB5" w:rsidRDefault="009D0DB5" w:rsidP="00795A52">
      <w:pPr>
        <w:pStyle w:val="TOC1"/>
        <w:tabs>
          <w:tab w:val="left" w:pos="720"/>
          <w:tab w:val="left" w:pos="1440"/>
          <w:tab w:val="right" w:leader="dot" w:pos="9350"/>
        </w:tabs>
        <w:spacing w:after="0"/>
        <w:rPr>
          <w:rStyle w:val="Hyperlink"/>
          <w:noProof/>
          <w:szCs w:val="20"/>
        </w:rPr>
      </w:pPr>
    </w:p>
    <w:p w14:paraId="1D6A4276" w14:textId="77777777" w:rsidR="009D0DB5" w:rsidRPr="009D0DB5" w:rsidRDefault="00795A52" w:rsidP="00795A52">
      <w:pPr>
        <w:pStyle w:val="TOC1"/>
        <w:tabs>
          <w:tab w:val="left" w:pos="720"/>
          <w:tab w:val="left" w:pos="1440"/>
          <w:tab w:val="right" w:leader="dot" w:pos="9350"/>
        </w:tabs>
        <w:spacing w:after="0"/>
        <w:rPr>
          <w:rFonts w:eastAsiaTheme="minorEastAsia" w:cstheme="minorBidi"/>
          <w:noProof/>
          <w:szCs w:val="20"/>
          <w:bdr w:val="none" w:sz="0" w:space="0" w:color="auto"/>
          <w:lang w:val="es-ES" w:eastAsia="es-ES"/>
        </w:rPr>
      </w:pPr>
      <w:hyperlink w:anchor="_Toc489882515" w:history="1">
        <w:r w:rsidR="009D0DB5" w:rsidRPr="009D0DB5">
          <w:rPr>
            <w:rStyle w:val="Hyperlink"/>
            <w:noProof/>
            <w:szCs w:val="20"/>
          </w:rPr>
          <w:t>VIII.</w:t>
        </w:r>
        <w:r w:rsidR="009D0DB5" w:rsidRPr="009D0DB5">
          <w:rPr>
            <w:rFonts w:eastAsiaTheme="minorEastAsia" w:cstheme="minorBidi"/>
            <w:noProof/>
            <w:szCs w:val="20"/>
            <w:bdr w:val="none" w:sz="0" w:space="0" w:color="auto"/>
            <w:lang w:val="es-ES" w:eastAsia="es-ES"/>
          </w:rPr>
          <w:tab/>
        </w:r>
        <w:r w:rsidR="009D0DB5" w:rsidRPr="009D0DB5">
          <w:rPr>
            <w:rStyle w:val="Hyperlink"/>
            <w:noProof/>
            <w:szCs w:val="20"/>
            <w:lang w:val="en"/>
          </w:rPr>
          <w:t>ANALYSIS OF COMPLIANCE WITH RECOMMENDATIONS</w:t>
        </w:r>
        <w:r w:rsidR="009D0DB5" w:rsidRPr="009D0DB5">
          <w:rPr>
            <w:noProof/>
            <w:webHidden/>
            <w:szCs w:val="20"/>
          </w:rPr>
          <w:tab/>
        </w:r>
        <w:r w:rsidR="009D0DB5" w:rsidRPr="009D0DB5">
          <w:rPr>
            <w:noProof/>
            <w:webHidden/>
            <w:szCs w:val="20"/>
          </w:rPr>
          <w:fldChar w:fldCharType="begin"/>
        </w:r>
        <w:r w:rsidR="009D0DB5" w:rsidRPr="009D0DB5">
          <w:rPr>
            <w:noProof/>
            <w:webHidden/>
            <w:szCs w:val="20"/>
          </w:rPr>
          <w:instrText xml:space="preserve"> PAGEREF _Toc489882515 \h </w:instrText>
        </w:r>
        <w:r w:rsidR="009D0DB5" w:rsidRPr="009D0DB5">
          <w:rPr>
            <w:noProof/>
            <w:webHidden/>
            <w:szCs w:val="20"/>
          </w:rPr>
        </w:r>
        <w:r w:rsidR="009D0DB5" w:rsidRPr="009D0DB5">
          <w:rPr>
            <w:noProof/>
            <w:webHidden/>
            <w:szCs w:val="20"/>
          </w:rPr>
          <w:fldChar w:fldCharType="separate"/>
        </w:r>
        <w:r w:rsidR="008E5CEB">
          <w:rPr>
            <w:noProof/>
            <w:webHidden/>
            <w:szCs w:val="20"/>
          </w:rPr>
          <w:t>43</w:t>
        </w:r>
        <w:r w:rsidR="009D0DB5" w:rsidRPr="009D0DB5">
          <w:rPr>
            <w:noProof/>
            <w:webHidden/>
            <w:szCs w:val="20"/>
          </w:rPr>
          <w:fldChar w:fldCharType="end"/>
        </w:r>
      </w:hyperlink>
    </w:p>
    <w:p w14:paraId="12B38769" w14:textId="77777777" w:rsidR="009D0DB5" w:rsidRPr="009D0DB5" w:rsidRDefault="009D0DB5" w:rsidP="00795A52">
      <w:pPr>
        <w:pStyle w:val="TOC1"/>
        <w:tabs>
          <w:tab w:val="left" w:pos="720"/>
          <w:tab w:val="left" w:pos="1440"/>
          <w:tab w:val="right" w:leader="dot" w:pos="9350"/>
        </w:tabs>
        <w:spacing w:after="0"/>
        <w:rPr>
          <w:rStyle w:val="Hyperlink"/>
          <w:noProof/>
          <w:szCs w:val="20"/>
        </w:rPr>
      </w:pPr>
    </w:p>
    <w:p w14:paraId="10847DB0" w14:textId="77777777" w:rsidR="009D0DB5" w:rsidRPr="009D0DB5" w:rsidRDefault="00795A52" w:rsidP="00795A52">
      <w:pPr>
        <w:pStyle w:val="TOC1"/>
        <w:tabs>
          <w:tab w:val="left" w:pos="720"/>
          <w:tab w:val="left" w:pos="1440"/>
          <w:tab w:val="right" w:leader="dot" w:pos="9350"/>
        </w:tabs>
        <w:spacing w:after="0"/>
        <w:rPr>
          <w:rFonts w:eastAsiaTheme="minorEastAsia" w:cstheme="minorBidi"/>
          <w:noProof/>
          <w:szCs w:val="20"/>
          <w:bdr w:val="none" w:sz="0" w:space="0" w:color="auto"/>
          <w:lang w:val="es-ES" w:eastAsia="es-ES"/>
        </w:rPr>
      </w:pPr>
      <w:hyperlink w:anchor="_Toc489882516" w:history="1">
        <w:r w:rsidR="009D0DB5" w:rsidRPr="009D0DB5">
          <w:rPr>
            <w:rStyle w:val="Hyperlink"/>
            <w:noProof/>
            <w:szCs w:val="20"/>
          </w:rPr>
          <w:t>IX.</w:t>
        </w:r>
        <w:r w:rsidR="009D0DB5" w:rsidRPr="009D0DB5">
          <w:rPr>
            <w:rFonts w:eastAsiaTheme="minorEastAsia" w:cstheme="minorBidi"/>
            <w:noProof/>
            <w:szCs w:val="20"/>
            <w:bdr w:val="none" w:sz="0" w:space="0" w:color="auto"/>
            <w:lang w:val="es-ES" w:eastAsia="es-ES"/>
          </w:rPr>
          <w:tab/>
        </w:r>
        <w:r w:rsidR="009D0DB5" w:rsidRPr="009D0DB5">
          <w:rPr>
            <w:rStyle w:val="Hyperlink"/>
            <w:noProof/>
            <w:szCs w:val="20"/>
            <w:lang w:val="en"/>
          </w:rPr>
          <w:t>CONCLUSIONS AND RECOMMENDATIONS</w:t>
        </w:r>
        <w:r w:rsidR="009D0DB5" w:rsidRPr="009D0DB5">
          <w:rPr>
            <w:noProof/>
            <w:webHidden/>
            <w:szCs w:val="20"/>
          </w:rPr>
          <w:tab/>
        </w:r>
        <w:r w:rsidR="009D0DB5" w:rsidRPr="009D0DB5">
          <w:rPr>
            <w:noProof/>
            <w:webHidden/>
            <w:szCs w:val="20"/>
          </w:rPr>
          <w:fldChar w:fldCharType="begin"/>
        </w:r>
        <w:r w:rsidR="009D0DB5" w:rsidRPr="009D0DB5">
          <w:rPr>
            <w:noProof/>
            <w:webHidden/>
            <w:szCs w:val="20"/>
          </w:rPr>
          <w:instrText xml:space="preserve"> PAGEREF _Toc489882516 \h </w:instrText>
        </w:r>
        <w:r w:rsidR="009D0DB5" w:rsidRPr="009D0DB5">
          <w:rPr>
            <w:noProof/>
            <w:webHidden/>
            <w:szCs w:val="20"/>
          </w:rPr>
        </w:r>
        <w:r w:rsidR="009D0DB5" w:rsidRPr="009D0DB5">
          <w:rPr>
            <w:noProof/>
            <w:webHidden/>
            <w:szCs w:val="20"/>
          </w:rPr>
          <w:fldChar w:fldCharType="separate"/>
        </w:r>
        <w:r w:rsidR="008E5CEB">
          <w:rPr>
            <w:noProof/>
            <w:webHidden/>
            <w:szCs w:val="20"/>
          </w:rPr>
          <w:t>44</w:t>
        </w:r>
        <w:r w:rsidR="009D0DB5" w:rsidRPr="009D0DB5">
          <w:rPr>
            <w:noProof/>
            <w:webHidden/>
            <w:szCs w:val="20"/>
          </w:rPr>
          <w:fldChar w:fldCharType="end"/>
        </w:r>
      </w:hyperlink>
    </w:p>
    <w:p w14:paraId="0C5E7C0C" w14:textId="77777777" w:rsidR="009D0DB5" w:rsidRPr="009D0DB5" w:rsidRDefault="009D0DB5" w:rsidP="00795A52">
      <w:pPr>
        <w:pStyle w:val="TOC1"/>
        <w:tabs>
          <w:tab w:val="left" w:pos="720"/>
          <w:tab w:val="left" w:pos="1440"/>
          <w:tab w:val="right" w:leader="dot" w:pos="9350"/>
        </w:tabs>
        <w:spacing w:after="0"/>
        <w:rPr>
          <w:rStyle w:val="Hyperlink"/>
          <w:noProof/>
          <w:szCs w:val="20"/>
        </w:rPr>
      </w:pPr>
    </w:p>
    <w:p w14:paraId="45D69417" w14:textId="77777777" w:rsidR="009D0DB5" w:rsidRPr="009D0DB5" w:rsidRDefault="00795A52" w:rsidP="00795A52">
      <w:pPr>
        <w:pStyle w:val="TOC1"/>
        <w:tabs>
          <w:tab w:val="left" w:pos="720"/>
          <w:tab w:val="left" w:pos="1440"/>
          <w:tab w:val="right" w:leader="dot" w:pos="9350"/>
        </w:tabs>
        <w:spacing w:after="0"/>
        <w:rPr>
          <w:rFonts w:eastAsiaTheme="minorEastAsia" w:cstheme="minorBidi"/>
          <w:noProof/>
          <w:szCs w:val="20"/>
          <w:bdr w:val="none" w:sz="0" w:space="0" w:color="auto"/>
          <w:lang w:val="es-ES" w:eastAsia="es-ES"/>
        </w:rPr>
      </w:pPr>
      <w:hyperlink w:anchor="_Toc489882517" w:history="1">
        <w:r w:rsidR="009D0DB5" w:rsidRPr="009D0DB5">
          <w:rPr>
            <w:rStyle w:val="Hyperlink"/>
            <w:rFonts w:cs="Arial"/>
            <w:noProof/>
            <w:szCs w:val="20"/>
          </w:rPr>
          <w:t>IX.</w:t>
        </w:r>
        <w:r w:rsidR="009D0DB5" w:rsidRPr="009D0DB5">
          <w:rPr>
            <w:rFonts w:eastAsiaTheme="minorEastAsia" w:cstheme="minorBidi"/>
            <w:noProof/>
            <w:szCs w:val="20"/>
            <w:bdr w:val="none" w:sz="0" w:space="0" w:color="auto"/>
            <w:lang w:val="es-ES" w:eastAsia="es-ES"/>
          </w:rPr>
          <w:tab/>
        </w:r>
        <w:r w:rsidR="009D0DB5" w:rsidRPr="009D0DB5">
          <w:rPr>
            <w:rStyle w:val="Hyperlink"/>
            <w:rFonts w:cs="Arial"/>
            <w:noProof/>
            <w:szCs w:val="20"/>
            <w:lang w:val="en"/>
          </w:rPr>
          <w:t>PUBLICATION</w:t>
        </w:r>
        <w:r w:rsidR="009D0DB5" w:rsidRPr="009D0DB5">
          <w:rPr>
            <w:noProof/>
            <w:webHidden/>
            <w:szCs w:val="20"/>
          </w:rPr>
          <w:tab/>
        </w:r>
        <w:r w:rsidR="009D0DB5" w:rsidRPr="009D0DB5">
          <w:rPr>
            <w:noProof/>
            <w:webHidden/>
            <w:szCs w:val="20"/>
          </w:rPr>
          <w:fldChar w:fldCharType="begin"/>
        </w:r>
        <w:r w:rsidR="009D0DB5" w:rsidRPr="009D0DB5">
          <w:rPr>
            <w:noProof/>
            <w:webHidden/>
            <w:szCs w:val="20"/>
          </w:rPr>
          <w:instrText xml:space="preserve"> PAGEREF _Toc489882517 \h </w:instrText>
        </w:r>
        <w:r w:rsidR="009D0DB5" w:rsidRPr="009D0DB5">
          <w:rPr>
            <w:noProof/>
            <w:webHidden/>
            <w:szCs w:val="20"/>
          </w:rPr>
        </w:r>
        <w:r w:rsidR="009D0DB5" w:rsidRPr="009D0DB5">
          <w:rPr>
            <w:noProof/>
            <w:webHidden/>
            <w:szCs w:val="20"/>
          </w:rPr>
          <w:fldChar w:fldCharType="separate"/>
        </w:r>
        <w:r w:rsidR="008E5CEB">
          <w:rPr>
            <w:noProof/>
            <w:webHidden/>
            <w:szCs w:val="20"/>
          </w:rPr>
          <w:t>45</w:t>
        </w:r>
        <w:r w:rsidR="009D0DB5" w:rsidRPr="009D0DB5">
          <w:rPr>
            <w:noProof/>
            <w:webHidden/>
            <w:szCs w:val="20"/>
          </w:rPr>
          <w:fldChar w:fldCharType="end"/>
        </w:r>
      </w:hyperlink>
    </w:p>
    <w:p w14:paraId="0BC02A71" w14:textId="762E31FA" w:rsidR="007607C4" w:rsidRPr="009D0DB5" w:rsidRDefault="009D0DB5" w:rsidP="00795A52">
      <w:pPr>
        <w:tabs>
          <w:tab w:val="left" w:pos="720"/>
          <w:tab w:val="center" w:pos="5400"/>
        </w:tabs>
        <w:suppressAutoHyphens/>
        <w:rPr>
          <w:rFonts w:asciiTheme="majorHAnsi" w:hAnsiTheme="majorHAnsi"/>
          <w:sz w:val="20"/>
          <w:szCs w:val="20"/>
        </w:rPr>
      </w:pPr>
      <w:r w:rsidRPr="009D0DB5">
        <w:rPr>
          <w:rFonts w:asciiTheme="majorHAnsi" w:hAnsiTheme="majorHAnsi"/>
          <w:sz w:val="20"/>
          <w:szCs w:val="20"/>
        </w:rPr>
        <w:fldChar w:fldCharType="end"/>
      </w:r>
    </w:p>
    <w:p w14:paraId="6628E26D" w14:textId="77777777" w:rsidR="007607C4" w:rsidRPr="009165FD" w:rsidRDefault="007607C4" w:rsidP="002B204A">
      <w:pPr>
        <w:tabs>
          <w:tab w:val="center" w:pos="5400"/>
        </w:tabs>
        <w:suppressAutoHyphens/>
        <w:rPr>
          <w:rFonts w:asciiTheme="majorHAnsi" w:hAnsiTheme="majorHAnsi"/>
          <w:sz w:val="20"/>
          <w:szCs w:val="20"/>
        </w:rPr>
      </w:pPr>
    </w:p>
    <w:p w14:paraId="49836456" w14:textId="77777777" w:rsidR="007607C4" w:rsidRPr="009165FD" w:rsidRDefault="007607C4" w:rsidP="00145EDC">
      <w:pPr>
        <w:tabs>
          <w:tab w:val="center" w:pos="5400"/>
        </w:tabs>
        <w:suppressAutoHyphens/>
        <w:spacing w:line="276" w:lineRule="auto"/>
        <w:rPr>
          <w:rFonts w:asciiTheme="majorHAnsi" w:hAnsiTheme="majorHAnsi"/>
          <w:sz w:val="20"/>
          <w:szCs w:val="20"/>
        </w:rPr>
      </w:pPr>
    </w:p>
    <w:p w14:paraId="50AD10EE" w14:textId="77777777" w:rsidR="007607C4" w:rsidRPr="009165FD" w:rsidRDefault="007607C4" w:rsidP="00145EDC">
      <w:pPr>
        <w:tabs>
          <w:tab w:val="center" w:pos="5400"/>
        </w:tabs>
        <w:suppressAutoHyphens/>
        <w:spacing w:line="276" w:lineRule="auto"/>
        <w:rPr>
          <w:rFonts w:asciiTheme="majorHAnsi" w:hAnsiTheme="majorHAnsi"/>
          <w:sz w:val="20"/>
          <w:szCs w:val="20"/>
        </w:rPr>
      </w:pPr>
    </w:p>
    <w:p w14:paraId="1A6F6490" w14:textId="77777777" w:rsidR="007607C4" w:rsidRPr="009165FD" w:rsidRDefault="007607C4" w:rsidP="00145EDC">
      <w:pPr>
        <w:tabs>
          <w:tab w:val="center" w:pos="5400"/>
        </w:tabs>
        <w:suppressAutoHyphens/>
        <w:spacing w:line="276" w:lineRule="auto"/>
        <w:rPr>
          <w:rFonts w:asciiTheme="majorHAnsi" w:hAnsiTheme="majorHAnsi"/>
          <w:sz w:val="20"/>
          <w:szCs w:val="20"/>
        </w:rPr>
      </w:pPr>
    </w:p>
    <w:p w14:paraId="3E71A395" w14:textId="77777777" w:rsidR="00FC3EB4" w:rsidRPr="009165FD" w:rsidRDefault="00FC3EB4">
      <w:pPr>
        <w:rPr>
          <w:rFonts w:asciiTheme="majorHAnsi" w:hAnsiTheme="majorHAnsi"/>
          <w:sz w:val="20"/>
          <w:szCs w:val="20"/>
        </w:rPr>
      </w:pPr>
      <w:r w:rsidRPr="009165FD">
        <w:rPr>
          <w:rFonts w:asciiTheme="majorHAnsi" w:hAnsiTheme="majorHAnsi"/>
          <w:sz w:val="20"/>
          <w:szCs w:val="20"/>
        </w:rPr>
        <w:br w:type="page"/>
      </w:r>
    </w:p>
    <w:p w14:paraId="289D589B" w14:textId="721A6EA1" w:rsidR="00334B20" w:rsidRPr="009165FD" w:rsidRDefault="00616BC4" w:rsidP="00334B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rPr>
      </w:pPr>
      <w:r w:rsidRPr="009165FD">
        <w:rPr>
          <w:rFonts w:asciiTheme="majorHAnsi" w:hAnsiTheme="majorHAnsi"/>
          <w:b/>
          <w:color w:val="000000" w:themeColor="text1"/>
          <w:sz w:val="18"/>
          <w:szCs w:val="20"/>
        </w:rPr>
        <w:lastRenderedPageBreak/>
        <w:t>REPORT No.</w:t>
      </w:r>
      <w:r w:rsidR="009165FD">
        <w:rPr>
          <w:rFonts w:asciiTheme="majorHAnsi" w:hAnsiTheme="majorHAnsi"/>
          <w:b/>
          <w:color w:val="000000" w:themeColor="text1"/>
          <w:sz w:val="18"/>
          <w:szCs w:val="20"/>
        </w:rPr>
        <w:t xml:space="preserve"> </w:t>
      </w:r>
      <w:r w:rsidR="004F1FAE">
        <w:rPr>
          <w:rFonts w:asciiTheme="majorHAnsi" w:hAnsiTheme="majorHAnsi"/>
          <w:b/>
          <w:color w:val="000000" w:themeColor="text1"/>
          <w:sz w:val="18"/>
          <w:szCs w:val="20"/>
        </w:rPr>
        <w:t>101</w:t>
      </w:r>
      <w:r w:rsidRPr="009165FD">
        <w:rPr>
          <w:rFonts w:asciiTheme="majorHAnsi" w:hAnsiTheme="majorHAnsi"/>
          <w:b/>
          <w:color w:val="000000" w:themeColor="text1"/>
          <w:sz w:val="18"/>
          <w:szCs w:val="20"/>
        </w:rPr>
        <w:t>/17</w:t>
      </w:r>
    </w:p>
    <w:p w14:paraId="375D051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rPr>
      </w:pPr>
      <w:r w:rsidRPr="009165FD">
        <w:rPr>
          <w:rFonts w:asciiTheme="majorHAnsi" w:hAnsiTheme="majorHAnsi"/>
          <w:b/>
          <w:color w:val="000000" w:themeColor="text1"/>
          <w:sz w:val="18"/>
          <w:szCs w:val="20"/>
        </w:rPr>
        <w:t>CASE 12.414</w:t>
      </w:r>
    </w:p>
    <w:p w14:paraId="0699ABA3" w14:textId="51974A55" w:rsidR="00334B20" w:rsidRPr="009165FD" w:rsidRDefault="00334B20" w:rsidP="00334B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rPr>
      </w:pPr>
      <w:r w:rsidRPr="009165FD">
        <w:rPr>
          <w:rFonts w:asciiTheme="majorHAnsi" w:hAnsiTheme="majorHAnsi"/>
          <w:color w:val="000000" w:themeColor="text1"/>
          <w:sz w:val="18"/>
          <w:szCs w:val="20"/>
        </w:rPr>
        <w:t>MERITS</w:t>
      </w:r>
      <w:r w:rsidR="00616BC4" w:rsidRPr="009165FD">
        <w:rPr>
          <w:rFonts w:asciiTheme="majorHAnsi" w:hAnsiTheme="majorHAnsi"/>
          <w:color w:val="000000" w:themeColor="text1"/>
          <w:sz w:val="18"/>
          <w:szCs w:val="20"/>
        </w:rPr>
        <w:t xml:space="preserve"> (</w:t>
      </w:r>
      <w:r w:rsidR="009D0DB5">
        <w:rPr>
          <w:rFonts w:asciiTheme="majorHAnsi" w:hAnsiTheme="majorHAnsi"/>
          <w:color w:val="000000" w:themeColor="text1"/>
          <w:sz w:val="18"/>
          <w:szCs w:val="20"/>
        </w:rPr>
        <w:t>PUBLICATION</w:t>
      </w:r>
      <w:r w:rsidR="00616BC4" w:rsidRPr="009165FD">
        <w:rPr>
          <w:rFonts w:asciiTheme="majorHAnsi" w:hAnsiTheme="majorHAnsi"/>
          <w:color w:val="000000" w:themeColor="text1"/>
          <w:sz w:val="18"/>
          <w:szCs w:val="20"/>
        </w:rPr>
        <w:t>)</w:t>
      </w:r>
    </w:p>
    <w:p w14:paraId="505A42F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18"/>
          <w:lang w:val="es-ES"/>
        </w:rPr>
      </w:pPr>
      <w:r w:rsidRPr="009165FD">
        <w:rPr>
          <w:rFonts w:asciiTheme="majorHAnsi" w:hAnsiTheme="majorHAnsi"/>
          <w:color w:val="000000" w:themeColor="text1"/>
          <w:sz w:val="18"/>
          <w:szCs w:val="20"/>
          <w:lang w:val="es-ES"/>
        </w:rPr>
        <w:t xml:space="preserve">ALCIDES TORRES </w:t>
      </w:r>
      <w:r w:rsidRPr="009165FD">
        <w:rPr>
          <w:rFonts w:asciiTheme="majorHAnsi" w:hAnsiTheme="majorHAnsi"/>
          <w:color w:val="000000" w:themeColor="text1"/>
          <w:sz w:val="18"/>
          <w:szCs w:val="18"/>
          <w:lang w:val="es-ES"/>
        </w:rPr>
        <w:t>ARIAS, ANGEL DAVID QUINTERO ET AL</w:t>
      </w:r>
    </w:p>
    <w:p w14:paraId="31C8B549" w14:textId="60D6F5A7" w:rsidR="00334B20" w:rsidRPr="009165FD" w:rsidRDefault="00334B20" w:rsidP="00334B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18"/>
          <w:lang w:val="es-ES"/>
        </w:rPr>
      </w:pPr>
      <w:r w:rsidRPr="009165FD">
        <w:rPr>
          <w:rFonts w:asciiTheme="majorHAnsi" w:hAnsiTheme="majorHAnsi"/>
          <w:color w:val="000000" w:themeColor="text1"/>
          <w:sz w:val="18"/>
          <w:szCs w:val="18"/>
          <w:lang w:val="es-ES"/>
        </w:rPr>
        <w:t>COLOMBIA</w:t>
      </w:r>
      <w:r w:rsidR="009165FD" w:rsidRPr="009165FD">
        <w:rPr>
          <w:rStyle w:val="FootnoteReference"/>
          <w:rFonts w:ascii="Cambria" w:hAnsi="Cambria"/>
          <w:sz w:val="18"/>
          <w:szCs w:val="18"/>
        </w:rPr>
        <w:footnoteReference w:id="2"/>
      </w:r>
    </w:p>
    <w:p w14:paraId="7BDF6F08" w14:textId="4015DB4D" w:rsidR="00334B20" w:rsidRPr="009165FD" w:rsidRDefault="004F1FAE" w:rsidP="00334B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rPr>
      </w:pPr>
      <w:r>
        <w:rPr>
          <w:rFonts w:asciiTheme="majorHAnsi" w:hAnsiTheme="majorHAnsi"/>
          <w:color w:val="000000" w:themeColor="text1"/>
          <w:sz w:val="18"/>
          <w:szCs w:val="20"/>
        </w:rPr>
        <w:t>SEPTEMBER 5</w:t>
      </w:r>
      <w:r w:rsidR="00616BC4" w:rsidRPr="009165FD">
        <w:rPr>
          <w:rFonts w:asciiTheme="majorHAnsi" w:hAnsiTheme="majorHAnsi"/>
          <w:color w:val="000000" w:themeColor="text1"/>
          <w:sz w:val="18"/>
          <w:szCs w:val="20"/>
        </w:rPr>
        <w:t>, 2017</w:t>
      </w:r>
    </w:p>
    <w:p w14:paraId="45B38AF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color w:val="000000" w:themeColor="text1"/>
          <w:sz w:val="18"/>
          <w:szCs w:val="20"/>
        </w:rPr>
      </w:pPr>
    </w:p>
    <w:p w14:paraId="13E7897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color w:val="000000" w:themeColor="text1"/>
          <w:sz w:val="18"/>
          <w:szCs w:val="20"/>
        </w:rPr>
      </w:pPr>
    </w:p>
    <w:p w14:paraId="349067C1" w14:textId="77777777" w:rsidR="00334B20" w:rsidRPr="009165FD" w:rsidRDefault="00334B20" w:rsidP="00334B20">
      <w:pPr>
        <w:pStyle w:val="Heading1"/>
      </w:pPr>
      <w:bookmarkStart w:id="1" w:name="_Toc401323755"/>
      <w:bookmarkStart w:id="2" w:name="_Toc489882485"/>
      <w:r w:rsidRPr="009165FD">
        <w:t>SUMMARY</w:t>
      </w:r>
      <w:bookmarkEnd w:id="1"/>
      <w:bookmarkEnd w:id="2"/>
      <w:r w:rsidRPr="009165FD">
        <w:br/>
      </w:r>
    </w:p>
    <w:p w14:paraId="22E9175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On November 21, 2000, the Inter-American Commission on Human Rights (hereinafter "the Inter-American Commission," “the Commission” or the “IACHR”) received a petition lodged by César Augusto Rendón Pinzón, alleging violation of the right to life and to humane treatment, to personal liberty, and to protection of the family, all of which are enshrined in Articles 1(1), 4(1), 5(1), 5(2), 7(1), 7(3), 7(5), 17(1) and 17(2) of the American Convention on Human Rights (hereinafter “the American Convention,” “the Convention” or the "ACHR"), by the Republic of Colombia  (hereinafter "the Colombian State," "the State," or "Colombia") in the enforced disappearance of Mr. Alcides Torres Arias, since December 20, 1995, by members of the army and of paramilitary groups, following his detention on the premises of the XVII Brigade of the National Army, located in Carepa, Department of Antioquia. It was noted that Mr. Torres Arias was arrested together with three other people, included Mr. Angel David Quintero. They added that two of these people were released, while Mr. Torres Arias and Mr. Quintero whereabouts’ remain unknown. It was further alleged that the deeds had gone unpunished. At the merits stage, the petitioners asked the Commission to regard Mr. Angel David Quintero as the victim in the case.</w:t>
      </w:r>
    </w:p>
    <w:p w14:paraId="6330BE8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600AA9D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pacing w:val="-2"/>
          <w:sz w:val="20"/>
          <w:szCs w:val="20"/>
        </w:rPr>
        <w:t>For its part, the State argued that it cannot be assigned responsibility for the deeds relating to the alleged violation of the right to life and to humane treatment, to personal liberty, and to protection of the family because, although Mr. Alcides Torres Arias and Mr. Angel David Quintero were deprived of their liberty under State custody, they were released on December 20</w:t>
      </w:r>
      <w:r w:rsidRPr="009165FD">
        <w:rPr>
          <w:rFonts w:asciiTheme="majorHAnsi" w:hAnsiTheme="majorHAnsi"/>
          <w:color w:val="000000" w:themeColor="text1"/>
          <w:spacing w:val="-2"/>
          <w:sz w:val="20"/>
          <w:szCs w:val="20"/>
          <w:vertAlign w:val="superscript"/>
        </w:rPr>
        <w:t>th</w:t>
      </w:r>
      <w:r w:rsidRPr="009165FD">
        <w:rPr>
          <w:rFonts w:asciiTheme="majorHAnsi" w:hAnsiTheme="majorHAnsi"/>
          <w:color w:val="000000" w:themeColor="text1"/>
          <w:spacing w:val="-2"/>
          <w:sz w:val="20"/>
          <w:szCs w:val="20"/>
        </w:rPr>
        <w:t xml:space="preserve">, 1995. Accordingly, the State argued that it cannot be assigned responsibility for what happened after the release. It further argued that it met its obligation to investigate what happened to the alleged victims and that some of the perpetrators had been punished. At the merits stage, the State indicated that it recognized Mr. Angel David Quintero as an alleged victim in the case. </w:t>
      </w:r>
    </w:p>
    <w:p w14:paraId="1422AB0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1107B9B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After reviewing the positions of the parties, the Inter-American Commission concludes that the State of Colombia is responsible for violating the right to judicial personality, to life, to personal integrity, to personal liberty, to a fair trial/due guarantees, to protection of the family, and to judicial protection enshrined in Articles 3, 4, 5, 7, 8, 17, and 25 of the American Convention in conjunction with the obligations established in Article 1.1 of the same instrument, to the detriment of Messrs. Alcides Torres Arias and Angel David Quintero. The Commission also concluded that the State violated the rights to personal integrity, due guarantees, and judicial protection established in Articles 5, 8, and 25 of the American Convention in conjunction with the obligations established in Article 1.1 of the same instrument, to the detriment of the relatives. Finally, the Commission concluded that the Colombian State is responsible for violating the obligations established in Articles 1 (a) and 1(b) of the Inter-American Convention on Forced Disappearance of Persons. </w:t>
      </w:r>
    </w:p>
    <w:p w14:paraId="706C14E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7D6A5B3F" w14:textId="77777777" w:rsidR="00334B20" w:rsidRPr="009165FD" w:rsidRDefault="00334B20" w:rsidP="00334B20">
      <w:pPr>
        <w:pStyle w:val="Heading1"/>
      </w:pPr>
      <w:bookmarkStart w:id="3" w:name="_Toc401323756"/>
      <w:bookmarkStart w:id="4" w:name="_Toc489882486"/>
      <w:r w:rsidRPr="009165FD">
        <w:t>PROCESSING BY THE IACHR</w:t>
      </w:r>
      <w:bookmarkEnd w:id="3"/>
      <w:bookmarkEnd w:id="4"/>
      <w:r w:rsidRPr="009165FD">
        <w:t xml:space="preserve"> </w:t>
      </w:r>
    </w:p>
    <w:p w14:paraId="743B79CB" w14:textId="77777777" w:rsidR="00334B20" w:rsidRPr="009165FD" w:rsidRDefault="00334B20" w:rsidP="00334B20">
      <w:pPr>
        <w:rPr>
          <w:rFonts w:asciiTheme="majorHAnsi" w:hAnsiTheme="majorHAnsi"/>
          <w:b/>
          <w:bCs/>
          <w:sz w:val="20"/>
          <w:szCs w:val="20"/>
        </w:rPr>
      </w:pPr>
    </w:p>
    <w:p w14:paraId="28BC4EF8" w14:textId="77777777" w:rsidR="00334B20" w:rsidRPr="009165FD" w:rsidRDefault="00334B20" w:rsidP="00334B20">
      <w:pPr>
        <w:pStyle w:val="Heading2"/>
      </w:pPr>
      <w:bookmarkStart w:id="5" w:name="_Toc401323757"/>
      <w:bookmarkStart w:id="6" w:name="_Toc489882487"/>
      <w:r w:rsidRPr="009165FD">
        <w:t>Processing of the case</w:t>
      </w:r>
      <w:bookmarkEnd w:id="5"/>
      <w:bookmarkEnd w:id="6"/>
      <w:r w:rsidRPr="009165FD">
        <w:t xml:space="preserve"> </w:t>
      </w:r>
    </w:p>
    <w:p w14:paraId="5B2E3B10" w14:textId="77777777" w:rsidR="00334B20" w:rsidRPr="009165FD" w:rsidRDefault="00334B20" w:rsidP="00334B20">
      <w:pPr>
        <w:rPr>
          <w:rFonts w:asciiTheme="majorHAnsi" w:hAnsiTheme="majorHAnsi"/>
          <w:sz w:val="20"/>
          <w:szCs w:val="20"/>
        </w:rPr>
      </w:pPr>
    </w:p>
    <w:p w14:paraId="179CACC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The initial petition was received on November 21, 2000. The processing of the petition from the time it was lodged to the decision on admissibility is described in detail in Admissibility Report No. 6/03,</w:t>
      </w:r>
      <w:r w:rsidRPr="009165FD">
        <w:rPr>
          <w:rStyle w:val="FootnoteReference"/>
          <w:rFonts w:asciiTheme="majorHAnsi" w:hAnsiTheme="majorHAnsi"/>
          <w:color w:val="000000" w:themeColor="text1"/>
          <w:sz w:val="20"/>
          <w:szCs w:val="20"/>
        </w:rPr>
        <w:footnoteReference w:id="3"/>
      </w:r>
      <w:r w:rsidRPr="009165FD">
        <w:rPr>
          <w:rFonts w:asciiTheme="majorHAnsi" w:hAnsiTheme="majorHAnsi"/>
          <w:color w:val="000000" w:themeColor="text1"/>
          <w:sz w:val="20"/>
          <w:szCs w:val="20"/>
        </w:rPr>
        <w:t xml:space="preserve">  issued on February 20, 2003. </w:t>
      </w:r>
    </w:p>
    <w:p w14:paraId="709D319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Arial"/>
          <w:color w:val="000000" w:themeColor="text1"/>
          <w:sz w:val="20"/>
          <w:szCs w:val="20"/>
        </w:rPr>
      </w:pPr>
    </w:p>
    <w:p w14:paraId="5983A1B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pacing w:val="-2"/>
          <w:sz w:val="20"/>
          <w:szCs w:val="20"/>
        </w:rPr>
        <w:t xml:space="preserve">In that report, the Commission declared itself competent to hear the petition and stated that the facts denounced therein could constitute violations of the rights established in Articles 4, 5, 7, 8, 17, and 25 of the American Convention, in conjunction with the obligations established in Article 1.1 of the same instrument. </w:t>
      </w:r>
    </w:p>
    <w:p w14:paraId="29E047C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1C2F0DD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On March 11, 2003, the Commission notified the parties of the aforementioned report and, pursuant to Article 38.1 of the Rules of Procedures then in force, gave the petitioners two months in which to submit their additional observations on the merits. Furthermore, pursuant to Article 48.1.f of the American Convention, the Commission placed itself at the disposal of the Parties with a view to reaching a friendly settlement of the matter.  </w:t>
      </w:r>
    </w:p>
    <w:p w14:paraId="5431C0F3"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3C402B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On May 10, 2003 and June 24, 2007, the petitioners submitted their additional observations on the merits of the matter. The petitioners submitted further information on the case on October 28, 2005, and on February 11 and April 7, 2008. </w:t>
      </w:r>
    </w:p>
    <w:p w14:paraId="61A8270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0AEE128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On June 17, 2008, the State presented a communication asking the Commission to pronounce specifically on the procedural consequences of the petitioners' failure to submit their observations on the merits within the time allowed. On July 6, 2009, the State requested an eight-day extension to respond to the IACHR's note of June 4, 2009, which reiterated the Commission's request for the submission of observations on the merits. On July 7, 2009, the IACHR granted the State a 10-day extension. On July 17, 2009, the State requested an additional 30-day extension for submitting its observations. The State presented its observations on the merits on August 10, 2009. On May 1, 2012, the Commission forwarded the pertinent parts of the observations on the merits to the petitioners.</w:t>
      </w:r>
    </w:p>
    <w:p w14:paraId="6A48CC55"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05D3C12F"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On May 1 and July 6, 2012, the Commission asked the petitioners and the State to provide the complete files on internal disciplinary, administrative, criminal, and Justice and Peace proceedings relating to the instant case, along with any other information the parties deemed relevant. At the date of approval of this Report, the Commission has not received any answer to those communications. </w:t>
      </w:r>
    </w:p>
    <w:p w14:paraId="27A6D58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465B8C3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On December 2, 2013, the State sent a communication containing a series of convictions handed down. </w:t>
      </w:r>
    </w:p>
    <w:p w14:paraId="411FF05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01539D23"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On March 28, 2014, a communication was received from the petitioners, in which they submitted their observations on the State's report. </w:t>
      </w:r>
    </w:p>
    <w:p w14:paraId="7FBFFA4A" w14:textId="77777777" w:rsidR="00334B20" w:rsidRPr="009165FD" w:rsidRDefault="00334B20" w:rsidP="00334B20">
      <w:pPr>
        <w:rPr>
          <w:rFonts w:asciiTheme="majorHAnsi" w:hAnsiTheme="majorHAnsi" w:cs="Cambria"/>
          <w:sz w:val="20"/>
          <w:szCs w:val="20"/>
          <w:u w:color="000000"/>
          <w:lang w:eastAsia="es-ES"/>
        </w:rPr>
      </w:pPr>
      <w:bookmarkStart w:id="7" w:name="_Toc401323758"/>
    </w:p>
    <w:p w14:paraId="02F1DA08" w14:textId="77777777" w:rsidR="00334B20" w:rsidRPr="009165FD" w:rsidRDefault="00334B20" w:rsidP="00334B20">
      <w:pPr>
        <w:pStyle w:val="Heading2"/>
        <w:numPr>
          <w:ilvl w:val="0"/>
          <w:numId w:val="0"/>
        </w:numPr>
        <w:ind w:left="1440" w:hanging="720"/>
      </w:pPr>
      <w:bookmarkStart w:id="8" w:name="_Toc489882488"/>
      <w:r w:rsidRPr="009165FD">
        <w:rPr>
          <w:rFonts w:cs="Cambria"/>
          <w:u w:color="000000"/>
          <w:lang w:eastAsia="es-ES"/>
        </w:rPr>
        <w:t xml:space="preserve">B. </w:t>
      </w:r>
      <w:r w:rsidRPr="009165FD">
        <w:rPr>
          <w:rFonts w:cs="Cambria"/>
          <w:u w:color="000000"/>
          <w:lang w:eastAsia="es-ES"/>
        </w:rPr>
        <w:tab/>
      </w:r>
      <w:r w:rsidRPr="009165FD">
        <w:t>Processing of precautionary measures</w:t>
      </w:r>
      <w:bookmarkEnd w:id="7"/>
      <w:bookmarkEnd w:id="8"/>
    </w:p>
    <w:p w14:paraId="13460833" w14:textId="77777777" w:rsidR="00334B20" w:rsidRPr="009165FD" w:rsidRDefault="00334B20" w:rsidP="00334B20">
      <w:pPr>
        <w:rPr>
          <w:rFonts w:asciiTheme="majorHAnsi" w:hAnsiTheme="majorHAnsi"/>
          <w:sz w:val="20"/>
          <w:szCs w:val="20"/>
        </w:rPr>
      </w:pPr>
    </w:p>
    <w:p w14:paraId="00B55537"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While the case was being processed, the petitioners reported in written communications on January 28 and February 15 on the abduction, torture and subsequent murder of human rights defender María Del Carmen Florez Jaimes on February 14, 2002. Ms. Florez Jaimes was a representative of the Municipality of Mutatá and co-founder of the Colombian Juridical Foundation (hereinafter “CORPOJURÍDICO”), who was helping the relatives in this case. They also reported the chain saw quartering of Alirio Torres Arias and the forced disappearance of Orbairo Torres Arias, both of whom were brothers of the alleged victim in this case. </w:t>
      </w:r>
    </w:p>
    <w:p w14:paraId="4792CA70"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656D1203"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On August 6, 2002, the Commission asked the Colombian State to adopt precautionary measures to protect the life and personal integrity of the relatives of Alcides Torres Arias and of the members of CORPOJURÍDICO. The IACHR communication pointed out that "during the proceedings one witness, two brothers of the disappeared person, and one member of the Foundation have been murdered. That is in itself </w:t>
      </w:r>
      <w:r w:rsidRPr="009165FD">
        <w:rPr>
          <w:rFonts w:asciiTheme="majorHAnsi" w:hAnsiTheme="majorHAnsi"/>
          <w:color w:val="000000" w:themeColor="text1"/>
          <w:sz w:val="20"/>
          <w:szCs w:val="20"/>
        </w:rPr>
        <w:lastRenderedPageBreak/>
        <w:t>sufficient evidence of real and imminent danger."</w:t>
      </w:r>
      <w:r w:rsidRPr="009165FD">
        <w:rPr>
          <w:rStyle w:val="FootnoteReference"/>
          <w:rFonts w:asciiTheme="majorHAnsi" w:hAnsiTheme="majorHAnsi"/>
          <w:color w:val="000000" w:themeColor="text1"/>
          <w:sz w:val="20"/>
          <w:szCs w:val="20"/>
        </w:rPr>
        <w:footnoteReference w:id="4"/>
      </w:r>
      <w:r w:rsidRPr="009165FD">
        <w:rPr>
          <w:rFonts w:asciiTheme="majorHAnsi" w:hAnsiTheme="majorHAnsi"/>
          <w:color w:val="000000" w:themeColor="text1"/>
          <w:sz w:val="20"/>
          <w:szCs w:val="20"/>
        </w:rPr>
        <w:t xml:space="preserve"> As of the date this Report was approved, the precautionary measures remain in effect. </w:t>
      </w:r>
    </w:p>
    <w:p w14:paraId="2458F4E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03B8066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Considering the close link between the subject of this case and the alleged sources of risk in the framework of the precautionary measures, the Commission will take the file on those measures into account for a comprehensive evaluation of the instant case.</w:t>
      </w:r>
    </w:p>
    <w:p w14:paraId="45DA7802" w14:textId="77777777" w:rsidR="00334B20" w:rsidRPr="009165FD" w:rsidRDefault="00334B20" w:rsidP="00334B2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14:paraId="693AAF5A" w14:textId="77777777" w:rsidR="00334B20" w:rsidRPr="009165FD" w:rsidRDefault="00334B20" w:rsidP="00334B20">
      <w:pPr>
        <w:pStyle w:val="Heading1"/>
      </w:pPr>
      <w:bookmarkStart w:id="9" w:name="_Toc401323759"/>
      <w:bookmarkStart w:id="10" w:name="_Toc489882489"/>
      <w:r w:rsidRPr="009165FD">
        <w:t>POSITIONS OF THE PARTIES</w:t>
      </w:r>
      <w:bookmarkEnd w:id="9"/>
      <w:bookmarkEnd w:id="10"/>
    </w:p>
    <w:p w14:paraId="0B660C9B" w14:textId="77777777" w:rsidR="00334B20" w:rsidRPr="009165FD" w:rsidRDefault="00334B20" w:rsidP="00334B20">
      <w:pPr>
        <w:rPr>
          <w:rFonts w:asciiTheme="majorHAnsi" w:hAnsiTheme="majorHAnsi"/>
          <w:sz w:val="20"/>
          <w:szCs w:val="20"/>
        </w:rPr>
      </w:pPr>
    </w:p>
    <w:p w14:paraId="64FE41EA" w14:textId="77777777" w:rsidR="00334B20" w:rsidRPr="009165FD" w:rsidRDefault="00334B20" w:rsidP="00334B20">
      <w:pPr>
        <w:pStyle w:val="Heading2"/>
      </w:pPr>
      <w:bookmarkStart w:id="11" w:name="_Toc401323760"/>
      <w:bookmarkStart w:id="12" w:name="_Toc489882490"/>
      <w:r w:rsidRPr="009165FD">
        <w:t>The petitioners</w:t>
      </w:r>
      <w:bookmarkEnd w:id="11"/>
      <w:bookmarkEnd w:id="12"/>
    </w:p>
    <w:p w14:paraId="0933A346" w14:textId="77777777" w:rsidR="00334B20" w:rsidRPr="009165FD" w:rsidRDefault="00334B20" w:rsidP="00334B20">
      <w:pPr>
        <w:pStyle w:val="BodyTextIndent2"/>
        <w:spacing w:after="0" w:line="240" w:lineRule="auto"/>
        <w:ind w:left="0"/>
        <w:jc w:val="both"/>
        <w:rPr>
          <w:rFonts w:asciiTheme="majorHAnsi" w:hAnsiTheme="majorHAnsi"/>
          <w:color w:val="000000" w:themeColor="text1"/>
          <w:spacing w:val="-2"/>
          <w:sz w:val="20"/>
          <w:szCs w:val="20"/>
        </w:rPr>
      </w:pPr>
    </w:p>
    <w:p w14:paraId="1D0B722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petitioners averred that Alcides Torres Arias was a small-scale cocoa farmer pertaining to a quasi-cooperative (</w:t>
      </w:r>
      <w:r w:rsidRPr="009165FD">
        <w:rPr>
          <w:rFonts w:asciiTheme="majorHAnsi" w:hAnsiTheme="majorHAnsi"/>
          <w:i/>
          <w:color w:val="000000" w:themeColor="text1"/>
          <w:sz w:val="20"/>
          <w:szCs w:val="20"/>
        </w:rPr>
        <w:t>precooperativa</w:t>
      </w:r>
      <w:r w:rsidRPr="009165FD">
        <w:rPr>
          <w:rFonts w:asciiTheme="majorHAnsi" w:hAnsiTheme="majorHAnsi"/>
          <w:color w:val="000000" w:themeColor="text1"/>
          <w:sz w:val="20"/>
          <w:szCs w:val="20"/>
        </w:rPr>
        <w:t xml:space="preserve">) of cocoa farmers in San José de Apartadó, in the Urabá subregion, in the Department of Antioquia, Colombia. They said that all the farmers pertaining to that "precooperativea" had been murdered or disappeared and that it was vital for paramilitary groups to maintain control over that area because of the wealth it produced. </w:t>
      </w:r>
    </w:p>
    <w:p w14:paraId="5B27CF3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2146150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They pointed out that on December 16, 1995, Mr.Alcides Torres Arias was riding his wife's motorcycle along the La Arenera road, in the district of Currulao, municipality of Turbo, in the Department of Antioquia. They said that at midday (12:30) he was detained by members of the XVII Brigade of the National Army, based at Carepa, in the Department of Antioquia. They added that on December 17, 1995, at 5;30 p.m., Alcides Torres Arias and another three people were handed over to the "faceless" [Tr. i.e. anonymous] Regional Prosecutor's Office, situated on the premises of the XVII Brigade, in Carepa, Antioquia. They stated that on December 18, 1995, the prosecutor on duty ordered the start of preliminary proceedings and on that same day notified Prosecuting Attorney 132 in the Criminal Court of the Apartadó Circuit that he had done so. </w:t>
      </w:r>
    </w:p>
    <w:p w14:paraId="18A26EE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2A85BCA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petitioners said that while he was detained, as of December 16, 1995, the relatives of Mr. Alcides Torres Arias had been able to visit him and take him food, but  on December 20, 1995, at 3:00 p.m., his mother, Mrs. María Noemí Arias, was told that her son had been released that morning.</w:t>
      </w:r>
    </w:p>
    <w:p w14:paraId="67A354F7" w14:textId="77777777" w:rsidR="00334B20" w:rsidRPr="009165FD" w:rsidRDefault="00334B20" w:rsidP="00334B20">
      <w:pPr>
        <w:pStyle w:val="Prrafodelista1"/>
        <w:rPr>
          <w:rFonts w:asciiTheme="majorHAnsi" w:hAnsiTheme="majorHAnsi"/>
          <w:color w:val="000000" w:themeColor="text1"/>
          <w:sz w:val="20"/>
        </w:rPr>
      </w:pPr>
    </w:p>
    <w:p w14:paraId="7FFF830F"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According to the petitioners, at 8:30 a.m. on December 20, 1995, the detainees were brought before the paramilitary Ricardo López Lora, alias 'the pig" or "Robert." According to the petitioners, Ricardo López Lora was a former guerrilla fighter in the "People's Liberation Army (</w:t>
      </w:r>
      <w:r w:rsidRPr="009165FD">
        <w:rPr>
          <w:rFonts w:asciiTheme="majorHAnsi" w:hAnsiTheme="majorHAnsi"/>
          <w:i/>
          <w:color w:val="000000" w:themeColor="text1"/>
          <w:sz w:val="20"/>
          <w:szCs w:val="20"/>
        </w:rPr>
        <w:t xml:space="preserve"> Ejército Popular de Liberación</w:t>
      </w:r>
      <w:r w:rsidRPr="009165FD">
        <w:rPr>
          <w:rFonts w:asciiTheme="majorHAnsi" w:hAnsiTheme="majorHAnsi"/>
          <w:color w:val="000000" w:themeColor="text1"/>
          <w:sz w:val="20"/>
          <w:szCs w:val="20"/>
        </w:rPr>
        <w:t xml:space="preserve">, hereinafter "the EPL"), who by that time was under the command of the paramilitary leader Carlos Castaño. They also pointed out that Ricardo López Lora's direct supervisor was "the old man" or “Efraín,” another former member of the EPL, based in Puerto Cesar (Urabá). They went on to say that next in the chain of command was Freddy Rendón, alias "the German." </w:t>
      </w:r>
    </w:p>
    <w:p w14:paraId="0853D5E8" w14:textId="77777777" w:rsidR="00334B20" w:rsidRPr="009165FD" w:rsidRDefault="00334B20" w:rsidP="00334B20">
      <w:pPr>
        <w:pStyle w:val="Prrafodelista1"/>
        <w:rPr>
          <w:rFonts w:asciiTheme="majorHAnsi" w:hAnsiTheme="majorHAnsi"/>
          <w:color w:val="000000" w:themeColor="text1"/>
          <w:sz w:val="20"/>
        </w:rPr>
      </w:pPr>
    </w:p>
    <w:p w14:paraId="1341D7B6"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They further alleged that at 11:30 a.m. on December 20, 1995, the Regional Prosecutor in Carepa ordered the release of Alcides Torres Arias y Angel David Quintero (who had been detained under the same circumstances of Mr. Torres Arias), but that the detainees were not informed of that decision. Regarding the log book recording the departure of the disappeared persons, which was cited by the State, the petitioners argued that it was irrelevant, given that there had been no opportunities to question its authenticity in court and the State itself had never seriously examined its authenticity. According to the petitioners, the State acknowledged that no official notification was made of the principal document proving release, that is to say, the certificate of release (</w:t>
      </w:r>
      <w:r w:rsidRPr="009165FD">
        <w:rPr>
          <w:rFonts w:asciiTheme="majorHAnsi" w:hAnsiTheme="majorHAnsi"/>
          <w:i/>
          <w:color w:val="000000" w:themeColor="text1"/>
          <w:sz w:val="20"/>
          <w:szCs w:val="20"/>
        </w:rPr>
        <w:t>boleta de libertad</w:t>
      </w:r>
      <w:r w:rsidRPr="009165FD">
        <w:rPr>
          <w:rFonts w:asciiTheme="majorHAnsi" w:hAnsiTheme="majorHAnsi"/>
          <w:color w:val="000000" w:themeColor="text1"/>
          <w:sz w:val="20"/>
          <w:szCs w:val="20"/>
        </w:rPr>
        <w:t>).</w:t>
      </w:r>
    </w:p>
    <w:p w14:paraId="5FFD1DF5" w14:textId="77777777" w:rsidR="00334B20" w:rsidRPr="009165FD" w:rsidRDefault="00334B20" w:rsidP="00334B20">
      <w:pPr>
        <w:pStyle w:val="Prrafodelista1"/>
        <w:ind w:left="0"/>
        <w:rPr>
          <w:rFonts w:asciiTheme="majorHAnsi" w:hAnsiTheme="majorHAnsi"/>
          <w:color w:val="000000" w:themeColor="text1"/>
          <w:sz w:val="20"/>
        </w:rPr>
      </w:pPr>
    </w:p>
    <w:p w14:paraId="0C732CB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Regarding the proceedings to which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were subjected, the petitioners underscored a series of irregularities, namely: 1) the paramilitary known as "the pig" lived on the premises of the XVII Brigade; ii) the paramilitary took part in National Army patrols; iii) the confidentiality of the preliminary investigation had been violated because the paramilitary knew all of the facts relating to the detention of Alcides Torres and the other citizens, which shows that there were ties </w:t>
      </w:r>
      <w:r w:rsidRPr="009165FD">
        <w:rPr>
          <w:rFonts w:asciiTheme="majorHAnsi" w:hAnsiTheme="majorHAnsi"/>
          <w:color w:val="000000" w:themeColor="text1"/>
          <w:sz w:val="20"/>
          <w:szCs w:val="20"/>
        </w:rPr>
        <w:lastRenderedPageBreak/>
        <w:t xml:space="preserve">between the Prosecutor's Office and the paramilitary groups; iv) the release of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was ordered at 11:30 a.m. on December 20, 1995, even though their statements were taken later, at 11:40 a.m. and 11:53 a.m., respectively; v) at the time, the Regional Prosecutor's Office in Carepa only took statements, while decisions on the merits were taken by the Regional Prosecutor's Office in Medellín, but in this case the Prosecutor in Carepa took it upon himself to skip a step and "release" the detainees in a hurry; and vi) Lance Corporal  Belquis Margarita Villaruel  received the release order, went to the detention cell accompanied by men in plain clothes, and as she was unable to open the door, proceeded to break the lock.</w:t>
      </w:r>
    </w:p>
    <w:p w14:paraId="3987A48D" w14:textId="77777777" w:rsidR="00334B20" w:rsidRPr="009165FD" w:rsidRDefault="00334B20" w:rsidP="00334B20">
      <w:pPr>
        <w:pStyle w:val="Prrafodelista1"/>
        <w:rPr>
          <w:rFonts w:asciiTheme="majorHAnsi" w:hAnsiTheme="majorHAnsi"/>
          <w:color w:val="000000" w:themeColor="text1"/>
          <w:sz w:val="20"/>
        </w:rPr>
      </w:pPr>
    </w:p>
    <w:p w14:paraId="23C08BEB"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At the same time, the petitioners stated that several witnesses had seen how Alcides Torres Arias had been taken away from the installations of the XVII Brigade in Carepa, in the Department of Antioquia, in  a red jeep heading in the direction of Currulao. They said that several family members had been eye witnesses to the fact of a red jeep leaving the army premises in a red jeep with Ricardo López Lora inside as well. They added that that same vehicle was seen minutes later by Ramón Rodríguez, Alcides Torres Arias' father in law, in Currulao, opposite the El Descanso hotel, and that the now disappeared person had called out to him loudly from inside the vehicle. According to the petitioners, Mr. Rodríguez told  Alcides Torres Arias'' family that Alcides had been badly beaten and was bleeding.</w:t>
      </w:r>
    </w:p>
    <w:p w14:paraId="2CC46FE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0706510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As for assigning responsibility to the State, the petitioners stated that the Regional Prosecutor's Office in Carepa  knew about the disappearance of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but did nothing about it. They also pointed out that the paramilitary used to go into the cells on the XVII Brigade's premises to interrogate detainees; served as witnesses in cases handled by the Prosecutor's Office on the XVII Brigade's premises; and went on patrols with members of XVII Brigade during the time of General Rito Alejo del Río. In particular, they pointed out that Ricardo López Lora lived on the premises of the XVII Brigade, even though he had already become a well-known member of the "death squads." They added that the military under the command of General Rito Alejo del Río used to hand over detainees to the paramilitary for the latter to "disappear" them. </w:t>
      </w:r>
    </w:p>
    <w:p w14:paraId="185F5E6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DB5354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They pointed out that on January 6, 1996, the </w:t>
      </w:r>
      <w:r w:rsidRPr="009165FD">
        <w:rPr>
          <w:rFonts w:asciiTheme="majorHAnsi" w:hAnsiTheme="majorHAnsi"/>
          <w:i/>
          <w:color w:val="000000" w:themeColor="text1"/>
          <w:sz w:val="20"/>
          <w:szCs w:val="20"/>
        </w:rPr>
        <w:t xml:space="preserve">El Colombiano </w:t>
      </w:r>
      <w:r w:rsidRPr="009165FD">
        <w:rPr>
          <w:rFonts w:asciiTheme="majorHAnsi" w:hAnsiTheme="majorHAnsi"/>
          <w:color w:val="000000" w:themeColor="text1"/>
          <w:sz w:val="20"/>
          <w:szCs w:val="20"/>
        </w:rPr>
        <w:t xml:space="preserve">newspaper in Medellín had published an article on the subject. </w:t>
      </w:r>
    </w:p>
    <w:p w14:paraId="4BC92CB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7FC67A5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As regards internal investigations, the petitioners alleged that Alcides Torres Arias' family had lodged complaints with the Attorney General's office, the Prosecutor's Office and the local Office of the Ombudsman in Apartadó. However, they alleged that: 1) as far as the Prosecutor's Office was concerned, the case was assigned to the district office in Chigorodó, known for its high level of corruption and impunity, as shown by the fact that most of the Prosecutors at that time were dismissed and one of them arrested; ii) later on, the criminal proceedings were handled by the Prosecutor's Office Specializing in Human Rights, but they were still at the preliminary phase even though the family had repeatedly pointed out that the paramilitary known by his alias "Robert" or "the pig" was detained in the Bellavista prison and could easily have been linked to the case; iii) at the Attorney General's Office, the case had prescribed; and iv) the Office of the Ombudsman had acted appropriately, but, given the limits to its sphere of competence, it had not had much impact. At the same time, they added that the principal witness to the facts of this case, Ramón Rodríguez, had been murdered, without the State even investigating the circumstances of his death.</w:t>
      </w:r>
    </w:p>
    <w:p w14:paraId="7C4F7AF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02C8A2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They said that, thanks to the insistence of the Office of the Ombudsman, the Prosecutor's Office had ordered an investigation into the "abduction" of Alcides Torres Arias, which so far had not come up with any answers regarding the circumstances in which it came about, or about his fate. Given this situation, on July 24, 2000, Mrs. María Noemí Arias filed a habeas corpus suit on her son's behalf with the First Criminal Court of the Apartadó Circuit. It was rejected. The petitioners stated that, to this day, the mother of Alcides Torres Arias has been denied her right to know the truth regarding her son's whereabouts. </w:t>
      </w:r>
    </w:p>
    <w:p w14:paraId="17BBE35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E0D41C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Subsequently, the petitioners alleged that in a Justice and Peace hearing, the paramilitary leader Ever Veloza ("HH" or "Chicken Face") confessed to having taken Alcides Torres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out of the XVII Brigade premises, with the authorization of General Rito Alejo del Río, and he identified the army personnel who had handed Alcides Torres Arias over to be "disappeared." They also reported that the paramilitary Ever Veloz was purportedly being extradited to the United States.</w:t>
      </w:r>
    </w:p>
    <w:p w14:paraId="7DA1E3A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46A6A45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 petitioners further stated that the three convictions handed down against army personnel for what had happened to Alcides Torres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did not cover all the responsibilities incurred.  They pointed out that those convictions were just for abduction, not for the crime of forced disappearance. The petitioners considered that that decision favored the murderers.</w:t>
      </w:r>
    </w:p>
    <w:p w14:paraId="01FBFD1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3B2A3B5F"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 petitioners considered that these facts constituted violations of the rights established in Articles 1(1), 4(1)., 5(1), 5(2), 7(1), 7(3), 7(5), 17(1), and 17(2) of the American Convention on Human Rights. Furthermore, they indicated at the merits stage, that in this case the provisions of the Inter-American Convention on Forced Disappearance of Persons were also violated. Following is a summary of the petitioners' principal arguments according to law. </w:t>
      </w:r>
    </w:p>
    <w:p w14:paraId="5E346C53"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C2CA19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Regarding the </w:t>
      </w:r>
      <w:r w:rsidRPr="009165FD">
        <w:rPr>
          <w:rFonts w:asciiTheme="majorHAnsi" w:hAnsiTheme="majorHAnsi"/>
          <w:b/>
          <w:color w:val="000000" w:themeColor="text1"/>
          <w:sz w:val="20"/>
          <w:szCs w:val="20"/>
        </w:rPr>
        <w:t>obligation to respect rights</w:t>
      </w:r>
      <w:r w:rsidRPr="009165FD">
        <w:rPr>
          <w:rFonts w:asciiTheme="majorHAnsi" w:hAnsiTheme="majorHAnsi"/>
          <w:color w:val="000000" w:themeColor="text1"/>
          <w:sz w:val="20"/>
          <w:szCs w:val="20"/>
        </w:rPr>
        <w:t xml:space="preserve">, the petitioners said that the State failed to safeguard the rights of Alcides Torres Arias and Angel David Quintero, because they were not returned to their families in the same physical and psychological conditions as when they were detained. Regarding the </w:t>
      </w:r>
      <w:r w:rsidRPr="009165FD">
        <w:rPr>
          <w:rFonts w:asciiTheme="majorHAnsi" w:hAnsiTheme="majorHAnsi"/>
          <w:b/>
          <w:color w:val="000000" w:themeColor="text1"/>
          <w:sz w:val="20"/>
          <w:szCs w:val="20"/>
        </w:rPr>
        <w:t xml:space="preserve">right to life, </w:t>
      </w:r>
      <w:r w:rsidRPr="009165FD">
        <w:rPr>
          <w:rFonts w:asciiTheme="majorHAnsi" w:hAnsiTheme="majorHAnsi"/>
          <w:color w:val="000000" w:themeColor="text1"/>
          <w:sz w:val="20"/>
          <w:szCs w:val="20"/>
        </w:rPr>
        <w:t>the petitioners maintained</w:t>
      </w:r>
      <w:r w:rsidRPr="009165FD">
        <w:rPr>
          <w:rFonts w:asciiTheme="majorHAnsi" w:hAnsiTheme="majorHAnsi"/>
          <w:b/>
          <w:color w:val="000000" w:themeColor="text1"/>
          <w:sz w:val="20"/>
          <w:szCs w:val="20"/>
        </w:rPr>
        <w:t xml:space="preserve"> </w:t>
      </w:r>
      <w:r w:rsidRPr="009165FD">
        <w:rPr>
          <w:rFonts w:asciiTheme="majorHAnsi" w:hAnsiTheme="majorHAnsi"/>
          <w:color w:val="000000" w:themeColor="text1"/>
          <w:sz w:val="20"/>
          <w:szCs w:val="20"/>
        </w:rPr>
        <w:t>that the State was obliged to prevent any activity that violated rights protected under the prevention, as did the forced disappearance of Alcides Torres Arias and Angel David Quintero. They also indicated that subjecting detainees to official enforcement bodies that practice torture and commit murder with impunity constitutes, in itself, a violation of the duty to prevent violations to the rights to physical integrity and life. Regarding the r</w:t>
      </w:r>
      <w:r w:rsidRPr="009165FD">
        <w:rPr>
          <w:rFonts w:asciiTheme="majorHAnsi" w:hAnsiTheme="majorHAnsi"/>
          <w:b/>
          <w:color w:val="000000" w:themeColor="text1"/>
          <w:sz w:val="20"/>
          <w:szCs w:val="20"/>
        </w:rPr>
        <w:t>ight to physical integrity</w:t>
      </w:r>
      <w:r w:rsidRPr="009165FD">
        <w:rPr>
          <w:rFonts w:asciiTheme="majorHAnsi" w:hAnsiTheme="majorHAnsi"/>
          <w:color w:val="000000" w:themeColor="text1"/>
          <w:sz w:val="20"/>
          <w:szCs w:val="20"/>
        </w:rPr>
        <w:t>, the petitioners argued that forced disappearance constitutes a crime against humanity and that Alcides Torres Arias and Angel David Quintero were "disappeared," taken away from their environment and, accordingly, destroyed physically, emotionally, and psychologically.</w:t>
      </w:r>
    </w:p>
    <w:p w14:paraId="773F035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47707F1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As for the r</w:t>
      </w:r>
      <w:r w:rsidRPr="009165FD">
        <w:rPr>
          <w:rFonts w:asciiTheme="majorHAnsi" w:hAnsiTheme="majorHAnsi"/>
          <w:b/>
          <w:color w:val="000000" w:themeColor="text1"/>
          <w:sz w:val="20"/>
          <w:szCs w:val="20"/>
        </w:rPr>
        <w:t>ight to personal liberty</w:t>
      </w:r>
      <w:r w:rsidRPr="009165FD">
        <w:rPr>
          <w:rFonts w:asciiTheme="majorHAnsi" w:hAnsiTheme="majorHAnsi"/>
          <w:color w:val="000000" w:themeColor="text1"/>
          <w:sz w:val="20"/>
          <w:szCs w:val="20"/>
        </w:rPr>
        <w:t>, the petitioners pointed out that, although the Prosecutor's Office says that it released Mr. Alcides Torres Arias and Mr. Angel David Quintero, there was no personal notification of said release as required by Colombia's Code of Criminal Procedure, so that his detention was not officially ended (</w:t>
      </w:r>
      <w:r w:rsidRPr="009165FD">
        <w:rPr>
          <w:rFonts w:asciiTheme="majorHAnsi" w:hAnsiTheme="majorHAnsi"/>
          <w:i/>
          <w:color w:val="000000" w:themeColor="text1"/>
          <w:sz w:val="20"/>
          <w:szCs w:val="20"/>
        </w:rPr>
        <w:t>no hubo solución de continuidad de su detención</w:t>
      </w:r>
      <w:r w:rsidRPr="009165FD">
        <w:rPr>
          <w:rFonts w:asciiTheme="majorHAnsi" w:hAnsiTheme="majorHAnsi"/>
          <w:color w:val="000000" w:themeColor="text1"/>
          <w:sz w:val="20"/>
          <w:szCs w:val="20"/>
        </w:rPr>
        <w:t>). Consequently, according to the petitioners, Mr. Alcides Torres Arias and Mr. Angel David Quintero are still detained and in State custody and, specifically, that of the Regional Prosecutor's Office. At the same time, they alleged that the Army detained Mr. Alcides Torres Arias on December 16, 1995 and only on December 17, 1995, at 5:30 p.m. was he brought before the judicial authority, which violates the internal rule that a detainee be placed promptly at the disposal of the judicial authority, or, by no later than the opening of business on the following day. Finally, they point out that the forced disappearance of persons constitutes a multiple and ongoing violation of numerous rights recognized in the Convention.</w:t>
      </w:r>
    </w:p>
    <w:p w14:paraId="41C7944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208F5CB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With respect to the r</w:t>
      </w:r>
      <w:r w:rsidRPr="009165FD">
        <w:rPr>
          <w:rFonts w:asciiTheme="majorHAnsi" w:hAnsiTheme="majorHAnsi"/>
          <w:b/>
          <w:color w:val="000000" w:themeColor="text1"/>
          <w:sz w:val="20"/>
          <w:szCs w:val="20"/>
        </w:rPr>
        <w:t>ight to protection of the family and the right to truth</w:t>
      </w:r>
      <w:r w:rsidRPr="009165FD">
        <w:rPr>
          <w:rFonts w:asciiTheme="majorHAnsi" w:hAnsiTheme="majorHAnsi"/>
          <w:color w:val="000000" w:themeColor="text1"/>
          <w:sz w:val="20"/>
          <w:szCs w:val="20"/>
        </w:rPr>
        <w:t xml:space="preserve">, the petitioners alleged that the forced disappearance of Alcides Torres Arias destroyed the structure of his family and the change in their living conditions led to his wife and children having to leave, with all the decline in living standards associated with displacement. Likewise, they point out that in this case the right to know the truth of what happened was denied, because even though the facts of the case were known to the Prosecutor's Office, the National Army, the Office of the Attorney General, and the Office of the Ombudsman, all those institutions did nothing about it.   </w:t>
      </w:r>
    </w:p>
    <w:p w14:paraId="36E5209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0F21071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addition, they alleged that the State denied the victims every possibility of protecting their rights in criminal proceedings, of submitting evidence, and of helping to ascertain the facts. Specifically, they indicated that on October 18, 2004, the family members had asked to be plaintiffs in a civil action according to internal procedures and thereby be assigned an attorney through the Public Defender Office (</w:t>
      </w:r>
      <w:r w:rsidRPr="009165FD">
        <w:rPr>
          <w:rFonts w:asciiTheme="majorHAnsi" w:hAnsiTheme="majorHAnsi"/>
          <w:i/>
          <w:color w:val="000000" w:themeColor="text1"/>
          <w:sz w:val="20"/>
          <w:szCs w:val="20"/>
        </w:rPr>
        <w:t>Defensoría Pública</w:t>
      </w:r>
      <w:r w:rsidRPr="009165FD">
        <w:rPr>
          <w:rFonts w:asciiTheme="majorHAnsi" w:hAnsiTheme="majorHAnsi"/>
          <w:color w:val="000000" w:themeColor="text1"/>
          <w:sz w:val="20"/>
          <w:szCs w:val="20"/>
        </w:rPr>
        <w:t xml:space="preserve">), but the State never responded to that request. They indicated that the State cannot argue that the powers of attorney were sent to the Public Defender in Apartadó, because it knew full well that the family had received asylum in Canada. </w:t>
      </w:r>
    </w:p>
    <w:p w14:paraId="0119F85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2B1987F1" w14:textId="77777777" w:rsidR="00795A52" w:rsidRDefault="00795A52">
      <w:pPr>
        <w:rPr>
          <w:rFonts w:asciiTheme="majorHAnsi" w:eastAsiaTheme="majorEastAsia" w:hAnsiTheme="majorHAnsi" w:cstheme="majorBidi"/>
          <w:b/>
          <w:bCs/>
          <w:sz w:val="20"/>
          <w:szCs w:val="20"/>
        </w:rPr>
      </w:pPr>
      <w:bookmarkStart w:id="13" w:name="_Toc401323761"/>
      <w:bookmarkStart w:id="14" w:name="_Toc489882491"/>
      <w:r>
        <w:br w:type="page"/>
      </w:r>
    </w:p>
    <w:p w14:paraId="5C57F1AC" w14:textId="6FEE7C0A" w:rsidR="00334B20" w:rsidRPr="009165FD" w:rsidRDefault="00334B20" w:rsidP="00334B20">
      <w:pPr>
        <w:pStyle w:val="Heading2"/>
        <w:numPr>
          <w:ilvl w:val="0"/>
          <w:numId w:val="0"/>
        </w:numPr>
        <w:ind w:left="1440" w:hanging="720"/>
      </w:pPr>
      <w:r w:rsidRPr="009165FD">
        <w:lastRenderedPageBreak/>
        <w:t xml:space="preserve">B.  </w:t>
      </w:r>
      <w:r w:rsidRPr="009165FD">
        <w:tab/>
        <w:t>The State</w:t>
      </w:r>
      <w:bookmarkEnd w:id="13"/>
      <w:bookmarkEnd w:id="14"/>
    </w:p>
    <w:p w14:paraId="34DF40CF" w14:textId="77777777" w:rsidR="00334B20" w:rsidRPr="009165FD" w:rsidRDefault="00334B20" w:rsidP="00334B20">
      <w:pPr>
        <w:rPr>
          <w:rFonts w:asciiTheme="majorHAnsi" w:hAnsiTheme="majorHAnsi"/>
          <w:sz w:val="20"/>
          <w:szCs w:val="20"/>
        </w:rPr>
      </w:pPr>
    </w:p>
    <w:p w14:paraId="73C604A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The State maintained that, based on the date of notification of Admissibility Report No.06/03, the petitioners were supposed to submit their observations on the merits by no later than May 11, 2003. Nevertheless, those observations dated June 27, 2007 were transmitted to the State of Colombia on April 14, 2008, without the IACHR having given notice of any possible extensions that may have been granted to the petitioners and without there being any certainty as to the need or justification that, if they existed, might have given rise to such extensions, so that the State understood that the petitioners had passed the expressly stated deadline for submitting their arguments on the merits. </w:t>
      </w:r>
    </w:p>
    <w:p w14:paraId="0EADC1D5"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Arial"/>
          <w:color w:val="000000" w:themeColor="text1"/>
          <w:sz w:val="20"/>
          <w:szCs w:val="20"/>
        </w:rPr>
      </w:pPr>
    </w:p>
    <w:p w14:paraId="3AF1B45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The State further indicated that, although the 60-day time frame granted to it to respond to arguments on the merit was in line with the Commission's Rules of Procedure, in this case it violated the principles of procedure equality between the parties, given that the petitioners had taken five years to present their respective observations on the merits. Furthermore, according to the State, the inequality in the times allowed constituted a violation of due process, particularly since the State must have not just reasonable, but also equitable and balanced, terms and time frames for conducting its analysis of the evidence and pronouncing on the arguments on the merits at the Commission's headquarters.</w:t>
      </w:r>
    </w:p>
    <w:p w14:paraId="65A11F2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71355DC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Accordingly, the State went on to say that the lack of a clear statement regarding the effects of the petitioners' violation of the regulations undermines the principle of procedural equality, because it establishes a double standard with respect to application of the Rules of Procedure on meeting deadlines, one for the State and another for the petitioners, for no good reason. Likewise, the State pointed out that failure to determine the effects of the petitioners' failure to abide by the rules undermines the principle of legal certainty, because it does not establish legal consequences for situations that commonly occur in litigation, to the detriment of the State. The State therefore requested the Commission to pronounce on the legal and procedural consequences of the petitioners' failure to meet the deadline for presenting their observations on the merits in the instant case, bearing in mind that the situation in question constitutes an irregularity that has so far not been resolved. </w:t>
      </w:r>
    </w:p>
    <w:p w14:paraId="275AAA9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5C4FA897"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As for the merits, the State has been communicating positions with respect to the facts of the case that are not necessarily consistent with one another. In general terms, the State maintained that it cannot be held responsible for the facts in respect of which the petitioners allege violation of the right to life and to personal integrity, personal freedom, and protection of the family, established in Articles 4,5,7, and 17 of the American Convention. In addition, the State argued that it had met the obligations to investigate established in Article 8 and 25, since investigations were carried out and some perpetrators of the deeds were punished, to the extent possible, given the complexity of the case.</w:t>
      </w:r>
    </w:p>
    <w:p w14:paraId="7703901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5EBC412F"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As for the assignment of responsibility, the State argued that there was no evidence that State agents were responsible for what happened, because the presence of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on the premises of the Vélez Battalion did not in itself constitute a causal link to the alleged disappearance.  The State adds that the assignment of responsibility for the facts by the petitioners to members of Colombia's security forces was merely generic, with no description of the alleged collaboration, support, tolerance and/or acquiescence of the State agents. According to the State, this demonstrates ignorance of the various thorny issues associated with the paramilitary phenomenon. </w:t>
      </w:r>
    </w:p>
    <w:p w14:paraId="771D9F2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466ECD3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As for the victims in the case, the State stressed that it has to do only with Messrs.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so that facts regarding other members of the Torres Arias family (Obairo Torres, Alirio Torres, Ramón Rodríguez) or the attorney María del Carmen Flórez, are not included in the factual scope of this case.</w:t>
      </w:r>
    </w:p>
    <w:p w14:paraId="23C4A0F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495FC440"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Regarding the allegations relating to violation of the Inter-American Convention on Forced Disappearance of Persons, the State maintained that, based on competence </w:t>
      </w:r>
      <w:r w:rsidRPr="009165FD">
        <w:rPr>
          <w:rFonts w:asciiTheme="majorHAnsi" w:hAnsiTheme="majorHAnsi"/>
          <w:i/>
          <w:color w:val="000000" w:themeColor="text1"/>
          <w:sz w:val="20"/>
          <w:szCs w:val="20"/>
        </w:rPr>
        <w:t>ratione temporis,</w:t>
      </w:r>
      <w:r w:rsidRPr="009165FD">
        <w:rPr>
          <w:rFonts w:asciiTheme="majorHAnsi" w:hAnsiTheme="majorHAnsi"/>
          <w:color w:val="000000" w:themeColor="text1"/>
          <w:sz w:val="20"/>
          <w:szCs w:val="20"/>
        </w:rPr>
        <w:t xml:space="preserve"> responsibility can only be assigned for deeds occurring subsequent to that instrument's entry into force.</w:t>
      </w:r>
    </w:p>
    <w:p w14:paraId="79F89EA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51EB0026"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lastRenderedPageBreak/>
        <w:t xml:space="preserve">At the same time, with respect to the scope of the facts in the case, the State indicated that the events of December 20, 1995 in the municipality of Carepa should be analyzed separately from those relating to fulfillment of the order to release the detainee. Accordingly, the State did not deny the detention of Alcides Torres on December 16, 1995, nor the process that began [and continued] until December 20, 1995, and it indicated that it was a proven fact that the capture of Alcides Torres Arias had been perfectly legal and that judicial guarantees and judicial protection requirements had been met. In particular, the State pointed out that the fact that the Prosecutor's Office was working on the premises of the XVII Brigade was based on the fact that, at that time, given the serious disturbances of the peace and constant threats against members of the judiciary, the military had temporarily and for good reason, made their installations available to some judicial offices. </w:t>
      </w:r>
    </w:p>
    <w:p w14:paraId="3F71945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03547B9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Furthermore, the State pointed out that Alcides Torres Arias had not formally been included in the criminal investigation at any time, nor had he rendered a statement for a formal criminal inquiry (</w:t>
      </w:r>
      <w:r w:rsidRPr="009165FD">
        <w:rPr>
          <w:rFonts w:asciiTheme="majorHAnsi" w:hAnsiTheme="majorHAnsi"/>
          <w:i/>
          <w:color w:val="000000" w:themeColor="text1"/>
          <w:sz w:val="20"/>
          <w:szCs w:val="20"/>
        </w:rPr>
        <w:t>ni rindió diligencia indagatoria</w:t>
      </w:r>
      <w:r w:rsidRPr="009165FD">
        <w:rPr>
          <w:rFonts w:asciiTheme="majorHAnsi" w:hAnsiTheme="majorHAnsi"/>
          <w:color w:val="000000" w:themeColor="text1"/>
          <w:sz w:val="20"/>
          <w:szCs w:val="20"/>
        </w:rPr>
        <w:t xml:space="preserve">); he had simply made a witness's statement under oath. The State denied that the Regional Prosecutor's Office had conducted a formal criminal inquiry into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because: 1) statements in criminal inquiries, unlike witness's statements, are not taken under oath; ii) if one checks the proceedings in the Prosecutor's Office, it is clear that those witness's statements were made after the order to release the alleged victims had been given; and iii) there is no evidence linking Alcides Torres Arias or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to any criminal proceedings in that judicial office. According to the State, it transpires from the above that Messrs. Torres and Quintero enjoyed respect for all their rights from the time they were captured until they were indeed released.</w:t>
      </w:r>
    </w:p>
    <w:p w14:paraId="5B16FDB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1C11355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As for the facts relating to fulfillment of the order to release him, the State maintained that Alcides Torres Arias was indeed notified in person and in a timely manner of the contents of the decision taken by the Carepa Regional Prosecutor103, with respect to his release. The State pointed out that Mr. Alcides Torres Arias had not been violently taken away from the place where he was detained. Rather, the breaking of the lock on the door of the room was due to the fact that the soldier responsible for keeping the keys did not arrive at the detention center on time. </w:t>
      </w:r>
    </w:p>
    <w:p w14:paraId="5B38613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1CF6323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The State said that: a) that no certainty existed as to the possible time in which the events allegedly the petitioners occurred; b) witnesses' statements indicated that Ricardo López Lora was not among the people who directly took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from their cell in the detention center; c) the Guard's logbook has an entry giving 2:05 p.m. as the time at which the alleged victims were released; and d) there is no indication in the logbook of the guard at the entrance to the Brigade's premises of any vehicle leaving the premises at that time that matches the description given by the petitioners.</w:t>
      </w:r>
    </w:p>
    <w:p w14:paraId="2BF0C9B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4F77164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Additionally, the State considered that the petitioners' versions of what happened are contradictory in respect of the presence of a sister of Mr.  Alcides Torres Arias in the guardhouse of the XVII Brigade installations and her movements on those premises. Specifically, the State said it was impossible to be in two different places at the same time and to observe the alleged exit of a red vehicle past the guard at the entrance to the Brigade's installations.  Nor would she have been able to ascertain the presence of the alleged victims inside that vehicle. </w:t>
      </w:r>
    </w:p>
    <w:p w14:paraId="269E360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1E8B5FAB"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Along the same lines, the State maintained that the record of the departure of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is a fact that settles the continuity of detention allegation by the petitioners, since it constitutes a break in the causal link between custody by the judicial authority that detained ad later freed them and their alleged disappearance. The State added that custody of the aforementioned persons ended when the noncommissioned officer in charge handed the citizens over to the Commander of the Guard and the latter noted down that fact in the logbook, thereby certifying their departure from the Brigade.</w:t>
      </w:r>
    </w:p>
    <w:p w14:paraId="63E1F4A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6E73296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The State further indicated that it had not been proved that Ricardo López Lora, alias "the pig," resided on the premises of the XVII Brigade, since there was no evidence of such residence in any of the investigations carried out nor any other pointer in support of that claim. In reality, it was an assumption based on probably frequent visits to the XVII Brigade by the aforementioned person in his capacity as an informant.</w:t>
      </w:r>
    </w:p>
    <w:p w14:paraId="5307DE2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6FE2960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Regarding the events in the district of Currulao, the State said that none of the eyewitness's statements support the petitioners' claims, so that no certain fact may be deduced from their statements regarding the persons in a "red" vehicle. The State indicated that it was not possible either to identify the persons who allegedly carried out acts in the El Descanso hotel, nor the motives of the alleged perpetrators thereof. The State indicated that there was no evidence either that State agents had perpetrated, through their actions or acquiescence, the acts that took place on December 20, 1995 relating to the forced disappearance. It stated that the news item published in the media on January 7, 1996  was based on the denunciation made by the family members and had not been the result of a journalistic investigation or of statements made by officials related to the facts. </w:t>
      </w:r>
    </w:p>
    <w:p w14:paraId="62A32B5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28C19E1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As regards the internal investigations carried out, the State asserted that there had been extensive and in-depth proceedings aimed at fulfilling the duty to investigate. Accordingly, the State sent information regarding those investigations and requested that they be kept confidential, so as not to endanger possible witnesses and jeopardize the success of the investigation. In relation to the habeas corpus suit, the State maintained that there had been no arbitrariness of any kind nor denial of justice, because a criminal complaint had been brought for the crime of abduction. As for disciplinary measures, the State reported that the Disciplinary Subdivision for the Defense of Human Rights of the Office of the Attorney General had conducted a disciplinary investigation into the facts of the case against some members of the National Army.</w:t>
      </w:r>
    </w:p>
    <w:p w14:paraId="26D9AB4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078C5FA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Regarding the effectiveness of the criminal suit, the State pointed out that on February 21, 2006, Ricardo López Lora was convicted of aggravated simple abduction of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and that judgment had been ratified by a higher court on May 30, 2006. The State pointed out that, although those trials had proved that Mr. López Lora was responsible for abducting the two alleged victims, when the facts giving rise to his criminal liability were examined, at no point had it been shown that the two victims had been taken out of the VII Brigade's premises due to an action or omission by State agents.</w:t>
      </w:r>
    </w:p>
    <w:p w14:paraId="2F3DEDC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75D86F1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With respect to the petitioners becoming plaintiffs in a civil action, the State said they could have done that at any time and, had they done so, they could have requested the taking of evidence, The State further indicated that, although the family members of the victims had filed for the right to petition -- requesting a court-appointed counsel in order to become plaintiffs in a civil action -- that request had been duly processed at the Colombian consulate in Montreal, Canada, where they were living at the time,  and in response a letter had been sent  requesting that they fill out certain forms used by the Public Defender's Office. The State added that the family members never filled out those forms. In addition, the State pointed out that no administrative litigation proceedings were under way in connection with this case, despite the fact that a suit for direct reparation was the ideal way for victims and the family members of victims of grave violations of human rights to obtain financial compensation.</w:t>
      </w:r>
    </w:p>
    <w:p w14:paraId="0B29D5B7" w14:textId="77777777" w:rsidR="00334B20" w:rsidRPr="009165FD" w:rsidRDefault="00334B20" w:rsidP="00334B20">
      <w:pPr>
        <w:pStyle w:val="Prrafodelista1"/>
        <w:rPr>
          <w:rFonts w:asciiTheme="majorHAnsi" w:hAnsiTheme="majorHAnsi" w:cs="Arial"/>
          <w:color w:val="000000" w:themeColor="text1"/>
          <w:sz w:val="20"/>
        </w:rPr>
      </w:pPr>
    </w:p>
    <w:p w14:paraId="5EF88EB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With respect to the application of Law 975 of 2005, known as the Justice and Peace Act, the State said that although recently it had been stated that members of the security forces were allegedly responsible for the acts referred to in this case, that information had to be confirmed by the competent authorities, specifically the Justice and Peace Unit of the Department of Public Prosecutions (</w:t>
      </w:r>
      <w:r w:rsidRPr="009165FD">
        <w:rPr>
          <w:rFonts w:asciiTheme="majorHAnsi" w:hAnsiTheme="majorHAnsi"/>
          <w:i/>
          <w:color w:val="000000" w:themeColor="text1"/>
          <w:sz w:val="20"/>
          <w:szCs w:val="20"/>
        </w:rPr>
        <w:t>Fiscalía General de la Nación</w:t>
      </w:r>
      <w:r w:rsidRPr="009165FD">
        <w:rPr>
          <w:rFonts w:asciiTheme="majorHAnsi" w:hAnsiTheme="majorHAnsi"/>
          <w:color w:val="000000" w:themeColor="text1"/>
          <w:sz w:val="20"/>
          <w:szCs w:val="20"/>
        </w:rPr>
        <w:t>). The State reported that Hebert Veloza García, alias “H.H.”, former Commander of the "Banana Farmers" Unit of the United Self-Defense Forces of Colombia (AUC), resigned and disbanded in November 2004 as the head of that legal structure and as head of the "Calima" Unit in December of that same year. It added that in 2006 he was called to testify, following which the prosecutor in the case had filed partial charges (</w:t>
      </w:r>
      <w:r w:rsidRPr="009165FD">
        <w:rPr>
          <w:rFonts w:asciiTheme="majorHAnsi" w:hAnsiTheme="majorHAnsi"/>
          <w:i/>
          <w:color w:val="000000" w:themeColor="text1"/>
          <w:sz w:val="20"/>
          <w:szCs w:val="20"/>
        </w:rPr>
        <w:t>efectuó la imputación parcial</w:t>
      </w:r>
      <w:r w:rsidRPr="009165FD">
        <w:rPr>
          <w:rFonts w:asciiTheme="majorHAnsi" w:hAnsiTheme="majorHAnsi"/>
          <w:color w:val="000000" w:themeColor="text1"/>
          <w:sz w:val="20"/>
          <w:szCs w:val="20"/>
        </w:rPr>
        <w:t xml:space="preserve">) and more than 30 convictions were handed down against him in the 17 months in which he was a candidate in Colombia in the Justice and Peace process, until his extradition to the United States of America on March 5, 2009. </w:t>
      </w:r>
    </w:p>
    <w:p w14:paraId="0088F0E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208DCA1F"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As regards the</w:t>
      </w:r>
      <w:r w:rsidRPr="009165FD">
        <w:rPr>
          <w:rFonts w:asciiTheme="majorHAnsi" w:hAnsiTheme="majorHAnsi"/>
          <w:b/>
          <w:color w:val="000000" w:themeColor="text1"/>
          <w:sz w:val="20"/>
          <w:szCs w:val="20"/>
        </w:rPr>
        <w:t xml:space="preserve"> right to life</w:t>
      </w:r>
      <w:r w:rsidRPr="009165FD">
        <w:rPr>
          <w:rFonts w:asciiTheme="majorHAnsi" w:hAnsiTheme="majorHAnsi"/>
          <w:color w:val="000000" w:themeColor="text1"/>
          <w:sz w:val="20"/>
          <w:szCs w:val="20"/>
        </w:rPr>
        <w:t xml:space="preserve">, the State maintained that no individual demonstration was provided of alleged support, acquiescence, collaboration, or tolerance on the part of State agents in the disappearance of the two alleged victims, nor, moreover, had it been shown in any way that the State knew of any real and immediate risk affecting the persons who in this case were victims of members of paramilitary </w:t>
      </w:r>
      <w:r w:rsidRPr="009165FD">
        <w:rPr>
          <w:rFonts w:asciiTheme="majorHAnsi" w:hAnsiTheme="majorHAnsi"/>
          <w:color w:val="000000" w:themeColor="text1"/>
          <w:sz w:val="20"/>
          <w:szCs w:val="20"/>
        </w:rPr>
        <w:lastRenderedPageBreak/>
        <w:t xml:space="preserve">groups. With respect to the </w:t>
      </w:r>
      <w:r w:rsidRPr="009165FD">
        <w:rPr>
          <w:rFonts w:asciiTheme="majorHAnsi" w:hAnsiTheme="majorHAnsi"/>
          <w:b/>
          <w:color w:val="000000" w:themeColor="text1"/>
          <w:sz w:val="20"/>
          <w:szCs w:val="20"/>
        </w:rPr>
        <w:t>right to personal liberty</w:t>
      </w:r>
      <w:r w:rsidRPr="009165FD">
        <w:rPr>
          <w:rFonts w:asciiTheme="majorHAnsi" w:hAnsiTheme="majorHAnsi"/>
          <w:color w:val="000000" w:themeColor="text1"/>
          <w:sz w:val="20"/>
          <w:szCs w:val="20"/>
        </w:rPr>
        <w:t xml:space="preserve">, the State alleged that in the capture of the alleged victims and during the time they were detained there was reliable evidence that their dignity and the other personal and judicial guarantees were respected. At the same time, the State considered that it could not be made responsible for the alleged violation of the Convention based on the disappearance, which occurred after the alleged victims had recovered their liberty by dint of a court order.  As for the right to </w:t>
      </w:r>
      <w:r w:rsidRPr="009165FD">
        <w:rPr>
          <w:rFonts w:asciiTheme="majorHAnsi" w:hAnsiTheme="majorHAnsi"/>
          <w:b/>
          <w:color w:val="000000" w:themeColor="text1"/>
          <w:sz w:val="20"/>
          <w:szCs w:val="20"/>
        </w:rPr>
        <w:t>personal integrity</w:t>
      </w:r>
      <w:r w:rsidRPr="009165FD">
        <w:rPr>
          <w:rFonts w:asciiTheme="majorHAnsi" w:hAnsiTheme="majorHAnsi"/>
          <w:color w:val="000000" w:themeColor="text1"/>
          <w:sz w:val="20"/>
          <w:szCs w:val="20"/>
        </w:rPr>
        <w:t xml:space="preserve">, the State reiterated that third parties were responsible for the disappearance of the alleged victims. </w:t>
      </w:r>
    </w:p>
    <w:p w14:paraId="7A8FCDB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79D3011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Regarding the </w:t>
      </w:r>
      <w:r w:rsidRPr="009165FD">
        <w:rPr>
          <w:rFonts w:asciiTheme="majorHAnsi" w:hAnsiTheme="majorHAnsi"/>
          <w:b/>
          <w:color w:val="000000" w:themeColor="text1"/>
          <w:sz w:val="20"/>
          <w:szCs w:val="20"/>
        </w:rPr>
        <w:t>right to judicial guarantees and judicial protection</w:t>
      </w:r>
      <w:r w:rsidRPr="009165FD">
        <w:rPr>
          <w:rFonts w:asciiTheme="majorHAnsi" w:hAnsiTheme="majorHAnsi"/>
          <w:color w:val="000000" w:themeColor="text1"/>
          <w:sz w:val="20"/>
          <w:szCs w:val="20"/>
        </w:rPr>
        <w:t>, the State indicated that no international responsibility existed for the violation of those rights and it considered that it was evident that the family members of the victims had had access to judicial mechanisms. The State pointed out that the Torres Arias family was living abroad, it had been constantly and vigorously active in connection with the processing of precautionary measures and it had even presented an action under Colombian law  for protection of constitutional rights (</w:t>
      </w:r>
      <w:r w:rsidRPr="009165FD">
        <w:rPr>
          <w:rFonts w:asciiTheme="majorHAnsi" w:hAnsiTheme="majorHAnsi"/>
          <w:i/>
          <w:color w:val="000000" w:themeColor="text1"/>
          <w:sz w:val="20"/>
          <w:szCs w:val="20"/>
        </w:rPr>
        <w:t>acción de tutela</w:t>
      </w:r>
      <w:r w:rsidRPr="009165FD">
        <w:rPr>
          <w:rFonts w:asciiTheme="majorHAnsi" w:hAnsiTheme="majorHAnsi"/>
          <w:color w:val="000000" w:themeColor="text1"/>
          <w:sz w:val="20"/>
          <w:szCs w:val="20"/>
        </w:rPr>
        <w:t xml:space="preserve">). The State added that it was strange in light of the above that none of the family members admitted to the case had constituted himself or herself as civil parties within the criminal proceedings. It further indicated that up to the second half of 2008, domestic proceedings had only managed to ascertain the participation of some perpetrators of the deeds described in the case and the punishments imposed had been exemplary, while it remained clear that there was no evidence linking State agents to those acts. According to the State, to this day there are no elements that constitute sufficient grounds to conclude that the State is internationally liable for any acts or omissions on its part.   The State added that the existence of a sentence to 20 years imprisonment handed down against a third party, whose direct participation was proven, contradicts the argument of "total impunity." It also claimed that the extremely complex nature of the case justified the time taken for domestic proceedings. </w:t>
      </w:r>
    </w:p>
    <w:p w14:paraId="2EDE96DE"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Arial"/>
          <w:color w:val="000000" w:themeColor="text1"/>
          <w:sz w:val="20"/>
          <w:szCs w:val="20"/>
        </w:rPr>
      </w:pPr>
    </w:p>
    <w:p w14:paraId="2C4E9AB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Arial"/>
          <w:color w:val="000000" w:themeColor="text1"/>
          <w:sz w:val="20"/>
          <w:szCs w:val="20"/>
        </w:rPr>
      </w:pPr>
      <w:r w:rsidRPr="009165FD">
        <w:rPr>
          <w:rFonts w:asciiTheme="majorHAnsi" w:hAnsiTheme="majorHAnsi"/>
          <w:color w:val="000000" w:themeColor="text1"/>
          <w:sz w:val="20"/>
          <w:szCs w:val="20"/>
        </w:rPr>
        <w:t xml:space="preserve">With respect the </w:t>
      </w:r>
      <w:r w:rsidRPr="009165FD">
        <w:rPr>
          <w:rFonts w:asciiTheme="majorHAnsi" w:hAnsiTheme="majorHAnsi"/>
          <w:b/>
          <w:color w:val="000000" w:themeColor="text1"/>
          <w:sz w:val="20"/>
          <w:szCs w:val="20"/>
        </w:rPr>
        <w:t>right to family</w:t>
      </w:r>
      <w:r w:rsidRPr="009165FD">
        <w:rPr>
          <w:rFonts w:asciiTheme="majorHAnsi" w:hAnsiTheme="majorHAnsi"/>
          <w:color w:val="000000" w:themeColor="text1"/>
          <w:sz w:val="20"/>
          <w:szCs w:val="20"/>
        </w:rPr>
        <w:t>, the State maintained that there were no pointers to the existence of a causal link between the acts of the case and the effects on the family, such as the displacement, departure from the country, and death of other members of the family. It also stated that the alleged violation of Article 17 of the Convention had to be examined in light of Article 5 of that same instrument.</w:t>
      </w:r>
    </w:p>
    <w:p w14:paraId="5E913C2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color w:val="000000" w:themeColor="text1"/>
          <w:sz w:val="20"/>
          <w:szCs w:val="20"/>
        </w:rPr>
      </w:pPr>
    </w:p>
    <w:p w14:paraId="04BEC6A5" w14:textId="77777777" w:rsidR="00334B20" w:rsidRPr="009165FD" w:rsidRDefault="00334B20" w:rsidP="00334B20">
      <w:pPr>
        <w:pStyle w:val="Heading1"/>
      </w:pPr>
      <w:bookmarkStart w:id="15" w:name="_Toc401323762"/>
      <w:bookmarkStart w:id="16" w:name="_Toc489882492"/>
      <w:r w:rsidRPr="009165FD">
        <w:t>PROVEN FACTS</w:t>
      </w:r>
      <w:bookmarkEnd w:id="15"/>
      <w:bookmarkEnd w:id="16"/>
    </w:p>
    <w:p w14:paraId="25D76D2D" w14:textId="77777777" w:rsidR="00334B20" w:rsidRPr="009165FD" w:rsidRDefault="00334B20" w:rsidP="00334B20">
      <w:pPr>
        <w:rPr>
          <w:rFonts w:asciiTheme="majorHAnsi" w:hAnsiTheme="majorHAnsi"/>
          <w:sz w:val="20"/>
          <w:szCs w:val="20"/>
        </w:rPr>
      </w:pPr>
    </w:p>
    <w:p w14:paraId="54842AE4" w14:textId="77777777" w:rsidR="00334B20" w:rsidRPr="009165FD" w:rsidRDefault="00334B20" w:rsidP="00334B20">
      <w:pPr>
        <w:pStyle w:val="Heading2"/>
      </w:pPr>
      <w:bookmarkStart w:id="17" w:name="_Toc401323763"/>
      <w:bookmarkStart w:id="18" w:name="_Toc489882493"/>
      <w:r w:rsidRPr="009165FD">
        <w:t>Context</w:t>
      </w:r>
      <w:bookmarkEnd w:id="17"/>
      <w:bookmarkEnd w:id="18"/>
      <w:r w:rsidRPr="009165FD">
        <w:t xml:space="preserve"> </w:t>
      </w:r>
    </w:p>
    <w:p w14:paraId="6D6E5AF8" w14:textId="77777777" w:rsidR="00334B20" w:rsidRPr="009165FD" w:rsidRDefault="00334B20" w:rsidP="00334B20">
      <w:pPr>
        <w:rPr>
          <w:rFonts w:asciiTheme="majorHAnsi" w:hAnsiTheme="majorHAnsi"/>
          <w:sz w:val="20"/>
          <w:szCs w:val="20"/>
        </w:rPr>
      </w:pPr>
    </w:p>
    <w:p w14:paraId="3DA4DCBF" w14:textId="77777777" w:rsidR="00334B20" w:rsidRPr="009165FD" w:rsidRDefault="00334B20" w:rsidP="00334B20">
      <w:pPr>
        <w:pStyle w:val="Heading3"/>
      </w:pPr>
      <w:bookmarkStart w:id="19" w:name="_Toc401323764"/>
      <w:bookmarkStart w:id="20" w:name="_Toc489882494"/>
      <w:r w:rsidRPr="009165FD">
        <w:t>Regarding the paramilitary phenomenon in Colombia</w:t>
      </w:r>
      <w:bookmarkEnd w:id="19"/>
      <w:bookmarkEnd w:id="20"/>
    </w:p>
    <w:p w14:paraId="78B56094" w14:textId="77777777" w:rsidR="00334B20" w:rsidRPr="009165FD" w:rsidRDefault="00334B20" w:rsidP="00334B20">
      <w:pPr>
        <w:rPr>
          <w:rFonts w:asciiTheme="majorHAnsi" w:hAnsiTheme="majorHAnsi"/>
          <w:sz w:val="20"/>
          <w:szCs w:val="20"/>
        </w:rPr>
      </w:pPr>
    </w:p>
    <w:p w14:paraId="6146FBC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organs of the inter-American system have monitored human rights violation committed in the context of Colombia's internal armed conflict and, in particular, the actions of paramilitary groups.</w:t>
      </w:r>
    </w:p>
    <w:p w14:paraId="7B353430"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4320192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As the IACHR established in its Third Report on the Human Rights Situation in Colombia, the State played a major part in developing the so-called paramilitary or self-defense groups, which it allowed to act with legal protection and legitimacy in the 1970s and 1980s,</w:t>
      </w:r>
      <w:r w:rsidRPr="009165FD">
        <w:rPr>
          <w:rFonts w:asciiTheme="majorHAnsi" w:hAnsiTheme="majorHAnsi"/>
          <w:color w:val="000000" w:themeColor="text1"/>
          <w:sz w:val="20"/>
          <w:szCs w:val="20"/>
          <w:vertAlign w:val="superscript"/>
        </w:rPr>
        <w:footnoteReference w:id="5"/>
      </w:r>
      <w:r w:rsidRPr="009165FD">
        <w:rPr>
          <w:rFonts w:asciiTheme="majorHAnsi" w:hAnsiTheme="majorHAnsi"/>
          <w:color w:val="000000" w:themeColor="text1"/>
          <w:sz w:val="20"/>
          <w:szCs w:val="20"/>
        </w:rPr>
        <w:t xml:space="preserve"> and it is broadly responsible for their existence and strengthening.</w:t>
      </w:r>
      <w:r w:rsidRPr="009165FD">
        <w:rPr>
          <w:rFonts w:asciiTheme="majorHAnsi" w:hAnsiTheme="majorHAnsi"/>
          <w:color w:val="000000" w:themeColor="text1"/>
          <w:sz w:val="20"/>
          <w:szCs w:val="20"/>
          <w:vertAlign w:val="superscript"/>
        </w:rPr>
        <w:footnoteReference w:id="6"/>
      </w:r>
      <w:r w:rsidRPr="009165FD">
        <w:rPr>
          <w:rFonts w:asciiTheme="majorHAnsi" w:hAnsiTheme="majorHAnsi"/>
          <w:color w:val="000000" w:themeColor="text1"/>
          <w:sz w:val="20"/>
          <w:szCs w:val="20"/>
        </w:rPr>
        <w:t>.</w:t>
      </w:r>
    </w:p>
    <w:p w14:paraId="4172205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524ECF3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These groups, either sponsored or accepted by sectors of the Armed Forces, were in large part created with the aim of combating armed dissident groups.</w:t>
      </w:r>
      <w:r w:rsidRPr="009165FD">
        <w:rPr>
          <w:rFonts w:asciiTheme="majorHAnsi" w:hAnsiTheme="majorHAnsi"/>
          <w:color w:val="000000" w:themeColor="text1"/>
          <w:sz w:val="20"/>
          <w:szCs w:val="20"/>
          <w:vertAlign w:val="superscript"/>
        </w:rPr>
        <w:footnoteReference w:id="7"/>
      </w:r>
      <w:r w:rsidRPr="009165FD">
        <w:rPr>
          <w:rFonts w:asciiTheme="majorHAnsi" w:hAnsiTheme="majorHAnsi"/>
          <w:color w:val="000000" w:themeColor="text1"/>
          <w:sz w:val="20"/>
          <w:szCs w:val="20"/>
        </w:rPr>
        <w:t xml:space="preserve"> Furthermore, as a result of their counter-insurgency motivation, paramilitary groups formed ties with the Colombian Army that strengthened over more than two decades</w:t>
      </w:r>
      <w:r w:rsidRPr="009165FD">
        <w:rPr>
          <w:rStyle w:val="FootnoteReference"/>
          <w:rFonts w:asciiTheme="majorHAnsi" w:hAnsiTheme="majorHAnsi"/>
          <w:color w:val="000000" w:themeColor="text1"/>
          <w:sz w:val="20"/>
          <w:szCs w:val="20"/>
        </w:rPr>
        <w:footnoteReference w:id="8"/>
      </w:r>
      <w:r w:rsidRPr="009165FD">
        <w:rPr>
          <w:rFonts w:asciiTheme="majorHAnsi" w:hAnsiTheme="majorHAnsi"/>
          <w:color w:val="000000" w:themeColor="text1"/>
          <w:sz w:val="20"/>
          <w:szCs w:val="20"/>
        </w:rPr>
        <w:t>.  Finally, on May 25, 1989, the Supreme Court of Justice declared the unconstitutionality of paragraph 3 of Article 33 of Legislative Decree 3398, which had provided a legal basis for the establishment of self-defense groups</w:t>
      </w:r>
      <w:r w:rsidRPr="009165FD">
        <w:rPr>
          <w:rStyle w:val="FootnoteReference"/>
          <w:rFonts w:asciiTheme="majorHAnsi" w:hAnsiTheme="majorHAnsi"/>
          <w:color w:val="000000" w:themeColor="text1"/>
          <w:sz w:val="20"/>
          <w:szCs w:val="20"/>
        </w:rPr>
        <w:footnoteReference w:id="9"/>
      </w:r>
      <w:r w:rsidRPr="009165FD">
        <w:rPr>
          <w:rFonts w:asciiTheme="majorHAnsi" w:hAnsiTheme="majorHAnsi"/>
          <w:color w:val="000000" w:themeColor="text1"/>
          <w:sz w:val="20"/>
          <w:szCs w:val="20"/>
        </w:rPr>
        <w:t xml:space="preserve"> and withdrew the legal support for their ties to national defense, following which the State adopted a series of legislative measures criminalizing the activities of these groups and of those lending them support.</w:t>
      </w:r>
      <w:r w:rsidRPr="009165FD">
        <w:rPr>
          <w:rFonts w:asciiTheme="majorHAnsi" w:hAnsiTheme="majorHAnsi"/>
          <w:color w:val="000000" w:themeColor="text1"/>
          <w:sz w:val="20"/>
          <w:szCs w:val="20"/>
          <w:vertAlign w:val="superscript"/>
        </w:rPr>
        <w:footnoteReference w:id="10"/>
      </w:r>
      <w:r w:rsidRPr="009165FD">
        <w:rPr>
          <w:rFonts w:asciiTheme="majorHAnsi" w:hAnsiTheme="majorHAnsi"/>
          <w:color w:val="000000" w:themeColor="text1"/>
          <w:sz w:val="20"/>
          <w:szCs w:val="20"/>
        </w:rPr>
        <w:t xml:space="preserve">  In spite of that, the State did little to dismantle the structure it had created and encouraged, particularly when the groups conducted counterinsurgency activities; in fact, the ties remained in place at several levels, with the paramilitaries, in some cases, being asked or allowed to carry out certain illegal acts on the understanding that they would not be investigated, prosecuted, or punished.</w:t>
      </w:r>
      <w:r w:rsidRPr="009165FD">
        <w:rPr>
          <w:rFonts w:asciiTheme="majorHAnsi" w:hAnsiTheme="majorHAnsi"/>
          <w:color w:val="000000" w:themeColor="text1"/>
          <w:sz w:val="20"/>
          <w:szCs w:val="20"/>
          <w:vertAlign w:val="superscript"/>
        </w:rPr>
        <w:footnoteReference w:id="11"/>
      </w:r>
      <w:r w:rsidRPr="009165FD">
        <w:rPr>
          <w:rFonts w:asciiTheme="majorHAnsi" w:hAnsiTheme="majorHAnsi"/>
          <w:color w:val="000000" w:themeColor="text1"/>
          <w:sz w:val="20"/>
          <w:szCs w:val="20"/>
        </w:rPr>
        <w:t xml:space="preserve">  The toleration of these groups by certain sectors in the Army has been denounced even by State bodies.</w:t>
      </w:r>
      <w:r w:rsidRPr="009165FD">
        <w:rPr>
          <w:rFonts w:asciiTheme="majorHAnsi" w:hAnsiTheme="majorHAnsi"/>
          <w:color w:val="000000" w:themeColor="text1"/>
          <w:sz w:val="20"/>
          <w:szCs w:val="20"/>
          <w:vertAlign w:val="superscript"/>
        </w:rPr>
        <w:footnoteReference w:id="12"/>
      </w:r>
    </w:p>
    <w:p w14:paraId="3471551E"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7ADB205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particular, at the time of the facts of the instant case, the Commission received information indicating that elements n the Colombian armed forces were supporting and collaborating with the paramilitary groups in their illicit activities and that, notably at their Third National Summit, held toward the end of 1996, the paramilitary groups acknowledged and discussed their cooperation with the national security forces.</w:t>
      </w:r>
      <w:r w:rsidRPr="009165FD">
        <w:rPr>
          <w:rStyle w:val="FootnoteReference"/>
          <w:rFonts w:asciiTheme="majorHAnsi" w:hAnsiTheme="majorHAnsi"/>
          <w:color w:val="000000" w:themeColor="text1"/>
          <w:spacing w:val="-3"/>
          <w:sz w:val="20"/>
          <w:szCs w:val="20"/>
        </w:rPr>
        <w:footnoteReference w:id="13"/>
      </w:r>
      <w:r w:rsidRPr="009165FD">
        <w:rPr>
          <w:rFonts w:asciiTheme="majorHAnsi" w:hAnsiTheme="majorHAnsi"/>
          <w:color w:val="000000" w:themeColor="text1"/>
          <w:sz w:val="20"/>
          <w:szCs w:val="20"/>
        </w:rPr>
        <w:t xml:space="preserve"> The Commission has further considered that the State did not act appropriately to control the paramilitary groups, because a curtain of impunity has protected those groups almost entirely, as well as the members of the security forces supposedly related to them. The Commission likewise maintained that the problems exposed with regard to the military justice system and the excessively broad interpretation of the offenses to be heard under that system were part of the problem.</w:t>
      </w:r>
      <w:r w:rsidRPr="009165FD">
        <w:rPr>
          <w:rStyle w:val="FootnoteReference"/>
          <w:rFonts w:asciiTheme="majorHAnsi" w:hAnsiTheme="majorHAnsi"/>
          <w:color w:val="000000" w:themeColor="text1"/>
          <w:spacing w:val="-3"/>
          <w:sz w:val="20"/>
          <w:szCs w:val="20"/>
        </w:rPr>
        <w:footnoteReference w:id="14"/>
      </w:r>
      <w:r w:rsidRPr="009165FD">
        <w:rPr>
          <w:rFonts w:asciiTheme="majorHAnsi" w:hAnsiTheme="majorHAnsi"/>
          <w:color w:val="000000" w:themeColor="text1"/>
          <w:sz w:val="20"/>
          <w:szCs w:val="20"/>
        </w:rPr>
        <w:t xml:space="preserve">   </w:t>
      </w:r>
    </w:p>
    <w:p w14:paraId="4374652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635A326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From all the above, the Commission notes that initially the State encouraged the creation of “self-defense” groups with specific objectives, but these were overstepped, and they began to function outside the law, on occasion in collaboration with or with the acquiescence of agents of the State. The Court has observed that said "paramilitary groups are responsible for numerous murders [...] and many of the human rights violations committed [in Colombia] generally."</w:t>
      </w:r>
      <w:r w:rsidRPr="009165FD">
        <w:rPr>
          <w:rStyle w:val="FootnoteReference"/>
          <w:rFonts w:asciiTheme="majorHAnsi" w:hAnsiTheme="majorHAnsi"/>
          <w:color w:val="000000" w:themeColor="text1"/>
          <w:sz w:val="20"/>
          <w:szCs w:val="20"/>
        </w:rPr>
        <w:footnoteReference w:id="15"/>
      </w:r>
    </w:p>
    <w:p w14:paraId="164CAF6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6F2B4C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This situation has led the Commission to establish, for the purposes of determining the international responsibility of the State pursuant to the American Convention, that in cases in which the paramilitary and members of the Army conduct joint operations  with the knowledge of higher-ranking officers, or when the paramilitary groups act with the acquiescence or collaboration of the Security Forces, it shall be considered that the paramilitary groups are acting as agents of the State.</w:t>
      </w:r>
      <w:r w:rsidRPr="009165FD">
        <w:rPr>
          <w:rFonts w:asciiTheme="majorHAnsi" w:hAnsiTheme="majorHAnsi"/>
          <w:color w:val="000000" w:themeColor="text1"/>
          <w:sz w:val="20"/>
          <w:szCs w:val="20"/>
          <w:vertAlign w:val="superscript"/>
        </w:rPr>
        <w:footnoteReference w:id="16"/>
      </w:r>
    </w:p>
    <w:p w14:paraId="780EEBE5"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6F7C9EB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For its part, the Inter-American Court has ascertained, at various times and in different geographical contexts, the existence of ties between the Colombian Armed Forces and paramilitary groups. A combined review of cases decided on by the Commission and subsequently by the Inter-American Court points to the existence of a link between the paramilitary groups and members of the security forces in connection with violations of human rights, such as [extra]judicial executions, forced disappearances, cruel, inhuman, or degrading treatment, forced displacement, and so on. This link is evidenced through either acts of direct support, collaboration, or coordination or through omissions by members of teh security forces that have facilitated the actions of the paramilitary groups. Such cases include, but are not limited to: </w:t>
      </w:r>
      <w:r w:rsidRPr="009165FD">
        <w:rPr>
          <w:rFonts w:asciiTheme="majorHAnsi" w:hAnsiTheme="majorHAnsi"/>
          <w:i/>
          <w:color w:val="000000" w:themeColor="text1"/>
          <w:sz w:val="20"/>
          <w:szCs w:val="20"/>
        </w:rPr>
        <w:t>19 Merchants,</w:t>
      </w:r>
      <w:r w:rsidRPr="009165FD">
        <w:rPr>
          <w:rStyle w:val="FootnoteReference"/>
          <w:rFonts w:asciiTheme="majorHAnsi" w:hAnsiTheme="majorHAnsi"/>
          <w:color w:val="000000" w:themeColor="text1"/>
          <w:sz w:val="20"/>
          <w:szCs w:val="20"/>
        </w:rPr>
        <w:footnoteReference w:id="17"/>
      </w:r>
      <w:r w:rsidRPr="009165FD">
        <w:rPr>
          <w:rFonts w:asciiTheme="majorHAnsi" w:hAnsiTheme="majorHAnsi"/>
          <w:i/>
          <w:color w:val="000000" w:themeColor="text1"/>
          <w:sz w:val="20"/>
          <w:szCs w:val="20"/>
        </w:rPr>
        <w:t xml:space="preserve"> the Mapiripán Massacre,</w:t>
      </w:r>
      <w:r w:rsidRPr="009165FD">
        <w:rPr>
          <w:rStyle w:val="FootnoteReference"/>
          <w:rFonts w:asciiTheme="majorHAnsi" w:hAnsiTheme="majorHAnsi"/>
          <w:color w:val="000000" w:themeColor="text1"/>
          <w:sz w:val="20"/>
          <w:szCs w:val="20"/>
        </w:rPr>
        <w:footnoteReference w:id="18"/>
      </w:r>
      <w:r w:rsidRPr="009165FD">
        <w:rPr>
          <w:rFonts w:asciiTheme="majorHAnsi" w:hAnsiTheme="majorHAnsi"/>
          <w:i/>
          <w:color w:val="000000" w:themeColor="text1"/>
          <w:sz w:val="20"/>
          <w:szCs w:val="20"/>
        </w:rPr>
        <w:t xml:space="preserve"> the El Aro and Ituango Massacres,</w:t>
      </w:r>
      <w:r w:rsidRPr="009165FD">
        <w:rPr>
          <w:rStyle w:val="FootnoteReference"/>
          <w:rFonts w:asciiTheme="majorHAnsi" w:hAnsiTheme="majorHAnsi"/>
          <w:color w:val="000000" w:themeColor="text1"/>
          <w:sz w:val="20"/>
          <w:szCs w:val="20"/>
        </w:rPr>
        <w:footnoteReference w:id="19"/>
      </w:r>
      <w:r w:rsidRPr="009165FD">
        <w:rPr>
          <w:rFonts w:asciiTheme="majorHAnsi" w:hAnsiTheme="majorHAnsi"/>
          <w:i/>
          <w:color w:val="000000" w:themeColor="text1"/>
          <w:sz w:val="20"/>
          <w:szCs w:val="20"/>
        </w:rPr>
        <w:t xml:space="preserve"> </w:t>
      </w:r>
      <w:r w:rsidRPr="009165FD">
        <w:rPr>
          <w:rFonts w:asciiTheme="majorHAnsi" w:hAnsiTheme="majorHAnsi"/>
          <w:color w:val="000000" w:themeColor="text1"/>
          <w:sz w:val="20"/>
          <w:szCs w:val="20"/>
        </w:rPr>
        <w:t>and</w:t>
      </w:r>
      <w:r w:rsidRPr="009165FD">
        <w:rPr>
          <w:rFonts w:asciiTheme="majorHAnsi" w:hAnsiTheme="majorHAnsi"/>
          <w:i/>
          <w:color w:val="000000" w:themeColor="text1"/>
          <w:sz w:val="20"/>
          <w:szCs w:val="20"/>
        </w:rPr>
        <w:t xml:space="preserve"> Cepeda Vargas</w:t>
      </w:r>
      <w:r w:rsidRPr="009165FD">
        <w:rPr>
          <w:rStyle w:val="FootnoteReference"/>
          <w:rFonts w:asciiTheme="majorHAnsi" w:hAnsiTheme="majorHAnsi"/>
          <w:color w:val="000000" w:themeColor="text1"/>
          <w:sz w:val="20"/>
          <w:szCs w:val="20"/>
        </w:rPr>
        <w:footnoteReference w:id="20"/>
      </w:r>
      <w:r w:rsidRPr="009165FD">
        <w:rPr>
          <w:rFonts w:asciiTheme="majorHAnsi" w:hAnsiTheme="majorHAnsi"/>
          <w:color w:val="000000" w:themeColor="text1"/>
          <w:sz w:val="20"/>
          <w:szCs w:val="20"/>
        </w:rPr>
        <w:t xml:space="preserve"> </w:t>
      </w:r>
    </w:p>
    <w:p w14:paraId="1AE182F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5869DEE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i/>
          <w:color w:val="000000" w:themeColor="text1"/>
          <w:sz w:val="20"/>
          <w:szCs w:val="20"/>
        </w:rPr>
      </w:pPr>
      <w:r w:rsidRPr="009165FD">
        <w:rPr>
          <w:rFonts w:asciiTheme="majorHAnsi" w:hAnsiTheme="majorHAnsi"/>
          <w:color w:val="000000" w:themeColor="text1"/>
          <w:sz w:val="20"/>
          <w:szCs w:val="20"/>
        </w:rPr>
        <w:t xml:space="preserve">Specifically, in the case of the </w:t>
      </w:r>
      <w:r w:rsidRPr="009165FD">
        <w:rPr>
          <w:rFonts w:asciiTheme="majorHAnsi" w:hAnsiTheme="majorHAnsi"/>
          <w:i/>
          <w:color w:val="000000" w:themeColor="text1"/>
          <w:sz w:val="20"/>
          <w:szCs w:val="20"/>
        </w:rPr>
        <w:t>La Rochela Massacre</w:t>
      </w:r>
      <w:r w:rsidRPr="009165FD">
        <w:rPr>
          <w:rFonts w:asciiTheme="majorHAnsi" w:hAnsiTheme="majorHAnsi"/>
          <w:color w:val="000000" w:themeColor="text1"/>
          <w:sz w:val="20"/>
          <w:szCs w:val="20"/>
        </w:rPr>
        <w:t>, the Court summarized the grounds for assigning international responsibility to the State for acts committed by paramilitary. First, it reiterated the international responsibility of Colombia: 1) for having issued a legal framework that propitiated the creation of self-defense groups that turned into paramilitary groups; and ii) for failing to adopt all the measures needed to put an effective end to the situation of risk created by the State itself when it issued those provisions.</w:t>
      </w:r>
      <w:r w:rsidRPr="009165FD">
        <w:rPr>
          <w:rStyle w:val="FootnoteReference"/>
          <w:rFonts w:asciiTheme="majorHAnsi" w:hAnsiTheme="majorHAnsi"/>
          <w:color w:val="000000" w:themeColor="text1"/>
          <w:sz w:val="20"/>
          <w:szCs w:val="20"/>
        </w:rPr>
        <w:footnoteReference w:id="21"/>
      </w:r>
      <w:r w:rsidRPr="009165FD">
        <w:rPr>
          <w:rFonts w:asciiTheme="majorHAnsi" w:hAnsiTheme="majorHAnsi"/>
          <w:color w:val="000000" w:themeColor="text1"/>
          <w:sz w:val="20"/>
          <w:szCs w:val="20"/>
        </w:rPr>
        <w:t>. Second, the Court pointed out that it had declared Colombia responsible because of its failure to meet its duty to provide guarantees by adopting effective prevention and protection measures for the civilian population that found itself in a situation of risk with regard to paramilitary groups that could reasonably have been foreseen by members of the Armed Forces or State Security.</w:t>
      </w:r>
      <w:r w:rsidRPr="009165FD">
        <w:rPr>
          <w:rStyle w:val="FootnoteReference"/>
          <w:rFonts w:asciiTheme="majorHAnsi" w:hAnsiTheme="majorHAnsi"/>
          <w:color w:val="000000" w:themeColor="text1"/>
          <w:sz w:val="20"/>
          <w:szCs w:val="20"/>
        </w:rPr>
        <w:footnoteReference w:id="22"/>
      </w:r>
      <w:r w:rsidRPr="009165FD">
        <w:rPr>
          <w:rFonts w:asciiTheme="majorHAnsi" w:hAnsiTheme="majorHAnsi"/>
          <w:color w:val="000000" w:themeColor="text1"/>
          <w:sz w:val="20"/>
          <w:szCs w:val="20"/>
        </w:rPr>
        <w:t xml:space="preserve"> Third, the Court indicated that on several occasions it had found Colombia responsible for violations committed by paramilitary groups with the support, acquiescence, participation, and collaboration of members of the security forces.</w:t>
      </w:r>
      <w:r w:rsidRPr="009165FD">
        <w:rPr>
          <w:rStyle w:val="FootnoteReference"/>
          <w:rFonts w:asciiTheme="majorHAnsi" w:hAnsiTheme="majorHAnsi"/>
          <w:color w:val="000000" w:themeColor="text1"/>
          <w:sz w:val="20"/>
          <w:szCs w:val="20"/>
        </w:rPr>
        <w:footnoteReference w:id="23"/>
      </w:r>
    </w:p>
    <w:p w14:paraId="7099EF7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i/>
          <w:color w:val="000000" w:themeColor="text1"/>
          <w:sz w:val="20"/>
          <w:szCs w:val="20"/>
        </w:rPr>
      </w:pPr>
    </w:p>
    <w:p w14:paraId="5C85232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Recently, in the case of the </w:t>
      </w:r>
      <w:r w:rsidRPr="009165FD">
        <w:rPr>
          <w:rFonts w:asciiTheme="majorHAnsi" w:hAnsiTheme="majorHAnsi"/>
          <w:i/>
          <w:color w:val="000000" w:themeColor="text1"/>
          <w:sz w:val="20"/>
          <w:szCs w:val="20"/>
        </w:rPr>
        <w:t>Afro-descendant Communities displaced from the Cacarica River basin (Operation Genesis)</w:t>
      </w:r>
      <w:r w:rsidRPr="009165FD">
        <w:rPr>
          <w:rFonts w:asciiTheme="majorHAnsi" w:hAnsiTheme="majorHAnsi"/>
          <w:color w:val="000000" w:themeColor="text1"/>
          <w:sz w:val="20"/>
          <w:szCs w:val="20"/>
        </w:rPr>
        <w:t>, the Court  pointed out that "it is a well-known public fact that various decisions of Colombia’s high courts have referred to the connections existing between paramilitary groups and members of the Armed Forces,</w:t>
      </w:r>
      <w:r w:rsidRPr="009165FD">
        <w:rPr>
          <w:rStyle w:val="FootnoteReference"/>
          <w:rFonts w:asciiTheme="majorHAnsi" w:hAnsiTheme="majorHAnsi"/>
          <w:color w:val="000000" w:themeColor="text1"/>
          <w:sz w:val="20"/>
          <w:szCs w:val="20"/>
        </w:rPr>
        <w:footnoteReference w:id="24"/>
      </w:r>
      <w:r w:rsidRPr="009165FD">
        <w:rPr>
          <w:rFonts w:asciiTheme="majorHAnsi" w:hAnsiTheme="majorHAnsi"/>
          <w:color w:val="000000" w:themeColor="text1"/>
          <w:sz w:val="20"/>
          <w:szCs w:val="20"/>
        </w:rPr>
        <w:t xml:space="preserve"> as have several reports of the Ombudsman’s Office.</w:t>
      </w:r>
      <w:r w:rsidRPr="009165FD">
        <w:rPr>
          <w:rStyle w:val="FootnoteReference"/>
          <w:rFonts w:asciiTheme="majorHAnsi" w:hAnsiTheme="majorHAnsi"/>
          <w:color w:val="000000" w:themeColor="text1"/>
          <w:sz w:val="20"/>
          <w:szCs w:val="20"/>
        </w:rPr>
        <w:footnoteReference w:id="25"/>
      </w:r>
      <w:r w:rsidRPr="009165FD">
        <w:rPr>
          <w:rFonts w:asciiTheme="majorHAnsi" w:hAnsiTheme="majorHAnsi"/>
          <w:color w:val="000000" w:themeColor="text1"/>
          <w:sz w:val="20"/>
          <w:szCs w:val="20"/>
        </w:rPr>
        <w:t xml:space="preserve"> This Court’s case law also reveals </w:t>
      </w:r>
      <w:r w:rsidRPr="009165FD">
        <w:rPr>
          <w:rFonts w:asciiTheme="majorHAnsi" w:hAnsiTheme="majorHAnsi"/>
          <w:color w:val="000000" w:themeColor="text1"/>
          <w:sz w:val="20"/>
          <w:szCs w:val="20"/>
        </w:rPr>
        <w:lastRenderedPageBreak/>
        <w:t>that, on other occasions, it has taken into account reports and decisions of the Public Prosecution Service in which the collaboration between members of the Army and paramilitary groups in the department of Antioquía was considered proved."</w:t>
      </w:r>
      <w:r w:rsidRPr="009165FD">
        <w:rPr>
          <w:rStyle w:val="FootnoteReference"/>
          <w:rFonts w:asciiTheme="majorHAnsi" w:hAnsiTheme="majorHAnsi"/>
          <w:color w:val="000000" w:themeColor="text1"/>
          <w:sz w:val="20"/>
          <w:szCs w:val="20"/>
        </w:rPr>
        <w:footnoteReference w:id="26"/>
      </w:r>
      <w:r w:rsidRPr="009165FD">
        <w:rPr>
          <w:rFonts w:asciiTheme="majorHAnsi" w:hAnsiTheme="majorHAnsi"/>
          <w:color w:val="000000" w:themeColor="text1"/>
          <w:sz w:val="20"/>
          <w:szCs w:val="20"/>
        </w:rPr>
        <w:t xml:space="preserve"> "Furthermore, the reports published by the National Historical Memory Center (...) also contain accounts of different scenarios in which there were connections between the Colombian Armed Forces and the paramilitary groups."</w:t>
      </w:r>
      <w:r w:rsidRPr="009165FD">
        <w:rPr>
          <w:rStyle w:val="FootnoteReference"/>
          <w:rFonts w:asciiTheme="majorHAnsi" w:hAnsiTheme="majorHAnsi"/>
          <w:color w:val="000000" w:themeColor="text1"/>
          <w:sz w:val="20"/>
          <w:szCs w:val="20"/>
        </w:rPr>
        <w:footnoteReference w:id="27"/>
      </w:r>
    </w:p>
    <w:p w14:paraId="7AA2E83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56B427C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the same judgment the Court pointed out that:</w:t>
      </w:r>
    </w:p>
    <w:p w14:paraId="2F144621" w14:textId="77777777" w:rsidR="00795A52" w:rsidRDefault="00795A52" w:rsidP="00334B20">
      <w:pPr>
        <w:pStyle w:val="ListParagraph"/>
        <w:autoSpaceDE w:val="0"/>
        <w:autoSpaceDN w:val="0"/>
        <w:adjustRightInd w:val="0"/>
        <w:ind w:right="720"/>
        <w:jc w:val="both"/>
        <w:rPr>
          <w:rFonts w:asciiTheme="majorHAnsi" w:hAnsiTheme="majorHAnsi"/>
          <w:color w:val="000000" w:themeColor="text1"/>
          <w:sz w:val="20"/>
          <w:szCs w:val="20"/>
        </w:rPr>
      </w:pPr>
    </w:p>
    <w:p w14:paraId="5867D3CA"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accordance with what has been indicated by several State institutions, different United Nations bodies and agencies (the Commission on Human Rights, the Office of the High Commissioner for Human Rights, the Human Rights Committee of the International Covenant on Civil and Political Rights</w:t>
      </w:r>
      <w:r w:rsidRPr="009165FD">
        <w:rPr>
          <w:rStyle w:val="FootnoteReference"/>
          <w:rFonts w:asciiTheme="majorHAnsi" w:hAnsiTheme="majorHAnsi"/>
          <w:color w:val="000000" w:themeColor="text1"/>
          <w:sz w:val="20"/>
          <w:szCs w:val="20"/>
        </w:rPr>
        <w:footnoteReference w:id="28"/>
      </w:r>
      <w:r w:rsidRPr="009165FD">
        <w:rPr>
          <w:rFonts w:asciiTheme="majorHAnsi" w:hAnsiTheme="majorHAnsi"/>
          <w:color w:val="000000" w:themeColor="text1"/>
          <w:sz w:val="20"/>
          <w:szCs w:val="20"/>
        </w:rPr>
        <w:t>) and the ILO</w:t>
      </w:r>
      <w:r w:rsidRPr="009165FD">
        <w:rPr>
          <w:rStyle w:val="FootnoteReference"/>
          <w:rFonts w:asciiTheme="majorHAnsi" w:hAnsiTheme="majorHAnsi"/>
          <w:color w:val="000000" w:themeColor="text1"/>
          <w:sz w:val="20"/>
          <w:szCs w:val="20"/>
        </w:rPr>
        <w:footnoteReference w:id="29"/>
      </w:r>
      <w:r w:rsidRPr="009165FD">
        <w:rPr>
          <w:rFonts w:asciiTheme="majorHAnsi" w:hAnsiTheme="majorHAnsi"/>
          <w:color w:val="000000" w:themeColor="text1"/>
          <w:sz w:val="20"/>
          <w:szCs w:val="20"/>
        </w:rPr>
        <w:t>)</w:t>
      </w:r>
      <w:r w:rsidRPr="009165FD">
        <w:rPr>
          <w:rFonts w:asciiTheme="majorHAnsi" w:hAnsiTheme="majorHAnsi"/>
          <w:b/>
          <w:color w:val="000000" w:themeColor="text1"/>
          <w:sz w:val="20"/>
          <w:szCs w:val="20"/>
        </w:rPr>
        <w:t xml:space="preserve"> </w:t>
      </w:r>
      <w:r w:rsidRPr="009165FD">
        <w:rPr>
          <w:rFonts w:asciiTheme="majorHAnsi" w:hAnsiTheme="majorHAnsi"/>
          <w:color w:val="000000" w:themeColor="text1"/>
          <w:sz w:val="20"/>
          <w:szCs w:val="20"/>
        </w:rPr>
        <w:t xml:space="preserve">have referred to this context of connections between the Armed Forces and the paramilitaries. Lastly, some expert opinions </w:t>
      </w:r>
      <w:r w:rsidRPr="009165FD">
        <w:rPr>
          <w:rFonts w:asciiTheme="majorHAnsi" w:hAnsiTheme="majorHAnsi"/>
          <w:color w:val="000000" w:themeColor="text1"/>
          <w:sz w:val="20"/>
          <w:szCs w:val="20"/>
        </w:rPr>
        <w:lastRenderedPageBreak/>
        <w:t>presented in these proceedings</w:t>
      </w:r>
      <w:r w:rsidRPr="009165FD">
        <w:rPr>
          <w:rStyle w:val="FootnoteReference"/>
          <w:rFonts w:asciiTheme="majorHAnsi" w:hAnsiTheme="majorHAnsi"/>
          <w:color w:val="000000" w:themeColor="text1"/>
          <w:sz w:val="20"/>
          <w:szCs w:val="20"/>
        </w:rPr>
        <w:footnoteReference w:id="30"/>
      </w:r>
      <w:r w:rsidRPr="009165FD">
        <w:rPr>
          <w:rFonts w:asciiTheme="majorHAnsi" w:hAnsiTheme="majorHAnsi"/>
          <w:color w:val="000000" w:themeColor="text1"/>
          <w:sz w:val="20"/>
          <w:szCs w:val="20"/>
        </w:rPr>
        <w:t>and in other proceedings</w:t>
      </w:r>
      <w:r w:rsidRPr="009165FD">
        <w:rPr>
          <w:rStyle w:val="FootnoteReference"/>
          <w:rFonts w:asciiTheme="majorHAnsi" w:hAnsiTheme="majorHAnsi"/>
          <w:color w:val="000000" w:themeColor="text1"/>
          <w:sz w:val="20"/>
          <w:szCs w:val="20"/>
        </w:rPr>
        <w:footnoteReference w:id="31"/>
      </w:r>
      <w:r w:rsidRPr="009165FD">
        <w:rPr>
          <w:rFonts w:asciiTheme="majorHAnsi" w:hAnsiTheme="majorHAnsi"/>
          <w:color w:val="000000" w:themeColor="text1"/>
          <w:sz w:val="20"/>
          <w:szCs w:val="20"/>
        </w:rPr>
        <w:t xml:space="preserve"> before the Court (incorporated into the documentary evidence of this case) reveal these connections.  </w:t>
      </w:r>
    </w:p>
    <w:p w14:paraId="2234D0F0" w14:textId="77777777" w:rsidR="00334B20" w:rsidRPr="009165FD" w:rsidRDefault="00334B20" w:rsidP="00334B20">
      <w:pPr>
        <w:ind w:left="720" w:right="720"/>
        <w:jc w:val="both"/>
        <w:rPr>
          <w:rFonts w:asciiTheme="majorHAnsi" w:hAnsiTheme="majorHAnsi"/>
          <w:color w:val="000000" w:themeColor="text1"/>
          <w:sz w:val="20"/>
          <w:szCs w:val="20"/>
        </w:rPr>
      </w:pPr>
    </w:p>
    <w:p w14:paraId="5F4057E2"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this respect, the Fourth Report of the Ombudsman's Office to the Colombian Congress, from 1997, is illustrative in its references to paramilitary groups having turned into the illegal arm of the armed forces and the police, for whom they do the work that the military and police cannot do because they are subject to the rule of law. Thus, according to the Ombudsman, paramilitary activities were a new way to conduct unbridled and illegal repression.</w:t>
      </w:r>
      <w:r w:rsidRPr="009165FD">
        <w:rPr>
          <w:rStyle w:val="FootnoteReference"/>
          <w:rFonts w:asciiTheme="majorHAnsi" w:hAnsiTheme="majorHAnsi"/>
          <w:color w:val="000000" w:themeColor="text1"/>
          <w:sz w:val="20"/>
          <w:szCs w:val="20"/>
        </w:rPr>
        <w:footnoteReference w:id="32"/>
      </w:r>
    </w:p>
    <w:p w14:paraId="42786AFE" w14:textId="77777777" w:rsidR="00334B20" w:rsidRPr="009165FD" w:rsidRDefault="00334B20" w:rsidP="00334B20">
      <w:pPr>
        <w:pStyle w:val="ListParagraph"/>
        <w:autoSpaceDE w:val="0"/>
        <w:autoSpaceDN w:val="0"/>
        <w:adjustRightInd w:val="0"/>
        <w:ind w:right="720"/>
        <w:jc w:val="both"/>
        <w:rPr>
          <w:rFonts w:asciiTheme="majorHAnsi" w:hAnsiTheme="majorHAnsi"/>
          <w:b/>
          <w:color w:val="000000" w:themeColor="text1"/>
          <w:sz w:val="20"/>
          <w:szCs w:val="20"/>
        </w:rPr>
      </w:pPr>
    </w:p>
    <w:p w14:paraId="20AD6FB6" w14:textId="77777777" w:rsidR="00334B20" w:rsidRPr="009165FD" w:rsidRDefault="00334B20" w:rsidP="00334B20">
      <w:pPr>
        <w:pStyle w:val="Heading3"/>
      </w:pPr>
      <w:bookmarkStart w:id="21" w:name="_Toc401323765"/>
      <w:bookmarkStart w:id="22" w:name="_Toc489882495"/>
      <w:r w:rsidRPr="009165FD">
        <w:t>The context of paramilitary activities in the area of Urabá</w:t>
      </w:r>
      <w:bookmarkEnd w:id="21"/>
      <w:bookmarkEnd w:id="22"/>
    </w:p>
    <w:p w14:paraId="38A36000" w14:textId="77777777" w:rsidR="00334B20" w:rsidRPr="009165FD" w:rsidRDefault="00334B20" w:rsidP="00334B20">
      <w:pPr>
        <w:rPr>
          <w:rFonts w:asciiTheme="majorHAnsi" w:hAnsiTheme="majorHAnsi"/>
          <w:sz w:val="20"/>
          <w:szCs w:val="20"/>
        </w:rPr>
      </w:pPr>
    </w:p>
    <w:p w14:paraId="6EA6B36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Urabá region is located in the far north-west of Colombia at the point in which Central  and South America intersect. Here the departments of Chocó, Antioquia, and Córdoba come together in a lush jungle area with numerous rivers and abundant biodiversity.</w:t>
      </w:r>
      <w:r w:rsidRPr="009165FD">
        <w:rPr>
          <w:rStyle w:val="FootnoteReference"/>
          <w:rFonts w:asciiTheme="majorHAnsi" w:hAnsiTheme="majorHAnsi"/>
          <w:color w:val="000000" w:themeColor="text1"/>
          <w:sz w:val="20"/>
          <w:szCs w:val="20"/>
        </w:rPr>
        <w:footnoteReference w:id="33"/>
      </w:r>
      <w:r w:rsidRPr="009165FD">
        <w:rPr>
          <w:rFonts w:asciiTheme="majorHAnsi" w:hAnsiTheme="majorHAnsi"/>
          <w:color w:val="000000" w:themeColor="text1"/>
          <w:sz w:val="20"/>
          <w:szCs w:val="20"/>
        </w:rPr>
        <w:t xml:space="preserve"> The Atrato river forms the natural border between the departments of Chocó and Antioquia. The Urabá region in the department of Antioquia comprises 11 municipalities.</w:t>
      </w:r>
      <w:r w:rsidRPr="009165FD">
        <w:rPr>
          <w:rStyle w:val="FootnoteReference"/>
          <w:rFonts w:asciiTheme="majorHAnsi" w:hAnsiTheme="majorHAnsi"/>
          <w:color w:val="000000" w:themeColor="text1"/>
          <w:sz w:val="20"/>
          <w:szCs w:val="20"/>
        </w:rPr>
        <w:footnoteReference w:id="34"/>
      </w:r>
      <w:r w:rsidRPr="009165FD">
        <w:rPr>
          <w:rFonts w:asciiTheme="majorHAnsi" w:hAnsiTheme="majorHAnsi"/>
          <w:color w:val="000000" w:themeColor="text1"/>
          <w:sz w:val="20"/>
          <w:szCs w:val="20"/>
        </w:rPr>
        <w:t xml:space="preserve"> For its part, the Urabá region in the department of Chocó, also known as the Darién, comprises four municipalities.</w:t>
      </w:r>
      <w:r w:rsidRPr="009165FD">
        <w:rPr>
          <w:rStyle w:val="FootnoteReference"/>
          <w:rFonts w:asciiTheme="majorHAnsi" w:hAnsiTheme="majorHAnsi"/>
          <w:color w:val="000000" w:themeColor="text1"/>
          <w:sz w:val="20"/>
          <w:szCs w:val="20"/>
        </w:rPr>
        <w:footnoteReference w:id="35"/>
      </w:r>
    </w:p>
    <w:p w14:paraId="0C3D09E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CB19F16"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Commission has pointed out that in the specific case of the Department of Antioquia, one of the epicenters of paramilitary violence against the civilian population, in 1999 it continued receiving complaints and information from a variety of sources regarding situations in which the National Army or the Police withdrew from their posts precisely before the irruption of paramilitary groups bent on attacking and terrifying the civilian population.</w:t>
      </w:r>
      <w:r w:rsidRPr="009165FD">
        <w:rPr>
          <w:rStyle w:val="FootnoteReference"/>
          <w:rFonts w:asciiTheme="majorHAnsi" w:hAnsiTheme="majorHAnsi"/>
          <w:color w:val="000000" w:themeColor="text1"/>
          <w:sz w:val="20"/>
          <w:szCs w:val="20"/>
        </w:rPr>
        <w:footnoteReference w:id="36"/>
      </w:r>
      <w:r w:rsidRPr="009165FD">
        <w:rPr>
          <w:rFonts w:asciiTheme="majorHAnsi" w:hAnsiTheme="majorHAnsi"/>
          <w:color w:val="000000" w:themeColor="text1"/>
          <w:sz w:val="20"/>
          <w:szCs w:val="20"/>
        </w:rPr>
        <w:t xml:space="preserve"> In particular, the Commission has ascertained that, according to statements made by the military and paramilitary themselves, there were ties between the Army and paramilitary groups in the area </w:t>
      </w:r>
      <w:r w:rsidRPr="009165FD">
        <w:rPr>
          <w:rStyle w:val="FootnoteReference"/>
          <w:rFonts w:asciiTheme="majorHAnsi" w:hAnsiTheme="majorHAnsi"/>
          <w:color w:val="000000" w:themeColor="text1"/>
          <w:sz w:val="20"/>
          <w:szCs w:val="20"/>
        </w:rPr>
        <w:footnoteReference w:id="37"/>
      </w:r>
      <w:r w:rsidRPr="009165FD">
        <w:rPr>
          <w:rFonts w:asciiTheme="majorHAnsi" w:hAnsiTheme="majorHAnsi"/>
          <w:color w:val="000000" w:themeColor="text1"/>
          <w:sz w:val="20"/>
          <w:szCs w:val="20"/>
        </w:rPr>
        <w:t>; that as of the arrival of General del Rito Alejo del Río at the XVII Brigade in mid-December 1995, no members of paramilitary groups were captured or killed;</w:t>
      </w:r>
      <w:r w:rsidRPr="009165FD">
        <w:rPr>
          <w:rStyle w:val="FootnoteReference"/>
          <w:rFonts w:asciiTheme="majorHAnsi" w:hAnsiTheme="majorHAnsi"/>
          <w:color w:val="000000" w:themeColor="text1"/>
          <w:sz w:val="20"/>
          <w:szCs w:val="20"/>
        </w:rPr>
        <w:footnoteReference w:id="38"/>
      </w:r>
      <w:r w:rsidRPr="009165FD">
        <w:rPr>
          <w:rFonts w:asciiTheme="majorHAnsi" w:hAnsiTheme="majorHAnsi"/>
          <w:color w:val="000000" w:themeColor="text1"/>
          <w:sz w:val="20"/>
          <w:szCs w:val="20"/>
        </w:rPr>
        <w:t xml:space="preserve"> and that there were close ties between the aforementioned General and the paramilitary groups.</w:t>
      </w:r>
      <w:r w:rsidRPr="009165FD">
        <w:rPr>
          <w:rStyle w:val="FootnoteReference"/>
          <w:rFonts w:asciiTheme="majorHAnsi" w:hAnsiTheme="majorHAnsi"/>
          <w:color w:val="000000" w:themeColor="text1"/>
          <w:sz w:val="20"/>
          <w:szCs w:val="20"/>
        </w:rPr>
        <w:footnoteReference w:id="39"/>
      </w:r>
    </w:p>
    <w:p w14:paraId="6530E35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F8F2E7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pacing w:val="-3"/>
          <w:sz w:val="20"/>
          <w:szCs w:val="20"/>
        </w:rPr>
        <w:lastRenderedPageBreak/>
        <w:t>In its Annual Report for 1996, the Commission stated that the lack of actions by the Colombian Army to combat the paramilitary phenomenon was denounced by a colonel, who was retired from the Army in November 1996.  In January 1997, Colonel Velásquez stated publicly that "there is no fighting against the paramilitary in Urabá."  Until he was retired, Colonel Velásquez had been second-in-command of the XVII Brigade based in Urabá.</w:t>
      </w:r>
      <w:r w:rsidRPr="009165FD">
        <w:rPr>
          <w:rStyle w:val="FootnoteReference"/>
          <w:rFonts w:asciiTheme="majorHAnsi" w:hAnsiTheme="majorHAnsi"/>
          <w:color w:val="000000" w:themeColor="text1"/>
          <w:spacing w:val="-3"/>
          <w:sz w:val="20"/>
          <w:szCs w:val="20"/>
        </w:rPr>
        <w:footnoteReference w:id="40"/>
      </w:r>
      <w:r w:rsidRPr="009165FD">
        <w:rPr>
          <w:rFonts w:asciiTheme="majorHAnsi" w:hAnsiTheme="majorHAnsi"/>
          <w:color w:val="000000" w:themeColor="text1"/>
          <w:spacing w:val="-3"/>
          <w:sz w:val="20"/>
          <w:szCs w:val="20"/>
        </w:rPr>
        <w:t xml:space="preserve">   </w:t>
      </w:r>
    </w:p>
    <w:p w14:paraId="52F76B1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78D450F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In the case of the </w:t>
      </w:r>
      <w:r w:rsidRPr="009165FD">
        <w:rPr>
          <w:rFonts w:asciiTheme="majorHAnsi" w:hAnsiTheme="majorHAnsi"/>
          <w:i/>
          <w:color w:val="000000" w:themeColor="text1"/>
          <w:sz w:val="20"/>
          <w:szCs w:val="20"/>
        </w:rPr>
        <w:t>Afro-descendant Communities displaced from the Cacarica River basin</w:t>
      </w:r>
      <w:r w:rsidRPr="009165FD">
        <w:rPr>
          <w:rFonts w:asciiTheme="majorHAnsi" w:hAnsiTheme="majorHAnsi"/>
          <w:color w:val="000000" w:themeColor="text1"/>
          <w:sz w:val="20"/>
          <w:szCs w:val="20"/>
        </w:rPr>
        <w:t>,  a mass of evidence was summarized showing concretely that the XVII Army Brigade had been singled out in a number of cases for having [ties] to paramilitary groups.</w:t>
      </w:r>
      <w:r w:rsidRPr="009165FD">
        <w:rPr>
          <w:rStyle w:val="FootnoteReference"/>
          <w:rFonts w:asciiTheme="majorHAnsi" w:hAnsiTheme="majorHAnsi"/>
          <w:color w:val="000000" w:themeColor="text1"/>
          <w:sz w:val="20"/>
          <w:szCs w:val="20"/>
        </w:rPr>
        <w:footnoteReference w:id="41"/>
      </w:r>
      <w:r w:rsidRPr="009165FD">
        <w:rPr>
          <w:rFonts w:asciiTheme="majorHAnsi" w:hAnsiTheme="majorHAnsi"/>
          <w:color w:val="000000" w:themeColor="text1"/>
          <w:sz w:val="20"/>
          <w:szCs w:val="20"/>
        </w:rPr>
        <w:t xml:space="preserve"> Indeed, the Court pointed out that: "evidence was presented indicating that senior Army commanders could have had connections with paramilitary groups in the Urabá region and in other regions.  This is supported by: (a) testimony and denunciations of soldiers and of former members of the Armed Forces</w:t>
      </w:r>
      <w:r w:rsidRPr="009165FD">
        <w:rPr>
          <w:rStyle w:val="FootnoteReference"/>
          <w:rFonts w:asciiTheme="majorHAnsi" w:hAnsiTheme="majorHAnsi"/>
          <w:color w:val="000000" w:themeColor="text1"/>
          <w:sz w:val="20"/>
          <w:szCs w:val="20"/>
        </w:rPr>
        <w:footnoteReference w:id="42"/>
      </w:r>
      <w:r w:rsidRPr="009165FD">
        <w:rPr>
          <w:rFonts w:asciiTheme="majorHAnsi" w:hAnsiTheme="majorHAnsi"/>
          <w:color w:val="000000" w:themeColor="text1"/>
          <w:sz w:val="20"/>
          <w:szCs w:val="20"/>
        </w:rPr>
        <w:t>; (b) information from the Prosecutor General’s Office;</w:t>
      </w:r>
      <w:r w:rsidRPr="009165FD">
        <w:rPr>
          <w:rStyle w:val="FootnoteReference"/>
          <w:rFonts w:asciiTheme="majorHAnsi" w:hAnsiTheme="majorHAnsi"/>
          <w:color w:val="000000" w:themeColor="text1"/>
          <w:sz w:val="20"/>
          <w:szCs w:val="20"/>
        </w:rPr>
        <w:footnoteReference w:id="43"/>
      </w:r>
      <w:r w:rsidRPr="009165FD">
        <w:rPr>
          <w:rFonts w:asciiTheme="majorHAnsi" w:hAnsiTheme="majorHAnsi"/>
          <w:color w:val="000000" w:themeColor="text1"/>
          <w:sz w:val="20"/>
          <w:szCs w:val="20"/>
        </w:rPr>
        <w:t xml:space="preserve"> (c) confessions and statements of demobilized paramilitaries</w:t>
      </w:r>
      <w:r w:rsidRPr="009165FD">
        <w:rPr>
          <w:rStyle w:val="FootnoteReference"/>
          <w:rFonts w:asciiTheme="majorHAnsi" w:hAnsiTheme="majorHAnsi"/>
          <w:color w:val="000000" w:themeColor="text1"/>
          <w:sz w:val="20"/>
          <w:szCs w:val="20"/>
        </w:rPr>
        <w:footnoteReference w:id="44"/>
      </w:r>
      <w:r w:rsidRPr="009165FD">
        <w:rPr>
          <w:rFonts w:asciiTheme="majorHAnsi" w:hAnsiTheme="majorHAnsi"/>
          <w:color w:val="000000" w:themeColor="text1"/>
          <w:sz w:val="20"/>
          <w:szCs w:val="20"/>
        </w:rPr>
        <w:t>; and (d) an expert opinion presented in the hearing in the instant case.</w:t>
      </w:r>
      <w:r w:rsidRPr="009165FD">
        <w:rPr>
          <w:rStyle w:val="FootnoteReference"/>
          <w:rFonts w:asciiTheme="majorHAnsi" w:hAnsiTheme="majorHAnsi"/>
          <w:color w:val="000000" w:themeColor="text1"/>
          <w:sz w:val="20"/>
          <w:szCs w:val="20"/>
        </w:rPr>
        <w:footnoteReference w:id="45"/>
      </w:r>
      <w:r w:rsidRPr="009165FD">
        <w:rPr>
          <w:rFonts w:asciiTheme="majorHAnsi" w:hAnsiTheme="majorHAnsi"/>
          <w:color w:val="000000" w:themeColor="text1"/>
          <w:sz w:val="20"/>
          <w:szCs w:val="20"/>
        </w:rPr>
        <w:t xml:space="preserve">" </w:t>
      </w:r>
    </w:p>
    <w:p w14:paraId="0432ADA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273CDA2D" w14:textId="77777777" w:rsidR="00334B20" w:rsidRPr="009165FD" w:rsidRDefault="00334B20" w:rsidP="00334B20">
      <w:pPr>
        <w:pStyle w:val="Heading2"/>
        <w:numPr>
          <w:ilvl w:val="0"/>
          <w:numId w:val="0"/>
        </w:numPr>
        <w:ind w:left="1440" w:hanging="720"/>
      </w:pPr>
      <w:bookmarkStart w:id="23" w:name="_Toc401323766"/>
      <w:bookmarkStart w:id="24" w:name="_Toc489882496"/>
      <w:r w:rsidRPr="009165FD">
        <w:t>B.</w:t>
      </w:r>
      <w:r w:rsidRPr="009165FD">
        <w:tab/>
        <w:t>Detention and disappearance of Alcides Torres Arias and Angel David Quintero</w:t>
      </w:r>
      <w:bookmarkEnd w:id="23"/>
      <w:bookmarkEnd w:id="24"/>
      <w:r w:rsidRPr="009165FD">
        <w:t xml:space="preserve"> </w:t>
      </w:r>
    </w:p>
    <w:p w14:paraId="648AC983" w14:textId="77777777" w:rsidR="00334B20" w:rsidRPr="009165FD" w:rsidRDefault="00334B20" w:rsidP="00334B20">
      <w:pPr>
        <w:rPr>
          <w:rFonts w:asciiTheme="majorHAnsi" w:hAnsiTheme="majorHAnsi"/>
          <w:sz w:val="20"/>
          <w:szCs w:val="20"/>
        </w:rPr>
      </w:pPr>
    </w:p>
    <w:p w14:paraId="3B618646" w14:textId="77777777" w:rsidR="00190695" w:rsidRPr="009165FD" w:rsidRDefault="00334B20" w:rsidP="001906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9165FD">
        <w:rPr>
          <w:rFonts w:asciiTheme="majorHAnsi" w:hAnsiTheme="majorHAnsi"/>
          <w:color w:val="000000" w:themeColor="text1"/>
          <w:sz w:val="20"/>
          <w:szCs w:val="20"/>
        </w:rPr>
        <w:t>Mr. Alcides Torres Arias was born on September 15, 1962 in the municipality of Chigorodó, Department of Antioquia, Colombia.</w:t>
      </w:r>
      <w:r w:rsidRPr="009165FD">
        <w:rPr>
          <w:rStyle w:val="FootnoteReference"/>
          <w:rFonts w:asciiTheme="majorHAnsi" w:hAnsiTheme="majorHAnsi"/>
          <w:color w:val="000000" w:themeColor="text1"/>
          <w:sz w:val="20"/>
          <w:szCs w:val="20"/>
        </w:rPr>
        <w:footnoteReference w:id="46"/>
      </w:r>
      <w:r w:rsidR="00190695" w:rsidRPr="009165FD">
        <w:rPr>
          <w:rFonts w:ascii="Cambria" w:hAnsi="Cambria"/>
          <w:sz w:val="20"/>
          <w:szCs w:val="20"/>
        </w:rPr>
        <w:t xml:space="preserve"> The information available regarding his family members is referred as follows: Juan Gregorio Torres (</w:t>
      </w:r>
      <w:r w:rsidR="00A726FC" w:rsidRPr="009165FD">
        <w:rPr>
          <w:rFonts w:ascii="Cambria" w:hAnsi="Cambria"/>
          <w:sz w:val="20"/>
          <w:szCs w:val="20"/>
        </w:rPr>
        <w:t>father</w:t>
      </w:r>
      <w:r w:rsidR="00190695" w:rsidRPr="009165FD">
        <w:rPr>
          <w:rFonts w:ascii="Cambria" w:hAnsi="Cambria"/>
          <w:sz w:val="20"/>
          <w:szCs w:val="20"/>
        </w:rPr>
        <w:t>); Maria Noemí Arias (</w:t>
      </w:r>
      <w:r w:rsidR="00A726FC" w:rsidRPr="009165FD">
        <w:rPr>
          <w:rFonts w:ascii="Cambria" w:hAnsi="Cambria"/>
          <w:sz w:val="20"/>
          <w:szCs w:val="20"/>
        </w:rPr>
        <w:t>mother</w:t>
      </w:r>
      <w:r w:rsidR="00190695" w:rsidRPr="009165FD">
        <w:rPr>
          <w:rFonts w:ascii="Cambria" w:hAnsi="Cambria"/>
          <w:sz w:val="20"/>
          <w:szCs w:val="20"/>
        </w:rPr>
        <w:t>m); Consuelo Rodríguez Peña (</w:t>
      </w:r>
      <w:r w:rsidR="00FD1842" w:rsidRPr="009165FD">
        <w:rPr>
          <w:rFonts w:ascii="Cambria" w:hAnsi="Cambria"/>
          <w:sz w:val="20"/>
          <w:szCs w:val="20"/>
        </w:rPr>
        <w:t>partner</w:t>
      </w:r>
      <w:r w:rsidR="00190695" w:rsidRPr="009165FD">
        <w:rPr>
          <w:rFonts w:ascii="Cambria" w:hAnsi="Cambria"/>
          <w:sz w:val="20"/>
          <w:szCs w:val="20"/>
        </w:rPr>
        <w:t>); Dianelly Torres Rodríguez (</w:t>
      </w:r>
      <w:r w:rsidR="00FD1842" w:rsidRPr="009165FD">
        <w:rPr>
          <w:rFonts w:ascii="Cambria" w:hAnsi="Cambria"/>
          <w:sz w:val="20"/>
          <w:szCs w:val="20"/>
        </w:rPr>
        <w:t>daughter</w:t>
      </w:r>
      <w:r w:rsidR="00190695" w:rsidRPr="009165FD">
        <w:rPr>
          <w:rFonts w:ascii="Cambria" w:hAnsi="Cambria"/>
          <w:sz w:val="20"/>
          <w:szCs w:val="20"/>
        </w:rPr>
        <w:t>); Yenifer Torres Rodríguez (</w:t>
      </w:r>
      <w:r w:rsidR="00FD1842" w:rsidRPr="009165FD">
        <w:rPr>
          <w:rFonts w:ascii="Cambria" w:hAnsi="Cambria"/>
          <w:sz w:val="20"/>
          <w:szCs w:val="20"/>
        </w:rPr>
        <w:t>daughter</w:t>
      </w:r>
      <w:r w:rsidR="00190695" w:rsidRPr="009165FD">
        <w:rPr>
          <w:rFonts w:ascii="Cambria" w:hAnsi="Cambria"/>
          <w:sz w:val="20"/>
          <w:szCs w:val="20"/>
        </w:rPr>
        <w:t>); Nelsy Torres Arias (</w:t>
      </w:r>
      <w:r w:rsidR="00FD1842" w:rsidRPr="009165FD">
        <w:rPr>
          <w:rFonts w:ascii="Cambria" w:hAnsi="Cambria"/>
          <w:sz w:val="20"/>
          <w:szCs w:val="20"/>
        </w:rPr>
        <w:t>sister</w:t>
      </w:r>
      <w:r w:rsidR="00190695" w:rsidRPr="009165FD">
        <w:rPr>
          <w:rFonts w:ascii="Cambria" w:hAnsi="Cambria"/>
          <w:sz w:val="20"/>
          <w:szCs w:val="20"/>
        </w:rPr>
        <w:t>); Alirio Torres Arias (</w:t>
      </w:r>
      <w:r w:rsidR="00FD1842" w:rsidRPr="009165FD">
        <w:rPr>
          <w:rFonts w:ascii="Cambria" w:hAnsi="Cambria"/>
          <w:sz w:val="20"/>
          <w:szCs w:val="20"/>
        </w:rPr>
        <w:t>brother</w:t>
      </w:r>
      <w:r w:rsidR="00190695" w:rsidRPr="009165FD">
        <w:rPr>
          <w:rFonts w:ascii="Cambria" w:hAnsi="Cambria"/>
          <w:sz w:val="20"/>
          <w:szCs w:val="20"/>
        </w:rPr>
        <w:t xml:space="preserve">); </w:t>
      </w:r>
      <w:r w:rsidR="00FD1842" w:rsidRPr="009165FD">
        <w:rPr>
          <w:rFonts w:ascii="Cambria" w:hAnsi="Cambria"/>
          <w:sz w:val="20"/>
          <w:szCs w:val="20"/>
        </w:rPr>
        <w:t>and</w:t>
      </w:r>
      <w:r w:rsidR="00190695" w:rsidRPr="009165FD">
        <w:rPr>
          <w:rFonts w:ascii="Cambria" w:hAnsi="Cambria"/>
          <w:sz w:val="20"/>
          <w:szCs w:val="20"/>
        </w:rPr>
        <w:t xml:space="preserve"> Obairo Torres Arias (</w:t>
      </w:r>
      <w:r w:rsidR="00FD1842" w:rsidRPr="009165FD">
        <w:rPr>
          <w:rFonts w:ascii="Cambria" w:hAnsi="Cambria"/>
          <w:sz w:val="20"/>
          <w:szCs w:val="20"/>
        </w:rPr>
        <w:t>brother</w:t>
      </w:r>
      <w:r w:rsidR="00190695" w:rsidRPr="009165FD">
        <w:rPr>
          <w:rFonts w:ascii="Cambria" w:hAnsi="Cambria"/>
          <w:sz w:val="20"/>
          <w:szCs w:val="20"/>
        </w:rPr>
        <w:t>).</w:t>
      </w:r>
    </w:p>
    <w:p w14:paraId="2769038C" w14:textId="77777777" w:rsidR="00190695" w:rsidRPr="009165FD" w:rsidRDefault="00190695" w:rsidP="00190695">
      <w:pPr>
        <w:jc w:val="both"/>
        <w:rPr>
          <w:rFonts w:ascii="Cambria" w:hAnsi="Cambria"/>
          <w:sz w:val="20"/>
          <w:szCs w:val="20"/>
        </w:rPr>
      </w:pPr>
    </w:p>
    <w:p w14:paraId="02B9DCB8" w14:textId="77777777" w:rsidR="00190695" w:rsidRPr="009165FD" w:rsidRDefault="00190695" w:rsidP="001906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9165FD">
        <w:rPr>
          <w:rFonts w:ascii="Cambria" w:hAnsi="Cambria"/>
          <w:sz w:val="20"/>
          <w:szCs w:val="20"/>
        </w:rPr>
        <w:t xml:space="preserve">Angel David Quintero </w:t>
      </w:r>
      <w:r w:rsidR="00A726FC" w:rsidRPr="009165FD">
        <w:rPr>
          <w:rFonts w:ascii="Cambria" w:hAnsi="Cambria"/>
          <w:sz w:val="20"/>
          <w:szCs w:val="20"/>
        </w:rPr>
        <w:t>was 32 by the moment of his disappearance. He was a farmer. The information available regarding his family members is referred as follows:</w:t>
      </w:r>
      <w:r w:rsidRPr="009165FD">
        <w:rPr>
          <w:rFonts w:ascii="Cambria" w:hAnsi="Cambria"/>
          <w:sz w:val="20"/>
          <w:szCs w:val="20"/>
        </w:rPr>
        <w:t xml:space="preserve"> María Celedonia Benitez (</w:t>
      </w:r>
      <w:r w:rsidR="00405ACE" w:rsidRPr="009165FD">
        <w:rPr>
          <w:rFonts w:ascii="Cambria" w:hAnsi="Cambria"/>
          <w:sz w:val="20"/>
          <w:szCs w:val="20"/>
        </w:rPr>
        <w:t>mother</w:t>
      </w:r>
      <w:r w:rsidRPr="009165FD">
        <w:rPr>
          <w:rFonts w:ascii="Cambria" w:hAnsi="Cambria"/>
          <w:sz w:val="20"/>
          <w:szCs w:val="20"/>
        </w:rPr>
        <w:t>); Jorge Quintero (</w:t>
      </w:r>
      <w:r w:rsidR="00405ACE" w:rsidRPr="009165FD">
        <w:rPr>
          <w:rFonts w:ascii="Cambria" w:hAnsi="Cambria"/>
          <w:sz w:val="20"/>
          <w:szCs w:val="20"/>
        </w:rPr>
        <w:t>father</w:t>
      </w:r>
      <w:r w:rsidRPr="009165FD">
        <w:rPr>
          <w:rFonts w:ascii="Cambria" w:hAnsi="Cambria"/>
          <w:sz w:val="20"/>
          <w:szCs w:val="20"/>
        </w:rPr>
        <w:t>); Blanca Yanet Graciano (</w:t>
      </w:r>
      <w:r w:rsidR="00405ACE" w:rsidRPr="009165FD">
        <w:rPr>
          <w:rFonts w:ascii="Cambria" w:hAnsi="Cambria"/>
          <w:sz w:val="20"/>
          <w:szCs w:val="20"/>
        </w:rPr>
        <w:t>partner</w:t>
      </w:r>
      <w:r w:rsidRPr="009165FD">
        <w:rPr>
          <w:rFonts w:ascii="Cambria" w:hAnsi="Cambria"/>
          <w:sz w:val="20"/>
          <w:szCs w:val="20"/>
        </w:rPr>
        <w:t xml:space="preserve">); </w:t>
      </w:r>
      <w:r w:rsidR="00405ACE" w:rsidRPr="009165FD">
        <w:rPr>
          <w:rFonts w:ascii="Cambria" w:hAnsi="Cambria"/>
          <w:sz w:val="20"/>
          <w:szCs w:val="20"/>
        </w:rPr>
        <w:t>and</w:t>
      </w:r>
      <w:r w:rsidRPr="009165FD">
        <w:rPr>
          <w:rFonts w:ascii="Cambria" w:hAnsi="Cambria"/>
          <w:sz w:val="20"/>
          <w:szCs w:val="20"/>
        </w:rPr>
        <w:t xml:space="preserve"> Disneisa Quintero Graciano (</w:t>
      </w:r>
      <w:r w:rsidR="00405ACE" w:rsidRPr="009165FD">
        <w:rPr>
          <w:rFonts w:ascii="Cambria" w:hAnsi="Cambria"/>
          <w:sz w:val="20"/>
          <w:szCs w:val="20"/>
        </w:rPr>
        <w:t>daughter</w:t>
      </w:r>
      <w:r w:rsidRPr="009165FD">
        <w:rPr>
          <w:rFonts w:ascii="Cambria" w:hAnsi="Cambria"/>
          <w:sz w:val="20"/>
          <w:szCs w:val="20"/>
        </w:rPr>
        <w:t>).</w:t>
      </w:r>
    </w:p>
    <w:p w14:paraId="2F551D9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6F5C094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On December 16, 1995, at 12:30 p.m., Alcides Torres Arias, Leonel de Jesús Durango, Angel David Quintero Benites, and Argemiro López Bravo were detained by a Vélez Batallion patrol, under the </w:t>
      </w:r>
      <w:r w:rsidRPr="009165FD">
        <w:rPr>
          <w:rFonts w:asciiTheme="majorHAnsi" w:hAnsiTheme="majorHAnsi"/>
          <w:color w:val="000000" w:themeColor="text1"/>
          <w:sz w:val="20"/>
          <w:szCs w:val="20"/>
        </w:rPr>
        <w:lastRenderedPageBreak/>
        <w:t>command of Sergeant José Alberto Monrroy,in the course of a military surveillance and control operation in the area, on the La Arenera and Pueblo Galleta road, in the district of Currulao, which is under the jurisdiction of the municipality of Turbo.</w:t>
      </w:r>
      <w:r w:rsidRPr="009165FD">
        <w:rPr>
          <w:rStyle w:val="FootnoteReference"/>
          <w:rFonts w:asciiTheme="majorHAnsi" w:hAnsiTheme="majorHAnsi"/>
          <w:color w:val="000000" w:themeColor="text1"/>
          <w:sz w:val="20"/>
          <w:szCs w:val="20"/>
        </w:rPr>
        <w:footnoteReference w:id="47"/>
      </w:r>
      <w:r w:rsidRPr="009165FD">
        <w:rPr>
          <w:rFonts w:asciiTheme="majorHAnsi" w:hAnsiTheme="majorHAnsi"/>
          <w:color w:val="000000" w:themeColor="text1"/>
          <w:sz w:val="20"/>
          <w:szCs w:val="20"/>
        </w:rPr>
        <w:t xml:space="preserve"> At the time of arrest, the following was confiscated from them; an XL-125 Honda motorcycle with license plate DCU-35, an XL-125 Honda motorcycle with license plate  DCX-10, a 38-caliber revolver with 12 caliber 38 bullets and one pin-and-pineapple hand grenade.</w:t>
      </w:r>
      <w:r w:rsidRPr="009165FD">
        <w:rPr>
          <w:rStyle w:val="FootnoteReference"/>
          <w:rFonts w:asciiTheme="majorHAnsi" w:hAnsiTheme="majorHAnsi"/>
          <w:color w:val="000000" w:themeColor="text1"/>
          <w:sz w:val="20"/>
          <w:szCs w:val="20"/>
        </w:rPr>
        <w:footnoteReference w:id="48"/>
      </w:r>
      <w:r w:rsidRPr="009165FD">
        <w:rPr>
          <w:rFonts w:asciiTheme="majorHAnsi" w:hAnsiTheme="majorHAnsi"/>
          <w:color w:val="000000" w:themeColor="text1"/>
          <w:sz w:val="20"/>
          <w:szCs w:val="20"/>
        </w:rPr>
        <w:t xml:space="preserve"> </w:t>
      </w:r>
    </w:p>
    <w:p w14:paraId="38DD1C8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59CF76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That same day Alcides Torres Arias signed a paper certifying proper treatment during his detention on the premises of the Francisco de Paula Vélez battalion.</w:t>
      </w:r>
      <w:r w:rsidRPr="009165FD">
        <w:rPr>
          <w:rStyle w:val="FootnoteReference"/>
          <w:rFonts w:asciiTheme="majorHAnsi" w:hAnsiTheme="majorHAnsi"/>
          <w:color w:val="000000" w:themeColor="text1"/>
          <w:sz w:val="20"/>
          <w:szCs w:val="20"/>
        </w:rPr>
        <w:footnoteReference w:id="49"/>
      </w:r>
      <w:r w:rsidRPr="009165FD">
        <w:rPr>
          <w:rFonts w:asciiTheme="majorHAnsi" w:hAnsiTheme="majorHAnsi"/>
          <w:color w:val="000000" w:themeColor="text1"/>
          <w:sz w:val="20"/>
          <w:szCs w:val="20"/>
        </w:rPr>
        <w:t xml:space="preserve">  There is also a certificate that the detainee was read his rights, dated December 16, 1995, at 5:30 p.m., in which he is charged with illegally bearing arms and he is told that he has the right to: i) talk immediately with a defense attorney; ii) indicate the person whom he wishes to notify of his arrest; iii) give a free and spontaneous version of what happened to the investigating official; iv) keep silence in respect of the accusation; v) receive medical care; vi) not to be held in solitary confinement; and vi) to read and have books, and to receive articles for personal hygiene.</w:t>
      </w:r>
      <w:r w:rsidRPr="009165FD">
        <w:rPr>
          <w:rStyle w:val="FootnoteReference"/>
          <w:rFonts w:asciiTheme="majorHAnsi" w:hAnsiTheme="majorHAnsi"/>
          <w:color w:val="000000" w:themeColor="text1"/>
          <w:sz w:val="20"/>
          <w:szCs w:val="20"/>
        </w:rPr>
        <w:footnoteReference w:id="50"/>
      </w:r>
    </w:p>
    <w:p w14:paraId="41CC34B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520FF5F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On December 17, 1995 the detainees were placed at the disposal of the Assistant Prosecutor General (</w:t>
      </w:r>
      <w:r w:rsidRPr="009165FD">
        <w:rPr>
          <w:rFonts w:asciiTheme="majorHAnsi" w:hAnsiTheme="majorHAnsi"/>
          <w:i/>
          <w:color w:val="000000" w:themeColor="text1"/>
          <w:sz w:val="20"/>
          <w:szCs w:val="20"/>
        </w:rPr>
        <w:t>Fiscal General Delegado</w:t>
      </w:r>
      <w:r w:rsidRPr="009165FD">
        <w:rPr>
          <w:rFonts w:asciiTheme="majorHAnsi" w:hAnsiTheme="majorHAnsi"/>
          <w:color w:val="000000" w:themeColor="text1"/>
          <w:sz w:val="20"/>
          <w:szCs w:val="20"/>
        </w:rPr>
        <w:t>) in Carepa.</w:t>
      </w:r>
      <w:r w:rsidRPr="009165FD">
        <w:rPr>
          <w:rStyle w:val="FootnoteReference"/>
          <w:rFonts w:asciiTheme="majorHAnsi" w:hAnsiTheme="majorHAnsi"/>
          <w:color w:val="000000" w:themeColor="text1"/>
          <w:sz w:val="20"/>
          <w:szCs w:val="20"/>
        </w:rPr>
        <w:footnoteReference w:id="51"/>
      </w:r>
      <w:r w:rsidRPr="009165FD">
        <w:rPr>
          <w:rFonts w:asciiTheme="majorHAnsi" w:hAnsiTheme="majorHAnsi"/>
          <w:color w:val="000000" w:themeColor="text1"/>
          <w:sz w:val="20"/>
          <w:szCs w:val="20"/>
        </w:rPr>
        <w:t xml:space="preserve"> According to the respective briefing:</w:t>
      </w:r>
    </w:p>
    <w:p w14:paraId="495C3DF4" w14:textId="77777777" w:rsidR="001C5CF2" w:rsidRPr="009165FD" w:rsidRDefault="001C5CF2" w:rsidP="00334B20">
      <w:pPr>
        <w:pStyle w:val="ListParagraph"/>
        <w:autoSpaceDE w:val="0"/>
        <w:autoSpaceDN w:val="0"/>
        <w:adjustRightInd w:val="0"/>
        <w:ind w:right="720"/>
        <w:jc w:val="both"/>
        <w:rPr>
          <w:rFonts w:asciiTheme="majorHAnsi" w:hAnsiTheme="majorHAnsi"/>
          <w:color w:val="000000" w:themeColor="text1"/>
          <w:sz w:val="20"/>
          <w:szCs w:val="20"/>
        </w:rPr>
      </w:pPr>
    </w:p>
    <w:p w14:paraId="72C19414"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 aforementioned are charged with pertaining to the Bolivarian militias of the FARC in this sector and with being tasked with carrying out kidnappings, charging for vaccinations, extortion of landowners and cattle-farmers in the region; they also capture vehicles transporting produce overland  to the coast and take them to this segment on the road to rob the merchandise.  </w:t>
      </w:r>
    </w:p>
    <w:p w14:paraId="075AA653"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3BAB76B9"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individual named Leonel de Jesús Durango, who, at the time of his arrest was carrying a pineapple-type hand grenade, said he had been a member of the Fifth FARC squadron for approximately four years and that at the time of his capture he had been carrying out intelligence surveillance of the troops operating in that sector. According to this individual's statements, the group he was with comprised four people, headed by someone nicknamed N.N. (alias Black Cat).</w:t>
      </w:r>
      <w:r w:rsidRPr="009165FD">
        <w:rPr>
          <w:rStyle w:val="FootnoteReference"/>
          <w:rFonts w:asciiTheme="majorHAnsi" w:hAnsiTheme="majorHAnsi"/>
          <w:color w:val="000000" w:themeColor="text1"/>
          <w:sz w:val="20"/>
          <w:szCs w:val="20"/>
        </w:rPr>
        <w:footnoteReference w:id="52"/>
      </w:r>
      <w:r w:rsidRPr="009165FD">
        <w:rPr>
          <w:rFonts w:asciiTheme="majorHAnsi" w:hAnsiTheme="majorHAnsi"/>
          <w:color w:val="000000" w:themeColor="text1"/>
          <w:sz w:val="20"/>
          <w:szCs w:val="20"/>
        </w:rPr>
        <w:t>.</w:t>
      </w:r>
    </w:p>
    <w:p w14:paraId="3BF6765E"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7927C1D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On December 18, 1995, the Regional Prosecutor in Carepa ordered an investigation to be opened for possible subversion in respect of the four detainees.</w:t>
      </w:r>
      <w:r w:rsidRPr="009165FD">
        <w:rPr>
          <w:rStyle w:val="FootnoteReference"/>
          <w:rFonts w:asciiTheme="majorHAnsi" w:hAnsiTheme="majorHAnsi"/>
          <w:color w:val="000000" w:themeColor="text1"/>
          <w:sz w:val="20"/>
          <w:szCs w:val="20"/>
        </w:rPr>
        <w:footnoteReference w:id="53"/>
      </w:r>
      <w:r w:rsidRPr="009165FD">
        <w:rPr>
          <w:rFonts w:asciiTheme="majorHAnsi" w:hAnsiTheme="majorHAnsi"/>
          <w:color w:val="000000" w:themeColor="text1"/>
          <w:sz w:val="20"/>
          <w:szCs w:val="20"/>
        </w:rPr>
        <w:t xml:space="preserve"> The Regional Director of Prosecutor's Offices in Medellín</w:t>
      </w:r>
      <w:r w:rsidRPr="009165FD">
        <w:rPr>
          <w:rStyle w:val="FootnoteReference"/>
          <w:rFonts w:asciiTheme="majorHAnsi" w:hAnsiTheme="majorHAnsi"/>
          <w:color w:val="000000" w:themeColor="text1"/>
          <w:sz w:val="20"/>
          <w:szCs w:val="20"/>
        </w:rPr>
        <w:footnoteReference w:id="54"/>
      </w:r>
      <w:r w:rsidRPr="009165FD">
        <w:rPr>
          <w:rFonts w:asciiTheme="majorHAnsi" w:hAnsiTheme="majorHAnsi"/>
          <w:color w:val="000000" w:themeColor="text1"/>
          <w:sz w:val="20"/>
          <w:szCs w:val="20"/>
        </w:rPr>
        <w:t xml:space="preserve"> was notified of this decision, as was Prosecutor 132 for Criminal Matters in Apartadó</w:t>
      </w:r>
      <w:r w:rsidRPr="009165FD">
        <w:rPr>
          <w:rStyle w:val="FootnoteReference"/>
          <w:rFonts w:asciiTheme="majorHAnsi" w:hAnsiTheme="majorHAnsi"/>
          <w:color w:val="000000" w:themeColor="text1"/>
          <w:sz w:val="20"/>
          <w:szCs w:val="20"/>
        </w:rPr>
        <w:footnoteReference w:id="55"/>
      </w:r>
      <w:r w:rsidRPr="009165FD">
        <w:rPr>
          <w:rFonts w:asciiTheme="majorHAnsi" w:hAnsiTheme="majorHAnsi"/>
          <w:color w:val="000000" w:themeColor="text1"/>
          <w:sz w:val="20"/>
          <w:szCs w:val="20"/>
        </w:rPr>
        <w:t>. The investigation was opened due to the fact that</w:t>
      </w:r>
    </w:p>
    <w:p w14:paraId="0544898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315D0F3B"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 the arrest was made for subversion, a crime who perpetrators are said to be permanently </w:t>
      </w:r>
      <w:r w:rsidRPr="009165FD">
        <w:rPr>
          <w:rFonts w:asciiTheme="majorHAnsi" w:hAnsiTheme="majorHAnsi"/>
          <w:i/>
          <w:color w:val="000000" w:themeColor="text1"/>
          <w:sz w:val="20"/>
          <w:szCs w:val="20"/>
        </w:rPr>
        <w:t>in flagrante</w:t>
      </w:r>
      <w:r w:rsidRPr="009165FD">
        <w:rPr>
          <w:rFonts w:asciiTheme="majorHAnsi" w:hAnsiTheme="majorHAnsi"/>
          <w:color w:val="000000" w:themeColor="text1"/>
          <w:sz w:val="20"/>
          <w:szCs w:val="20"/>
        </w:rPr>
        <w:t>, in order to maintain their intentions over time, is is necessary to state as of now that the detention was lawful, apart from the fact that the bearing of arms was in flagrante and the report states that they were spying on regular Army soldiers.</w:t>
      </w:r>
      <w:r w:rsidRPr="009165FD">
        <w:rPr>
          <w:rStyle w:val="FootnoteReference"/>
          <w:rFonts w:asciiTheme="majorHAnsi" w:hAnsiTheme="majorHAnsi"/>
          <w:color w:val="000000" w:themeColor="text1"/>
          <w:sz w:val="20"/>
          <w:szCs w:val="20"/>
        </w:rPr>
        <w:footnoteReference w:id="56"/>
      </w:r>
    </w:p>
    <w:p w14:paraId="5A1E28B1"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520BFB7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Regarding the procedures carried out during the detention, one of the detainees, Argemiro López Bravo, maintained that</w:t>
      </w:r>
    </w:p>
    <w:p w14:paraId="30BB1D63"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5631CEF"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Leonel and I were taken to make statements to the Offices of the Prosecutor's Office  locate don the premises of the Battalion. They asked us to collaborate but I could not say anything because I did not have an attorney. What's more, a tall, heavily built guy inside the Prosecutor's Office dressed in civilian clothes thrust me up against the wall to make me speak and told me that if I didn't I would rot in jail. I told him if I had to rot in jail I would but I didn't know whether they were or were not members of the guerrilla. So that stayed like that, they took our statements and then took us back to the cell. Then, at night, they took out David and Alcides to interrogate them. It was already dark, about 7:30 or 8:00 p.m. Alcides came back that night very frightened because they had told him that the next day "the pig" was coming to see who we were, because there, where they took statements, they had told him that someone knew him ["the pig" ?]  and they had called him and given him our data and they had agreed that he would come and identify us. And they had told Alcides that then he was going to pay dearly for it. </w:t>
      </w:r>
    </w:p>
    <w:p w14:paraId="1659B89F"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0B0C5D4B"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At 8:30 p.m. on December 20, 1995, a statement was heard made by Ricardo López Lora, a resident in the XVII Brigade of Carepa, a reintegrated former member of the EPL, as follows:</w:t>
      </w:r>
    </w:p>
    <w:p w14:paraId="7463BC31" w14:textId="77777777" w:rsidR="00334B20" w:rsidRPr="009165FD" w:rsidRDefault="00334B20" w:rsidP="00334B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31379B9D"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u w:val="single"/>
        </w:rPr>
        <w:t xml:space="preserve">ASKED: </w:t>
      </w:r>
      <w:r w:rsidRPr="009165FD">
        <w:rPr>
          <w:rFonts w:asciiTheme="majorHAnsi" w:hAnsiTheme="majorHAnsi"/>
          <w:color w:val="000000" w:themeColor="text1"/>
          <w:sz w:val="20"/>
          <w:szCs w:val="20"/>
        </w:rPr>
        <w:t xml:space="preserve">The undersigned Prosecutor briefly informs the witness of the facts relating to his statement, and asks specifically what knowledge he has regarding the capture of ALCIDES TORRES ARIAS; LEONEL DE JESUS DURANGO alias the BRAVE or "EL CURI"; ANGEL DAVID QUINTERO BENITES; and ARGEMIRO LOPEZ BRAVO alias THE DEER. </w:t>
      </w:r>
      <w:r w:rsidRPr="009165FD">
        <w:rPr>
          <w:rFonts w:asciiTheme="majorHAnsi" w:hAnsiTheme="majorHAnsi"/>
          <w:b/>
          <w:color w:val="000000" w:themeColor="text1"/>
          <w:sz w:val="20"/>
          <w:szCs w:val="20"/>
        </w:rPr>
        <w:t>REPLY:</w:t>
      </w:r>
      <w:r w:rsidRPr="009165FD">
        <w:rPr>
          <w:rFonts w:asciiTheme="majorHAnsi" w:hAnsiTheme="majorHAnsi"/>
          <w:color w:val="000000" w:themeColor="text1"/>
          <w:sz w:val="20"/>
          <w:szCs w:val="20"/>
        </w:rPr>
        <w:t xml:space="preserve"> Because I am from CURRULAO, and used to belong to the EPL guerrilla army, which operates in the Urabá region, I know LEONEL DE JESUS DURANGO, I used to know him as the BIZCORETO (the cross-eyed one); I didn't know him as "EL CURI." He is a guerrilla fighter in the FARC. He goes around with ARGEMIRO, known as EL CHILAPO (mestizo). I don't know him as THE DEER. They hang around CARABALLO and the ARENERA, where they work with the Bolivarian militias, acting as bandits, robbing vehicles with remittances and cattle. I don't know the other two at all and I heard that they stopped them and hauled them in, but I don't know who they are, they seem to be nice people.</w:t>
      </w:r>
      <w:r w:rsidRPr="009165FD">
        <w:rPr>
          <w:rStyle w:val="FootnoteReference"/>
          <w:rFonts w:asciiTheme="majorHAnsi" w:hAnsiTheme="majorHAnsi"/>
          <w:color w:val="000000" w:themeColor="text1"/>
          <w:sz w:val="20"/>
          <w:szCs w:val="20"/>
        </w:rPr>
        <w:footnoteReference w:id="57"/>
      </w:r>
    </w:p>
    <w:p w14:paraId="3D599A98"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318C9AC7"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At 11:30 a.m. on that same say, i.e., December 20, 1995, the Regional Prosecutor in Carepa ordered the release of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 and Alcides Torres Arias</w:t>
      </w:r>
      <w:r w:rsidRPr="009165FD">
        <w:rPr>
          <w:rStyle w:val="FootnoteReference"/>
          <w:rFonts w:asciiTheme="majorHAnsi" w:hAnsiTheme="majorHAnsi"/>
          <w:color w:val="000000" w:themeColor="text1"/>
          <w:sz w:val="20"/>
          <w:szCs w:val="20"/>
        </w:rPr>
        <w:footnoteReference w:id="58"/>
      </w:r>
      <w:r w:rsidRPr="009165FD">
        <w:rPr>
          <w:rFonts w:asciiTheme="majorHAnsi" w:hAnsiTheme="majorHAnsi"/>
          <w:color w:val="000000" w:themeColor="text1"/>
          <w:sz w:val="20"/>
          <w:szCs w:val="20"/>
        </w:rPr>
        <w:t>. That decision was communicated to the Commander of the Vélez Infantry Battalion on the same day, December 20, 1995.</w:t>
      </w:r>
      <w:r w:rsidRPr="009165FD">
        <w:rPr>
          <w:rStyle w:val="FootnoteReference"/>
          <w:rFonts w:asciiTheme="majorHAnsi" w:hAnsiTheme="majorHAnsi"/>
          <w:color w:val="000000" w:themeColor="text1"/>
          <w:sz w:val="20"/>
          <w:szCs w:val="20"/>
        </w:rPr>
        <w:footnoteReference w:id="59"/>
      </w:r>
      <w:r w:rsidRPr="009165FD">
        <w:rPr>
          <w:rFonts w:asciiTheme="majorHAnsi" w:hAnsiTheme="majorHAnsi"/>
          <w:color w:val="000000" w:themeColor="text1"/>
          <w:sz w:val="20"/>
          <w:szCs w:val="20"/>
        </w:rPr>
        <w:t xml:space="preserve"> The Prosecutor based his decision on the fact that:</w:t>
      </w:r>
    </w:p>
    <w:p w14:paraId="7A1A8ACC" w14:textId="77777777" w:rsidR="00334B20" w:rsidRPr="009165FD" w:rsidRDefault="00334B20" w:rsidP="00334B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674BB163"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 xml:space="preserve">From the investigation thus far, it transpires that the drivers of the motorcycles had nothing to do with the bearing of arms and that Argemiro López Bravo and Leonel de Jesús Durango, are the subversives referred to in the report, in addition to being accused of blowing up the police station in Currulao, in the municipality of Turbo. </w:t>
      </w:r>
    </w:p>
    <w:p w14:paraId="5DE117C7" w14:textId="77777777" w:rsidR="00334B20" w:rsidRPr="009165FD" w:rsidRDefault="00334B20" w:rsidP="00334B20">
      <w:pPr>
        <w:ind w:left="720" w:right="720"/>
        <w:jc w:val="both"/>
        <w:rPr>
          <w:rFonts w:asciiTheme="majorHAnsi" w:hAnsiTheme="majorHAnsi"/>
          <w:color w:val="000000" w:themeColor="text1"/>
          <w:sz w:val="20"/>
          <w:szCs w:val="20"/>
        </w:rPr>
      </w:pPr>
    </w:p>
    <w:p w14:paraId="1F5A0DF4"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That being so, there is no point in involving the drivers of the motorbikes, so that the opening of investigations is to be revoked in the sense that proceedings will only go forward in respect of Argemiro López Bravo and Leonel de Jesús Durango. </w:t>
      </w:r>
    </w:p>
    <w:p w14:paraId="5CD60941"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1A2DE49F"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 I hereby order the immediate and unconditional release of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Benites and Alcides Torres Arias, from a statement on the facts will be taken.</w:t>
      </w:r>
      <w:r w:rsidRPr="009165FD">
        <w:rPr>
          <w:rStyle w:val="FootnoteReference"/>
          <w:rFonts w:asciiTheme="majorHAnsi" w:hAnsiTheme="majorHAnsi"/>
          <w:color w:val="000000" w:themeColor="text1"/>
          <w:sz w:val="20"/>
          <w:szCs w:val="20"/>
        </w:rPr>
        <w:footnoteReference w:id="60"/>
      </w:r>
    </w:p>
    <w:p w14:paraId="6DA871B7"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42A86CD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 statement was taken from Alcides Torres Arias  at 11:40 a.m. on the same day, December 20</w:t>
      </w:r>
      <w:r w:rsidRPr="009165FD">
        <w:rPr>
          <w:rFonts w:asciiTheme="majorHAnsi" w:hAnsiTheme="majorHAnsi"/>
          <w:color w:val="000000" w:themeColor="text1"/>
          <w:sz w:val="20"/>
          <w:szCs w:val="20"/>
          <w:vertAlign w:val="superscript"/>
        </w:rPr>
        <w:t>th</w:t>
      </w:r>
      <w:r w:rsidRPr="009165FD">
        <w:rPr>
          <w:rFonts w:asciiTheme="majorHAnsi" w:hAnsiTheme="majorHAnsi"/>
          <w:color w:val="000000" w:themeColor="text1"/>
          <w:sz w:val="20"/>
          <w:szCs w:val="20"/>
        </w:rPr>
        <w:t>, 1995, AS FOLLOWS:</w:t>
      </w:r>
    </w:p>
    <w:p w14:paraId="5264AADB" w14:textId="77777777" w:rsidR="00334B20" w:rsidRPr="009165FD" w:rsidRDefault="00334B20" w:rsidP="00334B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7AFB6E38"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u w:val="single"/>
        </w:rPr>
        <w:t xml:space="preserve">ASKED: </w:t>
      </w:r>
      <w:r w:rsidRPr="009165FD">
        <w:rPr>
          <w:rFonts w:asciiTheme="majorHAnsi" w:hAnsiTheme="majorHAnsi"/>
          <w:color w:val="000000" w:themeColor="text1"/>
          <w:sz w:val="20"/>
          <w:szCs w:val="20"/>
        </w:rPr>
        <w:t xml:space="preserve">The undersigned Prosecutor briefly informs the witness of the facts relating to his statement, and asks him specifically to say what happened in connection with his arrest. </w:t>
      </w:r>
      <w:r w:rsidRPr="009165FD">
        <w:rPr>
          <w:rFonts w:asciiTheme="majorHAnsi" w:hAnsiTheme="majorHAnsi"/>
          <w:b/>
          <w:color w:val="000000" w:themeColor="text1"/>
          <w:sz w:val="20"/>
          <w:szCs w:val="20"/>
        </w:rPr>
        <w:t>REPLY:</w:t>
      </w:r>
      <w:r w:rsidRPr="009165FD">
        <w:rPr>
          <w:rFonts w:asciiTheme="majorHAnsi" w:hAnsiTheme="majorHAnsi"/>
          <w:color w:val="000000" w:themeColor="text1"/>
          <w:sz w:val="20"/>
          <w:szCs w:val="20"/>
        </w:rPr>
        <w:t xml:space="preserve"> [...] I got up at around seven or 6:30 a.m., saddled my horse and set off for LA ARENERA. I arrived there on horseback and met my brother OLBER TORRES ARIAS, who has a red 125 HONDA motorcycle. I asked him to lend me the motorbike and left the horse tethered at his place. I set off on the motorbike heading for EL CONGO where a man had asked me if I would buy a heifer from him. Along the road I see a young guy come out called ARGEMIRO whom I know because I have seen him chilling out in LA ARENERA. He stopped me and asked me to give him a ride so that he could cross the water without getting wet. It was then that the Army saw he had got onto my motorbike. I crossed the river and on the bank of the river they stopped us, pointing their guns at us. I was so frightened that I didn't realize what was happening, but it seems they took a revolver off the guy. That is all. </w:t>
      </w:r>
    </w:p>
    <w:p w14:paraId="1AC0524E" w14:textId="77777777" w:rsidR="00334B20" w:rsidRPr="009165FD" w:rsidRDefault="00334B20" w:rsidP="00334B20">
      <w:pPr>
        <w:ind w:left="720" w:right="720"/>
        <w:jc w:val="both"/>
        <w:rPr>
          <w:rFonts w:asciiTheme="majorHAnsi" w:hAnsiTheme="majorHAnsi"/>
          <w:color w:val="000000" w:themeColor="text1"/>
          <w:sz w:val="20"/>
          <w:szCs w:val="20"/>
          <w:u w:val="single"/>
        </w:rPr>
      </w:pPr>
    </w:p>
    <w:p w14:paraId="5F224CD5"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lang w:val="es-ES"/>
        </w:rPr>
      </w:pPr>
      <w:r w:rsidRPr="009165FD">
        <w:rPr>
          <w:rFonts w:asciiTheme="majorHAnsi" w:hAnsiTheme="majorHAnsi"/>
          <w:color w:val="000000" w:themeColor="text1"/>
          <w:sz w:val="20"/>
          <w:szCs w:val="20"/>
        </w:rPr>
        <w:t xml:space="preserve">ASKED: Do you have anything you would like to add, amend, or correct? </w:t>
      </w:r>
      <w:r w:rsidRPr="009165FD">
        <w:rPr>
          <w:rFonts w:asciiTheme="majorHAnsi" w:hAnsiTheme="majorHAnsi"/>
          <w:b/>
          <w:color w:val="000000" w:themeColor="text1"/>
          <w:sz w:val="20"/>
          <w:szCs w:val="20"/>
        </w:rPr>
        <w:t xml:space="preserve">REPLY: </w:t>
      </w:r>
      <w:r w:rsidRPr="009165FD">
        <w:rPr>
          <w:rFonts w:asciiTheme="majorHAnsi" w:hAnsiTheme="majorHAnsi"/>
          <w:color w:val="000000" w:themeColor="text1"/>
          <w:sz w:val="20"/>
          <w:szCs w:val="20"/>
        </w:rPr>
        <w:t>I was going to ask you that they should let us have more visits.</w:t>
      </w:r>
      <w:r w:rsidRPr="009165FD">
        <w:rPr>
          <w:rStyle w:val="FootnoteReference"/>
          <w:rFonts w:asciiTheme="majorHAnsi" w:hAnsiTheme="majorHAnsi"/>
          <w:color w:val="000000" w:themeColor="text1"/>
          <w:sz w:val="20"/>
          <w:szCs w:val="20"/>
        </w:rPr>
        <w:footnoteReference w:id="61"/>
      </w:r>
      <w:r w:rsidRPr="009165FD">
        <w:rPr>
          <w:rFonts w:asciiTheme="majorHAnsi" w:hAnsiTheme="majorHAnsi"/>
          <w:color w:val="000000" w:themeColor="text1"/>
          <w:sz w:val="20"/>
          <w:szCs w:val="20"/>
        </w:rPr>
        <w:t xml:space="preserve"> </w:t>
      </w:r>
      <w:r w:rsidRPr="009165FD">
        <w:rPr>
          <w:rFonts w:asciiTheme="majorHAnsi" w:hAnsiTheme="majorHAnsi"/>
          <w:color w:val="000000" w:themeColor="text1"/>
          <w:sz w:val="20"/>
          <w:szCs w:val="20"/>
          <w:lang w:val="es-ES"/>
        </w:rPr>
        <w:t>[</w:t>
      </w:r>
      <w:r w:rsidRPr="009165FD">
        <w:rPr>
          <w:rFonts w:asciiTheme="majorHAnsi" w:hAnsiTheme="majorHAnsi"/>
          <w:i/>
          <w:color w:val="000000" w:themeColor="text1"/>
          <w:sz w:val="20"/>
          <w:szCs w:val="20"/>
          <w:lang w:val="es-ES"/>
        </w:rPr>
        <w:t>Yo le iba a decir que nos dieran más visita</w:t>
      </w:r>
      <w:r w:rsidRPr="009165FD">
        <w:rPr>
          <w:rFonts w:asciiTheme="majorHAnsi" w:hAnsiTheme="majorHAnsi"/>
          <w:color w:val="000000" w:themeColor="text1"/>
          <w:sz w:val="20"/>
          <w:szCs w:val="20"/>
          <w:lang w:val="es-ES"/>
        </w:rPr>
        <w:t>]</w:t>
      </w:r>
    </w:p>
    <w:p w14:paraId="41EA60B2"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lang w:val="es-ES"/>
        </w:rPr>
      </w:pPr>
    </w:p>
    <w:p w14:paraId="578C53EB"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 statement was taken from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at 11:53 a.m. on the same day, as follows:</w:t>
      </w:r>
    </w:p>
    <w:p w14:paraId="3D7C549C" w14:textId="77777777" w:rsidR="00334B20" w:rsidRPr="009165FD" w:rsidRDefault="00334B20" w:rsidP="00334B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65C6B046"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I was coming from my house that day when a little way down from it I saw a young fellow called LEONEL, I don't know his surname. He raised his hand for me to stop and I did and he asked me to take him to LA ARENERA. He was on his own and told me he just needed to get to La Arenera, so we went down there and when we got to the other side of the river, that is to say, the side where the farm called La Arenera is  and there the Army was holding another guy and one in front of the motorbike. I got there and they stopped me and threw me to the ground and I could not see, but the army pulled out a grenade and the soldiers said to the guy I had given a ride to,  this son of a bitch, look what he was carrying, but I couldn't see anything. From there they took us to one of those huts you only find in La Arenera and left us there for God knows how many hours. Then they took us to another hut. Finally some trucks came down from Nueva Antioquia, they put us in and took us to Río Grande and then here.</w:t>
      </w:r>
      <w:r w:rsidRPr="009165FD">
        <w:rPr>
          <w:rStyle w:val="FootnoteReference"/>
          <w:rFonts w:asciiTheme="majorHAnsi" w:hAnsiTheme="majorHAnsi"/>
          <w:color w:val="000000" w:themeColor="text1"/>
          <w:sz w:val="20"/>
          <w:szCs w:val="20"/>
        </w:rPr>
        <w:footnoteReference w:id="62"/>
      </w:r>
    </w:p>
    <w:p w14:paraId="126551D6"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5401418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According to the statement made by the officers in the Brigade</w:t>
      </w:r>
      <w:r w:rsidRPr="009165FD">
        <w:rPr>
          <w:rStyle w:val="FootnoteReference"/>
          <w:rFonts w:asciiTheme="majorHAnsi" w:hAnsiTheme="majorHAnsi"/>
          <w:color w:val="000000" w:themeColor="text1"/>
          <w:sz w:val="20"/>
          <w:szCs w:val="20"/>
        </w:rPr>
        <w:footnoteReference w:id="63"/>
      </w:r>
      <w:r w:rsidRPr="009165FD">
        <w:rPr>
          <w:rFonts w:asciiTheme="majorHAnsi" w:hAnsiTheme="majorHAnsi"/>
          <w:color w:val="000000" w:themeColor="text1"/>
          <w:sz w:val="20"/>
          <w:szCs w:val="20"/>
        </w:rPr>
        <w:t xml:space="preserve"> and the Logbook of the Infantry Battalion Guard No. 32 of the XVII Brigade,</w:t>
      </w:r>
      <w:r w:rsidRPr="009165FD">
        <w:rPr>
          <w:rStyle w:val="FootnoteReference"/>
          <w:rFonts w:asciiTheme="majorHAnsi" w:hAnsiTheme="majorHAnsi"/>
          <w:color w:val="000000" w:themeColor="text1"/>
          <w:sz w:val="20"/>
          <w:szCs w:val="20"/>
        </w:rPr>
        <w:footnoteReference w:id="64"/>
      </w:r>
      <w:r w:rsidRPr="009165FD">
        <w:rPr>
          <w:rFonts w:asciiTheme="majorHAnsi" w:hAnsiTheme="majorHAnsi"/>
          <w:color w:val="000000" w:themeColor="text1"/>
          <w:sz w:val="20"/>
          <w:szCs w:val="20"/>
        </w:rPr>
        <w:t>Messrs. Alcides Torres Arias and Angel David Quintero were released at 2:05 p.m. on December 20, 1995.</w:t>
      </w:r>
    </w:p>
    <w:p w14:paraId="4F3AC5A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CBCB48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According to the statement given by Mr. José Ignacio Jiménez, the guard at the installations of the XVII Brigade: </w:t>
      </w:r>
    </w:p>
    <w:p w14:paraId="0E66E010" w14:textId="77777777" w:rsidR="00334B20" w:rsidRPr="009165FD" w:rsidRDefault="00334B20" w:rsidP="001C5CF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14:paraId="1BAE75B2" w14:textId="77777777" w:rsidR="00334B20" w:rsidRPr="009165FD" w:rsidRDefault="00334B20" w:rsidP="00334B20">
      <w:pP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On the day in question he had been on guard duty and saw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 leave. They had arrived at the Guard station accompanied by a female noncommissioned officer, who gave him the order to let them go. He checked the names and they left. He explains however that he is a bit confused with statements made 14 years ago.</w:t>
      </w:r>
      <w:r w:rsidRPr="009165FD">
        <w:rPr>
          <w:rStyle w:val="FootnoteReference"/>
          <w:rFonts w:asciiTheme="majorHAnsi" w:hAnsiTheme="majorHAnsi"/>
          <w:color w:val="000000" w:themeColor="text1"/>
          <w:sz w:val="20"/>
          <w:szCs w:val="20"/>
        </w:rPr>
        <w:footnoteReference w:id="65"/>
      </w:r>
      <w:r w:rsidRPr="009165FD">
        <w:rPr>
          <w:rFonts w:asciiTheme="majorHAnsi" w:hAnsiTheme="majorHAnsi"/>
          <w:color w:val="000000" w:themeColor="text1"/>
          <w:sz w:val="20"/>
          <w:szCs w:val="20"/>
        </w:rPr>
        <w:t xml:space="preserve"> </w:t>
      </w:r>
    </w:p>
    <w:p w14:paraId="0EE5E3C4" w14:textId="77777777" w:rsidR="00334B20" w:rsidRPr="009165FD" w:rsidRDefault="00334B20" w:rsidP="00334B20">
      <w:pPr>
        <w:ind w:left="720" w:right="720"/>
        <w:jc w:val="both"/>
        <w:rPr>
          <w:rFonts w:asciiTheme="majorHAnsi" w:hAnsiTheme="majorHAnsi"/>
          <w:color w:val="000000" w:themeColor="text1"/>
          <w:sz w:val="20"/>
          <w:szCs w:val="20"/>
        </w:rPr>
      </w:pPr>
    </w:p>
    <w:p w14:paraId="245F8F3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However, Sergeant Héctor Vanegas Rodríguez commented in his statement, in relation to this statement by the guard, that "he himself had gone to the guard on duty, who at that moment was Sergeant Jose Ignacio Jiménez, and told him that the order was to say, if they were asked, that the detainees had left. He [Jiménez] made no objection or anything."</w:t>
      </w:r>
      <w:r w:rsidRPr="009165FD">
        <w:rPr>
          <w:rStyle w:val="FootnoteReference"/>
          <w:rFonts w:asciiTheme="majorHAnsi" w:hAnsiTheme="majorHAnsi"/>
          <w:color w:val="000000" w:themeColor="text1"/>
          <w:sz w:val="20"/>
          <w:szCs w:val="20"/>
        </w:rPr>
        <w:footnoteReference w:id="66"/>
      </w:r>
      <w:r w:rsidRPr="009165FD">
        <w:rPr>
          <w:rStyle w:val="FootnoteReference"/>
          <w:rFonts w:asciiTheme="majorHAnsi" w:hAnsiTheme="majorHAnsi"/>
          <w:color w:val="000000" w:themeColor="text1"/>
          <w:sz w:val="20"/>
          <w:szCs w:val="20"/>
        </w:rPr>
        <w:t xml:space="preserve"> </w:t>
      </w:r>
    </w:p>
    <w:p w14:paraId="0106605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6CA9B866"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At the same time, there are several statements giving another version of the facts relating to the supposed release of Mr. Alcides Torres Arias. </w:t>
      </w:r>
    </w:p>
    <w:p w14:paraId="46140B0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09F7049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Thus, Argemiro López Bravo, one of the detainees, declared as follows: </w:t>
      </w:r>
    </w:p>
    <w:p w14:paraId="64783640"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72C618D4"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We were all in the cell. I don't remember if it was in the morning or afternoon, when two men in plain clothes came to the door of the cell. They were bearing arms, and one could see that they were small arms tucked under their shirts. They were accompanied by a woman in uniform from the S-2, who told the guard keeping watch on us to leave. He left and it was then that they asked for David Quintero and Alcides Torres, and told them to step out. They asked why and they answered no, they had to leave. They said no and at that point the visitors took out the lock and tossed it on the ground...</w:t>
      </w:r>
    </w:p>
    <w:p w14:paraId="34B36637"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616526B8"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the girl in uniform told them, when she arrived with the two men dressed in civilian clothes, that the time for their release had come, she showed them a piece of paper, and it was then they began moving the lock.  They didn't sign anything. They took them in a hurry, so much so that Alcides, who was a thin guy, had to hold his pants up, leaving the belt in the cell, because they didn't let them take anything with them. They just took them with whatever they had on.</w:t>
      </w:r>
      <w:r w:rsidRPr="009165FD">
        <w:rPr>
          <w:rStyle w:val="FootnoteReference"/>
          <w:rFonts w:asciiTheme="majorHAnsi" w:hAnsiTheme="majorHAnsi"/>
          <w:color w:val="000000" w:themeColor="text1"/>
          <w:sz w:val="20"/>
          <w:szCs w:val="20"/>
        </w:rPr>
        <w:footnoteReference w:id="67"/>
      </w:r>
    </w:p>
    <w:p w14:paraId="008B396A"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78263F7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This statement was later ratified by Mr. Argemiro López Bravo when he stated that he "confirms what he said in earlier statements that a woman dressed as a soldier gives the order to the guard to </w:t>
      </w:r>
      <w:r w:rsidRPr="009165FD">
        <w:rPr>
          <w:rFonts w:asciiTheme="majorHAnsi" w:hAnsiTheme="majorHAnsi"/>
          <w:color w:val="000000" w:themeColor="text1"/>
          <w:sz w:val="20"/>
          <w:szCs w:val="20"/>
        </w:rPr>
        <w:lastRenderedPageBreak/>
        <w:t>withdraw and that she was accompanied by two men in plain clothes and was there when they broke the lock."</w:t>
      </w:r>
      <w:r w:rsidRPr="009165FD">
        <w:rPr>
          <w:rStyle w:val="FootnoteReference"/>
          <w:rFonts w:asciiTheme="majorHAnsi" w:hAnsiTheme="majorHAnsi"/>
          <w:color w:val="000000" w:themeColor="text1"/>
          <w:sz w:val="20"/>
          <w:szCs w:val="20"/>
        </w:rPr>
        <w:footnoteReference w:id="68"/>
      </w:r>
    </w:p>
    <w:p w14:paraId="6E5CCB2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78E9D11B"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In addition, Leonel de Jesús Durango, another of the detainees, said: </w:t>
      </w:r>
    </w:p>
    <w:p w14:paraId="3D07FF75" w14:textId="77777777" w:rsidR="00334B20" w:rsidRPr="009165FD" w:rsidRDefault="00334B20" w:rsidP="00334B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76DFEEB6" w14:textId="77777777" w:rsidR="00334B20"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Look, we were captured [...] accused of being guerrillas although we are nothing. They set things up so that we had to say we were guerrillas and if we didn't they would disappear us like the other two gentlemen. Later (...) next to the cell where they were keeping us two men arrived with a woman from the same battalion, that woman there, who broke the lock with a hacksaw. Around eleven [Tr. one?] or two in the afternoon they arrived in a red Trooper [Tr. jeep] and hauled out Alcides Torres Arias and Angel David Quintero and took them away...</w:t>
      </w:r>
      <w:r w:rsidRPr="009165FD">
        <w:rPr>
          <w:rStyle w:val="FootnoteReference"/>
          <w:rFonts w:asciiTheme="majorHAnsi" w:hAnsiTheme="majorHAnsi"/>
          <w:color w:val="000000" w:themeColor="text1"/>
          <w:sz w:val="20"/>
          <w:szCs w:val="20"/>
        </w:rPr>
        <w:footnoteReference w:id="69"/>
      </w:r>
    </w:p>
    <w:p w14:paraId="155639B4" w14:textId="77777777" w:rsidR="00FD5E02" w:rsidRPr="009165FD" w:rsidRDefault="00FD5E02" w:rsidP="00334B20">
      <w:pPr>
        <w:pStyle w:val="ListParagraph"/>
        <w:autoSpaceDE w:val="0"/>
        <w:autoSpaceDN w:val="0"/>
        <w:adjustRightInd w:val="0"/>
        <w:ind w:right="720"/>
        <w:jc w:val="both"/>
        <w:rPr>
          <w:rFonts w:asciiTheme="majorHAnsi" w:hAnsiTheme="majorHAnsi"/>
          <w:color w:val="000000" w:themeColor="text1"/>
          <w:sz w:val="20"/>
          <w:szCs w:val="20"/>
        </w:rPr>
      </w:pPr>
    </w:p>
    <w:p w14:paraId="07D5B9B3"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Mr. Alcides Torres Arias' family visited him in the installations of the XVII Brigade on the days following his arrest.</w:t>
      </w:r>
      <w:r w:rsidRPr="009165FD">
        <w:rPr>
          <w:rStyle w:val="FootnoteReference"/>
          <w:rFonts w:asciiTheme="majorHAnsi" w:hAnsiTheme="majorHAnsi"/>
          <w:color w:val="000000" w:themeColor="text1"/>
          <w:sz w:val="20"/>
          <w:szCs w:val="20"/>
        </w:rPr>
        <w:footnoteReference w:id="70"/>
      </w:r>
      <w:r w:rsidRPr="009165FD">
        <w:rPr>
          <w:rFonts w:asciiTheme="majorHAnsi" w:hAnsiTheme="majorHAnsi"/>
          <w:color w:val="000000" w:themeColor="text1"/>
          <w:sz w:val="20"/>
          <w:szCs w:val="20"/>
        </w:rPr>
        <w:t>. On December 20, 1995, the Regional Prosecutor told the family members that he had ordered the release of the detainees, but no more was heard of them.</w:t>
      </w:r>
      <w:r w:rsidRPr="009165FD">
        <w:rPr>
          <w:rStyle w:val="FootnoteReference"/>
          <w:rFonts w:asciiTheme="majorHAnsi" w:hAnsiTheme="majorHAnsi"/>
          <w:color w:val="000000" w:themeColor="text1"/>
          <w:sz w:val="20"/>
          <w:szCs w:val="20"/>
        </w:rPr>
        <w:footnoteReference w:id="71"/>
      </w:r>
      <w:r w:rsidRPr="009165FD">
        <w:rPr>
          <w:rFonts w:asciiTheme="majorHAnsi" w:hAnsiTheme="majorHAnsi"/>
          <w:color w:val="000000" w:themeColor="text1"/>
          <w:sz w:val="20"/>
          <w:szCs w:val="20"/>
        </w:rPr>
        <w:t xml:space="preserve"> The testimony of the mother of Alcides Torres Arias reads as follows:</w:t>
      </w:r>
    </w:p>
    <w:p w14:paraId="2D41CBF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503B7915"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When I got to the door [of the Regional Prosecutor's office], I met the two daughters and I said that the Prosecutor has said that they had already released my son Alcides Torres Arias. They commented that their brother had never gone by them because they had waited the whole time at the only entrance to the Brigade. They had noted something special, which was a red jeep coming out escorted by two or three motorbikes. What drew their attention was that among the people in that vehicle they had seen a paramilitary that everybody recognized, known as "the pig" whose real name was Ricardo López Lora, although he also has another alias: "Robert."</w:t>
      </w:r>
    </w:p>
    <w:p w14:paraId="14A1021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7FDA99B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Ms. Nelsy Torres Arias, a sister of Alcides Torres Arias, testified that:</w:t>
      </w:r>
    </w:p>
    <w:p w14:paraId="00485F33"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7378C6E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Her brother Alcides Torres Arias was stopped by the Army when he was with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They took them to Batallón Vélez, where they were allowed to visit them and take them food. They had gone in routinely, without any problems. On the Wednesday, they had gone to visit them from around 10:30 or 11:00 a.m., but they were left at the guard station. At 2:00 p.m., unlike the previous days, they asked them to show their ideas (which they had never done before). While they were waiting for permission to enter, they saw a red station-wagon type of vehicle come out, escorted by several people on motorcycles.</w:t>
      </w:r>
    </w:p>
    <w:p w14:paraId="7B7429B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3270715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Later on they were allowed in to go to the Prosecutor's Office where they would be authorized to visit their relative. There they talked with the Prosecutor, who told them that he had already ordered their release. As they had found nothing to confirm what he was saying [Tr? </w:t>
      </w:r>
      <w:r w:rsidRPr="009165FD">
        <w:rPr>
          <w:rFonts w:asciiTheme="majorHAnsi" w:hAnsiTheme="majorHAnsi"/>
          <w:i/>
          <w:color w:val="000000" w:themeColor="text1"/>
          <w:sz w:val="20"/>
          <w:szCs w:val="20"/>
        </w:rPr>
        <w:t>que los comprometiera</w:t>
      </w:r>
      <w:r w:rsidRPr="009165FD">
        <w:rPr>
          <w:rFonts w:asciiTheme="majorHAnsi" w:hAnsiTheme="majorHAnsi"/>
          <w:color w:val="000000" w:themeColor="text1"/>
          <w:sz w:val="20"/>
          <w:szCs w:val="20"/>
        </w:rPr>
        <w:t xml:space="preserve">], they asked the official why he had not advised them and moreover they had not noticed them leave. The Prosecutor answered that just an order from him sufficed. </w:t>
      </w:r>
    </w:p>
    <w:p w14:paraId="1EB93B8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432D5580"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Subsequently, the sister tells how a soldier ordered a subordinate in plain clothes to go and bring the prisoners who had been freed. The subordinate had come back and said they were no longer there and "must have broken out using force because the lock was damaged."</w:t>
      </w:r>
    </w:p>
    <w:p w14:paraId="3D35F6D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5A4AE8F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They called "a female sergeant apparently called Belcris," who told them that the released detainees had been taken to the gate of the Brigade to catch a bus.</w:t>
      </w:r>
      <w:r w:rsidRPr="009165FD">
        <w:rPr>
          <w:rStyle w:val="FootnoteReference"/>
          <w:rFonts w:asciiTheme="majorHAnsi" w:hAnsiTheme="majorHAnsi"/>
          <w:color w:val="000000" w:themeColor="text1"/>
          <w:sz w:val="20"/>
          <w:szCs w:val="20"/>
        </w:rPr>
        <w:footnoteReference w:id="72"/>
      </w:r>
      <w:r w:rsidRPr="009165FD">
        <w:rPr>
          <w:rFonts w:asciiTheme="majorHAnsi" w:hAnsiTheme="majorHAnsi"/>
          <w:color w:val="000000" w:themeColor="text1"/>
          <w:sz w:val="20"/>
          <w:szCs w:val="20"/>
        </w:rPr>
        <w:t xml:space="preserve">. </w:t>
      </w:r>
      <w:r w:rsidRPr="009165FD">
        <w:rPr>
          <w:rFonts w:asciiTheme="majorHAnsi" w:hAnsiTheme="majorHAnsi"/>
          <w:i/>
          <w:color w:val="000000" w:themeColor="text1"/>
          <w:sz w:val="20"/>
          <w:szCs w:val="20"/>
        </w:rPr>
        <w:t xml:space="preserve"> </w:t>
      </w:r>
    </w:p>
    <w:p w14:paraId="06D9718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5EE426C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From the time they were told of his supposed release, the family members of Alcides Torres Arias began to look for him. As a result of the family's search, it was possible to find out more about what had happened. </w:t>
      </w:r>
    </w:p>
    <w:p w14:paraId="71B13E2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37A9E9B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According to his mother's testimony:</w:t>
      </w:r>
    </w:p>
    <w:p w14:paraId="0C779DB2"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63E98071"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We went to Chigorodó, because that's where I live with my daughters, to see if Alcides was there. But at home they told me he had gone. so we went to Currulao to see if he was there or on the farm. When we got to the village, we met Mr. Ramón Rodríguez, who told us he had seen a red Army jeep stuck at the entrance to Currulao, escorted by several motorbikes. Angel David Quintero Benitez had come running out from there, bleeding, pursued by some soldiers along with members of the paramilitary. Angel hid in a hotel called "Descanso" and tried to get to the back of it to escape from there, but the back door was locked and there they captured him again, and brought him out, beating him savagely. Someone began calling out "‘Don Ramón…Don Ramón’, who looked and saw that he was being called to from the red jeep and in it he saw my son Alcides Torres Arias, who showed signs of having been tortured, because his face had been beaten and was covered in blood. At that point the vehicle drove off, escorted by the motorbikes. The man [Tr. Ramón Rodríguez] realized that one of the people in the group was "the pig" or "Robert", the paramilitary they had seen come out of the Brigade, he was one of those who had hauled out Angel David, hitting him like the soldiers. I believe what don Ramón said because he was my son's father in law and knew him well enough to make out his voice and face. </w:t>
      </w:r>
    </w:p>
    <w:p w14:paraId="0FF15388" w14:textId="77777777" w:rsidR="00334B20" w:rsidRPr="009165FD" w:rsidRDefault="00334B20" w:rsidP="00334B20">
      <w:pPr>
        <w:ind w:left="720" w:right="720"/>
        <w:jc w:val="both"/>
        <w:rPr>
          <w:rFonts w:asciiTheme="majorHAnsi" w:hAnsiTheme="majorHAnsi"/>
          <w:color w:val="000000" w:themeColor="text1"/>
          <w:sz w:val="20"/>
          <w:szCs w:val="20"/>
        </w:rPr>
      </w:pPr>
    </w:p>
    <w:p w14:paraId="381E5223"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We went to the Descanso Hotel to speak to the owner and he told us the same story that Angel David had come running in and had gone to the back but as the door was locked the soldiers and paramilitary had caught him and beat him up, and then took him back to the red jeep standing there...</w:t>
      </w:r>
      <w:r w:rsidRPr="009165FD">
        <w:rPr>
          <w:rStyle w:val="FootnoteReference"/>
          <w:rFonts w:asciiTheme="majorHAnsi" w:hAnsiTheme="majorHAnsi"/>
          <w:color w:val="000000" w:themeColor="text1"/>
          <w:sz w:val="20"/>
          <w:szCs w:val="20"/>
        </w:rPr>
        <w:footnoteReference w:id="73"/>
      </w:r>
    </w:p>
    <w:p w14:paraId="7E41D85C"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3F1644D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Several people testified about what happened in El Descanso hotel. Thus, to take an example, Ignacio de Jesús Gómez Ruiz, the owner and administrator of the El Descanso property said:  </w:t>
      </w:r>
    </w:p>
    <w:p w14:paraId="545C0363"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68FABC8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 don't remember what day it was. I was sitting in the shade under a tree opposite the rooms, at around midday, when I saw this guy running in with two armed men behind him. The young fellow tried to reach the back of the hotel and jump into the street behind. However, as the door there was locked, they caught him, pulled him out and threw him into the vehicle, which was parked opposite, to the right, on the road leading to Turbo. I think the vehicle was red, a small jeep, I was with Mr. Roque Giraldo at the time, who left when he saw this happen...[...]. </w:t>
      </w:r>
    </w:p>
    <w:p w14:paraId="761FD03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3D840F9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At the time [around 1995] anything could happen, there was a war between guerrillas and the paramilitary [...]</w:t>
      </w:r>
    </w:p>
    <w:p w14:paraId="0E5721D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3FBA3D53"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People say that the guy they call the pig was in the vehicle… I don't want them to hear this because they'd kill me.</w:t>
      </w:r>
      <w:r w:rsidRPr="009165FD">
        <w:rPr>
          <w:rStyle w:val="FootnoteReference"/>
          <w:rFonts w:asciiTheme="majorHAnsi" w:hAnsiTheme="majorHAnsi"/>
          <w:color w:val="000000" w:themeColor="text1"/>
          <w:sz w:val="20"/>
          <w:szCs w:val="20"/>
        </w:rPr>
        <w:footnoteReference w:id="74"/>
      </w:r>
      <w:r w:rsidRPr="009165FD">
        <w:rPr>
          <w:rFonts w:asciiTheme="majorHAnsi" w:hAnsiTheme="majorHAnsi"/>
          <w:color w:val="000000" w:themeColor="text1"/>
          <w:sz w:val="20"/>
          <w:szCs w:val="20"/>
        </w:rPr>
        <w:t xml:space="preserve"> </w:t>
      </w:r>
    </w:p>
    <w:p w14:paraId="66CF7B8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40C2FD3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For his part, Roque de Jesús Giraldo Vélez declared as follows: </w:t>
      </w:r>
    </w:p>
    <w:p w14:paraId="137883D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166A1AE"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 don't recall what day it was. I was sitting at don Ignacio's place drinking a Coca Cola together with don Ramón. At that moment a red car drove up. I don't remember whether it as a Suzuki or if it was small. When it braked, a client threw himself out of the car window and ran toward don Ignacio and El Descanso rooms. As the Hotel has two entrances, he went in through the front and tried to get out the back. I realized when another guy riding a large 175 motorbike tossed it to the ground and went after the first guy. Then I saw them come out and the first guy was holding his testicles as if they had hit him there. He was groaning and they forced him back into the vehicle. They asked for help to push-start the car and then set off toward Turbo. That's all I saw.</w:t>
      </w:r>
      <w:r w:rsidRPr="009165FD">
        <w:rPr>
          <w:rStyle w:val="FootnoteReference"/>
          <w:rFonts w:asciiTheme="majorHAnsi" w:hAnsiTheme="majorHAnsi"/>
          <w:color w:val="000000" w:themeColor="text1"/>
          <w:sz w:val="20"/>
          <w:szCs w:val="20"/>
        </w:rPr>
        <w:footnoteReference w:id="75"/>
      </w:r>
    </w:p>
    <w:p w14:paraId="29554A2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4809BD7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Likewise, Ramón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Ortega González stated as follows: </w:t>
      </w:r>
    </w:p>
    <w:p w14:paraId="38B734A9" w14:textId="77777777" w:rsidR="00334B20" w:rsidRPr="009165FD" w:rsidRDefault="00334B20" w:rsidP="00334B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676BFF7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 was sitting in a shop, on the outside, that is to say, on the patio of a neighbor, under some trees that give shade. I had my back to the Hotel, looking at my shop, waiting to see who went into it, when we heard a bunch of people and saw someone running and another person behind. I couldn't tell you what they were wearing. I ran for my house, when I saw that it wasn't looking pretty. I didn't manage to see if they were armed. I don't remember. I don't remember anything else. What I do remember is that they bundled him into a red car, a small car like a jeep. I don't remember the make. It was red. I don't recall seeing anyone else inside that vehicle. [...] What happened is that they made me push the car and the guy even hit me in the shoulder. I pushed and when the car started he said "next time I'll give you gonorrhea." When he hit me, I was frightened...</w:t>
      </w:r>
      <w:r w:rsidRPr="009165FD">
        <w:rPr>
          <w:rStyle w:val="FootnoteReference"/>
          <w:rFonts w:asciiTheme="majorHAnsi" w:hAnsiTheme="majorHAnsi"/>
          <w:color w:val="000000" w:themeColor="text1"/>
          <w:sz w:val="20"/>
          <w:szCs w:val="20"/>
        </w:rPr>
        <w:footnoteReference w:id="76"/>
      </w:r>
    </w:p>
    <w:p w14:paraId="3534BB1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42FB58E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As for the circumstances surrounding the statements made by Mr. López Lora on December 20, 1995 (supra 75) regarding Angel David Quintero y Alcides Torres Arias</w:t>
      </w:r>
      <w:r w:rsidRPr="009165FD">
        <w:rPr>
          <w:rStyle w:val="FootnoteReference"/>
          <w:rFonts w:asciiTheme="majorHAnsi" w:hAnsiTheme="majorHAnsi"/>
          <w:color w:val="000000" w:themeColor="text1"/>
          <w:sz w:val="20"/>
          <w:szCs w:val="20"/>
        </w:rPr>
        <w:footnoteReference w:id="77"/>
      </w:r>
      <w:r w:rsidRPr="009165FD">
        <w:rPr>
          <w:rStyle w:val="FootnoteReference"/>
          <w:rFonts w:asciiTheme="majorHAnsi" w:hAnsiTheme="majorHAnsi"/>
          <w:color w:val="000000" w:themeColor="text1"/>
          <w:sz w:val="20"/>
          <w:szCs w:val="20"/>
        </w:rPr>
        <w:t>.</w:t>
      </w:r>
      <w:r w:rsidRPr="009165FD">
        <w:rPr>
          <w:rFonts w:asciiTheme="majorHAnsi" w:hAnsiTheme="majorHAnsi"/>
          <w:color w:val="000000" w:themeColor="text1"/>
          <w:sz w:val="20"/>
          <w:szCs w:val="20"/>
        </w:rPr>
        <w:t>, Mr. López Lora himself, alias "the pig," "the sow", or "Robert, " disclosed the following:</w:t>
      </w:r>
    </w:p>
    <w:p w14:paraId="3F8E31B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4D16223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they had spoken to the Public Prosecutor at that time because they need two detainees who were at the Brigade.  The Prosecutor told him that he had to make a statement saying that they were nice decent people who had had no problems in the area, and that's what he did and the prosecutor released them and they gave him some money, he doesn't know how much. They took the men from the cell, busting the locks with iron bars and stones. Before leaving he told Charry and the Bald One that once they were past the guard at the gate and outside, they should handcuff them because if people saw them they'd be in trouble. They left through the gate of the Brigade.</w:t>
      </w:r>
      <w:r w:rsidRPr="009165FD">
        <w:rPr>
          <w:rStyle w:val="FootnoteReference"/>
          <w:rFonts w:asciiTheme="majorHAnsi" w:hAnsiTheme="majorHAnsi"/>
          <w:color w:val="000000" w:themeColor="text1"/>
          <w:sz w:val="20"/>
          <w:szCs w:val="20"/>
        </w:rPr>
        <w:footnoteReference w:id="78"/>
      </w:r>
      <w:r w:rsidRPr="009165FD">
        <w:rPr>
          <w:rFonts w:asciiTheme="majorHAnsi" w:hAnsiTheme="majorHAnsi"/>
          <w:color w:val="000000" w:themeColor="text1"/>
          <w:sz w:val="20"/>
          <w:szCs w:val="20"/>
        </w:rPr>
        <w:t xml:space="preserve"> </w:t>
      </w:r>
    </w:p>
    <w:p w14:paraId="652C08B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6557927F"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 xml:space="preserve">Regarding the planning of what happened to Messrs.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 in the judgment against Mr. Héctor Gutiérrez Vélez, there is an unsworn statement by Mr.  Hebert Veloza García, alias </w:t>
      </w:r>
      <w:r w:rsidRPr="009165FD">
        <w:rPr>
          <w:rFonts w:asciiTheme="majorHAnsi" w:hAnsiTheme="majorHAnsi"/>
          <w:i/>
          <w:color w:val="000000" w:themeColor="text1"/>
          <w:sz w:val="20"/>
          <w:szCs w:val="20"/>
        </w:rPr>
        <w:t>”HH“</w:t>
      </w:r>
      <w:r w:rsidRPr="009165FD">
        <w:rPr>
          <w:rFonts w:asciiTheme="majorHAnsi" w:hAnsiTheme="majorHAnsi"/>
          <w:color w:val="000000" w:themeColor="text1"/>
          <w:sz w:val="20"/>
          <w:szCs w:val="20"/>
        </w:rPr>
        <w:t>, , in which he said that:</w:t>
      </w:r>
    </w:p>
    <w:p w14:paraId="6B9C048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5B677D1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When he heard about the capture of Messrs.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 he called Sergeant "Beto" of the B2, with whom he coordinated the way they would get the detainees out of the BIVETL (the Brigade's) headquarters. Later on, "Beto," accompanied by  Ricardo López Lora, alias “El Marrano” and alias "Wilson" got Alcides and David from the barracks and took them in a covered red jeep belonging to the Brigade to Turbo </w:t>
      </w:r>
    </w:p>
    <w:p w14:paraId="2C36127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316EA9B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 </w:t>
      </w:r>
    </w:p>
    <w:p w14:paraId="7D72509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258B5D2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He said that "Beto" had gotten DAVID and ALCIDES out from the cell and later put them in the red jeep and drove them first to Casa Verde and then Turbo. He further stated that "BETO" had asked him for money to fix a release order because it was a delicate matter </w:t>
      </w:r>
      <w:r w:rsidRPr="009165FD">
        <w:rPr>
          <w:rFonts w:asciiTheme="majorHAnsi" w:hAnsiTheme="majorHAnsi"/>
          <w:i/>
          <w:color w:val="000000" w:themeColor="text1"/>
          <w:sz w:val="20"/>
          <w:szCs w:val="20"/>
        </w:rPr>
        <w:t>[porque la vuelta está caliente</w:t>
      </w:r>
      <w:r w:rsidRPr="009165FD">
        <w:rPr>
          <w:rFonts w:asciiTheme="majorHAnsi" w:hAnsiTheme="majorHAnsi"/>
          <w:color w:val="000000" w:themeColor="text1"/>
          <w:sz w:val="20"/>
          <w:szCs w:val="20"/>
        </w:rPr>
        <w:t>] and so they needed money so that the Prosecutor at the Brigade could fix a (illegible).</w:t>
      </w:r>
      <w:r w:rsidRPr="009165FD">
        <w:rPr>
          <w:rStyle w:val="FootnoteReference"/>
          <w:rFonts w:asciiTheme="majorHAnsi" w:hAnsiTheme="majorHAnsi"/>
          <w:color w:val="000000" w:themeColor="text1"/>
          <w:sz w:val="20"/>
          <w:szCs w:val="20"/>
        </w:rPr>
        <w:footnoteReference w:id="79"/>
      </w:r>
    </w:p>
    <w:p w14:paraId="6E82150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0F6EC38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Following is an account of some of contents of the "free version" comments made by Heber Veloza García in August 2008: </w:t>
      </w:r>
    </w:p>
    <w:p w14:paraId="274F0AC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E5E1345"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He participated directly in the arrest and subsequent disappearance of Messrs.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Benítez,whom they took from a cell at the headquarters of the XVII Brigade in Carepa (Antioquia). The candidate (</w:t>
      </w:r>
      <w:r w:rsidRPr="009165FD">
        <w:rPr>
          <w:rFonts w:asciiTheme="majorHAnsi" w:hAnsiTheme="majorHAnsi"/>
          <w:i/>
          <w:color w:val="000000" w:themeColor="text1"/>
          <w:sz w:val="20"/>
          <w:szCs w:val="20"/>
        </w:rPr>
        <w:t>el postulado</w:t>
      </w:r>
      <w:r w:rsidRPr="009165FD">
        <w:rPr>
          <w:rFonts w:asciiTheme="majorHAnsi" w:hAnsiTheme="majorHAnsi"/>
          <w:color w:val="000000" w:themeColor="text1"/>
          <w:sz w:val="20"/>
          <w:szCs w:val="20"/>
        </w:rPr>
        <w:t xml:space="preserve">) also stated that four other paramilitary had participated in the commission of the acts, in addition to some regular members of the XVII Army Brigade, Gaula officers from Cali, and one judicial official. </w:t>
      </w:r>
    </w:p>
    <w:p w14:paraId="1A160BC5"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5ACE45E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They were taken out of the XVII Brigade in a red covered jeep and taken to Turbo; on the way, Mr. David Quintero attempted to escape in Currulao. He was chased down and captured and they continued on to Turbo, from where they were finally flown in a light aircraft to the port of Buenaventura (Valle del Cauca), where they were tortured in order to get them to reveal the whereabouts of a woman they had purportedly abducted; the same declarant claimed that the two men were left alive in the custody of officers from the Gaula in Cali (Valle). Finally, he said that he did not know what may have happened to them or their whereabouts.</w:t>
      </w:r>
      <w:r w:rsidRPr="009165FD">
        <w:rPr>
          <w:rStyle w:val="FootnoteReference"/>
          <w:rFonts w:asciiTheme="majorHAnsi" w:hAnsiTheme="majorHAnsi"/>
          <w:color w:val="000000" w:themeColor="text1"/>
          <w:sz w:val="20"/>
          <w:szCs w:val="20"/>
        </w:rPr>
        <w:footnoteReference w:id="80"/>
      </w:r>
      <w:r w:rsidRPr="009165FD">
        <w:rPr>
          <w:rFonts w:asciiTheme="majorHAnsi" w:hAnsiTheme="majorHAnsi"/>
          <w:color w:val="000000" w:themeColor="text1"/>
          <w:sz w:val="20"/>
          <w:szCs w:val="20"/>
        </w:rPr>
        <w:t xml:space="preserve"> </w:t>
      </w:r>
    </w:p>
    <w:p w14:paraId="365C97BE"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936324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Commission has no information on the fate or whereabouts of Alcides Torres Arias and Angel David Quintero.</w:t>
      </w:r>
    </w:p>
    <w:p w14:paraId="4F33E153"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4581FF2" w14:textId="77777777" w:rsidR="00334B20" w:rsidRPr="009165FD" w:rsidRDefault="00334B20" w:rsidP="00334B20">
      <w:pPr>
        <w:pStyle w:val="Heading2"/>
        <w:numPr>
          <w:ilvl w:val="0"/>
          <w:numId w:val="0"/>
        </w:numPr>
        <w:ind w:left="1440" w:hanging="720"/>
      </w:pPr>
      <w:bookmarkStart w:id="25" w:name="_Toc401323767"/>
      <w:bookmarkStart w:id="26" w:name="_Toc489882497"/>
      <w:r w:rsidRPr="009165FD">
        <w:t>C.</w:t>
      </w:r>
      <w:r w:rsidRPr="009165FD">
        <w:tab/>
        <w:t>Internal processes related to forced disappearance</w:t>
      </w:r>
      <w:bookmarkEnd w:id="25"/>
      <w:bookmarkEnd w:id="26"/>
      <w:r w:rsidRPr="009165FD">
        <w:t xml:space="preserve"> </w:t>
      </w:r>
    </w:p>
    <w:p w14:paraId="13CE44E2" w14:textId="77777777" w:rsidR="00334B20" w:rsidRPr="009165FD" w:rsidRDefault="00334B20" w:rsidP="00334B20"/>
    <w:p w14:paraId="6B354DE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b/>
          <w:color w:val="000000" w:themeColor="text1"/>
          <w:sz w:val="20"/>
          <w:szCs w:val="20"/>
        </w:rPr>
      </w:pPr>
      <w:r w:rsidRPr="009165FD">
        <w:rPr>
          <w:rFonts w:asciiTheme="majorHAnsi" w:hAnsiTheme="majorHAnsi"/>
          <w:color w:val="000000" w:themeColor="text1"/>
          <w:sz w:val="20"/>
          <w:szCs w:val="20"/>
        </w:rPr>
        <w:t>The Commission does not have full information regarding the domestic proceedings related to the facts of this case, despite having expressly requested it from the parties. Accordingly, the Commission will  conduct a determination of the facts regarding domestic proceedings based on the information contained in the file.</w:t>
      </w:r>
    </w:p>
    <w:p w14:paraId="74FA5C03" w14:textId="77777777" w:rsidR="00334B20" w:rsidRPr="009165FD" w:rsidRDefault="00334B20" w:rsidP="005F1B07">
      <w:pPr>
        <w:pStyle w:val="Heading3"/>
        <w:numPr>
          <w:ilvl w:val="0"/>
          <w:numId w:val="60"/>
        </w:numPr>
      </w:pPr>
      <w:bookmarkStart w:id="27" w:name="_Toc401323768"/>
      <w:bookmarkStart w:id="28" w:name="_Toc489882498"/>
      <w:r w:rsidRPr="009165FD">
        <w:lastRenderedPageBreak/>
        <w:t>Habeas corpus appeal filed by the next of kin of Alcides Torres Arias</w:t>
      </w:r>
      <w:bookmarkEnd w:id="27"/>
      <w:bookmarkEnd w:id="28"/>
    </w:p>
    <w:p w14:paraId="43A8DDF2" w14:textId="77777777" w:rsidR="00334B20" w:rsidRPr="009165FD" w:rsidRDefault="00334B20" w:rsidP="00334B20">
      <w:pPr>
        <w:rPr>
          <w:rFonts w:asciiTheme="majorHAnsi" w:hAnsiTheme="majorHAnsi"/>
          <w:sz w:val="20"/>
          <w:szCs w:val="20"/>
        </w:rPr>
      </w:pPr>
    </w:p>
    <w:p w14:paraId="4057545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On July 24, 2000, Mrs. María Noemí Arias filed a habeas corpus action on her son's behalf with the First Criminal Court of the Apartadó Circuit.</w:t>
      </w:r>
      <w:r w:rsidRPr="009165FD">
        <w:rPr>
          <w:rStyle w:val="FootnoteReference"/>
          <w:rFonts w:asciiTheme="majorHAnsi" w:hAnsiTheme="majorHAnsi"/>
          <w:color w:val="000000" w:themeColor="text1"/>
          <w:sz w:val="20"/>
          <w:szCs w:val="20"/>
        </w:rPr>
        <w:footnoteReference w:id="81"/>
      </w:r>
      <w:r w:rsidRPr="009165FD">
        <w:rPr>
          <w:rFonts w:asciiTheme="majorHAnsi" w:hAnsiTheme="majorHAnsi"/>
          <w:color w:val="000000" w:themeColor="text1"/>
          <w:sz w:val="20"/>
          <w:szCs w:val="20"/>
        </w:rPr>
        <w:t xml:space="preserve"> In processing that appeal, the Judge asked for information from the Specialized Public Prosecutor in Apartadó</w:t>
      </w:r>
      <w:r w:rsidRPr="009165FD">
        <w:rPr>
          <w:rStyle w:val="FootnoteReference"/>
          <w:rFonts w:asciiTheme="majorHAnsi" w:hAnsiTheme="majorHAnsi"/>
          <w:color w:val="000000" w:themeColor="text1"/>
          <w:sz w:val="20"/>
          <w:szCs w:val="20"/>
        </w:rPr>
        <w:footnoteReference w:id="82"/>
      </w:r>
      <w:r w:rsidRPr="009165FD">
        <w:rPr>
          <w:rFonts w:asciiTheme="majorHAnsi" w:hAnsiTheme="majorHAnsi"/>
          <w:color w:val="000000" w:themeColor="text1"/>
          <w:sz w:val="20"/>
          <w:szCs w:val="20"/>
        </w:rPr>
        <w:t>, from the National Director of Public Prosecutions [</w:t>
      </w:r>
      <w:r w:rsidRPr="009165FD">
        <w:rPr>
          <w:rFonts w:asciiTheme="majorHAnsi" w:hAnsiTheme="majorHAnsi"/>
          <w:i/>
          <w:color w:val="000000" w:themeColor="text1"/>
          <w:sz w:val="20"/>
          <w:szCs w:val="20"/>
        </w:rPr>
        <w:t>Fiscal General de la Nación</w:t>
      </w:r>
      <w:r w:rsidRPr="009165FD">
        <w:rPr>
          <w:rStyle w:val="FootnoteReference"/>
          <w:rFonts w:asciiTheme="majorHAnsi" w:hAnsiTheme="majorHAnsi"/>
          <w:color w:val="000000" w:themeColor="text1"/>
          <w:sz w:val="20"/>
          <w:szCs w:val="20"/>
        </w:rPr>
        <w:footnoteReference w:id="83"/>
      </w:r>
      <w:r w:rsidRPr="009165FD">
        <w:rPr>
          <w:rFonts w:asciiTheme="majorHAnsi" w:hAnsiTheme="majorHAnsi"/>
          <w:color w:val="000000" w:themeColor="text1"/>
          <w:sz w:val="20"/>
          <w:szCs w:val="20"/>
        </w:rPr>
        <w:t>), and from the Coordinator of the Specialized Public Prosecutor's Office in Medellín.</w:t>
      </w:r>
      <w:r w:rsidRPr="009165FD">
        <w:rPr>
          <w:rStyle w:val="FootnoteReference"/>
          <w:rFonts w:asciiTheme="majorHAnsi" w:hAnsiTheme="majorHAnsi"/>
          <w:color w:val="000000" w:themeColor="text1"/>
          <w:sz w:val="20"/>
          <w:szCs w:val="20"/>
        </w:rPr>
        <w:footnoteReference w:id="84"/>
      </w:r>
    </w:p>
    <w:p w14:paraId="714AAB9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58A5F64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That same day the Specialized Public Prosecutor in Apartadó answered the official letter sent by the Criminal Court and pointed out that the proceedings undertaken when Mr. Alcides Torres Arias was arrested are filed under No. 19.423  in the Unit for Specialized Public Prosecutor's Offices in Medellín, so that he suggested requesting information from that Unit.</w:t>
      </w:r>
      <w:r w:rsidRPr="009165FD">
        <w:rPr>
          <w:rStyle w:val="FootnoteReference"/>
          <w:rFonts w:asciiTheme="majorHAnsi" w:hAnsiTheme="majorHAnsi"/>
          <w:color w:val="000000" w:themeColor="text1"/>
          <w:sz w:val="20"/>
          <w:szCs w:val="20"/>
        </w:rPr>
        <w:footnoteReference w:id="85"/>
      </w:r>
      <w:r w:rsidRPr="009165FD">
        <w:rPr>
          <w:rFonts w:asciiTheme="majorHAnsi" w:hAnsiTheme="majorHAnsi"/>
          <w:color w:val="000000" w:themeColor="text1"/>
          <w:sz w:val="20"/>
          <w:szCs w:val="20"/>
        </w:rPr>
        <w:t>.</w:t>
      </w:r>
    </w:p>
    <w:p w14:paraId="71E6F390"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441AC45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On July 25, 2000, the Coordinator of Specialized Public Prosecutor's Offices replied to the Official Letter sent by the Criminal Court and announced that the proceedings filed under No. 19.423 in respect of  Alcides Torres Arias had moved to the trial phase (</w:t>
      </w:r>
      <w:r w:rsidRPr="009165FD">
        <w:rPr>
          <w:rFonts w:asciiTheme="majorHAnsi" w:hAnsiTheme="majorHAnsi"/>
          <w:i/>
          <w:color w:val="000000" w:themeColor="text1"/>
          <w:sz w:val="20"/>
          <w:szCs w:val="20"/>
        </w:rPr>
        <w:t>etapa de la causa</w:t>
      </w:r>
      <w:r w:rsidRPr="009165FD">
        <w:rPr>
          <w:rFonts w:asciiTheme="majorHAnsi" w:hAnsiTheme="majorHAnsi"/>
          <w:color w:val="000000" w:themeColor="text1"/>
          <w:sz w:val="20"/>
          <w:szCs w:val="20"/>
        </w:rPr>
        <w:t>) since December 9, 1996, so that he had that day requested information from the Criminal Judge of the Specialized Circuit.</w:t>
      </w:r>
      <w:r w:rsidRPr="009165FD">
        <w:rPr>
          <w:rStyle w:val="FootnoteReference"/>
          <w:rFonts w:asciiTheme="majorHAnsi" w:hAnsiTheme="majorHAnsi"/>
          <w:color w:val="000000" w:themeColor="text1"/>
          <w:sz w:val="20"/>
          <w:szCs w:val="20"/>
        </w:rPr>
        <w:footnoteReference w:id="86"/>
      </w:r>
      <w:r w:rsidRPr="009165FD">
        <w:rPr>
          <w:rFonts w:asciiTheme="majorHAnsi" w:hAnsiTheme="majorHAnsi"/>
          <w:color w:val="000000" w:themeColor="text1"/>
          <w:sz w:val="20"/>
          <w:szCs w:val="20"/>
        </w:rPr>
        <w:t xml:space="preserve"> That same day, the Coordinator of the Specialized Public Prosecutor's Offices added to the information previously provided and indicated that:</w:t>
      </w:r>
    </w:p>
    <w:p w14:paraId="51EBF0B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637F4B0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Mr. Alcides Torres Arias does not come within the purview of the Specialized Judges of this city, nor within that of this Specialized Pubic Prosecutor's Office. However, a glance at the SIGA system shows that a case was opened against Mr. Torres Arias and given the number 19.423. It was remitted to the extinct Regional Courts of Medellín, for the trial phase (</w:t>
      </w:r>
      <w:r w:rsidRPr="009165FD">
        <w:rPr>
          <w:rFonts w:asciiTheme="majorHAnsi" w:hAnsiTheme="majorHAnsi"/>
          <w:i/>
          <w:color w:val="000000" w:themeColor="text1"/>
          <w:sz w:val="20"/>
          <w:szCs w:val="20"/>
        </w:rPr>
        <w:t>etapa de la causa</w:t>
      </w:r>
      <w:r w:rsidRPr="009165FD">
        <w:rPr>
          <w:rFonts w:asciiTheme="majorHAnsi" w:hAnsiTheme="majorHAnsi"/>
          <w:color w:val="000000" w:themeColor="text1"/>
          <w:sz w:val="20"/>
          <w:szCs w:val="20"/>
        </w:rPr>
        <w:t>). Those Courts are now the Specialized Criminal Judges of the Circuit, so that personnel in this secretariat made inquiries to those offices and found that the proceedings in question appear as remitted in April 1999 to the Judges for Enforcement of Sentences and Security Measures of Medellin, given that Messrs. Alcides Torres Arias and Leonel de Jesús Durango were convicted of the crime of subversion (</w:t>
      </w:r>
      <w:r w:rsidRPr="009165FD">
        <w:rPr>
          <w:rFonts w:asciiTheme="majorHAnsi" w:hAnsiTheme="majorHAnsi"/>
          <w:i/>
          <w:color w:val="000000" w:themeColor="text1"/>
          <w:sz w:val="20"/>
          <w:szCs w:val="20"/>
        </w:rPr>
        <w:t>rebelión</w:t>
      </w:r>
      <w:r w:rsidRPr="009165FD">
        <w:rPr>
          <w:rFonts w:asciiTheme="majorHAnsi" w:hAnsiTheme="majorHAnsi"/>
          <w:color w:val="000000" w:themeColor="text1"/>
          <w:sz w:val="20"/>
          <w:szCs w:val="20"/>
        </w:rPr>
        <w:t>).</w:t>
      </w:r>
    </w:p>
    <w:p w14:paraId="256EAA4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21884CD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light of the above, this Prosecutor's Office's "SIGA" system was consulted and it transpired that, through a resolution of August 16, 1996, a resolution of indictment (</w:t>
      </w:r>
      <w:r w:rsidRPr="009165FD">
        <w:rPr>
          <w:rFonts w:asciiTheme="majorHAnsi" w:hAnsiTheme="majorHAnsi"/>
          <w:i/>
          <w:color w:val="000000" w:themeColor="text1"/>
          <w:sz w:val="20"/>
          <w:szCs w:val="20"/>
        </w:rPr>
        <w:t>acusación</w:t>
      </w:r>
      <w:r w:rsidRPr="009165FD">
        <w:rPr>
          <w:rFonts w:asciiTheme="majorHAnsi" w:hAnsiTheme="majorHAnsi"/>
          <w:color w:val="000000" w:themeColor="text1"/>
          <w:sz w:val="20"/>
          <w:szCs w:val="20"/>
        </w:rPr>
        <w:t>) was issued against the two men. That resolution is located in the archives of this Specialized [Prosecutor's] Office. it was consulted and found to describe the circumstances in which Messrs.Leonel de Jesús Durango, Angel David Quintero Benitez, Argemiro Lopez Bravo and  Alcides Torres Arias were captured on December 16, 1995, on the La Arenera and Pueblo Galleta road in the district of Currulao, in the jurisdiction of the municipality of Turbo. They were charged with belonging to the Bolivarian militias of the FARC, devoted to charging for vaccines, abductions, extortion of land-owners and cattle farmers n the region, and robbery of vehicles carrying produce overland to the coast.</w:t>
      </w:r>
    </w:p>
    <w:p w14:paraId="04F90AD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61224E3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Through a resolution handed down on August 18, 1995, the local branch of the Regional Prosecutor's Office in Carepa, Department of Antioquía, ordered the opening of an investigation into the involvement of the aforementioned persons.</w:t>
      </w:r>
    </w:p>
    <w:p w14:paraId="7C1FB24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67082CC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Through a subsequent resolution, the Regional Prosecutor amended the opening of preliminary proceedings, in which he refrained from involving the drivers of the confiscated motorcycles, that is to say Messrs. Angel David Quintero and Alcides Torres Arias , because he considered that they were not part of the conduct under investigation. </w:t>
      </w:r>
    </w:p>
    <w:p w14:paraId="3FA9E0D3"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7322CA0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Likewise, it is argued in the indictment resolution which according to a a document of the district Ombudswoman in Apartadó, reports that Messrs. Angel David Quintero and Alcides Torres Arias were taken from their cell after the lock was broken and were seen being driven in a red vehicle in the district of Currulao. Based on that document, the Regional Prosecutor ordered copies to be made so as to investigate the abduction to which the aforementioned gentlemen were subjected. The copies were remitted to the district Prosecutor's Office in Carepa, Antioquía</w:t>
      </w:r>
      <w:r w:rsidRPr="009165FD">
        <w:rPr>
          <w:rStyle w:val="FootnoteReference"/>
          <w:rFonts w:asciiTheme="majorHAnsi" w:hAnsiTheme="majorHAnsi"/>
          <w:color w:val="000000" w:themeColor="text1"/>
          <w:sz w:val="20"/>
          <w:szCs w:val="20"/>
        </w:rPr>
        <w:footnoteReference w:id="87"/>
      </w:r>
      <w:r w:rsidRPr="009165FD">
        <w:rPr>
          <w:rFonts w:asciiTheme="majorHAnsi" w:hAnsiTheme="majorHAnsi"/>
          <w:color w:val="000000" w:themeColor="text1"/>
          <w:sz w:val="20"/>
          <w:szCs w:val="20"/>
        </w:rPr>
        <w:t>.</w:t>
      </w:r>
    </w:p>
    <w:p w14:paraId="18AD646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4EF1B8FB"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By virtue of that information, on July 26, 2000, the Judge of the First Criminal Court sent an Official Letter to the Court for the Enforcement of Sentences and Security Measures, requesting information regarding Alcides Torres Arias</w:t>
      </w:r>
      <w:r w:rsidRPr="009165FD">
        <w:rPr>
          <w:rStyle w:val="FootnoteReference"/>
          <w:rFonts w:asciiTheme="majorHAnsi" w:hAnsiTheme="majorHAnsi"/>
          <w:color w:val="000000" w:themeColor="text1"/>
          <w:sz w:val="20"/>
          <w:szCs w:val="20"/>
        </w:rPr>
        <w:footnoteReference w:id="88"/>
      </w:r>
      <w:r w:rsidRPr="009165FD">
        <w:rPr>
          <w:rFonts w:asciiTheme="majorHAnsi" w:hAnsiTheme="majorHAnsi"/>
          <w:color w:val="000000" w:themeColor="text1"/>
          <w:sz w:val="20"/>
          <w:szCs w:val="20"/>
        </w:rPr>
        <w:t>, and also the Commander of the XVII Brigade, in Carepa, Antioquia</w:t>
      </w:r>
      <w:r w:rsidRPr="009165FD">
        <w:rPr>
          <w:rStyle w:val="FootnoteReference"/>
          <w:rFonts w:asciiTheme="majorHAnsi" w:hAnsiTheme="majorHAnsi"/>
          <w:color w:val="000000" w:themeColor="text1"/>
          <w:sz w:val="20"/>
          <w:szCs w:val="20"/>
        </w:rPr>
        <w:footnoteReference w:id="89"/>
      </w:r>
      <w:r w:rsidRPr="009165FD">
        <w:rPr>
          <w:rFonts w:asciiTheme="majorHAnsi" w:hAnsiTheme="majorHAnsi"/>
          <w:color w:val="000000" w:themeColor="text1"/>
          <w:sz w:val="20"/>
          <w:szCs w:val="20"/>
        </w:rPr>
        <w:t>. On July 27, 2000, the First Judge of Enforcement answered the Official Letter and stated that:</w:t>
      </w:r>
    </w:p>
    <w:p w14:paraId="2A524ECD"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32A5CB3E"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proceedings No. 1999-0222, Mr. Alcides Torres Arias  has been captured on December 16, 1995, along with Leonel de Jesús Durango, Angel David Quintero Benitez, and Argemiro López Bravo, by Colombian military forces in Carepa, and accused of subversion.</w:t>
      </w:r>
    </w:p>
    <w:p w14:paraId="1D72C8EA" w14:textId="77777777" w:rsidR="00334B20" w:rsidRPr="009165FD" w:rsidRDefault="00334B20" w:rsidP="00334B20">
      <w:pPr>
        <w:ind w:left="720" w:right="720"/>
        <w:jc w:val="both"/>
        <w:rPr>
          <w:rFonts w:asciiTheme="majorHAnsi" w:hAnsiTheme="majorHAnsi"/>
          <w:color w:val="000000" w:themeColor="text1"/>
          <w:sz w:val="20"/>
          <w:szCs w:val="20"/>
        </w:rPr>
      </w:pPr>
    </w:p>
    <w:p w14:paraId="5792861C"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By order dated December 20, 1995, the Office of the Regional Prosecutor of this city ordered the immediate and unconditional release of Alcides Torres Arias and Angel David Quintero Benítez (folios 43 f.), with only the others to be investigated.</w:t>
      </w:r>
    </w:p>
    <w:p w14:paraId="2B2FB67E" w14:textId="77777777" w:rsidR="00334B20" w:rsidRPr="009165FD" w:rsidRDefault="00334B20" w:rsidP="00334B20">
      <w:pPr>
        <w:ind w:left="720" w:right="720"/>
        <w:jc w:val="both"/>
        <w:rPr>
          <w:rFonts w:asciiTheme="majorHAnsi" w:hAnsiTheme="majorHAnsi"/>
          <w:color w:val="000000" w:themeColor="text1"/>
          <w:sz w:val="20"/>
          <w:szCs w:val="20"/>
        </w:rPr>
      </w:pPr>
    </w:p>
    <w:p w14:paraId="6078BCD7" w14:textId="77777777" w:rsidR="00334B20" w:rsidRPr="009165FD" w:rsidRDefault="00334B20" w:rsidP="00334B20">
      <w:pP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light of the above, Mr. Torres Arias is not referred to as accused in the  proceedings handled by this office and is therefore not at the disposal of this Court.</w:t>
      </w:r>
      <w:r w:rsidRPr="009165FD">
        <w:rPr>
          <w:rStyle w:val="FootnoteReference"/>
          <w:rFonts w:asciiTheme="majorHAnsi" w:hAnsiTheme="majorHAnsi"/>
          <w:color w:val="000000" w:themeColor="text1"/>
          <w:sz w:val="20"/>
          <w:szCs w:val="20"/>
        </w:rPr>
        <w:footnoteReference w:id="90"/>
      </w:r>
      <w:r w:rsidRPr="009165FD">
        <w:rPr>
          <w:rFonts w:asciiTheme="majorHAnsi" w:hAnsiTheme="majorHAnsi"/>
          <w:color w:val="000000" w:themeColor="text1"/>
          <w:sz w:val="20"/>
          <w:szCs w:val="20"/>
        </w:rPr>
        <w:t>.</w:t>
      </w:r>
    </w:p>
    <w:p w14:paraId="12F15F5F" w14:textId="77777777" w:rsidR="00334B20" w:rsidRPr="009165FD" w:rsidRDefault="00334B20" w:rsidP="00334B20">
      <w:pPr>
        <w:ind w:left="720" w:right="720"/>
        <w:jc w:val="both"/>
        <w:rPr>
          <w:rFonts w:asciiTheme="majorHAnsi" w:hAnsiTheme="majorHAnsi"/>
          <w:color w:val="000000" w:themeColor="text1"/>
          <w:sz w:val="20"/>
          <w:szCs w:val="20"/>
        </w:rPr>
      </w:pPr>
    </w:p>
    <w:p w14:paraId="50E47C2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Given the information collected, the First Criminal Court of the Apartadó Circuit decided to reject the habeas corpus appeal because:</w:t>
      </w:r>
    </w:p>
    <w:p w14:paraId="687AD5CD"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4B69152E"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If Mr. Alcides Torres was taken from the place he was being held and as of now his whereabouts are unknown, and govern the evidence that no proceedings were initiated against him, so that he is not being detained on the orders of a competent judicial authority, this [habeas corpus] action is not the appropriate action to take, whereas it is appropriate in cases in which a person is deprived of his liberty, in violation of constitutional or legal guarantees, or his [Tr. deprivation of?] liberty has been extended illegally. It could be argued that the latter is the case, that the deprivation of liberty has been prolonged illegally. However, with the information obtained in the sense that a  crime of abduction was denounced (folio 14) after Mr. Alcides Torres was taken out of the place where he was being </w:t>
      </w:r>
      <w:r w:rsidRPr="009165FD">
        <w:rPr>
          <w:rFonts w:asciiTheme="majorHAnsi" w:hAnsiTheme="majorHAnsi"/>
          <w:color w:val="000000" w:themeColor="text1"/>
          <w:sz w:val="20"/>
          <w:szCs w:val="20"/>
        </w:rPr>
        <w:lastRenderedPageBreak/>
        <w:t>held, the petitioner and the family of the aforementioned gentleman must await the outcomes of the investigation that said enunciation should have given rise to.</w:t>
      </w:r>
      <w:r w:rsidRPr="009165FD">
        <w:rPr>
          <w:rStyle w:val="FootnoteReference"/>
          <w:rFonts w:asciiTheme="majorHAnsi" w:hAnsiTheme="majorHAnsi"/>
          <w:color w:val="000000" w:themeColor="text1"/>
          <w:sz w:val="20"/>
          <w:szCs w:val="20"/>
        </w:rPr>
        <w:footnoteReference w:id="91"/>
      </w:r>
    </w:p>
    <w:p w14:paraId="195E5B48"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53E09D44" w14:textId="77777777" w:rsidR="00334B20" w:rsidRPr="009165FD" w:rsidRDefault="00334B20" w:rsidP="00334B20">
      <w:pPr>
        <w:pStyle w:val="Heading3"/>
      </w:pPr>
      <w:bookmarkStart w:id="29" w:name="_Toc401323769"/>
      <w:bookmarkStart w:id="30" w:name="_Toc489882499"/>
      <w:r w:rsidRPr="009165FD">
        <w:t>Criminal proceedings</w:t>
      </w:r>
      <w:bookmarkEnd w:id="29"/>
      <w:bookmarkEnd w:id="30"/>
    </w:p>
    <w:p w14:paraId="6AFE17D0" w14:textId="77777777" w:rsidR="00334B20" w:rsidRPr="009165FD" w:rsidRDefault="00334B20" w:rsidP="00334B20">
      <w:pPr>
        <w:rPr>
          <w:rFonts w:asciiTheme="majorHAnsi" w:hAnsiTheme="majorHAnsi"/>
          <w:sz w:val="20"/>
          <w:szCs w:val="20"/>
        </w:rPr>
      </w:pPr>
    </w:p>
    <w:p w14:paraId="30E465C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As a result of the family member's complaints to the Office of the Attorney General and the Ombudsman's Office, on January 29, 1996, the district Prosecutor's Office of Chigorodó ordered the start of a prior investigation to throw light on the alleged abduction of Mr. Alcides Torres Arias. On July 30, 1999, the Public Prosecutor ordered the investigation to be suspended for lack of evidence. The Commission does not have further information about this proceeding.</w:t>
      </w:r>
      <w:r w:rsidRPr="009165FD">
        <w:rPr>
          <w:rStyle w:val="FootnoteReference"/>
          <w:rFonts w:asciiTheme="majorHAnsi" w:hAnsiTheme="majorHAnsi"/>
          <w:color w:val="000000" w:themeColor="text1"/>
          <w:sz w:val="20"/>
          <w:szCs w:val="20"/>
        </w:rPr>
        <w:footnoteReference w:id="92"/>
      </w:r>
      <w:r w:rsidRPr="009165FD">
        <w:rPr>
          <w:rFonts w:asciiTheme="majorHAnsi" w:hAnsiTheme="majorHAnsi"/>
          <w:color w:val="000000" w:themeColor="text1"/>
          <w:sz w:val="20"/>
          <w:szCs w:val="20"/>
        </w:rPr>
        <w:t>.</w:t>
      </w:r>
    </w:p>
    <w:p w14:paraId="452217D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47F9F0B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b/>
          <w:color w:val="000000" w:themeColor="text1"/>
          <w:sz w:val="20"/>
          <w:szCs w:val="20"/>
        </w:rPr>
      </w:pPr>
      <w:r w:rsidRPr="009165FD">
        <w:rPr>
          <w:rFonts w:asciiTheme="majorHAnsi" w:hAnsiTheme="majorHAnsi"/>
          <w:color w:val="000000" w:themeColor="text1"/>
          <w:sz w:val="20"/>
          <w:szCs w:val="20"/>
        </w:rPr>
        <w:t>At the same time, starting in 2002, the National Department of Public Prosecutions (</w:t>
      </w:r>
      <w:r w:rsidRPr="009165FD">
        <w:rPr>
          <w:rFonts w:asciiTheme="majorHAnsi" w:hAnsiTheme="majorHAnsi"/>
          <w:i/>
          <w:color w:val="000000" w:themeColor="text1"/>
          <w:sz w:val="20"/>
          <w:szCs w:val="20"/>
        </w:rPr>
        <w:t>Fiscalía General de la Nación</w:t>
      </w:r>
      <w:r w:rsidRPr="009165FD">
        <w:rPr>
          <w:rFonts w:asciiTheme="majorHAnsi" w:hAnsiTheme="majorHAnsi"/>
          <w:color w:val="000000" w:themeColor="text1"/>
          <w:sz w:val="20"/>
          <w:szCs w:val="20"/>
        </w:rPr>
        <w:t xml:space="preserve">) investigated the disappearance of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In that proceeding, on February 21, 2006, the First Criminal Court of the Specialized Circuit of Antioquia sentenced Mr. Ricardo López Lora, alias “the pig”, “the sow” or “Robert” to 20 years in prison, having found him guilty of aggravated simple abduction.</w:t>
      </w:r>
      <w:r w:rsidRPr="009165FD">
        <w:rPr>
          <w:rStyle w:val="FootnoteReference"/>
          <w:rFonts w:asciiTheme="majorHAnsi" w:hAnsiTheme="majorHAnsi"/>
          <w:color w:val="000000" w:themeColor="text1"/>
          <w:sz w:val="20"/>
          <w:szCs w:val="20"/>
        </w:rPr>
        <w:footnoteReference w:id="93"/>
      </w:r>
      <w:r w:rsidRPr="009165FD">
        <w:rPr>
          <w:rFonts w:asciiTheme="majorHAnsi" w:hAnsiTheme="majorHAnsi"/>
          <w:color w:val="000000" w:themeColor="text1"/>
          <w:sz w:val="20"/>
          <w:szCs w:val="20"/>
        </w:rPr>
        <w:t>. That sentence was confirmed on appeal on May 30, 2006.</w:t>
      </w:r>
    </w:p>
    <w:p w14:paraId="5A958E1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color w:val="000000" w:themeColor="text1"/>
          <w:sz w:val="20"/>
          <w:szCs w:val="20"/>
        </w:rPr>
      </w:pPr>
    </w:p>
    <w:p w14:paraId="3679568F"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Likewise, on September 6, 2011, the Court attached to the First Criminal Court of the Specialized Circuit of Antioquia handed down judgment against Belkis Margarita Villarruel Molina, convicting her of being an accomplice in the aggravated simple abduction of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 and sentencing her to 14 years in prison as her main punishment, a fine totalling 125 legal minimum monthly wages, and a ban on exercising civic rights and office for the same term as her prison sentence.</w:t>
      </w:r>
      <w:r w:rsidRPr="009165FD">
        <w:rPr>
          <w:rStyle w:val="FootnoteReference"/>
          <w:rFonts w:asciiTheme="majorHAnsi" w:hAnsiTheme="majorHAnsi"/>
          <w:color w:val="000000" w:themeColor="text1"/>
          <w:sz w:val="20"/>
          <w:szCs w:val="20"/>
        </w:rPr>
        <w:footnoteReference w:id="94"/>
      </w:r>
      <w:r w:rsidRPr="009165FD">
        <w:rPr>
          <w:rStyle w:val="FootnoteReference"/>
          <w:rFonts w:asciiTheme="majorHAnsi" w:hAnsiTheme="majorHAnsi"/>
          <w:color w:val="000000" w:themeColor="text1"/>
          <w:sz w:val="20"/>
          <w:szCs w:val="20"/>
        </w:rPr>
        <w:t>.</w:t>
      </w:r>
      <w:r w:rsidRPr="009165FD">
        <w:rPr>
          <w:rFonts w:asciiTheme="majorHAnsi" w:hAnsiTheme="majorHAnsi"/>
          <w:color w:val="000000" w:themeColor="text1"/>
          <w:sz w:val="20"/>
          <w:szCs w:val="20"/>
        </w:rPr>
        <w:t xml:space="preserve">  </w:t>
      </w:r>
    </w:p>
    <w:p w14:paraId="67FA80FE"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0337056"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In this proceeding, the judge reached the following conclusion: </w:t>
      </w:r>
    </w:p>
    <w:p w14:paraId="2069417A"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01019B93"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evidence is clear regarding the participation of VILLARUEL MOLINA in the crime of abduction, in which she played a clear part in the taking out of the detainees to hand them over to armed groups outside the law. She took part in the kidnapping. The fact is your client provided prior help for which she must be considered an accomplice, so that the prosecution's characterization of the accused's actions is in accord with the law.</w:t>
      </w:r>
      <w:r w:rsidRPr="009165FD">
        <w:rPr>
          <w:rStyle w:val="FootnoteReference"/>
          <w:rFonts w:asciiTheme="majorHAnsi" w:hAnsiTheme="majorHAnsi"/>
          <w:color w:val="000000" w:themeColor="text1"/>
          <w:sz w:val="20"/>
          <w:szCs w:val="20"/>
        </w:rPr>
        <w:footnoteReference w:id="95"/>
      </w:r>
    </w:p>
    <w:p w14:paraId="35B9F6FF"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3A456F0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In the same judgment, the judge pointed out that Ms. Villaruel knew that with her actions she was collaborating in the delivery of Messrs.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 to groups outside the law, as expressed in the following section of the judgment:</w:t>
      </w:r>
    </w:p>
    <w:p w14:paraId="14C03A8E"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2D930E1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When she begins the criminal task entrusted to her, abduction, she provides prior help to consummate other offenses. To that end, her participation in the kidnapping was to bring the detainees out of their cell in an illicit manner and pretend [Tr. </w:t>
      </w:r>
      <w:r w:rsidRPr="009165FD">
        <w:rPr>
          <w:rFonts w:asciiTheme="majorHAnsi" w:hAnsiTheme="majorHAnsi"/>
          <w:i/>
          <w:color w:val="000000" w:themeColor="text1"/>
          <w:sz w:val="20"/>
          <w:szCs w:val="20"/>
        </w:rPr>
        <w:t>fingir not fungir</w:t>
      </w:r>
      <w:r w:rsidRPr="009165FD">
        <w:rPr>
          <w:rFonts w:asciiTheme="majorHAnsi" w:hAnsiTheme="majorHAnsi"/>
          <w:color w:val="000000" w:themeColor="text1"/>
          <w:sz w:val="20"/>
          <w:szCs w:val="20"/>
        </w:rPr>
        <w:t>?] it was a release, knowing full well that it was to hand them over for purposes other than obtaining their release, which clearly shows us that her participation was that of an accomplice providing pre-arranged assistance.</w:t>
      </w:r>
      <w:r w:rsidRPr="009165FD">
        <w:rPr>
          <w:rStyle w:val="FootnoteReference"/>
          <w:rFonts w:asciiTheme="majorHAnsi" w:hAnsiTheme="majorHAnsi"/>
          <w:color w:val="000000" w:themeColor="text1"/>
          <w:sz w:val="20"/>
          <w:szCs w:val="20"/>
        </w:rPr>
        <w:footnoteReference w:id="96"/>
      </w:r>
      <w:r w:rsidRPr="009165FD">
        <w:rPr>
          <w:rFonts w:asciiTheme="majorHAnsi" w:hAnsiTheme="majorHAnsi"/>
          <w:color w:val="000000" w:themeColor="text1"/>
          <w:sz w:val="20"/>
          <w:szCs w:val="20"/>
        </w:rPr>
        <w:t xml:space="preserve"> </w:t>
      </w:r>
    </w:p>
    <w:p w14:paraId="7D912EA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45B868E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Likewise, on January 31, 2012, the Second Criminal Court of the Specialized Circuit of Antioquia handed down Ordinary Law Judgment No.1 declaring Héctor Gutiérrez Vélez criminally responsible as an accessory in the concurrence of two criminal offenses in the form of two aggravated simple abductions of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 and sentenced him to 25 years imprisonment.</w:t>
      </w:r>
      <w:r w:rsidRPr="009165FD">
        <w:rPr>
          <w:rStyle w:val="FootnoteReference"/>
          <w:rFonts w:asciiTheme="majorHAnsi" w:hAnsiTheme="majorHAnsi"/>
          <w:color w:val="000000" w:themeColor="text1"/>
          <w:sz w:val="20"/>
          <w:szCs w:val="20"/>
        </w:rPr>
        <w:footnoteReference w:id="97"/>
      </w:r>
      <w:r w:rsidRPr="009165FD">
        <w:rPr>
          <w:rFonts w:asciiTheme="majorHAnsi" w:hAnsiTheme="majorHAnsi"/>
          <w:color w:val="000000" w:themeColor="text1"/>
          <w:sz w:val="20"/>
          <w:szCs w:val="20"/>
        </w:rPr>
        <w:t xml:space="preserve">. </w:t>
      </w:r>
    </w:p>
    <w:p w14:paraId="42964F90" w14:textId="77777777" w:rsidR="00E427EE" w:rsidRPr="009165FD" w:rsidRDefault="00E427EE"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B77244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This decision establishes that:</w:t>
      </w:r>
    </w:p>
    <w:p w14:paraId="44B86168"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707DBEE6"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Although the key to the lock was missing, the officials in the Brigade would have been asked to take time to find it or to ask their superior for permission to do what they did, instead of breaking the lock surreptitiously and without authorization.</w:t>
      </w:r>
      <w:r w:rsidRPr="009165FD">
        <w:rPr>
          <w:rFonts w:asciiTheme="majorHAnsi" w:hAnsiTheme="majorHAnsi"/>
          <w:color w:val="000000" w:themeColor="text1"/>
          <w:sz w:val="20"/>
          <w:szCs w:val="20"/>
          <w:vertAlign w:val="superscript"/>
        </w:rPr>
        <w:footnoteReference w:id="98"/>
      </w:r>
      <w:r w:rsidRPr="009165FD">
        <w:rPr>
          <w:rFonts w:asciiTheme="majorHAnsi" w:hAnsiTheme="majorHAnsi"/>
          <w:color w:val="000000" w:themeColor="text1"/>
          <w:sz w:val="20"/>
          <w:szCs w:val="20"/>
        </w:rPr>
        <w:t>.</w:t>
      </w:r>
    </w:p>
    <w:p w14:paraId="231181E1" w14:textId="77777777" w:rsidR="00334B20" w:rsidRPr="009165FD" w:rsidRDefault="00334B20" w:rsidP="00334B20">
      <w:pPr>
        <w:ind w:left="720" w:right="720"/>
        <w:jc w:val="both"/>
        <w:rPr>
          <w:rFonts w:asciiTheme="majorHAnsi" w:hAnsiTheme="majorHAnsi"/>
          <w:color w:val="000000" w:themeColor="text1"/>
          <w:sz w:val="20"/>
          <w:szCs w:val="20"/>
        </w:rPr>
      </w:pPr>
    </w:p>
    <w:p w14:paraId="71B0662F" w14:textId="77777777" w:rsidR="00334B20" w:rsidRPr="009165FD" w:rsidRDefault="00334B20" w:rsidP="00334B20">
      <w:pP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w:t>
      </w:r>
    </w:p>
    <w:p w14:paraId="174D03ED" w14:textId="77777777" w:rsidR="00334B20" w:rsidRPr="009165FD" w:rsidRDefault="00334B20" w:rsidP="00334B20">
      <w:pPr>
        <w:ind w:left="720" w:right="720"/>
        <w:jc w:val="both"/>
        <w:rPr>
          <w:rFonts w:asciiTheme="majorHAnsi" w:hAnsiTheme="majorHAnsi"/>
          <w:color w:val="000000" w:themeColor="text1"/>
          <w:sz w:val="20"/>
          <w:szCs w:val="20"/>
        </w:rPr>
      </w:pPr>
    </w:p>
    <w:p w14:paraId="009C4F7A"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Together with the haste with which the aforementioned citizens were abducted, it can reasonably be inferred that the procedure was illicit and not done to expedite the right to liberty of Messrs. TORRES and QUINTERO. On the contrary, the purpose of this malicious behavior was none other than to haul away the detainees illegally, specifically in order to hand them over to the paramilitary group formed by HEBERT VELOZA, as he himself asserts.</w:t>
      </w:r>
    </w:p>
    <w:p w14:paraId="07A1AD87" w14:textId="77777777" w:rsidR="00334B20" w:rsidRPr="009165FD" w:rsidRDefault="00334B20" w:rsidP="00334B20">
      <w:pPr>
        <w:ind w:left="720" w:right="720"/>
        <w:jc w:val="both"/>
        <w:rPr>
          <w:rFonts w:asciiTheme="majorHAnsi" w:hAnsiTheme="majorHAnsi"/>
          <w:color w:val="000000" w:themeColor="text1"/>
          <w:sz w:val="20"/>
          <w:szCs w:val="20"/>
        </w:rPr>
      </w:pPr>
    </w:p>
    <w:p w14:paraId="608ABBFB" w14:textId="77777777" w:rsidR="00334B20" w:rsidRPr="009165FD" w:rsidRDefault="00334B20" w:rsidP="00334B20">
      <w:pP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w:t>
      </w:r>
    </w:p>
    <w:p w14:paraId="455A6A68" w14:textId="77777777" w:rsidR="00334B20" w:rsidRPr="009165FD" w:rsidRDefault="00334B20" w:rsidP="00334B20">
      <w:pP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Court considers it a proven fact that on December 20, 1995, Messrs. ALCIDES TORRES ARIAS and ANGEL DAVID QUINTERO were illicitly taken from the cell in XVII Brigade (BIVEL) and that to do this day it is not known what happened to them. Participating as an accessory in the abduction and retention of the above-mentioned persons was Mr. HÉCTOR GUTIÉRREZ VÉLEZ</w:t>
      </w:r>
      <w:r w:rsidRPr="009165FD">
        <w:rPr>
          <w:rFonts w:asciiTheme="majorHAnsi" w:hAnsiTheme="majorHAnsi"/>
          <w:color w:val="000000" w:themeColor="text1"/>
          <w:sz w:val="20"/>
          <w:szCs w:val="20"/>
          <w:vertAlign w:val="superscript"/>
        </w:rPr>
        <w:footnoteReference w:id="99"/>
      </w:r>
      <w:r w:rsidRPr="009165FD">
        <w:rPr>
          <w:rFonts w:asciiTheme="majorHAnsi" w:hAnsiTheme="majorHAnsi"/>
          <w:color w:val="000000" w:themeColor="text1"/>
          <w:sz w:val="20"/>
          <w:szCs w:val="20"/>
        </w:rPr>
        <w:t>.</w:t>
      </w:r>
    </w:p>
    <w:p w14:paraId="38B0EE40" w14:textId="77777777" w:rsidR="00E427EE" w:rsidRPr="009165FD" w:rsidRDefault="00E427EE" w:rsidP="00334B20">
      <w:pPr>
        <w:ind w:left="720" w:right="720"/>
        <w:jc w:val="both"/>
        <w:rPr>
          <w:rFonts w:asciiTheme="majorHAnsi" w:hAnsiTheme="majorHAnsi"/>
          <w:color w:val="000000" w:themeColor="text1"/>
          <w:sz w:val="20"/>
          <w:szCs w:val="20"/>
        </w:rPr>
      </w:pPr>
    </w:p>
    <w:p w14:paraId="76B0D840"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b/>
          <w:color w:val="000000" w:themeColor="text1"/>
          <w:sz w:val="20"/>
          <w:szCs w:val="20"/>
        </w:rPr>
      </w:pPr>
      <w:r w:rsidRPr="009165FD">
        <w:rPr>
          <w:rFonts w:asciiTheme="majorHAnsi" w:hAnsiTheme="majorHAnsi"/>
          <w:color w:val="000000" w:themeColor="text1"/>
          <w:sz w:val="20"/>
          <w:szCs w:val="20"/>
        </w:rPr>
        <w:t xml:space="preserve">For its part, on June 6, 2012, the Court attached to the First Criminal Court of the Specialized Circuit of Antioquia convicted National Army Sergeant Héctor Julio Vanegas Rodríguez as an accomplice in the aggravated simple abduction of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 He was sentenced to 10 years in prison, a fine of 83.33 legal monthly minimum wages, and a ban on exercising civic rights or holding public office for the duration of the principal punishment.</w:t>
      </w:r>
      <w:r w:rsidRPr="009165FD">
        <w:rPr>
          <w:rFonts w:asciiTheme="majorHAnsi" w:hAnsiTheme="majorHAnsi"/>
          <w:color w:val="000000" w:themeColor="text1"/>
          <w:sz w:val="20"/>
          <w:szCs w:val="20"/>
          <w:vertAlign w:val="superscript"/>
        </w:rPr>
        <w:footnoteReference w:id="100"/>
      </w:r>
      <w:r w:rsidRPr="009165FD">
        <w:rPr>
          <w:rFonts w:asciiTheme="majorHAnsi" w:hAnsiTheme="majorHAnsi"/>
          <w:color w:val="000000" w:themeColor="text1"/>
          <w:sz w:val="20"/>
          <w:szCs w:val="20"/>
        </w:rPr>
        <w:t xml:space="preserve"> </w:t>
      </w:r>
    </w:p>
    <w:p w14:paraId="796508A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b/>
          <w:color w:val="000000" w:themeColor="text1"/>
          <w:sz w:val="20"/>
          <w:szCs w:val="20"/>
        </w:rPr>
      </w:pPr>
    </w:p>
    <w:p w14:paraId="3409129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b/>
          <w:color w:val="000000" w:themeColor="text1"/>
          <w:sz w:val="20"/>
          <w:szCs w:val="20"/>
        </w:rPr>
      </w:pPr>
      <w:r w:rsidRPr="009165FD">
        <w:rPr>
          <w:rFonts w:asciiTheme="majorHAnsi" w:hAnsiTheme="majorHAnsi"/>
          <w:color w:val="000000" w:themeColor="text1"/>
          <w:sz w:val="20"/>
          <w:szCs w:val="20"/>
        </w:rPr>
        <w:t xml:space="preserve">In order to take the decision described in the foregoing paragraph, the Court concluded that through his actions Mr. Vanegas: </w:t>
      </w:r>
    </w:p>
    <w:p w14:paraId="5B1AAEFA"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29B78649"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meets the requirements needed to characterize malicious intent (</w:t>
      </w:r>
      <w:r w:rsidRPr="009165FD">
        <w:rPr>
          <w:rFonts w:asciiTheme="majorHAnsi" w:hAnsiTheme="majorHAnsi"/>
          <w:i/>
          <w:color w:val="000000" w:themeColor="text1"/>
          <w:sz w:val="20"/>
          <w:szCs w:val="20"/>
        </w:rPr>
        <w:t>dolo</w:t>
      </w:r>
      <w:r w:rsidRPr="009165FD">
        <w:rPr>
          <w:rFonts w:asciiTheme="majorHAnsi" w:hAnsiTheme="majorHAnsi"/>
          <w:color w:val="000000" w:themeColor="text1"/>
          <w:sz w:val="20"/>
          <w:szCs w:val="20"/>
        </w:rPr>
        <w:t>), because his conduct was pro-active and directed toward the commission of punishable offenses. From him came the idea of illegally holding on to Messrs. ALCIDES TORRES ARIAS y ANGEL DAVID QUINTERO BENÍTEZ, who were handed over to the group outside the law, without there being any paper or evidence of their being handed over. . However, as this was a task for several people, they distributed the work among themselves like a good team, with each one performing a specific task.</w:t>
      </w:r>
    </w:p>
    <w:p w14:paraId="00A773B8" w14:textId="77777777" w:rsidR="00334B20" w:rsidRPr="009165FD" w:rsidRDefault="00334B20" w:rsidP="00334B20">
      <w:pP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w:t>
      </w:r>
    </w:p>
    <w:p w14:paraId="330EFB1D" w14:textId="77777777" w:rsidR="00334B20" w:rsidRPr="009165FD" w:rsidRDefault="00334B20" w:rsidP="00334B20">
      <w:pPr>
        <w:ind w:left="720" w:right="720"/>
        <w:jc w:val="both"/>
        <w:rPr>
          <w:rFonts w:asciiTheme="majorHAnsi" w:hAnsiTheme="majorHAnsi"/>
          <w:color w:val="000000" w:themeColor="text1"/>
          <w:sz w:val="20"/>
          <w:szCs w:val="20"/>
        </w:rPr>
      </w:pPr>
    </w:p>
    <w:p w14:paraId="60C453E3" w14:textId="77777777" w:rsidR="00334B20" w:rsidRPr="009165FD" w:rsidRDefault="00334B20" w:rsidP="00334B20">
      <w:pPr>
        <w:pStyle w:val="ListParagraph"/>
        <w:autoSpaceDE w:val="0"/>
        <w:autoSpaceDN w:val="0"/>
        <w:adjustRightInd w:val="0"/>
        <w:ind w:right="720"/>
        <w:jc w:val="both"/>
        <w:rPr>
          <w:rFonts w:asciiTheme="majorHAnsi" w:hAnsiTheme="majorHAnsi"/>
          <w:b/>
          <w:color w:val="000000" w:themeColor="text1"/>
          <w:sz w:val="20"/>
          <w:szCs w:val="20"/>
        </w:rPr>
      </w:pPr>
      <w:r w:rsidRPr="009165FD">
        <w:rPr>
          <w:rFonts w:asciiTheme="majorHAnsi" w:hAnsiTheme="majorHAnsi"/>
          <w:color w:val="000000" w:themeColor="text1"/>
          <w:sz w:val="20"/>
          <w:szCs w:val="20"/>
        </w:rPr>
        <w:lastRenderedPageBreak/>
        <w:t>The accused must answer for the offense charged by the prosecution [Aggravated Simple Abduction], because he was a substantive accomplice in the criminal enterprise led by HH. He had a specific job to do, which was to get the detainees out of their cell making the release look legal. For that reason, his participation is that of an accomplice to the aggravated simple abduction.</w:t>
      </w:r>
      <w:r w:rsidRPr="009165FD">
        <w:rPr>
          <w:rFonts w:asciiTheme="majorHAnsi" w:hAnsiTheme="majorHAnsi"/>
          <w:color w:val="000000" w:themeColor="text1"/>
          <w:sz w:val="20"/>
          <w:szCs w:val="20"/>
          <w:vertAlign w:val="superscript"/>
        </w:rPr>
        <w:footnoteReference w:id="101"/>
      </w:r>
      <w:r w:rsidRPr="009165FD">
        <w:rPr>
          <w:rFonts w:asciiTheme="majorHAnsi" w:hAnsiTheme="majorHAnsi"/>
          <w:color w:val="000000" w:themeColor="text1"/>
          <w:sz w:val="20"/>
          <w:szCs w:val="20"/>
        </w:rPr>
        <w:t>.</w:t>
      </w:r>
    </w:p>
    <w:p w14:paraId="66D31453"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the aforementioned proceedings, Mr. Vanegas was sentenced to pay 50 legal monthly minimum wages to each of the next of kin of the victims for injury, pain, and suffering (</w:t>
      </w:r>
      <w:r w:rsidRPr="009165FD">
        <w:rPr>
          <w:rFonts w:asciiTheme="majorHAnsi" w:hAnsiTheme="majorHAnsi"/>
          <w:i/>
          <w:color w:val="000000" w:themeColor="text1"/>
          <w:sz w:val="20"/>
          <w:szCs w:val="20"/>
        </w:rPr>
        <w:t>perjuicios morales</w:t>
      </w:r>
      <w:r w:rsidRPr="009165FD">
        <w:rPr>
          <w:rFonts w:asciiTheme="majorHAnsi" w:hAnsiTheme="majorHAnsi"/>
          <w:color w:val="000000" w:themeColor="text1"/>
          <w:sz w:val="20"/>
          <w:szCs w:val="20"/>
        </w:rPr>
        <w:t>). The affected were not granted material damages.</w:t>
      </w:r>
      <w:r w:rsidRPr="009165FD">
        <w:rPr>
          <w:rFonts w:asciiTheme="majorHAnsi" w:hAnsiTheme="majorHAnsi"/>
          <w:color w:val="000000" w:themeColor="text1"/>
          <w:sz w:val="20"/>
          <w:szCs w:val="20"/>
          <w:vertAlign w:val="superscript"/>
        </w:rPr>
        <w:footnoteReference w:id="102"/>
      </w:r>
    </w:p>
    <w:p w14:paraId="4ABFA90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35C4CC42" w14:textId="77777777" w:rsidR="00334B20" w:rsidRPr="009165FD" w:rsidRDefault="00334B20" w:rsidP="00E427EE">
      <w:pPr>
        <w:pStyle w:val="Heading3"/>
      </w:pPr>
      <w:bookmarkStart w:id="31" w:name="_Toc401323770"/>
      <w:bookmarkStart w:id="32" w:name="_Toc489882500"/>
      <w:r w:rsidRPr="009165FD">
        <w:t>Disciplinary proceedings</w:t>
      </w:r>
      <w:bookmarkEnd w:id="31"/>
      <w:bookmarkEnd w:id="32"/>
    </w:p>
    <w:p w14:paraId="59DCE1D5" w14:textId="77777777" w:rsidR="00334B20" w:rsidRPr="009165FD" w:rsidRDefault="00334B20" w:rsidP="00334B20">
      <w:pPr>
        <w:rPr>
          <w:rFonts w:asciiTheme="majorHAnsi" w:hAnsiTheme="majorHAnsi"/>
          <w:sz w:val="20"/>
          <w:szCs w:val="20"/>
        </w:rPr>
      </w:pPr>
    </w:p>
    <w:p w14:paraId="09D08AC3"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With respect to the military personnel; serving in the XVII Brigade, on August 26, 1996, the 36th Military Court  Hearing Preliminary Proceedings disqualified itself from instituting a formal criminal investigation against the personnel of Infantry Battalion No. 47 Vélez, on account of the disappearance of Alcides Torres Arias yand</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To reach that decision, the Court stated that </w:t>
      </w:r>
    </w:p>
    <w:p w14:paraId="20682146"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55D14A61"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having examined the logbook of the guard at the entrance for the date of the events, the office noted that on page 5 a note is made recording the departure of the persons concerned, one of them identified by his I.D., at 2:05 p.m., a circumstance that demonstrates that in reality the aforementioned persons were taken as far as the guardhouse, from where they left by their own means, having recovered their freedom of movement, and from there on the unit lost all contact with them. The versions of events given by the other two detainees are not credible, when they give their account of what happened later, because they were in the offices of the Public Prosecutor, from where it was physically impossible for them to ascertain by their own means what may have happened to the disappeared individuals.</w:t>
      </w:r>
      <w:r w:rsidRPr="009165FD">
        <w:rPr>
          <w:rStyle w:val="FootnoteReference"/>
          <w:rFonts w:asciiTheme="majorHAnsi" w:hAnsiTheme="majorHAnsi"/>
          <w:color w:val="000000" w:themeColor="text1"/>
          <w:sz w:val="20"/>
          <w:szCs w:val="20"/>
        </w:rPr>
        <w:footnoteReference w:id="103"/>
      </w:r>
    </w:p>
    <w:p w14:paraId="591F3DCF"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1E930E7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Subsequently, on September 10, 2004, the Deputy Disciplinary Attorney for the Defense of Human Rights resolved to acquit the personnel serving in the Brigade of responsibility because "there is better evidence to support the affirmation that Alcides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were released pursuant to a legitimate order issued by the competent judicial authority, so that the actual occurrence of the conduct (forced disappearance] is not fully accredited."</w:t>
      </w:r>
      <w:r w:rsidRPr="009165FD">
        <w:rPr>
          <w:rStyle w:val="FootnoteReference"/>
          <w:rFonts w:asciiTheme="majorHAnsi" w:hAnsiTheme="majorHAnsi"/>
          <w:color w:val="000000" w:themeColor="text1"/>
          <w:sz w:val="20"/>
          <w:szCs w:val="20"/>
        </w:rPr>
        <w:footnoteReference w:id="104"/>
      </w:r>
      <w:r w:rsidRPr="009165FD">
        <w:rPr>
          <w:rFonts w:asciiTheme="majorHAnsi" w:hAnsiTheme="majorHAnsi"/>
          <w:color w:val="000000" w:themeColor="text1"/>
          <w:sz w:val="20"/>
          <w:szCs w:val="20"/>
        </w:rPr>
        <w:t xml:space="preserve">. </w:t>
      </w:r>
    </w:p>
    <w:p w14:paraId="0A9F6E30"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2152D153" w14:textId="77777777" w:rsidR="00334B20" w:rsidRPr="009165FD" w:rsidRDefault="00334B20" w:rsidP="00E427EE">
      <w:pPr>
        <w:pStyle w:val="Heading3"/>
      </w:pPr>
      <w:bookmarkStart w:id="33" w:name="_Toc401323771"/>
      <w:bookmarkStart w:id="34" w:name="_Toc489882501"/>
      <w:r w:rsidRPr="009165FD">
        <w:t>Justice and Police Act</w:t>
      </w:r>
      <w:bookmarkEnd w:id="33"/>
      <w:bookmarkEnd w:id="34"/>
    </w:p>
    <w:p w14:paraId="0135253D" w14:textId="77777777" w:rsidR="00334B20" w:rsidRPr="009165FD" w:rsidRDefault="00334B20" w:rsidP="00334B20">
      <w:pPr>
        <w:rPr>
          <w:rFonts w:asciiTheme="majorHAnsi" w:hAnsiTheme="majorHAnsi"/>
          <w:sz w:val="20"/>
          <w:szCs w:val="20"/>
        </w:rPr>
      </w:pPr>
    </w:p>
    <w:p w14:paraId="6EE23E9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Regarding the Justice and Peace proceedings, in a document dated August 10, 2009, the State reported that Heber Veloza García had been included in an investigation involving this case. The State also reported that Heber Veloza García was extradited to the United States on March 5, 2009.</w:t>
      </w:r>
      <w:r w:rsidRPr="009165FD">
        <w:rPr>
          <w:rStyle w:val="FootnoteReference"/>
          <w:rFonts w:asciiTheme="majorHAnsi" w:hAnsiTheme="majorHAnsi"/>
          <w:color w:val="000000" w:themeColor="text1"/>
          <w:sz w:val="20"/>
          <w:szCs w:val="20"/>
        </w:rPr>
        <w:footnoteReference w:id="105"/>
      </w:r>
      <w:r w:rsidRPr="009165FD">
        <w:rPr>
          <w:rFonts w:asciiTheme="majorHAnsi" w:hAnsiTheme="majorHAnsi"/>
          <w:color w:val="000000" w:themeColor="text1"/>
          <w:sz w:val="20"/>
          <w:szCs w:val="20"/>
        </w:rPr>
        <w:t>.</w:t>
      </w:r>
    </w:p>
    <w:p w14:paraId="7888383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CE18A0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addition, as a matter of public knowledge, on October 13, 2013, the Higher Court of Bogotá's Justice and Peace Division handed down a partial judgment against Mr. Heber Veloza García</w:t>
      </w:r>
      <w:r w:rsidRPr="009165FD">
        <w:rPr>
          <w:rStyle w:val="FootnoteReference"/>
          <w:rFonts w:asciiTheme="majorHAnsi" w:hAnsiTheme="majorHAnsi"/>
          <w:color w:val="000000" w:themeColor="text1"/>
          <w:sz w:val="20"/>
          <w:szCs w:val="20"/>
        </w:rPr>
        <w:footnoteReference w:id="106"/>
      </w:r>
      <w:r w:rsidRPr="009165FD">
        <w:rPr>
          <w:rFonts w:asciiTheme="majorHAnsi" w:hAnsiTheme="majorHAnsi"/>
          <w:color w:val="000000" w:themeColor="text1"/>
          <w:sz w:val="20"/>
          <w:szCs w:val="20"/>
        </w:rPr>
        <w:t xml:space="preserve">, </w:t>
      </w:r>
      <w:r w:rsidRPr="009165FD">
        <w:rPr>
          <w:rFonts w:asciiTheme="majorHAnsi" w:hAnsiTheme="majorHAnsi"/>
          <w:color w:val="000000" w:themeColor="text1"/>
          <w:sz w:val="20"/>
          <w:szCs w:val="20"/>
        </w:rPr>
        <w:lastRenderedPageBreak/>
        <w:t xml:space="preserve">sentencing him to alternative punishment of 7 years imprisonment for the crimes of murder of a protected person, forced disappearance, and torture of a protected person, in respect of Messrs.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w:t>
      </w:r>
    </w:p>
    <w:p w14:paraId="0ED0DA7F" w14:textId="77777777" w:rsidR="00E427EE" w:rsidRPr="009165FD" w:rsidRDefault="00E427EE"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7D5B0330"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Mr. Veloza gave a list of others who also participated in the acts perpetrated against Messrs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  </w:t>
      </w:r>
    </w:p>
    <w:p w14:paraId="27964C77"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4C0026CE"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Another five paramilitary: Wilmer Aguado Álvarez, alias ‘Carroloco’, Luis Enrique Mestra Yáñez, alias ‘Wilson’, Uber Coca, alias ‘Uber’, José Ruperto García Quiroga, alias ‘The Cat’, and Ricardo López Lora, alias ‘the pig’</w:t>
      </w:r>
      <w:r w:rsidRPr="009165FD">
        <w:rPr>
          <w:rStyle w:val="FootnoteReference"/>
          <w:rFonts w:asciiTheme="majorHAnsi" w:hAnsiTheme="majorHAnsi"/>
          <w:color w:val="000000" w:themeColor="text1"/>
          <w:sz w:val="20"/>
          <w:szCs w:val="20"/>
        </w:rPr>
        <w:footnoteReference w:id="107"/>
      </w:r>
    </w:p>
    <w:p w14:paraId="3CDD81CE"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18C994E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respect of all these persons, the Commission only knows of proceedings brought against Mr. Ricardo López Lora, alias “The Sow”.</w:t>
      </w:r>
    </w:p>
    <w:p w14:paraId="086320D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5DEEA7C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With regard to reparation, this judgment established that under Law 1448 of 2011 (Decree 4800 of 2011), it would not be appropriate to put a figure on any compensation benefits. Rather,  </w:t>
      </w:r>
    </w:p>
    <w:p w14:paraId="27A82DF4"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79F7B23E"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Special Administrative Unit for Caring for and Making Comprehensive Reparation to Victims would administer the funds earmarked for compensation via administrative channels (Article 146). It will also estimate the amount of compensation based on the following criteria:  (1) The nature and impact of the victimizing act; (ii) the harm done, and (iii) the current vulnerability status of the victim, from a differential standpoint</w:t>
      </w:r>
      <w:r w:rsidRPr="009165FD">
        <w:rPr>
          <w:rStyle w:val="FootnoteReference"/>
          <w:rFonts w:asciiTheme="majorHAnsi" w:hAnsiTheme="majorHAnsi"/>
          <w:color w:val="000000" w:themeColor="text1"/>
          <w:sz w:val="20"/>
          <w:szCs w:val="20"/>
        </w:rPr>
        <w:footnoteReference w:id="108"/>
      </w:r>
      <w:r w:rsidRPr="009165FD">
        <w:rPr>
          <w:rStyle w:val="FootnoteReference"/>
          <w:rFonts w:asciiTheme="majorHAnsi" w:hAnsiTheme="majorHAnsi"/>
          <w:color w:val="000000" w:themeColor="text1"/>
          <w:sz w:val="20"/>
          <w:szCs w:val="20"/>
        </w:rPr>
        <w:t>.</w:t>
      </w:r>
      <w:r w:rsidRPr="009165FD">
        <w:rPr>
          <w:rFonts w:asciiTheme="majorHAnsi" w:hAnsiTheme="majorHAnsi"/>
          <w:color w:val="000000" w:themeColor="text1"/>
          <w:sz w:val="20"/>
          <w:szCs w:val="20"/>
        </w:rPr>
        <w:t xml:space="preserve"> </w:t>
      </w:r>
    </w:p>
    <w:p w14:paraId="2E7DF51A"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3130B49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With regard to what happened to Messrs. Alcides Torres Arias and </w:t>
      </w:r>
      <w:r w:rsidR="0021799E" w:rsidRPr="009165FD">
        <w:rPr>
          <w:rFonts w:asciiTheme="majorHAnsi" w:hAnsiTheme="majorHAnsi"/>
          <w:color w:val="000000" w:themeColor="text1"/>
          <w:sz w:val="20"/>
          <w:szCs w:val="20"/>
        </w:rPr>
        <w:t>Angel</w:t>
      </w:r>
      <w:r w:rsidRPr="009165FD">
        <w:rPr>
          <w:rFonts w:asciiTheme="majorHAnsi" w:hAnsiTheme="majorHAnsi"/>
          <w:color w:val="000000" w:themeColor="text1"/>
          <w:sz w:val="20"/>
          <w:szCs w:val="20"/>
        </w:rPr>
        <w:t xml:space="preserve"> David Quintero Benítezthe following were recognized as victims in the proceedings against alias “HH”: In respect of Alcides Torres Arias: Consuelo Rodríguez Peña (full time companion) and Dianelly Torres Rodríguez (daughter); In respect of Mr. Quintero: Blanca Yanet Graciano Acevedo (companion), Luz Enith Quintero Serna (daughter) and Isneisa Quintero Graciano (daughter). </w:t>
      </w:r>
    </w:p>
    <w:p w14:paraId="348D165E"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239FE440" w14:textId="77777777" w:rsidR="00334B20" w:rsidRPr="009165FD" w:rsidRDefault="00334B20" w:rsidP="00334B20">
      <w:pPr>
        <w:pStyle w:val="Heading1"/>
      </w:pPr>
      <w:bookmarkStart w:id="35" w:name="_Toc401323772"/>
      <w:bookmarkStart w:id="36" w:name="_Toc489882502"/>
      <w:r w:rsidRPr="009165FD">
        <w:t>LEGAL ANALYSIS</w:t>
      </w:r>
      <w:bookmarkEnd w:id="35"/>
      <w:bookmarkEnd w:id="36"/>
    </w:p>
    <w:p w14:paraId="48042565" w14:textId="77777777" w:rsidR="00E427EE" w:rsidRPr="009165FD" w:rsidRDefault="00E427EE" w:rsidP="00E427EE"/>
    <w:p w14:paraId="621B6BBB" w14:textId="77777777" w:rsidR="00334B20" w:rsidRPr="009165FD" w:rsidRDefault="00334B20" w:rsidP="00334B20">
      <w:pPr>
        <w:pStyle w:val="Heading2"/>
      </w:pPr>
      <w:bookmarkStart w:id="37" w:name="_Toc401323773"/>
      <w:bookmarkStart w:id="38" w:name="_Toc489882503"/>
      <w:r w:rsidRPr="009165FD">
        <w:t>Prior considerations</w:t>
      </w:r>
      <w:bookmarkEnd w:id="37"/>
      <w:bookmarkEnd w:id="38"/>
    </w:p>
    <w:p w14:paraId="5100CF2E" w14:textId="77777777" w:rsidR="00334B20" w:rsidRPr="009165FD" w:rsidRDefault="00334B20" w:rsidP="00334B20">
      <w:pPr>
        <w:rPr>
          <w:rFonts w:asciiTheme="majorHAnsi" w:hAnsiTheme="majorHAnsi"/>
          <w:sz w:val="20"/>
          <w:szCs w:val="20"/>
        </w:rPr>
      </w:pPr>
    </w:p>
    <w:p w14:paraId="2719074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b/>
          <w:color w:val="000000" w:themeColor="text1"/>
          <w:sz w:val="20"/>
          <w:szCs w:val="20"/>
        </w:rPr>
      </w:pPr>
      <w:r w:rsidRPr="009165FD">
        <w:rPr>
          <w:rFonts w:asciiTheme="majorHAnsi" w:hAnsiTheme="majorHAnsi"/>
          <w:color w:val="000000" w:themeColor="text1"/>
          <w:sz w:val="20"/>
          <w:szCs w:val="20"/>
        </w:rPr>
        <w:t>Before analyzing the proven facts in the light of the American Convention and the Inter-American Convention on Forced Disappearance of Persons, the Commission will discuss some matters with a view to addressing two procedural issues posed following the admissibility report.</w:t>
      </w:r>
      <w:r w:rsidRPr="009165FD">
        <w:rPr>
          <w:rFonts w:asciiTheme="majorHAnsi" w:hAnsiTheme="majorHAnsi"/>
          <w:color w:val="000000" w:themeColor="text1"/>
          <w:sz w:val="20"/>
          <w:szCs w:val="20"/>
        </w:rPr>
        <w:tab/>
      </w:r>
    </w:p>
    <w:p w14:paraId="06391A65"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b/>
          <w:color w:val="000000" w:themeColor="text1"/>
          <w:sz w:val="20"/>
          <w:szCs w:val="20"/>
        </w:rPr>
      </w:pPr>
    </w:p>
    <w:p w14:paraId="57B641DF" w14:textId="77777777" w:rsidR="00334B20" w:rsidRPr="009165FD" w:rsidRDefault="00334B20" w:rsidP="005F1B07">
      <w:pPr>
        <w:pStyle w:val="Heading3"/>
        <w:numPr>
          <w:ilvl w:val="0"/>
          <w:numId w:val="59"/>
        </w:numPr>
      </w:pPr>
      <w:bookmarkStart w:id="39" w:name="_Toc401323774"/>
      <w:bookmarkStart w:id="40" w:name="_Toc489882504"/>
      <w:r w:rsidRPr="009165FD">
        <w:t>Determination of the alleged victims</w:t>
      </w:r>
      <w:bookmarkEnd w:id="39"/>
      <w:bookmarkEnd w:id="40"/>
    </w:p>
    <w:p w14:paraId="0609F629" w14:textId="77777777" w:rsidR="00E427EE" w:rsidRPr="009165FD" w:rsidRDefault="00E427EE" w:rsidP="00E427EE">
      <w:pPr>
        <w:rPr>
          <w:lang w:bidi="en-US"/>
        </w:rPr>
      </w:pPr>
    </w:p>
    <w:p w14:paraId="473536D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petition was initially presented on behalf of Alcides Torres Arias. Indeed, taking into account the information received during the admissibility phase, the Admissibility Report No. 06/03 referred only to him as the alleged "disappeared" victim. Later on, during the merits phase, and in particular in their observations of June 24, 2007, the petitioners added Angel David Quintero as an alleged victim in the case. For its part, the State acknowledged the latter's status as an alleged victim when it indicated, in its observations on the merits, that the victims were Alcides Torres Arias and Angel David Quintero.</w:t>
      </w:r>
    </w:p>
    <w:p w14:paraId="5F84EB6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0947DBD0"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Taking into account that during the merits phase, both parties agreed that the two alleged "disappeared" victims are both Alcides Torres Arias and Angel David Quintero, who were detained and disappeared under the same circumstances, and whose researches were conducted jointly, and that both </w:t>
      </w:r>
      <w:r w:rsidRPr="009165FD">
        <w:rPr>
          <w:rFonts w:asciiTheme="majorHAnsi" w:hAnsiTheme="majorHAnsi"/>
          <w:color w:val="000000" w:themeColor="text1"/>
          <w:sz w:val="20"/>
          <w:szCs w:val="20"/>
        </w:rPr>
        <w:lastRenderedPageBreak/>
        <w:t xml:space="preserve">parties had several opportunities to present and to controvert the information available regarding Mr. Torres Arias and Mr. Quintero, the Commission proceeds to pronounce on both these people and their respective family units. </w:t>
      </w:r>
    </w:p>
    <w:p w14:paraId="24C864A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36CAF779" w14:textId="77777777" w:rsidR="00334B20" w:rsidRPr="009165FD" w:rsidRDefault="00334B20" w:rsidP="005F1B07">
      <w:pPr>
        <w:pStyle w:val="Heading3"/>
        <w:numPr>
          <w:ilvl w:val="0"/>
          <w:numId w:val="59"/>
        </w:numPr>
      </w:pPr>
      <w:bookmarkStart w:id="41" w:name="_Toc401323775"/>
      <w:bookmarkStart w:id="42" w:name="_Toc489882505"/>
      <w:r w:rsidRPr="009165FD">
        <w:t>Regarding the procedural consequences of failing to meet the deadlines for presenting observations on the merits</w:t>
      </w:r>
      <w:bookmarkEnd w:id="41"/>
      <w:bookmarkEnd w:id="42"/>
    </w:p>
    <w:p w14:paraId="2384A065" w14:textId="77777777" w:rsidR="00334B20" w:rsidRPr="009165FD" w:rsidRDefault="00334B20" w:rsidP="00334B20">
      <w:pPr>
        <w:rPr>
          <w:rFonts w:asciiTheme="majorHAnsi" w:hAnsiTheme="majorHAnsi"/>
          <w:sz w:val="20"/>
          <w:szCs w:val="20"/>
        </w:rPr>
      </w:pPr>
    </w:p>
    <w:p w14:paraId="320A0873"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 State asked the Commission to pronounce expressly on the legal consequences of the petitioners' failure to meet the deadline established in Article 37.1 of the Commission's Rules of Procedure, bearing in mind that Article 38 of the same Rules of Procedure establishes that any facts averred in the petition that are not challenged by the State within the time allowed shall be considered true . </w:t>
      </w:r>
    </w:p>
    <w:p w14:paraId="45F301B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69680F6"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First, and in general terms, the Commission wishes to offer a reminder that, throughout processing by the inter-American system, the burden of arguing and proving alternates between the parties. Thus, in principle, it is up to the petitioner to provide a detailed description of the alleged facts and to provide any information available in support of his or her petition. Subsequently, it is up to the State to pronounce on that supporting evidence and provide convincing elements in support of its position.  Under those circumstances, if the petitioners do not submit their observations on the merits and the Commission lacks sufficient grounds to make up its mind, the outcome will be that the Commission will not be able to make determinations and reach conclusions in the case.  On the other hand, if it is the State that fails to submit its observations on the merits, the Commission may assume the veracity of what is alleged in the petition. Processing is governed throughout by the principles of procedural and adversarial equality. Furthermore, in addition to the observations on the merits, the Commission receives and forwards any other information provided by the parties and, in practice, grants reasonable extensions to ensure procedural balance.  </w:t>
      </w:r>
    </w:p>
    <w:p w14:paraId="26DE13E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30AEDAD7"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In the instant case, the petitioners presented their observations on the merits on May 10, 2003, two months after they were notified of the admissibility report. In that sense, the Commission observes that the State's argument when making the request to the Commission does not match the file on the case. The pertinent parts of the observations on the merits presented on May 10, 2003, along with additional information subsequently presented by the petitioners, were forwarded to the State on April 15, 2008. On June 17, 2008, the State submitted a communication with some considerations of a procedural nature, but did not submit observations on the merits and did not request an extension. On June 4, 2009, the Commission reiterated its request for observations on the merits. The State requested two consecutive extensions, which the Commission granted. The State presented its observations on the merits on August 10, 2009. </w:t>
      </w:r>
    </w:p>
    <w:p w14:paraId="3F0E33F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EED2822" w14:textId="77777777" w:rsidR="00E427EE" w:rsidRPr="009165FD" w:rsidRDefault="00334B20" w:rsidP="00616B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In light of the above, the Commission considers that the State had ample time to exercise its defense in the instant case and </w:t>
      </w:r>
      <w:r w:rsidR="00616BC4" w:rsidRPr="009165FD">
        <w:rPr>
          <w:rFonts w:asciiTheme="majorHAnsi" w:hAnsiTheme="majorHAnsi"/>
          <w:color w:val="000000" w:themeColor="text1"/>
          <w:sz w:val="20"/>
          <w:szCs w:val="20"/>
        </w:rPr>
        <w:t>that;</w:t>
      </w:r>
      <w:r w:rsidRPr="009165FD">
        <w:rPr>
          <w:rFonts w:asciiTheme="majorHAnsi" w:hAnsiTheme="majorHAnsi"/>
          <w:color w:val="000000" w:themeColor="text1"/>
          <w:sz w:val="20"/>
          <w:szCs w:val="20"/>
        </w:rPr>
        <w:t xml:space="preserve"> consequently, procedural balance was maintained throughout the processing period. </w:t>
      </w:r>
      <w:bookmarkStart w:id="43" w:name="_Toc401323776"/>
    </w:p>
    <w:p w14:paraId="0B29752D" w14:textId="77777777" w:rsidR="00616BC4" w:rsidRPr="009165FD" w:rsidRDefault="00616BC4" w:rsidP="00616B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5080E423" w14:textId="77777777" w:rsidR="00334B20" w:rsidRPr="009165FD" w:rsidRDefault="00334B20" w:rsidP="00E427EE">
      <w:pPr>
        <w:pStyle w:val="Heading2"/>
        <w:numPr>
          <w:ilvl w:val="0"/>
          <w:numId w:val="0"/>
        </w:numPr>
        <w:ind w:left="1440" w:hanging="720"/>
      </w:pPr>
      <w:bookmarkStart w:id="44" w:name="_Toc489882506"/>
      <w:r w:rsidRPr="009165FD">
        <w:t xml:space="preserve">B. </w:t>
      </w:r>
      <w:r w:rsidRPr="009165FD">
        <w:tab/>
        <w:t>Rights to recognition of juridical personality, to personal liberty, to personal integrity, and to life (Articles 3, 7, 5, and 4 of the American Convention; and the Inter-American Convention on Forced Disappearance of Persons (Article I.a)</w:t>
      </w:r>
      <w:bookmarkEnd w:id="43"/>
      <w:bookmarkEnd w:id="44"/>
    </w:p>
    <w:p w14:paraId="7BBCF3AB" w14:textId="77777777" w:rsidR="00334B20" w:rsidRPr="009165FD" w:rsidRDefault="00334B20" w:rsidP="00334B20">
      <w:pPr>
        <w:rPr>
          <w:rFonts w:asciiTheme="majorHAnsi" w:hAnsiTheme="majorHAnsi"/>
          <w:sz w:val="20"/>
          <w:szCs w:val="20"/>
        </w:rPr>
      </w:pPr>
    </w:p>
    <w:p w14:paraId="1ADCE8F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Article 3 of the American Convention provides: </w:t>
      </w:r>
    </w:p>
    <w:p w14:paraId="27E26A0E" w14:textId="77777777" w:rsidR="00E427EE" w:rsidRPr="009165FD" w:rsidRDefault="00E427EE" w:rsidP="00334B20">
      <w:pPr>
        <w:ind w:firstLine="720"/>
        <w:jc w:val="both"/>
        <w:rPr>
          <w:rFonts w:asciiTheme="majorHAnsi" w:hAnsiTheme="majorHAnsi"/>
          <w:color w:val="000000" w:themeColor="text1"/>
          <w:sz w:val="20"/>
          <w:szCs w:val="20"/>
        </w:rPr>
      </w:pPr>
    </w:p>
    <w:p w14:paraId="340B6D82" w14:textId="77777777" w:rsidR="00334B20" w:rsidRPr="009165FD" w:rsidRDefault="00334B20" w:rsidP="00334B20">
      <w:pPr>
        <w:ind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Every person has the right to recognition as a person before the law.</w:t>
      </w:r>
    </w:p>
    <w:p w14:paraId="3574E693" w14:textId="77777777" w:rsidR="00E427EE" w:rsidRPr="009165FD" w:rsidRDefault="00E427EE" w:rsidP="00334B20">
      <w:pPr>
        <w:ind w:firstLine="720"/>
        <w:jc w:val="both"/>
        <w:rPr>
          <w:rFonts w:asciiTheme="majorHAnsi" w:hAnsiTheme="majorHAnsi"/>
          <w:color w:val="000000" w:themeColor="text1"/>
          <w:sz w:val="20"/>
          <w:szCs w:val="20"/>
        </w:rPr>
      </w:pPr>
    </w:p>
    <w:p w14:paraId="60BE60C7"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Article 4.1 of the Convention stipulates: </w:t>
      </w:r>
    </w:p>
    <w:p w14:paraId="0293A829" w14:textId="77777777" w:rsidR="00E427EE" w:rsidRPr="009165FD" w:rsidRDefault="00E427EE" w:rsidP="001C5C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75A6D5A7"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Every person has the right to have his life respected. This right shall be protected by law and, in general, from the moment of conception. No one shall be arbitrarily deprived of his life.</w:t>
      </w:r>
    </w:p>
    <w:p w14:paraId="1C5F60AF"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p>
    <w:p w14:paraId="120CCB1B"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Article 5 of the Convention stipulates: </w:t>
      </w:r>
    </w:p>
    <w:p w14:paraId="0FD880C3" w14:textId="77777777" w:rsidR="00334B20" w:rsidRPr="009165FD" w:rsidRDefault="00334B20" w:rsidP="00334B20">
      <w:pPr>
        <w:ind w:left="720" w:right="720"/>
        <w:jc w:val="both"/>
        <w:rPr>
          <w:rFonts w:asciiTheme="majorHAnsi" w:hAnsiTheme="majorHAnsi"/>
          <w:color w:val="000000" w:themeColor="text1"/>
          <w:sz w:val="20"/>
          <w:szCs w:val="20"/>
        </w:rPr>
      </w:pPr>
    </w:p>
    <w:p w14:paraId="7FD063EC" w14:textId="77777777" w:rsidR="00334B20" w:rsidRPr="009165FD" w:rsidRDefault="00334B20" w:rsidP="00334B20">
      <w:pP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1.    Every person has the right to have his physical, mental, and moral integrity respected.     </w:t>
      </w:r>
    </w:p>
    <w:p w14:paraId="78963F94"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2.    No one shall be subjected to torture or to cruel, inhuman, or degrading punishment or treatment.  All persons deprived of their liberty shall be treated with respect for the inherent dignity of the human person.</w:t>
      </w:r>
    </w:p>
    <w:p w14:paraId="371211DE"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4B444A4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Article 7 of the Convention stipulates:</w:t>
      </w:r>
    </w:p>
    <w:p w14:paraId="15E2CE2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390B7CC5" w14:textId="77777777" w:rsidR="00334B20" w:rsidRPr="009165FD" w:rsidRDefault="00334B20" w:rsidP="005F1B07">
      <w:pPr>
        <w:pStyle w:val="Footnote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96" w:right="758" w:hanging="748"/>
        <w:jc w:val="both"/>
        <w:rPr>
          <w:rFonts w:asciiTheme="majorHAnsi" w:hAnsiTheme="majorHAnsi"/>
          <w:color w:val="000000" w:themeColor="text1"/>
        </w:rPr>
      </w:pPr>
      <w:r w:rsidRPr="009165FD">
        <w:rPr>
          <w:rFonts w:asciiTheme="majorHAnsi" w:hAnsiTheme="majorHAnsi"/>
          <w:color w:val="000000" w:themeColor="text1"/>
        </w:rPr>
        <w:t>Every person has the right to personal liberty and security.</w:t>
      </w:r>
    </w:p>
    <w:p w14:paraId="08BE59CD" w14:textId="77777777" w:rsidR="00334B20" w:rsidRPr="009165FD" w:rsidRDefault="00334B20" w:rsidP="00334B20">
      <w:pPr>
        <w:pStyle w:val="FootnoteText"/>
        <w:pBdr>
          <w:top w:val="none" w:sz="0" w:space="0" w:color="auto"/>
          <w:left w:val="none" w:sz="0" w:space="0" w:color="auto"/>
          <w:bottom w:val="none" w:sz="0" w:space="0" w:color="auto"/>
          <w:right w:val="none" w:sz="0" w:space="0" w:color="auto"/>
          <w:bar w:val="none" w:sz="0" w:color="auto"/>
        </w:pBdr>
        <w:ind w:left="1496" w:right="758"/>
        <w:jc w:val="both"/>
        <w:rPr>
          <w:rFonts w:asciiTheme="majorHAnsi" w:hAnsiTheme="majorHAnsi"/>
          <w:color w:val="000000" w:themeColor="text1"/>
        </w:rPr>
      </w:pPr>
    </w:p>
    <w:p w14:paraId="0987C4D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Article 1.1 of the Convention establishes:</w:t>
      </w:r>
    </w:p>
    <w:p w14:paraId="3897753A"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14:paraId="2578F4FC"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2C5B22E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72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For its part, Article 1 (a) if the Inter-American Convention on Forced Disappearance of Persons stipulates that:</w:t>
      </w:r>
    </w:p>
    <w:p w14:paraId="3F565946" w14:textId="77777777" w:rsidR="00E427EE" w:rsidRPr="009165FD" w:rsidRDefault="00E427EE" w:rsidP="00334B20">
      <w:pPr>
        <w:ind w:left="720" w:right="720"/>
        <w:rPr>
          <w:rFonts w:asciiTheme="majorHAnsi" w:hAnsiTheme="majorHAnsi"/>
          <w:color w:val="000000" w:themeColor="text1"/>
          <w:sz w:val="20"/>
          <w:szCs w:val="20"/>
        </w:rPr>
      </w:pPr>
    </w:p>
    <w:p w14:paraId="6EABA11A" w14:textId="77777777" w:rsidR="00334B20" w:rsidRPr="009165FD" w:rsidRDefault="00334B20" w:rsidP="00334B20">
      <w:pPr>
        <w:ind w:left="720" w:right="720"/>
        <w:rPr>
          <w:rFonts w:asciiTheme="majorHAnsi" w:hAnsiTheme="majorHAnsi"/>
          <w:color w:val="000000" w:themeColor="text1"/>
          <w:sz w:val="20"/>
          <w:szCs w:val="20"/>
        </w:rPr>
      </w:pPr>
      <w:r w:rsidRPr="009165FD">
        <w:rPr>
          <w:rFonts w:asciiTheme="majorHAnsi" w:hAnsiTheme="majorHAnsi"/>
          <w:color w:val="000000" w:themeColor="text1"/>
          <w:sz w:val="20"/>
          <w:szCs w:val="20"/>
        </w:rPr>
        <w:t>Article I</w:t>
      </w:r>
    </w:p>
    <w:p w14:paraId="49505802" w14:textId="77777777" w:rsidR="00334B20" w:rsidRPr="009165FD" w:rsidRDefault="00334B20" w:rsidP="00334B20">
      <w:pPr>
        <w:ind w:left="720" w:right="720" w:firstLine="708"/>
        <w:jc w:val="both"/>
        <w:rPr>
          <w:rFonts w:asciiTheme="majorHAnsi" w:hAnsiTheme="majorHAnsi"/>
          <w:color w:val="000000" w:themeColor="text1"/>
          <w:sz w:val="20"/>
          <w:szCs w:val="20"/>
        </w:rPr>
      </w:pPr>
    </w:p>
    <w:p w14:paraId="2A4D1E6B"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States Parties to this Convention undertake:</w:t>
      </w:r>
    </w:p>
    <w:p w14:paraId="6B94B29B" w14:textId="77777777" w:rsidR="00334B20" w:rsidRPr="009165FD" w:rsidRDefault="00334B20" w:rsidP="00334B20">
      <w:pPr>
        <w:ind w:left="720" w:right="720"/>
        <w:jc w:val="both"/>
        <w:rPr>
          <w:rFonts w:asciiTheme="majorHAnsi" w:hAnsiTheme="majorHAnsi"/>
          <w:color w:val="000000" w:themeColor="text1"/>
          <w:sz w:val="20"/>
          <w:szCs w:val="20"/>
        </w:rPr>
      </w:pPr>
    </w:p>
    <w:p w14:paraId="4294C5F1"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   Not to practice, permit, or tolerate the forced disappearance of persons, even in states of emergency or suspension of individual guarantees.</w:t>
      </w:r>
    </w:p>
    <w:p w14:paraId="607A7C1A"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55F7CB3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From the first cases it addressed, the Inter-American Court has referred to the practice of forced disappearances, pointing out that: </w:t>
      </w:r>
    </w:p>
    <w:p w14:paraId="1E3BA153" w14:textId="77777777" w:rsidR="00E427EE" w:rsidRPr="009165FD" w:rsidRDefault="00E427EE" w:rsidP="00E427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70A8A44C"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Forced or involuntary disappearance is one of the most serious and cruel human rights violations, in that it not only produces arbitrary deprivation of freedom but places the physical integrity, security and the very life of the detainee in danger.    It also leaves the detainee utterly defenseless, bringing related crimes in its wake.  Hence, it is important for the State to take all measures as may be necessary to avoid such acts, to investigate them and to sanction those responsible, as well as to inform the next of kin of the disappeared person's whereabouts and to make reparations where appropriate.</w:t>
      </w:r>
      <w:r w:rsidRPr="009165FD">
        <w:rPr>
          <w:rStyle w:val="FootnoteReference"/>
          <w:rFonts w:asciiTheme="majorHAnsi" w:hAnsiTheme="majorHAnsi"/>
          <w:color w:val="000000" w:themeColor="text1"/>
          <w:sz w:val="20"/>
          <w:szCs w:val="20"/>
        </w:rPr>
        <w:footnoteReference w:id="109"/>
      </w:r>
    </w:p>
    <w:p w14:paraId="10B3EBD4"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616ACD00"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Regarding the characteristics of the crime of forced disappearance, the Court  has stated that the IACFDP concurs with other international treaties,</w:t>
      </w:r>
      <w:r w:rsidRPr="009165FD">
        <w:rPr>
          <w:rStyle w:val="FootnoteReference"/>
          <w:rFonts w:asciiTheme="majorHAnsi" w:hAnsiTheme="majorHAnsi"/>
          <w:color w:val="000000" w:themeColor="text1"/>
          <w:sz w:val="20"/>
          <w:szCs w:val="20"/>
        </w:rPr>
        <w:footnoteReference w:id="110"/>
      </w:r>
      <w:r w:rsidRPr="009165FD">
        <w:rPr>
          <w:rFonts w:asciiTheme="majorHAnsi" w:hAnsiTheme="majorHAnsi"/>
          <w:color w:val="000000" w:themeColor="text1"/>
          <w:sz w:val="20"/>
          <w:szCs w:val="20"/>
        </w:rPr>
        <w:t xml:space="preserve"> in establishing that the following cumulative and concurring elements constitute forced disappearance: a) the deprivation of liberty against the will of the person concerned; b) involvement of governmental officials, at least directly or by acquiescence, and c) refusal to disclose the fate and whereabouts of the person concerned.</w:t>
      </w:r>
      <w:r w:rsidRPr="009165FD">
        <w:rPr>
          <w:rStyle w:val="FootnoteReference"/>
          <w:rFonts w:asciiTheme="majorHAnsi" w:hAnsiTheme="majorHAnsi"/>
          <w:color w:val="000000" w:themeColor="text1"/>
          <w:sz w:val="20"/>
          <w:szCs w:val="20"/>
        </w:rPr>
        <w:footnoteReference w:id="111"/>
      </w:r>
      <w:r w:rsidRPr="009165FD">
        <w:rPr>
          <w:rFonts w:asciiTheme="majorHAnsi" w:hAnsiTheme="majorHAnsi"/>
          <w:color w:val="000000" w:themeColor="text1"/>
          <w:sz w:val="20"/>
          <w:szCs w:val="20"/>
        </w:rPr>
        <w:t xml:space="preserve"> </w:t>
      </w:r>
    </w:p>
    <w:p w14:paraId="5947608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224FDC1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It has also been defined as an ongoing or permanent crime, which in turn implies that its effects persist over time until the fate or whereabouts of the victim become known.  This puts the State in the position of continuously violating its international obligations until it is clear what happened to the victim.</w:t>
      </w:r>
      <w:r w:rsidRPr="009165FD">
        <w:rPr>
          <w:rStyle w:val="FootnoteReference"/>
          <w:rFonts w:asciiTheme="majorHAnsi" w:hAnsiTheme="majorHAnsi"/>
          <w:color w:val="000000" w:themeColor="text1"/>
          <w:sz w:val="20"/>
          <w:szCs w:val="20"/>
        </w:rPr>
        <w:footnoteReference w:id="112"/>
      </w:r>
      <w:r w:rsidRPr="009165FD">
        <w:rPr>
          <w:rFonts w:asciiTheme="majorHAnsi" w:hAnsiTheme="majorHAnsi"/>
          <w:color w:val="000000" w:themeColor="text1"/>
          <w:sz w:val="20"/>
          <w:szCs w:val="20"/>
        </w:rPr>
        <w:t xml:space="preserve"> </w:t>
      </w:r>
    </w:p>
    <w:p w14:paraId="6CBC04A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040C26E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Given the multiple, permanent, and autonomous nature of the violation committed through a forced disappearance, the Inter-American Court has determined that the analysis of a possible case of it should not be approached in an isolated, divided, and segmented way, based only on the detention, or possible torture, or risk of loss of life, but on the set of facts presented in the case under consideration.</w:t>
      </w:r>
      <w:r w:rsidRPr="009165FD">
        <w:rPr>
          <w:rStyle w:val="FootnoteReference"/>
          <w:rFonts w:asciiTheme="majorHAnsi" w:hAnsiTheme="majorHAnsi"/>
          <w:color w:val="000000" w:themeColor="text1"/>
          <w:sz w:val="20"/>
          <w:szCs w:val="20"/>
        </w:rPr>
        <w:footnoteReference w:id="113"/>
      </w:r>
      <w:r w:rsidRPr="009165FD">
        <w:rPr>
          <w:rFonts w:asciiTheme="majorHAnsi" w:hAnsiTheme="majorHAnsi"/>
          <w:color w:val="000000" w:themeColor="text1"/>
          <w:sz w:val="20"/>
          <w:szCs w:val="20"/>
        </w:rPr>
        <w:t xml:space="preserve"> Thus, comprehensive treatment of forced disappearance as a complex form of violation of human rights has led the Court to analyze together the whole set of rights recognized in the Convention that are violated.</w:t>
      </w:r>
      <w:r w:rsidRPr="009165FD">
        <w:rPr>
          <w:rStyle w:val="FootnoteReference"/>
          <w:rFonts w:asciiTheme="majorHAnsi" w:hAnsiTheme="majorHAnsi"/>
          <w:color w:val="000000" w:themeColor="text1"/>
          <w:sz w:val="20"/>
          <w:szCs w:val="20"/>
        </w:rPr>
        <w:footnoteReference w:id="114"/>
      </w:r>
    </w:p>
    <w:p w14:paraId="613D65D3" w14:textId="77777777" w:rsidR="00E427EE" w:rsidRPr="009165FD" w:rsidRDefault="00E427EE" w:rsidP="00E427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0B783DC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Accordingly, the Court has opted for a comprehensive perspective of forced disappearance by reason of the plurality of behaviors, that joined together toward a single purpose, permanently violate juridical rights protected by the American Convention.</w:t>
      </w:r>
      <w:r w:rsidRPr="009165FD">
        <w:rPr>
          <w:rStyle w:val="FootnoteReference"/>
          <w:rFonts w:asciiTheme="majorHAnsi" w:hAnsiTheme="majorHAnsi"/>
          <w:color w:val="000000" w:themeColor="text1"/>
          <w:sz w:val="20"/>
          <w:szCs w:val="20"/>
        </w:rPr>
        <w:footnoteReference w:id="115"/>
      </w:r>
      <w:r w:rsidRPr="009165FD">
        <w:rPr>
          <w:rFonts w:asciiTheme="majorHAnsi" w:hAnsiTheme="majorHAnsi"/>
          <w:color w:val="000000" w:themeColor="text1"/>
          <w:sz w:val="20"/>
          <w:szCs w:val="20"/>
        </w:rPr>
        <w:t xml:space="preserve"> In particular, in cases of forced disappearance, the Court has jointly analyzed the violation of the rights to recognition of juridical personality, to life, to personal integrity, and to personal liberty, enshrined in Articles 3, 4, 5, and 7 of the Convention, respectively.</w:t>
      </w:r>
      <w:r w:rsidRPr="009165FD">
        <w:rPr>
          <w:rStyle w:val="FootnoteReference"/>
          <w:rFonts w:asciiTheme="majorHAnsi" w:hAnsiTheme="majorHAnsi"/>
          <w:color w:val="000000" w:themeColor="text1"/>
          <w:sz w:val="20"/>
          <w:szCs w:val="20"/>
        </w:rPr>
        <w:footnoteReference w:id="116"/>
      </w:r>
      <w:r w:rsidRPr="009165FD">
        <w:rPr>
          <w:rFonts w:asciiTheme="majorHAnsi" w:hAnsiTheme="majorHAnsi"/>
          <w:color w:val="000000" w:themeColor="text1"/>
          <w:sz w:val="20"/>
          <w:szCs w:val="20"/>
        </w:rPr>
        <w:t xml:space="preserve">  </w:t>
      </w:r>
    </w:p>
    <w:p w14:paraId="1EE7956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355B3F2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Thus, regarding the right to recognition of juridical personality, for instance, in the case of </w:t>
      </w:r>
      <w:r w:rsidRPr="009165FD">
        <w:rPr>
          <w:rFonts w:asciiTheme="majorHAnsi" w:hAnsiTheme="majorHAnsi"/>
          <w:i/>
          <w:color w:val="000000" w:themeColor="text1"/>
          <w:sz w:val="20"/>
          <w:szCs w:val="20"/>
        </w:rPr>
        <w:t>Anzualdo Castro</w:t>
      </w:r>
      <w:r w:rsidRPr="009165FD">
        <w:rPr>
          <w:rFonts w:asciiTheme="majorHAnsi" w:hAnsiTheme="majorHAnsi"/>
          <w:color w:val="000000" w:themeColor="text1"/>
          <w:sz w:val="20"/>
          <w:szCs w:val="20"/>
        </w:rPr>
        <w:t xml:space="preserve"> v.</w:t>
      </w:r>
      <w:r w:rsidRPr="009165FD">
        <w:rPr>
          <w:rFonts w:asciiTheme="majorHAnsi" w:hAnsiTheme="majorHAnsi"/>
          <w:i/>
          <w:color w:val="000000" w:themeColor="text1"/>
          <w:sz w:val="20"/>
          <w:szCs w:val="20"/>
        </w:rPr>
        <w:t xml:space="preserve"> Peru</w:t>
      </w:r>
      <w:r w:rsidRPr="009165FD">
        <w:rPr>
          <w:rFonts w:asciiTheme="majorHAnsi" w:hAnsiTheme="majorHAnsi"/>
          <w:color w:val="000000" w:themeColor="text1"/>
          <w:sz w:val="20"/>
          <w:szCs w:val="20"/>
        </w:rPr>
        <w:t xml:space="preserve">, the Court considered that </w:t>
      </w:r>
    </w:p>
    <w:p w14:paraId="08936204"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1923DD91"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given the multiple and complex nature of this grave violation of human rights, forced disappearance may entail a specific violation of the right to recognition of juridical personality. despite the fact that the disappeared person can no longer exercise and enjoy other rights, and eventually all the rights to which he or she is entitled, his or her disappearance is not only one of the most serious forms of placing the person outside the protection of the law but it also entails to deny that person's existence and to place him or her in a kind of limbo or uncertain legal situation before the society, the State and even the international community Beyond the fact that the disappeared person can no longer exercise and enjoy other rights, and possibly all the rights to which he or she is entitled, his or her disappearance is not only one of the most serious forms of placing the person outside the protection of the law but it also entails denying that person's existence and placing him or her in a kind of limbo or uncertain legal situation before society and the State.</w:t>
      </w:r>
      <w:r w:rsidRPr="009165FD">
        <w:rPr>
          <w:rFonts w:asciiTheme="majorHAnsi" w:hAnsiTheme="majorHAnsi"/>
          <w:color w:val="000000" w:themeColor="text1"/>
          <w:sz w:val="20"/>
          <w:szCs w:val="20"/>
          <w:vertAlign w:val="superscript"/>
        </w:rPr>
        <w:footnoteReference w:id="117"/>
      </w:r>
    </w:p>
    <w:p w14:paraId="0FF7BA4D"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2DB2DF6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Regarding violations of the right to life and personal integrity resulting from forced disappearance, the Court has established that</w:t>
      </w:r>
    </w:p>
    <w:p w14:paraId="423184E7" w14:textId="77777777" w:rsidR="00E427EE" w:rsidRPr="009165FD" w:rsidRDefault="00E427EE" w:rsidP="00E427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00C46FE2"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subjecting a person to official, repressive bodies, agents of the State or private persons that act with acquiescence or tolerance and practice torture and assassination with impunity is itself a breach of the duty to prevent violations of the rights to life and physical integrity of the person, even if the acts of torture or murder cannot be proven in a concrete case.</w:t>
      </w:r>
      <w:r w:rsidRPr="009165FD">
        <w:rPr>
          <w:rFonts w:asciiTheme="majorHAnsi" w:hAnsiTheme="majorHAnsi"/>
          <w:color w:val="000000" w:themeColor="text1"/>
          <w:sz w:val="20"/>
          <w:szCs w:val="20"/>
          <w:vertAlign w:val="superscript"/>
        </w:rPr>
        <w:footnoteReference w:id="118"/>
      </w:r>
      <w:r w:rsidRPr="009165FD">
        <w:rPr>
          <w:rFonts w:asciiTheme="majorHAnsi" w:hAnsiTheme="majorHAnsi"/>
          <w:color w:val="000000" w:themeColor="text1"/>
          <w:sz w:val="20"/>
          <w:szCs w:val="20"/>
        </w:rPr>
        <w:t xml:space="preserve"> </w:t>
      </w:r>
    </w:p>
    <w:p w14:paraId="0B04DC0A" w14:textId="77777777" w:rsidR="00E427EE" w:rsidRPr="009165FD" w:rsidRDefault="00E427EE" w:rsidP="00334B20">
      <w:pPr>
        <w:pStyle w:val="ListParagraph"/>
        <w:autoSpaceDE w:val="0"/>
        <w:autoSpaceDN w:val="0"/>
        <w:adjustRightInd w:val="0"/>
        <w:ind w:right="720"/>
        <w:jc w:val="both"/>
        <w:rPr>
          <w:rFonts w:asciiTheme="majorHAnsi" w:hAnsiTheme="majorHAnsi"/>
          <w:color w:val="000000" w:themeColor="text1"/>
          <w:sz w:val="20"/>
          <w:szCs w:val="20"/>
        </w:rPr>
      </w:pPr>
    </w:p>
    <w:p w14:paraId="547A222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As regards the right to personal integrity, the Inter-American Court has, in particular, recognized that forced disappearance violates that right since “prolonged isolation and deprivation of communication are in themselves cruel and inhuman treatment which [...] violates the right of every detainee under Article 5(1) and 5(2)”.</w:t>
      </w:r>
      <w:r w:rsidRPr="009165FD">
        <w:rPr>
          <w:rStyle w:val="FootnoteReference"/>
          <w:rFonts w:asciiTheme="majorHAnsi" w:hAnsiTheme="majorHAnsi"/>
          <w:color w:val="000000" w:themeColor="text1"/>
          <w:sz w:val="20"/>
          <w:szCs w:val="20"/>
        </w:rPr>
        <w:footnoteReference w:id="119"/>
      </w:r>
      <w:r w:rsidRPr="009165FD">
        <w:rPr>
          <w:rFonts w:asciiTheme="majorHAnsi" w:hAnsiTheme="majorHAnsi"/>
          <w:color w:val="000000" w:themeColor="text1"/>
          <w:sz w:val="20"/>
          <w:szCs w:val="20"/>
        </w:rPr>
        <w:t xml:space="preserve"> Specifically, the Court has determined that it is clear that in the case of a forced disappearance, the victim’s personal integrity is affected in all its dimensions.</w:t>
      </w:r>
      <w:r w:rsidRPr="009165FD">
        <w:rPr>
          <w:rStyle w:val="FootnoteReference"/>
          <w:rFonts w:asciiTheme="majorHAnsi" w:hAnsiTheme="majorHAnsi"/>
          <w:color w:val="000000" w:themeColor="text1"/>
          <w:sz w:val="20"/>
          <w:szCs w:val="20"/>
        </w:rPr>
        <w:footnoteReference w:id="120"/>
      </w:r>
    </w:p>
    <w:p w14:paraId="6C7E2D0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3F92D790"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Likewise, the Inter-American Court has stated that in cases of forced disappearance it is unnecessary to perform a detailed analysis of the arrest in relation to each of the guarantees recognized in Article 7 of the American Convention. When it is demonstrated that deprivation of freedom was a step prior to achieving the disappearance of the victims, it is not necessary to determine whether or not the alleged victims were informed of the reasons for their detention; whether or not said detention was effected regardless of the motives and conditions established in the legislation in force at the time of the events; or whether the acts of the detention were unreasonable, unpredictable or disproportionate.</w:t>
      </w:r>
      <w:r w:rsidRPr="009165FD">
        <w:rPr>
          <w:rStyle w:val="FootnoteReference"/>
          <w:rFonts w:asciiTheme="majorHAnsi" w:hAnsiTheme="majorHAnsi"/>
          <w:color w:val="000000" w:themeColor="text1"/>
          <w:sz w:val="20"/>
          <w:szCs w:val="20"/>
        </w:rPr>
        <w:footnoteReference w:id="121"/>
      </w:r>
      <w:r w:rsidRPr="009165FD">
        <w:rPr>
          <w:rFonts w:asciiTheme="majorHAnsi" w:hAnsiTheme="majorHAnsi"/>
          <w:color w:val="000000" w:themeColor="text1"/>
          <w:sz w:val="20"/>
          <w:szCs w:val="20"/>
        </w:rPr>
        <w:t xml:space="preserve"> The reason for the above  is that when examining an alleged forced disappearance it should be taken into account that the deprivation of liberty of the individual is just the beginning of the constitution of a complex violation that is prolonged over time until the fate and whereabouts of the victim are established.</w:t>
      </w:r>
      <w:r w:rsidRPr="009165FD">
        <w:rPr>
          <w:rStyle w:val="FootnoteReference"/>
          <w:rFonts w:asciiTheme="majorHAnsi" w:hAnsiTheme="majorHAnsi"/>
          <w:color w:val="000000" w:themeColor="text1"/>
          <w:sz w:val="20"/>
          <w:szCs w:val="20"/>
        </w:rPr>
        <w:footnoteReference w:id="122"/>
      </w:r>
    </w:p>
    <w:p w14:paraId="7F647DC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4D39827F"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Lastly, as regards the Inter-American Convention on Forced Disappearance of Persons, the Commission notes that the State of Colombia ratified said treaty on April 12, 205. Therefore, bearing in mind the aforementioned characteristics of the crime of forced disappearance, the State is responsible for the violation of the rights established in that Convention, as of the date it ratified that treaty and in respect of any ongoing cases of forced disappearance.  </w:t>
      </w:r>
    </w:p>
    <w:p w14:paraId="3250284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48258248"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 Commission will analyze the facts relating to the disappearance of Messrs. Alcides Torres Arias y Angel David Quintero and their legal characterization in light of the American Convention and the Inter-American Convention on Forced Disappearance of Persons, taking into account the various elements constituting forced disappearance of persons in the following order: i) Deprivation of the liberty of Messrs. Alcides Torres Arias y Angel David Quintero; ii)  the alleged acquiescence and collaboration between the paramilitary groups and the security forces; iii) concealment of the crime (abetment); and iv) the appropriate legal characterization. </w:t>
      </w:r>
    </w:p>
    <w:p w14:paraId="6203EC3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4B8A78BC" w14:textId="77777777" w:rsidR="00334B20" w:rsidRPr="009165FD" w:rsidRDefault="00334B20" w:rsidP="005F1B07">
      <w:pPr>
        <w:pStyle w:val="Heading3"/>
        <w:numPr>
          <w:ilvl w:val="0"/>
          <w:numId w:val="61"/>
        </w:numPr>
      </w:pPr>
      <w:bookmarkStart w:id="45" w:name="_Toc401323777"/>
      <w:bookmarkStart w:id="46" w:name="_Toc489882507"/>
      <w:r w:rsidRPr="009165FD">
        <w:t>The deprivation of the liberty of Messrs. Alcides Torres Arias y Angel David Quintero</w:t>
      </w:r>
      <w:bookmarkEnd w:id="45"/>
      <w:bookmarkEnd w:id="46"/>
    </w:p>
    <w:p w14:paraId="1A46B451" w14:textId="77777777" w:rsidR="00334B20" w:rsidRPr="009165FD" w:rsidRDefault="00334B20" w:rsidP="00334B20">
      <w:pPr>
        <w:rPr>
          <w:rFonts w:asciiTheme="majorHAnsi" w:hAnsiTheme="majorHAnsi"/>
          <w:sz w:val="20"/>
          <w:szCs w:val="20"/>
        </w:rPr>
      </w:pPr>
    </w:p>
    <w:p w14:paraId="2580501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According to the proven facts, the parties do not dispute that: a) Alcides Torres Arias was detained on December 16, 1995 by soldiers; b) he was taken to the headquarters of the XVII Brigade; c) he was placed at the disposal of the corresponding Public Prosecutor on December 17, 1995; d) he remained detained on the premises of the XVII Brigade until December 20, 1995; e) at 8:30 a.m. on December 20, 1995, the paramilitary Ricardo López Lora made a statement in the proceedings; f) the legal status of Alcides Torres Arias was settled at 11:30 a.m. on December 20, 1995, when the Public Prosecutor ordered his immediate release because he did not consider him linked to the facts investigated; and g) that was the last time Alcides Torres Arias was seen.</w:t>
      </w:r>
    </w:p>
    <w:p w14:paraId="468DFCFE" w14:textId="77777777" w:rsidR="00E427EE" w:rsidRPr="009165FD" w:rsidRDefault="00E427EE" w:rsidP="00E427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502F664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b/>
          <w:color w:val="000000" w:themeColor="text1"/>
          <w:sz w:val="20"/>
          <w:szCs w:val="20"/>
        </w:rPr>
      </w:pPr>
      <w:r w:rsidRPr="009165FD">
        <w:rPr>
          <w:rFonts w:asciiTheme="majorHAnsi" w:hAnsiTheme="majorHAnsi"/>
          <w:color w:val="000000" w:themeColor="text1"/>
          <w:sz w:val="20"/>
          <w:szCs w:val="20"/>
        </w:rPr>
        <w:lastRenderedPageBreak/>
        <w:t xml:space="preserve">In light of those facts, the Commission considers that the first element required for the definition of forced disappearance was given, namely deprivation of liberty by agents of the State. However, a peculiarity of the instant case is that the controversy exists regarding the assignment to the State of responsibility for what happened to the alleged victims after they had been in State custody. Accordingly, the Commission will address this controversy in order to determine whether the continuity of what happened to Alcides Torres Arias and Angel David Quintero after their detention by agents of the State may be attributed to the State. </w:t>
      </w:r>
    </w:p>
    <w:p w14:paraId="4574837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b/>
          <w:color w:val="000000" w:themeColor="text1"/>
          <w:sz w:val="20"/>
          <w:szCs w:val="20"/>
        </w:rPr>
      </w:pPr>
    </w:p>
    <w:p w14:paraId="21E56BB7" w14:textId="77777777" w:rsidR="00334B20" w:rsidRPr="009165FD" w:rsidRDefault="00334B20" w:rsidP="00E427EE">
      <w:pPr>
        <w:pStyle w:val="Heading3"/>
      </w:pPr>
      <w:bookmarkStart w:id="47" w:name="_Toc401323778"/>
      <w:bookmarkStart w:id="48" w:name="_Toc489882508"/>
      <w:r w:rsidRPr="009165FD">
        <w:t>The alleged acquiescence and collaboration between paramilitary groups and the security forces</w:t>
      </w:r>
      <w:bookmarkEnd w:id="47"/>
      <w:bookmarkEnd w:id="48"/>
    </w:p>
    <w:p w14:paraId="79621761" w14:textId="77777777" w:rsidR="00334B20" w:rsidRPr="009165FD" w:rsidRDefault="00334B20" w:rsidP="00E427EE">
      <w:pPr>
        <w:pStyle w:val="NoSpacing"/>
      </w:pPr>
    </w:p>
    <w:p w14:paraId="4327E48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According to the proven facts, Alcides Torres Arias and Angel David Quintero were detained by agents of the State and deprived of their liberty in an Army Brigade's headquarters. According to the version of the officials who were in the Brigade and to the Minute of Guard of the Infantry Battalion No.32 of the XVII Brigade, Messrs. Torres and Quintero were formally released and left the aforementioned Brigade, so that they could not be assigned responsibility for what may have happened to them after their supposed release. However, there are numerous testimonies pointing to another version of what happened. </w:t>
      </w:r>
    </w:p>
    <w:p w14:paraId="6C767497"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763C07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 Commission recapitulates that another detainee, Mr. Argemiro López, stated on several occasions that when they were in their cell, two men in plain clothes took Messrs. Torres and Quintero away. He specified that the two men in plain clothes were accompanied by a uniformed woman, who ordered the cell guard to leave. The other detainee, Mr. Leonel de Jesús Durango, made similar statements. For his part, the paramilitary López Lora himself stated that the Prosecutor had told him to say favorable things about Messrs. Torres and Quintero, with a view to "releasing" them. On top of all these statements come the statements and "free versions" of Hebert Veloza García, alias HH, in the Justice and Peace proceedings. He specified that they had taken them out in a red jeep. That same person declared that other paramilitary had played a part in what happened, along with members of the XVII Brigade and agents pertaining to other State entities, such as El Gaula. </w:t>
      </w:r>
    </w:p>
    <w:p w14:paraId="68DC4A2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6615DD0F"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Several testimonies exist regarding what happened after the departure from the XVII Brigade. The mother of Alcides Torres Arias indicated that the sisters who were outside the XVII Brigade did not see them leave, but did see a "red jeep" leaving the installations. Alcides Torres Arias' sister gave a statement along the same lines. Mr. Ramón Rodríguez, Mr. Torres Arias' father in law, said that he saw the red jeep around the "El Descanso" hotel; that Mr. Lopez Lora alias “the pig” was inside it; and that Angel David Quintero got out of it, trying to escape, but was caught again. He added that he had seen Mr. Torres Arias bleeding and that he had been hit in the face. The owner of the hotel, Mr.Ignacio de Jesús Gómez, made similar statements. Another person present at the time, Mr. Roque de Jesús Giraldo Vélez, mentioned the same facts and added that when Mr. Angel David Quintero was running away from the jeep he was grabbing his testicles, as if he had been beaten.   </w:t>
      </w:r>
    </w:p>
    <w:p w14:paraId="6FCE844E"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60B687D7"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Apart from these statements, convictions have been handed down internally against the paramilitary López Lora and at least three agents of the State for the same deeds. Thus, according to the proven facts, ni 2011, the official Belkis Villaruel was convicted of being an accomplice to the crime of abduction for her participation in the taking away of the detainees to be handed over to "groups outside the law." In that judgment, the facts were characterized as "conspiracy" (</w:t>
      </w:r>
      <w:r w:rsidRPr="009165FD">
        <w:rPr>
          <w:rFonts w:asciiTheme="majorHAnsi" w:hAnsiTheme="majorHAnsi"/>
          <w:i/>
          <w:color w:val="000000" w:themeColor="text1"/>
          <w:sz w:val="20"/>
          <w:szCs w:val="20"/>
        </w:rPr>
        <w:t>concierto previo</w:t>
      </w:r>
      <w:r w:rsidRPr="009165FD">
        <w:rPr>
          <w:rFonts w:asciiTheme="majorHAnsi" w:hAnsiTheme="majorHAnsi"/>
          <w:color w:val="000000" w:themeColor="text1"/>
          <w:sz w:val="20"/>
          <w:szCs w:val="20"/>
        </w:rPr>
        <w:t>) and the complicity of the aforementioned official was proven in taking the detainees in an unlawful manner and pretending they were leaving when she knew</w:t>
      </w:r>
      <w:r w:rsidRPr="009165FD">
        <w:rPr>
          <w:rFonts w:asciiTheme="majorHAnsi" w:hAnsiTheme="majorHAnsi"/>
          <w:i/>
          <w:color w:val="000000" w:themeColor="text1"/>
          <w:sz w:val="20"/>
          <w:szCs w:val="20"/>
        </w:rPr>
        <w:t xml:space="preserve"> t</w:t>
      </w:r>
      <w:r w:rsidRPr="009165FD">
        <w:rPr>
          <w:rFonts w:asciiTheme="majorHAnsi" w:hAnsiTheme="majorHAnsi"/>
          <w:color w:val="000000" w:themeColor="text1"/>
          <w:sz w:val="20"/>
          <w:szCs w:val="20"/>
        </w:rPr>
        <w:t>hat they were being handed over for purposes other than release</w:t>
      </w:r>
      <w:r w:rsidRPr="009165FD">
        <w:rPr>
          <w:rFonts w:asciiTheme="majorHAnsi" w:hAnsiTheme="majorHAnsi"/>
          <w:i/>
          <w:color w:val="000000" w:themeColor="text1"/>
          <w:sz w:val="20"/>
          <w:szCs w:val="20"/>
        </w:rPr>
        <w:t>.</w:t>
      </w:r>
      <w:r w:rsidRPr="009165FD">
        <w:rPr>
          <w:rFonts w:asciiTheme="majorHAnsi" w:hAnsiTheme="majorHAnsi"/>
          <w:color w:val="000000" w:themeColor="text1"/>
          <w:sz w:val="20"/>
          <w:szCs w:val="20"/>
        </w:rPr>
        <w:t xml:space="preserve"> In January 2002, noncommissioned officer Héctor Gutiérrez Vélez was convicted of "aggravated simple abduction." Along the same lines as the aforementioned conviction, this judgment indicated that the "departure" was for the purpose of handing the victims over to the paramilitary led by Hebert Veloza. It mentioned that they had been "unlawfully taken from their cell."  Another conviction was handed down against National Army Sergeant Vanegas Ruiz, also for being an accomplice. That judgment refers to joint work in which Ruiz' part was to take them from the cell, making their departure look like a release. </w:t>
      </w:r>
    </w:p>
    <w:p w14:paraId="55862556" w14:textId="77777777" w:rsidR="00E427EE" w:rsidRPr="009165FD" w:rsidRDefault="00E427EE" w:rsidP="00E427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1653331B"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 xml:space="preserve">All the above fits the picture of a joint operation and mutual collaboration between agents of the State and paramilitary groups at the time of the facts, especially in the Urabá region and especially  in connection with the work of the Army's XVII Brigade. </w:t>
      </w:r>
    </w:p>
    <w:p w14:paraId="10DC44A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6D41F30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Commission concludes that Messrs. Alcides Torres Arias and Angel David Quintero were deprived of their liberty by agents of the State and that there was a joint plan between officials of the Army's XVII Brigade and paramilitary to take Messrs. Torres and Quintero away and "disappear" them. Accordingly, given the joint work and collaboration that existed, the Commission considers that what happened to Messrs. Torres and Quintero after they left the XVII Brigade is fully attributable to the Colombian State.</w:t>
      </w:r>
    </w:p>
    <w:p w14:paraId="1615879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52FFBEA4" w14:textId="77777777" w:rsidR="00334B20" w:rsidRPr="009165FD" w:rsidRDefault="00334B20" w:rsidP="004C1890">
      <w:pPr>
        <w:pStyle w:val="Heading3"/>
      </w:pPr>
      <w:bookmarkStart w:id="49" w:name="_Toc401323779"/>
      <w:bookmarkStart w:id="50" w:name="_Toc489882509"/>
      <w:r w:rsidRPr="009165FD">
        <w:t>Concealment</w:t>
      </w:r>
      <w:bookmarkEnd w:id="49"/>
      <w:bookmarkEnd w:id="50"/>
    </w:p>
    <w:p w14:paraId="38416D0D" w14:textId="77777777" w:rsidR="00334B20" w:rsidRPr="009165FD" w:rsidRDefault="00334B20" w:rsidP="00334B20">
      <w:pPr>
        <w:rPr>
          <w:rFonts w:asciiTheme="majorHAnsi" w:hAnsiTheme="majorHAnsi"/>
          <w:sz w:val="20"/>
          <w:szCs w:val="20"/>
        </w:rPr>
      </w:pPr>
    </w:p>
    <w:p w14:paraId="41014C8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From the proven facts, the Commission notes that on December 20, 1995 the officials in the XVII Brigade had already concocted a release ply with the clear goal of concealing the intention to bring about, jointly with the paramilitary, the disappearance of Messrs. Torres and Quintero. This version was kept to throughout the disciplinary and criminal proceedings conducted internally and even by the Colombian State in the processing of the case before the Inter-American Commission.</w:t>
      </w:r>
    </w:p>
    <w:p w14:paraId="69E2022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E7A7375"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light of the above, the Commission considers that the element of concealment is accredited in the instant case.</w:t>
      </w:r>
    </w:p>
    <w:p w14:paraId="5AAC13B0"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67C2C05" w14:textId="77777777" w:rsidR="00334B20" w:rsidRPr="009165FD" w:rsidRDefault="00334B20" w:rsidP="004C1890">
      <w:pPr>
        <w:pStyle w:val="Heading3"/>
      </w:pPr>
      <w:bookmarkStart w:id="51" w:name="_Toc401323780"/>
      <w:bookmarkStart w:id="52" w:name="_Toc489882510"/>
      <w:r w:rsidRPr="009165FD">
        <w:t>The corresponding legal characterization</w:t>
      </w:r>
      <w:bookmarkEnd w:id="51"/>
      <w:bookmarkEnd w:id="52"/>
    </w:p>
    <w:p w14:paraId="34B17091" w14:textId="77777777" w:rsidR="00334B20" w:rsidRPr="009165FD" w:rsidRDefault="00334B20" w:rsidP="00334B20">
      <w:pPr>
        <w:rPr>
          <w:rFonts w:asciiTheme="majorHAnsi" w:hAnsiTheme="majorHAnsi"/>
          <w:sz w:val="20"/>
          <w:szCs w:val="20"/>
        </w:rPr>
      </w:pPr>
    </w:p>
    <w:p w14:paraId="16383FB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From what has been said thus far, the Commission considers that the elements constituting forced disappearance of persons are given in the instant case.  Thus, the victims were deprived of liberty by agents of the State and handed over by them to paramilitary, with whom they acted jointly and in coordination, knowing the fate that awaited the victims. These facts were systematically covered up by the State and until this day the fate or whereabouts of Messrs. Alcides Torres Arias and Angel David Quintero. remain unknown. Al these facts are fully attributable to the Colombian State for the above-mentioned reasons. </w:t>
      </w:r>
    </w:p>
    <w:p w14:paraId="06F155E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7379538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In light of the above, the Inter-American Commission concludes that the State of Colombia is responsible for violating the right to recognition of juridical personality, to personal liberty, to personal integrity, and to life established in Articles 3, 7, 5, and 4 of the American Convention in conjunction with the obligations established in Article 1.1 of the same instrument, to the detriment of Messrs. Alcides Torres Arias and Angel David Quintero. The Commission further concludes that the State of Colombia is responsible for violating Article I (a) of the Inter-American Convention on Forced Disappearance of Persons to the detriment of both victims. </w:t>
      </w:r>
    </w:p>
    <w:p w14:paraId="1085A534" w14:textId="77777777" w:rsidR="00334B20" w:rsidRPr="009165FD" w:rsidRDefault="00334B20" w:rsidP="00334B20">
      <w:pPr>
        <w:rPr>
          <w:rFonts w:asciiTheme="majorHAnsi" w:hAnsiTheme="majorHAnsi"/>
          <w:sz w:val="20"/>
          <w:szCs w:val="20"/>
        </w:rPr>
      </w:pPr>
    </w:p>
    <w:p w14:paraId="721F82D8" w14:textId="77777777" w:rsidR="00334B20" w:rsidRPr="009165FD" w:rsidRDefault="00334B20" w:rsidP="004C1890">
      <w:pPr>
        <w:pStyle w:val="Heading2"/>
        <w:numPr>
          <w:ilvl w:val="0"/>
          <w:numId w:val="0"/>
        </w:numPr>
        <w:ind w:left="1440" w:hanging="720"/>
      </w:pPr>
      <w:bookmarkStart w:id="53" w:name="_Toc401323781"/>
      <w:bookmarkStart w:id="54" w:name="_Toc489882511"/>
      <w:r w:rsidRPr="009165FD">
        <w:t>C.</w:t>
      </w:r>
      <w:r w:rsidRPr="009165FD">
        <w:tab/>
        <w:t>Right to judicial guarantees and right to judicial protection (Articles 8.1 and 25 of the American Convention) and the Inter-American Convention on Forced Disappearance of Persons (Article 1 (b))</w:t>
      </w:r>
      <w:bookmarkEnd w:id="53"/>
      <w:bookmarkEnd w:id="54"/>
    </w:p>
    <w:p w14:paraId="3DEB9932" w14:textId="77777777" w:rsidR="00334B20" w:rsidRPr="009165FD" w:rsidRDefault="00334B20" w:rsidP="00334B20">
      <w:pPr>
        <w:rPr>
          <w:rFonts w:asciiTheme="majorHAnsi" w:hAnsiTheme="majorHAnsi"/>
          <w:sz w:val="20"/>
          <w:szCs w:val="20"/>
        </w:rPr>
      </w:pPr>
    </w:p>
    <w:p w14:paraId="1260EF67"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Article 8 of the American Convention states:</w:t>
      </w:r>
    </w:p>
    <w:p w14:paraId="2BCD0CE6" w14:textId="77777777" w:rsidR="004C1890" w:rsidRPr="009165FD" w:rsidRDefault="004C1890" w:rsidP="00334B20">
      <w:pPr>
        <w:pStyle w:val="ListParagraph"/>
        <w:autoSpaceDE w:val="0"/>
        <w:autoSpaceDN w:val="0"/>
        <w:adjustRightInd w:val="0"/>
        <w:ind w:right="720"/>
        <w:jc w:val="both"/>
        <w:rPr>
          <w:rFonts w:asciiTheme="majorHAnsi" w:hAnsiTheme="majorHAnsi"/>
          <w:color w:val="000000" w:themeColor="text1"/>
          <w:sz w:val="20"/>
          <w:szCs w:val="20"/>
        </w:rPr>
      </w:pPr>
    </w:p>
    <w:p w14:paraId="74749C28"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14:paraId="3897AB1C" w14:textId="77777777" w:rsidR="004C1890" w:rsidRPr="009165FD" w:rsidRDefault="004C1890" w:rsidP="00334B20">
      <w:pPr>
        <w:pStyle w:val="ListParagraph"/>
        <w:autoSpaceDE w:val="0"/>
        <w:autoSpaceDN w:val="0"/>
        <w:adjustRightInd w:val="0"/>
        <w:ind w:right="720"/>
        <w:jc w:val="both"/>
        <w:rPr>
          <w:rFonts w:asciiTheme="majorHAnsi" w:hAnsiTheme="majorHAnsi"/>
          <w:color w:val="000000" w:themeColor="text1"/>
          <w:sz w:val="20"/>
          <w:szCs w:val="20"/>
        </w:rPr>
      </w:pPr>
    </w:p>
    <w:p w14:paraId="2D8C1F53"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Article 25 of the American Convention provides:</w:t>
      </w:r>
    </w:p>
    <w:p w14:paraId="739A77EF" w14:textId="77777777" w:rsidR="004C1890" w:rsidRPr="009165FD" w:rsidRDefault="004C1890" w:rsidP="004C18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07F8024A"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1.    Everyone has the right to simple and prompt recourse, or any other effective recourse, to a competent court or tribunal for protection against acts that violate his fundamental rights recognized by the constitution or laws of the state concerned or by this Convention, even </w:t>
      </w:r>
      <w:r w:rsidRPr="009165FD">
        <w:rPr>
          <w:rFonts w:asciiTheme="majorHAnsi" w:hAnsiTheme="majorHAnsi"/>
          <w:color w:val="000000" w:themeColor="text1"/>
          <w:sz w:val="20"/>
          <w:szCs w:val="20"/>
        </w:rPr>
        <w:lastRenderedPageBreak/>
        <w:t>though such violation may have been committed by persons acting in the course of their official duties.</w:t>
      </w:r>
    </w:p>
    <w:p w14:paraId="507C8B1A" w14:textId="77777777" w:rsidR="004C1890" w:rsidRPr="009165FD" w:rsidRDefault="004C1890" w:rsidP="00616BC4">
      <w:pPr>
        <w:autoSpaceDE w:val="0"/>
        <w:autoSpaceDN w:val="0"/>
        <w:adjustRightInd w:val="0"/>
        <w:ind w:right="720"/>
        <w:jc w:val="both"/>
        <w:rPr>
          <w:rFonts w:asciiTheme="majorHAnsi" w:hAnsiTheme="majorHAnsi" w:cs="Times-Roman"/>
          <w:color w:val="000000" w:themeColor="text1"/>
          <w:sz w:val="20"/>
          <w:szCs w:val="20"/>
        </w:rPr>
      </w:pPr>
    </w:p>
    <w:p w14:paraId="54F1437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Article 1(1) of the American Convention states, </w:t>
      </w:r>
    </w:p>
    <w:p w14:paraId="46B59F45" w14:textId="77777777" w:rsidR="004C1890" w:rsidRPr="009165FD" w:rsidRDefault="004C1890" w:rsidP="004C18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40ABE3A5"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14:paraId="1D491905" w14:textId="77777777" w:rsidR="004C1890" w:rsidRPr="009165FD" w:rsidRDefault="004C1890" w:rsidP="00334B20">
      <w:pPr>
        <w:pStyle w:val="ListParagraph"/>
        <w:autoSpaceDE w:val="0"/>
        <w:autoSpaceDN w:val="0"/>
        <w:adjustRightInd w:val="0"/>
        <w:ind w:right="720"/>
        <w:jc w:val="both"/>
        <w:rPr>
          <w:rFonts w:asciiTheme="majorHAnsi" w:hAnsiTheme="majorHAnsi"/>
          <w:b/>
          <w:color w:val="000000" w:themeColor="text1"/>
          <w:sz w:val="20"/>
          <w:szCs w:val="20"/>
        </w:rPr>
      </w:pPr>
    </w:p>
    <w:p w14:paraId="185193C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Article I (b) of the Inter-American Convention on Forced Disappearance of Persons establishes that the States Parties to this Convention undertake "to punish within their jurisdictions, those persons who commit or attempt to commit the crime of forced disappearance of persons and their accomplices and accessories.”</w:t>
      </w:r>
    </w:p>
    <w:p w14:paraId="0C9E432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2E82380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Inter-American Court has already established that the obligation to investigate the facts, try, and, where applicable, punish those responsible for a crime that constitutes a violation of human rights is a commitment arising from the American Convention, and that criminal liability must be determined by the competent judicial authorities, abiding strictly by the standards of due process established in Article 8 of the American Convention.</w:t>
      </w:r>
      <w:r w:rsidRPr="009165FD">
        <w:rPr>
          <w:rStyle w:val="FootnoteReference"/>
          <w:rFonts w:asciiTheme="majorHAnsi" w:hAnsiTheme="majorHAnsi"/>
          <w:color w:val="000000" w:themeColor="text1"/>
          <w:sz w:val="20"/>
          <w:szCs w:val="20"/>
        </w:rPr>
        <w:footnoteReference w:id="123"/>
      </w:r>
    </w:p>
    <w:p w14:paraId="54AC6C1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75BB786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Consequently, it is the duty of the State to investigate human rights violations, prosecute those responsible and avoid impunity. Impunity has been defined by the Court as the "total lack of investigation, prosecution, capture, trial and conviction of those responsible for violations of the rights protected by the American Convention"</w:t>
      </w:r>
      <w:r w:rsidRPr="009165FD">
        <w:rPr>
          <w:rStyle w:val="FootnoteReference"/>
          <w:rFonts w:asciiTheme="majorHAnsi" w:hAnsiTheme="majorHAnsi"/>
          <w:color w:val="000000" w:themeColor="text1"/>
          <w:sz w:val="20"/>
          <w:szCs w:val="20"/>
        </w:rPr>
        <w:footnoteReference w:id="124"/>
      </w:r>
      <w:r w:rsidRPr="009165FD">
        <w:rPr>
          <w:rFonts w:asciiTheme="majorHAnsi" w:hAnsiTheme="majorHAnsi"/>
          <w:color w:val="000000" w:themeColor="text1"/>
          <w:sz w:val="20"/>
          <w:szCs w:val="20"/>
        </w:rPr>
        <w:t xml:space="preserve"> and has ruled that "the State has the obligation to use all the legal means at its disposal to combat that situation, since impunity fosters chronic recidivism of human rights </w:t>
      </w:r>
      <w:r w:rsidRPr="009165FD">
        <w:rPr>
          <w:rFonts w:asciiTheme="majorHAnsi" w:hAnsiTheme="majorHAnsi"/>
          <w:color w:val="000000" w:themeColor="text1"/>
          <w:sz w:val="20"/>
          <w:szCs w:val="20"/>
        </w:rPr>
        <w:br/>
        <w:t>violations, and total defenselessness of victims and their relatives."</w:t>
      </w:r>
      <w:r w:rsidRPr="009165FD">
        <w:rPr>
          <w:rStyle w:val="FootnoteReference"/>
          <w:rFonts w:asciiTheme="majorHAnsi" w:hAnsiTheme="majorHAnsi"/>
          <w:color w:val="000000" w:themeColor="text1"/>
          <w:sz w:val="20"/>
          <w:szCs w:val="20"/>
        </w:rPr>
        <w:footnoteReference w:id="125"/>
      </w:r>
      <w:r w:rsidRPr="009165FD">
        <w:rPr>
          <w:rFonts w:asciiTheme="majorHAnsi" w:hAnsiTheme="majorHAnsi"/>
          <w:color w:val="000000" w:themeColor="text1"/>
          <w:sz w:val="20"/>
          <w:szCs w:val="20"/>
        </w:rPr>
        <w:t xml:space="preserve">  The Commission points out that the obligation to investigate and to sanction every fact that involves violations to rights protected by the Convention requires the punishment not only to the perpetrators of the acts committed in violation of human rights, but also the masterminds of those violations</w:t>
      </w:r>
      <w:r w:rsidRPr="009165FD">
        <w:rPr>
          <w:rFonts w:asciiTheme="majorHAnsi" w:hAnsiTheme="majorHAnsi"/>
          <w:color w:val="000000" w:themeColor="text1"/>
          <w:sz w:val="20"/>
          <w:szCs w:val="20"/>
          <w:vertAlign w:val="superscript"/>
        </w:rPr>
        <w:footnoteReference w:id="126"/>
      </w:r>
      <w:r w:rsidRPr="009165FD">
        <w:rPr>
          <w:rFonts w:asciiTheme="majorHAnsi" w:hAnsiTheme="majorHAnsi"/>
          <w:color w:val="000000" w:themeColor="text1"/>
          <w:sz w:val="20"/>
          <w:szCs w:val="20"/>
        </w:rPr>
        <w:t>.</w:t>
      </w:r>
    </w:p>
    <w:p w14:paraId="34063320"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6CE41F46"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With respect to the state’s obligation to investigate complaints of forced disappearance of persons, the Court has held that “faced with the particular gravity of such offenses and the nature of the rights harmed, the prohibition of the forced disappearance of persons and the corresponding obligation to investigate and punish those responsible has attained the status of jus cogens.”</w:t>
      </w:r>
      <w:r w:rsidRPr="009165FD">
        <w:rPr>
          <w:rStyle w:val="FootnoteReference"/>
          <w:rFonts w:asciiTheme="majorHAnsi" w:hAnsiTheme="majorHAnsi"/>
          <w:color w:val="000000" w:themeColor="text1"/>
          <w:spacing w:val="-3"/>
          <w:sz w:val="20"/>
          <w:szCs w:val="20"/>
        </w:rPr>
        <w:footnoteReference w:id="127"/>
      </w:r>
      <w:r w:rsidRPr="009165FD">
        <w:rPr>
          <w:rFonts w:asciiTheme="majorHAnsi" w:hAnsiTheme="majorHAnsi"/>
          <w:color w:val="000000" w:themeColor="text1"/>
          <w:sz w:val="20"/>
          <w:szCs w:val="20"/>
        </w:rPr>
        <w:t xml:space="preserve"> Hence, whenever there are reasonable motives to suspect that a person has been subjected to forced disappearance an investigation should be opened ex oficio, without delay, and in a serious, impartial, and effective manner. in any case, every state authority, public or private officer who is aware of acts intended to forcibly disappear persons, shall immediately report them.</w:t>
      </w:r>
      <w:r w:rsidRPr="009165FD">
        <w:rPr>
          <w:rStyle w:val="FootnoteReference"/>
          <w:rFonts w:asciiTheme="majorHAnsi" w:hAnsiTheme="majorHAnsi"/>
          <w:color w:val="000000" w:themeColor="text1"/>
          <w:sz w:val="20"/>
          <w:szCs w:val="20"/>
        </w:rPr>
        <w:footnoteReference w:id="128"/>
      </w:r>
      <w:r w:rsidRPr="009165FD">
        <w:rPr>
          <w:rFonts w:asciiTheme="majorHAnsi" w:hAnsiTheme="majorHAnsi"/>
          <w:color w:val="000000" w:themeColor="text1"/>
          <w:sz w:val="20"/>
          <w:szCs w:val="20"/>
        </w:rPr>
        <w:t xml:space="preserve"> The Court has established the duty of the State to investigate the facts while </w:t>
      </w:r>
      <w:r w:rsidRPr="009165FD">
        <w:rPr>
          <w:rFonts w:asciiTheme="majorHAnsi" w:hAnsiTheme="majorHAnsi"/>
          <w:color w:val="000000" w:themeColor="text1"/>
          <w:sz w:val="20"/>
          <w:szCs w:val="20"/>
        </w:rPr>
        <w:lastRenderedPageBreak/>
        <w:t>uncertainty persists as to the fate of the disappeared person, as well as the need to provide a simple and swift remedy for the case, with due guarantees.</w:t>
      </w:r>
      <w:r w:rsidRPr="009165FD">
        <w:rPr>
          <w:rStyle w:val="FootnoteReference"/>
          <w:rFonts w:asciiTheme="majorHAnsi" w:hAnsiTheme="majorHAnsi"/>
          <w:color w:val="000000" w:themeColor="text1"/>
          <w:sz w:val="20"/>
          <w:szCs w:val="20"/>
        </w:rPr>
        <w:footnoteReference w:id="129"/>
      </w:r>
      <w:r w:rsidRPr="009165FD">
        <w:rPr>
          <w:rFonts w:asciiTheme="majorHAnsi" w:hAnsiTheme="majorHAnsi"/>
          <w:color w:val="000000" w:themeColor="text1"/>
          <w:sz w:val="20"/>
          <w:szCs w:val="20"/>
        </w:rPr>
        <w:t xml:space="preserve"> Accordingly, the Commission issues a reminder that States must guarantee the right of the victim or his next-of-kin to the truth through the investigation and trial provided for in Articles 8 and 25 of the Convention.</w:t>
      </w:r>
      <w:r w:rsidRPr="009165FD">
        <w:rPr>
          <w:rStyle w:val="FootnoteReference"/>
          <w:rFonts w:asciiTheme="majorHAnsi" w:hAnsiTheme="majorHAnsi"/>
          <w:color w:val="000000" w:themeColor="text1"/>
          <w:sz w:val="20"/>
          <w:szCs w:val="20"/>
        </w:rPr>
        <w:footnoteReference w:id="130"/>
      </w:r>
      <w:r w:rsidRPr="009165FD">
        <w:rPr>
          <w:rFonts w:asciiTheme="majorHAnsi" w:hAnsiTheme="majorHAnsi"/>
          <w:color w:val="000000" w:themeColor="text1"/>
          <w:sz w:val="20"/>
          <w:szCs w:val="20"/>
        </w:rPr>
        <w:t>.</w:t>
      </w:r>
    </w:p>
    <w:p w14:paraId="0690B9A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792F84B3"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As to the substance of the duty to investigate with due diligence, the Inter-American Court has held that the investigation should be undertaken utilizing all the legal means available and should be oriented toward the determination of the truth.</w:t>
      </w:r>
      <w:r w:rsidRPr="009165FD">
        <w:rPr>
          <w:rFonts w:asciiTheme="majorHAnsi" w:hAnsiTheme="majorHAnsi"/>
          <w:color w:val="000000" w:themeColor="text1"/>
          <w:sz w:val="20"/>
          <w:szCs w:val="20"/>
          <w:vertAlign w:val="superscript"/>
        </w:rPr>
        <w:footnoteReference w:id="131"/>
      </w:r>
      <w:r w:rsidRPr="009165FD">
        <w:rPr>
          <w:rFonts w:asciiTheme="majorHAnsi" w:hAnsiTheme="majorHAnsi"/>
          <w:color w:val="000000" w:themeColor="text1"/>
          <w:sz w:val="20"/>
          <w:szCs w:val="20"/>
        </w:rPr>
        <w:t xml:space="preserve"> In that same vein, the Court has found that the State has the duty to ensure that everything necessary is done to learn the truth about what happened and for those responsible to be punished,</w:t>
      </w:r>
      <w:r w:rsidRPr="009165FD">
        <w:rPr>
          <w:rStyle w:val="FootnoteReference"/>
          <w:rFonts w:asciiTheme="majorHAnsi" w:hAnsiTheme="majorHAnsi"/>
          <w:color w:val="000000" w:themeColor="text1"/>
          <w:sz w:val="20"/>
          <w:szCs w:val="20"/>
        </w:rPr>
        <w:footnoteReference w:id="132"/>
      </w:r>
      <w:r w:rsidRPr="009165FD">
        <w:rPr>
          <w:rFonts w:asciiTheme="majorHAnsi" w:hAnsiTheme="majorHAnsi"/>
          <w:color w:val="000000" w:themeColor="text1"/>
          <w:sz w:val="20"/>
          <w:szCs w:val="20"/>
        </w:rPr>
        <w:t>involving all State institutions to that end.</w:t>
      </w:r>
      <w:r w:rsidRPr="009165FD">
        <w:rPr>
          <w:rStyle w:val="FootnoteReference"/>
          <w:rFonts w:asciiTheme="majorHAnsi" w:hAnsiTheme="majorHAnsi"/>
          <w:color w:val="000000" w:themeColor="text1"/>
          <w:sz w:val="20"/>
          <w:szCs w:val="20"/>
        </w:rPr>
        <w:footnoteReference w:id="133"/>
      </w:r>
      <w:r w:rsidRPr="009165FD">
        <w:rPr>
          <w:rFonts w:asciiTheme="majorHAnsi" w:hAnsiTheme="majorHAnsi"/>
          <w:color w:val="000000" w:themeColor="text1"/>
          <w:sz w:val="20"/>
          <w:szCs w:val="20"/>
        </w:rPr>
        <w:t xml:space="preserve"> The Court has also said that the authorities should adopt all reasonable measures to secure the necessary probative material in order to carry out the investigation.</w:t>
      </w:r>
      <w:r w:rsidRPr="009165FD">
        <w:rPr>
          <w:rStyle w:val="FootnoteReference"/>
          <w:rFonts w:asciiTheme="majorHAnsi" w:hAnsiTheme="majorHAnsi"/>
          <w:color w:val="000000" w:themeColor="text1"/>
          <w:sz w:val="20"/>
          <w:szCs w:val="20"/>
        </w:rPr>
        <w:footnoteReference w:id="134"/>
      </w:r>
    </w:p>
    <w:p w14:paraId="2F02ADF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4D93FD7"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Regarding military jurisdiction, the Commission issues a reminder that it should only be applied when military legal interests </w:t>
      </w:r>
      <w:r w:rsidRPr="009165FD">
        <w:rPr>
          <w:rFonts w:asciiTheme="majorHAnsi" w:hAnsiTheme="majorHAnsi"/>
          <w:i/>
          <w:color w:val="000000" w:themeColor="text1"/>
          <w:sz w:val="20"/>
          <w:szCs w:val="20"/>
        </w:rPr>
        <w:t>(bienes jurídicos castrenses</w:t>
      </w:r>
      <w:r w:rsidRPr="009165FD">
        <w:rPr>
          <w:rFonts w:asciiTheme="majorHAnsi" w:hAnsiTheme="majorHAnsi"/>
          <w:color w:val="000000" w:themeColor="text1"/>
          <w:sz w:val="20"/>
          <w:szCs w:val="20"/>
        </w:rPr>
        <w:t>) are endangered during the performance of specific duties related to the defense and [external] security of a State.</w:t>
      </w:r>
      <w:r w:rsidRPr="009165FD">
        <w:rPr>
          <w:rStyle w:val="FootnoteReference"/>
          <w:rFonts w:asciiTheme="majorHAnsi" w:hAnsiTheme="majorHAnsi"/>
          <w:color w:val="000000" w:themeColor="text1"/>
          <w:sz w:val="20"/>
          <w:szCs w:val="20"/>
        </w:rPr>
        <w:footnoteReference w:id="135"/>
      </w:r>
      <w:r w:rsidRPr="009165FD">
        <w:rPr>
          <w:rFonts w:asciiTheme="majorHAnsi" w:hAnsiTheme="majorHAnsi"/>
          <w:color w:val="000000" w:themeColor="text1"/>
          <w:sz w:val="20"/>
          <w:szCs w:val="20"/>
        </w:rPr>
        <w:t xml:space="preserve"> Moreover, Article IX of the IACFDP, expressly establishes that persons alleged to be responsible for acts constituting the offense of forced disappearance of persons may not be tried in military jurisdictions.</w:t>
      </w:r>
    </w:p>
    <w:p w14:paraId="6D72E3C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6B997733"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Lastly, the right to know the truth has been also recognized by several treaties of the United Nations and recently by the General Assembly of the Organization of American States (OAS).</w:t>
      </w:r>
      <w:r w:rsidRPr="009165FD">
        <w:rPr>
          <w:rStyle w:val="FootnoteReference"/>
          <w:rFonts w:asciiTheme="majorHAnsi" w:hAnsiTheme="majorHAnsi"/>
          <w:color w:val="000000" w:themeColor="text1"/>
          <w:sz w:val="20"/>
          <w:szCs w:val="20"/>
        </w:rPr>
        <w:footnoteReference w:id="136"/>
      </w:r>
      <w:r w:rsidRPr="009165FD">
        <w:rPr>
          <w:rFonts w:asciiTheme="majorHAnsi" w:hAnsiTheme="majorHAnsi"/>
          <w:color w:val="000000" w:themeColor="text1"/>
          <w:sz w:val="20"/>
          <w:szCs w:val="20"/>
        </w:rPr>
        <w:t xml:space="preserve"> The Inter-American Court has determined the content of the right to the truth, especially in cases of forced disappearances. In the case of Velásquez Rodríguez the Court confirmed the existence of “the right to inform the relatives of the fate of the victims and, if they were killed, the location of their remains.”</w:t>
      </w:r>
      <w:r w:rsidRPr="009165FD">
        <w:rPr>
          <w:rStyle w:val="FootnoteReference"/>
          <w:rFonts w:asciiTheme="majorHAnsi" w:hAnsiTheme="majorHAnsi"/>
          <w:color w:val="000000" w:themeColor="text1"/>
          <w:sz w:val="20"/>
          <w:szCs w:val="20"/>
        </w:rPr>
        <w:footnoteReference w:id="137"/>
      </w:r>
      <w:r w:rsidRPr="009165FD">
        <w:rPr>
          <w:rFonts w:asciiTheme="majorHAnsi" w:hAnsiTheme="majorHAnsi"/>
          <w:color w:val="000000" w:themeColor="text1"/>
          <w:sz w:val="20"/>
          <w:szCs w:val="20"/>
        </w:rPr>
        <w:t xml:space="preserve"> In this type of cases, it is considered that the relatives of the disappeared victims are victims of the deeds constituting forced disappearance, by which they are entitled to have the facts investigated and those responsible prosecuted and punished.</w:t>
      </w:r>
      <w:r w:rsidRPr="009165FD">
        <w:rPr>
          <w:rStyle w:val="FootnoteReference"/>
          <w:rFonts w:asciiTheme="majorHAnsi" w:hAnsiTheme="majorHAnsi"/>
          <w:color w:val="000000" w:themeColor="text1"/>
          <w:sz w:val="20"/>
          <w:szCs w:val="20"/>
        </w:rPr>
        <w:footnoteReference w:id="138"/>
      </w:r>
      <w:r w:rsidRPr="009165FD">
        <w:rPr>
          <w:rFonts w:asciiTheme="majorHAnsi" w:hAnsiTheme="majorHAnsi"/>
          <w:color w:val="000000" w:themeColor="text1"/>
          <w:sz w:val="20"/>
          <w:szCs w:val="20"/>
        </w:rPr>
        <w:t xml:space="preserve"> The Court has recognized that the right to the truth of the relatives of victims of serious human rights violations is framed within the right to access to justice.</w:t>
      </w:r>
      <w:r w:rsidRPr="009165FD">
        <w:rPr>
          <w:rStyle w:val="FootnoteReference"/>
          <w:rFonts w:asciiTheme="majorHAnsi" w:hAnsiTheme="majorHAnsi"/>
          <w:color w:val="000000" w:themeColor="text1"/>
          <w:sz w:val="20"/>
          <w:szCs w:val="20"/>
        </w:rPr>
        <w:footnoteReference w:id="139"/>
      </w:r>
      <w:r w:rsidRPr="009165FD">
        <w:rPr>
          <w:rFonts w:asciiTheme="majorHAnsi" w:hAnsiTheme="majorHAnsi"/>
          <w:color w:val="000000" w:themeColor="text1"/>
          <w:sz w:val="20"/>
          <w:szCs w:val="20"/>
        </w:rPr>
        <w:t xml:space="preserve"> </w:t>
      </w:r>
    </w:p>
    <w:p w14:paraId="797ECFFE"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0FE35D8" w14:textId="77777777" w:rsidR="004C1890" w:rsidRPr="009165FD" w:rsidRDefault="004C189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0364489C"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1440" w:hanging="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Along the same lines, the Inter-American Court has held that:</w:t>
      </w:r>
    </w:p>
    <w:p w14:paraId="3942316F" w14:textId="77777777" w:rsidR="004C1890" w:rsidRPr="009165FD" w:rsidRDefault="004C1890" w:rsidP="00334B20">
      <w:pPr>
        <w:pStyle w:val="ListParagraph"/>
        <w:autoSpaceDE w:val="0"/>
        <w:autoSpaceDN w:val="0"/>
        <w:adjustRightInd w:val="0"/>
        <w:ind w:right="720"/>
        <w:jc w:val="both"/>
        <w:rPr>
          <w:rFonts w:asciiTheme="majorHAnsi" w:hAnsiTheme="majorHAnsi"/>
          <w:color w:val="000000" w:themeColor="text1"/>
          <w:sz w:val="20"/>
          <w:szCs w:val="20"/>
        </w:rPr>
      </w:pPr>
    </w:p>
    <w:p w14:paraId="3B6F41F9" w14:textId="77777777" w:rsidR="00334B20" w:rsidRPr="009165FD" w:rsidRDefault="00334B20" w:rsidP="00334B20">
      <w:pPr>
        <w:pStyle w:val="ListParagraph"/>
        <w:autoSpaceDE w:val="0"/>
        <w:autoSpaceDN w:val="0"/>
        <w:adjustRightInd w:val="0"/>
        <w:ind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right to know the truth represents a necessary effect for it is important that a society knows the truth about the facts of serious human rights violations. This is also a fair expectation that the State is required to satisfy,  on the one hand, by means of the obligation to investigative human rights violations and, on the other hand, by the public dissemination of the results of the criminal and investigative procedures. The right to know the truth requires from the State the procedural determination of the patterns of joint action and of all those who participated in various ways in said violations and their corresponding responsibilities. Moreover, in compliance with the obligation to guarantee the right to know the truth, States may establish Truth Commissions, which can contribute to building and safeguarding historical memory, to clarifying the events and to determining institutional, social and political responsibilities at certain periods of time in a society.</w:t>
      </w:r>
      <w:r w:rsidRPr="009165FD">
        <w:rPr>
          <w:rStyle w:val="FootnoteReference"/>
          <w:rFonts w:asciiTheme="majorHAnsi" w:hAnsiTheme="majorHAnsi"/>
          <w:color w:val="000000" w:themeColor="text1"/>
          <w:sz w:val="20"/>
          <w:szCs w:val="20"/>
        </w:rPr>
        <w:footnoteReference w:id="140"/>
      </w:r>
      <w:bookmarkStart w:id="55" w:name="_Ref103582134"/>
      <w:bookmarkStart w:id="56" w:name="_Ref230081432"/>
    </w:p>
    <w:p w14:paraId="3642AE59" w14:textId="77777777" w:rsidR="004C1890" w:rsidRPr="009165FD" w:rsidRDefault="004C1890" w:rsidP="00334B20">
      <w:pPr>
        <w:pStyle w:val="ListParagraph"/>
        <w:autoSpaceDE w:val="0"/>
        <w:autoSpaceDN w:val="0"/>
        <w:adjustRightInd w:val="0"/>
        <w:ind w:right="720"/>
        <w:jc w:val="both"/>
        <w:rPr>
          <w:rFonts w:asciiTheme="majorHAnsi" w:hAnsiTheme="majorHAnsi"/>
          <w:color w:val="000000" w:themeColor="text1"/>
          <w:sz w:val="20"/>
          <w:szCs w:val="20"/>
        </w:rPr>
      </w:pPr>
    </w:p>
    <w:p w14:paraId="37274B5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First, the Commission notes that there is not information about the concrete initial measures to find Mr. Torres Arias and Mr. Quintero with the objective to locate them and to determine their whereabouts. There is not either information that indicates that beyond the sending of formal communications, the habeas corpus action activated effective mechanisms of search according to the existing evidence of possible forced disappearance.  </w:t>
      </w:r>
    </w:p>
    <w:p w14:paraId="798265F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1A8E2C9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Secondly, the Commission notes that on August 26, 1996, almost one year after the forced disappearance of the victims, the 25th Military Criminal Court hearing preliminary proceedings disqualified itself from initiating a criminal investigation of the military serving in the XVII Brigade. As indicated in foregoing paragraphs, the Commission</w:t>
      </w:r>
      <w:r w:rsidRPr="009165FD">
        <w:rPr>
          <w:rStyle w:val="1"/>
          <w:rFonts w:asciiTheme="majorHAnsi" w:hAnsiTheme="majorHAnsi"/>
          <w:color w:val="000000" w:themeColor="text1"/>
          <w:sz w:val="20"/>
          <w:szCs w:val="20"/>
        </w:rPr>
        <w:t xml:space="preserve"> </w:t>
      </w:r>
      <w:r w:rsidRPr="009165FD">
        <w:rPr>
          <w:rFonts w:asciiTheme="majorHAnsi" w:hAnsiTheme="majorHAnsi"/>
          <w:color w:val="000000" w:themeColor="text1"/>
          <w:sz w:val="20"/>
          <w:szCs w:val="20"/>
        </w:rPr>
        <w:t>considers that by initially submitting the facts of the case to military criminal justice, the State compromised its international responsibility.</w:t>
      </w:r>
    </w:p>
    <w:p w14:paraId="5B5071F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38301E6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Although the Commission does not have the files of the domestic proceedings, despite having requested them from the State, isolated pieces in the respective proceedings indicate that criminal proceedings have been subject to unwarranted delays. Although the investigation in the ordinary jurisdiction began on January 29, 1996, the Commission notes that it was suspended on July 30, 1999, without progress having been made with clarifying the facts. It was only three years after the investigation was halted that it resumed in 2002.  </w:t>
      </w:r>
    </w:p>
    <w:p w14:paraId="290AB520"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1AD35B7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 Commission notes that the day of approval of this report, 19 years after the facts, they have yet to be fully clarified and most of those responsible have not been brought to trial. Indeed, the available information indicates that the first conviction (of the paramilitary López Lora) took place 11 years after the facts, that is, in 2006.  Subsequent convictions were handed down in 2011, 2012, and 2013, in respect of three of the agents of the State in the XVII Brigade. The State has provided no explanation that can justify those delays, particularly given the nature of the facts of the case, the existence of statements from the start of the investigation, and the knowledge that exists regarding who acted in the XVII Brigade at the time Messrs. Torres and Quintero were taken away. </w:t>
      </w:r>
    </w:p>
    <w:p w14:paraId="396827EA"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6BD00D6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Furthermore, so far no investigations have been conducted into State officials, especially senior officers of the XVII Brigade who, according to the information that emerges from the investigations [into others], gave the orders that enabled the disappearances to take place. Nor have non-military officials, cited in several statements, been brought into the proceedings, in particular, the Public prosecutor who took Mr.  López Lora's statement about the victims and Gaula officers mentioned by Hebert Veloza alias HH in his "free versions" of what happened. Similarly, the State has omitted to investigate the other paramilitary who, according to the statement by the paramilitary leader, also took part in the facts of the case. </w:t>
      </w:r>
    </w:p>
    <w:p w14:paraId="279E261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79292BA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lastRenderedPageBreak/>
        <w:t>In addition to the unreasonable delays and failure to determine the full range of responsibilities, the Commission observes that none of the convictions were handed down for forced disappearance of persons. This happened despite the fact that said crime has been legally defined (</w:t>
      </w:r>
      <w:r w:rsidRPr="009165FD">
        <w:rPr>
          <w:rFonts w:asciiTheme="majorHAnsi" w:hAnsiTheme="majorHAnsi"/>
          <w:i/>
          <w:color w:val="000000" w:themeColor="text1"/>
          <w:sz w:val="20"/>
          <w:szCs w:val="20"/>
        </w:rPr>
        <w:t>tipificado)</w:t>
      </w:r>
      <w:r w:rsidRPr="009165FD">
        <w:rPr>
          <w:rFonts w:asciiTheme="majorHAnsi" w:hAnsiTheme="majorHAnsi"/>
          <w:color w:val="000000" w:themeColor="text1"/>
          <w:sz w:val="20"/>
          <w:szCs w:val="20"/>
        </w:rPr>
        <w:t xml:space="preserve"> in Colombia since 2000 by Law 589 of that year. Bearing in mind that on the day the offense was defined [in Colombian law], the forced disappearance of the victims was ongoing, according t the Inter-American Court's case law  in cases </w:t>
      </w:r>
      <w:r w:rsidRPr="009165FD">
        <w:rPr>
          <w:rFonts w:asciiTheme="majorHAnsi" w:hAnsiTheme="majorHAnsi"/>
          <w:i/>
          <w:color w:val="000000" w:themeColor="text1"/>
          <w:sz w:val="20"/>
          <w:szCs w:val="20"/>
        </w:rPr>
        <w:t xml:space="preserve">Tiu Cojín vs. Guatemala </w:t>
      </w:r>
      <w:r w:rsidRPr="009165FD">
        <w:rPr>
          <w:rFonts w:asciiTheme="majorHAnsi" w:hAnsiTheme="majorHAnsi"/>
          <w:color w:val="000000" w:themeColor="text1"/>
          <w:sz w:val="20"/>
          <w:szCs w:val="20"/>
        </w:rPr>
        <w:t xml:space="preserve">and </w:t>
      </w:r>
      <w:r w:rsidRPr="009165FD">
        <w:rPr>
          <w:rFonts w:asciiTheme="majorHAnsi" w:hAnsiTheme="majorHAnsi"/>
          <w:i/>
          <w:color w:val="000000" w:themeColor="text1"/>
          <w:sz w:val="20"/>
          <w:szCs w:val="20"/>
        </w:rPr>
        <w:t>Ibsen vs. Bolivia,</w:t>
      </w:r>
      <w:r w:rsidRPr="009165FD">
        <w:rPr>
          <w:rFonts w:asciiTheme="majorHAnsi" w:hAnsiTheme="majorHAnsi"/>
          <w:color w:val="000000" w:themeColor="text1"/>
          <w:sz w:val="20"/>
          <w:szCs w:val="20"/>
        </w:rPr>
        <w:t xml:space="preserve"> the convictions should have been for the crime of forced disappearance. </w:t>
      </w:r>
    </w:p>
    <w:p w14:paraId="3B7DA9C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5EE7CD0D"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bCs/>
          <w:color w:val="000000" w:themeColor="text1"/>
          <w:sz w:val="20"/>
          <w:szCs w:val="20"/>
        </w:rPr>
      </w:pPr>
      <w:r w:rsidRPr="009165FD">
        <w:rPr>
          <w:rFonts w:asciiTheme="majorHAnsi" w:hAnsiTheme="majorHAnsi"/>
          <w:color w:val="000000" w:themeColor="text1"/>
          <w:sz w:val="20"/>
          <w:szCs w:val="20"/>
        </w:rPr>
        <w:t>In fact, the Inter-American Court has clearly stated that, given that it is a crime whose commission is ongoing, when the legal definition of the offense of forced disappearance of persons entered into force in the State in question, the new law was applicable because the criminal conduct was still being performed, without that implying a retroactive application of the law.</w:t>
      </w:r>
      <w:r w:rsidRPr="009165FD">
        <w:rPr>
          <w:rStyle w:val="FootnoteReference"/>
          <w:rFonts w:asciiTheme="majorHAnsi" w:hAnsiTheme="majorHAnsi"/>
          <w:color w:val="000000" w:themeColor="text1"/>
          <w:sz w:val="20"/>
          <w:szCs w:val="20"/>
        </w:rPr>
        <w:footnoteReference w:id="141"/>
      </w:r>
    </w:p>
    <w:p w14:paraId="7DB252A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color w:val="000000" w:themeColor="text1"/>
          <w:sz w:val="20"/>
          <w:szCs w:val="20"/>
        </w:rPr>
      </w:pPr>
    </w:p>
    <w:p w14:paraId="3D1A805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As the Court pointed out in the aforementioned cases, an inappropriate legal characterization of an instance of forced disappearance may affect clarification of what happened, affect the right to truth of the victim's relatives, reduce the actual scope of responsibility, and, in short, constitute a source of impunity.  </w:t>
      </w:r>
    </w:p>
    <w:p w14:paraId="3CBADDE1"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67DECAC4"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Commission notes furthermore that the family members of the victims purportedly encountered obstacles to their playing an active part in the criminal proceedings. In particular, the mother of Alcides Torres Arias complained of intimidation after she tried to advance domestic proceedings. According to her testimony:</w:t>
      </w:r>
    </w:p>
    <w:p w14:paraId="6915ACB9" w14:textId="77777777" w:rsidR="004C1890" w:rsidRPr="009165FD" w:rsidRDefault="004C1890" w:rsidP="00334B20">
      <w:pPr>
        <w:ind w:left="720" w:right="720"/>
        <w:jc w:val="both"/>
        <w:rPr>
          <w:rFonts w:asciiTheme="majorHAnsi" w:hAnsiTheme="majorHAnsi"/>
          <w:color w:val="000000" w:themeColor="text1"/>
          <w:sz w:val="20"/>
          <w:szCs w:val="20"/>
        </w:rPr>
      </w:pPr>
    </w:p>
    <w:p w14:paraId="7F902825" w14:textId="77777777" w:rsidR="00334B20" w:rsidRPr="009165FD" w:rsidRDefault="00334B20" w:rsidP="00334B20">
      <w:pP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response to [our complaints], the paramilitary and soldiers made death threats and said we had better leave matters alone or else they would kill us as well.</w:t>
      </w:r>
    </w:p>
    <w:p w14:paraId="586105B5" w14:textId="77777777" w:rsidR="00334B20" w:rsidRPr="009165FD" w:rsidRDefault="00334B20" w:rsidP="00334B20">
      <w:pPr>
        <w:ind w:left="720" w:right="720"/>
        <w:jc w:val="both"/>
        <w:rPr>
          <w:rFonts w:asciiTheme="majorHAnsi" w:hAnsiTheme="majorHAnsi"/>
          <w:color w:val="000000" w:themeColor="text1"/>
          <w:sz w:val="20"/>
          <w:szCs w:val="20"/>
        </w:rPr>
      </w:pPr>
    </w:p>
    <w:p w14:paraId="1D24CABF" w14:textId="77777777" w:rsidR="00334B20" w:rsidRPr="009165FD" w:rsidRDefault="00334B20" w:rsidP="00334B20">
      <w:pP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Neither the Public Prosecutor's Office nor the Attorney General's Office (</w:t>
      </w:r>
      <w:r w:rsidRPr="009165FD">
        <w:rPr>
          <w:rFonts w:asciiTheme="majorHAnsi" w:hAnsiTheme="majorHAnsi"/>
          <w:i/>
          <w:color w:val="000000" w:themeColor="text1"/>
          <w:sz w:val="20"/>
          <w:szCs w:val="20"/>
        </w:rPr>
        <w:t>Procuraduría</w:t>
      </w:r>
      <w:r w:rsidRPr="009165FD">
        <w:rPr>
          <w:rFonts w:asciiTheme="majorHAnsi" w:hAnsiTheme="majorHAnsi"/>
          <w:color w:val="000000" w:themeColor="text1"/>
          <w:sz w:val="20"/>
          <w:szCs w:val="20"/>
        </w:rPr>
        <w:t>) did anything at all, they just kept things hushed up. All we got for our pains was that soon after they killed the witness, Mr. Ramón Rodríguez, because, according to them, he was an informer ("sapo") [...]</w:t>
      </w:r>
      <w:r w:rsidRPr="009165FD">
        <w:rPr>
          <w:rStyle w:val="FootnoteReference"/>
          <w:rFonts w:asciiTheme="majorHAnsi" w:hAnsiTheme="majorHAnsi"/>
          <w:color w:val="000000" w:themeColor="text1"/>
          <w:sz w:val="20"/>
          <w:szCs w:val="20"/>
        </w:rPr>
        <w:footnoteReference w:id="142"/>
      </w:r>
    </w:p>
    <w:p w14:paraId="2782BAA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 information available  indicates that the State did not investigate those threats either. </w:t>
      </w:r>
    </w:p>
    <w:p w14:paraId="5D3EA9FF"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480C90F9"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Finally, the Commission observes that the extradition process in respect of one of the paramilitary involved in the facts of the case may also have hampered the right of access to justice and the right to the truth about what happened to Alcides Torres Arias. This is particularly worrisome given the lack of immediate follow-up by the State on the statements made by that paramilitary leader in his "free versions" of what had happened with respect to all the responsibilities incurred in the instant case.  </w:t>
      </w:r>
    </w:p>
    <w:p w14:paraId="25228B8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394FA989" w14:textId="68B49EB4"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In light of the foregoing considerations, the Commission concludes that the State of Colombia has not found the necessary ways to meet its obligation to investigate, try, and punish, within a reasonable period of time and with due diligence, all those responsible for the human rights violations analyzed in this report. Consequently, the State of Colombia bears responsibility for the violation of the rights to judicial guarantees and judicial protection established in Articles 8.2 and 25 of the American Convention, in conjunction with the obligations established in Article 1.1 of the same instrument. Likewise, the State of Colombia is responsible for violating Article I (b) of the Convention on the Forced Disappearance of Persons. These violations were committed to the detriment of Alcides Torres Arias, Angel David Quintero and their next of kin listed </w:t>
      </w:r>
      <w:r w:rsidRPr="009165FD">
        <w:rPr>
          <w:rFonts w:asciiTheme="majorHAnsi" w:hAnsiTheme="majorHAnsi"/>
          <w:i/>
          <w:color w:val="000000" w:themeColor="text1"/>
          <w:sz w:val="20"/>
          <w:szCs w:val="20"/>
        </w:rPr>
        <w:t xml:space="preserve">supra </w:t>
      </w:r>
      <w:r w:rsidRPr="009165FD">
        <w:rPr>
          <w:rFonts w:asciiTheme="majorHAnsi" w:hAnsiTheme="majorHAnsi"/>
          <w:color w:val="000000" w:themeColor="text1"/>
          <w:sz w:val="20"/>
          <w:szCs w:val="20"/>
        </w:rPr>
        <w:t xml:space="preserve">in par. </w:t>
      </w:r>
      <w:r w:rsidR="009165FD">
        <w:rPr>
          <w:rFonts w:asciiTheme="majorHAnsi" w:hAnsiTheme="majorHAnsi"/>
          <w:color w:val="000000" w:themeColor="text1"/>
          <w:sz w:val="20"/>
          <w:szCs w:val="20"/>
        </w:rPr>
        <w:t>69 and 70</w:t>
      </w:r>
      <w:r w:rsidRPr="009165FD">
        <w:rPr>
          <w:rFonts w:asciiTheme="majorHAnsi" w:hAnsiTheme="majorHAnsi"/>
          <w:color w:val="000000" w:themeColor="text1"/>
          <w:sz w:val="20"/>
          <w:szCs w:val="20"/>
        </w:rPr>
        <w:t xml:space="preserve">. </w:t>
      </w:r>
      <w:bookmarkEnd w:id="55"/>
      <w:bookmarkEnd w:id="56"/>
    </w:p>
    <w:p w14:paraId="4027D166"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54B0399D" w14:textId="77777777" w:rsidR="00334B20" w:rsidRPr="009165FD" w:rsidRDefault="00334B20" w:rsidP="004C1890">
      <w:pPr>
        <w:pStyle w:val="Heading2"/>
        <w:numPr>
          <w:ilvl w:val="0"/>
          <w:numId w:val="0"/>
        </w:numPr>
        <w:ind w:left="1440" w:hanging="720"/>
      </w:pPr>
      <w:bookmarkStart w:id="57" w:name="_Toc401323782"/>
      <w:bookmarkStart w:id="58" w:name="_Toc489882512"/>
      <w:r w:rsidRPr="009165FD">
        <w:lastRenderedPageBreak/>
        <w:t>D.</w:t>
      </w:r>
      <w:r w:rsidRPr="009165FD">
        <w:tab/>
        <w:t>Right to humane treatment of the families of the victims (Article 5(1) of the American Convention)</w:t>
      </w:r>
      <w:bookmarkEnd w:id="57"/>
      <w:bookmarkEnd w:id="58"/>
    </w:p>
    <w:p w14:paraId="079F19D9" w14:textId="77777777" w:rsidR="00334B20" w:rsidRPr="009165FD" w:rsidRDefault="00334B20" w:rsidP="00334B20">
      <w:pPr>
        <w:rPr>
          <w:rFonts w:asciiTheme="majorHAnsi" w:hAnsiTheme="majorHAnsi"/>
          <w:sz w:val="20"/>
          <w:szCs w:val="20"/>
        </w:rPr>
      </w:pPr>
    </w:p>
    <w:p w14:paraId="7DAF5D30"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Court has held on numerous occasions that the next of kin of the victims of human rights violations may, in turn, be victims themselves.</w:t>
      </w:r>
      <w:r w:rsidRPr="009165FD">
        <w:rPr>
          <w:rStyle w:val="FootnoteReference"/>
          <w:rFonts w:asciiTheme="majorHAnsi" w:hAnsiTheme="majorHAnsi"/>
          <w:color w:val="000000" w:themeColor="text1"/>
          <w:sz w:val="20"/>
          <w:szCs w:val="20"/>
        </w:rPr>
        <w:footnoteReference w:id="143"/>
      </w:r>
      <w:r w:rsidRPr="009165FD">
        <w:rPr>
          <w:rFonts w:asciiTheme="majorHAnsi" w:hAnsiTheme="majorHAnsi"/>
          <w:color w:val="000000" w:themeColor="text1"/>
          <w:sz w:val="20"/>
          <w:szCs w:val="20"/>
        </w:rPr>
        <w:t xml:space="preserve"> Specifically, in cases of forced disappearance of persons, it can be understood that the violation of the right to mental and moral integrity of the victims’ next of kin is a direct result, precisely, of this phenomenon, which causes them severe anguish owing to the act itself, which is increased, among other factors, by the constant refusal of the State authorities to provide information on the whereabouts of the victim or to open an effective investigation to clarify what occurred.</w:t>
      </w:r>
      <w:r w:rsidRPr="009165FD">
        <w:rPr>
          <w:rStyle w:val="FootnoteReference"/>
          <w:rFonts w:asciiTheme="majorHAnsi" w:hAnsiTheme="majorHAnsi"/>
          <w:color w:val="000000" w:themeColor="text1"/>
          <w:sz w:val="20"/>
          <w:szCs w:val="20"/>
        </w:rPr>
        <w:footnoteReference w:id="144"/>
      </w:r>
      <w:r w:rsidRPr="009165FD">
        <w:rPr>
          <w:rFonts w:asciiTheme="majorHAnsi" w:hAnsiTheme="majorHAnsi"/>
          <w:color w:val="000000" w:themeColor="text1"/>
          <w:sz w:val="20"/>
          <w:szCs w:val="20"/>
        </w:rPr>
        <w:t xml:space="preserve"> The Court has come to consider that the continued deprivation of the truth concerning the fate of a disappeared person constitutes a form of cruel and inhuman treatment for the close family.</w:t>
      </w:r>
      <w:r w:rsidRPr="009165FD">
        <w:rPr>
          <w:rStyle w:val="FootnoteReference"/>
          <w:rFonts w:asciiTheme="majorHAnsi" w:hAnsiTheme="majorHAnsi"/>
          <w:color w:val="000000" w:themeColor="text1"/>
          <w:sz w:val="20"/>
          <w:szCs w:val="20"/>
        </w:rPr>
        <w:footnoteReference w:id="145"/>
      </w:r>
    </w:p>
    <w:p w14:paraId="4B9705F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7BCC43DE"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In addition, in the event of a forced disappearance, the State has the obligation to guarantee the right to humane treatment of family members by conducting effective investigations. What is more, the Court has found the absence of effective remedies to be a source of additional suffering and anguish for the victims and their next of kin.</w:t>
      </w:r>
      <w:r w:rsidRPr="009165FD">
        <w:rPr>
          <w:rStyle w:val="FootnoteReference"/>
          <w:rFonts w:asciiTheme="majorHAnsi" w:hAnsiTheme="majorHAnsi"/>
          <w:color w:val="000000" w:themeColor="text1"/>
          <w:sz w:val="20"/>
          <w:szCs w:val="20"/>
        </w:rPr>
        <w:footnoteReference w:id="146"/>
      </w:r>
    </w:p>
    <w:p w14:paraId="6654A0DE"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57AC635A"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The Commission notes that, even now, the next of kin of Alcides Torres Arias and Angel David Quintero have no knowledge of his fate or whereabouts and they have not had an appropriate judicial response.  Furthermore, on top of the suffering caused by the forced disappearance of the victims, their families were profoundly affected when they tried to move the domestic investigations forward. Thus, the mother of  Alcides Torres Arias declared that</w:t>
      </w:r>
    </w:p>
    <w:p w14:paraId="0B6C5375"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color w:val="000000" w:themeColor="text1"/>
          <w:sz w:val="20"/>
          <w:szCs w:val="20"/>
          <w:u w:color="000000"/>
          <w:lang w:eastAsia="es-ES"/>
        </w:rPr>
      </w:pPr>
    </w:p>
    <w:p w14:paraId="55CA6839"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When we started to investigate again, the threats recommended. First, they killed my son Alirio Torres for stirring up the case. Those who did it were savages, cutting him into pieces with a chain saw. Then they took my son Orbairo Torres away from the farm and sent someone to tell me that they were waiting to kill me because I had been denouncing what had happened to Alcides. So I did not go and I know that they also killed Orbairo. They tell me that they buried him in the same farm ("El Lucero"). I haven't been able to go because they'll kill me. […]</w:t>
      </w:r>
    </w:p>
    <w:p w14:paraId="510D3FCD"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0455874C"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I had to leave Chigorodó, with my three children and nothing to eat and become a displaced person in Medellín, so that they wouldn't kill me. Now I don't know whether all this has been worth it. All I know is that the Colombian Government has denied me justice, and they have threatened and murdered us [...}</w:t>
      </w:r>
    </w:p>
    <w:p w14:paraId="603430B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4D3CFE72"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As a mother I cry for my children every day. Every day I have a funeral without the bodies. I will not rest until I can bury them. Nobody can understand the anguish I feel, not knowing their fate. This is worse than torture.</w:t>
      </w:r>
      <w:r w:rsidRPr="009165FD">
        <w:rPr>
          <w:rStyle w:val="FootnoteReference"/>
          <w:rFonts w:asciiTheme="majorHAnsi" w:hAnsiTheme="majorHAnsi"/>
          <w:color w:val="000000" w:themeColor="text1"/>
          <w:sz w:val="20"/>
          <w:szCs w:val="20"/>
        </w:rPr>
        <w:footnoteReference w:id="147"/>
      </w:r>
    </w:p>
    <w:p w14:paraId="37FA36D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olor w:val="000000" w:themeColor="text1"/>
          <w:sz w:val="20"/>
          <w:szCs w:val="20"/>
        </w:rPr>
      </w:pPr>
    </w:p>
    <w:p w14:paraId="15162D92"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 Commission considers that because of the nature of the facts of this case, the situation of impunity, and the inevitable effect on both victims' close families, the State also violated the right to personal integrity established in the Article 5 of the American Convention, in conjunction with the obligation </w:t>
      </w:r>
      <w:r w:rsidRPr="009165FD">
        <w:rPr>
          <w:rFonts w:asciiTheme="majorHAnsi" w:hAnsiTheme="majorHAnsi"/>
          <w:color w:val="000000" w:themeColor="text1"/>
          <w:sz w:val="20"/>
          <w:szCs w:val="20"/>
        </w:rPr>
        <w:lastRenderedPageBreak/>
        <w:t>established in Article 1.1 of the same instrument, to the detriment of the family members of both victims. Finally, the Commission considers that the arguments regarding the violation of the right established in the Article 17 of the Convention have already been discussed in this section.</w:t>
      </w:r>
    </w:p>
    <w:p w14:paraId="0EDF099E" w14:textId="77777777" w:rsidR="00334B20" w:rsidRPr="009165FD" w:rsidRDefault="00334B20" w:rsidP="00334B20">
      <w:pPr>
        <w:rPr>
          <w:rFonts w:asciiTheme="majorHAnsi" w:hAnsiTheme="majorHAnsi"/>
          <w:sz w:val="20"/>
          <w:szCs w:val="20"/>
        </w:rPr>
      </w:pPr>
    </w:p>
    <w:p w14:paraId="1D80A221" w14:textId="77777777" w:rsidR="00334B20" w:rsidRPr="009165FD" w:rsidRDefault="00334B20" w:rsidP="005F1B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The Commission concludes that the State of Colombia is responsible for violating the right to juridical personality, to life, to personal integrity/humane treatment, to personal liberty, to judicial guarantees, and to protection of the family, established in Articles 3, 4, 5, 7, 8, 17, and 25, in conjunction with Article 1.1 of the same instrument, as well as Articles I (a) and I (b) of the Inter-American Convention on Forced Disappearance of Persons to the detriment of the persons referred to in the respective sections of this report. </w:t>
      </w:r>
    </w:p>
    <w:p w14:paraId="6AD89A83" w14:textId="77777777" w:rsidR="001311A8" w:rsidRPr="009165FD" w:rsidRDefault="001311A8" w:rsidP="001311A8">
      <w:pPr>
        <w:pStyle w:val="ListParagraph"/>
        <w:rPr>
          <w:rFonts w:asciiTheme="majorHAnsi" w:hAnsiTheme="majorHAnsi"/>
          <w:color w:val="000000" w:themeColor="text1"/>
          <w:sz w:val="20"/>
          <w:szCs w:val="20"/>
        </w:rPr>
      </w:pPr>
    </w:p>
    <w:p w14:paraId="12AC7B38" w14:textId="6E7A16CB" w:rsidR="001311A8" w:rsidRPr="009165FD" w:rsidRDefault="001311A8" w:rsidP="001311A8">
      <w:pPr>
        <w:pStyle w:val="Heading1"/>
        <w:ind w:left="720" w:firstLine="0"/>
      </w:pPr>
      <w:bookmarkStart w:id="59" w:name="_Toc489882513"/>
      <w:r w:rsidRPr="009165FD">
        <w:rPr>
          <w:lang w:val="en"/>
        </w:rPr>
        <w:t>PRO</w:t>
      </w:r>
      <w:r w:rsidR="0006778C">
        <w:rPr>
          <w:lang w:val="en"/>
        </w:rPr>
        <w:t>CEEDINGS THAT FOLLOWED REPORT No</w:t>
      </w:r>
      <w:r w:rsidRPr="009165FD">
        <w:rPr>
          <w:lang w:val="en"/>
        </w:rPr>
        <w:t>. 89/14</w:t>
      </w:r>
      <w:bookmarkEnd w:id="59"/>
    </w:p>
    <w:p w14:paraId="7DFFCEE9" w14:textId="77777777" w:rsidR="001311A8" w:rsidRPr="009165FD" w:rsidRDefault="001311A8" w:rsidP="001311A8"/>
    <w:p w14:paraId="59B1A9FE" w14:textId="77777777" w:rsidR="001311A8" w:rsidRPr="009165FD" w:rsidRDefault="001311A8" w:rsidP="0013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olor w:val="000000" w:themeColor="text1"/>
          <w:sz w:val="20"/>
          <w:szCs w:val="20"/>
        </w:rPr>
      </w:pPr>
      <w:r w:rsidRPr="009165FD">
        <w:rPr>
          <w:rFonts w:ascii="Cambria" w:hAnsi="Cambria"/>
          <w:sz w:val="20"/>
          <w:szCs w:val="20"/>
          <w:lang w:val="en"/>
        </w:rPr>
        <w:t>The Commission adopted Merits Report No. 89/14 on November 4, 2014, and forwarded it to the State on January 30, 2015. In this report, the Commission made the following recommendations:</w:t>
      </w:r>
    </w:p>
    <w:p w14:paraId="0FD35E1A" w14:textId="77777777" w:rsidR="0032741A" w:rsidRPr="009165FD" w:rsidRDefault="0032741A" w:rsidP="00334B20">
      <w:pPr>
        <w:jc w:val="both"/>
        <w:rPr>
          <w:rFonts w:asciiTheme="majorHAnsi" w:hAnsiTheme="majorHAnsi"/>
          <w:b/>
          <w:color w:val="000000" w:themeColor="text1"/>
          <w:sz w:val="20"/>
          <w:szCs w:val="20"/>
        </w:rPr>
      </w:pPr>
    </w:p>
    <w:p w14:paraId="3ACDC358" w14:textId="77777777" w:rsidR="00334B20" w:rsidRPr="009165FD" w:rsidRDefault="00334B20" w:rsidP="005F1B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Investigate fully, impartially, and effectively the whereabouts of Alcides Torres Arias and Angel David Quintero and, if applicable, take the necessary measures to identify and deliver their remains to the family members.  </w:t>
      </w:r>
    </w:p>
    <w:p w14:paraId="02CBCDC8"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5FA217B8" w14:textId="77777777" w:rsidR="00334B20" w:rsidRPr="009165FD" w:rsidRDefault="00334B20" w:rsidP="005F1B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Carry out the domestic proceedings connected with the human rights violations found in the instant report and conduct proceedings corresponding to the offense of forced disappearance of Alcides Torres Arias and Angel David Quintero in an impartial and effective manner within a reasonable time in order to completely clarify the events, identify all those responsible, and impose the appropriate penalties.</w:t>
      </w:r>
    </w:p>
    <w:p w14:paraId="6874D22C" w14:textId="77777777" w:rsidR="0032741A" w:rsidRPr="009165FD" w:rsidRDefault="0032741A" w:rsidP="003274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64AFDB24" w14:textId="77777777" w:rsidR="00334B20" w:rsidRPr="009165FD" w:rsidRDefault="00334B20" w:rsidP="005F1B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Provide adequate reparation for the human rights violations found in the instant report in material as well as moral respects, including fair compensation, elucidation and circulation of the h</w:t>
      </w:r>
      <w:r w:rsidR="00645FC9" w:rsidRPr="009165FD">
        <w:rPr>
          <w:rFonts w:asciiTheme="majorHAnsi" w:hAnsiTheme="majorHAnsi"/>
          <w:color w:val="000000" w:themeColor="text1"/>
          <w:sz w:val="20"/>
          <w:szCs w:val="20"/>
        </w:rPr>
        <w:t xml:space="preserve">istorical truth of the events, </w:t>
      </w:r>
      <w:r w:rsidRPr="009165FD">
        <w:rPr>
          <w:rFonts w:asciiTheme="majorHAnsi" w:hAnsiTheme="majorHAnsi"/>
          <w:color w:val="000000" w:themeColor="text1"/>
          <w:sz w:val="20"/>
          <w:szCs w:val="20"/>
        </w:rPr>
        <w:t>and implementation of an adequate program of care for family members.</w:t>
      </w:r>
    </w:p>
    <w:p w14:paraId="4976E944"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71DFB2D6" w14:textId="6B736F25" w:rsidR="00334B20" w:rsidRPr="009165FD" w:rsidRDefault="00334B20" w:rsidP="005F1B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Adopt all necessary m</w:t>
      </w:r>
      <w:r w:rsidR="008D7A02" w:rsidRPr="009165FD">
        <w:rPr>
          <w:rFonts w:asciiTheme="majorHAnsi" w:hAnsiTheme="majorHAnsi"/>
          <w:color w:val="000000" w:themeColor="text1"/>
          <w:sz w:val="20"/>
          <w:szCs w:val="20"/>
        </w:rPr>
        <w:t xml:space="preserve">easures to avoid the recurrence </w:t>
      </w:r>
      <w:r w:rsidRPr="009165FD">
        <w:rPr>
          <w:rFonts w:asciiTheme="majorHAnsi" w:hAnsiTheme="majorHAnsi"/>
          <w:color w:val="000000" w:themeColor="text1"/>
          <w:sz w:val="20"/>
          <w:szCs w:val="20"/>
        </w:rPr>
        <w:t xml:space="preserve">of similar acts in future. </w:t>
      </w:r>
    </w:p>
    <w:p w14:paraId="2DDCB37B" w14:textId="77777777" w:rsidR="00334B20" w:rsidRPr="009165FD" w:rsidRDefault="00334B20" w:rsidP="00334B20">
      <w:pPr>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000000" w:themeColor="text1"/>
          <w:sz w:val="20"/>
          <w:szCs w:val="20"/>
        </w:rPr>
      </w:pPr>
    </w:p>
    <w:p w14:paraId="06DE335A" w14:textId="77777777" w:rsidR="00334B20" w:rsidRPr="009165FD" w:rsidRDefault="00334B20" w:rsidP="005F1B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9165FD">
        <w:rPr>
          <w:rFonts w:asciiTheme="majorHAnsi" w:hAnsiTheme="majorHAnsi"/>
          <w:color w:val="000000" w:themeColor="text1"/>
          <w:sz w:val="20"/>
          <w:szCs w:val="20"/>
        </w:rPr>
        <w:t xml:space="preserve">Publicly acknowledge the violations established in this case, guaranteeing adequate mechanisms for the dissemination of these findings. </w:t>
      </w:r>
    </w:p>
    <w:p w14:paraId="1564C9FB" w14:textId="77777777" w:rsidR="00201FE1" w:rsidRPr="009165FD" w:rsidRDefault="00201FE1" w:rsidP="00201F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56A56432" w14:textId="77777777" w:rsidR="00AB0706" w:rsidRPr="009165FD" w:rsidRDefault="00AB0706" w:rsidP="00AB07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9165FD">
        <w:rPr>
          <w:rFonts w:ascii="Cambria" w:hAnsi="Cambria"/>
          <w:sz w:val="20"/>
          <w:szCs w:val="20"/>
          <w:lang w:val="en"/>
        </w:rPr>
        <w:t>In the proceedings following the notification of the merits report, the Commission received reports from the State and submissions from the petitioners regarding compliance with the recommendations made by the IACHR. During this period, the Commission granted the State a total of eight extensions to the deadline set forth under Article 51 of the American Convention. In those requests for extensions, the Colombian State said it wished to have more time to ensure compliance with the recommendations and expressly waived its right to file for preliminary exceptions with regard to its failure to comply with the aforementioned deadline, should the case be submitted to the Inter-American Court.</w:t>
      </w:r>
    </w:p>
    <w:p w14:paraId="2201ACFB" w14:textId="77777777" w:rsidR="00AB0706" w:rsidRPr="009165FD" w:rsidRDefault="00AB0706" w:rsidP="00AB07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14:paraId="3555D25B" w14:textId="7CA2D934" w:rsidR="00AB0706" w:rsidRPr="00923059" w:rsidRDefault="00AB0706" w:rsidP="00AB07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923059">
        <w:rPr>
          <w:rFonts w:ascii="Cambria" w:hAnsi="Cambria" w:cs="Verdana"/>
          <w:sz w:val="20"/>
          <w:szCs w:val="20"/>
          <w:lang w:val="en"/>
        </w:rPr>
        <w:t xml:space="preserve">After assessing the available information regarding compliance with the recommendations, the Commission decided by an absolute majority on April 30, 2017, to not refer the case to the Inter-American Court and to work towards the publication the merits report. </w:t>
      </w:r>
    </w:p>
    <w:p w14:paraId="3873B73D" w14:textId="77777777" w:rsidR="00AB0706" w:rsidRPr="00923059" w:rsidRDefault="00AB0706" w:rsidP="00AB0706">
      <w:pPr>
        <w:tabs>
          <w:tab w:val="center" w:pos="5400"/>
        </w:tabs>
        <w:suppressAutoHyphens/>
        <w:spacing w:line="276" w:lineRule="auto"/>
        <w:jc w:val="center"/>
        <w:rPr>
          <w:rFonts w:asciiTheme="majorHAnsi" w:hAnsiTheme="majorHAnsi"/>
          <w:sz w:val="20"/>
          <w:szCs w:val="20"/>
        </w:rPr>
      </w:pPr>
    </w:p>
    <w:p w14:paraId="6B0A5B1E" w14:textId="2EBF3DC1" w:rsidR="009D0DB5" w:rsidRPr="00923059" w:rsidRDefault="009D0DB5" w:rsidP="009D0DB5">
      <w:pPr>
        <w:pStyle w:val="Heading1"/>
        <w:ind w:left="720" w:firstLine="0"/>
      </w:pPr>
      <w:bookmarkStart w:id="60" w:name="_Toc489882514"/>
      <w:bookmarkStart w:id="61" w:name="_Toc481497209"/>
      <w:r w:rsidRPr="00923059">
        <w:rPr>
          <w:lang w:val="en"/>
        </w:rPr>
        <w:t>PRO</w:t>
      </w:r>
      <w:r w:rsidR="0006778C">
        <w:rPr>
          <w:lang w:val="en"/>
        </w:rPr>
        <w:t>CEEDINGS THAT FOLLOWED REPORT No</w:t>
      </w:r>
      <w:r w:rsidRPr="00923059">
        <w:rPr>
          <w:lang w:val="en"/>
        </w:rPr>
        <w:t>. 43/17</w:t>
      </w:r>
      <w:bookmarkEnd w:id="60"/>
    </w:p>
    <w:p w14:paraId="67A06D4D" w14:textId="77777777" w:rsidR="009D0DB5" w:rsidRPr="00923059" w:rsidRDefault="009D0DB5" w:rsidP="009D0DB5">
      <w:pPr>
        <w:pStyle w:val="Heading1"/>
        <w:numPr>
          <w:ilvl w:val="0"/>
          <w:numId w:val="0"/>
        </w:numPr>
        <w:ind w:left="1440"/>
      </w:pPr>
    </w:p>
    <w:p w14:paraId="44CF29B6" w14:textId="0BB0B2DF" w:rsidR="009D0DB5" w:rsidRPr="00923059" w:rsidRDefault="009D0DB5" w:rsidP="009D0D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pPr>
      <w:r w:rsidRPr="00923059">
        <w:rPr>
          <w:sz w:val="20"/>
        </w:rPr>
        <w:t>On May 23, 2017, the Inter-American Commission adopted Report No. 43/17, reiterating three recommendations contained in Report No. 89/14:</w:t>
      </w:r>
    </w:p>
    <w:p w14:paraId="5A80179D" w14:textId="77777777" w:rsidR="009D0DB5" w:rsidRPr="00923059" w:rsidRDefault="009D0DB5" w:rsidP="009D0DB5">
      <w:pPr>
        <w:jc w:val="both"/>
      </w:pPr>
    </w:p>
    <w:p w14:paraId="76794833" w14:textId="5FBD0A73" w:rsidR="009D0DB5" w:rsidRPr="00923059" w:rsidRDefault="009D0DB5" w:rsidP="009D0D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olor w:val="000000" w:themeColor="text1"/>
          <w:sz w:val="20"/>
          <w:szCs w:val="20"/>
        </w:rPr>
      </w:pPr>
      <w:r w:rsidRPr="00923059">
        <w:rPr>
          <w:rFonts w:asciiTheme="majorHAnsi" w:hAnsiTheme="majorHAnsi"/>
          <w:color w:val="000000" w:themeColor="text1"/>
          <w:sz w:val="20"/>
          <w:szCs w:val="20"/>
        </w:rPr>
        <w:t xml:space="preserve">1. </w:t>
      </w:r>
      <w:r w:rsidRPr="00923059">
        <w:rPr>
          <w:rFonts w:asciiTheme="majorHAnsi" w:hAnsiTheme="majorHAnsi"/>
          <w:color w:val="000000" w:themeColor="text1"/>
          <w:sz w:val="20"/>
          <w:szCs w:val="20"/>
        </w:rPr>
        <w:tab/>
        <w:t xml:space="preserve">Investigate fully, impartially, and effectively the whereabouts of Alcides Torres Arias and Angel David Quintero and, if applicable, take the necessary measures to identify and deliver their remains to the family members.  </w:t>
      </w:r>
    </w:p>
    <w:p w14:paraId="25D3BC2C" w14:textId="77777777" w:rsidR="009D0DB5" w:rsidRPr="00923059" w:rsidRDefault="009D0DB5" w:rsidP="009D0DB5">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46E6B056" w14:textId="22DBA213" w:rsidR="009D0DB5" w:rsidRPr="00923059" w:rsidRDefault="009D0DB5" w:rsidP="009D0DB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color w:val="000000" w:themeColor="text1"/>
          <w:sz w:val="20"/>
          <w:szCs w:val="20"/>
        </w:rPr>
      </w:pPr>
      <w:r w:rsidRPr="00923059">
        <w:rPr>
          <w:rFonts w:asciiTheme="majorHAnsi" w:hAnsiTheme="majorHAnsi"/>
          <w:color w:val="000000" w:themeColor="text1"/>
          <w:sz w:val="20"/>
          <w:szCs w:val="20"/>
        </w:rPr>
        <w:t>Carry out the domestic proceedings connected with the human rights violations found in the instant report and conduct proceedings corresponding to the offense of forced disappearance of Alcides Torres Arias and Angel David Quintero in an impartial and effective manner within a reasonable time in order to completely clarify the events, identify all those responsible, and impose the appropriate penalties.</w:t>
      </w:r>
    </w:p>
    <w:p w14:paraId="1B07B09B" w14:textId="77777777" w:rsidR="009D0DB5" w:rsidRPr="00923059" w:rsidRDefault="009D0DB5" w:rsidP="009D0D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110EEA3A" w14:textId="77777777" w:rsidR="009D0DB5" w:rsidRPr="00923059" w:rsidRDefault="009D0DB5" w:rsidP="009D0DB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color w:val="000000" w:themeColor="text1"/>
          <w:sz w:val="20"/>
          <w:szCs w:val="20"/>
        </w:rPr>
      </w:pPr>
      <w:r w:rsidRPr="00923059">
        <w:rPr>
          <w:rFonts w:asciiTheme="majorHAnsi" w:hAnsiTheme="majorHAnsi"/>
          <w:color w:val="000000" w:themeColor="text1"/>
          <w:sz w:val="20"/>
          <w:szCs w:val="20"/>
        </w:rPr>
        <w:t>Provide adequate reparation for the human rights violations found in the instant report in material as well as moral respects, including fair compensation, elucidation and circulation of the historical truth of the events, and implementation of an adequate program of care for family members.</w:t>
      </w:r>
    </w:p>
    <w:p w14:paraId="5E6F7F73" w14:textId="77777777" w:rsidR="009D0DB5" w:rsidRPr="00923059" w:rsidRDefault="009D0DB5" w:rsidP="009D0DB5">
      <w:pPr>
        <w:jc w:val="both"/>
      </w:pPr>
    </w:p>
    <w:p w14:paraId="7F16BC78" w14:textId="6FE7686A" w:rsidR="009D0DB5" w:rsidRPr="00923059" w:rsidRDefault="009D0DB5" w:rsidP="009D0D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pPr>
      <w:r w:rsidRPr="00923059">
        <w:rPr>
          <w:sz w:val="20"/>
        </w:rPr>
        <w:t>The Parties were notified of said report on June 15, 2017</w:t>
      </w:r>
      <w:r w:rsidRPr="00923059">
        <w:rPr>
          <w:rStyle w:val="FootnoteReference"/>
          <w:sz w:val="20"/>
        </w:rPr>
        <w:footnoteReference w:id="148"/>
      </w:r>
      <w:r w:rsidRPr="00923059">
        <w:rPr>
          <w:sz w:val="20"/>
        </w:rPr>
        <w:t xml:space="preserve"> and, pursuant to Article 51 of the American Convention, the IACHR granted them two months to submit information regarding compliance with the final recommendations contained therein. The Commission notes that the parties did not submit information subsequent to the issuance of Report No. 43/17. </w:t>
      </w:r>
      <w:r w:rsidRPr="00923059">
        <w:rPr>
          <w:rFonts w:ascii="Cambria" w:hAnsi="Cambria" w:cs="Verdana"/>
          <w:sz w:val="20"/>
          <w:szCs w:val="20"/>
          <w:lang w:val="en"/>
        </w:rPr>
        <w:t xml:space="preserve">In the section hereunder, the Commission reiterates its </w:t>
      </w:r>
      <w:r w:rsidR="005E63E2" w:rsidRPr="00923059">
        <w:rPr>
          <w:rFonts w:ascii="Cambria" w:hAnsi="Cambria" w:cs="Verdana"/>
          <w:sz w:val="20"/>
          <w:szCs w:val="20"/>
          <w:lang w:val="en"/>
        </w:rPr>
        <w:t xml:space="preserve">considerations included in its final report </w:t>
      </w:r>
      <w:r w:rsidRPr="00923059">
        <w:rPr>
          <w:rFonts w:ascii="Cambria" w:hAnsi="Cambria" w:cs="Verdana"/>
          <w:sz w:val="20"/>
          <w:szCs w:val="20"/>
          <w:lang w:val="en"/>
        </w:rPr>
        <w:t>regarding compliance with its recommendations.</w:t>
      </w:r>
    </w:p>
    <w:p w14:paraId="108E08A7" w14:textId="77777777" w:rsidR="009D0DB5" w:rsidRPr="00923059" w:rsidRDefault="009D0DB5" w:rsidP="009D0DB5">
      <w:pPr>
        <w:pStyle w:val="Heading1"/>
        <w:numPr>
          <w:ilvl w:val="0"/>
          <w:numId w:val="0"/>
        </w:numPr>
      </w:pPr>
    </w:p>
    <w:p w14:paraId="4A497241" w14:textId="77777777" w:rsidR="00AB0706" w:rsidRPr="00923059" w:rsidRDefault="00AB0706" w:rsidP="00AB0706">
      <w:pPr>
        <w:pStyle w:val="Heading1"/>
      </w:pPr>
      <w:bookmarkStart w:id="62" w:name="_Toc489882515"/>
      <w:r w:rsidRPr="00923059">
        <w:rPr>
          <w:lang w:val="en"/>
        </w:rPr>
        <w:t>ANALYSIS OF COMPLIANCE WITH RECOMMENDATIONS</w:t>
      </w:r>
      <w:bookmarkEnd w:id="61"/>
      <w:bookmarkEnd w:id="62"/>
    </w:p>
    <w:p w14:paraId="7EB1124F" w14:textId="77777777" w:rsidR="00AB0706" w:rsidRPr="00923059" w:rsidRDefault="00AB0706" w:rsidP="00AB0706"/>
    <w:p w14:paraId="6A1853B6" w14:textId="33A1558A" w:rsidR="00AB0706" w:rsidRPr="00923059" w:rsidRDefault="00AB0706" w:rsidP="00AB07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923059">
        <w:rPr>
          <w:rFonts w:ascii="Cambria" w:hAnsi="Cambria"/>
          <w:b/>
          <w:bCs/>
          <w:sz w:val="20"/>
          <w:szCs w:val="20"/>
          <w:lang w:val="en"/>
        </w:rPr>
        <w:t xml:space="preserve">With regard to the first recommendation, </w:t>
      </w:r>
      <w:r w:rsidRPr="00923059">
        <w:rPr>
          <w:rFonts w:ascii="Cambria" w:hAnsi="Cambria"/>
          <w:sz w:val="20"/>
          <w:szCs w:val="20"/>
          <w:lang w:val="en"/>
        </w:rPr>
        <w:t xml:space="preserve">the parties said three search plans are currently active: the first belongs within the framework of the Justice and Peace Law, the second is being pursued by the Defense Ministry and the third is being pursued by the 37th District Attorney’s Office, in its own investigation. Further, the State noted that there is a National Plan to Search for Missing Persons that is being developed in four stages: i) information gathering; ii) analysis and authentication of information; iii) recovery and technical-scientific evaluation for identification; and iv) final destination of the bodies. The State noted that the search for Alcides Torres and </w:t>
      </w:r>
      <w:r w:rsidR="0021799E" w:rsidRPr="00923059">
        <w:rPr>
          <w:rFonts w:ascii="Cambria" w:hAnsi="Cambria"/>
          <w:sz w:val="20"/>
          <w:szCs w:val="20"/>
          <w:lang w:val="en"/>
        </w:rPr>
        <w:t>Angel</w:t>
      </w:r>
      <w:r w:rsidRPr="00923059">
        <w:rPr>
          <w:rFonts w:ascii="Cambria" w:hAnsi="Cambria"/>
          <w:sz w:val="20"/>
          <w:szCs w:val="20"/>
          <w:lang w:val="en"/>
        </w:rPr>
        <w:t xml:space="preserve"> David Quintero is in the information gathering stage and reported on a series of activities that are allegedly being carried out by the 37th District Attorney’s Office, which specializes in human rights and international humanitarian law specifically for this stage</w:t>
      </w:r>
      <w:r w:rsidRPr="00923059">
        <w:rPr>
          <w:rStyle w:val="FootnoteReference"/>
          <w:rFonts w:ascii="Cambria" w:hAnsi="Cambria"/>
          <w:sz w:val="20"/>
          <w:szCs w:val="20"/>
          <w:lang w:val="en"/>
        </w:rPr>
        <w:footnoteReference w:id="149"/>
      </w:r>
      <w:r w:rsidRPr="00923059">
        <w:rPr>
          <w:rFonts w:ascii="Cambria" w:hAnsi="Cambria"/>
          <w:sz w:val="20"/>
          <w:szCs w:val="20"/>
          <w:lang w:val="en"/>
        </w:rPr>
        <w:t xml:space="preserve">. The Commission values the efforts made by the State to establish the whereabouts of the victims in this case. However, it notes that such efforts have so far failed to deliver concrete results. The Commission </w:t>
      </w:r>
      <w:r w:rsidR="008D7A02" w:rsidRPr="00923059">
        <w:rPr>
          <w:rFonts w:ascii="Cambria" w:hAnsi="Cambria"/>
          <w:sz w:val="20"/>
          <w:szCs w:val="20"/>
          <w:lang w:val="en"/>
        </w:rPr>
        <w:t>urges the State to</w:t>
      </w:r>
      <w:r w:rsidRPr="00923059">
        <w:rPr>
          <w:rFonts w:ascii="Cambria" w:hAnsi="Cambria"/>
          <w:sz w:val="20"/>
          <w:szCs w:val="20"/>
          <w:lang w:val="en"/>
        </w:rPr>
        <w:t xml:space="preserve"> step up search procedures to locate the victims and, if they are located, to adopt all necessary measures to identify them and hand their remains to their families. Based on the foregoing, the Commission considers that comp</w:t>
      </w:r>
      <w:r w:rsidR="008D7A02" w:rsidRPr="00923059">
        <w:rPr>
          <w:rFonts w:ascii="Cambria" w:hAnsi="Cambria"/>
          <w:sz w:val="20"/>
          <w:szCs w:val="20"/>
          <w:lang w:val="en"/>
        </w:rPr>
        <w:t xml:space="preserve">liance with this recommendation </w:t>
      </w:r>
      <w:r w:rsidRPr="00923059">
        <w:rPr>
          <w:rFonts w:ascii="Cambria" w:hAnsi="Cambria"/>
          <w:sz w:val="20"/>
          <w:szCs w:val="20"/>
          <w:lang w:val="en"/>
        </w:rPr>
        <w:t xml:space="preserve">remains pending. </w:t>
      </w:r>
    </w:p>
    <w:p w14:paraId="4250666D" w14:textId="77777777" w:rsidR="00AB0706" w:rsidRPr="00923059" w:rsidRDefault="00AB0706" w:rsidP="00AB07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2176405C" w14:textId="400E1B55" w:rsidR="00AB0706" w:rsidRPr="00923059" w:rsidRDefault="00AB0706" w:rsidP="00AB07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b/>
          <w:sz w:val="20"/>
          <w:szCs w:val="20"/>
        </w:rPr>
      </w:pPr>
      <w:r w:rsidRPr="00923059">
        <w:rPr>
          <w:rFonts w:ascii="Cambria" w:hAnsi="Cambria"/>
          <w:b/>
          <w:bCs/>
          <w:sz w:val="20"/>
          <w:szCs w:val="20"/>
          <w:lang w:val="en"/>
        </w:rPr>
        <w:lastRenderedPageBreak/>
        <w:t xml:space="preserve">With regard to the second recommendation, </w:t>
      </w:r>
      <w:r w:rsidRPr="00923059">
        <w:rPr>
          <w:rFonts w:ascii="Cambria" w:hAnsi="Cambria"/>
          <w:sz w:val="20"/>
          <w:szCs w:val="20"/>
          <w:lang w:val="en"/>
        </w:rPr>
        <w:t>the State reported that six convictions have already been issued for the events in this case, which were passed between 2006 and 2012 and include both p</w:t>
      </w:r>
      <w:r w:rsidR="008D7A02" w:rsidRPr="00923059">
        <w:rPr>
          <w:rFonts w:ascii="Cambria" w:hAnsi="Cambria"/>
          <w:sz w:val="20"/>
          <w:szCs w:val="20"/>
          <w:lang w:val="en"/>
        </w:rPr>
        <w:t xml:space="preserve">aramilitaries and state agents. </w:t>
      </w:r>
      <w:r w:rsidRPr="00923059">
        <w:rPr>
          <w:rFonts w:ascii="Cambria" w:hAnsi="Cambria"/>
          <w:sz w:val="20"/>
          <w:szCs w:val="20"/>
          <w:lang w:val="en"/>
        </w:rPr>
        <w:t xml:space="preserve">The State further noted that the 37th District Attorney’s Office, which specializes in human rights, is still processing the cases against other potential suspects. Based on the foregoing, the Commission considers that this recommendation has been partially complied with, so it asks the State to persist with the investigation and impose penalties on all perpetrators and masterminds involved in events in this case. </w:t>
      </w:r>
    </w:p>
    <w:p w14:paraId="508FDE51" w14:textId="77777777" w:rsidR="00AB0706" w:rsidRPr="00923059" w:rsidRDefault="00AB0706" w:rsidP="00AB0706">
      <w:pPr>
        <w:pStyle w:val="ListParagraph"/>
        <w:rPr>
          <w:b/>
          <w:sz w:val="20"/>
          <w:szCs w:val="20"/>
        </w:rPr>
      </w:pPr>
    </w:p>
    <w:p w14:paraId="3A509B8C" w14:textId="77777777" w:rsidR="00AB0706" w:rsidRPr="00923059" w:rsidRDefault="00AB0706" w:rsidP="00AB07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18"/>
          <w:szCs w:val="18"/>
        </w:rPr>
      </w:pPr>
      <w:r w:rsidRPr="00923059">
        <w:rPr>
          <w:rFonts w:ascii="Cambria" w:hAnsi="Cambria"/>
          <w:b/>
          <w:bCs/>
          <w:sz w:val="20"/>
          <w:szCs w:val="20"/>
          <w:lang w:val="en"/>
        </w:rPr>
        <w:t>With regard to the third recommendation,</w:t>
      </w:r>
      <w:r w:rsidRPr="00923059">
        <w:rPr>
          <w:rFonts w:ascii="Cambria" w:hAnsi="Cambria"/>
          <w:sz w:val="20"/>
          <w:szCs w:val="20"/>
          <w:lang w:val="en"/>
        </w:rPr>
        <w:t xml:space="preserve"> the parties reported that </w:t>
      </w:r>
      <w:r w:rsidR="0021799E" w:rsidRPr="00923059">
        <w:rPr>
          <w:rFonts w:ascii="Cambria" w:hAnsi="Cambria"/>
          <w:sz w:val="20"/>
          <w:szCs w:val="20"/>
          <w:lang w:val="en"/>
        </w:rPr>
        <w:t>Angel</w:t>
      </w:r>
      <w:r w:rsidRPr="00923059">
        <w:rPr>
          <w:rFonts w:ascii="Cambria" w:hAnsi="Cambria"/>
          <w:sz w:val="20"/>
          <w:szCs w:val="20"/>
          <w:lang w:val="en"/>
        </w:rPr>
        <w:t xml:space="preserve"> David Quintero’s family has already received compensation in the framework of administrative proceedings, through a sentence issued by the First Administrative Relief Court in Turbo (Antioquia), which was executed through Resolution Number 3852 of the Legal Affairs Department at the National Defense Ministry, of June 19, 2012. </w:t>
      </w:r>
    </w:p>
    <w:p w14:paraId="416C26B2" w14:textId="77777777" w:rsidR="00AB0706" w:rsidRPr="00923059" w:rsidRDefault="00AB0706" w:rsidP="00AB0706">
      <w:pPr>
        <w:pStyle w:val="ListParagraph"/>
        <w:rPr>
          <w:sz w:val="20"/>
          <w:szCs w:val="20"/>
        </w:rPr>
      </w:pPr>
    </w:p>
    <w:p w14:paraId="6D155686" w14:textId="77777777" w:rsidR="00AB0706" w:rsidRPr="00923059" w:rsidRDefault="00AB0706" w:rsidP="00AB07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18"/>
          <w:szCs w:val="18"/>
        </w:rPr>
      </w:pPr>
      <w:r w:rsidRPr="00923059">
        <w:rPr>
          <w:rFonts w:ascii="Cambria" w:hAnsi="Cambria"/>
          <w:sz w:val="20"/>
          <w:szCs w:val="20"/>
          <w:lang w:val="en"/>
        </w:rPr>
        <w:t xml:space="preserve">In relation to Alcides Torres Arias, the State said the parties had reached an agreement on the amounts required for compensation. The State noted that the conciliation agreement had been legally approved. The victims’ representative had to file the relevant request so that compensation could be paid. The parties further reported that the Psychosocial Assistance and Integral Health for Victims Program is set to provide medical and psychological care for relatives of the victims in this case, with the exception of two beneficiaries who said they did not wish to receive such assistance. The State added that there are plans for an appraisal, to enable the provision of integral assistance at the individual, family and community levels. The Commission believes that it should continue to monitor compliance with this recommendation, with a view to checking that the family of Alcides Torres Arias does receive reparations once it files the relevant request.  Based on the foregoing, the Commission concludes that this recommendation has been partially complied with. </w:t>
      </w:r>
    </w:p>
    <w:p w14:paraId="5AED4B1B" w14:textId="77777777" w:rsidR="00AB0706" w:rsidRPr="00923059" w:rsidRDefault="00AB0706" w:rsidP="00AB0706"/>
    <w:p w14:paraId="5C673462" w14:textId="77777777" w:rsidR="00AB0706" w:rsidRPr="00923059" w:rsidRDefault="00AB0706" w:rsidP="00AB0706">
      <w:pPr>
        <w:pStyle w:val="Heading1"/>
      </w:pPr>
      <w:bookmarkStart w:id="63" w:name="_Toc481497210"/>
      <w:bookmarkStart w:id="64" w:name="_Toc489882516"/>
      <w:r w:rsidRPr="00923059">
        <w:rPr>
          <w:lang w:val="en"/>
        </w:rPr>
        <w:t>CONCLUSIONS AND RECOMMENDATIONS</w:t>
      </w:r>
      <w:bookmarkEnd w:id="63"/>
      <w:bookmarkEnd w:id="64"/>
    </w:p>
    <w:p w14:paraId="6A3E6D7F" w14:textId="77777777" w:rsidR="00AB0706" w:rsidRPr="00923059" w:rsidRDefault="00AB0706" w:rsidP="00AB07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rPr>
      </w:pPr>
    </w:p>
    <w:p w14:paraId="77FB8F94" w14:textId="77777777" w:rsidR="00AB0706" w:rsidRPr="00923059" w:rsidRDefault="00AB0706" w:rsidP="00AB07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Verdana"/>
          <w:sz w:val="20"/>
          <w:szCs w:val="20"/>
        </w:rPr>
      </w:pPr>
      <w:r w:rsidRPr="00923059">
        <w:rPr>
          <w:rFonts w:ascii="Cambria" w:hAnsi="Cambria"/>
          <w:sz w:val="20"/>
          <w:szCs w:val="20"/>
          <w:lang w:val="en"/>
        </w:rPr>
        <w:t>Based on the factual and legal considerations throughout this report, the Commission concludes that the Republic of Colombia is responsible for violations of the right to</w:t>
      </w:r>
      <w:r w:rsidR="00A831E4" w:rsidRPr="00923059">
        <w:rPr>
          <w:rFonts w:ascii="Cambria" w:hAnsi="Cambria"/>
          <w:sz w:val="20"/>
          <w:szCs w:val="20"/>
          <w:lang w:val="en"/>
        </w:rPr>
        <w:t xml:space="preserve"> recognition of</w:t>
      </w:r>
      <w:r w:rsidRPr="00923059">
        <w:rPr>
          <w:rFonts w:ascii="Cambria" w:hAnsi="Cambria"/>
          <w:sz w:val="20"/>
          <w:szCs w:val="20"/>
          <w:lang w:val="en"/>
        </w:rPr>
        <w:t xml:space="preserve"> juridical personality, the right to life, the right to humane treatment, the right to personal liberty, the right to a fair trial and the right to judicial protection enshrined in Articles 3, 4, 5, 7, 8 and 25 of the American Convention, in </w:t>
      </w:r>
      <w:r w:rsidRPr="00923059">
        <w:rPr>
          <w:rFonts w:asciiTheme="majorHAnsi" w:hAnsiTheme="majorHAnsi"/>
          <w:sz w:val="20"/>
          <w:szCs w:val="20"/>
          <w:lang w:val="en"/>
        </w:rPr>
        <w:t xml:space="preserve">accordance with Article 1.1 of said Convention, and with Articles I.a) and I.b) of the Inter-American Convention on the Forced Disappearance of Persons to the detriment of the people mentioned in the relevant sections of this report. </w:t>
      </w:r>
    </w:p>
    <w:p w14:paraId="08C016EE" w14:textId="77777777" w:rsidR="00AB0706" w:rsidRPr="00923059" w:rsidRDefault="00AB0706" w:rsidP="00AB0706">
      <w:pPr>
        <w:pStyle w:val="ListParagraph"/>
        <w:rPr>
          <w:rFonts w:asciiTheme="majorHAnsi" w:hAnsiTheme="majorHAnsi" w:cs="Verdana"/>
          <w:sz w:val="20"/>
          <w:szCs w:val="20"/>
        </w:rPr>
      </w:pPr>
    </w:p>
    <w:p w14:paraId="4C3C6D2B" w14:textId="77777777" w:rsidR="00AB0706" w:rsidRPr="00923059" w:rsidRDefault="00AB0706" w:rsidP="00AB07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cs="Verdana"/>
          <w:sz w:val="20"/>
          <w:szCs w:val="20"/>
        </w:rPr>
      </w:pPr>
      <w:r w:rsidRPr="00923059">
        <w:rPr>
          <w:rFonts w:asciiTheme="majorHAnsi" w:hAnsiTheme="majorHAnsi" w:cs="Verdana"/>
          <w:sz w:val="20"/>
          <w:szCs w:val="20"/>
          <w:lang w:val="en"/>
        </w:rPr>
        <w:t xml:space="preserve">Based on the foregoing conclusions, </w:t>
      </w:r>
    </w:p>
    <w:p w14:paraId="4534FA1D" w14:textId="77777777" w:rsidR="00AB0706" w:rsidRPr="00923059" w:rsidRDefault="00AB0706" w:rsidP="00AB0706">
      <w:pPr>
        <w:pStyle w:val="ListParagraph"/>
        <w:rPr>
          <w:rFonts w:asciiTheme="majorHAnsi" w:hAnsiTheme="majorHAnsi" w:cs="Verdana"/>
          <w:sz w:val="20"/>
          <w:szCs w:val="20"/>
        </w:rPr>
      </w:pPr>
    </w:p>
    <w:p w14:paraId="1C6C0F2B" w14:textId="77777777" w:rsidR="00201FE1" w:rsidRPr="00923059" w:rsidRDefault="00AB0706" w:rsidP="00AB0706">
      <w:pPr>
        <w:jc w:val="center"/>
        <w:rPr>
          <w:rFonts w:asciiTheme="majorHAnsi" w:hAnsiTheme="majorHAnsi"/>
          <w:b/>
          <w:sz w:val="20"/>
          <w:szCs w:val="20"/>
          <w:lang w:val="en"/>
        </w:rPr>
      </w:pPr>
      <w:r w:rsidRPr="00923059">
        <w:rPr>
          <w:rFonts w:asciiTheme="majorHAnsi" w:hAnsiTheme="majorHAnsi"/>
          <w:b/>
          <w:bCs/>
          <w:sz w:val="20"/>
          <w:szCs w:val="20"/>
          <w:lang w:val="en"/>
        </w:rPr>
        <w:t>THE INTER-AMERICAN COMMISSION ON HUMAN RIGHTS RECOMMENDS THAT THE COLOMBIAN STATE CONTINUE TO MAKE EVERY EFFORT NEEDED TO ACHIEVE FULL COMPLIANCE WITH THE FOLLOWING RECOMMENDATIONS:</w:t>
      </w:r>
    </w:p>
    <w:p w14:paraId="788E95EC" w14:textId="77777777" w:rsidR="00201FE1" w:rsidRPr="00923059" w:rsidRDefault="00201FE1" w:rsidP="00201F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GB"/>
        </w:rPr>
      </w:pPr>
    </w:p>
    <w:p w14:paraId="111A6C82" w14:textId="77777777" w:rsidR="00201FE1" w:rsidRPr="00923059" w:rsidRDefault="00201FE1" w:rsidP="00201FE1">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923059">
        <w:rPr>
          <w:rFonts w:asciiTheme="majorHAnsi" w:hAnsiTheme="majorHAnsi"/>
          <w:color w:val="000000" w:themeColor="text1"/>
          <w:sz w:val="20"/>
          <w:szCs w:val="20"/>
        </w:rPr>
        <w:t xml:space="preserve">Investigate fully, impartially, and effectively the whereabouts of Alcides Torres Arias and Angel David Quintero and, if applicable, take the necessary measures to identify and deliver their remains to the family members.  </w:t>
      </w:r>
    </w:p>
    <w:p w14:paraId="3DC16EC0" w14:textId="77777777" w:rsidR="00201FE1" w:rsidRPr="00923059" w:rsidRDefault="00201FE1" w:rsidP="00201FE1">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olor w:val="000000" w:themeColor="text1"/>
          <w:sz w:val="20"/>
          <w:szCs w:val="20"/>
        </w:rPr>
      </w:pPr>
    </w:p>
    <w:p w14:paraId="40C28614" w14:textId="77777777" w:rsidR="00201FE1" w:rsidRPr="00923059" w:rsidRDefault="00201FE1" w:rsidP="00201FE1">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923059">
        <w:rPr>
          <w:rFonts w:asciiTheme="majorHAnsi" w:hAnsiTheme="majorHAnsi"/>
          <w:color w:val="000000" w:themeColor="text1"/>
          <w:sz w:val="20"/>
          <w:szCs w:val="20"/>
        </w:rPr>
        <w:t>Carry out the domestic proceedings connected with the human rights violations found in the instant report and conduct proceedings corresponding to the offense of forced disappearance of Alcides Torres Arias and Angel David Quintero in an impartial and effective manner within a reasonable time in order to completely clarify the events, identify all those responsible, and impose the appropriate penalties.</w:t>
      </w:r>
    </w:p>
    <w:p w14:paraId="019E8E4D" w14:textId="77777777" w:rsidR="00201FE1" w:rsidRPr="00923059" w:rsidRDefault="00201FE1" w:rsidP="00201F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3AC5DC11" w14:textId="77777777" w:rsidR="00201FE1" w:rsidRPr="00923059" w:rsidRDefault="00201FE1" w:rsidP="00201FE1">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923059">
        <w:rPr>
          <w:rFonts w:asciiTheme="majorHAnsi" w:hAnsiTheme="majorHAnsi"/>
          <w:color w:val="000000" w:themeColor="text1"/>
          <w:sz w:val="20"/>
          <w:szCs w:val="20"/>
        </w:rPr>
        <w:t>Provide adequate reparation for the human rights violations found in the instant report in material as well as moral respects, including fair compensation, elucidation and circulation of the historical truth of the events, and implementation of an adequate program of care for family members.</w:t>
      </w:r>
    </w:p>
    <w:p w14:paraId="53984594" w14:textId="77777777" w:rsidR="00201FE1" w:rsidRPr="00923059" w:rsidRDefault="00201FE1" w:rsidP="00201F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13B2160F" w14:textId="125D8CE1" w:rsidR="00AB0706" w:rsidRPr="00923059" w:rsidRDefault="009D0DB5" w:rsidP="00AB0706">
      <w:pPr>
        <w:pStyle w:val="Heading1"/>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cs="Arial"/>
          <w:bCs w:val="0"/>
        </w:rPr>
      </w:pPr>
      <w:bookmarkStart w:id="65" w:name="_Toc489882517"/>
      <w:r w:rsidRPr="00923059">
        <w:rPr>
          <w:rFonts w:cs="Arial"/>
          <w:lang w:val="en"/>
        </w:rPr>
        <w:lastRenderedPageBreak/>
        <w:t>PUBLICATION</w:t>
      </w:r>
      <w:bookmarkEnd w:id="65"/>
    </w:p>
    <w:p w14:paraId="32050861" w14:textId="77777777" w:rsidR="00AB0706" w:rsidRPr="00923059" w:rsidRDefault="00AB0706" w:rsidP="00AB07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rPr>
      </w:pPr>
    </w:p>
    <w:p w14:paraId="349C544E" w14:textId="77777777" w:rsidR="009D0DB5" w:rsidRPr="00923059" w:rsidRDefault="009D0DB5" w:rsidP="009D0D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Theme="majorHAnsi" w:hAnsiTheme="majorHAnsi"/>
          <w:sz w:val="20"/>
          <w:szCs w:val="20"/>
        </w:rPr>
      </w:pPr>
      <w:r w:rsidRPr="00923059">
        <w:rPr>
          <w:rFonts w:asciiTheme="majorHAnsi" w:hAnsiTheme="majorHAnsi"/>
          <w:sz w:val="20"/>
        </w:rPr>
        <w:t>Based on the foregoing considerations and pursuant to Article 47.3 of its Rules of Procedure, the IACHR has decided to publish this report and to include it in its Annual Report to the General Assembly of the Organization of American States. Pursuant to the provisions of the instruments governing its mandate, the Inter-American Commission will continue to evaluate measures adopted by Colombia in respect of the above-mentioned recommendations until it finds that they have been implemented in full.</w:t>
      </w:r>
    </w:p>
    <w:p w14:paraId="777F27BB" w14:textId="77777777" w:rsidR="00201FE1" w:rsidRDefault="00201FE1" w:rsidP="00AB0706">
      <w:pPr>
        <w:pStyle w:val="Heading1"/>
        <w:keepLines w:val="0"/>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pPr>
    </w:p>
    <w:p w14:paraId="5D69B618" w14:textId="5B788093" w:rsidR="002D7677" w:rsidRPr="00316EBF" w:rsidRDefault="00AD4114" w:rsidP="002D767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Pr>
          <w:rFonts w:ascii="Cambria" w:eastAsia="Times New Roman" w:hAnsi="Cambria"/>
          <w:snapToGrid w:val="0"/>
          <w:spacing w:val="-2"/>
          <w:sz w:val="20"/>
          <w:szCs w:val="20"/>
          <w:bdr w:val="none" w:sz="0" w:space="0" w:color="auto"/>
        </w:rPr>
        <w:t>Approved by the Inter-American Commission on Human Rights</w:t>
      </w:r>
      <w:r w:rsidR="002D7677" w:rsidRPr="00316EBF">
        <w:rPr>
          <w:rFonts w:ascii="Cambria" w:eastAsia="Times New Roman" w:hAnsi="Cambria"/>
          <w:snapToGrid w:val="0"/>
          <w:spacing w:val="-2"/>
          <w:sz w:val="20"/>
          <w:szCs w:val="20"/>
          <w:bdr w:val="none" w:sz="0" w:space="0" w:color="auto"/>
        </w:rPr>
        <w:t xml:space="preserve"> in the city of </w:t>
      </w:r>
      <w:r w:rsidR="002D7677">
        <w:rPr>
          <w:rFonts w:ascii="Cambria" w:eastAsia="Times New Roman" w:hAnsi="Cambria"/>
          <w:snapToGrid w:val="0"/>
          <w:spacing w:val="-2"/>
          <w:sz w:val="20"/>
          <w:szCs w:val="20"/>
          <w:bdr w:val="none" w:sz="0" w:space="0" w:color="auto"/>
        </w:rPr>
        <w:t>Mexico</w:t>
      </w:r>
      <w:r w:rsidR="002D7677">
        <w:rPr>
          <w:rFonts w:ascii="Cambria" w:eastAsia="Times New Roman" w:hAnsi="Cambria"/>
          <w:snapToGrid w:val="0"/>
          <w:spacing w:val="-2"/>
          <w:sz w:val="20"/>
          <w:szCs w:val="20"/>
          <w:bdr w:val="none" w:sz="0" w:space="0" w:color="auto"/>
        </w:rPr>
        <w:t xml:space="preserve">, </w:t>
      </w:r>
      <w:r w:rsidR="002D7677">
        <w:rPr>
          <w:rFonts w:ascii="Cambria" w:eastAsia="Times New Roman" w:hAnsi="Cambria"/>
          <w:snapToGrid w:val="0"/>
          <w:spacing w:val="-2"/>
          <w:sz w:val="20"/>
          <w:szCs w:val="20"/>
          <w:bdr w:val="none" w:sz="0" w:space="0" w:color="auto"/>
        </w:rPr>
        <w:t>Mexico</w:t>
      </w:r>
      <w:r w:rsidR="002D7677" w:rsidRPr="00316EBF">
        <w:rPr>
          <w:rFonts w:ascii="Cambria" w:eastAsia="Times New Roman" w:hAnsi="Cambria"/>
          <w:snapToGrid w:val="0"/>
          <w:spacing w:val="-2"/>
          <w:sz w:val="20"/>
          <w:szCs w:val="20"/>
          <w:bdr w:val="none" w:sz="0" w:space="0" w:color="auto"/>
        </w:rPr>
        <w:t xml:space="preserve">, on the </w:t>
      </w:r>
      <w:r w:rsidR="002D7677">
        <w:rPr>
          <w:rFonts w:ascii="Cambria" w:eastAsia="Times New Roman" w:hAnsi="Cambria"/>
          <w:snapToGrid w:val="0"/>
          <w:spacing w:val="-2"/>
          <w:sz w:val="20"/>
          <w:szCs w:val="20"/>
          <w:bdr w:val="none" w:sz="0" w:space="0" w:color="auto"/>
        </w:rPr>
        <w:t>5th</w:t>
      </w:r>
      <w:r w:rsidR="002D7677" w:rsidRPr="00316EBF">
        <w:rPr>
          <w:rFonts w:ascii="Cambria" w:eastAsia="Times New Roman" w:hAnsi="Cambria"/>
          <w:snapToGrid w:val="0"/>
          <w:spacing w:val="-2"/>
          <w:sz w:val="20"/>
          <w:szCs w:val="20"/>
          <w:bdr w:val="none" w:sz="0" w:space="0" w:color="auto"/>
        </w:rPr>
        <w:t xml:space="preserve"> day of the month of </w:t>
      </w:r>
      <w:r w:rsidR="002D7677">
        <w:rPr>
          <w:rFonts w:ascii="Cambria" w:eastAsia="Times New Roman" w:hAnsi="Cambria"/>
          <w:snapToGrid w:val="0"/>
          <w:spacing w:val="-2"/>
          <w:sz w:val="20"/>
          <w:szCs w:val="20"/>
          <w:bdr w:val="none" w:sz="0" w:space="0" w:color="auto"/>
        </w:rPr>
        <w:t>September</w:t>
      </w:r>
      <w:r w:rsidR="002D7677" w:rsidRPr="00316EBF">
        <w:rPr>
          <w:rFonts w:ascii="Cambria" w:eastAsia="Times New Roman" w:hAnsi="Cambria"/>
          <w:snapToGrid w:val="0"/>
          <w:spacing w:val="-2"/>
          <w:sz w:val="20"/>
          <w:szCs w:val="20"/>
          <w:bdr w:val="none" w:sz="0" w:space="0" w:color="auto"/>
        </w:rPr>
        <w:t>, 201</w:t>
      </w:r>
      <w:r w:rsidR="002D7677">
        <w:rPr>
          <w:rFonts w:ascii="Cambria" w:eastAsia="Times New Roman" w:hAnsi="Cambria"/>
          <w:snapToGrid w:val="0"/>
          <w:spacing w:val="-2"/>
          <w:sz w:val="20"/>
          <w:szCs w:val="20"/>
          <w:bdr w:val="none" w:sz="0" w:space="0" w:color="auto"/>
        </w:rPr>
        <w:t>7</w:t>
      </w:r>
      <w:r w:rsidR="002D7677" w:rsidRPr="00316EBF">
        <w:rPr>
          <w:rFonts w:ascii="Cambria" w:eastAsia="Times New Roman" w:hAnsi="Cambria"/>
          <w:snapToGrid w:val="0"/>
          <w:spacing w:val="-2"/>
          <w:sz w:val="20"/>
          <w:szCs w:val="20"/>
          <w:bdr w:val="none" w:sz="0" w:space="0" w:color="auto"/>
        </w:rPr>
        <w:t xml:space="preserve">. (Signed):  </w:t>
      </w:r>
      <w:r w:rsidR="002D7677" w:rsidRPr="00316EBF">
        <w:rPr>
          <w:rFonts w:ascii="Cambria" w:eastAsia="Times New Roman" w:hAnsi="Cambria" w:cs="Arial"/>
          <w:noProof/>
          <w:snapToGrid w:val="0"/>
          <w:spacing w:val="-2"/>
          <w:sz w:val="20"/>
          <w:szCs w:val="20"/>
          <w:bdr w:val="none" w:sz="0" w:space="0" w:color="auto"/>
        </w:rPr>
        <w:t>Francisco José Eguiguren</w:t>
      </w:r>
      <w:r w:rsidR="002D7677" w:rsidRPr="00316EBF">
        <w:rPr>
          <w:rFonts w:ascii="Cambria" w:eastAsia="Times New Roman" w:hAnsi="Cambria"/>
          <w:snapToGrid w:val="0"/>
          <w:spacing w:val="-2"/>
          <w:sz w:val="20"/>
          <w:szCs w:val="20"/>
          <w:bdr w:val="none" w:sz="0" w:space="0" w:color="auto"/>
        </w:rPr>
        <w:t>,</w:t>
      </w:r>
      <w:r w:rsidR="002D7677" w:rsidRPr="00316EBF">
        <w:rPr>
          <w:rFonts w:ascii="Cambria" w:eastAsia="Times New Roman" w:hAnsi="Cambria" w:cs="Arial"/>
          <w:noProof/>
          <w:snapToGrid w:val="0"/>
          <w:spacing w:val="-2"/>
          <w:sz w:val="20"/>
          <w:szCs w:val="20"/>
          <w:bdr w:val="none" w:sz="0" w:space="0" w:color="auto"/>
        </w:rPr>
        <w:t xml:space="preserve"> </w:t>
      </w:r>
      <w:r w:rsidR="002D7677" w:rsidRPr="00316EBF">
        <w:rPr>
          <w:rFonts w:ascii="Cambria" w:eastAsia="Times New Roman" w:hAnsi="Cambria"/>
          <w:snapToGrid w:val="0"/>
          <w:sz w:val="20"/>
          <w:szCs w:val="20"/>
          <w:bdr w:val="none" w:sz="0" w:space="0" w:color="auto"/>
        </w:rPr>
        <w:t xml:space="preserve">President; </w:t>
      </w:r>
      <w:r w:rsidR="002D7677" w:rsidRPr="00316EBF">
        <w:rPr>
          <w:rFonts w:ascii="Cambria" w:eastAsia="Times New Roman" w:hAnsi="Cambria" w:cs="Arial"/>
          <w:noProof/>
          <w:snapToGrid w:val="0"/>
          <w:spacing w:val="-2"/>
          <w:sz w:val="20"/>
          <w:szCs w:val="20"/>
          <w:bdr w:val="none" w:sz="0" w:space="0" w:color="auto"/>
        </w:rPr>
        <w:t xml:space="preserve">Margarette May Macaulay, </w:t>
      </w:r>
      <w:r w:rsidR="002D7677" w:rsidRPr="00316EBF">
        <w:rPr>
          <w:rFonts w:ascii="Cambria" w:eastAsia="Times New Roman" w:hAnsi="Cambria"/>
          <w:snapToGrid w:val="0"/>
          <w:spacing w:val="-2"/>
          <w:sz w:val="20"/>
          <w:szCs w:val="20"/>
          <w:bdr w:val="none" w:sz="0" w:space="0" w:color="auto"/>
        </w:rPr>
        <w:t>First Vice President;</w:t>
      </w:r>
      <w:r w:rsidR="002D7677" w:rsidRPr="00316EBF">
        <w:rPr>
          <w:rFonts w:ascii="Cambria" w:eastAsia="Times New Roman" w:hAnsi="Cambria" w:cs="Arial"/>
          <w:noProof/>
          <w:snapToGrid w:val="0"/>
          <w:spacing w:val="-2"/>
          <w:sz w:val="20"/>
          <w:szCs w:val="20"/>
          <w:bdr w:val="none" w:sz="0" w:space="0" w:color="auto"/>
        </w:rPr>
        <w:t xml:space="preserve"> Esmeralda E. Arosemena Bernal de Troitiño</w:t>
      </w:r>
      <w:r w:rsidR="002D7677">
        <w:rPr>
          <w:rFonts w:ascii="Cambria" w:eastAsia="Times New Roman" w:hAnsi="Cambria" w:cs="Arial"/>
          <w:noProof/>
          <w:snapToGrid w:val="0"/>
          <w:spacing w:val="-2"/>
          <w:sz w:val="20"/>
          <w:szCs w:val="20"/>
          <w:bdr w:val="none" w:sz="0" w:space="0" w:color="auto"/>
        </w:rPr>
        <w:t>,</w:t>
      </w:r>
      <w:r w:rsidR="002D7677" w:rsidRPr="00316EBF">
        <w:rPr>
          <w:rFonts w:ascii="Cambria" w:eastAsia="Times New Roman" w:hAnsi="Cambria" w:cs="Arial"/>
          <w:noProof/>
          <w:snapToGrid w:val="0"/>
          <w:spacing w:val="-2"/>
          <w:sz w:val="20"/>
          <w:szCs w:val="20"/>
          <w:bdr w:val="none" w:sz="0" w:space="0" w:color="auto"/>
        </w:rPr>
        <w:t xml:space="preserve"> </w:t>
      </w:r>
      <w:r w:rsidR="002D7677" w:rsidRPr="00316EBF">
        <w:rPr>
          <w:rFonts w:ascii="Cambria" w:eastAsia="Times New Roman" w:hAnsi="Cambria" w:cs="Arial"/>
          <w:noProof/>
          <w:snapToGrid w:val="0"/>
          <w:spacing w:val="-2"/>
          <w:sz w:val="20"/>
          <w:szCs w:val="20"/>
          <w:bdr w:val="none" w:sz="0" w:space="0" w:color="auto"/>
        </w:rPr>
        <w:t>Second Vice President;</w:t>
      </w:r>
      <w:r w:rsidR="002D7677" w:rsidRPr="00316EBF">
        <w:rPr>
          <w:rFonts w:ascii="Cambria" w:eastAsia="Times New Roman" w:hAnsi="Cambria"/>
          <w:snapToGrid w:val="0"/>
          <w:sz w:val="20"/>
          <w:szCs w:val="20"/>
          <w:bdr w:val="none" w:sz="0" w:space="0" w:color="auto"/>
        </w:rPr>
        <w:t xml:space="preserve"> </w:t>
      </w:r>
      <w:r w:rsidR="002D7677" w:rsidRPr="00316EBF">
        <w:rPr>
          <w:rFonts w:ascii="Cambria" w:eastAsia="Times New Roman" w:hAnsi="Cambria" w:cs="Arial"/>
          <w:noProof/>
          <w:snapToGrid w:val="0"/>
          <w:spacing w:val="-2"/>
          <w:sz w:val="20"/>
          <w:szCs w:val="20"/>
          <w:bdr w:val="none" w:sz="0" w:space="0" w:color="auto"/>
        </w:rPr>
        <w:t xml:space="preserve">José de Jesús Orozco Henríquez, </w:t>
      </w:r>
      <w:r w:rsidR="002D7677">
        <w:rPr>
          <w:rFonts w:ascii="Cambria" w:eastAsia="Times New Roman" w:hAnsi="Cambria" w:cs="Arial"/>
          <w:noProof/>
          <w:snapToGrid w:val="0"/>
          <w:spacing w:val="-2"/>
          <w:sz w:val="20"/>
          <w:szCs w:val="20"/>
          <w:bdr w:val="none" w:sz="0" w:space="0" w:color="auto"/>
        </w:rPr>
        <w:t>Paulo Vannuchi and</w:t>
      </w:r>
      <w:r w:rsidR="002D7677">
        <w:rPr>
          <w:rFonts w:ascii="Cambria" w:eastAsia="Times New Roman" w:hAnsi="Cambria" w:cs="Arial"/>
          <w:noProof/>
          <w:snapToGrid w:val="0"/>
          <w:spacing w:val="-2"/>
          <w:sz w:val="20"/>
          <w:szCs w:val="20"/>
          <w:bdr w:val="none" w:sz="0" w:space="0" w:color="auto"/>
        </w:rPr>
        <w:t xml:space="preserve"> </w:t>
      </w:r>
      <w:r w:rsidR="002D7677" w:rsidRPr="00316EBF">
        <w:rPr>
          <w:rFonts w:ascii="Cambria" w:eastAsia="Times New Roman" w:hAnsi="Cambria" w:cs="Arial"/>
          <w:noProof/>
          <w:snapToGrid w:val="0"/>
          <w:spacing w:val="-2"/>
          <w:sz w:val="20"/>
          <w:szCs w:val="20"/>
          <w:bdr w:val="none" w:sz="0" w:space="0" w:color="auto"/>
        </w:rPr>
        <w:t>James L. Cavallaro,</w:t>
      </w:r>
      <w:r w:rsidR="002D7677">
        <w:rPr>
          <w:rFonts w:ascii="Cambria" w:eastAsia="Times New Roman" w:hAnsi="Cambria" w:cs="Arial"/>
          <w:noProof/>
          <w:snapToGrid w:val="0"/>
          <w:spacing w:val="-2"/>
          <w:sz w:val="20"/>
          <w:szCs w:val="20"/>
          <w:bdr w:val="none" w:sz="0" w:space="0" w:color="auto"/>
        </w:rPr>
        <w:t xml:space="preserve"> </w:t>
      </w:r>
      <w:r w:rsidR="002D7677" w:rsidRPr="00316EBF">
        <w:rPr>
          <w:rFonts w:ascii="Cambria" w:eastAsia="Times New Roman" w:hAnsi="Cambria"/>
          <w:snapToGrid w:val="0"/>
          <w:spacing w:val="-2"/>
          <w:sz w:val="20"/>
          <w:szCs w:val="20"/>
          <w:bdr w:val="none" w:sz="0" w:space="0" w:color="auto"/>
        </w:rPr>
        <w:t>Commissioners.</w:t>
      </w:r>
    </w:p>
    <w:p w14:paraId="0303F0BC" w14:textId="77777777" w:rsidR="004E6AF8" w:rsidRPr="004E6AF8" w:rsidRDefault="004E6AF8" w:rsidP="004E6AF8"/>
    <w:sectPr w:rsidR="004E6AF8" w:rsidRPr="004E6AF8" w:rsidSect="006311DA">
      <w:footerReference w:type="first" r:id="rId17"/>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872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89D2D" w14:textId="77777777" w:rsidR="00754D84" w:rsidRDefault="00754D84" w:rsidP="00036A8A">
      <w:r>
        <w:separator/>
      </w:r>
    </w:p>
  </w:endnote>
  <w:endnote w:type="continuationSeparator" w:id="0">
    <w:p w14:paraId="0D3B980A" w14:textId="77777777" w:rsidR="00754D84" w:rsidRDefault="00754D8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Italic">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00EB" w14:textId="77777777" w:rsidR="00C25BEE" w:rsidRDefault="00C25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2EC24097" w14:textId="7585C534" w:rsidR="00795A52" w:rsidRPr="006311DA" w:rsidRDefault="00795A5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E5CEB">
          <w:rPr>
            <w:noProof/>
            <w:sz w:val="16"/>
          </w:rPr>
          <w:t>1</w:t>
        </w:r>
        <w:r w:rsidRPr="006311DA">
          <w:rPr>
            <w:noProof/>
            <w:sz w:val="16"/>
          </w:rPr>
          <w:fldChar w:fldCharType="end"/>
        </w:r>
      </w:p>
    </w:sdtContent>
  </w:sdt>
  <w:p w14:paraId="6D34B047" w14:textId="77777777" w:rsidR="00795A52" w:rsidRDefault="00795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0DE7" w14:textId="77777777" w:rsidR="00795A52" w:rsidRDefault="00795A52">
    <w:pPr>
      <w:pStyle w:val="Footer"/>
      <w:jc w:val="center"/>
    </w:pPr>
  </w:p>
  <w:p w14:paraId="185944C4" w14:textId="77777777" w:rsidR="00795A52" w:rsidRDefault="00795A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14:paraId="7B097FFF" w14:textId="77777777" w:rsidR="00795A52" w:rsidRDefault="00795A5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806587" w14:textId="77777777" w:rsidR="00795A52" w:rsidRDefault="00795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65544" w14:textId="77777777" w:rsidR="00754D84" w:rsidRPr="00036A8A" w:rsidRDefault="00754D8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B137C51" w14:textId="77777777" w:rsidR="00754D84" w:rsidRPr="00036A8A" w:rsidRDefault="00754D84" w:rsidP="00036A8A">
      <w:pPr>
        <w:rPr>
          <w:rFonts w:asciiTheme="majorHAnsi" w:hAnsiTheme="majorHAnsi"/>
          <w:sz w:val="16"/>
          <w:szCs w:val="16"/>
        </w:rPr>
      </w:pPr>
      <w:r w:rsidRPr="00036A8A">
        <w:rPr>
          <w:rFonts w:asciiTheme="majorHAnsi" w:hAnsiTheme="majorHAnsi"/>
          <w:sz w:val="16"/>
          <w:szCs w:val="16"/>
        </w:rPr>
        <w:separator/>
      </w:r>
    </w:p>
    <w:p w14:paraId="65951194" w14:textId="77777777" w:rsidR="00754D84" w:rsidRPr="00036A8A" w:rsidRDefault="00754D8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DF3F121" w14:textId="77777777" w:rsidR="00754D84" w:rsidRPr="0093441A" w:rsidRDefault="00754D8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03087D0"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w:t>
      </w:r>
      <w:r w:rsidRPr="00795A52">
        <w:rPr>
          <w:rFonts w:asciiTheme="majorHAnsi" w:hAnsiTheme="majorHAnsi" w:cs="Arial"/>
          <w:sz w:val="16"/>
          <w:szCs w:val="16"/>
        </w:rPr>
        <w:t>In accordance with Article 17(2) of the Rules of Procedure of the IACHR, Commissioner Luis Vargas Silva, a Colombian national, did not participate in the discussion or decision in this case.</w:t>
      </w:r>
    </w:p>
  </w:footnote>
  <w:footnote w:id="3">
    <w:p w14:paraId="17B179A7" w14:textId="194CCB05" w:rsidR="00795A52" w:rsidRPr="00795A52" w:rsidRDefault="00795A52" w:rsidP="00795A52">
      <w:pPr>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IACHR, Report No. 6/03 (Admissibility), Petition 0597/2000  </w:t>
      </w:r>
      <w:r w:rsidRPr="00795A52">
        <w:rPr>
          <w:rFonts w:asciiTheme="majorHAnsi" w:hAnsiTheme="majorHAnsi"/>
          <w:i/>
          <w:sz w:val="16"/>
          <w:szCs w:val="16"/>
        </w:rPr>
        <w:t xml:space="preserve">Alcides Torres Arias </w:t>
      </w:r>
      <w:r w:rsidRPr="00795A52">
        <w:rPr>
          <w:rFonts w:asciiTheme="majorHAnsi" w:hAnsiTheme="majorHAnsi"/>
          <w:sz w:val="16"/>
          <w:szCs w:val="16"/>
        </w:rPr>
        <w:t xml:space="preserve">(Colombia) , February 20, 2003, </w:t>
      </w:r>
      <w:r>
        <w:rPr>
          <w:rFonts w:asciiTheme="majorHAnsi" w:hAnsiTheme="majorHAnsi"/>
          <w:sz w:val="16"/>
          <w:szCs w:val="16"/>
        </w:rPr>
        <w:t>paras.</w:t>
      </w:r>
      <w:r w:rsidRPr="00795A52">
        <w:rPr>
          <w:rFonts w:asciiTheme="majorHAnsi" w:hAnsiTheme="majorHAnsi"/>
          <w:sz w:val="16"/>
          <w:szCs w:val="16"/>
        </w:rPr>
        <w:t xml:space="preserve"> 4, 5, and 6.</w:t>
      </w:r>
    </w:p>
  </w:footnote>
  <w:footnote w:id="4">
    <w:p w14:paraId="0E94B3F1"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Communication of the IACHR of August 6, 2002, granting precautionary measures MC 292/02. </w:t>
      </w:r>
    </w:p>
  </w:footnote>
  <w:footnote w:id="5">
    <w:p w14:paraId="79C7E7D5"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In fact, Decree 3398 of 1965 (National Defense Act) and Law 48 of 1968 authorized the establishment of civilian patrols that received weapons for the exclusive use of the State's security forces, thanks to authorization by the Ministry of Defense.  Article 25 of Decree 3398 of 1965 established that "All Colombian men and women, not bound by obligatory military service requirements, may be used by the Government for activities and work contributing to the restoration of order (</w:t>
      </w:r>
      <w:r w:rsidRPr="00795A52">
        <w:rPr>
          <w:rFonts w:asciiTheme="majorHAnsi" w:hAnsiTheme="majorHAnsi"/>
          <w:i/>
          <w:sz w:val="16"/>
          <w:szCs w:val="16"/>
        </w:rPr>
        <w:t>la normalidad)."</w:t>
      </w:r>
      <w:r w:rsidRPr="00795A52">
        <w:rPr>
          <w:rFonts w:asciiTheme="majorHAnsi" w:hAnsiTheme="majorHAnsi"/>
          <w:sz w:val="16"/>
          <w:szCs w:val="16"/>
        </w:rPr>
        <w:t xml:space="preserve"> IACHR, Report No. 75/06, Jesús María Valle Jaramillo, October 16, 2006, par. 61.</w:t>
      </w:r>
    </w:p>
  </w:footnote>
  <w:footnote w:id="6">
    <w:p w14:paraId="0515DAEE" w14:textId="76AF4571"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IACHR, Third Report on the Situation of Human Rights in Colombia.  OEA/Ser.L/V/II.102 Doc. 9 rev. 1, February 26, 1999, Chapter IV, par</w:t>
      </w:r>
      <w:r>
        <w:rPr>
          <w:rFonts w:asciiTheme="majorHAnsi" w:hAnsiTheme="majorHAnsi"/>
          <w:sz w:val="16"/>
          <w:szCs w:val="16"/>
        </w:rPr>
        <w:t>a</w:t>
      </w:r>
      <w:r w:rsidRPr="00795A52">
        <w:rPr>
          <w:rFonts w:asciiTheme="majorHAnsi" w:hAnsiTheme="majorHAnsi"/>
          <w:sz w:val="16"/>
          <w:szCs w:val="16"/>
        </w:rPr>
        <w:t xml:space="preserve">. 236. At: </w:t>
      </w:r>
      <w:hyperlink r:id="rId1">
        <w:r w:rsidRPr="00795A52">
          <w:rPr>
            <w:rStyle w:val="Hyperlink"/>
            <w:rFonts w:asciiTheme="majorHAnsi" w:hAnsiTheme="majorHAnsi"/>
            <w:sz w:val="16"/>
            <w:szCs w:val="16"/>
          </w:rPr>
          <w:t>http://www.cidh.org/countryrep/Colom99sp/indice.htm</w:t>
        </w:r>
      </w:hyperlink>
      <w:r w:rsidRPr="00795A52">
        <w:rPr>
          <w:rFonts w:asciiTheme="majorHAnsi" w:hAnsiTheme="majorHAnsi"/>
          <w:sz w:val="16"/>
          <w:szCs w:val="16"/>
        </w:rPr>
        <w:t>. IACHR, Report No. 75/06, Jesús María Valle Jaramillo, October 16, 2006, par</w:t>
      </w:r>
      <w:r>
        <w:rPr>
          <w:rFonts w:asciiTheme="majorHAnsi" w:hAnsiTheme="majorHAnsi"/>
          <w:sz w:val="16"/>
          <w:szCs w:val="16"/>
        </w:rPr>
        <w:t>a</w:t>
      </w:r>
      <w:r w:rsidRPr="00795A52">
        <w:rPr>
          <w:rFonts w:asciiTheme="majorHAnsi" w:hAnsiTheme="majorHAnsi"/>
          <w:sz w:val="16"/>
          <w:szCs w:val="16"/>
        </w:rPr>
        <w:t>. 61.</w:t>
      </w:r>
    </w:p>
  </w:footnote>
  <w:footnote w:id="7">
    <w:p w14:paraId="327C9C60" w14:textId="3D08093F"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IACHR, Third Report on the Situation of Human Rights in Colombia. OEA/Ser.L/V/II.102 Doc. 9 rev. 1, February 26, 1999, Chapter I, paragraphs 7-19. At: </w:t>
      </w:r>
      <w:hyperlink r:id="rId2">
        <w:r w:rsidRPr="00795A52">
          <w:rPr>
            <w:rStyle w:val="Hyperlink"/>
            <w:rFonts w:asciiTheme="majorHAnsi" w:hAnsiTheme="majorHAnsi"/>
            <w:sz w:val="16"/>
            <w:szCs w:val="16"/>
          </w:rPr>
          <w:t>http://www.cidh.org/countryrep/Colom99sp/indice.htm</w:t>
        </w:r>
      </w:hyperlink>
      <w:r w:rsidRPr="00795A52">
        <w:rPr>
          <w:rFonts w:asciiTheme="majorHAnsi" w:hAnsiTheme="majorHAnsi"/>
          <w:sz w:val="16"/>
          <w:szCs w:val="16"/>
        </w:rPr>
        <w:t>. IACHR, Report No. 75/06, Jesús María Valle Jaramillo, October 16, 2006, par</w:t>
      </w:r>
      <w:r>
        <w:rPr>
          <w:rFonts w:asciiTheme="majorHAnsi" w:hAnsiTheme="majorHAnsi"/>
          <w:sz w:val="16"/>
          <w:szCs w:val="16"/>
        </w:rPr>
        <w:t>a</w:t>
      </w:r>
      <w:r w:rsidRPr="00795A52">
        <w:rPr>
          <w:rFonts w:asciiTheme="majorHAnsi" w:hAnsiTheme="majorHAnsi"/>
          <w:sz w:val="16"/>
          <w:szCs w:val="16"/>
        </w:rPr>
        <w:t>. 62.</w:t>
      </w:r>
    </w:p>
  </w:footnote>
  <w:footnote w:id="8">
    <w:p w14:paraId="7187E663" w14:textId="78577FD6" w:rsidR="00795A52" w:rsidRPr="00795A52" w:rsidRDefault="00795A52" w:rsidP="00795A52">
      <w:pPr>
        <w:pStyle w:val="FootnoteText"/>
        <w:spacing w:after="120"/>
        <w:ind w:firstLine="720"/>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w:t>
      </w:r>
      <w:r w:rsidRPr="00795A52">
        <w:rPr>
          <w:rFonts w:asciiTheme="majorHAnsi" w:hAnsiTheme="majorHAnsi"/>
          <w:i/>
          <w:sz w:val="16"/>
          <w:szCs w:val="16"/>
        </w:rPr>
        <w:t xml:space="preserve">Cf. </w:t>
      </w:r>
      <w:r w:rsidRPr="00795A52">
        <w:rPr>
          <w:rFonts w:asciiTheme="majorHAnsi" w:hAnsiTheme="majorHAnsi"/>
          <w:sz w:val="16"/>
          <w:szCs w:val="16"/>
        </w:rPr>
        <w:t xml:space="preserve">I/A Court H.R., </w:t>
      </w:r>
      <w:r w:rsidRPr="00795A52">
        <w:rPr>
          <w:rFonts w:asciiTheme="majorHAnsi" w:hAnsiTheme="majorHAnsi"/>
          <w:i/>
          <w:sz w:val="16"/>
          <w:szCs w:val="16"/>
        </w:rPr>
        <w:t>Case of the “Mapiripán Massacre” v. Colombia</w:t>
      </w:r>
      <w:r w:rsidRPr="00795A52">
        <w:rPr>
          <w:rFonts w:asciiTheme="majorHAnsi" w:hAnsiTheme="majorHAnsi"/>
          <w:sz w:val="16"/>
          <w:szCs w:val="16"/>
        </w:rPr>
        <w:t>. Preliminary Objections. Judgment of March 07, 2005. Series C No. 122, par</w:t>
      </w:r>
      <w:r>
        <w:rPr>
          <w:rFonts w:asciiTheme="majorHAnsi" w:hAnsiTheme="majorHAnsi"/>
          <w:sz w:val="16"/>
          <w:szCs w:val="16"/>
        </w:rPr>
        <w:t>a</w:t>
      </w:r>
      <w:r w:rsidRPr="00795A52">
        <w:rPr>
          <w:rFonts w:asciiTheme="majorHAnsi" w:hAnsiTheme="majorHAnsi"/>
          <w:sz w:val="16"/>
          <w:szCs w:val="16"/>
        </w:rPr>
        <w:t>. 96.1 – 96.5.</w:t>
      </w:r>
    </w:p>
  </w:footnote>
  <w:footnote w:id="9">
    <w:p w14:paraId="059E6A2A" w14:textId="4FD03FA9" w:rsidR="00795A52" w:rsidRPr="00795A52" w:rsidRDefault="00795A52" w:rsidP="00795A52">
      <w:pPr>
        <w:pStyle w:val="FootnoteText"/>
        <w:spacing w:after="120"/>
        <w:ind w:firstLine="720"/>
        <w:jc w:val="both"/>
        <w:rPr>
          <w:rFonts w:asciiTheme="majorHAnsi" w:hAnsiTheme="majorHAnsi"/>
          <w:sz w:val="16"/>
          <w:szCs w:val="16"/>
        </w:rPr>
      </w:pPr>
      <w:r w:rsidRPr="00795A52">
        <w:rPr>
          <w:rFonts w:asciiTheme="majorHAnsi" w:hAnsiTheme="majorHAnsi"/>
          <w:sz w:val="16"/>
          <w:szCs w:val="16"/>
          <w:vertAlign w:val="superscript"/>
        </w:rPr>
        <w:footnoteRef/>
      </w:r>
      <w:r w:rsidRPr="00795A52">
        <w:rPr>
          <w:rFonts w:asciiTheme="majorHAnsi" w:hAnsiTheme="majorHAnsi"/>
          <w:sz w:val="16"/>
          <w:szCs w:val="16"/>
        </w:rPr>
        <w:t xml:space="preserve"> Articles 25 and 33 of Legislative Decree 3398 (National Defense Act) and Law 48 of 1968 constituted the legal foundations for the creation of “self-defense groups.” </w:t>
      </w:r>
      <w:r w:rsidRPr="00795A52">
        <w:rPr>
          <w:rFonts w:asciiTheme="majorHAnsi" w:hAnsiTheme="majorHAnsi"/>
          <w:i/>
          <w:sz w:val="16"/>
          <w:szCs w:val="16"/>
        </w:rPr>
        <w:t>Cf.</w:t>
      </w:r>
      <w:r w:rsidRPr="00795A52">
        <w:rPr>
          <w:rFonts w:asciiTheme="majorHAnsi" w:hAnsiTheme="majorHAnsi"/>
          <w:sz w:val="16"/>
          <w:szCs w:val="16"/>
        </w:rPr>
        <w:t xml:space="preserve"> I/A Court H.R., Case of the 19 Merchants v. Colombia. Judgment of July 5, 2004. Series C No. 109, par</w:t>
      </w:r>
      <w:r>
        <w:rPr>
          <w:rFonts w:asciiTheme="majorHAnsi" w:hAnsiTheme="majorHAnsi"/>
          <w:sz w:val="16"/>
          <w:szCs w:val="16"/>
        </w:rPr>
        <w:t>a</w:t>
      </w:r>
      <w:r w:rsidRPr="00795A52">
        <w:rPr>
          <w:rFonts w:asciiTheme="majorHAnsi" w:hAnsiTheme="majorHAnsi"/>
          <w:sz w:val="16"/>
          <w:szCs w:val="16"/>
        </w:rPr>
        <w:t>. 84 g).</w:t>
      </w:r>
    </w:p>
  </w:footnote>
  <w:footnote w:id="10">
    <w:p w14:paraId="295B8D06" w14:textId="1BA51810" w:rsidR="00795A52" w:rsidRPr="00795A52" w:rsidRDefault="00795A52" w:rsidP="00795A52">
      <w:pPr>
        <w:pStyle w:val="FootnoteText"/>
        <w:spacing w:after="120"/>
        <w:ind w:firstLine="720"/>
        <w:jc w:val="both"/>
        <w:rPr>
          <w:rFonts w:asciiTheme="majorHAnsi" w:hAnsiTheme="majorHAnsi"/>
          <w:sz w:val="16"/>
          <w:szCs w:val="16"/>
        </w:rPr>
      </w:pPr>
      <w:r w:rsidRPr="00795A52">
        <w:rPr>
          <w:rFonts w:asciiTheme="majorHAnsi" w:hAnsiTheme="majorHAnsi"/>
          <w:sz w:val="16"/>
          <w:szCs w:val="16"/>
          <w:vertAlign w:val="superscript"/>
        </w:rPr>
        <w:footnoteRef/>
      </w:r>
      <w:r w:rsidRPr="00795A52">
        <w:rPr>
          <w:rFonts w:asciiTheme="majorHAnsi" w:hAnsiTheme="majorHAnsi"/>
          <w:sz w:val="16"/>
          <w:szCs w:val="16"/>
        </w:rPr>
        <w:t xml:space="preserve"> Decrees 1194 of June 8, 1989 and 2266 of 1991. IACHR. </w:t>
      </w:r>
      <w:r w:rsidRPr="00FD5E02">
        <w:rPr>
          <w:rFonts w:asciiTheme="majorHAnsi" w:hAnsiTheme="majorHAnsi"/>
          <w:sz w:val="16"/>
          <w:szCs w:val="16"/>
          <w:lang w:val="es-ES"/>
        </w:rPr>
        <w:t>Report No. 75/06, Jesús María Valle Jaramillo, October 16, 2006, par</w:t>
      </w:r>
      <w:r w:rsidR="00FD5E02" w:rsidRPr="00FD5E02">
        <w:rPr>
          <w:rFonts w:asciiTheme="majorHAnsi" w:hAnsiTheme="majorHAnsi"/>
          <w:sz w:val="16"/>
          <w:szCs w:val="16"/>
          <w:lang w:val="es-ES"/>
        </w:rPr>
        <w:t>a</w:t>
      </w:r>
      <w:r w:rsidRPr="00FD5E02">
        <w:rPr>
          <w:rFonts w:asciiTheme="majorHAnsi" w:hAnsiTheme="majorHAnsi"/>
          <w:sz w:val="16"/>
          <w:szCs w:val="16"/>
          <w:lang w:val="es-ES"/>
        </w:rPr>
        <w:t xml:space="preserve">. </w:t>
      </w:r>
      <w:r w:rsidRPr="00795A52">
        <w:rPr>
          <w:rFonts w:asciiTheme="majorHAnsi" w:hAnsiTheme="majorHAnsi"/>
          <w:sz w:val="16"/>
          <w:szCs w:val="16"/>
        </w:rPr>
        <w:t>62.</w:t>
      </w:r>
    </w:p>
  </w:footnote>
  <w:footnote w:id="11">
    <w:p w14:paraId="383DE8C3" w14:textId="03270719" w:rsidR="00795A52" w:rsidRPr="00795A52" w:rsidRDefault="00795A52" w:rsidP="00795A52">
      <w:pPr>
        <w:pStyle w:val="FootnoteText"/>
        <w:spacing w:after="120"/>
        <w:ind w:firstLine="720"/>
        <w:jc w:val="both"/>
        <w:rPr>
          <w:rFonts w:asciiTheme="majorHAnsi" w:hAnsiTheme="majorHAnsi"/>
          <w:sz w:val="16"/>
          <w:szCs w:val="16"/>
        </w:rPr>
      </w:pPr>
      <w:r w:rsidRPr="00795A52">
        <w:rPr>
          <w:rFonts w:asciiTheme="majorHAnsi" w:hAnsiTheme="majorHAnsi"/>
          <w:sz w:val="16"/>
          <w:szCs w:val="16"/>
          <w:vertAlign w:val="superscript"/>
        </w:rPr>
        <w:footnoteRef/>
      </w:r>
      <w:r w:rsidRPr="00795A52">
        <w:rPr>
          <w:rFonts w:asciiTheme="majorHAnsi" w:hAnsiTheme="majorHAnsi"/>
          <w:sz w:val="16"/>
          <w:szCs w:val="16"/>
        </w:rPr>
        <w:t xml:space="preserve"> IACHR, Third Report on the Situation of Human Rights in Colombia. OEA/Ser.L/V/II.102 Doc. 9 rev. 1, February 26, 1999. Chapter I, paragraphs 17-19.  At: </w:t>
      </w:r>
      <w:hyperlink r:id="rId3">
        <w:r w:rsidRPr="00795A52">
          <w:rPr>
            <w:rStyle w:val="Hyperlink"/>
            <w:rFonts w:asciiTheme="majorHAnsi" w:hAnsiTheme="majorHAnsi"/>
            <w:sz w:val="16"/>
            <w:szCs w:val="16"/>
          </w:rPr>
          <w:t>http://www.cidh.org/countryrep/Colom99sp/indice.htm</w:t>
        </w:r>
      </w:hyperlink>
      <w:r w:rsidRPr="00795A52">
        <w:rPr>
          <w:rFonts w:asciiTheme="majorHAnsi" w:hAnsiTheme="majorHAnsi"/>
          <w:sz w:val="16"/>
          <w:szCs w:val="16"/>
        </w:rPr>
        <w:t>. See also, Report of the United Nations High Commissioner for Human Rights on the Office in Colombia, April 2000, par. 30.  See also, IACHR Report No. 75/06, Jesús María Valle Jaramillo, October 16, 2006, par</w:t>
      </w:r>
      <w:r>
        <w:rPr>
          <w:rFonts w:asciiTheme="majorHAnsi" w:hAnsiTheme="majorHAnsi"/>
          <w:sz w:val="16"/>
          <w:szCs w:val="16"/>
        </w:rPr>
        <w:t>a</w:t>
      </w:r>
      <w:r w:rsidRPr="00795A52">
        <w:rPr>
          <w:rFonts w:asciiTheme="majorHAnsi" w:hAnsiTheme="majorHAnsi"/>
          <w:sz w:val="16"/>
          <w:szCs w:val="16"/>
        </w:rPr>
        <w:t>. 62.</w:t>
      </w:r>
    </w:p>
  </w:footnote>
  <w:footnote w:id="12">
    <w:p w14:paraId="3A17428D" w14:textId="6D254536" w:rsidR="00795A52" w:rsidRPr="00795A52" w:rsidRDefault="00795A52" w:rsidP="00795A52">
      <w:pPr>
        <w:pStyle w:val="FootnoteText"/>
        <w:spacing w:after="120"/>
        <w:ind w:firstLine="720"/>
        <w:jc w:val="both"/>
        <w:rPr>
          <w:rFonts w:asciiTheme="majorHAnsi" w:hAnsiTheme="majorHAnsi"/>
          <w:sz w:val="16"/>
          <w:szCs w:val="16"/>
        </w:rPr>
      </w:pPr>
      <w:r w:rsidRPr="00795A52">
        <w:rPr>
          <w:rFonts w:asciiTheme="majorHAnsi" w:hAnsiTheme="majorHAnsi"/>
          <w:sz w:val="16"/>
          <w:szCs w:val="16"/>
          <w:vertAlign w:val="superscript"/>
        </w:rPr>
        <w:footnoteRef/>
      </w:r>
      <w:r w:rsidRPr="00795A52">
        <w:rPr>
          <w:rFonts w:asciiTheme="majorHAnsi" w:hAnsiTheme="majorHAnsi"/>
          <w:sz w:val="16"/>
          <w:szCs w:val="16"/>
        </w:rPr>
        <w:t xml:space="preserve"> IACHR, Third Report on the Situation of Human Rights in Colombia. OEA/Ser.L/V/II.102 Doc. 9 rev. 1, February 26, 1999, Chapter IV, </w:t>
      </w:r>
      <w:r>
        <w:rPr>
          <w:rFonts w:asciiTheme="majorHAnsi" w:hAnsiTheme="majorHAnsi"/>
          <w:sz w:val="16"/>
          <w:szCs w:val="16"/>
        </w:rPr>
        <w:t>paras.</w:t>
      </w:r>
      <w:r w:rsidRPr="00795A52">
        <w:rPr>
          <w:rFonts w:asciiTheme="majorHAnsi" w:hAnsiTheme="majorHAnsi"/>
          <w:sz w:val="16"/>
          <w:szCs w:val="16"/>
        </w:rPr>
        <w:t xml:space="preserve"> 37-239. IACHR. Report No. 75/06, Jesús María Valle Jaramillo, October 16, 2006, par</w:t>
      </w:r>
      <w:r>
        <w:rPr>
          <w:rFonts w:asciiTheme="majorHAnsi" w:hAnsiTheme="majorHAnsi"/>
          <w:sz w:val="16"/>
          <w:szCs w:val="16"/>
        </w:rPr>
        <w:t>a</w:t>
      </w:r>
      <w:r w:rsidRPr="00795A52">
        <w:rPr>
          <w:rFonts w:asciiTheme="majorHAnsi" w:hAnsiTheme="majorHAnsi"/>
          <w:sz w:val="16"/>
          <w:szCs w:val="16"/>
        </w:rPr>
        <w:t xml:space="preserve">. 62. At: </w:t>
      </w:r>
      <w:hyperlink r:id="rId4">
        <w:r w:rsidRPr="00795A52">
          <w:rPr>
            <w:rStyle w:val="Hyperlink"/>
            <w:rFonts w:asciiTheme="majorHAnsi" w:hAnsiTheme="majorHAnsi"/>
            <w:sz w:val="16"/>
            <w:szCs w:val="16"/>
          </w:rPr>
          <w:t>http://www.cidh.org/countryrep/Colom99sp/indice.htm</w:t>
        </w:r>
      </w:hyperlink>
      <w:r w:rsidRPr="00795A52">
        <w:rPr>
          <w:rFonts w:asciiTheme="majorHAnsi" w:hAnsiTheme="majorHAnsi"/>
          <w:sz w:val="16"/>
          <w:szCs w:val="16"/>
        </w:rPr>
        <w:t>.</w:t>
      </w:r>
    </w:p>
  </w:footnote>
  <w:footnote w:id="13">
    <w:p w14:paraId="29610087" w14:textId="0B47EF40"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IACHR, Annual Report of the Inter-American Commission on Human Rights 1996, OEA/Ser.L/V/II.95, Doc. 7 rev., March 14, 1997, Cap. V, Colombia, par</w:t>
      </w:r>
      <w:r>
        <w:rPr>
          <w:rFonts w:asciiTheme="majorHAnsi" w:hAnsiTheme="majorHAnsi"/>
          <w:sz w:val="16"/>
          <w:szCs w:val="16"/>
        </w:rPr>
        <w:t>a</w:t>
      </w:r>
      <w:r w:rsidRPr="00795A52">
        <w:rPr>
          <w:rFonts w:asciiTheme="majorHAnsi" w:hAnsiTheme="majorHAnsi"/>
          <w:sz w:val="16"/>
          <w:szCs w:val="16"/>
        </w:rPr>
        <w:t>. 46.</w:t>
      </w:r>
    </w:p>
  </w:footnote>
  <w:footnote w:id="14">
    <w:p w14:paraId="095E04B3" w14:textId="49DD07C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IACHR, Annual Report of the Inter-American Commission on Human Rights 1996, OEA/Ser.L/V/II.95, Doc. 7 rev., March 14, 1997, Colombia, par</w:t>
      </w:r>
      <w:r>
        <w:rPr>
          <w:rFonts w:asciiTheme="majorHAnsi" w:hAnsiTheme="majorHAnsi"/>
          <w:sz w:val="16"/>
          <w:szCs w:val="16"/>
        </w:rPr>
        <w:t>a</w:t>
      </w:r>
      <w:r w:rsidRPr="00795A52">
        <w:rPr>
          <w:rFonts w:asciiTheme="majorHAnsi" w:hAnsiTheme="majorHAnsi"/>
          <w:sz w:val="16"/>
          <w:szCs w:val="16"/>
        </w:rPr>
        <w:t>. 47.</w:t>
      </w:r>
    </w:p>
  </w:footnote>
  <w:footnote w:id="15">
    <w:p w14:paraId="76E70FB4" w14:textId="317C1E6B" w:rsidR="00795A52" w:rsidRPr="00795A52" w:rsidRDefault="00795A52" w:rsidP="00795A52">
      <w:pPr>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w:t>
      </w:r>
      <w:r w:rsidRPr="00795A52">
        <w:rPr>
          <w:rFonts w:asciiTheme="majorHAnsi" w:hAnsiTheme="majorHAnsi"/>
          <w:i/>
          <w:sz w:val="16"/>
          <w:szCs w:val="16"/>
        </w:rPr>
        <w:t xml:space="preserve">Cf. </w:t>
      </w:r>
      <w:r w:rsidRPr="00795A52">
        <w:rPr>
          <w:rFonts w:asciiTheme="majorHAnsi" w:hAnsiTheme="majorHAnsi"/>
          <w:sz w:val="16"/>
          <w:szCs w:val="16"/>
        </w:rPr>
        <w:t xml:space="preserve">I/A Court H.R., </w:t>
      </w:r>
      <w:r w:rsidRPr="00795A52">
        <w:rPr>
          <w:rFonts w:asciiTheme="majorHAnsi" w:hAnsiTheme="majorHAnsi"/>
          <w:i/>
          <w:sz w:val="16"/>
          <w:szCs w:val="16"/>
        </w:rPr>
        <w:t>Case of the “Mapiripán Massacre” v. Colombia</w:t>
      </w:r>
      <w:r w:rsidRPr="00795A52">
        <w:rPr>
          <w:rFonts w:asciiTheme="majorHAnsi" w:hAnsiTheme="majorHAnsi"/>
          <w:sz w:val="16"/>
          <w:szCs w:val="16"/>
        </w:rPr>
        <w:t>. Preliminary Objections. Judgment of March 07, 2005. Series C No. 122, par</w:t>
      </w:r>
      <w:r w:rsidR="00FD5E02">
        <w:rPr>
          <w:rFonts w:asciiTheme="majorHAnsi" w:hAnsiTheme="majorHAnsi"/>
          <w:sz w:val="16"/>
          <w:szCs w:val="16"/>
        </w:rPr>
        <w:t>a</w:t>
      </w:r>
      <w:r w:rsidRPr="00795A52">
        <w:rPr>
          <w:rFonts w:asciiTheme="majorHAnsi" w:hAnsiTheme="majorHAnsi"/>
          <w:sz w:val="16"/>
          <w:szCs w:val="16"/>
        </w:rPr>
        <w:t xml:space="preserve">. 96.18; I/A Court H.R., </w:t>
      </w:r>
      <w:r w:rsidRPr="00795A52">
        <w:rPr>
          <w:rFonts w:asciiTheme="majorHAnsi" w:hAnsiTheme="majorHAnsi"/>
          <w:i/>
          <w:sz w:val="16"/>
          <w:szCs w:val="16"/>
        </w:rPr>
        <w:t>Case of the Ituango Massacres.</w:t>
      </w:r>
      <w:r w:rsidRPr="00795A52">
        <w:rPr>
          <w:rFonts w:asciiTheme="majorHAnsi" w:hAnsiTheme="majorHAnsi"/>
          <w:sz w:val="16"/>
          <w:szCs w:val="16"/>
        </w:rPr>
        <w:t xml:space="preserve"> Judgment of July 1, 2006. Series C No. 148, par</w:t>
      </w:r>
      <w:r>
        <w:rPr>
          <w:rFonts w:asciiTheme="majorHAnsi" w:hAnsiTheme="majorHAnsi"/>
          <w:sz w:val="16"/>
          <w:szCs w:val="16"/>
        </w:rPr>
        <w:t>a</w:t>
      </w:r>
      <w:r w:rsidRPr="00795A52">
        <w:rPr>
          <w:rFonts w:asciiTheme="majorHAnsi" w:hAnsiTheme="majorHAnsi"/>
          <w:sz w:val="16"/>
          <w:szCs w:val="16"/>
        </w:rPr>
        <w:t>. 125.23.</w:t>
      </w:r>
    </w:p>
  </w:footnote>
  <w:footnote w:id="16">
    <w:p w14:paraId="195273F0" w14:textId="01A7B5AF" w:rsidR="00795A52" w:rsidRPr="00795A52" w:rsidRDefault="00795A52" w:rsidP="00795A52">
      <w:pPr>
        <w:pStyle w:val="FootnoteText"/>
        <w:spacing w:after="120"/>
        <w:ind w:firstLine="720"/>
        <w:jc w:val="both"/>
        <w:rPr>
          <w:rFonts w:asciiTheme="majorHAnsi" w:hAnsiTheme="majorHAnsi"/>
          <w:sz w:val="16"/>
          <w:szCs w:val="16"/>
        </w:rPr>
      </w:pPr>
      <w:r w:rsidRPr="00795A52">
        <w:rPr>
          <w:rFonts w:asciiTheme="majorHAnsi" w:hAnsiTheme="majorHAnsi"/>
          <w:sz w:val="16"/>
          <w:szCs w:val="16"/>
          <w:vertAlign w:val="superscript"/>
        </w:rPr>
        <w:footnoteRef/>
      </w:r>
      <w:r w:rsidRPr="00795A52">
        <w:rPr>
          <w:rFonts w:asciiTheme="majorHAnsi" w:hAnsiTheme="majorHAnsi"/>
          <w:sz w:val="16"/>
          <w:szCs w:val="16"/>
        </w:rPr>
        <w:t xml:space="preserve"> IACHR. Report No. 37/00, </w:t>
      </w:r>
      <w:r w:rsidRPr="00795A52">
        <w:rPr>
          <w:rFonts w:asciiTheme="majorHAnsi" w:hAnsiTheme="majorHAnsi"/>
          <w:i/>
          <w:sz w:val="16"/>
          <w:szCs w:val="16"/>
        </w:rPr>
        <w:t>Monseñor Oscar Arnulfo Romero y Galdámez, par.</w:t>
      </w:r>
      <w:r w:rsidRPr="00795A52">
        <w:rPr>
          <w:rFonts w:asciiTheme="majorHAnsi" w:hAnsiTheme="majorHAnsi"/>
          <w:sz w:val="16"/>
          <w:szCs w:val="16"/>
        </w:rPr>
        <w:t xml:space="preserve"> 64. IACHR. Report No. 75/06, Jesús María Valle Jaramillo, October 16, 2006, par</w:t>
      </w:r>
      <w:r w:rsidR="00FD5E02">
        <w:rPr>
          <w:rFonts w:asciiTheme="majorHAnsi" w:hAnsiTheme="majorHAnsi"/>
          <w:sz w:val="16"/>
          <w:szCs w:val="16"/>
        </w:rPr>
        <w:t>a</w:t>
      </w:r>
      <w:r w:rsidRPr="00795A52">
        <w:rPr>
          <w:rFonts w:asciiTheme="majorHAnsi" w:hAnsiTheme="majorHAnsi"/>
          <w:sz w:val="16"/>
          <w:szCs w:val="16"/>
        </w:rPr>
        <w:t>. 63.</w:t>
      </w:r>
    </w:p>
  </w:footnote>
  <w:footnote w:id="17">
    <w:p w14:paraId="0B36884C" w14:textId="257FB375"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Case of the 19 Merchants v.</w:t>
      </w:r>
      <w:r w:rsidRPr="00795A52">
        <w:rPr>
          <w:rFonts w:asciiTheme="majorHAnsi" w:hAnsiTheme="majorHAnsi"/>
          <w:i/>
          <w:sz w:val="16"/>
          <w:szCs w:val="16"/>
        </w:rPr>
        <w:t xml:space="preserve"> Colombia.</w:t>
      </w:r>
      <w:r w:rsidRPr="00795A52">
        <w:rPr>
          <w:rFonts w:asciiTheme="majorHAnsi" w:hAnsiTheme="majorHAnsi"/>
          <w:sz w:val="16"/>
          <w:szCs w:val="16"/>
        </w:rPr>
        <w:t xml:space="preserve"> Merits, Reparations and Costs. Judgment of July 05, 2004. Series C No. 109</w:t>
      </w:r>
      <w:r>
        <w:rPr>
          <w:rFonts w:asciiTheme="majorHAnsi" w:hAnsiTheme="majorHAnsi"/>
          <w:sz w:val="16"/>
          <w:szCs w:val="16"/>
        </w:rPr>
        <w:t>.</w:t>
      </w:r>
    </w:p>
  </w:footnote>
  <w:footnote w:id="18">
    <w:p w14:paraId="46177160" w14:textId="19F1A0A4"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the “Mapiripán Massacre” v. Colombia</w:t>
      </w:r>
      <w:r w:rsidRPr="00795A52">
        <w:rPr>
          <w:rFonts w:asciiTheme="majorHAnsi" w:hAnsiTheme="majorHAnsi"/>
          <w:sz w:val="16"/>
          <w:szCs w:val="16"/>
        </w:rPr>
        <w:t>. Merits, Reparations and Costs. Judgment of September 15, 2005. Series C No. 134</w:t>
      </w:r>
      <w:r w:rsidR="00FD5E02">
        <w:rPr>
          <w:rFonts w:asciiTheme="majorHAnsi" w:hAnsiTheme="majorHAnsi"/>
          <w:sz w:val="16"/>
          <w:szCs w:val="16"/>
        </w:rPr>
        <w:t>.</w:t>
      </w:r>
    </w:p>
  </w:footnote>
  <w:footnote w:id="19">
    <w:p w14:paraId="0C653856"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the Ituango Massacres v. Colombia</w:t>
      </w:r>
      <w:r w:rsidRPr="00795A52">
        <w:rPr>
          <w:rFonts w:asciiTheme="majorHAnsi" w:hAnsiTheme="majorHAnsi"/>
          <w:sz w:val="16"/>
          <w:szCs w:val="16"/>
        </w:rPr>
        <w:t>. Preliminary Objection, Merits, Reparations and Costs. Judgment of July 01, 2006. Series C No. 148</w:t>
      </w:r>
    </w:p>
  </w:footnote>
  <w:footnote w:id="20">
    <w:p w14:paraId="222EE128"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Case of Cepeda Vargas  v.</w:t>
      </w:r>
      <w:r w:rsidRPr="00795A52">
        <w:rPr>
          <w:rFonts w:asciiTheme="majorHAnsi" w:hAnsiTheme="majorHAnsi"/>
          <w:i/>
          <w:sz w:val="16"/>
          <w:szCs w:val="16"/>
        </w:rPr>
        <w:t xml:space="preserve"> Colombia</w:t>
      </w:r>
      <w:r w:rsidRPr="00795A52">
        <w:rPr>
          <w:rFonts w:asciiTheme="majorHAnsi" w:hAnsiTheme="majorHAnsi"/>
          <w:sz w:val="16"/>
          <w:szCs w:val="16"/>
        </w:rPr>
        <w:t>. Preliminary Objections, Merits, Reparations, and Costs. Judgment of May 26, 2010. Series C No. 213</w:t>
      </w:r>
    </w:p>
  </w:footnote>
  <w:footnote w:id="21">
    <w:p w14:paraId="7B8091EC" w14:textId="65AC718B"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 xml:space="preserve">Case of the Rochela Massacre v. Colombia. </w:t>
      </w:r>
      <w:r w:rsidRPr="00795A52">
        <w:rPr>
          <w:rFonts w:asciiTheme="majorHAnsi" w:hAnsiTheme="majorHAnsi"/>
          <w:sz w:val="16"/>
          <w:szCs w:val="16"/>
        </w:rPr>
        <w:t>Merits, Reparations and Costs. Judgment of July 4, 2007. Series C No. 165, par</w:t>
      </w:r>
      <w:r w:rsidR="00FD5E02">
        <w:rPr>
          <w:rFonts w:asciiTheme="majorHAnsi" w:hAnsiTheme="majorHAnsi"/>
          <w:sz w:val="16"/>
          <w:szCs w:val="16"/>
        </w:rPr>
        <w:t>a</w:t>
      </w:r>
      <w:r w:rsidRPr="00795A52">
        <w:rPr>
          <w:rFonts w:asciiTheme="majorHAnsi" w:hAnsiTheme="majorHAnsi"/>
          <w:sz w:val="16"/>
          <w:szCs w:val="16"/>
        </w:rPr>
        <w:t>. 78.</w:t>
      </w:r>
    </w:p>
  </w:footnote>
  <w:footnote w:id="22">
    <w:p w14:paraId="0E6AF523" w14:textId="238CCF28"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 xml:space="preserve">Case of the Rochela Massacre v. Colombia. </w:t>
      </w:r>
      <w:r w:rsidRPr="00795A52">
        <w:rPr>
          <w:rFonts w:asciiTheme="majorHAnsi" w:hAnsiTheme="majorHAnsi"/>
          <w:sz w:val="16"/>
          <w:szCs w:val="16"/>
        </w:rPr>
        <w:t>Merits, Reparations and Costs. Judgment of Wednesday, July 04, 2007. Series C No. 165, par</w:t>
      </w:r>
      <w:r w:rsidR="00FD5E02">
        <w:rPr>
          <w:rFonts w:asciiTheme="majorHAnsi" w:hAnsiTheme="majorHAnsi"/>
          <w:sz w:val="16"/>
          <w:szCs w:val="16"/>
        </w:rPr>
        <w:t>a</w:t>
      </w:r>
      <w:r w:rsidRPr="00795A52">
        <w:rPr>
          <w:rFonts w:asciiTheme="majorHAnsi" w:hAnsiTheme="majorHAnsi"/>
          <w:sz w:val="16"/>
          <w:szCs w:val="16"/>
        </w:rPr>
        <w:t>. 78.</w:t>
      </w:r>
    </w:p>
  </w:footnote>
  <w:footnote w:id="23">
    <w:p w14:paraId="384AF07E" w14:textId="6BF3F1BE"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 xml:space="preserve">Case of the Rochela Massacre v. Colombia. </w:t>
      </w:r>
      <w:r w:rsidRPr="00795A52">
        <w:rPr>
          <w:rFonts w:asciiTheme="majorHAnsi" w:hAnsiTheme="majorHAnsi"/>
          <w:sz w:val="16"/>
          <w:szCs w:val="16"/>
        </w:rPr>
        <w:t>Merits, Reparations and Costs. Judgment of July 4, 2007. Series C No. 165, par</w:t>
      </w:r>
      <w:r w:rsidR="00FD5E02">
        <w:rPr>
          <w:rFonts w:asciiTheme="majorHAnsi" w:hAnsiTheme="majorHAnsi"/>
          <w:sz w:val="16"/>
          <w:szCs w:val="16"/>
        </w:rPr>
        <w:t>a</w:t>
      </w:r>
      <w:r w:rsidRPr="00795A52">
        <w:rPr>
          <w:rFonts w:asciiTheme="majorHAnsi" w:hAnsiTheme="majorHAnsi"/>
          <w:sz w:val="16"/>
          <w:szCs w:val="16"/>
        </w:rPr>
        <w:t>. 78.</w:t>
      </w:r>
    </w:p>
  </w:footnote>
  <w:footnote w:id="24">
    <w:p w14:paraId="2DF8F521" w14:textId="088DF96B" w:rsidR="00795A52" w:rsidRPr="00795A52" w:rsidRDefault="00795A52" w:rsidP="00795A52">
      <w:pPr>
        <w:pStyle w:val="2Footnotes"/>
        <w:tabs>
          <w:tab w:val="left" w:pos="900"/>
        </w:tabs>
        <w:spacing w:before="0"/>
        <w:ind w:firstLine="720"/>
        <w:rPr>
          <w:rFonts w:asciiTheme="majorHAnsi" w:hAnsiTheme="majorHAnsi"/>
          <w:noProof w:val="0"/>
          <w:szCs w:val="16"/>
        </w:rPr>
      </w:pPr>
      <w:r w:rsidRPr="00795A52">
        <w:rPr>
          <w:rStyle w:val="FootnoteReference"/>
          <w:rFonts w:asciiTheme="majorHAnsi" w:hAnsiTheme="majorHAnsi"/>
          <w:noProof w:val="0"/>
          <w:szCs w:val="16"/>
        </w:rPr>
        <w:footnoteRef/>
      </w:r>
      <w:r w:rsidRPr="00795A52">
        <w:rPr>
          <w:rFonts w:asciiTheme="majorHAnsi" w:hAnsiTheme="majorHAnsi"/>
          <w:noProof w:val="0"/>
          <w:szCs w:val="16"/>
        </w:rPr>
        <w:t xml:space="preserve"> </w:t>
      </w:r>
      <w:r w:rsidRPr="00795A52">
        <w:rPr>
          <w:rFonts w:asciiTheme="majorHAnsi" w:hAnsiTheme="majorHAnsi"/>
          <w:noProof w:val="0"/>
          <w:szCs w:val="16"/>
        </w:rPr>
        <w:tab/>
        <w:t xml:space="preserve">Operation Genesis. Citing. </w:t>
      </w:r>
      <w:r w:rsidRPr="00795A52">
        <w:rPr>
          <w:rFonts w:asciiTheme="majorHAnsi" w:hAnsiTheme="majorHAnsi"/>
          <w:i/>
          <w:noProof w:val="0"/>
          <w:szCs w:val="16"/>
        </w:rPr>
        <w:t>Cf.</w:t>
      </w:r>
      <w:r w:rsidRPr="00795A52">
        <w:rPr>
          <w:rFonts w:asciiTheme="majorHAnsi" w:hAnsiTheme="majorHAnsi"/>
          <w:noProof w:val="0"/>
          <w:szCs w:val="16"/>
        </w:rPr>
        <w:t xml:space="preserve"> Supreme Court of Justice of Colombia, Criminal Cassation Chamber: Review Judgment No. 30516 of March 11, 2009 (evidence file, pp. 9851 and 9856), Cassation Judgment No. 24448 of September 12, 2007, cited in District Director Public Prosecutors' Offices Director Seccional de Fiscalías), Memorandum No. 0035 of April 28, 2009, pp. 106 to[1?]18 (evidence file, p. 10024). See also Colombian Constitutional Court Ruling 005 of January 26, 2009 and Council of State Third Section Direct Reparation Action Judgment No.  68001-23-15-000-1996-01698-01, Reporting Councilor Olga Melida Valle de de la Oz of February 27, 2013, p</w:t>
      </w:r>
      <w:r w:rsidR="00FD5E02">
        <w:rPr>
          <w:rFonts w:asciiTheme="majorHAnsi" w:hAnsiTheme="majorHAnsi"/>
          <w:noProof w:val="0"/>
          <w:szCs w:val="16"/>
        </w:rPr>
        <w:t>.</w:t>
      </w:r>
      <w:r w:rsidRPr="00795A52">
        <w:rPr>
          <w:rFonts w:asciiTheme="majorHAnsi" w:hAnsiTheme="majorHAnsi"/>
          <w:noProof w:val="0"/>
          <w:szCs w:val="16"/>
        </w:rPr>
        <w:t xml:space="preserve"> 13.  </w:t>
      </w:r>
    </w:p>
  </w:footnote>
  <w:footnote w:id="25">
    <w:p w14:paraId="42E0C748" w14:textId="77777777" w:rsidR="00795A52" w:rsidRPr="00795A52" w:rsidRDefault="00795A52" w:rsidP="00795A52">
      <w:pPr>
        <w:pStyle w:val="2Footnotes"/>
        <w:tabs>
          <w:tab w:val="left" w:pos="900"/>
        </w:tabs>
        <w:spacing w:before="0"/>
        <w:ind w:firstLine="720"/>
        <w:rPr>
          <w:rFonts w:asciiTheme="majorHAnsi" w:hAnsiTheme="majorHAnsi"/>
          <w:noProof w:val="0"/>
          <w:szCs w:val="16"/>
        </w:rPr>
      </w:pPr>
      <w:r w:rsidRPr="00795A52">
        <w:rPr>
          <w:rStyle w:val="FootnoteReference"/>
          <w:rFonts w:asciiTheme="majorHAnsi" w:hAnsiTheme="majorHAnsi"/>
          <w:noProof w:val="0"/>
          <w:szCs w:val="16"/>
        </w:rPr>
        <w:footnoteRef/>
      </w:r>
      <w:r w:rsidRPr="00795A52">
        <w:rPr>
          <w:rFonts w:asciiTheme="majorHAnsi" w:hAnsiTheme="majorHAnsi"/>
          <w:noProof w:val="0"/>
          <w:szCs w:val="16"/>
        </w:rPr>
        <w:t xml:space="preserve"> Operation Genesis. Citing. </w:t>
      </w:r>
      <w:r w:rsidRPr="00795A52">
        <w:rPr>
          <w:rFonts w:asciiTheme="majorHAnsi" w:hAnsiTheme="majorHAnsi"/>
          <w:i/>
          <w:noProof w:val="0"/>
          <w:szCs w:val="16"/>
        </w:rPr>
        <w:t>Cf.</w:t>
      </w:r>
      <w:r w:rsidRPr="00795A52">
        <w:rPr>
          <w:rFonts w:asciiTheme="majorHAnsi" w:hAnsiTheme="majorHAnsi"/>
          <w:noProof w:val="0"/>
          <w:szCs w:val="16"/>
        </w:rPr>
        <w:t xml:space="preserve"> Ombudsman's Office , Fourth Report to the Congress of Colombia, Bogotá, 1997, pp. 59 and 60, cited by the United Nations Commission on Human Rights, in the Report the Secretary-General's Representative on internally displaced persons, pursuant to resolution 1999/47 of the Commission,  E/CN°4/2000/83/Add.1, of January 11, 2000, par. 25 (evidence file, p. 1571). It is to be noted that the President of this Court, through its Secretariat, asked the Office of the Ombudsman of Colombia in vain for a copy of  its Fourth Report to Congress as a piece of evidence to be taken into account in its decision.  On the other hand, the State did not object to the reference to the aforementioned report made in the United Nations report, so that the Court considers that the reference made to the text thereof is correct. See also, Office of the Ombudsman, Twelfth Report of the Ombudsman to the Congress of the Republic of Colombia January-December 2004, pp. 66, 67, 172, and 173: Office of the Ombudsman. Ombudsman's Report on Forced Displacement due to Violence in Colombia, of April 2002, points 4 and 9; and Office of the Ombudsman, Follow-up Report on compliance with Judgment T-1025 of 2007m pp. 16, 17, 21, 35, and 35.   </w:t>
      </w:r>
    </w:p>
  </w:footnote>
  <w:footnote w:id="26">
    <w:p w14:paraId="4449FC42" w14:textId="77777777" w:rsidR="00795A52" w:rsidRPr="00795A52" w:rsidRDefault="00795A52" w:rsidP="00795A52">
      <w:pPr>
        <w:pStyle w:val="FootnoteText"/>
        <w:spacing w:after="120"/>
        <w:ind w:firstLine="720"/>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Operation Genesis. Citing. Office of the Attorney General, Decision issued by the Subdivision for the Defense of Human Rights on September 30, 2002.  Decision cited in the </w:t>
      </w:r>
      <w:r w:rsidRPr="00795A52">
        <w:rPr>
          <w:rFonts w:asciiTheme="majorHAnsi" w:hAnsiTheme="majorHAnsi"/>
          <w:i/>
          <w:sz w:val="16"/>
          <w:szCs w:val="16"/>
        </w:rPr>
        <w:t>Case of the Ituango Massacres v. Colombia</w:t>
      </w:r>
      <w:r w:rsidRPr="00795A52">
        <w:rPr>
          <w:rFonts w:asciiTheme="majorHAnsi" w:hAnsiTheme="majorHAnsi"/>
          <w:sz w:val="16"/>
          <w:szCs w:val="16"/>
        </w:rPr>
        <w:t>, par. 125.100: "On September 30, 2002, the Office of the Delegate Attorney for the Defense of Human Rights decided to sanction Lieutenant Everardo Bolaños Galindo and First Corporal Germán Antonio Alzate Cardona, alias “Rambo,” dismissing them  from their functions as public officials because it found that they were responsible for collaborating with the paramilitary incursion in El Aro and the theft of livestock and facilitating it with criminal intent.   On November 1, 2002, following an appeal filed by the said individuals, this ruling was confirmed in second instance by the Disciplinary Chamber of the Attorney General’s Office."</w:t>
      </w:r>
    </w:p>
  </w:footnote>
  <w:footnote w:id="27">
    <w:p w14:paraId="655F476A" w14:textId="49A626DB" w:rsidR="00795A52" w:rsidRPr="00795A52" w:rsidRDefault="00795A52" w:rsidP="00795A52">
      <w:pPr>
        <w:pStyle w:val="2Footnotes"/>
        <w:spacing w:before="0"/>
        <w:ind w:firstLine="720"/>
        <w:rPr>
          <w:rFonts w:asciiTheme="majorHAnsi" w:hAnsiTheme="majorHAnsi"/>
          <w:noProof w:val="0"/>
          <w:szCs w:val="16"/>
          <w:lang w:val="es-VE"/>
        </w:rPr>
      </w:pPr>
      <w:r w:rsidRPr="00795A52">
        <w:rPr>
          <w:rStyle w:val="FootnoteReference"/>
          <w:rFonts w:asciiTheme="majorHAnsi" w:hAnsiTheme="majorHAnsi"/>
          <w:szCs w:val="16"/>
        </w:rPr>
        <w:footnoteRef/>
      </w:r>
      <w:r w:rsidRPr="00795A52">
        <w:rPr>
          <w:rFonts w:asciiTheme="majorHAnsi" w:hAnsiTheme="majorHAnsi"/>
          <w:noProof w:val="0"/>
          <w:szCs w:val="16"/>
        </w:rPr>
        <w:t>Operation Genesis.</w:t>
      </w:r>
      <w:r w:rsidRPr="00795A52">
        <w:rPr>
          <w:rFonts w:asciiTheme="majorHAnsi" w:hAnsiTheme="majorHAnsi"/>
          <w:i/>
          <w:noProof w:val="0"/>
          <w:szCs w:val="16"/>
        </w:rPr>
        <w:t xml:space="preserve"> </w:t>
      </w:r>
      <w:r w:rsidRPr="00795A52">
        <w:rPr>
          <w:rFonts w:asciiTheme="majorHAnsi" w:hAnsiTheme="majorHAnsi"/>
          <w:noProof w:val="0"/>
          <w:szCs w:val="16"/>
        </w:rPr>
        <w:t xml:space="preserve">Citing. </w:t>
      </w:r>
      <w:r w:rsidRPr="00795A52">
        <w:rPr>
          <w:rFonts w:asciiTheme="majorHAnsi" w:hAnsiTheme="majorHAnsi"/>
          <w:i/>
          <w:noProof w:val="0"/>
          <w:szCs w:val="16"/>
        </w:rPr>
        <w:t xml:space="preserve">Cf. </w:t>
      </w:r>
      <w:r w:rsidRPr="00795A52">
        <w:rPr>
          <w:rFonts w:asciiTheme="majorHAnsi" w:hAnsiTheme="majorHAnsi"/>
          <w:noProof w:val="0"/>
          <w:szCs w:val="16"/>
        </w:rPr>
        <w:t xml:space="preserve">National Historical Memory Center, “¡Basta ya! [Enough is Enough] Colombia: Memorias de guerra y dignidad. (Memoirs of war and dignity] Report of the General Group on Historical Memory, National Print office, Colombia, 2013, pp. 20, 42, 48, 343 y 347; and  “Justicia y Paz ¿verdad judicial o verdad histórica?” [Justice and Peace: Judicial Truth or Historical Truth?], Colombia, 2012, pp. 251,  377, 469, 498, 513, 514, and 515,  “La Rochela: Memorias de un crimen contra la justicia [Records of a crime against justice], Ed. </w:t>
      </w:r>
      <w:r w:rsidRPr="00795A52">
        <w:rPr>
          <w:rFonts w:asciiTheme="majorHAnsi" w:hAnsiTheme="majorHAnsi"/>
          <w:noProof w:val="0"/>
          <w:szCs w:val="16"/>
          <w:lang w:val="es-ES"/>
        </w:rPr>
        <w:t xml:space="preserve">Semana, Colombia, 2010, pp. 20, 95, 96, 104, 105, and 116; “Silenciar en Democracia.[Silencing in Democracy] Las masacres de Remedios y Segovia, 1982–1997” [The massacres at Remedios and Segovia], Ed. Semana, Colombia, 2010, pp. 21, 22, 28, 29, 61, 73, 74, 75, and 76; “La masacre de Bahía Portete: Mujeres Wayuu en la mira”, [The massacre at Bahía Portete: Wayuu Women at the Forefront] Ed. Semana, Colombia, 2010, pp. 23 and 33; “San Carlos: Memorias del éxodo en la guerra”, (Report on the wartime exodus] Ed. Aguilar, Altea, Taurus, Alfaguara, S. A., Colombia, 2011, pp. 87 and 15; “Mujeres y guerra. Víctimas y resistentes en el Caribe colombiano”, [Victims and resistance fighters in the Colombian Caribbean] Ed. </w:t>
      </w:r>
      <w:r w:rsidRPr="00795A52">
        <w:rPr>
          <w:rFonts w:asciiTheme="majorHAnsi" w:hAnsiTheme="majorHAnsi"/>
          <w:noProof w:val="0"/>
          <w:szCs w:val="16"/>
          <w:lang w:val="es-VE"/>
        </w:rPr>
        <w:t xml:space="preserve">Aguilar, Altea, Taurus, Alfaguara, S. A., Colombia, 2011, pp. 31, 32, and 240. </w:t>
      </w:r>
    </w:p>
  </w:footnote>
  <w:footnote w:id="28">
    <w:p w14:paraId="1343ACBD" w14:textId="77777777" w:rsidR="00795A52" w:rsidRPr="00795A52" w:rsidRDefault="00795A52" w:rsidP="00795A52">
      <w:pPr>
        <w:pStyle w:val="2Footnotes"/>
        <w:tabs>
          <w:tab w:val="left" w:pos="900"/>
        </w:tabs>
        <w:spacing w:before="0"/>
        <w:ind w:firstLine="720"/>
        <w:rPr>
          <w:rFonts w:asciiTheme="majorHAnsi" w:hAnsiTheme="majorHAnsi"/>
          <w:noProof w:val="0"/>
          <w:szCs w:val="16"/>
        </w:rPr>
      </w:pPr>
      <w:r w:rsidRPr="00795A52">
        <w:rPr>
          <w:rStyle w:val="FootnoteReference"/>
          <w:rFonts w:asciiTheme="majorHAnsi" w:hAnsiTheme="majorHAnsi"/>
          <w:noProof w:val="0"/>
          <w:szCs w:val="16"/>
        </w:rPr>
        <w:footnoteRef/>
      </w:r>
      <w:r w:rsidRPr="00795A52">
        <w:rPr>
          <w:rFonts w:asciiTheme="majorHAnsi" w:hAnsiTheme="majorHAnsi"/>
          <w:noProof w:val="0"/>
          <w:szCs w:val="16"/>
        </w:rPr>
        <w:t xml:space="preserve"> Operation Genesis. Citing cf.  The United Nations Commission on Human Rights, in the Report the Secretary-General's Representative on internally displaced persons, pursuant to resolution 1999/47 of the Commission,  E/CN°4/2000/83/Add.1, of January 11, 2000, par. 25 (evidence file, p. 1571).  United Nations High Commissioner for Human Rights, Reports on the Human Rights Situation in Colombia. E/CN.4/2001/15, March 20, 2001, par. 131 (evidence file, p. 2601), E/CN°4/2005/10, February 28, 2005, par.  149, Appendix No. II, paragraphs 5, 6, 7, and 8 (evidence file pp.  2337 and 2348 ); E/CN°4/2004/13, February 17, 2004, paragraphs.23, 24, 65, and 73; (evidence file pp. 2382, 2383, 2392, and 2393); E/CN°4/2003/13,February 24, 2003, paragraphs 9, 34, 44, 74, 75, and 77; (evidence file pp. 2445, 2450, 2452, 24659 and 2460 ); E/CN°4/2002/17, February 28, 2002, par. 62. (evidence file, p. 2520), E/CN°4/2000/11, March 9, 2000, paragraphs 25, 110, and 11; (evidence file pp. 2640, 2657 and 2658 ); E/CN°4/1998/16, March 9, 1998, paragraphs 29, 90, 91, and 175 (evidence file pp. 744, 751, and 762). See also, United Nations Human Rights Committee: Consideration of reports submitted by States parties under Articles 40 of the Covenant. Concluding Observations of May 5, 1997, par. 17,  August 4, 2010, par. 8,  and May 26, 2004, paragraph 12. </w:t>
      </w:r>
    </w:p>
  </w:footnote>
  <w:footnote w:id="29">
    <w:p w14:paraId="26469279" w14:textId="77777777" w:rsidR="00795A52" w:rsidRPr="00795A52" w:rsidRDefault="00795A52" w:rsidP="00795A52">
      <w:pPr>
        <w:pStyle w:val="2Footnotes"/>
        <w:tabs>
          <w:tab w:val="left" w:pos="900"/>
        </w:tabs>
        <w:spacing w:before="0"/>
        <w:ind w:firstLine="720"/>
        <w:rPr>
          <w:rFonts w:asciiTheme="majorHAnsi" w:hAnsiTheme="majorHAnsi"/>
          <w:noProof w:val="0"/>
          <w:szCs w:val="16"/>
        </w:rPr>
      </w:pPr>
      <w:r w:rsidRPr="00795A52">
        <w:rPr>
          <w:rStyle w:val="FootnoteReference"/>
          <w:rFonts w:asciiTheme="majorHAnsi" w:hAnsiTheme="majorHAnsi"/>
          <w:noProof w:val="0"/>
          <w:szCs w:val="16"/>
        </w:rPr>
        <w:footnoteRef/>
      </w:r>
      <w:r w:rsidRPr="00795A52">
        <w:rPr>
          <w:rFonts w:asciiTheme="majorHAnsi" w:hAnsiTheme="majorHAnsi"/>
          <w:noProof w:val="0"/>
          <w:szCs w:val="16"/>
        </w:rPr>
        <w:t xml:space="preserve"> Operation Genesis. Citing cf. The  Committee of Experts on the Application of Conventions and Recommendations (CEACR) of the ILO, Individual Observation  for the year 2009, pp. 78 and 79.</w:t>
      </w:r>
    </w:p>
  </w:footnote>
  <w:footnote w:id="30">
    <w:p w14:paraId="7C6DEE31" w14:textId="77777777" w:rsidR="00795A52" w:rsidRPr="00795A52" w:rsidRDefault="00795A52" w:rsidP="00795A52">
      <w:pPr>
        <w:pStyle w:val="2Footnotes"/>
        <w:tabs>
          <w:tab w:val="left" w:pos="900"/>
        </w:tabs>
        <w:spacing w:before="0"/>
        <w:ind w:firstLine="720"/>
        <w:rPr>
          <w:rFonts w:asciiTheme="majorHAnsi" w:hAnsiTheme="majorHAnsi"/>
          <w:noProof w:val="0"/>
          <w:szCs w:val="16"/>
        </w:rPr>
      </w:pPr>
      <w:r w:rsidRPr="00795A52">
        <w:rPr>
          <w:rStyle w:val="FootnoteReference"/>
          <w:rFonts w:asciiTheme="majorHAnsi" w:hAnsiTheme="majorHAnsi"/>
          <w:noProof w:val="0"/>
          <w:szCs w:val="16"/>
        </w:rPr>
        <w:footnoteRef/>
      </w:r>
      <w:r w:rsidRPr="00795A52">
        <w:rPr>
          <w:rFonts w:asciiTheme="majorHAnsi" w:hAnsiTheme="majorHAnsi"/>
          <w:noProof w:val="0"/>
          <w:szCs w:val="16"/>
        </w:rPr>
        <w:t xml:space="preserve"> Operation Genesis. Citing cf. Expert opinion of Javier Ciurlizza, the expert proposed by the Commission, rendered before the Inter-American Court of Human Rights during the public hearing on February 12, 2013: "[...]The  existence of connections between paramilitary groups and some local economic or political agents is public knowledge [...]" Expert opinion rendered by anthropologist Jesús A. Flores López,  propopsed by the representatives, before the Inter-American Court of Human Rights, on February 12, 2013. </w:t>
      </w:r>
    </w:p>
  </w:footnote>
  <w:footnote w:id="31">
    <w:p w14:paraId="2057BD85" w14:textId="77777777" w:rsidR="00795A52" w:rsidRPr="00795A52" w:rsidRDefault="00795A52" w:rsidP="00795A52">
      <w:pPr>
        <w:pStyle w:val="2Footnotes"/>
        <w:tabs>
          <w:tab w:val="left" w:pos="900"/>
        </w:tabs>
        <w:spacing w:before="0"/>
        <w:ind w:firstLine="720"/>
        <w:rPr>
          <w:rFonts w:asciiTheme="majorHAnsi" w:hAnsiTheme="majorHAnsi"/>
          <w:szCs w:val="16"/>
        </w:rPr>
      </w:pPr>
      <w:r w:rsidRPr="00795A52">
        <w:rPr>
          <w:rStyle w:val="FootnoteReference"/>
          <w:rFonts w:asciiTheme="majorHAnsi" w:hAnsiTheme="majorHAnsi"/>
          <w:noProof w:val="0"/>
          <w:szCs w:val="16"/>
        </w:rPr>
        <w:footnoteRef/>
      </w:r>
      <w:r w:rsidRPr="00795A52">
        <w:rPr>
          <w:rFonts w:asciiTheme="majorHAnsi" w:hAnsiTheme="majorHAnsi"/>
          <w:noProof w:val="0"/>
          <w:szCs w:val="16"/>
        </w:rPr>
        <w:t xml:space="preserve"> Operation Genesis. Citing cf. Sworn statement by Federico Andreu-Guzmá in the Mapiripán and La Rochela massacres cases against Colombia. At various points in his statement, Mr. Andreu refers</w:t>
      </w:r>
      <w:r w:rsidRPr="00795A52">
        <w:rPr>
          <w:rFonts w:asciiTheme="majorHAnsi" w:hAnsiTheme="majorHAnsi"/>
          <w:szCs w:val="16"/>
        </w:rPr>
        <w:t xml:space="preserve"> to the existence of connections between paramilitary groups and the military.</w:t>
      </w:r>
    </w:p>
  </w:footnote>
  <w:footnote w:id="32">
    <w:p w14:paraId="610E6A8F" w14:textId="77777777" w:rsidR="00795A52" w:rsidRPr="00795A52" w:rsidRDefault="00795A52" w:rsidP="00795A52">
      <w:pPr>
        <w:pStyle w:val="FootnoteText"/>
        <w:tabs>
          <w:tab w:val="left" w:pos="90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Operation Genesis. Citing cf. Ombudsman's Office , Fourth Report to the Congress of Colombia, Bogotá, 1997, pp. 59 and 60, cited by the United Nations Commission on Human Rights, in the Report of  the Secretary-General's Representative on internally displaced persons, pursuant to resolution 1999/47 of the Commission,  E/CN°4/2000/83/Add.1, par. 25 (evidence file, p. 1571). </w:t>
      </w:r>
    </w:p>
  </w:footnote>
  <w:footnote w:id="33">
    <w:p w14:paraId="011AE897" w14:textId="77777777" w:rsidR="00795A52" w:rsidRPr="00795A52" w:rsidRDefault="00795A52" w:rsidP="00795A52">
      <w:pPr>
        <w:pStyle w:val="FootnoteText"/>
        <w:tabs>
          <w:tab w:val="left" w:pos="90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Operation Genesis. Citing. </w:t>
      </w:r>
      <w:r w:rsidRPr="00795A52">
        <w:rPr>
          <w:rFonts w:asciiTheme="majorHAnsi" w:hAnsiTheme="majorHAnsi"/>
          <w:i/>
          <w:sz w:val="16"/>
          <w:szCs w:val="16"/>
        </w:rPr>
        <w:t>Cf.</w:t>
      </w:r>
      <w:r w:rsidRPr="00795A52">
        <w:rPr>
          <w:rFonts w:asciiTheme="majorHAnsi" w:hAnsiTheme="majorHAnsi"/>
          <w:sz w:val="16"/>
          <w:szCs w:val="16"/>
        </w:rPr>
        <w:t xml:space="preserve"> Office of the Ombudsman. Ombudsman's resolution No. 025 on Massive Violations of Human Rights and Forced Displacement in the Lower Atrato Region in Chocó, October 2002 (evidence file, p. 229). See also: Statement by esús Alfonso Flórez López, expert proposed by the representatives of the alleged victims, to the Inter-American Court of Human Rights during the public hearing held on February 12, 2013. </w:t>
      </w:r>
    </w:p>
  </w:footnote>
  <w:footnote w:id="34">
    <w:p w14:paraId="005986E8" w14:textId="77777777" w:rsidR="00795A52" w:rsidRPr="00795A52" w:rsidRDefault="00795A52" w:rsidP="00795A52">
      <w:pPr>
        <w:pStyle w:val="FootnoteText"/>
        <w:tabs>
          <w:tab w:val="left" w:pos="900"/>
        </w:tabs>
        <w:spacing w:after="120"/>
        <w:ind w:firstLine="720"/>
        <w:jc w:val="both"/>
        <w:rPr>
          <w:rFonts w:asciiTheme="majorHAnsi" w:hAnsiTheme="majorHAnsi"/>
          <w:sz w:val="16"/>
          <w:szCs w:val="16"/>
          <w:lang w:val="es-CR"/>
        </w:rPr>
      </w:pPr>
      <w:r w:rsidRPr="00795A52">
        <w:rPr>
          <w:rFonts w:asciiTheme="majorHAnsi" w:hAnsiTheme="majorHAnsi"/>
          <w:sz w:val="16"/>
          <w:szCs w:val="16"/>
          <w:vertAlign w:val="superscript"/>
        </w:rPr>
        <w:footnoteRef/>
      </w:r>
      <w:r w:rsidRPr="00795A52">
        <w:rPr>
          <w:rFonts w:asciiTheme="majorHAnsi" w:hAnsiTheme="majorHAnsi"/>
          <w:sz w:val="16"/>
          <w:szCs w:val="16"/>
          <w:vertAlign w:val="superscript"/>
          <w:lang w:val="es-ES"/>
        </w:rPr>
        <w:t xml:space="preserve"> </w:t>
      </w:r>
      <w:r w:rsidRPr="00795A52">
        <w:rPr>
          <w:rFonts w:asciiTheme="majorHAnsi" w:hAnsiTheme="majorHAnsi"/>
          <w:sz w:val="16"/>
          <w:szCs w:val="16"/>
          <w:lang w:val="es-ES"/>
        </w:rPr>
        <w:t>Operation Genesis. These are: Apartadó, Carepa, Chigorodó, Necoclí, San Juan de Urabá, San Pedro de Urabá, Turbo, Arboletes, Murindó, Mutatá, and Vigía del Fuerte.</w:t>
      </w:r>
    </w:p>
  </w:footnote>
  <w:footnote w:id="35">
    <w:p w14:paraId="05991F8B" w14:textId="77777777" w:rsidR="00795A52" w:rsidRPr="00795A52" w:rsidRDefault="00795A52" w:rsidP="00795A52">
      <w:pPr>
        <w:pStyle w:val="FootnoteText"/>
        <w:tabs>
          <w:tab w:val="left" w:pos="90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Operation Genesis. These are: Acandí, Unguía, Riosucio, and Carmén del Darién </w:t>
      </w:r>
      <w:r w:rsidRPr="00795A52">
        <w:rPr>
          <w:rFonts w:asciiTheme="majorHAnsi" w:hAnsiTheme="majorHAnsi"/>
          <w:i/>
          <w:sz w:val="16"/>
          <w:szCs w:val="16"/>
        </w:rPr>
        <w:t>Cfr.</w:t>
      </w:r>
      <w:r w:rsidRPr="00795A52">
        <w:rPr>
          <w:rFonts w:asciiTheme="majorHAnsi" w:hAnsiTheme="majorHAnsi"/>
          <w:sz w:val="16"/>
          <w:szCs w:val="16"/>
        </w:rPr>
        <w:t xml:space="preserve"> Office of the Ombudsman. Ombudsman's resolution No. 025 on Massive Violations of Human Rights and Forced Displacement in the Lower Atrato Region in Chocó, October 2002 (evidence file, p. 229). </w:t>
      </w:r>
    </w:p>
  </w:footnote>
  <w:footnote w:id="36">
    <w:p w14:paraId="5E5BCB61" w14:textId="2798DDF4"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IACHR, Annual Report of the Inter-American Commission on Human Rights 1999, OEA/Ser.L/V/II.106, Doc. 3 , April 13, 2000, Chapter V, Colombia, par</w:t>
      </w:r>
      <w:r w:rsidR="00FD5E02">
        <w:rPr>
          <w:rFonts w:asciiTheme="majorHAnsi" w:hAnsiTheme="majorHAnsi"/>
          <w:sz w:val="16"/>
          <w:szCs w:val="16"/>
        </w:rPr>
        <w:t>a</w:t>
      </w:r>
      <w:r w:rsidRPr="00795A52">
        <w:rPr>
          <w:rFonts w:asciiTheme="majorHAnsi" w:hAnsiTheme="majorHAnsi"/>
          <w:sz w:val="16"/>
          <w:szCs w:val="16"/>
        </w:rPr>
        <w:t>. 13.</w:t>
      </w:r>
    </w:p>
  </w:footnote>
  <w:footnote w:id="37">
    <w:p w14:paraId="02963F4C" w14:textId="2E879FB3" w:rsidR="00795A52" w:rsidRPr="00795A52" w:rsidRDefault="00795A52" w:rsidP="00795A52">
      <w:pPr>
        <w:pStyle w:val="FootnoteText"/>
        <w:spacing w:after="120"/>
        <w:ind w:firstLine="720"/>
        <w:jc w:val="both"/>
        <w:rPr>
          <w:rFonts w:asciiTheme="majorHAnsi" w:hAnsiTheme="majorHAnsi"/>
          <w:sz w:val="16"/>
          <w:szCs w:val="16"/>
          <w:lang w:val="fr-CA"/>
        </w:rPr>
      </w:pPr>
      <w:r w:rsidRPr="00795A52">
        <w:rPr>
          <w:rStyle w:val="FootnoteReference"/>
          <w:rFonts w:asciiTheme="majorHAnsi" w:hAnsiTheme="majorHAnsi"/>
          <w:sz w:val="16"/>
          <w:szCs w:val="16"/>
        </w:rPr>
        <w:footnoteRef/>
      </w:r>
      <w:r w:rsidRPr="00795A52">
        <w:rPr>
          <w:rFonts w:asciiTheme="majorHAnsi" w:hAnsiTheme="majorHAnsi"/>
          <w:sz w:val="16"/>
          <w:szCs w:val="16"/>
          <w:lang w:val="fr-CA"/>
        </w:rPr>
        <w:t xml:space="preserve"> IACHR, Report 64/11 (Merits), </w:t>
      </w:r>
      <w:r w:rsidRPr="00795A52">
        <w:rPr>
          <w:rFonts w:asciiTheme="majorHAnsi" w:hAnsiTheme="majorHAnsi"/>
          <w:i/>
          <w:sz w:val="16"/>
          <w:szCs w:val="16"/>
          <w:lang w:val="fr-CA"/>
        </w:rPr>
        <w:t>Marino López et al.</w:t>
      </w:r>
      <w:r w:rsidRPr="00795A52">
        <w:rPr>
          <w:rFonts w:asciiTheme="majorHAnsi" w:hAnsiTheme="majorHAnsi"/>
          <w:sz w:val="16"/>
          <w:szCs w:val="16"/>
          <w:lang w:val="fr-CA"/>
        </w:rPr>
        <w:t xml:space="preserve"> (Operation Genesis) (Colombia), March 31, 2011, par</w:t>
      </w:r>
      <w:r w:rsidR="00FD5E02">
        <w:rPr>
          <w:rFonts w:asciiTheme="majorHAnsi" w:hAnsiTheme="majorHAnsi"/>
          <w:sz w:val="16"/>
          <w:szCs w:val="16"/>
          <w:lang w:val="fr-CA"/>
        </w:rPr>
        <w:t>a</w:t>
      </w:r>
      <w:r w:rsidRPr="00795A52">
        <w:rPr>
          <w:rFonts w:asciiTheme="majorHAnsi" w:hAnsiTheme="majorHAnsi"/>
          <w:sz w:val="16"/>
          <w:szCs w:val="16"/>
          <w:lang w:val="fr-CA"/>
        </w:rPr>
        <w:t>. 203.</w:t>
      </w:r>
    </w:p>
  </w:footnote>
  <w:footnote w:id="38">
    <w:p w14:paraId="59070A7E" w14:textId="24066980" w:rsidR="00795A52" w:rsidRPr="00795A52" w:rsidRDefault="00795A52" w:rsidP="00795A52">
      <w:pPr>
        <w:pStyle w:val="FootnoteText"/>
        <w:spacing w:after="120"/>
        <w:ind w:firstLine="720"/>
        <w:jc w:val="both"/>
        <w:rPr>
          <w:rFonts w:asciiTheme="majorHAnsi" w:hAnsiTheme="majorHAnsi"/>
          <w:sz w:val="16"/>
          <w:szCs w:val="16"/>
          <w:lang w:val="fr-CA"/>
        </w:rPr>
      </w:pPr>
      <w:r w:rsidRPr="00795A52">
        <w:rPr>
          <w:rStyle w:val="FootnoteReference"/>
          <w:rFonts w:asciiTheme="majorHAnsi" w:hAnsiTheme="majorHAnsi"/>
          <w:sz w:val="16"/>
          <w:szCs w:val="16"/>
        </w:rPr>
        <w:footnoteRef/>
      </w:r>
      <w:r w:rsidRPr="00795A52">
        <w:rPr>
          <w:rFonts w:asciiTheme="majorHAnsi" w:hAnsiTheme="majorHAnsi"/>
          <w:sz w:val="16"/>
          <w:szCs w:val="16"/>
          <w:lang w:val="fr-CA"/>
        </w:rPr>
        <w:t xml:space="preserve"> IACHR, Report 64/11 (Merits), </w:t>
      </w:r>
      <w:r w:rsidRPr="00795A52">
        <w:rPr>
          <w:rFonts w:asciiTheme="majorHAnsi" w:hAnsiTheme="majorHAnsi"/>
          <w:i/>
          <w:sz w:val="16"/>
          <w:szCs w:val="16"/>
          <w:lang w:val="fr-CA"/>
        </w:rPr>
        <w:t>Marino López et al.</w:t>
      </w:r>
      <w:r w:rsidRPr="00795A52">
        <w:rPr>
          <w:rFonts w:asciiTheme="majorHAnsi" w:hAnsiTheme="majorHAnsi"/>
          <w:sz w:val="16"/>
          <w:szCs w:val="16"/>
          <w:lang w:val="fr-CA"/>
        </w:rPr>
        <w:t xml:space="preserve"> (Operation Genesis) (Colombia), March 31, 2011, par</w:t>
      </w:r>
      <w:r w:rsidR="00FD5E02">
        <w:rPr>
          <w:rFonts w:asciiTheme="majorHAnsi" w:hAnsiTheme="majorHAnsi"/>
          <w:sz w:val="16"/>
          <w:szCs w:val="16"/>
          <w:lang w:val="fr-CA"/>
        </w:rPr>
        <w:t>a</w:t>
      </w:r>
      <w:r w:rsidRPr="00795A52">
        <w:rPr>
          <w:rFonts w:asciiTheme="majorHAnsi" w:hAnsiTheme="majorHAnsi"/>
          <w:sz w:val="16"/>
          <w:szCs w:val="16"/>
          <w:lang w:val="fr-CA"/>
        </w:rPr>
        <w:t>. 200.</w:t>
      </w:r>
    </w:p>
  </w:footnote>
  <w:footnote w:id="39">
    <w:p w14:paraId="7E2A7357" w14:textId="250A1451"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lang w:val="fr-CA"/>
        </w:rPr>
        <w:t xml:space="preserve"> IACHR, Report 64/11 (Merits), </w:t>
      </w:r>
      <w:r w:rsidRPr="00795A52">
        <w:rPr>
          <w:rFonts w:asciiTheme="majorHAnsi" w:hAnsiTheme="majorHAnsi"/>
          <w:i/>
          <w:sz w:val="16"/>
          <w:szCs w:val="16"/>
          <w:lang w:val="fr-CA"/>
        </w:rPr>
        <w:t>Marino López et al.</w:t>
      </w:r>
      <w:r w:rsidRPr="00795A52">
        <w:rPr>
          <w:rFonts w:asciiTheme="majorHAnsi" w:hAnsiTheme="majorHAnsi"/>
          <w:sz w:val="16"/>
          <w:szCs w:val="16"/>
          <w:lang w:val="fr-CA"/>
        </w:rPr>
        <w:t xml:space="preserve"> </w:t>
      </w:r>
      <w:r w:rsidRPr="00795A52">
        <w:rPr>
          <w:rFonts w:asciiTheme="majorHAnsi" w:hAnsiTheme="majorHAnsi"/>
          <w:sz w:val="16"/>
          <w:szCs w:val="16"/>
        </w:rPr>
        <w:t>(Operation Genesis) (Colombia), March 31, 2011, par</w:t>
      </w:r>
      <w:r w:rsidR="00FD5E02">
        <w:rPr>
          <w:rFonts w:asciiTheme="majorHAnsi" w:hAnsiTheme="majorHAnsi"/>
          <w:sz w:val="16"/>
          <w:szCs w:val="16"/>
        </w:rPr>
        <w:t>a</w:t>
      </w:r>
      <w:r w:rsidRPr="00795A52">
        <w:rPr>
          <w:rFonts w:asciiTheme="majorHAnsi" w:hAnsiTheme="majorHAnsi"/>
          <w:sz w:val="16"/>
          <w:szCs w:val="16"/>
        </w:rPr>
        <w:t>. 187.</w:t>
      </w:r>
    </w:p>
  </w:footnote>
  <w:footnote w:id="40">
    <w:p w14:paraId="3D97D335" w14:textId="0EBA1F7A"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IACHR, Annual Report of the Inter-American Commission on Human Rights 1996, OEA/Ser.L/V/II.95, Doc. 7 rev., March 14, 1997, Colombia, par</w:t>
      </w:r>
      <w:r w:rsidR="00FD5E02">
        <w:rPr>
          <w:rFonts w:asciiTheme="majorHAnsi" w:hAnsiTheme="majorHAnsi"/>
          <w:sz w:val="16"/>
          <w:szCs w:val="16"/>
        </w:rPr>
        <w:t>a</w:t>
      </w:r>
      <w:r w:rsidRPr="00795A52">
        <w:rPr>
          <w:rFonts w:asciiTheme="majorHAnsi" w:hAnsiTheme="majorHAnsi"/>
          <w:sz w:val="16"/>
          <w:szCs w:val="16"/>
        </w:rPr>
        <w:t xml:space="preserve">. 48. </w:t>
      </w:r>
    </w:p>
  </w:footnote>
  <w:footnote w:id="41">
    <w:p w14:paraId="048E62D0" w14:textId="77777777" w:rsidR="00795A52" w:rsidRPr="00795A52" w:rsidRDefault="00795A52" w:rsidP="00795A52">
      <w:pPr>
        <w:pStyle w:val="FootnoteText"/>
        <w:tabs>
          <w:tab w:val="left" w:pos="90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Operation Genesis. Citing. </w:t>
      </w:r>
      <w:r w:rsidRPr="00795A52">
        <w:rPr>
          <w:rFonts w:asciiTheme="majorHAnsi" w:hAnsiTheme="majorHAnsi"/>
          <w:i/>
          <w:sz w:val="16"/>
          <w:szCs w:val="16"/>
        </w:rPr>
        <w:t>Cf.</w:t>
      </w:r>
      <w:r w:rsidRPr="00795A52">
        <w:rPr>
          <w:rFonts w:asciiTheme="majorHAnsi" w:hAnsiTheme="majorHAnsi"/>
          <w:sz w:val="16"/>
          <w:szCs w:val="16"/>
        </w:rPr>
        <w:t xml:space="preserve"> Statements by Dr. G.I.C.M, the Mayor of Apartadó, in the proceedings before the National Unit for Human Rights and International Humanitarian Law of the Attorney General's Office on October 21, 1998 and April 24, 1997 (evidence file, pp. 39585 and 38813); statements by Colonel C.A.V.R. before the National Unit for Human Rights and International Humanitarian Law of the Attorney General's Office on May 8, 1998 and September 13, 2002 (evidence file, pp. 38794, 34795, 38796, 41284, and 41335); statement by M.M.C. in Filed Document 426 before the National Unit for Human Rights and International Humanitarian Law of the Attorney General's Office on July 28, 1999 (evidence file, pp. 39613 and 39614). Regarding this testimony, it should be explained that the Prosecutor's Office finds it impossible that a person who entered the Army could have managed to gain the trust of military high command, as happened with M.M.C. Regarding the episode where he apparently hears Rito Alejo speaking in English, he provides no evidence that he understands that language. He is suspected of lying because he cannot explain how he knew the exact location of the paramilitary bases, the weapons they had, and the exact numbers on the license plates of the vehicles used by paramilitary leaders (evidence file, pp. 41564 to 41566).</w:t>
      </w:r>
    </w:p>
  </w:footnote>
  <w:footnote w:id="42">
    <w:p w14:paraId="65716EC5" w14:textId="77777777" w:rsidR="00795A52" w:rsidRPr="00795A52" w:rsidRDefault="00795A52" w:rsidP="00795A52">
      <w:pPr>
        <w:pStyle w:val="FootnoteText"/>
        <w:tabs>
          <w:tab w:val="left" w:pos="90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Operation Genesis. Citing. </w:t>
      </w:r>
      <w:r w:rsidRPr="00795A52">
        <w:rPr>
          <w:rFonts w:asciiTheme="majorHAnsi" w:hAnsiTheme="majorHAnsi"/>
          <w:i/>
          <w:sz w:val="16"/>
          <w:szCs w:val="16"/>
        </w:rPr>
        <w:t>Cf.</w:t>
      </w:r>
      <w:r w:rsidRPr="00795A52">
        <w:rPr>
          <w:rFonts w:asciiTheme="majorHAnsi" w:hAnsiTheme="majorHAnsi"/>
          <w:sz w:val="16"/>
          <w:szCs w:val="16"/>
        </w:rPr>
        <w:t xml:space="preserve"> Statement by C.A.V.R. of May 8, 1998, September 11 and 13, 2003 before the National Unit for Human Rights and International Humanitarian Law of the Attorney General's Office on (and the statement by C.A.F. on May 11, 2011 before the Eighth Criminal Court of the Specialized Circuit (evidence file, from Minute 29.10 onwards of the video, p. 8745).  </w:t>
      </w:r>
    </w:p>
  </w:footnote>
  <w:footnote w:id="43">
    <w:p w14:paraId="4BB37806" w14:textId="77777777" w:rsidR="00795A52" w:rsidRPr="00795A52" w:rsidRDefault="00795A52" w:rsidP="00795A52">
      <w:pPr>
        <w:pStyle w:val="FootnoteText"/>
        <w:tabs>
          <w:tab w:val="left" w:pos="90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Operation Genesis. Citing. </w:t>
      </w:r>
      <w:r w:rsidRPr="00795A52">
        <w:rPr>
          <w:rFonts w:asciiTheme="majorHAnsi" w:hAnsiTheme="majorHAnsi"/>
          <w:i/>
          <w:sz w:val="16"/>
          <w:szCs w:val="16"/>
        </w:rPr>
        <w:t>Cf.</w:t>
      </w:r>
      <w:r w:rsidRPr="00795A52">
        <w:rPr>
          <w:rFonts w:asciiTheme="majorHAnsi" w:hAnsiTheme="majorHAnsi"/>
          <w:sz w:val="16"/>
          <w:szCs w:val="16"/>
        </w:rPr>
        <w:t xml:space="preserve"> Office of the Attorney General, Document and Powerpoint Presentation on "Operation Cacarica" (evidence file, pp. 19258 and 1926) and the Attorney general's Office, Justice and Peace Unit, File on the Elmer Cárdenas Unit's Structures, handed over by Fredy Rendón (evidence file, p. 45295).</w:t>
      </w:r>
    </w:p>
  </w:footnote>
  <w:footnote w:id="44">
    <w:p w14:paraId="3F104CB4" w14:textId="77777777" w:rsidR="00795A52" w:rsidRPr="00795A52" w:rsidRDefault="00795A52" w:rsidP="00795A52">
      <w:pPr>
        <w:pStyle w:val="FootnoteText"/>
        <w:tabs>
          <w:tab w:val="left" w:pos="90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Operation Genesis. Citing. </w:t>
      </w:r>
      <w:r w:rsidRPr="00795A52">
        <w:rPr>
          <w:rFonts w:asciiTheme="majorHAnsi" w:hAnsiTheme="majorHAnsi"/>
          <w:i/>
          <w:sz w:val="16"/>
          <w:szCs w:val="16"/>
        </w:rPr>
        <w:t>Cf.</w:t>
      </w:r>
      <w:r w:rsidRPr="00795A52">
        <w:rPr>
          <w:rFonts w:asciiTheme="majorHAnsi" w:hAnsiTheme="majorHAnsi"/>
          <w:sz w:val="16"/>
          <w:szCs w:val="16"/>
        </w:rPr>
        <w:t xml:space="preserve"> Free renderings of  Fredy Rendón Herrera and Julio César Arce Graciano, in Combined Free Renderings (</w:t>
      </w:r>
      <w:r w:rsidRPr="00795A52">
        <w:rPr>
          <w:rFonts w:asciiTheme="majorHAnsi" w:hAnsiTheme="majorHAnsi"/>
          <w:i/>
          <w:sz w:val="16"/>
          <w:szCs w:val="16"/>
        </w:rPr>
        <w:t>Versiones Libres Conjuntas</w:t>
      </w:r>
      <w:r w:rsidRPr="00795A52">
        <w:rPr>
          <w:rFonts w:asciiTheme="majorHAnsi" w:hAnsiTheme="majorHAnsi"/>
          <w:sz w:val="16"/>
          <w:szCs w:val="16"/>
        </w:rPr>
        <w:t>) of the assumptions of the Elmer Cárdenas Unit on Operation Genesis - Cacarica before the 48th Local Prosecutor's Office, Justice and Peace Unit, Medellín, on April 28, 2010 (evidence file, minutes 11:08 and 14;24, pp. 9160 and 19162).</w:t>
      </w:r>
    </w:p>
  </w:footnote>
  <w:footnote w:id="45">
    <w:p w14:paraId="6F5B7D04" w14:textId="77777777" w:rsidR="00795A52" w:rsidRPr="00795A52" w:rsidRDefault="00795A52" w:rsidP="00795A52">
      <w:pPr>
        <w:pStyle w:val="FootnoteText"/>
        <w:tabs>
          <w:tab w:val="left" w:pos="90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Operation Genesis. Citing. </w:t>
      </w:r>
      <w:r w:rsidRPr="00795A52">
        <w:rPr>
          <w:rFonts w:asciiTheme="majorHAnsi" w:hAnsiTheme="majorHAnsi"/>
          <w:i/>
          <w:sz w:val="16"/>
          <w:szCs w:val="16"/>
        </w:rPr>
        <w:t>Cf.</w:t>
      </w:r>
      <w:r w:rsidRPr="00795A52">
        <w:rPr>
          <w:rFonts w:asciiTheme="majorHAnsi" w:hAnsiTheme="majorHAnsi"/>
          <w:sz w:val="16"/>
          <w:szCs w:val="16"/>
        </w:rPr>
        <w:t xml:space="preserve"> Affidavit before the Public Notary of Gimena Sánchez-Garzoli, evidence file, p. expert presented by the representatives of the alleged victims, on January 30, 2013  (evidence file, p.15242).</w:t>
      </w:r>
    </w:p>
  </w:footnote>
  <w:footnote w:id="46">
    <w:p w14:paraId="23D7E450"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Birth certificate of Alcides Torres Arias. Enclosed with the original petition. </w:t>
      </w:r>
    </w:p>
  </w:footnote>
  <w:footnote w:id="47">
    <w:p w14:paraId="2C5E8D3B"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 Briefing N° 4284/BR17-BIVEL-S2-INT-252, Handing over of detainees, weapons of war, and means of transport, of the  Commander of Inf. Batallion 47,  Francisco De Paula Vélez of December 17, 1995. Enclosed with the original petition.</w:t>
      </w:r>
    </w:p>
  </w:footnote>
  <w:footnote w:id="48">
    <w:p w14:paraId="425CE4CE"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Briefing N° 4284/BR17-BIVEL-S2-INT-252, Handing over of detainees, weapons of war, and means of transport, of the  Commander of Inf. Batallion 47,  Francisco De Paula Vélez of December 17, 1995. Enclosed with the original petition.</w:t>
      </w:r>
    </w:p>
  </w:footnote>
  <w:footnote w:id="49">
    <w:p w14:paraId="00C27A8C"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Certificate of good treatment signed by Alcides Torres Arias on December 16, 1995. Enclosed with the original petition.</w:t>
      </w:r>
    </w:p>
  </w:footnote>
  <w:footnote w:id="50">
    <w:p w14:paraId="3FE3F9D1"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Procedure communicating the rights of the detainee at Infantry Battalion No. 32, General Francisco de Paula Vélez on December 16, 1995. Enclosed with the original petition.</w:t>
      </w:r>
    </w:p>
  </w:footnote>
  <w:footnote w:id="51">
    <w:p w14:paraId="27F3A02B"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Briefing N° 4284/BR17-BIVEL-S2-INT-252, Handing over of detainees, weapons of war, and means of transport, of the  Commander of Inf. Batallion 47,  Francisco De Paula Vélez of December 17, 1995. Enclosed with the original petition.</w:t>
      </w:r>
    </w:p>
  </w:footnote>
  <w:footnote w:id="52">
    <w:p w14:paraId="48545D60"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Briefing N° 4284/BR17-BIVEL-S2-INT-252, Handing over of detainees, weapons of war, and means of transport, of the  Commander of Inf. Batallion 47,  Francisco De Paula Vélez of December 17, 1995. Enclosed with the original petition.</w:t>
      </w:r>
    </w:p>
  </w:footnote>
  <w:footnote w:id="53">
    <w:p w14:paraId="678EF7DA"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Filed document 246 in Carepa, opening of preliminary investigation on December 18, 1995 Enclosed with the original petition. </w:t>
      </w:r>
    </w:p>
  </w:footnote>
  <w:footnote w:id="54">
    <w:p w14:paraId="72C74713"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Official Letter 1419 of the Regional Prosecutor in Carepa, dated December 18, 1995. Enclosed with the original petition.</w:t>
      </w:r>
    </w:p>
  </w:footnote>
  <w:footnote w:id="55">
    <w:p w14:paraId="61FE9EC8"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Official Letter 1420 of the Regional Prosecutor in Carepa, dated December 18, 1995. Enclosed with the original petition. </w:t>
      </w:r>
    </w:p>
  </w:footnote>
  <w:footnote w:id="56">
    <w:p w14:paraId="001E5AAB"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Filed document 246 in Carepa, opening of preliminary investigation on December 18, 1995 Enclosed with the original petition. </w:t>
      </w:r>
    </w:p>
  </w:footnote>
  <w:footnote w:id="57">
    <w:p w14:paraId="2788F6D6"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Filed document 246 in Carepa, Statement by Ricardo López Lora on December 20, 1995 Appendix to the petitioners’ brief of  June 24, 2007.</w:t>
      </w:r>
    </w:p>
  </w:footnote>
  <w:footnote w:id="58">
    <w:p w14:paraId="4C7249BB"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Filed document 246 of the Regional Proesecutor's Office in Carepa. Order for the Immediate Release of two persons on December 20, 1995. Enclosed with the original petition. </w:t>
      </w:r>
    </w:p>
  </w:footnote>
  <w:footnote w:id="59">
    <w:p w14:paraId="578378ED"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Official Letter 1429 of the Regional Prosecutor in Carepa, dated Wednesday, December 20, 1995. Enclosed with the original petition.</w:t>
      </w:r>
    </w:p>
  </w:footnote>
  <w:footnote w:id="60">
    <w:p w14:paraId="69C30ED0"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Filed document 246 of the Regional Proesecutor's Office in Carepa. Order for the Immediate Release of two persons on December 20, 1995. Enclosed with the original petition. </w:t>
      </w:r>
    </w:p>
  </w:footnote>
  <w:footnote w:id="61">
    <w:p w14:paraId="7B1C1EEB"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Filed document 246 of the Regional Prosecutor's Office in Carepa. Statement of  Alcides Torres Arias on December 20, 1995. Appendix to the petitioners’ brief of  June 24, 2007.</w:t>
      </w:r>
    </w:p>
  </w:footnote>
  <w:footnote w:id="62">
    <w:p w14:paraId="00DB2A04"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Filed document 246 of the Regional Prosecutor's Office in Carepa. Statement of Angel David Quintero Benites  on December 20, 1995. Appendix to the petitioners’ brief of  June 24, 2007. </w:t>
      </w:r>
    </w:p>
  </w:footnote>
  <w:footnote w:id="63">
    <w:p w14:paraId="72E78CAE"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provided by Lance Corporal Villaruel Molina Belquis Margarita to the Investigation Office of the XVII Brigade on January 26, 1996. Appendix to the petitioners’ brief of  June 24, 2007.</w:t>
      </w:r>
    </w:p>
  </w:footnote>
  <w:footnote w:id="64">
    <w:p w14:paraId="380CD604"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Logbook of of the Infantry Battalion Guard No. 32 of the XVII Brigade. Enclosed with the initial petition of November 1, 2001.</w:t>
      </w:r>
    </w:p>
  </w:footnote>
  <w:footnote w:id="65">
    <w:p w14:paraId="5F7B1E8F"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Mr. Jose Ignacio Jiménez, contained in the judgment of the Court attached to the First Criminal Court of the Specialized Circuit of Antioquia, handed down on June 6, 2012 on case filed as 05-00-31-07-001-2012-00010,  p. 10. Appendix to the State document of December 02, 2013.</w:t>
      </w:r>
    </w:p>
  </w:footnote>
  <w:footnote w:id="66">
    <w:p w14:paraId="11503C41"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Mr. Héctor Vanegas Rodríguez, contained in the judgment of the Court attached to the Second Criminal Court of the Specialized Circuit of Antioquia, handed down on January 31, 2012 on case filed as 05000 31 07 002 2009 00041. pp. 56/65. Appendix 10 to the State document of December 2, 2013. </w:t>
      </w:r>
    </w:p>
  </w:footnote>
  <w:footnote w:id="67">
    <w:p w14:paraId="4E243718"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Mr. Argemiro López Bravo made on October 13, 2004. Appendix to the petitioners’ brief of  June 24, 2007. </w:t>
      </w:r>
    </w:p>
  </w:footnote>
  <w:footnote w:id="68">
    <w:p w14:paraId="5E62775F"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Mr. Argemiro López Bravo on September 29, 2008, contained in the judgment of the Court attached to the First Criminal Court of the Specialized Circuit of Antioquia, handed down on June 6, 2012 on case filed as 05-00-31-07-001-2012-00010. p. 9. Appendix to the State document of December 2, 2013.  </w:t>
      </w:r>
    </w:p>
  </w:footnote>
  <w:footnote w:id="69">
    <w:p w14:paraId="028A67AF"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Leonel de Jesús Durango Ruedo, made on May 24, 1006. Appendix to the observations presented by the State on August 10, 2009. </w:t>
      </w:r>
    </w:p>
  </w:footnote>
  <w:footnote w:id="70">
    <w:p w14:paraId="12B854D5"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Habeas corpus application filed by Cesar Augusto Rendón Pinzón on July 24, 2000. Enclosed with the original petition.</w:t>
      </w:r>
    </w:p>
  </w:footnote>
  <w:footnote w:id="71">
    <w:p w14:paraId="449B21F5"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Habeas corpus application filed by Cesar Augusto Rendón Pinzón on July 24, 2000. Enclosed with the original petition.</w:t>
      </w:r>
    </w:p>
  </w:footnote>
  <w:footnote w:id="72">
    <w:p w14:paraId="0E7295CA"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Ms. Nelsy Torres Arias,  contained in the judgment of the Court attached to the First Criminal Court of the Specialized Circuit of Antioquia, handed down on June 6, 2012 on case filed as 05-00-31-07-001-2012-00010. pp. 5-6. Appendix to the State document of December 2, 2013.</w:t>
      </w:r>
    </w:p>
  </w:footnote>
  <w:footnote w:id="73">
    <w:p w14:paraId="5CE91B6E"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Sworn statement of complaint of María Noemí Arias de Torres. Attached to the petitioners’ brief off April 17, 2002.</w:t>
      </w:r>
    </w:p>
  </w:footnote>
  <w:footnote w:id="74">
    <w:p w14:paraId="75CE3BE0"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gnacio de Jesús Gómez Ruiz on December 5, 2003. Appendix to the petitioners’ brief of June 24, 2007.</w:t>
      </w:r>
    </w:p>
  </w:footnote>
  <w:footnote w:id="75">
    <w:p w14:paraId="03DBF651"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Roque de Jesús Giraldo Vélez on March 17, 2003. Appendix to the petitioners’ brief of June 24, 2007.</w:t>
      </w:r>
    </w:p>
  </w:footnote>
  <w:footnote w:id="76">
    <w:p w14:paraId="2885314F"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Mr. Ramón Angel Ortega González made on June 12, 2003. Appendix to the petitioners’ brief of June 24, 2007.</w:t>
      </w:r>
    </w:p>
  </w:footnote>
  <w:footnote w:id="77">
    <w:p w14:paraId="4C9EC67E" w14:textId="3D8E8C42" w:rsidR="00795A52" w:rsidRPr="00795A52" w:rsidRDefault="00795A52" w:rsidP="00FD5E0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When he stated that: "I don't know the other two [Alcides Torres Arias and Angel David Quintero Benítez] at all and I heard that they stopped them and hauled them in, but I don't know who they are, they seem to be nice people." Filed document 246 in Carepa, Statement by Ricardo López Lora on December 20, 1995 Appendix to the petitioners’ brief of Sunday, June 24, 2007.</w:t>
      </w:r>
    </w:p>
  </w:footnote>
  <w:footnote w:id="78">
    <w:p w14:paraId="0231B262"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Mr. Ricardo López Lora, contained in the judgment of the Court attached to the First Criminal Court of the Specialized Circuit of Antioquia, handed down on June 6, 2012 on case filed as 05-00-31-07-001-2012-00010. pp. 10-11. Appendix to the State document of December 2, 2013.</w:t>
      </w:r>
    </w:p>
  </w:footnote>
  <w:footnote w:id="79">
    <w:p w14:paraId="47950E93"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Statement by Mr. Hebert Veloza García, alias </w:t>
      </w:r>
      <w:r w:rsidRPr="00795A52">
        <w:rPr>
          <w:rFonts w:asciiTheme="majorHAnsi" w:hAnsiTheme="majorHAnsi"/>
          <w:i/>
          <w:sz w:val="16"/>
          <w:szCs w:val="16"/>
        </w:rPr>
        <w:t>“HH”</w:t>
      </w:r>
      <w:r w:rsidRPr="00795A52">
        <w:rPr>
          <w:rFonts w:asciiTheme="majorHAnsi" w:hAnsiTheme="majorHAnsi"/>
          <w:sz w:val="16"/>
          <w:szCs w:val="16"/>
        </w:rPr>
        <w:t>,  contained in the judgment of the Court attached to the Second Criminal Court of the Specialized Circuit of Antioquia, handed down on January 31, 2012 on case filed as 05000 31 07 002 2009 00041. pp. 35/65. Appendix 10 to the State document of December 2, 2013.</w:t>
      </w:r>
    </w:p>
  </w:footnote>
  <w:footnote w:id="80">
    <w:p w14:paraId="3C5D075B" w14:textId="77777777" w:rsidR="00795A52" w:rsidRPr="00795A52" w:rsidRDefault="00795A52" w:rsidP="00795A52">
      <w:pPr>
        <w:pStyle w:val="FootnoteText"/>
        <w:spacing w:after="120"/>
        <w:ind w:firstLine="720"/>
        <w:jc w:val="both"/>
        <w:rPr>
          <w:rFonts w:asciiTheme="majorHAnsi" w:hAnsiTheme="majorHAnsi"/>
          <w:sz w:val="16"/>
          <w:szCs w:val="16"/>
          <w:lang w:val="fr-CA"/>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Higher Court of Bogotá, Justice and peace Division, handed down on October 31, 2013, on the case filed under  11-001-60-00 253-2006 810099 Internal file number 1432. </w:t>
      </w:r>
      <w:r w:rsidRPr="00795A52">
        <w:rPr>
          <w:rFonts w:asciiTheme="majorHAnsi" w:hAnsiTheme="majorHAnsi"/>
          <w:sz w:val="16"/>
          <w:szCs w:val="16"/>
          <w:lang w:val="fr-CA"/>
        </w:rPr>
        <w:t xml:space="preserve">Par. 47. Available online: </w:t>
      </w:r>
      <w:hyperlink r:id="rId5">
        <w:r w:rsidRPr="00795A52">
          <w:rPr>
            <w:rStyle w:val="Hyperlink"/>
            <w:rFonts w:asciiTheme="majorHAnsi" w:hAnsiTheme="majorHAnsi"/>
            <w:sz w:val="16"/>
            <w:szCs w:val="16"/>
            <w:lang w:val="fr-CA"/>
          </w:rPr>
          <w:t>http://www.coljuristas.org/documentos/adicionales/control_de_legalidad_HEBERT_VELOZA.pdf</w:t>
        </w:r>
      </w:hyperlink>
      <w:r w:rsidRPr="00795A52">
        <w:rPr>
          <w:rFonts w:asciiTheme="majorHAnsi" w:hAnsiTheme="majorHAnsi"/>
          <w:sz w:val="16"/>
          <w:szCs w:val="16"/>
          <w:lang w:val="fr-CA"/>
        </w:rPr>
        <w:t xml:space="preserve">. </w:t>
      </w:r>
    </w:p>
  </w:footnote>
  <w:footnote w:id="81">
    <w:p w14:paraId="57EFF264"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Habeas corpus application filed by Cesar Augusto Rendón Pinzón on July 24, 2000. Enclosed with the original petition.</w:t>
      </w:r>
    </w:p>
  </w:footnote>
  <w:footnote w:id="82">
    <w:p w14:paraId="2B32D958"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Law 484 of July 24, 2000. Enclosed with the original petition. </w:t>
      </w:r>
    </w:p>
  </w:footnote>
  <w:footnote w:id="83">
    <w:p w14:paraId="58C8D7D7"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Law 485 of July 24, 2000. Enclosed with the original petition. </w:t>
      </w:r>
    </w:p>
  </w:footnote>
  <w:footnote w:id="84">
    <w:p w14:paraId="2C0D28E6"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Law 486 of Tuesday, July 25, 2000. Enclosed with the original petition. </w:t>
      </w:r>
    </w:p>
  </w:footnote>
  <w:footnote w:id="85">
    <w:p w14:paraId="0FE6D893"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Transcription made by the Secretary of the First Criminal Court of the Circuit of Apartadó, Antioquia on July 25, 2000 with respect to Official Letter 0774 of July 24, 2000, signed by José David Ibarra Contreras, Specialized Prosecutor, and Official Letter 0774, sent by fax. Enclosed with the original petition. </w:t>
      </w:r>
    </w:p>
  </w:footnote>
  <w:footnote w:id="86">
    <w:p w14:paraId="260F2ACA"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Official Letter 1390 of the Coordinator of the Specialized Public Prosecutor's Offices, dated July 25, 2000. Enclosed with the original petition.</w:t>
      </w:r>
    </w:p>
  </w:footnote>
  <w:footnote w:id="87">
    <w:p w14:paraId="2EE94161"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Official Letter 1396 of the Coordinator of the Specialized Public Prosecutor's Offices, dated July 25, 2000. Enclosed with the original petition. </w:t>
      </w:r>
    </w:p>
  </w:footnote>
  <w:footnote w:id="88">
    <w:p w14:paraId="457DF058"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Official Letter 495 of the First Criminal Court of the Apartadó Circuit, dated July 26, 2000. Enclosed with the original petition.</w:t>
      </w:r>
    </w:p>
  </w:footnote>
  <w:footnote w:id="89">
    <w:p w14:paraId="0B7A2C19"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Official Letter 496 of the First Criminal Court of the Apartadó Circuit, dated July 26, 2000. Enclosed with the original petition.</w:t>
      </w:r>
    </w:p>
  </w:footnote>
  <w:footnote w:id="90">
    <w:p w14:paraId="68FA8389"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Official Letter 1335 of the First Court of Enforcement of Sentences and Security Measures of Medellín, dated  July 27, 2000. Enclosed with the original petition. </w:t>
      </w:r>
    </w:p>
  </w:footnote>
  <w:footnote w:id="91">
    <w:p w14:paraId="6D951168"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Resolution of the First Criminal Court of the Apartadó Circuit, dated July 28, 2000. Enclosed with the original petition.</w:t>
      </w:r>
    </w:p>
  </w:footnote>
  <w:footnote w:id="92">
    <w:p w14:paraId="0AC9BF8A" w14:textId="15C3AECF"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IACHR, Report No. 6/03 (Admissibility), Petition 0597/200  </w:t>
      </w:r>
      <w:r w:rsidRPr="00795A52">
        <w:rPr>
          <w:rFonts w:asciiTheme="majorHAnsi" w:hAnsiTheme="majorHAnsi"/>
          <w:i/>
          <w:sz w:val="16"/>
          <w:szCs w:val="16"/>
        </w:rPr>
        <w:t xml:space="preserve">Alcides Torres Arias </w:t>
      </w:r>
      <w:r w:rsidRPr="00795A52">
        <w:rPr>
          <w:rFonts w:asciiTheme="majorHAnsi" w:hAnsiTheme="majorHAnsi"/>
          <w:sz w:val="16"/>
          <w:szCs w:val="16"/>
        </w:rPr>
        <w:t>(Colombia) , February 20, 2003, par</w:t>
      </w:r>
      <w:r w:rsidR="0006778C">
        <w:rPr>
          <w:rFonts w:asciiTheme="majorHAnsi" w:hAnsiTheme="majorHAnsi"/>
          <w:sz w:val="16"/>
          <w:szCs w:val="16"/>
        </w:rPr>
        <w:t>a</w:t>
      </w:r>
      <w:r w:rsidRPr="00795A52">
        <w:rPr>
          <w:rFonts w:asciiTheme="majorHAnsi" w:hAnsiTheme="majorHAnsi"/>
          <w:sz w:val="16"/>
          <w:szCs w:val="16"/>
        </w:rPr>
        <w:t xml:space="preserve">. 12. </w:t>
      </w:r>
    </w:p>
  </w:footnote>
  <w:footnote w:id="93">
    <w:p w14:paraId="78C5D53D"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Official Letter 317 UNDH-DIH dated August 21, 2008. Appendix 3 to the observations on the merits presented by the State on August 10, 2009.</w:t>
      </w:r>
    </w:p>
  </w:footnote>
  <w:footnote w:id="94">
    <w:p w14:paraId="589289A2"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Court attached to the First Criminal Court of the Specialized Circuit of Antioquia, handed down on September 6, 2011, under case number 2011-0017. pp. 38. Appendix to the State document of December 2, 2013.</w:t>
      </w:r>
    </w:p>
  </w:footnote>
  <w:footnote w:id="95">
    <w:p w14:paraId="08B6EB17"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Court attached to the First Criminal Court of the Specialized Circuit of Antioquia, handed down on September 6, 2011, under case number 2011-0017. pp. 18. Appendix to the State document of Monday, December 02, 2013.</w:t>
      </w:r>
    </w:p>
  </w:footnote>
  <w:footnote w:id="96">
    <w:p w14:paraId="6C657FA9"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Court attached to the First Criminal Court of the Specialized Circuit of Antioquia, handed down on September 6, 2011, under case number 2011-0017. pp. 19. Appendix to the State document of December 2, 2013.</w:t>
      </w:r>
    </w:p>
  </w:footnote>
  <w:footnote w:id="97">
    <w:p w14:paraId="0CDF59FA"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Second Criminal Court of the Specialized Circuit of Antioquia, handed down on January 31, 2012,  case filed under 05000 31 07 002 2009 00041. pp. 63/65. Appendix 10 to the State document of December 2, 2013.</w:t>
      </w:r>
    </w:p>
  </w:footnote>
  <w:footnote w:id="98">
    <w:p w14:paraId="6F8B8EBB"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Second Criminal Court of the Specialized Circuit of Antioquia, handed down on January 31, 2012,  case filed under 05000 31 07 002 2009 00041. pp. 48/65. Appendix 10 to the State document of December 2, 2013.</w:t>
      </w:r>
    </w:p>
  </w:footnote>
  <w:footnote w:id="99">
    <w:p w14:paraId="57EF7DA4"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Second Criminal Court of the Specialized Circuit of Antioquia, handed down on January 31, 2012,  case filed under 05000 31 07 002 2009 00041. pp. 57/65. Appendix 10 to the State document of December 2, 2013.</w:t>
      </w:r>
    </w:p>
  </w:footnote>
  <w:footnote w:id="100">
    <w:p w14:paraId="19B3D106"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Court attached to the First Criminal Court of the Specialized Circuit of Antioquia, handed down on WJune 6, 2012,  case filed under 05-00-31-07-001-2012-00010. p. 38 Appendix to the State document of December 2, 2013.</w:t>
      </w:r>
    </w:p>
  </w:footnote>
  <w:footnote w:id="101">
    <w:p w14:paraId="2266A1DB"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Court attached to the First Criminal Court of the Specialized Circuit of Antioquia, handed down on WJune 6, 2012,  case filed under 05-00-31-07-001-2012-00010. pp 18-19 Appendix to the State document of December 2, 2013. </w:t>
      </w:r>
    </w:p>
  </w:footnote>
  <w:footnote w:id="102">
    <w:p w14:paraId="565C1DC2"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Court attached to the First Criminal Court of the Specialized Circuit of Antioquia, handed down on June 6, 2012,  case filed under 05-00-31-07-001-2012-00010. p.37 Appendix to the State document of December 2, 2013.</w:t>
      </w:r>
    </w:p>
  </w:footnote>
  <w:footnote w:id="103">
    <w:p w14:paraId="26EE7518"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Decision of the 36th Military Court  Hearing Preliminary Proceedings, August 26, 1996. Appendix to the observations on the merits presented by the State on August 10, 2009.</w:t>
      </w:r>
    </w:p>
  </w:footnote>
  <w:footnote w:id="104">
    <w:p w14:paraId="250ED67D"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Decision of the Deputy Disciplinary Attorney for the Defense of Human Rights,  September 10, 2004. Appendix to the observations on the merits presented by the State on August 10, 2009. </w:t>
      </w:r>
    </w:p>
  </w:footnote>
  <w:footnote w:id="105">
    <w:p w14:paraId="454738CD"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Official Letter 317 UNDH-DIH dated August 21, 2008. Appendix 3 to the observations on the merits presented by the State on August 10, 2009.</w:t>
      </w:r>
    </w:p>
  </w:footnote>
  <w:footnote w:id="106">
    <w:p w14:paraId="585ADD93" w14:textId="77777777" w:rsidR="00795A52" w:rsidRPr="00795A52" w:rsidRDefault="00795A52" w:rsidP="00795A52">
      <w:pPr>
        <w:pStyle w:val="FootnoteText"/>
        <w:spacing w:after="120"/>
        <w:ind w:firstLine="720"/>
        <w:jc w:val="both"/>
        <w:rPr>
          <w:rFonts w:asciiTheme="majorHAnsi" w:hAnsiTheme="majorHAnsi"/>
          <w:sz w:val="16"/>
          <w:szCs w:val="16"/>
          <w:lang w:val="fr-CA"/>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Higher Court of Bogotá, Justice and peace Division, handed down on October 31, 2013, on the case filed under 11-001-60-00 253-2006 810099 Internal file number 1432. </w:t>
      </w:r>
      <w:r w:rsidRPr="00795A52">
        <w:rPr>
          <w:rFonts w:asciiTheme="majorHAnsi" w:hAnsiTheme="majorHAnsi"/>
          <w:sz w:val="16"/>
          <w:szCs w:val="16"/>
          <w:lang w:val="fr-CA"/>
        </w:rPr>
        <w:t xml:space="preserve">Available online: </w:t>
      </w:r>
      <w:hyperlink r:id="rId6">
        <w:r w:rsidRPr="00795A52">
          <w:rPr>
            <w:rStyle w:val="Hyperlink"/>
            <w:rFonts w:asciiTheme="majorHAnsi" w:hAnsiTheme="majorHAnsi"/>
            <w:sz w:val="16"/>
            <w:szCs w:val="16"/>
            <w:lang w:val="fr-CA"/>
          </w:rPr>
          <w:t>http://www.coljuristas.org/documentos/adicionales/control_de_legalidad_HEBERT_VELOZA.pdf</w:t>
        </w:r>
      </w:hyperlink>
    </w:p>
  </w:footnote>
  <w:footnote w:id="107">
    <w:p w14:paraId="30F326B9" w14:textId="0F160A8D" w:rsidR="00795A52" w:rsidRPr="00795A52" w:rsidRDefault="00795A52" w:rsidP="00795A52">
      <w:pPr>
        <w:pStyle w:val="FootnoteText"/>
        <w:spacing w:after="120"/>
        <w:ind w:firstLine="720"/>
        <w:jc w:val="both"/>
        <w:rPr>
          <w:rFonts w:asciiTheme="majorHAnsi" w:hAnsiTheme="majorHAnsi"/>
          <w:sz w:val="16"/>
          <w:szCs w:val="16"/>
          <w:lang w:val="fr-CA"/>
        </w:rPr>
      </w:pPr>
      <w:r w:rsidRPr="00795A52">
        <w:rPr>
          <w:rStyle w:val="FootnoteReference"/>
          <w:rFonts w:asciiTheme="majorHAnsi" w:hAnsiTheme="majorHAnsi"/>
          <w:sz w:val="16"/>
          <w:szCs w:val="16"/>
        </w:rPr>
        <w:footnoteRef/>
      </w:r>
      <w:r w:rsidRPr="00795A52">
        <w:rPr>
          <w:rFonts w:asciiTheme="majorHAnsi" w:hAnsiTheme="majorHAnsi"/>
          <w:sz w:val="16"/>
          <w:szCs w:val="16"/>
          <w:lang w:val="fr-CA"/>
        </w:rPr>
        <w:t xml:space="preserve"> Idem. par</w:t>
      </w:r>
      <w:r w:rsidR="0006778C">
        <w:rPr>
          <w:rFonts w:asciiTheme="majorHAnsi" w:hAnsiTheme="majorHAnsi"/>
          <w:sz w:val="16"/>
          <w:szCs w:val="16"/>
          <w:lang w:val="fr-CA"/>
        </w:rPr>
        <w:t>a</w:t>
      </w:r>
      <w:r w:rsidRPr="00795A52">
        <w:rPr>
          <w:rFonts w:asciiTheme="majorHAnsi" w:hAnsiTheme="majorHAnsi"/>
          <w:sz w:val="16"/>
          <w:szCs w:val="16"/>
          <w:lang w:val="fr-CA"/>
        </w:rPr>
        <w:t>. 50.</w:t>
      </w:r>
    </w:p>
  </w:footnote>
  <w:footnote w:id="108">
    <w:p w14:paraId="7B214445" w14:textId="5B9F8469" w:rsidR="00795A52" w:rsidRPr="00795A52" w:rsidRDefault="00795A52" w:rsidP="00795A52">
      <w:pPr>
        <w:pStyle w:val="FootnoteText"/>
        <w:spacing w:after="120"/>
        <w:ind w:firstLine="720"/>
        <w:jc w:val="both"/>
        <w:rPr>
          <w:rFonts w:asciiTheme="majorHAnsi" w:hAnsiTheme="majorHAnsi"/>
          <w:sz w:val="16"/>
          <w:szCs w:val="16"/>
          <w:lang w:val="fr-CA"/>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Judgment of the Higher Court of Bogotá, Justice and Peace Division, handed down on October 31, 2013, on the case filed under 11-001-60-00 253-2006 810099 Internal file number 1432. </w:t>
      </w:r>
      <w:r w:rsidRPr="00795A52">
        <w:rPr>
          <w:rFonts w:asciiTheme="majorHAnsi" w:hAnsiTheme="majorHAnsi"/>
          <w:sz w:val="16"/>
          <w:szCs w:val="16"/>
          <w:lang w:val="fr-CA"/>
        </w:rPr>
        <w:t>Par</w:t>
      </w:r>
      <w:r w:rsidR="0006778C">
        <w:rPr>
          <w:rFonts w:asciiTheme="majorHAnsi" w:hAnsiTheme="majorHAnsi"/>
          <w:sz w:val="16"/>
          <w:szCs w:val="16"/>
          <w:lang w:val="fr-CA"/>
        </w:rPr>
        <w:t>a</w:t>
      </w:r>
      <w:r w:rsidRPr="00795A52">
        <w:rPr>
          <w:rFonts w:asciiTheme="majorHAnsi" w:hAnsiTheme="majorHAnsi"/>
          <w:sz w:val="16"/>
          <w:szCs w:val="16"/>
          <w:lang w:val="fr-CA"/>
        </w:rPr>
        <w:t xml:space="preserve">. 1257. Available online: </w:t>
      </w:r>
      <w:hyperlink r:id="rId7">
        <w:r w:rsidRPr="00795A52">
          <w:rPr>
            <w:rStyle w:val="Hyperlink"/>
            <w:rFonts w:asciiTheme="majorHAnsi" w:hAnsiTheme="majorHAnsi"/>
            <w:sz w:val="16"/>
            <w:szCs w:val="16"/>
            <w:lang w:val="fr-CA"/>
          </w:rPr>
          <w:t>http://www.coljuristas.org/documentos/adicionales/control_de_legalidad_HEBERT_VELOZA.pdf</w:t>
        </w:r>
      </w:hyperlink>
    </w:p>
  </w:footnote>
  <w:footnote w:id="109">
    <w:p w14:paraId="46450CB1" w14:textId="11A78B09" w:rsidR="00795A52" w:rsidRPr="00795A52" w:rsidRDefault="00795A52" w:rsidP="00795A52">
      <w:pPr>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Case of Blake v.</w:t>
      </w:r>
      <w:r w:rsidRPr="00795A52">
        <w:rPr>
          <w:rFonts w:asciiTheme="majorHAnsi" w:hAnsiTheme="majorHAnsi"/>
          <w:i/>
          <w:color w:val="000000"/>
          <w:sz w:val="16"/>
          <w:szCs w:val="16"/>
        </w:rPr>
        <w:t xml:space="preserve"> Guatemala.</w:t>
      </w:r>
      <w:r w:rsidRPr="00795A52">
        <w:rPr>
          <w:rFonts w:asciiTheme="majorHAnsi" w:hAnsiTheme="majorHAnsi"/>
          <w:color w:val="000000"/>
          <w:sz w:val="16"/>
          <w:szCs w:val="16"/>
        </w:rPr>
        <w:t xml:space="preserve"> Preliminary Objections. Judgment of July 02, 1996. </w:t>
      </w:r>
      <w:r w:rsidRPr="00795A52">
        <w:rPr>
          <w:rFonts w:asciiTheme="majorHAnsi" w:hAnsiTheme="majorHAnsi"/>
          <w:sz w:val="16"/>
          <w:szCs w:val="16"/>
        </w:rPr>
        <w:t>Series C No. 27, par</w:t>
      </w:r>
      <w:r w:rsidR="0006778C">
        <w:rPr>
          <w:rFonts w:asciiTheme="majorHAnsi" w:hAnsiTheme="majorHAnsi"/>
          <w:sz w:val="16"/>
          <w:szCs w:val="16"/>
        </w:rPr>
        <w:t>a</w:t>
      </w:r>
      <w:r w:rsidRPr="00795A52">
        <w:rPr>
          <w:rFonts w:asciiTheme="majorHAnsi" w:hAnsiTheme="majorHAnsi"/>
          <w:sz w:val="16"/>
          <w:szCs w:val="16"/>
        </w:rPr>
        <w:t xml:space="preserve">. 66. </w:t>
      </w:r>
    </w:p>
  </w:footnote>
  <w:footnote w:id="110">
    <w:p w14:paraId="6204C56E" w14:textId="638D9868" w:rsidR="00795A52" w:rsidRPr="00795A52" w:rsidRDefault="00795A52" w:rsidP="00795A52">
      <w:pPr>
        <w:pStyle w:val="FootnoteText"/>
        <w:tabs>
          <w:tab w:val="left" w:pos="72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The Court refers to the following instruments: The Economic and Social Council of the United Nations, the Report of the Working Group on Forced or Involuntary Disappearances, General Comment on Article 4 of the  Declaration on the Protection of All Persons  from Enforced Disappearance of January 15, 1996.  (E/CN. 4/1996/38), par. 55; and Article 2 of the International Convention for the Protection of all Persons from Forced Disappearance. </w:t>
      </w:r>
    </w:p>
  </w:footnote>
  <w:footnote w:id="111">
    <w:p w14:paraId="6C16F2B6" w14:textId="4A1CBA34" w:rsidR="00795A52" w:rsidRPr="00795A52" w:rsidRDefault="00795A52" w:rsidP="00795A52">
      <w:pPr>
        <w:pStyle w:val="FootnoteText"/>
        <w:tabs>
          <w:tab w:val="left" w:pos="72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Anzualdo Castro v. Peru.</w:t>
      </w:r>
      <w:r w:rsidRPr="00795A52">
        <w:rPr>
          <w:rFonts w:asciiTheme="majorHAnsi" w:hAnsiTheme="majorHAnsi"/>
          <w:sz w:val="16"/>
          <w:szCs w:val="16"/>
        </w:rPr>
        <w:t xml:space="preserve"> Preliminary Objection, Merits, Reparations and Costs. Judgment of September 22, 2009. Series C No. 202, par</w:t>
      </w:r>
      <w:r w:rsidR="0006778C">
        <w:rPr>
          <w:rFonts w:asciiTheme="majorHAnsi" w:hAnsiTheme="majorHAnsi"/>
          <w:sz w:val="16"/>
          <w:szCs w:val="16"/>
        </w:rPr>
        <w:t>a</w:t>
      </w:r>
      <w:r w:rsidRPr="00795A52">
        <w:rPr>
          <w:rFonts w:asciiTheme="majorHAnsi" w:hAnsiTheme="majorHAnsi"/>
          <w:sz w:val="16"/>
          <w:szCs w:val="16"/>
        </w:rPr>
        <w:t>. 60.</w:t>
      </w:r>
    </w:p>
  </w:footnote>
  <w:footnote w:id="112">
    <w:p w14:paraId="476A2395" w14:textId="4B20305C"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IACHR, Application to the Inter-American Court of Human Rights in the case of </w:t>
      </w:r>
      <w:r w:rsidRPr="00795A52">
        <w:rPr>
          <w:rFonts w:asciiTheme="majorHAnsi" w:hAnsiTheme="majorHAnsi"/>
          <w:i/>
          <w:sz w:val="16"/>
          <w:szCs w:val="16"/>
        </w:rPr>
        <w:t>Renato Ticona Estrada</w:t>
      </w:r>
      <w:r w:rsidRPr="00795A52">
        <w:rPr>
          <w:rFonts w:asciiTheme="majorHAnsi" w:hAnsiTheme="majorHAnsi"/>
          <w:sz w:val="16"/>
          <w:szCs w:val="16"/>
        </w:rPr>
        <w:t xml:space="preserve"> et al. (Case 12.527) against the Republic of Bolivia, August 0, 2007, par</w:t>
      </w:r>
      <w:r w:rsidR="0006778C">
        <w:rPr>
          <w:rFonts w:asciiTheme="majorHAnsi" w:hAnsiTheme="majorHAnsi"/>
          <w:sz w:val="16"/>
          <w:szCs w:val="16"/>
        </w:rPr>
        <w:t>a</w:t>
      </w:r>
      <w:r w:rsidRPr="00795A52">
        <w:rPr>
          <w:rFonts w:asciiTheme="majorHAnsi" w:hAnsiTheme="majorHAnsi"/>
          <w:sz w:val="16"/>
          <w:szCs w:val="16"/>
        </w:rPr>
        <w:t xml:space="preserve">. 108. </w:t>
      </w:r>
    </w:p>
  </w:footnote>
  <w:footnote w:id="113">
    <w:p w14:paraId="4DE3E185" w14:textId="2CEC209A" w:rsidR="00795A52" w:rsidRPr="00795A52" w:rsidRDefault="00795A52" w:rsidP="00795A52">
      <w:pPr>
        <w:pStyle w:val="FootnoteText"/>
        <w:tabs>
          <w:tab w:val="left" w:pos="72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 xml:space="preserve">Case of Ticona Estrada v. Bolivia. Merits, Reparations and Costs. </w:t>
      </w:r>
      <w:r w:rsidRPr="00795A52">
        <w:rPr>
          <w:rFonts w:asciiTheme="majorHAnsi" w:hAnsiTheme="majorHAnsi"/>
          <w:sz w:val="16"/>
          <w:szCs w:val="16"/>
        </w:rPr>
        <w:t>Judgment of November 27, 2008. Series C No. 191, par</w:t>
      </w:r>
      <w:r w:rsidR="0006778C">
        <w:rPr>
          <w:rFonts w:asciiTheme="majorHAnsi" w:hAnsiTheme="majorHAnsi"/>
          <w:sz w:val="16"/>
          <w:szCs w:val="16"/>
        </w:rPr>
        <w:t>a</w:t>
      </w:r>
      <w:r w:rsidRPr="00795A52">
        <w:rPr>
          <w:rFonts w:asciiTheme="majorHAnsi" w:hAnsiTheme="majorHAnsi"/>
          <w:sz w:val="16"/>
          <w:szCs w:val="16"/>
        </w:rPr>
        <w:t>. 56.</w:t>
      </w:r>
    </w:p>
  </w:footnote>
  <w:footnote w:id="114">
    <w:p w14:paraId="3A4F95B7" w14:textId="79AB6BFD" w:rsidR="00795A52" w:rsidRPr="00795A52" w:rsidRDefault="00795A52" w:rsidP="00795A52">
      <w:pPr>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 xml:space="preserve">Case of Tiu Tojín  v. Guatemala. Merits, Reparations and Costs. </w:t>
      </w:r>
      <w:r w:rsidRPr="00795A52">
        <w:rPr>
          <w:rFonts w:asciiTheme="majorHAnsi" w:hAnsiTheme="majorHAnsi"/>
          <w:sz w:val="16"/>
          <w:szCs w:val="16"/>
        </w:rPr>
        <w:t>Judgment of November 26, 2008. Serie C No. 190,  and Case of Ticona Estrada v.</w:t>
      </w:r>
      <w:r w:rsidRPr="00795A52">
        <w:rPr>
          <w:rFonts w:asciiTheme="majorHAnsi" w:hAnsiTheme="majorHAnsi"/>
          <w:i/>
          <w:sz w:val="16"/>
          <w:szCs w:val="16"/>
        </w:rPr>
        <w:t xml:space="preserve"> Bolivia. Merits, Reparations and Costs. </w:t>
      </w:r>
      <w:r w:rsidRPr="00795A52">
        <w:rPr>
          <w:rFonts w:asciiTheme="majorHAnsi" w:hAnsiTheme="majorHAnsi"/>
          <w:sz w:val="16"/>
          <w:szCs w:val="16"/>
        </w:rPr>
        <w:t>Judgment of November 27, 2008. Series C No. 191</w:t>
      </w:r>
      <w:r w:rsidR="0006778C">
        <w:rPr>
          <w:rFonts w:asciiTheme="majorHAnsi" w:hAnsiTheme="majorHAnsi"/>
          <w:sz w:val="16"/>
          <w:szCs w:val="16"/>
        </w:rPr>
        <w:t>.</w:t>
      </w:r>
    </w:p>
  </w:footnote>
  <w:footnote w:id="115">
    <w:p w14:paraId="1A2F64A0" w14:textId="405AC405"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Radilla Pacheco  v. Mexico.</w:t>
      </w:r>
      <w:r w:rsidRPr="00795A52">
        <w:rPr>
          <w:rFonts w:asciiTheme="majorHAnsi" w:hAnsiTheme="majorHAnsi"/>
          <w:sz w:val="16"/>
          <w:szCs w:val="16"/>
        </w:rPr>
        <w:t xml:space="preserve"> Preliminary Objections, Merits, Reparations, and Costs. Judgment of November 23, 2009. Series C No. 209, par</w:t>
      </w:r>
      <w:r w:rsidR="0006778C">
        <w:rPr>
          <w:rFonts w:asciiTheme="majorHAnsi" w:hAnsiTheme="majorHAnsi"/>
          <w:sz w:val="16"/>
          <w:szCs w:val="16"/>
        </w:rPr>
        <w:t>a</w:t>
      </w:r>
      <w:r w:rsidRPr="00795A52">
        <w:rPr>
          <w:rFonts w:asciiTheme="majorHAnsi" w:hAnsiTheme="majorHAnsi"/>
          <w:sz w:val="16"/>
          <w:szCs w:val="16"/>
        </w:rPr>
        <w:t>. 138.</w:t>
      </w:r>
    </w:p>
  </w:footnote>
  <w:footnote w:id="116">
    <w:p w14:paraId="27340B1E"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Anzualdo Castro v. Peru.</w:t>
      </w:r>
      <w:r w:rsidRPr="00795A52">
        <w:rPr>
          <w:rFonts w:asciiTheme="majorHAnsi" w:hAnsiTheme="majorHAnsi"/>
          <w:sz w:val="16"/>
          <w:szCs w:val="16"/>
        </w:rPr>
        <w:t xml:space="preserve"> Preliminary Objection, Merits, Reparations and Costs. Judgment of September 22, 2009. Series C No. 202, paragraphs 51-103, </w:t>
      </w:r>
      <w:r w:rsidRPr="00795A52">
        <w:rPr>
          <w:rFonts w:asciiTheme="majorHAnsi" w:hAnsiTheme="majorHAnsi"/>
          <w:i/>
          <w:sz w:val="16"/>
          <w:szCs w:val="16"/>
        </w:rPr>
        <w:t>Case of Radilla Pacheco  v. Mexico.</w:t>
      </w:r>
      <w:r w:rsidRPr="00795A52">
        <w:rPr>
          <w:rFonts w:asciiTheme="majorHAnsi" w:hAnsiTheme="majorHAnsi"/>
          <w:sz w:val="16"/>
          <w:szCs w:val="16"/>
        </w:rPr>
        <w:t xml:space="preserve"> Preliminary Objections, Merits, Reparations, and Costs. Judgment of November 23, 2009. Series C No. 209, paragraphs 138-59.</w:t>
      </w:r>
    </w:p>
  </w:footnote>
  <w:footnote w:id="117">
    <w:p w14:paraId="129B5232" w14:textId="751EB813" w:rsidR="00795A52" w:rsidRPr="00795A52" w:rsidRDefault="00795A52" w:rsidP="00795A52">
      <w:pPr>
        <w:pStyle w:val="Normal1"/>
        <w:tabs>
          <w:tab w:val="left" w:pos="720"/>
        </w:tabs>
        <w:spacing w:after="120"/>
        <w:ind w:firstLine="720"/>
        <w:jc w:val="both"/>
        <w:rPr>
          <w:rFonts w:asciiTheme="majorHAnsi" w:hAnsiTheme="majorHAnsi"/>
          <w:sz w:val="16"/>
          <w:szCs w:val="16"/>
        </w:rPr>
      </w:pPr>
      <w:r w:rsidRPr="00795A52">
        <w:rPr>
          <w:rFonts w:asciiTheme="majorHAnsi" w:hAnsiTheme="majorHAnsi"/>
          <w:sz w:val="16"/>
          <w:szCs w:val="16"/>
          <w:vertAlign w:val="superscript"/>
        </w:rPr>
        <w:footnoteRef/>
      </w:r>
      <w:r w:rsidRPr="00795A52">
        <w:rPr>
          <w:rFonts w:asciiTheme="majorHAnsi" w:hAnsiTheme="majorHAnsi"/>
          <w:sz w:val="16"/>
          <w:szCs w:val="16"/>
        </w:rPr>
        <w:t xml:space="preserve"> </w:t>
      </w:r>
      <w:r w:rsidRPr="00795A52">
        <w:rPr>
          <w:rFonts w:asciiTheme="majorHAnsi" w:hAnsiTheme="majorHAnsi"/>
          <w:i/>
          <w:sz w:val="16"/>
          <w:szCs w:val="16"/>
        </w:rPr>
        <w:t>Cf. Case of Anzualdo Castro v. Peru,</w:t>
      </w:r>
      <w:r w:rsidRPr="00795A52">
        <w:rPr>
          <w:rFonts w:asciiTheme="majorHAnsi" w:hAnsiTheme="majorHAnsi"/>
          <w:sz w:val="16"/>
          <w:szCs w:val="16"/>
        </w:rPr>
        <w:t xml:space="preserve"> supra note 44, par</w:t>
      </w:r>
      <w:r w:rsidR="0006778C">
        <w:rPr>
          <w:rFonts w:asciiTheme="majorHAnsi" w:hAnsiTheme="majorHAnsi"/>
          <w:sz w:val="16"/>
          <w:szCs w:val="16"/>
        </w:rPr>
        <w:t>a</w:t>
      </w:r>
      <w:r w:rsidRPr="00795A52">
        <w:rPr>
          <w:rFonts w:asciiTheme="majorHAnsi" w:hAnsiTheme="majorHAnsi"/>
          <w:sz w:val="16"/>
          <w:szCs w:val="16"/>
        </w:rPr>
        <w:t>. 90.</w:t>
      </w:r>
    </w:p>
  </w:footnote>
  <w:footnote w:id="118">
    <w:p w14:paraId="6BAD08E6" w14:textId="5C10457C" w:rsidR="00795A52" w:rsidRPr="00795A52" w:rsidRDefault="00795A52" w:rsidP="00795A52">
      <w:pPr>
        <w:pStyle w:val="Normal1"/>
        <w:tabs>
          <w:tab w:val="left" w:pos="720"/>
        </w:tabs>
        <w:spacing w:after="120"/>
        <w:ind w:firstLine="720"/>
        <w:jc w:val="both"/>
        <w:rPr>
          <w:rFonts w:asciiTheme="majorHAnsi" w:hAnsiTheme="majorHAnsi"/>
          <w:sz w:val="16"/>
          <w:szCs w:val="16"/>
        </w:rPr>
      </w:pPr>
      <w:r w:rsidRPr="00795A52">
        <w:rPr>
          <w:rFonts w:asciiTheme="majorHAnsi" w:hAnsiTheme="majorHAnsi"/>
          <w:sz w:val="16"/>
          <w:szCs w:val="16"/>
          <w:vertAlign w:val="superscript"/>
        </w:rPr>
        <w:footnoteRef/>
      </w:r>
      <w:r w:rsidRPr="00795A52">
        <w:rPr>
          <w:rFonts w:asciiTheme="majorHAnsi" w:hAnsiTheme="majorHAnsi"/>
          <w:sz w:val="16"/>
          <w:szCs w:val="16"/>
        </w:rPr>
        <w:t xml:space="preserve"> </w:t>
      </w:r>
      <w:r w:rsidRPr="00795A52">
        <w:rPr>
          <w:rFonts w:asciiTheme="majorHAnsi" w:hAnsiTheme="majorHAnsi"/>
          <w:i/>
          <w:sz w:val="16"/>
          <w:szCs w:val="16"/>
        </w:rPr>
        <w:t>Cf.</w:t>
      </w:r>
      <w:r w:rsidRPr="00795A52">
        <w:rPr>
          <w:rFonts w:asciiTheme="majorHAnsi" w:hAnsiTheme="majorHAnsi"/>
          <w:sz w:val="16"/>
          <w:szCs w:val="16"/>
        </w:rPr>
        <w:t xml:space="preserve"> </w:t>
      </w:r>
      <w:r w:rsidRPr="00795A52">
        <w:rPr>
          <w:rFonts w:asciiTheme="majorHAnsi" w:hAnsiTheme="majorHAnsi"/>
          <w:i/>
          <w:sz w:val="16"/>
          <w:szCs w:val="16"/>
        </w:rPr>
        <w:t>Velásquez Rodríguez Case v. Honduras,</w:t>
      </w:r>
      <w:r w:rsidRPr="00795A52">
        <w:rPr>
          <w:rFonts w:asciiTheme="majorHAnsi" w:hAnsiTheme="majorHAnsi"/>
          <w:sz w:val="16"/>
          <w:szCs w:val="16"/>
        </w:rPr>
        <w:t xml:space="preserve"> supra note 24, par</w:t>
      </w:r>
      <w:r w:rsidR="0006778C">
        <w:rPr>
          <w:rFonts w:asciiTheme="majorHAnsi" w:hAnsiTheme="majorHAnsi"/>
          <w:sz w:val="16"/>
          <w:szCs w:val="16"/>
        </w:rPr>
        <w:t>a</w:t>
      </w:r>
      <w:r w:rsidRPr="00795A52">
        <w:rPr>
          <w:rFonts w:asciiTheme="majorHAnsi" w:hAnsiTheme="majorHAnsi"/>
          <w:sz w:val="16"/>
          <w:szCs w:val="16"/>
        </w:rPr>
        <w:t>. 175; Case of Ticona Estrada v.</w:t>
      </w:r>
      <w:r w:rsidRPr="00795A52">
        <w:rPr>
          <w:rFonts w:asciiTheme="majorHAnsi" w:hAnsiTheme="majorHAnsi"/>
          <w:i/>
          <w:sz w:val="16"/>
          <w:szCs w:val="16"/>
        </w:rPr>
        <w:t xml:space="preserve"> Bolivia,</w:t>
      </w:r>
      <w:r w:rsidRPr="00795A52">
        <w:rPr>
          <w:rFonts w:asciiTheme="majorHAnsi" w:hAnsiTheme="majorHAnsi"/>
          <w:sz w:val="16"/>
          <w:szCs w:val="16"/>
        </w:rPr>
        <w:t xml:space="preserve"> supra note 23, par</w:t>
      </w:r>
      <w:r w:rsidR="0006778C">
        <w:rPr>
          <w:rFonts w:asciiTheme="majorHAnsi" w:hAnsiTheme="majorHAnsi"/>
          <w:sz w:val="16"/>
          <w:szCs w:val="16"/>
        </w:rPr>
        <w:t>a</w:t>
      </w:r>
      <w:r w:rsidRPr="00795A52">
        <w:rPr>
          <w:rFonts w:asciiTheme="majorHAnsi" w:hAnsiTheme="majorHAnsi"/>
          <w:sz w:val="16"/>
          <w:szCs w:val="16"/>
        </w:rPr>
        <w:t>. 59; and Case of Anzualdo Castro v.</w:t>
      </w:r>
      <w:r w:rsidRPr="00795A52">
        <w:rPr>
          <w:rFonts w:asciiTheme="majorHAnsi" w:hAnsiTheme="majorHAnsi"/>
          <w:i/>
          <w:sz w:val="16"/>
          <w:szCs w:val="16"/>
        </w:rPr>
        <w:t xml:space="preserve"> Peru,</w:t>
      </w:r>
      <w:r w:rsidRPr="00795A52">
        <w:rPr>
          <w:rFonts w:asciiTheme="majorHAnsi" w:hAnsiTheme="majorHAnsi"/>
          <w:sz w:val="16"/>
          <w:szCs w:val="16"/>
        </w:rPr>
        <w:t xml:space="preserve"> supra note 44, par</w:t>
      </w:r>
      <w:r w:rsidR="0006778C">
        <w:rPr>
          <w:rFonts w:asciiTheme="majorHAnsi" w:hAnsiTheme="majorHAnsi"/>
          <w:sz w:val="16"/>
          <w:szCs w:val="16"/>
        </w:rPr>
        <w:t>a</w:t>
      </w:r>
      <w:r w:rsidRPr="00795A52">
        <w:rPr>
          <w:rFonts w:asciiTheme="majorHAnsi" w:hAnsiTheme="majorHAnsi"/>
          <w:sz w:val="16"/>
          <w:szCs w:val="16"/>
        </w:rPr>
        <w:t>. 85.</w:t>
      </w:r>
    </w:p>
  </w:footnote>
  <w:footnote w:id="119">
    <w:p w14:paraId="683B5D5B" w14:textId="670C747B" w:rsidR="00795A52" w:rsidRPr="00795A52" w:rsidRDefault="00795A52" w:rsidP="00795A52">
      <w:pPr>
        <w:spacing w:after="120"/>
        <w:ind w:firstLine="720"/>
        <w:jc w:val="both"/>
        <w:rPr>
          <w:rFonts w:asciiTheme="majorHAnsi" w:hAnsiTheme="majorHAnsi"/>
          <w:noProof/>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Velásquez Rodríguez v.</w:t>
      </w:r>
      <w:r w:rsidRPr="00795A52">
        <w:rPr>
          <w:rFonts w:asciiTheme="majorHAnsi" w:hAnsiTheme="majorHAnsi"/>
          <w:i/>
          <w:sz w:val="16"/>
          <w:szCs w:val="16"/>
        </w:rPr>
        <w:t xml:space="preserve"> Honduras.</w:t>
      </w:r>
      <w:r w:rsidRPr="00795A52">
        <w:rPr>
          <w:rFonts w:asciiTheme="majorHAnsi" w:hAnsiTheme="majorHAnsi"/>
          <w:sz w:val="16"/>
          <w:szCs w:val="16"/>
        </w:rPr>
        <w:t xml:space="preserve"> Judgment of July 29, 1988. Series C No. 4, paragraphs 156 and 187; </w:t>
      </w:r>
      <w:r w:rsidRPr="00795A52">
        <w:rPr>
          <w:rFonts w:asciiTheme="majorHAnsi" w:hAnsiTheme="majorHAnsi"/>
          <w:i/>
          <w:sz w:val="16"/>
          <w:szCs w:val="16"/>
        </w:rPr>
        <w:t>Case of the Miguel Castro-Castro Prison.</w:t>
      </w:r>
      <w:r w:rsidRPr="00795A52">
        <w:rPr>
          <w:rFonts w:asciiTheme="majorHAnsi" w:hAnsiTheme="majorHAnsi"/>
          <w:sz w:val="16"/>
          <w:szCs w:val="16"/>
        </w:rPr>
        <w:t xml:space="preserve"> Merits, Reparations and Costs. Judgment of November 25, 2006. Series C No. 160, par</w:t>
      </w:r>
      <w:r w:rsidR="0006778C">
        <w:rPr>
          <w:rFonts w:asciiTheme="majorHAnsi" w:hAnsiTheme="majorHAnsi"/>
          <w:sz w:val="16"/>
          <w:szCs w:val="16"/>
        </w:rPr>
        <w:t>a</w:t>
      </w:r>
      <w:r w:rsidRPr="00795A52">
        <w:rPr>
          <w:rFonts w:asciiTheme="majorHAnsi" w:hAnsiTheme="majorHAnsi"/>
          <w:sz w:val="16"/>
          <w:szCs w:val="16"/>
        </w:rPr>
        <w:t xml:space="preserve">. 323; I/A Court H.R. </w:t>
      </w:r>
      <w:r w:rsidRPr="00795A52">
        <w:rPr>
          <w:rFonts w:asciiTheme="majorHAnsi" w:hAnsiTheme="majorHAnsi"/>
          <w:i/>
          <w:noProof/>
          <w:sz w:val="16"/>
          <w:szCs w:val="16"/>
        </w:rPr>
        <w:t>Case of Ticona Estrada et al. v. Bolivia.</w:t>
      </w:r>
      <w:r w:rsidRPr="00795A52">
        <w:rPr>
          <w:rFonts w:asciiTheme="majorHAnsi" w:hAnsiTheme="majorHAnsi"/>
          <w:sz w:val="16"/>
          <w:szCs w:val="16"/>
        </w:rPr>
        <w:t xml:space="preserve"> Merits, Reparations and Costs. Judgment of November 27, 2008. Series C No. 191, par</w:t>
      </w:r>
      <w:r w:rsidR="0006778C">
        <w:rPr>
          <w:rFonts w:asciiTheme="majorHAnsi" w:hAnsiTheme="majorHAnsi"/>
          <w:sz w:val="16"/>
          <w:szCs w:val="16"/>
        </w:rPr>
        <w:t>a</w:t>
      </w:r>
      <w:r w:rsidRPr="00795A52">
        <w:rPr>
          <w:rFonts w:asciiTheme="majorHAnsi" w:hAnsiTheme="majorHAnsi"/>
          <w:sz w:val="16"/>
          <w:szCs w:val="16"/>
        </w:rPr>
        <w:t xml:space="preserve">. 58. </w:t>
      </w:r>
    </w:p>
  </w:footnote>
  <w:footnote w:id="120">
    <w:p w14:paraId="48796B5D" w14:textId="63DD712B"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noProof/>
          <w:sz w:val="16"/>
          <w:szCs w:val="16"/>
        </w:rPr>
        <w:t xml:space="preserve">Case of Ticona Estrada et al v. </w:t>
      </w:r>
      <w:r w:rsidRPr="00795A52">
        <w:rPr>
          <w:rFonts w:asciiTheme="majorHAnsi" w:hAnsiTheme="majorHAnsi"/>
          <w:sz w:val="16"/>
          <w:szCs w:val="16"/>
        </w:rPr>
        <w:t>Bolivia. Merits, Reparations and Costs. Judgment of November 27, 2008. Series C No. 191, par</w:t>
      </w:r>
      <w:r w:rsidR="0006778C">
        <w:rPr>
          <w:rFonts w:asciiTheme="majorHAnsi" w:hAnsiTheme="majorHAnsi"/>
          <w:sz w:val="16"/>
          <w:szCs w:val="16"/>
        </w:rPr>
        <w:t>a</w:t>
      </w:r>
      <w:r w:rsidRPr="00795A52">
        <w:rPr>
          <w:rFonts w:asciiTheme="majorHAnsi" w:hAnsiTheme="majorHAnsi"/>
          <w:sz w:val="16"/>
          <w:szCs w:val="16"/>
        </w:rPr>
        <w:t xml:space="preserve">. 58. </w:t>
      </w:r>
    </w:p>
  </w:footnote>
  <w:footnote w:id="121">
    <w:p w14:paraId="75189990" w14:textId="414B5A55" w:rsidR="00795A52" w:rsidRPr="00795A52" w:rsidRDefault="00795A52" w:rsidP="00795A52">
      <w:pPr>
        <w:tabs>
          <w:tab w:val="left" w:pos="36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 xml:space="preserve">Case of La Cantuta v. </w:t>
      </w:r>
      <w:r w:rsidRPr="00795A52">
        <w:rPr>
          <w:rFonts w:asciiTheme="majorHAnsi" w:hAnsiTheme="majorHAnsi"/>
          <w:sz w:val="16"/>
          <w:szCs w:val="16"/>
        </w:rPr>
        <w:t>Peru. Judgment of November 29, 2006. Series C No. 162, par</w:t>
      </w:r>
      <w:r w:rsidR="0006778C">
        <w:rPr>
          <w:rFonts w:asciiTheme="majorHAnsi" w:hAnsiTheme="majorHAnsi"/>
          <w:sz w:val="16"/>
          <w:szCs w:val="16"/>
        </w:rPr>
        <w:t>a</w:t>
      </w:r>
      <w:r w:rsidRPr="00795A52">
        <w:rPr>
          <w:rFonts w:asciiTheme="majorHAnsi" w:hAnsiTheme="majorHAnsi"/>
          <w:sz w:val="16"/>
          <w:szCs w:val="16"/>
        </w:rPr>
        <w:t>. 109.</w:t>
      </w:r>
    </w:p>
  </w:footnote>
  <w:footnote w:id="122">
    <w:p w14:paraId="4BC80DCA" w14:textId="02D5554F"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 xml:space="preserve">Case of Ticona Estrada et al v. Bolivia. </w:t>
      </w:r>
      <w:r w:rsidRPr="00795A52">
        <w:rPr>
          <w:rFonts w:asciiTheme="majorHAnsi" w:hAnsiTheme="majorHAnsi"/>
          <w:sz w:val="16"/>
          <w:szCs w:val="16"/>
        </w:rPr>
        <w:t>Preliminary Objections, Merits, Reparations, and Costs. Judgment of November 27, 2008. Series C No. 191, par</w:t>
      </w:r>
      <w:r w:rsidR="0006778C">
        <w:rPr>
          <w:rFonts w:asciiTheme="majorHAnsi" w:hAnsiTheme="majorHAnsi"/>
          <w:sz w:val="16"/>
          <w:szCs w:val="16"/>
        </w:rPr>
        <w:t>a</w:t>
      </w:r>
      <w:r w:rsidRPr="00795A52">
        <w:rPr>
          <w:rFonts w:asciiTheme="majorHAnsi" w:hAnsiTheme="majorHAnsi"/>
          <w:sz w:val="16"/>
          <w:szCs w:val="16"/>
        </w:rPr>
        <w:t>. 56.</w:t>
      </w:r>
    </w:p>
  </w:footnote>
  <w:footnote w:id="123">
    <w:p w14:paraId="54C5EE8D" w14:textId="50B68334"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0006778C">
        <w:rPr>
          <w:rFonts w:asciiTheme="majorHAnsi" w:hAnsiTheme="majorHAnsi"/>
          <w:sz w:val="16"/>
          <w:szCs w:val="16"/>
        </w:rPr>
        <w:t xml:space="preserve">  </w:t>
      </w:r>
      <w:r w:rsidRPr="00795A52">
        <w:rPr>
          <w:rFonts w:asciiTheme="majorHAnsi" w:hAnsiTheme="majorHAnsi"/>
          <w:i/>
          <w:sz w:val="16"/>
          <w:szCs w:val="16"/>
        </w:rPr>
        <w:t>Cf.</w:t>
      </w:r>
      <w:r w:rsidRPr="00795A52">
        <w:rPr>
          <w:rFonts w:asciiTheme="majorHAnsi" w:hAnsiTheme="majorHAnsi"/>
          <w:sz w:val="16"/>
          <w:szCs w:val="16"/>
        </w:rPr>
        <w:t xml:space="preserve"> </w:t>
      </w:r>
      <w:r w:rsidRPr="00795A52">
        <w:rPr>
          <w:rFonts w:asciiTheme="majorHAnsi" w:hAnsiTheme="majorHAnsi"/>
          <w:i/>
          <w:sz w:val="16"/>
          <w:szCs w:val="16"/>
        </w:rPr>
        <w:t xml:space="preserve">Case of Huilca Tecse v. Peru. </w:t>
      </w:r>
      <w:r w:rsidRPr="00795A52">
        <w:rPr>
          <w:rFonts w:asciiTheme="majorHAnsi" w:hAnsiTheme="majorHAnsi"/>
          <w:sz w:val="16"/>
          <w:szCs w:val="16"/>
        </w:rPr>
        <w:t>Merits, Reparations and Costs.</w:t>
      </w:r>
      <w:r w:rsidRPr="00795A52">
        <w:rPr>
          <w:rFonts w:asciiTheme="majorHAnsi" w:hAnsiTheme="majorHAnsi"/>
          <w:i/>
          <w:sz w:val="16"/>
          <w:szCs w:val="16"/>
        </w:rPr>
        <w:t xml:space="preserve"> </w:t>
      </w:r>
      <w:r w:rsidRPr="00795A52">
        <w:rPr>
          <w:rFonts w:asciiTheme="majorHAnsi" w:hAnsiTheme="majorHAnsi"/>
          <w:sz w:val="16"/>
          <w:szCs w:val="16"/>
        </w:rPr>
        <w:t>Judgment of March 03, 2005. Series C No. 121, par</w:t>
      </w:r>
      <w:r w:rsidR="0006778C">
        <w:rPr>
          <w:rFonts w:asciiTheme="majorHAnsi" w:hAnsiTheme="majorHAnsi"/>
          <w:sz w:val="16"/>
          <w:szCs w:val="16"/>
        </w:rPr>
        <w:t>a</w:t>
      </w:r>
      <w:r w:rsidRPr="00795A52">
        <w:rPr>
          <w:rFonts w:asciiTheme="majorHAnsi" w:hAnsiTheme="majorHAnsi"/>
          <w:sz w:val="16"/>
          <w:szCs w:val="16"/>
        </w:rPr>
        <w:t xml:space="preserve">. 106. </w:t>
      </w:r>
    </w:p>
  </w:footnote>
  <w:footnote w:id="124">
    <w:p w14:paraId="485D6DD7"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 R., </w:t>
      </w:r>
      <w:r w:rsidRPr="00795A52">
        <w:rPr>
          <w:rFonts w:asciiTheme="majorHAnsi" w:hAnsiTheme="majorHAnsi"/>
          <w:i/>
          <w:noProof/>
          <w:sz w:val="16"/>
          <w:szCs w:val="16"/>
        </w:rPr>
        <w:t>Case of the Gómez Paquiyauri Brothers</w:t>
      </w:r>
      <w:r w:rsidRPr="00795A52">
        <w:rPr>
          <w:rFonts w:asciiTheme="majorHAnsi" w:hAnsiTheme="majorHAnsi"/>
          <w:sz w:val="16"/>
          <w:szCs w:val="16"/>
        </w:rPr>
        <w:t xml:space="preserve">. Judgment of July 8, 2004. Series C No. 110, par. 148; I/A Court H. R., Case of the 19 Merchants.  Judgment of July 5, 2004. Series C No. 109, par. 175; I/A Court H.R.., </w:t>
      </w:r>
      <w:r w:rsidRPr="00795A52">
        <w:rPr>
          <w:rFonts w:asciiTheme="majorHAnsi" w:hAnsiTheme="majorHAnsi"/>
          <w:i/>
          <w:sz w:val="16"/>
          <w:szCs w:val="16"/>
        </w:rPr>
        <w:t>Bámaca Velásquez Case  Reparations</w:t>
      </w:r>
      <w:r w:rsidRPr="00795A52">
        <w:rPr>
          <w:rFonts w:asciiTheme="majorHAnsi" w:hAnsiTheme="majorHAnsi"/>
          <w:sz w:val="16"/>
          <w:szCs w:val="16"/>
        </w:rPr>
        <w:t xml:space="preserve"> (Art. 63(1) of the American Convention on Human Rights). Judgment of February 22, 2002. Series C No. 91, par. 64.</w:t>
      </w:r>
    </w:p>
  </w:footnote>
  <w:footnote w:id="125">
    <w:p w14:paraId="434BAA0C" w14:textId="700BADDC"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w:t>
      </w:r>
      <w:r w:rsidRPr="00795A52">
        <w:rPr>
          <w:rFonts w:asciiTheme="majorHAnsi" w:hAnsiTheme="majorHAnsi"/>
          <w:i/>
          <w:sz w:val="16"/>
          <w:szCs w:val="16"/>
        </w:rPr>
        <w:t>I/A Court H.R., Case of Loayza Tamayo,  Judgment on Reparation, November 27, 1998, Series C No.</w:t>
      </w:r>
      <w:r w:rsidRPr="00795A52">
        <w:rPr>
          <w:rFonts w:asciiTheme="majorHAnsi" w:hAnsiTheme="majorHAnsi"/>
          <w:sz w:val="16"/>
          <w:szCs w:val="16"/>
        </w:rPr>
        <w:t xml:space="preserve"> 42, </w:t>
      </w:r>
      <w:r w:rsidR="0006778C">
        <w:rPr>
          <w:rFonts w:asciiTheme="majorHAnsi" w:hAnsiTheme="majorHAnsi"/>
          <w:sz w:val="16"/>
          <w:szCs w:val="16"/>
        </w:rPr>
        <w:t>paras.</w:t>
      </w:r>
      <w:r w:rsidRPr="00795A52">
        <w:rPr>
          <w:rFonts w:asciiTheme="majorHAnsi" w:hAnsiTheme="majorHAnsi"/>
          <w:sz w:val="16"/>
          <w:szCs w:val="16"/>
        </w:rPr>
        <w:t xml:space="preserve"> 169 and 170.</w:t>
      </w:r>
    </w:p>
  </w:footnote>
  <w:footnote w:id="126">
    <w:p w14:paraId="48C75923" w14:textId="0B19CA76"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IACHR. </w:t>
      </w:r>
      <w:r w:rsidRPr="00795A52">
        <w:rPr>
          <w:rFonts w:asciiTheme="majorHAnsi" w:hAnsiTheme="majorHAnsi"/>
          <w:i/>
          <w:sz w:val="16"/>
          <w:szCs w:val="16"/>
        </w:rPr>
        <w:t xml:space="preserve">Report on the Situation of Human Rights Defenders in the Americas </w:t>
      </w:r>
      <w:r w:rsidRPr="00795A52">
        <w:rPr>
          <w:rFonts w:asciiTheme="majorHAnsi" w:hAnsiTheme="majorHAnsi"/>
          <w:sz w:val="16"/>
          <w:szCs w:val="16"/>
        </w:rPr>
        <w:t>OEA/Ser.L/V/II.124. Doc. 5 rev.1, Mars 7</w:t>
      </w:r>
      <w:r w:rsidRPr="00795A52">
        <w:rPr>
          <w:rFonts w:asciiTheme="majorHAnsi" w:hAnsiTheme="majorHAnsi"/>
          <w:sz w:val="16"/>
          <w:szCs w:val="16"/>
          <w:vertAlign w:val="superscript"/>
        </w:rPr>
        <w:t>th</w:t>
      </w:r>
      <w:r w:rsidRPr="00795A52">
        <w:rPr>
          <w:rFonts w:asciiTheme="majorHAnsi" w:hAnsiTheme="majorHAnsi"/>
          <w:sz w:val="16"/>
          <w:szCs w:val="16"/>
        </w:rPr>
        <w:t>, 2006, par</w:t>
      </w:r>
      <w:r w:rsidR="0006778C">
        <w:rPr>
          <w:rFonts w:asciiTheme="majorHAnsi" w:hAnsiTheme="majorHAnsi"/>
          <w:sz w:val="16"/>
          <w:szCs w:val="16"/>
        </w:rPr>
        <w:t>a</w:t>
      </w:r>
      <w:r w:rsidRPr="00795A52">
        <w:rPr>
          <w:rFonts w:asciiTheme="majorHAnsi" w:hAnsiTheme="majorHAnsi"/>
          <w:sz w:val="16"/>
          <w:szCs w:val="16"/>
        </w:rPr>
        <w:t xml:space="preserve">. 109. </w:t>
      </w:r>
    </w:p>
  </w:footnote>
  <w:footnote w:id="127">
    <w:p w14:paraId="22B37832" w14:textId="7778B5CE" w:rsidR="00795A52" w:rsidRPr="00795A52" w:rsidRDefault="00795A52" w:rsidP="00795A52">
      <w:pPr>
        <w:pStyle w:val="FootnoteText"/>
        <w:spacing w:after="120"/>
        <w:ind w:firstLine="720"/>
        <w:jc w:val="both"/>
        <w:rPr>
          <w:rFonts w:asciiTheme="majorHAnsi" w:hAnsiTheme="majorHAnsi"/>
          <w: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Goiburú et al v. Paraguay.</w:t>
      </w:r>
      <w:r w:rsidRPr="00795A52">
        <w:rPr>
          <w:rFonts w:asciiTheme="majorHAnsi" w:hAnsiTheme="majorHAnsi"/>
          <w:sz w:val="16"/>
          <w:szCs w:val="16"/>
        </w:rPr>
        <w:t xml:space="preserve"> Merits, Reparations and Costs. Judgment of September 22, 2006. Series C No. 153, par. 84; Case of Anzualdo Castro v.</w:t>
      </w:r>
      <w:r w:rsidRPr="00795A52">
        <w:rPr>
          <w:rFonts w:asciiTheme="majorHAnsi" w:hAnsiTheme="majorHAnsi"/>
          <w:i/>
          <w:sz w:val="16"/>
          <w:szCs w:val="16"/>
        </w:rPr>
        <w:t xml:space="preserve"> </w:t>
      </w:r>
      <w:r w:rsidRPr="00795A52">
        <w:rPr>
          <w:rFonts w:asciiTheme="majorHAnsi" w:hAnsiTheme="majorHAnsi"/>
          <w:sz w:val="16"/>
          <w:szCs w:val="16"/>
        </w:rPr>
        <w:t xml:space="preserve">Peru, Judgment of September 22, 2009, Series C No. 202, par. 59; and </w:t>
      </w:r>
      <w:r w:rsidRPr="00795A52">
        <w:rPr>
          <w:rFonts w:asciiTheme="majorHAnsi" w:hAnsiTheme="majorHAnsi"/>
          <w:i/>
          <w:sz w:val="16"/>
          <w:szCs w:val="16"/>
        </w:rPr>
        <w:t>Case of Radilla Pacheco v</w:t>
      </w:r>
      <w:r w:rsidRPr="00795A52">
        <w:rPr>
          <w:rFonts w:asciiTheme="majorHAnsi" w:hAnsiTheme="majorHAnsi"/>
          <w:sz w:val="16"/>
          <w:szCs w:val="16"/>
        </w:rPr>
        <w:t>.</w:t>
      </w:r>
      <w:r w:rsidRPr="00795A52">
        <w:rPr>
          <w:rFonts w:asciiTheme="majorHAnsi" w:hAnsiTheme="majorHAnsi"/>
          <w:i/>
          <w:sz w:val="16"/>
          <w:szCs w:val="16"/>
        </w:rPr>
        <w:t xml:space="preserve"> Mexico.</w:t>
      </w:r>
      <w:r w:rsidRPr="00795A52">
        <w:rPr>
          <w:rFonts w:asciiTheme="majorHAnsi" w:hAnsiTheme="majorHAnsi"/>
          <w:sz w:val="16"/>
          <w:szCs w:val="16"/>
        </w:rPr>
        <w:t xml:space="preserve"> Preliminary Objections, Merits, Reparations, and Costs. Judgment of November 23, 2009. Series C No. 209, par</w:t>
      </w:r>
      <w:r w:rsidR="0006778C">
        <w:rPr>
          <w:rFonts w:asciiTheme="majorHAnsi" w:hAnsiTheme="majorHAnsi"/>
          <w:sz w:val="16"/>
          <w:szCs w:val="16"/>
        </w:rPr>
        <w:t>a</w:t>
      </w:r>
      <w:r w:rsidRPr="00795A52">
        <w:rPr>
          <w:rFonts w:asciiTheme="majorHAnsi" w:hAnsiTheme="majorHAnsi"/>
          <w:sz w:val="16"/>
          <w:szCs w:val="16"/>
        </w:rPr>
        <w:t>. 139</w:t>
      </w:r>
      <w:r w:rsidRPr="00795A52">
        <w:rPr>
          <w:rFonts w:asciiTheme="majorHAnsi" w:hAnsiTheme="majorHAnsi"/>
          <w:i/>
          <w:sz w:val="16"/>
          <w:szCs w:val="16"/>
        </w:rPr>
        <w:t>.</w:t>
      </w:r>
    </w:p>
  </w:footnote>
  <w:footnote w:id="128">
    <w:p w14:paraId="5A16DFE4" w14:textId="70E76F2D"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 xml:space="preserve">Case of Anzualdo Castro v. </w:t>
      </w:r>
      <w:r w:rsidRPr="00795A52">
        <w:rPr>
          <w:rFonts w:asciiTheme="majorHAnsi" w:hAnsiTheme="majorHAnsi"/>
          <w:sz w:val="16"/>
          <w:szCs w:val="16"/>
        </w:rPr>
        <w:t>Peru, Judgment of September 22, 2009, Series C No. 202, par</w:t>
      </w:r>
      <w:r w:rsidR="0006778C">
        <w:rPr>
          <w:rFonts w:asciiTheme="majorHAnsi" w:hAnsiTheme="majorHAnsi"/>
          <w:sz w:val="16"/>
          <w:szCs w:val="16"/>
        </w:rPr>
        <w:t>a</w:t>
      </w:r>
      <w:r w:rsidRPr="00795A52">
        <w:rPr>
          <w:rFonts w:asciiTheme="majorHAnsi" w:hAnsiTheme="majorHAnsi"/>
          <w:sz w:val="16"/>
          <w:szCs w:val="16"/>
        </w:rPr>
        <w:t xml:space="preserve">. 65, and </w:t>
      </w:r>
      <w:r w:rsidRPr="00795A52">
        <w:rPr>
          <w:rFonts w:asciiTheme="majorHAnsi" w:hAnsiTheme="majorHAnsi"/>
          <w:i/>
          <w:sz w:val="16"/>
          <w:szCs w:val="16"/>
        </w:rPr>
        <w:t>Case of Radilla Pacheco v. Mexico, Preliminary Objections, Merits, Reparations and Costs</w:t>
      </w:r>
      <w:r w:rsidRPr="00795A52">
        <w:rPr>
          <w:rFonts w:asciiTheme="majorHAnsi" w:hAnsiTheme="majorHAnsi"/>
          <w:sz w:val="16"/>
          <w:szCs w:val="16"/>
        </w:rPr>
        <w:t>. Judgment of November 23, 2009. Series C No. 209, par</w:t>
      </w:r>
      <w:r w:rsidR="0006778C">
        <w:rPr>
          <w:rFonts w:asciiTheme="majorHAnsi" w:hAnsiTheme="majorHAnsi"/>
          <w:sz w:val="16"/>
          <w:szCs w:val="16"/>
        </w:rPr>
        <w:t>a</w:t>
      </w:r>
      <w:r w:rsidRPr="00795A52">
        <w:rPr>
          <w:rFonts w:asciiTheme="majorHAnsi" w:hAnsiTheme="majorHAnsi"/>
          <w:sz w:val="16"/>
          <w:szCs w:val="16"/>
        </w:rPr>
        <w:t>. 143.</w:t>
      </w:r>
    </w:p>
  </w:footnote>
  <w:footnote w:id="129">
    <w:p w14:paraId="3A9823D7" w14:textId="79A10A0E" w:rsidR="00795A52" w:rsidRPr="00795A52" w:rsidRDefault="00795A52" w:rsidP="00795A5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rFonts w:asciiTheme="majorHAnsi" w:hAnsiTheme="majorHAnsi"/>
          <w:sz w:val="16"/>
          <w:szCs w:val="16"/>
          <w:lang w:bidi="x-none"/>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Bámaca Velásquez Case v. Guatemala.</w:t>
      </w:r>
      <w:r w:rsidRPr="00795A52">
        <w:rPr>
          <w:rFonts w:asciiTheme="majorHAnsi" w:hAnsiTheme="majorHAnsi"/>
          <w:sz w:val="16"/>
          <w:szCs w:val="16"/>
        </w:rPr>
        <w:t xml:space="preserve"> Merits. Judgment of  November 25, 2000. Series C No. 70, par</w:t>
      </w:r>
      <w:r w:rsidR="0006778C">
        <w:rPr>
          <w:rFonts w:asciiTheme="majorHAnsi" w:hAnsiTheme="majorHAnsi"/>
          <w:sz w:val="16"/>
          <w:szCs w:val="16"/>
        </w:rPr>
        <w:t>a</w:t>
      </w:r>
      <w:r w:rsidRPr="00795A52">
        <w:rPr>
          <w:rFonts w:asciiTheme="majorHAnsi" w:hAnsiTheme="majorHAnsi"/>
          <w:sz w:val="16"/>
          <w:szCs w:val="16"/>
        </w:rPr>
        <w:t xml:space="preserve">. 197. </w:t>
      </w:r>
    </w:p>
  </w:footnote>
  <w:footnote w:id="130">
    <w:p w14:paraId="79A3CC2A" w14:textId="320BACE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the Rochela Massacre v. Colombia</w:t>
      </w:r>
      <w:r w:rsidRPr="00795A52">
        <w:rPr>
          <w:rFonts w:asciiTheme="majorHAnsi" w:hAnsiTheme="majorHAnsi"/>
          <w:sz w:val="16"/>
          <w:szCs w:val="16"/>
        </w:rPr>
        <w:t>. Merits, Reparations and Costs. Judgment of May 11, 2007. Series C No. 163, par</w:t>
      </w:r>
      <w:r w:rsidR="0006778C">
        <w:rPr>
          <w:rFonts w:asciiTheme="majorHAnsi" w:hAnsiTheme="majorHAnsi"/>
          <w:sz w:val="16"/>
          <w:szCs w:val="16"/>
        </w:rPr>
        <w:t>a</w:t>
      </w:r>
      <w:r w:rsidRPr="00795A52">
        <w:rPr>
          <w:rFonts w:asciiTheme="majorHAnsi" w:hAnsiTheme="majorHAnsi"/>
          <w:sz w:val="16"/>
          <w:szCs w:val="16"/>
        </w:rPr>
        <w:t>. 147.</w:t>
      </w:r>
    </w:p>
  </w:footnote>
  <w:footnote w:id="131">
    <w:p w14:paraId="1BDC5807" w14:textId="04F4F077" w:rsidR="00795A52" w:rsidRPr="00795A52" w:rsidRDefault="00795A52" w:rsidP="00795A52">
      <w:pPr>
        <w:tabs>
          <w:tab w:val="left" w:pos="360"/>
          <w:tab w:val="left" w:pos="720"/>
          <w:tab w:val="left" w:pos="108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García-Prieto et al. v. El Salvador.</w:t>
      </w:r>
      <w:r w:rsidRPr="00795A52">
        <w:rPr>
          <w:rFonts w:asciiTheme="majorHAnsi" w:hAnsiTheme="majorHAnsi"/>
          <w:sz w:val="16"/>
          <w:szCs w:val="16"/>
        </w:rPr>
        <w:t xml:space="preserve"> Preliminary Objection, Merits, Reparations and Costs. Judgment of November 20, 2007. Series C No. 168, par</w:t>
      </w:r>
      <w:r w:rsidR="0006778C">
        <w:rPr>
          <w:rFonts w:asciiTheme="majorHAnsi" w:hAnsiTheme="majorHAnsi"/>
          <w:sz w:val="16"/>
          <w:szCs w:val="16"/>
        </w:rPr>
        <w:t>a</w:t>
      </w:r>
      <w:r w:rsidRPr="00795A52">
        <w:rPr>
          <w:rFonts w:asciiTheme="majorHAnsi" w:hAnsiTheme="majorHAnsi"/>
          <w:sz w:val="16"/>
          <w:szCs w:val="16"/>
        </w:rPr>
        <w:t xml:space="preserve">. 101. </w:t>
      </w:r>
      <w:r w:rsidRPr="00795A52">
        <w:rPr>
          <w:rFonts w:asciiTheme="majorHAnsi" w:hAnsiTheme="majorHAnsi"/>
          <w:i/>
          <w:sz w:val="16"/>
          <w:szCs w:val="16"/>
        </w:rPr>
        <w:t xml:space="preserve"> </w:t>
      </w:r>
    </w:p>
  </w:footnote>
  <w:footnote w:id="132">
    <w:p w14:paraId="6F29C641" w14:textId="3D2DC578" w:rsidR="00795A52" w:rsidRPr="00795A52" w:rsidRDefault="00795A52" w:rsidP="00795A52">
      <w:pPr>
        <w:tabs>
          <w:tab w:val="left" w:pos="360"/>
          <w:tab w:val="left" w:pos="108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w:t>
      </w:r>
      <w:r w:rsidRPr="00795A52">
        <w:rPr>
          <w:rFonts w:asciiTheme="majorHAnsi" w:hAnsiTheme="majorHAnsi"/>
          <w:sz w:val="16"/>
          <w:szCs w:val="16"/>
        </w:rPr>
        <w:t xml:space="preserve"> of Bulacio v.</w:t>
      </w:r>
      <w:r w:rsidRPr="00795A52">
        <w:rPr>
          <w:rFonts w:asciiTheme="majorHAnsi" w:hAnsiTheme="majorHAnsi"/>
          <w:i/>
          <w:sz w:val="16"/>
          <w:szCs w:val="16"/>
        </w:rPr>
        <w:t xml:space="preserve"> Argentina.</w:t>
      </w:r>
      <w:r w:rsidRPr="00795A52">
        <w:rPr>
          <w:rFonts w:asciiTheme="majorHAnsi" w:hAnsiTheme="majorHAnsi"/>
          <w:sz w:val="16"/>
          <w:szCs w:val="16"/>
        </w:rPr>
        <w:t xml:space="preserve"> Judgment of September 18, 2003. Series C No. 100, par</w:t>
      </w:r>
      <w:r w:rsidR="0006778C">
        <w:rPr>
          <w:rFonts w:asciiTheme="majorHAnsi" w:hAnsiTheme="majorHAnsi"/>
          <w:sz w:val="16"/>
          <w:szCs w:val="16"/>
        </w:rPr>
        <w:t>a</w:t>
      </w:r>
      <w:r w:rsidRPr="00795A52">
        <w:rPr>
          <w:rFonts w:asciiTheme="majorHAnsi" w:hAnsiTheme="majorHAnsi"/>
          <w:sz w:val="16"/>
          <w:szCs w:val="16"/>
        </w:rPr>
        <w:t xml:space="preserve">. 114; I/A Court H.R., </w:t>
      </w:r>
      <w:r w:rsidRPr="00795A52">
        <w:rPr>
          <w:rFonts w:asciiTheme="majorHAnsi" w:hAnsiTheme="majorHAnsi"/>
          <w:i/>
          <w:sz w:val="16"/>
          <w:szCs w:val="16"/>
        </w:rPr>
        <w:t>Case of the Rochela Massacre v. Colombia</w:t>
      </w:r>
      <w:r w:rsidRPr="00795A52">
        <w:rPr>
          <w:rFonts w:asciiTheme="majorHAnsi" w:hAnsiTheme="majorHAnsi"/>
          <w:sz w:val="16"/>
          <w:szCs w:val="16"/>
        </w:rPr>
        <w:t>.  Judgment of Friday, May 11, 2007. Series C. No. 163 par</w:t>
      </w:r>
      <w:r w:rsidR="0006778C">
        <w:rPr>
          <w:rFonts w:asciiTheme="majorHAnsi" w:hAnsiTheme="majorHAnsi"/>
          <w:sz w:val="16"/>
          <w:szCs w:val="16"/>
        </w:rPr>
        <w:t>a</w:t>
      </w:r>
      <w:r w:rsidRPr="00795A52">
        <w:rPr>
          <w:rFonts w:asciiTheme="majorHAnsi" w:hAnsiTheme="majorHAnsi"/>
          <w:sz w:val="16"/>
          <w:szCs w:val="16"/>
        </w:rPr>
        <w:t>. 146, and Case of the Miguel Castro-Castro Prison v.</w:t>
      </w:r>
      <w:r w:rsidRPr="00795A52">
        <w:rPr>
          <w:rFonts w:asciiTheme="majorHAnsi" w:hAnsiTheme="majorHAnsi"/>
          <w:i/>
          <w:sz w:val="16"/>
          <w:szCs w:val="16"/>
        </w:rPr>
        <w:t xml:space="preserve"> </w:t>
      </w:r>
      <w:r w:rsidRPr="00795A52">
        <w:rPr>
          <w:rFonts w:asciiTheme="majorHAnsi" w:hAnsiTheme="majorHAnsi"/>
          <w:sz w:val="16"/>
          <w:szCs w:val="16"/>
        </w:rPr>
        <w:t>Peru. Judgment of November 25, 2006. Series C No. 160, par</w:t>
      </w:r>
      <w:r w:rsidR="0006778C">
        <w:rPr>
          <w:rFonts w:asciiTheme="majorHAnsi" w:hAnsiTheme="majorHAnsi"/>
          <w:sz w:val="16"/>
          <w:szCs w:val="16"/>
        </w:rPr>
        <w:t>a</w:t>
      </w:r>
      <w:r w:rsidRPr="00795A52">
        <w:rPr>
          <w:rFonts w:asciiTheme="majorHAnsi" w:hAnsiTheme="majorHAnsi"/>
          <w:sz w:val="16"/>
          <w:szCs w:val="16"/>
        </w:rPr>
        <w:t>. 382.</w:t>
      </w:r>
    </w:p>
  </w:footnote>
  <w:footnote w:id="133">
    <w:p w14:paraId="30A790EB" w14:textId="77777777" w:rsidR="00795A52" w:rsidRPr="00795A52" w:rsidRDefault="00795A52" w:rsidP="00795A52">
      <w:pPr>
        <w:tabs>
          <w:tab w:val="left" w:pos="360"/>
          <w:tab w:val="left" w:pos="108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Cantoral-Huamaní and García-Santa Cruz v. Peru.</w:t>
      </w:r>
      <w:r w:rsidRPr="00795A52">
        <w:rPr>
          <w:rFonts w:asciiTheme="majorHAnsi" w:hAnsiTheme="majorHAnsi"/>
          <w:sz w:val="16"/>
          <w:szCs w:val="16"/>
        </w:rPr>
        <w:t xml:space="preserve"> Preliminary Objection, Merits, Reparations and Costs. Judgment of July 10, 2007. Series C No. 167, par. 130; </w:t>
      </w:r>
      <w:r w:rsidRPr="00795A52">
        <w:rPr>
          <w:rFonts w:asciiTheme="majorHAnsi" w:hAnsiTheme="majorHAnsi"/>
          <w:i/>
          <w:sz w:val="16"/>
          <w:szCs w:val="16"/>
        </w:rPr>
        <w:t>Case of the Massacre of Pueblo Bello v. Colombia</w:t>
      </w:r>
      <w:r w:rsidRPr="00795A52">
        <w:rPr>
          <w:rFonts w:asciiTheme="majorHAnsi" w:hAnsiTheme="majorHAnsi"/>
          <w:sz w:val="16"/>
          <w:szCs w:val="16"/>
        </w:rPr>
        <w:t xml:space="preserve">. Judgment of January 31, 2006. Series C No. 140, par. 120 and the Case of </w:t>
      </w:r>
      <w:r w:rsidRPr="00795A52">
        <w:rPr>
          <w:rFonts w:asciiTheme="majorHAnsi" w:hAnsiTheme="majorHAnsi"/>
          <w:i/>
          <w:sz w:val="16"/>
          <w:szCs w:val="16"/>
        </w:rPr>
        <w:t>Huilca Tecse</w:t>
      </w:r>
      <w:r w:rsidRPr="00795A52">
        <w:rPr>
          <w:rFonts w:asciiTheme="majorHAnsi" w:hAnsiTheme="majorHAnsi"/>
          <w:sz w:val="16"/>
          <w:szCs w:val="16"/>
        </w:rPr>
        <w:t>. Judgment of March 03, 2005. Series C No. 121, par. 66.</w:t>
      </w:r>
    </w:p>
  </w:footnote>
  <w:footnote w:id="134">
    <w:p w14:paraId="276F5107" w14:textId="1FFD59D9" w:rsidR="00795A52" w:rsidRPr="00795A52" w:rsidRDefault="00795A52" w:rsidP="00795A52">
      <w:pPr>
        <w:pStyle w:val="FootnoteText"/>
        <w:tabs>
          <w:tab w:val="left" w:pos="360"/>
          <w:tab w:val="left" w:pos="108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Zambrano-Vélez et al. v. Ecuador.</w:t>
      </w:r>
      <w:r w:rsidRPr="00795A52">
        <w:rPr>
          <w:rFonts w:asciiTheme="majorHAnsi" w:hAnsiTheme="majorHAnsi"/>
          <w:sz w:val="16"/>
          <w:szCs w:val="16"/>
        </w:rPr>
        <w:t xml:space="preserve"> Merits, Reparations and Costs. Judgment of July 04, 2007. Series C No. 166, par</w:t>
      </w:r>
      <w:r w:rsidR="0006778C">
        <w:rPr>
          <w:rFonts w:asciiTheme="majorHAnsi" w:hAnsiTheme="majorHAnsi"/>
          <w:sz w:val="16"/>
          <w:szCs w:val="16"/>
        </w:rPr>
        <w:t>a</w:t>
      </w:r>
      <w:r w:rsidRPr="00795A52">
        <w:rPr>
          <w:rFonts w:asciiTheme="majorHAnsi" w:hAnsiTheme="majorHAnsi"/>
          <w:sz w:val="16"/>
          <w:szCs w:val="16"/>
        </w:rPr>
        <w:t>. 122.</w:t>
      </w:r>
    </w:p>
  </w:footnote>
  <w:footnote w:id="135">
    <w:p w14:paraId="74844238" w14:textId="556C97B9"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Palamara Iribarne v. Chile</w:t>
      </w:r>
      <w:r w:rsidRPr="00795A52">
        <w:rPr>
          <w:rFonts w:asciiTheme="majorHAnsi" w:hAnsiTheme="majorHAnsi"/>
          <w:sz w:val="16"/>
          <w:szCs w:val="16"/>
        </w:rPr>
        <w:t>. Judgment of November 22, 2005. Series C No. 135, par</w:t>
      </w:r>
      <w:r w:rsidR="0006778C">
        <w:rPr>
          <w:rFonts w:asciiTheme="majorHAnsi" w:hAnsiTheme="majorHAnsi"/>
          <w:sz w:val="16"/>
          <w:szCs w:val="16"/>
        </w:rPr>
        <w:t>a</w:t>
      </w:r>
      <w:r w:rsidRPr="00795A52">
        <w:rPr>
          <w:rFonts w:asciiTheme="majorHAnsi" w:hAnsiTheme="majorHAnsi"/>
          <w:sz w:val="16"/>
          <w:szCs w:val="16"/>
        </w:rPr>
        <w:t>. 132.</w:t>
      </w:r>
    </w:p>
  </w:footnote>
  <w:footnote w:id="136">
    <w:p w14:paraId="10ED65E4" w14:textId="77777777" w:rsidR="00795A52" w:rsidRPr="00795A52" w:rsidRDefault="00795A52" w:rsidP="00795A52">
      <w:pPr>
        <w:autoSpaceDE w:val="0"/>
        <w:autoSpaceDN w:val="0"/>
        <w:adjustRightInd w:val="0"/>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Set of principles for the protection and promotion of human rights through action to combat impunity (E/CN.4/2005/102/Add.1). Report of Professor Diane Orentlicher on the updating of the set of principles for the protection and promotion of human rights through action to combat impunity  (E/CN.4/2005/102, of February 18, 2005). Study by the Office of the United Nations High Commissioner for Human Rights on the right to the truth (E/CN.4/2006/91 of January 9, 2006). OAS General Assembly Resolutions on the Right to the Truth, AG/RES. 2175 (XXXVI-O/06), AG/RES. 2267 (XXXVIIO/ 2267, and AG/RES. 2406 (XXXVIII-O/08)</w:t>
      </w:r>
    </w:p>
  </w:footnote>
  <w:footnote w:id="137">
    <w:p w14:paraId="7E6AA5EE" w14:textId="42056F65"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Velásquez Rodríguez v.</w:t>
      </w:r>
      <w:r w:rsidRPr="00795A52">
        <w:rPr>
          <w:rFonts w:asciiTheme="majorHAnsi" w:hAnsiTheme="majorHAnsi"/>
          <w:i/>
          <w:sz w:val="16"/>
          <w:szCs w:val="16"/>
        </w:rPr>
        <w:t xml:space="preserve"> Honduras.</w:t>
      </w:r>
      <w:r w:rsidRPr="00795A52">
        <w:rPr>
          <w:rFonts w:asciiTheme="majorHAnsi" w:hAnsiTheme="majorHAnsi"/>
          <w:sz w:val="16"/>
          <w:szCs w:val="16"/>
        </w:rPr>
        <w:t xml:space="preserve"> Merits. Judgment of July 29, 1988. Series C. No. 4 par</w:t>
      </w:r>
      <w:r w:rsidR="0006778C">
        <w:rPr>
          <w:rFonts w:asciiTheme="majorHAnsi" w:hAnsiTheme="majorHAnsi"/>
          <w:sz w:val="16"/>
          <w:szCs w:val="16"/>
        </w:rPr>
        <w:t>a</w:t>
      </w:r>
      <w:r w:rsidRPr="00795A52">
        <w:rPr>
          <w:rFonts w:asciiTheme="majorHAnsi" w:hAnsiTheme="majorHAnsi"/>
          <w:sz w:val="16"/>
          <w:szCs w:val="16"/>
        </w:rPr>
        <w:t>. 181.</w:t>
      </w:r>
    </w:p>
  </w:footnote>
  <w:footnote w:id="138">
    <w:p w14:paraId="5C6C8DF3" w14:textId="658F51B4"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Case of Blake v.</w:t>
      </w:r>
      <w:r w:rsidRPr="00795A52">
        <w:rPr>
          <w:rFonts w:asciiTheme="majorHAnsi" w:hAnsiTheme="majorHAnsi"/>
          <w:i/>
          <w:sz w:val="16"/>
          <w:szCs w:val="16"/>
        </w:rPr>
        <w:t xml:space="preserve"> Guatemala.</w:t>
      </w:r>
      <w:r w:rsidRPr="00795A52">
        <w:rPr>
          <w:rFonts w:asciiTheme="majorHAnsi" w:hAnsiTheme="majorHAnsi"/>
          <w:sz w:val="16"/>
          <w:szCs w:val="16"/>
        </w:rPr>
        <w:t xml:space="preserve"> Judgment of January 24, 1998. Series C No. 36, par</w:t>
      </w:r>
      <w:r w:rsidR="0006778C">
        <w:rPr>
          <w:rFonts w:asciiTheme="majorHAnsi" w:hAnsiTheme="majorHAnsi"/>
          <w:sz w:val="16"/>
          <w:szCs w:val="16"/>
        </w:rPr>
        <w:t>a</w:t>
      </w:r>
      <w:r w:rsidRPr="00795A52">
        <w:rPr>
          <w:rFonts w:asciiTheme="majorHAnsi" w:hAnsiTheme="majorHAnsi"/>
          <w:sz w:val="16"/>
          <w:szCs w:val="16"/>
        </w:rPr>
        <w:t>. 97.</w:t>
      </w:r>
    </w:p>
  </w:footnote>
  <w:footnote w:id="139">
    <w:p w14:paraId="4B8E9219" w14:textId="463E4254"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Anzualdo Castro v. Peru.</w:t>
      </w:r>
      <w:r w:rsidRPr="00795A52">
        <w:rPr>
          <w:rFonts w:asciiTheme="majorHAnsi" w:hAnsiTheme="majorHAnsi"/>
          <w:sz w:val="16"/>
          <w:szCs w:val="16"/>
        </w:rPr>
        <w:t xml:space="preserve"> Judgment of September 22, 2009, Series C No. 202, par</w:t>
      </w:r>
      <w:r w:rsidR="0006778C">
        <w:rPr>
          <w:rFonts w:asciiTheme="majorHAnsi" w:hAnsiTheme="majorHAnsi"/>
          <w:sz w:val="16"/>
          <w:szCs w:val="16"/>
        </w:rPr>
        <w:t>a</w:t>
      </w:r>
      <w:r w:rsidRPr="00795A52">
        <w:rPr>
          <w:rFonts w:asciiTheme="majorHAnsi" w:hAnsiTheme="majorHAnsi"/>
          <w:sz w:val="16"/>
          <w:szCs w:val="16"/>
        </w:rPr>
        <w:t>. 118.</w:t>
      </w:r>
    </w:p>
  </w:footnote>
  <w:footnote w:id="140">
    <w:p w14:paraId="3787955C" w14:textId="5D83657C"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 xml:space="preserve">Case of Anzualdo Castro v. </w:t>
      </w:r>
      <w:r w:rsidRPr="00795A52">
        <w:rPr>
          <w:rFonts w:asciiTheme="majorHAnsi" w:hAnsiTheme="majorHAnsi"/>
          <w:sz w:val="16"/>
          <w:szCs w:val="16"/>
        </w:rPr>
        <w:t>Peru. Judgment of September 22, 2009, Series C No. 202, par</w:t>
      </w:r>
      <w:r w:rsidR="0006778C">
        <w:rPr>
          <w:rFonts w:asciiTheme="majorHAnsi" w:hAnsiTheme="majorHAnsi"/>
          <w:sz w:val="16"/>
          <w:szCs w:val="16"/>
        </w:rPr>
        <w:t>a</w:t>
      </w:r>
      <w:r w:rsidRPr="00795A52">
        <w:rPr>
          <w:rFonts w:asciiTheme="majorHAnsi" w:hAnsiTheme="majorHAnsi"/>
          <w:sz w:val="16"/>
          <w:szCs w:val="16"/>
        </w:rPr>
        <w:t>. 119.</w:t>
      </w:r>
    </w:p>
  </w:footnote>
  <w:footnote w:id="141">
    <w:p w14:paraId="6779C0D0" w14:textId="14D91F24"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I/A Court HR. </w:t>
      </w:r>
      <w:r w:rsidRPr="00795A52">
        <w:rPr>
          <w:rFonts w:asciiTheme="majorHAnsi" w:hAnsiTheme="majorHAnsi"/>
          <w:i/>
          <w:sz w:val="16"/>
          <w:szCs w:val="16"/>
        </w:rPr>
        <w:t xml:space="preserve">Case of Radilla Pacheco v. Mexico. </w:t>
      </w:r>
      <w:r w:rsidRPr="00795A52">
        <w:rPr>
          <w:rFonts w:asciiTheme="majorHAnsi" w:hAnsiTheme="majorHAnsi"/>
          <w:sz w:val="16"/>
          <w:szCs w:val="16"/>
        </w:rPr>
        <w:t>Preliminary Objections, Merits, Reparations, and Costs. Judgment of November 23, 2009. Series C No. 209 par</w:t>
      </w:r>
      <w:r w:rsidR="0006778C">
        <w:rPr>
          <w:rFonts w:asciiTheme="majorHAnsi" w:hAnsiTheme="majorHAnsi"/>
          <w:sz w:val="16"/>
          <w:szCs w:val="16"/>
        </w:rPr>
        <w:t>a</w:t>
      </w:r>
      <w:r w:rsidRPr="00795A52">
        <w:rPr>
          <w:rFonts w:asciiTheme="majorHAnsi" w:hAnsiTheme="majorHAnsi"/>
          <w:sz w:val="16"/>
          <w:szCs w:val="16"/>
        </w:rPr>
        <w:t>. 239.</w:t>
      </w:r>
    </w:p>
  </w:footnote>
  <w:footnote w:id="142">
    <w:p w14:paraId="44E6D5F6"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Sworn statement of complaint of María Noemí Arias de Torres. Attached to the petitioners’ brief off April 17, 2002.</w:t>
      </w:r>
    </w:p>
  </w:footnote>
  <w:footnote w:id="143">
    <w:p w14:paraId="66AB1582" w14:textId="688C5A6E" w:rsidR="00795A52" w:rsidRPr="00795A52" w:rsidRDefault="00795A52" w:rsidP="00795A52">
      <w:pPr>
        <w:pStyle w:val="FootnoteText"/>
        <w:tabs>
          <w:tab w:val="left" w:pos="720"/>
        </w:tabs>
        <w:spacing w:after="120"/>
        <w:ind w:firstLine="720"/>
        <w:jc w:val="both"/>
        <w:rPr>
          <w:rFonts w:asciiTheme="majorHAnsi" w:hAnsiTheme="majorHAnsi"/>
          <w: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Bámaca Velásquez Case v. Guatemala.</w:t>
      </w:r>
      <w:r w:rsidRPr="00795A52">
        <w:rPr>
          <w:rFonts w:asciiTheme="majorHAnsi" w:hAnsiTheme="majorHAnsi"/>
          <w:sz w:val="16"/>
          <w:szCs w:val="16"/>
        </w:rPr>
        <w:t xml:space="preserve"> Merits. Judgment of November 25, 2000. Series C No. 70, par</w:t>
      </w:r>
      <w:r w:rsidR="0006778C">
        <w:rPr>
          <w:rFonts w:asciiTheme="majorHAnsi" w:hAnsiTheme="majorHAnsi"/>
          <w:sz w:val="16"/>
          <w:szCs w:val="16"/>
        </w:rPr>
        <w:t>a</w:t>
      </w:r>
      <w:r w:rsidRPr="00795A52">
        <w:rPr>
          <w:rFonts w:asciiTheme="majorHAnsi" w:hAnsiTheme="majorHAnsi"/>
          <w:sz w:val="16"/>
          <w:szCs w:val="16"/>
        </w:rPr>
        <w:t>. 160.</w:t>
      </w:r>
    </w:p>
  </w:footnote>
  <w:footnote w:id="144">
    <w:p w14:paraId="4C64FF95" w14:textId="6B760A32" w:rsidR="00795A52" w:rsidRPr="00795A52" w:rsidRDefault="00795A52" w:rsidP="00795A52">
      <w:pPr>
        <w:pStyle w:val="FootnoteText"/>
        <w:tabs>
          <w:tab w:val="left" w:pos="72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Anzualdo Castro v. Peru.</w:t>
      </w:r>
      <w:r w:rsidRPr="00795A52">
        <w:rPr>
          <w:rFonts w:asciiTheme="majorHAnsi" w:hAnsiTheme="majorHAnsi"/>
          <w:sz w:val="16"/>
          <w:szCs w:val="16"/>
        </w:rPr>
        <w:t xml:space="preserve"> Preliminary Objection, Merits, Reparations and Costs. Judgment of September 22, 2009. Series C No. 202, par</w:t>
      </w:r>
      <w:r w:rsidR="0006778C">
        <w:rPr>
          <w:rFonts w:asciiTheme="majorHAnsi" w:hAnsiTheme="majorHAnsi"/>
          <w:sz w:val="16"/>
          <w:szCs w:val="16"/>
        </w:rPr>
        <w:t>a</w:t>
      </w:r>
      <w:r w:rsidRPr="00795A52">
        <w:rPr>
          <w:rFonts w:asciiTheme="majorHAnsi" w:hAnsiTheme="majorHAnsi"/>
          <w:sz w:val="16"/>
          <w:szCs w:val="16"/>
        </w:rPr>
        <w:t xml:space="preserve">. 105. </w:t>
      </w:r>
    </w:p>
  </w:footnote>
  <w:footnote w:id="145">
    <w:p w14:paraId="59ADCB6C" w14:textId="2A721102" w:rsidR="00795A52" w:rsidRPr="00795A52" w:rsidRDefault="00795A52" w:rsidP="00795A52">
      <w:pPr>
        <w:autoSpaceDE w:val="0"/>
        <w:autoSpaceDN w:val="0"/>
        <w:adjustRightInd w:val="0"/>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Radilla Pacheco  v. Mexico.</w:t>
      </w:r>
      <w:r w:rsidRPr="00795A52">
        <w:rPr>
          <w:rFonts w:asciiTheme="majorHAnsi" w:hAnsiTheme="majorHAnsi"/>
          <w:sz w:val="16"/>
          <w:szCs w:val="16"/>
        </w:rPr>
        <w:t xml:space="preserve"> Preliminary Objections, Merit, Reparations and Costs. Judgment of November 23, 2009. Series C No. 209, par</w:t>
      </w:r>
      <w:r w:rsidR="0006778C">
        <w:rPr>
          <w:rFonts w:asciiTheme="majorHAnsi" w:hAnsiTheme="majorHAnsi"/>
          <w:sz w:val="16"/>
          <w:szCs w:val="16"/>
        </w:rPr>
        <w:t>a</w:t>
      </w:r>
      <w:r w:rsidRPr="00795A52">
        <w:rPr>
          <w:rFonts w:asciiTheme="majorHAnsi" w:hAnsiTheme="majorHAnsi"/>
          <w:sz w:val="16"/>
          <w:szCs w:val="16"/>
        </w:rPr>
        <w:t>. 166.</w:t>
      </w:r>
    </w:p>
  </w:footnote>
  <w:footnote w:id="146">
    <w:p w14:paraId="7B61D555" w14:textId="75034254" w:rsidR="00795A52" w:rsidRPr="00795A52" w:rsidRDefault="00795A52" w:rsidP="00795A52">
      <w:pPr>
        <w:pStyle w:val="FootnoteText"/>
        <w:tabs>
          <w:tab w:val="left" w:pos="720"/>
        </w:tabs>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I/A Court H.R, </w:t>
      </w:r>
      <w:r w:rsidRPr="00795A52">
        <w:rPr>
          <w:rFonts w:asciiTheme="majorHAnsi" w:hAnsiTheme="majorHAnsi"/>
          <w:i/>
          <w:sz w:val="16"/>
          <w:szCs w:val="16"/>
        </w:rPr>
        <w:t>Case of Anzualdo Castro v. Peru.</w:t>
      </w:r>
      <w:r w:rsidRPr="00795A52">
        <w:rPr>
          <w:rFonts w:asciiTheme="majorHAnsi" w:hAnsiTheme="majorHAnsi"/>
          <w:sz w:val="16"/>
          <w:szCs w:val="16"/>
        </w:rPr>
        <w:t xml:space="preserve"> Preliminary Objection, Merits, Reparations and Costs. Judgment of September 22, 2009. Series C No. 202, par</w:t>
      </w:r>
      <w:r w:rsidR="0006778C">
        <w:rPr>
          <w:rFonts w:asciiTheme="majorHAnsi" w:hAnsiTheme="majorHAnsi"/>
          <w:sz w:val="16"/>
          <w:szCs w:val="16"/>
        </w:rPr>
        <w:t>a</w:t>
      </w:r>
      <w:r w:rsidRPr="00795A52">
        <w:rPr>
          <w:rFonts w:asciiTheme="majorHAnsi" w:hAnsiTheme="majorHAnsi"/>
          <w:sz w:val="16"/>
          <w:szCs w:val="16"/>
        </w:rPr>
        <w:t>. 113.</w:t>
      </w:r>
    </w:p>
  </w:footnote>
  <w:footnote w:id="147">
    <w:p w14:paraId="73421BAE" w14:textId="77777777" w:rsidR="00795A52" w:rsidRPr="00795A52" w:rsidRDefault="00795A52" w:rsidP="00795A52">
      <w:pPr>
        <w:pStyle w:val="FootnoteText"/>
        <w:spacing w:after="120"/>
        <w:ind w:firstLine="720"/>
        <w:jc w:val="both"/>
        <w:rPr>
          <w:rFonts w:asciiTheme="majorHAnsi" w:hAnsiTheme="majorHAnsi"/>
          <w:sz w:val="16"/>
          <w:szCs w:val="16"/>
          <w:lang w:val="en-GB"/>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Appendix. Sworn statement of complaint of María Noemí Arias de Torres. </w:t>
      </w:r>
      <w:r w:rsidRPr="00795A52">
        <w:rPr>
          <w:rFonts w:asciiTheme="majorHAnsi" w:hAnsiTheme="majorHAnsi"/>
          <w:sz w:val="16"/>
          <w:szCs w:val="16"/>
          <w:lang w:val="en-GB"/>
        </w:rPr>
        <w:t>Attached to the petitioners’ brief of April 17, 2002.</w:t>
      </w:r>
    </w:p>
  </w:footnote>
  <w:footnote w:id="148">
    <w:p w14:paraId="11207B3A" w14:textId="3040F3DB"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rPr>
        <w:footnoteRef/>
      </w:r>
      <w:r w:rsidRPr="00795A52">
        <w:rPr>
          <w:rFonts w:asciiTheme="majorHAnsi" w:hAnsiTheme="majorHAnsi"/>
          <w:sz w:val="16"/>
          <w:szCs w:val="16"/>
        </w:rPr>
        <w:t xml:space="preserve"> On June 19, 2017, the IACHR sent a communication to the parties informing them that, due to an error, the Report No. 43/17 was attached.</w:t>
      </w:r>
    </w:p>
  </w:footnote>
  <w:footnote w:id="149">
    <w:p w14:paraId="4A2CE184" w14:textId="77777777" w:rsidR="00795A52" w:rsidRPr="00795A52" w:rsidRDefault="00795A52" w:rsidP="00795A52">
      <w:pPr>
        <w:pStyle w:val="FootnoteText"/>
        <w:spacing w:after="120"/>
        <w:ind w:firstLine="720"/>
        <w:jc w:val="both"/>
        <w:rPr>
          <w:rFonts w:asciiTheme="majorHAnsi" w:hAnsiTheme="majorHAnsi"/>
          <w:sz w:val="16"/>
          <w:szCs w:val="16"/>
        </w:rPr>
      </w:pPr>
      <w:r w:rsidRPr="00795A52">
        <w:rPr>
          <w:rStyle w:val="FootnoteReference"/>
          <w:rFonts w:asciiTheme="majorHAnsi" w:hAnsiTheme="majorHAnsi"/>
          <w:sz w:val="16"/>
          <w:szCs w:val="16"/>
          <w:lang w:val="en"/>
        </w:rPr>
        <w:footnoteRef/>
      </w:r>
      <w:r w:rsidRPr="00795A52">
        <w:rPr>
          <w:rFonts w:asciiTheme="majorHAnsi" w:hAnsiTheme="majorHAnsi"/>
          <w:sz w:val="16"/>
          <w:szCs w:val="16"/>
          <w:lang w:val="en"/>
        </w:rPr>
        <w:t xml:space="preserve"> In particular, the State reported that it had pursued the following activities: i) Search for any records in the name of Torres Arias and Quintero Benítez in the information system of the National Penitentiary and Prison Institute (INPEC, by its Spanish acronym), which was negative for both names; ii) Enquiry in the social security registration system, to check whether the victims had any registrations in place. The system did not deliver any information on registration with the health, pension and dismissal systems, and there were no records whatsoever for the victims; iii) Enquiry with the information system of the Social Program Beneficiary Selection System, which was negative for both men; iv) Enquiry with the Integrated Information System on Fines and Penalties for Traffic Offenses, with negative results; v) Search for resources on likely inspections on bodies that may have had similar characteristics to those reported about the two missing persons, and that may have taken place in municipalities adjacent to Buenaventura, such as Calima, Dagua, Restrepo and La Cumbre. All municipal inspection offices reported to the district attorney that they had no reports or information on unidentified persons with the same characteristics as the dead men; vi) Search on social media for potential accounts in the names of the victims, with no records found; vii) Revision of new statements by demobilized paramilitaries Hebert Veloza García, alias “H.H.,” and Ricardo López Lora, alias “La Marrana,” in the 178th District Attorney’s Office, a delegate to the Court in the service of the Department for Transitional Justice at the National Prosecutor’s Office. This was done with a view to establishing whether they had made further comments on the disappearance of the two victims. The information that was analyzed delivered no data regarding the whereabouts of the victims; vii) Joint verification with the office for Transitional Justice as to whether the remains of bodies with similar characteristics to those of Alcides Torres Arias and Angel Quintero Benítez had been found in exhumation proceedings carried out by that office, with no results found; ix) Verification of the existence of the site where the body of Aura Lilia Paredes was found, and where the two men who are now missing were, according to applicant Hebert Veloza García, before allegedly being taken to what he called “the bongo by the sea,” with a view to locating potential witnesses who had been living there since the year 1995; x) Enquiry with the National Register of Missing Persons (RND, by its Spanish acronym), entering the data of the victims in this case, without finding records in the Mass Information Request System. Observations report drafted by the State on April 24,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CB7B" w14:textId="77777777" w:rsidR="00795A52" w:rsidRDefault="00795A52" w:rsidP="001C5CF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B8EEE45" w14:textId="77777777" w:rsidR="00795A52" w:rsidRDefault="00795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FDEE" w14:textId="77777777" w:rsidR="00795A52" w:rsidRDefault="00795A52" w:rsidP="002C1641">
    <w:pPr>
      <w:pStyle w:val="Header"/>
      <w:tabs>
        <w:tab w:val="clear" w:pos="4320"/>
        <w:tab w:val="clear" w:pos="8640"/>
      </w:tabs>
      <w:jc w:val="center"/>
      <w:rPr>
        <w:sz w:val="22"/>
        <w:szCs w:val="22"/>
      </w:rPr>
    </w:pPr>
    <w:r>
      <w:rPr>
        <w:noProof/>
        <w:sz w:val="22"/>
        <w:szCs w:val="22"/>
      </w:rPr>
      <w:drawing>
        <wp:inline distT="0" distB="0" distL="0" distR="0" wp14:anchorId="3DDB3E79" wp14:editId="1EF875B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1D57CE3" w14:textId="77777777" w:rsidR="00795A52" w:rsidRPr="00EC7D62" w:rsidRDefault="00795A52" w:rsidP="002C1641">
    <w:pPr>
      <w:pStyle w:val="Header"/>
      <w:tabs>
        <w:tab w:val="clear" w:pos="4320"/>
        <w:tab w:val="clear" w:pos="8640"/>
      </w:tabs>
      <w:jc w:val="center"/>
      <w:rPr>
        <w:sz w:val="22"/>
        <w:szCs w:val="22"/>
      </w:rPr>
    </w:pPr>
    <w:r>
      <w:rPr>
        <w:sz w:val="22"/>
        <w:szCs w:val="22"/>
      </w:rPr>
      <w:pict w14:anchorId="3CC9759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BD08" w14:textId="77777777" w:rsidR="00C25BEE" w:rsidRDefault="00C25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9E3"/>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62D23FE"/>
    <w:multiLevelType w:val="hybridMultilevel"/>
    <w:tmpl w:val="1C3CA652"/>
    <w:lvl w:ilvl="0" w:tplc="0B7877B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B466C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795779"/>
    <w:multiLevelType w:val="singleLevel"/>
    <w:tmpl w:val="5DB2EF6C"/>
    <w:lvl w:ilvl="0">
      <w:start w:val="1"/>
      <w:numFmt w:val="decimal"/>
      <w:lvlText w:val="%1."/>
      <w:lvlJc w:val="left"/>
      <w:pPr>
        <w:tabs>
          <w:tab w:val="num" w:pos="1080"/>
        </w:tabs>
        <w:ind w:left="1080" w:hanging="360"/>
      </w:pPr>
      <w:rPr>
        <w:rFonts w:ascii="Cambria" w:hAnsi="Cambria" w:cs="Times New Roman" w:hint="default"/>
        <w:b w:val="0"/>
        <w:i w:val="0"/>
        <w:sz w:val="20"/>
        <w:szCs w:val="20"/>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B056E6D"/>
    <w:multiLevelType w:val="hybridMultilevel"/>
    <w:tmpl w:val="49B649A8"/>
    <w:lvl w:ilvl="0" w:tplc="1C08C63C">
      <w:start w:val="1"/>
      <w:numFmt w:val="decimal"/>
      <w:pStyle w:val="Heading3"/>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583975"/>
    <w:multiLevelType w:val="hybridMultilevel"/>
    <w:tmpl w:val="8ABA715A"/>
    <w:lvl w:ilvl="0" w:tplc="20C47AF6">
      <w:start w:val="1"/>
      <w:numFmt w:val="decimal"/>
      <w:lvlText w:val="%1."/>
      <w:lvlJc w:val="left"/>
      <w:pPr>
        <w:tabs>
          <w:tab w:val="num" w:pos="1080"/>
        </w:tabs>
        <w:ind w:left="1080" w:hanging="360"/>
      </w:pPr>
      <w:rPr>
        <w:rFonts w:asciiTheme="majorHAnsi" w:hAnsiTheme="majorHAnsi"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32CAF66A"/>
    <w:lvl w:ilvl="0" w:tplc="E468042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D923D4"/>
    <w:multiLevelType w:val="hybridMultilevel"/>
    <w:tmpl w:val="5C500430"/>
    <w:lvl w:ilvl="0" w:tplc="525059CC">
      <w:start w:val="1"/>
      <w:numFmt w:val="decimal"/>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CC36F6"/>
    <w:multiLevelType w:val="hybridMultilevel"/>
    <w:tmpl w:val="9D1A8832"/>
    <w:lvl w:ilvl="0" w:tplc="8DF6973A">
      <w:start w:val="1"/>
      <w:numFmt w:val="decimal"/>
      <w:lvlText w:val="%1."/>
      <w:lvlJc w:val="left"/>
      <w:pPr>
        <w:tabs>
          <w:tab w:val="num" w:pos="2160"/>
        </w:tabs>
        <w:ind w:left="2160" w:hanging="144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9086E1EA">
      <w:start w:val="1"/>
      <w:numFmt w:val="upperLetter"/>
      <w:pStyle w:val="Heading2"/>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6"/>
  </w:num>
  <w:num w:numId="4">
    <w:abstractNumId w:val="22"/>
  </w:num>
  <w:num w:numId="5">
    <w:abstractNumId w:val="48"/>
  </w:num>
  <w:num w:numId="6">
    <w:abstractNumId w:val="28"/>
  </w:num>
  <w:num w:numId="7">
    <w:abstractNumId w:val="7"/>
  </w:num>
  <w:num w:numId="8">
    <w:abstractNumId w:val="18"/>
  </w:num>
  <w:num w:numId="9">
    <w:abstractNumId w:val="43"/>
  </w:num>
  <w:num w:numId="10">
    <w:abstractNumId w:val="1"/>
  </w:num>
  <w:num w:numId="11">
    <w:abstractNumId w:val="38"/>
  </w:num>
  <w:num w:numId="12">
    <w:abstractNumId w:val="39"/>
  </w:num>
  <w:num w:numId="13">
    <w:abstractNumId w:val="45"/>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50"/>
  </w:num>
  <w:num w:numId="43">
    <w:abstractNumId w:val="51"/>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2"/>
  </w:num>
  <w:num w:numId="51">
    <w:abstractNumId w:val="21"/>
  </w:num>
  <w:num w:numId="52">
    <w:abstractNumId w:val="42"/>
  </w:num>
  <w:num w:numId="53">
    <w:abstractNumId w:val="52"/>
  </w:num>
  <w:num w:numId="54">
    <w:abstractNumId w:val="46"/>
  </w:num>
  <w:num w:numId="55">
    <w:abstractNumId w:val="61"/>
  </w:num>
  <w:num w:numId="56">
    <w:abstractNumId w:val="49"/>
  </w:num>
  <w:num w:numId="57">
    <w:abstractNumId w:val="44"/>
  </w:num>
  <w:num w:numId="58">
    <w:abstractNumId w:val="30"/>
  </w:num>
  <w:num w:numId="59">
    <w:abstractNumId w:val="54"/>
  </w:num>
  <w:num w:numId="60">
    <w:abstractNumId w:val="30"/>
    <w:lvlOverride w:ilvl="0">
      <w:startOverride w:val="1"/>
    </w:lvlOverride>
  </w:num>
  <w:num w:numId="61">
    <w:abstractNumId w:val="30"/>
    <w:lvlOverride w:ilvl="0">
      <w:startOverride w:val="1"/>
    </w:lvlOverride>
  </w:num>
  <w:num w:numId="62">
    <w:abstractNumId w:val="3"/>
  </w:num>
  <w:num w:numId="63">
    <w:abstractNumId w:val="0"/>
  </w:num>
  <w:num w:numId="64">
    <w:abstractNumId w:val="8"/>
  </w:num>
  <w:num w:numId="65">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ónica sardón">
    <w15:presenceInfo w15:providerId="None" w15:userId="verónica sardó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3627"/>
    <w:rsid w:val="0001788C"/>
    <w:rsid w:val="00036A8A"/>
    <w:rsid w:val="00040C3A"/>
    <w:rsid w:val="000639C0"/>
    <w:rsid w:val="0006778C"/>
    <w:rsid w:val="00070F3A"/>
    <w:rsid w:val="000716C5"/>
    <w:rsid w:val="00075E23"/>
    <w:rsid w:val="00092F32"/>
    <w:rsid w:val="0009344A"/>
    <w:rsid w:val="000A575F"/>
    <w:rsid w:val="000B26EA"/>
    <w:rsid w:val="000D10DB"/>
    <w:rsid w:val="000E136F"/>
    <w:rsid w:val="0013104F"/>
    <w:rsid w:val="001311A8"/>
    <w:rsid w:val="00137EBA"/>
    <w:rsid w:val="00145EDC"/>
    <w:rsid w:val="001470F4"/>
    <w:rsid w:val="00167A34"/>
    <w:rsid w:val="0018037F"/>
    <w:rsid w:val="00190695"/>
    <w:rsid w:val="001A5F27"/>
    <w:rsid w:val="001A7870"/>
    <w:rsid w:val="001C1B41"/>
    <w:rsid w:val="001C5CF2"/>
    <w:rsid w:val="001D620A"/>
    <w:rsid w:val="00201FE1"/>
    <w:rsid w:val="00205713"/>
    <w:rsid w:val="00210E0E"/>
    <w:rsid w:val="0021799E"/>
    <w:rsid w:val="00247403"/>
    <w:rsid w:val="00247542"/>
    <w:rsid w:val="00257893"/>
    <w:rsid w:val="00266092"/>
    <w:rsid w:val="00266B61"/>
    <w:rsid w:val="0026712A"/>
    <w:rsid w:val="002704DB"/>
    <w:rsid w:val="002B204A"/>
    <w:rsid w:val="002C1641"/>
    <w:rsid w:val="002D7677"/>
    <w:rsid w:val="002D7EA2"/>
    <w:rsid w:val="002E15DF"/>
    <w:rsid w:val="002E187C"/>
    <w:rsid w:val="002E6E57"/>
    <w:rsid w:val="003004F8"/>
    <w:rsid w:val="00301075"/>
    <w:rsid w:val="00302733"/>
    <w:rsid w:val="00311A4F"/>
    <w:rsid w:val="00314078"/>
    <w:rsid w:val="00322450"/>
    <w:rsid w:val="003246B5"/>
    <w:rsid w:val="0032741A"/>
    <w:rsid w:val="0033169F"/>
    <w:rsid w:val="00334B20"/>
    <w:rsid w:val="003414AC"/>
    <w:rsid w:val="00352241"/>
    <w:rsid w:val="00356185"/>
    <w:rsid w:val="00360380"/>
    <w:rsid w:val="00386CF0"/>
    <w:rsid w:val="003C32BC"/>
    <w:rsid w:val="003F1BBF"/>
    <w:rsid w:val="00405ACE"/>
    <w:rsid w:val="004165C2"/>
    <w:rsid w:val="004239A3"/>
    <w:rsid w:val="00450A4A"/>
    <w:rsid w:val="00460C30"/>
    <w:rsid w:val="004666FB"/>
    <w:rsid w:val="00467B7E"/>
    <w:rsid w:val="00475810"/>
    <w:rsid w:val="0049419D"/>
    <w:rsid w:val="004B2762"/>
    <w:rsid w:val="004B5CA1"/>
    <w:rsid w:val="004B7EB6"/>
    <w:rsid w:val="004C1890"/>
    <w:rsid w:val="004C4B62"/>
    <w:rsid w:val="004D6025"/>
    <w:rsid w:val="004D72BC"/>
    <w:rsid w:val="004D7D19"/>
    <w:rsid w:val="004E6AF8"/>
    <w:rsid w:val="004F1FAE"/>
    <w:rsid w:val="00501399"/>
    <w:rsid w:val="00507BC4"/>
    <w:rsid w:val="005128E4"/>
    <w:rsid w:val="00525560"/>
    <w:rsid w:val="00530D9E"/>
    <w:rsid w:val="005357A6"/>
    <w:rsid w:val="00544C49"/>
    <w:rsid w:val="0057402A"/>
    <w:rsid w:val="005771D0"/>
    <w:rsid w:val="0059191A"/>
    <w:rsid w:val="005921FF"/>
    <w:rsid w:val="005A6D0E"/>
    <w:rsid w:val="005B222D"/>
    <w:rsid w:val="005B52B0"/>
    <w:rsid w:val="005B6806"/>
    <w:rsid w:val="005C00F9"/>
    <w:rsid w:val="005C4225"/>
    <w:rsid w:val="005E63E2"/>
    <w:rsid w:val="005F0F33"/>
    <w:rsid w:val="005F1B07"/>
    <w:rsid w:val="00600DEB"/>
    <w:rsid w:val="00613027"/>
    <w:rsid w:val="00616BC4"/>
    <w:rsid w:val="00627C9F"/>
    <w:rsid w:val="006311DA"/>
    <w:rsid w:val="006311E9"/>
    <w:rsid w:val="00632354"/>
    <w:rsid w:val="00642810"/>
    <w:rsid w:val="00645FC9"/>
    <w:rsid w:val="00652333"/>
    <w:rsid w:val="00665A2D"/>
    <w:rsid w:val="0068009E"/>
    <w:rsid w:val="006A17D2"/>
    <w:rsid w:val="006A73E6"/>
    <w:rsid w:val="006B2D5C"/>
    <w:rsid w:val="006C4EB1"/>
    <w:rsid w:val="006E0166"/>
    <w:rsid w:val="006E7B34"/>
    <w:rsid w:val="00701B24"/>
    <w:rsid w:val="00745899"/>
    <w:rsid w:val="00754D84"/>
    <w:rsid w:val="007607C4"/>
    <w:rsid w:val="0076643F"/>
    <w:rsid w:val="00786400"/>
    <w:rsid w:val="00795A52"/>
    <w:rsid w:val="007A2F70"/>
    <w:rsid w:val="007C3334"/>
    <w:rsid w:val="007C52BB"/>
    <w:rsid w:val="007D2B98"/>
    <w:rsid w:val="007E2F7A"/>
    <w:rsid w:val="00803F1C"/>
    <w:rsid w:val="0080600E"/>
    <w:rsid w:val="00817612"/>
    <w:rsid w:val="00837C45"/>
    <w:rsid w:val="00837F68"/>
    <w:rsid w:val="00853419"/>
    <w:rsid w:val="00897E12"/>
    <w:rsid w:val="008D43BA"/>
    <w:rsid w:val="008D7A02"/>
    <w:rsid w:val="008E3759"/>
    <w:rsid w:val="008E5CEB"/>
    <w:rsid w:val="009041DC"/>
    <w:rsid w:val="009104B4"/>
    <w:rsid w:val="009165FD"/>
    <w:rsid w:val="00923059"/>
    <w:rsid w:val="00925FCD"/>
    <w:rsid w:val="0093441A"/>
    <w:rsid w:val="00954BF7"/>
    <w:rsid w:val="0096706E"/>
    <w:rsid w:val="00981FBA"/>
    <w:rsid w:val="009B381B"/>
    <w:rsid w:val="009D0DB5"/>
    <w:rsid w:val="009D7611"/>
    <w:rsid w:val="009E53DE"/>
    <w:rsid w:val="00A43458"/>
    <w:rsid w:val="00A528D1"/>
    <w:rsid w:val="00A66BE5"/>
    <w:rsid w:val="00A726FC"/>
    <w:rsid w:val="00A831E4"/>
    <w:rsid w:val="00AB0706"/>
    <w:rsid w:val="00AD37C1"/>
    <w:rsid w:val="00AD4114"/>
    <w:rsid w:val="00AE66EC"/>
    <w:rsid w:val="00AE6F91"/>
    <w:rsid w:val="00AF5571"/>
    <w:rsid w:val="00B167E9"/>
    <w:rsid w:val="00B314DB"/>
    <w:rsid w:val="00B31EBE"/>
    <w:rsid w:val="00B3718B"/>
    <w:rsid w:val="00B4632A"/>
    <w:rsid w:val="00B47517"/>
    <w:rsid w:val="00BA276C"/>
    <w:rsid w:val="00BB306F"/>
    <w:rsid w:val="00BD232B"/>
    <w:rsid w:val="00BD4B89"/>
    <w:rsid w:val="00C21762"/>
    <w:rsid w:val="00C24543"/>
    <w:rsid w:val="00C256A2"/>
    <w:rsid w:val="00C25BEE"/>
    <w:rsid w:val="00C25D04"/>
    <w:rsid w:val="00C3492D"/>
    <w:rsid w:val="00C55560"/>
    <w:rsid w:val="00C66B72"/>
    <w:rsid w:val="00C86A1B"/>
    <w:rsid w:val="00C9567A"/>
    <w:rsid w:val="00C9627D"/>
    <w:rsid w:val="00CB2660"/>
    <w:rsid w:val="00CC5E90"/>
    <w:rsid w:val="00CD046C"/>
    <w:rsid w:val="00CE5199"/>
    <w:rsid w:val="00CE66D5"/>
    <w:rsid w:val="00D34786"/>
    <w:rsid w:val="00D40A1E"/>
    <w:rsid w:val="00D60E28"/>
    <w:rsid w:val="00D712D3"/>
    <w:rsid w:val="00D71422"/>
    <w:rsid w:val="00D7145E"/>
    <w:rsid w:val="00D7558D"/>
    <w:rsid w:val="00D81D92"/>
    <w:rsid w:val="00D93446"/>
    <w:rsid w:val="00DA7B5F"/>
    <w:rsid w:val="00E427EE"/>
    <w:rsid w:val="00E43157"/>
    <w:rsid w:val="00E533FF"/>
    <w:rsid w:val="00E709B3"/>
    <w:rsid w:val="00E8789F"/>
    <w:rsid w:val="00E9158D"/>
    <w:rsid w:val="00E97B71"/>
    <w:rsid w:val="00EB454D"/>
    <w:rsid w:val="00EE180C"/>
    <w:rsid w:val="00EE3522"/>
    <w:rsid w:val="00EF619B"/>
    <w:rsid w:val="00F00B55"/>
    <w:rsid w:val="00F1380F"/>
    <w:rsid w:val="00F14F0E"/>
    <w:rsid w:val="00F24C29"/>
    <w:rsid w:val="00F253CC"/>
    <w:rsid w:val="00F350FC"/>
    <w:rsid w:val="00F56BA5"/>
    <w:rsid w:val="00F644E6"/>
    <w:rsid w:val="00F73BB4"/>
    <w:rsid w:val="00F7636A"/>
    <w:rsid w:val="00F9653B"/>
    <w:rsid w:val="00FB62CF"/>
    <w:rsid w:val="00FC3EB4"/>
    <w:rsid w:val="00FC6C58"/>
    <w:rsid w:val="00FD1842"/>
    <w:rsid w:val="00FD5E0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334B20"/>
    <w:pPr>
      <w:keepNext/>
      <w:keepLines/>
      <w:numPr>
        <w:numId w:val="53"/>
      </w:numPr>
      <w:ind w:left="1440" w:hanging="720"/>
      <w:outlineLvl w:val="0"/>
    </w:pPr>
    <w:rPr>
      <w:rFonts w:asciiTheme="majorHAnsi" w:eastAsiaTheme="majorEastAsia" w:hAnsiTheme="majorHAnsi" w:cstheme="majorBidi"/>
      <w:b/>
      <w:bCs/>
      <w:sz w:val="20"/>
      <w:szCs w:val="20"/>
    </w:rPr>
  </w:style>
  <w:style w:type="paragraph" w:styleId="Heading2">
    <w:name w:val="heading 2"/>
    <w:basedOn w:val="Normal"/>
    <w:next w:val="Normal"/>
    <w:link w:val="Heading2Char"/>
    <w:uiPriority w:val="9"/>
    <w:unhideWhenUsed/>
    <w:qFormat/>
    <w:rsid w:val="00334B20"/>
    <w:pPr>
      <w:keepNext/>
      <w:keepLines/>
      <w:numPr>
        <w:ilvl w:val="2"/>
        <w:numId w:val="55"/>
      </w:numPr>
      <w:ind w:left="1440"/>
      <w:outlineLvl w:val="1"/>
    </w:pPr>
    <w:rPr>
      <w:rFonts w:asciiTheme="majorHAnsi" w:eastAsiaTheme="majorEastAsia" w:hAnsiTheme="majorHAnsi" w:cstheme="majorBidi"/>
      <w:b/>
      <w:bCs/>
      <w:sz w:val="20"/>
      <w:szCs w:val="20"/>
    </w:rPr>
  </w:style>
  <w:style w:type="paragraph" w:styleId="Heading3">
    <w:name w:val="heading 3"/>
    <w:basedOn w:val="Style1"/>
    <w:next w:val="Normal"/>
    <w:link w:val="Heading3Char"/>
    <w:uiPriority w:val="9"/>
    <w:unhideWhenUsed/>
    <w:qFormat/>
    <w:rsid w:val="00334B20"/>
    <w:pPr>
      <w:numPr>
        <w:ilvl w:val="0"/>
        <w:numId w:val="58"/>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 Paragraph1,Colorful List - Accent 1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34B20"/>
    <w:rPr>
      <w:rFonts w:asciiTheme="majorHAnsi" w:eastAsiaTheme="majorEastAsia" w:hAnsiTheme="majorHAnsi"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32741A"/>
    <w:pPr>
      <w:spacing w:after="100"/>
    </w:pPr>
    <w:rPr>
      <w:rFonts w:asciiTheme="majorHAnsi" w:hAnsiTheme="majorHAnsi"/>
      <w:sz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334B20"/>
    <w:rPr>
      <w:rFonts w:asciiTheme="majorHAnsi" w:eastAsiaTheme="majorEastAsia" w:hAnsiTheme="majorHAnsi" w:cstheme="majorBidi"/>
      <w:b/>
      <w:bCs/>
      <w:lang w:val="en-US" w:eastAsia="en-US"/>
    </w:rPr>
  </w:style>
  <w:style w:type="character" w:customStyle="1" w:styleId="Heading3Char">
    <w:name w:val="Heading 3 Char"/>
    <w:basedOn w:val="DefaultParagraphFont"/>
    <w:link w:val="Heading3"/>
    <w:uiPriority w:val="9"/>
    <w:rsid w:val="00334B20"/>
    <w:rPr>
      <w:rFonts w:asciiTheme="majorHAnsi" w:eastAsia="Times New Roman" w:hAnsiTheme="majorHAnsi" w:cstheme="majorBidi"/>
      <w:b/>
      <w:bCs/>
      <w:color w:val="000000" w:themeColor="text1"/>
      <w:lang w:val="en-US" w:eastAsia="en-US" w:bidi="en-US"/>
    </w:rPr>
  </w:style>
  <w:style w:type="paragraph" w:styleId="BodyTextIndent2">
    <w:name w:val="Body Text Indent 2"/>
    <w:basedOn w:val="Normal"/>
    <w:link w:val="BodyTextIndent2Char"/>
    <w:uiPriority w:val="99"/>
    <w:semiHidden/>
    <w:unhideWhenUsed/>
    <w:rsid w:val="00334B20"/>
    <w:pPr>
      <w:spacing w:after="120" w:line="480" w:lineRule="auto"/>
      <w:ind w:left="360"/>
    </w:pPr>
  </w:style>
  <w:style w:type="character" w:customStyle="1" w:styleId="BodyTextIndent2Char">
    <w:name w:val="Body Text Indent 2 Char"/>
    <w:basedOn w:val="DefaultParagraphFont"/>
    <w:link w:val="BodyTextIndent2"/>
    <w:uiPriority w:val="99"/>
    <w:semiHidden/>
    <w:rsid w:val="00334B20"/>
    <w:rPr>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334B20"/>
    <w:rPr>
      <w:rFonts w:ascii="Calibri" w:hAnsi="Calibri"/>
      <w:color w:val="000000"/>
      <w:sz w:val="20"/>
      <w:szCs w:val="20"/>
      <w:u w:color="000000"/>
    </w:rPr>
  </w:style>
  <w:style w:type="paragraph" w:customStyle="1" w:styleId="Prrafodelista1">
    <w:name w:val="Párrafo de lista1"/>
    <w:basedOn w:val="Normal"/>
    <w:qFormat/>
    <w:rsid w:val="00334B2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bidi="en-US"/>
    </w:rPr>
  </w:style>
  <w:style w:type="character" w:customStyle="1" w:styleId="1">
    <w:name w:val="1"/>
    <w:rsid w:val="00334B20"/>
    <w:rPr>
      <w:rFonts w:ascii="Baskerville Old Face" w:hAnsi="Baskerville Old Face"/>
      <w:sz w:val="28"/>
      <w:szCs w:val="28"/>
    </w:rPr>
  </w:style>
  <w:style w:type="paragraph" w:customStyle="1" w:styleId="Normal1">
    <w:name w:val="Normal1"/>
    <w:rsid w:val="00334B2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000000"/>
      <w:szCs w:val="22"/>
      <w:bdr w:val="none" w:sz="0" w:space="0" w:color="auto"/>
      <w:lang w:val="en-US" w:eastAsia="en-US" w:bidi="en-US"/>
    </w:rPr>
  </w:style>
  <w:style w:type="paragraph" w:customStyle="1" w:styleId="2Footnotes">
    <w:name w:val="2. Footnotes"/>
    <w:basedOn w:val="FootnoteText"/>
    <w:autoRedefine/>
    <w:qFormat/>
    <w:rsid w:val="00334B2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eastAsia="en-US" w:bidi="en-US"/>
    </w:rPr>
  </w:style>
  <w:style w:type="paragraph" w:customStyle="1" w:styleId="Style1">
    <w:name w:val="Style1"/>
    <w:basedOn w:val="Heading2"/>
    <w:link w:val="Style1Char"/>
    <w:qFormat/>
    <w:rsid w:val="00334B20"/>
    <w:pPr>
      <w:numPr>
        <w:numId w:val="0"/>
      </w:numPr>
      <w:tabs>
        <w:tab w:val="num" w:pos="3060"/>
      </w:tabs>
      <w:ind w:left="1440" w:hanging="720"/>
      <w:jc w:val="both"/>
    </w:pPr>
    <w:rPr>
      <w:rFonts w:eastAsia="Times New Roman"/>
      <w:color w:val="000000" w:themeColor="text1"/>
      <w:lang w:bidi="en-US"/>
    </w:rPr>
  </w:style>
  <w:style w:type="character" w:customStyle="1" w:styleId="Style1Char">
    <w:name w:val="Style1 Char"/>
    <w:basedOn w:val="Heading2Char"/>
    <w:link w:val="Style1"/>
    <w:rsid w:val="00334B20"/>
    <w:rPr>
      <w:rFonts w:asciiTheme="majorHAnsi" w:eastAsia="Times New Roman" w:hAnsiTheme="majorHAnsi" w:cstheme="majorBidi"/>
      <w:b/>
      <w:bCs/>
      <w:color w:val="000000" w:themeColor="text1"/>
      <w:lang w:val="en-US" w:eastAsia="en-US" w:bidi="en-US"/>
    </w:rPr>
  </w:style>
  <w:style w:type="paragraph" w:styleId="NoSpacing">
    <w:name w:val="No Spacing"/>
    <w:uiPriority w:val="1"/>
    <w:qFormat/>
    <w:rsid w:val="00334B20"/>
    <w:rPr>
      <w:sz w:val="24"/>
      <w:szCs w:val="24"/>
      <w:lang w:val="en-US" w:eastAsia="en-US"/>
    </w:rPr>
  </w:style>
  <w:style w:type="character" w:styleId="CommentReference">
    <w:name w:val="annotation reference"/>
    <w:basedOn w:val="DefaultParagraphFont"/>
    <w:uiPriority w:val="99"/>
    <w:semiHidden/>
    <w:unhideWhenUsed/>
    <w:rsid w:val="00460C30"/>
    <w:rPr>
      <w:sz w:val="16"/>
      <w:szCs w:val="16"/>
    </w:rPr>
  </w:style>
  <w:style w:type="paragraph" w:styleId="CommentText">
    <w:name w:val="annotation text"/>
    <w:basedOn w:val="Normal"/>
    <w:link w:val="CommentTextChar"/>
    <w:uiPriority w:val="99"/>
    <w:semiHidden/>
    <w:unhideWhenUsed/>
    <w:rsid w:val="00460C30"/>
    <w:rPr>
      <w:sz w:val="20"/>
      <w:szCs w:val="20"/>
    </w:rPr>
  </w:style>
  <w:style w:type="character" w:customStyle="1" w:styleId="CommentTextChar">
    <w:name w:val="Comment Text Char"/>
    <w:basedOn w:val="DefaultParagraphFont"/>
    <w:link w:val="CommentText"/>
    <w:uiPriority w:val="99"/>
    <w:semiHidden/>
    <w:rsid w:val="00460C30"/>
    <w:rPr>
      <w:lang w:val="en-US" w:eastAsia="en-US"/>
    </w:rPr>
  </w:style>
  <w:style w:type="paragraph" w:styleId="CommentSubject">
    <w:name w:val="annotation subject"/>
    <w:basedOn w:val="CommentText"/>
    <w:next w:val="CommentText"/>
    <w:link w:val="CommentSubjectChar"/>
    <w:uiPriority w:val="99"/>
    <w:semiHidden/>
    <w:unhideWhenUsed/>
    <w:rsid w:val="00460C30"/>
    <w:rPr>
      <w:b/>
      <w:bCs/>
    </w:rPr>
  </w:style>
  <w:style w:type="character" w:customStyle="1" w:styleId="CommentSubjectChar">
    <w:name w:val="Comment Subject Char"/>
    <w:basedOn w:val="CommentTextChar"/>
    <w:link w:val="CommentSubject"/>
    <w:uiPriority w:val="99"/>
    <w:semiHidden/>
    <w:rsid w:val="00460C3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334B20"/>
    <w:pPr>
      <w:keepNext/>
      <w:keepLines/>
      <w:numPr>
        <w:numId w:val="53"/>
      </w:numPr>
      <w:ind w:left="1440" w:hanging="720"/>
      <w:outlineLvl w:val="0"/>
    </w:pPr>
    <w:rPr>
      <w:rFonts w:asciiTheme="majorHAnsi" w:eastAsiaTheme="majorEastAsia" w:hAnsiTheme="majorHAnsi" w:cstheme="majorBidi"/>
      <w:b/>
      <w:bCs/>
      <w:sz w:val="20"/>
      <w:szCs w:val="20"/>
    </w:rPr>
  </w:style>
  <w:style w:type="paragraph" w:styleId="Heading2">
    <w:name w:val="heading 2"/>
    <w:basedOn w:val="Normal"/>
    <w:next w:val="Normal"/>
    <w:link w:val="Heading2Char"/>
    <w:uiPriority w:val="9"/>
    <w:unhideWhenUsed/>
    <w:qFormat/>
    <w:rsid w:val="00334B20"/>
    <w:pPr>
      <w:keepNext/>
      <w:keepLines/>
      <w:numPr>
        <w:ilvl w:val="2"/>
        <w:numId w:val="55"/>
      </w:numPr>
      <w:ind w:left="1440"/>
      <w:outlineLvl w:val="1"/>
    </w:pPr>
    <w:rPr>
      <w:rFonts w:asciiTheme="majorHAnsi" w:eastAsiaTheme="majorEastAsia" w:hAnsiTheme="majorHAnsi" w:cstheme="majorBidi"/>
      <w:b/>
      <w:bCs/>
      <w:sz w:val="20"/>
      <w:szCs w:val="20"/>
    </w:rPr>
  </w:style>
  <w:style w:type="paragraph" w:styleId="Heading3">
    <w:name w:val="heading 3"/>
    <w:basedOn w:val="Style1"/>
    <w:next w:val="Normal"/>
    <w:link w:val="Heading3Char"/>
    <w:uiPriority w:val="9"/>
    <w:unhideWhenUsed/>
    <w:qFormat/>
    <w:rsid w:val="00334B20"/>
    <w:pPr>
      <w:numPr>
        <w:ilvl w:val="0"/>
        <w:numId w:val="58"/>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 Paragraph1,Colorful List - Accent 1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34B20"/>
    <w:rPr>
      <w:rFonts w:asciiTheme="majorHAnsi" w:eastAsiaTheme="majorEastAsia" w:hAnsiTheme="majorHAnsi"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32741A"/>
    <w:pPr>
      <w:spacing w:after="100"/>
    </w:pPr>
    <w:rPr>
      <w:rFonts w:asciiTheme="majorHAnsi" w:hAnsiTheme="majorHAnsi"/>
      <w:sz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334B20"/>
    <w:rPr>
      <w:rFonts w:asciiTheme="majorHAnsi" w:eastAsiaTheme="majorEastAsia" w:hAnsiTheme="majorHAnsi" w:cstheme="majorBidi"/>
      <w:b/>
      <w:bCs/>
      <w:lang w:val="en-US" w:eastAsia="en-US"/>
    </w:rPr>
  </w:style>
  <w:style w:type="character" w:customStyle="1" w:styleId="Heading3Char">
    <w:name w:val="Heading 3 Char"/>
    <w:basedOn w:val="DefaultParagraphFont"/>
    <w:link w:val="Heading3"/>
    <w:uiPriority w:val="9"/>
    <w:rsid w:val="00334B20"/>
    <w:rPr>
      <w:rFonts w:asciiTheme="majorHAnsi" w:eastAsia="Times New Roman" w:hAnsiTheme="majorHAnsi" w:cstheme="majorBidi"/>
      <w:b/>
      <w:bCs/>
      <w:color w:val="000000" w:themeColor="text1"/>
      <w:lang w:val="en-US" w:eastAsia="en-US" w:bidi="en-US"/>
    </w:rPr>
  </w:style>
  <w:style w:type="paragraph" w:styleId="BodyTextIndent2">
    <w:name w:val="Body Text Indent 2"/>
    <w:basedOn w:val="Normal"/>
    <w:link w:val="BodyTextIndent2Char"/>
    <w:uiPriority w:val="99"/>
    <w:semiHidden/>
    <w:unhideWhenUsed/>
    <w:rsid w:val="00334B20"/>
    <w:pPr>
      <w:spacing w:after="120" w:line="480" w:lineRule="auto"/>
      <w:ind w:left="360"/>
    </w:pPr>
  </w:style>
  <w:style w:type="character" w:customStyle="1" w:styleId="BodyTextIndent2Char">
    <w:name w:val="Body Text Indent 2 Char"/>
    <w:basedOn w:val="DefaultParagraphFont"/>
    <w:link w:val="BodyTextIndent2"/>
    <w:uiPriority w:val="99"/>
    <w:semiHidden/>
    <w:rsid w:val="00334B20"/>
    <w:rPr>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334B20"/>
    <w:rPr>
      <w:rFonts w:ascii="Calibri" w:hAnsi="Calibri"/>
      <w:color w:val="000000"/>
      <w:sz w:val="20"/>
      <w:szCs w:val="20"/>
      <w:u w:color="000000"/>
    </w:rPr>
  </w:style>
  <w:style w:type="paragraph" w:customStyle="1" w:styleId="Prrafodelista1">
    <w:name w:val="Párrafo de lista1"/>
    <w:basedOn w:val="Normal"/>
    <w:qFormat/>
    <w:rsid w:val="00334B2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bidi="en-US"/>
    </w:rPr>
  </w:style>
  <w:style w:type="character" w:customStyle="1" w:styleId="1">
    <w:name w:val="1"/>
    <w:rsid w:val="00334B20"/>
    <w:rPr>
      <w:rFonts w:ascii="Baskerville Old Face" w:hAnsi="Baskerville Old Face"/>
      <w:sz w:val="28"/>
      <w:szCs w:val="28"/>
    </w:rPr>
  </w:style>
  <w:style w:type="paragraph" w:customStyle="1" w:styleId="Normal1">
    <w:name w:val="Normal1"/>
    <w:rsid w:val="00334B2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000000"/>
      <w:szCs w:val="22"/>
      <w:bdr w:val="none" w:sz="0" w:space="0" w:color="auto"/>
      <w:lang w:val="en-US" w:eastAsia="en-US" w:bidi="en-US"/>
    </w:rPr>
  </w:style>
  <w:style w:type="paragraph" w:customStyle="1" w:styleId="2Footnotes">
    <w:name w:val="2. Footnotes"/>
    <w:basedOn w:val="FootnoteText"/>
    <w:autoRedefine/>
    <w:qFormat/>
    <w:rsid w:val="00334B2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eastAsia="en-US" w:bidi="en-US"/>
    </w:rPr>
  </w:style>
  <w:style w:type="paragraph" w:customStyle="1" w:styleId="Style1">
    <w:name w:val="Style1"/>
    <w:basedOn w:val="Heading2"/>
    <w:link w:val="Style1Char"/>
    <w:qFormat/>
    <w:rsid w:val="00334B20"/>
    <w:pPr>
      <w:numPr>
        <w:numId w:val="0"/>
      </w:numPr>
      <w:tabs>
        <w:tab w:val="num" w:pos="3060"/>
      </w:tabs>
      <w:ind w:left="1440" w:hanging="720"/>
      <w:jc w:val="both"/>
    </w:pPr>
    <w:rPr>
      <w:rFonts w:eastAsia="Times New Roman"/>
      <w:color w:val="000000" w:themeColor="text1"/>
      <w:lang w:bidi="en-US"/>
    </w:rPr>
  </w:style>
  <w:style w:type="character" w:customStyle="1" w:styleId="Style1Char">
    <w:name w:val="Style1 Char"/>
    <w:basedOn w:val="Heading2Char"/>
    <w:link w:val="Style1"/>
    <w:rsid w:val="00334B20"/>
    <w:rPr>
      <w:rFonts w:asciiTheme="majorHAnsi" w:eastAsia="Times New Roman" w:hAnsiTheme="majorHAnsi" w:cstheme="majorBidi"/>
      <w:b/>
      <w:bCs/>
      <w:color w:val="000000" w:themeColor="text1"/>
      <w:lang w:val="en-US" w:eastAsia="en-US" w:bidi="en-US"/>
    </w:rPr>
  </w:style>
  <w:style w:type="paragraph" w:styleId="NoSpacing">
    <w:name w:val="No Spacing"/>
    <w:uiPriority w:val="1"/>
    <w:qFormat/>
    <w:rsid w:val="00334B20"/>
    <w:rPr>
      <w:sz w:val="24"/>
      <w:szCs w:val="24"/>
      <w:lang w:val="en-US" w:eastAsia="en-US"/>
    </w:rPr>
  </w:style>
  <w:style w:type="character" w:styleId="CommentReference">
    <w:name w:val="annotation reference"/>
    <w:basedOn w:val="DefaultParagraphFont"/>
    <w:uiPriority w:val="99"/>
    <w:semiHidden/>
    <w:unhideWhenUsed/>
    <w:rsid w:val="00460C30"/>
    <w:rPr>
      <w:sz w:val="16"/>
      <w:szCs w:val="16"/>
    </w:rPr>
  </w:style>
  <w:style w:type="paragraph" w:styleId="CommentText">
    <w:name w:val="annotation text"/>
    <w:basedOn w:val="Normal"/>
    <w:link w:val="CommentTextChar"/>
    <w:uiPriority w:val="99"/>
    <w:semiHidden/>
    <w:unhideWhenUsed/>
    <w:rsid w:val="00460C30"/>
    <w:rPr>
      <w:sz w:val="20"/>
      <w:szCs w:val="20"/>
    </w:rPr>
  </w:style>
  <w:style w:type="character" w:customStyle="1" w:styleId="CommentTextChar">
    <w:name w:val="Comment Text Char"/>
    <w:basedOn w:val="DefaultParagraphFont"/>
    <w:link w:val="CommentText"/>
    <w:uiPriority w:val="99"/>
    <w:semiHidden/>
    <w:rsid w:val="00460C30"/>
    <w:rPr>
      <w:lang w:val="en-US" w:eastAsia="en-US"/>
    </w:rPr>
  </w:style>
  <w:style w:type="paragraph" w:styleId="CommentSubject">
    <w:name w:val="annotation subject"/>
    <w:basedOn w:val="CommentText"/>
    <w:next w:val="CommentText"/>
    <w:link w:val="CommentSubjectChar"/>
    <w:uiPriority w:val="99"/>
    <w:semiHidden/>
    <w:unhideWhenUsed/>
    <w:rsid w:val="00460C30"/>
    <w:rPr>
      <w:b/>
      <w:bCs/>
    </w:rPr>
  </w:style>
  <w:style w:type="character" w:customStyle="1" w:styleId="CommentSubjectChar">
    <w:name w:val="Comment Subject Char"/>
    <w:basedOn w:val="CommentTextChar"/>
    <w:link w:val="CommentSubject"/>
    <w:uiPriority w:val="99"/>
    <w:semiHidden/>
    <w:rsid w:val="00460C3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countryrep/Colom99sp/indice.htm" TargetMode="External"/><Relationship Id="rId7" Type="http://schemas.openxmlformats.org/officeDocument/2006/relationships/hyperlink" Target="http://www.coljuristas.org/documentos/adicionales/control_de_legalidad_HEBERT_VELOZA.pdf" TargetMode="External"/><Relationship Id="rId2" Type="http://schemas.openxmlformats.org/officeDocument/2006/relationships/hyperlink" Target="http://www.cidh.org/countryrep/Colom99sp/indice.htm" TargetMode="External"/><Relationship Id="rId1" Type="http://schemas.openxmlformats.org/officeDocument/2006/relationships/hyperlink" Target="http://www.cidh.org/countryrep/Colom99sp/indice.htm" TargetMode="External"/><Relationship Id="rId6" Type="http://schemas.openxmlformats.org/officeDocument/2006/relationships/hyperlink" Target="http://www.coljuristas.org/documentos/adicionales/control_de_legalidad_HEBERT_VELOZA.pdf" TargetMode="External"/><Relationship Id="rId5" Type="http://schemas.openxmlformats.org/officeDocument/2006/relationships/hyperlink" Target="http://www.coljuristas.org/documentos/adicionales/control_de_legalidad_HEBERT_VELOZA.pdf" TargetMode="External"/><Relationship Id="rId4" Type="http://schemas.openxmlformats.org/officeDocument/2006/relationships/hyperlink" Target="http://www.cidh.org/countryrep/Colom99sp/indi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BE75-521A-4D91-9515-FCCD5A52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21356</Words>
  <Characters>121731</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Report No. 101/17</vt:lpstr>
    </vt:vector>
  </TitlesOfParts>
  <Company/>
  <LinksUpToDate>false</LinksUpToDate>
  <CharactersWithSpaces>142802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101/17</dc:title>
  <dc:creator/>
  <cp:lastModifiedBy/>
  <cp:revision>1</cp:revision>
  <dcterms:created xsi:type="dcterms:W3CDTF">2017-09-27T16:14:00Z</dcterms:created>
  <dcterms:modified xsi:type="dcterms:W3CDTF">2017-09-27T16:21:00Z</dcterms:modified>
</cp:coreProperties>
</file>