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056160">
      <w:pPr>
        <w:ind w:firstLine="720"/>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56160">
      <w:pPr>
        <w:tabs>
          <w:tab w:val="center" w:pos="5400"/>
        </w:tabs>
        <w:suppressAutoHyphens/>
        <w:ind w:firstLine="720"/>
        <w:jc w:val="both"/>
        <w:rPr>
          <w:rFonts w:asciiTheme="majorHAnsi" w:hAnsiTheme="majorHAnsi"/>
          <w:sz w:val="22"/>
          <w:szCs w:val="22"/>
          <w:lang w:val="es-ES"/>
        </w:rPr>
      </w:pPr>
    </w:p>
    <w:p w:rsidR="00040C3A" w:rsidRPr="003C32BC" w:rsidRDefault="00040C3A" w:rsidP="00056160">
      <w:pPr>
        <w:tabs>
          <w:tab w:val="center" w:pos="5400"/>
        </w:tabs>
        <w:suppressAutoHyphens/>
        <w:ind w:firstLine="720"/>
        <w:jc w:val="both"/>
        <w:rPr>
          <w:rFonts w:asciiTheme="majorHAnsi" w:hAnsiTheme="majorHAnsi"/>
          <w:sz w:val="22"/>
          <w:szCs w:val="22"/>
          <w:lang w:val="es-ES"/>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5B52B0" w:rsidRPr="003C32BC" w:rsidRDefault="005B52B0" w:rsidP="00056160">
      <w:pPr>
        <w:tabs>
          <w:tab w:val="center" w:pos="5400"/>
        </w:tabs>
        <w:suppressAutoHyphens/>
        <w:ind w:firstLine="720"/>
        <w:jc w:val="both"/>
        <w:rPr>
          <w:rFonts w:asciiTheme="majorHAnsi" w:hAnsiTheme="majorHAnsi"/>
          <w:sz w:val="22"/>
          <w:szCs w:val="22"/>
          <w:lang w:val="es-ES_tradnl"/>
        </w:rPr>
      </w:pPr>
    </w:p>
    <w:p w:rsidR="005B52B0" w:rsidRPr="003C32BC" w:rsidRDefault="005B52B0" w:rsidP="00056160">
      <w:pPr>
        <w:tabs>
          <w:tab w:val="center" w:pos="5400"/>
        </w:tabs>
        <w:suppressAutoHyphens/>
        <w:ind w:firstLine="720"/>
        <w:jc w:val="both"/>
        <w:rPr>
          <w:rFonts w:asciiTheme="majorHAnsi" w:hAnsiTheme="majorHAnsi"/>
          <w:sz w:val="22"/>
          <w:szCs w:val="22"/>
          <w:lang w:val="es-ES_tradnl"/>
        </w:rPr>
      </w:pPr>
    </w:p>
    <w:p w:rsidR="005B52B0" w:rsidRPr="003C32BC" w:rsidRDefault="005B52B0"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E533FF" w:rsidP="00056160">
      <w:pPr>
        <w:tabs>
          <w:tab w:val="center" w:pos="5400"/>
        </w:tabs>
        <w:suppressAutoHyphens/>
        <w:ind w:firstLine="720"/>
        <w:jc w:val="both"/>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D1A95BB" wp14:editId="0FEEF25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A45" w:rsidRPr="004E2649" w:rsidRDefault="00BB3A45" w:rsidP="00BB3A4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color w:val="0D0D0D" w:themeColor="text1" w:themeTint="F2"/>
                                <w:sz w:val="36"/>
                                <w:szCs w:val="22"/>
                                <w:lang w:val="en"/>
                              </w:rPr>
                              <w:t xml:space="preserve"> </w:t>
                            </w:r>
                            <w:r>
                              <w:rPr>
                                <w:rFonts w:asciiTheme="majorHAnsi" w:hAnsiTheme="majorHAnsi" w:cs="Arial"/>
                                <w:b/>
                                <w:bCs/>
                                <w:color w:val="0D0D0D" w:themeColor="text1" w:themeTint="F2"/>
                                <w:sz w:val="36"/>
                                <w:szCs w:val="22"/>
                                <w:lang w:val="en"/>
                              </w:rPr>
                              <w:t>9/17</w:t>
                            </w:r>
                          </w:p>
                          <w:p w:rsidR="00BB3A45" w:rsidRDefault="00BB3A45" w:rsidP="00BB3A4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481-08 </w:t>
                            </w:r>
                          </w:p>
                          <w:p w:rsidR="00BB3A45" w:rsidRPr="0010736F" w:rsidRDefault="00BB3A45" w:rsidP="00BB3A4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rsidR="00BB3A45" w:rsidRPr="0010736F" w:rsidRDefault="00BB3A45" w:rsidP="00BB3A45">
                            <w:pPr>
                              <w:spacing w:line="276" w:lineRule="auto"/>
                              <w:rPr>
                                <w:rFonts w:asciiTheme="majorHAnsi" w:hAnsiTheme="majorHAnsi" w:cs="Arial"/>
                                <w:color w:val="0D0D0D" w:themeColor="text1" w:themeTint="F2"/>
                                <w:szCs w:val="22"/>
                              </w:rPr>
                            </w:pPr>
                            <w:bookmarkStart w:id="1" w:name="_ftnref1"/>
                          </w:p>
                          <w:p w:rsidR="00BB3A45" w:rsidRPr="00D33A15" w:rsidRDefault="00BB3A45" w:rsidP="00BB3A45">
                            <w:pPr>
                              <w:spacing w:line="276" w:lineRule="auto"/>
                              <w:rPr>
                                <w:rFonts w:asciiTheme="majorHAnsi" w:hAnsiTheme="majorHAnsi" w:cs="Arial"/>
                                <w:color w:val="0D0D0D" w:themeColor="text1" w:themeTint="F2"/>
                                <w:szCs w:val="22"/>
                                <w:lang w:val="es-CO"/>
                              </w:rPr>
                            </w:pPr>
                            <w:r w:rsidRPr="00D33A15">
                              <w:rPr>
                                <w:rFonts w:asciiTheme="majorHAnsi" w:hAnsiTheme="majorHAnsi" w:cs="Arial"/>
                                <w:color w:val="0D0D0D" w:themeColor="text1" w:themeTint="F2"/>
                                <w:szCs w:val="22"/>
                                <w:lang w:val="es-CO"/>
                              </w:rPr>
                              <w:t>RUBÉN DARÍO OCAMPO HENAO ET AL</w:t>
                            </w:r>
                          </w:p>
                          <w:bookmarkEnd w:id="1"/>
                          <w:p w:rsidR="00BB3A45" w:rsidRPr="0010736F" w:rsidRDefault="00BB3A45" w:rsidP="00BB3A4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BB3A45" w:rsidRPr="004E2649" w:rsidRDefault="00BB3A45" w:rsidP="00BB3A4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color w:val="0D0D0D" w:themeColor="text1" w:themeTint="F2"/>
                          <w:sz w:val="36"/>
                          <w:szCs w:val="22"/>
                          <w:lang w:val="en"/>
                        </w:rPr>
                        <w:t xml:space="preserve"> </w:t>
                      </w:r>
                      <w:r>
                        <w:rPr>
                          <w:rFonts w:asciiTheme="majorHAnsi" w:hAnsiTheme="majorHAnsi" w:cs="Arial"/>
                          <w:b/>
                          <w:bCs/>
                          <w:color w:val="0D0D0D" w:themeColor="text1" w:themeTint="F2"/>
                          <w:sz w:val="36"/>
                          <w:szCs w:val="22"/>
                          <w:lang w:val="en"/>
                        </w:rPr>
                        <w:t>9/17</w:t>
                      </w:r>
                    </w:p>
                    <w:p w:rsidR="00BB3A45" w:rsidRDefault="00BB3A45" w:rsidP="00BB3A4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481-08 </w:t>
                      </w:r>
                    </w:p>
                    <w:p w:rsidR="00BB3A45" w:rsidRPr="0010736F" w:rsidRDefault="00BB3A45" w:rsidP="00BB3A4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rsidR="00BB3A45" w:rsidRPr="0010736F" w:rsidRDefault="00BB3A45" w:rsidP="00BB3A45">
                      <w:pPr>
                        <w:spacing w:line="276" w:lineRule="auto"/>
                        <w:rPr>
                          <w:rFonts w:asciiTheme="majorHAnsi" w:hAnsiTheme="majorHAnsi" w:cs="Arial"/>
                          <w:color w:val="0D0D0D" w:themeColor="text1" w:themeTint="F2"/>
                          <w:szCs w:val="22"/>
                        </w:rPr>
                      </w:pPr>
                      <w:bookmarkStart w:id="1" w:name="_ftnref1"/>
                    </w:p>
                    <w:p w:rsidR="00BB3A45" w:rsidRPr="00D33A15" w:rsidRDefault="00BB3A45" w:rsidP="00BB3A45">
                      <w:pPr>
                        <w:spacing w:line="276" w:lineRule="auto"/>
                        <w:rPr>
                          <w:rFonts w:asciiTheme="majorHAnsi" w:hAnsiTheme="majorHAnsi" w:cs="Arial"/>
                          <w:color w:val="0D0D0D" w:themeColor="text1" w:themeTint="F2"/>
                          <w:szCs w:val="22"/>
                          <w:lang w:val="es-CO"/>
                        </w:rPr>
                      </w:pPr>
                      <w:r w:rsidRPr="00D33A15">
                        <w:rPr>
                          <w:rFonts w:asciiTheme="majorHAnsi" w:hAnsiTheme="majorHAnsi" w:cs="Arial"/>
                          <w:color w:val="0D0D0D" w:themeColor="text1" w:themeTint="F2"/>
                          <w:szCs w:val="22"/>
                          <w:lang w:val="es-CO"/>
                        </w:rPr>
                        <w:t>RUBÉN DARÍO OCAMPO HENAO ET AL</w:t>
                      </w:r>
                    </w:p>
                    <w:bookmarkEnd w:id="1"/>
                    <w:p w:rsidR="00BB3A45" w:rsidRPr="0010736F" w:rsidRDefault="00BB3A45" w:rsidP="00BB3A4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CD2B68F" wp14:editId="1AB28170">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A45" w:rsidRPr="00181EB8" w:rsidRDefault="00BB3A45" w:rsidP="00BB3A45">
                            <w:pPr>
                              <w:spacing w:line="276" w:lineRule="auto"/>
                              <w:jc w:val="right"/>
                              <w:rPr>
                                <w:rFonts w:asciiTheme="minorHAnsi" w:hAnsiTheme="minorHAnsi"/>
                                <w:color w:val="FFFFFF" w:themeColor="background1"/>
                                <w:sz w:val="22"/>
                                <w:lang w:val="pt-BR"/>
                              </w:rPr>
                            </w:pPr>
                            <w:r w:rsidRPr="00181EB8">
                              <w:rPr>
                                <w:rFonts w:asciiTheme="minorHAnsi" w:hAnsiTheme="minorHAnsi"/>
                                <w:color w:val="FFFFFF" w:themeColor="background1"/>
                                <w:sz w:val="22"/>
                                <w:lang w:val="pt-BR"/>
                              </w:rPr>
                              <w:t>OEA/Ser.L/V/II.</w:t>
                            </w:r>
                          </w:p>
                          <w:p w:rsidR="00BB3A45" w:rsidRPr="00181EB8" w:rsidRDefault="0092069B" w:rsidP="00BB3A45">
                            <w:pPr>
                              <w:spacing w:line="276" w:lineRule="auto"/>
                              <w:jc w:val="right"/>
                              <w:rPr>
                                <w:rFonts w:asciiTheme="minorHAnsi" w:hAnsiTheme="minorHAnsi"/>
                                <w:color w:val="FFFFFF" w:themeColor="background1"/>
                                <w:sz w:val="22"/>
                                <w:lang w:val="pt-BR"/>
                              </w:rPr>
                            </w:pPr>
                            <w:r w:rsidRPr="00181EB8">
                              <w:rPr>
                                <w:rFonts w:asciiTheme="minorHAnsi" w:hAnsiTheme="minorHAnsi"/>
                                <w:color w:val="FFFFFF" w:themeColor="background1"/>
                                <w:sz w:val="22"/>
                                <w:lang w:val="pt-BR"/>
                              </w:rPr>
                              <w:t>Doc. 10</w:t>
                            </w:r>
                          </w:p>
                          <w:p w:rsidR="00BB3A45" w:rsidRPr="004E2649" w:rsidRDefault="0092069B" w:rsidP="00BB3A45">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27 January</w:t>
                            </w:r>
                            <w:r w:rsidR="00BB3A45">
                              <w:rPr>
                                <w:rFonts w:asciiTheme="minorHAnsi" w:hAnsiTheme="minorHAnsi"/>
                                <w:color w:val="FFFFFF" w:themeColor="background1"/>
                                <w:sz w:val="22"/>
                                <w:lang w:val="en"/>
                              </w:rPr>
                              <w:t xml:space="preserve"> 2017</w:t>
                            </w:r>
                          </w:p>
                          <w:p w:rsidR="00BB3A45" w:rsidRPr="004E2649" w:rsidRDefault="00BB3A45" w:rsidP="00BB3A45">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p w:rsidR="00627C9F" w:rsidRPr="004B7EB6" w:rsidRDefault="00627C9F" w:rsidP="002C1641">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BB3A45" w:rsidRPr="0092069B" w:rsidRDefault="00BB3A45" w:rsidP="00BB3A45">
                      <w:pPr>
                        <w:spacing w:line="276" w:lineRule="auto"/>
                        <w:jc w:val="right"/>
                        <w:rPr>
                          <w:rFonts w:asciiTheme="minorHAnsi" w:hAnsiTheme="minorHAnsi"/>
                          <w:color w:val="FFFFFF" w:themeColor="background1"/>
                          <w:sz w:val="22"/>
                        </w:rPr>
                      </w:pPr>
                      <w:r w:rsidRPr="0092069B">
                        <w:rPr>
                          <w:rFonts w:asciiTheme="minorHAnsi" w:hAnsiTheme="minorHAnsi"/>
                          <w:color w:val="FFFFFF" w:themeColor="background1"/>
                          <w:sz w:val="22"/>
                        </w:rPr>
                        <w:t>OEA/</w:t>
                      </w:r>
                      <w:proofErr w:type="spellStart"/>
                      <w:r w:rsidRPr="0092069B">
                        <w:rPr>
                          <w:rFonts w:asciiTheme="minorHAnsi" w:hAnsiTheme="minorHAnsi"/>
                          <w:color w:val="FFFFFF" w:themeColor="background1"/>
                          <w:sz w:val="22"/>
                        </w:rPr>
                        <w:t>Ser.L</w:t>
                      </w:r>
                      <w:proofErr w:type="spellEnd"/>
                      <w:r w:rsidRPr="0092069B">
                        <w:rPr>
                          <w:rFonts w:asciiTheme="minorHAnsi" w:hAnsiTheme="minorHAnsi"/>
                          <w:color w:val="FFFFFF" w:themeColor="background1"/>
                          <w:sz w:val="22"/>
                        </w:rPr>
                        <w:t>/V/II.</w:t>
                      </w:r>
                    </w:p>
                    <w:p w:rsidR="00BB3A45" w:rsidRPr="0092069B" w:rsidRDefault="0092069B" w:rsidP="00BB3A45">
                      <w:pPr>
                        <w:spacing w:line="276" w:lineRule="auto"/>
                        <w:jc w:val="right"/>
                        <w:rPr>
                          <w:rFonts w:asciiTheme="minorHAnsi" w:hAnsiTheme="minorHAnsi"/>
                          <w:color w:val="FFFFFF" w:themeColor="background1"/>
                          <w:sz w:val="22"/>
                        </w:rPr>
                      </w:pPr>
                      <w:r w:rsidRPr="0092069B">
                        <w:rPr>
                          <w:rFonts w:asciiTheme="minorHAnsi" w:hAnsiTheme="minorHAnsi"/>
                          <w:color w:val="FFFFFF" w:themeColor="background1"/>
                          <w:sz w:val="22"/>
                        </w:rPr>
                        <w:t>Doc. 1</w:t>
                      </w:r>
                      <w:r>
                        <w:rPr>
                          <w:rFonts w:asciiTheme="minorHAnsi" w:hAnsiTheme="minorHAnsi"/>
                          <w:color w:val="FFFFFF" w:themeColor="background1"/>
                          <w:sz w:val="22"/>
                        </w:rPr>
                        <w:t>0</w:t>
                      </w:r>
                    </w:p>
                    <w:p w:rsidR="00BB3A45" w:rsidRPr="004E2649" w:rsidRDefault="0092069B" w:rsidP="00BB3A45">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27 January</w:t>
                      </w:r>
                      <w:r w:rsidR="00BB3A45">
                        <w:rPr>
                          <w:rFonts w:asciiTheme="minorHAnsi" w:hAnsiTheme="minorHAnsi"/>
                          <w:color w:val="FFFFFF" w:themeColor="background1"/>
                          <w:sz w:val="22"/>
                          <w:lang w:val="en"/>
                        </w:rPr>
                        <w:t xml:space="preserve"> 2017</w:t>
                      </w:r>
                    </w:p>
                    <w:p w:rsidR="00BB3A45" w:rsidRPr="004E2649" w:rsidRDefault="00BB3A45" w:rsidP="00BB3A45">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p w:rsidR="00627C9F" w:rsidRPr="004B7EB6" w:rsidRDefault="00627C9F" w:rsidP="002C1641">
                      <w:pPr>
                        <w:jc w:val="right"/>
                        <w:rPr>
                          <w:rFonts w:asciiTheme="minorHAnsi" w:hAnsiTheme="minorHAnsi"/>
                          <w:color w:val="FFFFFF" w:themeColor="background1"/>
                          <w:sz w:val="22"/>
                        </w:rPr>
                      </w:pPr>
                    </w:p>
                  </w:txbxContent>
                </v:textbox>
              </v:shape>
            </w:pict>
          </mc:Fallback>
        </mc:AlternateContent>
      </w: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cs="Arial"/>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3C32BC" w:rsidP="00056160">
      <w:pPr>
        <w:tabs>
          <w:tab w:val="center" w:pos="5400"/>
        </w:tabs>
        <w:suppressAutoHyphens/>
        <w:ind w:firstLine="720"/>
        <w:jc w:val="both"/>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1C7855" wp14:editId="58413C2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A45" w:rsidRPr="00890650" w:rsidRDefault="00BB3A45" w:rsidP="00BB3A45">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 xml:space="preserve">Approved by the Commission on </w:t>
                            </w:r>
                            <w:r w:rsidR="0092069B">
                              <w:rPr>
                                <w:rFonts w:asciiTheme="majorHAnsi" w:hAnsiTheme="majorHAnsi"/>
                                <w:color w:val="0D0D0D" w:themeColor="text1" w:themeTint="F2"/>
                                <w:sz w:val="18"/>
                                <w:szCs w:val="22"/>
                                <w:lang w:val="en"/>
                              </w:rPr>
                              <w:t>January 27,</w:t>
                            </w:r>
                            <w:r>
                              <w:rPr>
                                <w:rFonts w:asciiTheme="majorHAnsi" w:hAnsiTheme="majorHAnsi"/>
                                <w:color w:val="0D0D0D" w:themeColor="text1" w:themeTint="F2"/>
                                <w:sz w:val="18"/>
                                <w:szCs w:val="22"/>
                                <w:lang w:val="en"/>
                              </w:rPr>
                              <w:t xml:space="preserve"> 2017</w:t>
                            </w:r>
                            <w:r w:rsidR="00181EB8">
                              <w:rPr>
                                <w:rFonts w:asciiTheme="majorHAnsi" w:hAnsiTheme="majorHAnsi"/>
                                <w:color w:val="0D0D0D" w:themeColor="text1" w:themeTint="F2"/>
                                <w:sz w:val="18"/>
                                <w:szCs w:val="22"/>
                                <w:lang w:val="en"/>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BB3A45" w:rsidRPr="00890650" w:rsidRDefault="00BB3A45" w:rsidP="00BB3A45">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 xml:space="preserve">Approved by the Commission on </w:t>
                      </w:r>
                      <w:r w:rsidR="0092069B">
                        <w:rPr>
                          <w:rFonts w:asciiTheme="majorHAnsi" w:hAnsiTheme="majorHAnsi"/>
                          <w:color w:val="0D0D0D" w:themeColor="text1" w:themeTint="F2"/>
                          <w:sz w:val="18"/>
                          <w:szCs w:val="22"/>
                          <w:lang w:val="en"/>
                        </w:rPr>
                        <w:t>January 27,</w:t>
                      </w:r>
                      <w:r>
                        <w:rPr>
                          <w:rFonts w:asciiTheme="majorHAnsi" w:hAnsiTheme="majorHAnsi"/>
                          <w:color w:val="0D0D0D" w:themeColor="text1" w:themeTint="F2"/>
                          <w:sz w:val="18"/>
                          <w:szCs w:val="22"/>
                          <w:lang w:val="en"/>
                        </w:rPr>
                        <w:t xml:space="preserve"> 2017</w:t>
                      </w:r>
                      <w:r w:rsidR="00181EB8">
                        <w:rPr>
                          <w:rFonts w:asciiTheme="majorHAnsi" w:hAnsiTheme="majorHAnsi"/>
                          <w:color w:val="0D0D0D" w:themeColor="text1" w:themeTint="F2"/>
                          <w:sz w:val="18"/>
                          <w:szCs w:val="22"/>
                          <w:lang w:val="en"/>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3C32BC" w:rsidP="00056160">
      <w:pPr>
        <w:tabs>
          <w:tab w:val="center" w:pos="5400"/>
        </w:tabs>
        <w:suppressAutoHyphens/>
        <w:ind w:firstLine="720"/>
        <w:jc w:val="both"/>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9ACA35D" wp14:editId="4F041DC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A45" w:rsidRPr="007B05C4" w:rsidRDefault="00BB3A45" w:rsidP="00BB3A45">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sidR="0092069B">
                              <w:rPr>
                                <w:rFonts w:asciiTheme="majorHAnsi" w:hAnsiTheme="majorHAnsi"/>
                                <w:color w:val="595959" w:themeColor="text1" w:themeTint="A6"/>
                                <w:sz w:val="18"/>
                                <w:szCs w:val="18"/>
                                <w:lang w:val="en"/>
                              </w:rPr>
                              <w:t xml:space="preserve"> IACHR Report No. 9/17</w:t>
                            </w:r>
                            <w:r>
                              <w:rPr>
                                <w:rFonts w:asciiTheme="majorHAnsi" w:hAnsiTheme="majorHAnsi"/>
                                <w:color w:val="595959" w:themeColor="text1" w:themeTint="A6"/>
                                <w:sz w:val="18"/>
                                <w:szCs w:val="18"/>
                                <w:lang w:val="en"/>
                              </w:rPr>
                              <w:t xml:space="preserve">. </w:t>
                            </w:r>
                            <w:r w:rsidRPr="00BB3A45">
                              <w:rPr>
                                <w:rFonts w:asciiTheme="majorHAnsi" w:hAnsiTheme="majorHAnsi"/>
                                <w:color w:val="595959" w:themeColor="text1" w:themeTint="A6"/>
                                <w:sz w:val="18"/>
                                <w:szCs w:val="18"/>
                                <w:lang w:val="es-ES"/>
                              </w:rPr>
                              <w:t xml:space="preserve">Admissibility. Rubén Darío Ocampo Henao et al. Colombia. </w:t>
                            </w:r>
                            <w:r w:rsidR="0092069B">
                              <w:rPr>
                                <w:rFonts w:asciiTheme="majorHAnsi" w:hAnsiTheme="majorHAnsi"/>
                                <w:color w:val="595959" w:themeColor="text1" w:themeTint="A6"/>
                                <w:sz w:val="18"/>
                                <w:szCs w:val="18"/>
                                <w:lang w:val="en"/>
                              </w:rPr>
                              <w:t>January 27, 2017.</w:t>
                            </w:r>
                          </w:p>
                          <w:p w:rsidR="00F644E6" w:rsidRPr="00A77FFD" w:rsidRDefault="00F644E6" w:rsidP="00F644E6">
                            <w:pPr>
                              <w:spacing w:line="276" w:lineRule="auto"/>
                              <w:rPr>
                                <w:rFonts w:asciiTheme="majorHAnsi" w:hAnsiTheme="majorHAnsi"/>
                                <w:color w:val="595959" w:themeColor="text1" w:themeTint="A6"/>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BB3A45" w:rsidRPr="007B05C4" w:rsidRDefault="00BB3A45" w:rsidP="00BB3A45">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sidR="0092069B">
                        <w:rPr>
                          <w:rFonts w:asciiTheme="majorHAnsi" w:hAnsiTheme="majorHAnsi"/>
                          <w:color w:val="595959" w:themeColor="text1" w:themeTint="A6"/>
                          <w:sz w:val="18"/>
                          <w:szCs w:val="18"/>
                          <w:lang w:val="en"/>
                        </w:rPr>
                        <w:t xml:space="preserve"> IACHR Report No. 9/17</w:t>
                      </w:r>
                      <w:r>
                        <w:rPr>
                          <w:rFonts w:asciiTheme="majorHAnsi" w:hAnsiTheme="majorHAnsi"/>
                          <w:color w:val="595959" w:themeColor="text1" w:themeTint="A6"/>
                          <w:sz w:val="18"/>
                          <w:szCs w:val="18"/>
                          <w:lang w:val="en"/>
                        </w:rPr>
                        <w:t xml:space="preserve">. </w:t>
                      </w:r>
                      <w:proofErr w:type="spellStart"/>
                      <w:r w:rsidRPr="00BB3A45">
                        <w:rPr>
                          <w:rFonts w:asciiTheme="majorHAnsi" w:hAnsiTheme="majorHAnsi"/>
                          <w:color w:val="595959" w:themeColor="text1" w:themeTint="A6"/>
                          <w:sz w:val="18"/>
                          <w:szCs w:val="18"/>
                          <w:lang w:val="es-ES"/>
                        </w:rPr>
                        <w:t>Admissibility</w:t>
                      </w:r>
                      <w:proofErr w:type="spellEnd"/>
                      <w:r w:rsidRPr="00BB3A45">
                        <w:rPr>
                          <w:rFonts w:asciiTheme="majorHAnsi" w:hAnsiTheme="majorHAnsi"/>
                          <w:color w:val="595959" w:themeColor="text1" w:themeTint="A6"/>
                          <w:sz w:val="18"/>
                          <w:szCs w:val="18"/>
                          <w:lang w:val="es-ES"/>
                        </w:rPr>
                        <w:t xml:space="preserve">. Rubén Darío Ocampo Henao et al. Colombia. </w:t>
                      </w:r>
                      <w:r w:rsidR="0092069B">
                        <w:rPr>
                          <w:rFonts w:asciiTheme="majorHAnsi" w:hAnsiTheme="majorHAnsi"/>
                          <w:color w:val="595959" w:themeColor="text1" w:themeTint="A6"/>
                          <w:sz w:val="18"/>
                          <w:szCs w:val="18"/>
                          <w:lang w:val="en"/>
                        </w:rPr>
                        <w:t>January 27, 2017.</w:t>
                      </w:r>
                    </w:p>
                    <w:p w:rsidR="00F644E6" w:rsidRPr="00A77FFD" w:rsidRDefault="00F644E6" w:rsidP="00F644E6">
                      <w:pPr>
                        <w:spacing w:line="276" w:lineRule="auto"/>
                        <w:rPr>
                          <w:rFonts w:asciiTheme="majorHAnsi" w:hAnsiTheme="majorHAnsi"/>
                          <w:color w:val="595959" w:themeColor="text1" w:themeTint="A6"/>
                          <w:sz w:val="18"/>
                          <w:lang w:val="pt-BR"/>
                        </w:rPr>
                      </w:pPr>
                    </w:p>
                  </w:txbxContent>
                </v:textbox>
              </v:shape>
            </w:pict>
          </mc:Fallback>
        </mc:AlternateContent>
      </w: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3C32BC" w:rsidRPr="003C32BC" w:rsidRDefault="003C32BC" w:rsidP="00056160">
      <w:pPr>
        <w:tabs>
          <w:tab w:val="center" w:pos="5400"/>
        </w:tabs>
        <w:suppressAutoHyphens/>
        <w:ind w:firstLine="720"/>
        <w:jc w:val="both"/>
        <w:rPr>
          <w:rFonts w:asciiTheme="majorHAnsi" w:hAnsiTheme="majorHAnsi"/>
          <w:sz w:val="18"/>
          <w:szCs w:val="22"/>
        </w:rPr>
      </w:pPr>
    </w:p>
    <w:p w:rsidR="003C32BC" w:rsidRPr="003C32BC" w:rsidRDefault="006311DA" w:rsidP="00056160">
      <w:pPr>
        <w:tabs>
          <w:tab w:val="center" w:pos="5400"/>
        </w:tabs>
        <w:suppressAutoHyphens/>
        <w:ind w:firstLine="720"/>
        <w:jc w:val="both"/>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BF6F97D" wp14:editId="7CCE11F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8941D9B" wp14:editId="354073F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E4682E4" wp14:editId="1218399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E4682E4" wp14:editId="1218399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056160">
      <w:pPr>
        <w:tabs>
          <w:tab w:val="center" w:pos="5400"/>
        </w:tabs>
        <w:suppressAutoHyphens/>
        <w:ind w:firstLine="720"/>
        <w:jc w:val="both"/>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BB3A45" w:rsidRPr="00BB3A45" w:rsidRDefault="00BB3A45" w:rsidP="00BB3A45">
      <w:pPr>
        <w:tabs>
          <w:tab w:val="center" w:pos="5400"/>
        </w:tabs>
        <w:suppressAutoHyphens/>
        <w:spacing w:line="276" w:lineRule="auto"/>
        <w:jc w:val="center"/>
        <w:rPr>
          <w:rFonts w:asciiTheme="majorHAnsi" w:hAnsiTheme="majorHAnsi"/>
          <w:b/>
          <w:sz w:val="18"/>
          <w:szCs w:val="20"/>
        </w:rPr>
      </w:pPr>
      <w:r w:rsidRPr="00BB3A45">
        <w:rPr>
          <w:rFonts w:asciiTheme="majorHAnsi" w:hAnsiTheme="majorHAnsi"/>
          <w:b/>
          <w:bCs/>
          <w:sz w:val="18"/>
          <w:szCs w:val="20"/>
          <w:lang w:val="en"/>
        </w:rPr>
        <w:lastRenderedPageBreak/>
        <w:t>REPORT No.</w:t>
      </w:r>
      <w:r w:rsidRPr="00BB3A45">
        <w:rPr>
          <w:rFonts w:asciiTheme="majorHAnsi" w:hAnsiTheme="majorHAnsi"/>
          <w:sz w:val="18"/>
          <w:szCs w:val="20"/>
          <w:lang w:val="en"/>
        </w:rPr>
        <w:t xml:space="preserve"> </w:t>
      </w:r>
      <w:r w:rsidR="0092069B">
        <w:rPr>
          <w:rFonts w:asciiTheme="majorHAnsi" w:hAnsiTheme="majorHAnsi"/>
          <w:b/>
          <w:bCs/>
          <w:sz w:val="18"/>
          <w:szCs w:val="20"/>
          <w:lang w:val="en"/>
        </w:rPr>
        <w:t>9</w:t>
      </w:r>
      <w:r w:rsidRPr="00BB3A45">
        <w:rPr>
          <w:rFonts w:asciiTheme="majorHAnsi" w:hAnsiTheme="majorHAnsi"/>
          <w:b/>
          <w:bCs/>
          <w:sz w:val="18"/>
          <w:szCs w:val="20"/>
          <w:lang w:val="en"/>
        </w:rPr>
        <w:t>/17</w:t>
      </w:r>
      <w:r w:rsidRPr="00BB3A45">
        <w:rPr>
          <w:rFonts w:ascii="Cambria" w:hAnsi="Cambria"/>
          <w:b/>
          <w:bCs/>
          <w:sz w:val="18"/>
          <w:szCs w:val="18"/>
          <w:vertAlign w:val="superscript"/>
          <w:lang w:val="en"/>
        </w:rPr>
        <w:footnoteReference w:id="2"/>
      </w:r>
    </w:p>
    <w:p w:rsidR="00BB3A45" w:rsidRPr="00BB3A45" w:rsidRDefault="00BB3A45" w:rsidP="00BB3A45">
      <w:pPr>
        <w:tabs>
          <w:tab w:val="center" w:pos="5400"/>
        </w:tabs>
        <w:suppressAutoHyphens/>
        <w:spacing w:line="276" w:lineRule="auto"/>
        <w:jc w:val="center"/>
        <w:rPr>
          <w:rFonts w:asciiTheme="majorHAnsi" w:hAnsiTheme="majorHAnsi"/>
          <w:b/>
          <w:sz w:val="18"/>
          <w:szCs w:val="20"/>
          <w:lang w:val="es-ES"/>
        </w:rPr>
      </w:pPr>
      <w:r w:rsidRPr="00BB3A45">
        <w:rPr>
          <w:rFonts w:asciiTheme="majorHAnsi" w:hAnsiTheme="majorHAnsi"/>
          <w:b/>
          <w:bCs/>
          <w:sz w:val="18"/>
          <w:szCs w:val="20"/>
          <w:lang w:val="es-ES"/>
        </w:rPr>
        <w:t xml:space="preserve">PETITION 481-08 </w:t>
      </w:r>
    </w:p>
    <w:p w:rsidR="00BB3A45" w:rsidRPr="00BB3A45" w:rsidRDefault="00BB3A45" w:rsidP="00BB3A45">
      <w:pPr>
        <w:tabs>
          <w:tab w:val="center" w:pos="5400"/>
        </w:tabs>
        <w:suppressAutoHyphens/>
        <w:spacing w:line="276" w:lineRule="auto"/>
        <w:jc w:val="center"/>
        <w:rPr>
          <w:rFonts w:asciiTheme="majorHAnsi" w:hAnsiTheme="majorHAnsi"/>
          <w:sz w:val="18"/>
          <w:szCs w:val="20"/>
          <w:lang w:val="es-ES"/>
        </w:rPr>
      </w:pPr>
      <w:r w:rsidRPr="00BB3A45">
        <w:rPr>
          <w:rFonts w:asciiTheme="majorHAnsi" w:hAnsiTheme="majorHAnsi"/>
          <w:sz w:val="18"/>
          <w:szCs w:val="20"/>
          <w:lang w:val="es-ES"/>
        </w:rPr>
        <w:t xml:space="preserve">ADMISSIBILITY </w:t>
      </w:r>
    </w:p>
    <w:p w:rsidR="00BB3A45" w:rsidRPr="00BB3A45" w:rsidRDefault="00BB3A45" w:rsidP="00BB3A45">
      <w:pPr>
        <w:tabs>
          <w:tab w:val="center" w:pos="5400"/>
        </w:tabs>
        <w:suppressAutoHyphens/>
        <w:spacing w:line="276" w:lineRule="auto"/>
        <w:jc w:val="center"/>
        <w:rPr>
          <w:rFonts w:asciiTheme="majorHAnsi" w:hAnsiTheme="majorHAnsi"/>
          <w:sz w:val="18"/>
          <w:szCs w:val="20"/>
          <w:lang w:val="es-CO"/>
        </w:rPr>
      </w:pPr>
      <w:r w:rsidRPr="00BB3A45">
        <w:rPr>
          <w:rFonts w:asciiTheme="majorHAnsi" w:hAnsiTheme="majorHAnsi"/>
          <w:sz w:val="18"/>
          <w:szCs w:val="20"/>
          <w:lang w:val="es-CO"/>
        </w:rPr>
        <w:t>RUBÉN DARÍO OCAMPO HENAO ET AL</w:t>
      </w:r>
    </w:p>
    <w:p w:rsidR="00BB3A45" w:rsidRPr="00BB3A45" w:rsidRDefault="00BB3A45" w:rsidP="00BB3A45">
      <w:pPr>
        <w:tabs>
          <w:tab w:val="center" w:pos="5400"/>
        </w:tabs>
        <w:suppressAutoHyphens/>
        <w:spacing w:line="276" w:lineRule="auto"/>
        <w:jc w:val="center"/>
        <w:rPr>
          <w:rFonts w:asciiTheme="majorHAnsi" w:hAnsiTheme="majorHAnsi"/>
          <w:sz w:val="18"/>
          <w:szCs w:val="20"/>
          <w:lang w:val="es-ES"/>
        </w:rPr>
      </w:pPr>
      <w:r w:rsidRPr="00BB3A45">
        <w:rPr>
          <w:rFonts w:asciiTheme="majorHAnsi" w:hAnsiTheme="majorHAnsi"/>
          <w:sz w:val="18"/>
          <w:szCs w:val="20"/>
          <w:lang w:val="es-ES"/>
        </w:rPr>
        <w:t>COLOMBIA</w:t>
      </w:r>
    </w:p>
    <w:p w:rsidR="00BB3A45" w:rsidRPr="00BB3A45" w:rsidRDefault="0092069B" w:rsidP="00BB3A45">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JANUARY 27, 2017</w:t>
      </w:r>
    </w:p>
    <w:p w:rsidR="00BB3A45" w:rsidRDefault="00BB3A45" w:rsidP="00181EB8">
      <w:pPr>
        <w:tabs>
          <w:tab w:val="center" w:pos="5400"/>
        </w:tabs>
        <w:suppressAutoHyphens/>
        <w:rPr>
          <w:rFonts w:asciiTheme="majorHAnsi" w:hAnsiTheme="majorHAnsi"/>
          <w:sz w:val="20"/>
          <w:szCs w:val="20"/>
        </w:rPr>
      </w:pPr>
    </w:p>
    <w:p w:rsidR="00181EB8" w:rsidRPr="00BB3A45" w:rsidRDefault="00181EB8" w:rsidP="00181EB8">
      <w:pPr>
        <w:tabs>
          <w:tab w:val="center" w:pos="5400"/>
        </w:tabs>
        <w:suppressAutoHyphens/>
        <w:rPr>
          <w:rFonts w:asciiTheme="majorHAnsi" w:hAnsiTheme="majorHAnsi"/>
          <w:sz w:val="20"/>
          <w:szCs w:val="20"/>
        </w:rPr>
      </w:pPr>
    </w:p>
    <w:p w:rsidR="00BB3A45" w:rsidRPr="00BB3A45" w:rsidRDefault="00BB3A45" w:rsidP="00BB3A45">
      <w:pPr>
        <w:spacing w:after="240"/>
        <w:ind w:firstLine="720"/>
        <w:jc w:val="both"/>
        <w:rPr>
          <w:rFonts w:asciiTheme="majorHAnsi" w:hAnsiTheme="majorHAnsi"/>
          <w:b/>
          <w:bCs/>
          <w:sz w:val="20"/>
          <w:szCs w:val="20"/>
        </w:rPr>
      </w:pPr>
      <w:r w:rsidRPr="00BB3A45">
        <w:rPr>
          <w:rFonts w:asciiTheme="majorHAnsi" w:hAnsiTheme="majorHAnsi"/>
          <w:b/>
          <w:bCs/>
          <w:sz w:val="20"/>
          <w:szCs w:val="20"/>
          <w:lang w:val="en"/>
        </w:rPr>
        <w:t>I.</w:t>
      </w:r>
      <w:r w:rsidRPr="00BB3A45">
        <w:rPr>
          <w:rFonts w:asciiTheme="majorHAnsi" w:hAnsiTheme="majorHAnsi"/>
          <w:b/>
          <w:bCs/>
          <w:sz w:val="20"/>
          <w:szCs w:val="20"/>
          <w:lang w:val="en"/>
        </w:rPr>
        <w:tab/>
        <w:t>PETITION INFORMATION</w:t>
      </w:r>
      <w:r w:rsidRPr="00BB3A45">
        <w:rPr>
          <w:rFonts w:asciiTheme="majorHAnsi" w:hAnsiTheme="majorHAnsi"/>
          <w:sz w:val="20"/>
          <w:szCs w:val="20"/>
          <w:lang w:val="en"/>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B3A45" w:rsidRPr="00BB3A45" w:rsidTr="00BB3A45">
        <w:tc>
          <w:tcPr>
            <w:tcW w:w="4680" w:type="dxa"/>
            <w:tcBorders>
              <w:top w:val="single" w:sz="4" w:space="0" w:color="auto"/>
              <w:bottom w:val="single" w:sz="6" w:space="0" w:color="auto"/>
            </w:tcBorders>
            <w:shd w:val="clear" w:color="auto" w:fill="67AE3C"/>
            <w:vAlign w:val="center"/>
          </w:tcPr>
          <w:p w:rsidR="00BB3A45" w:rsidRPr="00BB3A45" w:rsidRDefault="00BB3A45" w:rsidP="00BB3A45">
            <w:pPr>
              <w:jc w:val="center"/>
              <w:rPr>
                <w:rFonts w:ascii="Cambria" w:hAnsi="Cambria"/>
                <w:b/>
                <w:bCs/>
                <w:color w:val="FFFFFF" w:themeColor="background1"/>
                <w:sz w:val="20"/>
                <w:szCs w:val="20"/>
              </w:rPr>
            </w:pPr>
            <w:r w:rsidRPr="00BB3A45">
              <w:rPr>
                <w:rFonts w:ascii="Cambria" w:hAnsi="Cambria"/>
                <w:b/>
                <w:bCs/>
                <w:color w:val="FFFFFF" w:themeColor="background1"/>
                <w:sz w:val="20"/>
                <w:szCs w:val="20"/>
                <w:lang w:val="en"/>
              </w:rPr>
              <w:t>Petitioners:</w:t>
            </w:r>
          </w:p>
        </w:tc>
        <w:tc>
          <w:tcPr>
            <w:tcW w:w="4680" w:type="dxa"/>
            <w:vAlign w:val="center"/>
          </w:tcPr>
          <w:p w:rsidR="00BB3A45" w:rsidRPr="00BB3A45" w:rsidRDefault="00BB3A45" w:rsidP="00BB3A45">
            <w:pPr>
              <w:jc w:val="both"/>
              <w:rPr>
                <w:rFonts w:ascii="Cambria" w:hAnsi="Cambria"/>
                <w:bCs/>
                <w:sz w:val="20"/>
                <w:szCs w:val="20"/>
                <w:lang w:val="es-CO"/>
              </w:rPr>
            </w:pPr>
            <w:r w:rsidRPr="00BB3A45">
              <w:rPr>
                <w:rFonts w:ascii="Cambria" w:hAnsi="Cambria"/>
                <w:sz w:val="20"/>
                <w:szCs w:val="20"/>
                <w:lang w:val="es-CO"/>
              </w:rPr>
              <w:t>Luis Carlos José Peña Rodríguez and Luis Francisco Peña Ramírez</w:t>
            </w:r>
          </w:p>
        </w:tc>
      </w:tr>
      <w:tr w:rsidR="00BB3A45" w:rsidRPr="00BB3A45" w:rsidTr="00BB3A45">
        <w:tc>
          <w:tcPr>
            <w:tcW w:w="4680" w:type="dxa"/>
            <w:tcBorders>
              <w:top w:val="single" w:sz="6" w:space="0" w:color="auto"/>
              <w:bottom w:val="single" w:sz="6" w:space="0" w:color="auto"/>
            </w:tcBorders>
            <w:shd w:val="clear" w:color="auto" w:fill="67AE3C"/>
            <w:vAlign w:val="center"/>
          </w:tcPr>
          <w:p w:rsidR="00BB3A45" w:rsidRPr="00BB3A45" w:rsidRDefault="00735928" w:rsidP="00BB3A4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B62AF82B995411E896B20814BA89454"/>
                </w:placeholder>
                <w:dropDownList>
                  <w:listItem w:value="Choose an item."/>
                  <w:listItem w:displayText="Presunta víctima" w:value="Presunta víctima"/>
                  <w:listItem w:displayText="Presuntas víctimas" w:value="Presuntas víctimas"/>
                </w:dropDownList>
              </w:sdtPr>
              <w:sdtEndPr/>
              <w:sdtContent>
                <w:r w:rsidR="00BB3A45" w:rsidRPr="00BB3A45">
                  <w:rPr>
                    <w:rFonts w:ascii="Cambria" w:hAnsi="Cambria"/>
                    <w:b/>
                    <w:bCs/>
                    <w:color w:val="FFFFFF" w:themeColor="background1"/>
                    <w:sz w:val="20"/>
                    <w:szCs w:val="20"/>
                  </w:rPr>
                  <w:t>Alleged victims</w:t>
                </w:r>
              </w:sdtContent>
            </w:sdt>
            <w:r w:rsidR="00BB3A45" w:rsidRPr="00BB3A45">
              <w:rPr>
                <w:rFonts w:ascii="Cambria" w:hAnsi="Cambria"/>
                <w:b/>
                <w:bCs/>
                <w:color w:val="FFFFFF" w:themeColor="background1"/>
                <w:sz w:val="20"/>
                <w:szCs w:val="20"/>
                <w:lang w:val="en"/>
              </w:rPr>
              <w:t>:</w:t>
            </w:r>
          </w:p>
        </w:tc>
        <w:tc>
          <w:tcPr>
            <w:tcW w:w="4680" w:type="dxa"/>
            <w:vAlign w:val="center"/>
          </w:tcPr>
          <w:p w:rsidR="00BB3A45" w:rsidRPr="00BB3A45" w:rsidRDefault="00BB3A45" w:rsidP="00BB3A45">
            <w:pPr>
              <w:jc w:val="both"/>
              <w:rPr>
                <w:rFonts w:ascii="Cambria" w:hAnsi="Cambria"/>
                <w:bCs/>
                <w:sz w:val="20"/>
                <w:szCs w:val="20"/>
                <w:lang w:val="es-CO"/>
              </w:rPr>
            </w:pPr>
            <w:r w:rsidRPr="00BB3A45">
              <w:rPr>
                <w:rFonts w:ascii="Cambria" w:hAnsi="Cambria"/>
                <w:sz w:val="20"/>
                <w:szCs w:val="20"/>
                <w:lang w:val="es-CO"/>
              </w:rPr>
              <w:t>Rubén Darío Ocampo Henao, Héctor Corrales Ocampo and families</w:t>
            </w:r>
          </w:p>
        </w:tc>
      </w:tr>
      <w:tr w:rsidR="00BB3A45" w:rsidRPr="00BB3A45" w:rsidTr="00BB3A45">
        <w:tc>
          <w:tcPr>
            <w:tcW w:w="4680" w:type="dxa"/>
            <w:tcBorders>
              <w:top w:val="single" w:sz="6" w:space="0" w:color="auto"/>
              <w:bottom w:val="single" w:sz="6" w:space="0" w:color="auto"/>
            </w:tcBorders>
            <w:shd w:val="clear" w:color="auto" w:fill="67AE3C"/>
            <w:vAlign w:val="center"/>
          </w:tcPr>
          <w:p w:rsidR="00BB3A45" w:rsidRPr="00BB3A45" w:rsidRDefault="00BB3A45" w:rsidP="00BB3A45">
            <w:pPr>
              <w:jc w:val="center"/>
              <w:rPr>
                <w:rFonts w:ascii="Cambria" w:hAnsi="Cambria"/>
                <w:b/>
                <w:bCs/>
                <w:color w:val="FFFFFF" w:themeColor="background1"/>
                <w:sz w:val="20"/>
                <w:szCs w:val="20"/>
              </w:rPr>
            </w:pPr>
            <w:r w:rsidRPr="00BB3A45">
              <w:rPr>
                <w:rFonts w:ascii="Cambria" w:hAnsi="Cambria"/>
                <w:b/>
                <w:bCs/>
                <w:color w:val="FFFFFF" w:themeColor="background1"/>
                <w:sz w:val="20"/>
                <w:szCs w:val="20"/>
                <w:lang w:val="en"/>
              </w:rPr>
              <w:t>State:</w:t>
            </w:r>
          </w:p>
        </w:tc>
        <w:tc>
          <w:tcPr>
            <w:tcW w:w="4680" w:type="dxa"/>
            <w:vAlign w:val="center"/>
          </w:tcPr>
          <w:p w:rsidR="00BB3A45" w:rsidRPr="00BB3A45" w:rsidRDefault="00BB3A45" w:rsidP="00BB3A45">
            <w:pPr>
              <w:jc w:val="both"/>
              <w:rPr>
                <w:rFonts w:ascii="Cambria" w:hAnsi="Cambria"/>
                <w:bCs/>
                <w:sz w:val="20"/>
                <w:szCs w:val="20"/>
              </w:rPr>
            </w:pPr>
            <w:r w:rsidRPr="00BB3A45">
              <w:rPr>
                <w:rFonts w:ascii="Cambria" w:hAnsi="Cambria"/>
                <w:sz w:val="20"/>
                <w:szCs w:val="20"/>
                <w:lang w:val="en"/>
              </w:rPr>
              <w:t>Colombia</w:t>
            </w:r>
          </w:p>
        </w:tc>
      </w:tr>
      <w:tr w:rsidR="00BB3A45" w:rsidRPr="00BB3A45" w:rsidTr="00BB3A45">
        <w:tc>
          <w:tcPr>
            <w:tcW w:w="4680" w:type="dxa"/>
            <w:tcBorders>
              <w:top w:val="single" w:sz="6" w:space="0" w:color="auto"/>
              <w:bottom w:val="single" w:sz="6" w:space="0" w:color="auto"/>
            </w:tcBorders>
            <w:shd w:val="clear" w:color="auto" w:fill="67AE3C"/>
            <w:vAlign w:val="center"/>
          </w:tcPr>
          <w:p w:rsidR="00BB3A45" w:rsidRPr="00BB3A45" w:rsidRDefault="00BB3A45" w:rsidP="00BB3A45">
            <w:pPr>
              <w:jc w:val="center"/>
              <w:rPr>
                <w:rFonts w:ascii="Cambria" w:hAnsi="Cambria"/>
                <w:b/>
                <w:bCs/>
                <w:color w:val="FFFFFF" w:themeColor="background1"/>
                <w:sz w:val="20"/>
                <w:szCs w:val="20"/>
              </w:rPr>
            </w:pPr>
            <w:r w:rsidRPr="00BB3A45">
              <w:rPr>
                <w:rFonts w:ascii="Cambria" w:hAnsi="Cambria"/>
                <w:b/>
                <w:bCs/>
                <w:color w:val="FFFFFF" w:themeColor="background1"/>
                <w:sz w:val="20"/>
                <w:szCs w:val="20"/>
                <w:lang w:val="en"/>
              </w:rPr>
              <w:t>Rights invoked:</w:t>
            </w:r>
          </w:p>
        </w:tc>
        <w:tc>
          <w:tcPr>
            <w:tcW w:w="4680" w:type="dxa"/>
            <w:vAlign w:val="center"/>
          </w:tcPr>
          <w:p w:rsidR="00BB3A45" w:rsidRPr="00BB3A45" w:rsidRDefault="00BB3A45" w:rsidP="00BB3A45">
            <w:pPr>
              <w:jc w:val="both"/>
              <w:rPr>
                <w:rFonts w:ascii="Cambria" w:hAnsi="Cambria"/>
                <w:bCs/>
                <w:sz w:val="20"/>
                <w:szCs w:val="20"/>
              </w:rPr>
            </w:pPr>
            <w:r w:rsidRPr="00BB3A45">
              <w:rPr>
                <w:rFonts w:ascii="Cambria" w:hAnsi="Cambria"/>
                <w:sz w:val="20"/>
                <w:szCs w:val="20"/>
                <w:lang w:val="en"/>
              </w:rPr>
              <w:t>No specific articles invoked</w:t>
            </w:r>
          </w:p>
        </w:tc>
      </w:tr>
    </w:tbl>
    <w:p w:rsidR="00BB3A45" w:rsidRPr="00BB3A45" w:rsidRDefault="00BB3A45" w:rsidP="00BB3A45">
      <w:pPr>
        <w:spacing w:before="240" w:after="240"/>
        <w:ind w:firstLine="720"/>
        <w:jc w:val="both"/>
        <w:rPr>
          <w:rFonts w:asciiTheme="majorHAnsi" w:hAnsiTheme="majorHAnsi"/>
          <w:b/>
          <w:bCs/>
          <w:sz w:val="20"/>
          <w:szCs w:val="20"/>
        </w:rPr>
      </w:pPr>
      <w:r w:rsidRPr="00BB3A45">
        <w:rPr>
          <w:rFonts w:asciiTheme="majorHAnsi" w:hAnsiTheme="majorHAnsi"/>
          <w:b/>
          <w:bCs/>
          <w:sz w:val="20"/>
          <w:szCs w:val="20"/>
          <w:lang w:val="en"/>
        </w:rPr>
        <w:t>II.</w:t>
      </w:r>
      <w:r w:rsidRPr="00BB3A45">
        <w:rPr>
          <w:rFonts w:asciiTheme="majorHAnsi" w:hAnsiTheme="majorHAnsi"/>
          <w:b/>
          <w:bCs/>
          <w:sz w:val="20"/>
          <w:szCs w:val="20"/>
          <w:lang w:val="en"/>
        </w:rPr>
        <w:tab/>
        <w:t>PROCEDURE BEFORE THE IACHR</w:t>
      </w:r>
      <w:r w:rsidRPr="00BB3A45">
        <w:rPr>
          <w:rFonts w:ascii="Cambria" w:hAnsi="Cambria"/>
          <w:b/>
          <w:bCs/>
          <w:sz w:val="20"/>
          <w:szCs w:val="20"/>
          <w:vertAlign w:val="superscript"/>
          <w:lang w:val="en"/>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B3A45" w:rsidRPr="00BB3A45" w:rsidTr="00BB3A45">
        <w:tc>
          <w:tcPr>
            <w:tcW w:w="4680" w:type="dxa"/>
            <w:tcBorders>
              <w:top w:val="single" w:sz="6" w:space="0" w:color="auto"/>
              <w:bottom w:val="single" w:sz="6" w:space="0" w:color="auto"/>
            </w:tcBorders>
            <w:shd w:val="clear" w:color="auto" w:fill="67AE3C"/>
            <w:vAlign w:val="center"/>
          </w:tcPr>
          <w:p w:rsidR="00BB3A45" w:rsidRPr="00BB3A45" w:rsidRDefault="00BB3A45" w:rsidP="00BB3A45">
            <w:pPr>
              <w:jc w:val="center"/>
              <w:rPr>
                <w:rFonts w:ascii="Cambria" w:hAnsi="Cambria"/>
                <w:b/>
                <w:bCs/>
                <w:color w:val="FFFFFF" w:themeColor="background1"/>
                <w:sz w:val="20"/>
                <w:szCs w:val="20"/>
              </w:rPr>
            </w:pPr>
            <w:r w:rsidRPr="00BB3A45">
              <w:rPr>
                <w:rFonts w:ascii="Cambria" w:hAnsi="Cambria"/>
                <w:b/>
                <w:bCs/>
                <w:color w:val="FFFFFF" w:themeColor="background1"/>
                <w:sz w:val="20"/>
                <w:szCs w:val="20"/>
              </w:rPr>
              <w:t>Date on which the petition was received:</w:t>
            </w:r>
          </w:p>
        </w:tc>
        <w:tc>
          <w:tcPr>
            <w:tcW w:w="4680" w:type="dxa"/>
            <w:vAlign w:val="center"/>
          </w:tcPr>
          <w:p w:rsidR="00BB3A45" w:rsidRPr="00BB3A45" w:rsidRDefault="00BB3A45" w:rsidP="00BB3A45">
            <w:pPr>
              <w:jc w:val="both"/>
              <w:rPr>
                <w:rFonts w:ascii="Cambria" w:hAnsi="Cambria"/>
                <w:bCs/>
                <w:sz w:val="20"/>
                <w:szCs w:val="20"/>
              </w:rPr>
            </w:pPr>
            <w:r w:rsidRPr="00BB3A45">
              <w:rPr>
                <w:rFonts w:ascii="Cambria" w:hAnsi="Cambria"/>
                <w:sz w:val="20"/>
                <w:szCs w:val="20"/>
                <w:lang w:val="en"/>
              </w:rPr>
              <w:t>April 23, 2008</w:t>
            </w:r>
          </w:p>
        </w:tc>
      </w:tr>
      <w:tr w:rsidR="00BB3A45" w:rsidRPr="00BB3A45" w:rsidTr="00BB3A45">
        <w:tc>
          <w:tcPr>
            <w:tcW w:w="4680" w:type="dxa"/>
            <w:tcBorders>
              <w:top w:val="single" w:sz="6" w:space="0" w:color="auto"/>
              <w:bottom w:val="single" w:sz="6" w:space="0" w:color="auto"/>
            </w:tcBorders>
            <w:shd w:val="clear" w:color="auto" w:fill="67AE3C"/>
            <w:vAlign w:val="center"/>
          </w:tcPr>
          <w:p w:rsidR="00BB3A45" w:rsidRPr="00BB3A45" w:rsidRDefault="00BB3A45" w:rsidP="00BB3A45">
            <w:pPr>
              <w:jc w:val="center"/>
              <w:rPr>
                <w:rFonts w:ascii="Cambria" w:hAnsi="Cambria"/>
                <w:b/>
                <w:color w:val="FFFFFF" w:themeColor="background1"/>
                <w:sz w:val="20"/>
                <w:szCs w:val="20"/>
              </w:rPr>
            </w:pPr>
            <w:r w:rsidRPr="00BB3A45">
              <w:rPr>
                <w:rFonts w:ascii="Cambria" w:hAnsi="Cambria"/>
                <w:b/>
                <w:color w:val="FFFFFF" w:themeColor="background1"/>
                <w:sz w:val="20"/>
                <w:szCs w:val="20"/>
              </w:rPr>
              <w:t>Additional information received at the initial study stage:</w:t>
            </w:r>
          </w:p>
        </w:tc>
        <w:tc>
          <w:tcPr>
            <w:tcW w:w="4680" w:type="dxa"/>
            <w:vAlign w:val="center"/>
          </w:tcPr>
          <w:p w:rsidR="00BB3A45" w:rsidRPr="00BB3A45" w:rsidRDefault="00BB3A45" w:rsidP="00BB3A45">
            <w:pPr>
              <w:jc w:val="both"/>
              <w:rPr>
                <w:rFonts w:ascii="Cambria" w:hAnsi="Cambria"/>
                <w:bCs/>
                <w:sz w:val="20"/>
                <w:szCs w:val="20"/>
              </w:rPr>
            </w:pPr>
            <w:r w:rsidRPr="00BB3A45">
              <w:rPr>
                <w:rFonts w:ascii="Cambria" w:hAnsi="Cambria"/>
                <w:sz w:val="20"/>
                <w:szCs w:val="20"/>
                <w:lang w:val="en"/>
              </w:rPr>
              <w:t>October 12, 2011</w:t>
            </w:r>
          </w:p>
        </w:tc>
      </w:tr>
      <w:tr w:rsidR="00BB3A45" w:rsidRPr="00BB3A45" w:rsidTr="00BB3A45">
        <w:tc>
          <w:tcPr>
            <w:tcW w:w="4680" w:type="dxa"/>
            <w:tcBorders>
              <w:top w:val="single" w:sz="6" w:space="0" w:color="auto"/>
              <w:bottom w:val="single" w:sz="6" w:space="0" w:color="auto"/>
            </w:tcBorders>
            <w:shd w:val="clear" w:color="auto" w:fill="67AE3C"/>
            <w:vAlign w:val="center"/>
          </w:tcPr>
          <w:p w:rsidR="00BB3A45" w:rsidRPr="00BB3A45" w:rsidRDefault="00BB3A45" w:rsidP="00BB3A45">
            <w:pPr>
              <w:jc w:val="center"/>
              <w:rPr>
                <w:rFonts w:ascii="Cambria" w:hAnsi="Cambria"/>
                <w:b/>
                <w:bCs/>
                <w:color w:val="FFFFFF" w:themeColor="background1"/>
                <w:sz w:val="20"/>
                <w:szCs w:val="20"/>
              </w:rPr>
            </w:pPr>
            <w:r w:rsidRPr="00BB3A45">
              <w:rPr>
                <w:rFonts w:ascii="Cambria" w:hAnsi="Cambria"/>
                <w:b/>
                <w:color w:val="FFFFFF" w:themeColor="background1"/>
                <w:sz w:val="20"/>
                <w:szCs w:val="20"/>
              </w:rPr>
              <w:t>Date on which the petition was transmitted to the State:</w:t>
            </w:r>
          </w:p>
        </w:tc>
        <w:tc>
          <w:tcPr>
            <w:tcW w:w="4680" w:type="dxa"/>
            <w:vAlign w:val="center"/>
          </w:tcPr>
          <w:p w:rsidR="00BB3A45" w:rsidRPr="00BB3A45" w:rsidRDefault="00BB3A45" w:rsidP="00BB3A45">
            <w:pPr>
              <w:jc w:val="both"/>
              <w:rPr>
                <w:rFonts w:ascii="Cambria" w:hAnsi="Cambria"/>
                <w:bCs/>
                <w:sz w:val="20"/>
                <w:szCs w:val="20"/>
              </w:rPr>
            </w:pPr>
            <w:r w:rsidRPr="00BB3A45">
              <w:rPr>
                <w:rFonts w:ascii="Cambria" w:hAnsi="Cambria"/>
                <w:sz w:val="20"/>
                <w:szCs w:val="20"/>
                <w:lang w:val="en"/>
              </w:rPr>
              <w:t>December 4, 2013</w:t>
            </w:r>
          </w:p>
        </w:tc>
      </w:tr>
      <w:tr w:rsidR="00BB3A45" w:rsidRPr="00BB3A45" w:rsidTr="00BB3A45">
        <w:tc>
          <w:tcPr>
            <w:tcW w:w="4680" w:type="dxa"/>
            <w:tcBorders>
              <w:top w:val="single" w:sz="6" w:space="0" w:color="auto"/>
              <w:bottom w:val="single" w:sz="6" w:space="0" w:color="auto"/>
            </w:tcBorders>
            <w:shd w:val="clear" w:color="auto" w:fill="67AE3C"/>
            <w:vAlign w:val="center"/>
          </w:tcPr>
          <w:p w:rsidR="00BB3A45" w:rsidRPr="00BB3A45" w:rsidRDefault="00BB3A45" w:rsidP="00BB3A45">
            <w:pPr>
              <w:jc w:val="center"/>
              <w:rPr>
                <w:rFonts w:ascii="Cambria" w:hAnsi="Cambria"/>
                <w:b/>
                <w:bCs/>
                <w:color w:val="FFFFFF" w:themeColor="background1"/>
                <w:sz w:val="20"/>
                <w:szCs w:val="20"/>
              </w:rPr>
            </w:pPr>
            <w:r w:rsidRPr="00BB3A45">
              <w:rPr>
                <w:rFonts w:ascii="Cambria" w:hAnsi="Cambria"/>
                <w:b/>
                <w:color w:val="FFFFFF" w:themeColor="background1"/>
                <w:sz w:val="20"/>
                <w:szCs w:val="20"/>
              </w:rPr>
              <w:t>Date of the State’s first response:</w:t>
            </w:r>
          </w:p>
        </w:tc>
        <w:tc>
          <w:tcPr>
            <w:tcW w:w="4680" w:type="dxa"/>
            <w:vAlign w:val="center"/>
          </w:tcPr>
          <w:p w:rsidR="00BB3A45" w:rsidRPr="00BB3A45" w:rsidRDefault="00BB3A45" w:rsidP="00BB3A45">
            <w:pPr>
              <w:jc w:val="both"/>
              <w:rPr>
                <w:rFonts w:ascii="Cambria" w:hAnsi="Cambria"/>
                <w:bCs/>
                <w:sz w:val="20"/>
                <w:szCs w:val="20"/>
              </w:rPr>
            </w:pPr>
            <w:r w:rsidRPr="00BB3A45">
              <w:rPr>
                <w:rFonts w:ascii="Cambria" w:hAnsi="Cambria"/>
                <w:sz w:val="20"/>
                <w:szCs w:val="20"/>
                <w:lang w:val="en"/>
              </w:rPr>
              <w:t>April 4, 2014</w:t>
            </w:r>
          </w:p>
        </w:tc>
      </w:tr>
      <w:tr w:rsidR="00BB3A45" w:rsidRPr="00BB3A45" w:rsidTr="00BB3A45">
        <w:tc>
          <w:tcPr>
            <w:tcW w:w="4680" w:type="dxa"/>
            <w:tcBorders>
              <w:top w:val="single" w:sz="6" w:space="0" w:color="auto"/>
              <w:bottom w:val="single" w:sz="6" w:space="0" w:color="auto"/>
            </w:tcBorders>
            <w:shd w:val="clear" w:color="auto" w:fill="67AE3C"/>
            <w:vAlign w:val="center"/>
          </w:tcPr>
          <w:p w:rsidR="00BB3A45" w:rsidRPr="00BB3A45" w:rsidRDefault="00BB3A45" w:rsidP="00BB3A45">
            <w:pPr>
              <w:ind w:left="-288"/>
              <w:jc w:val="center"/>
              <w:rPr>
                <w:rFonts w:ascii="Cambria" w:hAnsi="Cambria"/>
                <w:b/>
                <w:bCs/>
                <w:color w:val="FFFFFF" w:themeColor="background1"/>
                <w:sz w:val="20"/>
                <w:szCs w:val="20"/>
              </w:rPr>
            </w:pPr>
            <w:r w:rsidRPr="00BB3A45">
              <w:rPr>
                <w:rFonts w:ascii="Cambria" w:hAnsi="Cambria"/>
                <w:b/>
                <w:bCs/>
                <w:color w:val="FFFFFF" w:themeColor="background1"/>
                <w:sz w:val="20"/>
                <w:szCs w:val="20"/>
                <w:lang w:val="en"/>
              </w:rPr>
              <w:t xml:space="preserve">Additional observations </w:t>
            </w:r>
          </w:p>
          <w:p w:rsidR="00BB3A45" w:rsidRPr="00BB3A45" w:rsidRDefault="00BB3A45" w:rsidP="00BB3A45">
            <w:pPr>
              <w:ind w:left="-288"/>
              <w:jc w:val="center"/>
              <w:rPr>
                <w:rFonts w:ascii="Cambria" w:hAnsi="Cambria"/>
                <w:b/>
                <w:bCs/>
                <w:color w:val="FFFFFF" w:themeColor="background1"/>
                <w:sz w:val="20"/>
                <w:szCs w:val="20"/>
              </w:rPr>
            </w:pPr>
            <w:r w:rsidRPr="00BB3A45">
              <w:rPr>
                <w:rFonts w:ascii="Cambria" w:hAnsi="Cambria"/>
                <w:b/>
                <w:bCs/>
                <w:color w:val="FFFFFF" w:themeColor="background1"/>
                <w:sz w:val="20"/>
                <w:szCs w:val="20"/>
                <w:lang w:val="en"/>
              </w:rPr>
              <w:t>from the petitioners:</w:t>
            </w:r>
          </w:p>
        </w:tc>
        <w:tc>
          <w:tcPr>
            <w:tcW w:w="4680" w:type="dxa"/>
            <w:vAlign w:val="center"/>
          </w:tcPr>
          <w:p w:rsidR="00BB3A45" w:rsidRPr="00BB3A45" w:rsidRDefault="00BB3A45" w:rsidP="00BB3A45">
            <w:pPr>
              <w:jc w:val="both"/>
              <w:rPr>
                <w:rFonts w:ascii="Cambria" w:hAnsi="Cambria"/>
                <w:bCs/>
                <w:sz w:val="20"/>
                <w:szCs w:val="20"/>
              </w:rPr>
            </w:pPr>
            <w:r w:rsidRPr="00BB3A45">
              <w:rPr>
                <w:rFonts w:ascii="Cambria" w:hAnsi="Cambria"/>
                <w:sz w:val="20"/>
                <w:szCs w:val="20"/>
                <w:lang w:val="en"/>
              </w:rPr>
              <w:t>August 1, 2014</w:t>
            </w:r>
          </w:p>
        </w:tc>
      </w:tr>
      <w:tr w:rsidR="00BB3A45" w:rsidRPr="00BB3A45" w:rsidTr="00BB3A45">
        <w:tc>
          <w:tcPr>
            <w:tcW w:w="4680" w:type="dxa"/>
            <w:tcBorders>
              <w:top w:val="single" w:sz="6" w:space="0" w:color="auto"/>
              <w:bottom w:val="single" w:sz="6" w:space="0" w:color="auto"/>
            </w:tcBorders>
            <w:shd w:val="clear" w:color="auto" w:fill="67AE3C"/>
            <w:vAlign w:val="center"/>
          </w:tcPr>
          <w:p w:rsidR="00BB3A45" w:rsidRPr="00BB3A45" w:rsidRDefault="00BB3A45" w:rsidP="00BB3A45">
            <w:pPr>
              <w:jc w:val="center"/>
              <w:rPr>
                <w:rFonts w:ascii="Cambria" w:hAnsi="Cambria"/>
                <w:b/>
                <w:bCs/>
                <w:color w:val="FFFFFF" w:themeColor="background1"/>
                <w:sz w:val="20"/>
                <w:szCs w:val="20"/>
              </w:rPr>
            </w:pPr>
            <w:r w:rsidRPr="00BB3A45">
              <w:rPr>
                <w:rFonts w:ascii="Cambria" w:hAnsi="Cambria"/>
                <w:b/>
                <w:bCs/>
                <w:color w:val="FFFFFF" w:themeColor="background1"/>
                <w:sz w:val="20"/>
                <w:szCs w:val="20"/>
                <w:lang w:val="en"/>
              </w:rPr>
              <w:t>Additional observations from the State:</w:t>
            </w:r>
          </w:p>
        </w:tc>
        <w:tc>
          <w:tcPr>
            <w:tcW w:w="4680" w:type="dxa"/>
            <w:vAlign w:val="center"/>
          </w:tcPr>
          <w:p w:rsidR="00BB3A45" w:rsidRPr="00BB3A45" w:rsidRDefault="00BB3A45" w:rsidP="00BB3A45">
            <w:pPr>
              <w:jc w:val="both"/>
              <w:rPr>
                <w:rFonts w:ascii="Cambria" w:hAnsi="Cambria"/>
                <w:bCs/>
                <w:sz w:val="20"/>
                <w:szCs w:val="20"/>
              </w:rPr>
            </w:pPr>
            <w:r w:rsidRPr="00BB3A45">
              <w:rPr>
                <w:rFonts w:ascii="Cambria" w:hAnsi="Cambria"/>
                <w:sz w:val="20"/>
                <w:szCs w:val="20"/>
                <w:lang w:val="en"/>
              </w:rPr>
              <w:t>December 30, 2014</w:t>
            </w:r>
          </w:p>
        </w:tc>
      </w:tr>
    </w:tbl>
    <w:p w:rsidR="00BB3A45" w:rsidRPr="00BB3A45" w:rsidRDefault="00BB3A45" w:rsidP="00BB3A45">
      <w:pPr>
        <w:spacing w:before="240" w:after="240"/>
        <w:ind w:firstLine="720"/>
        <w:jc w:val="both"/>
        <w:rPr>
          <w:rFonts w:asciiTheme="majorHAnsi" w:hAnsiTheme="majorHAnsi"/>
          <w:b/>
          <w:bCs/>
          <w:sz w:val="20"/>
          <w:szCs w:val="20"/>
        </w:rPr>
      </w:pPr>
      <w:r w:rsidRPr="00BB3A45">
        <w:rPr>
          <w:rFonts w:asciiTheme="majorHAnsi" w:hAnsiTheme="majorHAnsi"/>
          <w:b/>
          <w:bCs/>
          <w:sz w:val="20"/>
          <w:szCs w:val="20"/>
          <w:lang w:val="en"/>
        </w:rPr>
        <w:t xml:space="preserve">III. </w:t>
      </w:r>
      <w:r w:rsidRPr="00BB3A45">
        <w:rPr>
          <w:rFonts w:asciiTheme="majorHAnsi" w:hAnsiTheme="majorHAnsi"/>
          <w:sz w:val="20"/>
          <w:szCs w:val="20"/>
          <w:lang w:val="en"/>
        </w:rPr>
        <w:tab/>
      </w:r>
      <w:r w:rsidRPr="00BB3A45">
        <w:rPr>
          <w:rFonts w:asciiTheme="majorHAnsi" w:hAnsiTheme="majorHAnsi"/>
          <w:b/>
          <w:bCs/>
          <w:sz w:val="20"/>
          <w:szCs w:val="20"/>
          <w:lang w:val="en"/>
        </w:rPr>
        <w:t>COMPETENCE</w:t>
      </w:r>
      <w:r w:rsidRPr="00BB3A45">
        <w:rPr>
          <w:rFonts w:asciiTheme="majorHAnsi" w:hAnsiTheme="majorHAnsi"/>
          <w:sz w:val="20"/>
          <w:szCs w:val="20"/>
          <w:lang w:val="en"/>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B3A45" w:rsidRPr="00BB3A45" w:rsidTr="00BB3A45">
        <w:trPr>
          <w:cantSplit/>
        </w:trPr>
        <w:tc>
          <w:tcPr>
            <w:tcW w:w="4680" w:type="dxa"/>
            <w:tcBorders>
              <w:top w:val="single" w:sz="4" w:space="0" w:color="auto"/>
              <w:bottom w:val="single" w:sz="6" w:space="0" w:color="auto"/>
            </w:tcBorders>
            <w:shd w:val="clear" w:color="auto" w:fill="67AE3C"/>
            <w:vAlign w:val="center"/>
          </w:tcPr>
          <w:p w:rsidR="00BB3A45" w:rsidRPr="00BB3A45" w:rsidRDefault="00BB3A45" w:rsidP="00BB3A45">
            <w:pPr>
              <w:jc w:val="center"/>
              <w:rPr>
                <w:rFonts w:ascii="Cambria" w:hAnsi="Cambria"/>
                <w:b/>
                <w:bCs/>
                <w:i/>
                <w:color w:val="FFFFFF" w:themeColor="background1"/>
                <w:sz w:val="20"/>
                <w:szCs w:val="20"/>
              </w:rPr>
            </w:pPr>
            <w:r w:rsidRPr="00BB3A45">
              <w:rPr>
                <w:rFonts w:ascii="Cambria" w:hAnsi="Cambria"/>
                <w:b/>
                <w:bCs/>
                <w:i/>
                <w:iCs/>
                <w:color w:val="FFFFFF" w:themeColor="background1"/>
                <w:sz w:val="20"/>
                <w:szCs w:val="20"/>
                <w:lang w:val="en"/>
              </w:rPr>
              <w:t xml:space="preserve">Ratione personae </w:t>
            </w:r>
            <w:r w:rsidRPr="00BB3A45">
              <w:rPr>
                <w:rFonts w:ascii="Cambria" w:hAnsi="Cambria"/>
                <w:b/>
                <w:bCs/>
                <w:color w:val="FFFFFF" w:themeColor="background1"/>
                <w:sz w:val="20"/>
                <w:szCs w:val="20"/>
                <w:lang w:val="en"/>
              </w:rPr>
              <w:t>competence:</w:t>
            </w:r>
          </w:p>
        </w:tc>
        <w:tc>
          <w:tcPr>
            <w:tcW w:w="4680" w:type="dxa"/>
            <w:vAlign w:val="center"/>
          </w:tcPr>
          <w:p w:rsidR="00BB3A45" w:rsidRPr="00BB3A45" w:rsidRDefault="00BB3A45" w:rsidP="00BB3A45">
            <w:pPr>
              <w:rPr>
                <w:rFonts w:ascii="Cambria" w:hAnsi="Cambria"/>
                <w:bCs/>
                <w:sz w:val="20"/>
                <w:szCs w:val="20"/>
              </w:rPr>
            </w:pPr>
            <w:r w:rsidRPr="00BB3A45">
              <w:rPr>
                <w:rFonts w:ascii="Cambria" w:hAnsi="Cambria"/>
                <w:sz w:val="20"/>
                <w:szCs w:val="20"/>
                <w:lang w:val="en"/>
              </w:rPr>
              <w:t>Yes</w:t>
            </w:r>
          </w:p>
        </w:tc>
      </w:tr>
      <w:tr w:rsidR="00BB3A45" w:rsidRPr="00BB3A45" w:rsidTr="00BB3A45">
        <w:trPr>
          <w:cantSplit/>
        </w:trPr>
        <w:tc>
          <w:tcPr>
            <w:tcW w:w="4680" w:type="dxa"/>
            <w:tcBorders>
              <w:top w:val="single" w:sz="6" w:space="0" w:color="auto"/>
              <w:bottom w:val="single" w:sz="6" w:space="0" w:color="auto"/>
            </w:tcBorders>
            <w:shd w:val="clear" w:color="auto" w:fill="67AE3C"/>
            <w:vAlign w:val="center"/>
          </w:tcPr>
          <w:p w:rsidR="00BB3A45" w:rsidRPr="00BB3A45" w:rsidRDefault="00BB3A45" w:rsidP="00BB3A45">
            <w:pPr>
              <w:jc w:val="center"/>
              <w:rPr>
                <w:rFonts w:ascii="Cambria" w:hAnsi="Cambria"/>
                <w:b/>
                <w:bCs/>
                <w:color w:val="FFFFFF" w:themeColor="background1"/>
                <w:sz w:val="20"/>
                <w:szCs w:val="20"/>
              </w:rPr>
            </w:pPr>
            <w:r w:rsidRPr="00BB3A45">
              <w:rPr>
                <w:rFonts w:ascii="Cambria" w:hAnsi="Cambria"/>
                <w:b/>
                <w:bCs/>
                <w:i/>
                <w:iCs/>
                <w:color w:val="FFFFFF" w:themeColor="background1"/>
                <w:sz w:val="20"/>
                <w:szCs w:val="20"/>
                <w:lang w:val="en"/>
              </w:rPr>
              <w:t xml:space="preserve">Ratione loci </w:t>
            </w:r>
            <w:r w:rsidRPr="00BB3A45">
              <w:rPr>
                <w:rFonts w:ascii="Cambria" w:hAnsi="Cambria"/>
                <w:b/>
                <w:bCs/>
                <w:color w:val="FFFFFF" w:themeColor="background1"/>
                <w:sz w:val="20"/>
                <w:szCs w:val="20"/>
                <w:lang w:val="en"/>
              </w:rPr>
              <w:t>competence:</w:t>
            </w:r>
          </w:p>
        </w:tc>
        <w:tc>
          <w:tcPr>
            <w:tcW w:w="4680" w:type="dxa"/>
            <w:vAlign w:val="center"/>
          </w:tcPr>
          <w:p w:rsidR="00BB3A45" w:rsidRPr="00BB3A45" w:rsidRDefault="00BB3A45" w:rsidP="00BB3A45">
            <w:pPr>
              <w:rPr>
                <w:rFonts w:ascii="Cambria" w:hAnsi="Cambria"/>
                <w:bCs/>
                <w:sz w:val="20"/>
                <w:szCs w:val="20"/>
              </w:rPr>
            </w:pPr>
            <w:r w:rsidRPr="00BB3A45">
              <w:rPr>
                <w:rFonts w:ascii="Cambria" w:hAnsi="Cambria"/>
                <w:sz w:val="20"/>
                <w:szCs w:val="20"/>
                <w:lang w:val="en"/>
              </w:rPr>
              <w:t>Yes</w:t>
            </w:r>
          </w:p>
        </w:tc>
      </w:tr>
      <w:tr w:rsidR="00BB3A45" w:rsidRPr="00BB3A45" w:rsidTr="00BB3A45">
        <w:trPr>
          <w:cantSplit/>
        </w:trPr>
        <w:tc>
          <w:tcPr>
            <w:tcW w:w="4680" w:type="dxa"/>
            <w:tcBorders>
              <w:top w:val="single" w:sz="6" w:space="0" w:color="auto"/>
              <w:bottom w:val="single" w:sz="6" w:space="0" w:color="auto"/>
            </w:tcBorders>
            <w:shd w:val="clear" w:color="auto" w:fill="67AE3C"/>
            <w:vAlign w:val="center"/>
          </w:tcPr>
          <w:p w:rsidR="00BB3A45" w:rsidRPr="00BB3A45" w:rsidRDefault="00BB3A45" w:rsidP="00BB3A45">
            <w:pPr>
              <w:jc w:val="center"/>
              <w:rPr>
                <w:rFonts w:ascii="Cambria" w:hAnsi="Cambria"/>
                <w:b/>
                <w:bCs/>
                <w:color w:val="FFFFFF" w:themeColor="background1"/>
                <w:sz w:val="20"/>
                <w:szCs w:val="20"/>
              </w:rPr>
            </w:pPr>
            <w:r w:rsidRPr="00BB3A45">
              <w:rPr>
                <w:rFonts w:ascii="Cambria" w:hAnsi="Cambria"/>
                <w:b/>
                <w:bCs/>
                <w:i/>
                <w:iCs/>
                <w:color w:val="FFFFFF" w:themeColor="background1"/>
                <w:sz w:val="20"/>
                <w:szCs w:val="20"/>
                <w:lang w:val="en"/>
              </w:rPr>
              <w:t xml:space="preserve">Ratione temporis </w:t>
            </w:r>
            <w:r w:rsidRPr="00BB3A45">
              <w:rPr>
                <w:rFonts w:ascii="Cambria" w:hAnsi="Cambria"/>
                <w:b/>
                <w:bCs/>
                <w:color w:val="FFFFFF" w:themeColor="background1"/>
                <w:sz w:val="20"/>
                <w:szCs w:val="20"/>
                <w:lang w:val="en"/>
              </w:rPr>
              <w:t>competence:</w:t>
            </w:r>
          </w:p>
        </w:tc>
        <w:tc>
          <w:tcPr>
            <w:tcW w:w="4680" w:type="dxa"/>
            <w:vAlign w:val="center"/>
          </w:tcPr>
          <w:p w:rsidR="00BB3A45" w:rsidRPr="00BB3A45" w:rsidRDefault="00BB3A45" w:rsidP="00BB3A45">
            <w:pPr>
              <w:rPr>
                <w:bCs/>
                <w:sz w:val="20"/>
                <w:szCs w:val="20"/>
              </w:rPr>
            </w:pPr>
            <w:r w:rsidRPr="00BB3A45">
              <w:rPr>
                <w:sz w:val="20"/>
                <w:szCs w:val="20"/>
                <w:lang w:val="en"/>
              </w:rPr>
              <w:t>Yes</w:t>
            </w:r>
          </w:p>
        </w:tc>
      </w:tr>
      <w:tr w:rsidR="00BB3A45" w:rsidRPr="00BB3A45" w:rsidTr="00BB3A45">
        <w:trPr>
          <w:cantSplit/>
        </w:trPr>
        <w:tc>
          <w:tcPr>
            <w:tcW w:w="4680" w:type="dxa"/>
            <w:tcBorders>
              <w:top w:val="single" w:sz="6" w:space="0" w:color="auto"/>
              <w:bottom w:val="single" w:sz="6" w:space="0" w:color="auto"/>
            </w:tcBorders>
            <w:shd w:val="clear" w:color="auto" w:fill="67AE3C"/>
            <w:vAlign w:val="center"/>
          </w:tcPr>
          <w:p w:rsidR="00BB3A45" w:rsidRPr="00BB3A45" w:rsidRDefault="00BB3A45" w:rsidP="00BB3A45">
            <w:pPr>
              <w:jc w:val="center"/>
              <w:rPr>
                <w:rFonts w:ascii="Cambria" w:hAnsi="Cambria"/>
                <w:b/>
                <w:bCs/>
                <w:color w:val="FFFFFF" w:themeColor="background1"/>
                <w:sz w:val="20"/>
                <w:szCs w:val="20"/>
              </w:rPr>
            </w:pPr>
            <w:r w:rsidRPr="00BB3A45">
              <w:rPr>
                <w:rFonts w:ascii="Cambria" w:hAnsi="Cambria"/>
                <w:b/>
                <w:bCs/>
                <w:i/>
                <w:iCs/>
                <w:color w:val="FFFFFF" w:themeColor="background1"/>
                <w:sz w:val="20"/>
                <w:szCs w:val="20"/>
                <w:lang w:val="en"/>
              </w:rPr>
              <w:t xml:space="preserve">Ratione materiae </w:t>
            </w:r>
            <w:r w:rsidRPr="00BB3A45">
              <w:rPr>
                <w:rFonts w:ascii="Cambria" w:hAnsi="Cambria"/>
                <w:b/>
                <w:bCs/>
                <w:color w:val="FFFFFF" w:themeColor="background1"/>
                <w:sz w:val="20"/>
                <w:szCs w:val="20"/>
                <w:lang w:val="en"/>
              </w:rPr>
              <w:t>competence:</w:t>
            </w:r>
          </w:p>
        </w:tc>
        <w:tc>
          <w:tcPr>
            <w:tcW w:w="4680" w:type="dxa"/>
            <w:vAlign w:val="center"/>
          </w:tcPr>
          <w:p w:rsidR="00BB3A45" w:rsidRPr="00BB3A45" w:rsidRDefault="00BB3A45" w:rsidP="00BB3A45">
            <w:pPr>
              <w:jc w:val="both"/>
              <w:rPr>
                <w:rFonts w:ascii="Cambria" w:hAnsi="Cambria"/>
                <w:bCs/>
                <w:sz w:val="20"/>
                <w:szCs w:val="20"/>
              </w:rPr>
            </w:pPr>
            <w:r w:rsidRPr="00BB3A45">
              <w:rPr>
                <w:rFonts w:ascii="Cambria" w:hAnsi="Cambria"/>
                <w:sz w:val="20"/>
                <w:szCs w:val="20"/>
                <w:lang w:val="en"/>
              </w:rPr>
              <w:t>Yes, American Convention on Human Rights</w:t>
            </w:r>
            <w:r w:rsidRPr="00BB3A45">
              <w:rPr>
                <w:rFonts w:ascii="Cambria" w:hAnsi="Cambria"/>
                <w:sz w:val="20"/>
                <w:szCs w:val="20"/>
                <w:vertAlign w:val="superscript"/>
                <w:lang w:val="en"/>
              </w:rPr>
              <w:footnoteReference w:id="4"/>
            </w:r>
            <w:r w:rsidRPr="00BB3A45">
              <w:rPr>
                <w:rFonts w:ascii="Cambria" w:hAnsi="Cambria"/>
                <w:sz w:val="20"/>
                <w:szCs w:val="20"/>
                <w:lang w:val="en"/>
              </w:rPr>
              <w:t xml:space="preserve"> (ratification instrument deposited on July 31, 1973)</w:t>
            </w:r>
          </w:p>
        </w:tc>
      </w:tr>
    </w:tbl>
    <w:p w:rsidR="00BB3A45" w:rsidRPr="00BB3A45" w:rsidRDefault="00BB3A45" w:rsidP="00BB3A45">
      <w:pPr>
        <w:spacing w:before="240" w:after="240"/>
        <w:ind w:firstLine="720"/>
        <w:jc w:val="both"/>
        <w:rPr>
          <w:rFonts w:asciiTheme="majorHAnsi" w:hAnsiTheme="majorHAnsi"/>
          <w:b/>
          <w:bCs/>
          <w:sz w:val="20"/>
          <w:szCs w:val="20"/>
        </w:rPr>
      </w:pPr>
      <w:r w:rsidRPr="00BB3A45">
        <w:rPr>
          <w:rFonts w:asciiTheme="majorHAnsi" w:hAnsiTheme="majorHAnsi"/>
          <w:b/>
          <w:bCs/>
          <w:sz w:val="20"/>
          <w:szCs w:val="20"/>
          <w:lang w:val="en"/>
        </w:rPr>
        <w:t xml:space="preserve">IV. </w:t>
      </w:r>
      <w:r w:rsidRPr="00BB3A45">
        <w:rPr>
          <w:rFonts w:asciiTheme="majorHAnsi" w:hAnsiTheme="majorHAnsi"/>
          <w:sz w:val="20"/>
          <w:szCs w:val="20"/>
          <w:lang w:val="en"/>
        </w:rPr>
        <w:tab/>
      </w:r>
      <w:r w:rsidRPr="00BB3A45">
        <w:rPr>
          <w:rFonts w:asciiTheme="majorHAnsi" w:hAnsiTheme="majorHAnsi"/>
          <w:b/>
          <w:bCs/>
          <w:sz w:val="20"/>
          <w:szCs w:val="20"/>
        </w:rPr>
        <w:t xml:space="preserve">ANALYSIS OF DUPLICATION OF PROCEDURES AND INTERNATIONAL </w:t>
      </w:r>
      <w:r w:rsidRPr="00BB3A45">
        <w:rPr>
          <w:rFonts w:asciiTheme="majorHAnsi" w:hAnsiTheme="majorHAnsi"/>
          <w:b/>
          <w:bCs/>
          <w:i/>
          <w:sz w:val="20"/>
          <w:szCs w:val="20"/>
        </w:rPr>
        <w:t>RES JUDICATA</w:t>
      </w:r>
      <w:r w:rsidRPr="00BB3A45">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B3A45" w:rsidRPr="00BB3A45" w:rsidTr="00BB3A45">
        <w:trPr>
          <w:cantSplit/>
        </w:trPr>
        <w:tc>
          <w:tcPr>
            <w:tcW w:w="4680" w:type="dxa"/>
            <w:tcBorders>
              <w:top w:val="single" w:sz="4" w:space="0" w:color="auto"/>
              <w:bottom w:val="single" w:sz="6" w:space="0" w:color="auto"/>
            </w:tcBorders>
            <w:shd w:val="clear" w:color="auto" w:fill="67AE3C"/>
            <w:vAlign w:val="center"/>
          </w:tcPr>
          <w:p w:rsidR="00BB3A45" w:rsidRPr="00BB3A45" w:rsidRDefault="00BB3A45" w:rsidP="00BB3A45">
            <w:pPr>
              <w:jc w:val="center"/>
              <w:rPr>
                <w:rFonts w:ascii="Cambria" w:hAnsi="Cambria"/>
                <w:b/>
                <w:bCs/>
                <w:color w:val="FFFFFF" w:themeColor="background1"/>
                <w:sz w:val="20"/>
                <w:szCs w:val="20"/>
              </w:rPr>
            </w:pPr>
            <w:r w:rsidRPr="00BB3A45">
              <w:rPr>
                <w:rFonts w:asciiTheme="majorHAnsi" w:hAnsiTheme="majorHAnsi"/>
                <w:b/>
                <w:bCs/>
                <w:color w:val="FFFFFF" w:themeColor="background1"/>
                <w:sz w:val="20"/>
                <w:szCs w:val="20"/>
                <w:lang w:val="en"/>
              </w:rPr>
              <w:t xml:space="preserve">Duplication of proceedings and international </w:t>
            </w:r>
            <w:r w:rsidRPr="00BB3A45">
              <w:rPr>
                <w:rFonts w:asciiTheme="majorHAnsi" w:hAnsiTheme="majorHAnsi"/>
                <w:b/>
                <w:bCs/>
                <w:i/>
                <w:iCs/>
                <w:color w:val="FFFFFF" w:themeColor="background1"/>
                <w:sz w:val="20"/>
                <w:szCs w:val="20"/>
                <w:lang w:val="en"/>
              </w:rPr>
              <w:t>res judicata</w:t>
            </w:r>
            <w:r w:rsidRPr="00BB3A45">
              <w:rPr>
                <w:rFonts w:asciiTheme="majorHAnsi" w:hAnsiTheme="majorHAnsi"/>
                <w:b/>
                <w:bCs/>
                <w:color w:val="FFFFFF" w:themeColor="background1"/>
                <w:sz w:val="20"/>
                <w:szCs w:val="20"/>
                <w:lang w:val="en"/>
              </w:rPr>
              <w:t>:</w:t>
            </w:r>
          </w:p>
        </w:tc>
        <w:tc>
          <w:tcPr>
            <w:tcW w:w="4680" w:type="dxa"/>
            <w:vAlign w:val="center"/>
          </w:tcPr>
          <w:p w:rsidR="00BB3A45" w:rsidRPr="00BB3A45" w:rsidRDefault="00BB3A45" w:rsidP="00BB3A45">
            <w:pPr>
              <w:jc w:val="both"/>
              <w:rPr>
                <w:rFonts w:ascii="Cambria" w:hAnsi="Cambria"/>
                <w:bCs/>
                <w:sz w:val="20"/>
                <w:szCs w:val="20"/>
              </w:rPr>
            </w:pPr>
            <w:r w:rsidRPr="00BB3A45">
              <w:rPr>
                <w:rFonts w:ascii="Cambria" w:hAnsi="Cambria"/>
                <w:sz w:val="20"/>
                <w:szCs w:val="20"/>
                <w:bdr w:val="none" w:sz="0" w:space="0" w:color="auto" w:frame="1"/>
                <w:lang w:val="en"/>
              </w:rPr>
              <w:t>No</w:t>
            </w:r>
          </w:p>
        </w:tc>
      </w:tr>
      <w:tr w:rsidR="00BB3A45" w:rsidRPr="00BB3A45" w:rsidTr="00BB3A45">
        <w:trPr>
          <w:cantSplit/>
        </w:trPr>
        <w:tc>
          <w:tcPr>
            <w:tcW w:w="4680" w:type="dxa"/>
            <w:tcBorders>
              <w:top w:val="single" w:sz="4" w:space="0" w:color="auto"/>
              <w:bottom w:val="single" w:sz="6" w:space="0" w:color="auto"/>
            </w:tcBorders>
            <w:shd w:val="clear" w:color="auto" w:fill="67AE3C"/>
            <w:vAlign w:val="center"/>
          </w:tcPr>
          <w:p w:rsidR="00BB3A45" w:rsidRPr="00BB3A45" w:rsidRDefault="00BB3A45" w:rsidP="00BB3A45">
            <w:pPr>
              <w:jc w:val="center"/>
              <w:rPr>
                <w:rFonts w:ascii="Cambria" w:hAnsi="Cambria"/>
                <w:b/>
                <w:bCs/>
                <w:i/>
                <w:color w:val="FFFFFF" w:themeColor="background1"/>
                <w:sz w:val="20"/>
                <w:szCs w:val="20"/>
              </w:rPr>
            </w:pPr>
            <w:r w:rsidRPr="00BB3A45">
              <w:rPr>
                <w:rFonts w:ascii="Cambria" w:hAnsi="Cambria"/>
                <w:b/>
                <w:bCs/>
                <w:color w:val="FFFFFF" w:themeColor="background1"/>
                <w:sz w:val="20"/>
                <w:szCs w:val="20"/>
                <w:lang w:val="en"/>
              </w:rPr>
              <w:lastRenderedPageBreak/>
              <w:t>Rights declared admissible:</w:t>
            </w:r>
          </w:p>
        </w:tc>
        <w:tc>
          <w:tcPr>
            <w:tcW w:w="4680" w:type="dxa"/>
            <w:vAlign w:val="center"/>
          </w:tcPr>
          <w:p w:rsidR="00BB3A45" w:rsidRPr="00BB3A45" w:rsidRDefault="00BB3A45" w:rsidP="00BB3A45">
            <w:pPr>
              <w:jc w:val="both"/>
              <w:rPr>
                <w:rFonts w:ascii="Cambria" w:hAnsi="Cambria"/>
                <w:bCs/>
                <w:sz w:val="20"/>
                <w:szCs w:val="20"/>
              </w:rPr>
            </w:pPr>
            <w:r w:rsidRPr="00BB3A45">
              <w:rPr>
                <w:rFonts w:ascii="Cambria" w:hAnsi="Cambria"/>
                <w:sz w:val="20"/>
                <w:szCs w:val="20"/>
                <w:lang w:val="en"/>
              </w:rPr>
              <w:t xml:space="preserve">Articles 4 (right to life), 5 (right to humane treatment), 8 (judicial protection), </w:t>
            </w:r>
            <w:r w:rsidRPr="00BB3A45">
              <w:rPr>
                <w:rFonts w:asciiTheme="majorHAnsi" w:hAnsiTheme="majorHAnsi"/>
                <w:sz w:val="20"/>
                <w:szCs w:val="20"/>
                <w:lang w:val="en"/>
              </w:rPr>
              <w:t xml:space="preserve">11 (right to </w:t>
            </w:r>
            <w:r w:rsidRPr="00BB3A45">
              <w:rPr>
                <w:rFonts w:ascii="Cambria" w:hAnsi="Cambria"/>
                <w:sz w:val="20"/>
                <w:szCs w:val="20"/>
                <w:lang w:val="en"/>
              </w:rPr>
              <w:t>honor and dignity), 22 (right to movement and residency and 25 (judicial protection) of the Convention, in conjunction with Article 1(1) (obligation to respect rights) and 2 (duty to adopt domestic legal provisions)</w:t>
            </w:r>
          </w:p>
        </w:tc>
      </w:tr>
      <w:tr w:rsidR="00BB3A45" w:rsidRPr="00BB3A45" w:rsidTr="00BB3A45">
        <w:trPr>
          <w:cantSplit/>
        </w:trPr>
        <w:tc>
          <w:tcPr>
            <w:tcW w:w="4680" w:type="dxa"/>
            <w:tcBorders>
              <w:top w:val="single" w:sz="6" w:space="0" w:color="auto"/>
              <w:bottom w:val="single" w:sz="6" w:space="0" w:color="auto"/>
            </w:tcBorders>
            <w:shd w:val="clear" w:color="auto" w:fill="67AE3C"/>
            <w:vAlign w:val="center"/>
          </w:tcPr>
          <w:p w:rsidR="00BB3A45" w:rsidRPr="00BB3A45" w:rsidRDefault="00BB3A45" w:rsidP="00BB3A45">
            <w:pPr>
              <w:jc w:val="center"/>
              <w:rPr>
                <w:rFonts w:ascii="Cambria" w:hAnsi="Cambria"/>
                <w:b/>
                <w:bCs/>
                <w:color w:val="FFFFFF" w:themeColor="background1"/>
                <w:sz w:val="20"/>
                <w:szCs w:val="20"/>
              </w:rPr>
            </w:pPr>
            <w:r w:rsidRPr="00BB3A45">
              <w:rPr>
                <w:rFonts w:ascii="Cambria" w:hAnsi="Cambria"/>
                <w:b/>
                <w:bCs/>
                <w:color w:val="FFFFFF" w:themeColor="background1"/>
                <w:sz w:val="20"/>
                <w:szCs w:val="20"/>
                <w:lang w:val="en"/>
              </w:rPr>
              <w:t xml:space="preserve">Exhaustion of domestic remedies </w:t>
            </w:r>
            <w:r w:rsidRPr="00BB3A45">
              <w:rPr>
                <w:rFonts w:ascii="Cambria" w:hAnsi="Cambria"/>
                <w:b/>
                <w:bCs/>
                <w:color w:val="FFFFFF" w:themeColor="background1"/>
                <w:sz w:val="20"/>
                <w:szCs w:val="20"/>
              </w:rPr>
              <w:t>or applicability of an exception to the rule:</w:t>
            </w:r>
          </w:p>
        </w:tc>
        <w:tc>
          <w:tcPr>
            <w:tcW w:w="4680" w:type="dxa"/>
            <w:vAlign w:val="center"/>
          </w:tcPr>
          <w:p w:rsidR="00BB3A45" w:rsidRPr="00BB3A45" w:rsidRDefault="00BB3A45" w:rsidP="00BB3A45">
            <w:pPr>
              <w:rPr>
                <w:rFonts w:ascii="Cambria" w:hAnsi="Cambria"/>
                <w:bCs/>
                <w:sz w:val="20"/>
                <w:szCs w:val="20"/>
              </w:rPr>
            </w:pPr>
            <w:r w:rsidRPr="00BB3A45">
              <w:rPr>
                <w:rFonts w:ascii="Cambria" w:hAnsi="Cambria"/>
                <w:sz w:val="20"/>
                <w:szCs w:val="20"/>
                <w:lang w:val="en"/>
              </w:rPr>
              <w:t>Yes, exception Article 46(2)(a) of the ACHR applies</w:t>
            </w:r>
          </w:p>
        </w:tc>
      </w:tr>
      <w:tr w:rsidR="00BB3A45" w:rsidRPr="00BB3A45" w:rsidTr="00BB3A45">
        <w:trPr>
          <w:cantSplit/>
        </w:trPr>
        <w:tc>
          <w:tcPr>
            <w:tcW w:w="4680" w:type="dxa"/>
            <w:tcBorders>
              <w:top w:val="single" w:sz="6" w:space="0" w:color="auto"/>
              <w:bottom w:val="single" w:sz="6" w:space="0" w:color="auto"/>
            </w:tcBorders>
            <w:shd w:val="clear" w:color="auto" w:fill="67AE3C"/>
            <w:vAlign w:val="center"/>
          </w:tcPr>
          <w:p w:rsidR="00BB3A45" w:rsidRPr="00BB3A45" w:rsidRDefault="00BB3A45" w:rsidP="00BB3A45">
            <w:pPr>
              <w:jc w:val="center"/>
              <w:rPr>
                <w:rFonts w:ascii="Cambria" w:hAnsi="Cambria"/>
                <w:b/>
                <w:bCs/>
                <w:color w:val="FFFFFF" w:themeColor="background1"/>
                <w:sz w:val="20"/>
                <w:szCs w:val="20"/>
              </w:rPr>
            </w:pPr>
            <w:r w:rsidRPr="00BB3A45">
              <w:rPr>
                <w:rFonts w:ascii="Cambria" w:hAnsi="Cambria"/>
                <w:b/>
                <w:bCs/>
                <w:color w:val="FFFFFF" w:themeColor="background1"/>
                <w:sz w:val="20"/>
                <w:szCs w:val="20"/>
              </w:rPr>
              <w:t>Timeliness of the petition:</w:t>
            </w:r>
          </w:p>
        </w:tc>
        <w:tc>
          <w:tcPr>
            <w:tcW w:w="4680" w:type="dxa"/>
            <w:vAlign w:val="center"/>
          </w:tcPr>
          <w:p w:rsidR="00BB3A45" w:rsidRPr="00BB3A45" w:rsidRDefault="00BB3A45" w:rsidP="00BB3A45">
            <w:pPr>
              <w:rPr>
                <w:bCs/>
                <w:sz w:val="20"/>
                <w:szCs w:val="20"/>
              </w:rPr>
            </w:pPr>
            <w:r w:rsidRPr="00BB3A45">
              <w:rPr>
                <w:rFonts w:ascii="Cambria" w:hAnsi="Cambria"/>
                <w:sz w:val="20"/>
                <w:szCs w:val="20"/>
                <w:lang w:val="en"/>
              </w:rPr>
              <w:t>Yes, pursuant to the terms of Section VI</w:t>
            </w:r>
          </w:p>
        </w:tc>
      </w:tr>
    </w:tbl>
    <w:p w:rsidR="00BB3A45" w:rsidRPr="00BB3A45" w:rsidRDefault="00BB3A45" w:rsidP="00BB3A45">
      <w:pPr>
        <w:spacing w:before="240" w:after="240"/>
        <w:ind w:firstLine="720"/>
        <w:jc w:val="both"/>
        <w:rPr>
          <w:rFonts w:asciiTheme="majorHAnsi" w:hAnsiTheme="majorHAnsi"/>
          <w:b/>
          <w:sz w:val="20"/>
          <w:szCs w:val="20"/>
        </w:rPr>
      </w:pPr>
      <w:r w:rsidRPr="00BB3A45">
        <w:rPr>
          <w:rFonts w:asciiTheme="majorHAnsi" w:hAnsiTheme="majorHAnsi"/>
          <w:b/>
          <w:bCs/>
          <w:sz w:val="20"/>
          <w:szCs w:val="20"/>
          <w:lang w:val="en"/>
        </w:rPr>
        <w:t xml:space="preserve">V. </w:t>
      </w:r>
      <w:r w:rsidRPr="00BB3A45">
        <w:rPr>
          <w:rFonts w:asciiTheme="majorHAnsi" w:hAnsiTheme="majorHAnsi"/>
          <w:b/>
          <w:bCs/>
          <w:sz w:val="20"/>
          <w:szCs w:val="20"/>
          <w:lang w:val="en"/>
        </w:rPr>
        <w:tab/>
        <w:t>ALLEGED FACTS</w:t>
      </w:r>
      <w:r w:rsidRPr="00BB3A45">
        <w:rPr>
          <w:rFonts w:asciiTheme="majorHAnsi" w:hAnsiTheme="majorHAnsi"/>
          <w:sz w:val="20"/>
          <w:szCs w:val="20"/>
          <w:lang w:val="en"/>
        </w:rPr>
        <w:t xml:space="preserve"> </w:t>
      </w:r>
    </w:p>
    <w:p w:rsidR="00BB3A45" w:rsidRPr="00BB3A45" w:rsidRDefault="00BB3A45" w:rsidP="00BB3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3A45">
        <w:rPr>
          <w:rFonts w:ascii="Cambria" w:hAnsi="Cambria"/>
          <w:sz w:val="20"/>
          <w:szCs w:val="20"/>
          <w:lang w:val="en"/>
        </w:rPr>
        <w:t xml:space="preserve">The petitioner stated that at approximately 20:00 hours on June 25, 2003, rural laborers Rubén Darío Ocampo Henao and Héctor Corrales Ocampo, first cousins, died in a rural area close to the city of Pereira, Risaralda department, at the hands of the Grupo Armado Unidos para la Liberación (GAULA). The group is made up of members of the National Army, the Office of the Attorney General of the Nation (FGN), and the Administrative Security Department (DAS). The deaths took place during an operation aimed at identifying and capturing individuals who were allegedly extorting the owner of local farm. </w:t>
      </w:r>
    </w:p>
    <w:p w:rsidR="00BB3A45" w:rsidRPr="00BB3A45" w:rsidRDefault="00BB3A45" w:rsidP="00BB3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3A45">
        <w:rPr>
          <w:rFonts w:ascii="Cambria" w:hAnsi="Cambria"/>
          <w:sz w:val="20"/>
          <w:szCs w:val="20"/>
          <w:lang w:val="en"/>
        </w:rPr>
        <w:t>According to the petitioners, the alleged victims, members of poor rural working families, were passing by the place of the operation when the GAULA commander and a non-commissioned officer told them they were officers of the law and immediately fired upon them, killing them. They also state that the alleged victims were completely defenseless based on GUALA’s superiority in terms of both manpower and weapons, and because the alleged victims were not capable of responding to the disproportionate and excessive use of force. In this regard, they indicate that the soldiers’ argument that the victims fired upon them with an old shotgun was discredited by an expert report that found that this could not have happened because the weapon was in poor condition. They state that the operation’s perimeter was guarded by 32 GUALA members, so if they had wanted to arrest the alleged victims, could have done so without resistance. The petitioners conclude that the reaction of the GUALA members was excessive and intended to "take them down" and “show them as a trophy in the fight against crime.”</w:t>
      </w:r>
      <w:r w:rsidRPr="00BB3A45">
        <w:rPr>
          <w:rFonts w:ascii="Cambria" w:hAnsi="Cambria"/>
          <w:sz w:val="20"/>
          <w:szCs w:val="20"/>
          <w:lang w:val="en"/>
        </w:rPr>
        <w:tab/>
      </w:r>
    </w:p>
    <w:p w:rsidR="00BB3A45" w:rsidRPr="00BB3A45" w:rsidRDefault="00BB3A45" w:rsidP="00BB3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3A45">
        <w:rPr>
          <w:rFonts w:ascii="Cambria" w:hAnsi="Cambria"/>
          <w:sz w:val="20"/>
          <w:szCs w:val="20"/>
          <w:lang w:val="en"/>
        </w:rPr>
        <w:t xml:space="preserve">The case file of the criminal investigation provided by the petitioners indicates that on June 25, 2003, upon receipt of communication from SIJIN’s Communications Center, the Second Local Public Prosecutor of the Pereira Quick Response Unit launched an investigation into the deaths of Mr. Ocampo Henao and Mr. Corrales Ocampo. The documentation indicates that the public prosecutor ordered a number of procedures performed, which were submitted on June 27, 2003, to the 56th Military Criminal Trial Court. The court opened a preliminary investigation for the crime of homicide of the alleged victims. The court collected a number of expert reports and testimony from the relatives of the alleged victims and those who participated in the operation. They argue that the conclusion of the writ of prohibition issued by the military criminal court arguing that the group acted in legitimate </w:t>
      </w:r>
      <w:r w:rsidR="002E4D49" w:rsidRPr="00BB3A45">
        <w:rPr>
          <w:rFonts w:ascii="Cambria" w:hAnsi="Cambria"/>
          <w:sz w:val="20"/>
          <w:szCs w:val="20"/>
          <w:lang w:val="en"/>
        </w:rPr>
        <w:t>self-defense</w:t>
      </w:r>
      <w:r w:rsidRPr="00BB3A45">
        <w:rPr>
          <w:rFonts w:ascii="Cambria" w:hAnsi="Cambria"/>
          <w:sz w:val="20"/>
          <w:szCs w:val="20"/>
          <w:lang w:val="en"/>
        </w:rPr>
        <w:t xml:space="preserve"> is a miscarriage of justice. They allege that the State violated the right to due process and rights to life and humane treatment of the alleged victims and their families, as well as their right to honor.</w:t>
      </w:r>
    </w:p>
    <w:p w:rsidR="00BB3A45" w:rsidRPr="00BB3A45" w:rsidRDefault="00BB3A45" w:rsidP="00BB3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B3A45">
        <w:rPr>
          <w:rFonts w:ascii="Cambria" w:hAnsi="Cambria"/>
          <w:sz w:val="20"/>
          <w:szCs w:val="20"/>
          <w:lang w:val="en"/>
        </w:rPr>
        <w:t>Moreover, the petitioners state that they filed a suit for reparations with the First Administrative Court of Pereira, which ruled in their favor on October 30, 2006. They note that the court concluded that GAULA used excessive force in the operation, as the alleged victims were cut down with bursts from an R-15, a powerful weapon with a long range. They indicate that after the Public Prosecutor filed an appeal, on July 12, 2007, the Adversarial Administrative Court of Risaralda overturned the ruling, finding that the State agents acted in legitimate self-defense. They state that the writ of protection filed before the Council of State against the judgment of the higher court was rejected as inadmissible. They were notified of this on December 6, 2007. Finally, they allege that as a result of the death of the alleged victims, their families were displaced and had to move somewhere else “to avoid revenge at the hands of radical right-wing groups.”</w:t>
      </w:r>
    </w:p>
    <w:p w:rsidR="00BB3A45" w:rsidRPr="00BB3A45" w:rsidRDefault="00BB3A45" w:rsidP="00BB3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3A45">
        <w:rPr>
          <w:rFonts w:ascii="Cambria" w:hAnsi="Cambria"/>
          <w:sz w:val="20"/>
          <w:szCs w:val="20"/>
          <w:lang w:val="en"/>
        </w:rPr>
        <w:lastRenderedPageBreak/>
        <w:t xml:space="preserve">The State indicates that in response to a complaint filed by the owner of a farm in the Pereira jurisdiction alleging acts of extortion and an attempt on his life, GAULA executed Fragmentary Operations Order 10 “Jockey” on June 25, 2003. Two State agents encountered the alleged extortioners (the alleged victims) there. They were armed and did not obey the order to halt given by the GAULA members. Instead, they pointed at them with their weapons. Therefore, given the need to protect their own lives, the agents fired on the alleged victims. </w:t>
      </w:r>
    </w:p>
    <w:p w:rsidR="00BB3A45" w:rsidRPr="00BB3A45" w:rsidRDefault="00BB3A45" w:rsidP="00BB3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3A45">
        <w:rPr>
          <w:rFonts w:ascii="Cambria" w:hAnsi="Cambria"/>
          <w:sz w:val="20"/>
          <w:szCs w:val="20"/>
          <w:lang w:val="en"/>
        </w:rPr>
        <w:t>The State indicates that once the procedure of collecting the bodies was carried out by the Response Unit, the FGN forwarded the case to the 56th Court, as the National Army members were doing work inherent to their functions. It states that the process concluded with a writ of prohibition after finding that the soldiers’ conduct “was protected on the grounds that they were justified in that they reacted with their weapons to imminent attack to protect their lives and safety.” Regarding the adversarial administrative ruling, the State affirms the allegations made by the petitioners in the first and second instance. However, it alleges that the document on the protection action provided by the petitioners indicates it was presented to the Superior Council of the Judiciary and not the Council of State, making it impossible to verify if the entity had rejected it. The State concludes that conducting a process before criminal military justice does not per se violate human rights, nor does the fact that an administrative remedy has not produced a favorable result. It adds that rejection of the writ of protection against the ruling of the adversarial court on the grounds of inadmissibility did not violate due process or access to justice.</w:t>
      </w:r>
    </w:p>
    <w:p w:rsidR="00BB3A45" w:rsidRPr="00BB3A45" w:rsidRDefault="00BB3A45" w:rsidP="00BB3A45">
      <w:pPr>
        <w:spacing w:before="240" w:after="240"/>
        <w:ind w:firstLine="720"/>
        <w:jc w:val="both"/>
        <w:rPr>
          <w:rFonts w:ascii="Cambria" w:hAnsi="Cambria"/>
          <w:sz w:val="20"/>
          <w:szCs w:val="20"/>
        </w:rPr>
      </w:pPr>
      <w:r w:rsidRPr="00BB3A45">
        <w:rPr>
          <w:rFonts w:asciiTheme="majorHAnsi" w:hAnsiTheme="majorHAnsi"/>
          <w:b/>
          <w:bCs/>
          <w:color w:val="000000"/>
          <w:sz w:val="20"/>
          <w:szCs w:val="20"/>
          <w:u w:color="000000"/>
          <w:lang w:val="en"/>
        </w:rPr>
        <w:t>VI.</w:t>
      </w:r>
      <w:r w:rsidRPr="00BB3A45">
        <w:rPr>
          <w:rFonts w:asciiTheme="majorHAnsi" w:hAnsiTheme="majorHAnsi"/>
          <w:b/>
          <w:bCs/>
          <w:color w:val="000000"/>
          <w:sz w:val="20"/>
          <w:szCs w:val="20"/>
          <w:u w:color="000000"/>
          <w:lang w:val="en"/>
        </w:rPr>
        <w:tab/>
      </w:r>
      <w:r w:rsidRPr="00BB3A45">
        <w:rPr>
          <w:rFonts w:asciiTheme="majorHAnsi" w:hAnsiTheme="majorHAnsi"/>
          <w:b/>
          <w:bCs/>
          <w:sz w:val="20"/>
          <w:szCs w:val="20"/>
          <w:lang w:val="en"/>
        </w:rPr>
        <w:t xml:space="preserve">EXHAUSTION OF DOMESTIC REMEDIES AND </w:t>
      </w:r>
      <w:r w:rsidRPr="00BB3A45">
        <w:rPr>
          <w:rFonts w:asciiTheme="majorHAnsi" w:hAnsiTheme="majorHAnsi"/>
          <w:b/>
          <w:sz w:val="20"/>
          <w:szCs w:val="20"/>
        </w:rPr>
        <w:t>TIMELINESS OF THE PETITION</w:t>
      </w:r>
    </w:p>
    <w:p w:rsidR="00BB3A45" w:rsidRPr="00BB3A45" w:rsidRDefault="00BB3A45" w:rsidP="00BB3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B3A45">
        <w:rPr>
          <w:rFonts w:asciiTheme="majorHAnsi" w:hAnsiTheme="majorHAnsi"/>
          <w:sz w:val="20"/>
          <w:szCs w:val="20"/>
          <w:lang w:val="en"/>
        </w:rPr>
        <w:t>According to the information provided by the parties, on June 27, 2007, the 56th Criminal Military Trial Court opened an investigation into the death of the alleged victims. The investigation concluded with a writ of prohibition. Regarding the use of military courts, the Commission has repeatedly ruled that they are not the appropriate forum for investigating the death of a civilian because they do not provide the required guarantees and therefore do not represent an adequate remedy for investigating, trying, and punishing alleged violations of the human rights enshrined in the American Convention.</w:t>
      </w:r>
      <w:r w:rsidRPr="00BB3A45">
        <w:rPr>
          <w:rFonts w:asciiTheme="majorHAnsi" w:hAnsiTheme="majorHAnsi"/>
          <w:sz w:val="20"/>
          <w:szCs w:val="20"/>
          <w:vertAlign w:val="superscript"/>
          <w:lang w:val="en"/>
        </w:rPr>
        <w:footnoteReference w:id="5"/>
      </w:r>
      <w:r w:rsidRPr="00BB3A45">
        <w:rPr>
          <w:rFonts w:asciiTheme="majorHAnsi" w:hAnsiTheme="majorHAnsi"/>
          <w:sz w:val="20"/>
          <w:szCs w:val="20"/>
          <w:lang w:val="en"/>
        </w:rPr>
        <w:t xml:space="preserve"> Therefore, the Commission finds application of the exception established in Article 46(2)(a) of the Convention admissible. </w:t>
      </w:r>
    </w:p>
    <w:p w:rsidR="00BB3A45" w:rsidRPr="00BB3A45" w:rsidRDefault="00BB3A45" w:rsidP="00BB3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B3A45">
        <w:rPr>
          <w:rFonts w:asciiTheme="majorHAnsi" w:hAnsiTheme="majorHAnsi"/>
          <w:sz w:val="20"/>
          <w:szCs w:val="20"/>
          <w:lang w:val="en"/>
        </w:rPr>
        <w:t>Regarding the adversarial administrative process, the Commission reiterates that for the purposes of determining the admissibility of the claim such as this one, a direct reparations process is not suitable, nor is its exhaustion necessary, as such a process is not adequate for providing comprehensive reparations and justice to the relatives.</w:t>
      </w:r>
      <w:r w:rsidRPr="00BB3A45">
        <w:rPr>
          <w:rFonts w:asciiTheme="majorHAnsi" w:hAnsiTheme="majorHAnsi"/>
          <w:sz w:val="20"/>
          <w:szCs w:val="20"/>
          <w:vertAlign w:val="superscript"/>
          <w:lang w:val="en"/>
        </w:rPr>
        <w:footnoteReference w:id="6"/>
      </w:r>
      <w:r w:rsidRPr="00BB3A45">
        <w:rPr>
          <w:rFonts w:asciiTheme="majorHAnsi" w:hAnsiTheme="majorHAnsi"/>
          <w:sz w:val="20"/>
          <w:szCs w:val="20"/>
          <w:lang w:val="en"/>
        </w:rPr>
        <w:t xml:space="preserve">  </w:t>
      </w:r>
    </w:p>
    <w:p w:rsidR="00BB3A45" w:rsidRPr="00BB3A45" w:rsidRDefault="00BB3A45" w:rsidP="00BB3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B3A45">
        <w:rPr>
          <w:rFonts w:asciiTheme="majorHAnsi" w:hAnsiTheme="majorHAnsi"/>
          <w:sz w:val="20"/>
          <w:szCs w:val="20"/>
          <w:lang w:val="en"/>
        </w:rPr>
        <w:t xml:space="preserve">As far as the filing period, as an exception to the requirement of exhaustion of domestic remedies has been applied, and the petition was received on April 23, 2008, with the material facts of the claim beginning on </w:t>
      </w:r>
      <w:r w:rsidRPr="00BB3A45">
        <w:rPr>
          <w:rFonts w:ascii="Cambria" w:hAnsi="Cambria"/>
          <w:sz w:val="20"/>
          <w:szCs w:val="20"/>
          <w:lang w:val="en"/>
        </w:rPr>
        <w:t xml:space="preserve">June 25, 2003, and its </w:t>
      </w:r>
      <w:r w:rsidRPr="00BB3A45">
        <w:rPr>
          <w:rFonts w:asciiTheme="majorHAnsi" w:hAnsiTheme="majorHAnsi"/>
          <w:sz w:val="20"/>
          <w:szCs w:val="20"/>
          <w:lang w:val="en"/>
        </w:rPr>
        <w:t xml:space="preserve">effects as far as the allegations of denial of justice extending to the present, the Commission finds, in light of the context and characteristics of this case, that the petition was presented within a reasonable period of time. </w:t>
      </w:r>
    </w:p>
    <w:p w:rsidR="00BB3A45" w:rsidRPr="00BB3A45" w:rsidRDefault="00BB3A45" w:rsidP="00BB3A45">
      <w:pPr>
        <w:spacing w:before="240" w:after="240"/>
        <w:ind w:left="720"/>
        <w:jc w:val="both"/>
        <w:rPr>
          <w:rFonts w:asciiTheme="majorHAnsi" w:eastAsia="Cambria" w:hAnsiTheme="majorHAnsi" w:cs="Cambria"/>
          <w:b/>
          <w:color w:val="000000"/>
          <w:sz w:val="20"/>
          <w:szCs w:val="20"/>
          <w:u w:color="000000"/>
          <w:lang w:eastAsia="es-ES"/>
        </w:rPr>
      </w:pPr>
      <w:r w:rsidRPr="00BB3A45">
        <w:rPr>
          <w:rFonts w:asciiTheme="majorHAnsi" w:eastAsia="Cambria" w:hAnsiTheme="majorHAnsi" w:cs="Cambria"/>
          <w:b/>
          <w:bCs/>
          <w:color w:val="000000"/>
          <w:sz w:val="20"/>
          <w:szCs w:val="20"/>
          <w:u w:color="000000"/>
          <w:lang w:val="en" w:eastAsia="es-ES"/>
        </w:rPr>
        <w:t>VII.</w:t>
      </w:r>
      <w:r w:rsidRPr="00BB3A45">
        <w:rPr>
          <w:rFonts w:asciiTheme="majorHAnsi" w:eastAsia="Cambria" w:hAnsiTheme="majorHAnsi" w:cs="Cambria"/>
          <w:b/>
          <w:bCs/>
          <w:color w:val="000000"/>
          <w:sz w:val="20"/>
          <w:szCs w:val="20"/>
          <w:u w:color="000000"/>
          <w:lang w:val="en" w:eastAsia="es-ES"/>
        </w:rPr>
        <w:tab/>
        <w:t>COLORABLE CLAIM</w:t>
      </w:r>
    </w:p>
    <w:p w:rsidR="00BB3A45" w:rsidRPr="00BB3A45" w:rsidRDefault="00BB3A45" w:rsidP="00BB3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B3A45">
        <w:rPr>
          <w:rFonts w:asciiTheme="majorHAnsi" w:hAnsiTheme="majorHAnsi"/>
          <w:sz w:val="20"/>
          <w:szCs w:val="20"/>
          <w:lang w:val="en"/>
        </w:rPr>
        <w:t xml:space="preserve">In view of the elements presented and the nature of the matter under consideration, the Commission finds that due to the nature of the pleadings of facts law presented by the parties largely disagree, they must be analyzed in the merits stage. Thus, should they be proven, the alleged improper actions of State agents in the death of the alleged victims, as well as the military court investigation, the alleged displacement of the relatives as a result of these facts, and the failure to provide reparations could represent possible violations of the rights recognized in </w:t>
      </w:r>
      <w:r w:rsidR="00693CC7">
        <w:rPr>
          <w:rFonts w:asciiTheme="majorHAnsi" w:hAnsiTheme="majorHAnsi"/>
          <w:sz w:val="20"/>
          <w:szCs w:val="20"/>
          <w:lang w:val="en"/>
        </w:rPr>
        <w:t>Article</w:t>
      </w:r>
      <w:r w:rsidRPr="00BB3A45">
        <w:rPr>
          <w:rFonts w:asciiTheme="majorHAnsi" w:hAnsiTheme="majorHAnsi"/>
          <w:sz w:val="20"/>
          <w:szCs w:val="20"/>
          <w:lang w:val="en"/>
        </w:rPr>
        <w:t xml:space="preserve">s 4 (right to life), 8 (right to humane </w:t>
      </w:r>
      <w:r w:rsidRPr="00BB3A45">
        <w:rPr>
          <w:rFonts w:asciiTheme="majorHAnsi" w:hAnsiTheme="majorHAnsi"/>
          <w:sz w:val="20"/>
          <w:szCs w:val="20"/>
          <w:lang w:val="en"/>
        </w:rPr>
        <w:lastRenderedPageBreak/>
        <w:t xml:space="preserve">treatment), and 25 (judicial protection) of the America Convention, to the detriment of </w:t>
      </w:r>
      <w:r w:rsidRPr="00BB3A45">
        <w:rPr>
          <w:rFonts w:ascii="Cambria" w:hAnsi="Cambria"/>
          <w:sz w:val="20"/>
          <w:szCs w:val="20"/>
          <w:lang w:val="en"/>
        </w:rPr>
        <w:t xml:space="preserve">Mr. Ocampo Henao and Mr. Corrales Ocampo, as well as </w:t>
      </w:r>
      <w:r w:rsidR="00693CC7">
        <w:rPr>
          <w:rFonts w:ascii="Cambria" w:hAnsi="Cambria"/>
          <w:sz w:val="20"/>
          <w:szCs w:val="20"/>
          <w:lang w:val="en"/>
        </w:rPr>
        <w:t>Article</w:t>
      </w:r>
      <w:r w:rsidRPr="00BB3A45">
        <w:rPr>
          <w:rFonts w:ascii="Cambria" w:hAnsi="Cambria"/>
          <w:sz w:val="20"/>
          <w:szCs w:val="20"/>
          <w:lang w:val="en"/>
        </w:rPr>
        <w:t xml:space="preserve">s </w:t>
      </w:r>
      <w:r w:rsidRPr="00BB3A45">
        <w:rPr>
          <w:rFonts w:asciiTheme="majorHAnsi" w:hAnsiTheme="majorHAnsi"/>
          <w:sz w:val="20"/>
          <w:szCs w:val="20"/>
          <w:lang w:val="en"/>
        </w:rPr>
        <w:t xml:space="preserve">5 (humane treatment), 8, 11 (right to honor and dignity), 22 (right to movement and residency) and 25, to the detriment of their relatives, all in conjunction with the obligations enshrined in </w:t>
      </w:r>
      <w:r w:rsidR="00693CC7">
        <w:rPr>
          <w:rFonts w:asciiTheme="majorHAnsi" w:hAnsiTheme="majorHAnsi"/>
          <w:sz w:val="20"/>
          <w:szCs w:val="20"/>
          <w:lang w:val="en"/>
        </w:rPr>
        <w:t>Article</w:t>
      </w:r>
      <w:r w:rsidRPr="00BB3A45">
        <w:rPr>
          <w:rFonts w:asciiTheme="majorHAnsi" w:hAnsiTheme="majorHAnsi"/>
          <w:sz w:val="20"/>
          <w:szCs w:val="20"/>
          <w:lang w:val="en"/>
        </w:rPr>
        <w:t xml:space="preserve">s 1(1) (obligation to respect rights) and 2 (duty to adopt domestic legal provisions). </w:t>
      </w:r>
    </w:p>
    <w:p w:rsidR="00BB3A45" w:rsidRPr="00BB3A45" w:rsidRDefault="00BB3A45" w:rsidP="00BB3A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rPr>
      </w:pPr>
      <w:r w:rsidRPr="00BB3A45">
        <w:rPr>
          <w:rFonts w:asciiTheme="majorHAnsi" w:hAnsiTheme="majorHAnsi"/>
          <w:b/>
          <w:bCs/>
          <w:sz w:val="20"/>
          <w:szCs w:val="20"/>
          <w:lang w:val="en"/>
        </w:rPr>
        <w:t xml:space="preserve">VIII. </w:t>
      </w:r>
      <w:r w:rsidRPr="00BB3A45">
        <w:rPr>
          <w:rFonts w:asciiTheme="majorHAnsi" w:hAnsiTheme="majorHAnsi"/>
          <w:sz w:val="20"/>
          <w:szCs w:val="20"/>
          <w:lang w:val="en"/>
        </w:rPr>
        <w:tab/>
      </w:r>
      <w:r w:rsidRPr="00BB3A45">
        <w:rPr>
          <w:rFonts w:asciiTheme="majorHAnsi" w:hAnsiTheme="majorHAnsi"/>
          <w:b/>
          <w:bCs/>
          <w:sz w:val="20"/>
          <w:szCs w:val="20"/>
          <w:lang w:val="en"/>
        </w:rPr>
        <w:t>THE INTER-AMERICAN COMMISSION ON HUMAN RIGHTS DECIDES</w:t>
      </w:r>
    </w:p>
    <w:p w:rsidR="00BB3A45" w:rsidRPr="00BB3A45" w:rsidRDefault="00BB3A45" w:rsidP="00BB3A45">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3A45">
        <w:rPr>
          <w:rFonts w:asciiTheme="majorHAnsi" w:hAnsiTheme="majorHAnsi"/>
          <w:sz w:val="20"/>
          <w:szCs w:val="20"/>
          <w:lang w:val="en"/>
        </w:rPr>
        <w:t xml:space="preserve">To declare this petition admissible in conjunction with </w:t>
      </w:r>
      <w:r w:rsidR="00693CC7">
        <w:rPr>
          <w:rFonts w:asciiTheme="majorHAnsi" w:hAnsiTheme="majorHAnsi"/>
          <w:sz w:val="20"/>
          <w:szCs w:val="20"/>
          <w:lang w:val="en"/>
        </w:rPr>
        <w:t>Article</w:t>
      </w:r>
      <w:r w:rsidRPr="00BB3A45">
        <w:rPr>
          <w:rFonts w:asciiTheme="majorHAnsi" w:hAnsiTheme="majorHAnsi"/>
          <w:sz w:val="20"/>
          <w:szCs w:val="20"/>
          <w:lang w:val="en"/>
        </w:rPr>
        <w:t>s 4, 5, 8, 11, 22, and 25 of the Ameri</w:t>
      </w:r>
      <w:r w:rsidR="00693CC7">
        <w:rPr>
          <w:rFonts w:asciiTheme="majorHAnsi" w:hAnsiTheme="majorHAnsi"/>
          <w:sz w:val="20"/>
          <w:szCs w:val="20"/>
          <w:lang w:val="en"/>
        </w:rPr>
        <w:t>can Convention, in relation to A</w:t>
      </w:r>
      <w:r w:rsidRPr="00BB3A45">
        <w:rPr>
          <w:rFonts w:asciiTheme="majorHAnsi" w:hAnsiTheme="majorHAnsi"/>
          <w:sz w:val="20"/>
          <w:szCs w:val="20"/>
          <w:lang w:val="en"/>
        </w:rPr>
        <w:t>rticles 1(1) and 2 of the American Convention;</w:t>
      </w:r>
    </w:p>
    <w:p w:rsidR="00BB3A45" w:rsidRPr="00BB3A45" w:rsidRDefault="00BB3A45" w:rsidP="00BB3A45">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3A45">
        <w:rPr>
          <w:rFonts w:asciiTheme="majorHAnsi" w:hAnsiTheme="majorHAnsi"/>
          <w:sz w:val="20"/>
          <w:szCs w:val="20"/>
          <w:lang w:val="en"/>
        </w:rPr>
        <w:t>To notify the parties of this decision;</w:t>
      </w:r>
    </w:p>
    <w:p w:rsidR="00BB3A45" w:rsidRPr="00BB3A45" w:rsidRDefault="00BB3A45" w:rsidP="00BB3A45">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3A45">
        <w:rPr>
          <w:rFonts w:asciiTheme="majorHAnsi" w:hAnsiTheme="majorHAnsi"/>
          <w:sz w:val="20"/>
          <w:szCs w:val="20"/>
          <w:lang w:val="en"/>
        </w:rPr>
        <w:t>To continue with the analysis of the merits of this matter; and</w:t>
      </w:r>
    </w:p>
    <w:p w:rsidR="00BB3A45" w:rsidRPr="00BB3A45" w:rsidRDefault="00BB3A45" w:rsidP="00BB3A45">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3A45">
        <w:rPr>
          <w:rFonts w:asciiTheme="majorHAnsi" w:hAnsiTheme="majorHAnsi"/>
          <w:sz w:val="20"/>
          <w:szCs w:val="20"/>
          <w:lang w:val="en"/>
        </w:rPr>
        <w:t>To publish this ruling and include it in its Annual Report to the General Assembly of the Organization of American States.</w:t>
      </w:r>
    </w:p>
    <w:p w:rsidR="0092069B" w:rsidRPr="00316EBF" w:rsidRDefault="0092069B" w:rsidP="0092069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316EBF">
        <w:rPr>
          <w:rFonts w:ascii="Cambria" w:eastAsia="Times New Roman" w:hAnsi="Cambria"/>
          <w:snapToGrid w:val="0"/>
          <w:spacing w:val="-2"/>
          <w:sz w:val="20"/>
          <w:szCs w:val="20"/>
          <w:bdr w:val="none" w:sz="0" w:space="0" w:color="auto"/>
        </w:rPr>
        <w:t xml:space="preserve">Done and signed in the city of </w:t>
      </w:r>
      <w:r>
        <w:rPr>
          <w:rFonts w:ascii="Cambria" w:eastAsia="Times New Roman" w:hAnsi="Cambria"/>
          <w:snapToGrid w:val="0"/>
          <w:spacing w:val="-2"/>
          <w:sz w:val="20"/>
          <w:szCs w:val="20"/>
          <w:bdr w:val="none" w:sz="0" w:space="0" w:color="auto"/>
        </w:rPr>
        <w:t>San Francisco, California</w:t>
      </w:r>
      <w:r w:rsidRPr="00316EBF">
        <w:rPr>
          <w:rFonts w:ascii="Cambria" w:eastAsia="Times New Roman" w:hAnsi="Cambria"/>
          <w:snapToGrid w:val="0"/>
          <w:spacing w:val="-2"/>
          <w:sz w:val="20"/>
          <w:szCs w:val="20"/>
          <w:bdr w:val="none" w:sz="0" w:space="0" w:color="auto"/>
        </w:rPr>
        <w:t xml:space="preserve">, on the </w:t>
      </w:r>
      <w:r>
        <w:rPr>
          <w:rFonts w:ascii="Cambria" w:eastAsia="Times New Roman" w:hAnsi="Cambria"/>
          <w:snapToGrid w:val="0"/>
          <w:spacing w:val="-2"/>
          <w:sz w:val="20"/>
          <w:szCs w:val="20"/>
          <w:bdr w:val="none" w:sz="0" w:space="0" w:color="auto"/>
        </w:rPr>
        <w:t>27</w:t>
      </w:r>
      <w:r w:rsidRPr="00316EBF">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February</w:t>
      </w:r>
      <w:r w:rsidRPr="00316EBF">
        <w:rPr>
          <w:rFonts w:ascii="Cambria" w:eastAsia="Times New Roman" w:hAnsi="Cambria"/>
          <w:snapToGrid w:val="0"/>
          <w:spacing w:val="-2"/>
          <w:sz w:val="20"/>
          <w:szCs w:val="20"/>
          <w:bdr w:val="none" w:sz="0" w:space="0" w:color="auto"/>
        </w:rPr>
        <w:t>, 201</w:t>
      </w:r>
      <w:r>
        <w:rPr>
          <w:rFonts w:ascii="Cambria" w:eastAsia="Times New Roman" w:hAnsi="Cambria"/>
          <w:snapToGrid w:val="0"/>
          <w:spacing w:val="-2"/>
          <w:sz w:val="20"/>
          <w:szCs w:val="20"/>
          <w:bdr w:val="none" w:sz="0" w:space="0" w:color="auto"/>
        </w:rPr>
        <w:t>7</w:t>
      </w:r>
      <w:r w:rsidRPr="00316EBF">
        <w:rPr>
          <w:rFonts w:ascii="Cambria" w:eastAsia="Times New Roman" w:hAnsi="Cambria"/>
          <w:snapToGrid w:val="0"/>
          <w:spacing w:val="-2"/>
          <w:sz w:val="20"/>
          <w:szCs w:val="20"/>
          <w:bdr w:val="none" w:sz="0" w:space="0" w:color="auto"/>
        </w:rPr>
        <w:t xml:space="preserve">. (Signed):  </w:t>
      </w:r>
      <w:r w:rsidRPr="00316EBF">
        <w:rPr>
          <w:rFonts w:ascii="Cambria" w:eastAsia="Times New Roman" w:hAnsi="Cambria" w:cs="Arial"/>
          <w:noProof/>
          <w:snapToGrid w:val="0"/>
          <w:spacing w:val="-2"/>
          <w:sz w:val="20"/>
          <w:szCs w:val="20"/>
          <w:bdr w:val="none" w:sz="0" w:space="0" w:color="auto"/>
        </w:rPr>
        <w:t xml:space="preserve">James L. Cavallaro, </w:t>
      </w:r>
      <w:r w:rsidRPr="00316EBF">
        <w:rPr>
          <w:rFonts w:ascii="Cambria" w:eastAsia="Times New Roman" w:hAnsi="Cambria"/>
          <w:snapToGrid w:val="0"/>
          <w:sz w:val="20"/>
          <w:szCs w:val="20"/>
          <w:bdr w:val="none" w:sz="0" w:space="0" w:color="auto"/>
        </w:rPr>
        <w:t xml:space="preserve">President; </w:t>
      </w:r>
      <w:r w:rsidRPr="00316EBF">
        <w:rPr>
          <w:rFonts w:ascii="Cambria" w:eastAsia="Times New Roman" w:hAnsi="Cambria" w:cs="Arial"/>
          <w:noProof/>
          <w:snapToGrid w:val="0"/>
          <w:spacing w:val="-2"/>
          <w:sz w:val="20"/>
          <w:szCs w:val="20"/>
          <w:bdr w:val="none" w:sz="0" w:space="0" w:color="auto"/>
        </w:rPr>
        <w:t>Francisco José Eguiguren</w:t>
      </w:r>
      <w:r w:rsidRPr="00316EBF">
        <w:rPr>
          <w:rFonts w:ascii="Cambria" w:eastAsia="Times New Roman" w:hAnsi="Cambria"/>
          <w:snapToGrid w:val="0"/>
          <w:spacing w:val="-2"/>
          <w:sz w:val="20"/>
          <w:szCs w:val="20"/>
          <w:bdr w:val="none" w:sz="0" w:space="0" w:color="auto"/>
        </w:rPr>
        <w:t>, First Vice President;</w:t>
      </w:r>
      <w:r w:rsidRPr="00316EBF">
        <w:rPr>
          <w:rFonts w:ascii="Cambria" w:eastAsia="Times New Roman" w:hAnsi="Cambria" w:cs="Arial"/>
          <w:noProof/>
          <w:snapToGrid w:val="0"/>
          <w:spacing w:val="-2"/>
          <w:sz w:val="20"/>
          <w:szCs w:val="20"/>
          <w:bdr w:val="none" w:sz="0" w:space="0" w:color="auto"/>
        </w:rPr>
        <w:t xml:space="preserve"> Margarette May Macaulay, Second Vice President;</w:t>
      </w:r>
      <w:r w:rsidRPr="00316EBF">
        <w:rPr>
          <w:rFonts w:ascii="Cambria" w:eastAsia="Times New Roman" w:hAnsi="Cambria"/>
          <w:snapToGrid w:val="0"/>
          <w:sz w:val="20"/>
          <w:szCs w:val="20"/>
          <w:bdr w:val="none" w:sz="0" w:space="0" w:color="auto"/>
        </w:rPr>
        <w:t xml:space="preserve"> </w:t>
      </w:r>
      <w:r>
        <w:rPr>
          <w:rFonts w:ascii="Cambria" w:eastAsia="Times New Roman" w:hAnsi="Cambria" w:cs="Arial"/>
          <w:noProof/>
          <w:snapToGrid w:val="0"/>
          <w:spacing w:val="-2"/>
          <w:sz w:val="20"/>
          <w:szCs w:val="20"/>
          <w:bdr w:val="none" w:sz="0" w:space="0" w:color="auto"/>
        </w:rPr>
        <w:t>José de Jesús Orozco Henríquez</w:t>
      </w:r>
      <w:r w:rsidRPr="00316EBF">
        <w:rPr>
          <w:rFonts w:ascii="Cambria" w:eastAsia="Times New Roman" w:hAnsi="Cambria" w:cs="Arial"/>
          <w:noProof/>
          <w:snapToGrid w:val="0"/>
          <w:spacing w:val="-2"/>
          <w:sz w:val="20"/>
          <w:szCs w:val="20"/>
          <w:bdr w:val="none" w:sz="0" w:space="0" w:color="auto"/>
        </w:rPr>
        <w:t>,</w:t>
      </w:r>
      <w:r>
        <w:rPr>
          <w:rFonts w:ascii="Cambria" w:eastAsia="Times New Roman" w:hAnsi="Cambria" w:cs="Arial"/>
          <w:noProof/>
          <w:snapToGrid w:val="0"/>
          <w:spacing w:val="-2"/>
          <w:sz w:val="20"/>
          <w:szCs w:val="20"/>
          <w:bdr w:val="none" w:sz="0" w:space="0" w:color="auto"/>
        </w:rPr>
        <w:t xml:space="preserve"> and</w:t>
      </w:r>
      <w:r w:rsidRPr="00316EBF">
        <w:rPr>
          <w:rFonts w:ascii="Cambria" w:eastAsia="Times New Roman" w:hAnsi="Cambria" w:cs="Arial"/>
          <w:noProof/>
          <w:snapToGrid w:val="0"/>
          <w:spacing w:val="-2"/>
          <w:sz w:val="20"/>
          <w:szCs w:val="20"/>
          <w:bdr w:val="none" w:sz="0" w:space="0" w:color="auto"/>
        </w:rPr>
        <w:t xml:space="preserve"> Esmeralda E. Arosemen</w:t>
      </w:r>
      <w:r>
        <w:rPr>
          <w:rFonts w:ascii="Cambria" w:eastAsia="Times New Roman" w:hAnsi="Cambria" w:cs="Arial"/>
          <w:noProof/>
          <w:snapToGrid w:val="0"/>
          <w:spacing w:val="-2"/>
          <w:sz w:val="20"/>
          <w:szCs w:val="20"/>
          <w:bdr w:val="none" w:sz="0" w:space="0" w:color="auto"/>
        </w:rPr>
        <w:t xml:space="preserve">a Bernal de Troitiño, </w:t>
      </w:r>
      <w:r w:rsidRPr="00316EBF">
        <w:rPr>
          <w:rFonts w:ascii="Cambria" w:eastAsia="Times New Roman" w:hAnsi="Cambria"/>
          <w:snapToGrid w:val="0"/>
          <w:spacing w:val="-2"/>
          <w:sz w:val="20"/>
          <w:szCs w:val="20"/>
          <w:bdr w:val="none" w:sz="0" w:space="0" w:color="auto"/>
        </w:rPr>
        <w:t>Commissioners.</w:t>
      </w:r>
    </w:p>
    <w:p w:rsidR="00BB3A45" w:rsidRPr="00BB3A45" w:rsidRDefault="00BB3A45" w:rsidP="00BB3A45">
      <w:pPr>
        <w:rPr>
          <w:rFonts w:ascii="Cambria" w:hAnsi="Cambria" w:cs="Calibri"/>
          <w:sz w:val="20"/>
          <w:szCs w:val="20"/>
        </w:rPr>
      </w:pPr>
    </w:p>
    <w:p w:rsidR="00C55560" w:rsidRPr="00145EDC" w:rsidRDefault="00C55560" w:rsidP="00BB3A45">
      <w:pPr>
        <w:tabs>
          <w:tab w:val="center" w:pos="5400"/>
        </w:tabs>
        <w:ind w:firstLine="720"/>
        <w:jc w:val="center"/>
        <w:rPr>
          <w:rFonts w:asciiTheme="majorHAnsi" w:hAnsiTheme="majorHAnsi"/>
          <w:sz w:val="20"/>
          <w:szCs w:val="20"/>
        </w:rPr>
      </w:pPr>
    </w:p>
    <w:sectPr w:rsidR="00C55560" w:rsidRPr="00145EDC" w:rsidSect="00BB3A4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28" w:rsidRDefault="00735928" w:rsidP="00036A8A">
      <w:r>
        <w:separator/>
      </w:r>
    </w:p>
  </w:endnote>
  <w:endnote w:type="continuationSeparator" w:id="0">
    <w:p w:rsidR="00735928" w:rsidRDefault="0073592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05" w:rsidRDefault="006B2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B2605">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28" w:rsidRPr="00036A8A" w:rsidRDefault="0073592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35928" w:rsidRPr="00036A8A" w:rsidRDefault="00735928" w:rsidP="00036A8A">
      <w:pPr>
        <w:rPr>
          <w:rFonts w:asciiTheme="majorHAnsi" w:hAnsiTheme="majorHAnsi"/>
          <w:sz w:val="16"/>
          <w:szCs w:val="16"/>
        </w:rPr>
      </w:pPr>
      <w:r w:rsidRPr="00036A8A">
        <w:rPr>
          <w:rFonts w:asciiTheme="majorHAnsi" w:hAnsiTheme="majorHAnsi"/>
          <w:sz w:val="16"/>
          <w:szCs w:val="16"/>
        </w:rPr>
        <w:separator/>
      </w:r>
    </w:p>
    <w:p w:rsidR="00735928" w:rsidRPr="00036A8A" w:rsidRDefault="0073592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735928" w:rsidRPr="0093441A" w:rsidRDefault="0073592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BB3A45" w:rsidRPr="006E5CDA" w:rsidRDefault="00BB3A45" w:rsidP="00BB3A45">
      <w:pPr>
        <w:pStyle w:val="FootnoteText"/>
        <w:spacing w:before="120"/>
        <w:ind w:firstLine="720"/>
        <w:jc w:val="both"/>
        <w:rPr>
          <w:rFonts w:asciiTheme="majorHAnsi" w:hAnsiTheme="majorHAnsi"/>
          <w:color w:val="0070C0"/>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Commissioner Enrique Gil Botero, of Colombian nationality, did not participate in the deliberations nor in the decision in this case, in keeping with the provisions of Article 17(2)(a) of the Rules of Procedure of the Commission. </w:t>
      </w:r>
    </w:p>
  </w:footnote>
  <w:footnote w:id="3">
    <w:p w:rsidR="00BB3A45" w:rsidRPr="006E5CDA" w:rsidRDefault="00BB3A45" w:rsidP="00BB3A45">
      <w:pPr>
        <w:pStyle w:val="FootnoteText"/>
        <w:spacing w:before="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All these comments were duly forwarded to the counter-party.</w:t>
      </w:r>
    </w:p>
  </w:footnote>
  <w:footnote w:id="4">
    <w:p w:rsidR="00BB3A45" w:rsidRPr="006E5CDA" w:rsidRDefault="00BB3A45" w:rsidP="00BB3A45">
      <w:pPr>
        <w:pStyle w:val="FootnoteText"/>
        <w:spacing w:before="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the “Convention” or the “American Convention.”</w:t>
      </w:r>
    </w:p>
  </w:footnote>
  <w:footnote w:id="5">
    <w:p w:rsidR="00BB3A45" w:rsidRPr="006E5CDA" w:rsidRDefault="00BB3A45" w:rsidP="00BB3A45">
      <w:pPr>
        <w:pStyle w:val="FootnoteText"/>
        <w:spacing w:before="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70/14. Petition 1453-06. Admissibility. </w:t>
      </w:r>
      <w:r w:rsidRPr="00D0209E">
        <w:rPr>
          <w:rFonts w:asciiTheme="majorHAnsi" w:hAnsiTheme="majorHAnsi"/>
          <w:sz w:val="16"/>
          <w:szCs w:val="16"/>
          <w:lang w:val="pt-BR"/>
        </w:rPr>
        <w:t xml:space="preserve">Maicon de Souza Silva. Renato da Silva Paixão et al. </w:t>
      </w:r>
      <w:r>
        <w:rPr>
          <w:rFonts w:asciiTheme="majorHAnsi" w:hAnsiTheme="majorHAnsi"/>
          <w:sz w:val="16"/>
          <w:szCs w:val="16"/>
          <w:lang w:val="en"/>
        </w:rPr>
        <w:t>July 25, 2014, para. 18.</w:t>
      </w:r>
    </w:p>
  </w:footnote>
  <w:footnote w:id="6">
    <w:p w:rsidR="00BB3A45" w:rsidRPr="006E5CDA" w:rsidRDefault="00BB3A45" w:rsidP="00BB3A45">
      <w:pPr>
        <w:pStyle w:val="FootnoteText"/>
        <w:spacing w:before="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72/16. Petition 694-06. Admissibility. </w:t>
      </w:r>
      <w:r w:rsidRPr="00760E2C">
        <w:rPr>
          <w:rFonts w:asciiTheme="majorHAnsi" w:hAnsiTheme="majorHAnsi"/>
          <w:sz w:val="16"/>
          <w:szCs w:val="16"/>
          <w:lang w:val="es-ES"/>
        </w:rPr>
        <w:t xml:space="preserve">Onofre Antonio de La Hoz Montero and Family. </w:t>
      </w:r>
      <w:r>
        <w:rPr>
          <w:rFonts w:asciiTheme="majorHAnsi" w:hAnsiTheme="majorHAnsi"/>
          <w:sz w:val="16"/>
          <w:szCs w:val="16"/>
          <w:lang w:val="en"/>
        </w:rPr>
        <w:t>Colombia. December 6, 2016, para.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0ECC229" wp14:editId="55E17E9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35928"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05" w:rsidRDefault="006B2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4"/>
    <w:lvl w:ilvl="0">
      <w:start w:val="2"/>
      <w:numFmt w:val="upperLetter"/>
      <w:lvlText w:val="%1."/>
      <w:lvlJc w:val="left"/>
      <w:pPr>
        <w:tabs>
          <w:tab w:val="num" w:pos="720"/>
        </w:tabs>
        <w:ind w:left="720" w:hanging="360"/>
      </w:pPr>
      <w:rPr>
        <w:rFonts w:hint="default"/>
      </w:rPr>
    </w:lvl>
  </w:abstractNum>
  <w:abstractNum w:abstractNumId="1">
    <w:nsid w:val="0000000A"/>
    <w:multiLevelType w:val="singleLevel"/>
    <w:tmpl w:val="0000000A"/>
    <w:name w:val="WW8Num52"/>
    <w:lvl w:ilvl="0">
      <w:start w:val="1"/>
      <w:numFmt w:val="decimal"/>
      <w:lvlText w:val="%1."/>
      <w:lvlJc w:val="left"/>
      <w:pPr>
        <w:tabs>
          <w:tab w:val="num" w:pos="720"/>
        </w:tabs>
        <w:ind w:left="1440" w:hanging="360"/>
      </w:pPr>
      <w:rPr>
        <w:b/>
        <w:i w:val="0"/>
        <w:sz w:val="22"/>
        <w:szCs w:val="22"/>
      </w:rPr>
    </w:lvl>
  </w:abstractNum>
  <w:abstractNum w:abstractNumId="2">
    <w:nsid w:val="0000000B"/>
    <w:multiLevelType w:val="singleLevel"/>
    <w:tmpl w:val="0000000B"/>
    <w:name w:val="WW8Num54"/>
    <w:lvl w:ilvl="0">
      <w:start w:val="1"/>
      <w:numFmt w:val="decimal"/>
      <w:lvlText w:val="%1."/>
      <w:lvlJc w:val="left"/>
      <w:pPr>
        <w:tabs>
          <w:tab w:val="num" w:pos="0"/>
        </w:tabs>
        <w:ind w:left="720" w:hanging="360"/>
      </w:pPr>
      <w:rPr>
        <w:rFonts w:hint="default"/>
        <w:lang w:val="es-ES"/>
      </w:rPr>
    </w:lvl>
  </w:abstractNum>
  <w:abstractNum w:abstractNumId="3">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0E1D2261"/>
    <w:multiLevelType w:val="hybridMultilevel"/>
    <w:tmpl w:val="2BD867AE"/>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7"/>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9"/>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4"/>
  </w:num>
  <w:num w:numId="9">
    <w:abstractNumId w:val="51"/>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3"/>
  </w:num>
  <w:num w:numId="54">
    <w:abstractNumId w:val="40"/>
  </w:num>
  <w:num w:numId="55">
    <w:abstractNumId w:val="41"/>
  </w:num>
  <w:num w:numId="56">
    <w:abstractNumId w:val="47"/>
  </w:num>
  <w:num w:numId="57">
    <w:abstractNumId w:val="4"/>
  </w:num>
  <w:num w:numId="58">
    <w:abstractNumId w:val="5"/>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3"/>
  </w:num>
  <w:num w:numId="95">
    <w:abstractNumId w:val="44"/>
  </w:num>
  <w:num w:numId="96">
    <w:abstractNumId w:val="55"/>
  </w:num>
  <w:num w:numId="97">
    <w:abstractNumId w:val="53"/>
  </w:num>
  <w:num w:numId="98">
    <w:abstractNumId w:val="48"/>
  </w:num>
  <w:num w:numId="99">
    <w:abstractNumId w:val="39"/>
  </w:num>
  <w:num w:numId="100">
    <w:abstractNumId w:val="6"/>
  </w:num>
  <w:num w:numId="101">
    <w:abstractNumId w:val="28"/>
  </w:num>
  <w:num w:numId="102">
    <w:abstractNumId w:val="50"/>
  </w:num>
  <w:num w:numId="103">
    <w:abstractNumId w:val="8"/>
  </w:num>
  <w:num w:numId="104">
    <w:abstractNumId w:val="0"/>
  </w:num>
  <w:num w:numId="105">
    <w:abstractNumId w:val="1"/>
  </w:num>
  <w:num w:numId="106">
    <w:abstractNumId w:val="2"/>
  </w:num>
  <w:num w:numId="107">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56160"/>
    <w:rsid w:val="000639C0"/>
    <w:rsid w:val="00070F3A"/>
    <w:rsid w:val="000716C5"/>
    <w:rsid w:val="00075E23"/>
    <w:rsid w:val="00092F32"/>
    <w:rsid w:val="0009344A"/>
    <w:rsid w:val="000A575F"/>
    <w:rsid w:val="000D10DB"/>
    <w:rsid w:val="0013104F"/>
    <w:rsid w:val="00137EBA"/>
    <w:rsid w:val="00145EDC"/>
    <w:rsid w:val="00167A34"/>
    <w:rsid w:val="0018037F"/>
    <w:rsid w:val="00181EB8"/>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4D49"/>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4E7693"/>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53490"/>
    <w:rsid w:val="0068009E"/>
    <w:rsid w:val="00693CC7"/>
    <w:rsid w:val="006A17D2"/>
    <w:rsid w:val="006A73E6"/>
    <w:rsid w:val="006B2605"/>
    <w:rsid w:val="006B2D5C"/>
    <w:rsid w:val="006C4EB1"/>
    <w:rsid w:val="006E0166"/>
    <w:rsid w:val="006E7B34"/>
    <w:rsid w:val="00701B24"/>
    <w:rsid w:val="00735928"/>
    <w:rsid w:val="00745899"/>
    <w:rsid w:val="007607C4"/>
    <w:rsid w:val="00760E2C"/>
    <w:rsid w:val="0076643F"/>
    <w:rsid w:val="007A2F70"/>
    <w:rsid w:val="007C3334"/>
    <w:rsid w:val="007C52BB"/>
    <w:rsid w:val="007D2B98"/>
    <w:rsid w:val="00803F1C"/>
    <w:rsid w:val="0080600E"/>
    <w:rsid w:val="00817612"/>
    <w:rsid w:val="00837C45"/>
    <w:rsid w:val="00850D85"/>
    <w:rsid w:val="00853419"/>
    <w:rsid w:val="00896DD7"/>
    <w:rsid w:val="00897E12"/>
    <w:rsid w:val="008D43BA"/>
    <w:rsid w:val="008E3759"/>
    <w:rsid w:val="009041DC"/>
    <w:rsid w:val="009104B4"/>
    <w:rsid w:val="0092069B"/>
    <w:rsid w:val="00925FCD"/>
    <w:rsid w:val="0093441A"/>
    <w:rsid w:val="00954BF7"/>
    <w:rsid w:val="0096706E"/>
    <w:rsid w:val="00981FBA"/>
    <w:rsid w:val="009B381B"/>
    <w:rsid w:val="009D7611"/>
    <w:rsid w:val="009E53DE"/>
    <w:rsid w:val="00A43458"/>
    <w:rsid w:val="00A528D1"/>
    <w:rsid w:val="00A66BE5"/>
    <w:rsid w:val="00A77FFD"/>
    <w:rsid w:val="00AD37C1"/>
    <w:rsid w:val="00AE66EC"/>
    <w:rsid w:val="00AE6F91"/>
    <w:rsid w:val="00AF5571"/>
    <w:rsid w:val="00B167E9"/>
    <w:rsid w:val="00B314DB"/>
    <w:rsid w:val="00B31EBE"/>
    <w:rsid w:val="00B3718B"/>
    <w:rsid w:val="00B4632A"/>
    <w:rsid w:val="00BA276C"/>
    <w:rsid w:val="00BB306F"/>
    <w:rsid w:val="00BB3A45"/>
    <w:rsid w:val="00BD232B"/>
    <w:rsid w:val="00BD4B89"/>
    <w:rsid w:val="00C21762"/>
    <w:rsid w:val="00C24543"/>
    <w:rsid w:val="00C256A2"/>
    <w:rsid w:val="00C3492D"/>
    <w:rsid w:val="00C50170"/>
    <w:rsid w:val="00C55560"/>
    <w:rsid w:val="00C66B72"/>
    <w:rsid w:val="00C9567A"/>
    <w:rsid w:val="00CB2660"/>
    <w:rsid w:val="00CC5E90"/>
    <w:rsid w:val="00CD046C"/>
    <w:rsid w:val="00CD09FB"/>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7FFD"/>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A77FFD"/>
    <w:rPr>
      <w:rFonts w:ascii="Arial" w:eastAsia="Times New Roman" w:hAnsi="Arial" w:cs="Arial"/>
      <w:b/>
      <w:bCs/>
      <w:i/>
      <w:iCs/>
      <w:sz w:val="28"/>
      <w:szCs w:val="28"/>
      <w:bdr w:val="none" w:sz="0" w:space="0" w:color="auto"/>
      <w:lang w:val="en-US" w:eastAsia="zh-CN"/>
    </w:rPr>
  </w:style>
  <w:style w:type="character" w:customStyle="1" w:styleId="Caracteresdenotaalpie">
    <w:name w:val="Caracteres de nota al pie"/>
    <w:rsid w:val="00A77FFD"/>
    <w:rPr>
      <w:vertAlign w:val="superscript"/>
    </w:rPr>
  </w:style>
  <w:style w:type="paragraph" w:customStyle="1" w:styleId="Prrafodelista">
    <w:name w:val="Párrafo de lista"/>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table" w:styleId="TableGrid">
    <w:name w:val="Table Grid"/>
    <w:basedOn w:val="TableNormal"/>
    <w:uiPriority w:val="59"/>
    <w:rsid w:val="00BB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7FFD"/>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A77FFD"/>
    <w:rPr>
      <w:rFonts w:ascii="Arial" w:eastAsia="Times New Roman" w:hAnsi="Arial" w:cs="Arial"/>
      <w:b/>
      <w:bCs/>
      <w:i/>
      <w:iCs/>
      <w:sz w:val="28"/>
      <w:szCs w:val="28"/>
      <w:bdr w:val="none" w:sz="0" w:space="0" w:color="auto"/>
      <w:lang w:val="en-US" w:eastAsia="zh-CN"/>
    </w:rPr>
  </w:style>
  <w:style w:type="character" w:customStyle="1" w:styleId="Caracteresdenotaalpie">
    <w:name w:val="Caracteres de nota al pie"/>
    <w:rsid w:val="00A77FFD"/>
    <w:rPr>
      <w:vertAlign w:val="superscript"/>
    </w:rPr>
  </w:style>
  <w:style w:type="paragraph" w:customStyle="1" w:styleId="Prrafodelista">
    <w:name w:val="Párrafo de lista"/>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table" w:styleId="TableGrid">
    <w:name w:val="Table Grid"/>
    <w:basedOn w:val="TableNormal"/>
    <w:uiPriority w:val="59"/>
    <w:rsid w:val="00BB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62AF82B995411E896B20814BA89454"/>
        <w:category>
          <w:name w:val="General"/>
          <w:gallery w:val="placeholder"/>
        </w:category>
        <w:types>
          <w:type w:val="bbPlcHdr"/>
        </w:types>
        <w:behaviors>
          <w:behavior w:val="content"/>
        </w:behaviors>
        <w:guid w:val="{CBF39734-C561-44FE-BF19-C51EBA223C3A}"/>
      </w:docPartPr>
      <w:docPartBody>
        <w:p w:rsidR="00E439E3" w:rsidRDefault="006E7B8B" w:rsidP="006E7B8B">
          <w:pPr>
            <w:pStyle w:val="5B62AF82B995411E896B20814BA8945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8B"/>
    <w:rsid w:val="004F27F3"/>
    <w:rsid w:val="006E7B8B"/>
    <w:rsid w:val="00C44729"/>
    <w:rsid w:val="00E439E3"/>
    <w:rsid w:val="00E5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B8B"/>
    <w:rPr>
      <w:color w:val="808080"/>
    </w:rPr>
  </w:style>
  <w:style w:type="paragraph" w:customStyle="1" w:styleId="AAE2FA0C021B4035A0FDE15537EB5BC9">
    <w:name w:val="AAE2FA0C021B4035A0FDE15537EB5BC9"/>
    <w:rsid w:val="006E7B8B"/>
  </w:style>
  <w:style w:type="paragraph" w:customStyle="1" w:styleId="5B62AF82B995411E896B20814BA89454">
    <w:name w:val="5B62AF82B995411E896B20814BA89454"/>
    <w:rsid w:val="006E7B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B8B"/>
    <w:rPr>
      <w:color w:val="808080"/>
    </w:rPr>
  </w:style>
  <w:style w:type="paragraph" w:customStyle="1" w:styleId="AAE2FA0C021B4035A0FDE15537EB5BC9">
    <w:name w:val="AAE2FA0C021B4035A0FDE15537EB5BC9"/>
    <w:rsid w:val="006E7B8B"/>
  </w:style>
  <w:style w:type="paragraph" w:customStyle="1" w:styleId="5B62AF82B995411E896B20814BA89454">
    <w:name w:val="5B62AF82B995411E896B20814BA89454"/>
    <w:rsid w:val="006E7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1486-4280-498A-8121-3FEE0FD9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9186</Characters>
  <Application>Microsoft Office Word</Application>
  <DocSecurity>0</DocSecurity>
  <Lines>224</Lines>
  <Paragraphs>88</Paragraphs>
  <ScaleCrop>false</ScaleCrop>
  <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9/17</dc:title>
  <dc:creator/>
  <cp:lastModifiedBy/>
  <cp:revision>1</cp:revision>
  <dcterms:created xsi:type="dcterms:W3CDTF">2017-04-10T14:54:00Z</dcterms:created>
  <dcterms:modified xsi:type="dcterms:W3CDTF">2017-04-10T14:54:00Z</dcterms:modified>
</cp:coreProperties>
</file>