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60C103" w14:textId="77777777" w:rsidR="00037678" w:rsidRPr="00113082" w:rsidRDefault="0003198F"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rPr>
      </w:pPr>
      <w:r w:rsidRPr="00113082">
        <w:rPr>
          <w:noProof/>
        </w:rPr>
        <mc:AlternateContent>
          <mc:Choice Requires="wps">
            <w:drawing>
              <wp:anchor distT="0" distB="0" distL="114300" distR="114300" simplePos="0" relativeHeight="251654144" behindDoc="0" locked="0" layoutInCell="1" allowOverlap="1" wp14:anchorId="2213F741" wp14:editId="73012AF6">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F58DFE2"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sidRPr="00113082">
        <w:rPr>
          <w:noProof/>
        </w:rPr>
        <mc:AlternateContent>
          <mc:Choice Requires="wps">
            <w:drawing>
              <wp:anchor distT="0" distB="0" distL="114300" distR="114300" simplePos="0" relativeHeight="251658240" behindDoc="0" locked="0" layoutInCell="1" allowOverlap="1" wp14:anchorId="0EDA21F8" wp14:editId="6155F1A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B50BB4" w14:textId="77777777" w:rsidR="00C978D7" w:rsidRDefault="00C978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0DC8FBB" wp14:editId="2882B21B">
                                  <wp:extent cx="2514600" cy="485775"/>
                                  <wp:effectExtent l="0" t="0" r="0" b="952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14:paraId="59B50BB4" w14:textId="77777777" w:rsidR="00C978D7" w:rsidRDefault="00C978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00DC8FBB" wp14:editId="2882B21B">
                            <wp:extent cx="2514600" cy="485775"/>
                            <wp:effectExtent l="0" t="0" r="0" b="952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inline>
                        </w:drawing>
                      </w:r>
                      <w:r>
                        <w:t xml:space="preserve">                                               </w:t>
                      </w:r>
                    </w:p>
                  </w:txbxContent>
                </v:textbox>
              </v:shape>
            </w:pict>
          </mc:Fallback>
        </mc:AlternateContent>
      </w:r>
    </w:p>
    <w:p w14:paraId="05D9788B"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14:paraId="02F227EB"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rPr>
      </w:pPr>
    </w:p>
    <w:p w14:paraId="1EF2176C"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14:paraId="487954CA"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14:paraId="71B6AFF5"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rPr>
      </w:pPr>
    </w:p>
    <w:p w14:paraId="08893D66" w14:textId="77777777" w:rsidR="00037678" w:rsidRPr="00113082" w:rsidRDefault="0003767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14051B0B" w14:textId="77777777" w:rsidR="00037678" w:rsidRPr="00113082" w:rsidRDefault="0003767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22EB3630" w14:textId="77777777" w:rsidR="00037678" w:rsidRPr="00113082" w:rsidRDefault="0003767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348A83F7" w14:textId="77777777" w:rsidR="00037678" w:rsidRPr="00113082" w:rsidRDefault="0003767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40F55ADF" w14:textId="77777777" w:rsidR="00037678" w:rsidRPr="00113082" w:rsidRDefault="00037678"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1FABE312"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2032FD0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5F211CE7"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145EA855" w14:textId="77777777" w:rsidR="00037678" w:rsidRPr="00113082" w:rsidRDefault="0003198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r w:rsidRPr="00113082">
        <w:rPr>
          <w:noProof/>
        </w:rPr>
        <mc:AlternateContent>
          <mc:Choice Requires="wps">
            <w:drawing>
              <wp:anchor distT="0" distB="0" distL="114300" distR="114300" simplePos="0" relativeHeight="251655168" behindDoc="0" locked="0" layoutInCell="1" allowOverlap="1" wp14:anchorId="39243CE1" wp14:editId="3E4059D5">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8378F" w14:textId="150A804F" w:rsidR="00C978D7" w:rsidRPr="007F4998" w:rsidRDefault="00AB6F2A"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54</w:t>
                            </w:r>
                            <w:r w:rsidR="00C978D7" w:rsidRPr="007F4998">
                              <w:rPr>
                                <w:rFonts w:ascii="Cambria" w:hAnsi="Cambria" w:cs="Arial"/>
                                <w:b/>
                                <w:bCs/>
                                <w:color w:val="0D0D0D"/>
                                <w:sz w:val="36"/>
                                <w:szCs w:val="40"/>
                              </w:rPr>
                              <w:t>/17</w:t>
                            </w:r>
                          </w:p>
                          <w:p w14:paraId="51C846E9" w14:textId="77777777" w:rsidR="00C978D7"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40"/>
                              </w:rPr>
                            </w:pPr>
                            <w:r w:rsidRPr="007F4998">
                              <w:rPr>
                                <w:rFonts w:ascii="Cambria" w:hAnsi="Cambria" w:cs="Arial"/>
                                <w:b/>
                                <w:bCs/>
                                <w:color w:val="0D0D0D"/>
                                <w:sz w:val="36"/>
                                <w:szCs w:val="40"/>
                              </w:rPr>
                              <w:t xml:space="preserve">PETITION </w:t>
                            </w:r>
                            <w:r>
                              <w:rPr>
                                <w:rFonts w:ascii="Cambria" w:hAnsi="Cambria" w:cs="Arial"/>
                                <w:b/>
                                <w:bCs/>
                                <w:color w:val="0D0D0D"/>
                                <w:sz w:val="36"/>
                                <w:szCs w:val="40"/>
                              </w:rPr>
                              <w:t>1327</w:t>
                            </w:r>
                            <w:r w:rsidRPr="007F4998">
                              <w:rPr>
                                <w:rFonts w:ascii="Cambria" w:hAnsi="Cambria" w:cs="Arial"/>
                                <w:b/>
                                <w:color w:val="0D0D0D"/>
                                <w:sz w:val="36"/>
                                <w:szCs w:val="40"/>
                              </w:rPr>
                              <w:t>-</w:t>
                            </w:r>
                            <w:r>
                              <w:rPr>
                                <w:rFonts w:ascii="Cambria" w:hAnsi="Cambria" w:cs="Arial"/>
                                <w:b/>
                                <w:color w:val="0D0D0D"/>
                                <w:sz w:val="36"/>
                                <w:szCs w:val="40"/>
                              </w:rPr>
                              <w:t>07</w:t>
                            </w:r>
                          </w:p>
                          <w:p w14:paraId="0B5529F2" w14:textId="77777777" w:rsidR="00C978D7"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F4998">
                              <w:rPr>
                                <w:rFonts w:ascii="Cambria" w:hAnsi="Cambria" w:cs="Arial"/>
                                <w:color w:val="0D0D0D"/>
                                <w:szCs w:val="22"/>
                              </w:rPr>
                              <w:t>REPORT ON ADMISSIBILITY</w:t>
                            </w:r>
                          </w:p>
                          <w:p w14:paraId="5D36DF76" w14:textId="77777777" w:rsidR="00C978D7"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D2794B3" w14:textId="77777777" w:rsidR="00C978D7" w:rsidRPr="007F4998"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LUZ ANGELICA PORRRAS CAMACHO AND OTHERS</w:t>
                            </w:r>
                          </w:p>
                          <w:p w14:paraId="128060E9" w14:textId="77777777" w:rsidR="00C978D7" w:rsidRPr="007F4998"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14:paraId="3188378F" w14:textId="150A804F" w:rsidR="00C978D7" w:rsidRPr="007F4998" w:rsidRDefault="00AB6F2A"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Pr>
                          <w:rFonts w:ascii="Cambria" w:hAnsi="Cambria" w:cs="Arial"/>
                          <w:b/>
                          <w:bCs/>
                          <w:color w:val="0D0D0D"/>
                          <w:sz w:val="36"/>
                          <w:szCs w:val="40"/>
                        </w:rPr>
                        <w:t>REPORT No. 54</w:t>
                      </w:r>
                      <w:r w:rsidR="00C978D7" w:rsidRPr="007F4998">
                        <w:rPr>
                          <w:rFonts w:ascii="Cambria" w:hAnsi="Cambria" w:cs="Arial"/>
                          <w:b/>
                          <w:bCs/>
                          <w:color w:val="0D0D0D"/>
                          <w:sz w:val="36"/>
                          <w:szCs w:val="40"/>
                        </w:rPr>
                        <w:t>/17</w:t>
                      </w:r>
                    </w:p>
                    <w:p w14:paraId="51C846E9" w14:textId="77777777" w:rsidR="00C978D7"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40"/>
                        </w:rPr>
                      </w:pPr>
                      <w:r w:rsidRPr="007F4998">
                        <w:rPr>
                          <w:rFonts w:ascii="Cambria" w:hAnsi="Cambria" w:cs="Arial"/>
                          <w:b/>
                          <w:bCs/>
                          <w:color w:val="0D0D0D"/>
                          <w:sz w:val="36"/>
                          <w:szCs w:val="40"/>
                        </w:rPr>
                        <w:t xml:space="preserve">PETITION </w:t>
                      </w:r>
                      <w:r>
                        <w:rPr>
                          <w:rFonts w:ascii="Cambria" w:hAnsi="Cambria" w:cs="Arial"/>
                          <w:b/>
                          <w:bCs/>
                          <w:color w:val="0D0D0D"/>
                          <w:sz w:val="36"/>
                          <w:szCs w:val="40"/>
                        </w:rPr>
                        <w:t>1327</w:t>
                      </w:r>
                      <w:r w:rsidRPr="007F4998">
                        <w:rPr>
                          <w:rFonts w:ascii="Cambria" w:hAnsi="Cambria" w:cs="Arial"/>
                          <w:b/>
                          <w:color w:val="0D0D0D"/>
                          <w:sz w:val="36"/>
                          <w:szCs w:val="40"/>
                        </w:rPr>
                        <w:t>-</w:t>
                      </w:r>
                      <w:r>
                        <w:rPr>
                          <w:rFonts w:ascii="Cambria" w:hAnsi="Cambria" w:cs="Arial"/>
                          <w:b/>
                          <w:color w:val="0D0D0D"/>
                          <w:sz w:val="36"/>
                          <w:szCs w:val="40"/>
                        </w:rPr>
                        <w:t>07</w:t>
                      </w:r>
                    </w:p>
                    <w:p w14:paraId="0B5529F2" w14:textId="77777777" w:rsidR="00C978D7"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F4998">
                        <w:rPr>
                          <w:rFonts w:ascii="Cambria" w:hAnsi="Cambria" w:cs="Arial"/>
                          <w:color w:val="0D0D0D"/>
                          <w:szCs w:val="22"/>
                        </w:rPr>
                        <w:t>REPORT ON ADMISSIBILITY</w:t>
                      </w:r>
                    </w:p>
                    <w:p w14:paraId="5D36DF76" w14:textId="77777777" w:rsidR="00C978D7"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14:paraId="1D2794B3" w14:textId="77777777" w:rsidR="00C978D7" w:rsidRPr="007F4998"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Cambria" w:hAnsi="Cambria" w:cs="Arial"/>
                          <w:color w:val="0D0D0D"/>
                          <w:szCs w:val="22"/>
                          <w:lang w:val="es-ES_tradnl"/>
                        </w:rPr>
                        <w:t>LUZ ANGELICA PORRRAS CAMACHO AND OTHERS</w:t>
                      </w:r>
                    </w:p>
                    <w:p w14:paraId="128060E9" w14:textId="77777777" w:rsidR="00C978D7" w:rsidRPr="007F4998" w:rsidRDefault="00C978D7"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lang w:val="es-ES_tradnl"/>
                        </w:rPr>
                      </w:pPr>
                      <w:r>
                        <w:rPr>
                          <w:rFonts w:ascii="Cambria" w:hAnsi="Cambria" w:cs="Arial"/>
                          <w:color w:val="0D0D0D"/>
                          <w:szCs w:val="22"/>
                          <w:lang w:val="es-ES_tradnl"/>
                        </w:rPr>
                        <w:t>COLOMBIA</w:t>
                      </w:r>
                    </w:p>
                  </w:txbxContent>
                </v:textbox>
              </v:shape>
            </w:pict>
          </mc:Fallback>
        </mc:AlternateContent>
      </w:r>
      <w:r w:rsidRPr="00113082">
        <w:rPr>
          <w:noProof/>
        </w:rPr>
        <mc:AlternateContent>
          <mc:Choice Requires="wps">
            <w:drawing>
              <wp:anchor distT="0" distB="0" distL="114300" distR="114300" simplePos="0" relativeHeight="251657216" behindDoc="0" locked="0" layoutInCell="1" allowOverlap="1" wp14:anchorId="45C30EE7" wp14:editId="671F9B8B">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CF677" w14:textId="77777777" w:rsidR="00C978D7" w:rsidRPr="007F4998" w:rsidRDefault="00C978D7"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Pr>
                                <w:rFonts w:ascii="Calibri" w:hAnsi="Calibri"/>
                                <w:color w:val="FFFFFF"/>
                                <w:sz w:val="22"/>
                                <w:lang w:val="pt-BR"/>
                              </w:rPr>
                              <w:t>OEA/Ser.L/V/II.162</w:t>
                            </w:r>
                          </w:p>
                          <w:p w14:paraId="3B5824BF" w14:textId="15E2D8AC" w:rsidR="00C978D7" w:rsidRPr="007F4998" w:rsidRDefault="00AB6F2A"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Pr>
                                <w:rFonts w:ascii="Calibri" w:hAnsi="Calibri"/>
                                <w:color w:val="FFFFFF"/>
                                <w:sz w:val="22"/>
                                <w:lang w:val="pt-BR"/>
                              </w:rPr>
                              <w:t>Doc. 66</w:t>
                            </w:r>
                          </w:p>
                          <w:p w14:paraId="3F86946B" w14:textId="024A32CA" w:rsidR="00C978D7" w:rsidRPr="007F4998" w:rsidRDefault="00AB6F2A"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25 May</w:t>
                            </w:r>
                            <w:r w:rsidR="00C978D7">
                              <w:rPr>
                                <w:rFonts w:ascii="Calibri" w:hAnsi="Calibri"/>
                                <w:color w:val="FFFFFF"/>
                                <w:sz w:val="22"/>
                              </w:rPr>
                              <w:t xml:space="preserve"> </w:t>
                            </w:r>
                            <w:r w:rsidR="00C978D7" w:rsidRPr="007F4998">
                              <w:rPr>
                                <w:rFonts w:ascii="Calibri" w:hAnsi="Calibri"/>
                                <w:color w:val="FFFFFF"/>
                                <w:sz w:val="22"/>
                              </w:rPr>
                              <w:t>2017</w:t>
                            </w:r>
                          </w:p>
                          <w:p w14:paraId="28F8AF54" w14:textId="77777777" w:rsidR="00C978D7" w:rsidRPr="007F4998" w:rsidRDefault="00C978D7"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7F4998">
                              <w:rPr>
                                <w:rFonts w:ascii="Calibri" w:hAnsi="Calibri"/>
                                <w:color w:val="FFFFFF"/>
                                <w:sz w:val="22"/>
                              </w:rPr>
                              <w:t xml:space="preserve">Original: </w:t>
                            </w:r>
                            <w:r>
                              <w:rPr>
                                <w:rFonts w:ascii="Calibri" w:hAnsi="Calibri"/>
                                <w:color w:val="FFFFFF"/>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14:paraId="7B0CF677" w14:textId="77777777" w:rsidR="00C978D7" w:rsidRPr="007F4998" w:rsidRDefault="00C978D7"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Pr>
                          <w:rFonts w:ascii="Calibri" w:hAnsi="Calibri"/>
                          <w:color w:val="FFFFFF"/>
                          <w:sz w:val="22"/>
                          <w:lang w:val="pt-BR"/>
                        </w:rPr>
                        <w:t>OEA/Ser.L/V/II.162</w:t>
                      </w:r>
                    </w:p>
                    <w:p w14:paraId="3B5824BF" w14:textId="15E2D8AC" w:rsidR="00C978D7" w:rsidRPr="007F4998" w:rsidRDefault="00AB6F2A"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lang w:val="pt-BR"/>
                        </w:rPr>
                      </w:pPr>
                      <w:r>
                        <w:rPr>
                          <w:rFonts w:ascii="Calibri" w:hAnsi="Calibri"/>
                          <w:color w:val="FFFFFF"/>
                          <w:sz w:val="22"/>
                          <w:lang w:val="pt-BR"/>
                        </w:rPr>
                        <w:t>Doc. 66</w:t>
                      </w:r>
                    </w:p>
                    <w:p w14:paraId="3F86946B" w14:textId="024A32CA" w:rsidR="00C978D7" w:rsidRPr="007F4998" w:rsidRDefault="00AB6F2A"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Pr>
                          <w:rFonts w:ascii="Calibri" w:hAnsi="Calibri"/>
                          <w:color w:val="FFFFFF"/>
                          <w:sz w:val="22"/>
                        </w:rPr>
                        <w:t>25 May</w:t>
                      </w:r>
                      <w:r w:rsidR="00C978D7">
                        <w:rPr>
                          <w:rFonts w:ascii="Calibri" w:hAnsi="Calibri"/>
                          <w:color w:val="FFFFFF"/>
                          <w:sz w:val="22"/>
                        </w:rPr>
                        <w:t xml:space="preserve"> </w:t>
                      </w:r>
                      <w:r w:rsidR="00C978D7" w:rsidRPr="007F4998">
                        <w:rPr>
                          <w:rFonts w:ascii="Calibri" w:hAnsi="Calibri"/>
                          <w:color w:val="FFFFFF"/>
                          <w:sz w:val="22"/>
                        </w:rPr>
                        <w:t>2017</w:t>
                      </w:r>
                    </w:p>
                    <w:p w14:paraId="28F8AF54" w14:textId="77777777" w:rsidR="00C978D7" w:rsidRPr="007F4998" w:rsidRDefault="00C978D7" w:rsidP="002C1641">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sz w:val="22"/>
                        </w:rPr>
                      </w:pPr>
                      <w:r w:rsidRPr="007F4998">
                        <w:rPr>
                          <w:rFonts w:ascii="Calibri" w:hAnsi="Calibri"/>
                          <w:color w:val="FFFFFF"/>
                          <w:sz w:val="22"/>
                        </w:rPr>
                        <w:t xml:space="preserve">Original: </w:t>
                      </w:r>
                      <w:r>
                        <w:rPr>
                          <w:rFonts w:ascii="Calibri" w:hAnsi="Calibri"/>
                          <w:color w:val="FFFFFF"/>
                          <w:sz w:val="22"/>
                        </w:rPr>
                        <w:t>Spanish</w:t>
                      </w:r>
                    </w:p>
                  </w:txbxContent>
                </v:textbox>
              </v:shape>
            </w:pict>
          </mc:Fallback>
        </mc:AlternateContent>
      </w:r>
    </w:p>
    <w:p w14:paraId="0E6C734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718E9586"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rPr>
      </w:pPr>
    </w:p>
    <w:p w14:paraId="060B1AC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730E5FA9"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0978D8C6"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7C20D980"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1344FED6"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58F10A9E"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3231360D"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24F364B8"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286BB21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469B4477"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4D9E6099"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rPr>
      </w:pPr>
    </w:p>
    <w:p w14:paraId="4FEC9F7A"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43AEF99D"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2AAAE44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7903AB37"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1CCC44C2"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63768FFB"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567E714A"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4BCD0D4E"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148458FB"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3456616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70E2E263"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4B13DE7C"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544B11E3" w14:textId="77777777" w:rsidR="00037678" w:rsidRPr="00113082" w:rsidRDefault="0003198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113082">
        <w:rPr>
          <w:noProof/>
        </w:rPr>
        <mc:AlternateContent>
          <mc:Choice Requires="wps">
            <w:drawing>
              <wp:anchor distT="0" distB="0" distL="114300" distR="114300" simplePos="0" relativeHeight="251656192" behindDoc="0" locked="0" layoutInCell="1" allowOverlap="1" wp14:anchorId="429F055A" wp14:editId="699D3013">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25C39" w14:textId="77777777" w:rsidR="00633A13" w:rsidRPr="00633A13" w:rsidRDefault="00633A13" w:rsidP="00633A1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0"/>
                                <w:lang w:val="en-GB"/>
                              </w:rPr>
                            </w:pPr>
                            <w:r w:rsidRPr="00633A13">
                              <w:rPr>
                                <w:rFonts w:ascii="Cambria" w:hAnsi="Cambria"/>
                                <w:color w:val="0D0D0D"/>
                                <w:sz w:val="18"/>
                                <w:szCs w:val="20"/>
                                <w:lang w:val="en-GB"/>
                              </w:rPr>
                              <w:t>Approved by the Commission at its session No. 2085 held on May 25, 2017</w:t>
                            </w:r>
                            <w:r w:rsidRPr="00633A13">
                              <w:rPr>
                                <w:rFonts w:ascii="Cambria" w:hAnsi="Cambria"/>
                                <w:color w:val="0D0D0D"/>
                                <w:sz w:val="18"/>
                                <w:szCs w:val="20"/>
                                <w:lang w:val="en-GB"/>
                              </w:rPr>
                              <w:br/>
                              <w:t>162</w:t>
                            </w:r>
                            <w:r w:rsidRPr="00633A13">
                              <w:rPr>
                                <w:rFonts w:ascii="Cambria" w:hAnsi="Cambria"/>
                                <w:color w:val="0D0D0D"/>
                                <w:sz w:val="18"/>
                                <w:szCs w:val="20"/>
                                <w:vertAlign w:val="superscript"/>
                                <w:lang w:val="en-GB"/>
                              </w:rPr>
                              <w:t xml:space="preserve">nd </w:t>
                            </w:r>
                            <w:r w:rsidRPr="00633A13">
                              <w:rPr>
                                <w:rFonts w:ascii="Cambria" w:hAnsi="Cambria"/>
                                <w:color w:val="0D0D0D"/>
                                <w:sz w:val="18"/>
                                <w:szCs w:val="20"/>
                                <w:lang w:val="en-GB"/>
                              </w:rPr>
                              <w:t>Extraordinary Period of Sessions</w:t>
                            </w:r>
                          </w:p>
                          <w:p w14:paraId="5090B479" w14:textId="0E068D7C" w:rsidR="00C978D7" w:rsidRPr="00633A13" w:rsidRDefault="00C978D7"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14:paraId="01E25C39" w14:textId="77777777" w:rsidR="00633A13" w:rsidRPr="00633A13" w:rsidRDefault="00633A13" w:rsidP="00633A1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0"/>
                          <w:lang w:val="en-GB"/>
                        </w:rPr>
                      </w:pPr>
                      <w:r w:rsidRPr="00633A13">
                        <w:rPr>
                          <w:rFonts w:ascii="Cambria" w:hAnsi="Cambria"/>
                          <w:color w:val="0D0D0D"/>
                          <w:sz w:val="18"/>
                          <w:szCs w:val="20"/>
                          <w:lang w:val="en-GB"/>
                        </w:rPr>
                        <w:t>Approved by the Commission at its session No. 2085 held on May 25, 2017</w:t>
                      </w:r>
                      <w:r w:rsidRPr="00633A13">
                        <w:rPr>
                          <w:rFonts w:ascii="Cambria" w:hAnsi="Cambria"/>
                          <w:color w:val="0D0D0D"/>
                          <w:sz w:val="18"/>
                          <w:szCs w:val="20"/>
                          <w:lang w:val="en-GB"/>
                        </w:rPr>
                        <w:br/>
                        <w:t>162</w:t>
                      </w:r>
                      <w:r w:rsidRPr="00633A13">
                        <w:rPr>
                          <w:rFonts w:ascii="Cambria" w:hAnsi="Cambria"/>
                          <w:color w:val="0D0D0D"/>
                          <w:sz w:val="18"/>
                          <w:szCs w:val="20"/>
                          <w:vertAlign w:val="superscript"/>
                          <w:lang w:val="en-GB"/>
                        </w:rPr>
                        <w:t xml:space="preserve">nd </w:t>
                      </w:r>
                      <w:r w:rsidRPr="00633A13">
                        <w:rPr>
                          <w:rFonts w:ascii="Cambria" w:hAnsi="Cambria"/>
                          <w:color w:val="0D0D0D"/>
                          <w:sz w:val="18"/>
                          <w:szCs w:val="20"/>
                          <w:lang w:val="en-GB"/>
                        </w:rPr>
                        <w:t>Extraordinary Period of Sessions</w:t>
                      </w:r>
                    </w:p>
                    <w:p w14:paraId="5090B479" w14:textId="0E068D7C" w:rsidR="00C978D7" w:rsidRPr="00633A13" w:rsidRDefault="00C978D7"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n-GB"/>
                        </w:rPr>
                      </w:pPr>
                      <w:bookmarkStart w:id="1" w:name="_GoBack"/>
                      <w:bookmarkEnd w:id="1"/>
                    </w:p>
                  </w:txbxContent>
                </v:textbox>
              </v:shape>
            </w:pict>
          </mc:Fallback>
        </mc:AlternateContent>
      </w:r>
    </w:p>
    <w:p w14:paraId="5EFA1F4F"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3C8FFE7A"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7B2273EB"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73C60A42"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0F848AFA" w14:textId="77777777" w:rsidR="00037678" w:rsidRPr="00113082" w:rsidRDefault="0003198F"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113082">
        <w:rPr>
          <w:noProof/>
        </w:rPr>
        <mc:AlternateContent>
          <mc:Choice Requires="wps">
            <w:drawing>
              <wp:anchor distT="0" distB="0" distL="114300" distR="114300" simplePos="0" relativeHeight="251659264" behindDoc="0" locked="0" layoutInCell="1" allowOverlap="1" wp14:anchorId="4E4A35B3" wp14:editId="0FFAE3F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001BC" w14:textId="38FD1B3D" w:rsidR="00C978D7" w:rsidRPr="007F4998" w:rsidRDefault="00C978D7" w:rsidP="00AB6F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7F4998">
                              <w:rPr>
                                <w:rFonts w:ascii="Cambria" w:hAnsi="Cambria"/>
                                <w:b/>
                                <w:color w:val="595959"/>
                                <w:sz w:val="18"/>
                              </w:rPr>
                              <w:t xml:space="preserve">Cite as: </w:t>
                            </w:r>
                            <w:r w:rsidRPr="007F4998">
                              <w:rPr>
                                <w:rFonts w:ascii="Cambria" w:hAnsi="Cambria"/>
                                <w:color w:val="595959"/>
                                <w:sz w:val="18"/>
                              </w:rPr>
                              <w:t xml:space="preserve">IACHR, Report No. </w:t>
                            </w:r>
                            <w:r w:rsidR="00AB6F2A">
                              <w:rPr>
                                <w:rFonts w:ascii="Cambria" w:hAnsi="Cambria"/>
                                <w:color w:val="595959"/>
                                <w:sz w:val="18"/>
                              </w:rPr>
                              <w:t xml:space="preserve">54/17. Petition 1327-07. Admissibility. </w:t>
                            </w:r>
                            <w:r w:rsidR="00AB6F2A" w:rsidRPr="00AB6F2A">
                              <w:rPr>
                                <w:rFonts w:ascii="Cambria" w:hAnsi="Cambria"/>
                                <w:color w:val="595959"/>
                                <w:sz w:val="18"/>
                              </w:rPr>
                              <w:t>Luz Ange</w:t>
                            </w:r>
                            <w:r w:rsidR="00AB6F2A">
                              <w:rPr>
                                <w:rFonts w:ascii="Cambria" w:hAnsi="Cambria"/>
                                <w:color w:val="595959"/>
                                <w:sz w:val="18"/>
                              </w:rPr>
                              <w:t xml:space="preserve">lica Porrras Camacho and others. </w:t>
                            </w:r>
                            <w:r w:rsidR="00AB6F2A" w:rsidRPr="00AB6F2A">
                              <w:rPr>
                                <w:rFonts w:ascii="Cambria" w:hAnsi="Cambria"/>
                                <w:color w:val="595959"/>
                                <w:sz w:val="18"/>
                              </w:rPr>
                              <w:t>Colombia</w:t>
                            </w:r>
                            <w:r w:rsidR="00AB6F2A">
                              <w:rPr>
                                <w:rFonts w:ascii="Cambria" w:hAnsi="Cambria"/>
                                <w:color w:val="595959"/>
                                <w:sz w:val="18"/>
                              </w:rPr>
                              <w:t>. May 25,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14:paraId="71A001BC" w14:textId="38FD1B3D" w:rsidR="00C978D7" w:rsidRPr="007F4998" w:rsidRDefault="00C978D7" w:rsidP="00AB6F2A">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rPr>
                      </w:pPr>
                      <w:r w:rsidRPr="007F4998">
                        <w:rPr>
                          <w:rFonts w:ascii="Cambria" w:hAnsi="Cambria"/>
                          <w:b/>
                          <w:color w:val="595959"/>
                          <w:sz w:val="18"/>
                        </w:rPr>
                        <w:t xml:space="preserve">Cite as: </w:t>
                      </w:r>
                      <w:r w:rsidRPr="007F4998">
                        <w:rPr>
                          <w:rFonts w:ascii="Cambria" w:hAnsi="Cambria"/>
                          <w:color w:val="595959"/>
                          <w:sz w:val="18"/>
                        </w:rPr>
                        <w:t xml:space="preserve">IACHR, Report No. </w:t>
                      </w:r>
                      <w:r w:rsidR="00AB6F2A">
                        <w:rPr>
                          <w:rFonts w:ascii="Cambria" w:hAnsi="Cambria"/>
                          <w:color w:val="595959"/>
                          <w:sz w:val="18"/>
                        </w:rPr>
                        <w:t xml:space="preserve">54/17. </w:t>
                      </w:r>
                      <w:proofErr w:type="gramStart"/>
                      <w:r w:rsidR="00AB6F2A">
                        <w:rPr>
                          <w:rFonts w:ascii="Cambria" w:hAnsi="Cambria"/>
                          <w:color w:val="595959"/>
                          <w:sz w:val="18"/>
                        </w:rPr>
                        <w:t>Petition 1327-07.</w:t>
                      </w:r>
                      <w:proofErr w:type="gramEnd"/>
                      <w:r w:rsidR="00AB6F2A">
                        <w:rPr>
                          <w:rFonts w:ascii="Cambria" w:hAnsi="Cambria"/>
                          <w:color w:val="595959"/>
                          <w:sz w:val="18"/>
                        </w:rPr>
                        <w:t xml:space="preserve"> </w:t>
                      </w:r>
                      <w:proofErr w:type="gramStart"/>
                      <w:r w:rsidR="00AB6F2A">
                        <w:rPr>
                          <w:rFonts w:ascii="Cambria" w:hAnsi="Cambria"/>
                          <w:color w:val="595959"/>
                          <w:sz w:val="18"/>
                        </w:rPr>
                        <w:t>Admissibility.</w:t>
                      </w:r>
                      <w:proofErr w:type="gramEnd"/>
                      <w:r w:rsidR="00AB6F2A">
                        <w:rPr>
                          <w:rFonts w:ascii="Cambria" w:hAnsi="Cambria"/>
                          <w:color w:val="595959"/>
                          <w:sz w:val="18"/>
                        </w:rPr>
                        <w:t xml:space="preserve"> </w:t>
                      </w:r>
                      <w:proofErr w:type="gramStart"/>
                      <w:r w:rsidR="00AB6F2A" w:rsidRPr="00AB6F2A">
                        <w:rPr>
                          <w:rFonts w:ascii="Cambria" w:hAnsi="Cambria"/>
                          <w:color w:val="595959"/>
                          <w:sz w:val="18"/>
                        </w:rPr>
                        <w:t>Luz Ange</w:t>
                      </w:r>
                      <w:r w:rsidR="00AB6F2A">
                        <w:rPr>
                          <w:rFonts w:ascii="Cambria" w:hAnsi="Cambria"/>
                          <w:color w:val="595959"/>
                          <w:sz w:val="18"/>
                        </w:rPr>
                        <w:t xml:space="preserve">lica </w:t>
                      </w:r>
                      <w:proofErr w:type="spellStart"/>
                      <w:r w:rsidR="00AB6F2A">
                        <w:rPr>
                          <w:rFonts w:ascii="Cambria" w:hAnsi="Cambria"/>
                          <w:color w:val="595959"/>
                          <w:sz w:val="18"/>
                        </w:rPr>
                        <w:t>Porrras</w:t>
                      </w:r>
                      <w:proofErr w:type="spellEnd"/>
                      <w:r w:rsidR="00AB6F2A">
                        <w:rPr>
                          <w:rFonts w:ascii="Cambria" w:hAnsi="Cambria"/>
                          <w:color w:val="595959"/>
                          <w:sz w:val="18"/>
                        </w:rPr>
                        <w:t xml:space="preserve"> Camacho and others.</w:t>
                      </w:r>
                      <w:proofErr w:type="gramEnd"/>
                      <w:r w:rsidR="00AB6F2A">
                        <w:rPr>
                          <w:rFonts w:ascii="Cambria" w:hAnsi="Cambria"/>
                          <w:color w:val="595959"/>
                          <w:sz w:val="18"/>
                        </w:rPr>
                        <w:t xml:space="preserve"> </w:t>
                      </w:r>
                      <w:r w:rsidR="00AB6F2A" w:rsidRPr="00AB6F2A">
                        <w:rPr>
                          <w:rFonts w:ascii="Cambria" w:hAnsi="Cambria"/>
                          <w:color w:val="595959"/>
                          <w:sz w:val="18"/>
                        </w:rPr>
                        <w:t>Colombia</w:t>
                      </w:r>
                      <w:r w:rsidR="00AB6F2A">
                        <w:rPr>
                          <w:rFonts w:ascii="Cambria" w:hAnsi="Cambria"/>
                          <w:color w:val="595959"/>
                          <w:sz w:val="18"/>
                        </w:rPr>
                        <w:t>. May 25, 2017.</w:t>
                      </w:r>
                    </w:p>
                  </w:txbxContent>
                </v:textbox>
              </v:shape>
            </w:pict>
          </mc:Fallback>
        </mc:AlternateContent>
      </w:r>
    </w:p>
    <w:p w14:paraId="6AD45C2E"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6FE135DD" w14:textId="77777777" w:rsidR="00037678" w:rsidRPr="00113082" w:rsidRDefault="0003767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2DDC4185" w14:textId="77777777" w:rsidR="00037678" w:rsidRPr="00113082" w:rsidRDefault="00037678"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14:paraId="75CA43E2" w14:textId="77777777" w:rsidR="00037678" w:rsidRPr="00113082" w:rsidRDefault="0003198F"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113082">
        <w:rPr>
          <w:noProof/>
        </w:rPr>
        <mc:AlternateContent>
          <mc:Choice Requires="wps">
            <w:drawing>
              <wp:anchor distT="0" distB="0" distL="114300" distR="114300" simplePos="0" relativeHeight="251661312" behindDoc="0" locked="0" layoutInCell="1" allowOverlap="1" wp14:anchorId="2708C065" wp14:editId="15C99C9D">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D2B27E" w14:textId="77777777" w:rsidR="00C978D7" w:rsidRPr="007F4998" w:rsidRDefault="00C978D7"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F4998">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14:paraId="2AD2B27E" w14:textId="77777777" w:rsidR="00C978D7" w:rsidRPr="007F4998" w:rsidRDefault="00C978D7"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F4998">
                        <w:rPr>
                          <w:rFonts w:ascii="Calibri" w:hAnsi="Calibri"/>
                          <w:b/>
                          <w:color w:val="FFFFFF"/>
                          <w:lang w:val="pt-BR"/>
                        </w:rPr>
                        <w:t>www.cidh.org</w:t>
                      </w:r>
                    </w:p>
                  </w:txbxContent>
                </v:textbox>
              </v:shape>
            </w:pict>
          </mc:Fallback>
        </mc:AlternateContent>
      </w:r>
      <w:r w:rsidRPr="00113082">
        <w:rPr>
          <w:noProof/>
        </w:rPr>
        <mc:AlternateContent>
          <mc:Choice Requires="wps">
            <w:drawing>
              <wp:anchor distT="0" distB="0" distL="114300" distR="114300" simplePos="0" relativeHeight="251660288" behindDoc="0" locked="0" layoutInCell="1" allowOverlap="1" wp14:anchorId="7289F62B" wp14:editId="31B5C63C">
                <wp:simplePos x="0" y="0"/>
                <wp:positionH relativeFrom="column">
                  <wp:posOffset>1208405</wp:posOffset>
                </wp:positionH>
                <wp:positionV relativeFrom="paragraph">
                  <wp:posOffset>722630</wp:posOffset>
                </wp:positionV>
                <wp:extent cx="2085975" cy="485775"/>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92A638" w14:textId="77777777" w:rsidR="00C978D7" w:rsidRDefault="00C978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8F77FFD" wp14:editId="09F5EB83">
                                  <wp:extent cx="10953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7fFhA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vN0NS+Xc4wonBWr+RLmwQWpTreNdf4N1x0KkxpbYD6i&#10;k8O986PpySRGr6VgGyFlXNjd9lZadCCgkk38juhuaiZVMFY6XBsRxx0IEnyEsxBuZP1bmeVFepOX&#10;s81itZwVm2I+K5fpapZm5U25SIuyuNt8DwFmRdUKxri6F4qfFJgVf8fwsRdG7UQNor7Gi1fzdKRo&#10;Gr2bJpnG709JdsJDQ0rR1Xh1NiJVIPa1YpA2qTwRcpwnP4cfCYEanP6xKlEGgflRA37YDlFvi+A9&#10;SGSr2RPowmqgDciHxwQmrbZfMeqhMWvsvuyJ5RjJtwq0VWZFETo5Lor5MoeFnZ5spydEUYCqscdo&#10;nN76sfv3xopdC55GNSt9DXpsRJTKc1RHFUPzxZyOD0Xo7uk6Wj0/Z+sfAAAA//8DAFBLAwQUAAYA&#10;CAAAACEA9oTTZNkAAAALAQAADwAAAGRycy9kb3ducmV2LnhtbExPTUsDMRS8C/6H8ArebHatSl03&#10;W0TwKtjWntPNc7M0eVmStN321/sKBb3NMMN81IvRO3HAmPpACsppAQKpDaanTsF69XE/B5GyJqNd&#10;IFRwwgSL5vam1pUJR/rCwzJ3gkMoVVqBzXmopEytRa/TNAxIrP2E6HVmGjtpoj5yuHfyoSiepdc9&#10;cYPVA75bbHfLvVew6fx5810O0RrvHunzfFqtQ6/U3WR8ewWRccx/ZrjM5+nQ8KZt2JNJwjF/KWZs&#10;ZVDO+AM7nso5g+1Vkk0t/39ofgEAAP//AwBQSwECLQAUAAYACAAAACEAtoM4kv4AAADhAQAAEwAA&#10;AAAAAAAAAAAAAAAAAAAAW0NvbnRlbnRfVHlwZXNdLnhtbFBLAQItABQABgAIAAAAIQA4/SH/1gAA&#10;AJQBAAALAAAAAAAAAAAAAAAAAC8BAABfcmVscy8ucmVsc1BLAQItABQABgAIAAAAIQDm37fFhAIA&#10;ABYFAAAOAAAAAAAAAAAAAAAAAC4CAABkcnMvZTJvRG9jLnhtbFBLAQItABQABgAIAAAAIQD2hNNk&#10;2QAAAAsBAAAPAAAAAAAAAAAAAAAAAN4EAABkcnMvZG93bnJldi54bWxQSwUGAAAAAAQABADzAAAA&#10;5AUAAAAA&#10;" stroked="f" strokeweight=".5pt">
                <v:textbox>
                  <w:txbxContent>
                    <w:p w14:paraId="2692A638" w14:textId="77777777" w:rsidR="00C978D7" w:rsidRDefault="00C978D7">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8F77FFD" wp14:editId="09F5EB83">
                            <wp:extent cx="10953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p>
                  </w:txbxContent>
                </v:textbox>
              </v:shape>
            </w:pict>
          </mc:Fallback>
        </mc:AlternateContent>
      </w:r>
    </w:p>
    <w:p w14:paraId="6B9B3A9F" w14:textId="77777777" w:rsidR="00037678" w:rsidRPr="00113082" w:rsidRDefault="00037678" w:rsidP="003C32BC">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037678" w:rsidRPr="0011308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p>
    <w:p w14:paraId="3D24D9FA" w14:textId="3FC61A6E" w:rsidR="00037678" w:rsidRPr="00113082" w:rsidRDefault="00AB6F2A"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Pr>
          <w:rFonts w:ascii="Cambria" w:hAnsi="Cambria"/>
          <w:b/>
          <w:sz w:val="18"/>
          <w:szCs w:val="20"/>
        </w:rPr>
        <w:lastRenderedPageBreak/>
        <w:t>REPORT No. 54</w:t>
      </w:r>
      <w:r w:rsidR="00037678" w:rsidRPr="00113082">
        <w:rPr>
          <w:rFonts w:ascii="Cambria" w:hAnsi="Cambria"/>
          <w:b/>
          <w:sz w:val="18"/>
          <w:szCs w:val="20"/>
        </w:rPr>
        <w:t>/17</w:t>
      </w:r>
    </w:p>
    <w:p w14:paraId="49CB1B2B" w14:textId="77777777" w:rsidR="00037678" w:rsidRPr="00113082" w:rsidRDefault="00037678"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rPr>
      </w:pPr>
      <w:r w:rsidRPr="00113082">
        <w:rPr>
          <w:rFonts w:ascii="Cambria" w:hAnsi="Cambria"/>
          <w:b/>
          <w:sz w:val="18"/>
          <w:szCs w:val="20"/>
        </w:rPr>
        <w:t xml:space="preserve">PETITION 1327-07 </w:t>
      </w:r>
    </w:p>
    <w:p w14:paraId="0FDE282D" w14:textId="77777777" w:rsidR="00037678" w:rsidRPr="00113082" w:rsidRDefault="00037678"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113082">
        <w:rPr>
          <w:rFonts w:ascii="Cambria" w:hAnsi="Cambria"/>
          <w:sz w:val="18"/>
          <w:szCs w:val="20"/>
        </w:rPr>
        <w:t xml:space="preserve">REPORT ON ADMISSIBILITY </w:t>
      </w:r>
    </w:p>
    <w:p w14:paraId="58B7FADF" w14:textId="77777777" w:rsidR="00037678" w:rsidRPr="00A36695" w:rsidRDefault="00037678"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A36695">
        <w:rPr>
          <w:rFonts w:ascii="Cambria" w:hAnsi="Cambria"/>
          <w:sz w:val="18"/>
          <w:szCs w:val="20"/>
        </w:rPr>
        <w:t xml:space="preserve">LUZ </w:t>
      </w:r>
      <w:r w:rsidR="00A5549B" w:rsidRPr="00A36695">
        <w:rPr>
          <w:rFonts w:ascii="Cambria" w:hAnsi="Cambria"/>
          <w:sz w:val="18"/>
          <w:szCs w:val="20"/>
        </w:rPr>
        <w:t>ANGELICA</w:t>
      </w:r>
      <w:r w:rsidRPr="00A36695">
        <w:rPr>
          <w:rFonts w:ascii="Cambria" w:hAnsi="Cambria"/>
          <w:sz w:val="18"/>
          <w:szCs w:val="20"/>
        </w:rPr>
        <w:t xml:space="preserve"> PORRAS CAMACHO </w:t>
      </w:r>
      <w:r w:rsidR="00495346" w:rsidRPr="00A36695">
        <w:rPr>
          <w:rFonts w:ascii="Cambria" w:hAnsi="Cambria"/>
          <w:sz w:val="18"/>
          <w:szCs w:val="20"/>
        </w:rPr>
        <w:t>AND OTHERS</w:t>
      </w:r>
      <w:r w:rsidRPr="00A36695">
        <w:rPr>
          <w:rFonts w:ascii="Cambria" w:hAnsi="Cambria"/>
          <w:sz w:val="18"/>
          <w:szCs w:val="20"/>
        </w:rPr>
        <w:t xml:space="preserve"> </w:t>
      </w:r>
    </w:p>
    <w:p w14:paraId="25202384" w14:textId="77777777" w:rsidR="00037678" w:rsidRPr="00113082" w:rsidRDefault="00037678"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sidRPr="00113082">
        <w:rPr>
          <w:rFonts w:ascii="Cambria" w:hAnsi="Cambria"/>
          <w:sz w:val="18"/>
          <w:szCs w:val="20"/>
        </w:rPr>
        <w:t>COLOMBIA</w:t>
      </w:r>
      <w:r w:rsidRPr="00113082">
        <w:rPr>
          <w:rStyle w:val="FootnoteReference"/>
          <w:rFonts w:ascii="Cambria" w:hAnsi="Cambria"/>
          <w:sz w:val="18"/>
          <w:szCs w:val="20"/>
        </w:rPr>
        <w:footnoteReference w:id="2"/>
      </w:r>
    </w:p>
    <w:p w14:paraId="5CFF4502" w14:textId="37AEE574" w:rsidR="00037678" w:rsidRPr="00116543" w:rsidRDefault="00AB6F2A" w:rsidP="00116543">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rPr>
      </w:pPr>
      <w:r>
        <w:rPr>
          <w:rFonts w:ascii="Cambria" w:hAnsi="Cambria"/>
          <w:sz w:val="18"/>
          <w:szCs w:val="20"/>
        </w:rPr>
        <w:t>MAY 25, 2017</w:t>
      </w:r>
    </w:p>
    <w:p w14:paraId="4807578F" w14:textId="77777777" w:rsidR="00037678" w:rsidRDefault="00037678"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rPr>
      </w:pPr>
    </w:p>
    <w:p w14:paraId="718075D5" w14:textId="77777777" w:rsidR="00AB6F2A" w:rsidRPr="00113082" w:rsidRDefault="00AB6F2A" w:rsidP="00145EDC">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rPr>
          <w:rFonts w:ascii="Cambria" w:hAnsi="Cambria"/>
          <w:sz w:val="20"/>
          <w:szCs w:val="20"/>
        </w:rPr>
      </w:pPr>
    </w:p>
    <w:p w14:paraId="5CB6F020"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rPr>
      </w:pPr>
      <w:r w:rsidRPr="00113082">
        <w:rPr>
          <w:rFonts w:ascii="Cambria" w:hAnsi="Cambria"/>
          <w:b/>
          <w:bCs/>
          <w:sz w:val="20"/>
          <w:szCs w:val="20"/>
        </w:rPr>
        <w:t>I.</w:t>
      </w:r>
      <w:r w:rsidRPr="00113082">
        <w:rPr>
          <w:rFonts w:ascii="Cambria" w:hAnsi="Cambria"/>
          <w:b/>
          <w:bCs/>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037678" w:rsidRPr="00113082" w14:paraId="367B3DB7" w14:textId="77777777" w:rsidTr="000B4D3E">
        <w:tc>
          <w:tcPr>
            <w:tcW w:w="4680" w:type="dxa"/>
            <w:tcBorders>
              <w:top w:val="single" w:sz="4" w:space="0" w:color="auto"/>
            </w:tcBorders>
            <w:shd w:val="clear" w:color="auto" w:fill="67AE3C"/>
            <w:vAlign w:val="center"/>
          </w:tcPr>
          <w:p w14:paraId="7126DA08"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Petitioner</w:t>
            </w:r>
          </w:p>
        </w:tc>
        <w:tc>
          <w:tcPr>
            <w:tcW w:w="4680" w:type="dxa"/>
            <w:tcBorders>
              <w:top w:val="single" w:sz="4" w:space="0" w:color="auto"/>
            </w:tcBorders>
            <w:vAlign w:val="center"/>
          </w:tcPr>
          <w:p w14:paraId="7A876003" w14:textId="77777777" w:rsidR="00037678" w:rsidRPr="00113082" w:rsidRDefault="00037678" w:rsidP="00D46049">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 xml:space="preserve">Jairo Villegas </w:t>
            </w:r>
            <w:r w:rsidR="00A5549B">
              <w:rPr>
                <w:rFonts w:ascii="Cambria" w:hAnsi="Cambria"/>
                <w:bCs/>
                <w:sz w:val="20"/>
                <w:szCs w:val="20"/>
              </w:rPr>
              <w:t>Arbelaez</w:t>
            </w:r>
            <w:r w:rsidRPr="00113082">
              <w:rPr>
                <w:rFonts w:ascii="Cambria" w:hAnsi="Cambria"/>
                <w:bCs/>
                <w:sz w:val="20"/>
                <w:szCs w:val="20"/>
              </w:rPr>
              <w:t xml:space="preserve">, </w:t>
            </w:r>
            <w:r w:rsidR="00D46049" w:rsidRPr="00113082">
              <w:rPr>
                <w:rFonts w:ascii="Cambria" w:hAnsi="Cambria"/>
                <w:bCs/>
                <w:sz w:val="20"/>
                <w:szCs w:val="20"/>
              </w:rPr>
              <w:t xml:space="preserve">National Union of State Employees and National Federation of State Workers of </w:t>
            </w:r>
            <w:r w:rsidRPr="00113082">
              <w:rPr>
                <w:rFonts w:ascii="Cambria" w:hAnsi="Cambria"/>
                <w:bCs/>
                <w:sz w:val="20"/>
                <w:szCs w:val="20"/>
              </w:rPr>
              <w:t xml:space="preserve">Colombia </w:t>
            </w:r>
          </w:p>
        </w:tc>
      </w:tr>
      <w:tr w:rsidR="00037678" w:rsidRPr="00304A1D" w14:paraId="22E5A390" w14:textId="77777777" w:rsidTr="000B4D3E">
        <w:tc>
          <w:tcPr>
            <w:tcW w:w="4680" w:type="dxa"/>
            <w:shd w:val="clear" w:color="auto" w:fill="67AE3C"/>
            <w:vAlign w:val="center"/>
          </w:tcPr>
          <w:p w14:paraId="30FB5B3D"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Alleged victims:</w:t>
            </w:r>
          </w:p>
        </w:tc>
        <w:tc>
          <w:tcPr>
            <w:tcW w:w="4680" w:type="dxa"/>
            <w:vAlign w:val="center"/>
          </w:tcPr>
          <w:p w14:paraId="35E8111F" w14:textId="77777777" w:rsidR="00037678" w:rsidRPr="00304A1D" w:rsidRDefault="00037678" w:rsidP="00D46049">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304A1D">
              <w:rPr>
                <w:rFonts w:ascii="Cambria" w:hAnsi="Cambria"/>
                <w:bCs/>
                <w:sz w:val="20"/>
                <w:szCs w:val="20"/>
                <w:lang w:val="es-ES"/>
              </w:rPr>
              <w:t xml:space="preserve">Luz </w:t>
            </w:r>
            <w:r w:rsidR="00A5549B">
              <w:rPr>
                <w:rFonts w:ascii="Cambria" w:hAnsi="Cambria"/>
                <w:bCs/>
                <w:sz w:val="20"/>
                <w:szCs w:val="20"/>
                <w:lang w:val="es-ES"/>
              </w:rPr>
              <w:t>Angelica</w:t>
            </w:r>
            <w:r w:rsidRPr="00304A1D">
              <w:rPr>
                <w:rFonts w:ascii="Cambria" w:hAnsi="Cambria"/>
                <w:bCs/>
                <w:sz w:val="20"/>
                <w:szCs w:val="20"/>
                <w:lang w:val="es-ES"/>
              </w:rPr>
              <w:t xml:space="preserve"> Porras Camacho </w:t>
            </w:r>
            <w:r w:rsidR="00D46049" w:rsidRPr="00304A1D">
              <w:rPr>
                <w:rFonts w:ascii="Cambria" w:hAnsi="Cambria"/>
                <w:bCs/>
                <w:sz w:val="20"/>
                <w:szCs w:val="20"/>
                <w:lang w:val="es-ES"/>
              </w:rPr>
              <w:t>and others</w:t>
            </w:r>
          </w:p>
        </w:tc>
      </w:tr>
      <w:tr w:rsidR="00037678" w:rsidRPr="00113082" w14:paraId="0C9030FF" w14:textId="77777777" w:rsidTr="000B4D3E">
        <w:tc>
          <w:tcPr>
            <w:tcW w:w="4680" w:type="dxa"/>
            <w:shd w:val="clear" w:color="auto" w:fill="67AE3C"/>
            <w:vAlign w:val="center"/>
          </w:tcPr>
          <w:p w14:paraId="5EC081DC"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State denounced:</w:t>
            </w:r>
          </w:p>
        </w:tc>
        <w:tc>
          <w:tcPr>
            <w:tcW w:w="4680" w:type="dxa"/>
            <w:vAlign w:val="center"/>
          </w:tcPr>
          <w:p w14:paraId="1A42B7C1"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Colombia</w:t>
            </w:r>
          </w:p>
        </w:tc>
      </w:tr>
      <w:tr w:rsidR="00037678" w:rsidRPr="00113082" w14:paraId="025A652E" w14:textId="77777777" w:rsidTr="000B4D3E">
        <w:tc>
          <w:tcPr>
            <w:tcW w:w="4680" w:type="dxa"/>
            <w:tcBorders>
              <w:bottom w:val="single" w:sz="4" w:space="0" w:color="auto"/>
            </w:tcBorders>
            <w:shd w:val="clear" w:color="auto" w:fill="67AE3C"/>
            <w:vAlign w:val="center"/>
          </w:tcPr>
          <w:p w14:paraId="12B45DDD"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Rights invoked:</w:t>
            </w:r>
          </w:p>
        </w:tc>
        <w:tc>
          <w:tcPr>
            <w:tcW w:w="4680" w:type="dxa"/>
            <w:tcBorders>
              <w:bottom w:val="single" w:sz="4" w:space="0" w:color="auto"/>
            </w:tcBorders>
            <w:vAlign w:val="center"/>
          </w:tcPr>
          <w:p w14:paraId="2C8195BE"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Articles 8 (Right to a Fair Trial), 9 (Freedom from Ex Post de Facto Laws), 24 (Right to Equal Protection) and 25 (Right to Judicial Protection) of the American Convention on Human Rights</w:t>
            </w:r>
            <w:r w:rsidRPr="00113082">
              <w:rPr>
                <w:rFonts w:ascii="Cambria" w:hAnsi="Cambria"/>
                <w:bCs/>
                <w:sz w:val="20"/>
                <w:szCs w:val="20"/>
                <w:vertAlign w:val="superscript"/>
              </w:rPr>
              <w:footnoteReference w:id="3"/>
            </w:r>
            <w:r w:rsidRPr="00113082">
              <w:rPr>
                <w:rFonts w:ascii="Cambria" w:hAnsi="Cambria"/>
                <w:bCs/>
                <w:sz w:val="20"/>
                <w:szCs w:val="20"/>
              </w:rPr>
              <w:t xml:space="preserve">; 3, 4, 6 and 7 of the Protocol of San Salvador; and 19 and 24 of the Inter-American Charter of Social Guarantees </w:t>
            </w:r>
          </w:p>
        </w:tc>
      </w:tr>
    </w:tbl>
    <w:p w14:paraId="60E8504E"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113082">
        <w:rPr>
          <w:rFonts w:ascii="Cambria" w:hAnsi="Cambria"/>
          <w:b/>
          <w:bCs/>
          <w:sz w:val="20"/>
          <w:szCs w:val="20"/>
        </w:rPr>
        <w:t>II.</w:t>
      </w:r>
      <w:r w:rsidRPr="00113082">
        <w:rPr>
          <w:rFonts w:ascii="Cambria" w:hAnsi="Cambria"/>
          <w:b/>
          <w:bCs/>
          <w:sz w:val="20"/>
          <w:szCs w:val="20"/>
        </w:rPr>
        <w:tab/>
        <w:t>PROCEDURE BEFORE THE IACHR</w:t>
      </w:r>
      <w:r w:rsidRPr="00113082">
        <w:rPr>
          <w:rFonts w:ascii="Cambria" w:hAnsi="Cambria"/>
          <w:b/>
          <w:sz w:val="20"/>
          <w:szCs w:val="20"/>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037678" w:rsidRPr="00113082" w14:paraId="0338651A" w14:textId="77777777" w:rsidTr="000B4D3E">
        <w:tc>
          <w:tcPr>
            <w:tcW w:w="4680" w:type="dxa"/>
            <w:tcBorders>
              <w:top w:val="single" w:sz="4" w:space="0" w:color="auto"/>
            </w:tcBorders>
            <w:shd w:val="clear" w:color="auto" w:fill="67AE3C"/>
            <w:vAlign w:val="center"/>
          </w:tcPr>
          <w:p w14:paraId="4B5D9BD3"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color w:val="FFFFFF"/>
                <w:sz w:val="20"/>
                <w:szCs w:val="20"/>
              </w:rPr>
              <w:t>Date on whi</w:t>
            </w:r>
            <w:r w:rsidR="00495346" w:rsidRPr="00113082">
              <w:rPr>
                <w:rFonts w:ascii="Cambria" w:hAnsi="Cambria"/>
                <w:b/>
                <w:color w:val="FFFFFF"/>
                <w:sz w:val="20"/>
                <w:szCs w:val="20"/>
              </w:rPr>
              <w:t>c</w:t>
            </w:r>
            <w:r w:rsidRPr="00113082">
              <w:rPr>
                <w:rFonts w:ascii="Cambria" w:hAnsi="Cambria"/>
                <w:b/>
                <w:color w:val="FFFFFF"/>
                <w:sz w:val="20"/>
                <w:szCs w:val="20"/>
              </w:rPr>
              <w:t>h the petition was received</w:t>
            </w:r>
            <w:r w:rsidRPr="00113082">
              <w:rPr>
                <w:rFonts w:ascii="Cambria" w:hAnsi="Cambria"/>
                <w:b/>
                <w:bCs/>
                <w:color w:val="FFFFFF"/>
                <w:sz w:val="20"/>
                <w:szCs w:val="20"/>
              </w:rPr>
              <w:t>:</w:t>
            </w:r>
          </w:p>
        </w:tc>
        <w:tc>
          <w:tcPr>
            <w:tcW w:w="4680" w:type="dxa"/>
            <w:tcBorders>
              <w:top w:val="single" w:sz="4" w:space="0" w:color="auto"/>
            </w:tcBorders>
            <w:vAlign w:val="center"/>
          </w:tcPr>
          <w:p w14:paraId="612FD62D" w14:textId="77777777" w:rsidR="00037678" w:rsidRPr="00113082" w:rsidRDefault="00113082" w:rsidP="0011308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October 11</w:t>
            </w:r>
            <w:r w:rsidRPr="00113082">
              <w:rPr>
                <w:rFonts w:ascii="Cambria" w:hAnsi="Cambria"/>
                <w:bCs/>
                <w:sz w:val="20"/>
                <w:szCs w:val="20"/>
                <w:vertAlign w:val="superscript"/>
              </w:rPr>
              <w:t>th</w:t>
            </w:r>
            <w:r w:rsidRPr="00113082">
              <w:rPr>
                <w:rFonts w:ascii="Cambria" w:hAnsi="Cambria"/>
                <w:bCs/>
                <w:sz w:val="20"/>
                <w:szCs w:val="20"/>
              </w:rPr>
              <w:t xml:space="preserve"> </w:t>
            </w:r>
            <w:r w:rsidR="00037678" w:rsidRPr="00113082">
              <w:rPr>
                <w:rFonts w:ascii="Cambria" w:hAnsi="Cambria"/>
                <w:bCs/>
                <w:sz w:val="20"/>
                <w:szCs w:val="20"/>
              </w:rPr>
              <w:t>2007</w:t>
            </w:r>
          </w:p>
        </w:tc>
      </w:tr>
      <w:tr w:rsidR="00037678" w:rsidRPr="00113082" w14:paraId="437ED9E4" w14:textId="77777777" w:rsidTr="000B4D3E">
        <w:tc>
          <w:tcPr>
            <w:tcW w:w="4680" w:type="dxa"/>
            <w:shd w:val="clear" w:color="auto" w:fill="67AE3C"/>
            <w:vAlign w:val="center"/>
          </w:tcPr>
          <w:p w14:paraId="258B4760" w14:textId="77777777" w:rsidR="00037678" w:rsidRPr="00113082" w:rsidRDefault="00495346" w:rsidP="00495346">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Additional information received during the initial stage</w:t>
            </w:r>
            <w:r w:rsidR="00037678" w:rsidRPr="00113082">
              <w:rPr>
                <w:rFonts w:ascii="Cambria" w:hAnsi="Cambria"/>
                <w:b/>
                <w:bCs/>
                <w:color w:val="FFFFFF"/>
                <w:sz w:val="20"/>
                <w:szCs w:val="20"/>
              </w:rPr>
              <w:t>:</w:t>
            </w:r>
          </w:p>
        </w:tc>
        <w:tc>
          <w:tcPr>
            <w:tcW w:w="4680" w:type="dxa"/>
            <w:vAlign w:val="center"/>
          </w:tcPr>
          <w:p w14:paraId="6B3DF8CE" w14:textId="77777777" w:rsidR="00037678" w:rsidRPr="00113082" w:rsidRDefault="00113082" w:rsidP="00D74B7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13082">
              <w:rPr>
                <w:rFonts w:ascii="Cambria" w:hAnsi="Cambria"/>
                <w:bCs/>
                <w:sz w:val="20"/>
                <w:szCs w:val="20"/>
              </w:rPr>
              <w:t>February 9</w:t>
            </w:r>
            <w:r w:rsidRPr="00113082">
              <w:rPr>
                <w:rFonts w:ascii="Cambria" w:hAnsi="Cambria"/>
                <w:bCs/>
                <w:sz w:val="20"/>
                <w:szCs w:val="20"/>
                <w:vertAlign w:val="superscript"/>
              </w:rPr>
              <w:t>th</w:t>
            </w:r>
            <w:r w:rsidRPr="00113082">
              <w:rPr>
                <w:rFonts w:ascii="Cambria" w:hAnsi="Cambria"/>
                <w:bCs/>
                <w:sz w:val="20"/>
                <w:szCs w:val="20"/>
              </w:rPr>
              <w:t xml:space="preserve"> </w:t>
            </w:r>
            <w:r w:rsidR="00037678" w:rsidRPr="00113082">
              <w:rPr>
                <w:rFonts w:ascii="Cambria" w:hAnsi="Cambria"/>
                <w:bCs/>
                <w:sz w:val="20"/>
                <w:szCs w:val="20"/>
              </w:rPr>
              <w:t>2011</w:t>
            </w:r>
          </w:p>
        </w:tc>
      </w:tr>
      <w:tr w:rsidR="00037678" w:rsidRPr="00113082" w14:paraId="477CD3DA" w14:textId="77777777" w:rsidTr="000B4D3E">
        <w:tc>
          <w:tcPr>
            <w:tcW w:w="4680" w:type="dxa"/>
            <w:shd w:val="clear" w:color="auto" w:fill="67AE3C"/>
            <w:vAlign w:val="center"/>
          </w:tcPr>
          <w:p w14:paraId="7479DEC2"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color w:val="FFFFFF"/>
                <w:sz w:val="20"/>
                <w:szCs w:val="20"/>
              </w:rPr>
              <w:t>Date on which the petition was transmitted to the State:</w:t>
            </w:r>
          </w:p>
        </w:tc>
        <w:tc>
          <w:tcPr>
            <w:tcW w:w="4680" w:type="dxa"/>
            <w:vAlign w:val="center"/>
          </w:tcPr>
          <w:p w14:paraId="0263BE01" w14:textId="77777777" w:rsidR="00037678" w:rsidRPr="00113082" w:rsidRDefault="00113082"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November 28</w:t>
            </w:r>
            <w:r w:rsidRPr="00113082">
              <w:rPr>
                <w:rFonts w:ascii="Cambria" w:hAnsi="Cambria"/>
                <w:bCs/>
                <w:sz w:val="20"/>
                <w:szCs w:val="20"/>
                <w:vertAlign w:val="superscript"/>
              </w:rPr>
              <w:t>th</w:t>
            </w:r>
            <w:r w:rsidRPr="00113082">
              <w:rPr>
                <w:rFonts w:ascii="Cambria" w:hAnsi="Cambria"/>
                <w:bCs/>
                <w:sz w:val="20"/>
                <w:szCs w:val="20"/>
              </w:rPr>
              <w:t xml:space="preserve"> </w:t>
            </w:r>
            <w:r w:rsidR="00037678" w:rsidRPr="00113082">
              <w:rPr>
                <w:rFonts w:ascii="Cambria" w:hAnsi="Cambria"/>
                <w:bCs/>
                <w:sz w:val="20"/>
                <w:szCs w:val="20"/>
              </w:rPr>
              <w:t>2011</w:t>
            </w:r>
          </w:p>
        </w:tc>
      </w:tr>
      <w:tr w:rsidR="00037678" w:rsidRPr="00113082" w14:paraId="5072EAA7" w14:textId="77777777" w:rsidTr="000B4D3E">
        <w:tc>
          <w:tcPr>
            <w:tcW w:w="4680" w:type="dxa"/>
            <w:shd w:val="clear" w:color="auto" w:fill="67AE3C"/>
            <w:vAlign w:val="center"/>
          </w:tcPr>
          <w:p w14:paraId="1AD82179"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color w:val="FFFFFF"/>
                <w:sz w:val="20"/>
                <w:szCs w:val="20"/>
              </w:rPr>
              <w:t>Date of the State’s first response:</w:t>
            </w:r>
          </w:p>
        </w:tc>
        <w:tc>
          <w:tcPr>
            <w:tcW w:w="4680" w:type="dxa"/>
            <w:vAlign w:val="center"/>
          </w:tcPr>
          <w:p w14:paraId="7088F02D" w14:textId="77777777" w:rsidR="00037678" w:rsidRPr="00113082" w:rsidRDefault="00113082"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February 21</w:t>
            </w:r>
            <w:r w:rsidRPr="00113082">
              <w:rPr>
                <w:rFonts w:ascii="Cambria" w:hAnsi="Cambria"/>
                <w:bCs/>
                <w:sz w:val="20"/>
                <w:szCs w:val="20"/>
                <w:vertAlign w:val="superscript"/>
              </w:rPr>
              <w:t>st</w:t>
            </w:r>
            <w:r w:rsidRPr="00113082">
              <w:rPr>
                <w:rFonts w:ascii="Cambria" w:hAnsi="Cambria"/>
                <w:bCs/>
                <w:sz w:val="20"/>
                <w:szCs w:val="20"/>
              </w:rPr>
              <w:t xml:space="preserve"> </w:t>
            </w:r>
            <w:r w:rsidR="00037678" w:rsidRPr="00113082">
              <w:rPr>
                <w:rFonts w:ascii="Cambria" w:hAnsi="Cambria"/>
                <w:bCs/>
                <w:sz w:val="20"/>
                <w:szCs w:val="20"/>
              </w:rPr>
              <w:t>2012</w:t>
            </w:r>
          </w:p>
        </w:tc>
      </w:tr>
      <w:tr w:rsidR="00037678" w:rsidRPr="00113082" w14:paraId="2FC72BB4" w14:textId="77777777" w:rsidTr="000B4D3E">
        <w:tc>
          <w:tcPr>
            <w:tcW w:w="4680" w:type="dxa"/>
            <w:shd w:val="clear" w:color="auto" w:fill="67AE3C"/>
            <w:vAlign w:val="center"/>
          </w:tcPr>
          <w:p w14:paraId="63A0EFB1"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color w:val="FFFFFF"/>
                <w:sz w:val="20"/>
                <w:szCs w:val="20"/>
              </w:rPr>
              <w:t>Additional observations from the petitioner</w:t>
            </w:r>
            <w:r w:rsidRPr="00113082">
              <w:rPr>
                <w:rFonts w:ascii="Cambria" w:hAnsi="Cambria"/>
                <w:b/>
                <w:bCs/>
                <w:color w:val="FFFFFF"/>
                <w:sz w:val="20"/>
                <w:szCs w:val="20"/>
              </w:rPr>
              <w:t>:</w:t>
            </w:r>
          </w:p>
        </w:tc>
        <w:tc>
          <w:tcPr>
            <w:tcW w:w="4680" w:type="dxa"/>
            <w:vAlign w:val="center"/>
          </w:tcPr>
          <w:p w14:paraId="30185023" w14:textId="77777777" w:rsidR="00037678" w:rsidRPr="00113082" w:rsidRDefault="00113082"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May 21</w:t>
            </w:r>
            <w:r w:rsidRPr="00113082">
              <w:rPr>
                <w:rFonts w:ascii="Cambria" w:hAnsi="Cambria"/>
                <w:bCs/>
                <w:sz w:val="20"/>
                <w:szCs w:val="20"/>
                <w:vertAlign w:val="superscript"/>
              </w:rPr>
              <w:t>st</w:t>
            </w:r>
            <w:r w:rsidRPr="00113082">
              <w:rPr>
                <w:rFonts w:ascii="Cambria" w:hAnsi="Cambria"/>
                <w:bCs/>
                <w:sz w:val="20"/>
                <w:szCs w:val="20"/>
              </w:rPr>
              <w:t xml:space="preserve"> </w:t>
            </w:r>
            <w:r w:rsidR="00037678" w:rsidRPr="00113082">
              <w:rPr>
                <w:rFonts w:ascii="Cambria" w:hAnsi="Cambria"/>
                <w:bCs/>
                <w:sz w:val="20"/>
                <w:szCs w:val="20"/>
              </w:rPr>
              <w:t>2014</w:t>
            </w:r>
          </w:p>
        </w:tc>
      </w:tr>
      <w:tr w:rsidR="00037678" w:rsidRPr="00113082" w14:paraId="7C4F1EE3" w14:textId="77777777" w:rsidTr="000B4D3E">
        <w:tc>
          <w:tcPr>
            <w:tcW w:w="4680" w:type="dxa"/>
            <w:tcBorders>
              <w:bottom w:val="single" w:sz="4" w:space="0" w:color="auto"/>
            </w:tcBorders>
            <w:shd w:val="clear" w:color="auto" w:fill="67AE3C"/>
            <w:vAlign w:val="center"/>
          </w:tcPr>
          <w:p w14:paraId="06E45BD4"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color w:val="FFFFFF"/>
                <w:sz w:val="20"/>
                <w:szCs w:val="20"/>
              </w:rPr>
              <w:t>Additional observations from the State</w:t>
            </w:r>
            <w:r w:rsidRPr="00113082">
              <w:rPr>
                <w:rFonts w:ascii="Cambria" w:hAnsi="Cambria"/>
                <w:b/>
                <w:bCs/>
                <w:color w:val="FFFFFF"/>
                <w:sz w:val="20"/>
                <w:szCs w:val="20"/>
              </w:rPr>
              <w:t>:</w:t>
            </w:r>
          </w:p>
        </w:tc>
        <w:tc>
          <w:tcPr>
            <w:tcW w:w="4680" w:type="dxa"/>
            <w:tcBorders>
              <w:bottom w:val="single" w:sz="4" w:space="0" w:color="auto"/>
            </w:tcBorders>
            <w:vAlign w:val="center"/>
          </w:tcPr>
          <w:p w14:paraId="01A399C7" w14:textId="77777777" w:rsidR="00037678" w:rsidRPr="00113082" w:rsidRDefault="00113082"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113082">
              <w:rPr>
                <w:rFonts w:ascii="Cambria" w:hAnsi="Cambria"/>
                <w:bCs/>
                <w:sz w:val="20"/>
                <w:szCs w:val="20"/>
              </w:rPr>
              <w:t>June 3</w:t>
            </w:r>
            <w:r w:rsidRPr="00113082">
              <w:rPr>
                <w:rFonts w:ascii="Cambria" w:hAnsi="Cambria"/>
                <w:bCs/>
                <w:sz w:val="20"/>
                <w:szCs w:val="20"/>
                <w:vertAlign w:val="superscript"/>
              </w:rPr>
              <w:t>rd</w:t>
            </w:r>
            <w:r w:rsidRPr="00113082">
              <w:rPr>
                <w:rFonts w:ascii="Cambria" w:hAnsi="Cambria"/>
                <w:bCs/>
                <w:sz w:val="20"/>
                <w:szCs w:val="20"/>
              </w:rPr>
              <w:t xml:space="preserve"> </w:t>
            </w:r>
            <w:r w:rsidR="00037678" w:rsidRPr="00113082">
              <w:rPr>
                <w:rFonts w:ascii="Cambria" w:hAnsi="Cambria"/>
                <w:bCs/>
                <w:sz w:val="20"/>
                <w:szCs w:val="20"/>
              </w:rPr>
              <w:t>2015</w:t>
            </w:r>
          </w:p>
        </w:tc>
      </w:tr>
    </w:tbl>
    <w:p w14:paraId="0260E221"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113082">
        <w:rPr>
          <w:rFonts w:ascii="Cambria" w:hAnsi="Cambria"/>
          <w:b/>
          <w:bCs/>
          <w:sz w:val="20"/>
          <w:szCs w:val="20"/>
        </w:rPr>
        <w:t xml:space="preserve">III. </w:t>
      </w:r>
      <w:r w:rsidRPr="00113082">
        <w:rPr>
          <w:rFonts w:ascii="Cambria" w:hAnsi="Cambria"/>
          <w:b/>
          <w:bCs/>
          <w:sz w:val="20"/>
          <w:szCs w:val="20"/>
        </w:rPr>
        <w:tab/>
        <w:t>COMPETENCE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084552" w:rsidRPr="00113082" w14:paraId="54FEE5E1" w14:textId="77777777" w:rsidTr="000B4D3E">
        <w:trPr>
          <w:cantSplit/>
        </w:trPr>
        <w:tc>
          <w:tcPr>
            <w:tcW w:w="4680" w:type="dxa"/>
            <w:tcBorders>
              <w:top w:val="single" w:sz="4" w:space="0" w:color="auto"/>
            </w:tcBorders>
            <w:shd w:val="clear" w:color="auto" w:fill="67AE3C"/>
            <w:vAlign w:val="center"/>
          </w:tcPr>
          <w:p w14:paraId="59CFCE26"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113082">
              <w:rPr>
                <w:rFonts w:ascii="Cambria" w:hAnsi="Cambria"/>
                <w:b/>
                <w:bCs/>
                <w:color w:val="FFFFFF"/>
                <w:sz w:val="20"/>
                <w:szCs w:val="20"/>
              </w:rPr>
              <w:t>Competence</w:t>
            </w:r>
            <w:r w:rsidRPr="00113082">
              <w:rPr>
                <w:rFonts w:ascii="Cambria" w:hAnsi="Cambria"/>
                <w:b/>
                <w:bCs/>
                <w:i/>
                <w:color w:val="FFFFFF"/>
                <w:sz w:val="20"/>
                <w:szCs w:val="20"/>
              </w:rPr>
              <w:t xml:space="preserve"> Ratione personae:</w:t>
            </w:r>
          </w:p>
        </w:tc>
        <w:tc>
          <w:tcPr>
            <w:tcW w:w="4680" w:type="dxa"/>
            <w:tcBorders>
              <w:top w:val="single" w:sz="4" w:space="0" w:color="auto"/>
            </w:tcBorders>
            <w:vAlign w:val="center"/>
          </w:tcPr>
          <w:p w14:paraId="1424708F"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13082">
              <w:rPr>
                <w:rFonts w:ascii="Cambria" w:hAnsi="Cambria"/>
                <w:bCs/>
                <w:sz w:val="20"/>
                <w:szCs w:val="20"/>
              </w:rPr>
              <w:t>Yes</w:t>
            </w:r>
          </w:p>
        </w:tc>
      </w:tr>
      <w:tr w:rsidR="00084552" w:rsidRPr="00113082" w14:paraId="4FFD0215" w14:textId="77777777" w:rsidTr="000B4D3E">
        <w:trPr>
          <w:cantSplit/>
        </w:trPr>
        <w:tc>
          <w:tcPr>
            <w:tcW w:w="4680" w:type="dxa"/>
            <w:shd w:val="clear" w:color="auto" w:fill="67AE3C"/>
            <w:vAlign w:val="center"/>
          </w:tcPr>
          <w:p w14:paraId="51C5D0F6"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Competence</w:t>
            </w:r>
            <w:r w:rsidRPr="00113082">
              <w:rPr>
                <w:rFonts w:ascii="Cambria" w:hAnsi="Cambria"/>
                <w:b/>
                <w:bCs/>
                <w:i/>
                <w:color w:val="FFFFFF"/>
                <w:sz w:val="20"/>
                <w:szCs w:val="20"/>
              </w:rPr>
              <w:t xml:space="preserve"> Ratione loci</w:t>
            </w:r>
            <w:r w:rsidRPr="00113082">
              <w:rPr>
                <w:rFonts w:ascii="Cambria" w:hAnsi="Cambria"/>
                <w:b/>
                <w:bCs/>
                <w:color w:val="FFFFFF"/>
                <w:sz w:val="20"/>
                <w:szCs w:val="20"/>
              </w:rPr>
              <w:t>:</w:t>
            </w:r>
          </w:p>
        </w:tc>
        <w:tc>
          <w:tcPr>
            <w:tcW w:w="4680" w:type="dxa"/>
            <w:vAlign w:val="center"/>
          </w:tcPr>
          <w:p w14:paraId="2CEE609C"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113082">
              <w:rPr>
                <w:rFonts w:ascii="Cambria" w:hAnsi="Cambria"/>
                <w:bCs/>
                <w:sz w:val="20"/>
                <w:szCs w:val="20"/>
              </w:rPr>
              <w:t xml:space="preserve">Yes </w:t>
            </w:r>
          </w:p>
        </w:tc>
      </w:tr>
      <w:tr w:rsidR="00084552" w:rsidRPr="00113082" w14:paraId="6D9FF60E" w14:textId="77777777" w:rsidTr="000B4D3E">
        <w:trPr>
          <w:cantSplit/>
        </w:trPr>
        <w:tc>
          <w:tcPr>
            <w:tcW w:w="4680" w:type="dxa"/>
            <w:shd w:val="clear" w:color="auto" w:fill="67AE3C"/>
            <w:vAlign w:val="center"/>
          </w:tcPr>
          <w:p w14:paraId="3845CF6C"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Competence</w:t>
            </w:r>
            <w:r w:rsidRPr="00113082">
              <w:rPr>
                <w:rFonts w:ascii="Cambria" w:hAnsi="Cambria"/>
                <w:b/>
                <w:bCs/>
                <w:i/>
                <w:color w:val="FFFFFF"/>
                <w:sz w:val="20"/>
                <w:szCs w:val="20"/>
              </w:rPr>
              <w:t xml:space="preserve"> Ratione temporis</w:t>
            </w:r>
            <w:r w:rsidRPr="00113082">
              <w:rPr>
                <w:rFonts w:ascii="Cambria" w:hAnsi="Cambria"/>
                <w:b/>
                <w:bCs/>
                <w:color w:val="FFFFFF"/>
                <w:sz w:val="20"/>
                <w:szCs w:val="20"/>
              </w:rPr>
              <w:t>:</w:t>
            </w:r>
          </w:p>
        </w:tc>
        <w:tc>
          <w:tcPr>
            <w:tcW w:w="4680" w:type="dxa"/>
            <w:vAlign w:val="center"/>
          </w:tcPr>
          <w:p w14:paraId="69333C5F" w14:textId="77777777" w:rsidR="00037678" w:rsidRPr="00084552" w:rsidRDefault="00037678" w:rsidP="00D74B73">
            <w:pPr>
              <w:pBdr>
                <w:top w:val="none" w:sz="0" w:space="0" w:color="auto"/>
                <w:left w:val="none" w:sz="0" w:space="0" w:color="auto"/>
                <w:bottom w:val="none" w:sz="0" w:space="0" w:color="auto"/>
                <w:right w:val="none" w:sz="0" w:space="0" w:color="auto"/>
                <w:bar w:val="none" w:sz="0" w:color="auto"/>
              </w:pBdr>
              <w:rPr>
                <w:bCs/>
                <w:sz w:val="20"/>
                <w:szCs w:val="20"/>
              </w:rPr>
            </w:pPr>
            <w:r w:rsidRPr="00084552">
              <w:rPr>
                <w:bCs/>
                <w:sz w:val="20"/>
                <w:szCs w:val="20"/>
              </w:rPr>
              <w:t xml:space="preserve">Yes </w:t>
            </w:r>
          </w:p>
        </w:tc>
      </w:tr>
      <w:tr w:rsidR="00084552" w:rsidRPr="00084552" w14:paraId="0EBA3C8F" w14:textId="77777777" w:rsidTr="000B4D3E">
        <w:trPr>
          <w:cantSplit/>
        </w:trPr>
        <w:tc>
          <w:tcPr>
            <w:tcW w:w="4680" w:type="dxa"/>
            <w:tcBorders>
              <w:bottom w:val="single" w:sz="4" w:space="0" w:color="auto"/>
            </w:tcBorders>
            <w:shd w:val="clear" w:color="auto" w:fill="67AE3C"/>
            <w:vAlign w:val="center"/>
          </w:tcPr>
          <w:p w14:paraId="2CAF665B" w14:textId="77777777" w:rsidR="00037678" w:rsidRPr="00113082"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113082">
              <w:rPr>
                <w:rFonts w:ascii="Cambria" w:hAnsi="Cambria"/>
                <w:b/>
                <w:bCs/>
                <w:color w:val="FFFFFF"/>
                <w:sz w:val="20"/>
                <w:szCs w:val="20"/>
              </w:rPr>
              <w:t>Competence</w:t>
            </w:r>
            <w:r w:rsidRPr="00113082">
              <w:rPr>
                <w:rFonts w:ascii="Cambria" w:hAnsi="Cambria"/>
                <w:b/>
                <w:bCs/>
                <w:i/>
                <w:color w:val="FFFFFF"/>
                <w:sz w:val="20"/>
                <w:szCs w:val="20"/>
              </w:rPr>
              <w:t xml:space="preserve"> Ratione materiae</w:t>
            </w:r>
            <w:r w:rsidRPr="00113082">
              <w:rPr>
                <w:rFonts w:ascii="Cambria" w:hAnsi="Cambria"/>
                <w:b/>
                <w:bCs/>
                <w:color w:val="FFFFFF"/>
                <w:sz w:val="20"/>
                <w:szCs w:val="20"/>
              </w:rPr>
              <w:t>:</w:t>
            </w:r>
          </w:p>
        </w:tc>
        <w:tc>
          <w:tcPr>
            <w:tcW w:w="4680" w:type="dxa"/>
            <w:tcBorders>
              <w:bottom w:val="single" w:sz="4" w:space="0" w:color="auto"/>
            </w:tcBorders>
            <w:vAlign w:val="center"/>
          </w:tcPr>
          <w:p w14:paraId="5FF680DB" w14:textId="77777777" w:rsidR="00037678" w:rsidRPr="00084552" w:rsidRDefault="00084552" w:rsidP="0008455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084552">
              <w:rPr>
                <w:rFonts w:ascii="Cambria" w:hAnsi="Cambria"/>
                <w:bCs/>
                <w:sz w:val="20"/>
                <w:szCs w:val="20"/>
              </w:rPr>
              <w:t>Yes</w:t>
            </w:r>
            <w:r w:rsidR="00037678" w:rsidRPr="00084552">
              <w:rPr>
                <w:rFonts w:ascii="Cambria" w:hAnsi="Cambria"/>
                <w:bCs/>
                <w:sz w:val="20"/>
                <w:szCs w:val="20"/>
              </w:rPr>
              <w:t xml:space="preserve">, </w:t>
            </w:r>
            <w:r w:rsidRPr="00084552">
              <w:rPr>
                <w:rFonts w:ascii="Cambria" w:hAnsi="Cambria"/>
                <w:bCs/>
                <w:sz w:val="20"/>
                <w:szCs w:val="20"/>
              </w:rPr>
              <w:t xml:space="preserve">American Convention on Human Rights </w:t>
            </w:r>
            <w:r w:rsidR="00037678" w:rsidRPr="00084552">
              <w:rPr>
                <w:rFonts w:ascii="Cambria" w:hAnsi="Cambria"/>
                <w:bCs/>
                <w:sz w:val="20"/>
                <w:szCs w:val="20"/>
              </w:rPr>
              <w:t>(</w:t>
            </w:r>
            <w:r w:rsidRPr="00084552">
              <w:rPr>
                <w:rFonts w:ascii="Cambria" w:hAnsi="Cambria"/>
                <w:bCs/>
                <w:sz w:val="20"/>
                <w:szCs w:val="20"/>
              </w:rPr>
              <w:t xml:space="preserve">ratification instrument deposited on </w:t>
            </w:r>
            <w:r>
              <w:rPr>
                <w:rFonts w:ascii="Cambria" w:hAnsi="Cambria"/>
                <w:bCs/>
                <w:sz w:val="20"/>
                <w:szCs w:val="20"/>
              </w:rPr>
              <w:t>July 31</w:t>
            </w:r>
            <w:r w:rsidRPr="00084552">
              <w:rPr>
                <w:rFonts w:ascii="Cambria" w:hAnsi="Cambria"/>
                <w:bCs/>
                <w:sz w:val="20"/>
                <w:szCs w:val="20"/>
                <w:vertAlign w:val="superscript"/>
              </w:rPr>
              <w:t>st</w:t>
            </w:r>
            <w:r>
              <w:rPr>
                <w:rFonts w:ascii="Cambria" w:hAnsi="Cambria"/>
                <w:bCs/>
                <w:sz w:val="20"/>
                <w:szCs w:val="20"/>
              </w:rPr>
              <w:t xml:space="preserve"> </w:t>
            </w:r>
            <w:r w:rsidR="00037678" w:rsidRPr="00084552">
              <w:rPr>
                <w:rFonts w:ascii="Cambria" w:hAnsi="Cambria"/>
                <w:bCs/>
                <w:sz w:val="20"/>
                <w:szCs w:val="20"/>
              </w:rPr>
              <w:t>1973)</w:t>
            </w:r>
          </w:p>
        </w:tc>
      </w:tr>
    </w:tbl>
    <w:p w14:paraId="0FC743A2" w14:textId="77777777" w:rsidR="00AB6F2A" w:rsidRDefault="00AB6F2A"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p>
    <w:p w14:paraId="6A7A50F3" w14:textId="77777777" w:rsidR="00AB6F2A" w:rsidRDefault="00AB6F2A"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p>
    <w:p w14:paraId="19B1FC1D" w14:textId="77777777" w:rsidR="00037678" w:rsidRPr="00CA61D0" w:rsidRDefault="00037678"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CA61D0">
        <w:rPr>
          <w:rFonts w:ascii="Cambria" w:hAnsi="Cambria"/>
          <w:b/>
          <w:bCs/>
          <w:sz w:val="20"/>
          <w:szCs w:val="20"/>
        </w:rPr>
        <w:lastRenderedPageBreak/>
        <w:t xml:space="preserve">IV. </w:t>
      </w:r>
      <w:r w:rsidRPr="00CA61D0">
        <w:rPr>
          <w:rFonts w:ascii="Cambria" w:hAnsi="Cambria"/>
          <w:b/>
          <w:bCs/>
          <w:sz w:val="20"/>
          <w:szCs w:val="20"/>
        </w:rPr>
        <w:tab/>
        <w:t xml:space="preserve">ANALYSIS OF DUPLICATION OF PROCEDURES AND INTERNATIONAL </w:t>
      </w:r>
      <w:r w:rsidRPr="00CA61D0">
        <w:rPr>
          <w:rFonts w:ascii="Cambria" w:hAnsi="Cambria"/>
          <w:b/>
          <w:bCs/>
          <w:i/>
          <w:sz w:val="20"/>
          <w:szCs w:val="20"/>
        </w:rPr>
        <w:t>RES JUDICATA</w:t>
      </w:r>
      <w:r w:rsidRPr="00CA61D0">
        <w:rPr>
          <w:rFonts w:ascii="Cambria" w:hAnsi="Cambria"/>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680"/>
        <w:gridCol w:w="4680"/>
      </w:tblGrid>
      <w:tr w:rsidR="00037678" w:rsidRPr="00CA61D0" w14:paraId="2B686E79" w14:textId="77777777" w:rsidTr="000B4D3E">
        <w:trPr>
          <w:cantSplit/>
        </w:trPr>
        <w:tc>
          <w:tcPr>
            <w:tcW w:w="4680" w:type="dxa"/>
            <w:tcBorders>
              <w:top w:val="single" w:sz="4" w:space="0" w:color="auto"/>
            </w:tcBorders>
            <w:shd w:val="clear" w:color="auto" w:fill="67AE3C"/>
            <w:vAlign w:val="center"/>
          </w:tcPr>
          <w:p w14:paraId="5C21A6EC" w14:textId="77777777" w:rsidR="00037678" w:rsidRPr="00CA61D0"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CA61D0">
              <w:rPr>
                <w:rFonts w:ascii="Cambria" w:hAnsi="Cambria"/>
                <w:b/>
                <w:color w:val="FFFFFF"/>
                <w:sz w:val="20"/>
                <w:szCs w:val="20"/>
              </w:rPr>
              <w:t xml:space="preserve">Duplication of procedures and international </w:t>
            </w:r>
            <w:r w:rsidRPr="00CA61D0">
              <w:rPr>
                <w:rFonts w:ascii="Cambria" w:hAnsi="Cambria"/>
                <w:b/>
                <w:i/>
                <w:color w:val="FFFFFF"/>
                <w:sz w:val="20"/>
                <w:szCs w:val="20"/>
              </w:rPr>
              <w:t>res judicata</w:t>
            </w:r>
            <w:r w:rsidRPr="00CA61D0">
              <w:rPr>
                <w:rFonts w:ascii="Cambria" w:hAnsi="Cambria"/>
                <w:b/>
                <w:bCs/>
                <w:color w:val="FFFFFF"/>
                <w:sz w:val="20"/>
                <w:szCs w:val="20"/>
              </w:rPr>
              <w:t>:</w:t>
            </w:r>
          </w:p>
        </w:tc>
        <w:tc>
          <w:tcPr>
            <w:tcW w:w="4680" w:type="dxa"/>
            <w:tcBorders>
              <w:top w:val="single" w:sz="4" w:space="0" w:color="auto"/>
            </w:tcBorders>
            <w:vAlign w:val="center"/>
          </w:tcPr>
          <w:p w14:paraId="120D8307" w14:textId="77777777" w:rsidR="00037678" w:rsidRPr="00CA61D0" w:rsidRDefault="00037678" w:rsidP="007F4998">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CA61D0">
              <w:rPr>
                <w:rFonts w:ascii="Cambria" w:hAnsi="Cambria"/>
                <w:bCs/>
                <w:sz w:val="20"/>
                <w:szCs w:val="20"/>
              </w:rPr>
              <w:t>No</w:t>
            </w:r>
          </w:p>
        </w:tc>
      </w:tr>
      <w:tr w:rsidR="00037678" w:rsidRPr="00CA61D0" w14:paraId="309FE62A" w14:textId="77777777" w:rsidTr="000B4D3E">
        <w:trPr>
          <w:cantSplit/>
        </w:trPr>
        <w:tc>
          <w:tcPr>
            <w:tcW w:w="4680" w:type="dxa"/>
            <w:shd w:val="clear" w:color="auto" w:fill="67AE3C"/>
            <w:vAlign w:val="center"/>
          </w:tcPr>
          <w:p w14:paraId="6062E402" w14:textId="77777777" w:rsidR="00037678" w:rsidRPr="00CA61D0"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20"/>
                <w:szCs w:val="20"/>
              </w:rPr>
            </w:pPr>
            <w:r w:rsidRPr="00CA61D0">
              <w:rPr>
                <w:rFonts w:ascii="Cambria" w:hAnsi="Cambria"/>
                <w:b/>
                <w:color w:val="FFFFFF"/>
                <w:sz w:val="20"/>
                <w:szCs w:val="20"/>
              </w:rPr>
              <w:t>Rights declared admissible:</w:t>
            </w:r>
          </w:p>
        </w:tc>
        <w:tc>
          <w:tcPr>
            <w:tcW w:w="4680" w:type="dxa"/>
            <w:vAlign w:val="center"/>
          </w:tcPr>
          <w:p w14:paraId="4CD20894" w14:textId="77777777" w:rsidR="00037678" w:rsidRPr="00CA61D0" w:rsidRDefault="00CA61D0" w:rsidP="008B2E2A">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CA61D0">
              <w:rPr>
                <w:rFonts w:ascii="Cambria" w:hAnsi="Cambria"/>
                <w:bCs/>
                <w:sz w:val="20"/>
                <w:szCs w:val="20"/>
              </w:rPr>
              <w:t>Articles</w:t>
            </w:r>
            <w:r w:rsidR="00037678" w:rsidRPr="00CA61D0">
              <w:rPr>
                <w:rFonts w:ascii="Cambria" w:hAnsi="Cambria"/>
                <w:bCs/>
                <w:sz w:val="20"/>
                <w:szCs w:val="20"/>
              </w:rPr>
              <w:t xml:space="preserve"> 8 (</w:t>
            </w:r>
            <w:r w:rsidRPr="00CA61D0">
              <w:rPr>
                <w:rFonts w:ascii="Cambria" w:hAnsi="Cambria"/>
                <w:bCs/>
                <w:sz w:val="20"/>
                <w:szCs w:val="20"/>
              </w:rPr>
              <w:t>Right to a Fair Trial</w:t>
            </w:r>
            <w:r w:rsidR="00037678" w:rsidRPr="00CA61D0">
              <w:rPr>
                <w:rFonts w:ascii="Cambria" w:hAnsi="Cambria"/>
                <w:bCs/>
                <w:sz w:val="20"/>
                <w:szCs w:val="20"/>
              </w:rPr>
              <w:t xml:space="preserve">) </w:t>
            </w:r>
            <w:r w:rsidRPr="00CA61D0">
              <w:rPr>
                <w:rFonts w:ascii="Cambria" w:hAnsi="Cambria"/>
                <w:bCs/>
                <w:sz w:val="20"/>
                <w:szCs w:val="20"/>
              </w:rPr>
              <w:t>and</w:t>
            </w:r>
            <w:r w:rsidR="00037678" w:rsidRPr="00CA61D0">
              <w:rPr>
                <w:rFonts w:ascii="Cambria" w:hAnsi="Cambria"/>
                <w:bCs/>
                <w:sz w:val="20"/>
                <w:szCs w:val="20"/>
              </w:rPr>
              <w:t xml:space="preserve"> 25 (</w:t>
            </w:r>
            <w:r w:rsidRPr="00CA61D0">
              <w:rPr>
                <w:rFonts w:ascii="Cambria" w:hAnsi="Cambria"/>
                <w:bCs/>
                <w:sz w:val="20"/>
                <w:szCs w:val="20"/>
              </w:rPr>
              <w:t>Right to Judicial Protection</w:t>
            </w:r>
            <w:r w:rsidR="00037678" w:rsidRPr="00CA61D0">
              <w:rPr>
                <w:rFonts w:ascii="Cambria" w:hAnsi="Cambria"/>
                <w:bCs/>
                <w:sz w:val="20"/>
                <w:szCs w:val="20"/>
              </w:rPr>
              <w:t xml:space="preserve">) </w:t>
            </w:r>
            <w:r w:rsidRPr="00CA61D0">
              <w:rPr>
                <w:rFonts w:ascii="Cambria" w:hAnsi="Cambria"/>
                <w:bCs/>
                <w:sz w:val="20"/>
                <w:szCs w:val="20"/>
              </w:rPr>
              <w:t>of the American Convention</w:t>
            </w:r>
            <w:r w:rsidR="00037678" w:rsidRPr="00CA61D0">
              <w:rPr>
                <w:rFonts w:ascii="Cambria" w:hAnsi="Cambria"/>
                <w:bCs/>
                <w:sz w:val="20"/>
                <w:szCs w:val="20"/>
              </w:rPr>
              <w:t xml:space="preserve">, </w:t>
            </w:r>
            <w:r w:rsidRPr="00CA61D0">
              <w:rPr>
                <w:rFonts w:ascii="Cambria" w:hAnsi="Cambria"/>
                <w:bCs/>
                <w:sz w:val="20"/>
                <w:szCs w:val="20"/>
              </w:rPr>
              <w:t xml:space="preserve">in </w:t>
            </w:r>
            <w:r w:rsidR="008B2E2A">
              <w:rPr>
                <w:rFonts w:ascii="Cambria" w:hAnsi="Cambria"/>
                <w:bCs/>
                <w:sz w:val="20"/>
                <w:szCs w:val="20"/>
              </w:rPr>
              <w:t xml:space="preserve">accordance with </w:t>
            </w:r>
            <w:r w:rsidRPr="00CA61D0">
              <w:rPr>
                <w:rFonts w:ascii="Cambria" w:hAnsi="Cambria"/>
                <w:bCs/>
                <w:sz w:val="20"/>
                <w:szCs w:val="20"/>
              </w:rPr>
              <w:t xml:space="preserve">articles </w:t>
            </w:r>
            <w:r w:rsidR="00037678" w:rsidRPr="00CA61D0">
              <w:rPr>
                <w:rFonts w:ascii="Cambria" w:hAnsi="Cambria"/>
                <w:bCs/>
                <w:sz w:val="20"/>
                <w:szCs w:val="20"/>
              </w:rPr>
              <w:t xml:space="preserve">1.1 </w:t>
            </w:r>
            <w:r w:rsidRPr="00CA61D0">
              <w:rPr>
                <w:rFonts w:ascii="Cambria" w:hAnsi="Cambria"/>
                <w:bCs/>
                <w:sz w:val="20"/>
                <w:szCs w:val="20"/>
              </w:rPr>
              <w:t xml:space="preserve">and </w:t>
            </w:r>
            <w:r w:rsidR="00037678" w:rsidRPr="00CA61D0">
              <w:rPr>
                <w:rFonts w:ascii="Cambria" w:hAnsi="Cambria"/>
                <w:bCs/>
                <w:sz w:val="20"/>
                <w:szCs w:val="20"/>
              </w:rPr>
              <w:t xml:space="preserve">2 </w:t>
            </w:r>
            <w:r w:rsidR="008B2E2A">
              <w:rPr>
                <w:rFonts w:ascii="Cambria" w:hAnsi="Cambria"/>
                <w:bCs/>
                <w:sz w:val="20"/>
                <w:szCs w:val="20"/>
              </w:rPr>
              <w:t xml:space="preserve">thereof </w:t>
            </w:r>
          </w:p>
        </w:tc>
      </w:tr>
      <w:tr w:rsidR="00037678" w:rsidRPr="00CA61D0" w14:paraId="5DAF8814" w14:textId="77777777" w:rsidTr="000B4D3E">
        <w:trPr>
          <w:cantSplit/>
        </w:trPr>
        <w:tc>
          <w:tcPr>
            <w:tcW w:w="4680" w:type="dxa"/>
            <w:shd w:val="clear" w:color="auto" w:fill="67AE3C"/>
            <w:vAlign w:val="center"/>
          </w:tcPr>
          <w:p w14:paraId="014DAF48" w14:textId="77777777" w:rsidR="00037678" w:rsidRPr="00CA61D0"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CA61D0">
              <w:rPr>
                <w:rFonts w:ascii="Cambria" w:hAnsi="Cambria"/>
                <w:b/>
                <w:color w:val="FFFFFF"/>
                <w:sz w:val="20"/>
                <w:szCs w:val="20"/>
              </w:rPr>
              <w:t>Exhaustion of domestic remedies or applicability of an exception to the rule:</w:t>
            </w:r>
          </w:p>
        </w:tc>
        <w:tc>
          <w:tcPr>
            <w:tcW w:w="4680" w:type="dxa"/>
            <w:vAlign w:val="center"/>
          </w:tcPr>
          <w:p w14:paraId="1C49FE5A" w14:textId="77777777" w:rsidR="00037678" w:rsidRPr="00CA61D0" w:rsidRDefault="00CA61D0" w:rsidP="00CA61D0">
            <w:pPr>
              <w:pBdr>
                <w:top w:val="none" w:sz="0" w:space="0" w:color="auto"/>
                <w:left w:val="none" w:sz="0" w:space="0" w:color="auto"/>
                <w:bottom w:val="none" w:sz="0" w:space="0" w:color="auto"/>
                <w:right w:val="none" w:sz="0" w:space="0" w:color="auto"/>
                <w:bar w:val="none" w:sz="0" w:color="auto"/>
              </w:pBdr>
              <w:rPr>
                <w:rFonts w:ascii="Cambria" w:hAnsi="Cambria"/>
                <w:bCs/>
                <w:sz w:val="20"/>
                <w:szCs w:val="20"/>
                <w:lang w:val="en-GB"/>
              </w:rPr>
            </w:pPr>
            <w:r w:rsidRPr="00CA61D0">
              <w:rPr>
                <w:rFonts w:ascii="Cambria" w:hAnsi="Cambria"/>
                <w:bCs/>
                <w:sz w:val="20"/>
                <w:szCs w:val="20"/>
                <w:lang w:val="en-GB"/>
              </w:rPr>
              <w:t>Yes</w:t>
            </w:r>
            <w:r w:rsidR="00037678" w:rsidRPr="00CA61D0">
              <w:rPr>
                <w:rFonts w:ascii="Cambria" w:hAnsi="Cambria"/>
                <w:bCs/>
                <w:sz w:val="20"/>
                <w:szCs w:val="20"/>
                <w:lang w:val="en-GB"/>
              </w:rPr>
              <w:t xml:space="preserve">, </w:t>
            </w:r>
            <w:r w:rsidRPr="00CA61D0">
              <w:rPr>
                <w:rFonts w:ascii="Cambria" w:hAnsi="Cambria"/>
                <w:bCs/>
                <w:sz w:val="20"/>
                <w:szCs w:val="20"/>
                <w:lang w:val="en-GB"/>
              </w:rPr>
              <w:t xml:space="preserve">under the terms of Section </w:t>
            </w:r>
            <w:r w:rsidR="00037678" w:rsidRPr="00CA61D0">
              <w:rPr>
                <w:rFonts w:ascii="Cambria" w:hAnsi="Cambria"/>
                <w:bCs/>
                <w:sz w:val="20"/>
                <w:szCs w:val="20"/>
                <w:lang w:val="en-GB"/>
              </w:rPr>
              <w:t>VI</w:t>
            </w:r>
          </w:p>
        </w:tc>
      </w:tr>
      <w:tr w:rsidR="00037678" w:rsidRPr="00113082" w14:paraId="68A9B912" w14:textId="77777777" w:rsidTr="000B4D3E">
        <w:trPr>
          <w:cantSplit/>
        </w:trPr>
        <w:tc>
          <w:tcPr>
            <w:tcW w:w="4680" w:type="dxa"/>
            <w:tcBorders>
              <w:bottom w:val="single" w:sz="4" w:space="0" w:color="auto"/>
            </w:tcBorders>
            <w:shd w:val="clear" w:color="auto" w:fill="67AE3C"/>
            <w:vAlign w:val="center"/>
          </w:tcPr>
          <w:p w14:paraId="32045440" w14:textId="77777777" w:rsidR="00037678" w:rsidRPr="00CA61D0" w:rsidRDefault="00037678" w:rsidP="007F4998">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20"/>
                <w:szCs w:val="20"/>
              </w:rPr>
            </w:pPr>
            <w:r w:rsidRPr="00CA61D0">
              <w:rPr>
                <w:rFonts w:ascii="Cambria" w:hAnsi="Cambria"/>
                <w:b/>
                <w:color w:val="FFFFFF"/>
                <w:sz w:val="20"/>
                <w:szCs w:val="20"/>
              </w:rPr>
              <w:t>Timeliness of the petition:</w:t>
            </w:r>
          </w:p>
        </w:tc>
        <w:tc>
          <w:tcPr>
            <w:tcW w:w="4680" w:type="dxa"/>
            <w:tcBorders>
              <w:bottom w:val="single" w:sz="4" w:space="0" w:color="auto"/>
            </w:tcBorders>
            <w:vAlign w:val="center"/>
          </w:tcPr>
          <w:p w14:paraId="6B20E979" w14:textId="77777777" w:rsidR="00037678" w:rsidRPr="00CA61D0" w:rsidRDefault="00CA61D0" w:rsidP="00D74B73">
            <w:pPr>
              <w:pBdr>
                <w:top w:val="none" w:sz="0" w:space="0" w:color="auto"/>
                <w:left w:val="none" w:sz="0" w:space="0" w:color="auto"/>
                <w:bottom w:val="none" w:sz="0" w:space="0" w:color="auto"/>
                <w:right w:val="none" w:sz="0" w:space="0" w:color="auto"/>
                <w:bar w:val="none" w:sz="0" w:color="auto"/>
              </w:pBdr>
              <w:rPr>
                <w:bCs/>
                <w:sz w:val="20"/>
                <w:szCs w:val="20"/>
              </w:rPr>
            </w:pPr>
            <w:r w:rsidRPr="00CA61D0">
              <w:rPr>
                <w:rFonts w:ascii="Cambria" w:hAnsi="Cambria"/>
                <w:bCs/>
                <w:sz w:val="20"/>
                <w:szCs w:val="20"/>
              </w:rPr>
              <w:t>Yes, under the terms of Section</w:t>
            </w:r>
            <w:r w:rsidR="00037678" w:rsidRPr="00CA61D0">
              <w:rPr>
                <w:rFonts w:ascii="Cambria" w:hAnsi="Cambria"/>
                <w:bCs/>
                <w:sz w:val="20"/>
                <w:szCs w:val="20"/>
              </w:rPr>
              <w:t xml:space="preserve"> VI</w:t>
            </w:r>
          </w:p>
        </w:tc>
      </w:tr>
    </w:tbl>
    <w:p w14:paraId="522DD9F4"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113082">
        <w:rPr>
          <w:rFonts w:ascii="Cambria" w:hAnsi="Cambria"/>
          <w:b/>
          <w:sz w:val="20"/>
          <w:szCs w:val="20"/>
        </w:rPr>
        <w:t xml:space="preserve">V. </w:t>
      </w:r>
      <w:r w:rsidRPr="00113082">
        <w:rPr>
          <w:rFonts w:ascii="Cambria" w:hAnsi="Cambria"/>
          <w:b/>
          <w:sz w:val="20"/>
          <w:szCs w:val="20"/>
        </w:rPr>
        <w:tab/>
        <w:t>ALLEGED FACTS</w:t>
      </w:r>
    </w:p>
    <w:p w14:paraId="440F4D7E" w14:textId="654E8167" w:rsidR="00037678" w:rsidRPr="00113082" w:rsidRDefault="00AB6F2A" w:rsidP="00B73C85">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rPr>
      </w:pPr>
      <w:r>
        <w:rPr>
          <w:rFonts w:ascii="Cambria" w:hAnsi="Cambria"/>
          <w:sz w:val="20"/>
          <w:szCs w:val="20"/>
        </w:rPr>
        <w:t xml:space="preserve">1. </w:t>
      </w:r>
      <w:r w:rsidR="00037678" w:rsidRPr="00113082">
        <w:rPr>
          <w:rFonts w:ascii="Cambria" w:hAnsi="Cambria"/>
          <w:sz w:val="20"/>
          <w:szCs w:val="20"/>
        </w:rPr>
        <w:tab/>
        <w:t xml:space="preserve">The petitioners state that Luz </w:t>
      </w:r>
      <w:r w:rsidR="00A5549B">
        <w:rPr>
          <w:rFonts w:ascii="Cambria" w:hAnsi="Cambria"/>
          <w:sz w:val="20"/>
          <w:szCs w:val="20"/>
        </w:rPr>
        <w:t>Angelica</w:t>
      </w:r>
      <w:r w:rsidR="00037678" w:rsidRPr="00113082">
        <w:rPr>
          <w:rFonts w:ascii="Cambria" w:hAnsi="Cambria"/>
          <w:sz w:val="20"/>
          <w:szCs w:val="20"/>
        </w:rPr>
        <w:t xml:space="preserve"> Porras Camacho, Humberto Rey </w:t>
      </w:r>
      <w:r w:rsidR="00A5549B">
        <w:rPr>
          <w:rFonts w:ascii="Cambria" w:hAnsi="Cambria"/>
          <w:sz w:val="20"/>
          <w:szCs w:val="20"/>
        </w:rPr>
        <w:t>Baron</w:t>
      </w:r>
      <w:r w:rsidR="00037678" w:rsidRPr="00113082">
        <w:rPr>
          <w:rFonts w:ascii="Cambria" w:hAnsi="Cambria"/>
          <w:sz w:val="20"/>
          <w:szCs w:val="20"/>
        </w:rPr>
        <w:t xml:space="preserve">, </w:t>
      </w:r>
      <w:r w:rsidR="00A5549B">
        <w:rPr>
          <w:rFonts w:ascii="Cambria" w:hAnsi="Cambria"/>
          <w:sz w:val="20"/>
          <w:szCs w:val="20"/>
        </w:rPr>
        <w:t>Alvaro</w:t>
      </w:r>
      <w:r w:rsidR="00037678" w:rsidRPr="00113082">
        <w:rPr>
          <w:rFonts w:ascii="Cambria" w:hAnsi="Cambria"/>
          <w:sz w:val="20"/>
          <w:szCs w:val="20"/>
        </w:rPr>
        <w:t xml:space="preserve"> </w:t>
      </w:r>
      <w:r w:rsidR="00A5549B">
        <w:rPr>
          <w:rFonts w:ascii="Cambria" w:hAnsi="Cambria"/>
          <w:sz w:val="20"/>
          <w:szCs w:val="20"/>
        </w:rPr>
        <w:t>Damian</w:t>
      </w:r>
      <w:r w:rsidR="00037678" w:rsidRPr="00113082">
        <w:rPr>
          <w:rFonts w:ascii="Cambria" w:hAnsi="Cambria"/>
          <w:sz w:val="20"/>
          <w:szCs w:val="20"/>
        </w:rPr>
        <w:t xml:space="preserve"> </w:t>
      </w:r>
      <w:r w:rsidR="00A5549B">
        <w:rPr>
          <w:rFonts w:ascii="Cambria" w:hAnsi="Cambria"/>
          <w:sz w:val="20"/>
          <w:szCs w:val="20"/>
        </w:rPr>
        <w:t>Gomez</w:t>
      </w:r>
      <w:r w:rsidR="00037678" w:rsidRPr="00113082">
        <w:rPr>
          <w:rFonts w:ascii="Cambria" w:hAnsi="Cambria"/>
          <w:sz w:val="20"/>
          <w:szCs w:val="20"/>
        </w:rPr>
        <w:t xml:space="preserve"> Granja and </w:t>
      </w:r>
      <w:r w:rsidR="00A5549B">
        <w:rPr>
          <w:rFonts w:ascii="Cambria" w:hAnsi="Cambria"/>
          <w:sz w:val="20"/>
          <w:szCs w:val="20"/>
        </w:rPr>
        <w:t>Jose</w:t>
      </w:r>
      <w:r w:rsidR="00037678" w:rsidRPr="00113082">
        <w:rPr>
          <w:rFonts w:ascii="Cambria" w:hAnsi="Cambria"/>
          <w:sz w:val="20"/>
          <w:szCs w:val="20"/>
        </w:rPr>
        <w:t xml:space="preserve"> Silar Benavides Ariza (hereinafter the “alleged victims”) were w</w:t>
      </w:r>
      <w:r w:rsidR="00CA61D0">
        <w:rPr>
          <w:rFonts w:ascii="Cambria" w:hAnsi="Cambria"/>
          <w:sz w:val="20"/>
          <w:szCs w:val="20"/>
        </w:rPr>
        <w:t xml:space="preserve">orking as </w:t>
      </w:r>
      <w:r w:rsidR="00A5549B">
        <w:rPr>
          <w:rFonts w:ascii="Cambria" w:hAnsi="Cambria"/>
          <w:sz w:val="20"/>
          <w:szCs w:val="20"/>
        </w:rPr>
        <w:t>temporary</w:t>
      </w:r>
      <w:r w:rsidR="00CA61D0" w:rsidRPr="00AF74D7">
        <w:rPr>
          <w:rFonts w:ascii="Cambria" w:hAnsi="Cambria"/>
          <w:sz w:val="20"/>
          <w:szCs w:val="20"/>
        </w:rPr>
        <w:t xml:space="preserve"> employees at</w:t>
      </w:r>
      <w:r w:rsidR="00037678" w:rsidRPr="00AF74D7">
        <w:rPr>
          <w:rFonts w:ascii="Cambria" w:hAnsi="Cambria"/>
          <w:sz w:val="20"/>
          <w:szCs w:val="20"/>
        </w:rPr>
        <w:t xml:space="preserve"> the </w:t>
      </w:r>
      <w:r w:rsidR="00CA61D0" w:rsidRPr="00AF74D7">
        <w:rPr>
          <w:rFonts w:ascii="Cambria" w:hAnsi="Cambria"/>
          <w:sz w:val="20"/>
          <w:szCs w:val="20"/>
        </w:rPr>
        <w:t xml:space="preserve">Public Prosecutor’s Office </w:t>
      </w:r>
      <w:r w:rsidR="00037678" w:rsidRPr="00AF74D7">
        <w:rPr>
          <w:rFonts w:ascii="Cambria" w:hAnsi="Cambria"/>
          <w:sz w:val="20"/>
          <w:szCs w:val="20"/>
        </w:rPr>
        <w:t>(</w:t>
      </w:r>
      <w:r w:rsidR="00CA61D0" w:rsidRPr="00AF74D7">
        <w:rPr>
          <w:rFonts w:ascii="Cambria" w:hAnsi="Cambria"/>
          <w:sz w:val="20"/>
          <w:szCs w:val="20"/>
        </w:rPr>
        <w:t>hereinafter “Public Prosecutor”</w:t>
      </w:r>
      <w:r w:rsidR="00037678" w:rsidRPr="00AF74D7">
        <w:rPr>
          <w:rFonts w:ascii="Cambria" w:hAnsi="Cambria"/>
          <w:sz w:val="20"/>
          <w:szCs w:val="20"/>
        </w:rPr>
        <w:t>), in</w:t>
      </w:r>
      <w:r w:rsidR="00037678" w:rsidRPr="00113082">
        <w:rPr>
          <w:rFonts w:ascii="Cambria" w:hAnsi="Cambria"/>
          <w:sz w:val="20"/>
          <w:szCs w:val="20"/>
        </w:rPr>
        <w:t xml:space="preserve"> different positions, when they were </w:t>
      </w:r>
      <w:r w:rsidR="00116543">
        <w:rPr>
          <w:rFonts w:ascii="Cambria" w:hAnsi="Cambria"/>
          <w:sz w:val="20"/>
          <w:szCs w:val="20"/>
        </w:rPr>
        <w:t>dismissed</w:t>
      </w:r>
      <w:r w:rsidR="00037678" w:rsidRPr="00113082">
        <w:rPr>
          <w:rFonts w:ascii="Cambria" w:hAnsi="Cambria"/>
          <w:sz w:val="20"/>
          <w:szCs w:val="20"/>
        </w:rPr>
        <w:t xml:space="preserve">. They indicate that the </w:t>
      </w:r>
      <w:r w:rsidR="00116543">
        <w:rPr>
          <w:rFonts w:ascii="Cambria" w:hAnsi="Cambria"/>
          <w:sz w:val="20"/>
          <w:szCs w:val="20"/>
        </w:rPr>
        <w:t xml:space="preserve">dismissals were made without complying with legal requirements, since they allege that these measures were not justified; that no record of the facts or grounds were left in the employee files; and that they did not base it on reasons of good service </w:t>
      </w:r>
      <w:r w:rsidR="00037678" w:rsidRPr="00113082">
        <w:rPr>
          <w:rFonts w:ascii="Cambria" w:hAnsi="Cambria"/>
          <w:sz w:val="20"/>
          <w:szCs w:val="20"/>
        </w:rPr>
        <w:t>(</w:t>
      </w:r>
      <w:r w:rsidR="00116543">
        <w:rPr>
          <w:rFonts w:ascii="Cambria" w:hAnsi="Cambria"/>
          <w:sz w:val="20"/>
          <w:szCs w:val="20"/>
        </w:rPr>
        <w:t xml:space="preserve">a </w:t>
      </w:r>
      <w:r w:rsidR="00037678" w:rsidRPr="00113082">
        <w:rPr>
          <w:rFonts w:ascii="Cambria" w:hAnsi="Cambria"/>
          <w:sz w:val="20"/>
          <w:szCs w:val="20"/>
        </w:rPr>
        <w:t xml:space="preserve">grounds established by law). </w:t>
      </w:r>
    </w:p>
    <w:p w14:paraId="1A1CAB2D" w14:textId="59A63039" w:rsidR="00037678" w:rsidRPr="00113082" w:rsidRDefault="00037678" w:rsidP="00B73C85">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rPr>
      </w:pPr>
      <w:r w:rsidRPr="00113082">
        <w:rPr>
          <w:rFonts w:ascii="Cambria" w:hAnsi="Cambria"/>
          <w:sz w:val="20"/>
          <w:szCs w:val="20"/>
        </w:rPr>
        <w:t>2.</w:t>
      </w:r>
      <w:r w:rsidRPr="00113082">
        <w:rPr>
          <w:rFonts w:ascii="Cambria" w:hAnsi="Cambria"/>
          <w:sz w:val="20"/>
          <w:szCs w:val="20"/>
        </w:rPr>
        <w:tab/>
        <w:t xml:space="preserve">For all four of the alleged victims, the petitioners claim that the </w:t>
      </w:r>
      <w:r w:rsidR="00CA61D0">
        <w:rPr>
          <w:rFonts w:ascii="Cambria" w:hAnsi="Cambria"/>
          <w:sz w:val="20"/>
          <w:szCs w:val="20"/>
        </w:rPr>
        <w:t xml:space="preserve">Public Prosecutor </w:t>
      </w:r>
      <w:r w:rsidRPr="00113082">
        <w:rPr>
          <w:rFonts w:ascii="Cambria" w:hAnsi="Cambria"/>
          <w:sz w:val="20"/>
          <w:szCs w:val="20"/>
        </w:rPr>
        <w:t xml:space="preserve">did not have the authority to </w:t>
      </w:r>
      <w:r w:rsidR="001831EE">
        <w:rPr>
          <w:rFonts w:ascii="Cambria" w:hAnsi="Cambria"/>
          <w:sz w:val="20"/>
          <w:szCs w:val="20"/>
        </w:rPr>
        <w:t>dismiss</w:t>
      </w:r>
      <w:r w:rsidRPr="00113082">
        <w:rPr>
          <w:rFonts w:ascii="Cambria" w:hAnsi="Cambria"/>
          <w:sz w:val="20"/>
          <w:szCs w:val="20"/>
        </w:rPr>
        <w:t xml:space="preserve"> a person who </w:t>
      </w:r>
      <w:r w:rsidR="001831EE">
        <w:rPr>
          <w:rFonts w:ascii="Cambria" w:hAnsi="Cambria"/>
          <w:sz w:val="20"/>
          <w:szCs w:val="20"/>
        </w:rPr>
        <w:t>worked</w:t>
      </w:r>
      <w:r w:rsidRPr="00113082">
        <w:rPr>
          <w:rFonts w:ascii="Cambria" w:hAnsi="Cambria"/>
          <w:sz w:val="20"/>
          <w:szCs w:val="20"/>
        </w:rPr>
        <w:t xml:space="preserve"> </w:t>
      </w:r>
      <w:r w:rsidRPr="002040E7">
        <w:rPr>
          <w:rFonts w:ascii="Cambria" w:hAnsi="Cambria"/>
          <w:sz w:val="20"/>
          <w:szCs w:val="20"/>
        </w:rPr>
        <w:t xml:space="preserve">as a </w:t>
      </w:r>
      <w:r w:rsidR="001831EE">
        <w:rPr>
          <w:rFonts w:ascii="Cambria" w:hAnsi="Cambria"/>
          <w:sz w:val="20"/>
          <w:szCs w:val="20"/>
        </w:rPr>
        <w:t>temporary</w:t>
      </w:r>
      <w:r w:rsidR="00CA61D0" w:rsidRPr="002040E7">
        <w:rPr>
          <w:rFonts w:ascii="Cambria" w:hAnsi="Cambria"/>
          <w:sz w:val="20"/>
          <w:szCs w:val="20"/>
        </w:rPr>
        <w:t xml:space="preserve"> </w:t>
      </w:r>
      <w:r w:rsidRPr="002040E7">
        <w:rPr>
          <w:rFonts w:ascii="Cambria" w:hAnsi="Cambria"/>
          <w:sz w:val="20"/>
          <w:szCs w:val="20"/>
        </w:rPr>
        <w:t xml:space="preserve">employee while </w:t>
      </w:r>
      <w:r w:rsidR="001831EE">
        <w:rPr>
          <w:rFonts w:ascii="Cambria" w:hAnsi="Cambria"/>
          <w:sz w:val="20"/>
          <w:szCs w:val="20"/>
        </w:rPr>
        <w:t xml:space="preserve">exercising the duties of a public </w:t>
      </w:r>
      <w:r w:rsidR="00A5549B">
        <w:rPr>
          <w:rFonts w:ascii="Cambria" w:hAnsi="Cambria"/>
          <w:sz w:val="20"/>
          <w:szCs w:val="20"/>
        </w:rPr>
        <w:t>administration</w:t>
      </w:r>
      <w:r w:rsidR="001831EE">
        <w:rPr>
          <w:rFonts w:ascii="Cambria" w:hAnsi="Cambria"/>
          <w:sz w:val="20"/>
          <w:szCs w:val="20"/>
        </w:rPr>
        <w:t xml:space="preserve"> career</w:t>
      </w:r>
      <w:r w:rsidRPr="002040E7">
        <w:rPr>
          <w:rFonts w:ascii="Cambria" w:hAnsi="Cambria"/>
          <w:sz w:val="20"/>
          <w:szCs w:val="20"/>
        </w:rPr>
        <w:t>, b</w:t>
      </w:r>
      <w:r w:rsidRPr="00113082">
        <w:rPr>
          <w:rFonts w:ascii="Cambria" w:hAnsi="Cambria"/>
          <w:sz w:val="20"/>
          <w:szCs w:val="20"/>
        </w:rPr>
        <w:t xml:space="preserve">y virtue of the stability </w:t>
      </w:r>
      <w:r w:rsidR="00E47013" w:rsidRPr="00113082">
        <w:rPr>
          <w:rFonts w:ascii="Cambria" w:hAnsi="Cambria"/>
          <w:sz w:val="20"/>
          <w:szCs w:val="20"/>
        </w:rPr>
        <w:t xml:space="preserve">which is characteristic of </w:t>
      </w:r>
      <w:r w:rsidRPr="00113082">
        <w:rPr>
          <w:rFonts w:ascii="Cambria" w:hAnsi="Cambria"/>
          <w:sz w:val="20"/>
          <w:szCs w:val="20"/>
        </w:rPr>
        <w:t xml:space="preserve">such positions; and that the fact that they were </w:t>
      </w:r>
      <w:r w:rsidR="001831EE">
        <w:rPr>
          <w:rFonts w:ascii="Cambria" w:hAnsi="Cambria"/>
          <w:sz w:val="20"/>
          <w:szCs w:val="20"/>
        </w:rPr>
        <w:t>public</w:t>
      </w:r>
      <w:r w:rsidRPr="00113082">
        <w:rPr>
          <w:rFonts w:ascii="Cambria" w:hAnsi="Cambria"/>
          <w:sz w:val="20"/>
          <w:szCs w:val="20"/>
        </w:rPr>
        <w:t xml:space="preserve"> servants appointed in a </w:t>
      </w:r>
      <w:r w:rsidR="001831EE">
        <w:rPr>
          <w:rFonts w:ascii="Cambria" w:hAnsi="Cambria"/>
          <w:sz w:val="20"/>
          <w:szCs w:val="20"/>
        </w:rPr>
        <w:t>temporary</w:t>
      </w:r>
      <w:r w:rsidR="00CA61D0">
        <w:rPr>
          <w:rFonts w:ascii="Cambria" w:hAnsi="Cambria"/>
          <w:sz w:val="20"/>
          <w:szCs w:val="20"/>
        </w:rPr>
        <w:t xml:space="preserve"> </w:t>
      </w:r>
      <w:r w:rsidRPr="00113082">
        <w:rPr>
          <w:rFonts w:ascii="Cambria" w:hAnsi="Cambria"/>
          <w:sz w:val="20"/>
          <w:szCs w:val="20"/>
        </w:rPr>
        <w:t xml:space="preserve">capacity does not </w:t>
      </w:r>
      <w:r w:rsidR="00AF74D7">
        <w:rPr>
          <w:rFonts w:ascii="Cambria" w:hAnsi="Cambria"/>
          <w:sz w:val="20"/>
          <w:szCs w:val="20"/>
        </w:rPr>
        <w:t xml:space="preserve">imply </w:t>
      </w:r>
      <w:r w:rsidRPr="00113082">
        <w:rPr>
          <w:rFonts w:ascii="Cambria" w:hAnsi="Cambria"/>
          <w:sz w:val="20"/>
          <w:szCs w:val="20"/>
        </w:rPr>
        <w:t xml:space="preserve">that their employment may be terminated discretionally. They state that </w:t>
      </w:r>
      <w:r w:rsidR="00A5549B" w:rsidRPr="00113082">
        <w:rPr>
          <w:rFonts w:ascii="Cambria" w:hAnsi="Cambria"/>
          <w:sz w:val="20"/>
          <w:szCs w:val="20"/>
        </w:rPr>
        <w:t>a competitive selection process confers the permanent nature of these positions</w:t>
      </w:r>
      <w:r w:rsidRPr="00113082">
        <w:rPr>
          <w:rFonts w:ascii="Cambria" w:hAnsi="Cambria"/>
          <w:sz w:val="20"/>
          <w:szCs w:val="20"/>
        </w:rPr>
        <w:t xml:space="preserve">, but it is asserted that the </w:t>
      </w:r>
      <w:r w:rsidR="00CA61D0">
        <w:rPr>
          <w:rFonts w:ascii="Cambria" w:hAnsi="Cambria"/>
          <w:sz w:val="20"/>
          <w:szCs w:val="20"/>
        </w:rPr>
        <w:t xml:space="preserve">Public Prosecutor </w:t>
      </w:r>
      <w:r w:rsidRPr="00113082">
        <w:rPr>
          <w:rFonts w:ascii="Cambria" w:hAnsi="Cambria"/>
          <w:sz w:val="20"/>
          <w:szCs w:val="20"/>
        </w:rPr>
        <w:t xml:space="preserve">did not hold such exams, despite these having been </w:t>
      </w:r>
      <w:r w:rsidR="00A5549B">
        <w:rPr>
          <w:rFonts w:ascii="Cambria" w:hAnsi="Cambria"/>
          <w:sz w:val="20"/>
          <w:szCs w:val="20"/>
        </w:rPr>
        <w:t>ordered</w:t>
      </w:r>
      <w:r w:rsidRPr="00113082">
        <w:rPr>
          <w:rFonts w:ascii="Cambria" w:hAnsi="Cambria"/>
          <w:sz w:val="20"/>
          <w:szCs w:val="20"/>
        </w:rPr>
        <w:t xml:space="preserve"> by the Council of State </w:t>
      </w:r>
      <w:r w:rsidR="00CA01C4">
        <w:rPr>
          <w:rFonts w:ascii="Cambria" w:hAnsi="Cambria"/>
          <w:sz w:val="20"/>
          <w:szCs w:val="20"/>
        </w:rPr>
        <w:t>(</w:t>
      </w:r>
      <w:r w:rsidR="00CA01C4">
        <w:rPr>
          <w:rFonts w:ascii="Cambria" w:hAnsi="Cambria"/>
          <w:i/>
          <w:sz w:val="20"/>
          <w:szCs w:val="20"/>
        </w:rPr>
        <w:t>Consejo de Estado</w:t>
      </w:r>
      <w:r w:rsidR="00CA01C4">
        <w:rPr>
          <w:rFonts w:ascii="Cambria" w:hAnsi="Cambria"/>
          <w:sz w:val="20"/>
          <w:szCs w:val="20"/>
        </w:rPr>
        <w:t xml:space="preserve">) </w:t>
      </w:r>
      <w:r w:rsidRPr="00113082">
        <w:rPr>
          <w:rFonts w:ascii="Cambria" w:hAnsi="Cambria"/>
          <w:sz w:val="20"/>
          <w:szCs w:val="20"/>
        </w:rPr>
        <w:t xml:space="preserve">in a general context in a ruling </w:t>
      </w:r>
      <w:r w:rsidR="00A5549B">
        <w:rPr>
          <w:rFonts w:ascii="Cambria" w:hAnsi="Cambria"/>
          <w:sz w:val="20"/>
          <w:szCs w:val="20"/>
        </w:rPr>
        <w:t>of</w:t>
      </w:r>
      <w:r w:rsidRPr="00113082">
        <w:rPr>
          <w:rFonts w:ascii="Cambria" w:hAnsi="Cambria"/>
          <w:sz w:val="20"/>
          <w:szCs w:val="20"/>
        </w:rPr>
        <w:t xml:space="preserve"> October 4</w:t>
      </w:r>
      <w:r w:rsidRPr="00113082">
        <w:rPr>
          <w:rFonts w:ascii="Cambria" w:hAnsi="Cambria"/>
          <w:sz w:val="20"/>
          <w:szCs w:val="20"/>
          <w:vertAlign w:val="superscript"/>
        </w:rPr>
        <w:t>th</w:t>
      </w:r>
      <w:r w:rsidRPr="00113082">
        <w:rPr>
          <w:rFonts w:ascii="Cambria" w:hAnsi="Cambria"/>
          <w:sz w:val="20"/>
          <w:szCs w:val="20"/>
        </w:rPr>
        <w:t xml:space="preserve"> 2001. The alleged victims therefore in practice </w:t>
      </w:r>
      <w:r w:rsidR="00DB41C1">
        <w:rPr>
          <w:rFonts w:ascii="Cambria" w:hAnsi="Cambria"/>
          <w:sz w:val="20"/>
          <w:szCs w:val="20"/>
        </w:rPr>
        <w:t xml:space="preserve">had </w:t>
      </w:r>
      <w:r w:rsidRPr="00113082">
        <w:rPr>
          <w:rFonts w:ascii="Cambria" w:hAnsi="Cambria"/>
          <w:sz w:val="20"/>
          <w:szCs w:val="20"/>
        </w:rPr>
        <w:t>been working in</w:t>
      </w:r>
      <w:r w:rsidR="00DB41C1">
        <w:rPr>
          <w:rFonts w:ascii="Cambria" w:hAnsi="Cambria"/>
          <w:sz w:val="20"/>
          <w:szCs w:val="20"/>
        </w:rPr>
        <w:t xml:space="preserve"> positions that were by nature of public office</w:t>
      </w:r>
      <w:r w:rsidRPr="002040E7">
        <w:rPr>
          <w:rFonts w:ascii="Cambria" w:hAnsi="Cambria"/>
          <w:sz w:val="20"/>
          <w:szCs w:val="20"/>
        </w:rPr>
        <w:t>, but t</w:t>
      </w:r>
      <w:r w:rsidRPr="00113082">
        <w:rPr>
          <w:rFonts w:ascii="Cambria" w:hAnsi="Cambria"/>
          <w:sz w:val="20"/>
          <w:szCs w:val="20"/>
        </w:rPr>
        <w:t xml:space="preserve">hat, as the competitive exams required for the formal appointment to such positions had not taken place, they continued to exercise these duties for several years through </w:t>
      </w:r>
      <w:r w:rsidR="00A5549B">
        <w:rPr>
          <w:rFonts w:ascii="Cambria" w:hAnsi="Cambria"/>
          <w:sz w:val="20"/>
          <w:szCs w:val="20"/>
        </w:rPr>
        <w:t>temporary</w:t>
      </w:r>
      <w:r w:rsidR="00CA61D0">
        <w:rPr>
          <w:rFonts w:ascii="Cambria" w:hAnsi="Cambria"/>
          <w:sz w:val="20"/>
          <w:szCs w:val="20"/>
        </w:rPr>
        <w:t xml:space="preserve"> </w:t>
      </w:r>
      <w:r w:rsidRPr="00113082">
        <w:rPr>
          <w:rFonts w:ascii="Cambria" w:hAnsi="Cambria"/>
          <w:sz w:val="20"/>
          <w:szCs w:val="20"/>
        </w:rPr>
        <w:t xml:space="preserve">contracts. The petitioners allege that the court with administrative jurisdiction ignored constitutional case law (they cite various rulings) that establishes the requirement that acts dismissing career employees, including </w:t>
      </w:r>
      <w:r w:rsidR="00A5549B">
        <w:rPr>
          <w:rFonts w:ascii="Cambria" w:hAnsi="Cambria"/>
          <w:sz w:val="20"/>
          <w:szCs w:val="20"/>
        </w:rPr>
        <w:t>temporary</w:t>
      </w:r>
      <w:r w:rsidR="00CA61D0">
        <w:rPr>
          <w:rFonts w:ascii="Cambria" w:hAnsi="Cambria"/>
          <w:sz w:val="20"/>
          <w:szCs w:val="20"/>
        </w:rPr>
        <w:t xml:space="preserve"> </w:t>
      </w:r>
      <w:r w:rsidRPr="00113082">
        <w:rPr>
          <w:rFonts w:ascii="Cambria" w:hAnsi="Cambria"/>
          <w:sz w:val="20"/>
          <w:szCs w:val="20"/>
        </w:rPr>
        <w:t xml:space="preserve">employees, must present a justification for dismissal; and that the failure to present any justification for these dismissals constitutes a violation of due process. Moreover, they state that the Council of State declared </w:t>
      </w:r>
      <w:r w:rsidR="00DB41C1">
        <w:rPr>
          <w:rFonts w:ascii="Cambria" w:hAnsi="Cambria"/>
          <w:sz w:val="20"/>
          <w:szCs w:val="20"/>
        </w:rPr>
        <w:t>dismissed</w:t>
      </w:r>
      <w:r w:rsidRPr="00113082">
        <w:rPr>
          <w:rFonts w:ascii="Cambria" w:hAnsi="Cambria"/>
          <w:sz w:val="20"/>
          <w:szCs w:val="20"/>
        </w:rPr>
        <w:t xml:space="preserve"> </w:t>
      </w:r>
      <w:r w:rsidRPr="00CA61D0">
        <w:rPr>
          <w:rFonts w:ascii="Cambria" w:hAnsi="Cambria"/>
          <w:sz w:val="20"/>
          <w:szCs w:val="20"/>
        </w:rPr>
        <w:t>procedures</w:t>
      </w:r>
      <w:r w:rsidRPr="00113082">
        <w:rPr>
          <w:rFonts w:ascii="Cambria" w:hAnsi="Cambria"/>
          <w:sz w:val="20"/>
          <w:szCs w:val="20"/>
        </w:rPr>
        <w:t xml:space="preserve"> null and void in previous cases similar to those of the alleged victims, which, according to the petitioners, indicates that the right to equality of the alleged victims has been violated.</w:t>
      </w:r>
    </w:p>
    <w:p w14:paraId="58DF8D00" w14:textId="77777777" w:rsidR="00037678" w:rsidRPr="00113082" w:rsidRDefault="00037678" w:rsidP="00B73C85">
      <w:pPr>
        <w:numPr>
          <w:ilvl w:val="0"/>
          <w:numId w:val="108"/>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With respect to the individual situation of each of the alleged victims, the petitioners allege that:</w:t>
      </w:r>
    </w:p>
    <w:p w14:paraId="133126EC" w14:textId="4F14A3D9" w:rsidR="00037678" w:rsidRPr="00113082" w:rsidRDefault="00037678" w:rsidP="00D74B7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ab/>
        <w:t>(a)</w:t>
      </w:r>
      <w:r w:rsidRPr="00113082">
        <w:rPr>
          <w:rFonts w:ascii="Cambria" w:hAnsi="Cambria"/>
          <w:sz w:val="20"/>
          <w:szCs w:val="20"/>
        </w:rPr>
        <w:tab/>
        <w:t xml:space="preserve">Mrs. Luz </w:t>
      </w:r>
      <w:r w:rsidR="00A5549B" w:rsidRPr="00113082">
        <w:rPr>
          <w:rFonts w:ascii="Cambria" w:hAnsi="Cambria"/>
          <w:sz w:val="20"/>
          <w:szCs w:val="20"/>
        </w:rPr>
        <w:t>Angelica</w:t>
      </w:r>
      <w:r w:rsidRPr="00113082">
        <w:rPr>
          <w:rFonts w:ascii="Cambria" w:hAnsi="Cambria"/>
          <w:sz w:val="20"/>
          <w:szCs w:val="20"/>
        </w:rPr>
        <w:t xml:space="preserve"> Porras Camacho worked in the position of university-educated professional I from February 19</w:t>
      </w:r>
      <w:r w:rsidRPr="00113082">
        <w:rPr>
          <w:rFonts w:ascii="Cambria" w:hAnsi="Cambria"/>
          <w:sz w:val="20"/>
          <w:szCs w:val="20"/>
          <w:vertAlign w:val="superscript"/>
        </w:rPr>
        <w:t>th</w:t>
      </w:r>
      <w:r w:rsidR="00C978D7">
        <w:rPr>
          <w:rFonts w:ascii="Cambria" w:hAnsi="Cambria"/>
          <w:sz w:val="20"/>
          <w:szCs w:val="20"/>
        </w:rPr>
        <w:t xml:space="preserve">, </w:t>
      </w:r>
      <w:r w:rsidRPr="00113082">
        <w:rPr>
          <w:rFonts w:ascii="Cambria" w:hAnsi="Cambria"/>
          <w:sz w:val="20"/>
          <w:szCs w:val="20"/>
        </w:rPr>
        <w:t>1996 to August 31</w:t>
      </w:r>
      <w:r w:rsidRPr="00113082">
        <w:rPr>
          <w:rFonts w:ascii="Cambria" w:hAnsi="Cambria"/>
          <w:sz w:val="20"/>
          <w:szCs w:val="20"/>
          <w:vertAlign w:val="superscript"/>
        </w:rPr>
        <w:t>st</w:t>
      </w:r>
      <w:r w:rsidR="00C978D7">
        <w:rPr>
          <w:rFonts w:ascii="Cambria" w:hAnsi="Cambria"/>
          <w:sz w:val="20"/>
          <w:szCs w:val="20"/>
        </w:rPr>
        <w:t xml:space="preserve">, </w:t>
      </w:r>
      <w:r w:rsidRPr="00113082">
        <w:rPr>
          <w:rFonts w:ascii="Cambria" w:hAnsi="Cambria"/>
          <w:sz w:val="20"/>
          <w:szCs w:val="20"/>
        </w:rPr>
        <w:t xml:space="preserve">2001 when she was </w:t>
      </w:r>
      <w:r w:rsidR="00C978D7">
        <w:rPr>
          <w:rFonts w:ascii="Cambria" w:hAnsi="Cambria"/>
          <w:sz w:val="20"/>
          <w:szCs w:val="20"/>
        </w:rPr>
        <w:t>dismissed</w:t>
      </w:r>
      <w:r w:rsidRPr="00113082">
        <w:rPr>
          <w:rFonts w:ascii="Cambria" w:hAnsi="Cambria"/>
          <w:sz w:val="20"/>
          <w:szCs w:val="20"/>
        </w:rPr>
        <w:t>. In light of this decision, she filed an action for annulment and reinstatement of rights before the Administrative Tribunal of Cundinamarca. On June 10</w:t>
      </w:r>
      <w:r w:rsidRPr="00113082">
        <w:rPr>
          <w:rFonts w:ascii="Cambria" w:hAnsi="Cambria"/>
          <w:sz w:val="20"/>
          <w:szCs w:val="20"/>
          <w:vertAlign w:val="superscript"/>
        </w:rPr>
        <w:t>th</w:t>
      </w:r>
      <w:r w:rsidRPr="00113082">
        <w:rPr>
          <w:rFonts w:ascii="Cambria" w:hAnsi="Cambria"/>
          <w:sz w:val="20"/>
          <w:szCs w:val="20"/>
        </w:rPr>
        <w:t xml:space="preserve"> 2004, the Tribunal rejected her claims as it considered that Mrs. Porras had not demonstrated that she had been </w:t>
      </w:r>
      <w:r w:rsidRPr="00CA61D0">
        <w:rPr>
          <w:rFonts w:ascii="Cambria" w:hAnsi="Cambria"/>
          <w:sz w:val="20"/>
          <w:szCs w:val="20"/>
        </w:rPr>
        <w:t>included in the hierarchical order of the service</w:t>
      </w:r>
      <w:r w:rsidRPr="00113082">
        <w:rPr>
          <w:rFonts w:ascii="Cambria" w:hAnsi="Cambria"/>
          <w:sz w:val="20"/>
          <w:szCs w:val="20"/>
        </w:rPr>
        <w:t xml:space="preserve"> and</w:t>
      </w:r>
      <w:r w:rsidR="00C978D7">
        <w:rPr>
          <w:rFonts w:ascii="Cambria" w:hAnsi="Cambria"/>
          <w:sz w:val="20"/>
          <w:szCs w:val="20"/>
        </w:rPr>
        <w:t>,</w:t>
      </w:r>
      <w:r w:rsidRPr="00113082">
        <w:rPr>
          <w:rFonts w:ascii="Cambria" w:hAnsi="Cambria"/>
          <w:sz w:val="20"/>
          <w:szCs w:val="20"/>
        </w:rPr>
        <w:t xml:space="preserve"> therefore</w:t>
      </w:r>
      <w:r w:rsidR="00C978D7">
        <w:rPr>
          <w:rFonts w:ascii="Cambria" w:hAnsi="Cambria"/>
          <w:sz w:val="20"/>
          <w:szCs w:val="20"/>
        </w:rPr>
        <w:t>,</w:t>
      </w:r>
      <w:r w:rsidRPr="00113082">
        <w:rPr>
          <w:rFonts w:ascii="Cambria" w:hAnsi="Cambria"/>
          <w:sz w:val="20"/>
          <w:szCs w:val="20"/>
        </w:rPr>
        <w:t xml:space="preserve"> that ther</w:t>
      </w:r>
      <w:r w:rsidR="00E47013" w:rsidRPr="00113082">
        <w:rPr>
          <w:rFonts w:ascii="Cambria" w:hAnsi="Cambria"/>
          <w:sz w:val="20"/>
          <w:szCs w:val="20"/>
        </w:rPr>
        <w:t>e was no stability of position</w:t>
      </w:r>
      <w:r w:rsidR="00E47013" w:rsidRPr="00CA61D0">
        <w:rPr>
          <w:rFonts w:ascii="Cambria" w:hAnsi="Cambria"/>
          <w:sz w:val="20"/>
          <w:szCs w:val="20"/>
        </w:rPr>
        <w:t>,</w:t>
      </w:r>
      <w:r w:rsidRPr="00CA61D0">
        <w:rPr>
          <w:rFonts w:ascii="Cambria" w:hAnsi="Cambria"/>
          <w:sz w:val="20"/>
          <w:szCs w:val="20"/>
        </w:rPr>
        <w:t xml:space="preserve"> which allowed her </w:t>
      </w:r>
      <w:r w:rsidR="00C978D7">
        <w:rPr>
          <w:rFonts w:ascii="Cambria" w:hAnsi="Cambria"/>
          <w:sz w:val="20"/>
          <w:szCs w:val="20"/>
        </w:rPr>
        <w:t>dismissal</w:t>
      </w:r>
      <w:r w:rsidRPr="00CA61D0">
        <w:rPr>
          <w:rFonts w:ascii="Cambria" w:hAnsi="Cambria"/>
          <w:sz w:val="20"/>
          <w:szCs w:val="20"/>
        </w:rPr>
        <w:t xml:space="preserve"> to be declared</w:t>
      </w:r>
      <w:r w:rsidRPr="00113082">
        <w:rPr>
          <w:rFonts w:ascii="Cambria" w:hAnsi="Cambria"/>
          <w:sz w:val="20"/>
          <w:szCs w:val="20"/>
        </w:rPr>
        <w:t xml:space="preserve"> for organizational reasons. The alleged victim appealed before The Council of State, which confirmed the decision in a ruling on March 1</w:t>
      </w:r>
      <w:r w:rsidRPr="00113082">
        <w:rPr>
          <w:rFonts w:ascii="Cambria" w:hAnsi="Cambria"/>
          <w:sz w:val="20"/>
          <w:szCs w:val="20"/>
          <w:vertAlign w:val="superscript"/>
        </w:rPr>
        <w:t>st</w:t>
      </w:r>
      <w:r w:rsidR="00C978D7">
        <w:rPr>
          <w:rFonts w:ascii="Cambria" w:hAnsi="Cambria"/>
          <w:sz w:val="20"/>
          <w:szCs w:val="20"/>
        </w:rPr>
        <w:t xml:space="preserve">, </w:t>
      </w:r>
      <w:r w:rsidRPr="00113082">
        <w:rPr>
          <w:rFonts w:ascii="Cambria" w:hAnsi="Cambria"/>
          <w:sz w:val="20"/>
          <w:szCs w:val="20"/>
        </w:rPr>
        <w:t>2007, affirming that no irregularity, misuse of power or lack of justification had been demonstrated.</w:t>
      </w:r>
    </w:p>
    <w:p w14:paraId="5FAEF11E" w14:textId="6F83AEF2" w:rsidR="00037678" w:rsidRPr="00113082" w:rsidRDefault="00037678" w:rsidP="00D74B7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ab/>
        <w:t>(b)</w:t>
      </w:r>
      <w:r w:rsidRPr="00113082">
        <w:rPr>
          <w:rFonts w:ascii="Cambria" w:hAnsi="Cambria"/>
          <w:sz w:val="20"/>
          <w:szCs w:val="20"/>
        </w:rPr>
        <w:tab/>
        <w:t xml:space="preserve">Mr. Humberto Rey worked as </w:t>
      </w:r>
      <w:r w:rsidRPr="00CA61D0">
        <w:rPr>
          <w:rFonts w:ascii="Cambria" w:hAnsi="Cambria"/>
          <w:sz w:val="20"/>
          <w:szCs w:val="20"/>
        </w:rPr>
        <w:t>Deputy Prosecutor</w:t>
      </w:r>
      <w:r w:rsidRPr="00113082">
        <w:rPr>
          <w:rFonts w:ascii="Cambria" w:hAnsi="Cambria"/>
          <w:sz w:val="20"/>
          <w:szCs w:val="20"/>
        </w:rPr>
        <w:t xml:space="preserve"> from April 1</w:t>
      </w:r>
      <w:r w:rsidRPr="00113082">
        <w:rPr>
          <w:rFonts w:ascii="Cambria" w:hAnsi="Cambria"/>
          <w:sz w:val="20"/>
          <w:szCs w:val="20"/>
          <w:vertAlign w:val="superscript"/>
        </w:rPr>
        <w:t>st</w:t>
      </w:r>
      <w:r w:rsidR="00C978D7">
        <w:rPr>
          <w:rFonts w:ascii="Cambria" w:hAnsi="Cambria"/>
          <w:sz w:val="20"/>
          <w:szCs w:val="20"/>
        </w:rPr>
        <w:t xml:space="preserve">, </w:t>
      </w:r>
      <w:r w:rsidRPr="00113082">
        <w:rPr>
          <w:rFonts w:ascii="Cambria" w:hAnsi="Cambria"/>
          <w:sz w:val="20"/>
          <w:szCs w:val="20"/>
        </w:rPr>
        <w:t xml:space="preserve">1998 until he was </w:t>
      </w:r>
      <w:r w:rsidR="00C978D7">
        <w:rPr>
          <w:rFonts w:ascii="Cambria" w:hAnsi="Cambria"/>
          <w:sz w:val="20"/>
          <w:szCs w:val="20"/>
        </w:rPr>
        <w:t>dismissed</w:t>
      </w:r>
      <w:r w:rsidRPr="00113082">
        <w:rPr>
          <w:rFonts w:ascii="Cambria" w:hAnsi="Cambria"/>
          <w:sz w:val="20"/>
          <w:szCs w:val="20"/>
        </w:rPr>
        <w:t xml:space="preserve"> on January 15</w:t>
      </w:r>
      <w:r w:rsidRPr="00113082">
        <w:rPr>
          <w:rFonts w:ascii="Cambria" w:hAnsi="Cambria"/>
          <w:sz w:val="20"/>
          <w:szCs w:val="20"/>
          <w:vertAlign w:val="superscript"/>
        </w:rPr>
        <w:t>th</w:t>
      </w:r>
      <w:r w:rsidR="00C978D7">
        <w:rPr>
          <w:rFonts w:ascii="Cambria" w:hAnsi="Cambria"/>
          <w:sz w:val="20"/>
          <w:szCs w:val="20"/>
        </w:rPr>
        <w:t xml:space="preserve">, </w:t>
      </w:r>
      <w:r w:rsidRPr="00113082">
        <w:rPr>
          <w:rFonts w:ascii="Cambria" w:hAnsi="Cambria"/>
          <w:sz w:val="20"/>
          <w:szCs w:val="20"/>
        </w:rPr>
        <w:t>2002. He filed an action for annulment and reinstatement of rights before the Administrative Tribunal of Cundinamarca</w:t>
      </w:r>
      <w:r w:rsidR="00C978D7">
        <w:rPr>
          <w:rFonts w:ascii="Cambria" w:hAnsi="Cambria"/>
          <w:sz w:val="20"/>
          <w:szCs w:val="20"/>
        </w:rPr>
        <w:t>, which</w:t>
      </w:r>
      <w:r w:rsidRPr="00113082">
        <w:rPr>
          <w:rFonts w:ascii="Cambria" w:hAnsi="Cambria"/>
          <w:sz w:val="20"/>
          <w:szCs w:val="20"/>
        </w:rPr>
        <w:t xml:space="preserve"> on March 17</w:t>
      </w:r>
      <w:r w:rsidRPr="00113082">
        <w:rPr>
          <w:rFonts w:ascii="Cambria" w:hAnsi="Cambria"/>
          <w:sz w:val="20"/>
          <w:szCs w:val="20"/>
          <w:vertAlign w:val="superscript"/>
        </w:rPr>
        <w:t>th</w:t>
      </w:r>
      <w:r w:rsidR="00C978D7">
        <w:rPr>
          <w:rFonts w:ascii="Cambria" w:hAnsi="Cambria"/>
          <w:sz w:val="20"/>
          <w:szCs w:val="20"/>
        </w:rPr>
        <w:t xml:space="preserve">, </w:t>
      </w:r>
      <w:r w:rsidR="00C978D7" w:rsidRPr="00113082">
        <w:rPr>
          <w:rFonts w:ascii="Cambria" w:hAnsi="Cambria"/>
          <w:sz w:val="20"/>
          <w:szCs w:val="20"/>
        </w:rPr>
        <w:t>2005</w:t>
      </w:r>
      <w:r w:rsidRPr="00113082">
        <w:rPr>
          <w:rFonts w:ascii="Cambria" w:hAnsi="Cambria"/>
          <w:sz w:val="20"/>
          <w:szCs w:val="20"/>
        </w:rPr>
        <w:t xml:space="preserve"> rejected his claims on the basis that a misuse or abuse of power had not been </w:t>
      </w:r>
      <w:r w:rsidR="002A64B0">
        <w:rPr>
          <w:rFonts w:ascii="Cambria" w:hAnsi="Cambria"/>
          <w:sz w:val="20"/>
          <w:szCs w:val="20"/>
        </w:rPr>
        <w:t>demonstrated</w:t>
      </w:r>
      <w:r w:rsidRPr="00113082">
        <w:rPr>
          <w:rFonts w:ascii="Cambria" w:hAnsi="Cambria"/>
          <w:sz w:val="20"/>
          <w:szCs w:val="20"/>
        </w:rPr>
        <w:t xml:space="preserve">, and that the </w:t>
      </w:r>
      <w:r w:rsidR="00A5549B">
        <w:rPr>
          <w:rFonts w:ascii="Cambria" w:hAnsi="Cambria"/>
          <w:sz w:val="20"/>
          <w:szCs w:val="20"/>
        </w:rPr>
        <w:t>temporary</w:t>
      </w:r>
      <w:r w:rsidR="00FB5890">
        <w:rPr>
          <w:rFonts w:ascii="Cambria" w:hAnsi="Cambria"/>
          <w:sz w:val="20"/>
          <w:szCs w:val="20"/>
        </w:rPr>
        <w:t xml:space="preserve"> </w:t>
      </w:r>
      <w:r w:rsidRPr="00113082">
        <w:rPr>
          <w:rFonts w:ascii="Cambria" w:hAnsi="Cambria"/>
          <w:sz w:val="20"/>
          <w:szCs w:val="20"/>
        </w:rPr>
        <w:t xml:space="preserve">nature of the position equated it with positions </w:t>
      </w:r>
      <w:r w:rsidRPr="00113082">
        <w:rPr>
          <w:rFonts w:ascii="Cambria" w:hAnsi="Cambria"/>
          <w:sz w:val="20"/>
          <w:szCs w:val="20"/>
        </w:rPr>
        <w:lastRenderedPageBreak/>
        <w:t>of discretional appointment and dismissal. Following this decision, the alleged victim appealed before the Council of State, which confirmed the ruling on April 12</w:t>
      </w:r>
      <w:r w:rsidRPr="00113082">
        <w:rPr>
          <w:rFonts w:ascii="Cambria" w:hAnsi="Cambria"/>
          <w:sz w:val="20"/>
          <w:szCs w:val="20"/>
          <w:vertAlign w:val="superscript"/>
        </w:rPr>
        <w:t>th</w:t>
      </w:r>
      <w:r w:rsidR="00C978D7">
        <w:rPr>
          <w:rFonts w:ascii="Cambria" w:hAnsi="Cambria"/>
          <w:sz w:val="20"/>
          <w:szCs w:val="20"/>
        </w:rPr>
        <w:t xml:space="preserve">, </w:t>
      </w:r>
      <w:r w:rsidRPr="00113082">
        <w:rPr>
          <w:rFonts w:ascii="Cambria" w:hAnsi="Cambria"/>
          <w:sz w:val="20"/>
          <w:szCs w:val="20"/>
        </w:rPr>
        <w:t>2007 affirming that illegality had not been proved and that discretional appointment and dismissal was applicable.</w:t>
      </w:r>
      <w:r w:rsidR="002A64B0">
        <w:rPr>
          <w:rFonts w:ascii="Cambria" w:hAnsi="Cambria"/>
          <w:sz w:val="20"/>
          <w:szCs w:val="20"/>
        </w:rPr>
        <w:t xml:space="preserve"> </w:t>
      </w:r>
    </w:p>
    <w:p w14:paraId="5564ED61" w14:textId="2BE2F663" w:rsidR="00037678" w:rsidRPr="00113082" w:rsidRDefault="00037678" w:rsidP="00D74B7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ab/>
        <w:t>(c)</w:t>
      </w:r>
      <w:r w:rsidRPr="00113082">
        <w:rPr>
          <w:rFonts w:ascii="Cambria" w:hAnsi="Cambria"/>
          <w:sz w:val="20"/>
          <w:szCs w:val="20"/>
        </w:rPr>
        <w:tab/>
        <w:t xml:space="preserve">Mr. </w:t>
      </w:r>
      <w:r w:rsidR="00A5549B">
        <w:rPr>
          <w:rFonts w:ascii="Cambria" w:hAnsi="Cambria"/>
          <w:sz w:val="20"/>
          <w:szCs w:val="20"/>
        </w:rPr>
        <w:t>Alvaro</w:t>
      </w:r>
      <w:r w:rsidRPr="00113082">
        <w:rPr>
          <w:rFonts w:ascii="Cambria" w:hAnsi="Cambria"/>
          <w:sz w:val="20"/>
          <w:szCs w:val="20"/>
        </w:rPr>
        <w:t xml:space="preserve"> </w:t>
      </w:r>
      <w:r w:rsidR="00A5549B">
        <w:rPr>
          <w:rFonts w:ascii="Cambria" w:hAnsi="Cambria"/>
          <w:sz w:val="20"/>
          <w:szCs w:val="20"/>
        </w:rPr>
        <w:t>Gomez</w:t>
      </w:r>
      <w:r w:rsidRPr="00113082">
        <w:rPr>
          <w:rFonts w:ascii="Cambria" w:hAnsi="Cambria"/>
          <w:sz w:val="20"/>
          <w:szCs w:val="20"/>
        </w:rPr>
        <w:t xml:space="preserve"> occupied the position of head of section III of the National Directorate of the Technical Investigation Unit (</w:t>
      </w:r>
      <w:r w:rsidRPr="00C978D7">
        <w:rPr>
          <w:rFonts w:ascii="Cambria" w:hAnsi="Cambria"/>
          <w:i/>
          <w:sz w:val="20"/>
          <w:szCs w:val="20"/>
        </w:rPr>
        <w:t>Cuerpo Técnico de Investigación –CTI</w:t>
      </w:r>
      <w:r w:rsidRPr="00113082">
        <w:rPr>
          <w:rFonts w:ascii="Cambria" w:hAnsi="Cambria"/>
          <w:sz w:val="20"/>
          <w:szCs w:val="20"/>
        </w:rPr>
        <w:t>) from April 1999 until December 31</w:t>
      </w:r>
      <w:r w:rsidRPr="00113082">
        <w:rPr>
          <w:rFonts w:ascii="Cambria" w:hAnsi="Cambria"/>
          <w:sz w:val="20"/>
          <w:szCs w:val="20"/>
          <w:vertAlign w:val="superscript"/>
        </w:rPr>
        <w:t>st</w:t>
      </w:r>
      <w:r w:rsidR="00C978D7">
        <w:rPr>
          <w:rFonts w:ascii="Cambria" w:hAnsi="Cambria"/>
          <w:sz w:val="20"/>
          <w:szCs w:val="20"/>
        </w:rPr>
        <w:t xml:space="preserve">, </w:t>
      </w:r>
      <w:r w:rsidRPr="00113082">
        <w:rPr>
          <w:rFonts w:ascii="Cambria" w:hAnsi="Cambria"/>
          <w:sz w:val="20"/>
          <w:szCs w:val="20"/>
        </w:rPr>
        <w:t xml:space="preserve">2001 when he was </w:t>
      </w:r>
      <w:r w:rsidR="00C978D7">
        <w:rPr>
          <w:rFonts w:ascii="Cambria" w:hAnsi="Cambria"/>
          <w:sz w:val="20"/>
          <w:szCs w:val="20"/>
        </w:rPr>
        <w:t>dismissed</w:t>
      </w:r>
      <w:r w:rsidRPr="00113082">
        <w:rPr>
          <w:rFonts w:ascii="Cambria" w:hAnsi="Cambria"/>
          <w:sz w:val="20"/>
          <w:szCs w:val="20"/>
        </w:rPr>
        <w:t>. In light of this decision, he filed an action for annulment and reinstatement of rights before the Administrative Tribunal of Cundinamarca</w:t>
      </w:r>
      <w:r w:rsidR="00C978D7">
        <w:rPr>
          <w:rFonts w:ascii="Cambria" w:hAnsi="Cambria"/>
          <w:sz w:val="20"/>
          <w:szCs w:val="20"/>
        </w:rPr>
        <w:t>, which</w:t>
      </w:r>
      <w:r w:rsidRPr="00113082">
        <w:rPr>
          <w:rFonts w:ascii="Cambria" w:hAnsi="Cambria"/>
          <w:sz w:val="20"/>
          <w:szCs w:val="20"/>
        </w:rPr>
        <w:t xml:space="preserve"> on January 13</w:t>
      </w:r>
      <w:r w:rsidRPr="00113082">
        <w:rPr>
          <w:rFonts w:ascii="Cambria" w:hAnsi="Cambria"/>
          <w:sz w:val="20"/>
          <w:szCs w:val="20"/>
          <w:vertAlign w:val="superscript"/>
        </w:rPr>
        <w:t>th</w:t>
      </w:r>
      <w:r w:rsidR="00C978D7">
        <w:rPr>
          <w:rFonts w:ascii="Cambria" w:hAnsi="Cambria"/>
          <w:sz w:val="20"/>
          <w:szCs w:val="20"/>
        </w:rPr>
        <w:t>, 2005</w:t>
      </w:r>
      <w:r w:rsidRPr="00113082">
        <w:rPr>
          <w:rFonts w:ascii="Cambria" w:hAnsi="Cambria"/>
          <w:sz w:val="20"/>
          <w:szCs w:val="20"/>
        </w:rPr>
        <w:t xml:space="preserve"> rejected his claims by establishing that the </w:t>
      </w:r>
      <w:r w:rsidR="00A5549B">
        <w:rPr>
          <w:rFonts w:ascii="Cambria" w:hAnsi="Cambria"/>
          <w:sz w:val="20"/>
          <w:szCs w:val="20"/>
        </w:rPr>
        <w:t>temporary</w:t>
      </w:r>
      <w:r w:rsidR="00FB5890">
        <w:rPr>
          <w:rFonts w:ascii="Cambria" w:hAnsi="Cambria"/>
          <w:sz w:val="20"/>
          <w:szCs w:val="20"/>
        </w:rPr>
        <w:t xml:space="preserve"> </w:t>
      </w:r>
      <w:r w:rsidRPr="00113082">
        <w:rPr>
          <w:rFonts w:ascii="Cambria" w:hAnsi="Cambria"/>
          <w:sz w:val="20"/>
          <w:szCs w:val="20"/>
        </w:rPr>
        <w:t xml:space="preserve">position had the same stability as a position of discretional appointment and dismissal. Furthermore, the Tribunal considered that appointments to administrative service positions are required to undergo a selection process, which in Mr. </w:t>
      </w:r>
      <w:r w:rsidR="00A5549B">
        <w:rPr>
          <w:rFonts w:ascii="Cambria" w:hAnsi="Cambria"/>
          <w:sz w:val="20"/>
          <w:szCs w:val="20"/>
        </w:rPr>
        <w:t>Gomez</w:t>
      </w:r>
      <w:r w:rsidRPr="00113082">
        <w:rPr>
          <w:rFonts w:ascii="Cambria" w:hAnsi="Cambria"/>
          <w:sz w:val="20"/>
          <w:szCs w:val="20"/>
        </w:rPr>
        <w:t xml:space="preserve">’s case </w:t>
      </w:r>
      <w:r w:rsidR="00C978D7">
        <w:rPr>
          <w:rFonts w:ascii="Cambria" w:hAnsi="Cambria"/>
          <w:sz w:val="20"/>
          <w:szCs w:val="20"/>
        </w:rPr>
        <w:t xml:space="preserve">it </w:t>
      </w:r>
      <w:r w:rsidRPr="00113082">
        <w:rPr>
          <w:rFonts w:ascii="Cambria" w:hAnsi="Cambria"/>
          <w:sz w:val="20"/>
          <w:szCs w:val="20"/>
        </w:rPr>
        <w:t>did not occur. The alleged victim appealed before the Council of State, which on March 1</w:t>
      </w:r>
      <w:r w:rsidRPr="00113082">
        <w:rPr>
          <w:rFonts w:ascii="Cambria" w:hAnsi="Cambria"/>
          <w:sz w:val="20"/>
          <w:szCs w:val="20"/>
          <w:vertAlign w:val="superscript"/>
        </w:rPr>
        <w:t>st</w:t>
      </w:r>
      <w:r w:rsidR="00C978D7">
        <w:rPr>
          <w:rFonts w:ascii="Cambria" w:hAnsi="Cambria"/>
          <w:sz w:val="20"/>
          <w:szCs w:val="20"/>
        </w:rPr>
        <w:t xml:space="preserve">, </w:t>
      </w:r>
      <w:r w:rsidRPr="00113082">
        <w:rPr>
          <w:rFonts w:ascii="Cambria" w:hAnsi="Cambria"/>
          <w:sz w:val="20"/>
          <w:szCs w:val="20"/>
        </w:rPr>
        <w:t xml:space="preserve">2007 confirmed the first instance ruling, stating that the declaration of redundancy was presumed to have been given for organizational reasons and that in this case </w:t>
      </w:r>
      <w:r w:rsidRPr="00304A1D">
        <w:rPr>
          <w:rFonts w:ascii="Cambria" w:hAnsi="Cambria"/>
          <w:sz w:val="20"/>
          <w:szCs w:val="20"/>
        </w:rPr>
        <w:t xml:space="preserve">it had not been </w:t>
      </w:r>
      <w:r w:rsidR="00C978D7">
        <w:rPr>
          <w:rFonts w:ascii="Cambria" w:hAnsi="Cambria"/>
          <w:sz w:val="20"/>
          <w:szCs w:val="20"/>
        </w:rPr>
        <w:t>proven</w:t>
      </w:r>
      <w:r w:rsidRPr="00304A1D">
        <w:rPr>
          <w:rFonts w:ascii="Cambria" w:hAnsi="Cambria"/>
          <w:sz w:val="20"/>
          <w:szCs w:val="20"/>
        </w:rPr>
        <w:t xml:space="preserve"> </w:t>
      </w:r>
      <w:r w:rsidR="00304A1D">
        <w:rPr>
          <w:rFonts w:ascii="Cambria" w:hAnsi="Cambria"/>
          <w:sz w:val="20"/>
          <w:szCs w:val="20"/>
        </w:rPr>
        <w:t>otherwise</w:t>
      </w:r>
      <w:r w:rsidRPr="00113082">
        <w:rPr>
          <w:rFonts w:ascii="Cambria" w:hAnsi="Cambria"/>
          <w:sz w:val="20"/>
          <w:szCs w:val="20"/>
        </w:rPr>
        <w:t>.</w:t>
      </w:r>
    </w:p>
    <w:p w14:paraId="1BF38825" w14:textId="38385A57" w:rsidR="00037678" w:rsidRPr="00113082" w:rsidRDefault="00037678" w:rsidP="00D74B73">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ab/>
        <w:t>(d)</w:t>
      </w:r>
      <w:r w:rsidRPr="00113082">
        <w:rPr>
          <w:rFonts w:ascii="Cambria" w:hAnsi="Cambria"/>
          <w:sz w:val="20"/>
          <w:szCs w:val="20"/>
        </w:rPr>
        <w:tab/>
        <w:t xml:space="preserve">Mr. </w:t>
      </w:r>
      <w:r w:rsidR="00A5549B">
        <w:rPr>
          <w:rFonts w:ascii="Cambria" w:hAnsi="Cambria"/>
          <w:sz w:val="20"/>
          <w:szCs w:val="20"/>
        </w:rPr>
        <w:t>Jose</w:t>
      </w:r>
      <w:r w:rsidRPr="00113082">
        <w:rPr>
          <w:rFonts w:ascii="Cambria" w:hAnsi="Cambria"/>
          <w:sz w:val="20"/>
          <w:szCs w:val="20"/>
        </w:rPr>
        <w:t xml:space="preserve"> Benavides worked as a judicial investigator II in the National Directorate of the Technical Investigation Unit (CTI) from June 30</w:t>
      </w:r>
      <w:r w:rsidRPr="00113082">
        <w:rPr>
          <w:rFonts w:ascii="Cambria" w:hAnsi="Cambria"/>
          <w:sz w:val="20"/>
          <w:szCs w:val="20"/>
          <w:vertAlign w:val="superscript"/>
        </w:rPr>
        <w:t>th</w:t>
      </w:r>
      <w:r w:rsidR="00C978D7">
        <w:rPr>
          <w:rFonts w:ascii="Cambria" w:hAnsi="Cambria"/>
          <w:sz w:val="20"/>
          <w:szCs w:val="20"/>
        </w:rPr>
        <w:t xml:space="preserve">, </w:t>
      </w:r>
      <w:r w:rsidRPr="00113082">
        <w:rPr>
          <w:rFonts w:ascii="Cambria" w:hAnsi="Cambria"/>
          <w:sz w:val="20"/>
          <w:szCs w:val="20"/>
        </w:rPr>
        <w:t xml:space="preserve">1992 until he was </w:t>
      </w:r>
      <w:r w:rsidR="00C978D7">
        <w:rPr>
          <w:rFonts w:ascii="Cambria" w:hAnsi="Cambria"/>
          <w:sz w:val="20"/>
          <w:szCs w:val="20"/>
        </w:rPr>
        <w:t>dismissed</w:t>
      </w:r>
      <w:r w:rsidRPr="00113082">
        <w:rPr>
          <w:rFonts w:ascii="Cambria" w:hAnsi="Cambria"/>
          <w:sz w:val="20"/>
          <w:szCs w:val="20"/>
        </w:rPr>
        <w:t xml:space="preserve"> on June 9</w:t>
      </w:r>
      <w:r w:rsidRPr="00113082">
        <w:rPr>
          <w:rFonts w:ascii="Cambria" w:hAnsi="Cambria"/>
          <w:sz w:val="20"/>
          <w:szCs w:val="20"/>
          <w:vertAlign w:val="superscript"/>
        </w:rPr>
        <w:t>th</w:t>
      </w:r>
      <w:r w:rsidR="00C978D7">
        <w:rPr>
          <w:rFonts w:ascii="Cambria" w:hAnsi="Cambria"/>
          <w:sz w:val="20"/>
          <w:szCs w:val="20"/>
        </w:rPr>
        <w:t xml:space="preserve">, </w:t>
      </w:r>
      <w:r w:rsidRPr="00113082">
        <w:rPr>
          <w:rFonts w:ascii="Cambria" w:hAnsi="Cambria"/>
          <w:sz w:val="20"/>
          <w:szCs w:val="20"/>
        </w:rPr>
        <w:t>2003. He filed an action for annulment and reinstatement of rights before the Administrative Tribunal of Cundinamarca</w:t>
      </w:r>
      <w:r w:rsidR="00C978D7">
        <w:rPr>
          <w:rFonts w:ascii="Cambria" w:hAnsi="Cambria"/>
          <w:sz w:val="20"/>
          <w:szCs w:val="20"/>
        </w:rPr>
        <w:t>,</w:t>
      </w:r>
      <w:r w:rsidRPr="00113082">
        <w:rPr>
          <w:rFonts w:ascii="Cambria" w:hAnsi="Cambria"/>
          <w:sz w:val="20"/>
          <w:szCs w:val="20"/>
        </w:rPr>
        <w:t xml:space="preserve"> which rejected his claims on February 22</w:t>
      </w:r>
      <w:r w:rsidRPr="00113082">
        <w:rPr>
          <w:rFonts w:ascii="Cambria" w:hAnsi="Cambria"/>
          <w:sz w:val="20"/>
          <w:szCs w:val="20"/>
          <w:vertAlign w:val="superscript"/>
        </w:rPr>
        <w:t>nd</w:t>
      </w:r>
      <w:r w:rsidR="00C978D7">
        <w:rPr>
          <w:rFonts w:ascii="Cambria" w:hAnsi="Cambria"/>
          <w:sz w:val="20"/>
          <w:szCs w:val="20"/>
        </w:rPr>
        <w:t xml:space="preserve">, </w:t>
      </w:r>
      <w:r w:rsidRPr="00113082">
        <w:rPr>
          <w:rFonts w:ascii="Cambria" w:hAnsi="Cambria"/>
          <w:sz w:val="20"/>
          <w:szCs w:val="20"/>
        </w:rPr>
        <w:t xml:space="preserve">2007, stating that the appointment of Mr. Benavides was temporary and precarious given that it was </w:t>
      </w:r>
      <w:r w:rsidR="00A5549B">
        <w:rPr>
          <w:rFonts w:ascii="Cambria" w:hAnsi="Cambria"/>
          <w:sz w:val="20"/>
          <w:szCs w:val="20"/>
        </w:rPr>
        <w:t>temporary</w:t>
      </w:r>
      <w:r w:rsidRPr="00113082">
        <w:rPr>
          <w:rFonts w:ascii="Cambria" w:hAnsi="Cambria"/>
          <w:sz w:val="20"/>
          <w:szCs w:val="20"/>
        </w:rPr>
        <w:t>. The alleged victim appealed. On May 24</w:t>
      </w:r>
      <w:r w:rsidRPr="00113082">
        <w:rPr>
          <w:rFonts w:ascii="Cambria" w:hAnsi="Cambria"/>
          <w:sz w:val="20"/>
          <w:szCs w:val="20"/>
          <w:vertAlign w:val="superscript"/>
        </w:rPr>
        <w:t>th</w:t>
      </w:r>
      <w:r w:rsidR="00C978D7">
        <w:rPr>
          <w:rFonts w:ascii="Cambria" w:hAnsi="Cambria"/>
          <w:sz w:val="20"/>
          <w:szCs w:val="20"/>
        </w:rPr>
        <w:t xml:space="preserve">, </w:t>
      </w:r>
      <w:r w:rsidRPr="00113082">
        <w:rPr>
          <w:rFonts w:ascii="Cambria" w:hAnsi="Cambria"/>
          <w:sz w:val="20"/>
          <w:szCs w:val="20"/>
        </w:rPr>
        <w:t>2007, the Administrative Tribunal of Cundinamarca rejected the appeal, considering the judgment on the action for annulment and reinstatement to be non-appealable due to the amount of the demand in accordance with the provisions of Law 446 of 1998 in force when the appeal was filed.</w:t>
      </w:r>
    </w:p>
    <w:p w14:paraId="68BAA81D" w14:textId="66E7957F"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For its part, the State argues that the alleged victims were working in </w:t>
      </w:r>
      <w:r w:rsidR="00A5549B">
        <w:rPr>
          <w:rFonts w:ascii="Cambria" w:hAnsi="Cambria"/>
          <w:sz w:val="20"/>
          <w:szCs w:val="20"/>
        </w:rPr>
        <w:t>temporary</w:t>
      </w:r>
      <w:r w:rsidRPr="00113082">
        <w:rPr>
          <w:rFonts w:ascii="Cambria" w:hAnsi="Cambria"/>
          <w:sz w:val="20"/>
          <w:szCs w:val="20"/>
        </w:rPr>
        <w:t xml:space="preserve"> positions, that they consequently did not </w:t>
      </w:r>
      <w:r w:rsidR="003311B3">
        <w:rPr>
          <w:rFonts w:ascii="Cambria" w:hAnsi="Cambria"/>
          <w:sz w:val="20"/>
          <w:szCs w:val="20"/>
        </w:rPr>
        <w:t xml:space="preserve">enjoy </w:t>
      </w:r>
      <w:r w:rsidRPr="00113082">
        <w:rPr>
          <w:rFonts w:ascii="Cambria" w:hAnsi="Cambria"/>
          <w:sz w:val="20"/>
          <w:szCs w:val="20"/>
        </w:rPr>
        <w:t>the stability of a</w:t>
      </w:r>
      <w:r w:rsidR="00C978D7">
        <w:rPr>
          <w:rFonts w:ascii="Cambria" w:hAnsi="Cambria"/>
          <w:sz w:val="20"/>
          <w:szCs w:val="20"/>
        </w:rPr>
        <w:t xml:space="preserve"> public office</w:t>
      </w:r>
      <w:r w:rsidRPr="00113082">
        <w:rPr>
          <w:rFonts w:ascii="Cambria" w:hAnsi="Cambria"/>
          <w:sz w:val="20"/>
          <w:szCs w:val="20"/>
        </w:rPr>
        <w:t xml:space="preserve"> position, and that</w:t>
      </w:r>
      <w:r w:rsidR="00753DC1">
        <w:rPr>
          <w:rFonts w:ascii="Cambria" w:hAnsi="Cambria"/>
          <w:sz w:val="20"/>
          <w:szCs w:val="20"/>
        </w:rPr>
        <w:t>,</w:t>
      </w:r>
      <w:r w:rsidRPr="00113082">
        <w:rPr>
          <w:rFonts w:ascii="Cambria" w:hAnsi="Cambria"/>
          <w:sz w:val="20"/>
          <w:szCs w:val="20"/>
        </w:rPr>
        <w:t xml:space="preserve"> therefore</w:t>
      </w:r>
      <w:r w:rsidR="00753DC1">
        <w:rPr>
          <w:rFonts w:ascii="Cambria" w:hAnsi="Cambria"/>
          <w:sz w:val="20"/>
          <w:szCs w:val="20"/>
        </w:rPr>
        <w:t>,</w:t>
      </w:r>
      <w:r w:rsidRPr="00113082">
        <w:rPr>
          <w:rFonts w:ascii="Cambria" w:hAnsi="Cambria"/>
          <w:sz w:val="20"/>
          <w:szCs w:val="20"/>
        </w:rPr>
        <w:t xml:space="preserve"> dismissal from the position for organizational reasons was possible, as occurs in positions of discretional appointment and dismissal. Furthermore, it considers that the </w:t>
      </w:r>
      <w:r w:rsidR="007B00A3">
        <w:rPr>
          <w:rFonts w:ascii="Cambria" w:hAnsi="Cambria"/>
          <w:sz w:val="20"/>
          <w:szCs w:val="20"/>
        </w:rPr>
        <w:t xml:space="preserve">Public Prosecutor’s </w:t>
      </w:r>
      <w:r w:rsidRPr="00113082">
        <w:rPr>
          <w:rFonts w:ascii="Cambria" w:hAnsi="Cambria"/>
          <w:sz w:val="20"/>
          <w:szCs w:val="20"/>
        </w:rPr>
        <w:t xml:space="preserve">failure </w:t>
      </w:r>
      <w:r w:rsidRPr="007B00A3">
        <w:rPr>
          <w:rFonts w:ascii="Cambria" w:hAnsi="Cambria"/>
          <w:sz w:val="20"/>
          <w:szCs w:val="20"/>
        </w:rPr>
        <w:t>to hold competitive exams</w:t>
      </w:r>
      <w:r w:rsidRPr="00113082">
        <w:rPr>
          <w:rFonts w:ascii="Cambria" w:hAnsi="Cambria"/>
          <w:sz w:val="20"/>
          <w:szCs w:val="20"/>
        </w:rPr>
        <w:t xml:space="preserve">, with respect to the positions in which the alleged victims worked, does not constitute a violation of the rights contained in the American Convention, since it is not possible to assume that the alleged victims would have passed the </w:t>
      </w:r>
      <w:r w:rsidRPr="007B00A3">
        <w:rPr>
          <w:rFonts w:ascii="Cambria" w:hAnsi="Cambria"/>
          <w:sz w:val="20"/>
          <w:szCs w:val="20"/>
        </w:rPr>
        <w:t>exams.</w:t>
      </w:r>
      <w:r w:rsidRPr="00113082">
        <w:rPr>
          <w:rFonts w:ascii="Cambria" w:hAnsi="Cambria"/>
          <w:sz w:val="20"/>
          <w:szCs w:val="20"/>
        </w:rPr>
        <w:t xml:space="preserve"> </w:t>
      </w:r>
    </w:p>
    <w:p w14:paraId="5BD054F9" w14:textId="5D5F0B24"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The State indicates in general terms that the alleged victims did not resort to other actions offered by </w:t>
      </w:r>
      <w:r w:rsidR="00416509" w:rsidRPr="007B00A3">
        <w:rPr>
          <w:rFonts w:ascii="Cambria" w:hAnsi="Cambria"/>
          <w:sz w:val="20"/>
          <w:szCs w:val="20"/>
        </w:rPr>
        <w:t>domestic</w:t>
      </w:r>
      <w:r w:rsidRPr="00113082">
        <w:rPr>
          <w:rFonts w:ascii="Cambria" w:hAnsi="Cambria"/>
          <w:sz w:val="20"/>
          <w:szCs w:val="20"/>
        </w:rPr>
        <w:t xml:space="preserve"> legislation regarding rulings by courts with administrative jurisdiction. </w:t>
      </w:r>
      <w:r w:rsidR="00416509" w:rsidRPr="00113082">
        <w:rPr>
          <w:rFonts w:ascii="Cambria" w:hAnsi="Cambria"/>
          <w:sz w:val="20"/>
          <w:szCs w:val="20"/>
        </w:rPr>
        <w:t>It indicates to</w:t>
      </w:r>
      <w:r w:rsidRPr="00113082">
        <w:rPr>
          <w:rFonts w:ascii="Cambria" w:hAnsi="Cambria"/>
          <w:sz w:val="20"/>
          <w:szCs w:val="20"/>
        </w:rPr>
        <w:t xml:space="preserve"> that effect</w:t>
      </w:r>
      <w:r w:rsidR="007B00A3">
        <w:rPr>
          <w:rFonts w:ascii="Cambria" w:hAnsi="Cambria"/>
          <w:sz w:val="20"/>
          <w:szCs w:val="20"/>
        </w:rPr>
        <w:t xml:space="preserve"> </w:t>
      </w:r>
      <w:r w:rsidRPr="00113082">
        <w:rPr>
          <w:rFonts w:ascii="Cambria" w:hAnsi="Cambria"/>
          <w:sz w:val="20"/>
          <w:szCs w:val="20"/>
        </w:rPr>
        <w:t xml:space="preserve">that Mr. Benavides could have contested the ruling that rejected the appeal. With respect to the non-appealability of Mr. Benavides’ case, the State asserts that this is exceptional and </w:t>
      </w:r>
      <w:r w:rsidR="00753DC1">
        <w:rPr>
          <w:rFonts w:ascii="Cambria" w:hAnsi="Cambria"/>
          <w:sz w:val="20"/>
          <w:szCs w:val="20"/>
        </w:rPr>
        <w:t xml:space="preserve">it </w:t>
      </w:r>
      <w:r w:rsidRPr="00113082">
        <w:rPr>
          <w:rFonts w:ascii="Cambria" w:hAnsi="Cambria"/>
          <w:sz w:val="20"/>
          <w:szCs w:val="20"/>
        </w:rPr>
        <w:t>is established by Law 446 of 1998 by virtue of the need to reduce procedural delays. The State asserts that in the case of Mr. Benavides there is no violation of article 8 of the Convention, as the right to appeal contained in it is applicable to criminal matters only.</w:t>
      </w:r>
    </w:p>
    <w:p w14:paraId="6258B8A2" w14:textId="77777777"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The State also asserts that the case falls outside the jurisdiction of the Commission due to the matter that is in question, given that the petition invokes a violation of the rights contained in articles 3, 4, 6 and 7 of the Protocol of San Salvador; and articles 19 and 24 of the Inter-American Charter of Social Guarantees for Workers. </w:t>
      </w:r>
    </w:p>
    <w:p w14:paraId="00B01970" w14:textId="7FC66B9C"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Furthermore, the State alleges that the present petition constitutes a “fourth instance”, given that the judgments pronounced by domestic courts fully complied with the requirements of due process and access to </w:t>
      </w:r>
      <w:r w:rsidR="00753DC1">
        <w:rPr>
          <w:rFonts w:ascii="Cambria" w:hAnsi="Cambria"/>
          <w:sz w:val="20"/>
          <w:szCs w:val="20"/>
        </w:rPr>
        <w:t>efficient and suitable remedies. I</w:t>
      </w:r>
      <w:r w:rsidRPr="00113082">
        <w:rPr>
          <w:rFonts w:ascii="Cambria" w:hAnsi="Cambria"/>
          <w:sz w:val="20"/>
          <w:szCs w:val="20"/>
        </w:rPr>
        <w:t xml:space="preserve">t also </w:t>
      </w:r>
      <w:r w:rsidR="007B00A3">
        <w:rPr>
          <w:rFonts w:ascii="Cambria" w:hAnsi="Cambria"/>
          <w:sz w:val="20"/>
          <w:szCs w:val="20"/>
        </w:rPr>
        <w:t>indicates</w:t>
      </w:r>
      <w:r w:rsidRPr="00113082">
        <w:rPr>
          <w:rFonts w:ascii="Cambria" w:hAnsi="Cambria"/>
          <w:sz w:val="20"/>
          <w:szCs w:val="20"/>
        </w:rPr>
        <w:t xml:space="preserve"> that the petitioners seek the judic</w:t>
      </w:r>
      <w:r w:rsidR="007B00A3">
        <w:rPr>
          <w:rFonts w:ascii="Cambria" w:hAnsi="Cambria"/>
          <w:sz w:val="20"/>
          <w:szCs w:val="20"/>
        </w:rPr>
        <w:t>ial review of judgements that rule</w:t>
      </w:r>
      <w:r w:rsidRPr="00113082">
        <w:rPr>
          <w:rFonts w:ascii="Cambria" w:hAnsi="Cambria"/>
          <w:sz w:val="20"/>
          <w:szCs w:val="20"/>
        </w:rPr>
        <w:t xml:space="preserve"> against them, </w:t>
      </w:r>
      <w:r w:rsidR="002A64B0">
        <w:rPr>
          <w:rFonts w:ascii="Cambria" w:hAnsi="Cambria"/>
          <w:sz w:val="20"/>
          <w:szCs w:val="20"/>
        </w:rPr>
        <w:t>while</w:t>
      </w:r>
      <w:r w:rsidR="007B00A3">
        <w:rPr>
          <w:rFonts w:ascii="Cambria" w:hAnsi="Cambria"/>
          <w:sz w:val="20"/>
          <w:szCs w:val="20"/>
        </w:rPr>
        <w:t xml:space="preserve"> </w:t>
      </w:r>
      <w:r w:rsidRPr="00113082">
        <w:rPr>
          <w:rFonts w:ascii="Cambria" w:hAnsi="Cambria"/>
          <w:sz w:val="20"/>
          <w:szCs w:val="20"/>
        </w:rPr>
        <w:t xml:space="preserve">the alleged victims were handed judgements that were </w:t>
      </w:r>
      <w:r w:rsidR="00753DC1" w:rsidRPr="00113082">
        <w:rPr>
          <w:rFonts w:ascii="Cambria" w:hAnsi="Cambria"/>
          <w:sz w:val="20"/>
          <w:szCs w:val="20"/>
        </w:rPr>
        <w:t>well founded</w:t>
      </w:r>
      <w:r w:rsidRPr="00113082">
        <w:rPr>
          <w:rFonts w:ascii="Cambria" w:hAnsi="Cambria"/>
          <w:sz w:val="20"/>
          <w:szCs w:val="20"/>
        </w:rPr>
        <w:t xml:space="preserve"> on the basis of the legislation in force.</w:t>
      </w:r>
    </w:p>
    <w:p w14:paraId="7ECC9774"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rPr>
      </w:pPr>
      <w:r w:rsidRPr="00113082">
        <w:rPr>
          <w:rFonts w:ascii="Cambria" w:hAnsi="Cambria" w:cs="Cambria"/>
          <w:b/>
          <w:bCs/>
          <w:color w:val="000000"/>
          <w:sz w:val="20"/>
          <w:szCs w:val="20"/>
          <w:u w:color="000000"/>
          <w:lang w:eastAsia="es-ES"/>
        </w:rPr>
        <w:t>VI.</w:t>
      </w:r>
      <w:r w:rsidRPr="00113082">
        <w:rPr>
          <w:rFonts w:ascii="Cambria" w:hAnsi="Cambria" w:cs="Cambria"/>
          <w:b/>
          <w:bCs/>
          <w:color w:val="000000"/>
          <w:sz w:val="20"/>
          <w:szCs w:val="20"/>
          <w:u w:color="000000"/>
          <w:lang w:eastAsia="es-ES"/>
        </w:rPr>
        <w:tab/>
      </w:r>
      <w:r w:rsidRPr="00113082">
        <w:rPr>
          <w:rFonts w:ascii="Cambria" w:hAnsi="Cambria"/>
          <w:b/>
          <w:sz w:val="20"/>
          <w:szCs w:val="20"/>
        </w:rPr>
        <w:t>EXHAUSTION OF DOMESTIC REMEDIES AND TIMELINESS OF THE PETITION</w:t>
      </w:r>
    </w:p>
    <w:p w14:paraId="09DB3F12" w14:textId="5FC6CB00"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In view of the positions of the parties and considering the information available in the case file, the Inter-American Commission considers that all domestic remedies were exhausted for each of the </w:t>
      </w:r>
      <w:r w:rsidRPr="00113082">
        <w:rPr>
          <w:rFonts w:ascii="Cambria" w:hAnsi="Cambria"/>
          <w:sz w:val="20"/>
          <w:szCs w:val="20"/>
        </w:rPr>
        <w:lastRenderedPageBreak/>
        <w:t>alleged victims: (a) in the case of Mrs. Luz Porras, on March 1</w:t>
      </w:r>
      <w:r w:rsidRPr="00113082">
        <w:rPr>
          <w:rFonts w:ascii="Cambria" w:hAnsi="Cambria"/>
          <w:sz w:val="20"/>
          <w:szCs w:val="20"/>
          <w:vertAlign w:val="superscript"/>
        </w:rPr>
        <w:t>st</w:t>
      </w:r>
      <w:r w:rsidR="00753DC1">
        <w:rPr>
          <w:rFonts w:ascii="Cambria" w:hAnsi="Cambria"/>
          <w:sz w:val="20"/>
          <w:szCs w:val="20"/>
        </w:rPr>
        <w:t xml:space="preserve">, </w:t>
      </w:r>
      <w:r w:rsidRPr="00113082">
        <w:rPr>
          <w:rFonts w:ascii="Cambria" w:hAnsi="Cambria"/>
          <w:sz w:val="20"/>
          <w:szCs w:val="20"/>
        </w:rPr>
        <w:t>2007 with the ruling of the Council of State notified on June 1</w:t>
      </w:r>
      <w:r w:rsidRPr="00113082">
        <w:rPr>
          <w:rFonts w:ascii="Cambria" w:hAnsi="Cambria"/>
          <w:sz w:val="20"/>
          <w:szCs w:val="20"/>
          <w:vertAlign w:val="superscript"/>
        </w:rPr>
        <w:t>st</w:t>
      </w:r>
      <w:r w:rsidR="00753DC1">
        <w:rPr>
          <w:rFonts w:ascii="Cambria" w:hAnsi="Cambria"/>
          <w:sz w:val="20"/>
          <w:szCs w:val="20"/>
        </w:rPr>
        <w:t xml:space="preserve">, </w:t>
      </w:r>
      <w:r w:rsidRPr="00113082">
        <w:rPr>
          <w:rFonts w:ascii="Cambria" w:hAnsi="Cambria"/>
          <w:sz w:val="20"/>
          <w:szCs w:val="20"/>
        </w:rPr>
        <w:t>2007; (b) with respect to Mr. Humberto Rey, with the judgment of the Council of State of April 12</w:t>
      </w:r>
      <w:r w:rsidRPr="00113082">
        <w:rPr>
          <w:rFonts w:ascii="Cambria" w:hAnsi="Cambria"/>
          <w:sz w:val="20"/>
          <w:szCs w:val="20"/>
          <w:vertAlign w:val="superscript"/>
        </w:rPr>
        <w:t>th</w:t>
      </w:r>
      <w:r w:rsidR="00753DC1">
        <w:rPr>
          <w:rFonts w:ascii="Cambria" w:hAnsi="Cambria"/>
          <w:sz w:val="20"/>
          <w:szCs w:val="20"/>
        </w:rPr>
        <w:t xml:space="preserve">, </w:t>
      </w:r>
      <w:r w:rsidRPr="00113082">
        <w:rPr>
          <w:rFonts w:ascii="Cambria" w:hAnsi="Cambria"/>
          <w:sz w:val="20"/>
          <w:szCs w:val="20"/>
        </w:rPr>
        <w:t>2007 notified on July 19</w:t>
      </w:r>
      <w:r w:rsidRPr="00113082">
        <w:rPr>
          <w:rFonts w:ascii="Cambria" w:hAnsi="Cambria"/>
          <w:sz w:val="20"/>
          <w:szCs w:val="20"/>
          <w:vertAlign w:val="superscript"/>
        </w:rPr>
        <w:t>th</w:t>
      </w:r>
      <w:r w:rsidR="00753DC1">
        <w:rPr>
          <w:rFonts w:ascii="Cambria" w:hAnsi="Cambria"/>
          <w:sz w:val="20"/>
          <w:szCs w:val="20"/>
        </w:rPr>
        <w:t xml:space="preserve">, </w:t>
      </w:r>
      <w:r w:rsidRPr="00113082">
        <w:rPr>
          <w:rFonts w:ascii="Cambria" w:hAnsi="Cambria"/>
          <w:sz w:val="20"/>
          <w:szCs w:val="20"/>
        </w:rPr>
        <w:t xml:space="preserve">2007; (c) in the case of Mr. </w:t>
      </w:r>
      <w:r w:rsidR="00A5549B">
        <w:rPr>
          <w:rFonts w:ascii="Cambria" w:hAnsi="Cambria"/>
          <w:sz w:val="20"/>
          <w:szCs w:val="20"/>
        </w:rPr>
        <w:t>Alvaro</w:t>
      </w:r>
      <w:r w:rsidRPr="00113082">
        <w:rPr>
          <w:rFonts w:ascii="Cambria" w:hAnsi="Cambria"/>
          <w:sz w:val="20"/>
          <w:szCs w:val="20"/>
        </w:rPr>
        <w:t xml:space="preserve"> </w:t>
      </w:r>
      <w:r w:rsidR="00A5549B">
        <w:rPr>
          <w:rFonts w:ascii="Cambria" w:hAnsi="Cambria"/>
          <w:sz w:val="20"/>
          <w:szCs w:val="20"/>
        </w:rPr>
        <w:t>Gomez</w:t>
      </w:r>
      <w:r w:rsidRPr="00113082">
        <w:rPr>
          <w:rFonts w:ascii="Cambria" w:hAnsi="Cambria"/>
          <w:sz w:val="20"/>
          <w:szCs w:val="20"/>
        </w:rPr>
        <w:t>, with the judgement of the Council of State of March 1</w:t>
      </w:r>
      <w:r w:rsidRPr="00113082">
        <w:rPr>
          <w:rFonts w:ascii="Cambria" w:hAnsi="Cambria"/>
          <w:sz w:val="20"/>
          <w:szCs w:val="20"/>
          <w:vertAlign w:val="superscript"/>
        </w:rPr>
        <w:t>st</w:t>
      </w:r>
      <w:r w:rsidR="00753DC1">
        <w:rPr>
          <w:rFonts w:ascii="Cambria" w:hAnsi="Cambria"/>
          <w:sz w:val="20"/>
          <w:szCs w:val="20"/>
        </w:rPr>
        <w:t xml:space="preserve">, </w:t>
      </w:r>
      <w:r w:rsidRPr="00113082">
        <w:rPr>
          <w:rFonts w:ascii="Cambria" w:hAnsi="Cambria"/>
          <w:sz w:val="20"/>
          <w:szCs w:val="20"/>
        </w:rPr>
        <w:t>2007 notified on July 13</w:t>
      </w:r>
      <w:r w:rsidRPr="00113082">
        <w:rPr>
          <w:rFonts w:ascii="Cambria" w:hAnsi="Cambria"/>
          <w:sz w:val="20"/>
          <w:szCs w:val="20"/>
          <w:vertAlign w:val="superscript"/>
        </w:rPr>
        <w:t>th</w:t>
      </w:r>
      <w:r w:rsidR="00753DC1">
        <w:rPr>
          <w:rFonts w:ascii="Cambria" w:hAnsi="Cambria"/>
          <w:sz w:val="20"/>
          <w:szCs w:val="20"/>
        </w:rPr>
        <w:t xml:space="preserve">, </w:t>
      </w:r>
      <w:r w:rsidRPr="00113082">
        <w:rPr>
          <w:rFonts w:ascii="Cambria" w:hAnsi="Cambria"/>
          <w:sz w:val="20"/>
          <w:szCs w:val="20"/>
        </w:rPr>
        <w:t xml:space="preserve">2007; and (d) regarding Mr. </w:t>
      </w:r>
      <w:r w:rsidR="00A5549B">
        <w:rPr>
          <w:rFonts w:ascii="Cambria" w:hAnsi="Cambria"/>
          <w:sz w:val="20"/>
          <w:szCs w:val="20"/>
        </w:rPr>
        <w:t>Jose</w:t>
      </w:r>
      <w:r w:rsidRPr="00113082">
        <w:rPr>
          <w:rFonts w:ascii="Cambria" w:hAnsi="Cambria"/>
          <w:sz w:val="20"/>
          <w:szCs w:val="20"/>
        </w:rPr>
        <w:t xml:space="preserve"> Benavides, with the ruling of the Administrative Tribunal of Cundinamarca that rejected the appeal on May 24</w:t>
      </w:r>
      <w:r w:rsidRPr="00113082">
        <w:rPr>
          <w:rFonts w:ascii="Cambria" w:hAnsi="Cambria"/>
          <w:sz w:val="20"/>
          <w:szCs w:val="20"/>
          <w:vertAlign w:val="superscript"/>
        </w:rPr>
        <w:t>th</w:t>
      </w:r>
      <w:r w:rsidR="00753DC1">
        <w:rPr>
          <w:rFonts w:ascii="Cambria" w:hAnsi="Cambria"/>
          <w:sz w:val="20"/>
          <w:szCs w:val="20"/>
        </w:rPr>
        <w:t xml:space="preserve">, </w:t>
      </w:r>
      <w:r w:rsidRPr="00113082">
        <w:rPr>
          <w:rFonts w:ascii="Cambria" w:hAnsi="Cambria"/>
          <w:sz w:val="20"/>
          <w:szCs w:val="20"/>
        </w:rPr>
        <w:t xml:space="preserve">2007. Moreover, the Commission observes that, with respect to the first three alleged victims, the State indicated in general terms that they had access to other resorts or remedies in the domestic judicial system, but did not indicate what these remedies were or whether they were suitable and effective. In addition, in the case of Mr. </w:t>
      </w:r>
      <w:r w:rsidR="00A5549B">
        <w:rPr>
          <w:rFonts w:ascii="Cambria" w:hAnsi="Cambria"/>
          <w:sz w:val="20"/>
          <w:szCs w:val="20"/>
        </w:rPr>
        <w:t>Jose</w:t>
      </w:r>
      <w:r w:rsidRPr="00113082">
        <w:rPr>
          <w:rFonts w:ascii="Cambria" w:hAnsi="Cambria"/>
          <w:sz w:val="20"/>
          <w:szCs w:val="20"/>
        </w:rPr>
        <w:t xml:space="preserve"> Benavides, the Commission observes that the procedure followed before the administrative jurisdictions was non-appealable by law, and therefore it cannot be demanded of him that </w:t>
      </w:r>
      <w:r w:rsidR="0003198F" w:rsidRPr="003F3F6D">
        <w:rPr>
          <w:rFonts w:ascii="Cambria" w:hAnsi="Cambria"/>
          <w:sz w:val="20"/>
          <w:szCs w:val="20"/>
        </w:rPr>
        <w:t xml:space="preserve">he </w:t>
      </w:r>
      <w:r w:rsidR="003F3F6D" w:rsidRPr="003F3F6D">
        <w:rPr>
          <w:rFonts w:ascii="Cambria" w:hAnsi="Cambria"/>
          <w:sz w:val="20"/>
          <w:szCs w:val="20"/>
        </w:rPr>
        <w:t>resorts to</w:t>
      </w:r>
      <w:r w:rsidR="003F3F6D">
        <w:rPr>
          <w:rFonts w:ascii="Cambria" w:hAnsi="Cambria"/>
          <w:sz w:val="20"/>
          <w:szCs w:val="20"/>
        </w:rPr>
        <w:t xml:space="preserve"> </w:t>
      </w:r>
      <w:r w:rsidRPr="00113082">
        <w:rPr>
          <w:rFonts w:ascii="Cambria" w:hAnsi="Cambria"/>
          <w:sz w:val="20"/>
          <w:szCs w:val="20"/>
        </w:rPr>
        <w:t xml:space="preserve">further judicial remedies. </w:t>
      </w:r>
    </w:p>
    <w:p w14:paraId="3B0F5335" w14:textId="42EB42D0"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Furthermore, considering that the petition was received by the Commission on October 11</w:t>
      </w:r>
      <w:r w:rsidRPr="00113082">
        <w:rPr>
          <w:rFonts w:ascii="Cambria" w:hAnsi="Cambria"/>
          <w:sz w:val="20"/>
          <w:szCs w:val="20"/>
          <w:vertAlign w:val="superscript"/>
        </w:rPr>
        <w:t>th</w:t>
      </w:r>
      <w:r w:rsidR="00753DC1">
        <w:rPr>
          <w:rFonts w:ascii="Cambria" w:hAnsi="Cambria"/>
          <w:sz w:val="20"/>
          <w:szCs w:val="20"/>
        </w:rPr>
        <w:t xml:space="preserve">, </w:t>
      </w:r>
      <w:r w:rsidRPr="00113082">
        <w:rPr>
          <w:rFonts w:ascii="Cambria" w:hAnsi="Cambria"/>
          <w:sz w:val="20"/>
          <w:szCs w:val="20"/>
        </w:rPr>
        <w:t xml:space="preserve">2007, the Commission observes that the alleged victims appealed to the IACHR within the six months following the final judgment pronounced in their cases. In that respect, the Inter-American Commission concludes that the present petition complies with the admissibility requirements established in articles 46.1.a and 46.1.b of the American Convention. </w:t>
      </w:r>
    </w:p>
    <w:p w14:paraId="55F7DE89"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before="240" w:after="240"/>
        <w:ind w:left="720"/>
        <w:jc w:val="both"/>
        <w:rPr>
          <w:rFonts w:ascii="Cambria" w:hAnsi="Cambria" w:cs="Cambria"/>
          <w:b/>
          <w:color w:val="000000"/>
          <w:sz w:val="20"/>
          <w:szCs w:val="20"/>
          <w:u w:color="000000"/>
          <w:lang w:eastAsia="es-ES"/>
        </w:rPr>
      </w:pPr>
      <w:r w:rsidRPr="00113082">
        <w:rPr>
          <w:rFonts w:ascii="Cambria" w:hAnsi="Cambria" w:cs="Cambria"/>
          <w:b/>
          <w:bCs/>
          <w:color w:val="000000"/>
          <w:sz w:val="20"/>
          <w:szCs w:val="20"/>
          <w:u w:color="000000"/>
          <w:lang w:eastAsia="es-ES"/>
        </w:rPr>
        <w:t>VII.</w:t>
      </w:r>
      <w:r w:rsidRPr="00113082">
        <w:rPr>
          <w:rFonts w:ascii="Cambria" w:hAnsi="Cambria" w:cs="Cambria"/>
          <w:b/>
          <w:bCs/>
          <w:color w:val="000000"/>
          <w:sz w:val="20"/>
          <w:szCs w:val="20"/>
          <w:u w:color="000000"/>
          <w:lang w:eastAsia="es-ES"/>
        </w:rPr>
        <w:tab/>
      </w:r>
      <w:r w:rsidRPr="003F3F6D">
        <w:rPr>
          <w:rFonts w:ascii="Cambria" w:hAnsi="Cambria" w:cs="Cambria"/>
          <w:b/>
          <w:bCs/>
          <w:color w:val="000000"/>
          <w:sz w:val="20"/>
          <w:szCs w:val="20"/>
          <w:u w:color="000000"/>
          <w:lang w:eastAsia="es-ES"/>
        </w:rPr>
        <w:t>COLORABLE CLAIM</w:t>
      </w:r>
    </w:p>
    <w:p w14:paraId="21211626" w14:textId="7A68AE2D" w:rsidR="00037678" w:rsidRPr="001E1561"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E1561">
        <w:rPr>
          <w:rFonts w:ascii="Cambria" w:hAnsi="Cambria"/>
          <w:sz w:val="20"/>
          <w:szCs w:val="20"/>
        </w:rPr>
        <w:t>In view of the fact</w:t>
      </w:r>
      <w:r w:rsidR="0003198F" w:rsidRPr="001E1561">
        <w:rPr>
          <w:rFonts w:ascii="Cambria" w:hAnsi="Cambria"/>
          <w:sz w:val="20"/>
          <w:szCs w:val="20"/>
        </w:rPr>
        <w:t>s and questions</w:t>
      </w:r>
      <w:r w:rsidRPr="001E1561">
        <w:rPr>
          <w:rFonts w:ascii="Cambria" w:hAnsi="Cambria"/>
          <w:sz w:val="20"/>
          <w:szCs w:val="20"/>
        </w:rPr>
        <w:t xml:space="preserve"> of law presented by the petitioners, and of the nature of the issues brought to its knowledge, the Commission considers that the </w:t>
      </w:r>
      <w:r w:rsidR="00620FF6" w:rsidRPr="001E1561">
        <w:rPr>
          <w:rFonts w:ascii="Cambria" w:hAnsi="Cambria"/>
          <w:sz w:val="20"/>
          <w:szCs w:val="20"/>
        </w:rPr>
        <w:t>allegations</w:t>
      </w:r>
      <w:r w:rsidRPr="001E1561">
        <w:rPr>
          <w:rFonts w:ascii="Cambria" w:hAnsi="Cambria"/>
          <w:sz w:val="20"/>
          <w:szCs w:val="20"/>
        </w:rPr>
        <w:t xml:space="preserve"> related to the declaration of redundancy not complying with legal requirements and not being justified could, </w:t>
      </w:r>
      <w:r w:rsidRPr="001E1561">
        <w:rPr>
          <w:rFonts w:ascii="Cambria" w:hAnsi="Cambria"/>
          <w:i/>
          <w:sz w:val="20"/>
          <w:szCs w:val="20"/>
        </w:rPr>
        <w:t>prima facie</w:t>
      </w:r>
      <w:r w:rsidRPr="001E1561">
        <w:rPr>
          <w:rFonts w:ascii="Cambria" w:hAnsi="Cambria"/>
          <w:sz w:val="20"/>
          <w:szCs w:val="20"/>
        </w:rPr>
        <w:t>, constitute vi</w:t>
      </w:r>
      <w:r w:rsidR="00753DC1">
        <w:rPr>
          <w:rFonts w:ascii="Cambria" w:hAnsi="Cambria"/>
          <w:sz w:val="20"/>
          <w:szCs w:val="20"/>
        </w:rPr>
        <w:t>olations of</w:t>
      </w:r>
      <w:r w:rsidRPr="001E1561">
        <w:rPr>
          <w:rFonts w:ascii="Cambria" w:hAnsi="Cambria"/>
          <w:sz w:val="20"/>
          <w:szCs w:val="20"/>
        </w:rPr>
        <w:t xml:space="preserve"> articles 8 (Right to a Fair Trial) and 25 (Right to Judicial Protection) of the Convention, </w:t>
      </w:r>
      <w:r w:rsidR="00001603">
        <w:rPr>
          <w:rFonts w:ascii="Cambria" w:hAnsi="Cambria"/>
          <w:sz w:val="20"/>
          <w:szCs w:val="20"/>
        </w:rPr>
        <w:t xml:space="preserve">in connection with </w:t>
      </w:r>
      <w:r w:rsidRPr="001E1561">
        <w:rPr>
          <w:rFonts w:ascii="Cambria" w:hAnsi="Cambria"/>
          <w:sz w:val="20"/>
          <w:szCs w:val="20"/>
        </w:rPr>
        <w:t xml:space="preserve">article 1.1 (obligation to respect rights) of that treaty to the detriment of Luz </w:t>
      </w:r>
      <w:r w:rsidR="00A5549B">
        <w:rPr>
          <w:rFonts w:ascii="Cambria" w:hAnsi="Cambria"/>
          <w:sz w:val="20"/>
          <w:szCs w:val="20"/>
        </w:rPr>
        <w:t>Angelica</w:t>
      </w:r>
      <w:r w:rsidRPr="001E1561">
        <w:rPr>
          <w:rFonts w:ascii="Cambria" w:hAnsi="Cambria"/>
          <w:sz w:val="20"/>
          <w:szCs w:val="20"/>
        </w:rPr>
        <w:t xml:space="preserve"> Porras Camacho, Humberto Rey </w:t>
      </w:r>
      <w:r w:rsidR="00A5549B">
        <w:rPr>
          <w:rFonts w:ascii="Cambria" w:hAnsi="Cambria"/>
          <w:sz w:val="20"/>
          <w:szCs w:val="20"/>
        </w:rPr>
        <w:t>Baron</w:t>
      </w:r>
      <w:r w:rsidRPr="001E1561">
        <w:rPr>
          <w:rFonts w:ascii="Cambria" w:hAnsi="Cambria"/>
          <w:sz w:val="20"/>
          <w:szCs w:val="20"/>
        </w:rPr>
        <w:t xml:space="preserve">, </w:t>
      </w:r>
      <w:r w:rsidR="00A5549B">
        <w:rPr>
          <w:rFonts w:ascii="Cambria" w:hAnsi="Cambria"/>
          <w:sz w:val="20"/>
          <w:szCs w:val="20"/>
        </w:rPr>
        <w:t>Alvaro</w:t>
      </w:r>
      <w:r w:rsidRPr="001E1561">
        <w:rPr>
          <w:rFonts w:ascii="Cambria" w:hAnsi="Cambria"/>
          <w:sz w:val="20"/>
          <w:szCs w:val="20"/>
        </w:rPr>
        <w:t xml:space="preserve"> </w:t>
      </w:r>
      <w:r w:rsidR="00A5549B">
        <w:rPr>
          <w:rFonts w:ascii="Cambria" w:hAnsi="Cambria"/>
          <w:sz w:val="20"/>
          <w:szCs w:val="20"/>
        </w:rPr>
        <w:t>Damian</w:t>
      </w:r>
      <w:r w:rsidRPr="001E1561">
        <w:rPr>
          <w:rFonts w:ascii="Cambria" w:hAnsi="Cambria"/>
          <w:sz w:val="20"/>
          <w:szCs w:val="20"/>
        </w:rPr>
        <w:t xml:space="preserve"> </w:t>
      </w:r>
      <w:r w:rsidR="00A5549B">
        <w:rPr>
          <w:rFonts w:ascii="Cambria" w:hAnsi="Cambria"/>
          <w:sz w:val="20"/>
          <w:szCs w:val="20"/>
        </w:rPr>
        <w:t>Gomez</w:t>
      </w:r>
      <w:r w:rsidRPr="001E1561">
        <w:rPr>
          <w:rFonts w:ascii="Cambria" w:hAnsi="Cambria"/>
          <w:sz w:val="20"/>
          <w:szCs w:val="20"/>
        </w:rPr>
        <w:t xml:space="preserve"> Granja and </w:t>
      </w:r>
      <w:r w:rsidR="00A5549B">
        <w:rPr>
          <w:rFonts w:ascii="Cambria" w:hAnsi="Cambria"/>
          <w:sz w:val="20"/>
          <w:szCs w:val="20"/>
        </w:rPr>
        <w:t>Jose</w:t>
      </w:r>
      <w:r w:rsidRPr="001E1561">
        <w:rPr>
          <w:rFonts w:ascii="Cambria" w:hAnsi="Cambria"/>
          <w:sz w:val="20"/>
          <w:szCs w:val="20"/>
        </w:rPr>
        <w:t xml:space="preserve"> Silar Benavides Ariza. </w:t>
      </w:r>
    </w:p>
    <w:p w14:paraId="0D5B6442" w14:textId="13AA6D76" w:rsidR="00037678" w:rsidRPr="00113082" w:rsidRDefault="00001603"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Regarding </w:t>
      </w:r>
      <w:r w:rsidR="00037678" w:rsidRPr="00113082">
        <w:rPr>
          <w:rFonts w:ascii="Cambria" w:hAnsi="Cambria"/>
          <w:sz w:val="20"/>
          <w:szCs w:val="20"/>
        </w:rPr>
        <w:t>the claims related to Mr. Benavides</w:t>
      </w:r>
      <w:r w:rsidR="00753DC1">
        <w:rPr>
          <w:rFonts w:ascii="Cambria" w:hAnsi="Cambria"/>
          <w:sz w:val="20"/>
          <w:szCs w:val="20"/>
        </w:rPr>
        <w:t>’ rights</w:t>
      </w:r>
      <w:r w:rsidR="00037678" w:rsidRPr="00113082">
        <w:rPr>
          <w:rFonts w:ascii="Cambria" w:hAnsi="Cambria"/>
          <w:sz w:val="20"/>
          <w:szCs w:val="20"/>
        </w:rPr>
        <w:t xml:space="preserve"> in a non-appealable judicial procedure</w:t>
      </w:r>
      <w:r w:rsidR="00037678" w:rsidRPr="00113082">
        <w:rPr>
          <w:rFonts w:ascii="Cambria" w:hAnsi="Cambria"/>
          <w:sz w:val="20"/>
          <w:szCs w:val="20"/>
          <w:vertAlign w:val="superscript"/>
        </w:rPr>
        <w:footnoteReference w:id="5"/>
      </w:r>
      <w:r w:rsidR="00037678" w:rsidRPr="00113082">
        <w:rPr>
          <w:rFonts w:ascii="Cambria" w:hAnsi="Cambria"/>
          <w:sz w:val="20"/>
          <w:szCs w:val="20"/>
        </w:rPr>
        <w:t xml:space="preserve">, </w:t>
      </w:r>
      <w:r w:rsidR="003F3F6D">
        <w:rPr>
          <w:rFonts w:ascii="Cambria" w:hAnsi="Cambria"/>
          <w:sz w:val="20"/>
          <w:szCs w:val="20"/>
        </w:rPr>
        <w:t>the</w:t>
      </w:r>
      <w:r>
        <w:rPr>
          <w:rFonts w:ascii="Cambria" w:hAnsi="Cambria"/>
          <w:sz w:val="20"/>
          <w:szCs w:val="20"/>
        </w:rPr>
        <w:t xml:space="preserve"> merits of the matter </w:t>
      </w:r>
      <w:r w:rsidR="003F3F6D">
        <w:rPr>
          <w:rFonts w:ascii="Cambria" w:hAnsi="Cambria"/>
          <w:sz w:val="20"/>
          <w:szCs w:val="20"/>
        </w:rPr>
        <w:t>must be analyz</w:t>
      </w:r>
      <w:r w:rsidR="00037678" w:rsidRPr="00113082">
        <w:rPr>
          <w:rFonts w:ascii="Cambria" w:hAnsi="Cambria"/>
          <w:sz w:val="20"/>
          <w:szCs w:val="20"/>
        </w:rPr>
        <w:t xml:space="preserve">ed with respect to articles 8 (right to a fair trial) and 25 (right to judicial protection) of the American Convention, </w:t>
      </w:r>
      <w:r w:rsidR="008B2E2A">
        <w:rPr>
          <w:rFonts w:ascii="Cambria" w:hAnsi="Cambria"/>
          <w:sz w:val="20"/>
          <w:szCs w:val="20"/>
        </w:rPr>
        <w:t xml:space="preserve">in accordance with </w:t>
      </w:r>
      <w:r w:rsidR="00037678" w:rsidRPr="00113082">
        <w:rPr>
          <w:rFonts w:ascii="Cambria" w:hAnsi="Cambria"/>
          <w:sz w:val="20"/>
          <w:szCs w:val="20"/>
        </w:rPr>
        <w:t xml:space="preserve">articles 1.1 (obligation to respect rights) and 2 (obligation to adopt domestic legislative measures) </w:t>
      </w:r>
      <w:r w:rsidR="008B2E2A">
        <w:rPr>
          <w:rFonts w:ascii="Cambria" w:hAnsi="Cambria"/>
          <w:sz w:val="20"/>
          <w:szCs w:val="20"/>
        </w:rPr>
        <w:t>thereof</w:t>
      </w:r>
      <w:r w:rsidR="00037678" w:rsidRPr="00113082">
        <w:rPr>
          <w:rFonts w:ascii="Cambria" w:hAnsi="Cambria"/>
          <w:sz w:val="20"/>
          <w:szCs w:val="20"/>
        </w:rPr>
        <w:t>.</w:t>
      </w:r>
    </w:p>
    <w:p w14:paraId="0621F127" w14:textId="77777777"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As for the claim about the alleged violation of articles 9 (freedom from ex post facto laws) and 24 (right to equal protection) of the Convention, the Commission observes that the petitioners have not offered sufficient arguments or grounds to consider that a </w:t>
      </w:r>
      <w:r w:rsidRPr="00113082">
        <w:rPr>
          <w:rFonts w:ascii="Cambria" w:hAnsi="Cambria"/>
          <w:i/>
          <w:sz w:val="20"/>
          <w:szCs w:val="20"/>
        </w:rPr>
        <w:t>prima facie</w:t>
      </w:r>
      <w:r w:rsidRPr="00113082">
        <w:rPr>
          <w:rFonts w:ascii="Cambria" w:hAnsi="Cambria"/>
          <w:sz w:val="20"/>
          <w:szCs w:val="20"/>
        </w:rPr>
        <w:t xml:space="preserve"> violation of those articles may have taken place.</w:t>
      </w:r>
    </w:p>
    <w:p w14:paraId="5F2D08FB" w14:textId="77777777" w:rsidR="00037678" w:rsidRPr="00113082" w:rsidRDefault="00037678" w:rsidP="00D74B73">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With respect to the claims of the State regarding the “fourth instance formula”, the Commission recognizes that it does not have the jurisdiction to review judgments pronounced by national courts </w:t>
      </w:r>
      <w:r w:rsidR="00001603">
        <w:rPr>
          <w:rFonts w:ascii="Cambria" w:hAnsi="Cambria"/>
          <w:sz w:val="20"/>
          <w:szCs w:val="20"/>
        </w:rPr>
        <w:t xml:space="preserve">that have acted </w:t>
      </w:r>
      <w:r w:rsidRPr="00113082">
        <w:rPr>
          <w:rFonts w:ascii="Cambria" w:hAnsi="Cambria"/>
          <w:sz w:val="20"/>
          <w:szCs w:val="20"/>
        </w:rPr>
        <w:t xml:space="preserve">within their jurisdiction </w:t>
      </w:r>
      <w:r w:rsidR="00001603">
        <w:rPr>
          <w:rFonts w:ascii="Cambria" w:hAnsi="Cambria"/>
          <w:sz w:val="20"/>
          <w:szCs w:val="20"/>
        </w:rPr>
        <w:t xml:space="preserve">and applied the principles of </w:t>
      </w:r>
      <w:r w:rsidRPr="00113082">
        <w:rPr>
          <w:rFonts w:ascii="Cambria" w:hAnsi="Cambria"/>
          <w:sz w:val="20"/>
          <w:szCs w:val="20"/>
        </w:rPr>
        <w:t xml:space="preserve">due process and the right to a fair trial. </w:t>
      </w:r>
      <w:r w:rsidR="003F3F6D">
        <w:rPr>
          <w:rFonts w:ascii="Cambria" w:hAnsi="Cambria"/>
          <w:sz w:val="20"/>
          <w:szCs w:val="20"/>
        </w:rPr>
        <w:t>Nev</w:t>
      </w:r>
      <w:r w:rsidRPr="00113082">
        <w:rPr>
          <w:rFonts w:ascii="Cambria" w:hAnsi="Cambria"/>
          <w:sz w:val="20"/>
          <w:szCs w:val="20"/>
        </w:rPr>
        <w:t>ertheless, its mandate does confer it jurisdiction to declare a petition admissible and, if the case has legal basis, to pronounce judgment on questions of law when a petition refers to domestic procedures that may violate rights that are protected by the American Convention.</w:t>
      </w:r>
    </w:p>
    <w:p w14:paraId="217E4B73" w14:textId="7BC364AD" w:rsidR="00AB6F2A" w:rsidRPr="00AB6F2A" w:rsidRDefault="00037678" w:rsidP="00AB6F2A">
      <w:pPr>
        <w:numPr>
          <w:ilvl w:val="0"/>
          <w:numId w:val="10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113082">
        <w:rPr>
          <w:rFonts w:ascii="Cambria" w:hAnsi="Cambria"/>
          <w:sz w:val="20"/>
          <w:szCs w:val="20"/>
        </w:rPr>
        <w:t xml:space="preserve">As for the claims about violations of articles 3, 4, 6 and 7 of the Protocol of San Salvador, the IACHR indicates that the jurisdiction established in the provisions of article 19.6 </w:t>
      </w:r>
      <w:r w:rsidR="009A5CE8" w:rsidRPr="00113082">
        <w:rPr>
          <w:rFonts w:ascii="Cambria" w:hAnsi="Cambria"/>
          <w:sz w:val="20"/>
          <w:szCs w:val="20"/>
        </w:rPr>
        <w:t>of</w:t>
      </w:r>
      <w:r w:rsidRPr="00113082">
        <w:rPr>
          <w:rFonts w:ascii="Cambria" w:hAnsi="Cambria"/>
          <w:sz w:val="20"/>
          <w:szCs w:val="20"/>
        </w:rPr>
        <w:t xml:space="preserve"> that treaty to pronounce judgment in the context of an individual case is limited to articles 8 and 13. With respect to the other articles, in compliance with article 29 of the American Convention, the Commission may take them into consideration to interpret and apply the American Convention and other applicable instruments.</w:t>
      </w:r>
    </w:p>
    <w:p w14:paraId="700D4446" w14:textId="77777777" w:rsidR="00037678" w:rsidRPr="00113082" w:rsidRDefault="00037678" w:rsidP="00D74B73">
      <w:pPr>
        <w:pBdr>
          <w:top w:val="none" w:sz="0" w:space="0" w:color="auto"/>
          <w:left w:val="none" w:sz="0" w:space="0" w:color="auto"/>
          <w:bottom w:val="none" w:sz="0" w:space="0" w:color="auto"/>
          <w:right w:val="none" w:sz="0" w:space="0" w:color="auto"/>
          <w:bar w:val="none" w:sz="0" w:color="auto"/>
        </w:pBdr>
        <w:spacing w:before="240" w:after="240"/>
        <w:ind w:left="720"/>
        <w:jc w:val="both"/>
        <w:rPr>
          <w:rFonts w:ascii="Cambria" w:hAnsi="Cambria" w:cs="Cambria"/>
          <w:b/>
          <w:bCs/>
          <w:color w:val="000000"/>
          <w:sz w:val="20"/>
          <w:szCs w:val="20"/>
          <w:u w:color="000000"/>
          <w:lang w:eastAsia="es-ES"/>
        </w:rPr>
      </w:pPr>
      <w:r w:rsidRPr="00113082">
        <w:rPr>
          <w:rFonts w:ascii="Cambria" w:hAnsi="Cambria" w:cs="Cambria"/>
          <w:b/>
          <w:bCs/>
          <w:color w:val="000000"/>
          <w:sz w:val="20"/>
          <w:szCs w:val="20"/>
          <w:u w:color="000000"/>
          <w:lang w:eastAsia="es-ES"/>
        </w:rPr>
        <w:lastRenderedPageBreak/>
        <w:t xml:space="preserve">VIII. </w:t>
      </w:r>
      <w:r w:rsidRPr="00113082">
        <w:rPr>
          <w:rFonts w:ascii="Cambria" w:hAnsi="Cambria" w:cs="Cambria"/>
          <w:b/>
          <w:bCs/>
          <w:color w:val="000000"/>
          <w:sz w:val="20"/>
          <w:szCs w:val="20"/>
          <w:u w:color="000000"/>
          <w:lang w:eastAsia="es-ES"/>
        </w:rPr>
        <w:tab/>
        <w:t>DECISION</w:t>
      </w:r>
    </w:p>
    <w:p w14:paraId="48012472" w14:textId="77777777" w:rsidR="00037678" w:rsidRPr="008B2E2A" w:rsidRDefault="00304A1D" w:rsidP="00D74B73">
      <w:pPr>
        <w:numPr>
          <w:ilvl w:val="0"/>
          <w:numId w:val="104"/>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8B2E2A">
        <w:rPr>
          <w:rFonts w:ascii="Cambria" w:hAnsi="Cambria"/>
          <w:sz w:val="20"/>
          <w:szCs w:val="20"/>
        </w:rPr>
        <w:t xml:space="preserve">To </w:t>
      </w:r>
      <w:r w:rsidR="00B82838">
        <w:rPr>
          <w:rFonts w:ascii="Cambria" w:hAnsi="Cambria"/>
          <w:sz w:val="20"/>
          <w:szCs w:val="20"/>
        </w:rPr>
        <w:t>find</w:t>
      </w:r>
      <w:r w:rsidRPr="008B2E2A">
        <w:rPr>
          <w:rFonts w:ascii="Cambria" w:hAnsi="Cambria"/>
          <w:sz w:val="20"/>
          <w:szCs w:val="20"/>
        </w:rPr>
        <w:t xml:space="preserve"> the present petition admis</w:t>
      </w:r>
      <w:r w:rsidR="00B82838">
        <w:rPr>
          <w:rFonts w:ascii="Cambria" w:hAnsi="Cambria"/>
          <w:sz w:val="20"/>
          <w:szCs w:val="20"/>
        </w:rPr>
        <w:t>s</w:t>
      </w:r>
      <w:r w:rsidRPr="008B2E2A">
        <w:rPr>
          <w:rFonts w:ascii="Cambria" w:hAnsi="Cambria"/>
          <w:sz w:val="20"/>
          <w:szCs w:val="20"/>
        </w:rPr>
        <w:t xml:space="preserve">ible in relation to articles </w:t>
      </w:r>
      <w:r w:rsidR="00037678" w:rsidRPr="008B2E2A">
        <w:rPr>
          <w:rFonts w:ascii="Cambria" w:hAnsi="Cambria"/>
          <w:sz w:val="20"/>
          <w:szCs w:val="20"/>
        </w:rPr>
        <w:t xml:space="preserve">8 </w:t>
      </w:r>
      <w:r w:rsidRPr="008B2E2A">
        <w:rPr>
          <w:rFonts w:ascii="Cambria" w:hAnsi="Cambria"/>
          <w:sz w:val="20"/>
          <w:szCs w:val="20"/>
        </w:rPr>
        <w:t xml:space="preserve">and </w:t>
      </w:r>
      <w:r w:rsidR="00037678" w:rsidRPr="008B2E2A">
        <w:rPr>
          <w:rFonts w:ascii="Cambria" w:hAnsi="Cambria"/>
          <w:sz w:val="20"/>
          <w:szCs w:val="20"/>
        </w:rPr>
        <w:t xml:space="preserve">25 </w:t>
      </w:r>
      <w:r w:rsidR="008B2E2A" w:rsidRPr="008B2E2A">
        <w:rPr>
          <w:rFonts w:ascii="Cambria" w:hAnsi="Cambria"/>
          <w:sz w:val="20"/>
          <w:szCs w:val="20"/>
        </w:rPr>
        <w:t>of the Amer</w:t>
      </w:r>
      <w:r w:rsidR="00B82838">
        <w:rPr>
          <w:rFonts w:ascii="Cambria" w:hAnsi="Cambria"/>
          <w:sz w:val="20"/>
          <w:szCs w:val="20"/>
        </w:rPr>
        <w:t>ican Convention</w:t>
      </w:r>
      <w:r w:rsidR="00037678" w:rsidRPr="008B2E2A">
        <w:rPr>
          <w:rFonts w:ascii="Cambria" w:hAnsi="Cambria"/>
          <w:sz w:val="20"/>
          <w:szCs w:val="20"/>
        </w:rPr>
        <w:t xml:space="preserve">, </w:t>
      </w:r>
      <w:r w:rsidR="008B2E2A">
        <w:rPr>
          <w:rFonts w:ascii="Cambria" w:hAnsi="Cambria"/>
          <w:sz w:val="20"/>
          <w:szCs w:val="20"/>
        </w:rPr>
        <w:t xml:space="preserve">in connection with articles </w:t>
      </w:r>
      <w:r w:rsidR="00037678" w:rsidRPr="008B2E2A">
        <w:rPr>
          <w:rFonts w:ascii="Cambria" w:hAnsi="Cambria"/>
          <w:sz w:val="20"/>
          <w:szCs w:val="20"/>
        </w:rPr>
        <w:t xml:space="preserve">1.1 </w:t>
      </w:r>
      <w:r w:rsidR="008B2E2A">
        <w:rPr>
          <w:rFonts w:ascii="Cambria" w:hAnsi="Cambria"/>
          <w:sz w:val="20"/>
          <w:szCs w:val="20"/>
        </w:rPr>
        <w:t xml:space="preserve">and </w:t>
      </w:r>
      <w:r w:rsidR="00037678" w:rsidRPr="008B2E2A">
        <w:rPr>
          <w:rFonts w:ascii="Cambria" w:hAnsi="Cambria"/>
          <w:sz w:val="20"/>
          <w:szCs w:val="20"/>
        </w:rPr>
        <w:t xml:space="preserve">2 </w:t>
      </w:r>
      <w:r w:rsidR="008B2E2A">
        <w:rPr>
          <w:rFonts w:ascii="Cambria" w:hAnsi="Cambria"/>
          <w:sz w:val="20"/>
          <w:szCs w:val="20"/>
        </w:rPr>
        <w:t>thereof</w:t>
      </w:r>
      <w:r w:rsidR="00037678" w:rsidRPr="008B2E2A">
        <w:rPr>
          <w:rFonts w:ascii="Cambria" w:hAnsi="Cambria"/>
          <w:sz w:val="20"/>
          <w:szCs w:val="20"/>
        </w:rPr>
        <w:t>;</w:t>
      </w:r>
    </w:p>
    <w:p w14:paraId="6EDFFC5B" w14:textId="77777777" w:rsidR="00037678" w:rsidRPr="00B82838" w:rsidRDefault="00B82838" w:rsidP="00D74B73">
      <w:pPr>
        <w:numPr>
          <w:ilvl w:val="0"/>
          <w:numId w:val="104"/>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n-GB"/>
        </w:rPr>
      </w:pPr>
      <w:r w:rsidRPr="00B82838">
        <w:rPr>
          <w:rFonts w:ascii="Cambria" w:hAnsi="Cambria"/>
          <w:sz w:val="20"/>
          <w:szCs w:val="20"/>
          <w:lang w:val="en-GB"/>
        </w:rPr>
        <w:t>To find the present petition inadmi</w:t>
      </w:r>
      <w:r>
        <w:rPr>
          <w:rFonts w:ascii="Cambria" w:hAnsi="Cambria"/>
          <w:sz w:val="20"/>
          <w:szCs w:val="20"/>
          <w:lang w:val="en-GB"/>
        </w:rPr>
        <w:t>s</w:t>
      </w:r>
      <w:r w:rsidRPr="00B82838">
        <w:rPr>
          <w:rFonts w:ascii="Cambria" w:hAnsi="Cambria"/>
          <w:sz w:val="20"/>
          <w:szCs w:val="20"/>
          <w:lang w:val="en-GB"/>
        </w:rPr>
        <w:t xml:space="preserve">sible in relation to articles </w:t>
      </w:r>
      <w:r w:rsidR="00037678" w:rsidRPr="00B82838">
        <w:rPr>
          <w:rFonts w:ascii="Cambria" w:hAnsi="Cambria"/>
          <w:sz w:val="20"/>
          <w:szCs w:val="20"/>
          <w:lang w:val="en-GB"/>
        </w:rPr>
        <w:t xml:space="preserve">9 </w:t>
      </w:r>
      <w:r w:rsidRPr="00B82838">
        <w:rPr>
          <w:rFonts w:ascii="Cambria" w:hAnsi="Cambria"/>
          <w:sz w:val="20"/>
          <w:szCs w:val="20"/>
          <w:lang w:val="en-GB"/>
        </w:rPr>
        <w:t xml:space="preserve">and </w:t>
      </w:r>
      <w:r w:rsidR="00037678" w:rsidRPr="00B82838">
        <w:rPr>
          <w:rFonts w:ascii="Cambria" w:hAnsi="Cambria"/>
          <w:sz w:val="20"/>
          <w:szCs w:val="20"/>
          <w:lang w:val="en-GB"/>
        </w:rPr>
        <w:t xml:space="preserve">24 </w:t>
      </w:r>
      <w:r>
        <w:rPr>
          <w:rFonts w:ascii="Cambria" w:hAnsi="Cambria"/>
          <w:sz w:val="20"/>
          <w:szCs w:val="20"/>
          <w:lang w:val="en-GB"/>
        </w:rPr>
        <w:t>of the American Convention</w:t>
      </w:r>
      <w:r w:rsidR="00037678" w:rsidRPr="00B82838">
        <w:rPr>
          <w:rFonts w:ascii="Cambria" w:hAnsi="Cambria"/>
          <w:sz w:val="20"/>
          <w:szCs w:val="20"/>
          <w:lang w:val="en-GB"/>
        </w:rPr>
        <w:t>;</w:t>
      </w:r>
    </w:p>
    <w:p w14:paraId="21E1322F" w14:textId="77777777" w:rsidR="00037678" w:rsidRPr="00B82838" w:rsidRDefault="00B82838" w:rsidP="00D74B73">
      <w:pPr>
        <w:numPr>
          <w:ilvl w:val="0"/>
          <w:numId w:val="104"/>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n-GB"/>
        </w:rPr>
      </w:pPr>
      <w:r>
        <w:rPr>
          <w:rFonts w:ascii="Cambria" w:hAnsi="Cambria"/>
          <w:sz w:val="20"/>
          <w:szCs w:val="20"/>
          <w:lang w:val="en-GB"/>
        </w:rPr>
        <w:t>To notify the parties of this decision</w:t>
      </w:r>
      <w:r w:rsidR="00037678" w:rsidRPr="00B82838">
        <w:rPr>
          <w:rFonts w:ascii="Cambria" w:hAnsi="Cambria"/>
          <w:sz w:val="20"/>
          <w:szCs w:val="20"/>
          <w:lang w:val="en-GB"/>
        </w:rPr>
        <w:t>;</w:t>
      </w:r>
    </w:p>
    <w:p w14:paraId="574F0A1E" w14:textId="77777777" w:rsidR="00037678" w:rsidRPr="00B82838" w:rsidRDefault="00B82838" w:rsidP="00D74B73">
      <w:pPr>
        <w:numPr>
          <w:ilvl w:val="0"/>
          <w:numId w:val="104"/>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n-GB"/>
        </w:rPr>
      </w:pPr>
      <w:r w:rsidRPr="00B82838">
        <w:rPr>
          <w:rFonts w:ascii="Cambria" w:hAnsi="Cambria"/>
          <w:sz w:val="20"/>
          <w:szCs w:val="20"/>
          <w:lang w:val="en-GB"/>
        </w:rPr>
        <w:t>To continue with the analysis on the merits</w:t>
      </w:r>
      <w:r w:rsidR="00037678" w:rsidRPr="00B82838">
        <w:rPr>
          <w:rFonts w:ascii="Cambria" w:hAnsi="Cambria"/>
          <w:sz w:val="20"/>
          <w:szCs w:val="20"/>
          <w:lang w:val="en-GB"/>
        </w:rPr>
        <w:t xml:space="preserve">; </w:t>
      </w:r>
      <w:r w:rsidR="00155AA5">
        <w:rPr>
          <w:rFonts w:ascii="Cambria" w:hAnsi="Cambria"/>
          <w:sz w:val="20"/>
          <w:szCs w:val="20"/>
          <w:lang w:val="en-GB"/>
        </w:rPr>
        <w:t xml:space="preserve">and </w:t>
      </w:r>
    </w:p>
    <w:p w14:paraId="1619A562" w14:textId="77777777" w:rsidR="00AB6F2A" w:rsidRDefault="00B82838" w:rsidP="00AB6F2A">
      <w:pPr>
        <w:numPr>
          <w:ilvl w:val="0"/>
          <w:numId w:val="104"/>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n-GB"/>
        </w:rPr>
      </w:pPr>
      <w:r w:rsidRPr="00B82838">
        <w:rPr>
          <w:rFonts w:ascii="Cambria" w:hAnsi="Cambria"/>
          <w:sz w:val="20"/>
          <w:szCs w:val="20"/>
          <w:lang w:val="en-GB"/>
        </w:rPr>
        <w:t>To publish this decision and include it in its Annual Report to the General Assembly of the Organization of American States</w:t>
      </w:r>
      <w:r w:rsidR="00037678" w:rsidRPr="00B82838">
        <w:rPr>
          <w:rFonts w:ascii="Cambria" w:hAnsi="Cambria"/>
          <w:sz w:val="20"/>
          <w:szCs w:val="20"/>
          <w:lang w:val="en-GB"/>
        </w:rPr>
        <w:t>.</w:t>
      </w:r>
    </w:p>
    <w:p w14:paraId="0B26D9DA" w14:textId="7F6F0BDA" w:rsidR="00AB6F2A" w:rsidRPr="00AB6F2A" w:rsidRDefault="00AB6F2A" w:rsidP="00AB6F2A">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lang w:val="en-GB"/>
        </w:rPr>
      </w:pPr>
      <w:r w:rsidRPr="00AB6F2A">
        <w:rPr>
          <w:rFonts w:ascii="Cambria" w:hAnsi="Cambria"/>
          <w:spacing w:val="-2"/>
          <w:sz w:val="20"/>
        </w:rPr>
        <w:t xml:space="preserve">Approved by the Inter-American Commission on Human Rights in the city of Buenos Aires, Argentina, on the 25 day of the month of May, 2017. (Signed):  </w:t>
      </w:r>
      <w:r w:rsidRPr="00AB6F2A">
        <w:rPr>
          <w:rFonts w:ascii="Cambria" w:hAnsi="Cambria" w:cs="Arial"/>
          <w:noProof/>
          <w:spacing w:val="-2"/>
          <w:sz w:val="20"/>
        </w:rPr>
        <w:t>Francisco José Eguiguren</w:t>
      </w:r>
      <w:r w:rsidRPr="00AB6F2A">
        <w:rPr>
          <w:rFonts w:ascii="Cambria" w:hAnsi="Cambria"/>
          <w:spacing w:val="-2"/>
          <w:sz w:val="20"/>
        </w:rPr>
        <w:t xml:space="preserve">, </w:t>
      </w:r>
      <w:r w:rsidRPr="00AB6F2A">
        <w:rPr>
          <w:rFonts w:ascii="Cambria" w:hAnsi="Cambria"/>
          <w:sz w:val="20"/>
        </w:rPr>
        <w:t xml:space="preserve">President; </w:t>
      </w:r>
      <w:r w:rsidRPr="00AB6F2A">
        <w:rPr>
          <w:rFonts w:ascii="Cambria" w:hAnsi="Cambria" w:cs="Arial"/>
          <w:noProof/>
          <w:spacing w:val="-2"/>
          <w:sz w:val="20"/>
        </w:rPr>
        <w:t xml:space="preserve">Margarette May Macaulay, </w:t>
      </w:r>
      <w:r w:rsidRPr="00AB6F2A">
        <w:rPr>
          <w:rFonts w:ascii="Cambria" w:hAnsi="Cambria"/>
          <w:spacing w:val="-2"/>
          <w:sz w:val="20"/>
        </w:rPr>
        <w:t>First Vice President;</w:t>
      </w:r>
      <w:r w:rsidRPr="00AB6F2A">
        <w:rPr>
          <w:rFonts w:ascii="Cambria" w:hAnsi="Cambria" w:cs="Arial"/>
          <w:noProof/>
          <w:spacing w:val="-2"/>
          <w:sz w:val="20"/>
        </w:rPr>
        <w:t xml:space="preserve"> Esmeralda E. Arosemena Bernal de Troitiño, Second Vice President;</w:t>
      </w:r>
      <w:r w:rsidRPr="00AB6F2A">
        <w:rPr>
          <w:rFonts w:ascii="Cambria" w:hAnsi="Cambria"/>
          <w:sz w:val="20"/>
        </w:rPr>
        <w:t xml:space="preserve"> </w:t>
      </w:r>
      <w:r w:rsidRPr="00AB6F2A">
        <w:rPr>
          <w:rFonts w:ascii="Cambria" w:hAnsi="Cambria" w:cs="Arial"/>
          <w:noProof/>
          <w:spacing w:val="-2"/>
          <w:sz w:val="20"/>
        </w:rPr>
        <w:t xml:space="preserve">José de Jesús Orozco Henríquez, Paulo Vannuchi, </w:t>
      </w:r>
      <w:r>
        <w:rPr>
          <w:rFonts w:ascii="Cambria" w:hAnsi="Cambria" w:cs="Arial"/>
          <w:noProof/>
          <w:spacing w:val="-2"/>
          <w:sz w:val="20"/>
        </w:rPr>
        <w:t>and James L. Cavallaro</w:t>
      </w:r>
      <w:r w:rsidRPr="00AB6F2A">
        <w:rPr>
          <w:rFonts w:ascii="Cambria" w:hAnsi="Cambria" w:cs="Arial"/>
          <w:noProof/>
          <w:spacing w:val="-2"/>
          <w:sz w:val="20"/>
        </w:rPr>
        <w:t xml:space="preserve">, </w:t>
      </w:r>
      <w:r w:rsidRPr="00AB6F2A">
        <w:rPr>
          <w:rFonts w:ascii="Cambria" w:hAnsi="Cambria"/>
          <w:spacing w:val="-2"/>
          <w:sz w:val="20"/>
        </w:rPr>
        <w:t>Commissioners.</w:t>
      </w:r>
    </w:p>
    <w:p w14:paraId="4A72EC77" w14:textId="77777777" w:rsidR="00AB6F2A" w:rsidRPr="00AB6F2A" w:rsidRDefault="00AB6F2A" w:rsidP="00AB6F2A">
      <w:p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n-GB"/>
        </w:rPr>
      </w:pPr>
    </w:p>
    <w:sectPr w:rsidR="00AB6F2A" w:rsidRPr="00AB6F2A" w:rsidSect="006311DA">
      <w:footerReference w:type="first" r:id="rId18"/>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EB6DA" w14:textId="77777777" w:rsidR="005078D4" w:rsidRDefault="005078D4"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CADB1E9" w14:textId="77777777" w:rsidR="005078D4" w:rsidRDefault="005078D4"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8CBB9" w14:textId="77777777" w:rsidR="00677440" w:rsidRDefault="0067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F1A7D" w14:textId="77777777" w:rsidR="00C978D7" w:rsidRPr="006311DA" w:rsidRDefault="00C978D7">
    <w:pPr>
      <w:pStyle w:val="Footer"/>
      <w:pBdr>
        <w:top w:val="none" w:sz="0" w:space="0" w:color="auto"/>
        <w:left w:val="none" w:sz="0" w:space="0" w:color="auto"/>
        <w:bottom w:val="none" w:sz="0" w:space="0" w:color="auto"/>
        <w:right w:val="none" w:sz="0" w:space="0" w:color="auto"/>
        <w:bar w:val="none" w:sz="0" w:color="auto"/>
      </w:pBd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77440">
      <w:rPr>
        <w:noProof/>
        <w:sz w:val="16"/>
      </w:rPr>
      <w:t>5</w:t>
    </w:r>
    <w:r w:rsidRPr="006311DA">
      <w:rPr>
        <w:sz w:val="16"/>
      </w:rPr>
      <w:fldChar w:fldCharType="end"/>
    </w:r>
  </w:p>
  <w:p w14:paraId="11282693" w14:textId="77777777" w:rsidR="00C978D7" w:rsidRDefault="00C978D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444B" w14:textId="77777777" w:rsidR="00C978D7" w:rsidRDefault="00C978D7">
    <w:pPr>
      <w:pStyle w:val="Footer"/>
      <w:pBdr>
        <w:top w:val="none" w:sz="0" w:space="0" w:color="auto"/>
        <w:left w:val="none" w:sz="0" w:space="0" w:color="auto"/>
        <w:bottom w:val="none" w:sz="0" w:space="0" w:color="auto"/>
        <w:right w:val="none" w:sz="0" w:space="0" w:color="auto"/>
        <w:bar w:val="none" w:sz="0" w:color="auto"/>
      </w:pBdr>
      <w:jc w:val="center"/>
    </w:pPr>
  </w:p>
  <w:p w14:paraId="3C40BE7F" w14:textId="77777777" w:rsidR="00C978D7" w:rsidRDefault="00C978D7">
    <w:pPr>
      <w:pStyle w:val="Footer"/>
      <w:pBdr>
        <w:top w:val="none" w:sz="0" w:space="0" w:color="auto"/>
        <w:left w:val="none" w:sz="0" w:space="0" w:color="auto"/>
        <w:bottom w:val="none" w:sz="0" w:space="0" w:color="auto"/>
        <w:right w:val="none" w:sz="0" w:space="0" w:color="auto"/>
        <w:bar w:val="none" w:sz="0" w:color="auto"/>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C185" w14:textId="77777777" w:rsidR="00C978D7" w:rsidRDefault="00C978D7">
    <w:pPr>
      <w:pStyle w:val="Footer"/>
      <w:pBdr>
        <w:top w:val="none" w:sz="0" w:space="0" w:color="auto"/>
        <w:left w:val="none" w:sz="0" w:space="0" w:color="auto"/>
        <w:bottom w:val="none" w:sz="0" w:space="0" w:color="auto"/>
        <w:right w:val="none" w:sz="0" w:space="0" w:color="auto"/>
        <w:bar w:val="none" w:sz="0" w:color="auto"/>
      </w:pBdr>
      <w:jc w:val="center"/>
    </w:pPr>
    <w:r>
      <w:fldChar w:fldCharType="begin"/>
    </w:r>
    <w:r>
      <w:instrText xml:space="preserve"> PAGE   \* MERGEFORMAT </w:instrText>
    </w:r>
    <w:r>
      <w:fldChar w:fldCharType="separate"/>
    </w:r>
    <w:r>
      <w:rPr>
        <w:noProof/>
      </w:rPr>
      <w:t>1</w:t>
    </w:r>
    <w:r>
      <w:rPr>
        <w:noProof/>
      </w:rPr>
      <w:fldChar w:fldCharType="end"/>
    </w:r>
  </w:p>
  <w:p w14:paraId="6327C0F7" w14:textId="77777777" w:rsidR="00C978D7" w:rsidRDefault="00C978D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ACD2B" w14:textId="77777777" w:rsidR="005078D4" w:rsidRPr="00036A8A" w:rsidRDefault="005078D4"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14:paraId="6F149DA9" w14:textId="77777777" w:rsidR="005078D4" w:rsidRPr="00036A8A" w:rsidRDefault="005078D4"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14:paraId="04F1624C" w14:textId="77777777" w:rsidR="005078D4" w:rsidRPr="00036A8A" w:rsidRDefault="005078D4"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r>
        <w:rPr>
          <w:sz w:val="16"/>
          <w:szCs w:val="16"/>
        </w:rPr>
        <w:t>c</w:t>
      </w:r>
      <w:r w:rsidRPr="00036A8A">
        <w:rPr>
          <w:sz w:val="16"/>
          <w:szCs w:val="16"/>
        </w:rPr>
        <w:t>ontinuation</w:t>
      </w:r>
      <w:r>
        <w:rPr>
          <w:sz w:val="16"/>
          <w:szCs w:val="16"/>
        </w:rPr>
        <w:t>]</w:t>
      </w:r>
    </w:p>
  </w:footnote>
  <w:footnote w:type="continuationNotice" w:id="1">
    <w:p w14:paraId="38C48591" w14:textId="77777777" w:rsidR="005078D4" w:rsidRPr="0093441A" w:rsidRDefault="005078D4"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r w:rsidRPr="0093441A">
        <w:rPr>
          <w:rFonts w:ascii="Cambria" w:hAnsi="Cambria"/>
          <w:sz w:val="16"/>
          <w:szCs w:val="16"/>
        </w:rPr>
        <w:t>contin</w:t>
      </w:r>
      <w:r>
        <w:rPr>
          <w:rFonts w:ascii="Cambria" w:hAnsi="Cambria"/>
          <w:sz w:val="16"/>
          <w:szCs w:val="16"/>
        </w:rPr>
        <w:t xml:space="preserve">ues </w:t>
      </w:r>
      <w:r w:rsidRPr="0093441A">
        <w:rPr>
          <w:rFonts w:ascii="Cambria" w:hAnsi="Cambria"/>
          <w:sz w:val="16"/>
          <w:szCs w:val="16"/>
        </w:rPr>
        <w:t>…</w:t>
      </w:r>
      <w:r>
        <w:rPr>
          <w:rFonts w:ascii="Cambria" w:hAnsi="Cambria"/>
          <w:sz w:val="16"/>
          <w:szCs w:val="16"/>
        </w:rPr>
        <w:t>]</w:t>
      </w:r>
    </w:p>
  </w:footnote>
  <w:footnote w:id="2">
    <w:p w14:paraId="7A8A5E8C" w14:textId="77777777" w:rsidR="00C978D7" w:rsidRDefault="00C978D7">
      <w:pPr>
        <w:pStyle w:val="FootnoteText"/>
        <w:pBdr>
          <w:top w:val="none" w:sz="0" w:space="0" w:color="auto"/>
          <w:left w:val="none" w:sz="0" w:space="0" w:color="auto"/>
          <w:bottom w:val="none" w:sz="0" w:space="0" w:color="auto"/>
          <w:right w:val="none" w:sz="0" w:space="0" w:color="auto"/>
          <w:bar w:val="none" w:sz="0" w:color="auto"/>
        </w:pBdr>
      </w:pPr>
    </w:p>
  </w:footnote>
  <w:footnote w:id="3">
    <w:p w14:paraId="295A0FD4" w14:textId="77777777" w:rsidR="00C978D7" w:rsidRPr="00084552" w:rsidRDefault="00C978D7" w:rsidP="00947850">
      <w:pPr>
        <w:pStyle w:val="FootnoteText"/>
        <w:pBdr>
          <w:top w:val="none" w:sz="0" w:space="0" w:color="auto"/>
          <w:left w:val="none" w:sz="0" w:space="0" w:color="auto"/>
          <w:bottom w:val="none" w:sz="0" w:space="0" w:color="auto"/>
          <w:right w:val="none" w:sz="0" w:space="0" w:color="auto"/>
          <w:bar w:val="none" w:sz="0" w:color="auto"/>
        </w:pBdr>
        <w:spacing w:before="120"/>
        <w:ind w:left="720"/>
        <w:rPr>
          <w:rFonts w:ascii="Cambria" w:hAnsi="Cambria"/>
          <w:sz w:val="16"/>
          <w:szCs w:val="16"/>
        </w:rPr>
      </w:pPr>
      <w:r w:rsidRPr="00084552">
        <w:rPr>
          <w:rStyle w:val="FootnoteReference"/>
          <w:rFonts w:ascii="Cambria" w:hAnsi="Cambria"/>
          <w:sz w:val="16"/>
          <w:szCs w:val="16"/>
        </w:rPr>
        <w:t>1</w:t>
      </w:r>
      <w:r w:rsidRPr="00084552">
        <w:rPr>
          <w:rFonts w:ascii="Cambria" w:hAnsi="Cambria"/>
          <w:sz w:val="16"/>
          <w:szCs w:val="16"/>
        </w:rPr>
        <w:t xml:space="preserve"> Commissioner Luis Ernesto Vargas Silva, of Colombian nationality, did not participate in the discussion and decision of the present case, in accordance with article 17.2.a) of IACHR Regulations.</w:t>
      </w:r>
    </w:p>
    <w:p w14:paraId="7F1E124D" w14:textId="77777777" w:rsidR="00C978D7" w:rsidRDefault="00C978D7" w:rsidP="00D74B73">
      <w:pPr>
        <w:pStyle w:val="FootnoteText"/>
        <w:pBdr>
          <w:top w:val="none" w:sz="0" w:space="0" w:color="auto"/>
          <w:left w:val="none" w:sz="0" w:space="0" w:color="auto"/>
          <w:bottom w:val="none" w:sz="0" w:space="0" w:color="auto"/>
          <w:right w:val="none" w:sz="0" w:space="0" w:color="auto"/>
          <w:bar w:val="none" w:sz="0" w:color="auto"/>
        </w:pBdr>
        <w:spacing w:before="120"/>
        <w:ind w:firstLine="720"/>
      </w:pPr>
      <w:r w:rsidRPr="00084552">
        <w:rPr>
          <w:rStyle w:val="FootnoteReference"/>
          <w:rFonts w:ascii="Cambria" w:hAnsi="Cambria"/>
          <w:sz w:val="16"/>
          <w:szCs w:val="16"/>
        </w:rPr>
        <w:footnoteRef/>
      </w:r>
      <w:r w:rsidRPr="00084552">
        <w:rPr>
          <w:rFonts w:ascii="Cambria" w:hAnsi="Cambria"/>
          <w:sz w:val="16"/>
          <w:szCs w:val="16"/>
        </w:rPr>
        <w:t xml:space="preserve"> </w:t>
      </w:r>
      <w:r w:rsidRPr="00084552">
        <w:rPr>
          <w:rFonts w:ascii="Cambria" w:hAnsi="Cambria"/>
          <w:sz w:val="16"/>
          <w:szCs w:val="16"/>
          <w:lang w:val="en-GB"/>
        </w:rPr>
        <w:t>Hereinafter</w:t>
      </w:r>
      <w:r w:rsidRPr="00947850">
        <w:rPr>
          <w:rFonts w:ascii="Cambria" w:hAnsi="Cambria"/>
          <w:sz w:val="16"/>
          <w:szCs w:val="16"/>
          <w:lang w:val="en-GB"/>
        </w:rPr>
        <w:t xml:space="preserve"> “the Convention” or “the American Convention”.</w:t>
      </w:r>
    </w:p>
  </w:footnote>
  <w:footnote w:id="4">
    <w:p w14:paraId="3FB10F74" w14:textId="77777777" w:rsidR="00C978D7" w:rsidRPr="00084552" w:rsidRDefault="00C978D7" w:rsidP="00D74B73">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rPr>
          <w:lang w:val="en-GB"/>
        </w:rPr>
      </w:pPr>
      <w:r w:rsidRPr="00947850">
        <w:rPr>
          <w:rStyle w:val="FootnoteReference"/>
          <w:rFonts w:ascii="Cambria" w:hAnsi="Cambria"/>
          <w:sz w:val="16"/>
          <w:szCs w:val="16"/>
        </w:rPr>
        <w:footnoteRef/>
      </w:r>
      <w:r w:rsidRPr="00084552">
        <w:rPr>
          <w:rFonts w:ascii="Cambria" w:hAnsi="Cambria"/>
          <w:sz w:val="16"/>
          <w:szCs w:val="16"/>
          <w:lang w:val="en-GB"/>
        </w:rPr>
        <w:t xml:space="preserve"> The observations of each party were duly transmitted to the opposing party.</w:t>
      </w:r>
    </w:p>
  </w:footnote>
  <w:footnote w:id="5">
    <w:p w14:paraId="06AABC2C" w14:textId="77777777" w:rsidR="00C978D7" w:rsidRDefault="00C978D7" w:rsidP="00D74B73">
      <w:pPr>
        <w:pStyle w:val="FootnoteText"/>
        <w:pBdr>
          <w:top w:val="none" w:sz="0" w:space="0" w:color="auto"/>
          <w:left w:val="none" w:sz="0" w:space="0" w:color="auto"/>
          <w:bottom w:val="none" w:sz="0" w:space="0" w:color="auto"/>
          <w:right w:val="none" w:sz="0" w:space="0" w:color="auto"/>
          <w:bar w:val="none" w:sz="0" w:color="auto"/>
        </w:pBdr>
        <w:spacing w:before="120"/>
        <w:ind w:firstLine="720"/>
        <w:jc w:val="both"/>
      </w:pPr>
      <w:r w:rsidRPr="00FC1D96">
        <w:rPr>
          <w:rStyle w:val="FootnoteReference"/>
          <w:rFonts w:ascii="Cambria" w:hAnsi="Cambria"/>
          <w:sz w:val="16"/>
          <w:szCs w:val="16"/>
        </w:rPr>
        <w:footnoteRef/>
      </w:r>
      <w:r w:rsidRPr="006C44EA">
        <w:rPr>
          <w:rFonts w:ascii="Cambria" w:hAnsi="Cambria"/>
          <w:sz w:val="16"/>
          <w:szCs w:val="16"/>
          <w:lang w:val="en-GB"/>
        </w:rPr>
        <w:t xml:space="preserve"> In previous cases, the Inter-American Commission has established the admissibility of petitions that alleged a lack of instance of appeal for </w:t>
      </w:r>
      <w:r>
        <w:rPr>
          <w:rFonts w:ascii="Cambria" w:hAnsi="Cambria"/>
          <w:sz w:val="16"/>
          <w:szCs w:val="16"/>
          <w:lang w:val="en-GB"/>
        </w:rPr>
        <w:t xml:space="preserve">administrative proceedings in </w:t>
      </w:r>
      <w:r w:rsidRPr="006C44EA">
        <w:rPr>
          <w:rFonts w:ascii="Cambria" w:hAnsi="Cambria"/>
          <w:sz w:val="16"/>
          <w:szCs w:val="16"/>
          <w:lang w:val="en-GB"/>
        </w:rPr>
        <w:t>Colombia. In this respect, see for example: IACHR, Report No. 71/09, Petition 858-06, Belén Massacre – Altavista, Colombia, Aug</w:t>
      </w:r>
      <w:r>
        <w:rPr>
          <w:rFonts w:ascii="Cambria" w:hAnsi="Cambria"/>
          <w:sz w:val="16"/>
          <w:szCs w:val="16"/>
          <w:lang w:val="en-GB"/>
        </w:rPr>
        <w:t>ust 5</w:t>
      </w:r>
      <w:r w:rsidRPr="006C44EA">
        <w:rPr>
          <w:rFonts w:ascii="Cambria" w:hAnsi="Cambria"/>
          <w:sz w:val="16"/>
          <w:szCs w:val="16"/>
          <w:vertAlign w:val="superscript"/>
          <w:lang w:val="en-GB"/>
        </w:rPr>
        <w:t>th</w:t>
      </w:r>
      <w:r>
        <w:rPr>
          <w:rFonts w:ascii="Cambria" w:hAnsi="Cambria"/>
          <w:sz w:val="16"/>
          <w:szCs w:val="16"/>
          <w:lang w:val="en-GB"/>
        </w:rPr>
        <w:t xml:space="preserve"> 2009, pa</w:t>
      </w:r>
      <w:r w:rsidRPr="006C44EA">
        <w:rPr>
          <w:rFonts w:ascii="Cambria" w:hAnsi="Cambria"/>
          <w:sz w:val="16"/>
          <w:szCs w:val="16"/>
          <w:lang w:val="en-GB"/>
        </w:rPr>
        <w:t>r. 44; and IACHR, Report No. 69/09, Petition 1385-06, Rubén Darío Arroyave Gallego, Augu</w:t>
      </w:r>
      <w:r>
        <w:rPr>
          <w:rFonts w:ascii="Cambria" w:hAnsi="Cambria"/>
          <w:sz w:val="16"/>
          <w:szCs w:val="16"/>
          <w:lang w:val="en-GB"/>
        </w:rPr>
        <w:t>st 5</w:t>
      </w:r>
      <w:r w:rsidRPr="006C44EA">
        <w:rPr>
          <w:rFonts w:ascii="Cambria" w:hAnsi="Cambria"/>
          <w:sz w:val="16"/>
          <w:szCs w:val="16"/>
          <w:vertAlign w:val="superscript"/>
          <w:lang w:val="en-GB"/>
        </w:rPr>
        <w:t>th</w:t>
      </w:r>
      <w:r>
        <w:rPr>
          <w:rFonts w:ascii="Cambria" w:hAnsi="Cambria"/>
          <w:sz w:val="16"/>
          <w:szCs w:val="16"/>
          <w:lang w:val="en-GB"/>
        </w:rPr>
        <w:t xml:space="preserve"> 2009, pa</w:t>
      </w:r>
      <w:r w:rsidRPr="006C44EA">
        <w:rPr>
          <w:rFonts w:ascii="Cambria" w:hAnsi="Cambria"/>
          <w:sz w:val="16"/>
          <w:szCs w:val="16"/>
          <w:lang w:val="en-GB"/>
        </w:rPr>
        <w:t xml:space="preserve">r. 36.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8CE55" w14:textId="77777777" w:rsidR="00C978D7" w:rsidRDefault="00C978D7" w:rsidP="00505D95">
    <w:pPr>
      <w:pStyle w:val="Header"/>
      <w:framePr w:wrap="around" w:vAnchor="text" w:hAnchor="margin" w:xAlign="center" w:y="1"/>
      <w:rPr>
        <w:rStyle w:val="PageNumber"/>
        <w:rFonts w:eastAsia="Times New Roman" w:cs="Univers"/>
      </w:rPr>
    </w:pPr>
    <w:r>
      <w:rPr>
        <w:rStyle w:val="PageNumber"/>
        <w:rFonts w:eastAsia="Times New Roman" w:cs="Univers"/>
      </w:rPr>
      <w:fldChar w:fldCharType="begin"/>
    </w:r>
    <w:r>
      <w:rPr>
        <w:rStyle w:val="PageNumber"/>
        <w:rFonts w:eastAsia="Times New Roman" w:cs="Univers"/>
      </w:rPr>
      <w:instrText xml:space="preserve">PAGE  </w:instrText>
    </w:r>
    <w:r>
      <w:rPr>
        <w:rStyle w:val="PageNumber"/>
        <w:rFonts w:eastAsia="Times New Roman" w:cs="Univers"/>
      </w:rPr>
      <w:fldChar w:fldCharType="end"/>
    </w:r>
  </w:p>
  <w:p w14:paraId="7650618D" w14:textId="77777777" w:rsidR="00C978D7" w:rsidRDefault="00C978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1FB6" w14:textId="77777777" w:rsidR="00C978D7" w:rsidRDefault="00C978D7" w:rsidP="002C1641">
    <w:pPr>
      <w:pStyle w:val="Header"/>
      <w:tabs>
        <w:tab w:val="clear" w:pos="4320"/>
        <w:tab w:val="clear" w:pos="8640"/>
      </w:tabs>
      <w:jc w:val="center"/>
      <w:rPr>
        <w:sz w:val="22"/>
        <w:szCs w:val="22"/>
      </w:rPr>
    </w:pPr>
    <w:r>
      <w:rPr>
        <w:noProof/>
        <w:sz w:val="22"/>
        <w:szCs w:val="22"/>
      </w:rPr>
      <w:drawing>
        <wp:inline distT="0" distB="0" distL="0" distR="0" wp14:anchorId="77F8A371" wp14:editId="18A32522">
          <wp:extent cx="2133600" cy="11430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14300"/>
                  </a:xfrm>
                  <a:prstGeom prst="rect">
                    <a:avLst/>
                  </a:prstGeom>
                  <a:noFill/>
                  <a:ln>
                    <a:noFill/>
                  </a:ln>
                </pic:spPr>
              </pic:pic>
            </a:graphicData>
          </a:graphic>
        </wp:inline>
      </w:drawing>
    </w:r>
  </w:p>
  <w:p w14:paraId="4AEF4CDA" w14:textId="77777777" w:rsidR="00C978D7" w:rsidRPr="00EC7D62" w:rsidRDefault="005078D4" w:rsidP="002C1641">
    <w:pPr>
      <w:pStyle w:val="Header"/>
      <w:tabs>
        <w:tab w:val="clear" w:pos="4320"/>
        <w:tab w:val="clear" w:pos="8640"/>
      </w:tabs>
      <w:jc w:val="center"/>
      <w:rPr>
        <w:sz w:val="22"/>
        <w:szCs w:val="22"/>
      </w:rPr>
    </w:pPr>
    <w:r>
      <w:rPr>
        <w:sz w:val="22"/>
        <w:szCs w:val="22"/>
      </w:rPr>
      <w:pict w14:anchorId="45D43F3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7AD3" w14:textId="77777777" w:rsidR="00677440" w:rsidRDefault="00677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40"/>
    <w:multiLevelType w:val="hybridMultilevel"/>
    <w:tmpl w:val="1780FA48"/>
    <w:lvl w:ilvl="0" w:tplc="2E4A334A">
      <w:start w:val="3"/>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A5E79E3"/>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nsid w:val="0E1D2261"/>
    <w:multiLevelType w:val="hybridMultilevel"/>
    <w:tmpl w:val="65E22192"/>
    <w:lvl w:ilvl="0" w:tplc="382C605A">
      <w:start w:val="4"/>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nsid w:val="178F7C32"/>
    <w:multiLevelType w:val="hybridMultilevel"/>
    <w:tmpl w:val="97ECB2F8"/>
    <w:lvl w:ilvl="0" w:tplc="43129A06">
      <w:start w:val="4"/>
      <w:numFmt w:val="decimal"/>
      <w:lvlText w:val="%1."/>
      <w:lvlJc w:val="left"/>
      <w:pPr>
        <w:tabs>
          <w:tab w:val="num" w:pos="720"/>
        </w:tabs>
        <w:ind w:firstLine="720"/>
      </w:pPr>
      <w:rPr>
        <w:rFonts w:ascii="Times New Roman" w:eastAsia="Times New Roman" w:hAnsi="Times New Roman" w:cs="Times New Roman"/>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5814399"/>
    <w:multiLevelType w:val="hybridMultilevel"/>
    <w:tmpl w:val="AE7A24C4"/>
    <w:lvl w:ilvl="0" w:tplc="0C0A000F">
      <w:start w:val="3"/>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Times New Roman" w:cs="Calibri"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nsid w:val="4A084FEE"/>
    <w:multiLevelType w:val="hybridMultilevel"/>
    <w:tmpl w:val="3FECC820"/>
    <w:lvl w:ilvl="0" w:tplc="382C605A">
      <w:start w:val="4"/>
      <w:numFmt w:val="decimal"/>
      <w:lvlText w:val="%1."/>
      <w:lvlJc w:val="left"/>
      <w:pPr>
        <w:tabs>
          <w:tab w:val="num" w:pos="720"/>
        </w:tabs>
        <w:ind w:firstLine="720"/>
      </w:pPr>
      <w:rPr>
        <w:rFonts w:cs="Times New Roman"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Calibri" w:eastAsia="Times New Roman" w:hAnsi="Calibri" w:cs="Trebuchet MS" w:hint="default"/>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5">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nsid w:val="560E281B"/>
    <w:multiLevelType w:val="hybridMultilevel"/>
    <w:tmpl w:val="5C602C66"/>
    <w:lvl w:ilvl="0" w:tplc="A0DCA5A6">
      <w:start w:val="1"/>
      <w:numFmt w:val="decimal"/>
      <w:lvlText w:val="%1."/>
      <w:lvlJc w:val="left"/>
      <w:pPr>
        <w:tabs>
          <w:tab w:val="num" w:pos="720"/>
        </w:tabs>
        <w:ind w:firstLine="720"/>
      </w:pPr>
      <w:rPr>
        <w:rFonts w:cs="Times New Roman" w:hint="default"/>
        <w:i w:val="0"/>
        <w:color w:val="auto"/>
        <w:lang w:val="en-G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9">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4">
    <w:nsid w:val="6A772C1F"/>
    <w:multiLevelType w:val="multilevel"/>
    <w:tmpl w:val="CB540D3E"/>
    <w:lvl w:ilvl="0">
      <w:start w:val="1"/>
      <w:numFmt w:val="decimal"/>
      <w:lvlText w:val="%1"/>
      <w:lvlJc w:val="left"/>
      <w:pPr>
        <w:ind w:left="360" w:hanging="360"/>
      </w:pPr>
      <w:rPr>
        <w:rFonts w:eastAsia="Times New Roman" w:cs="Calibri" w:hint="default"/>
      </w:rPr>
    </w:lvl>
    <w:lvl w:ilvl="1">
      <w:start w:val="2"/>
      <w:numFmt w:val="decimal"/>
      <w:lvlText w:val="%1.%2"/>
      <w:lvlJc w:val="left"/>
      <w:pPr>
        <w:ind w:left="1068" w:hanging="360"/>
      </w:pPr>
      <w:rPr>
        <w:rFonts w:eastAsia="Times New Roman" w:cs="Calibri" w:hint="default"/>
      </w:rPr>
    </w:lvl>
    <w:lvl w:ilvl="2">
      <w:start w:val="1"/>
      <w:numFmt w:val="decimal"/>
      <w:lvlText w:val="%1.%2.%3"/>
      <w:lvlJc w:val="left"/>
      <w:pPr>
        <w:ind w:left="2136" w:hanging="720"/>
      </w:pPr>
      <w:rPr>
        <w:rFonts w:eastAsia="Times New Roman" w:cs="Calibri" w:hint="default"/>
      </w:rPr>
    </w:lvl>
    <w:lvl w:ilvl="3">
      <w:start w:val="1"/>
      <w:numFmt w:val="decimal"/>
      <w:lvlText w:val="%1.%2.%3.%4"/>
      <w:lvlJc w:val="left"/>
      <w:pPr>
        <w:ind w:left="2844" w:hanging="720"/>
      </w:pPr>
      <w:rPr>
        <w:rFonts w:eastAsia="Times New Roman" w:cs="Calibri" w:hint="default"/>
      </w:rPr>
    </w:lvl>
    <w:lvl w:ilvl="4">
      <w:start w:val="1"/>
      <w:numFmt w:val="decimal"/>
      <w:lvlText w:val="%1.%2.%3.%4.%5"/>
      <w:lvlJc w:val="left"/>
      <w:pPr>
        <w:ind w:left="3912" w:hanging="1080"/>
      </w:pPr>
      <w:rPr>
        <w:rFonts w:eastAsia="Times New Roman" w:cs="Calibri" w:hint="default"/>
      </w:rPr>
    </w:lvl>
    <w:lvl w:ilvl="5">
      <w:start w:val="1"/>
      <w:numFmt w:val="decimal"/>
      <w:lvlText w:val="%1.%2.%3.%4.%5.%6"/>
      <w:lvlJc w:val="left"/>
      <w:pPr>
        <w:ind w:left="4620" w:hanging="1080"/>
      </w:pPr>
      <w:rPr>
        <w:rFonts w:eastAsia="Times New Roman" w:cs="Calibri" w:hint="default"/>
      </w:rPr>
    </w:lvl>
    <w:lvl w:ilvl="6">
      <w:start w:val="1"/>
      <w:numFmt w:val="decimal"/>
      <w:lvlText w:val="%1.%2.%3.%4.%5.%6.%7"/>
      <w:lvlJc w:val="left"/>
      <w:pPr>
        <w:ind w:left="5688" w:hanging="1440"/>
      </w:pPr>
      <w:rPr>
        <w:rFonts w:eastAsia="Times New Roman" w:cs="Calibri" w:hint="default"/>
      </w:rPr>
    </w:lvl>
    <w:lvl w:ilvl="7">
      <w:start w:val="1"/>
      <w:numFmt w:val="decimal"/>
      <w:lvlText w:val="%1.%2.%3.%4.%5.%6.%7.%8"/>
      <w:lvlJc w:val="left"/>
      <w:pPr>
        <w:ind w:left="6396" w:hanging="1440"/>
      </w:pPr>
      <w:rPr>
        <w:rFonts w:eastAsia="Times New Roman" w:cs="Calibri" w:hint="default"/>
      </w:rPr>
    </w:lvl>
    <w:lvl w:ilvl="8">
      <w:start w:val="1"/>
      <w:numFmt w:val="decimal"/>
      <w:lvlText w:val="%1.%2.%3.%4.%5.%6.%7.%8.%9"/>
      <w:lvlJc w:val="left"/>
      <w:pPr>
        <w:ind w:left="7464" w:hanging="1800"/>
      </w:pPr>
      <w:rPr>
        <w:rFonts w:eastAsia="Times New Roman"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Calibri" w:eastAsia="Times New Roman" w:hAnsi="Calibri" w:cs="Calibri" w:hint="default"/>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1"/>
    <w:lvlOverride w:ilvl="0">
      <w:lvl w:ilvl="0">
        <w:start w:val="1"/>
        <w:numFmt w:val="upperRoman"/>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4">
    <w:abstractNumId w:val="22"/>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Calibri" w:eastAsia="Times New Roman" w:hAnsi="Calibri" w:cs="Trebuchet MS" w:hint="default"/>
          <w:b/>
          <w:bCs/>
          <w:i w:val="0"/>
          <w:color w:val="000000"/>
          <w:position w:val="0"/>
          <w:sz w:val="22"/>
          <w:szCs w:val="22"/>
          <w:u w:color="000000"/>
        </w:rPr>
      </w:lvl>
    </w:lvlOverride>
  </w:num>
  <w:num w:numId="7">
    <w:abstractNumId w:val="60"/>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Calibri" w:eastAsia="Times New Roman" w:hAnsi="Calibri" w:cs="Calibri" w:hint="default"/>
          <w:b/>
          <w:bCs/>
          <w:color w:val="000000"/>
          <w:position w:val="0"/>
          <w:sz w:val="22"/>
          <w:szCs w:val="22"/>
          <w:u w:color="000000"/>
        </w:rPr>
      </w:lvl>
    </w:lvlOverride>
  </w:num>
  <w:num w:numId="11">
    <w:abstractNumId w:val="30"/>
  </w:num>
  <w:num w:numId="12">
    <w:abstractNumId w:val="58"/>
  </w:num>
  <w:num w:numId="13">
    <w:abstractNumId w:val="36"/>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4">
    <w:abstractNumId w:val="1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5">
    <w:abstractNumId w:val="10"/>
    <w:lvlOverride w:ilvl="0">
      <w:lvl w:ilvl="0">
        <w:start w:val="2"/>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num>
  <w:num w:numId="16">
    <w:abstractNumId w:val="2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7">
    <w:abstractNumId w:val="2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18">
    <w:abstractNumId w:val="13"/>
    <w:lvlOverride w:ilvl="0">
      <w:lvl w:ilvl="0">
        <w:start w:val="2"/>
        <w:numFmt w:val="upperLetter"/>
        <w:lvlText w:val="%1."/>
        <w:lvlJc w:val="left"/>
        <w:pPr>
          <w:tabs>
            <w:tab w:val="num" w:pos="720"/>
          </w:tabs>
          <w:ind w:left="720" w:hanging="360"/>
        </w:pPr>
        <w:rPr>
          <w:rFonts w:ascii="Calibri" w:eastAsia="Times New Roman" w:hAnsi="Calibri" w:cs="Calibri" w:hint="default"/>
          <w:b/>
          <w:bCs/>
          <w:color w:val="000000"/>
          <w:position w:val="0"/>
          <w:sz w:val="22"/>
          <w:szCs w:val="22"/>
          <w:u w:color="000000"/>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2850"/>
          </w:tabs>
          <w:ind w:left="2850" w:hanging="330"/>
        </w:pPr>
        <w:rPr>
          <w:rFonts w:ascii="Calibri" w:eastAsia="Times New Roman" w:hAnsi="Calibri" w:cs="Calibri"/>
          <w:b w:val="0"/>
          <w:bCs/>
          <w:color w:val="000000"/>
          <w:position w:val="0"/>
          <w:sz w:val="22"/>
          <w:szCs w:val="22"/>
          <w:u w:color="000000"/>
        </w:rPr>
      </w:lvl>
    </w:lvlOverride>
  </w:num>
  <w:num w:numId="19">
    <w:abstractNumId w:val="55"/>
    <w:lvlOverride w:ilvl="0">
      <w:lvl w:ilvl="0">
        <w:start w:val="2"/>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0">
    <w:abstractNumId w:val="9"/>
  </w:num>
  <w:num w:numId="21">
    <w:abstractNumId w:val="38"/>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22">
    <w:abstractNumId w:val="25"/>
    <w:lvlOverride w:ilvl="0">
      <w:lvl w:ilvl="0">
        <w:start w:val="1"/>
        <w:numFmt w:val="decimal"/>
        <w:lvlText w:val="%1."/>
        <w:lvlJc w:val="left"/>
        <w:pPr>
          <w:ind w:left="1440" w:hanging="360"/>
        </w:pPr>
        <w:rPr>
          <w:rFonts w:cs="Times New Roman" w:hint="default"/>
          <w:color w:val="auto"/>
        </w:rPr>
      </w:lvl>
    </w:lvlOverride>
    <w:lvlOverride w:ilvl="1">
      <w:lvl w:ilvl="1">
        <w:start w:val="1"/>
        <w:numFmt w:val="lowerLetter"/>
        <w:lvlText w:val="%2."/>
        <w:lvlJc w:val="left"/>
        <w:pPr>
          <w:ind w:left="2160" w:hanging="360"/>
        </w:pPr>
        <w:rPr>
          <w:rFonts w:cs="Times New Roman"/>
        </w:rPr>
      </w:lvl>
    </w:lvlOverride>
    <w:lvlOverride w:ilvl="2">
      <w:lvl w:ilvl="2" w:tentative="1">
        <w:start w:val="1"/>
        <w:numFmt w:val="lowerRoman"/>
        <w:lvlText w:val="%3."/>
        <w:lvlJc w:val="right"/>
        <w:pPr>
          <w:ind w:left="2880" w:hanging="180"/>
        </w:pPr>
        <w:rPr>
          <w:rFonts w:cs="Times New Roman"/>
        </w:rPr>
      </w:lvl>
    </w:lvlOverride>
    <w:lvlOverride w:ilvl="3">
      <w:lvl w:ilvl="3" w:tentative="1">
        <w:start w:val="1"/>
        <w:numFmt w:val="decimal"/>
        <w:lvlText w:val="%4."/>
        <w:lvlJc w:val="left"/>
        <w:pPr>
          <w:ind w:left="3600" w:hanging="360"/>
        </w:pPr>
        <w:rPr>
          <w:rFonts w:cs="Times New Roman"/>
        </w:rPr>
      </w:lvl>
    </w:lvlOverride>
    <w:lvlOverride w:ilvl="4">
      <w:lvl w:ilvl="4" w:tentative="1">
        <w:start w:val="1"/>
        <w:numFmt w:val="lowerLetter"/>
        <w:lvlText w:val="%5."/>
        <w:lvlJc w:val="left"/>
        <w:pPr>
          <w:ind w:left="4320" w:hanging="360"/>
        </w:pPr>
        <w:rPr>
          <w:rFonts w:cs="Times New Roman"/>
        </w:rPr>
      </w:lvl>
    </w:lvlOverride>
    <w:lvlOverride w:ilvl="5">
      <w:lvl w:ilvl="5" w:tentative="1">
        <w:start w:val="1"/>
        <w:numFmt w:val="lowerRoman"/>
        <w:lvlText w:val="%6."/>
        <w:lvlJc w:val="right"/>
        <w:pPr>
          <w:ind w:left="5040" w:hanging="180"/>
        </w:pPr>
        <w:rPr>
          <w:rFonts w:cs="Times New Roman"/>
        </w:rPr>
      </w:lvl>
    </w:lvlOverride>
    <w:lvlOverride w:ilvl="6">
      <w:lvl w:ilvl="6" w:tentative="1">
        <w:start w:val="1"/>
        <w:numFmt w:val="decimal"/>
        <w:lvlText w:val="%7."/>
        <w:lvlJc w:val="left"/>
        <w:pPr>
          <w:ind w:left="5760" w:hanging="360"/>
        </w:pPr>
        <w:rPr>
          <w:rFonts w:cs="Times New Roman"/>
        </w:rPr>
      </w:lvl>
    </w:lvlOverride>
    <w:lvlOverride w:ilvl="7">
      <w:lvl w:ilvl="7" w:tentative="1">
        <w:start w:val="1"/>
        <w:numFmt w:val="lowerLetter"/>
        <w:lvlText w:val="%8."/>
        <w:lvlJc w:val="left"/>
        <w:pPr>
          <w:ind w:left="6480" w:hanging="360"/>
        </w:pPr>
        <w:rPr>
          <w:rFonts w:cs="Times New Roman"/>
        </w:rPr>
      </w:lvl>
    </w:lvlOverride>
    <w:lvlOverride w:ilvl="8">
      <w:lvl w:ilvl="8" w:tentative="1">
        <w:start w:val="1"/>
        <w:numFmt w:val="lowerRoman"/>
        <w:lvlText w:val="%9."/>
        <w:lvlJc w:val="right"/>
        <w:pPr>
          <w:ind w:left="7200" w:hanging="180"/>
        </w:pPr>
        <w:rPr>
          <w:rFonts w:cs="Times New Roman"/>
        </w:rPr>
      </w:lvl>
    </w:lvlOverride>
  </w:num>
  <w:num w:numId="23">
    <w:abstractNumId w:val="12"/>
    <w:lvlOverride w:ilvl="0">
      <w:lvl w:ilvl="0">
        <w:start w:val="6"/>
        <w:numFmt w:val="decimal"/>
        <w:lvlText w:val="%1."/>
        <w:lvlJc w:val="left"/>
        <w:pPr>
          <w:tabs>
            <w:tab w:val="num" w:pos="360"/>
          </w:tabs>
          <w:ind w:left="360" w:hanging="360"/>
        </w:pPr>
        <w:rPr>
          <w:rFonts w:ascii="Calibri" w:eastAsia="Times New Roman" w:hAnsi="Calibri" w:cs="Calibri" w:hint="default"/>
          <w:color w:val="000000"/>
          <w:position w:val="0"/>
          <w:sz w:val="22"/>
          <w:szCs w:val="22"/>
          <w:u w:color="000000"/>
        </w:rPr>
      </w:lvl>
    </w:lvlOverride>
  </w:num>
  <w:num w:numId="24">
    <w:abstractNumId w:val="48"/>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25">
    <w:abstractNumId w:val="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6">
    <w:abstractNumId w:val="6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7">
    <w:abstractNumId w:val="50"/>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8">
    <w:abstractNumId w:val="2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29">
    <w:abstractNumId w:val="3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0">
    <w:abstractNumId w:val="3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1">
    <w:abstractNumId w:val="59"/>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2">
    <w:abstractNumId w:val="6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3">
    <w:abstractNumId w:val="21"/>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34">
    <w:abstractNumId w:val="41"/>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7">
    <w:abstractNumId w:val="62"/>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8">
    <w:abstractNumId w:val="3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39">
    <w:abstractNumId w:val="61"/>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0">
    <w:abstractNumId w:val="15"/>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1">
    <w:abstractNumId w:val="57"/>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2">
    <w:abstractNumId w:val="4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decimal"/>
        <w:lvlText w:val="%4."/>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3">
    <w:abstractNumId w:val="1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4">
    <w:abstractNumId w:val="4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5">
    <w:abstractNumId w:val="14"/>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6">
    <w:abstractNumId w:val="18"/>
    <w:lvlOverride w:ilvl="0">
      <w:lvl w:ilvl="0">
        <w:start w:val="1"/>
        <w:numFmt w:val="decimal"/>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47">
    <w:abstractNumId w:val="26"/>
    <w:lvlOverride w:ilvl="0">
      <w:lvl w:ilvl="0">
        <w:start w:val="1"/>
        <w:numFmt w:val="lowerLetter"/>
        <w:lvlText w:val="%1."/>
        <w:lvlJc w:val="left"/>
        <w:pPr>
          <w:ind w:left="720" w:hanging="360"/>
        </w:pPr>
        <w:rPr>
          <w:rFonts w:cs="Times New Roman"/>
        </w:rPr>
      </w:lvl>
    </w:lvlOverride>
    <w:lvlOverride w:ilvl="1">
      <w:lvl w:ilvl="1" w:tentative="1">
        <w:start w:val="1"/>
        <w:numFmt w:val="lowerLetter"/>
        <w:lvlText w:val="%2."/>
        <w:lvlJc w:val="left"/>
        <w:pPr>
          <w:ind w:left="1440" w:hanging="360"/>
        </w:pPr>
        <w:rPr>
          <w:rFonts w:cs="Times New Roman"/>
        </w:rPr>
      </w:lvl>
    </w:lvlOverride>
    <w:lvlOverride w:ilvl="2">
      <w:lvl w:ilvl="2" w:tentative="1">
        <w:start w:val="1"/>
        <w:numFmt w:val="lowerRoman"/>
        <w:lvlText w:val="%3."/>
        <w:lvlJc w:val="right"/>
        <w:pPr>
          <w:ind w:left="2160" w:hanging="180"/>
        </w:pPr>
        <w:rPr>
          <w:rFonts w:cs="Times New Roman"/>
        </w:rPr>
      </w:lvl>
    </w:lvlOverride>
    <w:lvlOverride w:ilvl="3">
      <w:lvl w:ilvl="3" w:tentative="1">
        <w:start w:val="1"/>
        <w:numFmt w:val="decimal"/>
        <w:lvlText w:val="%4."/>
        <w:lvlJc w:val="left"/>
        <w:pPr>
          <w:ind w:left="2880" w:hanging="360"/>
        </w:pPr>
        <w:rPr>
          <w:rFonts w:cs="Times New Roman"/>
        </w:rPr>
      </w:lvl>
    </w:lvlOverride>
    <w:lvlOverride w:ilvl="4">
      <w:lvl w:ilvl="4" w:tentative="1">
        <w:start w:val="1"/>
        <w:numFmt w:val="lowerLetter"/>
        <w:lvlText w:val="%5."/>
        <w:lvlJc w:val="left"/>
        <w:pPr>
          <w:ind w:left="3600" w:hanging="360"/>
        </w:pPr>
        <w:rPr>
          <w:rFonts w:cs="Times New Roman"/>
        </w:rPr>
      </w:lvl>
    </w:lvlOverride>
    <w:lvlOverride w:ilvl="5">
      <w:lvl w:ilvl="5" w:tentative="1">
        <w:start w:val="1"/>
        <w:numFmt w:val="lowerRoman"/>
        <w:lvlText w:val="%6."/>
        <w:lvlJc w:val="right"/>
        <w:pPr>
          <w:ind w:left="4320" w:hanging="180"/>
        </w:pPr>
        <w:rPr>
          <w:rFonts w:cs="Times New Roman"/>
        </w:rPr>
      </w:lvl>
    </w:lvlOverride>
    <w:lvlOverride w:ilvl="6">
      <w:lvl w:ilvl="6" w:tentative="1">
        <w:start w:val="1"/>
        <w:numFmt w:val="decimal"/>
        <w:lvlText w:val="%7."/>
        <w:lvlJc w:val="left"/>
        <w:pPr>
          <w:ind w:left="5040" w:hanging="360"/>
        </w:pPr>
        <w:rPr>
          <w:rFonts w:cs="Times New Roman"/>
        </w:rPr>
      </w:lvl>
    </w:lvlOverride>
    <w:lvlOverride w:ilvl="7">
      <w:lvl w:ilvl="7" w:tentative="1">
        <w:start w:val="1"/>
        <w:numFmt w:val="lowerLetter"/>
        <w:lvlText w:val="%8."/>
        <w:lvlJc w:val="left"/>
        <w:pPr>
          <w:ind w:left="5760" w:hanging="360"/>
        </w:pPr>
        <w:rPr>
          <w:rFonts w:cs="Times New Roman"/>
        </w:rPr>
      </w:lvl>
    </w:lvlOverride>
    <w:lvlOverride w:ilvl="8">
      <w:lvl w:ilvl="8" w:tentative="1">
        <w:start w:val="1"/>
        <w:numFmt w:val="lowerRoman"/>
        <w:lvlText w:val="%9."/>
        <w:lvlJc w:val="right"/>
        <w:pPr>
          <w:ind w:left="6480" w:hanging="180"/>
        </w:pPr>
        <w:rPr>
          <w:rFonts w:cs="Times New Roman"/>
        </w:rPr>
      </w:lvl>
    </w:lvlOverride>
  </w:num>
  <w:num w:numId="48">
    <w:abstractNumId w:val="65"/>
    <w:lvlOverride w:ilvl="0">
      <w:lvl w:ilvl="0">
        <w:start w:val="1"/>
        <w:numFmt w:val="decimal"/>
        <w:lvlText w:val="%1."/>
        <w:lvlJc w:val="left"/>
        <w:pPr>
          <w:tabs>
            <w:tab w:val="num" w:pos="720"/>
          </w:tabs>
          <w:ind w:left="720" w:hanging="360"/>
        </w:pPr>
        <w:rPr>
          <w:rFonts w:ascii="Calibri" w:eastAsia="Times New Roman" w:hAnsi="Calibri" w:cs="Calibri" w:hint="default"/>
          <w:b/>
          <w:bCs/>
          <w:color w:val="000000"/>
          <w:position w:val="0"/>
          <w:sz w:val="22"/>
          <w:szCs w:val="22"/>
          <w:u w:val="none"/>
        </w:rPr>
      </w:lvl>
    </w:lvlOverride>
  </w:num>
  <w:num w:numId="49">
    <w:abstractNumId w:val="4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0">
    <w:abstractNumId w:val="37"/>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1">
    <w:abstractNumId w:val="33"/>
    <w:lvlOverride w:ilvl="0">
      <w:lvl w:ilvl="0">
        <w:start w:val="1"/>
        <w:numFmt w:val="lowerLetter"/>
        <w:lvlText w:val="%1."/>
        <w:lvlJc w:val="left"/>
        <w:pPr>
          <w:tabs>
            <w:tab w:val="num" w:pos="720"/>
          </w:tabs>
          <w:ind w:left="720" w:hanging="360"/>
        </w:pPr>
        <w:rPr>
          <w:rFonts w:ascii="Calibri" w:eastAsia="Times New Roman" w:hAnsi="Calibri" w:cs="Calibri" w:hint="default"/>
          <w:color w:val="000000"/>
          <w:position w:val="0"/>
          <w:sz w:val="22"/>
          <w:szCs w:val="22"/>
          <w:u w:color="000000"/>
        </w:rPr>
      </w:lvl>
    </w:lvlOverride>
  </w:num>
  <w:num w:numId="52">
    <w:abstractNumId w:val="46"/>
  </w:num>
  <w:num w:numId="53">
    <w:abstractNumId w:val="1"/>
  </w:num>
  <w:num w:numId="54">
    <w:abstractNumId w:val="41"/>
  </w:num>
  <w:num w:numId="55">
    <w:abstractNumId w:val="42"/>
  </w:num>
  <w:num w:numId="56">
    <w:abstractNumId w:val="48"/>
  </w:num>
  <w:num w:numId="57">
    <w:abstractNumId w:val="2"/>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5"/>
  </w:num>
  <w:num w:numId="96">
    <w:abstractNumId w:val="56"/>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6"/>
  </w:num>
  <w:num w:numId="104">
    <w:abstractNumId w:val="47"/>
  </w:num>
  <w:num w:numId="105">
    <w:abstractNumId w:val="39"/>
  </w:num>
  <w:num w:numId="106">
    <w:abstractNumId w:val="8"/>
  </w:num>
  <w:num w:numId="107">
    <w:abstractNumId w:val="27"/>
  </w:num>
  <w:num w:numId="108">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603"/>
    <w:rsid w:val="000070D7"/>
    <w:rsid w:val="000111A8"/>
    <w:rsid w:val="0001788C"/>
    <w:rsid w:val="00023FFC"/>
    <w:rsid w:val="000271F3"/>
    <w:rsid w:val="000311B8"/>
    <w:rsid w:val="0003198F"/>
    <w:rsid w:val="00036A8A"/>
    <w:rsid w:val="00037678"/>
    <w:rsid w:val="00040C3A"/>
    <w:rsid w:val="000639C0"/>
    <w:rsid w:val="00070F3A"/>
    <w:rsid w:val="000716C5"/>
    <w:rsid w:val="0007219B"/>
    <w:rsid w:val="00075E23"/>
    <w:rsid w:val="00084552"/>
    <w:rsid w:val="00092F32"/>
    <w:rsid w:val="0009344A"/>
    <w:rsid w:val="000A575F"/>
    <w:rsid w:val="000B4D3E"/>
    <w:rsid w:val="000C46AF"/>
    <w:rsid w:val="000D10DB"/>
    <w:rsid w:val="000F4BFE"/>
    <w:rsid w:val="000F7438"/>
    <w:rsid w:val="000F75C0"/>
    <w:rsid w:val="00113082"/>
    <w:rsid w:val="00116543"/>
    <w:rsid w:val="0013104F"/>
    <w:rsid w:val="00137EBA"/>
    <w:rsid w:val="001418FD"/>
    <w:rsid w:val="00145EDC"/>
    <w:rsid w:val="00155AA5"/>
    <w:rsid w:val="00164F7C"/>
    <w:rsid w:val="00167A34"/>
    <w:rsid w:val="001742B4"/>
    <w:rsid w:val="0018037F"/>
    <w:rsid w:val="001831EE"/>
    <w:rsid w:val="001A5F27"/>
    <w:rsid w:val="001A7870"/>
    <w:rsid w:val="001B011C"/>
    <w:rsid w:val="001B5A1B"/>
    <w:rsid w:val="001C1B41"/>
    <w:rsid w:val="001E1561"/>
    <w:rsid w:val="002040E7"/>
    <w:rsid w:val="00210E0E"/>
    <w:rsid w:val="00223975"/>
    <w:rsid w:val="00240559"/>
    <w:rsid w:val="00241A3A"/>
    <w:rsid w:val="00247403"/>
    <w:rsid w:val="00247542"/>
    <w:rsid w:val="00257893"/>
    <w:rsid w:val="00265B97"/>
    <w:rsid w:val="00266092"/>
    <w:rsid w:val="00266B61"/>
    <w:rsid w:val="0026712A"/>
    <w:rsid w:val="002704DB"/>
    <w:rsid w:val="00280339"/>
    <w:rsid w:val="002A0AE9"/>
    <w:rsid w:val="002A4501"/>
    <w:rsid w:val="002A64B0"/>
    <w:rsid w:val="002C1641"/>
    <w:rsid w:val="002D535B"/>
    <w:rsid w:val="002D7EA2"/>
    <w:rsid w:val="002E15DF"/>
    <w:rsid w:val="002E187C"/>
    <w:rsid w:val="002E6E57"/>
    <w:rsid w:val="002F03F7"/>
    <w:rsid w:val="00301075"/>
    <w:rsid w:val="00302733"/>
    <w:rsid w:val="00304A1D"/>
    <w:rsid w:val="00311A4F"/>
    <w:rsid w:val="00314078"/>
    <w:rsid w:val="00322450"/>
    <w:rsid w:val="003246B5"/>
    <w:rsid w:val="003311B3"/>
    <w:rsid w:val="0033169F"/>
    <w:rsid w:val="00333B09"/>
    <w:rsid w:val="00334C19"/>
    <w:rsid w:val="003362A2"/>
    <w:rsid w:val="003414AC"/>
    <w:rsid w:val="00356185"/>
    <w:rsid w:val="00360380"/>
    <w:rsid w:val="0036356B"/>
    <w:rsid w:val="00372242"/>
    <w:rsid w:val="0038533A"/>
    <w:rsid w:val="00386CF0"/>
    <w:rsid w:val="003A6F1C"/>
    <w:rsid w:val="003B5328"/>
    <w:rsid w:val="003C32BC"/>
    <w:rsid w:val="003E65FC"/>
    <w:rsid w:val="003F1BBF"/>
    <w:rsid w:val="003F3F6D"/>
    <w:rsid w:val="003F5C30"/>
    <w:rsid w:val="004021EF"/>
    <w:rsid w:val="004102E2"/>
    <w:rsid w:val="00416509"/>
    <w:rsid w:val="004165C2"/>
    <w:rsid w:val="00437B6B"/>
    <w:rsid w:val="00450A4A"/>
    <w:rsid w:val="004666FB"/>
    <w:rsid w:val="00467B7E"/>
    <w:rsid w:val="00476CB2"/>
    <w:rsid w:val="00492160"/>
    <w:rsid w:val="0049419D"/>
    <w:rsid w:val="00495346"/>
    <w:rsid w:val="004B2762"/>
    <w:rsid w:val="004B7EB6"/>
    <w:rsid w:val="004C333D"/>
    <w:rsid w:val="004C4B62"/>
    <w:rsid w:val="004D27D2"/>
    <w:rsid w:val="004D6025"/>
    <w:rsid w:val="004D72BC"/>
    <w:rsid w:val="004D750A"/>
    <w:rsid w:val="004F44F7"/>
    <w:rsid w:val="00501399"/>
    <w:rsid w:val="005018C1"/>
    <w:rsid w:val="00505D95"/>
    <w:rsid w:val="005078D4"/>
    <w:rsid w:val="00507BC4"/>
    <w:rsid w:val="005128E4"/>
    <w:rsid w:val="00525560"/>
    <w:rsid w:val="005261FC"/>
    <w:rsid w:val="005357A6"/>
    <w:rsid w:val="00544C49"/>
    <w:rsid w:val="00556B6B"/>
    <w:rsid w:val="00564BE9"/>
    <w:rsid w:val="0057402A"/>
    <w:rsid w:val="005771D0"/>
    <w:rsid w:val="00586074"/>
    <w:rsid w:val="0059191A"/>
    <w:rsid w:val="005921FF"/>
    <w:rsid w:val="00593AB3"/>
    <w:rsid w:val="005A1CED"/>
    <w:rsid w:val="005A3DD8"/>
    <w:rsid w:val="005A6D0E"/>
    <w:rsid w:val="005B222D"/>
    <w:rsid w:val="005B52B0"/>
    <w:rsid w:val="005B6806"/>
    <w:rsid w:val="005C00F9"/>
    <w:rsid w:val="005C4225"/>
    <w:rsid w:val="005F0F33"/>
    <w:rsid w:val="00600DEB"/>
    <w:rsid w:val="00613027"/>
    <w:rsid w:val="00620BBE"/>
    <w:rsid w:val="00620FF6"/>
    <w:rsid w:val="00627C9F"/>
    <w:rsid w:val="006311DA"/>
    <w:rsid w:val="006311E9"/>
    <w:rsid w:val="00632354"/>
    <w:rsid w:val="00633A13"/>
    <w:rsid w:val="00642810"/>
    <w:rsid w:val="00647F22"/>
    <w:rsid w:val="00652333"/>
    <w:rsid w:val="00677440"/>
    <w:rsid w:val="0068009E"/>
    <w:rsid w:val="00692720"/>
    <w:rsid w:val="006A17D2"/>
    <w:rsid w:val="006A73E6"/>
    <w:rsid w:val="006B2D5C"/>
    <w:rsid w:val="006C44EA"/>
    <w:rsid w:val="006C4EB1"/>
    <w:rsid w:val="006E0166"/>
    <w:rsid w:val="006E7B34"/>
    <w:rsid w:val="006F33B4"/>
    <w:rsid w:val="00701B24"/>
    <w:rsid w:val="007224FC"/>
    <w:rsid w:val="00725F8D"/>
    <w:rsid w:val="00745899"/>
    <w:rsid w:val="00753DC1"/>
    <w:rsid w:val="007607C4"/>
    <w:rsid w:val="0076643F"/>
    <w:rsid w:val="00777E44"/>
    <w:rsid w:val="007814C1"/>
    <w:rsid w:val="007856BC"/>
    <w:rsid w:val="007A0AFC"/>
    <w:rsid w:val="007A2F70"/>
    <w:rsid w:val="007B00A3"/>
    <w:rsid w:val="007C25D1"/>
    <w:rsid w:val="007C3334"/>
    <w:rsid w:val="007C52BB"/>
    <w:rsid w:val="007D2B98"/>
    <w:rsid w:val="007F3B04"/>
    <w:rsid w:val="007F4998"/>
    <w:rsid w:val="007F4C70"/>
    <w:rsid w:val="007F621B"/>
    <w:rsid w:val="00803F1C"/>
    <w:rsid w:val="0080600E"/>
    <w:rsid w:val="00816981"/>
    <w:rsid w:val="00817612"/>
    <w:rsid w:val="00837C45"/>
    <w:rsid w:val="00847400"/>
    <w:rsid w:val="00853419"/>
    <w:rsid w:val="0085559E"/>
    <w:rsid w:val="008633B7"/>
    <w:rsid w:val="00894114"/>
    <w:rsid w:val="00897E12"/>
    <w:rsid w:val="008A6875"/>
    <w:rsid w:val="008B2E2A"/>
    <w:rsid w:val="008C245E"/>
    <w:rsid w:val="008D43BA"/>
    <w:rsid w:val="008E3759"/>
    <w:rsid w:val="008F7CD2"/>
    <w:rsid w:val="009041DC"/>
    <w:rsid w:val="009070A3"/>
    <w:rsid w:val="009104B4"/>
    <w:rsid w:val="009143E6"/>
    <w:rsid w:val="00925FCD"/>
    <w:rsid w:val="0093441A"/>
    <w:rsid w:val="00947850"/>
    <w:rsid w:val="00954BF7"/>
    <w:rsid w:val="009634C8"/>
    <w:rsid w:val="0096706E"/>
    <w:rsid w:val="00981FBA"/>
    <w:rsid w:val="00986F85"/>
    <w:rsid w:val="00996FEC"/>
    <w:rsid w:val="009A5CE8"/>
    <w:rsid w:val="009B381B"/>
    <w:rsid w:val="009D5277"/>
    <w:rsid w:val="009D7611"/>
    <w:rsid w:val="009E53DE"/>
    <w:rsid w:val="00A25885"/>
    <w:rsid w:val="00A36695"/>
    <w:rsid w:val="00A43458"/>
    <w:rsid w:val="00A528D1"/>
    <w:rsid w:val="00A5549B"/>
    <w:rsid w:val="00A66BE5"/>
    <w:rsid w:val="00A72ACA"/>
    <w:rsid w:val="00A8673A"/>
    <w:rsid w:val="00AA2F46"/>
    <w:rsid w:val="00AB6F2A"/>
    <w:rsid w:val="00AD37C1"/>
    <w:rsid w:val="00AD4617"/>
    <w:rsid w:val="00AE3D62"/>
    <w:rsid w:val="00AE66EC"/>
    <w:rsid w:val="00AE6F91"/>
    <w:rsid w:val="00AF0E41"/>
    <w:rsid w:val="00AF5571"/>
    <w:rsid w:val="00AF74D7"/>
    <w:rsid w:val="00B03A70"/>
    <w:rsid w:val="00B167E9"/>
    <w:rsid w:val="00B314DB"/>
    <w:rsid w:val="00B31EBE"/>
    <w:rsid w:val="00B3718B"/>
    <w:rsid w:val="00B4632A"/>
    <w:rsid w:val="00B51BDD"/>
    <w:rsid w:val="00B73C85"/>
    <w:rsid w:val="00B82838"/>
    <w:rsid w:val="00BA276C"/>
    <w:rsid w:val="00BB306F"/>
    <w:rsid w:val="00BD232B"/>
    <w:rsid w:val="00BD4B89"/>
    <w:rsid w:val="00BE7FEF"/>
    <w:rsid w:val="00BF2A0F"/>
    <w:rsid w:val="00C02F32"/>
    <w:rsid w:val="00C21762"/>
    <w:rsid w:val="00C24543"/>
    <w:rsid w:val="00C256A2"/>
    <w:rsid w:val="00C3492D"/>
    <w:rsid w:val="00C55560"/>
    <w:rsid w:val="00C66B72"/>
    <w:rsid w:val="00C9567A"/>
    <w:rsid w:val="00C978D7"/>
    <w:rsid w:val="00CA01C4"/>
    <w:rsid w:val="00CA37FB"/>
    <w:rsid w:val="00CA3DC0"/>
    <w:rsid w:val="00CA61D0"/>
    <w:rsid w:val="00CB2660"/>
    <w:rsid w:val="00CC06CC"/>
    <w:rsid w:val="00CC5E90"/>
    <w:rsid w:val="00CC7B5F"/>
    <w:rsid w:val="00CD046C"/>
    <w:rsid w:val="00CD4D07"/>
    <w:rsid w:val="00CD703B"/>
    <w:rsid w:val="00CE1BA0"/>
    <w:rsid w:val="00CE37C5"/>
    <w:rsid w:val="00CE5199"/>
    <w:rsid w:val="00CE66D5"/>
    <w:rsid w:val="00CF54A4"/>
    <w:rsid w:val="00D069A4"/>
    <w:rsid w:val="00D34786"/>
    <w:rsid w:val="00D40A1E"/>
    <w:rsid w:val="00D42817"/>
    <w:rsid w:val="00D46049"/>
    <w:rsid w:val="00D712D3"/>
    <w:rsid w:val="00D71422"/>
    <w:rsid w:val="00D7145E"/>
    <w:rsid w:val="00D74B73"/>
    <w:rsid w:val="00D7558D"/>
    <w:rsid w:val="00D81D92"/>
    <w:rsid w:val="00D820D1"/>
    <w:rsid w:val="00D93446"/>
    <w:rsid w:val="00D97D4D"/>
    <w:rsid w:val="00DA7B5F"/>
    <w:rsid w:val="00DB41C1"/>
    <w:rsid w:val="00DC7A2E"/>
    <w:rsid w:val="00DE4E65"/>
    <w:rsid w:val="00DF43F9"/>
    <w:rsid w:val="00E04574"/>
    <w:rsid w:val="00E43157"/>
    <w:rsid w:val="00E47013"/>
    <w:rsid w:val="00E533FF"/>
    <w:rsid w:val="00E6291E"/>
    <w:rsid w:val="00E709B3"/>
    <w:rsid w:val="00E832F9"/>
    <w:rsid w:val="00E8789F"/>
    <w:rsid w:val="00E97B71"/>
    <w:rsid w:val="00EB454D"/>
    <w:rsid w:val="00EC04B2"/>
    <w:rsid w:val="00EC7D62"/>
    <w:rsid w:val="00EE3522"/>
    <w:rsid w:val="00EF619B"/>
    <w:rsid w:val="00F00B55"/>
    <w:rsid w:val="00F13715"/>
    <w:rsid w:val="00F1380F"/>
    <w:rsid w:val="00F14F0E"/>
    <w:rsid w:val="00F20400"/>
    <w:rsid w:val="00F24C29"/>
    <w:rsid w:val="00F253CC"/>
    <w:rsid w:val="00F56BA5"/>
    <w:rsid w:val="00F644E6"/>
    <w:rsid w:val="00F9653B"/>
    <w:rsid w:val="00FA1DE0"/>
    <w:rsid w:val="00FB5890"/>
    <w:rsid w:val="00FB62CF"/>
    <w:rsid w:val="00FC1D96"/>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FB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2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A25885"/>
    <w:rPr>
      <w:rFonts w:cs="Times New Roman"/>
      <w:u w:val="single"/>
    </w:rPr>
  </w:style>
  <w:style w:type="paragraph" w:customStyle="1" w:styleId="Cabeceraypie">
    <w:name w:val="Cabecera y pie"/>
    <w:uiPriority w:val="99"/>
    <w:rsid w:val="00A258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A2588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hAnsi="Cambria" w:cs="Cambria"/>
      <w:color w:val="000000"/>
      <w:sz w:val="24"/>
      <w:szCs w:val="24"/>
      <w:u w:color="000000"/>
      <w:lang w:val="en-US" w:eastAsia="es-ES" w:bidi="ar-SA"/>
    </w:rPr>
  </w:style>
  <w:style w:type="paragraph" w:customStyle="1" w:styleId="Cuerpo">
    <w:name w:val="Cuerpo"/>
    <w:uiPriority w:val="99"/>
    <w:rsid w:val="00A258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A25885"/>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64F7C"/>
    <w:rPr>
      <w:rFonts w:cs="Times New Roman"/>
      <w:sz w:val="24"/>
      <w:szCs w:val="24"/>
      <w:lang w:val="en-US" w:eastAsia="en-US"/>
    </w:rPr>
  </w:style>
  <w:style w:type="paragraph" w:styleId="ListParagraph">
    <w:name w:val="List Paragraph"/>
    <w:basedOn w:val="Normal"/>
    <w:uiPriority w:val="99"/>
    <w:qFormat/>
    <w:rsid w:val="00A2588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A25885"/>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164F7C"/>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
    <w:basedOn w:val="DefaultParagraphFont"/>
    <w:uiPriority w:val="99"/>
    <w:rsid w:val="00036A8A"/>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036A8A"/>
    <w:rPr>
      <w:rFonts w:ascii="Calibri" w:hAnsi="Calibri"/>
      <w:color w:val="000000"/>
      <w:u w:color="000000"/>
      <w:lang w:val="en-US"/>
    </w:rPr>
  </w:style>
  <w:style w:type="table" w:styleId="TableGrid">
    <w:name w:val="Table Grid"/>
    <w:basedOn w:val="TableNormal"/>
    <w:uiPriority w:val="99"/>
    <w:rsid w:val="00D7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6">
    <w:name w:val="List 16"/>
    <w:rsid w:val="00475537"/>
    <w:pPr>
      <w:numPr>
        <w:numId w:val="53"/>
      </w:numPr>
    </w:pPr>
  </w:style>
  <w:style w:type="numbering" w:customStyle="1" w:styleId="List36">
    <w:name w:val="List 36"/>
    <w:rsid w:val="00475537"/>
    <w:pPr>
      <w:numPr>
        <w:numId w:val="57"/>
      </w:numPr>
    </w:pPr>
  </w:style>
  <w:style w:type="numbering" w:customStyle="1" w:styleId="List25">
    <w:name w:val="List 25"/>
    <w:rsid w:val="00475537"/>
    <w:pPr>
      <w:numPr>
        <w:numId w:val="58"/>
      </w:numPr>
    </w:pPr>
  </w:style>
  <w:style w:type="numbering" w:customStyle="1" w:styleId="List1">
    <w:name w:val="List 1"/>
    <w:rsid w:val="00475537"/>
    <w:pPr>
      <w:numPr>
        <w:numId w:val="2"/>
      </w:numPr>
    </w:pPr>
  </w:style>
  <w:style w:type="numbering" w:customStyle="1" w:styleId="List11">
    <w:name w:val="List 11"/>
    <w:rsid w:val="00475537"/>
    <w:pPr>
      <w:numPr>
        <w:numId w:val="20"/>
      </w:numPr>
    </w:pPr>
  </w:style>
  <w:style w:type="numbering" w:customStyle="1" w:styleId="List15">
    <w:name w:val="List 15"/>
    <w:rsid w:val="00475537"/>
    <w:pPr>
      <w:numPr>
        <w:numId w:val="59"/>
      </w:numPr>
    </w:pPr>
  </w:style>
  <w:style w:type="numbering" w:customStyle="1" w:styleId="List14">
    <w:name w:val="List 14"/>
    <w:rsid w:val="00475537"/>
    <w:pPr>
      <w:numPr>
        <w:numId w:val="60"/>
      </w:numPr>
    </w:pPr>
  </w:style>
  <w:style w:type="numbering" w:customStyle="1" w:styleId="List23">
    <w:name w:val="List 23"/>
    <w:rsid w:val="00475537"/>
    <w:pPr>
      <w:numPr>
        <w:numId w:val="61"/>
      </w:numPr>
    </w:pPr>
  </w:style>
  <w:style w:type="numbering" w:customStyle="1" w:styleId="List19">
    <w:name w:val="List 19"/>
    <w:rsid w:val="00475537"/>
    <w:pPr>
      <w:numPr>
        <w:numId w:val="62"/>
      </w:numPr>
    </w:pPr>
  </w:style>
  <w:style w:type="numbering" w:customStyle="1" w:styleId="List45">
    <w:name w:val="List 45"/>
    <w:rsid w:val="00475537"/>
    <w:pPr>
      <w:numPr>
        <w:numId w:val="63"/>
      </w:numPr>
    </w:pPr>
  </w:style>
  <w:style w:type="numbering" w:customStyle="1" w:styleId="List40">
    <w:name w:val="List 40"/>
    <w:rsid w:val="00475537"/>
    <w:pPr>
      <w:numPr>
        <w:numId w:val="64"/>
      </w:numPr>
    </w:pPr>
  </w:style>
  <w:style w:type="numbering" w:customStyle="1" w:styleId="List9">
    <w:name w:val="List 9"/>
    <w:rsid w:val="00475537"/>
    <w:pPr>
      <w:numPr>
        <w:numId w:val="65"/>
      </w:numPr>
    </w:pPr>
  </w:style>
  <w:style w:type="numbering" w:customStyle="1" w:styleId="List43">
    <w:name w:val="List 43"/>
    <w:rsid w:val="00475537"/>
    <w:pPr>
      <w:numPr>
        <w:numId w:val="66"/>
      </w:numPr>
    </w:pPr>
  </w:style>
  <w:style w:type="numbering" w:customStyle="1" w:styleId="List46">
    <w:name w:val="List 46"/>
    <w:rsid w:val="00475537"/>
    <w:pPr>
      <w:numPr>
        <w:numId w:val="67"/>
      </w:numPr>
    </w:pPr>
  </w:style>
  <w:style w:type="numbering" w:customStyle="1" w:styleId="List35">
    <w:name w:val="List 35"/>
    <w:rsid w:val="00475537"/>
    <w:pPr>
      <w:numPr>
        <w:numId w:val="35"/>
      </w:numPr>
    </w:pPr>
  </w:style>
  <w:style w:type="numbering" w:customStyle="1" w:styleId="List17">
    <w:name w:val="List 17"/>
    <w:rsid w:val="00475537"/>
    <w:pPr>
      <w:numPr>
        <w:numId w:val="68"/>
      </w:numPr>
    </w:pPr>
  </w:style>
  <w:style w:type="numbering" w:customStyle="1" w:styleId="List33">
    <w:name w:val="List 33"/>
    <w:rsid w:val="00475537"/>
    <w:pPr>
      <w:numPr>
        <w:numId w:val="69"/>
      </w:numPr>
    </w:pPr>
  </w:style>
  <w:style w:type="numbering" w:customStyle="1" w:styleId="List7">
    <w:name w:val="List 7"/>
    <w:rsid w:val="00475537"/>
    <w:pPr>
      <w:numPr>
        <w:numId w:val="8"/>
      </w:numPr>
    </w:pPr>
  </w:style>
  <w:style w:type="numbering" w:customStyle="1" w:styleId="List18">
    <w:name w:val="List 18"/>
    <w:rsid w:val="00475537"/>
    <w:pPr>
      <w:numPr>
        <w:numId w:val="70"/>
      </w:numPr>
    </w:pPr>
  </w:style>
  <w:style w:type="numbering" w:customStyle="1" w:styleId="List22">
    <w:name w:val="List 22"/>
    <w:rsid w:val="00475537"/>
    <w:pPr>
      <w:numPr>
        <w:numId w:val="71"/>
      </w:numPr>
    </w:pPr>
  </w:style>
  <w:style w:type="numbering" w:customStyle="1" w:styleId="List47">
    <w:name w:val="List 47"/>
    <w:rsid w:val="00475537"/>
    <w:pPr>
      <w:numPr>
        <w:numId w:val="72"/>
      </w:numPr>
    </w:pPr>
  </w:style>
  <w:style w:type="numbering" w:customStyle="1" w:styleId="List28">
    <w:name w:val="List 28"/>
    <w:rsid w:val="00475537"/>
    <w:pPr>
      <w:numPr>
        <w:numId w:val="73"/>
      </w:numPr>
    </w:pPr>
  </w:style>
  <w:style w:type="numbering" w:customStyle="1" w:styleId="List10">
    <w:name w:val="List 10"/>
    <w:rsid w:val="00475537"/>
    <w:pPr>
      <w:numPr>
        <w:numId w:val="11"/>
      </w:numPr>
    </w:pPr>
  </w:style>
  <w:style w:type="numbering" w:customStyle="1" w:styleId="List0">
    <w:name w:val="List 0"/>
    <w:rsid w:val="00475537"/>
    <w:pPr>
      <w:numPr>
        <w:numId w:val="74"/>
      </w:numPr>
    </w:pPr>
  </w:style>
  <w:style w:type="numbering" w:customStyle="1" w:styleId="List30">
    <w:name w:val="List 30"/>
    <w:rsid w:val="00475537"/>
    <w:pPr>
      <w:numPr>
        <w:numId w:val="75"/>
      </w:numPr>
    </w:pPr>
  </w:style>
  <w:style w:type="numbering" w:customStyle="1" w:styleId="List29">
    <w:name w:val="List 29"/>
    <w:rsid w:val="00475537"/>
    <w:pPr>
      <w:numPr>
        <w:numId w:val="77"/>
      </w:numPr>
    </w:pPr>
  </w:style>
  <w:style w:type="numbering" w:customStyle="1" w:styleId="List38">
    <w:name w:val="List 38"/>
    <w:rsid w:val="00475537"/>
    <w:pPr>
      <w:numPr>
        <w:numId w:val="78"/>
      </w:numPr>
    </w:pPr>
  </w:style>
  <w:style w:type="numbering" w:customStyle="1" w:styleId="List12">
    <w:name w:val="List 12"/>
    <w:rsid w:val="00475537"/>
    <w:pPr>
      <w:numPr>
        <w:numId w:val="79"/>
      </w:numPr>
    </w:pPr>
  </w:style>
  <w:style w:type="numbering" w:customStyle="1" w:styleId="List50">
    <w:name w:val="List 50"/>
    <w:rsid w:val="00475537"/>
    <w:pPr>
      <w:numPr>
        <w:numId w:val="80"/>
      </w:numPr>
    </w:pPr>
  </w:style>
  <w:style w:type="numbering" w:customStyle="1" w:styleId="List34">
    <w:name w:val="List 34"/>
    <w:rsid w:val="00475537"/>
    <w:pPr>
      <w:numPr>
        <w:numId w:val="54"/>
      </w:numPr>
    </w:pPr>
  </w:style>
  <w:style w:type="numbering" w:customStyle="1" w:styleId="List42">
    <w:name w:val="List 42"/>
    <w:rsid w:val="00475537"/>
    <w:pPr>
      <w:numPr>
        <w:numId w:val="55"/>
      </w:numPr>
    </w:pPr>
  </w:style>
  <w:style w:type="numbering" w:customStyle="1" w:styleId="List49">
    <w:name w:val="List 49"/>
    <w:rsid w:val="00475537"/>
    <w:pPr>
      <w:numPr>
        <w:numId w:val="82"/>
      </w:numPr>
    </w:pPr>
  </w:style>
  <w:style w:type="numbering" w:customStyle="1" w:styleId="List44">
    <w:name w:val="List 44"/>
    <w:rsid w:val="00475537"/>
    <w:pPr>
      <w:numPr>
        <w:numId w:val="83"/>
      </w:numPr>
    </w:pPr>
  </w:style>
  <w:style w:type="numbering" w:customStyle="1" w:styleId="List21">
    <w:name w:val="List 21"/>
    <w:rsid w:val="00475537"/>
    <w:pPr>
      <w:numPr>
        <w:numId w:val="95"/>
      </w:numPr>
    </w:pPr>
  </w:style>
  <w:style w:type="numbering" w:customStyle="1" w:styleId="List52">
    <w:name w:val="List 52"/>
    <w:rsid w:val="00475537"/>
    <w:pPr>
      <w:numPr>
        <w:numId w:val="52"/>
      </w:numPr>
    </w:pPr>
  </w:style>
  <w:style w:type="numbering" w:customStyle="1" w:styleId="List24">
    <w:name w:val="List 24"/>
    <w:rsid w:val="00475537"/>
    <w:pPr>
      <w:numPr>
        <w:numId w:val="56"/>
      </w:numPr>
    </w:pPr>
  </w:style>
  <w:style w:type="numbering" w:customStyle="1" w:styleId="List51">
    <w:name w:val="List 51"/>
    <w:rsid w:val="00475537"/>
    <w:pPr>
      <w:numPr>
        <w:numId w:val="98"/>
      </w:numPr>
    </w:pPr>
  </w:style>
  <w:style w:type="numbering" w:customStyle="1" w:styleId="List27">
    <w:name w:val="List 27"/>
    <w:rsid w:val="00475537"/>
    <w:pPr>
      <w:numPr>
        <w:numId w:val="84"/>
      </w:numPr>
    </w:pPr>
  </w:style>
  <w:style w:type="numbering" w:customStyle="1" w:styleId="List8">
    <w:name w:val="List 8"/>
    <w:rsid w:val="00475537"/>
    <w:pPr>
      <w:numPr>
        <w:numId w:val="9"/>
      </w:numPr>
    </w:pPr>
  </w:style>
  <w:style w:type="numbering" w:customStyle="1" w:styleId="List13">
    <w:name w:val="List 13"/>
    <w:rsid w:val="00475537"/>
    <w:pPr>
      <w:numPr>
        <w:numId w:val="85"/>
      </w:numPr>
    </w:pPr>
  </w:style>
  <w:style w:type="numbering" w:customStyle="1" w:styleId="List20">
    <w:name w:val="List 20"/>
    <w:rsid w:val="00475537"/>
    <w:pPr>
      <w:numPr>
        <w:numId w:val="86"/>
      </w:numPr>
    </w:pPr>
  </w:style>
  <w:style w:type="numbering" w:customStyle="1" w:styleId="List41">
    <w:name w:val="List 41"/>
    <w:rsid w:val="00475537"/>
    <w:pPr>
      <w:numPr>
        <w:numId w:val="87"/>
      </w:numPr>
    </w:pPr>
  </w:style>
  <w:style w:type="numbering" w:customStyle="1" w:styleId="List31">
    <w:name w:val="List 31"/>
    <w:rsid w:val="00475537"/>
    <w:pPr>
      <w:numPr>
        <w:numId w:val="88"/>
      </w:numPr>
    </w:pPr>
  </w:style>
  <w:style w:type="numbering" w:customStyle="1" w:styleId="List6">
    <w:name w:val="List 6"/>
    <w:rsid w:val="00475537"/>
    <w:pPr>
      <w:numPr>
        <w:numId w:val="7"/>
      </w:numPr>
    </w:pPr>
  </w:style>
  <w:style w:type="numbering" w:customStyle="1" w:styleId="List39">
    <w:name w:val="List 39"/>
    <w:rsid w:val="00475537"/>
    <w:pPr>
      <w:numPr>
        <w:numId w:val="89"/>
      </w:numPr>
    </w:pPr>
  </w:style>
  <w:style w:type="numbering" w:customStyle="1" w:styleId="List37">
    <w:name w:val="List 37"/>
    <w:rsid w:val="00475537"/>
    <w:pPr>
      <w:numPr>
        <w:numId w:val="90"/>
      </w:numPr>
    </w:pPr>
  </w:style>
  <w:style w:type="numbering" w:customStyle="1" w:styleId="List32">
    <w:name w:val="List 32"/>
    <w:rsid w:val="00475537"/>
    <w:pPr>
      <w:numPr>
        <w:numId w:val="91"/>
      </w:numPr>
    </w:pPr>
  </w:style>
  <w:style w:type="numbering" w:customStyle="1" w:styleId="List26">
    <w:name w:val="List 26"/>
    <w:rsid w:val="00475537"/>
    <w:pPr>
      <w:numPr>
        <w:numId w:val="92"/>
      </w:numPr>
    </w:pPr>
  </w:style>
  <w:style w:type="numbering" w:customStyle="1" w:styleId="List48">
    <w:name w:val="List 48"/>
    <w:rsid w:val="00475537"/>
    <w:pPr>
      <w:numPr>
        <w:numId w:val="9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328"/>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96"/>
      </w:numPr>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A25885"/>
    <w:rPr>
      <w:rFonts w:cs="Times New Roman"/>
      <w:u w:val="single"/>
    </w:rPr>
  </w:style>
  <w:style w:type="paragraph" w:customStyle="1" w:styleId="Cabeceraypie">
    <w:name w:val="Cabecera y pie"/>
    <w:uiPriority w:val="99"/>
    <w:rsid w:val="00A258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lang w:val="es-ES" w:eastAsia="es-ES"/>
    </w:rPr>
  </w:style>
  <w:style w:type="paragraph" w:styleId="Footer">
    <w:name w:val="footer"/>
    <w:basedOn w:val="Normal"/>
    <w:link w:val="FooterChar"/>
    <w:uiPriority w:val="99"/>
    <w:rsid w:val="00A25885"/>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hAnsi="Cambria" w:cs="Cambria"/>
      <w:color w:val="000000"/>
      <w:sz w:val="24"/>
      <w:szCs w:val="24"/>
      <w:u w:color="000000"/>
      <w:lang w:val="en-US" w:eastAsia="es-ES" w:bidi="ar-SA"/>
    </w:rPr>
  </w:style>
  <w:style w:type="paragraph" w:customStyle="1" w:styleId="Cuerpo">
    <w:name w:val="Cuerpo"/>
    <w:uiPriority w:val="99"/>
    <w:rsid w:val="00A2588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A25885"/>
    <w:pPr>
      <w:ind w:left="2160" w:hanging="720"/>
    </w:pPr>
    <w:rPr>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164F7C"/>
    <w:rPr>
      <w:rFonts w:cs="Times New Roman"/>
      <w:sz w:val="24"/>
      <w:szCs w:val="24"/>
      <w:lang w:val="en-US" w:eastAsia="en-US"/>
    </w:rPr>
  </w:style>
  <w:style w:type="paragraph" w:styleId="ListParagraph">
    <w:name w:val="List Paragraph"/>
    <w:basedOn w:val="Normal"/>
    <w:uiPriority w:val="99"/>
    <w:qFormat/>
    <w:rsid w:val="00A2588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A25885"/>
    <w:rPr>
      <w:rFonts w:ascii="Calibri"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164F7C"/>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
    <w:basedOn w:val="DefaultParagraphFont"/>
    <w:uiPriority w:val="99"/>
    <w:rsid w:val="00036A8A"/>
    <w:rPr>
      <w:rFonts w:cs="Times New Roman"/>
      <w:vertAlign w:val="superscript"/>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036A8A"/>
    <w:rPr>
      <w:rFonts w:ascii="Calibri" w:hAnsi="Calibri"/>
      <w:color w:val="000000"/>
      <w:u w:color="000000"/>
      <w:lang w:val="en-US"/>
    </w:rPr>
  </w:style>
  <w:style w:type="table" w:styleId="TableGrid">
    <w:name w:val="Table Grid"/>
    <w:basedOn w:val="TableNormal"/>
    <w:uiPriority w:val="99"/>
    <w:rsid w:val="00D7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6">
    <w:name w:val="List 16"/>
    <w:rsid w:val="00475537"/>
    <w:pPr>
      <w:numPr>
        <w:numId w:val="53"/>
      </w:numPr>
    </w:pPr>
  </w:style>
  <w:style w:type="numbering" w:customStyle="1" w:styleId="List36">
    <w:name w:val="List 36"/>
    <w:rsid w:val="00475537"/>
    <w:pPr>
      <w:numPr>
        <w:numId w:val="57"/>
      </w:numPr>
    </w:pPr>
  </w:style>
  <w:style w:type="numbering" w:customStyle="1" w:styleId="List25">
    <w:name w:val="List 25"/>
    <w:rsid w:val="00475537"/>
    <w:pPr>
      <w:numPr>
        <w:numId w:val="58"/>
      </w:numPr>
    </w:pPr>
  </w:style>
  <w:style w:type="numbering" w:customStyle="1" w:styleId="List1">
    <w:name w:val="List 1"/>
    <w:rsid w:val="00475537"/>
    <w:pPr>
      <w:numPr>
        <w:numId w:val="2"/>
      </w:numPr>
    </w:pPr>
  </w:style>
  <w:style w:type="numbering" w:customStyle="1" w:styleId="List11">
    <w:name w:val="List 11"/>
    <w:rsid w:val="00475537"/>
    <w:pPr>
      <w:numPr>
        <w:numId w:val="20"/>
      </w:numPr>
    </w:pPr>
  </w:style>
  <w:style w:type="numbering" w:customStyle="1" w:styleId="List15">
    <w:name w:val="List 15"/>
    <w:rsid w:val="00475537"/>
    <w:pPr>
      <w:numPr>
        <w:numId w:val="59"/>
      </w:numPr>
    </w:pPr>
  </w:style>
  <w:style w:type="numbering" w:customStyle="1" w:styleId="List14">
    <w:name w:val="List 14"/>
    <w:rsid w:val="00475537"/>
    <w:pPr>
      <w:numPr>
        <w:numId w:val="60"/>
      </w:numPr>
    </w:pPr>
  </w:style>
  <w:style w:type="numbering" w:customStyle="1" w:styleId="List23">
    <w:name w:val="List 23"/>
    <w:rsid w:val="00475537"/>
    <w:pPr>
      <w:numPr>
        <w:numId w:val="61"/>
      </w:numPr>
    </w:pPr>
  </w:style>
  <w:style w:type="numbering" w:customStyle="1" w:styleId="List19">
    <w:name w:val="List 19"/>
    <w:rsid w:val="00475537"/>
    <w:pPr>
      <w:numPr>
        <w:numId w:val="62"/>
      </w:numPr>
    </w:pPr>
  </w:style>
  <w:style w:type="numbering" w:customStyle="1" w:styleId="List45">
    <w:name w:val="List 45"/>
    <w:rsid w:val="00475537"/>
    <w:pPr>
      <w:numPr>
        <w:numId w:val="63"/>
      </w:numPr>
    </w:pPr>
  </w:style>
  <w:style w:type="numbering" w:customStyle="1" w:styleId="List40">
    <w:name w:val="List 40"/>
    <w:rsid w:val="00475537"/>
    <w:pPr>
      <w:numPr>
        <w:numId w:val="64"/>
      </w:numPr>
    </w:pPr>
  </w:style>
  <w:style w:type="numbering" w:customStyle="1" w:styleId="List9">
    <w:name w:val="List 9"/>
    <w:rsid w:val="00475537"/>
    <w:pPr>
      <w:numPr>
        <w:numId w:val="65"/>
      </w:numPr>
    </w:pPr>
  </w:style>
  <w:style w:type="numbering" w:customStyle="1" w:styleId="List43">
    <w:name w:val="List 43"/>
    <w:rsid w:val="00475537"/>
    <w:pPr>
      <w:numPr>
        <w:numId w:val="66"/>
      </w:numPr>
    </w:pPr>
  </w:style>
  <w:style w:type="numbering" w:customStyle="1" w:styleId="List46">
    <w:name w:val="List 46"/>
    <w:rsid w:val="00475537"/>
    <w:pPr>
      <w:numPr>
        <w:numId w:val="67"/>
      </w:numPr>
    </w:pPr>
  </w:style>
  <w:style w:type="numbering" w:customStyle="1" w:styleId="List35">
    <w:name w:val="List 35"/>
    <w:rsid w:val="00475537"/>
    <w:pPr>
      <w:numPr>
        <w:numId w:val="35"/>
      </w:numPr>
    </w:pPr>
  </w:style>
  <w:style w:type="numbering" w:customStyle="1" w:styleId="List17">
    <w:name w:val="List 17"/>
    <w:rsid w:val="00475537"/>
    <w:pPr>
      <w:numPr>
        <w:numId w:val="68"/>
      </w:numPr>
    </w:pPr>
  </w:style>
  <w:style w:type="numbering" w:customStyle="1" w:styleId="List33">
    <w:name w:val="List 33"/>
    <w:rsid w:val="00475537"/>
    <w:pPr>
      <w:numPr>
        <w:numId w:val="69"/>
      </w:numPr>
    </w:pPr>
  </w:style>
  <w:style w:type="numbering" w:customStyle="1" w:styleId="List7">
    <w:name w:val="List 7"/>
    <w:rsid w:val="00475537"/>
    <w:pPr>
      <w:numPr>
        <w:numId w:val="8"/>
      </w:numPr>
    </w:pPr>
  </w:style>
  <w:style w:type="numbering" w:customStyle="1" w:styleId="List18">
    <w:name w:val="List 18"/>
    <w:rsid w:val="00475537"/>
    <w:pPr>
      <w:numPr>
        <w:numId w:val="70"/>
      </w:numPr>
    </w:pPr>
  </w:style>
  <w:style w:type="numbering" w:customStyle="1" w:styleId="List22">
    <w:name w:val="List 22"/>
    <w:rsid w:val="00475537"/>
    <w:pPr>
      <w:numPr>
        <w:numId w:val="71"/>
      </w:numPr>
    </w:pPr>
  </w:style>
  <w:style w:type="numbering" w:customStyle="1" w:styleId="List47">
    <w:name w:val="List 47"/>
    <w:rsid w:val="00475537"/>
    <w:pPr>
      <w:numPr>
        <w:numId w:val="72"/>
      </w:numPr>
    </w:pPr>
  </w:style>
  <w:style w:type="numbering" w:customStyle="1" w:styleId="List28">
    <w:name w:val="List 28"/>
    <w:rsid w:val="00475537"/>
    <w:pPr>
      <w:numPr>
        <w:numId w:val="73"/>
      </w:numPr>
    </w:pPr>
  </w:style>
  <w:style w:type="numbering" w:customStyle="1" w:styleId="List10">
    <w:name w:val="List 10"/>
    <w:rsid w:val="00475537"/>
    <w:pPr>
      <w:numPr>
        <w:numId w:val="11"/>
      </w:numPr>
    </w:pPr>
  </w:style>
  <w:style w:type="numbering" w:customStyle="1" w:styleId="List0">
    <w:name w:val="List 0"/>
    <w:rsid w:val="00475537"/>
    <w:pPr>
      <w:numPr>
        <w:numId w:val="74"/>
      </w:numPr>
    </w:pPr>
  </w:style>
  <w:style w:type="numbering" w:customStyle="1" w:styleId="List30">
    <w:name w:val="List 30"/>
    <w:rsid w:val="00475537"/>
    <w:pPr>
      <w:numPr>
        <w:numId w:val="75"/>
      </w:numPr>
    </w:pPr>
  </w:style>
  <w:style w:type="numbering" w:customStyle="1" w:styleId="List29">
    <w:name w:val="List 29"/>
    <w:rsid w:val="00475537"/>
    <w:pPr>
      <w:numPr>
        <w:numId w:val="77"/>
      </w:numPr>
    </w:pPr>
  </w:style>
  <w:style w:type="numbering" w:customStyle="1" w:styleId="List38">
    <w:name w:val="List 38"/>
    <w:rsid w:val="00475537"/>
    <w:pPr>
      <w:numPr>
        <w:numId w:val="78"/>
      </w:numPr>
    </w:pPr>
  </w:style>
  <w:style w:type="numbering" w:customStyle="1" w:styleId="List12">
    <w:name w:val="List 12"/>
    <w:rsid w:val="00475537"/>
    <w:pPr>
      <w:numPr>
        <w:numId w:val="79"/>
      </w:numPr>
    </w:pPr>
  </w:style>
  <w:style w:type="numbering" w:customStyle="1" w:styleId="List50">
    <w:name w:val="List 50"/>
    <w:rsid w:val="00475537"/>
    <w:pPr>
      <w:numPr>
        <w:numId w:val="80"/>
      </w:numPr>
    </w:pPr>
  </w:style>
  <w:style w:type="numbering" w:customStyle="1" w:styleId="List34">
    <w:name w:val="List 34"/>
    <w:rsid w:val="00475537"/>
    <w:pPr>
      <w:numPr>
        <w:numId w:val="54"/>
      </w:numPr>
    </w:pPr>
  </w:style>
  <w:style w:type="numbering" w:customStyle="1" w:styleId="List42">
    <w:name w:val="List 42"/>
    <w:rsid w:val="00475537"/>
    <w:pPr>
      <w:numPr>
        <w:numId w:val="55"/>
      </w:numPr>
    </w:pPr>
  </w:style>
  <w:style w:type="numbering" w:customStyle="1" w:styleId="List49">
    <w:name w:val="List 49"/>
    <w:rsid w:val="00475537"/>
    <w:pPr>
      <w:numPr>
        <w:numId w:val="82"/>
      </w:numPr>
    </w:pPr>
  </w:style>
  <w:style w:type="numbering" w:customStyle="1" w:styleId="List44">
    <w:name w:val="List 44"/>
    <w:rsid w:val="00475537"/>
    <w:pPr>
      <w:numPr>
        <w:numId w:val="83"/>
      </w:numPr>
    </w:pPr>
  </w:style>
  <w:style w:type="numbering" w:customStyle="1" w:styleId="List21">
    <w:name w:val="List 21"/>
    <w:rsid w:val="00475537"/>
    <w:pPr>
      <w:numPr>
        <w:numId w:val="95"/>
      </w:numPr>
    </w:pPr>
  </w:style>
  <w:style w:type="numbering" w:customStyle="1" w:styleId="List52">
    <w:name w:val="List 52"/>
    <w:rsid w:val="00475537"/>
    <w:pPr>
      <w:numPr>
        <w:numId w:val="52"/>
      </w:numPr>
    </w:pPr>
  </w:style>
  <w:style w:type="numbering" w:customStyle="1" w:styleId="List24">
    <w:name w:val="List 24"/>
    <w:rsid w:val="00475537"/>
    <w:pPr>
      <w:numPr>
        <w:numId w:val="56"/>
      </w:numPr>
    </w:pPr>
  </w:style>
  <w:style w:type="numbering" w:customStyle="1" w:styleId="List51">
    <w:name w:val="List 51"/>
    <w:rsid w:val="00475537"/>
    <w:pPr>
      <w:numPr>
        <w:numId w:val="98"/>
      </w:numPr>
    </w:pPr>
  </w:style>
  <w:style w:type="numbering" w:customStyle="1" w:styleId="List27">
    <w:name w:val="List 27"/>
    <w:rsid w:val="00475537"/>
    <w:pPr>
      <w:numPr>
        <w:numId w:val="84"/>
      </w:numPr>
    </w:pPr>
  </w:style>
  <w:style w:type="numbering" w:customStyle="1" w:styleId="List8">
    <w:name w:val="List 8"/>
    <w:rsid w:val="00475537"/>
    <w:pPr>
      <w:numPr>
        <w:numId w:val="9"/>
      </w:numPr>
    </w:pPr>
  </w:style>
  <w:style w:type="numbering" w:customStyle="1" w:styleId="List13">
    <w:name w:val="List 13"/>
    <w:rsid w:val="00475537"/>
    <w:pPr>
      <w:numPr>
        <w:numId w:val="85"/>
      </w:numPr>
    </w:pPr>
  </w:style>
  <w:style w:type="numbering" w:customStyle="1" w:styleId="List20">
    <w:name w:val="List 20"/>
    <w:rsid w:val="00475537"/>
    <w:pPr>
      <w:numPr>
        <w:numId w:val="86"/>
      </w:numPr>
    </w:pPr>
  </w:style>
  <w:style w:type="numbering" w:customStyle="1" w:styleId="List41">
    <w:name w:val="List 41"/>
    <w:rsid w:val="00475537"/>
    <w:pPr>
      <w:numPr>
        <w:numId w:val="87"/>
      </w:numPr>
    </w:pPr>
  </w:style>
  <w:style w:type="numbering" w:customStyle="1" w:styleId="List31">
    <w:name w:val="List 31"/>
    <w:rsid w:val="00475537"/>
    <w:pPr>
      <w:numPr>
        <w:numId w:val="88"/>
      </w:numPr>
    </w:pPr>
  </w:style>
  <w:style w:type="numbering" w:customStyle="1" w:styleId="List6">
    <w:name w:val="List 6"/>
    <w:rsid w:val="00475537"/>
    <w:pPr>
      <w:numPr>
        <w:numId w:val="7"/>
      </w:numPr>
    </w:pPr>
  </w:style>
  <w:style w:type="numbering" w:customStyle="1" w:styleId="List39">
    <w:name w:val="List 39"/>
    <w:rsid w:val="00475537"/>
    <w:pPr>
      <w:numPr>
        <w:numId w:val="89"/>
      </w:numPr>
    </w:pPr>
  </w:style>
  <w:style w:type="numbering" w:customStyle="1" w:styleId="List37">
    <w:name w:val="List 37"/>
    <w:rsid w:val="00475537"/>
    <w:pPr>
      <w:numPr>
        <w:numId w:val="90"/>
      </w:numPr>
    </w:pPr>
  </w:style>
  <w:style w:type="numbering" w:customStyle="1" w:styleId="List32">
    <w:name w:val="List 32"/>
    <w:rsid w:val="00475537"/>
    <w:pPr>
      <w:numPr>
        <w:numId w:val="91"/>
      </w:numPr>
    </w:pPr>
  </w:style>
  <w:style w:type="numbering" w:customStyle="1" w:styleId="List26">
    <w:name w:val="List 26"/>
    <w:rsid w:val="00475537"/>
    <w:pPr>
      <w:numPr>
        <w:numId w:val="92"/>
      </w:numPr>
    </w:pPr>
  </w:style>
  <w:style w:type="numbering" w:customStyle="1" w:styleId="List48">
    <w:name w:val="List 48"/>
    <w:rsid w:val="00475537"/>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84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2430</Words>
  <Characters>12614</Characters>
  <Application>Microsoft Office Word</Application>
  <DocSecurity>0</DocSecurity>
  <Lines>182</Lines>
  <Paragraphs>37</Paragraphs>
  <ScaleCrop>false</ScaleCrop>
  <Company/>
  <LinksUpToDate>false</LinksUpToDate>
  <CharactersWithSpaces>15007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54/17</dc:title>
  <dc:creator/>
  <cp:lastModifiedBy/>
  <cp:revision>1</cp:revision>
  <dcterms:created xsi:type="dcterms:W3CDTF">2017-11-02T19:04:00Z</dcterms:created>
  <dcterms:modified xsi:type="dcterms:W3CDTF">2017-11-02T19:04:00Z</dcterms:modified>
</cp:coreProperties>
</file>