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5A7E5D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F03A9">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/1</w:t>
                            </w:r>
                            <w:r w:rsidR="00736059">
                              <w:rPr>
                                <w:rFonts w:asciiTheme="majorHAnsi" w:hAnsiTheme="majorHAnsi" w:cs="Arial"/>
                                <w:b/>
                                <w:bCs/>
                                <w:color w:val="0D0D0D" w:themeColor="text1" w:themeTint="F2"/>
                                <w:sz w:val="36"/>
                                <w:szCs w:val="40"/>
                              </w:rPr>
                              <w:t>7</w:t>
                            </w:r>
                          </w:p>
                          <w:p w14:paraId="081F51F3" w14:textId="79183DB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36059" w:rsidRPr="00736059">
                              <w:rPr>
                                <w:rFonts w:asciiTheme="majorHAnsi" w:hAnsiTheme="majorHAnsi" w:cs="Arial"/>
                                <w:b/>
                                <w:bCs/>
                                <w:color w:val="0D0D0D" w:themeColor="text1" w:themeTint="F2"/>
                                <w:sz w:val="36"/>
                                <w:szCs w:val="40"/>
                              </w:rPr>
                              <w:t>69-08</w:t>
                            </w:r>
                          </w:p>
                          <w:p w14:paraId="34978E5A" w14:textId="662DB22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9FB88D9" w14:textId="77777777" w:rsidR="00736059" w:rsidRPr="00736059" w:rsidRDefault="00736059" w:rsidP="00736059">
                            <w:pPr>
                              <w:spacing w:line="276" w:lineRule="auto"/>
                              <w:rPr>
                                <w:rFonts w:ascii="Cambria" w:hAnsi="Cambria" w:cs="Arial"/>
                                <w:color w:val="0D0D0D"/>
                                <w:szCs w:val="22"/>
                              </w:rPr>
                            </w:pPr>
                            <w:r w:rsidRPr="00736059">
                              <w:rPr>
                                <w:rFonts w:ascii="Cambria" w:hAnsi="Cambria" w:cs="Arial"/>
                                <w:color w:val="0D0D0D"/>
                                <w:szCs w:val="22"/>
                                <w:lang w:val="en"/>
                              </w:rPr>
                              <w:t>JAVIER CHARQUE CHOQUE AND FAMILY</w:t>
                            </w:r>
                          </w:p>
                          <w:p w14:paraId="41BDDB5A" w14:textId="77777777" w:rsidR="00736059" w:rsidRPr="00736059" w:rsidRDefault="00736059" w:rsidP="00736059">
                            <w:pPr>
                              <w:spacing w:line="276" w:lineRule="auto"/>
                              <w:rPr>
                                <w:rFonts w:ascii="Cambria" w:hAnsi="Cambria" w:cs="Arial"/>
                                <w:color w:val="0D0D0D"/>
                                <w:szCs w:val="22"/>
                              </w:rPr>
                            </w:pPr>
                            <w:r w:rsidRPr="00736059">
                              <w:rPr>
                                <w:rFonts w:ascii="Cambria" w:hAnsi="Cambria" w:cs="Arial"/>
                                <w:color w:val="0D0D0D"/>
                                <w:szCs w:val="22"/>
                                <w:lang w:val="en"/>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5A7E5D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F03A9">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/1</w:t>
                      </w:r>
                      <w:r w:rsidR="00736059">
                        <w:rPr>
                          <w:rFonts w:asciiTheme="majorHAnsi" w:hAnsiTheme="majorHAnsi" w:cs="Arial"/>
                          <w:b/>
                          <w:bCs/>
                          <w:color w:val="0D0D0D" w:themeColor="text1" w:themeTint="F2"/>
                          <w:sz w:val="36"/>
                          <w:szCs w:val="40"/>
                        </w:rPr>
                        <w:t>7</w:t>
                      </w:r>
                    </w:p>
                    <w:p w14:paraId="081F51F3" w14:textId="79183DB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36059" w:rsidRPr="00736059">
                        <w:rPr>
                          <w:rFonts w:asciiTheme="majorHAnsi" w:hAnsiTheme="majorHAnsi" w:cs="Arial"/>
                          <w:b/>
                          <w:bCs/>
                          <w:color w:val="0D0D0D" w:themeColor="text1" w:themeTint="F2"/>
                          <w:sz w:val="36"/>
                          <w:szCs w:val="40"/>
                        </w:rPr>
                        <w:t>69-08</w:t>
                      </w:r>
                    </w:p>
                    <w:p w14:paraId="34978E5A" w14:textId="662DB22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9FB88D9" w14:textId="77777777" w:rsidR="00736059" w:rsidRPr="00736059" w:rsidRDefault="00736059" w:rsidP="00736059">
                      <w:pPr>
                        <w:spacing w:line="276" w:lineRule="auto"/>
                        <w:rPr>
                          <w:rFonts w:ascii="Cambria" w:hAnsi="Cambria" w:cs="Arial"/>
                          <w:color w:val="0D0D0D"/>
                          <w:szCs w:val="22"/>
                        </w:rPr>
                      </w:pPr>
                      <w:r w:rsidRPr="00736059">
                        <w:rPr>
                          <w:rFonts w:ascii="Cambria" w:hAnsi="Cambria" w:cs="Arial"/>
                          <w:color w:val="0D0D0D"/>
                          <w:szCs w:val="22"/>
                          <w:lang w:val="en"/>
                        </w:rPr>
                        <w:t>JAVIER CHARQUE CHOQUE AND FAMILY</w:t>
                      </w:r>
                    </w:p>
                    <w:p w14:paraId="41BDDB5A" w14:textId="77777777" w:rsidR="00736059" w:rsidRPr="00736059" w:rsidRDefault="00736059" w:rsidP="00736059">
                      <w:pPr>
                        <w:spacing w:line="276" w:lineRule="auto"/>
                        <w:rPr>
                          <w:rFonts w:ascii="Cambria" w:hAnsi="Cambria" w:cs="Arial"/>
                          <w:color w:val="0D0D0D"/>
                          <w:szCs w:val="22"/>
                        </w:rPr>
                      </w:pPr>
                      <w:r w:rsidRPr="00736059">
                        <w:rPr>
                          <w:rFonts w:ascii="Cambria" w:hAnsi="Cambria" w:cs="Arial"/>
                          <w:color w:val="0D0D0D"/>
                          <w:szCs w:val="22"/>
                          <w:lang w:val="en"/>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BFB6756" w:rsidR="00627C9F" w:rsidRPr="00A05384" w:rsidRDefault="009E566A" w:rsidP="009E566A">
                            <w:pPr>
                              <w:jc w:val="right"/>
                              <w:rPr>
                                <w:rFonts w:asciiTheme="minorHAnsi" w:hAnsiTheme="minorHAnsi"/>
                                <w:color w:val="FFFFFF" w:themeColor="background1"/>
                                <w:sz w:val="22"/>
                                <w:lang w:val="pt-BR"/>
                              </w:rPr>
                            </w:pPr>
                            <w:r w:rsidRPr="00A05384">
                              <w:rPr>
                                <w:rFonts w:asciiTheme="minorHAnsi" w:hAnsiTheme="minorHAnsi"/>
                                <w:color w:val="FFFFFF" w:themeColor="background1"/>
                                <w:sz w:val="22"/>
                                <w:lang w:val="pt-BR"/>
                              </w:rPr>
                              <w:t>OEA/Ser.L/V/II.1</w:t>
                            </w:r>
                            <w:r w:rsidR="001F03A9">
                              <w:rPr>
                                <w:rFonts w:asciiTheme="minorHAnsi" w:hAnsiTheme="minorHAnsi"/>
                                <w:color w:val="FFFFFF" w:themeColor="background1"/>
                                <w:sz w:val="22"/>
                                <w:lang w:val="pt-BR"/>
                              </w:rPr>
                              <w:t>62</w:t>
                            </w:r>
                          </w:p>
                          <w:p w14:paraId="4AA08A8C" w14:textId="1DC409EE" w:rsidR="00627C9F" w:rsidRPr="00A05384" w:rsidRDefault="00CA6577" w:rsidP="009E566A">
                            <w:pPr>
                              <w:jc w:val="right"/>
                              <w:rPr>
                                <w:rFonts w:asciiTheme="minorHAnsi" w:hAnsiTheme="minorHAnsi"/>
                                <w:color w:val="FFFFFF" w:themeColor="background1"/>
                                <w:sz w:val="22"/>
                                <w:lang w:val="pt-BR"/>
                              </w:rPr>
                            </w:pPr>
                            <w:r w:rsidRPr="00A05384">
                              <w:rPr>
                                <w:rFonts w:asciiTheme="minorHAnsi" w:hAnsiTheme="minorHAnsi"/>
                                <w:color w:val="FFFFFF" w:themeColor="background1"/>
                                <w:sz w:val="22"/>
                                <w:lang w:val="pt-BR"/>
                              </w:rPr>
                              <w:t xml:space="preserve">Doc. </w:t>
                            </w:r>
                            <w:r w:rsidR="001F03A9">
                              <w:rPr>
                                <w:rFonts w:asciiTheme="minorHAnsi" w:hAnsiTheme="minorHAnsi"/>
                                <w:color w:val="FFFFFF" w:themeColor="background1"/>
                                <w:sz w:val="22"/>
                                <w:lang w:val="pt-BR"/>
                              </w:rPr>
                              <w:t>58</w:t>
                            </w:r>
                          </w:p>
                          <w:p w14:paraId="0BEFF61A" w14:textId="207E2D12" w:rsidR="00627C9F" w:rsidRPr="00A05384" w:rsidRDefault="001F03A9"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w:t>
                            </w:r>
                            <w:r w:rsidR="000C4365" w:rsidRPr="00A05384">
                              <w:rPr>
                                <w:rFonts w:asciiTheme="minorHAnsi" w:hAnsiTheme="minorHAnsi"/>
                                <w:color w:val="FFFFFF" w:themeColor="background1"/>
                                <w:sz w:val="22"/>
                              </w:rPr>
                              <w:t xml:space="preserve"> </w:t>
                            </w:r>
                            <w:r w:rsidR="00F42B71" w:rsidRPr="00A05384">
                              <w:rPr>
                                <w:rFonts w:asciiTheme="minorHAnsi" w:hAnsiTheme="minorHAnsi"/>
                                <w:color w:val="FFFFFF" w:themeColor="background1"/>
                                <w:sz w:val="22"/>
                              </w:rPr>
                              <w:t>20</w:t>
                            </w:r>
                            <w:r w:rsidR="00736059" w:rsidRPr="00A05384">
                              <w:rPr>
                                <w:rFonts w:asciiTheme="minorHAnsi" w:hAnsiTheme="minorHAnsi"/>
                                <w:color w:val="FFFFFF" w:themeColor="background1"/>
                                <w:sz w:val="22"/>
                              </w:rPr>
                              <w:t>17</w:t>
                            </w:r>
                          </w:p>
                          <w:p w14:paraId="0FC103BD" w14:textId="0D77CFAD" w:rsidR="00627C9F" w:rsidRPr="00736059" w:rsidRDefault="00627C9F" w:rsidP="009E566A">
                            <w:pPr>
                              <w:jc w:val="right"/>
                              <w:rPr>
                                <w:rFonts w:asciiTheme="minorHAnsi" w:hAnsiTheme="minorHAnsi"/>
                                <w:color w:val="FFFFFF" w:themeColor="background1"/>
                                <w:sz w:val="22"/>
                              </w:rPr>
                            </w:pPr>
                            <w:r w:rsidRPr="00A05384">
                              <w:rPr>
                                <w:rFonts w:asciiTheme="minorHAnsi" w:hAnsiTheme="minorHAnsi"/>
                                <w:color w:val="FFFFFF" w:themeColor="background1"/>
                                <w:sz w:val="22"/>
                              </w:rPr>
                              <w:t>Original:</w:t>
                            </w:r>
                            <w:r w:rsidR="002C1641" w:rsidRPr="00A05384">
                              <w:rPr>
                                <w:rFonts w:asciiTheme="minorHAnsi" w:hAnsiTheme="minorHAnsi"/>
                                <w:color w:val="FFFFFF" w:themeColor="background1"/>
                                <w:sz w:val="22"/>
                              </w:rPr>
                              <w:t xml:space="preserve"> </w:t>
                            </w:r>
                            <w:r w:rsidR="00F42B71" w:rsidRPr="00A0538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BFB6756" w:rsidR="00627C9F" w:rsidRPr="00A05384" w:rsidRDefault="009E566A" w:rsidP="009E566A">
                      <w:pPr>
                        <w:jc w:val="right"/>
                        <w:rPr>
                          <w:rFonts w:asciiTheme="minorHAnsi" w:hAnsiTheme="minorHAnsi"/>
                          <w:color w:val="FFFFFF" w:themeColor="background1"/>
                          <w:sz w:val="22"/>
                          <w:lang w:val="pt-BR"/>
                        </w:rPr>
                      </w:pPr>
                      <w:r w:rsidRPr="00A05384">
                        <w:rPr>
                          <w:rFonts w:asciiTheme="minorHAnsi" w:hAnsiTheme="minorHAnsi"/>
                          <w:color w:val="FFFFFF" w:themeColor="background1"/>
                          <w:sz w:val="22"/>
                          <w:lang w:val="pt-BR"/>
                        </w:rPr>
                        <w:t>OEA/Ser.L/V/II.1</w:t>
                      </w:r>
                      <w:r w:rsidR="001F03A9">
                        <w:rPr>
                          <w:rFonts w:asciiTheme="minorHAnsi" w:hAnsiTheme="minorHAnsi"/>
                          <w:color w:val="FFFFFF" w:themeColor="background1"/>
                          <w:sz w:val="22"/>
                          <w:lang w:val="pt-BR"/>
                        </w:rPr>
                        <w:t>62</w:t>
                      </w:r>
                    </w:p>
                    <w:p w14:paraId="4AA08A8C" w14:textId="1DC409EE" w:rsidR="00627C9F" w:rsidRPr="00A05384" w:rsidRDefault="00CA6577" w:rsidP="009E566A">
                      <w:pPr>
                        <w:jc w:val="right"/>
                        <w:rPr>
                          <w:rFonts w:asciiTheme="minorHAnsi" w:hAnsiTheme="minorHAnsi"/>
                          <w:color w:val="FFFFFF" w:themeColor="background1"/>
                          <w:sz w:val="22"/>
                          <w:lang w:val="pt-BR"/>
                        </w:rPr>
                      </w:pPr>
                      <w:r w:rsidRPr="00A05384">
                        <w:rPr>
                          <w:rFonts w:asciiTheme="minorHAnsi" w:hAnsiTheme="minorHAnsi"/>
                          <w:color w:val="FFFFFF" w:themeColor="background1"/>
                          <w:sz w:val="22"/>
                          <w:lang w:val="pt-BR"/>
                        </w:rPr>
                        <w:t xml:space="preserve">Doc. </w:t>
                      </w:r>
                      <w:r w:rsidR="001F03A9">
                        <w:rPr>
                          <w:rFonts w:asciiTheme="minorHAnsi" w:hAnsiTheme="minorHAnsi"/>
                          <w:color w:val="FFFFFF" w:themeColor="background1"/>
                          <w:sz w:val="22"/>
                          <w:lang w:val="pt-BR"/>
                        </w:rPr>
                        <w:t>58</w:t>
                      </w:r>
                    </w:p>
                    <w:p w14:paraId="0BEFF61A" w14:textId="207E2D12" w:rsidR="00627C9F" w:rsidRPr="00A05384" w:rsidRDefault="001F03A9"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w:t>
                      </w:r>
                      <w:r w:rsidR="000C4365" w:rsidRPr="00A05384">
                        <w:rPr>
                          <w:rFonts w:asciiTheme="minorHAnsi" w:hAnsiTheme="minorHAnsi"/>
                          <w:color w:val="FFFFFF" w:themeColor="background1"/>
                          <w:sz w:val="22"/>
                        </w:rPr>
                        <w:t xml:space="preserve"> </w:t>
                      </w:r>
                      <w:r w:rsidR="00F42B71" w:rsidRPr="00A05384">
                        <w:rPr>
                          <w:rFonts w:asciiTheme="minorHAnsi" w:hAnsiTheme="minorHAnsi"/>
                          <w:color w:val="FFFFFF" w:themeColor="background1"/>
                          <w:sz w:val="22"/>
                        </w:rPr>
                        <w:t>20</w:t>
                      </w:r>
                      <w:r w:rsidR="00736059" w:rsidRPr="00A05384">
                        <w:rPr>
                          <w:rFonts w:asciiTheme="minorHAnsi" w:hAnsiTheme="minorHAnsi"/>
                          <w:color w:val="FFFFFF" w:themeColor="background1"/>
                          <w:sz w:val="22"/>
                        </w:rPr>
                        <w:t>17</w:t>
                      </w:r>
                    </w:p>
                    <w:p w14:paraId="0FC103BD" w14:textId="0D77CFAD" w:rsidR="00627C9F" w:rsidRPr="00736059" w:rsidRDefault="00627C9F" w:rsidP="009E566A">
                      <w:pPr>
                        <w:jc w:val="right"/>
                        <w:rPr>
                          <w:rFonts w:asciiTheme="minorHAnsi" w:hAnsiTheme="minorHAnsi"/>
                          <w:color w:val="FFFFFF" w:themeColor="background1"/>
                          <w:sz w:val="22"/>
                        </w:rPr>
                      </w:pPr>
                      <w:r w:rsidRPr="00A05384">
                        <w:rPr>
                          <w:rFonts w:asciiTheme="minorHAnsi" w:hAnsiTheme="minorHAnsi"/>
                          <w:color w:val="FFFFFF" w:themeColor="background1"/>
                          <w:sz w:val="22"/>
                        </w:rPr>
                        <w:t>Original:</w:t>
                      </w:r>
                      <w:r w:rsidR="002C1641" w:rsidRPr="00A05384">
                        <w:rPr>
                          <w:rFonts w:asciiTheme="minorHAnsi" w:hAnsiTheme="minorHAnsi"/>
                          <w:color w:val="FFFFFF" w:themeColor="background1"/>
                          <w:sz w:val="22"/>
                        </w:rPr>
                        <w:t xml:space="preserve"> </w:t>
                      </w:r>
                      <w:r w:rsidR="00F42B71" w:rsidRPr="00A05384">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0AF878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1F03A9">
                              <w:rPr>
                                <w:rFonts w:asciiTheme="majorHAnsi" w:hAnsiTheme="majorHAnsi"/>
                                <w:color w:val="0D0D0D" w:themeColor="text1" w:themeTint="F2"/>
                                <w:sz w:val="18"/>
                                <w:szCs w:val="20"/>
                              </w:rPr>
                              <w:t>2085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1F03A9">
                              <w:rPr>
                                <w:rFonts w:asciiTheme="majorHAnsi" w:hAnsiTheme="majorHAnsi"/>
                                <w:color w:val="0D0D0D" w:themeColor="text1" w:themeTint="F2"/>
                                <w:sz w:val="18"/>
                                <w:szCs w:val="20"/>
                              </w:rPr>
                              <w:t>May 25, 2017</w:t>
                            </w:r>
                            <w:r w:rsidR="004B7EB6" w:rsidRPr="003C32BC">
                              <w:rPr>
                                <w:rFonts w:asciiTheme="majorHAnsi" w:hAnsiTheme="majorHAnsi"/>
                                <w:color w:val="0D0D0D" w:themeColor="text1" w:themeTint="F2"/>
                                <w:sz w:val="18"/>
                                <w:szCs w:val="20"/>
                              </w:rPr>
                              <w:br/>
                            </w:r>
                            <w:r w:rsidR="001F03A9">
                              <w:rPr>
                                <w:rFonts w:asciiTheme="majorHAnsi" w:hAnsiTheme="majorHAnsi" w:cs="Univers"/>
                                <w:color w:val="0D0D0D" w:themeColor="text1" w:themeTint="F2"/>
                                <w:sz w:val="18"/>
                                <w:szCs w:val="20"/>
                              </w:rPr>
                              <w:t>162</w:t>
                            </w:r>
                            <w:r w:rsidR="00564751">
                              <w:rPr>
                                <w:rFonts w:asciiTheme="majorHAnsi" w:hAnsiTheme="majorHAnsi" w:cs="Univers"/>
                                <w:sz w:val="18"/>
                                <w:szCs w:val="20"/>
                                <w:vertAlign w:val="superscript"/>
                              </w:rPr>
                              <w:t>nd</w:t>
                            </w:r>
                            <w:r w:rsidR="00092F32" w:rsidRPr="003C32BC">
                              <w:rPr>
                                <w:rFonts w:asciiTheme="majorHAnsi" w:hAnsiTheme="majorHAnsi" w:cs="Univers"/>
                                <w:color w:val="0D0D0D" w:themeColor="text1" w:themeTint="F2"/>
                                <w:sz w:val="18"/>
                                <w:szCs w:val="20"/>
                              </w:rPr>
                              <w:t xml:space="preserve"> </w:t>
                            </w:r>
                            <w:r w:rsidR="001F03A9">
                              <w:rPr>
                                <w:rFonts w:asciiTheme="majorHAnsi" w:hAnsiTheme="majorHAnsi" w:cs="Univers"/>
                                <w:color w:val="0D0D0D" w:themeColor="text1" w:themeTint="F2"/>
                                <w:sz w:val="18"/>
                                <w:szCs w:val="20"/>
                              </w:rPr>
                              <w:t>Extraordinary</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0AF878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1F03A9">
                        <w:rPr>
                          <w:rFonts w:asciiTheme="majorHAnsi" w:hAnsiTheme="majorHAnsi"/>
                          <w:color w:val="0D0D0D" w:themeColor="text1" w:themeTint="F2"/>
                          <w:sz w:val="18"/>
                          <w:szCs w:val="20"/>
                        </w:rPr>
                        <w:t>2085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1F03A9">
                        <w:rPr>
                          <w:rFonts w:asciiTheme="majorHAnsi" w:hAnsiTheme="majorHAnsi"/>
                          <w:color w:val="0D0D0D" w:themeColor="text1" w:themeTint="F2"/>
                          <w:sz w:val="18"/>
                          <w:szCs w:val="20"/>
                        </w:rPr>
                        <w:t>May 25, 2017</w:t>
                      </w:r>
                      <w:r w:rsidR="004B7EB6" w:rsidRPr="003C32BC">
                        <w:rPr>
                          <w:rFonts w:asciiTheme="majorHAnsi" w:hAnsiTheme="majorHAnsi"/>
                          <w:color w:val="0D0D0D" w:themeColor="text1" w:themeTint="F2"/>
                          <w:sz w:val="18"/>
                          <w:szCs w:val="20"/>
                        </w:rPr>
                        <w:br/>
                      </w:r>
                      <w:r w:rsidR="001F03A9">
                        <w:rPr>
                          <w:rFonts w:asciiTheme="majorHAnsi" w:hAnsiTheme="majorHAnsi" w:cs="Univers"/>
                          <w:color w:val="0D0D0D" w:themeColor="text1" w:themeTint="F2"/>
                          <w:sz w:val="18"/>
                          <w:szCs w:val="20"/>
                        </w:rPr>
                        <w:t>162</w:t>
                      </w:r>
                      <w:r w:rsidR="00564751">
                        <w:rPr>
                          <w:rFonts w:asciiTheme="majorHAnsi" w:hAnsiTheme="majorHAnsi" w:cs="Univers"/>
                          <w:sz w:val="18"/>
                          <w:szCs w:val="20"/>
                          <w:vertAlign w:val="superscript"/>
                        </w:rPr>
                        <w:t>nd</w:t>
                      </w:r>
                      <w:r w:rsidR="00092F32" w:rsidRPr="003C32BC">
                        <w:rPr>
                          <w:rFonts w:asciiTheme="majorHAnsi" w:hAnsiTheme="majorHAnsi" w:cs="Univers"/>
                          <w:color w:val="0D0D0D" w:themeColor="text1" w:themeTint="F2"/>
                          <w:sz w:val="18"/>
                          <w:szCs w:val="20"/>
                        </w:rPr>
                        <w:t xml:space="preserve"> </w:t>
                      </w:r>
                      <w:r w:rsidR="001F03A9">
                        <w:rPr>
                          <w:rFonts w:asciiTheme="majorHAnsi" w:hAnsiTheme="majorHAnsi" w:cs="Univers"/>
                          <w:color w:val="0D0D0D" w:themeColor="text1" w:themeTint="F2"/>
                          <w:sz w:val="18"/>
                          <w:szCs w:val="20"/>
                        </w:rPr>
                        <w:t>Extraordinary</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6F0C97F" w:rsidR="00F644E6" w:rsidRPr="003C32BC" w:rsidRDefault="00F644E6" w:rsidP="00B10D63">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D7A8D">
                              <w:rPr>
                                <w:rFonts w:asciiTheme="majorHAnsi" w:hAnsiTheme="majorHAnsi"/>
                                <w:color w:val="595959" w:themeColor="text1" w:themeTint="A6"/>
                                <w:sz w:val="18"/>
                              </w:rPr>
                              <w:t>46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10D63">
                              <w:rPr>
                                <w:rFonts w:asciiTheme="majorHAnsi" w:hAnsiTheme="majorHAnsi"/>
                                <w:color w:val="595959" w:themeColor="text1" w:themeTint="A6"/>
                                <w:sz w:val="18"/>
                              </w:rPr>
                              <w:t>69-08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10D63" w:rsidRPr="00B10D63">
                              <w:rPr>
                                <w:rFonts w:asciiTheme="majorHAnsi" w:hAnsiTheme="majorHAnsi"/>
                                <w:color w:val="595959" w:themeColor="text1" w:themeTint="A6"/>
                                <w:sz w:val="18"/>
                              </w:rPr>
                              <w:t>J</w:t>
                            </w:r>
                            <w:r w:rsidR="00B10D63">
                              <w:rPr>
                                <w:rFonts w:asciiTheme="majorHAnsi" w:hAnsiTheme="majorHAnsi"/>
                                <w:color w:val="595959" w:themeColor="text1" w:themeTint="A6"/>
                                <w:sz w:val="18"/>
                              </w:rPr>
                              <w:t>avier Charque Choque a</w:t>
                            </w:r>
                            <w:r w:rsidR="00B10D63" w:rsidRPr="00B10D63">
                              <w:rPr>
                                <w:rFonts w:asciiTheme="majorHAnsi" w:hAnsiTheme="majorHAnsi"/>
                                <w:color w:val="595959" w:themeColor="text1" w:themeTint="A6"/>
                                <w:sz w:val="18"/>
                              </w:rPr>
                              <w:t>nd Family</w:t>
                            </w:r>
                            <w:r w:rsidR="00B10D63">
                              <w:rPr>
                                <w:rFonts w:asciiTheme="majorHAnsi" w:hAnsiTheme="majorHAnsi"/>
                                <w:color w:val="595959" w:themeColor="text1" w:themeTint="A6"/>
                                <w:sz w:val="18"/>
                              </w:rPr>
                              <w:t xml:space="preserve">. </w:t>
                            </w:r>
                            <w:r w:rsidR="00B10D63" w:rsidRPr="00B10D63">
                              <w:rPr>
                                <w:rFonts w:asciiTheme="majorHAnsi" w:hAnsiTheme="majorHAnsi"/>
                                <w:color w:val="595959" w:themeColor="text1" w:themeTint="A6"/>
                                <w:sz w:val="18"/>
                              </w:rPr>
                              <w:t>Bolivia</w:t>
                            </w:r>
                            <w:r w:rsidR="00B10D63">
                              <w:rPr>
                                <w:rFonts w:asciiTheme="majorHAnsi" w:hAnsiTheme="majorHAnsi"/>
                                <w:color w:val="595959" w:themeColor="text1" w:themeTint="A6"/>
                                <w:sz w:val="18"/>
                              </w:rPr>
                              <w:t>. May 25,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6F0C97F" w:rsidR="00F644E6" w:rsidRPr="003C32BC" w:rsidRDefault="00F644E6" w:rsidP="00B10D63">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D7A8D">
                        <w:rPr>
                          <w:rFonts w:asciiTheme="majorHAnsi" w:hAnsiTheme="majorHAnsi"/>
                          <w:color w:val="595959" w:themeColor="text1" w:themeTint="A6"/>
                          <w:sz w:val="18"/>
                        </w:rPr>
                        <w:t>46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10D63">
                        <w:rPr>
                          <w:rFonts w:asciiTheme="majorHAnsi" w:hAnsiTheme="majorHAnsi"/>
                          <w:color w:val="595959" w:themeColor="text1" w:themeTint="A6"/>
                          <w:sz w:val="18"/>
                        </w:rPr>
                        <w:t>69-08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B10D63" w:rsidRPr="00B10D63">
                        <w:rPr>
                          <w:rFonts w:asciiTheme="majorHAnsi" w:hAnsiTheme="majorHAnsi"/>
                          <w:color w:val="595959" w:themeColor="text1" w:themeTint="A6"/>
                          <w:sz w:val="18"/>
                        </w:rPr>
                        <w:t>J</w:t>
                      </w:r>
                      <w:r w:rsidR="00B10D63">
                        <w:rPr>
                          <w:rFonts w:asciiTheme="majorHAnsi" w:hAnsiTheme="majorHAnsi"/>
                          <w:color w:val="595959" w:themeColor="text1" w:themeTint="A6"/>
                          <w:sz w:val="18"/>
                        </w:rPr>
                        <w:t xml:space="preserve">avier </w:t>
                      </w:r>
                      <w:proofErr w:type="spellStart"/>
                      <w:r w:rsidR="00B10D63">
                        <w:rPr>
                          <w:rFonts w:asciiTheme="majorHAnsi" w:hAnsiTheme="majorHAnsi"/>
                          <w:color w:val="595959" w:themeColor="text1" w:themeTint="A6"/>
                          <w:sz w:val="18"/>
                        </w:rPr>
                        <w:t>Charque</w:t>
                      </w:r>
                      <w:proofErr w:type="spellEnd"/>
                      <w:r w:rsidR="00B10D63">
                        <w:rPr>
                          <w:rFonts w:asciiTheme="majorHAnsi" w:hAnsiTheme="majorHAnsi"/>
                          <w:color w:val="595959" w:themeColor="text1" w:themeTint="A6"/>
                          <w:sz w:val="18"/>
                        </w:rPr>
                        <w:t xml:space="preserve"> </w:t>
                      </w:r>
                      <w:proofErr w:type="spellStart"/>
                      <w:r w:rsidR="00B10D63">
                        <w:rPr>
                          <w:rFonts w:asciiTheme="majorHAnsi" w:hAnsiTheme="majorHAnsi"/>
                          <w:color w:val="595959" w:themeColor="text1" w:themeTint="A6"/>
                          <w:sz w:val="18"/>
                        </w:rPr>
                        <w:t>Choque</w:t>
                      </w:r>
                      <w:proofErr w:type="spellEnd"/>
                      <w:r w:rsidR="00B10D63">
                        <w:rPr>
                          <w:rFonts w:asciiTheme="majorHAnsi" w:hAnsiTheme="majorHAnsi"/>
                          <w:color w:val="595959" w:themeColor="text1" w:themeTint="A6"/>
                          <w:sz w:val="18"/>
                        </w:rPr>
                        <w:t xml:space="preserve"> a</w:t>
                      </w:r>
                      <w:r w:rsidR="00B10D63" w:rsidRPr="00B10D63">
                        <w:rPr>
                          <w:rFonts w:asciiTheme="majorHAnsi" w:hAnsiTheme="majorHAnsi"/>
                          <w:color w:val="595959" w:themeColor="text1" w:themeTint="A6"/>
                          <w:sz w:val="18"/>
                        </w:rPr>
                        <w:t>nd Family</w:t>
                      </w:r>
                      <w:r w:rsidR="00B10D63">
                        <w:rPr>
                          <w:rFonts w:asciiTheme="majorHAnsi" w:hAnsiTheme="majorHAnsi"/>
                          <w:color w:val="595959" w:themeColor="text1" w:themeTint="A6"/>
                          <w:sz w:val="18"/>
                        </w:rPr>
                        <w:t>.</w:t>
                      </w:r>
                      <w:proofErr w:type="gramEnd"/>
                      <w:r w:rsidR="00B10D63">
                        <w:rPr>
                          <w:rFonts w:asciiTheme="majorHAnsi" w:hAnsiTheme="majorHAnsi"/>
                          <w:color w:val="595959" w:themeColor="text1" w:themeTint="A6"/>
                          <w:sz w:val="18"/>
                        </w:rPr>
                        <w:t xml:space="preserve"> </w:t>
                      </w:r>
                      <w:r w:rsidR="00B10D63" w:rsidRPr="00B10D63">
                        <w:rPr>
                          <w:rFonts w:asciiTheme="majorHAnsi" w:hAnsiTheme="majorHAnsi"/>
                          <w:color w:val="595959" w:themeColor="text1" w:themeTint="A6"/>
                          <w:sz w:val="18"/>
                        </w:rPr>
                        <w:t>Bolivia</w:t>
                      </w:r>
                      <w:r w:rsidR="00B10D63">
                        <w:rPr>
                          <w:rFonts w:asciiTheme="majorHAnsi" w:hAnsiTheme="majorHAnsi"/>
                          <w:color w:val="595959" w:themeColor="text1" w:themeTint="A6"/>
                          <w:sz w:val="18"/>
                        </w:rPr>
                        <w:t>. May 25, 2017</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09B2FAB1" w:rsidR="00F621C3" w:rsidRPr="000B6B7A" w:rsidRDefault="00B10D63"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46</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0751B0AF"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5D71D5" w:rsidRPr="005D71D5">
        <w:rPr>
          <w:rFonts w:asciiTheme="majorHAnsi" w:hAnsiTheme="majorHAnsi"/>
          <w:b/>
          <w:sz w:val="18"/>
          <w:szCs w:val="20"/>
        </w:rPr>
        <w:t>69-08</w:t>
      </w:r>
    </w:p>
    <w:p w14:paraId="75D1D7FA" w14:textId="7AD57B5B" w:rsidR="00F621C3" w:rsidRPr="000B6B7A" w:rsidRDefault="005D71D5"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r w:rsidR="00F621C3" w:rsidRPr="000B6B7A">
        <w:rPr>
          <w:rFonts w:asciiTheme="majorHAnsi" w:hAnsiTheme="majorHAnsi"/>
          <w:sz w:val="18"/>
          <w:szCs w:val="20"/>
        </w:rPr>
        <w:t xml:space="preserve"> </w:t>
      </w:r>
    </w:p>
    <w:p w14:paraId="04B0F00E" w14:textId="77777777" w:rsidR="005D71D5" w:rsidRPr="005D71D5" w:rsidRDefault="005D71D5" w:rsidP="005D71D5">
      <w:pPr>
        <w:tabs>
          <w:tab w:val="center" w:pos="5400"/>
        </w:tabs>
        <w:suppressAutoHyphens/>
        <w:spacing w:line="276" w:lineRule="auto"/>
        <w:jc w:val="center"/>
        <w:rPr>
          <w:rFonts w:asciiTheme="majorHAnsi" w:hAnsiTheme="majorHAnsi"/>
          <w:sz w:val="18"/>
          <w:szCs w:val="20"/>
        </w:rPr>
      </w:pPr>
      <w:r w:rsidRPr="005D71D5">
        <w:rPr>
          <w:rFonts w:asciiTheme="majorHAnsi" w:hAnsiTheme="majorHAnsi"/>
          <w:sz w:val="18"/>
          <w:szCs w:val="20"/>
          <w:lang w:val="en"/>
        </w:rPr>
        <w:t>JAVIER CHARQUE CHOQUE AND FAMILY</w:t>
      </w:r>
    </w:p>
    <w:p w14:paraId="69F14E91" w14:textId="77777777" w:rsidR="005D71D5" w:rsidRDefault="005D71D5" w:rsidP="005D71D5">
      <w:pPr>
        <w:tabs>
          <w:tab w:val="center" w:pos="5400"/>
        </w:tabs>
        <w:suppressAutoHyphens/>
        <w:spacing w:line="276" w:lineRule="auto"/>
        <w:jc w:val="center"/>
        <w:rPr>
          <w:rFonts w:asciiTheme="majorHAnsi" w:hAnsiTheme="majorHAnsi"/>
          <w:sz w:val="18"/>
          <w:szCs w:val="20"/>
        </w:rPr>
      </w:pPr>
      <w:r w:rsidRPr="005D71D5">
        <w:rPr>
          <w:rFonts w:asciiTheme="majorHAnsi" w:hAnsiTheme="majorHAnsi"/>
          <w:sz w:val="18"/>
          <w:szCs w:val="20"/>
          <w:lang w:val="en"/>
        </w:rPr>
        <w:t>BOLIVIA</w:t>
      </w:r>
      <w:r w:rsidRPr="005D71D5">
        <w:rPr>
          <w:rFonts w:asciiTheme="majorHAnsi" w:hAnsiTheme="majorHAnsi"/>
          <w:sz w:val="18"/>
          <w:szCs w:val="20"/>
        </w:rPr>
        <w:t xml:space="preserve"> </w:t>
      </w:r>
    </w:p>
    <w:p w14:paraId="2900C44D" w14:textId="4AD40440" w:rsidR="00F621C3" w:rsidRPr="00466D0B" w:rsidRDefault="00B10D63" w:rsidP="005D71D5">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MAY 25,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0888376D" w:rsidR="00F621C3" w:rsidRPr="000B6B7A" w:rsidRDefault="00736059" w:rsidP="009163FC">
            <w:pPr>
              <w:jc w:val="both"/>
              <w:rPr>
                <w:rFonts w:ascii="Cambria" w:hAnsi="Cambria"/>
                <w:bCs/>
                <w:sz w:val="20"/>
                <w:szCs w:val="20"/>
              </w:rPr>
            </w:pPr>
            <w:r>
              <w:rPr>
                <w:rFonts w:asciiTheme="majorHAnsi" w:hAnsiTheme="majorHAnsi"/>
                <w:sz w:val="20"/>
                <w:szCs w:val="20"/>
                <w:lang w:val="en"/>
              </w:rPr>
              <w:t>Martín Charque Choque</w:t>
            </w:r>
          </w:p>
        </w:tc>
      </w:tr>
      <w:tr w:rsidR="00736059"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471FA908" w:rsidR="00736059" w:rsidRPr="000B6B7A" w:rsidRDefault="00A0466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C11B3F8D37749C6ADD2F21CB22B86A0"/>
                </w:placeholder>
                <w:dropDownList>
                  <w:listItem w:value="Choose an item."/>
                  <w:listItem w:displayText="Alleged victim" w:value="Alleged victim"/>
                  <w:listItem w:displayText="Alleged victims" w:value="Alleged victims"/>
                </w:dropDownList>
              </w:sdtPr>
              <w:sdtEndPr/>
              <w:sdtContent>
                <w:r w:rsidR="00273C32">
                  <w:rPr>
                    <w:rFonts w:ascii="Cambria" w:hAnsi="Cambria"/>
                    <w:b/>
                    <w:bCs/>
                    <w:color w:val="FFFFFF" w:themeColor="background1"/>
                    <w:sz w:val="20"/>
                    <w:szCs w:val="20"/>
                  </w:rPr>
                  <w:t>Alleged victim</w:t>
                </w:r>
              </w:sdtContent>
            </w:sdt>
            <w:r w:rsidR="00736059" w:rsidRPr="000C4365">
              <w:rPr>
                <w:rFonts w:ascii="Cambria" w:hAnsi="Cambria"/>
                <w:b/>
                <w:bCs/>
                <w:color w:val="FFFFFF" w:themeColor="background1"/>
                <w:sz w:val="20"/>
                <w:szCs w:val="20"/>
              </w:rPr>
              <w:t>:</w:t>
            </w:r>
          </w:p>
        </w:tc>
        <w:tc>
          <w:tcPr>
            <w:tcW w:w="4680" w:type="dxa"/>
            <w:vAlign w:val="center"/>
          </w:tcPr>
          <w:p w14:paraId="60895337" w14:textId="19E2405B" w:rsidR="00736059" w:rsidRPr="000B6B7A" w:rsidRDefault="00736059" w:rsidP="009163FC">
            <w:pPr>
              <w:jc w:val="both"/>
              <w:rPr>
                <w:rFonts w:ascii="Cambria" w:hAnsi="Cambria"/>
                <w:bCs/>
                <w:sz w:val="20"/>
                <w:szCs w:val="20"/>
              </w:rPr>
            </w:pPr>
            <w:r>
              <w:rPr>
                <w:rFonts w:asciiTheme="majorHAnsi" w:hAnsiTheme="majorHAnsi"/>
                <w:sz w:val="20"/>
                <w:szCs w:val="20"/>
                <w:lang w:val="en"/>
              </w:rPr>
              <w:t>Javier Charque Choque and family</w:t>
            </w:r>
          </w:p>
        </w:tc>
      </w:tr>
      <w:tr w:rsidR="00736059"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736059" w:rsidRPr="000B6B7A" w:rsidRDefault="0073605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17CB9C3B" w:rsidR="00736059" w:rsidRPr="000B6B7A" w:rsidRDefault="00736059" w:rsidP="009163FC">
            <w:pPr>
              <w:jc w:val="both"/>
              <w:rPr>
                <w:rFonts w:ascii="Cambria" w:hAnsi="Cambria"/>
                <w:bCs/>
                <w:sz w:val="20"/>
                <w:szCs w:val="20"/>
              </w:rPr>
            </w:pPr>
            <w:r>
              <w:rPr>
                <w:rFonts w:asciiTheme="majorHAnsi" w:hAnsiTheme="majorHAnsi"/>
                <w:sz w:val="20"/>
                <w:szCs w:val="20"/>
                <w:lang w:val="en"/>
              </w:rPr>
              <w:t>Bolivia</w:t>
            </w:r>
          </w:p>
        </w:tc>
      </w:tr>
      <w:tr w:rsidR="00736059"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736059" w:rsidRPr="000B6B7A" w:rsidRDefault="00736059"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38D97289" w:rsidR="00736059" w:rsidRPr="000B6B7A" w:rsidRDefault="00736059" w:rsidP="009163FC">
            <w:pPr>
              <w:jc w:val="both"/>
              <w:rPr>
                <w:rFonts w:ascii="Cambria" w:hAnsi="Cambria"/>
                <w:bCs/>
                <w:sz w:val="20"/>
                <w:szCs w:val="20"/>
              </w:rPr>
            </w:pPr>
            <w:r>
              <w:rPr>
                <w:rFonts w:asciiTheme="majorHAnsi" w:hAnsiTheme="majorHAnsi"/>
                <w:sz w:val="20"/>
                <w:szCs w:val="20"/>
                <w:lang w:val="en"/>
              </w:rPr>
              <w:t>Articles 4 (right to life) and 5 (right to humane treatment) of the American Convention on Human Rights</w:t>
            </w:r>
            <w:r>
              <w:rPr>
                <w:rStyle w:val="FootnoteReference"/>
                <w:rFonts w:asciiTheme="majorHAnsi" w:hAnsiTheme="majorHAnsi"/>
                <w:sz w:val="20"/>
                <w:szCs w:val="20"/>
                <w:lang w:val="en"/>
              </w:rPr>
              <w:footnoteReference w:id="2"/>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0A8C2D6D" w:rsidR="00F621C3" w:rsidRPr="000B6B7A" w:rsidRDefault="00736059" w:rsidP="009163FC">
            <w:pPr>
              <w:jc w:val="both"/>
              <w:rPr>
                <w:rFonts w:ascii="Cambria" w:hAnsi="Cambria"/>
                <w:bCs/>
                <w:sz w:val="20"/>
                <w:szCs w:val="20"/>
              </w:rPr>
            </w:pPr>
            <w:r w:rsidRPr="00736059">
              <w:rPr>
                <w:rFonts w:ascii="Cambria" w:hAnsi="Cambria"/>
                <w:bCs/>
                <w:sz w:val="20"/>
                <w:szCs w:val="20"/>
              </w:rPr>
              <w:t>January 18, 2008</w:t>
            </w:r>
          </w:p>
        </w:tc>
      </w:tr>
      <w:tr w:rsidR="00736059" w:rsidRPr="000B6B7A"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5FF88125" w:rsidR="00736059" w:rsidRPr="000B6B7A" w:rsidRDefault="00736059"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499B90CB" w14:textId="745B57FC" w:rsidR="00736059" w:rsidRPr="000B6B7A" w:rsidRDefault="00736059" w:rsidP="009163FC">
            <w:pPr>
              <w:jc w:val="both"/>
              <w:rPr>
                <w:rFonts w:ascii="Cambria" w:hAnsi="Cambria"/>
                <w:bCs/>
                <w:sz w:val="20"/>
                <w:szCs w:val="20"/>
              </w:rPr>
            </w:pPr>
            <w:r>
              <w:rPr>
                <w:rFonts w:asciiTheme="majorHAnsi" w:hAnsiTheme="majorHAnsi"/>
                <w:sz w:val="20"/>
                <w:szCs w:val="20"/>
                <w:lang w:val="en"/>
              </w:rPr>
              <w:t>April 16, 2008</w:t>
            </w:r>
          </w:p>
        </w:tc>
      </w:tr>
      <w:tr w:rsidR="00736059"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4012684E" w:rsidR="00736059" w:rsidRPr="000B6B7A" w:rsidRDefault="00736059"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22ADBFFE" w14:textId="6F4B44E6" w:rsidR="00736059" w:rsidRPr="000B6B7A" w:rsidRDefault="00736059" w:rsidP="009163FC">
            <w:pPr>
              <w:jc w:val="both"/>
              <w:rPr>
                <w:rFonts w:ascii="Cambria" w:hAnsi="Cambria"/>
                <w:bCs/>
                <w:sz w:val="20"/>
                <w:szCs w:val="20"/>
              </w:rPr>
            </w:pPr>
            <w:r>
              <w:rPr>
                <w:rFonts w:asciiTheme="majorHAnsi" w:hAnsiTheme="majorHAnsi"/>
                <w:sz w:val="20"/>
                <w:szCs w:val="20"/>
                <w:lang w:val="en"/>
              </w:rPr>
              <w:t>February 1, 2011</w:t>
            </w:r>
          </w:p>
        </w:tc>
      </w:tr>
      <w:tr w:rsidR="00736059"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15B80E62" w:rsidR="00736059" w:rsidRPr="000B6B7A" w:rsidRDefault="0073605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19C5DA57" w14:textId="359F20F8" w:rsidR="00736059" w:rsidRPr="000B6B7A" w:rsidRDefault="00736059" w:rsidP="009163FC">
            <w:pPr>
              <w:jc w:val="both"/>
              <w:rPr>
                <w:rFonts w:ascii="Cambria" w:hAnsi="Cambria"/>
                <w:bCs/>
                <w:sz w:val="20"/>
                <w:szCs w:val="20"/>
              </w:rPr>
            </w:pPr>
            <w:r>
              <w:rPr>
                <w:rFonts w:asciiTheme="majorHAnsi" w:hAnsiTheme="majorHAnsi"/>
                <w:sz w:val="20"/>
                <w:szCs w:val="20"/>
                <w:lang w:val="en"/>
              </w:rPr>
              <w:t>April 18, 2011; October 14, 2012; July 14, 2013; and November 3, 2016</w:t>
            </w:r>
          </w:p>
        </w:tc>
      </w:tr>
      <w:tr w:rsidR="00736059"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686530BA" w:rsidR="00736059" w:rsidRPr="000B6B7A" w:rsidRDefault="00736059"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A863ACD" w14:textId="34C095D9" w:rsidR="00736059" w:rsidRPr="000B6B7A" w:rsidRDefault="00736059" w:rsidP="009163FC">
            <w:pPr>
              <w:jc w:val="both"/>
              <w:rPr>
                <w:rFonts w:ascii="Cambria" w:hAnsi="Cambria"/>
                <w:bCs/>
                <w:sz w:val="20"/>
                <w:szCs w:val="20"/>
              </w:rPr>
            </w:pPr>
            <w:r>
              <w:rPr>
                <w:rFonts w:asciiTheme="majorHAnsi" w:hAnsiTheme="majorHAnsi"/>
                <w:sz w:val="20"/>
                <w:szCs w:val="20"/>
                <w:lang w:val="en"/>
              </w:rPr>
              <w:t>June 18, 2012; January 10, 2013; and January 24, 2013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137144DB" w:rsidR="00F621C3" w:rsidRPr="000B6B7A" w:rsidRDefault="00736059" w:rsidP="009163FC">
            <w:pPr>
              <w:rPr>
                <w:rFonts w:asciiTheme="majorHAnsi" w:hAnsiTheme="majorHAnsi"/>
                <w:bCs/>
                <w:sz w:val="20"/>
                <w:szCs w:val="20"/>
              </w:rPr>
            </w:pPr>
            <w:r w:rsidRPr="00736059">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33B615D6" w:rsidR="00F621C3" w:rsidRPr="000B6B7A" w:rsidRDefault="00736059" w:rsidP="009163FC">
            <w:pPr>
              <w:rPr>
                <w:rFonts w:asciiTheme="majorHAnsi" w:hAnsiTheme="majorHAnsi"/>
                <w:bCs/>
                <w:sz w:val="20"/>
                <w:szCs w:val="20"/>
              </w:rPr>
            </w:pPr>
            <w:r w:rsidRPr="00736059">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47A9DA78" w:rsidR="00F621C3" w:rsidRPr="000B6B7A" w:rsidRDefault="00736059" w:rsidP="009163FC">
            <w:pPr>
              <w:rPr>
                <w:rFonts w:asciiTheme="majorHAnsi" w:hAnsiTheme="majorHAnsi"/>
                <w:bCs/>
                <w:sz w:val="20"/>
                <w:szCs w:val="20"/>
              </w:rPr>
            </w:pPr>
            <w:r w:rsidRPr="00736059">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2B9FE904" w:rsidR="00F621C3" w:rsidRPr="000B6B7A" w:rsidRDefault="00736059" w:rsidP="009163FC">
            <w:pPr>
              <w:jc w:val="both"/>
              <w:rPr>
                <w:rFonts w:asciiTheme="majorHAnsi" w:hAnsiTheme="majorHAnsi"/>
                <w:bCs/>
                <w:sz w:val="20"/>
                <w:szCs w:val="20"/>
              </w:rPr>
            </w:pPr>
            <w:r w:rsidRPr="00736059">
              <w:rPr>
                <w:rFonts w:asciiTheme="majorHAnsi" w:hAnsiTheme="majorHAnsi"/>
                <w:bCs/>
                <w:sz w:val="20"/>
                <w:szCs w:val="20"/>
              </w:rPr>
              <w:t>American Convention (instrument of ratification deposited on July 19, 1979)</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63204B78" w:rsidR="00F621C3" w:rsidRPr="000B6B7A" w:rsidRDefault="00736059" w:rsidP="009163FC">
            <w:pPr>
              <w:jc w:val="both"/>
              <w:rPr>
                <w:rFonts w:ascii="Cambria" w:hAnsi="Cambria"/>
                <w:bCs/>
                <w:sz w:val="20"/>
                <w:szCs w:val="20"/>
              </w:rPr>
            </w:pPr>
            <w:r w:rsidRPr="00736059">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141F6076" w:rsidR="00F621C3" w:rsidRPr="000B6B7A" w:rsidRDefault="00736059" w:rsidP="009163FC">
            <w:pPr>
              <w:jc w:val="both"/>
              <w:rPr>
                <w:rFonts w:ascii="Cambria" w:hAnsi="Cambria"/>
                <w:bCs/>
                <w:sz w:val="20"/>
                <w:szCs w:val="20"/>
              </w:rPr>
            </w:pPr>
            <w:r w:rsidRPr="00736059">
              <w:rPr>
                <w:rFonts w:ascii="Cambria" w:hAnsi="Cambria"/>
                <w:bCs/>
                <w:sz w:val="20"/>
                <w:szCs w:val="20"/>
              </w:rPr>
              <w:t>Articles 4 (right to life), 5 (right to humane treatment), 8 (right to a fair trial) and 25 (right to judicial protection) of the Convention, in accordance with Article 1.1 of said Convention</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47074457" w:rsidR="00F621C3" w:rsidRPr="000B6B7A" w:rsidRDefault="005D71D5" w:rsidP="009163FC">
            <w:pPr>
              <w:rPr>
                <w:rFonts w:ascii="Cambria" w:hAnsi="Cambria"/>
                <w:bCs/>
                <w:sz w:val="20"/>
                <w:szCs w:val="20"/>
              </w:rPr>
            </w:pPr>
            <w:r w:rsidRPr="005D71D5">
              <w:rPr>
                <w:rFonts w:ascii="Cambria" w:hAnsi="Cambria"/>
                <w:bCs/>
                <w:sz w:val="20"/>
                <w:szCs w:val="20"/>
              </w:rPr>
              <w:t>Yes, the exception provided for under Article 46(2)(c) of the American Convention applies</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28425957" w:rsidR="00F621C3" w:rsidRPr="000B6B7A" w:rsidRDefault="005D71D5" w:rsidP="009163FC">
            <w:pPr>
              <w:rPr>
                <w:rFonts w:asciiTheme="majorHAnsi" w:hAnsiTheme="majorHAnsi"/>
                <w:bCs/>
                <w:sz w:val="20"/>
                <w:szCs w:val="20"/>
              </w:rPr>
            </w:pPr>
            <w:r w:rsidRPr="005D71D5">
              <w:rPr>
                <w:rFonts w:asciiTheme="majorHAnsi" w:hAnsiTheme="majorHAnsi"/>
                <w:bCs/>
                <w:sz w:val="20"/>
                <w:szCs w:val="20"/>
              </w:rPr>
              <w:t>Yes, under the terms of Section VI</w:t>
            </w:r>
          </w:p>
        </w:tc>
      </w:tr>
    </w:tbl>
    <w:p w14:paraId="24978EC7" w14:textId="77777777" w:rsidR="005D71D5" w:rsidRDefault="005D71D5" w:rsidP="00F621C3">
      <w:pPr>
        <w:spacing w:before="240" w:after="240"/>
        <w:ind w:firstLine="720"/>
        <w:jc w:val="both"/>
        <w:rPr>
          <w:rFonts w:asciiTheme="majorHAnsi" w:hAnsiTheme="majorHAnsi"/>
          <w:b/>
          <w:sz w:val="20"/>
          <w:szCs w:val="20"/>
        </w:rPr>
      </w:pPr>
    </w:p>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3F2194A9" w14:textId="067881AC" w:rsidR="005D71D5" w:rsidRPr="005D71D5" w:rsidRDefault="006318B2" w:rsidP="005D71D5">
      <w:pPr>
        <w:pStyle w:val="ListParagraph"/>
        <w:numPr>
          <w:ilvl w:val="0"/>
          <w:numId w:val="103"/>
        </w:numPr>
        <w:jc w:val="both"/>
        <w:rPr>
          <w:rFonts w:asciiTheme="majorHAnsi" w:hAnsiTheme="majorHAnsi"/>
          <w:sz w:val="20"/>
          <w:szCs w:val="20"/>
        </w:rPr>
      </w:pPr>
      <w:r>
        <w:rPr>
          <w:sz w:val="20"/>
          <w:szCs w:val="20"/>
        </w:rPr>
        <w:t xml:space="preserve"> </w:t>
      </w:r>
      <w:r w:rsidR="005D71D5" w:rsidRPr="005D71D5">
        <w:rPr>
          <w:rFonts w:asciiTheme="majorHAnsi" w:hAnsiTheme="majorHAnsi"/>
          <w:sz w:val="20"/>
          <w:szCs w:val="20"/>
          <w:lang w:val="en"/>
        </w:rPr>
        <w:t>The petitioner alleges that Javi</w:t>
      </w:r>
      <w:r w:rsidR="005D71D5">
        <w:rPr>
          <w:rFonts w:asciiTheme="majorHAnsi" w:hAnsiTheme="majorHAnsi"/>
          <w:sz w:val="20"/>
          <w:szCs w:val="20"/>
          <w:lang w:val="en"/>
        </w:rPr>
        <w:t xml:space="preserve">er Charque Choque (hereinafter </w:t>
      </w:r>
      <w:r w:rsidR="005D71D5" w:rsidRPr="005D71D5">
        <w:rPr>
          <w:rFonts w:asciiTheme="majorHAnsi" w:hAnsiTheme="majorHAnsi"/>
          <w:sz w:val="20"/>
          <w:szCs w:val="20"/>
          <w:lang w:val="en"/>
        </w:rPr>
        <w:t xml:space="preserve">also “the alleged victim”) was studying towards a degree in Tourism. On December 29, 2006, while he was working on a research project on indigenous communities in the north of the Potosi Department, the alleged victim attended a marriage ceremony in one of the communities in Llallagua. The petitioner notes that, during the ceremony, there was a misunderstanding that led to an argument with approximately six members of the Villa Arbolitos community, who started to physically attack the alleged victim. Javier Charque Choque tried to escape, but he was caught and taken, seriously injured, before the “Jilanko” (or “Jilanqu”), the community’s indigenous authority figure. The petitioner alleges that the Jilanko allowed further torture of the alleged victim in an act of “community justice.” After several hours of agony, the alleged victim died in the early hours of December 30, 2006. The petitioner notes that, on January 11, 2007, given that he had not been in touch, the alleged victim’s mother went out to the community to look for him, and a </w:t>
      </w:r>
      <w:r w:rsidR="005D71D5" w:rsidRPr="005D71D5">
        <w:rPr>
          <w:rFonts w:asciiTheme="majorHAnsi" w:hAnsiTheme="majorHAnsi"/>
          <w:i/>
          <w:iCs/>
          <w:sz w:val="20"/>
          <w:szCs w:val="20"/>
          <w:lang w:val="en"/>
        </w:rPr>
        <w:t>comunaria</w:t>
      </w:r>
      <w:r w:rsidR="005D71D5" w:rsidRPr="005D71D5">
        <w:rPr>
          <w:rFonts w:asciiTheme="majorHAnsi" w:hAnsiTheme="majorHAnsi"/>
          <w:sz w:val="20"/>
          <w:szCs w:val="20"/>
          <w:lang w:val="en"/>
        </w:rPr>
        <w:t xml:space="preserve"> (communal peasant) told her that her son had been murdered. Finally, on January 13, 2007, the authorities found the body buried in a small grave. The alleged victim was face down, his hands and feet had been tied and he had a piece of string around his neck.</w:t>
      </w:r>
    </w:p>
    <w:p w14:paraId="0650FE93" w14:textId="77777777" w:rsidR="005D71D5" w:rsidRPr="005D71D5" w:rsidRDefault="005D71D5" w:rsidP="005D71D5">
      <w:pPr>
        <w:ind w:left="720"/>
        <w:jc w:val="both"/>
        <w:rPr>
          <w:rFonts w:asciiTheme="majorHAnsi" w:eastAsia="Cambria" w:hAnsiTheme="majorHAnsi" w:cs="Cambria"/>
          <w:color w:val="000000"/>
          <w:sz w:val="20"/>
          <w:szCs w:val="20"/>
          <w:u w:color="000000"/>
          <w:lang w:eastAsia="es-ES"/>
        </w:rPr>
      </w:pPr>
    </w:p>
    <w:p w14:paraId="6C430572" w14:textId="77777777"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 xml:space="preserve">The petitioner notes that he filed a complaint for homicide before the Public Prosecutor’s Office and the Police in Llallagua on January 13, 2007, and that on January 16, 2007, he filed a criminal complaint against the Jilanko and four other people, as joint perpetrators and accessories in the murder. On February 28, 2007, a hearing was held to establish precautionary measures before the First Mixed and Precautionary Magistrate Court in Llallagua, which ruled that the Jilanko be remanded in custody. However, the petitioner notes that, following the hearing, a group of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(communal peasants) and armed peasant leaders occupied the court building and allowed the Jilanko to escape. The Jilanko allegedly found refuge at the office of the FAOI-NP (Federation of Native and Indigenous Ayllus of Northern Potosi). Further, another group of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from Villa Arbolitos held the prosecutor hostage for two hours, during which they hit him and demanded that he resign and close the case. The petitioner further notes that the investigation has made no progress since then. He notes, however, that the Jilanko’s whereabouts are publicly known, that he continues to live in the Llallagua community and has been seen walking freely on the street and that he even went to cast his ballot at the relevant voting center.</w:t>
      </w:r>
    </w:p>
    <w:p w14:paraId="6234E185" w14:textId="77777777" w:rsidR="005D71D5" w:rsidRPr="005D71D5" w:rsidRDefault="005D71D5" w:rsidP="005D71D5">
      <w:pPr>
        <w:jc w:val="both"/>
        <w:rPr>
          <w:rFonts w:asciiTheme="majorHAnsi" w:hAnsiTheme="majorHAnsi"/>
          <w:sz w:val="20"/>
          <w:szCs w:val="20"/>
        </w:rPr>
      </w:pPr>
    </w:p>
    <w:p w14:paraId="21BC95F1" w14:textId="1CF470A4"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 xml:space="preserve">The petitioner notes that crimes are committed in Bolivia under the pretense of the so-called “community justice,” and that the Villa Arbolitos community itself alleged that the events that took place are to be taken in the context of community justice. In this sense, the petitioner notes that the Council of Indigenous Authorities of the Ayllus in the Rafael Bustillo Province of the Potosi Department passed a resolution on March 2, 2007 (signed among others by the Jilanko that was allegedly on the run), which states that the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“based on the event that happened in accordance with the custom and usage of the Villa Arbolito community, [...] set a final 30-day deadline for Prosecutor Vladimir Lazcano to file his resignation, for discriminating against us for belonging to Indigenous Peoples.” According to the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the prosecutor allegedly abused his authority by ordering the arrest of their Indigenous Authority. The petitioner further alleges that there are many cases around the country where, on the pretense of applying “community justice,” the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have lynched and tortured alleged attackers or thieves. The petitioner attaches a list of 44 alleged </w:t>
      </w:r>
      <w:r w:rsidR="0024531A" w:rsidRPr="005D71D5">
        <w:rPr>
          <w:rFonts w:asciiTheme="majorHAnsi" w:eastAsia="Cambria" w:hAnsiTheme="majorHAnsi" w:cs="Cambria"/>
          <w:color w:val="000000"/>
          <w:sz w:val="20"/>
          <w:szCs w:val="20"/>
          <w:u w:color="000000"/>
          <w:lang w:val="en" w:eastAsia="es-ES"/>
        </w:rPr>
        <w:t>lynching</w:t>
      </w:r>
      <w:r w:rsidRPr="005D71D5">
        <w:rPr>
          <w:rFonts w:asciiTheme="majorHAnsi" w:eastAsia="Cambria" w:hAnsiTheme="majorHAnsi" w:cs="Cambria"/>
          <w:color w:val="000000"/>
          <w:sz w:val="20"/>
          <w:szCs w:val="20"/>
          <w:u w:color="000000"/>
          <w:lang w:val="en" w:eastAsia="es-ES"/>
        </w:rPr>
        <w:t xml:space="preserve"> that happened in various indigenous and peasant communities between 2004 and 2009, noting that the authorities fail to adequately respond to such events.</w:t>
      </w:r>
    </w:p>
    <w:p w14:paraId="5AD1043C" w14:textId="77777777" w:rsidR="005D71D5" w:rsidRPr="005D71D5" w:rsidRDefault="005D71D5" w:rsidP="005D71D5">
      <w:pPr>
        <w:jc w:val="both"/>
        <w:rPr>
          <w:rFonts w:asciiTheme="majorHAnsi" w:hAnsiTheme="majorHAnsi"/>
          <w:sz w:val="20"/>
          <w:szCs w:val="20"/>
        </w:rPr>
      </w:pPr>
    </w:p>
    <w:p w14:paraId="1F9C48CA" w14:textId="77777777"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 xml:space="preserve">The petitioner notes that the investigation is unjustifiably delayed and has been at a standstill for 10 years. He notes that the Public Prosecutor’s Office has been negligent in processing the case, and that no proceedings have been carried out because police officers in charge of the investigation have received threats and are afraid. In this respect, the petitioner notes that police officers did not request statements from the alleged victim’s family because they deemed them unnecessary, and that, after receiving threats from the </w:t>
      </w:r>
      <w:r w:rsidRPr="005D71D5">
        <w:rPr>
          <w:rFonts w:asciiTheme="majorHAnsi" w:eastAsia="Cambria" w:hAnsiTheme="majorHAnsi" w:cs="Cambria"/>
          <w:i/>
          <w:iCs/>
          <w:color w:val="000000"/>
          <w:sz w:val="20"/>
          <w:szCs w:val="20"/>
          <w:u w:color="000000"/>
          <w:lang w:val="en" w:eastAsia="es-ES"/>
        </w:rPr>
        <w:t>comunarios</w:t>
      </w:r>
      <w:r w:rsidRPr="005D71D5">
        <w:rPr>
          <w:rFonts w:asciiTheme="majorHAnsi" w:eastAsia="Cambria" w:hAnsiTheme="majorHAnsi" w:cs="Cambria"/>
          <w:color w:val="000000"/>
          <w:sz w:val="20"/>
          <w:szCs w:val="20"/>
          <w:u w:color="000000"/>
          <w:lang w:val="en" w:eastAsia="es-ES"/>
        </w:rPr>
        <w:t xml:space="preserve"> in Villa Arbolitos, they did not carry out a reconstruction of events, although they went as far as Llallagua. Further, the petitioner notes that, on the date when the petition was submitted, a request filed by the petitioner before the First Mixed and Precautionary Magistrate Court in Llallagua on March 2, 2007, remained pending. The request asked the Court to formally charge the four additional people, alleged joint perpetrators of the murder. The petitioner notes that, although on May 8, 2007, the Court ordered the publication of edicts that expanded formal charges to those four people, they have not yet been </w:t>
      </w:r>
      <w:r w:rsidRPr="005D71D5">
        <w:rPr>
          <w:rFonts w:asciiTheme="majorHAnsi" w:eastAsia="Cambria" w:hAnsiTheme="majorHAnsi" w:cs="Cambria"/>
          <w:color w:val="000000"/>
          <w:sz w:val="20"/>
          <w:szCs w:val="20"/>
          <w:u w:color="000000"/>
          <w:lang w:val="en" w:eastAsia="es-ES"/>
        </w:rPr>
        <w:lastRenderedPageBreak/>
        <w:t>declared in default, so the petitioner alleges that the proceedings have exceeded the statute of limitations for them.</w:t>
      </w:r>
    </w:p>
    <w:p w14:paraId="49A142CD" w14:textId="77777777" w:rsidR="005D71D5" w:rsidRPr="005D71D5" w:rsidRDefault="005D71D5" w:rsidP="005D71D5">
      <w:pPr>
        <w:ind w:left="720"/>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 xml:space="preserve"> </w:t>
      </w:r>
    </w:p>
    <w:p w14:paraId="4A8C8F02" w14:textId="77777777"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The petitioner ends by noting that he and his family live in Sucre, a city in the Chuquisaca Department that is a 12-hour trip away from the court where proceedings are taking place, so it is difficult to permanently pursue the case.</w:t>
      </w:r>
    </w:p>
    <w:p w14:paraId="0D572615" w14:textId="77777777" w:rsidR="005D71D5" w:rsidRPr="005D71D5" w:rsidRDefault="005D71D5" w:rsidP="005D71D5">
      <w:pPr>
        <w:jc w:val="both"/>
        <w:rPr>
          <w:rFonts w:asciiTheme="majorHAnsi" w:hAnsiTheme="majorHAnsi"/>
          <w:sz w:val="20"/>
          <w:szCs w:val="20"/>
        </w:rPr>
      </w:pPr>
    </w:p>
    <w:p w14:paraId="635CABC0" w14:textId="77777777"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The State notes that domestic remedies have not been exhausted, since the investigation on the events mentioned in this petition remains open and is awaiting the arrest of the only person who has so far been charged in this case. The State notes that the man is in default and on the run, with a pending arrest warrant dated November 8, 2008, but that his whereabouts are not yet known. The State further notes that this is not a case of community justice, but rather an event that constitutes a crime, murder, and the Bolivian justice system, based on its Constitutional mandate, must prosecute it. The State says that the Public Prosecutor’s Office is adequately fulfilling this obligation, and that alleged delays in proceedings cannot be attributed to the State but to the Jilanko’s own malicious conduct.</w:t>
      </w:r>
    </w:p>
    <w:p w14:paraId="7535C076" w14:textId="77777777" w:rsidR="005D71D5" w:rsidRPr="005D71D5" w:rsidRDefault="005D71D5" w:rsidP="005D71D5">
      <w:pPr>
        <w:jc w:val="both"/>
        <w:rPr>
          <w:rFonts w:asciiTheme="majorHAnsi" w:hAnsiTheme="majorHAnsi"/>
          <w:sz w:val="20"/>
          <w:szCs w:val="20"/>
        </w:rPr>
      </w:pPr>
    </w:p>
    <w:p w14:paraId="2A25554C" w14:textId="77777777" w:rsidR="005D71D5"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The State alleges that the fact that the petitioner lacks the necessary financial resources is no obstacle for him to pursue his personal complaint, since it is free. In this respect, according to the State, the petitioner must activate the control mechanisms in place within Bolivian legislation, with a view to preventing delays and denouncing alleged misconduct by the authorities involved.</w:t>
      </w:r>
    </w:p>
    <w:p w14:paraId="754603C5" w14:textId="77777777" w:rsidR="005D71D5" w:rsidRPr="005D71D5" w:rsidRDefault="005D71D5" w:rsidP="005D71D5">
      <w:pPr>
        <w:rPr>
          <w:rFonts w:asciiTheme="majorHAnsi" w:hAnsiTheme="majorHAnsi"/>
          <w:sz w:val="20"/>
          <w:szCs w:val="20"/>
        </w:rPr>
      </w:pPr>
    </w:p>
    <w:p w14:paraId="6953F7A4" w14:textId="25EE1614" w:rsidR="00F621C3" w:rsidRPr="005D71D5" w:rsidRDefault="005D71D5" w:rsidP="005D71D5">
      <w:pPr>
        <w:numPr>
          <w:ilvl w:val="0"/>
          <w:numId w:val="103"/>
        </w:numPr>
        <w:jc w:val="both"/>
        <w:rPr>
          <w:rFonts w:asciiTheme="majorHAnsi" w:eastAsia="Cambria" w:hAnsiTheme="majorHAnsi" w:cs="Cambria"/>
          <w:color w:val="000000"/>
          <w:sz w:val="20"/>
          <w:szCs w:val="20"/>
          <w:u w:color="000000"/>
          <w:lang w:eastAsia="es-ES"/>
        </w:rPr>
      </w:pPr>
      <w:r w:rsidRPr="005D71D5">
        <w:rPr>
          <w:rFonts w:asciiTheme="majorHAnsi" w:eastAsia="Cambria" w:hAnsiTheme="majorHAnsi" w:cs="Cambria"/>
          <w:color w:val="000000"/>
          <w:sz w:val="20"/>
          <w:szCs w:val="20"/>
          <w:u w:color="000000"/>
          <w:lang w:val="en" w:eastAsia="es-ES"/>
        </w:rPr>
        <w:t>Regarding community justice, the State notes that the regulations in place in the Bolivian legal system stipulate that the natural authorities of native indigenous and peasant communities can enforce their rules as an alternative solution to conflicts, in accordance with their customs and procedures, but that such actions must always be circumscribed to Bolivia’s Constitution and laws. The State thus notes that the events that took place on December 29, 2006, constitute the crime of murder and do not correspond to community justice. Regarding the resolution that was passed on March 2, 2007, the State says that “it does not prove that community jurisdiction dominates ordinary justice and stops criminal proceedings.”</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D1A2EEA" w14:textId="77777777" w:rsidR="005D71D5" w:rsidRPr="00020D3B" w:rsidRDefault="005D71D5" w:rsidP="005D71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parties note that a criminal investigation was launched on the events that allegedly took place on January 13, 2007, and that the only man charged has not been arrested since February 28, 2007. The petitioner alleges that the suspect’s whereabouts are publicly known and that proceedings have exceeded the statute of limitations for four additional suspects due to the authorities’ delay in declaring them in default. The petitioner notes, in that regard, that an exception applies with respect to the exhaustion of domestic remedies, due to the unjustified delay, since the investigation has been pending for more than 10 years. The State notes that domestic remedies have not been exhausted, since the investigation is pending and awaits the arrest of the only man who has been charged in this case, who is on the run and whose whereabouts are not known. The State further notes that the petitioner has a duty to pursue his personal complaint in order to prevent delays.</w:t>
      </w:r>
    </w:p>
    <w:p w14:paraId="408671F1" w14:textId="77777777" w:rsidR="005D71D5" w:rsidRPr="00020D3B" w:rsidRDefault="005D71D5" w:rsidP="005D71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Commission notes that all the events that the petitioner has detailed in relation to the alleged murder of his brother constitute, within national legislation, crimes that can be prosecuted </w:t>
      </w:r>
      <w:r>
        <w:rPr>
          <w:rFonts w:asciiTheme="majorHAnsi" w:hAnsiTheme="majorHAnsi"/>
          <w:i/>
          <w:iCs/>
          <w:sz w:val="20"/>
          <w:szCs w:val="20"/>
          <w:lang w:val="en"/>
        </w:rPr>
        <w:t>ex officio</w:t>
      </w:r>
      <w:r>
        <w:rPr>
          <w:rFonts w:asciiTheme="majorHAnsi" w:hAnsiTheme="majorHAnsi"/>
          <w:sz w:val="20"/>
          <w:szCs w:val="20"/>
          <w:lang w:val="en"/>
        </w:rPr>
        <w:t xml:space="preserve"> and whose investigation and trial must be pursued by the State itself. The IACHR further notes that, as a general rule, a criminal investigation must be carried out promptly to protect the interests of the victims, to preserve evidence, and even to safeguard the rights of all persons deemed suspects in the context of the investigation.</w:t>
      </w:r>
      <w:r>
        <w:rPr>
          <w:rFonts w:asciiTheme="majorHAnsi" w:hAnsiTheme="majorHAnsi"/>
          <w:sz w:val="20"/>
          <w:szCs w:val="20"/>
          <w:vertAlign w:val="superscript"/>
          <w:lang w:val="en"/>
        </w:rPr>
        <w:footnoteReference w:id="4"/>
      </w:r>
      <w:r>
        <w:rPr>
          <w:rFonts w:asciiTheme="majorHAnsi" w:hAnsiTheme="majorHAnsi"/>
          <w:sz w:val="20"/>
          <w:szCs w:val="20"/>
          <w:lang w:val="en"/>
        </w:rPr>
        <w:t xml:space="preserve"> In this petition, more than 10 years have passed since the alleged events that are the subject of the claim. To date, those events have not been established and the people responsible for them have not been either tried or convicted. In this respect, the Commission considers that the exception that is provided for in Article 46(2)(c) of the Convention is applicable, so the requirement that domestic remedies be exhausted </w:t>
      </w:r>
      <w:r>
        <w:rPr>
          <w:rFonts w:asciiTheme="majorHAnsi" w:hAnsiTheme="majorHAnsi"/>
          <w:sz w:val="20"/>
          <w:szCs w:val="20"/>
          <w:lang w:val="en"/>
        </w:rPr>
        <w:lastRenderedPageBreak/>
        <w:t>cannot be enforced. Regarding the State’s allegations about the petitioner’s lack of insistence, the IACHR stresses that, in legal systems where the victims or their families might intervene as parties in criminal proceedings, it is optional rather than mandatory for them to do so, and it in no way replaces State activity in criminal proceedings that must be pursued by the State</w:t>
      </w:r>
      <w:r>
        <w:rPr>
          <w:rStyle w:val="FootnoteReference"/>
          <w:rFonts w:asciiTheme="majorHAnsi" w:hAnsiTheme="majorHAnsi"/>
          <w:sz w:val="20"/>
          <w:szCs w:val="20"/>
          <w:lang w:val="en"/>
        </w:rPr>
        <w:footnoteReference w:id="5"/>
      </w:r>
      <w:r>
        <w:rPr>
          <w:rFonts w:asciiTheme="majorHAnsi" w:hAnsiTheme="majorHAnsi"/>
          <w:sz w:val="20"/>
          <w:szCs w:val="20"/>
          <w:lang w:val="en"/>
        </w:rPr>
        <w:t xml:space="preserve">. </w:t>
      </w:r>
    </w:p>
    <w:p w14:paraId="05415C74" w14:textId="425DEA28" w:rsidR="00F621C3" w:rsidRPr="005D71D5" w:rsidRDefault="005D71D5" w:rsidP="005D71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IACHR received the petition on January 18, 2008, while the alleged facts on the petition began to occur on December 2</w:t>
      </w:r>
      <w:r w:rsidR="0024531A">
        <w:rPr>
          <w:rFonts w:asciiTheme="majorHAnsi" w:hAnsiTheme="majorHAnsi"/>
          <w:sz w:val="20"/>
          <w:szCs w:val="20"/>
          <w:lang w:val="en"/>
        </w:rPr>
        <w:t>9</w:t>
      </w:r>
      <w:r>
        <w:rPr>
          <w:rFonts w:asciiTheme="majorHAnsi" w:hAnsiTheme="majorHAnsi"/>
          <w:sz w:val="20"/>
          <w:szCs w:val="20"/>
          <w:lang w:val="en"/>
        </w:rPr>
        <w:t>, 2006, and the criminal investigation on those events should be ongoing to this date. Therefore, in light of the context and characteristics of this case, the Commission considers that the petition was lodged within a reasonable time frame for the purposes of determining compliance with Article 46(1)(c) of the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572A5AE1" w:rsidR="00F621C3" w:rsidRPr="005D71D5" w:rsidRDefault="005D71D5" w:rsidP="005D71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In light of the factual and legal arguments provided by the parties and the nature of the matter being heard, the Commission considers that, were proof to be established of the lack of due diligence by police officers and legal officials in this criminal investigation, of the excessive delay in criminal proceedings without events having been established and without those responsible for them having been tried to date, of the alleged pattern of </w:t>
      </w:r>
      <w:r w:rsidR="0024531A">
        <w:rPr>
          <w:rFonts w:asciiTheme="majorHAnsi" w:hAnsiTheme="majorHAnsi"/>
          <w:sz w:val="20"/>
          <w:szCs w:val="20"/>
          <w:lang w:val="en"/>
        </w:rPr>
        <w:t>lynching</w:t>
      </w:r>
      <w:r>
        <w:rPr>
          <w:rFonts w:asciiTheme="majorHAnsi" w:hAnsiTheme="majorHAnsi"/>
          <w:sz w:val="20"/>
          <w:szCs w:val="20"/>
          <w:lang w:val="en"/>
        </w:rPr>
        <w:t xml:space="preserve"> that have prompted no effective legal response, and also bearing in mind public recognition of the Jilanko as a natural authority that can fulfil administrative tasks and also enforce rules that are circumscribed to indigenous and peasant communities, these acts would tend to establish </w:t>
      </w:r>
      <w:r w:rsidR="00C62374">
        <w:rPr>
          <w:rFonts w:asciiTheme="majorHAnsi" w:hAnsiTheme="majorHAnsi"/>
          <w:sz w:val="20"/>
          <w:szCs w:val="20"/>
          <w:lang w:val="en"/>
        </w:rPr>
        <w:t>possible</w:t>
      </w:r>
      <w:r>
        <w:rPr>
          <w:rFonts w:asciiTheme="majorHAnsi" w:hAnsiTheme="majorHAnsi"/>
          <w:sz w:val="20"/>
          <w:szCs w:val="20"/>
          <w:lang w:val="en"/>
        </w:rPr>
        <w:t xml:space="preserve"> violations of the rights recognized in Articles 4 (right to life), 5 (right to humane treatment), 8 (right to a fair trial) and 25 (right to judicial protection) of the American Convention, in accordance with Article 1.1 of said Convention. There might further be violations of the rights enshrined in Articles 5, 8, and 25 of the Convention to the detriment of the alleged victim’s family.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A3D2FAB" w14:textId="77777777" w:rsidR="005D71D5" w:rsidRPr="005D71D5" w:rsidRDefault="005D71D5" w:rsidP="005D71D5">
      <w:pPr>
        <w:pStyle w:val="ListParagraph"/>
        <w:numPr>
          <w:ilvl w:val="0"/>
          <w:numId w:val="105"/>
        </w:numPr>
        <w:spacing w:before="240"/>
        <w:rPr>
          <w:rFonts w:asciiTheme="majorHAnsi" w:hAnsiTheme="majorHAnsi"/>
          <w:sz w:val="20"/>
          <w:szCs w:val="20"/>
        </w:rPr>
      </w:pPr>
      <w:r w:rsidRPr="005D71D5">
        <w:rPr>
          <w:rFonts w:asciiTheme="majorHAnsi" w:hAnsiTheme="majorHAnsi"/>
          <w:sz w:val="20"/>
          <w:szCs w:val="20"/>
          <w:lang w:val="en"/>
        </w:rPr>
        <w:t>To declare this petition admissible with regard to Articles 4, 5, 8 and 25 of the American Convention on Human Rights, in accordance with Article 1.1 of said Convention;</w:t>
      </w:r>
    </w:p>
    <w:p w14:paraId="385A6E04" w14:textId="77777777" w:rsidR="005D71D5" w:rsidRPr="005D71D5" w:rsidRDefault="005D71D5" w:rsidP="005D71D5">
      <w:pPr>
        <w:pStyle w:val="ListParagraph"/>
        <w:numPr>
          <w:ilvl w:val="0"/>
          <w:numId w:val="105"/>
        </w:numPr>
        <w:spacing w:before="240"/>
        <w:rPr>
          <w:rFonts w:asciiTheme="majorHAnsi" w:hAnsiTheme="majorHAnsi"/>
          <w:sz w:val="20"/>
          <w:szCs w:val="20"/>
        </w:rPr>
      </w:pPr>
      <w:r w:rsidRPr="005D71D5">
        <w:rPr>
          <w:rFonts w:asciiTheme="majorHAnsi" w:hAnsiTheme="majorHAnsi"/>
          <w:sz w:val="20"/>
          <w:szCs w:val="20"/>
          <w:lang w:val="en"/>
        </w:rPr>
        <w:t>to notify the parties of the present decision;</w:t>
      </w:r>
    </w:p>
    <w:p w14:paraId="003B6074" w14:textId="77777777" w:rsidR="005D71D5" w:rsidRPr="005D71D5" w:rsidRDefault="005D71D5" w:rsidP="005D71D5">
      <w:pPr>
        <w:pStyle w:val="ListParagraph"/>
        <w:numPr>
          <w:ilvl w:val="0"/>
          <w:numId w:val="105"/>
        </w:numPr>
        <w:spacing w:before="240"/>
        <w:rPr>
          <w:rFonts w:asciiTheme="majorHAnsi" w:hAnsiTheme="majorHAnsi"/>
          <w:sz w:val="20"/>
          <w:szCs w:val="20"/>
        </w:rPr>
      </w:pPr>
      <w:r w:rsidRPr="005D71D5">
        <w:rPr>
          <w:rFonts w:asciiTheme="majorHAnsi" w:hAnsiTheme="majorHAnsi"/>
          <w:sz w:val="20"/>
          <w:szCs w:val="20"/>
          <w:lang w:val="en"/>
        </w:rPr>
        <w:t>to continue examining the merits of the case; and</w:t>
      </w:r>
    </w:p>
    <w:p w14:paraId="09326BB2" w14:textId="28F1BB9B" w:rsidR="00B10D63" w:rsidRPr="00B10D63" w:rsidRDefault="005D71D5" w:rsidP="00B10D63">
      <w:pPr>
        <w:pStyle w:val="ListParagraph"/>
        <w:numPr>
          <w:ilvl w:val="0"/>
          <w:numId w:val="105"/>
        </w:numPr>
        <w:spacing w:before="240"/>
        <w:rPr>
          <w:rFonts w:asciiTheme="majorHAnsi" w:hAnsiTheme="majorHAnsi"/>
          <w:sz w:val="20"/>
          <w:szCs w:val="20"/>
        </w:rPr>
      </w:pPr>
      <w:r w:rsidRPr="005D71D5">
        <w:rPr>
          <w:rFonts w:asciiTheme="majorHAnsi" w:hAnsiTheme="majorHAnsi"/>
          <w:sz w:val="20"/>
          <w:szCs w:val="20"/>
          <w:lang w:val="en"/>
        </w:rPr>
        <w:t>to publish this decision and include it in its Annual Report to the General Assembly of the Organization of American States.</w:t>
      </w:r>
    </w:p>
    <w:p w14:paraId="2C48A078" w14:textId="77777777" w:rsidR="001A25BC" w:rsidRDefault="001A25BC" w:rsidP="00B10D63">
      <w:pPr>
        <w:suppressAutoHyphens/>
        <w:ind w:firstLine="720"/>
        <w:jc w:val="both"/>
        <w:rPr>
          <w:rFonts w:ascii="Cambria" w:hAnsi="Cambria"/>
          <w:spacing w:val="-2"/>
          <w:sz w:val="20"/>
        </w:rPr>
      </w:pPr>
    </w:p>
    <w:p w14:paraId="38BB6C31" w14:textId="56A56571" w:rsidR="00B10D63" w:rsidRPr="00365F2F" w:rsidRDefault="00B10D63" w:rsidP="00B10D63">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xml:space="preserve">, </w:t>
      </w:r>
      <w:r>
        <w:rPr>
          <w:rFonts w:ascii="Cambria" w:hAnsi="Cambria"/>
          <w:spacing w:val="-2"/>
          <w:sz w:val="20"/>
        </w:rPr>
        <w:t>on the 25</w:t>
      </w:r>
      <w:r w:rsidRPr="00B10D63">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James L. Cavallaro, and Luis Ernesto Vargas Silva, </w:t>
      </w:r>
      <w:r w:rsidRPr="00365F2F">
        <w:rPr>
          <w:rFonts w:ascii="Cambria" w:hAnsi="Cambria"/>
          <w:spacing w:val="-2"/>
          <w:sz w:val="20"/>
        </w:rPr>
        <w:t>Commissioners.</w:t>
      </w:r>
    </w:p>
    <w:p w14:paraId="0E91B1BB" w14:textId="77777777" w:rsidR="00B10D63" w:rsidRPr="00B10D63" w:rsidRDefault="00B10D63" w:rsidP="00B10D63">
      <w:pPr>
        <w:spacing w:before="240"/>
        <w:rPr>
          <w:rFonts w:asciiTheme="majorHAnsi" w:hAnsiTheme="majorHAnsi"/>
          <w:sz w:val="20"/>
          <w:szCs w:val="20"/>
        </w:rPr>
      </w:pPr>
    </w:p>
    <w:sectPr w:rsidR="00B10D63" w:rsidRPr="00B10D6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39058" w14:textId="77777777" w:rsidR="00A04666" w:rsidRDefault="00A04666" w:rsidP="00036A8A">
      <w:r>
        <w:separator/>
      </w:r>
    </w:p>
  </w:endnote>
  <w:endnote w:type="continuationSeparator" w:id="0">
    <w:p w14:paraId="3E8AC22C" w14:textId="77777777" w:rsidR="00A04666" w:rsidRDefault="00A0466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8526" w14:textId="77777777" w:rsidR="00C667A7" w:rsidRDefault="00C66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667A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12673" w14:textId="77777777" w:rsidR="00A04666" w:rsidRPr="00036A8A" w:rsidRDefault="00A0466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4C3FD5" w14:textId="77777777" w:rsidR="00A04666" w:rsidRPr="00036A8A" w:rsidRDefault="00A04666" w:rsidP="00036A8A">
      <w:pPr>
        <w:rPr>
          <w:rFonts w:asciiTheme="majorHAnsi" w:hAnsiTheme="majorHAnsi"/>
          <w:sz w:val="16"/>
          <w:szCs w:val="16"/>
        </w:rPr>
      </w:pPr>
      <w:r w:rsidRPr="00036A8A">
        <w:rPr>
          <w:rFonts w:asciiTheme="majorHAnsi" w:hAnsiTheme="majorHAnsi"/>
          <w:sz w:val="16"/>
          <w:szCs w:val="16"/>
        </w:rPr>
        <w:separator/>
      </w:r>
    </w:p>
    <w:p w14:paraId="6F3983E0" w14:textId="77777777" w:rsidR="00A04666" w:rsidRPr="00036A8A" w:rsidRDefault="00A0466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9AC5BF2" w14:textId="77777777" w:rsidR="00A04666" w:rsidRPr="0093441A" w:rsidRDefault="00A0466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90BD175" w14:textId="77777777" w:rsidR="00736059" w:rsidRPr="00FE23C1" w:rsidRDefault="00736059" w:rsidP="005D71D5">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lang w:val="en"/>
        </w:rPr>
        <w:t xml:space="preserve"> </w:t>
      </w:r>
      <w:r>
        <w:rPr>
          <w:rFonts w:asciiTheme="majorHAnsi" w:hAnsiTheme="majorHAnsi"/>
          <w:sz w:val="16"/>
          <w:szCs w:val="16"/>
          <w:lang w:val="en"/>
        </w:rPr>
        <w:t>Hereinafter “the Convention” or “the American Convention”.</w:t>
      </w:r>
    </w:p>
  </w:footnote>
  <w:footnote w:id="3">
    <w:p w14:paraId="6F51BDAF" w14:textId="2FCEA3A6" w:rsidR="00653EA6" w:rsidRPr="000B6B7A" w:rsidRDefault="00653EA6" w:rsidP="005D71D5">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74B6C8E8" w14:textId="77777777" w:rsidR="005D71D5" w:rsidRPr="00A067E0" w:rsidRDefault="005D71D5" w:rsidP="0024531A">
      <w:pPr>
        <w:pStyle w:val="FootnoteText"/>
        <w:spacing w:before="120"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sidRPr="005D71D5">
        <w:rPr>
          <w:rFonts w:asciiTheme="majorHAnsi" w:hAnsiTheme="majorHAnsi"/>
          <w:sz w:val="16"/>
          <w:szCs w:val="16"/>
        </w:rPr>
        <w:t xml:space="preserve"> IACHR, Report No. 87/06, </w:t>
      </w:r>
      <w:r w:rsidRPr="005D71D5">
        <w:rPr>
          <w:rFonts w:asciiTheme="majorHAnsi" w:hAnsiTheme="majorHAnsi"/>
          <w:i/>
          <w:iCs/>
          <w:sz w:val="16"/>
          <w:szCs w:val="16"/>
        </w:rPr>
        <w:t>Carlos Alberto Valbuena and Luis Alfonso Hamburger Diazgranados</w:t>
      </w:r>
      <w:r w:rsidRPr="005D71D5">
        <w:rPr>
          <w:rFonts w:asciiTheme="majorHAnsi" w:hAnsiTheme="majorHAnsi"/>
          <w:sz w:val="16"/>
          <w:szCs w:val="16"/>
        </w:rPr>
        <w:t xml:space="preserve">, October 21, 2006, para. </w:t>
      </w:r>
      <w:r>
        <w:rPr>
          <w:rFonts w:asciiTheme="majorHAnsi" w:hAnsiTheme="majorHAnsi"/>
          <w:sz w:val="16"/>
          <w:szCs w:val="16"/>
          <w:lang w:val="en"/>
        </w:rPr>
        <w:t xml:space="preserve">25; Report No. 70/09, </w:t>
      </w:r>
      <w:r>
        <w:rPr>
          <w:rFonts w:asciiTheme="majorHAnsi" w:hAnsiTheme="majorHAnsi"/>
          <w:i/>
          <w:iCs/>
          <w:sz w:val="16"/>
          <w:szCs w:val="16"/>
          <w:lang w:val="en"/>
        </w:rPr>
        <w:t>José Rusbell Lara</w:t>
      </w:r>
      <w:r>
        <w:rPr>
          <w:rFonts w:asciiTheme="majorHAnsi" w:hAnsiTheme="majorHAnsi"/>
          <w:sz w:val="16"/>
          <w:szCs w:val="16"/>
          <w:lang w:val="en"/>
        </w:rPr>
        <w:t>, August 5, 2009, para. 31; and Report No. 15/09.</w:t>
      </w:r>
    </w:p>
  </w:footnote>
  <w:footnote w:id="5">
    <w:p w14:paraId="23465568" w14:textId="77777777" w:rsidR="005D71D5" w:rsidRPr="00A067E0" w:rsidRDefault="005D71D5" w:rsidP="005D71D5">
      <w:pPr>
        <w:pStyle w:val="FootnoteText"/>
        <w:spacing w:before="120"/>
        <w:ind w:firstLine="720"/>
        <w:jc w:val="both"/>
      </w:pPr>
      <w:r>
        <w:rPr>
          <w:rStyle w:val="FootnoteReference"/>
          <w:lang w:val="en"/>
        </w:rPr>
        <w:footnoteRef/>
      </w:r>
      <w:r>
        <w:rPr>
          <w:rFonts w:asciiTheme="majorHAnsi" w:hAnsiTheme="majorHAnsi"/>
          <w:sz w:val="16"/>
          <w:szCs w:val="16"/>
          <w:lang w:val="en"/>
        </w:rPr>
        <w:t xml:space="preserve"> IACHR, Report No. 31/15, Case 10,522. Admissibility. </w:t>
      </w:r>
      <w:r w:rsidRPr="0026322C">
        <w:rPr>
          <w:rFonts w:asciiTheme="majorHAnsi" w:hAnsiTheme="majorHAnsi"/>
          <w:sz w:val="16"/>
          <w:szCs w:val="16"/>
          <w:lang w:val="es-ES"/>
        </w:rPr>
        <w:t xml:space="preserve">Juan Fernando Porras Martínez. Colombia. </w:t>
      </w:r>
      <w:r>
        <w:rPr>
          <w:rFonts w:asciiTheme="majorHAnsi" w:hAnsiTheme="majorHAnsi"/>
          <w:sz w:val="16"/>
          <w:szCs w:val="16"/>
          <w:lang w:val="en"/>
        </w:rPr>
        <w:t>July 22, 2015, para.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0466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EEC3" w14:textId="77777777" w:rsidR="00C667A7" w:rsidRDefault="00C66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1B036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25BC"/>
    <w:rsid w:val="001A5F27"/>
    <w:rsid w:val="001A65E4"/>
    <w:rsid w:val="001A7870"/>
    <w:rsid w:val="001C1B41"/>
    <w:rsid w:val="001D7A8D"/>
    <w:rsid w:val="001E366B"/>
    <w:rsid w:val="001F03A9"/>
    <w:rsid w:val="00210E0E"/>
    <w:rsid w:val="00230163"/>
    <w:rsid w:val="0024531A"/>
    <w:rsid w:val="00247403"/>
    <w:rsid w:val="00247542"/>
    <w:rsid w:val="00257893"/>
    <w:rsid w:val="00266092"/>
    <w:rsid w:val="00266B61"/>
    <w:rsid w:val="0026712A"/>
    <w:rsid w:val="002704DB"/>
    <w:rsid w:val="00273C32"/>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1B14"/>
    <w:rsid w:val="005357A6"/>
    <w:rsid w:val="00544C49"/>
    <w:rsid w:val="00564751"/>
    <w:rsid w:val="0057402A"/>
    <w:rsid w:val="005771D0"/>
    <w:rsid w:val="0059191A"/>
    <w:rsid w:val="005921FF"/>
    <w:rsid w:val="00592718"/>
    <w:rsid w:val="005A6D0E"/>
    <w:rsid w:val="005B222D"/>
    <w:rsid w:val="005B52B0"/>
    <w:rsid w:val="005B6806"/>
    <w:rsid w:val="005C00F9"/>
    <w:rsid w:val="005C4225"/>
    <w:rsid w:val="005D71D5"/>
    <w:rsid w:val="005F0F33"/>
    <w:rsid w:val="00600DEB"/>
    <w:rsid w:val="00613027"/>
    <w:rsid w:val="00627C9F"/>
    <w:rsid w:val="006311DA"/>
    <w:rsid w:val="006311E9"/>
    <w:rsid w:val="006318B2"/>
    <w:rsid w:val="00632354"/>
    <w:rsid w:val="00641488"/>
    <w:rsid w:val="00642810"/>
    <w:rsid w:val="00652333"/>
    <w:rsid w:val="00653EA6"/>
    <w:rsid w:val="0068009E"/>
    <w:rsid w:val="006A17D2"/>
    <w:rsid w:val="006A73E6"/>
    <w:rsid w:val="006B2D5C"/>
    <w:rsid w:val="006C4EB1"/>
    <w:rsid w:val="006D4707"/>
    <w:rsid w:val="006E0166"/>
    <w:rsid w:val="006E7B34"/>
    <w:rsid w:val="00701B24"/>
    <w:rsid w:val="0071495F"/>
    <w:rsid w:val="00736059"/>
    <w:rsid w:val="0073798E"/>
    <w:rsid w:val="00737D2B"/>
    <w:rsid w:val="00745899"/>
    <w:rsid w:val="007607C4"/>
    <w:rsid w:val="0076643F"/>
    <w:rsid w:val="00781653"/>
    <w:rsid w:val="007A2F70"/>
    <w:rsid w:val="007C3334"/>
    <w:rsid w:val="007C52BB"/>
    <w:rsid w:val="007D2B98"/>
    <w:rsid w:val="00803F1C"/>
    <w:rsid w:val="0080600E"/>
    <w:rsid w:val="00817612"/>
    <w:rsid w:val="00837C45"/>
    <w:rsid w:val="00853419"/>
    <w:rsid w:val="008761C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04666"/>
    <w:rsid w:val="00A05384"/>
    <w:rsid w:val="00A12DBC"/>
    <w:rsid w:val="00A43458"/>
    <w:rsid w:val="00A528D1"/>
    <w:rsid w:val="00A66BE5"/>
    <w:rsid w:val="00AD37C1"/>
    <w:rsid w:val="00AE66EC"/>
    <w:rsid w:val="00AE6F91"/>
    <w:rsid w:val="00AF5571"/>
    <w:rsid w:val="00B10D63"/>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2374"/>
    <w:rsid w:val="00C667A7"/>
    <w:rsid w:val="00C66B72"/>
    <w:rsid w:val="00C9567A"/>
    <w:rsid w:val="00CA6577"/>
    <w:rsid w:val="00CB2660"/>
    <w:rsid w:val="00CC5E90"/>
    <w:rsid w:val="00CD046C"/>
    <w:rsid w:val="00CE5199"/>
    <w:rsid w:val="00CE66D5"/>
    <w:rsid w:val="00D262F0"/>
    <w:rsid w:val="00D34786"/>
    <w:rsid w:val="00D40A1E"/>
    <w:rsid w:val="00D533C0"/>
    <w:rsid w:val="00D712D3"/>
    <w:rsid w:val="00D71422"/>
    <w:rsid w:val="00D7145E"/>
    <w:rsid w:val="00D75084"/>
    <w:rsid w:val="00D7558D"/>
    <w:rsid w:val="00D81D92"/>
    <w:rsid w:val="00D93446"/>
    <w:rsid w:val="00DA7B5F"/>
    <w:rsid w:val="00DB62C9"/>
    <w:rsid w:val="00DF078B"/>
    <w:rsid w:val="00DF350D"/>
    <w:rsid w:val="00E227C1"/>
    <w:rsid w:val="00E43157"/>
    <w:rsid w:val="00E47F3D"/>
    <w:rsid w:val="00E52505"/>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CommentText">
    <w:name w:val="annotation text"/>
    <w:basedOn w:val="Normal"/>
    <w:link w:val="CommentTextChar"/>
    <w:uiPriority w:val="99"/>
    <w:semiHidden/>
    <w:unhideWhenUsed/>
    <w:rsid w:val="005D71D5"/>
    <w:rPr>
      <w:sz w:val="20"/>
      <w:szCs w:val="20"/>
    </w:rPr>
  </w:style>
  <w:style w:type="character" w:customStyle="1" w:styleId="CommentTextChar">
    <w:name w:val="Comment Text Char"/>
    <w:basedOn w:val="DefaultParagraphFont"/>
    <w:link w:val="CommentText"/>
    <w:uiPriority w:val="99"/>
    <w:semiHidden/>
    <w:rsid w:val="005D71D5"/>
    <w:rPr>
      <w:lang w:val="en-US" w:eastAsia="en-US"/>
    </w:rPr>
  </w:style>
  <w:style w:type="character" w:styleId="CommentReference">
    <w:name w:val="annotation reference"/>
    <w:uiPriority w:val="99"/>
    <w:semiHidden/>
    <w:unhideWhenUsed/>
    <w:rsid w:val="005D71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CommentText">
    <w:name w:val="annotation text"/>
    <w:basedOn w:val="Normal"/>
    <w:link w:val="CommentTextChar"/>
    <w:uiPriority w:val="99"/>
    <w:semiHidden/>
    <w:unhideWhenUsed/>
    <w:rsid w:val="005D71D5"/>
    <w:rPr>
      <w:sz w:val="20"/>
      <w:szCs w:val="20"/>
    </w:rPr>
  </w:style>
  <w:style w:type="character" w:customStyle="1" w:styleId="CommentTextChar">
    <w:name w:val="Comment Text Char"/>
    <w:basedOn w:val="DefaultParagraphFont"/>
    <w:link w:val="CommentText"/>
    <w:uiPriority w:val="99"/>
    <w:semiHidden/>
    <w:rsid w:val="005D71D5"/>
    <w:rPr>
      <w:lang w:val="en-US" w:eastAsia="en-US"/>
    </w:rPr>
  </w:style>
  <w:style w:type="character" w:styleId="CommentReference">
    <w:name w:val="annotation reference"/>
    <w:uiPriority w:val="99"/>
    <w:semiHidden/>
    <w:unhideWhenUsed/>
    <w:rsid w:val="005D71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11B3F8D37749C6ADD2F21CB22B86A0"/>
        <w:category>
          <w:name w:val="General"/>
          <w:gallery w:val="placeholder"/>
        </w:category>
        <w:types>
          <w:type w:val="bbPlcHdr"/>
        </w:types>
        <w:behaviors>
          <w:behavior w:val="content"/>
        </w:behaviors>
        <w:guid w:val="{9C31922E-5CDE-4668-92EA-84F5617BC0ED}"/>
      </w:docPartPr>
      <w:docPartBody>
        <w:p w:rsidR="00361407" w:rsidRDefault="00C66482" w:rsidP="00C66482">
          <w:pPr>
            <w:pStyle w:val="0C11B3F8D37749C6ADD2F21CB22B86A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3734D"/>
    <w:rsid w:val="00361407"/>
    <w:rsid w:val="004108B1"/>
    <w:rsid w:val="00464EC8"/>
    <w:rsid w:val="005A583D"/>
    <w:rsid w:val="00860E21"/>
    <w:rsid w:val="00AB44F1"/>
    <w:rsid w:val="00C66482"/>
    <w:rsid w:val="00C77C6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482"/>
    <w:rPr>
      <w:color w:val="808080"/>
    </w:rPr>
  </w:style>
  <w:style w:type="paragraph" w:customStyle="1" w:styleId="4DBB5F3FC358F64B9E5EFB773263C7D2">
    <w:name w:val="4DBB5F3FC358F64B9E5EFB773263C7D2"/>
    <w:rsid w:val="00AB44F1"/>
  </w:style>
  <w:style w:type="paragraph" w:customStyle="1" w:styleId="0C11B3F8D37749C6ADD2F21CB22B86A0">
    <w:name w:val="0C11B3F8D37749C6ADD2F21CB22B86A0"/>
    <w:rsid w:val="00C66482"/>
    <w:pPr>
      <w:spacing w:after="200" w:line="276" w:lineRule="auto"/>
    </w:pPr>
    <w:rPr>
      <w:sz w:val="22"/>
      <w:szCs w:val="22"/>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482"/>
    <w:rPr>
      <w:color w:val="808080"/>
    </w:rPr>
  </w:style>
  <w:style w:type="paragraph" w:customStyle="1" w:styleId="4DBB5F3FC358F64B9E5EFB773263C7D2">
    <w:name w:val="4DBB5F3FC358F64B9E5EFB773263C7D2"/>
    <w:rsid w:val="00AB44F1"/>
  </w:style>
  <w:style w:type="paragraph" w:customStyle="1" w:styleId="0C11B3F8D37749C6ADD2F21CB22B86A0">
    <w:name w:val="0C11B3F8D37749C6ADD2F21CB22B86A0"/>
    <w:rsid w:val="00C66482"/>
    <w:pPr>
      <w:spacing w:after="200" w:line="276" w:lineRule="auto"/>
    </w:pPr>
    <w:rPr>
      <w:sz w:val="22"/>
      <w:szCs w:val="22"/>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A054A-2B68-4398-B18F-E0836C42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11927</Characters>
  <Application>Microsoft Office Word</Application>
  <DocSecurity>0</DocSecurity>
  <Lines>233</Lines>
  <Paragraphs>70</Paragraphs>
  <ScaleCrop>false</ScaleCrop>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46/17</dc:title>
  <dc:creator/>
  <cp:lastModifiedBy/>
  <cp:revision>1</cp:revision>
  <dcterms:created xsi:type="dcterms:W3CDTF">2017-11-02T18:51:00Z</dcterms:created>
  <dcterms:modified xsi:type="dcterms:W3CDTF">2017-11-02T18:52:00Z</dcterms:modified>
</cp:coreProperties>
</file>