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9BC2D"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DAD5A6C" wp14:editId="6E72BA52">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262DADE" wp14:editId="657352E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C4348" w14:textId="77777777" w:rsidR="00E54CE8" w:rsidRDefault="00E54CE8">
                            <w:r>
                              <w:rPr>
                                <w:noProof/>
                              </w:rPr>
                              <w:drawing>
                                <wp:inline distT="0" distB="0" distL="0" distR="0" wp14:anchorId="4278FD18" wp14:editId="36925A5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67DC4348" w14:textId="77777777" w:rsidR="00E54CE8" w:rsidRDefault="00E54CE8">
                      <w:r>
                        <w:rPr>
                          <w:noProof/>
                        </w:rPr>
                        <w:drawing>
                          <wp:inline distT="0" distB="0" distL="0" distR="0" wp14:anchorId="4278FD18" wp14:editId="36925A5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4504E190"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74E3BA2"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F52AC6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61AC3970" w14:textId="77777777" w:rsidR="005128E4" w:rsidRPr="003C32BC" w:rsidRDefault="005128E4" w:rsidP="00040C3A">
      <w:pPr>
        <w:tabs>
          <w:tab w:val="center" w:pos="5400"/>
        </w:tabs>
        <w:suppressAutoHyphens/>
        <w:rPr>
          <w:rFonts w:asciiTheme="majorHAnsi" w:hAnsiTheme="majorHAnsi"/>
          <w:sz w:val="22"/>
          <w:szCs w:val="22"/>
          <w:lang w:val="es-ES_tradnl"/>
        </w:rPr>
      </w:pPr>
    </w:p>
    <w:p w14:paraId="272477F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D1B4FB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BCE0B87"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0A9D110A"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4014B7A" w14:textId="77777777" w:rsidR="005B52B0" w:rsidRPr="00DB5E09" w:rsidRDefault="005B52B0" w:rsidP="005128E4">
      <w:pPr>
        <w:tabs>
          <w:tab w:val="center" w:pos="5400"/>
        </w:tabs>
        <w:suppressAutoHyphens/>
        <w:jc w:val="center"/>
        <w:rPr>
          <w:rFonts w:asciiTheme="majorHAnsi" w:hAnsiTheme="majorHAnsi"/>
          <w:b/>
          <w:sz w:val="26"/>
          <w:szCs w:val="26"/>
          <w:u w:val="single"/>
        </w:rPr>
      </w:pPr>
      <w:bookmarkStart w:id="0" w:name="_GoBack"/>
      <w:bookmarkEnd w:id="0"/>
    </w:p>
    <w:p w14:paraId="40B9474F" w14:textId="77777777" w:rsidR="00040C3A" w:rsidRPr="00DB5E09" w:rsidRDefault="00040C3A" w:rsidP="00040C3A">
      <w:pPr>
        <w:tabs>
          <w:tab w:val="center" w:pos="5400"/>
        </w:tabs>
        <w:suppressAutoHyphens/>
        <w:jc w:val="center"/>
        <w:rPr>
          <w:rFonts w:asciiTheme="majorHAnsi" w:hAnsiTheme="majorHAnsi"/>
          <w:sz w:val="22"/>
          <w:szCs w:val="22"/>
        </w:rPr>
      </w:pPr>
    </w:p>
    <w:p w14:paraId="1EF18030" w14:textId="77777777" w:rsidR="00040C3A" w:rsidRPr="00DB5E09" w:rsidRDefault="00040C3A" w:rsidP="00040C3A">
      <w:pPr>
        <w:tabs>
          <w:tab w:val="center" w:pos="5400"/>
        </w:tabs>
        <w:suppressAutoHyphens/>
        <w:jc w:val="center"/>
        <w:rPr>
          <w:rFonts w:asciiTheme="majorHAnsi" w:hAnsiTheme="majorHAnsi"/>
          <w:sz w:val="22"/>
          <w:szCs w:val="22"/>
        </w:rPr>
      </w:pPr>
    </w:p>
    <w:p w14:paraId="31CF66CA" w14:textId="77777777" w:rsidR="00040C3A" w:rsidRPr="00DB5E09" w:rsidRDefault="00040C3A" w:rsidP="00040C3A">
      <w:pPr>
        <w:tabs>
          <w:tab w:val="center" w:pos="5400"/>
        </w:tabs>
        <w:suppressAutoHyphens/>
        <w:jc w:val="center"/>
        <w:rPr>
          <w:rFonts w:asciiTheme="majorHAnsi" w:hAnsiTheme="majorHAnsi"/>
          <w:sz w:val="22"/>
          <w:szCs w:val="22"/>
        </w:rPr>
      </w:pPr>
    </w:p>
    <w:p w14:paraId="7CA71371" w14:textId="77777777" w:rsidR="00040C3A" w:rsidRPr="00DB5E09" w:rsidRDefault="00E533FF" w:rsidP="00040C3A">
      <w:pPr>
        <w:tabs>
          <w:tab w:val="center" w:pos="5400"/>
        </w:tabs>
        <w:suppressAutoHyphens/>
        <w:jc w:val="center"/>
        <w:rPr>
          <w:rFonts w:asciiTheme="majorHAnsi" w:hAnsiTheme="majorHAnsi"/>
          <w:sz w:val="22"/>
          <w:szCs w:val="22"/>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43F98F2" wp14:editId="66DB448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BBA3D" w14:textId="71F47452" w:rsidR="00E54CE8" w:rsidRPr="004B7EB6" w:rsidRDefault="00E54CE8"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50/16</w:t>
                            </w:r>
                          </w:p>
                          <w:p w14:paraId="0E9476FA" w14:textId="63F5F916" w:rsidR="00E54CE8" w:rsidRPr="004B7EB6" w:rsidRDefault="00E54CE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12.834</w:t>
                            </w:r>
                          </w:p>
                          <w:p w14:paraId="70A50CDD" w14:textId="4D28271D" w:rsidR="00E54CE8" w:rsidRPr="004B7EB6" w:rsidRDefault="00E54CE8"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MERITS</w:t>
                            </w:r>
                            <w:r>
                              <w:rPr>
                                <w:rFonts w:asciiTheme="majorHAnsi" w:hAnsiTheme="majorHAnsi" w:cs="Arial"/>
                                <w:color w:val="0D0D0D" w:themeColor="text1" w:themeTint="F2"/>
                                <w:szCs w:val="22"/>
                              </w:rPr>
                              <w:t xml:space="preserve"> (PUBLICATION)</w:t>
                            </w:r>
                            <w:r w:rsidRPr="004B7EB6">
                              <w:rPr>
                                <w:rFonts w:asciiTheme="majorHAnsi" w:hAnsiTheme="majorHAnsi" w:cs="Arial"/>
                                <w:color w:val="0D0D0D" w:themeColor="text1" w:themeTint="F2"/>
                                <w:szCs w:val="22"/>
                              </w:rPr>
                              <w:t xml:space="preserve"> </w:t>
                            </w:r>
                          </w:p>
                          <w:p w14:paraId="06EB7565" w14:textId="77777777" w:rsidR="00E54CE8" w:rsidRPr="004B7EB6" w:rsidRDefault="00E54CE8" w:rsidP="004B7EB6">
                            <w:pPr>
                              <w:spacing w:line="276" w:lineRule="auto"/>
                              <w:rPr>
                                <w:rFonts w:asciiTheme="majorHAnsi" w:hAnsiTheme="majorHAnsi" w:cs="Arial"/>
                                <w:color w:val="0D0D0D" w:themeColor="text1" w:themeTint="F2"/>
                                <w:szCs w:val="22"/>
                              </w:rPr>
                            </w:pPr>
                          </w:p>
                          <w:p w14:paraId="120367F4" w14:textId="3088C43B" w:rsidR="00E54CE8" w:rsidRPr="0014296A" w:rsidRDefault="00E54CE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UNDOCUMENTED WORKERS</w:t>
                            </w:r>
                          </w:p>
                          <w:p w14:paraId="27B7C153" w14:textId="772424D4" w:rsidR="00E54CE8" w:rsidRPr="0014296A" w:rsidRDefault="00E54CE8"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 xml:space="preserve">UNITED STATES OF AMERICA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1E2BBA3D" w14:textId="71F47452" w:rsidR="00E54CE8" w:rsidRPr="004B7EB6" w:rsidRDefault="00E54CE8"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50/16</w:t>
                      </w:r>
                    </w:p>
                    <w:p w14:paraId="0E9476FA" w14:textId="63F5F916" w:rsidR="00E54CE8" w:rsidRPr="004B7EB6" w:rsidRDefault="00E54CE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12.834</w:t>
                      </w:r>
                    </w:p>
                    <w:p w14:paraId="70A50CDD" w14:textId="4D28271D" w:rsidR="00E54CE8" w:rsidRPr="004B7EB6" w:rsidRDefault="00E54CE8"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MERITS</w:t>
                      </w:r>
                      <w:r>
                        <w:rPr>
                          <w:rFonts w:asciiTheme="majorHAnsi" w:hAnsiTheme="majorHAnsi" w:cs="Arial"/>
                          <w:color w:val="0D0D0D" w:themeColor="text1" w:themeTint="F2"/>
                          <w:szCs w:val="22"/>
                        </w:rPr>
                        <w:t xml:space="preserve"> (PUBLICATION)</w:t>
                      </w:r>
                      <w:r w:rsidRPr="004B7EB6">
                        <w:rPr>
                          <w:rFonts w:asciiTheme="majorHAnsi" w:hAnsiTheme="majorHAnsi" w:cs="Arial"/>
                          <w:color w:val="0D0D0D" w:themeColor="text1" w:themeTint="F2"/>
                          <w:szCs w:val="22"/>
                        </w:rPr>
                        <w:t xml:space="preserve"> </w:t>
                      </w:r>
                    </w:p>
                    <w:p w14:paraId="06EB7565" w14:textId="77777777" w:rsidR="00E54CE8" w:rsidRPr="004B7EB6" w:rsidRDefault="00E54CE8" w:rsidP="004B7EB6">
                      <w:pPr>
                        <w:spacing w:line="276" w:lineRule="auto"/>
                        <w:rPr>
                          <w:rFonts w:asciiTheme="majorHAnsi" w:hAnsiTheme="majorHAnsi" w:cs="Arial"/>
                          <w:color w:val="0D0D0D" w:themeColor="text1" w:themeTint="F2"/>
                          <w:szCs w:val="22"/>
                        </w:rPr>
                      </w:pPr>
                    </w:p>
                    <w:p w14:paraId="120367F4" w14:textId="3088C43B" w:rsidR="00E54CE8" w:rsidRPr="0014296A" w:rsidRDefault="00E54CE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UNDOCUMENTED WORKERS</w:t>
                      </w:r>
                    </w:p>
                    <w:p w14:paraId="27B7C153" w14:textId="772424D4" w:rsidR="00E54CE8" w:rsidRPr="0014296A" w:rsidRDefault="00E54CE8"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 xml:space="preserve">UNITED STATES OF AMERICA </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4E07C89" wp14:editId="33163B8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EB4DD" w14:textId="1449C56F" w:rsidR="00E54CE8" w:rsidRPr="00BA051B" w:rsidRDefault="00E54CE8" w:rsidP="002C1641">
                            <w:pPr>
                              <w:jc w:val="right"/>
                              <w:rPr>
                                <w:rFonts w:asciiTheme="minorHAnsi" w:hAnsiTheme="minorHAnsi"/>
                                <w:color w:val="FFFFFF" w:themeColor="background1"/>
                                <w:sz w:val="22"/>
                                <w:lang w:val="pt-BR"/>
                              </w:rPr>
                            </w:pPr>
                            <w:r w:rsidRPr="00BA051B">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159</w:t>
                            </w:r>
                          </w:p>
                          <w:p w14:paraId="7CBD3874" w14:textId="49A4836F" w:rsidR="00E54CE8" w:rsidRPr="00BA051B" w:rsidRDefault="00E54CE8" w:rsidP="002C1641">
                            <w:pPr>
                              <w:jc w:val="right"/>
                              <w:rPr>
                                <w:rFonts w:asciiTheme="minorHAnsi" w:hAnsiTheme="minorHAnsi"/>
                                <w:color w:val="FFFFFF" w:themeColor="background1"/>
                                <w:sz w:val="22"/>
                                <w:lang w:val="pt-BR"/>
                              </w:rPr>
                            </w:pPr>
                            <w:r w:rsidRPr="00BA051B">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59</w:t>
                            </w:r>
                          </w:p>
                          <w:p w14:paraId="022BC6DC" w14:textId="2EFF910B" w:rsidR="00E54CE8" w:rsidRPr="004B7EB6" w:rsidRDefault="00194535" w:rsidP="002C1641">
                            <w:pPr>
                              <w:jc w:val="right"/>
                              <w:rPr>
                                <w:rFonts w:asciiTheme="minorHAnsi" w:hAnsiTheme="minorHAnsi"/>
                                <w:color w:val="FFFFFF" w:themeColor="background1"/>
                                <w:sz w:val="22"/>
                              </w:rPr>
                            </w:pPr>
                            <w:r>
                              <w:rPr>
                                <w:rFonts w:asciiTheme="minorHAnsi" w:hAnsiTheme="minorHAnsi"/>
                                <w:color w:val="FFFFFF" w:themeColor="background1"/>
                                <w:sz w:val="22"/>
                              </w:rPr>
                              <w:t>30 November</w:t>
                            </w:r>
                            <w:r w:rsidR="00E54CE8">
                              <w:rPr>
                                <w:rFonts w:asciiTheme="minorHAnsi" w:hAnsiTheme="minorHAnsi"/>
                                <w:color w:val="FFFFFF" w:themeColor="background1"/>
                                <w:sz w:val="22"/>
                              </w:rPr>
                              <w:t xml:space="preserve"> 2016</w:t>
                            </w:r>
                          </w:p>
                          <w:p w14:paraId="64789E31" w14:textId="77777777" w:rsidR="00E54CE8" w:rsidRPr="004B7EB6" w:rsidRDefault="00E54CE8"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B8EB4DD" w14:textId="1449C56F" w:rsidR="00E54CE8" w:rsidRPr="00BA051B" w:rsidRDefault="00E54CE8" w:rsidP="002C1641">
                      <w:pPr>
                        <w:jc w:val="right"/>
                        <w:rPr>
                          <w:rFonts w:asciiTheme="minorHAnsi" w:hAnsiTheme="minorHAnsi"/>
                          <w:color w:val="FFFFFF" w:themeColor="background1"/>
                          <w:sz w:val="22"/>
                          <w:lang w:val="pt-BR"/>
                        </w:rPr>
                      </w:pPr>
                      <w:r w:rsidRPr="00BA051B">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159</w:t>
                      </w:r>
                    </w:p>
                    <w:p w14:paraId="7CBD3874" w14:textId="49A4836F" w:rsidR="00E54CE8" w:rsidRPr="00BA051B" w:rsidRDefault="00E54CE8" w:rsidP="002C1641">
                      <w:pPr>
                        <w:jc w:val="right"/>
                        <w:rPr>
                          <w:rFonts w:asciiTheme="minorHAnsi" w:hAnsiTheme="minorHAnsi"/>
                          <w:color w:val="FFFFFF" w:themeColor="background1"/>
                          <w:sz w:val="22"/>
                          <w:lang w:val="pt-BR"/>
                        </w:rPr>
                      </w:pPr>
                      <w:r w:rsidRPr="00BA051B">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59</w:t>
                      </w:r>
                    </w:p>
                    <w:p w14:paraId="022BC6DC" w14:textId="2EFF910B" w:rsidR="00E54CE8" w:rsidRPr="004B7EB6" w:rsidRDefault="00194535" w:rsidP="002C1641">
                      <w:pPr>
                        <w:jc w:val="right"/>
                        <w:rPr>
                          <w:rFonts w:asciiTheme="minorHAnsi" w:hAnsiTheme="minorHAnsi"/>
                          <w:color w:val="FFFFFF" w:themeColor="background1"/>
                          <w:sz w:val="22"/>
                        </w:rPr>
                      </w:pPr>
                      <w:r>
                        <w:rPr>
                          <w:rFonts w:asciiTheme="minorHAnsi" w:hAnsiTheme="minorHAnsi"/>
                          <w:color w:val="FFFFFF" w:themeColor="background1"/>
                          <w:sz w:val="22"/>
                        </w:rPr>
                        <w:t>30 November</w:t>
                      </w:r>
                      <w:r w:rsidR="00E54CE8">
                        <w:rPr>
                          <w:rFonts w:asciiTheme="minorHAnsi" w:hAnsiTheme="minorHAnsi"/>
                          <w:color w:val="FFFFFF" w:themeColor="background1"/>
                          <w:sz w:val="22"/>
                        </w:rPr>
                        <w:t xml:space="preserve"> 2016</w:t>
                      </w:r>
                    </w:p>
                    <w:p w14:paraId="64789E31" w14:textId="77777777" w:rsidR="00E54CE8" w:rsidRPr="004B7EB6" w:rsidRDefault="00E54CE8"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30A1E1DE" w14:textId="77777777" w:rsidR="00040C3A" w:rsidRPr="00DB5E09" w:rsidRDefault="00040C3A" w:rsidP="00040C3A">
      <w:pPr>
        <w:tabs>
          <w:tab w:val="center" w:pos="5400"/>
        </w:tabs>
        <w:suppressAutoHyphens/>
        <w:jc w:val="center"/>
        <w:rPr>
          <w:rFonts w:asciiTheme="majorHAnsi" w:hAnsiTheme="majorHAnsi"/>
          <w:sz w:val="22"/>
          <w:szCs w:val="22"/>
        </w:rPr>
      </w:pPr>
    </w:p>
    <w:p w14:paraId="4D62D964" w14:textId="77777777" w:rsidR="00040C3A" w:rsidRPr="00DB5E09" w:rsidRDefault="00040C3A" w:rsidP="00040C3A">
      <w:pPr>
        <w:tabs>
          <w:tab w:val="center" w:pos="5400"/>
        </w:tabs>
        <w:suppressAutoHyphens/>
        <w:jc w:val="center"/>
        <w:rPr>
          <w:rFonts w:asciiTheme="majorHAnsi" w:hAnsiTheme="majorHAnsi" w:cs="Arial"/>
          <w:sz w:val="22"/>
          <w:szCs w:val="22"/>
        </w:rPr>
      </w:pPr>
    </w:p>
    <w:p w14:paraId="643A9FB4" w14:textId="77777777" w:rsidR="00040C3A" w:rsidRPr="00DB5E09" w:rsidRDefault="00040C3A" w:rsidP="00040C3A">
      <w:pPr>
        <w:tabs>
          <w:tab w:val="center" w:pos="5400"/>
        </w:tabs>
        <w:suppressAutoHyphens/>
        <w:jc w:val="center"/>
        <w:rPr>
          <w:rFonts w:asciiTheme="majorHAnsi" w:hAnsiTheme="majorHAnsi"/>
          <w:sz w:val="22"/>
          <w:szCs w:val="22"/>
        </w:rPr>
      </w:pPr>
    </w:p>
    <w:p w14:paraId="380D9615" w14:textId="77777777" w:rsidR="00040C3A" w:rsidRPr="00DB5E09" w:rsidRDefault="00040C3A" w:rsidP="00040C3A">
      <w:pPr>
        <w:tabs>
          <w:tab w:val="center" w:pos="5400"/>
        </w:tabs>
        <w:suppressAutoHyphens/>
        <w:jc w:val="center"/>
        <w:rPr>
          <w:rFonts w:asciiTheme="majorHAnsi" w:hAnsiTheme="majorHAnsi"/>
          <w:sz w:val="22"/>
          <w:szCs w:val="22"/>
        </w:rPr>
      </w:pPr>
    </w:p>
    <w:p w14:paraId="7C43675C" w14:textId="77777777" w:rsidR="00040C3A" w:rsidRPr="00DB5E09" w:rsidRDefault="00040C3A" w:rsidP="00040C3A">
      <w:pPr>
        <w:tabs>
          <w:tab w:val="center" w:pos="5400"/>
        </w:tabs>
        <w:suppressAutoHyphens/>
        <w:jc w:val="center"/>
        <w:rPr>
          <w:rFonts w:asciiTheme="majorHAnsi" w:hAnsiTheme="majorHAnsi"/>
          <w:sz w:val="22"/>
          <w:szCs w:val="22"/>
        </w:rPr>
      </w:pPr>
    </w:p>
    <w:p w14:paraId="40E13C6B" w14:textId="77777777" w:rsidR="00040C3A" w:rsidRPr="00DB5E09" w:rsidRDefault="00040C3A" w:rsidP="00040C3A">
      <w:pPr>
        <w:tabs>
          <w:tab w:val="center" w:pos="5400"/>
        </w:tabs>
        <w:suppressAutoHyphens/>
        <w:jc w:val="center"/>
        <w:rPr>
          <w:rFonts w:asciiTheme="majorHAnsi" w:hAnsiTheme="majorHAnsi"/>
          <w:sz w:val="22"/>
          <w:szCs w:val="22"/>
        </w:rPr>
      </w:pPr>
    </w:p>
    <w:p w14:paraId="1BD7A26D" w14:textId="77777777" w:rsidR="005128E4" w:rsidRPr="00DB5E09" w:rsidRDefault="005128E4" w:rsidP="00040C3A">
      <w:pPr>
        <w:tabs>
          <w:tab w:val="center" w:pos="5400"/>
        </w:tabs>
        <w:suppressAutoHyphens/>
        <w:jc w:val="center"/>
        <w:rPr>
          <w:rFonts w:asciiTheme="majorHAnsi" w:hAnsiTheme="majorHAnsi"/>
          <w:sz w:val="22"/>
          <w:szCs w:val="22"/>
        </w:rPr>
      </w:pPr>
    </w:p>
    <w:p w14:paraId="3A7EE300" w14:textId="77777777" w:rsidR="00040C3A" w:rsidRPr="00DB5E09" w:rsidRDefault="00040C3A" w:rsidP="00040C3A">
      <w:pPr>
        <w:tabs>
          <w:tab w:val="center" w:pos="5400"/>
        </w:tabs>
        <w:suppressAutoHyphens/>
        <w:jc w:val="center"/>
        <w:rPr>
          <w:rFonts w:asciiTheme="majorHAnsi" w:hAnsiTheme="majorHAnsi"/>
          <w:sz w:val="22"/>
          <w:szCs w:val="22"/>
        </w:rPr>
      </w:pPr>
    </w:p>
    <w:p w14:paraId="30D741B4" w14:textId="77777777" w:rsidR="005128E4" w:rsidRPr="00DB5E09" w:rsidRDefault="005128E4" w:rsidP="00040C3A">
      <w:pPr>
        <w:tabs>
          <w:tab w:val="center" w:pos="5400"/>
        </w:tabs>
        <w:suppressAutoHyphens/>
        <w:jc w:val="center"/>
        <w:rPr>
          <w:rFonts w:asciiTheme="majorHAnsi" w:hAnsiTheme="majorHAnsi"/>
          <w:sz w:val="22"/>
          <w:szCs w:val="22"/>
        </w:rPr>
      </w:pPr>
    </w:p>
    <w:p w14:paraId="4D0073E7" w14:textId="77777777" w:rsidR="005128E4" w:rsidRPr="00DB5E09" w:rsidRDefault="005128E4" w:rsidP="00040C3A">
      <w:pPr>
        <w:tabs>
          <w:tab w:val="center" w:pos="5400"/>
        </w:tabs>
        <w:suppressAutoHyphens/>
        <w:jc w:val="center"/>
        <w:rPr>
          <w:rFonts w:asciiTheme="majorHAnsi" w:hAnsiTheme="majorHAnsi"/>
          <w:sz w:val="22"/>
          <w:szCs w:val="22"/>
        </w:rPr>
      </w:pPr>
    </w:p>
    <w:p w14:paraId="256B32C5" w14:textId="77777777" w:rsidR="005128E4" w:rsidRPr="00DB5E09" w:rsidRDefault="005128E4" w:rsidP="00040C3A">
      <w:pPr>
        <w:tabs>
          <w:tab w:val="center" w:pos="5400"/>
        </w:tabs>
        <w:suppressAutoHyphens/>
        <w:jc w:val="center"/>
        <w:rPr>
          <w:rFonts w:asciiTheme="majorHAnsi" w:hAnsiTheme="majorHAnsi"/>
          <w:sz w:val="22"/>
          <w:szCs w:val="22"/>
        </w:rPr>
      </w:pPr>
    </w:p>
    <w:p w14:paraId="1C877ED8" w14:textId="77777777" w:rsidR="00040C3A" w:rsidRPr="00DB5E09" w:rsidRDefault="00040C3A" w:rsidP="00040C3A">
      <w:pPr>
        <w:tabs>
          <w:tab w:val="center" w:pos="5400"/>
        </w:tabs>
        <w:suppressAutoHyphens/>
        <w:jc w:val="center"/>
        <w:rPr>
          <w:rFonts w:asciiTheme="majorHAnsi" w:hAnsiTheme="majorHAnsi"/>
          <w:sz w:val="22"/>
          <w:szCs w:val="22"/>
        </w:rPr>
      </w:pPr>
    </w:p>
    <w:p w14:paraId="1519DEB1" w14:textId="77777777" w:rsidR="00040C3A" w:rsidRPr="00DB5E09" w:rsidRDefault="00040C3A" w:rsidP="00040C3A">
      <w:pPr>
        <w:tabs>
          <w:tab w:val="center" w:pos="5400"/>
        </w:tabs>
        <w:suppressAutoHyphens/>
        <w:jc w:val="center"/>
        <w:rPr>
          <w:rFonts w:asciiTheme="majorHAnsi" w:hAnsiTheme="majorHAnsi"/>
          <w:sz w:val="22"/>
          <w:szCs w:val="22"/>
        </w:rPr>
      </w:pPr>
    </w:p>
    <w:p w14:paraId="1C80E4F3" w14:textId="77777777" w:rsidR="002C1641" w:rsidRPr="00DB5E09" w:rsidRDefault="002C1641" w:rsidP="00040C3A">
      <w:pPr>
        <w:tabs>
          <w:tab w:val="center" w:pos="5400"/>
        </w:tabs>
        <w:suppressAutoHyphens/>
        <w:jc w:val="center"/>
        <w:rPr>
          <w:rFonts w:asciiTheme="majorHAnsi" w:hAnsiTheme="majorHAnsi"/>
          <w:sz w:val="18"/>
          <w:szCs w:val="22"/>
        </w:rPr>
      </w:pPr>
    </w:p>
    <w:p w14:paraId="17DBFE0B" w14:textId="77777777" w:rsidR="002C1641" w:rsidRPr="00DB5E09" w:rsidRDefault="002C1641" w:rsidP="00040C3A">
      <w:pPr>
        <w:tabs>
          <w:tab w:val="center" w:pos="5400"/>
        </w:tabs>
        <w:suppressAutoHyphens/>
        <w:jc w:val="center"/>
        <w:rPr>
          <w:rFonts w:asciiTheme="majorHAnsi" w:hAnsiTheme="majorHAnsi"/>
          <w:sz w:val="18"/>
          <w:szCs w:val="22"/>
        </w:rPr>
      </w:pPr>
    </w:p>
    <w:p w14:paraId="6DADB593" w14:textId="77777777" w:rsidR="002C1641" w:rsidRPr="00DB5E09" w:rsidRDefault="002C1641" w:rsidP="00040C3A">
      <w:pPr>
        <w:tabs>
          <w:tab w:val="center" w:pos="5400"/>
        </w:tabs>
        <w:suppressAutoHyphens/>
        <w:jc w:val="center"/>
        <w:rPr>
          <w:rFonts w:asciiTheme="majorHAnsi" w:hAnsiTheme="majorHAnsi"/>
          <w:sz w:val="18"/>
          <w:szCs w:val="22"/>
        </w:rPr>
      </w:pPr>
    </w:p>
    <w:p w14:paraId="3C1BB07A" w14:textId="77777777" w:rsidR="002C1641" w:rsidRPr="00DB5E09" w:rsidRDefault="002C1641" w:rsidP="00040C3A">
      <w:pPr>
        <w:tabs>
          <w:tab w:val="center" w:pos="5400"/>
        </w:tabs>
        <w:suppressAutoHyphens/>
        <w:jc w:val="center"/>
        <w:rPr>
          <w:rFonts w:asciiTheme="majorHAnsi" w:hAnsiTheme="majorHAnsi"/>
          <w:sz w:val="18"/>
          <w:szCs w:val="22"/>
        </w:rPr>
      </w:pPr>
    </w:p>
    <w:p w14:paraId="0D4E1DB4" w14:textId="77777777" w:rsidR="002C1641" w:rsidRPr="00DB5E09" w:rsidRDefault="002C1641" w:rsidP="00040C3A">
      <w:pPr>
        <w:tabs>
          <w:tab w:val="center" w:pos="5400"/>
        </w:tabs>
        <w:suppressAutoHyphens/>
        <w:jc w:val="center"/>
        <w:rPr>
          <w:rFonts w:asciiTheme="majorHAnsi" w:hAnsiTheme="majorHAnsi"/>
          <w:sz w:val="18"/>
          <w:szCs w:val="22"/>
        </w:rPr>
      </w:pPr>
    </w:p>
    <w:p w14:paraId="08D62CA7" w14:textId="77777777" w:rsidR="002C1641" w:rsidRPr="00DB5E09" w:rsidRDefault="002C1641" w:rsidP="00040C3A">
      <w:pPr>
        <w:tabs>
          <w:tab w:val="center" w:pos="5400"/>
        </w:tabs>
        <w:suppressAutoHyphens/>
        <w:jc w:val="center"/>
        <w:rPr>
          <w:rFonts w:asciiTheme="majorHAnsi" w:hAnsiTheme="majorHAnsi"/>
          <w:sz w:val="18"/>
          <w:szCs w:val="22"/>
        </w:rPr>
      </w:pPr>
    </w:p>
    <w:p w14:paraId="1B7BC73B" w14:textId="77777777" w:rsidR="002C1641" w:rsidRPr="00DB5E09" w:rsidRDefault="002C1641" w:rsidP="00040C3A">
      <w:pPr>
        <w:tabs>
          <w:tab w:val="center" w:pos="5400"/>
        </w:tabs>
        <w:suppressAutoHyphens/>
        <w:jc w:val="center"/>
        <w:rPr>
          <w:rFonts w:asciiTheme="majorHAnsi" w:hAnsiTheme="majorHAnsi"/>
          <w:sz w:val="18"/>
          <w:szCs w:val="22"/>
        </w:rPr>
      </w:pPr>
    </w:p>
    <w:p w14:paraId="7696DDA0" w14:textId="77777777" w:rsidR="002C1641" w:rsidRPr="00DB5E09" w:rsidRDefault="002C1641" w:rsidP="00040C3A">
      <w:pPr>
        <w:tabs>
          <w:tab w:val="center" w:pos="5400"/>
        </w:tabs>
        <w:suppressAutoHyphens/>
        <w:jc w:val="center"/>
        <w:rPr>
          <w:rFonts w:asciiTheme="majorHAnsi" w:hAnsiTheme="majorHAnsi"/>
          <w:sz w:val="18"/>
          <w:szCs w:val="22"/>
        </w:rPr>
      </w:pPr>
    </w:p>
    <w:p w14:paraId="14C13000" w14:textId="77777777" w:rsidR="002C1641" w:rsidRPr="00DB5E09" w:rsidRDefault="002C1641" w:rsidP="00040C3A">
      <w:pPr>
        <w:tabs>
          <w:tab w:val="center" w:pos="5400"/>
        </w:tabs>
        <w:suppressAutoHyphens/>
        <w:jc w:val="center"/>
        <w:rPr>
          <w:rFonts w:asciiTheme="majorHAnsi" w:hAnsiTheme="majorHAnsi"/>
          <w:sz w:val="18"/>
          <w:szCs w:val="22"/>
        </w:rPr>
      </w:pPr>
    </w:p>
    <w:p w14:paraId="525B20A1" w14:textId="77777777" w:rsidR="002C1641" w:rsidRPr="00DB5E09" w:rsidRDefault="002C1641" w:rsidP="00040C3A">
      <w:pPr>
        <w:tabs>
          <w:tab w:val="center" w:pos="5400"/>
        </w:tabs>
        <w:suppressAutoHyphens/>
        <w:jc w:val="center"/>
        <w:rPr>
          <w:rFonts w:asciiTheme="majorHAnsi" w:hAnsiTheme="majorHAnsi"/>
          <w:sz w:val="18"/>
          <w:szCs w:val="22"/>
        </w:rPr>
      </w:pPr>
    </w:p>
    <w:p w14:paraId="0CFF95E9" w14:textId="77777777" w:rsidR="002C1641" w:rsidRPr="00DB5E09" w:rsidRDefault="002C1641" w:rsidP="00040C3A">
      <w:pPr>
        <w:tabs>
          <w:tab w:val="center" w:pos="5400"/>
        </w:tabs>
        <w:suppressAutoHyphens/>
        <w:jc w:val="center"/>
        <w:rPr>
          <w:rFonts w:asciiTheme="majorHAnsi" w:hAnsiTheme="majorHAnsi"/>
          <w:sz w:val="18"/>
          <w:szCs w:val="22"/>
        </w:rPr>
      </w:pPr>
    </w:p>
    <w:p w14:paraId="4426C1D1" w14:textId="77777777" w:rsidR="002C1641" w:rsidRPr="00DB5E09" w:rsidRDefault="002C1641" w:rsidP="00040C3A">
      <w:pPr>
        <w:tabs>
          <w:tab w:val="center" w:pos="5400"/>
        </w:tabs>
        <w:suppressAutoHyphens/>
        <w:jc w:val="center"/>
        <w:rPr>
          <w:rFonts w:asciiTheme="majorHAnsi" w:hAnsiTheme="majorHAnsi"/>
          <w:sz w:val="18"/>
          <w:szCs w:val="22"/>
        </w:rPr>
      </w:pPr>
    </w:p>
    <w:p w14:paraId="1DE65548" w14:textId="77777777" w:rsidR="002C1641" w:rsidRPr="00DB5E09"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6F7A1BB" wp14:editId="15047966">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86FDF" w14:textId="30C293F7" w:rsidR="00E54CE8" w:rsidRDefault="00E54CE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by the Commission </w:t>
                            </w:r>
                            <w:r w:rsidR="00194535">
                              <w:rPr>
                                <w:rFonts w:asciiTheme="majorHAnsi" w:hAnsiTheme="majorHAnsi"/>
                                <w:color w:val="0D0D0D" w:themeColor="text1" w:themeTint="F2"/>
                                <w:sz w:val="18"/>
                                <w:szCs w:val="22"/>
                              </w:rPr>
                              <w:t>at its session No. 2069 held on</w:t>
                            </w:r>
                            <w:r w:rsidRPr="003C32BC">
                              <w:rPr>
                                <w:rFonts w:asciiTheme="majorHAnsi" w:hAnsiTheme="majorHAnsi"/>
                                <w:color w:val="0D0D0D" w:themeColor="text1" w:themeTint="F2"/>
                                <w:sz w:val="18"/>
                                <w:szCs w:val="22"/>
                              </w:rPr>
                              <w:t xml:space="preserve"> </w:t>
                            </w:r>
                            <w:r>
                              <w:rPr>
                                <w:rFonts w:asciiTheme="majorHAnsi" w:hAnsiTheme="majorHAnsi"/>
                                <w:color w:val="0D0D0D" w:themeColor="text1" w:themeTint="F2"/>
                                <w:sz w:val="18"/>
                                <w:szCs w:val="22"/>
                              </w:rPr>
                              <w:t>November 30, 2016</w:t>
                            </w:r>
                            <w:r w:rsidR="00194535">
                              <w:rPr>
                                <w:rFonts w:asciiTheme="majorHAnsi" w:hAnsiTheme="majorHAnsi"/>
                                <w:color w:val="0D0D0D" w:themeColor="text1" w:themeTint="F2"/>
                                <w:sz w:val="18"/>
                                <w:szCs w:val="22"/>
                              </w:rPr>
                              <w:t>.</w:t>
                            </w:r>
                          </w:p>
                          <w:p w14:paraId="0B4616E2" w14:textId="25A7D093" w:rsidR="00854C5B" w:rsidRPr="003C32BC" w:rsidRDefault="00854C5B" w:rsidP="004165C2">
                            <w:pPr>
                              <w:tabs>
                                <w:tab w:val="center" w:pos="5400"/>
                              </w:tabs>
                              <w:suppressAutoHyphens/>
                              <w:spacing w:before="60"/>
                              <w:rPr>
                                <w:rFonts w:asciiTheme="majorHAnsi" w:hAnsiTheme="majorHAnsi"/>
                                <w:color w:val="0D0D0D" w:themeColor="text1" w:themeTint="F2"/>
                                <w:sz w:val="18"/>
                                <w:szCs w:val="22"/>
                              </w:rPr>
                            </w:pPr>
                            <w:r w:rsidRPr="00854C5B">
                              <w:rPr>
                                <w:rFonts w:asciiTheme="majorHAnsi" w:hAnsiTheme="majorHAnsi"/>
                                <w:color w:val="0D0D0D" w:themeColor="text1" w:themeTint="F2"/>
                                <w:sz w:val="18"/>
                                <w:szCs w:val="22"/>
                              </w:rPr>
                              <w:t>15</w:t>
                            </w:r>
                            <w:r>
                              <w:rPr>
                                <w:rFonts w:asciiTheme="majorHAnsi" w:hAnsiTheme="majorHAnsi"/>
                                <w:color w:val="0D0D0D" w:themeColor="text1" w:themeTint="F2"/>
                                <w:sz w:val="18"/>
                                <w:szCs w:val="22"/>
                              </w:rPr>
                              <w:t>9</w:t>
                            </w:r>
                            <w:r w:rsidR="00194535" w:rsidRPr="00194535">
                              <w:rPr>
                                <w:rFonts w:asciiTheme="majorHAnsi" w:hAnsiTheme="majorHAnsi"/>
                                <w:color w:val="0D0D0D" w:themeColor="text1" w:themeTint="F2"/>
                                <w:sz w:val="18"/>
                                <w:szCs w:val="22"/>
                                <w:vertAlign w:val="superscript"/>
                              </w:rPr>
                              <w:t>th</w:t>
                            </w:r>
                            <w:r w:rsidRPr="00854C5B">
                              <w:rPr>
                                <w:rFonts w:asciiTheme="majorHAnsi" w:hAnsiTheme="majorHAnsi"/>
                                <w:color w:val="0D0D0D" w:themeColor="text1" w:themeTint="F2"/>
                                <w:sz w:val="18"/>
                                <w:szCs w:val="22"/>
                              </w:rPr>
                              <w:t xml:space="preserve"> Regular Period of Sessions</w:t>
                            </w:r>
                            <w:r w:rsidR="00194535">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11F86FDF" w14:textId="30C293F7" w:rsidR="00E54CE8" w:rsidRDefault="00E54CE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by the Commission </w:t>
                      </w:r>
                      <w:r w:rsidR="00194535">
                        <w:rPr>
                          <w:rFonts w:asciiTheme="majorHAnsi" w:hAnsiTheme="majorHAnsi"/>
                          <w:color w:val="0D0D0D" w:themeColor="text1" w:themeTint="F2"/>
                          <w:sz w:val="18"/>
                          <w:szCs w:val="22"/>
                        </w:rPr>
                        <w:t>at its session No. 2069 held on</w:t>
                      </w:r>
                      <w:r w:rsidRPr="003C32BC">
                        <w:rPr>
                          <w:rFonts w:asciiTheme="majorHAnsi" w:hAnsiTheme="majorHAnsi"/>
                          <w:color w:val="0D0D0D" w:themeColor="text1" w:themeTint="F2"/>
                          <w:sz w:val="18"/>
                          <w:szCs w:val="22"/>
                        </w:rPr>
                        <w:t xml:space="preserve"> </w:t>
                      </w:r>
                      <w:r>
                        <w:rPr>
                          <w:rFonts w:asciiTheme="majorHAnsi" w:hAnsiTheme="majorHAnsi"/>
                          <w:color w:val="0D0D0D" w:themeColor="text1" w:themeTint="F2"/>
                          <w:sz w:val="18"/>
                          <w:szCs w:val="22"/>
                        </w:rPr>
                        <w:t>November 30, 2016</w:t>
                      </w:r>
                      <w:r w:rsidR="00194535">
                        <w:rPr>
                          <w:rFonts w:asciiTheme="majorHAnsi" w:hAnsiTheme="majorHAnsi"/>
                          <w:color w:val="0D0D0D" w:themeColor="text1" w:themeTint="F2"/>
                          <w:sz w:val="18"/>
                          <w:szCs w:val="22"/>
                        </w:rPr>
                        <w:t>.</w:t>
                      </w:r>
                    </w:p>
                    <w:p w14:paraId="0B4616E2" w14:textId="25A7D093" w:rsidR="00854C5B" w:rsidRPr="003C32BC" w:rsidRDefault="00854C5B" w:rsidP="004165C2">
                      <w:pPr>
                        <w:tabs>
                          <w:tab w:val="center" w:pos="5400"/>
                        </w:tabs>
                        <w:suppressAutoHyphens/>
                        <w:spacing w:before="60"/>
                        <w:rPr>
                          <w:rFonts w:asciiTheme="majorHAnsi" w:hAnsiTheme="majorHAnsi"/>
                          <w:color w:val="0D0D0D" w:themeColor="text1" w:themeTint="F2"/>
                          <w:sz w:val="18"/>
                          <w:szCs w:val="22"/>
                        </w:rPr>
                      </w:pPr>
                      <w:r w:rsidRPr="00854C5B">
                        <w:rPr>
                          <w:rFonts w:asciiTheme="majorHAnsi" w:hAnsiTheme="majorHAnsi"/>
                          <w:color w:val="0D0D0D" w:themeColor="text1" w:themeTint="F2"/>
                          <w:sz w:val="18"/>
                          <w:szCs w:val="22"/>
                        </w:rPr>
                        <w:t>15</w:t>
                      </w:r>
                      <w:r>
                        <w:rPr>
                          <w:rFonts w:asciiTheme="majorHAnsi" w:hAnsiTheme="majorHAnsi"/>
                          <w:color w:val="0D0D0D" w:themeColor="text1" w:themeTint="F2"/>
                          <w:sz w:val="18"/>
                          <w:szCs w:val="22"/>
                        </w:rPr>
                        <w:t>9</w:t>
                      </w:r>
                      <w:r w:rsidR="00194535" w:rsidRPr="00194535">
                        <w:rPr>
                          <w:rFonts w:asciiTheme="majorHAnsi" w:hAnsiTheme="majorHAnsi"/>
                          <w:color w:val="0D0D0D" w:themeColor="text1" w:themeTint="F2"/>
                          <w:sz w:val="18"/>
                          <w:szCs w:val="22"/>
                          <w:vertAlign w:val="superscript"/>
                        </w:rPr>
                        <w:t>th</w:t>
                      </w:r>
                      <w:r w:rsidRPr="00854C5B">
                        <w:rPr>
                          <w:rFonts w:asciiTheme="majorHAnsi" w:hAnsiTheme="majorHAnsi"/>
                          <w:color w:val="0D0D0D" w:themeColor="text1" w:themeTint="F2"/>
                          <w:sz w:val="18"/>
                          <w:szCs w:val="22"/>
                        </w:rPr>
                        <w:t xml:space="preserve"> Regular Period of Sessions</w:t>
                      </w:r>
                      <w:r w:rsidR="00194535">
                        <w:rPr>
                          <w:rFonts w:asciiTheme="majorHAnsi" w:hAnsiTheme="majorHAnsi"/>
                          <w:color w:val="0D0D0D" w:themeColor="text1" w:themeTint="F2"/>
                          <w:sz w:val="18"/>
                          <w:szCs w:val="22"/>
                        </w:rPr>
                        <w:t>.</w:t>
                      </w:r>
                    </w:p>
                  </w:txbxContent>
                </v:textbox>
              </v:shape>
            </w:pict>
          </mc:Fallback>
        </mc:AlternateContent>
      </w:r>
    </w:p>
    <w:p w14:paraId="28626348" w14:textId="77777777" w:rsidR="002C1641" w:rsidRPr="00DB5E09" w:rsidRDefault="002C1641" w:rsidP="00040C3A">
      <w:pPr>
        <w:tabs>
          <w:tab w:val="center" w:pos="5400"/>
        </w:tabs>
        <w:suppressAutoHyphens/>
        <w:jc w:val="center"/>
        <w:rPr>
          <w:rFonts w:asciiTheme="majorHAnsi" w:hAnsiTheme="majorHAnsi"/>
          <w:sz w:val="18"/>
          <w:szCs w:val="22"/>
        </w:rPr>
      </w:pPr>
    </w:p>
    <w:p w14:paraId="61877681" w14:textId="77777777" w:rsidR="002C1641" w:rsidRPr="00DB5E09" w:rsidRDefault="002C1641" w:rsidP="00040C3A">
      <w:pPr>
        <w:tabs>
          <w:tab w:val="center" w:pos="5400"/>
        </w:tabs>
        <w:suppressAutoHyphens/>
        <w:jc w:val="center"/>
        <w:rPr>
          <w:rFonts w:asciiTheme="majorHAnsi" w:hAnsiTheme="majorHAnsi"/>
          <w:sz w:val="18"/>
          <w:szCs w:val="22"/>
        </w:rPr>
      </w:pPr>
    </w:p>
    <w:p w14:paraId="24DA194B" w14:textId="77777777" w:rsidR="002C1641" w:rsidRPr="00DB5E09" w:rsidRDefault="002C1641" w:rsidP="00040C3A">
      <w:pPr>
        <w:tabs>
          <w:tab w:val="center" w:pos="5400"/>
        </w:tabs>
        <w:suppressAutoHyphens/>
        <w:jc w:val="center"/>
        <w:rPr>
          <w:rFonts w:asciiTheme="majorHAnsi" w:hAnsiTheme="majorHAnsi"/>
          <w:sz w:val="18"/>
          <w:szCs w:val="22"/>
        </w:rPr>
      </w:pPr>
    </w:p>
    <w:p w14:paraId="5E091156" w14:textId="77777777" w:rsidR="002C1641" w:rsidRPr="00DB5E09" w:rsidRDefault="002C1641" w:rsidP="00040C3A">
      <w:pPr>
        <w:tabs>
          <w:tab w:val="center" w:pos="5400"/>
        </w:tabs>
        <w:suppressAutoHyphens/>
        <w:jc w:val="center"/>
        <w:rPr>
          <w:rFonts w:asciiTheme="majorHAnsi" w:hAnsiTheme="majorHAnsi"/>
          <w:sz w:val="18"/>
          <w:szCs w:val="22"/>
        </w:rPr>
      </w:pPr>
    </w:p>
    <w:p w14:paraId="1CEAE7D6" w14:textId="77777777" w:rsidR="002C1641" w:rsidRPr="00DB5E09"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7B1F846" wp14:editId="318E747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440FF" w14:textId="70518FB1" w:rsidR="00E54CE8" w:rsidRPr="003C32BC" w:rsidRDefault="00E54CE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854C5B">
                              <w:rPr>
                                <w:rFonts w:asciiTheme="majorHAnsi" w:hAnsiTheme="majorHAnsi"/>
                                <w:color w:val="595959" w:themeColor="text1" w:themeTint="A6"/>
                                <w:sz w:val="18"/>
                              </w:rPr>
                              <w:t>50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16</w:t>
                            </w:r>
                            <w:r w:rsidRPr="003C32BC">
                              <w:rPr>
                                <w:rFonts w:asciiTheme="majorHAnsi" w:hAnsiTheme="majorHAnsi"/>
                                <w:color w:val="595959" w:themeColor="text1" w:themeTint="A6"/>
                                <w:sz w:val="18"/>
                              </w:rPr>
                              <w:t>, Case</w:t>
                            </w:r>
                            <w:r>
                              <w:rPr>
                                <w:rFonts w:asciiTheme="majorHAnsi" w:hAnsiTheme="majorHAnsi"/>
                                <w:color w:val="595959" w:themeColor="text1" w:themeTint="A6"/>
                                <w:sz w:val="18"/>
                              </w:rPr>
                              <w:t xml:space="preserve"> 12.834</w:t>
                            </w:r>
                            <w:r w:rsidR="00854C5B">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Merits</w:t>
                            </w:r>
                            <w:r>
                              <w:rPr>
                                <w:rFonts w:asciiTheme="majorHAnsi" w:hAnsiTheme="majorHAnsi"/>
                                <w:color w:val="595959" w:themeColor="text1" w:themeTint="A6"/>
                                <w:sz w:val="18"/>
                              </w:rPr>
                              <w:t xml:space="preserve"> (Publication), Undocumented Workers, United States of America</w:t>
                            </w:r>
                            <w:r w:rsidR="00854C5B">
                              <w:rPr>
                                <w:rFonts w:asciiTheme="majorHAnsi" w:hAnsiTheme="majorHAnsi"/>
                                <w:color w:val="595959" w:themeColor="text1" w:themeTint="A6"/>
                                <w:sz w:val="18"/>
                              </w:rPr>
                              <w:t>, November 30, 2016</w:t>
                            </w:r>
                            <w:r w:rsidRPr="0097769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C8440FF" w14:textId="70518FB1" w:rsidR="00E54CE8" w:rsidRPr="003C32BC" w:rsidRDefault="00E54CE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854C5B">
                        <w:rPr>
                          <w:rFonts w:asciiTheme="majorHAnsi" w:hAnsiTheme="majorHAnsi"/>
                          <w:color w:val="595959" w:themeColor="text1" w:themeTint="A6"/>
                          <w:sz w:val="18"/>
                        </w:rPr>
                        <w:t>50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16</w:t>
                      </w:r>
                      <w:r w:rsidRPr="003C32BC">
                        <w:rPr>
                          <w:rFonts w:asciiTheme="majorHAnsi" w:hAnsiTheme="majorHAnsi"/>
                          <w:color w:val="595959" w:themeColor="text1" w:themeTint="A6"/>
                          <w:sz w:val="18"/>
                        </w:rPr>
                        <w:t>, Case</w:t>
                      </w:r>
                      <w:r>
                        <w:rPr>
                          <w:rFonts w:asciiTheme="majorHAnsi" w:hAnsiTheme="majorHAnsi"/>
                          <w:color w:val="595959" w:themeColor="text1" w:themeTint="A6"/>
                          <w:sz w:val="18"/>
                        </w:rPr>
                        <w:t xml:space="preserve"> 12.834</w:t>
                      </w:r>
                      <w:r w:rsidR="00854C5B">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Merits</w:t>
                      </w:r>
                      <w:r>
                        <w:rPr>
                          <w:rFonts w:asciiTheme="majorHAnsi" w:hAnsiTheme="majorHAnsi"/>
                          <w:color w:val="595959" w:themeColor="text1" w:themeTint="A6"/>
                          <w:sz w:val="18"/>
                        </w:rPr>
                        <w:t xml:space="preserve"> (Publication), Undocumented Workers, United States of America</w:t>
                      </w:r>
                      <w:r w:rsidR="00854C5B">
                        <w:rPr>
                          <w:rFonts w:asciiTheme="majorHAnsi" w:hAnsiTheme="majorHAnsi"/>
                          <w:color w:val="595959" w:themeColor="text1" w:themeTint="A6"/>
                          <w:sz w:val="18"/>
                        </w:rPr>
                        <w:t>, November 30, 2016</w:t>
                      </w:r>
                      <w:r w:rsidRPr="00977694">
                        <w:rPr>
                          <w:rFonts w:asciiTheme="majorHAnsi" w:hAnsiTheme="majorHAnsi"/>
                          <w:color w:val="595959" w:themeColor="text1" w:themeTint="A6"/>
                          <w:sz w:val="18"/>
                        </w:rPr>
                        <w:t>.</w:t>
                      </w:r>
                    </w:p>
                  </w:txbxContent>
                </v:textbox>
              </v:shape>
            </w:pict>
          </mc:Fallback>
        </mc:AlternateContent>
      </w:r>
    </w:p>
    <w:p w14:paraId="7ACCBD2D" w14:textId="77777777" w:rsidR="002C1641" w:rsidRPr="00DB5E09" w:rsidRDefault="002C1641" w:rsidP="00040C3A">
      <w:pPr>
        <w:tabs>
          <w:tab w:val="center" w:pos="5400"/>
        </w:tabs>
        <w:suppressAutoHyphens/>
        <w:jc w:val="center"/>
        <w:rPr>
          <w:rFonts w:asciiTheme="majorHAnsi" w:hAnsiTheme="majorHAnsi"/>
          <w:sz w:val="18"/>
          <w:szCs w:val="22"/>
        </w:rPr>
      </w:pPr>
    </w:p>
    <w:p w14:paraId="1B826FA5" w14:textId="77777777" w:rsidR="002C1641" w:rsidRPr="00DB5E09" w:rsidRDefault="002C1641" w:rsidP="00040C3A">
      <w:pPr>
        <w:tabs>
          <w:tab w:val="center" w:pos="5400"/>
        </w:tabs>
        <w:suppressAutoHyphens/>
        <w:jc w:val="center"/>
        <w:rPr>
          <w:rFonts w:asciiTheme="majorHAnsi" w:hAnsiTheme="majorHAnsi"/>
          <w:sz w:val="18"/>
          <w:szCs w:val="22"/>
        </w:rPr>
      </w:pPr>
    </w:p>
    <w:p w14:paraId="7601D000" w14:textId="77777777" w:rsidR="003C32BC" w:rsidRPr="003C32BC" w:rsidRDefault="003C32BC" w:rsidP="003C32BC">
      <w:pPr>
        <w:tabs>
          <w:tab w:val="center" w:pos="5400"/>
        </w:tabs>
        <w:suppressAutoHyphens/>
        <w:jc w:val="center"/>
        <w:rPr>
          <w:rFonts w:asciiTheme="majorHAnsi" w:hAnsiTheme="majorHAnsi"/>
          <w:sz w:val="18"/>
          <w:szCs w:val="22"/>
        </w:rPr>
      </w:pPr>
    </w:p>
    <w:p w14:paraId="3E957FA5"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115D2D1" wp14:editId="7D45658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CF961" w14:textId="77777777" w:rsidR="00E54CE8" w:rsidRPr="004B7EB6" w:rsidRDefault="00E54CE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33CF961" w14:textId="77777777" w:rsidR="00E54CE8" w:rsidRPr="004B7EB6" w:rsidRDefault="00E54CE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A53EDF0" wp14:editId="30DBF591">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A8203" w14:textId="77777777" w:rsidR="00E54CE8" w:rsidRDefault="00E54CE8">
                            <w:r>
                              <w:rPr>
                                <w:noProof/>
                              </w:rPr>
                              <w:drawing>
                                <wp:inline distT="0" distB="0" distL="0" distR="0" wp14:anchorId="27A150B1" wp14:editId="72A164E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3DCA8203" w14:textId="77777777" w:rsidR="00E54CE8" w:rsidRDefault="00E54CE8">
                      <w:r>
                        <w:rPr>
                          <w:noProof/>
                        </w:rPr>
                        <w:drawing>
                          <wp:inline distT="0" distB="0" distL="0" distR="0" wp14:anchorId="27A150B1" wp14:editId="72A164E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084EA94C"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CC17F9B" w14:textId="6C02325E" w:rsidR="006311DA" w:rsidRPr="00FC3EB4" w:rsidRDefault="00BF457B" w:rsidP="00145EDC">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w:t>
      </w:r>
      <w:r w:rsidR="000804B8">
        <w:rPr>
          <w:rFonts w:asciiTheme="majorHAnsi" w:hAnsiTheme="majorHAnsi"/>
          <w:b/>
          <w:sz w:val="18"/>
          <w:szCs w:val="20"/>
        </w:rPr>
        <w:t xml:space="preserve"> </w:t>
      </w:r>
      <w:r w:rsidR="00854C5B">
        <w:rPr>
          <w:rFonts w:asciiTheme="majorHAnsi" w:hAnsiTheme="majorHAnsi"/>
          <w:b/>
          <w:sz w:val="18"/>
          <w:szCs w:val="20"/>
        </w:rPr>
        <w:t>50</w:t>
      </w:r>
      <w:r>
        <w:rPr>
          <w:rFonts w:asciiTheme="majorHAnsi" w:hAnsiTheme="majorHAnsi"/>
          <w:b/>
          <w:sz w:val="18"/>
          <w:szCs w:val="20"/>
        </w:rPr>
        <w:t>/1</w:t>
      </w:r>
      <w:r w:rsidR="000804B8">
        <w:rPr>
          <w:rFonts w:asciiTheme="majorHAnsi" w:hAnsiTheme="majorHAnsi"/>
          <w:b/>
          <w:sz w:val="18"/>
          <w:szCs w:val="20"/>
        </w:rPr>
        <w:t>6</w:t>
      </w:r>
    </w:p>
    <w:p w14:paraId="36494396" w14:textId="77777777" w:rsidR="006311DA" w:rsidRPr="00FC3EB4" w:rsidRDefault="006311DA" w:rsidP="00145EDC">
      <w:pPr>
        <w:tabs>
          <w:tab w:val="center" w:pos="5400"/>
        </w:tabs>
        <w:suppressAutoHyphens/>
        <w:spacing w:line="276" w:lineRule="auto"/>
        <w:jc w:val="center"/>
        <w:rPr>
          <w:rFonts w:asciiTheme="majorHAnsi" w:hAnsiTheme="majorHAnsi"/>
          <w:b/>
          <w:sz w:val="18"/>
          <w:szCs w:val="20"/>
        </w:rPr>
      </w:pPr>
      <w:r w:rsidRPr="00FC3EB4">
        <w:rPr>
          <w:rFonts w:asciiTheme="majorHAnsi" w:hAnsiTheme="majorHAnsi"/>
          <w:b/>
          <w:sz w:val="18"/>
          <w:szCs w:val="20"/>
        </w:rPr>
        <w:t xml:space="preserve">CASE </w:t>
      </w:r>
      <w:r w:rsidR="0014296A">
        <w:rPr>
          <w:rFonts w:asciiTheme="majorHAnsi" w:hAnsiTheme="majorHAnsi"/>
          <w:b/>
          <w:sz w:val="18"/>
          <w:szCs w:val="20"/>
        </w:rPr>
        <w:t>12.834</w:t>
      </w:r>
    </w:p>
    <w:p w14:paraId="33B2A902" w14:textId="29080777" w:rsidR="006311DA" w:rsidRPr="00FC3EB4" w:rsidRDefault="006311DA" w:rsidP="00145EDC">
      <w:pPr>
        <w:tabs>
          <w:tab w:val="center" w:pos="5400"/>
        </w:tabs>
        <w:suppressAutoHyphens/>
        <w:spacing w:line="276" w:lineRule="auto"/>
        <w:jc w:val="center"/>
        <w:rPr>
          <w:rFonts w:asciiTheme="majorHAnsi" w:hAnsiTheme="majorHAnsi"/>
          <w:sz w:val="18"/>
          <w:szCs w:val="20"/>
        </w:rPr>
      </w:pPr>
      <w:r w:rsidRPr="00FC3EB4">
        <w:rPr>
          <w:rFonts w:asciiTheme="majorHAnsi" w:hAnsiTheme="majorHAnsi"/>
          <w:sz w:val="18"/>
          <w:szCs w:val="20"/>
        </w:rPr>
        <w:t xml:space="preserve">MERITS </w:t>
      </w:r>
      <w:r w:rsidR="000804B8">
        <w:rPr>
          <w:rFonts w:asciiTheme="majorHAnsi" w:hAnsiTheme="majorHAnsi"/>
          <w:sz w:val="18"/>
          <w:szCs w:val="20"/>
        </w:rPr>
        <w:t>(</w:t>
      </w:r>
      <w:r w:rsidR="00862660">
        <w:rPr>
          <w:rFonts w:asciiTheme="majorHAnsi" w:hAnsiTheme="majorHAnsi"/>
          <w:sz w:val="18"/>
          <w:szCs w:val="20"/>
        </w:rPr>
        <w:t>PUBLICATION</w:t>
      </w:r>
      <w:r w:rsidR="000804B8">
        <w:rPr>
          <w:rFonts w:asciiTheme="majorHAnsi" w:hAnsiTheme="majorHAnsi"/>
          <w:sz w:val="18"/>
          <w:szCs w:val="20"/>
        </w:rPr>
        <w:t>)</w:t>
      </w:r>
    </w:p>
    <w:p w14:paraId="680A918F" w14:textId="77777777" w:rsidR="006311DA" w:rsidRPr="00FC3EB4" w:rsidRDefault="0014296A" w:rsidP="00145ED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UNDOCUMENTED WORKERS</w:t>
      </w:r>
    </w:p>
    <w:p w14:paraId="787F0100" w14:textId="3448A979" w:rsidR="003C32BC" w:rsidRPr="00FC3EB4" w:rsidRDefault="0014296A" w:rsidP="00145ED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UNITED STATES</w:t>
      </w:r>
      <w:r w:rsidR="00927179" w:rsidRPr="006760A1">
        <w:rPr>
          <w:rFonts w:eastAsia="Times New Roman"/>
          <w:sz w:val="18"/>
          <w:szCs w:val="18"/>
          <w:bdr w:val="none" w:sz="0" w:space="0" w:color="auto"/>
          <w:vertAlign w:val="superscript"/>
        </w:rPr>
        <w:footnoteReference w:customMarkFollows="1" w:id="2"/>
        <w:sym w:font="Symbol" w:char="F02A"/>
      </w:r>
      <w:r>
        <w:rPr>
          <w:rFonts w:asciiTheme="majorHAnsi" w:hAnsiTheme="majorHAnsi"/>
          <w:sz w:val="18"/>
          <w:szCs w:val="20"/>
        </w:rPr>
        <w:t xml:space="preserve"> </w:t>
      </w:r>
      <w:r w:rsidR="003414AC">
        <w:rPr>
          <w:rFonts w:asciiTheme="majorHAnsi" w:hAnsiTheme="majorHAnsi"/>
          <w:sz w:val="18"/>
          <w:szCs w:val="20"/>
        </w:rPr>
        <w:br/>
      </w:r>
      <w:r w:rsidR="00854C5B">
        <w:rPr>
          <w:rFonts w:asciiTheme="majorHAnsi" w:hAnsiTheme="majorHAnsi"/>
          <w:sz w:val="18"/>
          <w:szCs w:val="20"/>
        </w:rPr>
        <w:t>NOVEMBER 30</w:t>
      </w:r>
      <w:r w:rsidR="000804B8">
        <w:rPr>
          <w:rFonts w:asciiTheme="majorHAnsi" w:hAnsiTheme="majorHAnsi"/>
          <w:sz w:val="18"/>
          <w:szCs w:val="20"/>
        </w:rPr>
        <w:t>, 2016</w:t>
      </w:r>
    </w:p>
    <w:p w14:paraId="3B5645FA"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77C74DBA" w14:textId="77777777" w:rsidR="00FC3EB4" w:rsidRPr="00194535" w:rsidRDefault="00FC3EB4" w:rsidP="00FC3EB4">
      <w:pPr>
        <w:tabs>
          <w:tab w:val="center" w:pos="5400"/>
        </w:tabs>
        <w:suppressAutoHyphens/>
        <w:spacing w:line="276" w:lineRule="auto"/>
        <w:jc w:val="center"/>
        <w:rPr>
          <w:rFonts w:asciiTheme="majorHAnsi" w:hAnsiTheme="majorHAnsi"/>
          <w:b/>
          <w:sz w:val="28"/>
          <w:szCs w:val="20"/>
        </w:rPr>
      </w:pPr>
      <w:r w:rsidRPr="00194535">
        <w:rPr>
          <w:rFonts w:asciiTheme="majorHAnsi" w:hAnsiTheme="majorHAnsi"/>
          <w:b/>
          <w:sz w:val="28"/>
          <w:szCs w:val="20"/>
        </w:rPr>
        <w:t>INDEX</w:t>
      </w:r>
    </w:p>
    <w:p w14:paraId="33FDC478" w14:textId="77777777" w:rsidR="007607C4" w:rsidRPr="00B710F6" w:rsidRDefault="007607C4" w:rsidP="00145EDC">
      <w:pPr>
        <w:tabs>
          <w:tab w:val="center" w:pos="5400"/>
        </w:tabs>
        <w:suppressAutoHyphens/>
        <w:spacing w:line="276" w:lineRule="auto"/>
        <w:rPr>
          <w:rFonts w:asciiTheme="majorHAnsi" w:hAnsiTheme="majorHAnsi"/>
          <w:sz w:val="20"/>
          <w:szCs w:val="20"/>
        </w:rPr>
      </w:pPr>
    </w:p>
    <w:p w14:paraId="1E71DECE" w14:textId="77777777" w:rsidR="00862660" w:rsidRPr="00526E0B" w:rsidRDefault="00862660" w:rsidP="00194535">
      <w:pPr>
        <w:pStyle w:val="TOC1"/>
        <w:tabs>
          <w:tab w:val="left" w:pos="720"/>
          <w:tab w:val="right" w:leader="dot" w:pos="9350"/>
        </w:tabs>
        <w:spacing w:before="0" w:after="0"/>
        <w:jc w:val="both"/>
        <w:rPr>
          <w:rFonts w:asciiTheme="majorHAnsi" w:eastAsiaTheme="minorEastAsia" w:hAnsiTheme="majorHAnsi" w:cstheme="minorBidi"/>
          <w:b w:val="0"/>
          <w:bCs w:val="0"/>
          <w:caps w:val="0"/>
          <w:noProof/>
          <w:bdr w:val="none" w:sz="0" w:space="0" w:color="auto"/>
        </w:rPr>
      </w:pPr>
      <w:r w:rsidRPr="00526E0B">
        <w:rPr>
          <w:rFonts w:asciiTheme="majorHAnsi" w:hAnsiTheme="majorHAnsi"/>
          <w:b w:val="0"/>
          <w:bCs w:val="0"/>
          <w:caps w:val="0"/>
        </w:rPr>
        <w:fldChar w:fldCharType="begin"/>
      </w:r>
      <w:r w:rsidRPr="00526E0B">
        <w:rPr>
          <w:rFonts w:asciiTheme="majorHAnsi" w:hAnsiTheme="majorHAnsi"/>
          <w:b w:val="0"/>
          <w:bCs w:val="0"/>
          <w:caps w:val="0"/>
        </w:rPr>
        <w:instrText xml:space="preserve"> TOC \o "1-3" \h \z \u </w:instrText>
      </w:r>
      <w:r w:rsidRPr="00526E0B">
        <w:rPr>
          <w:rFonts w:asciiTheme="majorHAnsi" w:hAnsiTheme="majorHAnsi"/>
          <w:b w:val="0"/>
          <w:bCs w:val="0"/>
          <w:caps w:val="0"/>
        </w:rPr>
        <w:fldChar w:fldCharType="separate"/>
      </w:r>
      <w:hyperlink w:anchor="_Toc466296156" w:history="1">
        <w:r w:rsidRPr="00526E0B">
          <w:rPr>
            <w:rStyle w:val="Hyperlink"/>
            <w:rFonts w:asciiTheme="majorHAnsi" w:hAnsiTheme="majorHAnsi"/>
            <w:noProof/>
          </w:rPr>
          <w:t>I.</w:t>
        </w:r>
        <w:r w:rsidRPr="00526E0B">
          <w:rPr>
            <w:rFonts w:asciiTheme="majorHAnsi" w:eastAsiaTheme="minorEastAsia" w:hAnsiTheme="majorHAnsi" w:cstheme="minorBidi"/>
            <w:b w:val="0"/>
            <w:bCs w:val="0"/>
            <w:caps w:val="0"/>
            <w:noProof/>
            <w:bdr w:val="none" w:sz="0" w:space="0" w:color="auto"/>
          </w:rPr>
          <w:tab/>
        </w:r>
        <w:r w:rsidRPr="00526E0B">
          <w:rPr>
            <w:rStyle w:val="Hyperlink"/>
            <w:rFonts w:asciiTheme="majorHAnsi" w:hAnsiTheme="majorHAnsi"/>
            <w:noProof/>
          </w:rPr>
          <w:t>SUMMARY</w:t>
        </w:r>
        <w:r w:rsidRPr="00526E0B">
          <w:rPr>
            <w:rFonts w:asciiTheme="majorHAnsi" w:hAnsiTheme="majorHAnsi"/>
            <w:noProof/>
            <w:webHidden/>
          </w:rPr>
          <w:tab/>
        </w:r>
        <w:r w:rsidRPr="00526E0B">
          <w:rPr>
            <w:rFonts w:asciiTheme="majorHAnsi" w:hAnsiTheme="majorHAnsi"/>
            <w:noProof/>
            <w:webHidden/>
          </w:rPr>
          <w:fldChar w:fldCharType="begin"/>
        </w:r>
        <w:r w:rsidRPr="00526E0B">
          <w:rPr>
            <w:rFonts w:asciiTheme="majorHAnsi" w:hAnsiTheme="majorHAnsi"/>
            <w:noProof/>
            <w:webHidden/>
          </w:rPr>
          <w:instrText xml:space="preserve"> PAGEREF _Toc466296156 \h </w:instrText>
        </w:r>
        <w:r w:rsidRPr="00526E0B">
          <w:rPr>
            <w:rFonts w:asciiTheme="majorHAnsi" w:hAnsiTheme="majorHAnsi"/>
            <w:noProof/>
            <w:webHidden/>
          </w:rPr>
        </w:r>
        <w:r w:rsidRPr="00526E0B">
          <w:rPr>
            <w:rFonts w:asciiTheme="majorHAnsi" w:hAnsiTheme="majorHAnsi"/>
            <w:noProof/>
            <w:webHidden/>
          </w:rPr>
          <w:fldChar w:fldCharType="separate"/>
        </w:r>
        <w:r w:rsidR="00D16F2B">
          <w:rPr>
            <w:rFonts w:asciiTheme="majorHAnsi" w:hAnsiTheme="majorHAnsi"/>
            <w:noProof/>
            <w:webHidden/>
          </w:rPr>
          <w:t>1</w:t>
        </w:r>
        <w:r w:rsidRPr="00526E0B">
          <w:rPr>
            <w:rFonts w:asciiTheme="majorHAnsi" w:hAnsiTheme="majorHAnsi"/>
            <w:noProof/>
            <w:webHidden/>
          </w:rPr>
          <w:fldChar w:fldCharType="end"/>
        </w:r>
      </w:hyperlink>
    </w:p>
    <w:p w14:paraId="746EEE87" w14:textId="77777777" w:rsidR="00862660" w:rsidRPr="00526E0B" w:rsidRDefault="00862660" w:rsidP="00194535">
      <w:pPr>
        <w:pStyle w:val="TOC1"/>
        <w:tabs>
          <w:tab w:val="left" w:pos="720"/>
          <w:tab w:val="right" w:leader="dot" w:pos="9350"/>
        </w:tabs>
        <w:spacing w:before="0" w:after="0"/>
        <w:jc w:val="both"/>
        <w:rPr>
          <w:rStyle w:val="Hyperlink"/>
          <w:rFonts w:asciiTheme="majorHAnsi" w:hAnsiTheme="majorHAnsi"/>
          <w:noProof/>
        </w:rPr>
      </w:pPr>
    </w:p>
    <w:p w14:paraId="117D420E" w14:textId="77777777" w:rsidR="00862660" w:rsidRPr="00526E0B" w:rsidRDefault="00CF4796" w:rsidP="00194535">
      <w:pPr>
        <w:pStyle w:val="TOC1"/>
        <w:tabs>
          <w:tab w:val="left" w:pos="720"/>
          <w:tab w:val="right" w:leader="dot" w:pos="9350"/>
        </w:tabs>
        <w:spacing w:before="0" w:after="0"/>
        <w:jc w:val="both"/>
        <w:rPr>
          <w:rFonts w:asciiTheme="majorHAnsi" w:eastAsiaTheme="minorEastAsia" w:hAnsiTheme="majorHAnsi" w:cstheme="minorBidi"/>
          <w:b w:val="0"/>
          <w:bCs w:val="0"/>
          <w:caps w:val="0"/>
          <w:noProof/>
          <w:bdr w:val="none" w:sz="0" w:space="0" w:color="auto"/>
        </w:rPr>
      </w:pPr>
      <w:hyperlink w:anchor="_Toc466296157" w:history="1">
        <w:r w:rsidR="00862660" w:rsidRPr="00526E0B">
          <w:rPr>
            <w:rStyle w:val="Hyperlink"/>
            <w:rFonts w:asciiTheme="majorHAnsi" w:hAnsiTheme="majorHAnsi"/>
            <w:noProof/>
          </w:rPr>
          <w:t xml:space="preserve">II. </w:t>
        </w:r>
        <w:r w:rsidR="00862660" w:rsidRPr="00526E0B">
          <w:rPr>
            <w:rFonts w:asciiTheme="majorHAnsi" w:eastAsiaTheme="minorEastAsia" w:hAnsiTheme="majorHAnsi" w:cstheme="minorBidi"/>
            <w:b w:val="0"/>
            <w:bCs w:val="0"/>
            <w:caps w:val="0"/>
            <w:noProof/>
            <w:bdr w:val="none" w:sz="0" w:space="0" w:color="auto"/>
          </w:rPr>
          <w:tab/>
        </w:r>
        <w:r w:rsidR="00862660" w:rsidRPr="00526E0B">
          <w:rPr>
            <w:rStyle w:val="Hyperlink"/>
            <w:rFonts w:asciiTheme="majorHAnsi" w:hAnsiTheme="majorHAnsi"/>
            <w:noProof/>
          </w:rPr>
          <w:t>PROCEEDINGS BEFORE THE IACHR SUBSEQUENT TO ADMISSIBILITY REPORT</w:t>
        </w:r>
        <w:r w:rsidR="00862660" w:rsidRPr="00526E0B">
          <w:rPr>
            <w:rFonts w:asciiTheme="majorHAnsi" w:hAnsiTheme="majorHAnsi"/>
            <w:noProof/>
            <w:webHidden/>
          </w:rPr>
          <w:tab/>
        </w:r>
        <w:r w:rsidR="00862660" w:rsidRPr="00526E0B">
          <w:rPr>
            <w:rFonts w:asciiTheme="majorHAnsi" w:hAnsiTheme="majorHAnsi"/>
            <w:noProof/>
            <w:webHidden/>
          </w:rPr>
          <w:fldChar w:fldCharType="begin"/>
        </w:r>
        <w:r w:rsidR="00862660" w:rsidRPr="00526E0B">
          <w:rPr>
            <w:rFonts w:asciiTheme="majorHAnsi" w:hAnsiTheme="majorHAnsi"/>
            <w:noProof/>
            <w:webHidden/>
          </w:rPr>
          <w:instrText xml:space="preserve"> PAGEREF _Toc466296157 \h </w:instrText>
        </w:r>
        <w:r w:rsidR="00862660" w:rsidRPr="00526E0B">
          <w:rPr>
            <w:rFonts w:asciiTheme="majorHAnsi" w:hAnsiTheme="majorHAnsi"/>
            <w:noProof/>
            <w:webHidden/>
          </w:rPr>
        </w:r>
        <w:r w:rsidR="00862660" w:rsidRPr="00526E0B">
          <w:rPr>
            <w:rFonts w:asciiTheme="majorHAnsi" w:hAnsiTheme="majorHAnsi"/>
            <w:noProof/>
            <w:webHidden/>
          </w:rPr>
          <w:fldChar w:fldCharType="separate"/>
        </w:r>
        <w:r w:rsidR="00D16F2B">
          <w:rPr>
            <w:rFonts w:asciiTheme="majorHAnsi" w:hAnsiTheme="majorHAnsi"/>
            <w:noProof/>
            <w:webHidden/>
          </w:rPr>
          <w:t>2</w:t>
        </w:r>
        <w:r w:rsidR="00862660" w:rsidRPr="00526E0B">
          <w:rPr>
            <w:rFonts w:asciiTheme="majorHAnsi" w:hAnsiTheme="majorHAnsi"/>
            <w:noProof/>
            <w:webHidden/>
          </w:rPr>
          <w:fldChar w:fldCharType="end"/>
        </w:r>
      </w:hyperlink>
    </w:p>
    <w:p w14:paraId="5EC1A52E" w14:textId="77777777" w:rsidR="00862660" w:rsidRPr="00526E0B" w:rsidRDefault="00862660" w:rsidP="00194535">
      <w:pPr>
        <w:pStyle w:val="TOC1"/>
        <w:tabs>
          <w:tab w:val="left" w:pos="720"/>
          <w:tab w:val="right" w:leader="dot" w:pos="9350"/>
        </w:tabs>
        <w:spacing w:before="0" w:after="0"/>
        <w:jc w:val="both"/>
        <w:rPr>
          <w:rStyle w:val="Hyperlink"/>
          <w:rFonts w:asciiTheme="majorHAnsi" w:hAnsiTheme="majorHAnsi"/>
          <w:noProof/>
        </w:rPr>
      </w:pPr>
    </w:p>
    <w:p w14:paraId="0D5BD5ED" w14:textId="77777777" w:rsidR="00862660" w:rsidRPr="00526E0B" w:rsidRDefault="00CF4796" w:rsidP="00194535">
      <w:pPr>
        <w:pStyle w:val="TOC1"/>
        <w:tabs>
          <w:tab w:val="left" w:pos="720"/>
          <w:tab w:val="right" w:leader="dot" w:pos="9350"/>
        </w:tabs>
        <w:spacing w:before="0" w:after="0"/>
        <w:jc w:val="both"/>
        <w:rPr>
          <w:rFonts w:asciiTheme="majorHAnsi" w:eastAsiaTheme="minorEastAsia" w:hAnsiTheme="majorHAnsi" w:cstheme="minorBidi"/>
          <w:b w:val="0"/>
          <w:bCs w:val="0"/>
          <w:caps w:val="0"/>
          <w:noProof/>
          <w:bdr w:val="none" w:sz="0" w:space="0" w:color="auto"/>
        </w:rPr>
      </w:pPr>
      <w:hyperlink w:anchor="_Toc466296158" w:history="1">
        <w:r w:rsidR="00862660" w:rsidRPr="00526E0B">
          <w:rPr>
            <w:rStyle w:val="Hyperlink"/>
            <w:rFonts w:asciiTheme="majorHAnsi" w:hAnsiTheme="majorHAnsi"/>
            <w:noProof/>
          </w:rPr>
          <w:t xml:space="preserve">III. </w:t>
        </w:r>
        <w:r w:rsidR="00862660" w:rsidRPr="00526E0B">
          <w:rPr>
            <w:rFonts w:asciiTheme="majorHAnsi" w:eastAsiaTheme="minorEastAsia" w:hAnsiTheme="majorHAnsi" w:cstheme="minorBidi"/>
            <w:b w:val="0"/>
            <w:bCs w:val="0"/>
            <w:caps w:val="0"/>
            <w:noProof/>
            <w:bdr w:val="none" w:sz="0" w:space="0" w:color="auto"/>
          </w:rPr>
          <w:tab/>
        </w:r>
        <w:r w:rsidR="00862660" w:rsidRPr="00526E0B">
          <w:rPr>
            <w:rStyle w:val="Hyperlink"/>
            <w:rFonts w:asciiTheme="majorHAnsi" w:hAnsiTheme="majorHAnsi"/>
            <w:noProof/>
          </w:rPr>
          <w:t>POSITIONS OF THE PARTIES</w:t>
        </w:r>
        <w:r w:rsidR="00862660" w:rsidRPr="00526E0B">
          <w:rPr>
            <w:rFonts w:asciiTheme="majorHAnsi" w:hAnsiTheme="majorHAnsi"/>
            <w:noProof/>
            <w:webHidden/>
          </w:rPr>
          <w:tab/>
        </w:r>
        <w:r w:rsidR="00862660" w:rsidRPr="00526E0B">
          <w:rPr>
            <w:rFonts w:asciiTheme="majorHAnsi" w:hAnsiTheme="majorHAnsi"/>
            <w:noProof/>
            <w:webHidden/>
          </w:rPr>
          <w:fldChar w:fldCharType="begin"/>
        </w:r>
        <w:r w:rsidR="00862660" w:rsidRPr="00526E0B">
          <w:rPr>
            <w:rFonts w:asciiTheme="majorHAnsi" w:hAnsiTheme="majorHAnsi"/>
            <w:noProof/>
            <w:webHidden/>
          </w:rPr>
          <w:instrText xml:space="preserve"> PAGEREF _Toc466296158 \h </w:instrText>
        </w:r>
        <w:r w:rsidR="00862660" w:rsidRPr="00526E0B">
          <w:rPr>
            <w:rFonts w:asciiTheme="majorHAnsi" w:hAnsiTheme="majorHAnsi"/>
            <w:noProof/>
            <w:webHidden/>
          </w:rPr>
        </w:r>
        <w:r w:rsidR="00862660" w:rsidRPr="00526E0B">
          <w:rPr>
            <w:rFonts w:asciiTheme="majorHAnsi" w:hAnsiTheme="majorHAnsi"/>
            <w:noProof/>
            <w:webHidden/>
          </w:rPr>
          <w:fldChar w:fldCharType="separate"/>
        </w:r>
        <w:r w:rsidR="00D16F2B">
          <w:rPr>
            <w:rFonts w:asciiTheme="majorHAnsi" w:hAnsiTheme="majorHAnsi"/>
            <w:noProof/>
            <w:webHidden/>
          </w:rPr>
          <w:t>3</w:t>
        </w:r>
        <w:r w:rsidR="00862660" w:rsidRPr="00526E0B">
          <w:rPr>
            <w:rFonts w:asciiTheme="majorHAnsi" w:hAnsiTheme="majorHAnsi"/>
            <w:noProof/>
            <w:webHidden/>
          </w:rPr>
          <w:fldChar w:fldCharType="end"/>
        </w:r>
      </w:hyperlink>
    </w:p>
    <w:p w14:paraId="172A997A" w14:textId="77777777" w:rsidR="00862660" w:rsidRPr="00526E0B" w:rsidRDefault="00CF4796" w:rsidP="00194535">
      <w:pPr>
        <w:pStyle w:val="TOC2"/>
        <w:tabs>
          <w:tab w:val="left" w:pos="720"/>
          <w:tab w:val="right" w:leader="dot" w:pos="9350"/>
        </w:tabs>
        <w:ind w:left="1440" w:hanging="720"/>
        <w:jc w:val="both"/>
        <w:rPr>
          <w:rFonts w:asciiTheme="majorHAnsi" w:eastAsiaTheme="minorEastAsia" w:hAnsiTheme="majorHAnsi" w:cstheme="minorBidi"/>
          <w:smallCaps w:val="0"/>
          <w:noProof/>
          <w:bdr w:val="none" w:sz="0" w:space="0" w:color="auto"/>
        </w:rPr>
      </w:pPr>
      <w:hyperlink w:anchor="_Toc466296159" w:history="1">
        <w:r w:rsidR="00862660" w:rsidRPr="00526E0B">
          <w:rPr>
            <w:rStyle w:val="Hyperlink"/>
            <w:rFonts w:asciiTheme="majorHAnsi" w:hAnsiTheme="majorHAnsi"/>
            <w:noProof/>
          </w:rPr>
          <w:t>A.</w:t>
        </w:r>
        <w:r w:rsidR="00862660" w:rsidRPr="00526E0B">
          <w:rPr>
            <w:rFonts w:asciiTheme="majorHAnsi" w:eastAsiaTheme="minorEastAsia" w:hAnsiTheme="majorHAnsi" w:cstheme="minorBidi"/>
            <w:smallCaps w:val="0"/>
            <w:noProof/>
            <w:bdr w:val="none" w:sz="0" w:space="0" w:color="auto"/>
          </w:rPr>
          <w:tab/>
        </w:r>
        <w:r w:rsidR="00862660" w:rsidRPr="00526E0B">
          <w:rPr>
            <w:rStyle w:val="Hyperlink"/>
            <w:rFonts w:asciiTheme="majorHAnsi" w:hAnsiTheme="majorHAnsi"/>
            <w:noProof/>
          </w:rPr>
          <w:t>The petitioners</w:t>
        </w:r>
        <w:r w:rsidR="00862660" w:rsidRPr="00526E0B">
          <w:rPr>
            <w:rFonts w:asciiTheme="majorHAnsi" w:hAnsiTheme="majorHAnsi"/>
            <w:noProof/>
            <w:webHidden/>
          </w:rPr>
          <w:tab/>
        </w:r>
        <w:r w:rsidR="00862660" w:rsidRPr="00526E0B">
          <w:rPr>
            <w:rFonts w:asciiTheme="majorHAnsi" w:hAnsiTheme="majorHAnsi"/>
            <w:noProof/>
            <w:webHidden/>
          </w:rPr>
          <w:fldChar w:fldCharType="begin"/>
        </w:r>
        <w:r w:rsidR="00862660" w:rsidRPr="00526E0B">
          <w:rPr>
            <w:rFonts w:asciiTheme="majorHAnsi" w:hAnsiTheme="majorHAnsi"/>
            <w:noProof/>
            <w:webHidden/>
          </w:rPr>
          <w:instrText xml:space="preserve"> PAGEREF _Toc466296159 \h </w:instrText>
        </w:r>
        <w:r w:rsidR="00862660" w:rsidRPr="00526E0B">
          <w:rPr>
            <w:rFonts w:asciiTheme="majorHAnsi" w:hAnsiTheme="majorHAnsi"/>
            <w:noProof/>
            <w:webHidden/>
          </w:rPr>
        </w:r>
        <w:r w:rsidR="00862660" w:rsidRPr="00526E0B">
          <w:rPr>
            <w:rFonts w:asciiTheme="majorHAnsi" w:hAnsiTheme="majorHAnsi"/>
            <w:noProof/>
            <w:webHidden/>
          </w:rPr>
          <w:fldChar w:fldCharType="separate"/>
        </w:r>
        <w:r w:rsidR="00D16F2B">
          <w:rPr>
            <w:rFonts w:asciiTheme="majorHAnsi" w:hAnsiTheme="majorHAnsi"/>
            <w:noProof/>
            <w:webHidden/>
          </w:rPr>
          <w:t>3</w:t>
        </w:r>
        <w:r w:rsidR="00862660" w:rsidRPr="00526E0B">
          <w:rPr>
            <w:rFonts w:asciiTheme="majorHAnsi" w:hAnsiTheme="majorHAnsi"/>
            <w:noProof/>
            <w:webHidden/>
          </w:rPr>
          <w:fldChar w:fldCharType="end"/>
        </w:r>
      </w:hyperlink>
    </w:p>
    <w:p w14:paraId="5DF1D0E7" w14:textId="77777777" w:rsidR="00862660" w:rsidRPr="00526E0B" w:rsidRDefault="00CF4796" w:rsidP="00194535">
      <w:pPr>
        <w:pStyle w:val="TOC2"/>
        <w:tabs>
          <w:tab w:val="left" w:pos="720"/>
          <w:tab w:val="right" w:leader="dot" w:pos="9350"/>
        </w:tabs>
        <w:ind w:left="1440" w:hanging="720"/>
        <w:jc w:val="both"/>
        <w:rPr>
          <w:rFonts w:asciiTheme="majorHAnsi" w:eastAsiaTheme="minorEastAsia" w:hAnsiTheme="majorHAnsi" w:cstheme="minorBidi"/>
          <w:smallCaps w:val="0"/>
          <w:noProof/>
          <w:bdr w:val="none" w:sz="0" w:space="0" w:color="auto"/>
        </w:rPr>
      </w:pPr>
      <w:hyperlink w:anchor="_Toc466296162" w:history="1">
        <w:r w:rsidR="00862660" w:rsidRPr="00526E0B">
          <w:rPr>
            <w:rStyle w:val="Hyperlink"/>
            <w:rFonts w:asciiTheme="majorHAnsi" w:hAnsiTheme="majorHAnsi"/>
            <w:noProof/>
          </w:rPr>
          <w:t>B.</w:t>
        </w:r>
        <w:r w:rsidR="00862660" w:rsidRPr="00526E0B">
          <w:rPr>
            <w:rFonts w:asciiTheme="majorHAnsi" w:eastAsiaTheme="minorEastAsia" w:hAnsiTheme="majorHAnsi" w:cstheme="minorBidi"/>
            <w:smallCaps w:val="0"/>
            <w:noProof/>
            <w:bdr w:val="none" w:sz="0" w:space="0" w:color="auto"/>
          </w:rPr>
          <w:tab/>
        </w:r>
        <w:r w:rsidR="00862660" w:rsidRPr="00526E0B">
          <w:rPr>
            <w:rStyle w:val="Hyperlink"/>
            <w:rFonts w:asciiTheme="majorHAnsi" w:hAnsiTheme="majorHAnsi"/>
            <w:noProof/>
          </w:rPr>
          <w:t>The State</w:t>
        </w:r>
        <w:r w:rsidR="00862660" w:rsidRPr="00526E0B">
          <w:rPr>
            <w:rFonts w:asciiTheme="majorHAnsi" w:hAnsiTheme="majorHAnsi"/>
            <w:noProof/>
            <w:webHidden/>
          </w:rPr>
          <w:tab/>
        </w:r>
        <w:r w:rsidR="00862660" w:rsidRPr="00526E0B">
          <w:rPr>
            <w:rFonts w:asciiTheme="majorHAnsi" w:hAnsiTheme="majorHAnsi"/>
            <w:noProof/>
            <w:webHidden/>
          </w:rPr>
          <w:fldChar w:fldCharType="begin"/>
        </w:r>
        <w:r w:rsidR="00862660" w:rsidRPr="00526E0B">
          <w:rPr>
            <w:rFonts w:asciiTheme="majorHAnsi" w:hAnsiTheme="majorHAnsi"/>
            <w:noProof/>
            <w:webHidden/>
          </w:rPr>
          <w:instrText xml:space="preserve"> PAGEREF _Toc466296162 \h </w:instrText>
        </w:r>
        <w:r w:rsidR="00862660" w:rsidRPr="00526E0B">
          <w:rPr>
            <w:rFonts w:asciiTheme="majorHAnsi" w:hAnsiTheme="majorHAnsi"/>
            <w:noProof/>
            <w:webHidden/>
          </w:rPr>
        </w:r>
        <w:r w:rsidR="00862660" w:rsidRPr="00526E0B">
          <w:rPr>
            <w:rFonts w:asciiTheme="majorHAnsi" w:hAnsiTheme="majorHAnsi"/>
            <w:noProof/>
            <w:webHidden/>
          </w:rPr>
          <w:fldChar w:fldCharType="separate"/>
        </w:r>
        <w:r w:rsidR="00D16F2B">
          <w:rPr>
            <w:rFonts w:asciiTheme="majorHAnsi" w:hAnsiTheme="majorHAnsi"/>
            <w:noProof/>
            <w:webHidden/>
          </w:rPr>
          <w:t>7</w:t>
        </w:r>
        <w:r w:rsidR="00862660" w:rsidRPr="00526E0B">
          <w:rPr>
            <w:rFonts w:asciiTheme="majorHAnsi" w:hAnsiTheme="majorHAnsi"/>
            <w:noProof/>
            <w:webHidden/>
          </w:rPr>
          <w:fldChar w:fldCharType="end"/>
        </w:r>
      </w:hyperlink>
    </w:p>
    <w:p w14:paraId="45EAC488" w14:textId="77777777" w:rsidR="00862660" w:rsidRPr="00526E0B" w:rsidRDefault="00862660" w:rsidP="00194535">
      <w:pPr>
        <w:pStyle w:val="TOC1"/>
        <w:tabs>
          <w:tab w:val="left" w:pos="720"/>
          <w:tab w:val="right" w:leader="dot" w:pos="9350"/>
        </w:tabs>
        <w:spacing w:before="0" w:after="0"/>
        <w:jc w:val="both"/>
        <w:rPr>
          <w:rStyle w:val="Hyperlink"/>
          <w:rFonts w:asciiTheme="majorHAnsi" w:hAnsiTheme="majorHAnsi"/>
          <w:noProof/>
        </w:rPr>
      </w:pPr>
    </w:p>
    <w:p w14:paraId="384B6075" w14:textId="77777777" w:rsidR="00862660" w:rsidRPr="00526E0B" w:rsidRDefault="00CF4796" w:rsidP="00194535">
      <w:pPr>
        <w:pStyle w:val="TOC1"/>
        <w:tabs>
          <w:tab w:val="left" w:pos="720"/>
          <w:tab w:val="right" w:leader="dot" w:pos="9350"/>
        </w:tabs>
        <w:spacing w:before="0" w:after="0"/>
        <w:jc w:val="both"/>
        <w:rPr>
          <w:rFonts w:asciiTheme="majorHAnsi" w:eastAsiaTheme="minorEastAsia" w:hAnsiTheme="majorHAnsi" w:cstheme="minorBidi"/>
          <w:b w:val="0"/>
          <w:bCs w:val="0"/>
          <w:caps w:val="0"/>
          <w:noProof/>
          <w:bdr w:val="none" w:sz="0" w:space="0" w:color="auto"/>
        </w:rPr>
      </w:pPr>
      <w:hyperlink w:anchor="_Toc466296165" w:history="1">
        <w:r w:rsidR="00862660" w:rsidRPr="00526E0B">
          <w:rPr>
            <w:rStyle w:val="Hyperlink"/>
            <w:rFonts w:asciiTheme="majorHAnsi" w:hAnsiTheme="majorHAnsi"/>
            <w:noProof/>
          </w:rPr>
          <w:t xml:space="preserve">IV. </w:t>
        </w:r>
        <w:r w:rsidR="00862660" w:rsidRPr="00526E0B">
          <w:rPr>
            <w:rFonts w:asciiTheme="majorHAnsi" w:eastAsiaTheme="minorEastAsia" w:hAnsiTheme="majorHAnsi" w:cstheme="minorBidi"/>
            <w:b w:val="0"/>
            <w:bCs w:val="0"/>
            <w:caps w:val="0"/>
            <w:noProof/>
            <w:bdr w:val="none" w:sz="0" w:space="0" w:color="auto"/>
          </w:rPr>
          <w:tab/>
        </w:r>
        <w:r w:rsidR="00862660" w:rsidRPr="00526E0B">
          <w:rPr>
            <w:rStyle w:val="Hyperlink"/>
            <w:rFonts w:asciiTheme="majorHAnsi" w:hAnsiTheme="majorHAnsi"/>
            <w:noProof/>
          </w:rPr>
          <w:t>ESTABLISHED FACTS</w:t>
        </w:r>
        <w:r w:rsidR="00862660" w:rsidRPr="00526E0B">
          <w:rPr>
            <w:rFonts w:asciiTheme="majorHAnsi" w:hAnsiTheme="majorHAnsi"/>
            <w:noProof/>
            <w:webHidden/>
          </w:rPr>
          <w:tab/>
        </w:r>
        <w:r w:rsidR="00862660" w:rsidRPr="00526E0B">
          <w:rPr>
            <w:rFonts w:asciiTheme="majorHAnsi" w:hAnsiTheme="majorHAnsi"/>
            <w:noProof/>
            <w:webHidden/>
          </w:rPr>
          <w:fldChar w:fldCharType="begin"/>
        </w:r>
        <w:r w:rsidR="00862660" w:rsidRPr="00526E0B">
          <w:rPr>
            <w:rFonts w:asciiTheme="majorHAnsi" w:hAnsiTheme="majorHAnsi"/>
            <w:noProof/>
            <w:webHidden/>
          </w:rPr>
          <w:instrText xml:space="preserve"> PAGEREF _Toc466296165 \h </w:instrText>
        </w:r>
        <w:r w:rsidR="00862660" w:rsidRPr="00526E0B">
          <w:rPr>
            <w:rFonts w:asciiTheme="majorHAnsi" w:hAnsiTheme="majorHAnsi"/>
            <w:noProof/>
            <w:webHidden/>
          </w:rPr>
        </w:r>
        <w:r w:rsidR="00862660" w:rsidRPr="00526E0B">
          <w:rPr>
            <w:rFonts w:asciiTheme="majorHAnsi" w:hAnsiTheme="majorHAnsi"/>
            <w:noProof/>
            <w:webHidden/>
          </w:rPr>
          <w:fldChar w:fldCharType="separate"/>
        </w:r>
        <w:r w:rsidR="00D16F2B">
          <w:rPr>
            <w:rFonts w:asciiTheme="majorHAnsi" w:hAnsiTheme="majorHAnsi"/>
            <w:noProof/>
            <w:webHidden/>
          </w:rPr>
          <w:t>10</w:t>
        </w:r>
        <w:r w:rsidR="00862660" w:rsidRPr="00526E0B">
          <w:rPr>
            <w:rFonts w:asciiTheme="majorHAnsi" w:hAnsiTheme="majorHAnsi"/>
            <w:noProof/>
            <w:webHidden/>
          </w:rPr>
          <w:fldChar w:fldCharType="end"/>
        </w:r>
      </w:hyperlink>
    </w:p>
    <w:p w14:paraId="3EC0298B" w14:textId="77777777" w:rsidR="00862660" w:rsidRPr="00526E0B" w:rsidRDefault="00CF4796" w:rsidP="00194535">
      <w:pPr>
        <w:pStyle w:val="TOC2"/>
        <w:tabs>
          <w:tab w:val="left" w:pos="720"/>
          <w:tab w:val="right" w:leader="dot" w:pos="9350"/>
        </w:tabs>
        <w:ind w:left="1440" w:hanging="720"/>
        <w:jc w:val="both"/>
        <w:rPr>
          <w:rFonts w:asciiTheme="majorHAnsi" w:eastAsiaTheme="minorEastAsia" w:hAnsiTheme="majorHAnsi" w:cstheme="minorBidi"/>
          <w:smallCaps w:val="0"/>
          <w:noProof/>
          <w:bdr w:val="none" w:sz="0" w:space="0" w:color="auto"/>
        </w:rPr>
      </w:pPr>
      <w:hyperlink w:anchor="_Toc466296166" w:history="1">
        <w:r w:rsidR="00862660" w:rsidRPr="00526E0B">
          <w:rPr>
            <w:rStyle w:val="Hyperlink"/>
            <w:rFonts w:asciiTheme="majorHAnsi" w:hAnsiTheme="majorHAnsi"/>
            <w:noProof/>
          </w:rPr>
          <w:t>A.</w:t>
        </w:r>
        <w:r w:rsidR="00862660" w:rsidRPr="00526E0B">
          <w:rPr>
            <w:rFonts w:asciiTheme="majorHAnsi" w:eastAsiaTheme="minorEastAsia" w:hAnsiTheme="majorHAnsi" w:cstheme="minorBidi"/>
            <w:smallCaps w:val="0"/>
            <w:noProof/>
            <w:bdr w:val="none" w:sz="0" w:space="0" w:color="auto"/>
          </w:rPr>
          <w:tab/>
        </w:r>
        <w:r w:rsidR="00862660" w:rsidRPr="00526E0B">
          <w:rPr>
            <w:rStyle w:val="Hyperlink"/>
            <w:rFonts w:asciiTheme="majorHAnsi" w:hAnsiTheme="majorHAnsi"/>
            <w:noProof/>
          </w:rPr>
          <w:t>Presumed Victims</w:t>
        </w:r>
        <w:r w:rsidR="00862660" w:rsidRPr="00526E0B">
          <w:rPr>
            <w:rFonts w:asciiTheme="majorHAnsi" w:hAnsiTheme="majorHAnsi"/>
            <w:noProof/>
            <w:webHidden/>
          </w:rPr>
          <w:tab/>
        </w:r>
        <w:r w:rsidR="00862660" w:rsidRPr="00526E0B">
          <w:rPr>
            <w:rFonts w:asciiTheme="majorHAnsi" w:hAnsiTheme="majorHAnsi"/>
            <w:noProof/>
            <w:webHidden/>
          </w:rPr>
          <w:fldChar w:fldCharType="begin"/>
        </w:r>
        <w:r w:rsidR="00862660" w:rsidRPr="00526E0B">
          <w:rPr>
            <w:rFonts w:asciiTheme="majorHAnsi" w:hAnsiTheme="majorHAnsi"/>
            <w:noProof/>
            <w:webHidden/>
          </w:rPr>
          <w:instrText xml:space="preserve"> PAGEREF _Toc466296166 \h </w:instrText>
        </w:r>
        <w:r w:rsidR="00862660" w:rsidRPr="00526E0B">
          <w:rPr>
            <w:rFonts w:asciiTheme="majorHAnsi" w:hAnsiTheme="majorHAnsi"/>
            <w:noProof/>
            <w:webHidden/>
          </w:rPr>
        </w:r>
        <w:r w:rsidR="00862660" w:rsidRPr="00526E0B">
          <w:rPr>
            <w:rFonts w:asciiTheme="majorHAnsi" w:hAnsiTheme="majorHAnsi"/>
            <w:noProof/>
            <w:webHidden/>
          </w:rPr>
          <w:fldChar w:fldCharType="separate"/>
        </w:r>
        <w:r w:rsidR="00D16F2B">
          <w:rPr>
            <w:rFonts w:asciiTheme="majorHAnsi" w:hAnsiTheme="majorHAnsi"/>
            <w:noProof/>
            <w:webHidden/>
          </w:rPr>
          <w:t>10</w:t>
        </w:r>
        <w:r w:rsidR="00862660" w:rsidRPr="00526E0B">
          <w:rPr>
            <w:rFonts w:asciiTheme="majorHAnsi" w:hAnsiTheme="majorHAnsi"/>
            <w:noProof/>
            <w:webHidden/>
          </w:rPr>
          <w:fldChar w:fldCharType="end"/>
        </w:r>
      </w:hyperlink>
    </w:p>
    <w:p w14:paraId="6D068672" w14:textId="77777777" w:rsidR="00862660" w:rsidRPr="00526E0B" w:rsidRDefault="00CF4796" w:rsidP="00194535">
      <w:pPr>
        <w:pStyle w:val="TOC2"/>
        <w:tabs>
          <w:tab w:val="left" w:pos="720"/>
          <w:tab w:val="right" w:leader="dot" w:pos="9350"/>
        </w:tabs>
        <w:ind w:left="1440" w:hanging="720"/>
        <w:jc w:val="both"/>
        <w:rPr>
          <w:rFonts w:asciiTheme="majorHAnsi" w:eastAsiaTheme="minorEastAsia" w:hAnsiTheme="majorHAnsi" w:cstheme="minorBidi"/>
          <w:smallCaps w:val="0"/>
          <w:noProof/>
          <w:bdr w:val="none" w:sz="0" w:space="0" w:color="auto"/>
        </w:rPr>
      </w:pPr>
      <w:hyperlink w:anchor="_Toc466296167" w:history="1">
        <w:r w:rsidR="00862660" w:rsidRPr="00526E0B">
          <w:rPr>
            <w:rStyle w:val="Hyperlink"/>
            <w:rFonts w:asciiTheme="majorHAnsi" w:hAnsiTheme="majorHAnsi"/>
            <w:noProof/>
          </w:rPr>
          <w:t>B.</w:t>
        </w:r>
        <w:r w:rsidR="00862660" w:rsidRPr="00526E0B">
          <w:rPr>
            <w:rFonts w:asciiTheme="majorHAnsi" w:eastAsiaTheme="minorEastAsia" w:hAnsiTheme="majorHAnsi" w:cstheme="minorBidi"/>
            <w:smallCaps w:val="0"/>
            <w:noProof/>
            <w:bdr w:val="none" w:sz="0" w:space="0" w:color="auto"/>
          </w:rPr>
          <w:tab/>
        </w:r>
        <w:r w:rsidR="00862660" w:rsidRPr="00526E0B">
          <w:rPr>
            <w:rStyle w:val="Hyperlink"/>
            <w:rFonts w:asciiTheme="majorHAnsi" w:hAnsiTheme="majorHAnsi"/>
            <w:noProof/>
          </w:rPr>
          <w:t>Hoffman Plastic Compounds, Inc. v. NLRB</w:t>
        </w:r>
        <w:r w:rsidR="00862660" w:rsidRPr="00526E0B">
          <w:rPr>
            <w:rFonts w:asciiTheme="majorHAnsi" w:hAnsiTheme="majorHAnsi"/>
            <w:noProof/>
            <w:webHidden/>
          </w:rPr>
          <w:tab/>
        </w:r>
        <w:r w:rsidR="00862660" w:rsidRPr="00526E0B">
          <w:rPr>
            <w:rFonts w:asciiTheme="majorHAnsi" w:hAnsiTheme="majorHAnsi"/>
            <w:noProof/>
            <w:webHidden/>
          </w:rPr>
          <w:fldChar w:fldCharType="begin"/>
        </w:r>
        <w:r w:rsidR="00862660" w:rsidRPr="00526E0B">
          <w:rPr>
            <w:rFonts w:asciiTheme="majorHAnsi" w:hAnsiTheme="majorHAnsi"/>
            <w:noProof/>
            <w:webHidden/>
          </w:rPr>
          <w:instrText xml:space="preserve"> PAGEREF _Toc466296167 \h </w:instrText>
        </w:r>
        <w:r w:rsidR="00862660" w:rsidRPr="00526E0B">
          <w:rPr>
            <w:rFonts w:asciiTheme="majorHAnsi" w:hAnsiTheme="majorHAnsi"/>
            <w:noProof/>
            <w:webHidden/>
          </w:rPr>
        </w:r>
        <w:r w:rsidR="00862660" w:rsidRPr="00526E0B">
          <w:rPr>
            <w:rFonts w:asciiTheme="majorHAnsi" w:hAnsiTheme="majorHAnsi"/>
            <w:noProof/>
            <w:webHidden/>
          </w:rPr>
          <w:fldChar w:fldCharType="separate"/>
        </w:r>
        <w:r w:rsidR="00D16F2B">
          <w:rPr>
            <w:rFonts w:asciiTheme="majorHAnsi" w:hAnsiTheme="majorHAnsi"/>
            <w:noProof/>
            <w:webHidden/>
          </w:rPr>
          <w:t>11</w:t>
        </w:r>
        <w:r w:rsidR="00862660" w:rsidRPr="00526E0B">
          <w:rPr>
            <w:rFonts w:asciiTheme="majorHAnsi" w:hAnsiTheme="majorHAnsi"/>
            <w:noProof/>
            <w:webHidden/>
          </w:rPr>
          <w:fldChar w:fldCharType="end"/>
        </w:r>
      </w:hyperlink>
    </w:p>
    <w:p w14:paraId="2E60B229" w14:textId="77777777" w:rsidR="00862660" w:rsidRPr="00526E0B" w:rsidRDefault="00CF4796" w:rsidP="00194535">
      <w:pPr>
        <w:pStyle w:val="TOC2"/>
        <w:tabs>
          <w:tab w:val="left" w:pos="720"/>
          <w:tab w:val="right" w:leader="dot" w:pos="9350"/>
        </w:tabs>
        <w:ind w:left="1440" w:hanging="720"/>
        <w:jc w:val="both"/>
        <w:rPr>
          <w:rFonts w:asciiTheme="majorHAnsi" w:eastAsiaTheme="minorEastAsia" w:hAnsiTheme="majorHAnsi" w:cstheme="minorBidi"/>
          <w:smallCaps w:val="0"/>
          <w:noProof/>
          <w:bdr w:val="none" w:sz="0" w:space="0" w:color="auto"/>
        </w:rPr>
      </w:pPr>
      <w:hyperlink w:anchor="_Toc466296168" w:history="1">
        <w:r w:rsidR="00862660" w:rsidRPr="00526E0B">
          <w:rPr>
            <w:rStyle w:val="Hyperlink"/>
            <w:rFonts w:asciiTheme="majorHAnsi" w:hAnsiTheme="majorHAnsi"/>
            <w:noProof/>
          </w:rPr>
          <w:t>C.</w:t>
        </w:r>
        <w:r w:rsidR="00862660" w:rsidRPr="00526E0B">
          <w:rPr>
            <w:rFonts w:asciiTheme="majorHAnsi" w:eastAsiaTheme="minorEastAsia" w:hAnsiTheme="majorHAnsi" w:cstheme="minorBidi"/>
            <w:smallCaps w:val="0"/>
            <w:noProof/>
            <w:bdr w:val="none" w:sz="0" w:space="0" w:color="auto"/>
          </w:rPr>
          <w:tab/>
        </w:r>
        <w:r w:rsidR="00862660" w:rsidRPr="00526E0B">
          <w:rPr>
            <w:rStyle w:val="Hyperlink"/>
            <w:rFonts w:asciiTheme="majorHAnsi" w:hAnsiTheme="majorHAnsi"/>
            <w:noProof/>
          </w:rPr>
          <w:t>Situation of Undocumented Workers in the United States</w:t>
        </w:r>
        <w:r w:rsidR="00862660" w:rsidRPr="00526E0B">
          <w:rPr>
            <w:rFonts w:asciiTheme="majorHAnsi" w:hAnsiTheme="majorHAnsi"/>
            <w:noProof/>
            <w:webHidden/>
          </w:rPr>
          <w:tab/>
        </w:r>
        <w:r w:rsidR="00862660" w:rsidRPr="00526E0B">
          <w:rPr>
            <w:rFonts w:asciiTheme="majorHAnsi" w:hAnsiTheme="majorHAnsi"/>
            <w:noProof/>
            <w:webHidden/>
          </w:rPr>
          <w:fldChar w:fldCharType="begin"/>
        </w:r>
        <w:r w:rsidR="00862660" w:rsidRPr="00526E0B">
          <w:rPr>
            <w:rFonts w:asciiTheme="majorHAnsi" w:hAnsiTheme="majorHAnsi"/>
            <w:noProof/>
            <w:webHidden/>
          </w:rPr>
          <w:instrText xml:space="preserve"> PAGEREF _Toc466296168 \h </w:instrText>
        </w:r>
        <w:r w:rsidR="00862660" w:rsidRPr="00526E0B">
          <w:rPr>
            <w:rFonts w:asciiTheme="majorHAnsi" w:hAnsiTheme="majorHAnsi"/>
            <w:noProof/>
            <w:webHidden/>
          </w:rPr>
        </w:r>
        <w:r w:rsidR="00862660" w:rsidRPr="00526E0B">
          <w:rPr>
            <w:rFonts w:asciiTheme="majorHAnsi" w:hAnsiTheme="majorHAnsi"/>
            <w:noProof/>
            <w:webHidden/>
          </w:rPr>
          <w:fldChar w:fldCharType="separate"/>
        </w:r>
        <w:r w:rsidR="00D16F2B">
          <w:rPr>
            <w:rFonts w:asciiTheme="majorHAnsi" w:hAnsiTheme="majorHAnsi"/>
            <w:noProof/>
            <w:webHidden/>
          </w:rPr>
          <w:t>13</w:t>
        </w:r>
        <w:r w:rsidR="00862660" w:rsidRPr="00526E0B">
          <w:rPr>
            <w:rFonts w:asciiTheme="majorHAnsi" w:hAnsiTheme="majorHAnsi"/>
            <w:noProof/>
            <w:webHidden/>
          </w:rPr>
          <w:fldChar w:fldCharType="end"/>
        </w:r>
      </w:hyperlink>
    </w:p>
    <w:p w14:paraId="5A8261AF" w14:textId="77777777" w:rsidR="00862660" w:rsidRPr="00526E0B" w:rsidRDefault="00862660" w:rsidP="00194535">
      <w:pPr>
        <w:pStyle w:val="TOC1"/>
        <w:tabs>
          <w:tab w:val="left" w:pos="720"/>
          <w:tab w:val="right" w:leader="dot" w:pos="9350"/>
        </w:tabs>
        <w:spacing w:before="0" w:after="0"/>
        <w:jc w:val="both"/>
        <w:rPr>
          <w:rStyle w:val="Hyperlink"/>
          <w:rFonts w:asciiTheme="majorHAnsi" w:hAnsiTheme="majorHAnsi"/>
          <w:noProof/>
        </w:rPr>
      </w:pPr>
    </w:p>
    <w:p w14:paraId="4E9F945A" w14:textId="77777777" w:rsidR="00862660" w:rsidRPr="00526E0B" w:rsidRDefault="00CF4796" w:rsidP="00194535">
      <w:pPr>
        <w:pStyle w:val="TOC1"/>
        <w:tabs>
          <w:tab w:val="left" w:pos="720"/>
          <w:tab w:val="right" w:leader="dot" w:pos="9350"/>
        </w:tabs>
        <w:spacing w:before="0" w:after="0"/>
        <w:jc w:val="both"/>
        <w:rPr>
          <w:rFonts w:asciiTheme="majorHAnsi" w:eastAsiaTheme="minorEastAsia" w:hAnsiTheme="majorHAnsi" w:cstheme="minorBidi"/>
          <w:b w:val="0"/>
          <w:bCs w:val="0"/>
          <w:caps w:val="0"/>
          <w:noProof/>
          <w:bdr w:val="none" w:sz="0" w:space="0" w:color="auto"/>
        </w:rPr>
      </w:pPr>
      <w:hyperlink w:anchor="_Toc466296169" w:history="1">
        <w:r w:rsidR="00862660" w:rsidRPr="00526E0B">
          <w:rPr>
            <w:rStyle w:val="Hyperlink"/>
            <w:rFonts w:asciiTheme="majorHAnsi" w:hAnsiTheme="majorHAnsi"/>
            <w:noProof/>
          </w:rPr>
          <w:t xml:space="preserve">V. </w:t>
        </w:r>
        <w:r w:rsidR="00862660" w:rsidRPr="00526E0B">
          <w:rPr>
            <w:rFonts w:asciiTheme="majorHAnsi" w:eastAsiaTheme="minorEastAsia" w:hAnsiTheme="majorHAnsi" w:cstheme="minorBidi"/>
            <w:b w:val="0"/>
            <w:bCs w:val="0"/>
            <w:caps w:val="0"/>
            <w:noProof/>
            <w:bdr w:val="none" w:sz="0" w:space="0" w:color="auto"/>
          </w:rPr>
          <w:tab/>
        </w:r>
        <w:r w:rsidR="00862660" w:rsidRPr="00526E0B">
          <w:rPr>
            <w:rStyle w:val="Hyperlink"/>
            <w:rFonts w:asciiTheme="majorHAnsi" w:hAnsiTheme="majorHAnsi"/>
            <w:noProof/>
          </w:rPr>
          <w:t>LEGAL ANALYSIS</w:t>
        </w:r>
        <w:r w:rsidR="00862660" w:rsidRPr="00526E0B">
          <w:rPr>
            <w:rFonts w:asciiTheme="majorHAnsi" w:hAnsiTheme="majorHAnsi"/>
            <w:noProof/>
            <w:webHidden/>
          </w:rPr>
          <w:tab/>
        </w:r>
        <w:r w:rsidR="00862660" w:rsidRPr="00526E0B">
          <w:rPr>
            <w:rFonts w:asciiTheme="majorHAnsi" w:hAnsiTheme="majorHAnsi"/>
            <w:noProof/>
            <w:webHidden/>
          </w:rPr>
          <w:fldChar w:fldCharType="begin"/>
        </w:r>
        <w:r w:rsidR="00862660" w:rsidRPr="00526E0B">
          <w:rPr>
            <w:rFonts w:asciiTheme="majorHAnsi" w:hAnsiTheme="majorHAnsi"/>
            <w:noProof/>
            <w:webHidden/>
          </w:rPr>
          <w:instrText xml:space="preserve"> PAGEREF _Toc466296169 \h </w:instrText>
        </w:r>
        <w:r w:rsidR="00862660" w:rsidRPr="00526E0B">
          <w:rPr>
            <w:rFonts w:asciiTheme="majorHAnsi" w:hAnsiTheme="majorHAnsi"/>
            <w:noProof/>
            <w:webHidden/>
          </w:rPr>
        </w:r>
        <w:r w:rsidR="00862660" w:rsidRPr="00526E0B">
          <w:rPr>
            <w:rFonts w:asciiTheme="majorHAnsi" w:hAnsiTheme="majorHAnsi"/>
            <w:noProof/>
            <w:webHidden/>
          </w:rPr>
          <w:fldChar w:fldCharType="separate"/>
        </w:r>
        <w:r w:rsidR="00D16F2B">
          <w:rPr>
            <w:rFonts w:asciiTheme="majorHAnsi" w:hAnsiTheme="majorHAnsi"/>
            <w:noProof/>
            <w:webHidden/>
          </w:rPr>
          <w:t>15</w:t>
        </w:r>
        <w:r w:rsidR="00862660" w:rsidRPr="00526E0B">
          <w:rPr>
            <w:rFonts w:asciiTheme="majorHAnsi" w:hAnsiTheme="majorHAnsi"/>
            <w:noProof/>
            <w:webHidden/>
          </w:rPr>
          <w:fldChar w:fldCharType="end"/>
        </w:r>
      </w:hyperlink>
    </w:p>
    <w:p w14:paraId="5B0B2925" w14:textId="77777777" w:rsidR="00862660" w:rsidRPr="00526E0B" w:rsidRDefault="00CF4796" w:rsidP="00194535">
      <w:pPr>
        <w:pStyle w:val="TOC2"/>
        <w:tabs>
          <w:tab w:val="left" w:pos="720"/>
          <w:tab w:val="right" w:leader="dot" w:pos="9350"/>
        </w:tabs>
        <w:ind w:left="1440" w:hanging="720"/>
        <w:jc w:val="both"/>
        <w:rPr>
          <w:rFonts w:asciiTheme="majorHAnsi" w:eastAsiaTheme="minorEastAsia" w:hAnsiTheme="majorHAnsi" w:cstheme="minorBidi"/>
          <w:smallCaps w:val="0"/>
          <w:noProof/>
          <w:bdr w:val="none" w:sz="0" w:space="0" w:color="auto"/>
        </w:rPr>
      </w:pPr>
      <w:hyperlink w:anchor="_Toc466296170" w:history="1">
        <w:r w:rsidR="00862660" w:rsidRPr="00526E0B">
          <w:rPr>
            <w:rStyle w:val="Hyperlink"/>
            <w:rFonts w:asciiTheme="majorHAnsi" w:hAnsiTheme="majorHAnsi"/>
            <w:noProof/>
          </w:rPr>
          <w:t>A.</w:t>
        </w:r>
        <w:r w:rsidR="00862660" w:rsidRPr="00526E0B">
          <w:rPr>
            <w:rFonts w:asciiTheme="majorHAnsi" w:eastAsiaTheme="minorEastAsia" w:hAnsiTheme="majorHAnsi" w:cstheme="minorBidi"/>
            <w:smallCaps w:val="0"/>
            <w:noProof/>
            <w:bdr w:val="none" w:sz="0" w:space="0" w:color="auto"/>
          </w:rPr>
          <w:tab/>
        </w:r>
        <w:r w:rsidR="00862660" w:rsidRPr="00526E0B">
          <w:rPr>
            <w:rStyle w:val="Hyperlink"/>
            <w:rFonts w:asciiTheme="majorHAnsi" w:hAnsiTheme="majorHAnsi"/>
            <w:noProof/>
          </w:rPr>
          <w:t>Right to equality before law (Article II of the American Declaration)</w:t>
        </w:r>
        <w:r w:rsidR="00862660" w:rsidRPr="00526E0B">
          <w:rPr>
            <w:rFonts w:asciiTheme="majorHAnsi" w:hAnsiTheme="majorHAnsi"/>
            <w:noProof/>
            <w:webHidden/>
          </w:rPr>
          <w:tab/>
        </w:r>
        <w:r w:rsidR="00862660" w:rsidRPr="00526E0B">
          <w:rPr>
            <w:rFonts w:asciiTheme="majorHAnsi" w:hAnsiTheme="majorHAnsi"/>
            <w:noProof/>
            <w:webHidden/>
          </w:rPr>
          <w:fldChar w:fldCharType="begin"/>
        </w:r>
        <w:r w:rsidR="00862660" w:rsidRPr="00526E0B">
          <w:rPr>
            <w:rFonts w:asciiTheme="majorHAnsi" w:hAnsiTheme="majorHAnsi"/>
            <w:noProof/>
            <w:webHidden/>
          </w:rPr>
          <w:instrText xml:space="preserve"> PAGEREF _Toc466296170 \h </w:instrText>
        </w:r>
        <w:r w:rsidR="00862660" w:rsidRPr="00526E0B">
          <w:rPr>
            <w:rFonts w:asciiTheme="majorHAnsi" w:hAnsiTheme="majorHAnsi"/>
            <w:noProof/>
            <w:webHidden/>
          </w:rPr>
        </w:r>
        <w:r w:rsidR="00862660" w:rsidRPr="00526E0B">
          <w:rPr>
            <w:rFonts w:asciiTheme="majorHAnsi" w:hAnsiTheme="majorHAnsi"/>
            <w:noProof/>
            <w:webHidden/>
          </w:rPr>
          <w:fldChar w:fldCharType="separate"/>
        </w:r>
        <w:r w:rsidR="00D16F2B">
          <w:rPr>
            <w:rFonts w:asciiTheme="majorHAnsi" w:hAnsiTheme="majorHAnsi"/>
            <w:noProof/>
            <w:webHidden/>
          </w:rPr>
          <w:t>16</w:t>
        </w:r>
        <w:r w:rsidR="00862660" w:rsidRPr="00526E0B">
          <w:rPr>
            <w:rFonts w:asciiTheme="majorHAnsi" w:hAnsiTheme="majorHAnsi"/>
            <w:noProof/>
            <w:webHidden/>
          </w:rPr>
          <w:fldChar w:fldCharType="end"/>
        </w:r>
      </w:hyperlink>
    </w:p>
    <w:p w14:paraId="56365239" w14:textId="77777777" w:rsidR="00862660" w:rsidRPr="00526E0B" w:rsidRDefault="00CF4796" w:rsidP="00194535">
      <w:pPr>
        <w:pStyle w:val="TOC2"/>
        <w:tabs>
          <w:tab w:val="left" w:pos="720"/>
          <w:tab w:val="right" w:leader="dot" w:pos="9350"/>
        </w:tabs>
        <w:ind w:left="1440" w:hanging="720"/>
        <w:jc w:val="both"/>
        <w:rPr>
          <w:rFonts w:asciiTheme="majorHAnsi" w:eastAsiaTheme="minorEastAsia" w:hAnsiTheme="majorHAnsi" w:cstheme="minorBidi"/>
          <w:smallCaps w:val="0"/>
          <w:noProof/>
          <w:bdr w:val="none" w:sz="0" w:space="0" w:color="auto"/>
        </w:rPr>
      </w:pPr>
      <w:hyperlink w:anchor="_Toc466296171" w:history="1">
        <w:r w:rsidR="00862660" w:rsidRPr="00526E0B">
          <w:rPr>
            <w:rStyle w:val="Hyperlink"/>
            <w:rFonts w:asciiTheme="majorHAnsi" w:hAnsiTheme="majorHAnsi"/>
            <w:noProof/>
          </w:rPr>
          <w:t>B.</w:t>
        </w:r>
        <w:r w:rsidR="00862660" w:rsidRPr="00526E0B">
          <w:rPr>
            <w:rFonts w:asciiTheme="majorHAnsi" w:eastAsiaTheme="minorEastAsia" w:hAnsiTheme="majorHAnsi" w:cstheme="minorBidi"/>
            <w:smallCaps w:val="0"/>
            <w:noProof/>
            <w:bdr w:val="none" w:sz="0" w:space="0" w:color="auto"/>
          </w:rPr>
          <w:tab/>
        </w:r>
        <w:r w:rsidR="00862660" w:rsidRPr="00526E0B">
          <w:rPr>
            <w:rStyle w:val="Hyperlink"/>
            <w:rFonts w:asciiTheme="majorHAnsi" w:hAnsiTheme="majorHAnsi"/>
            <w:noProof/>
          </w:rPr>
          <w:t>Rights to juridical personality and to enjoy basic civil rights and to a fair trial (Articles XVII and XVIII of the American Declaration)</w:t>
        </w:r>
        <w:r w:rsidR="00862660" w:rsidRPr="00526E0B">
          <w:rPr>
            <w:rFonts w:asciiTheme="majorHAnsi" w:hAnsiTheme="majorHAnsi"/>
            <w:noProof/>
            <w:webHidden/>
          </w:rPr>
          <w:tab/>
        </w:r>
        <w:r w:rsidR="00862660" w:rsidRPr="00526E0B">
          <w:rPr>
            <w:rFonts w:asciiTheme="majorHAnsi" w:hAnsiTheme="majorHAnsi"/>
            <w:noProof/>
            <w:webHidden/>
          </w:rPr>
          <w:fldChar w:fldCharType="begin"/>
        </w:r>
        <w:r w:rsidR="00862660" w:rsidRPr="00526E0B">
          <w:rPr>
            <w:rFonts w:asciiTheme="majorHAnsi" w:hAnsiTheme="majorHAnsi"/>
            <w:noProof/>
            <w:webHidden/>
          </w:rPr>
          <w:instrText xml:space="preserve"> PAGEREF _Toc466296171 \h </w:instrText>
        </w:r>
        <w:r w:rsidR="00862660" w:rsidRPr="00526E0B">
          <w:rPr>
            <w:rFonts w:asciiTheme="majorHAnsi" w:hAnsiTheme="majorHAnsi"/>
            <w:noProof/>
            <w:webHidden/>
          </w:rPr>
        </w:r>
        <w:r w:rsidR="00862660" w:rsidRPr="00526E0B">
          <w:rPr>
            <w:rFonts w:asciiTheme="majorHAnsi" w:hAnsiTheme="majorHAnsi"/>
            <w:noProof/>
            <w:webHidden/>
          </w:rPr>
          <w:fldChar w:fldCharType="separate"/>
        </w:r>
        <w:r w:rsidR="00D16F2B">
          <w:rPr>
            <w:rFonts w:asciiTheme="majorHAnsi" w:hAnsiTheme="majorHAnsi"/>
            <w:noProof/>
            <w:webHidden/>
          </w:rPr>
          <w:t>22</w:t>
        </w:r>
        <w:r w:rsidR="00862660" w:rsidRPr="00526E0B">
          <w:rPr>
            <w:rFonts w:asciiTheme="majorHAnsi" w:hAnsiTheme="majorHAnsi"/>
            <w:noProof/>
            <w:webHidden/>
          </w:rPr>
          <w:fldChar w:fldCharType="end"/>
        </w:r>
      </w:hyperlink>
    </w:p>
    <w:p w14:paraId="7CFD301E" w14:textId="77777777" w:rsidR="00862660" w:rsidRPr="00526E0B" w:rsidRDefault="00CF4796" w:rsidP="00194535">
      <w:pPr>
        <w:pStyle w:val="TOC2"/>
        <w:tabs>
          <w:tab w:val="left" w:pos="720"/>
          <w:tab w:val="right" w:leader="dot" w:pos="9350"/>
        </w:tabs>
        <w:ind w:left="1440" w:hanging="720"/>
        <w:jc w:val="both"/>
        <w:rPr>
          <w:rFonts w:asciiTheme="majorHAnsi" w:eastAsiaTheme="minorEastAsia" w:hAnsiTheme="majorHAnsi" w:cstheme="minorBidi"/>
          <w:smallCaps w:val="0"/>
          <w:noProof/>
          <w:bdr w:val="none" w:sz="0" w:space="0" w:color="auto"/>
        </w:rPr>
      </w:pPr>
      <w:hyperlink w:anchor="_Toc466296172" w:history="1">
        <w:r w:rsidR="00862660" w:rsidRPr="00526E0B">
          <w:rPr>
            <w:rStyle w:val="Hyperlink"/>
            <w:rFonts w:asciiTheme="majorHAnsi" w:hAnsiTheme="majorHAnsi"/>
            <w:noProof/>
          </w:rPr>
          <w:t>C.</w:t>
        </w:r>
        <w:r w:rsidR="00862660" w:rsidRPr="00526E0B">
          <w:rPr>
            <w:rFonts w:asciiTheme="majorHAnsi" w:eastAsiaTheme="minorEastAsia" w:hAnsiTheme="majorHAnsi" w:cstheme="minorBidi"/>
            <w:smallCaps w:val="0"/>
            <w:noProof/>
            <w:bdr w:val="none" w:sz="0" w:space="0" w:color="auto"/>
          </w:rPr>
          <w:tab/>
        </w:r>
        <w:r w:rsidR="00862660" w:rsidRPr="00526E0B">
          <w:rPr>
            <w:rStyle w:val="Hyperlink"/>
            <w:rFonts w:asciiTheme="majorHAnsi" w:hAnsiTheme="majorHAnsi"/>
            <w:noProof/>
          </w:rPr>
          <w:t>Right to social security (Article XVI of the American Declaration)</w:t>
        </w:r>
        <w:r w:rsidR="00862660" w:rsidRPr="00526E0B">
          <w:rPr>
            <w:rFonts w:asciiTheme="majorHAnsi" w:hAnsiTheme="majorHAnsi"/>
            <w:noProof/>
            <w:webHidden/>
          </w:rPr>
          <w:tab/>
        </w:r>
        <w:r w:rsidR="00862660" w:rsidRPr="00526E0B">
          <w:rPr>
            <w:rFonts w:asciiTheme="majorHAnsi" w:hAnsiTheme="majorHAnsi"/>
            <w:noProof/>
            <w:webHidden/>
          </w:rPr>
          <w:fldChar w:fldCharType="begin"/>
        </w:r>
        <w:r w:rsidR="00862660" w:rsidRPr="00526E0B">
          <w:rPr>
            <w:rFonts w:asciiTheme="majorHAnsi" w:hAnsiTheme="majorHAnsi"/>
            <w:noProof/>
            <w:webHidden/>
          </w:rPr>
          <w:instrText xml:space="preserve"> PAGEREF _Toc466296172 \h </w:instrText>
        </w:r>
        <w:r w:rsidR="00862660" w:rsidRPr="00526E0B">
          <w:rPr>
            <w:rFonts w:asciiTheme="majorHAnsi" w:hAnsiTheme="majorHAnsi"/>
            <w:noProof/>
            <w:webHidden/>
          </w:rPr>
        </w:r>
        <w:r w:rsidR="00862660" w:rsidRPr="00526E0B">
          <w:rPr>
            <w:rFonts w:asciiTheme="majorHAnsi" w:hAnsiTheme="majorHAnsi"/>
            <w:noProof/>
            <w:webHidden/>
          </w:rPr>
          <w:fldChar w:fldCharType="separate"/>
        </w:r>
        <w:r w:rsidR="00D16F2B">
          <w:rPr>
            <w:rFonts w:asciiTheme="majorHAnsi" w:hAnsiTheme="majorHAnsi"/>
            <w:noProof/>
            <w:webHidden/>
          </w:rPr>
          <w:t>26</w:t>
        </w:r>
        <w:r w:rsidR="00862660" w:rsidRPr="00526E0B">
          <w:rPr>
            <w:rFonts w:asciiTheme="majorHAnsi" w:hAnsiTheme="majorHAnsi"/>
            <w:noProof/>
            <w:webHidden/>
          </w:rPr>
          <w:fldChar w:fldCharType="end"/>
        </w:r>
      </w:hyperlink>
    </w:p>
    <w:p w14:paraId="56EA4CF7" w14:textId="77777777" w:rsidR="00862660" w:rsidRPr="00526E0B" w:rsidRDefault="00862660" w:rsidP="00194535">
      <w:pPr>
        <w:pStyle w:val="TOC1"/>
        <w:tabs>
          <w:tab w:val="left" w:pos="720"/>
          <w:tab w:val="right" w:leader="dot" w:pos="9350"/>
        </w:tabs>
        <w:spacing w:before="0" w:after="0"/>
        <w:jc w:val="both"/>
        <w:rPr>
          <w:rStyle w:val="Hyperlink"/>
          <w:rFonts w:asciiTheme="majorHAnsi" w:hAnsiTheme="majorHAnsi"/>
          <w:noProof/>
        </w:rPr>
      </w:pPr>
    </w:p>
    <w:p w14:paraId="182BDFD1" w14:textId="6B393D52" w:rsidR="00862660" w:rsidRPr="00526E0B" w:rsidRDefault="00CF4796" w:rsidP="00194535">
      <w:pPr>
        <w:pStyle w:val="TOC1"/>
        <w:tabs>
          <w:tab w:val="left" w:pos="720"/>
          <w:tab w:val="right" w:leader="dot" w:pos="9350"/>
        </w:tabs>
        <w:spacing w:before="0" w:after="0"/>
        <w:jc w:val="both"/>
        <w:rPr>
          <w:rFonts w:asciiTheme="majorHAnsi" w:eastAsiaTheme="minorEastAsia" w:hAnsiTheme="majorHAnsi" w:cstheme="minorBidi"/>
          <w:b w:val="0"/>
          <w:bCs w:val="0"/>
          <w:caps w:val="0"/>
          <w:noProof/>
          <w:bdr w:val="none" w:sz="0" w:space="0" w:color="auto"/>
        </w:rPr>
      </w:pPr>
      <w:hyperlink w:anchor="_Toc466296173" w:history="1">
        <w:r w:rsidR="00862660" w:rsidRPr="00526E0B">
          <w:rPr>
            <w:rStyle w:val="Hyperlink"/>
            <w:rFonts w:asciiTheme="majorHAnsi" w:hAnsiTheme="majorHAnsi"/>
            <w:noProof/>
          </w:rPr>
          <w:t xml:space="preserve">VI. </w:t>
        </w:r>
        <w:r w:rsidR="00862660" w:rsidRPr="00526E0B">
          <w:rPr>
            <w:rFonts w:asciiTheme="majorHAnsi" w:eastAsiaTheme="minorEastAsia" w:hAnsiTheme="majorHAnsi" w:cstheme="minorBidi"/>
            <w:b w:val="0"/>
            <w:bCs w:val="0"/>
            <w:caps w:val="0"/>
            <w:noProof/>
            <w:bdr w:val="none" w:sz="0" w:space="0" w:color="auto"/>
          </w:rPr>
          <w:tab/>
        </w:r>
        <w:r w:rsidR="00862660" w:rsidRPr="00526E0B">
          <w:rPr>
            <w:rStyle w:val="Hyperlink"/>
            <w:rFonts w:asciiTheme="majorHAnsi" w:hAnsiTheme="majorHAnsi"/>
            <w:noProof/>
          </w:rPr>
          <w:t>ACTIONS SUBSEQUENT TO REPORT No. 83/15</w:t>
        </w:r>
        <w:r w:rsidR="00862660" w:rsidRPr="00526E0B">
          <w:rPr>
            <w:rFonts w:asciiTheme="majorHAnsi" w:hAnsiTheme="majorHAnsi"/>
            <w:noProof/>
            <w:webHidden/>
          </w:rPr>
          <w:tab/>
        </w:r>
        <w:r w:rsidR="00862660" w:rsidRPr="00526E0B">
          <w:rPr>
            <w:rFonts w:asciiTheme="majorHAnsi" w:hAnsiTheme="majorHAnsi"/>
            <w:noProof/>
            <w:webHidden/>
          </w:rPr>
          <w:fldChar w:fldCharType="begin"/>
        </w:r>
        <w:r w:rsidR="00862660" w:rsidRPr="00526E0B">
          <w:rPr>
            <w:rFonts w:asciiTheme="majorHAnsi" w:hAnsiTheme="majorHAnsi"/>
            <w:noProof/>
            <w:webHidden/>
          </w:rPr>
          <w:instrText xml:space="preserve"> PAGEREF _Toc466296173 \h </w:instrText>
        </w:r>
        <w:r w:rsidR="00862660" w:rsidRPr="00526E0B">
          <w:rPr>
            <w:rFonts w:asciiTheme="majorHAnsi" w:hAnsiTheme="majorHAnsi"/>
            <w:noProof/>
            <w:webHidden/>
          </w:rPr>
        </w:r>
        <w:r w:rsidR="00862660" w:rsidRPr="00526E0B">
          <w:rPr>
            <w:rFonts w:asciiTheme="majorHAnsi" w:hAnsiTheme="majorHAnsi"/>
            <w:noProof/>
            <w:webHidden/>
          </w:rPr>
          <w:fldChar w:fldCharType="separate"/>
        </w:r>
        <w:r w:rsidR="00D16F2B">
          <w:rPr>
            <w:rFonts w:asciiTheme="majorHAnsi" w:hAnsiTheme="majorHAnsi"/>
            <w:noProof/>
            <w:webHidden/>
          </w:rPr>
          <w:t>29</w:t>
        </w:r>
        <w:r w:rsidR="00862660" w:rsidRPr="00526E0B">
          <w:rPr>
            <w:rFonts w:asciiTheme="majorHAnsi" w:hAnsiTheme="majorHAnsi"/>
            <w:noProof/>
            <w:webHidden/>
          </w:rPr>
          <w:fldChar w:fldCharType="end"/>
        </w:r>
      </w:hyperlink>
    </w:p>
    <w:p w14:paraId="75978A20" w14:textId="77777777" w:rsidR="00862660" w:rsidRPr="00526E0B" w:rsidRDefault="00862660" w:rsidP="00194535">
      <w:pPr>
        <w:pStyle w:val="TOC1"/>
        <w:tabs>
          <w:tab w:val="left" w:pos="720"/>
          <w:tab w:val="right" w:leader="dot" w:pos="9350"/>
        </w:tabs>
        <w:spacing w:before="0" w:after="0"/>
        <w:jc w:val="both"/>
        <w:rPr>
          <w:rStyle w:val="Hyperlink"/>
          <w:rFonts w:asciiTheme="majorHAnsi" w:hAnsiTheme="majorHAnsi"/>
          <w:noProof/>
        </w:rPr>
      </w:pPr>
    </w:p>
    <w:p w14:paraId="66362493" w14:textId="77777777" w:rsidR="00862660" w:rsidRPr="00526E0B" w:rsidRDefault="00CF4796" w:rsidP="00194535">
      <w:pPr>
        <w:pStyle w:val="TOC1"/>
        <w:tabs>
          <w:tab w:val="left" w:pos="720"/>
          <w:tab w:val="right" w:leader="dot" w:pos="9350"/>
        </w:tabs>
        <w:spacing w:before="0" w:after="0"/>
        <w:jc w:val="both"/>
        <w:rPr>
          <w:rFonts w:asciiTheme="majorHAnsi" w:eastAsiaTheme="minorEastAsia" w:hAnsiTheme="majorHAnsi" w:cstheme="minorBidi"/>
          <w:b w:val="0"/>
          <w:bCs w:val="0"/>
          <w:caps w:val="0"/>
          <w:noProof/>
          <w:bdr w:val="none" w:sz="0" w:space="0" w:color="auto"/>
        </w:rPr>
      </w:pPr>
      <w:hyperlink w:anchor="_Toc466296174" w:history="1">
        <w:r w:rsidR="00862660" w:rsidRPr="00526E0B">
          <w:rPr>
            <w:rStyle w:val="Hyperlink"/>
            <w:rFonts w:asciiTheme="majorHAnsi" w:hAnsiTheme="majorHAnsi"/>
            <w:noProof/>
          </w:rPr>
          <w:t>VII.</w:t>
        </w:r>
        <w:r w:rsidR="00862660" w:rsidRPr="00526E0B">
          <w:rPr>
            <w:rFonts w:asciiTheme="majorHAnsi" w:eastAsiaTheme="minorEastAsia" w:hAnsiTheme="majorHAnsi" w:cstheme="minorBidi"/>
            <w:b w:val="0"/>
            <w:bCs w:val="0"/>
            <w:caps w:val="0"/>
            <w:noProof/>
            <w:bdr w:val="none" w:sz="0" w:space="0" w:color="auto"/>
          </w:rPr>
          <w:tab/>
        </w:r>
        <w:r w:rsidR="00862660" w:rsidRPr="00526E0B">
          <w:rPr>
            <w:rStyle w:val="Hyperlink"/>
            <w:rFonts w:asciiTheme="majorHAnsi" w:hAnsiTheme="majorHAnsi"/>
            <w:noProof/>
          </w:rPr>
          <w:t>FINAL CONCLUSIONS AND RECOMMENDATIONS</w:t>
        </w:r>
        <w:r w:rsidR="00862660" w:rsidRPr="00526E0B">
          <w:rPr>
            <w:rFonts w:asciiTheme="majorHAnsi" w:hAnsiTheme="majorHAnsi"/>
            <w:noProof/>
            <w:webHidden/>
          </w:rPr>
          <w:tab/>
        </w:r>
        <w:r w:rsidR="00862660" w:rsidRPr="00526E0B">
          <w:rPr>
            <w:rFonts w:asciiTheme="majorHAnsi" w:hAnsiTheme="majorHAnsi"/>
            <w:noProof/>
            <w:webHidden/>
          </w:rPr>
          <w:fldChar w:fldCharType="begin"/>
        </w:r>
        <w:r w:rsidR="00862660" w:rsidRPr="00526E0B">
          <w:rPr>
            <w:rFonts w:asciiTheme="majorHAnsi" w:hAnsiTheme="majorHAnsi"/>
            <w:noProof/>
            <w:webHidden/>
          </w:rPr>
          <w:instrText xml:space="preserve"> PAGEREF _Toc466296174 \h </w:instrText>
        </w:r>
        <w:r w:rsidR="00862660" w:rsidRPr="00526E0B">
          <w:rPr>
            <w:rFonts w:asciiTheme="majorHAnsi" w:hAnsiTheme="majorHAnsi"/>
            <w:noProof/>
            <w:webHidden/>
          </w:rPr>
        </w:r>
        <w:r w:rsidR="00862660" w:rsidRPr="00526E0B">
          <w:rPr>
            <w:rFonts w:asciiTheme="majorHAnsi" w:hAnsiTheme="majorHAnsi"/>
            <w:noProof/>
            <w:webHidden/>
          </w:rPr>
          <w:fldChar w:fldCharType="separate"/>
        </w:r>
        <w:r w:rsidR="00D16F2B">
          <w:rPr>
            <w:rFonts w:asciiTheme="majorHAnsi" w:hAnsiTheme="majorHAnsi"/>
            <w:noProof/>
            <w:webHidden/>
          </w:rPr>
          <w:t>30</w:t>
        </w:r>
        <w:r w:rsidR="00862660" w:rsidRPr="00526E0B">
          <w:rPr>
            <w:rFonts w:asciiTheme="majorHAnsi" w:hAnsiTheme="majorHAnsi"/>
            <w:noProof/>
            <w:webHidden/>
          </w:rPr>
          <w:fldChar w:fldCharType="end"/>
        </w:r>
      </w:hyperlink>
    </w:p>
    <w:p w14:paraId="519AEB21" w14:textId="77777777" w:rsidR="00862660" w:rsidRPr="00526E0B" w:rsidRDefault="00862660" w:rsidP="00194535">
      <w:pPr>
        <w:pStyle w:val="TOC1"/>
        <w:tabs>
          <w:tab w:val="left" w:pos="720"/>
          <w:tab w:val="right" w:leader="dot" w:pos="9350"/>
        </w:tabs>
        <w:spacing w:before="0" w:after="0"/>
        <w:jc w:val="both"/>
        <w:rPr>
          <w:rStyle w:val="Hyperlink"/>
          <w:rFonts w:asciiTheme="majorHAnsi" w:hAnsiTheme="majorHAnsi"/>
          <w:noProof/>
        </w:rPr>
      </w:pPr>
    </w:p>
    <w:p w14:paraId="4625F877" w14:textId="77777777" w:rsidR="00862660" w:rsidRPr="00526E0B" w:rsidRDefault="00CF4796" w:rsidP="00194535">
      <w:pPr>
        <w:pStyle w:val="TOC1"/>
        <w:tabs>
          <w:tab w:val="left" w:pos="720"/>
          <w:tab w:val="right" w:leader="dot" w:pos="9350"/>
        </w:tabs>
        <w:spacing w:before="0" w:after="0"/>
        <w:jc w:val="both"/>
        <w:rPr>
          <w:rFonts w:asciiTheme="majorHAnsi" w:eastAsiaTheme="minorEastAsia" w:hAnsiTheme="majorHAnsi" w:cstheme="minorBidi"/>
          <w:b w:val="0"/>
          <w:bCs w:val="0"/>
          <w:caps w:val="0"/>
          <w:noProof/>
          <w:bdr w:val="none" w:sz="0" w:space="0" w:color="auto"/>
        </w:rPr>
      </w:pPr>
      <w:hyperlink w:anchor="_Toc466296175" w:history="1">
        <w:r w:rsidR="00862660" w:rsidRPr="00526E0B">
          <w:rPr>
            <w:rStyle w:val="Hyperlink"/>
            <w:rFonts w:asciiTheme="majorHAnsi" w:hAnsiTheme="majorHAnsi"/>
            <w:noProof/>
          </w:rPr>
          <w:t>VIII.</w:t>
        </w:r>
        <w:r w:rsidR="00862660" w:rsidRPr="00526E0B">
          <w:rPr>
            <w:rFonts w:asciiTheme="majorHAnsi" w:eastAsiaTheme="minorEastAsia" w:hAnsiTheme="majorHAnsi" w:cstheme="minorBidi"/>
            <w:b w:val="0"/>
            <w:bCs w:val="0"/>
            <w:caps w:val="0"/>
            <w:noProof/>
            <w:bdr w:val="none" w:sz="0" w:space="0" w:color="auto"/>
          </w:rPr>
          <w:tab/>
        </w:r>
        <w:r w:rsidR="00862660" w:rsidRPr="00526E0B">
          <w:rPr>
            <w:rStyle w:val="Hyperlink"/>
            <w:rFonts w:asciiTheme="majorHAnsi" w:hAnsiTheme="majorHAnsi"/>
            <w:noProof/>
          </w:rPr>
          <w:t>PUBLICATION</w:t>
        </w:r>
        <w:r w:rsidR="00862660" w:rsidRPr="00526E0B">
          <w:rPr>
            <w:rFonts w:asciiTheme="majorHAnsi" w:hAnsiTheme="majorHAnsi"/>
            <w:noProof/>
            <w:webHidden/>
          </w:rPr>
          <w:tab/>
        </w:r>
        <w:r w:rsidR="00862660" w:rsidRPr="00526E0B">
          <w:rPr>
            <w:rFonts w:asciiTheme="majorHAnsi" w:hAnsiTheme="majorHAnsi"/>
            <w:noProof/>
            <w:webHidden/>
          </w:rPr>
          <w:fldChar w:fldCharType="begin"/>
        </w:r>
        <w:r w:rsidR="00862660" w:rsidRPr="00526E0B">
          <w:rPr>
            <w:rFonts w:asciiTheme="majorHAnsi" w:hAnsiTheme="majorHAnsi"/>
            <w:noProof/>
            <w:webHidden/>
          </w:rPr>
          <w:instrText xml:space="preserve"> PAGEREF _Toc466296175 \h </w:instrText>
        </w:r>
        <w:r w:rsidR="00862660" w:rsidRPr="00526E0B">
          <w:rPr>
            <w:rFonts w:asciiTheme="majorHAnsi" w:hAnsiTheme="majorHAnsi"/>
            <w:noProof/>
            <w:webHidden/>
          </w:rPr>
        </w:r>
        <w:r w:rsidR="00862660" w:rsidRPr="00526E0B">
          <w:rPr>
            <w:rFonts w:asciiTheme="majorHAnsi" w:hAnsiTheme="majorHAnsi"/>
            <w:noProof/>
            <w:webHidden/>
          </w:rPr>
          <w:fldChar w:fldCharType="separate"/>
        </w:r>
        <w:r w:rsidR="00D16F2B">
          <w:rPr>
            <w:rFonts w:asciiTheme="majorHAnsi" w:hAnsiTheme="majorHAnsi"/>
            <w:noProof/>
            <w:webHidden/>
          </w:rPr>
          <w:t>30</w:t>
        </w:r>
        <w:r w:rsidR="00862660" w:rsidRPr="00526E0B">
          <w:rPr>
            <w:rFonts w:asciiTheme="majorHAnsi" w:hAnsiTheme="majorHAnsi"/>
            <w:noProof/>
            <w:webHidden/>
          </w:rPr>
          <w:fldChar w:fldCharType="end"/>
        </w:r>
      </w:hyperlink>
    </w:p>
    <w:p w14:paraId="3064D58D" w14:textId="2E753607" w:rsidR="007607C4" w:rsidRPr="00862660" w:rsidRDefault="00862660" w:rsidP="00194535">
      <w:pPr>
        <w:tabs>
          <w:tab w:val="left" w:pos="720"/>
          <w:tab w:val="center" w:pos="5400"/>
        </w:tabs>
        <w:suppressAutoHyphens/>
        <w:jc w:val="both"/>
        <w:rPr>
          <w:rFonts w:asciiTheme="majorHAnsi" w:hAnsiTheme="majorHAnsi"/>
          <w:sz w:val="20"/>
          <w:szCs w:val="20"/>
        </w:rPr>
      </w:pPr>
      <w:r w:rsidRPr="00526E0B">
        <w:rPr>
          <w:rFonts w:asciiTheme="majorHAnsi" w:hAnsiTheme="majorHAnsi"/>
          <w:b/>
          <w:bCs/>
          <w:caps/>
          <w:sz w:val="20"/>
          <w:szCs w:val="20"/>
        </w:rPr>
        <w:fldChar w:fldCharType="end"/>
      </w:r>
    </w:p>
    <w:p w14:paraId="27614AE8"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5A836119" w14:textId="77777777" w:rsidR="007607C4" w:rsidRPr="00FC3EB4" w:rsidRDefault="007607C4" w:rsidP="00EE7B94">
      <w:pPr>
        <w:rPr>
          <w:rFonts w:asciiTheme="majorHAnsi" w:hAnsiTheme="majorHAnsi"/>
          <w:sz w:val="20"/>
          <w:szCs w:val="20"/>
        </w:rPr>
      </w:pPr>
    </w:p>
    <w:p w14:paraId="7D30EC79"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00CBE73B" w14:textId="77777777" w:rsidR="00862660" w:rsidRPr="00FC3EB4" w:rsidRDefault="00862660">
      <w:pPr>
        <w:rPr>
          <w:rFonts w:asciiTheme="majorHAnsi" w:hAnsiTheme="majorHAnsi"/>
          <w:sz w:val="20"/>
          <w:szCs w:val="20"/>
        </w:rPr>
      </w:pPr>
    </w:p>
    <w:p w14:paraId="02E49F7F" w14:textId="77777777" w:rsidR="00526E0B" w:rsidRDefault="00526E0B" w:rsidP="0014296A">
      <w:pPr>
        <w:tabs>
          <w:tab w:val="center" w:pos="5400"/>
        </w:tabs>
        <w:suppressAutoHyphens/>
        <w:spacing w:line="276" w:lineRule="auto"/>
        <w:jc w:val="center"/>
        <w:rPr>
          <w:rFonts w:asciiTheme="majorHAnsi" w:hAnsiTheme="majorHAnsi"/>
          <w:b/>
          <w:sz w:val="18"/>
          <w:szCs w:val="20"/>
        </w:rPr>
        <w:sectPr w:rsidR="00526E0B" w:rsidSect="006311DA">
          <w:footerReference w:type="first" r:id="rId19"/>
          <w:pgSz w:w="12240" w:h="15840"/>
          <w:pgMar w:top="1440" w:right="1440" w:bottom="1440" w:left="1440" w:header="720" w:footer="720" w:gutter="0"/>
          <w:pgNumType w:start="1"/>
          <w:cols w:space="720"/>
          <w:docGrid w:linePitch="326"/>
        </w:sectPr>
      </w:pPr>
    </w:p>
    <w:p w14:paraId="32CC7545" w14:textId="586ED90C" w:rsidR="0014296A" w:rsidRPr="00526E0B" w:rsidRDefault="00BF457B" w:rsidP="0014296A">
      <w:pPr>
        <w:tabs>
          <w:tab w:val="center" w:pos="5400"/>
        </w:tabs>
        <w:suppressAutoHyphens/>
        <w:spacing w:line="276" w:lineRule="auto"/>
        <w:jc w:val="center"/>
        <w:rPr>
          <w:rFonts w:asciiTheme="majorHAnsi" w:hAnsiTheme="majorHAnsi"/>
          <w:b/>
          <w:sz w:val="18"/>
          <w:szCs w:val="20"/>
        </w:rPr>
      </w:pPr>
      <w:r w:rsidRPr="00526E0B">
        <w:rPr>
          <w:rFonts w:asciiTheme="majorHAnsi" w:hAnsiTheme="majorHAnsi"/>
          <w:b/>
          <w:sz w:val="18"/>
          <w:szCs w:val="20"/>
        </w:rPr>
        <w:lastRenderedPageBreak/>
        <w:t xml:space="preserve">REPORT No. </w:t>
      </w:r>
      <w:r w:rsidR="00854C5B">
        <w:rPr>
          <w:rFonts w:asciiTheme="majorHAnsi" w:hAnsiTheme="majorHAnsi"/>
          <w:b/>
          <w:sz w:val="18"/>
          <w:szCs w:val="20"/>
        </w:rPr>
        <w:t>50</w:t>
      </w:r>
      <w:r w:rsidRPr="00526E0B">
        <w:rPr>
          <w:rFonts w:asciiTheme="majorHAnsi" w:hAnsiTheme="majorHAnsi"/>
          <w:b/>
          <w:sz w:val="18"/>
          <w:szCs w:val="20"/>
        </w:rPr>
        <w:t>/1</w:t>
      </w:r>
      <w:r w:rsidR="000804B8" w:rsidRPr="00526E0B">
        <w:rPr>
          <w:rFonts w:asciiTheme="majorHAnsi" w:hAnsiTheme="majorHAnsi"/>
          <w:b/>
          <w:sz w:val="18"/>
          <w:szCs w:val="20"/>
        </w:rPr>
        <w:t>6</w:t>
      </w:r>
    </w:p>
    <w:p w14:paraId="68BBB1C1" w14:textId="77777777" w:rsidR="0014296A" w:rsidRPr="00526E0B" w:rsidRDefault="0014296A" w:rsidP="0014296A">
      <w:pPr>
        <w:tabs>
          <w:tab w:val="center" w:pos="5400"/>
        </w:tabs>
        <w:suppressAutoHyphens/>
        <w:spacing w:line="276" w:lineRule="auto"/>
        <w:jc w:val="center"/>
        <w:rPr>
          <w:rFonts w:asciiTheme="majorHAnsi" w:hAnsiTheme="majorHAnsi"/>
          <w:b/>
          <w:sz w:val="18"/>
          <w:szCs w:val="20"/>
        </w:rPr>
      </w:pPr>
      <w:r w:rsidRPr="00526E0B">
        <w:rPr>
          <w:rFonts w:asciiTheme="majorHAnsi" w:hAnsiTheme="majorHAnsi"/>
          <w:b/>
          <w:sz w:val="18"/>
          <w:szCs w:val="20"/>
        </w:rPr>
        <w:t>CASE 12.834</w:t>
      </w:r>
    </w:p>
    <w:p w14:paraId="039F2337" w14:textId="5757B62E" w:rsidR="0014296A" w:rsidRPr="00526E0B" w:rsidRDefault="0014296A" w:rsidP="0014296A">
      <w:pPr>
        <w:tabs>
          <w:tab w:val="center" w:pos="5400"/>
        </w:tabs>
        <w:suppressAutoHyphens/>
        <w:spacing w:line="276" w:lineRule="auto"/>
        <w:jc w:val="center"/>
        <w:rPr>
          <w:rFonts w:asciiTheme="majorHAnsi" w:hAnsiTheme="majorHAnsi"/>
          <w:sz w:val="18"/>
          <w:szCs w:val="20"/>
        </w:rPr>
      </w:pPr>
      <w:r w:rsidRPr="00526E0B">
        <w:rPr>
          <w:rFonts w:asciiTheme="majorHAnsi" w:hAnsiTheme="majorHAnsi"/>
          <w:sz w:val="18"/>
          <w:szCs w:val="20"/>
        </w:rPr>
        <w:t xml:space="preserve">MERITS </w:t>
      </w:r>
      <w:r w:rsidR="000804B8" w:rsidRPr="00526E0B">
        <w:rPr>
          <w:rFonts w:asciiTheme="majorHAnsi" w:hAnsiTheme="majorHAnsi"/>
          <w:sz w:val="18"/>
          <w:szCs w:val="20"/>
        </w:rPr>
        <w:t>(</w:t>
      </w:r>
      <w:r w:rsidR="00862660" w:rsidRPr="00526E0B">
        <w:rPr>
          <w:rFonts w:asciiTheme="majorHAnsi" w:hAnsiTheme="majorHAnsi"/>
          <w:sz w:val="18"/>
          <w:szCs w:val="20"/>
        </w:rPr>
        <w:t>PUBLICATION</w:t>
      </w:r>
      <w:r w:rsidR="000804B8" w:rsidRPr="00526E0B">
        <w:rPr>
          <w:rFonts w:asciiTheme="majorHAnsi" w:hAnsiTheme="majorHAnsi"/>
          <w:sz w:val="18"/>
          <w:szCs w:val="20"/>
        </w:rPr>
        <w:t>)</w:t>
      </w:r>
    </w:p>
    <w:p w14:paraId="0B16B041" w14:textId="77777777" w:rsidR="0014296A" w:rsidRPr="00526E0B" w:rsidRDefault="0014296A" w:rsidP="0014296A">
      <w:pPr>
        <w:tabs>
          <w:tab w:val="center" w:pos="5400"/>
        </w:tabs>
        <w:suppressAutoHyphens/>
        <w:spacing w:line="276" w:lineRule="auto"/>
        <w:jc w:val="center"/>
        <w:rPr>
          <w:rFonts w:asciiTheme="majorHAnsi" w:hAnsiTheme="majorHAnsi"/>
          <w:sz w:val="18"/>
          <w:szCs w:val="20"/>
        </w:rPr>
      </w:pPr>
      <w:r w:rsidRPr="00526E0B">
        <w:rPr>
          <w:rFonts w:asciiTheme="majorHAnsi" w:hAnsiTheme="majorHAnsi"/>
          <w:sz w:val="18"/>
          <w:szCs w:val="20"/>
        </w:rPr>
        <w:t>UNDOCUMENTED WORKERS</w:t>
      </w:r>
    </w:p>
    <w:p w14:paraId="007454BB" w14:textId="70CD8241" w:rsidR="0014296A" w:rsidRPr="00526E0B" w:rsidRDefault="0014296A" w:rsidP="0014296A">
      <w:pPr>
        <w:tabs>
          <w:tab w:val="center" w:pos="5400"/>
        </w:tabs>
        <w:suppressAutoHyphens/>
        <w:spacing w:line="276" w:lineRule="auto"/>
        <w:jc w:val="center"/>
        <w:rPr>
          <w:rFonts w:asciiTheme="majorHAnsi" w:hAnsiTheme="majorHAnsi"/>
          <w:sz w:val="18"/>
          <w:szCs w:val="20"/>
        </w:rPr>
      </w:pPr>
      <w:r w:rsidRPr="00526E0B">
        <w:rPr>
          <w:rFonts w:asciiTheme="majorHAnsi" w:hAnsiTheme="majorHAnsi"/>
          <w:sz w:val="18"/>
          <w:szCs w:val="20"/>
        </w:rPr>
        <w:t>UNITED STATES</w:t>
      </w:r>
      <w:r w:rsidRPr="00526E0B">
        <w:rPr>
          <w:rFonts w:asciiTheme="majorHAnsi" w:hAnsiTheme="majorHAnsi"/>
          <w:sz w:val="18"/>
          <w:szCs w:val="20"/>
        </w:rPr>
        <w:br/>
      </w:r>
      <w:r w:rsidR="00854C5B">
        <w:rPr>
          <w:rFonts w:asciiTheme="majorHAnsi" w:hAnsiTheme="majorHAnsi"/>
          <w:sz w:val="18"/>
          <w:szCs w:val="20"/>
        </w:rPr>
        <w:t>NOVEMBER 30</w:t>
      </w:r>
      <w:r w:rsidR="00977694" w:rsidRPr="00526E0B">
        <w:rPr>
          <w:rFonts w:asciiTheme="majorHAnsi" w:hAnsiTheme="majorHAnsi"/>
          <w:sz w:val="18"/>
          <w:szCs w:val="20"/>
        </w:rPr>
        <w:t>, 201</w:t>
      </w:r>
      <w:r w:rsidR="000804B8" w:rsidRPr="00526E0B">
        <w:rPr>
          <w:rFonts w:asciiTheme="majorHAnsi" w:hAnsiTheme="majorHAnsi"/>
          <w:sz w:val="18"/>
          <w:szCs w:val="20"/>
        </w:rPr>
        <w:t>6</w:t>
      </w:r>
    </w:p>
    <w:p w14:paraId="09E3365F" w14:textId="77777777" w:rsidR="007607C4" w:rsidRDefault="007607C4" w:rsidP="00145EDC">
      <w:pPr>
        <w:tabs>
          <w:tab w:val="center" w:pos="5400"/>
        </w:tabs>
        <w:suppressAutoHyphens/>
        <w:spacing w:line="276" w:lineRule="auto"/>
        <w:rPr>
          <w:rFonts w:asciiTheme="majorHAnsi" w:hAnsiTheme="majorHAnsi"/>
          <w:sz w:val="20"/>
          <w:szCs w:val="20"/>
        </w:rPr>
      </w:pPr>
    </w:p>
    <w:p w14:paraId="0AD04664" w14:textId="77777777" w:rsidR="00526E0B" w:rsidRDefault="00526E0B" w:rsidP="00145EDC">
      <w:pPr>
        <w:tabs>
          <w:tab w:val="center" w:pos="5400"/>
        </w:tabs>
        <w:suppressAutoHyphens/>
        <w:spacing w:line="276" w:lineRule="auto"/>
        <w:rPr>
          <w:rFonts w:asciiTheme="majorHAnsi" w:hAnsiTheme="majorHAnsi"/>
          <w:sz w:val="20"/>
          <w:szCs w:val="20"/>
        </w:rPr>
      </w:pPr>
    </w:p>
    <w:p w14:paraId="6CA982F9" w14:textId="77777777" w:rsidR="00927179" w:rsidRPr="00676B15" w:rsidRDefault="00927179" w:rsidP="00862660">
      <w:pPr>
        <w:pStyle w:val="Heading1"/>
        <w:ind w:firstLine="720"/>
      </w:pPr>
      <w:bookmarkStart w:id="1" w:name="_Toc345666383"/>
      <w:bookmarkStart w:id="2" w:name="_Toc359416774"/>
      <w:bookmarkStart w:id="3" w:name="_Toc389918216"/>
      <w:bookmarkStart w:id="4" w:name="_Toc391461180"/>
      <w:bookmarkStart w:id="5" w:name="_Toc391461297"/>
      <w:bookmarkStart w:id="6" w:name="_Toc466296156"/>
      <w:r w:rsidRPr="00676B15">
        <w:t>I.</w:t>
      </w:r>
      <w:r w:rsidRPr="00676B15">
        <w:tab/>
        <w:t>SUMMARY</w:t>
      </w:r>
      <w:bookmarkEnd w:id="1"/>
      <w:bookmarkEnd w:id="2"/>
      <w:bookmarkEnd w:id="3"/>
      <w:bookmarkEnd w:id="4"/>
      <w:bookmarkEnd w:id="5"/>
      <w:bookmarkEnd w:id="6"/>
    </w:p>
    <w:p w14:paraId="3E127318" w14:textId="77777777" w:rsidR="00927179" w:rsidRPr="00676B15" w:rsidRDefault="00927179" w:rsidP="009271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14:paraId="64D63FDA" w14:textId="35395686" w:rsidR="0057597B" w:rsidRPr="00676B15" w:rsidRDefault="00927179"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676B15">
        <w:rPr>
          <w:rFonts w:ascii="Cambria" w:eastAsia="Times New Roman" w:hAnsi="Cambria"/>
          <w:sz w:val="20"/>
          <w:szCs w:val="20"/>
          <w:bdr w:val="none" w:sz="0" w:space="0" w:color="auto"/>
        </w:rPr>
        <w:t>On</w:t>
      </w:r>
      <w:r w:rsidR="0057597B" w:rsidRPr="00676B15">
        <w:rPr>
          <w:rFonts w:ascii="Cambria" w:eastAsia="Times New Roman" w:hAnsi="Cambria"/>
          <w:sz w:val="20"/>
          <w:szCs w:val="20"/>
          <w:bdr w:val="none" w:sz="0" w:space="0" w:color="auto"/>
        </w:rPr>
        <w:t xml:space="preserve"> November 1, 2006, the Inter-American Commission on Human Rights (the “Inter-American Commission” or the “IACHR”) received a petition from the University of Pennsylvania School of Law, the American Civil Liberties Union Foundation, and the National Employment Law Project (the “petitioners”) against the United States of America (the “State” or “United States”), on behalf of, among others, Leopoldo Zumaya and Francisco Berumen Lizalde, </w:t>
      </w:r>
      <w:r w:rsidR="000F5D27" w:rsidRPr="00676B15">
        <w:rPr>
          <w:rFonts w:ascii="Cambria" w:eastAsia="Times New Roman" w:hAnsi="Cambria"/>
          <w:sz w:val="20"/>
          <w:szCs w:val="20"/>
          <w:bdr w:val="none" w:sz="0" w:space="0" w:color="auto"/>
        </w:rPr>
        <w:t xml:space="preserve">foreign </w:t>
      </w:r>
      <w:r w:rsidR="0057597B" w:rsidRPr="00676B15">
        <w:rPr>
          <w:rFonts w:ascii="Cambria" w:eastAsia="Times New Roman" w:hAnsi="Cambria"/>
          <w:sz w:val="20"/>
          <w:szCs w:val="20"/>
          <w:bdr w:val="none" w:sz="0" w:space="0" w:color="auto"/>
        </w:rPr>
        <w:t xml:space="preserve">undocumented workers </w:t>
      </w:r>
      <w:r w:rsidR="00E928F4" w:rsidRPr="00676B15">
        <w:rPr>
          <w:rFonts w:ascii="Cambria" w:eastAsia="Times New Roman" w:hAnsi="Cambria"/>
          <w:sz w:val="20"/>
          <w:szCs w:val="20"/>
          <w:bdr w:val="none" w:sz="0" w:space="0" w:color="auto"/>
        </w:rPr>
        <w:t>who had</w:t>
      </w:r>
      <w:r w:rsidR="0057597B" w:rsidRPr="00676B15">
        <w:rPr>
          <w:rFonts w:ascii="Cambria" w:eastAsia="Times New Roman" w:hAnsi="Cambria"/>
          <w:sz w:val="20"/>
          <w:szCs w:val="20"/>
          <w:bdr w:val="none" w:sz="0" w:space="0" w:color="auto"/>
        </w:rPr>
        <w:t xml:space="preserve"> resided in the United States.</w:t>
      </w:r>
      <w:r w:rsidR="0057597B" w:rsidRPr="00676B15">
        <w:rPr>
          <w:rFonts w:ascii="Cambria" w:eastAsia="Times New Roman" w:hAnsi="Cambria"/>
          <w:sz w:val="20"/>
          <w:szCs w:val="20"/>
          <w:bdr w:val="none" w:sz="0" w:space="0" w:color="auto"/>
          <w:vertAlign w:val="superscript"/>
        </w:rPr>
        <w:footnoteReference w:id="3"/>
      </w:r>
    </w:p>
    <w:p w14:paraId="0A5C69C3" w14:textId="77777777" w:rsidR="00927179" w:rsidRPr="00676B15" w:rsidRDefault="00927179" w:rsidP="009271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14:paraId="16520FF8" w14:textId="01210F98" w:rsidR="008A1CE6" w:rsidRPr="00676B15" w:rsidRDefault="008A1CE6"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
          <w:bCs/>
          <w:sz w:val="20"/>
          <w:szCs w:val="20"/>
          <w:bdr w:val="none" w:sz="0" w:space="0" w:color="auto"/>
        </w:rPr>
      </w:pPr>
      <w:r w:rsidRPr="00676B15">
        <w:rPr>
          <w:rFonts w:ascii="Cambria" w:eastAsia="Times New Roman" w:hAnsi="Cambria"/>
          <w:bCs/>
          <w:sz w:val="20"/>
          <w:szCs w:val="20"/>
          <w:bdr w:val="none" w:sz="0" w:space="0" w:color="auto"/>
        </w:rPr>
        <w:t xml:space="preserve">The petitioners claim that the presumed victims were excluded from employment rights and remedies available to their documented counterparts. The presumed victims have allegedly been directly affected by the United States’ denial of equal rights based on immigration status in their efforts to </w:t>
      </w:r>
      <w:r w:rsidR="00E928F4" w:rsidRPr="00676B15">
        <w:rPr>
          <w:rFonts w:ascii="Cambria" w:eastAsia="Times New Roman" w:hAnsi="Cambria"/>
          <w:bCs/>
          <w:sz w:val="20"/>
          <w:szCs w:val="20"/>
          <w:bdr w:val="none" w:sz="0" w:space="0" w:color="auto"/>
        </w:rPr>
        <w:t xml:space="preserve">seek </w:t>
      </w:r>
      <w:r w:rsidRPr="00676B15">
        <w:rPr>
          <w:rFonts w:ascii="Cambria" w:eastAsia="Times New Roman" w:hAnsi="Cambria"/>
          <w:bCs/>
          <w:sz w:val="20"/>
          <w:szCs w:val="20"/>
          <w:bdr w:val="none" w:sz="0" w:space="0" w:color="auto"/>
        </w:rPr>
        <w:t>enforce</w:t>
      </w:r>
      <w:r w:rsidR="00E928F4" w:rsidRPr="00676B15">
        <w:rPr>
          <w:rFonts w:ascii="Cambria" w:eastAsia="Times New Roman" w:hAnsi="Cambria"/>
          <w:bCs/>
          <w:sz w:val="20"/>
          <w:szCs w:val="20"/>
          <w:bdr w:val="none" w:sz="0" w:space="0" w:color="auto"/>
        </w:rPr>
        <w:t>ment</w:t>
      </w:r>
      <w:r w:rsidRPr="00676B15">
        <w:rPr>
          <w:rFonts w:ascii="Cambria" w:eastAsia="Times New Roman" w:hAnsi="Cambria"/>
          <w:bCs/>
          <w:sz w:val="20"/>
          <w:szCs w:val="20"/>
          <w:bdr w:val="none" w:sz="0" w:space="0" w:color="auto"/>
        </w:rPr>
        <w:t xml:space="preserve"> </w:t>
      </w:r>
      <w:r w:rsidR="00C80AA8" w:rsidRPr="00676B15">
        <w:rPr>
          <w:rFonts w:ascii="Cambria" w:eastAsia="Times New Roman" w:hAnsi="Cambria"/>
          <w:bCs/>
          <w:sz w:val="20"/>
          <w:szCs w:val="20"/>
          <w:bdr w:val="none" w:sz="0" w:space="0" w:color="auto"/>
        </w:rPr>
        <w:t xml:space="preserve">of </w:t>
      </w:r>
      <w:r w:rsidRPr="00676B15">
        <w:rPr>
          <w:rFonts w:ascii="Cambria" w:eastAsia="Times New Roman" w:hAnsi="Cambria"/>
          <w:bCs/>
          <w:sz w:val="20"/>
          <w:szCs w:val="20"/>
          <w:bdr w:val="none" w:sz="0" w:space="0" w:color="auto"/>
        </w:rPr>
        <w:t xml:space="preserve">their employment and labor rights. The petitioners contend that a decision of the United States Supreme Court, </w:t>
      </w:r>
      <w:r w:rsidRPr="00676B15">
        <w:rPr>
          <w:rFonts w:ascii="Cambria" w:eastAsia="Times New Roman" w:hAnsi="Cambria"/>
          <w:bCs/>
          <w:i/>
          <w:sz w:val="20"/>
          <w:szCs w:val="20"/>
          <w:bdr w:val="none" w:sz="0" w:space="0" w:color="auto"/>
        </w:rPr>
        <w:t>Hoffman Plastic Compounds, Inc. v. National Labor Relations Board</w:t>
      </w:r>
      <w:r w:rsidRPr="00676B15">
        <w:rPr>
          <w:rFonts w:ascii="Cambria" w:eastAsia="Times New Roman" w:hAnsi="Cambria"/>
          <w:bCs/>
          <w:sz w:val="20"/>
          <w:szCs w:val="20"/>
          <w:bdr w:val="none" w:sz="0" w:space="0" w:color="auto"/>
        </w:rPr>
        <w:t>, 535 U.S. 137 (2002)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xml:space="preserve">”), made the issue of immigration status relevant to workplace rights and encouraged employers to claim that undocumented immigrant workers lack legal rights in contexts beyond that discussed in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xml:space="preserve">, </w:t>
      </w:r>
      <w:r w:rsidR="000F5D27" w:rsidRPr="00676B15">
        <w:rPr>
          <w:rFonts w:ascii="Cambria" w:eastAsia="Times New Roman" w:hAnsi="Cambria"/>
          <w:bCs/>
          <w:sz w:val="20"/>
          <w:szCs w:val="20"/>
          <w:bdr w:val="none" w:sz="0" w:space="0" w:color="auto"/>
        </w:rPr>
        <w:t>which related to</w:t>
      </w:r>
      <w:r w:rsidRPr="00676B15">
        <w:rPr>
          <w:rFonts w:ascii="Cambria" w:eastAsia="Times New Roman" w:hAnsi="Cambria"/>
          <w:bCs/>
          <w:sz w:val="20"/>
          <w:szCs w:val="20"/>
          <w:bdr w:val="none" w:sz="0" w:space="0" w:color="auto"/>
        </w:rPr>
        <w:t xml:space="preserve"> </w:t>
      </w:r>
      <w:r w:rsidR="004836E6" w:rsidRPr="00676B15">
        <w:rPr>
          <w:rFonts w:ascii="Cambria" w:eastAsia="Times New Roman" w:hAnsi="Cambria"/>
          <w:bCs/>
          <w:sz w:val="20"/>
          <w:szCs w:val="20"/>
          <w:bdr w:val="none" w:sz="0" w:space="0" w:color="auto"/>
        </w:rPr>
        <w:t xml:space="preserve">the </w:t>
      </w:r>
      <w:r w:rsidRPr="00676B15">
        <w:rPr>
          <w:rFonts w:ascii="Cambria" w:eastAsia="Times New Roman" w:hAnsi="Cambria"/>
          <w:bCs/>
          <w:sz w:val="20"/>
          <w:szCs w:val="20"/>
          <w:bdr w:val="none" w:sz="0" w:space="0" w:color="auto"/>
        </w:rPr>
        <w:t>freedom of association of undocumented workers. These other contexts, petitioners claim, include: access to compensation for workplace injuries, freedom from workplace discrimination</w:t>
      </w:r>
      <w:r w:rsidR="00C8715D" w:rsidRPr="00676B15">
        <w:rPr>
          <w:rFonts w:ascii="Cambria" w:eastAsia="Times New Roman" w:hAnsi="Cambria"/>
          <w:bCs/>
          <w:sz w:val="20"/>
          <w:szCs w:val="20"/>
          <w:bdr w:val="none" w:sz="0" w:space="0" w:color="auto"/>
        </w:rPr>
        <w:t>,</w:t>
      </w:r>
      <w:r w:rsidRPr="00676B15">
        <w:rPr>
          <w:rFonts w:ascii="Cambria" w:eastAsia="Times New Roman" w:hAnsi="Cambria"/>
          <w:bCs/>
          <w:sz w:val="20"/>
          <w:szCs w:val="20"/>
          <w:bdr w:val="none" w:sz="0" w:space="0" w:color="auto"/>
        </w:rPr>
        <w:t xml:space="preserve"> and entitlement to hold an employer responsible for </w:t>
      </w:r>
      <w:r w:rsidR="00C8715D" w:rsidRPr="00676B15">
        <w:rPr>
          <w:rFonts w:ascii="Cambria" w:eastAsia="Times New Roman" w:hAnsi="Cambria"/>
          <w:bCs/>
          <w:sz w:val="20"/>
          <w:szCs w:val="20"/>
          <w:bdr w:val="none" w:sz="0" w:space="0" w:color="auto"/>
        </w:rPr>
        <w:t xml:space="preserve">a </w:t>
      </w:r>
      <w:r w:rsidRPr="00676B15">
        <w:rPr>
          <w:rFonts w:ascii="Cambria" w:eastAsia="Times New Roman" w:hAnsi="Cambria"/>
          <w:bCs/>
          <w:sz w:val="20"/>
          <w:szCs w:val="20"/>
          <w:bdr w:val="none" w:sz="0" w:space="0" w:color="auto"/>
        </w:rPr>
        <w:t xml:space="preserve">workplace injury. </w:t>
      </w:r>
      <w:r w:rsidR="000F5D27" w:rsidRPr="00676B15">
        <w:rPr>
          <w:rFonts w:ascii="Cambria" w:eastAsia="Times New Roman" w:hAnsi="Cambria"/>
          <w:bCs/>
          <w:sz w:val="20"/>
          <w:szCs w:val="20"/>
          <w:bdr w:val="none" w:sz="0" w:space="0" w:color="auto"/>
        </w:rPr>
        <w:t xml:space="preserve">Within these contexts, they claim that the presumed victims were denied full protection for their labor rights and denied due process. </w:t>
      </w:r>
    </w:p>
    <w:p w14:paraId="653B646C" w14:textId="77777777" w:rsidR="008A1CE6" w:rsidRPr="00676B15" w:rsidRDefault="008A1CE6" w:rsidP="008A1CE6">
      <w:pPr>
        <w:pStyle w:val="ListParagraph"/>
        <w:rPr>
          <w:rFonts w:eastAsia="Times New Roman"/>
          <w:sz w:val="20"/>
          <w:szCs w:val="20"/>
          <w:bdr w:val="none" w:sz="0" w:space="0" w:color="auto"/>
        </w:rPr>
      </w:pPr>
    </w:p>
    <w:p w14:paraId="32888071" w14:textId="513EA528" w:rsidR="00C8715D" w:rsidRPr="00676B15" w:rsidRDefault="00C8715D"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
          <w:bCs/>
          <w:sz w:val="20"/>
          <w:szCs w:val="20"/>
          <w:bdr w:val="none" w:sz="0" w:space="0" w:color="auto"/>
        </w:rPr>
      </w:pPr>
      <w:r w:rsidRPr="00676B15">
        <w:rPr>
          <w:rFonts w:ascii="Cambria" w:eastAsia="Times New Roman" w:hAnsi="Cambria"/>
          <w:bCs/>
          <w:sz w:val="20"/>
          <w:szCs w:val="20"/>
          <w:bdr w:val="none" w:sz="0" w:space="0" w:color="auto"/>
        </w:rPr>
        <w:t xml:space="preserve">The State contends that </w:t>
      </w:r>
      <w:r w:rsidR="002E4DA7" w:rsidRPr="00676B15">
        <w:rPr>
          <w:rFonts w:ascii="Cambria" w:eastAsia="Times New Roman" w:hAnsi="Cambria"/>
          <w:bCs/>
          <w:sz w:val="20"/>
          <w:szCs w:val="20"/>
          <w:bdr w:val="none" w:sz="0" w:space="0" w:color="auto"/>
        </w:rPr>
        <w:t>the petitioner</w:t>
      </w:r>
      <w:r w:rsidR="000A2421" w:rsidRPr="00676B15">
        <w:rPr>
          <w:rFonts w:ascii="Cambria" w:eastAsia="Times New Roman" w:hAnsi="Cambria"/>
          <w:bCs/>
          <w:sz w:val="20"/>
          <w:szCs w:val="20"/>
          <w:bdr w:val="none" w:sz="0" w:space="0" w:color="auto"/>
        </w:rPr>
        <w:t>s</w:t>
      </w:r>
      <w:r w:rsidR="002E4DA7" w:rsidRPr="00676B15">
        <w:rPr>
          <w:rFonts w:ascii="Cambria" w:eastAsia="Times New Roman" w:hAnsi="Cambria"/>
          <w:bCs/>
          <w:sz w:val="20"/>
          <w:szCs w:val="20"/>
          <w:bdr w:val="none" w:sz="0" w:space="0" w:color="auto"/>
        </w:rPr>
        <w:t xml:space="preserve"> have not exhausted domestic remedies</w:t>
      </w:r>
      <w:r w:rsidR="001D3553" w:rsidRPr="00676B15">
        <w:rPr>
          <w:rFonts w:ascii="Cambria" w:eastAsia="Times New Roman" w:hAnsi="Cambria"/>
          <w:bCs/>
          <w:sz w:val="20"/>
          <w:szCs w:val="20"/>
          <w:bdr w:val="none" w:sz="0" w:space="0" w:color="auto"/>
        </w:rPr>
        <w:t xml:space="preserve">, noting that remedies are available in state courts, and </w:t>
      </w:r>
      <w:r w:rsidR="000A2421" w:rsidRPr="00676B15">
        <w:rPr>
          <w:rFonts w:ascii="Cambria" w:eastAsia="Times New Roman" w:hAnsi="Cambria"/>
          <w:bCs/>
          <w:sz w:val="20"/>
          <w:szCs w:val="20"/>
          <w:bdr w:val="none" w:sz="0" w:space="0" w:color="auto"/>
        </w:rPr>
        <w:t>therefore</w:t>
      </w:r>
      <w:r w:rsidR="001D3553" w:rsidRPr="00676B15">
        <w:rPr>
          <w:rFonts w:ascii="Cambria" w:eastAsia="Times New Roman" w:hAnsi="Cambria"/>
          <w:bCs/>
          <w:sz w:val="20"/>
          <w:szCs w:val="20"/>
          <w:bdr w:val="none" w:sz="0" w:space="0" w:color="auto"/>
        </w:rPr>
        <w:t xml:space="preserve"> the case should be dismissed. In the alternative, the State argues that</w:t>
      </w:r>
      <w:r w:rsidR="002E4DA7" w:rsidRPr="00676B15">
        <w:rPr>
          <w:rFonts w:ascii="Cambria" w:eastAsia="Times New Roman" w:hAnsi="Cambria"/>
          <w:bCs/>
          <w:sz w:val="20"/>
          <w:szCs w:val="20"/>
          <w:bdr w:val="none" w:sz="0" w:space="0" w:color="auto"/>
        </w:rPr>
        <w:t xml:space="preserve"> </w:t>
      </w:r>
      <w:r w:rsidR="00791116" w:rsidRPr="00676B15">
        <w:rPr>
          <w:rFonts w:ascii="Cambria" w:eastAsia="Times New Roman" w:hAnsi="Cambria"/>
          <w:bCs/>
          <w:sz w:val="20"/>
          <w:szCs w:val="20"/>
          <w:bdr w:val="none" w:sz="0" w:space="0" w:color="auto"/>
        </w:rPr>
        <w:t xml:space="preserve">it has a sovereign right to deny permission to work to those “illegally present” in the country or to those who have not obtained authorization to work. Consequently, the State maintains that federal and state law recognizes the difficulty in providing </w:t>
      </w:r>
      <w:r w:rsidR="000D37AB" w:rsidRPr="00676B15">
        <w:rPr>
          <w:rFonts w:ascii="Cambria" w:eastAsia="Times New Roman" w:hAnsi="Cambria"/>
          <w:bCs/>
          <w:sz w:val="20"/>
          <w:szCs w:val="20"/>
          <w:bdr w:val="none" w:sz="0" w:space="0" w:color="auto"/>
        </w:rPr>
        <w:t>backpay</w:t>
      </w:r>
      <w:r w:rsidR="00791116" w:rsidRPr="00676B15">
        <w:rPr>
          <w:rFonts w:ascii="Cambria" w:eastAsia="Times New Roman" w:hAnsi="Cambria"/>
          <w:bCs/>
          <w:sz w:val="20"/>
          <w:szCs w:val="20"/>
          <w:bdr w:val="none" w:sz="0" w:space="0" w:color="auto"/>
        </w:rPr>
        <w:t xml:space="preserve"> for work that was not done when it could not have lawfully been done. Further, the State claims that the petitioners have “overstated” the impact of </w:t>
      </w:r>
      <w:r w:rsidR="00791116" w:rsidRPr="00676B15">
        <w:rPr>
          <w:rFonts w:ascii="Cambria" w:eastAsia="Times New Roman" w:hAnsi="Cambria"/>
          <w:bCs/>
          <w:i/>
          <w:sz w:val="20"/>
          <w:szCs w:val="20"/>
          <w:bdr w:val="none" w:sz="0" w:space="0" w:color="auto"/>
        </w:rPr>
        <w:t>Hoffman</w:t>
      </w:r>
      <w:r w:rsidR="00791116" w:rsidRPr="00676B15">
        <w:rPr>
          <w:rFonts w:ascii="Cambria" w:eastAsia="Times New Roman" w:hAnsi="Cambria"/>
          <w:bCs/>
          <w:sz w:val="20"/>
          <w:szCs w:val="20"/>
          <w:bdr w:val="none" w:sz="0" w:space="0" w:color="auto"/>
        </w:rPr>
        <w:t xml:space="preserve"> and that undocumented workers are still entitled to protection under the National Labor Relations Act (“NLRA”)</w:t>
      </w:r>
      <w:r w:rsidR="00E928F4" w:rsidRPr="00676B15">
        <w:rPr>
          <w:rFonts w:ascii="Cambria" w:eastAsia="Times New Roman" w:hAnsi="Cambria"/>
          <w:bCs/>
          <w:sz w:val="20"/>
          <w:szCs w:val="20"/>
          <w:bdr w:val="none" w:sz="0" w:space="0" w:color="auto"/>
        </w:rPr>
        <w:t>,</w:t>
      </w:r>
      <w:r w:rsidR="00791116" w:rsidRPr="00676B15">
        <w:rPr>
          <w:rStyle w:val="FootnoteReference"/>
          <w:rFonts w:ascii="Cambria" w:eastAsia="Times New Roman" w:hAnsi="Cambria"/>
          <w:bCs/>
          <w:sz w:val="20"/>
          <w:szCs w:val="20"/>
          <w:bdr w:val="none" w:sz="0" w:space="0" w:color="auto"/>
        </w:rPr>
        <w:footnoteReference w:id="4"/>
      </w:r>
      <w:r w:rsidR="007F1AAB" w:rsidRPr="00676B15">
        <w:rPr>
          <w:rFonts w:ascii="Cambria" w:eastAsia="Times New Roman" w:hAnsi="Cambria"/>
          <w:bCs/>
          <w:sz w:val="20"/>
          <w:szCs w:val="20"/>
          <w:bdr w:val="none" w:sz="0" w:space="0" w:color="auto"/>
        </w:rPr>
        <w:t xml:space="preserve"> including wage compensation and medical benefits. </w:t>
      </w:r>
      <w:r w:rsidR="00791116" w:rsidRPr="00676B15">
        <w:rPr>
          <w:rFonts w:ascii="Cambria" w:eastAsia="Times New Roman" w:hAnsi="Cambria"/>
          <w:bCs/>
          <w:sz w:val="20"/>
          <w:szCs w:val="20"/>
          <w:bdr w:val="none" w:sz="0" w:space="0" w:color="auto"/>
        </w:rPr>
        <w:t xml:space="preserve">The State affirms its commitment to protecting all workers against employment and labor violations, regardless of whether they possess authorization to work. </w:t>
      </w:r>
    </w:p>
    <w:p w14:paraId="39B43688" w14:textId="77777777" w:rsidR="007F1AAB" w:rsidRPr="00676B15" w:rsidRDefault="007F1AAB" w:rsidP="007F1AAB">
      <w:pPr>
        <w:pStyle w:val="ListParagraph"/>
        <w:rPr>
          <w:rFonts w:eastAsia="Times New Roman"/>
          <w:b/>
          <w:bCs/>
          <w:sz w:val="20"/>
          <w:szCs w:val="20"/>
          <w:bdr w:val="none" w:sz="0" w:space="0" w:color="auto"/>
        </w:rPr>
      </w:pPr>
    </w:p>
    <w:p w14:paraId="519CE42F" w14:textId="55128686" w:rsidR="00510BFE" w:rsidRPr="00676B15" w:rsidRDefault="009515CA"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
          <w:bCs/>
          <w:sz w:val="20"/>
          <w:szCs w:val="20"/>
          <w:bdr w:val="none" w:sz="0" w:space="0" w:color="auto"/>
        </w:rPr>
      </w:pPr>
      <w:r w:rsidRPr="00676B15">
        <w:rPr>
          <w:rFonts w:ascii="Cambria" w:eastAsia="Times New Roman" w:hAnsi="Cambria"/>
          <w:bCs/>
          <w:sz w:val="20"/>
          <w:szCs w:val="20"/>
          <w:bdr w:val="none" w:sz="0" w:space="0" w:color="auto"/>
        </w:rPr>
        <w:t xml:space="preserve">In Report No. 134/11, adopted by the </w:t>
      </w:r>
      <w:r w:rsidR="008F7788" w:rsidRPr="00676B15">
        <w:rPr>
          <w:rFonts w:ascii="Cambria" w:eastAsia="Times New Roman" w:hAnsi="Cambria"/>
          <w:bCs/>
          <w:sz w:val="20"/>
          <w:szCs w:val="20"/>
          <w:bdr w:val="none" w:sz="0" w:space="0" w:color="auto"/>
        </w:rPr>
        <w:t>IACHR</w:t>
      </w:r>
      <w:r w:rsidRPr="00676B15">
        <w:rPr>
          <w:rFonts w:ascii="Cambria" w:eastAsia="Times New Roman" w:hAnsi="Cambria"/>
          <w:bCs/>
          <w:sz w:val="20"/>
          <w:szCs w:val="20"/>
          <w:bdr w:val="none" w:sz="0" w:space="0" w:color="auto"/>
        </w:rPr>
        <w:t xml:space="preserve"> on March 20, 2011 during its 141 Period of Sessions, the Commission declared petition 1190-06 admissible</w:t>
      </w:r>
      <w:r w:rsidR="00510BFE" w:rsidRPr="00676B15">
        <w:rPr>
          <w:rFonts w:ascii="Cambria" w:eastAsia="Times New Roman" w:hAnsi="Cambria"/>
          <w:bCs/>
          <w:sz w:val="20"/>
          <w:szCs w:val="20"/>
          <w:bdr w:val="none" w:sz="0" w:space="0" w:color="auto"/>
        </w:rPr>
        <w:t xml:space="preserve">, without prejudging the merits of the matter, </w:t>
      </w:r>
      <w:r w:rsidR="00510BFE" w:rsidRPr="00676B15">
        <w:rPr>
          <w:rFonts w:ascii="Cambria" w:eastAsia="Times New Roman" w:hAnsi="Cambria"/>
          <w:bCs/>
          <w:sz w:val="20"/>
          <w:szCs w:val="20"/>
          <w:bdr w:val="none" w:sz="0" w:space="0" w:color="auto"/>
        </w:rPr>
        <w:lastRenderedPageBreak/>
        <w:t>with respect to Articles II (Right to equality before law), XVI (Right to social security), XVII (Right to recognition of juridical personality and civil rights), and XVIII (Right to fair trial) of the American Declaration</w:t>
      </w:r>
      <w:r w:rsidR="000F5D27" w:rsidRPr="00676B15">
        <w:rPr>
          <w:rFonts w:ascii="Cambria" w:eastAsia="Times New Roman" w:hAnsi="Cambria"/>
          <w:bCs/>
          <w:sz w:val="20"/>
          <w:szCs w:val="20"/>
          <w:bdr w:val="none" w:sz="0" w:space="0" w:color="auto"/>
        </w:rPr>
        <w:t xml:space="preserve"> of the Rights and Duties of Man (“American Declaration”)</w:t>
      </w:r>
      <w:r w:rsidR="00510BFE" w:rsidRPr="00676B15">
        <w:rPr>
          <w:rFonts w:ascii="Cambria" w:eastAsia="Times New Roman" w:hAnsi="Cambria"/>
          <w:bCs/>
          <w:sz w:val="20"/>
          <w:szCs w:val="20"/>
          <w:bdr w:val="none" w:sz="0" w:space="0" w:color="auto"/>
        </w:rPr>
        <w:t xml:space="preserve"> with regard to Leopoldo Zumaya and Francisco Berumen Lizalde.</w:t>
      </w:r>
      <w:r w:rsidR="00153A38" w:rsidRPr="00676B15">
        <w:rPr>
          <w:rStyle w:val="FootnoteReference"/>
          <w:rFonts w:ascii="Cambria" w:eastAsia="Times New Roman" w:hAnsi="Cambria"/>
          <w:bCs/>
          <w:sz w:val="20"/>
          <w:szCs w:val="20"/>
          <w:bdr w:val="none" w:sz="0" w:space="0" w:color="auto"/>
        </w:rPr>
        <w:footnoteReference w:id="5"/>
      </w:r>
      <w:r w:rsidR="00510BFE" w:rsidRPr="00676B15">
        <w:rPr>
          <w:rFonts w:ascii="Cambria" w:eastAsia="Times New Roman" w:hAnsi="Cambria"/>
          <w:bCs/>
          <w:sz w:val="20"/>
          <w:szCs w:val="20"/>
          <w:bdr w:val="none" w:sz="0" w:space="0" w:color="auto"/>
        </w:rPr>
        <w:t xml:space="preserve"> It published this report and included it in its Annual Report to the General </w:t>
      </w:r>
      <w:r w:rsidR="00F02968" w:rsidRPr="00676B15">
        <w:rPr>
          <w:rFonts w:ascii="Cambria" w:eastAsia="Times New Roman" w:hAnsi="Cambria"/>
          <w:bCs/>
          <w:sz w:val="20"/>
          <w:szCs w:val="20"/>
          <w:bdr w:val="none" w:sz="0" w:space="0" w:color="auto"/>
        </w:rPr>
        <w:t>Assembly</w:t>
      </w:r>
      <w:r w:rsidR="00510BFE" w:rsidRPr="00676B15">
        <w:rPr>
          <w:rFonts w:ascii="Cambria" w:eastAsia="Times New Roman" w:hAnsi="Cambria"/>
          <w:bCs/>
          <w:sz w:val="20"/>
          <w:szCs w:val="20"/>
          <w:bdr w:val="none" w:sz="0" w:space="0" w:color="auto"/>
        </w:rPr>
        <w:t xml:space="preserve"> of the Organization of American States. The petition was then registered as Case No. 12.834. </w:t>
      </w:r>
    </w:p>
    <w:p w14:paraId="0C509758" w14:textId="77777777" w:rsidR="00942264" w:rsidRPr="00676B15" w:rsidRDefault="00942264" w:rsidP="00942264">
      <w:pPr>
        <w:pStyle w:val="ListParagraph"/>
        <w:rPr>
          <w:rFonts w:eastAsia="Times New Roman"/>
          <w:b/>
          <w:bCs/>
          <w:sz w:val="20"/>
          <w:szCs w:val="20"/>
          <w:bdr w:val="none" w:sz="0" w:space="0" w:color="auto"/>
        </w:rPr>
      </w:pPr>
    </w:p>
    <w:p w14:paraId="6B880660" w14:textId="7A520C00" w:rsidR="00C8715D" w:rsidRPr="00676B15" w:rsidRDefault="00510BFE" w:rsidP="0094226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b/>
          <w:bCs/>
          <w:sz w:val="20"/>
          <w:szCs w:val="20"/>
          <w:bdr w:val="none" w:sz="0" w:space="0" w:color="auto"/>
        </w:rPr>
      </w:pPr>
      <w:r w:rsidRPr="00676B15">
        <w:rPr>
          <w:rFonts w:asciiTheme="majorHAnsi" w:eastAsia="Times New Roman" w:hAnsiTheme="majorHAnsi"/>
          <w:bCs/>
          <w:sz w:val="20"/>
          <w:szCs w:val="20"/>
          <w:bdr w:val="none" w:sz="0" w:space="0" w:color="auto"/>
        </w:rPr>
        <w:t xml:space="preserve">In the </w:t>
      </w:r>
      <w:r w:rsidRPr="00676B15">
        <w:rPr>
          <w:rFonts w:asciiTheme="majorHAnsi" w:eastAsia="Times New Roman" w:hAnsiTheme="majorHAnsi"/>
          <w:sz w:val="20"/>
          <w:szCs w:val="20"/>
          <w:bdr w:val="none" w:sz="0" w:space="0" w:color="auto"/>
        </w:rPr>
        <w:t>instant report, after analyzing the position of the petitioners and the State, and the available information, the Inter-American Commission concludes that the United States is respon</w:t>
      </w:r>
      <w:r w:rsidR="003D5DE1" w:rsidRPr="00676B15">
        <w:rPr>
          <w:rFonts w:asciiTheme="majorHAnsi" w:eastAsia="Times New Roman" w:hAnsiTheme="majorHAnsi"/>
          <w:sz w:val="20"/>
          <w:szCs w:val="20"/>
          <w:bdr w:val="none" w:sz="0" w:space="0" w:color="auto"/>
        </w:rPr>
        <w:t>sible for violating Articles II and XVI</w:t>
      </w:r>
      <w:r w:rsidRPr="00676B15">
        <w:rPr>
          <w:rFonts w:asciiTheme="majorHAnsi" w:eastAsia="Times New Roman" w:hAnsiTheme="majorHAnsi"/>
          <w:sz w:val="20"/>
          <w:szCs w:val="20"/>
          <w:bdr w:val="none" w:sz="0" w:space="0" w:color="auto"/>
        </w:rPr>
        <w:t xml:space="preserve"> of the American Declaration with respect to </w:t>
      </w:r>
      <w:r w:rsidRPr="00676B15">
        <w:rPr>
          <w:rFonts w:asciiTheme="majorHAnsi" w:eastAsia="Times New Roman" w:hAnsiTheme="majorHAnsi"/>
          <w:bCs/>
          <w:sz w:val="20"/>
          <w:szCs w:val="20"/>
          <w:bdr w:val="none" w:sz="0" w:space="0" w:color="auto"/>
        </w:rPr>
        <w:t>Leopoldo Zumaya and Francisco Berumen Lizalde</w:t>
      </w:r>
      <w:r w:rsidR="003D5DE1" w:rsidRPr="00676B15">
        <w:rPr>
          <w:rFonts w:asciiTheme="majorHAnsi" w:eastAsia="Times New Roman" w:hAnsiTheme="majorHAnsi"/>
          <w:bCs/>
          <w:sz w:val="20"/>
          <w:szCs w:val="20"/>
          <w:bdr w:val="none" w:sz="0" w:space="0" w:color="auto"/>
        </w:rPr>
        <w:t xml:space="preserve"> and for additionally violating Mr. Lizalde’s rights under Articles</w:t>
      </w:r>
      <w:r w:rsidR="003D5DE1" w:rsidRPr="00676B15">
        <w:rPr>
          <w:rFonts w:asciiTheme="majorHAnsi" w:eastAsia="Times New Roman" w:hAnsiTheme="majorHAnsi"/>
          <w:sz w:val="20"/>
          <w:szCs w:val="20"/>
          <w:bdr w:val="none" w:sz="0" w:space="0" w:color="auto"/>
        </w:rPr>
        <w:t xml:space="preserve"> XVII and XVIII</w:t>
      </w:r>
      <w:r w:rsidR="003D5DE1" w:rsidRPr="00676B15">
        <w:rPr>
          <w:rFonts w:asciiTheme="majorHAnsi" w:eastAsia="Times New Roman" w:hAnsiTheme="majorHAnsi"/>
          <w:bCs/>
          <w:sz w:val="20"/>
          <w:szCs w:val="20"/>
          <w:bdr w:val="none" w:sz="0" w:space="0" w:color="auto"/>
        </w:rPr>
        <w:t xml:space="preserve">. </w:t>
      </w:r>
      <w:r w:rsidRPr="00676B15">
        <w:rPr>
          <w:rFonts w:asciiTheme="majorHAnsi" w:eastAsia="Times New Roman" w:hAnsiTheme="majorHAnsi"/>
          <w:bCs/>
          <w:sz w:val="20"/>
          <w:szCs w:val="20"/>
          <w:bdr w:val="none" w:sz="0" w:space="0" w:color="auto"/>
        </w:rPr>
        <w:t>As such, it recommends that the State</w:t>
      </w:r>
      <w:r w:rsidR="00BF457B" w:rsidRPr="00676B15">
        <w:rPr>
          <w:rFonts w:asciiTheme="majorHAnsi" w:eastAsia="Times New Roman" w:hAnsiTheme="majorHAnsi"/>
          <w:bCs/>
          <w:sz w:val="20"/>
          <w:szCs w:val="20"/>
          <w:bdr w:val="none" w:sz="0" w:space="0" w:color="auto"/>
        </w:rPr>
        <w:t xml:space="preserve">: </w:t>
      </w:r>
      <w:r w:rsidR="00942264" w:rsidRPr="00676B15">
        <w:rPr>
          <w:rFonts w:asciiTheme="majorHAnsi" w:eastAsia="Times New Roman" w:hAnsiTheme="majorHAnsi"/>
          <w:bCs/>
          <w:sz w:val="20"/>
          <w:szCs w:val="20"/>
          <w:bdr w:val="none" w:sz="0" w:space="0" w:color="auto"/>
        </w:rPr>
        <w:t xml:space="preserve">provide Messrs. Zumaya and Lizalde with adequate monetary compensation to remedy the violations sustained in the present report; </w:t>
      </w:r>
      <w:r w:rsidR="00BF457B" w:rsidRPr="00676B15">
        <w:rPr>
          <w:rFonts w:asciiTheme="majorHAnsi" w:eastAsia="Calibri" w:hAnsiTheme="majorHAnsi"/>
          <w:sz w:val="20"/>
          <w:szCs w:val="22"/>
          <w:bdr w:val="none" w:sz="0" w:space="0" w:color="auto"/>
        </w:rPr>
        <w:t xml:space="preserve">ensure all federal and state laws and policies, on their face </w:t>
      </w:r>
      <w:r w:rsidR="008F7788" w:rsidRPr="00676B15">
        <w:rPr>
          <w:rFonts w:asciiTheme="majorHAnsi" w:eastAsia="Calibri" w:hAnsiTheme="majorHAnsi"/>
          <w:sz w:val="20"/>
          <w:szCs w:val="22"/>
          <w:bdr w:val="none" w:sz="0" w:space="0" w:color="auto"/>
        </w:rPr>
        <w:t>and</w:t>
      </w:r>
      <w:r w:rsidR="00BF457B" w:rsidRPr="00676B15">
        <w:rPr>
          <w:rFonts w:asciiTheme="majorHAnsi" w:eastAsia="Calibri" w:hAnsiTheme="majorHAnsi"/>
          <w:sz w:val="20"/>
          <w:szCs w:val="22"/>
          <w:bdr w:val="none" w:sz="0" w:space="0" w:color="auto"/>
        </w:rPr>
        <w:t xml:space="preserve"> in practice, prohibit any and all distinctions in employment and labor rights based on immigration status</w:t>
      </w:r>
      <w:r w:rsidR="00C46BFB" w:rsidRPr="00676B15">
        <w:rPr>
          <w:rFonts w:asciiTheme="majorHAnsi" w:eastAsia="Calibri" w:hAnsiTheme="majorHAnsi"/>
          <w:sz w:val="20"/>
          <w:szCs w:val="22"/>
          <w:bdr w:val="none" w:sz="0" w:space="0" w:color="auto"/>
        </w:rPr>
        <w:t xml:space="preserve"> </w:t>
      </w:r>
      <w:r w:rsidR="00907326" w:rsidRPr="00676B15">
        <w:rPr>
          <w:rFonts w:asciiTheme="majorHAnsi" w:eastAsia="Calibri" w:hAnsiTheme="majorHAnsi"/>
          <w:sz w:val="20"/>
          <w:szCs w:val="22"/>
          <w:bdr w:val="none" w:sz="0" w:space="0" w:color="auto"/>
        </w:rPr>
        <w:t>and work authorization, once a</w:t>
      </w:r>
      <w:r w:rsidR="00C46BFB" w:rsidRPr="00676B15">
        <w:rPr>
          <w:rFonts w:asciiTheme="majorHAnsi" w:eastAsia="Calibri" w:hAnsiTheme="majorHAnsi"/>
          <w:sz w:val="20"/>
          <w:szCs w:val="22"/>
          <w:bdr w:val="none" w:sz="0" w:space="0" w:color="auto"/>
        </w:rPr>
        <w:t xml:space="preserve"> person commences work as an employee</w:t>
      </w:r>
      <w:r w:rsidR="00BF457B" w:rsidRPr="00676B15">
        <w:rPr>
          <w:rFonts w:asciiTheme="majorHAnsi" w:eastAsia="Calibri" w:hAnsiTheme="majorHAnsi"/>
          <w:sz w:val="20"/>
          <w:szCs w:val="22"/>
          <w:bdr w:val="none" w:sz="0" w:space="0" w:color="auto"/>
        </w:rPr>
        <w:t xml:space="preserve">; </w:t>
      </w:r>
      <w:r w:rsidR="00BF457B" w:rsidRPr="00676B15">
        <w:rPr>
          <w:rFonts w:asciiTheme="majorHAnsi" w:eastAsia="Times New Roman" w:hAnsiTheme="majorHAnsi"/>
          <w:bCs/>
          <w:sz w:val="20"/>
          <w:szCs w:val="20"/>
          <w:bdr w:val="none" w:sz="0" w:space="0" w:color="auto"/>
        </w:rPr>
        <w:t>prohibit employer inquiries into</w:t>
      </w:r>
      <w:r w:rsidR="00C46BFB" w:rsidRPr="00676B15">
        <w:rPr>
          <w:rFonts w:asciiTheme="majorHAnsi" w:eastAsia="Times New Roman" w:hAnsiTheme="majorHAnsi"/>
          <w:bCs/>
          <w:sz w:val="20"/>
          <w:szCs w:val="20"/>
          <w:bdr w:val="none" w:sz="0" w:space="0" w:color="auto"/>
        </w:rPr>
        <w:t xml:space="preserve"> the</w:t>
      </w:r>
      <w:r w:rsidR="00BF457B" w:rsidRPr="00676B15">
        <w:rPr>
          <w:rFonts w:asciiTheme="majorHAnsi" w:eastAsia="Times New Roman" w:hAnsiTheme="majorHAnsi"/>
          <w:bCs/>
          <w:sz w:val="20"/>
          <w:szCs w:val="20"/>
          <w:bdr w:val="none" w:sz="0" w:space="0" w:color="auto"/>
        </w:rPr>
        <w:t xml:space="preserve"> immigration status of a worker asserting his or her employment and labor rights in litigation or in administrative complaints; ensure that undocumented workers are granted the same rights and remedies for violations of their rights in the workplace as documented workers;</w:t>
      </w:r>
      <w:r w:rsidR="008E492C" w:rsidRPr="00676B15">
        <w:rPr>
          <w:rFonts w:asciiTheme="majorHAnsi" w:eastAsia="Times New Roman" w:hAnsiTheme="majorHAnsi"/>
          <w:bCs/>
          <w:sz w:val="20"/>
          <w:szCs w:val="20"/>
          <w:bdr w:val="none" w:sz="0" w:space="0" w:color="auto"/>
        </w:rPr>
        <w:t xml:space="preserve"> </w:t>
      </w:r>
      <w:r w:rsidR="00530D2A" w:rsidRPr="00676B15">
        <w:rPr>
          <w:rFonts w:asciiTheme="majorHAnsi" w:eastAsia="Times New Roman" w:hAnsiTheme="majorHAnsi"/>
          <w:bCs/>
          <w:sz w:val="20"/>
          <w:szCs w:val="20"/>
          <w:bdr w:val="none" w:sz="0" w:space="0" w:color="auto"/>
        </w:rPr>
        <w:t>establish a procedure whereby undocumented workers involved in workers’ compensation proceedings, or their representatives, may request the suspension of their deportations until the resolution of the proceedings and the workers have received the appropriate medical treatment ordered by the presiding courts</w:t>
      </w:r>
      <w:r w:rsidR="008E492C" w:rsidRPr="00676B15">
        <w:rPr>
          <w:rFonts w:asciiTheme="majorHAnsi" w:eastAsia="Times New Roman" w:hAnsiTheme="majorHAnsi"/>
          <w:bCs/>
          <w:sz w:val="20"/>
          <w:szCs w:val="20"/>
          <w:bdr w:val="none" w:sz="0" w:space="0" w:color="auto"/>
        </w:rPr>
        <w:t>;</w:t>
      </w:r>
      <w:r w:rsidR="00BF457B" w:rsidRPr="00676B15">
        <w:rPr>
          <w:rFonts w:asciiTheme="majorHAnsi" w:eastAsia="Times New Roman" w:hAnsiTheme="majorHAnsi"/>
          <w:bCs/>
          <w:sz w:val="20"/>
          <w:szCs w:val="20"/>
          <w:bdr w:val="none" w:sz="0" w:space="0" w:color="auto"/>
        </w:rPr>
        <w:t xml:space="preserve"> </w:t>
      </w:r>
      <w:r w:rsidR="004836E6" w:rsidRPr="00676B15">
        <w:rPr>
          <w:rFonts w:asciiTheme="majorHAnsi" w:eastAsia="Times New Roman" w:hAnsiTheme="majorHAnsi"/>
          <w:bCs/>
          <w:sz w:val="20"/>
          <w:szCs w:val="20"/>
          <w:bdr w:val="none" w:sz="0" w:space="0" w:color="auto"/>
        </w:rPr>
        <w:t xml:space="preserve">and </w:t>
      </w:r>
      <w:r w:rsidR="00BF457B" w:rsidRPr="00676B15">
        <w:rPr>
          <w:rFonts w:asciiTheme="majorHAnsi" w:eastAsia="Times New Roman" w:hAnsiTheme="majorHAnsi"/>
          <w:bCs/>
          <w:sz w:val="20"/>
          <w:szCs w:val="20"/>
          <w:bdr w:val="none" w:sz="0" w:space="0" w:color="auto"/>
        </w:rPr>
        <w:t xml:space="preserve">improve and enhance the detection of employers who violate labor rights and exploit undocumented workers and </w:t>
      </w:r>
      <w:r w:rsidR="00907326" w:rsidRPr="00676B15">
        <w:rPr>
          <w:rFonts w:asciiTheme="majorHAnsi" w:eastAsia="Times New Roman" w:hAnsiTheme="majorHAnsi"/>
          <w:bCs/>
          <w:sz w:val="20"/>
          <w:szCs w:val="20"/>
          <w:bdr w:val="none" w:sz="0" w:space="0" w:color="auto"/>
        </w:rPr>
        <w:t>impose adequate sanctions</w:t>
      </w:r>
      <w:r w:rsidR="004836E6" w:rsidRPr="00676B15">
        <w:rPr>
          <w:rFonts w:asciiTheme="majorHAnsi" w:eastAsia="Times New Roman" w:hAnsiTheme="majorHAnsi"/>
          <w:bCs/>
          <w:sz w:val="20"/>
          <w:szCs w:val="20"/>
          <w:bdr w:val="none" w:sz="0" w:space="0" w:color="auto"/>
        </w:rPr>
        <w:t xml:space="preserve"> against them</w:t>
      </w:r>
      <w:r w:rsidR="00BF457B" w:rsidRPr="00676B15">
        <w:rPr>
          <w:rFonts w:asciiTheme="majorHAnsi" w:eastAsia="Times New Roman" w:hAnsiTheme="majorHAnsi"/>
          <w:bCs/>
          <w:sz w:val="20"/>
          <w:szCs w:val="20"/>
          <w:bdr w:val="none" w:sz="0" w:space="0" w:color="auto"/>
        </w:rPr>
        <w:t xml:space="preserve">. </w:t>
      </w:r>
    </w:p>
    <w:p w14:paraId="5C696F6F" w14:textId="77777777" w:rsidR="00C8715D" w:rsidRPr="00676B15" w:rsidRDefault="00C8715D" w:rsidP="00145EDC">
      <w:pPr>
        <w:tabs>
          <w:tab w:val="center" w:pos="5400"/>
        </w:tabs>
        <w:suppressAutoHyphens/>
        <w:spacing w:line="276" w:lineRule="auto"/>
        <w:rPr>
          <w:rFonts w:asciiTheme="majorHAnsi" w:hAnsiTheme="majorHAnsi"/>
          <w:color w:val="A6A6A6" w:themeColor="background1" w:themeShade="A6"/>
          <w:sz w:val="20"/>
          <w:szCs w:val="20"/>
        </w:rPr>
      </w:pPr>
    </w:p>
    <w:p w14:paraId="53E4D827" w14:textId="77777777" w:rsidR="00804ADC" w:rsidRPr="00676B15" w:rsidRDefault="00804ADC" w:rsidP="00862660">
      <w:pPr>
        <w:pStyle w:val="Heading1"/>
        <w:ind w:firstLine="720"/>
      </w:pPr>
      <w:bookmarkStart w:id="7" w:name="_Toc466296157"/>
      <w:r w:rsidRPr="00676B15">
        <w:t xml:space="preserve">II. </w:t>
      </w:r>
      <w:r w:rsidRPr="00676B15">
        <w:tab/>
        <w:t>PROCEEDINGS BEFORE THE IACHR SUBSEQUENT TO ADMISSIBILITY REPORT</w:t>
      </w:r>
      <w:bookmarkEnd w:id="7"/>
    </w:p>
    <w:p w14:paraId="0D45406A" w14:textId="77777777" w:rsidR="00F36794" w:rsidRPr="00676B15" w:rsidRDefault="00F36794" w:rsidP="00F3679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34C4D9BB" w14:textId="77777777" w:rsidR="00B024D2" w:rsidRPr="00676B15" w:rsidRDefault="00B024D2"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By communications of December 21, 2011, the Inter-American </w:t>
      </w:r>
      <w:r w:rsidR="00D20725" w:rsidRPr="00676B15">
        <w:rPr>
          <w:rFonts w:ascii="Cambria" w:eastAsia="Times New Roman" w:hAnsi="Cambria"/>
          <w:bCs/>
          <w:sz w:val="20"/>
          <w:szCs w:val="20"/>
          <w:bdr w:val="none" w:sz="0" w:space="0" w:color="auto"/>
        </w:rPr>
        <w:t>Commission transmitted</w:t>
      </w:r>
      <w:r w:rsidRPr="00676B15">
        <w:rPr>
          <w:rFonts w:ascii="Cambria" w:eastAsia="Times New Roman" w:hAnsi="Cambria"/>
          <w:bCs/>
          <w:sz w:val="20"/>
          <w:szCs w:val="20"/>
          <w:bdr w:val="none" w:sz="0" w:space="0" w:color="auto"/>
        </w:rPr>
        <w:t xml:space="preserve"> the admissibility </w:t>
      </w:r>
      <w:r w:rsidR="00D20725" w:rsidRPr="00676B15">
        <w:rPr>
          <w:rFonts w:ascii="Cambria" w:eastAsia="Times New Roman" w:hAnsi="Cambria"/>
          <w:bCs/>
          <w:sz w:val="20"/>
          <w:szCs w:val="20"/>
          <w:bdr w:val="none" w:sz="0" w:space="0" w:color="auto"/>
        </w:rPr>
        <w:t xml:space="preserve">report to the parties and in accordance </w:t>
      </w:r>
      <w:r w:rsidR="00817956" w:rsidRPr="00676B15">
        <w:rPr>
          <w:rFonts w:ascii="Cambria" w:eastAsia="Times New Roman" w:hAnsi="Cambria"/>
          <w:bCs/>
          <w:sz w:val="20"/>
          <w:szCs w:val="20"/>
          <w:bdr w:val="none" w:sz="0" w:space="0" w:color="auto"/>
        </w:rPr>
        <w:t>with</w:t>
      </w:r>
      <w:r w:rsidR="00D20725" w:rsidRPr="00676B15">
        <w:rPr>
          <w:rFonts w:ascii="Cambria" w:eastAsia="Times New Roman" w:hAnsi="Cambria"/>
          <w:bCs/>
          <w:sz w:val="20"/>
          <w:szCs w:val="20"/>
          <w:bdr w:val="none" w:sz="0" w:space="0" w:color="auto"/>
        </w:rPr>
        <w:t xml:space="preserve"> the Rules of Procedure in force at the time, the Commission set a deadline of three months for the petitioners to present additional observations on the merits and, at the same time, placed itself at the disposition of the parties with a view to reaching a friendly settlement of the matter. </w:t>
      </w:r>
    </w:p>
    <w:p w14:paraId="7EE1AFC0" w14:textId="77777777" w:rsidR="00D20725" w:rsidRPr="00676B15" w:rsidRDefault="00D20725" w:rsidP="00D2072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33204A44" w14:textId="42106F44" w:rsidR="005A127B" w:rsidRPr="00676B15" w:rsidRDefault="00D20725"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On </w:t>
      </w:r>
      <w:r w:rsidR="00BD2F29" w:rsidRPr="00676B15">
        <w:rPr>
          <w:rFonts w:ascii="Cambria" w:eastAsia="Times New Roman" w:hAnsi="Cambria"/>
          <w:bCs/>
          <w:sz w:val="20"/>
          <w:szCs w:val="20"/>
          <w:bdr w:val="none" w:sz="0" w:space="0" w:color="auto"/>
        </w:rPr>
        <w:t xml:space="preserve">July 31, 2013, the petitioners submitted additional information on the merits, the pertinent parts of which were duly forwarded to the State </w:t>
      </w:r>
      <w:r w:rsidR="008F7788" w:rsidRPr="00676B15">
        <w:rPr>
          <w:rFonts w:ascii="Cambria" w:eastAsia="Times New Roman" w:hAnsi="Cambria"/>
          <w:bCs/>
          <w:sz w:val="20"/>
          <w:szCs w:val="20"/>
          <w:bdr w:val="none" w:sz="0" w:space="0" w:color="auto"/>
        </w:rPr>
        <w:t xml:space="preserve">by note dated September 6, 2013. </w:t>
      </w:r>
      <w:r w:rsidR="00BD2F29" w:rsidRPr="00676B15">
        <w:rPr>
          <w:rFonts w:ascii="Cambria" w:eastAsia="Times New Roman" w:hAnsi="Cambria"/>
          <w:bCs/>
          <w:sz w:val="20"/>
          <w:szCs w:val="20"/>
          <w:bdr w:val="none" w:sz="0" w:space="0" w:color="auto"/>
        </w:rPr>
        <w:t>The Inter-American Commission set a deadline of four months for the State to submit its observations. On April 24, 2014, the IACHR transmitted a note</w:t>
      </w:r>
      <w:r w:rsidR="005F4D83" w:rsidRPr="00676B15">
        <w:rPr>
          <w:rFonts w:ascii="Cambria" w:eastAsia="Times New Roman" w:hAnsi="Cambria"/>
          <w:bCs/>
          <w:sz w:val="20"/>
          <w:szCs w:val="20"/>
          <w:bdr w:val="none" w:sz="0" w:space="0" w:color="auto"/>
        </w:rPr>
        <w:t xml:space="preserve"> to the State</w:t>
      </w:r>
      <w:r w:rsidR="00BD2F29" w:rsidRPr="00676B15">
        <w:rPr>
          <w:rFonts w:ascii="Cambria" w:eastAsia="Times New Roman" w:hAnsi="Cambria"/>
          <w:bCs/>
          <w:sz w:val="20"/>
          <w:szCs w:val="20"/>
          <w:bdr w:val="none" w:sz="0" w:space="0" w:color="auto"/>
        </w:rPr>
        <w:t>, in which it reiterated the request for information</w:t>
      </w:r>
      <w:r w:rsidR="005F4D83" w:rsidRPr="00676B15">
        <w:rPr>
          <w:rFonts w:ascii="Cambria" w:eastAsia="Times New Roman" w:hAnsi="Cambria"/>
          <w:bCs/>
          <w:sz w:val="20"/>
          <w:szCs w:val="20"/>
          <w:bdr w:val="none" w:sz="0" w:space="0" w:color="auto"/>
        </w:rPr>
        <w:t xml:space="preserve"> on the merits.</w:t>
      </w:r>
      <w:r w:rsidR="00BD2F29" w:rsidRPr="00676B15">
        <w:rPr>
          <w:rFonts w:ascii="Cambria" w:eastAsia="Times New Roman" w:hAnsi="Cambria"/>
          <w:bCs/>
          <w:sz w:val="20"/>
          <w:szCs w:val="20"/>
          <w:bdr w:val="none" w:sz="0" w:space="0" w:color="auto"/>
        </w:rPr>
        <w:t xml:space="preserve"> </w:t>
      </w:r>
    </w:p>
    <w:p w14:paraId="78CDF3BB" w14:textId="77777777" w:rsidR="005A127B" w:rsidRPr="00676B15" w:rsidRDefault="005A127B" w:rsidP="005A127B">
      <w:pPr>
        <w:pStyle w:val="ListParagraph"/>
        <w:rPr>
          <w:rFonts w:eastAsia="Times New Roman"/>
          <w:bCs/>
          <w:sz w:val="20"/>
          <w:szCs w:val="20"/>
          <w:bdr w:val="none" w:sz="0" w:space="0" w:color="auto"/>
        </w:rPr>
      </w:pPr>
    </w:p>
    <w:p w14:paraId="100C55C2" w14:textId="77777777" w:rsidR="00D20725" w:rsidRPr="00676B15" w:rsidRDefault="005F4D83"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On June 27, 2014, the IACHR received the United States’ response </w:t>
      </w:r>
      <w:r w:rsidR="005A127B" w:rsidRPr="00676B15">
        <w:rPr>
          <w:rFonts w:ascii="Cambria" w:eastAsia="Times New Roman" w:hAnsi="Cambria"/>
          <w:bCs/>
          <w:sz w:val="20"/>
          <w:szCs w:val="20"/>
          <w:bdr w:val="none" w:sz="0" w:space="0" w:color="auto"/>
        </w:rPr>
        <w:t xml:space="preserve">on the merits, the pertinent parts of which were duly forwarded to the petitioners on September 5, 2014. </w:t>
      </w:r>
    </w:p>
    <w:p w14:paraId="44429AAA" w14:textId="77777777" w:rsidR="004347D8" w:rsidRPr="00676B15" w:rsidRDefault="004347D8" w:rsidP="004347D8">
      <w:pPr>
        <w:pStyle w:val="ListParagraph"/>
        <w:rPr>
          <w:rFonts w:eastAsia="Times New Roman"/>
          <w:bCs/>
          <w:sz w:val="20"/>
          <w:szCs w:val="20"/>
          <w:bdr w:val="none" w:sz="0" w:space="0" w:color="auto"/>
        </w:rPr>
      </w:pPr>
    </w:p>
    <w:p w14:paraId="4A344586" w14:textId="0A8A8FB5" w:rsidR="004347D8" w:rsidRPr="00676B15" w:rsidRDefault="004347D8"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Meanwhile, the petitioners requested a hearing on the merits during the 147 Period of Sessions, March 7–22, 2013</w:t>
      </w:r>
      <w:r w:rsidR="008F7788" w:rsidRPr="00676B15">
        <w:rPr>
          <w:rFonts w:ascii="Cambria" w:eastAsia="Times New Roman" w:hAnsi="Cambria"/>
          <w:bCs/>
          <w:sz w:val="20"/>
          <w:szCs w:val="20"/>
          <w:bdr w:val="none" w:sz="0" w:space="0" w:color="auto"/>
        </w:rPr>
        <w:t>,</w:t>
      </w:r>
      <w:r w:rsidR="00817956" w:rsidRPr="00676B15">
        <w:rPr>
          <w:rFonts w:ascii="Cambria" w:eastAsia="Times New Roman" w:hAnsi="Cambria"/>
          <w:bCs/>
          <w:sz w:val="20"/>
          <w:szCs w:val="20"/>
          <w:bdr w:val="none" w:sz="0" w:space="0" w:color="auto"/>
        </w:rPr>
        <w:t xml:space="preserve"> </w:t>
      </w:r>
      <w:r w:rsidRPr="00676B15">
        <w:rPr>
          <w:rFonts w:ascii="Cambria" w:eastAsia="Times New Roman" w:hAnsi="Cambria"/>
          <w:bCs/>
          <w:sz w:val="20"/>
          <w:szCs w:val="20"/>
          <w:bdr w:val="none" w:sz="0" w:space="0" w:color="auto"/>
        </w:rPr>
        <w:t>and</w:t>
      </w:r>
      <w:r w:rsidR="00817956" w:rsidRPr="00676B15">
        <w:rPr>
          <w:rFonts w:ascii="Cambria" w:eastAsia="Times New Roman" w:hAnsi="Cambria"/>
          <w:bCs/>
          <w:sz w:val="20"/>
          <w:szCs w:val="20"/>
          <w:bdr w:val="none" w:sz="0" w:space="0" w:color="auto"/>
        </w:rPr>
        <w:t xml:space="preserve"> again</w:t>
      </w:r>
      <w:r w:rsidRPr="00676B15">
        <w:rPr>
          <w:rFonts w:ascii="Cambria" w:eastAsia="Times New Roman" w:hAnsi="Cambria"/>
          <w:bCs/>
          <w:sz w:val="20"/>
          <w:szCs w:val="20"/>
          <w:bdr w:val="none" w:sz="0" w:space="0" w:color="auto"/>
        </w:rPr>
        <w:t xml:space="preserve"> during the 153 Period of Sessions, October 23-November 7, 2014</w:t>
      </w:r>
      <w:r w:rsidR="008F7788" w:rsidRPr="00676B15">
        <w:rPr>
          <w:rFonts w:ascii="Cambria" w:eastAsia="Times New Roman" w:hAnsi="Cambria"/>
          <w:bCs/>
          <w:sz w:val="20"/>
          <w:szCs w:val="20"/>
          <w:bdr w:val="none" w:sz="0" w:space="0" w:color="auto"/>
        </w:rPr>
        <w:t>; these requests were not granted due to the large number of requests received.</w:t>
      </w:r>
      <w:r w:rsidRPr="00676B15">
        <w:rPr>
          <w:rFonts w:ascii="Cambria" w:eastAsia="Times New Roman" w:hAnsi="Cambria"/>
          <w:bCs/>
          <w:sz w:val="20"/>
          <w:szCs w:val="20"/>
          <w:bdr w:val="none" w:sz="0" w:space="0" w:color="auto"/>
        </w:rPr>
        <w:t xml:space="preserve"> The Commission granted the petitioners’ request for the 154 Period of Sessions and held a hearing on the merits of the case on March 16, 2015.</w:t>
      </w:r>
      <w:r w:rsidR="00817956" w:rsidRPr="00676B15">
        <w:rPr>
          <w:rStyle w:val="FootnoteReference"/>
          <w:rFonts w:ascii="Cambria" w:eastAsia="Times New Roman" w:hAnsi="Cambria"/>
          <w:bCs/>
          <w:sz w:val="20"/>
          <w:szCs w:val="20"/>
          <w:bdr w:val="none" w:sz="0" w:space="0" w:color="auto"/>
        </w:rPr>
        <w:footnoteReference w:id="6"/>
      </w:r>
      <w:r w:rsidRPr="00676B15">
        <w:rPr>
          <w:rFonts w:ascii="Cambria" w:eastAsia="Times New Roman" w:hAnsi="Cambria"/>
          <w:bCs/>
          <w:sz w:val="20"/>
          <w:szCs w:val="20"/>
          <w:bdr w:val="none" w:sz="0" w:space="0" w:color="auto"/>
        </w:rPr>
        <w:t xml:space="preserve"> </w:t>
      </w:r>
    </w:p>
    <w:p w14:paraId="525BF062" w14:textId="77777777" w:rsidR="00804ADC" w:rsidRPr="00676B15" w:rsidRDefault="00804ADC" w:rsidP="00B024D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r w:rsidRPr="00676B15">
        <w:t xml:space="preserve"> </w:t>
      </w:r>
      <w:r w:rsidRPr="00676B15">
        <w:rPr>
          <w:rFonts w:ascii="Cambria" w:eastAsia="Times New Roman" w:hAnsi="Cambria"/>
          <w:bCs/>
          <w:sz w:val="20"/>
          <w:szCs w:val="20"/>
          <w:bdr w:val="none" w:sz="0" w:space="0" w:color="auto"/>
        </w:rPr>
        <w:t xml:space="preserve"> </w:t>
      </w:r>
    </w:p>
    <w:p w14:paraId="529A138B" w14:textId="77777777" w:rsidR="00194535" w:rsidRDefault="00194535">
      <w:pPr>
        <w:rPr>
          <w:rFonts w:ascii="Cambria" w:eastAsia="Times New Roman" w:hAnsi="Cambria"/>
          <w:b/>
          <w:bCs/>
          <w:sz w:val="20"/>
          <w:szCs w:val="20"/>
          <w:bdr w:val="none" w:sz="0" w:space="0" w:color="auto"/>
        </w:rPr>
      </w:pPr>
      <w:bookmarkStart w:id="8" w:name="_Toc466296158"/>
      <w:r>
        <w:br w:type="page"/>
      </w:r>
    </w:p>
    <w:p w14:paraId="2C21BD1D" w14:textId="6D0E2478" w:rsidR="004347D8" w:rsidRPr="00676B15" w:rsidRDefault="004347D8" w:rsidP="00862660">
      <w:pPr>
        <w:pStyle w:val="Heading1"/>
        <w:ind w:firstLine="720"/>
      </w:pPr>
      <w:r w:rsidRPr="00676B15">
        <w:lastRenderedPageBreak/>
        <w:t xml:space="preserve">III. </w:t>
      </w:r>
      <w:r w:rsidRPr="00676B15">
        <w:tab/>
        <w:t>POSITIONS OF THE PARTIES</w:t>
      </w:r>
      <w:bookmarkEnd w:id="8"/>
      <w:r w:rsidRPr="00676B15">
        <w:t xml:space="preserve"> </w:t>
      </w:r>
    </w:p>
    <w:p w14:paraId="2560CF63" w14:textId="77777777" w:rsidR="00804ADC" w:rsidRPr="00676B15" w:rsidRDefault="00804ADC" w:rsidP="00D2072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0E00D83E" w14:textId="77777777" w:rsidR="00C55560" w:rsidRPr="00676B15" w:rsidRDefault="004347D8" w:rsidP="00526E0B">
      <w:pPr>
        <w:pStyle w:val="Heading2"/>
        <w:ind w:left="1440" w:hanging="720"/>
      </w:pPr>
      <w:bookmarkStart w:id="9" w:name="_Toc466296159"/>
      <w:r w:rsidRPr="00676B15">
        <w:t>The petitioners</w:t>
      </w:r>
      <w:bookmarkEnd w:id="9"/>
      <w:r w:rsidRPr="00676B15">
        <w:t xml:space="preserve"> </w:t>
      </w:r>
    </w:p>
    <w:p w14:paraId="51747CBE" w14:textId="77777777" w:rsidR="004347D8" w:rsidRPr="00676B15" w:rsidRDefault="004347D8" w:rsidP="004347D8"/>
    <w:p w14:paraId="7CE26407" w14:textId="5395F186" w:rsidR="004347D8" w:rsidRPr="00676B15" w:rsidRDefault="00496C38"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The petitioners indicate that the present complaint challenges government-sanctioned discrimination against undocumented immigrant workers</w:t>
      </w:r>
      <w:r w:rsidR="004873E3" w:rsidRPr="00676B15">
        <w:rPr>
          <w:rStyle w:val="FootnoteReference"/>
          <w:rFonts w:ascii="Cambria" w:eastAsia="Times New Roman" w:hAnsi="Cambria"/>
          <w:bCs/>
          <w:sz w:val="20"/>
          <w:szCs w:val="20"/>
          <w:bdr w:val="none" w:sz="0" w:space="0" w:color="auto"/>
        </w:rPr>
        <w:footnoteReference w:id="7"/>
      </w:r>
      <w:r w:rsidRPr="00676B15">
        <w:rPr>
          <w:rFonts w:ascii="Cambria" w:eastAsia="Times New Roman" w:hAnsi="Cambria"/>
          <w:bCs/>
          <w:sz w:val="20"/>
          <w:szCs w:val="20"/>
          <w:bdr w:val="none" w:sz="0" w:space="0" w:color="auto"/>
        </w:rPr>
        <w:t xml:space="preserve"> in the United States.</w:t>
      </w:r>
      <w:r w:rsidR="007A304C" w:rsidRPr="00676B15">
        <w:rPr>
          <w:rFonts w:ascii="Cambria" w:eastAsia="Times New Roman" w:hAnsi="Cambria"/>
          <w:bCs/>
          <w:sz w:val="20"/>
          <w:szCs w:val="20"/>
          <w:bdr w:val="none" w:sz="0" w:space="0" w:color="auto"/>
        </w:rPr>
        <w:t xml:space="preserve"> Petitioners represent two undocumented workers who sustained injuries while on the job</w:t>
      </w:r>
      <w:r w:rsidR="00902E06" w:rsidRPr="00676B15">
        <w:rPr>
          <w:rFonts w:ascii="Cambria" w:eastAsia="Times New Roman" w:hAnsi="Cambria"/>
          <w:bCs/>
          <w:sz w:val="20"/>
          <w:szCs w:val="20"/>
          <w:bdr w:val="none" w:sz="0" w:space="0" w:color="auto"/>
        </w:rPr>
        <w:t xml:space="preserve"> in Penn</w:t>
      </w:r>
      <w:r w:rsidR="00A32BEC" w:rsidRPr="00676B15">
        <w:rPr>
          <w:rFonts w:ascii="Cambria" w:eastAsia="Times New Roman" w:hAnsi="Cambria"/>
          <w:bCs/>
          <w:sz w:val="20"/>
          <w:szCs w:val="20"/>
          <w:bdr w:val="none" w:sz="0" w:space="0" w:color="auto"/>
        </w:rPr>
        <w:t>sylvania and Kansas</w:t>
      </w:r>
      <w:r w:rsidR="00817956" w:rsidRPr="00676B15">
        <w:rPr>
          <w:rFonts w:ascii="Cambria" w:eastAsia="Times New Roman" w:hAnsi="Cambria"/>
          <w:bCs/>
          <w:sz w:val="20"/>
          <w:szCs w:val="20"/>
          <w:bdr w:val="none" w:sz="0" w:space="0" w:color="auto"/>
        </w:rPr>
        <w:t>, respectively</w:t>
      </w:r>
      <w:r w:rsidR="00A32BEC" w:rsidRPr="00676B15">
        <w:rPr>
          <w:rFonts w:ascii="Cambria" w:eastAsia="Times New Roman" w:hAnsi="Cambria"/>
          <w:bCs/>
          <w:sz w:val="20"/>
          <w:szCs w:val="20"/>
          <w:bdr w:val="none" w:sz="0" w:space="0" w:color="auto"/>
        </w:rPr>
        <w:t xml:space="preserve">, </w:t>
      </w:r>
      <w:r w:rsidR="001248AE" w:rsidRPr="00676B15">
        <w:rPr>
          <w:rFonts w:ascii="Cambria" w:eastAsia="Times New Roman" w:hAnsi="Cambria"/>
          <w:bCs/>
          <w:sz w:val="20"/>
          <w:szCs w:val="20"/>
          <w:bdr w:val="none" w:sz="0" w:space="0" w:color="auto"/>
        </w:rPr>
        <w:t>and</w:t>
      </w:r>
      <w:r w:rsidR="007A304C" w:rsidRPr="00676B15">
        <w:rPr>
          <w:rFonts w:ascii="Cambria" w:eastAsia="Times New Roman" w:hAnsi="Cambria"/>
          <w:bCs/>
          <w:sz w:val="20"/>
          <w:szCs w:val="20"/>
          <w:bdr w:val="none" w:sz="0" w:space="0" w:color="auto"/>
        </w:rPr>
        <w:t xml:space="preserve"> were</w:t>
      </w:r>
      <w:r w:rsidR="00907326" w:rsidRPr="00676B15">
        <w:rPr>
          <w:rFonts w:ascii="Cambria" w:eastAsia="Times New Roman" w:hAnsi="Cambria"/>
          <w:bCs/>
          <w:sz w:val="20"/>
          <w:szCs w:val="20"/>
          <w:bdr w:val="none" w:sz="0" w:space="0" w:color="auto"/>
        </w:rPr>
        <w:t xml:space="preserve"> allegedly</w:t>
      </w:r>
      <w:r w:rsidR="007A304C" w:rsidRPr="00676B15">
        <w:rPr>
          <w:rFonts w:ascii="Cambria" w:eastAsia="Times New Roman" w:hAnsi="Cambria"/>
          <w:bCs/>
          <w:sz w:val="20"/>
          <w:szCs w:val="20"/>
          <w:bdr w:val="none" w:sz="0" w:space="0" w:color="auto"/>
        </w:rPr>
        <w:t xml:space="preserve"> excluded from employment rights and remedies available to their documented counterparts.</w:t>
      </w:r>
      <w:r w:rsidRPr="00676B15">
        <w:rPr>
          <w:rFonts w:ascii="Cambria" w:eastAsia="Times New Roman" w:hAnsi="Cambria"/>
          <w:bCs/>
          <w:sz w:val="20"/>
          <w:szCs w:val="20"/>
          <w:bdr w:val="none" w:sz="0" w:space="0" w:color="auto"/>
        </w:rPr>
        <w:t xml:space="preserve"> They claim that this discrimination </w:t>
      </w:r>
      <w:r w:rsidR="001248AE" w:rsidRPr="00676B15">
        <w:rPr>
          <w:rFonts w:ascii="Cambria" w:eastAsia="Times New Roman" w:hAnsi="Cambria"/>
          <w:bCs/>
          <w:sz w:val="20"/>
          <w:szCs w:val="20"/>
          <w:bdr w:val="none" w:sz="0" w:space="0" w:color="auto"/>
        </w:rPr>
        <w:t>stems from</w:t>
      </w:r>
      <w:r w:rsidRPr="00676B15">
        <w:rPr>
          <w:rFonts w:ascii="Cambria" w:eastAsia="Times New Roman" w:hAnsi="Cambria"/>
          <w:bCs/>
          <w:sz w:val="20"/>
          <w:szCs w:val="20"/>
          <w:bdr w:val="none" w:sz="0" w:space="0" w:color="auto"/>
        </w:rPr>
        <w:t xml:space="preserve"> the U.S. Supreme Court’s decision in </w:t>
      </w:r>
      <w:r w:rsidRPr="00676B15">
        <w:rPr>
          <w:rFonts w:ascii="Cambria" w:eastAsia="Times New Roman" w:hAnsi="Cambria"/>
          <w:bCs/>
          <w:i/>
          <w:sz w:val="20"/>
          <w:szCs w:val="20"/>
          <w:bdr w:val="none" w:sz="0" w:space="0" w:color="auto"/>
        </w:rPr>
        <w:t>Hoffman Plastic Compounds, Inc. v. National Labor Relations Board</w:t>
      </w:r>
      <w:r w:rsidR="00707FAE" w:rsidRPr="00676B15">
        <w:rPr>
          <w:rStyle w:val="FootnoteReference"/>
          <w:rFonts w:ascii="Cambria" w:eastAsia="Times New Roman" w:hAnsi="Cambria"/>
          <w:bCs/>
          <w:i/>
          <w:sz w:val="20"/>
          <w:szCs w:val="20"/>
          <w:bdr w:val="none" w:sz="0" w:space="0" w:color="auto"/>
        </w:rPr>
        <w:footnoteReference w:id="8"/>
      </w:r>
      <w:r w:rsidR="00707FAE" w:rsidRPr="00676B15">
        <w:rPr>
          <w:rFonts w:ascii="Cambria" w:eastAsia="Times New Roman" w:hAnsi="Cambria"/>
          <w:bCs/>
          <w:sz w:val="20"/>
          <w:szCs w:val="20"/>
          <w:bdr w:val="none" w:sz="0" w:space="0" w:color="auto"/>
        </w:rPr>
        <w:t>. In that</w:t>
      </w:r>
      <w:r w:rsidRPr="00676B15">
        <w:rPr>
          <w:rFonts w:ascii="Cambria" w:eastAsia="Times New Roman" w:hAnsi="Cambria"/>
          <w:bCs/>
          <w:sz w:val="20"/>
          <w:szCs w:val="20"/>
          <w:bdr w:val="none" w:sz="0" w:space="0" w:color="auto"/>
        </w:rPr>
        <w:t xml:space="preserve"> case, petitioners </w:t>
      </w:r>
      <w:r w:rsidR="00A32BEC" w:rsidRPr="00676B15">
        <w:rPr>
          <w:rFonts w:ascii="Cambria" w:eastAsia="Times New Roman" w:hAnsi="Cambria"/>
          <w:bCs/>
          <w:sz w:val="20"/>
          <w:szCs w:val="20"/>
          <w:bdr w:val="none" w:sz="0" w:space="0" w:color="auto"/>
        </w:rPr>
        <w:t>assert</w:t>
      </w:r>
      <w:r w:rsidRPr="00676B15">
        <w:rPr>
          <w:rFonts w:ascii="Cambria" w:eastAsia="Times New Roman" w:hAnsi="Cambria"/>
          <w:bCs/>
          <w:sz w:val="20"/>
          <w:szCs w:val="20"/>
          <w:bdr w:val="none" w:sz="0" w:space="0" w:color="auto"/>
        </w:rPr>
        <w:t xml:space="preserve"> that undocumented workers’ right to an effective remedy for violation of their fre</w:t>
      </w:r>
      <w:r w:rsidR="004873E3" w:rsidRPr="00676B15">
        <w:rPr>
          <w:rFonts w:ascii="Cambria" w:eastAsia="Times New Roman" w:hAnsi="Cambria"/>
          <w:bCs/>
          <w:sz w:val="20"/>
          <w:szCs w:val="20"/>
          <w:bdr w:val="none" w:sz="0" w:space="0" w:color="auto"/>
        </w:rPr>
        <w:t xml:space="preserve">edom of association was limited: from </w:t>
      </w:r>
      <w:r w:rsidR="004873E3" w:rsidRPr="00676B15">
        <w:rPr>
          <w:rFonts w:ascii="Cambria" w:eastAsia="Times New Roman" w:hAnsi="Cambria"/>
          <w:bCs/>
          <w:i/>
          <w:sz w:val="20"/>
          <w:szCs w:val="20"/>
          <w:bdr w:val="none" w:sz="0" w:space="0" w:color="auto"/>
        </w:rPr>
        <w:t>Hoffman</w:t>
      </w:r>
      <w:r w:rsidR="004873E3" w:rsidRPr="00676B15">
        <w:rPr>
          <w:rFonts w:ascii="Cambria" w:eastAsia="Times New Roman" w:hAnsi="Cambria"/>
          <w:bCs/>
          <w:sz w:val="20"/>
          <w:szCs w:val="20"/>
          <w:bdr w:val="none" w:sz="0" w:space="0" w:color="auto"/>
        </w:rPr>
        <w:t xml:space="preserve"> </w:t>
      </w:r>
      <w:r w:rsidR="00242AD1" w:rsidRPr="00676B15">
        <w:rPr>
          <w:rFonts w:ascii="Cambria" w:eastAsia="Times New Roman" w:hAnsi="Cambria"/>
          <w:bCs/>
          <w:sz w:val="20"/>
          <w:szCs w:val="20"/>
          <w:bdr w:val="none" w:sz="0" w:space="0" w:color="auto"/>
        </w:rPr>
        <w:t xml:space="preserve">and </w:t>
      </w:r>
      <w:r w:rsidR="004873E3" w:rsidRPr="00676B15">
        <w:rPr>
          <w:rFonts w:ascii="Cambria" w:eastAsia="Times New Roman" w:hAnsi="Cambria"/>
          <w:bCs/>
          <w:sz w:val="20"/>
          <w:szCs w:val="20"/>
          <w:bdr w:val="none" w:sz="0" w:space="0" w:color="auto"/>
        </w:rPr>
        <w:t>onward, undocumented workers</w:t>
      </w:r>
      <w:r w:rsidRPr="00676B15">
        <w:rPr>
          <w:rFonts w:ascii="Cambria" w:eastAsia="Times New Roman" w:hAnsi="Cambria"/>
          <w:bCs/>
          <w:sz w:val="20"/>
          <w:szCs w:val="20"/>
          <w:bdr w:val="none" w:sz="0" w:space="0" w:color="auto"/>
        </w:rPr>
        <w:t xml:space="preserve"> </w:t>
      </w:r>
      <w:r w:rsidR="00707FAE" w:rsidRPr="00676B15">
        <w:rPr>
          <w:rFonts w:ascii="Cambria" w:eastAsia="Times New Roman" w:hAnsi="Cambria"/>
          <w:bCs/>
          <w:sz w:val="20"/>
          <w:szCs w:val="20"/>
          <w:bdr w:val="none" w:sz="0" w:space="0" w:color="auto"/>
        </w:rPr>
        <w:t xml:space="preserve">illegally fired in retaliation for </w:t>
      </w:r>
      <w:r w:rsidR="004873E3" w:rsidRPr="00676B15">
        <w:rPr>
          <w:rFonts w:ascii="Cambria" w:eastAsia="Times New Roman" w:hAnsi="Cambria"/>
          <w:bCs/>
          <w:sz w:val="20"/>
          <w:szCs w:val="20"/>
          <w:bdr w:val="none" w:sz="0" w:space="0" w:color="auto"/>
        </w:rPr>
        <w:t>exercising</w:t>
      </w:r>
      <w:r w:rsidR="00707FAE" w:rsidRPr="00676B15">
        <w:rPr>
          <w:rFonts w:ascii="Cambria" w:eastAsia="Times New Roman" w:hAnsi="Cambria"/>
          <w:bCs/>
          <w:sz w:val="20"/>
          <w:szCs w:val="20"/>
          <w:bdr w:val="none" w:sz="0" w:space="0" w:color="auto"/>
        </w:rPr>
        <w:t xml:space="preserve"> this right </w:t>
      </w:r>
      <w:r w:rsidR="004873E3" w:rsidRPr="00676B15">
        <w:rPr>
          <w:rFonts w:ascii="Cambria" w:eastAsia="Times New Roman" w:hAnsi="Cambria"/>
          <w:bCs/>
          <w:sz w:val="20"/>
          <w:szCs w:val="20"/>
          <w:bdr w:val="none" w:sz="0" w:space="0" w:color="auto"/>
        </w:rPr>
        <w:t>are no longer able to</w:t>
      </w:r>
      <w:r w:rsidR="00707FAE" w:rsidRPr="00676B15">
        <w:rPr>
          <w:rFonts w:ascii="Cambria" w:eastAsia="Times New Roman" w:hAnsi="Cambria"/>
          <w:bCs/>
          <w:sz w:val="20"/>
          <w:szCs w:val="20"/>
          <w:bdr w:val="none" w:sz="0" w:space="0" w:color="auto"/>
        </w:rPr>
        <w:t xml:space="preserve"> </w:t>
      </w:r>
      <w:r w:rsidR="004873E3" w:rsidRPr="00676B15">
        <w:rPr>
          <w:rFonts w:ascii="Cambria" w:eastAsia="Times New Roman" w:hAnsi="Cambria"/>
          <w:bCs/>
          <w:sz w:val="20"/>
          <w:szCs w:val="20"/>
          <w:bdr w:val="none" w:sz="0" w:space="0" w:color="auto"/>
        </w:rPr>
        <w:t xml:space="preserve">access the remedy of </w:t>
      </w:r>
      <w:r w:rsidR="000D37AB" w:rsidRPr="00676B15">
        <w:rPr>
          <w:rFonts w:ascii="Cambria" w:eastAsia="Times New Roman" w:hAnsi="Cambria"/>
          <w:bCs/>
          <w:sz w:val="20"/>
          <w:szCs w:val="20"/>
          <w:bdr w:val="none" w:sz="0" w:space="0" w:color="auto"/>
        </w:rPr>
        <w:t>backpay</w:t>
      </w:r>
      <w:r w:rsidR="004873E3" w:rsidRPr="00676B15">
        <w:rPr>
          <w:rFonts w:ascii="Cambria" w:eastAsia="Times New Roman" w:hAnsi="Cambria"/>
          <w:bCs/>
          <w:sz w:val="20"/>
          <w:szCs w:val="20"/>
          <w:bdr w:val="none" w:sz="0" w:space="0" w:color="auto"/>
        </w:rPr>
        <w:t xml:space="preserve"> under the </w:t>
      </w:r>
      <w:r w:rsidR="00817956" w:rsidRPr="00676B15">
        <w:rPr>
          <w:rFonts w:ascii="Cambria" w:eastAsia="Times New Roman" w:hAnsi="Cambria"/>
          <w:bCs/>
          <w:sz w:val="20"/>
          <w:szCs w:val="20"/>
          <w:bdr w:val="none" w:sz="0" w:space="0" w:color="auto"/>
        </w:rPr>
        <w:t>NLRA</w:t>
      </w:r>
      <w:r w:rsidR="004873E3" w:rsidRPr="00676B15">
        <w:rPr>
          <w:rFonts w:ascii="Cambria" w:eastAsia="Times New Roman" w:hAnsi="Cambria"/>
          <w:bCs/>
          <w:sz w:val="20"/>
          <w:szCs w:val="20"/>
          <w:bdr w:val="none" w:sz="0" w:space="0" w:color="auto"/>
        </w:rPr>
        <w:t xml:space="preserve">. </w:t>
      </w:r>
    </w:p>
    <w:p w14:paraId="14246D09" w14:textId="77777777" w:rsidR="00496C38" w:rsidRPr="00676B15" w:rsidRDefault="00496C38" w:rsidP="00496C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5477BBEC" w14:textId="2C880A54" w:rsidR="0066759F" w:rsidRPr="00676B15" w:rsidRDefault="00557002"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Petitioners contend that the impact of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xml:space="preserve"> has extended beyond the denial of freedom of association for undocumented worker</w:t>
      </w:r>
      <w:r w:rsidR="00F9746C" w:rsidRPr="00676B15">
        <w:rPr>
          <w:rFonts w:ascii="Cambria" w:eastAsia="Times New Roman" w:hAnsi="Cambria"/>
          <w:bCs/>
          <w:sz w:val="20"/>
          <w:szCs w:val="20"/>
          <w:bdr w:val="none" w:sz="0" w:space="0" w:color="auto"/>
        </w:rPr>
        <w:t>s and that employers have been encouraged to claim that undocumented immigrant workers lack legal rights in other contexts</w:t>
      </w:r>
      <w:r w:rsidR="00902E06" w:rsidRPr="00676B15">
        <w:rPr>
          <w:rFonts w:ascii="Cambria" w:eastAsia="Times New Roman" w:hAnsi="Cambria"/>
          <w:bCs/>
          <w:sz w:val="20"/>
          <w:szCs w:val="20"/>
          <w:bdr w:val="none" w:sz="0" w:space="0" w:color="auto"/>
        </w:rPr>
        <w:t xml:space="preserve">, including those </w:t>
      </w:r>
      <w:r w:rsidR="008F7788" w:rsidRPr="00676B15">
        <w:rPr>
          <w:rFonts w:ascii="Cambria" w:eastAsia="Times New Roman" w:hAnsi="Cambria"/>
          <w:bCs/>
          <w:sz w:val="20"/>
          <w:szCs w:val="20"/>
          <w:bdr w:val="none" w:sz="0" w:space="0" w:color="auto"/>
        </w:rPr>
        <w:t>in</w:t>
      </w:r>
      <w:r w:rsidR="00902E06" w:rsidRPr="00676B15">
        <w:rPr>
          <w:rFonts w:ascii="Cambria" w:eastAsia="Times New Roman" w:hAnsi="Cambria"/>
          <w:bCs/>
          <w:sz w:val="20"/>
          <w:szCs w:val="20"/>
          <w:bdr w:val="none" w:sz="0" w:space="0" w:color="auto"/>
        </w:rPr>
        <w:t xml:space="preserve"> dispute in the present case</w:t>
      </w:r>
      <w:r w:rsidR="00F9746C" w:rsidRPr="00676B15">
        <w:rPr>
          <w:rFonts w:ascii="Cambria" w:eastAsia="Times New Roman" w:hAnsi="Cambria"/>
          <w:bCs/>
          <w:sz w:val="20"/>
          <w:szCs w:val="20"/>
          <w:bdr w:val="none" w:sz="0" w:space="0" w:color="auto"/>
        </w:rPr>
        <w:t>.</w:t>
      </w:r>
      <w:r w:rsidR="00A2535D" w:rsidRPr="00676B15">
        <w:rPr>
          <w:rFonts w:ascii="Cambria" w:eastAsia="Times New Roman" w:hAnsi="Cambria"/>
          <w:bCs/>
          <w:sz w:val="20"/>
          <w:szCs w:val="20"/>
          <w:bdr w:val="none" w:sz="0" w:space="0" w:color="auto"/>
        </w:rPr>
        <w:t xml:space="preserve"> Although U.S. federal law protects </w:t>
      </w:r>
      <w:r w:rsidR="008F7788" w:rsidRPr="00676B15">
        <w:rPr>
          <w:rFonts w:ascii="Cambria" w:eastAsia="Times New Roman" w:hAnsi="Cambria"/>
          <w:bCs/>
          <w:sz w:val="20"/>
          <w:szCs w:val="20"/>
          <w:bdr w:val="none" w:sz="0" w:space="0" w:color="auto"/>
        </w:rPr>
        <w:t xml:space="preserve">a </w:t>
      </w:r>
      <w:r w:rsidR="00A2535D" w:rsidRPr="00676B15">
        <w:rPr>
          <w:rFonts w:ascii="Cambria" w:eastAsia="Times New Roman" w:hAnsi="Cambria"/>
          <w:bCs/>
          <w:sz w:val="20"/>
          <w:szCs w:val="20"/>
          <w:bdr w:val="none" w:sz="0" w:space="0" w:color="auto"/>
        </w:rPr>
        <w:t>worke</w:t>
      </w:r>
      <w:r w:rsidR="008F7788" w:rsidRPr="00676B15">
        <w:rPr>
          <w:rFonts w:ascii="Cambria" w:eastAsia="Times New Roman" w:hAnsi="Cambria"/>
          <w:bCs/>
          <w:sz w:val="20"/>
          <w:szCs w:val="20"/>
          <w:bdr w:val="none" w:sz="0" w:space="0" w:color="auto"/>
        </w:rPr>
        <w:t>r</w:t>
      </w:r>
      <w:r w:rsidR="00A2535D" w:rsidRPr="00676B15">
        <w:rPr>
          <w:rFonts w:ascii="Cambria" w:eastAsia="Times New Roman" w:hAnsi="Cambria"/>
          <w:bCs/>
          <w:sz w:val="20"/>
          <w:szCs w:val="20"/>
          <w:bdr w:val="none" w:sz="0" w:space="0" w:color="auto"/>
        </w:rPr>
        <w:t>’</w:t>
      </w:r>
      <w:r w:rsidR="008F7788" w:rsidRPr="00676B15">
        <w:rPr>
          <w:rFonts w:ascii="Cambria" w:eastAsia="Times New Roman" w:hAnsi="Cambria"/>
          <w:bCs/>
          <w:sz w:val="20"/>
          <w:szCs w:val="20"/>
          <w:bdr w:val="none" w:sz="0" w:space="0" w:color="auto"/>
        </w:rPr>
        <w:t>s</w:t>
      </w:r>
      <w:r w:rsidR="00A2535D" w:rsidRPr="00676B15">
        <w:rPr>
          <w:rFonts w:ascii="Cambria" w:eastAsia="Times New Roman" w:hAnsi="Cambria"/>
          <w:bCs/>
          <w:sz w:val="20"/>
          <w:szCs w:val="20"/>
          <w:bdr w:val="none" w:sz="0" w:space="0" w:color="auto"/>
        </w:rPr>
        <w:t xml:space="preserve"> right to be free from discrimination based on sex, color, race, religion, and national origin</w:t>
      </w:r>
      <w:r w:rsidR="00A32BEC" w:rsidRPr="00676B15">
        <w:rPr>
          <w:rFonts w:ascii="Cambria" w:eastAsia="Times New Roman" w:hAnsi="Cambria"/>
          <w:bCs/>
          <w:sz w:val="20"/>
          <w:szCs w:val="20"/>
          <w:bdr w:val="none" w:sz="0" w:space="0" w:color="auto"/>
        </w:rPr>
        <w:t>,</w:t>
      </w:r>
      <w:r w:rsidR="00BB3430" w:rsidRPr="00676B15">
        <w:rPr>
          <w:rStyle w:val="FootnoteReference"/>
          <w:rFonts w:ascii="Cambria" w:eastAsia="Times New Roman" w:hAnsi="Cambria"/>
          <w:bCs/>
          <w:sz w:val="20"/>
          <w:szCs w:val="20"/>
          <w:bdr w:val="none" w:sz="0" w:space="0" w:color="auto"/>
        </w:rPr>
        <w:t xml:space="preserve"> </w:t>
      </w:r>
      <w:r w:rsidR="00BB3430" w:rsidRPr="00676B15">
        <w:rPr>
          <w:rStyle w:val="FootnoteReference"/>
          <w:rFonts w:ascii="Cambria" w:eastAsia="Times New Roman" w:hAnsi="Cambria"/>
          <w:bCs/>
          <w:sz w:val="20"/>
          <w:szCs w:val="20"/>
          <w:bdr w:val="none" w:sz="0" w:space="0" w:color="auto"/>
        </w:rPr>
        <w:footnoteReference w:id="9"/>
      </w:r>
      <w:r w:rsidR="00A32BEC" w:rsidRPr="00676B15">
        <w:rPr>
          <w:rFonts w:ascii="Cambria" w:eastAsia="Times New Roman" w:hAnsi="Cambria"/>
          <w:bCs/>
          <w:sz w:val="20"/>
          <w:szCs w:val="20"/>
          <w:bdr w:val="none" w:sz="0" w:space="0" w:color="auto"/>
        </w:rPr>
        <w:t xml:space="preserve"> the petitioners </w:t>
      </w:r>
      <w:r w:rsidR="00F9746C" w:rsidRPr="00676B15">
        <w:rPr>
          <w:rFonts w:ascii="Cambria" w:eastAsia="Times New Roman" w:hAnsi="Cambria"/>
          <w:bCs/>
          <w:sz w:val="20"/>
          <w:szCs w:val="20"/>
          <w:bdr w:val="none" w:sz="0" w:space="0" w:color="auto"/>
        </w:rPr>
        <w:t>argue that</w:t>
      </w:r>
      <w:r w:rsidR="00A32BEC" w:rsidRPr="00676B15">
        <w:rPr>
          <w:rFonts w:ascii="Cambria" w:eastAsia="Times New Roman" w:hAnsi="Cambria"/>
          <w:bCs/>
          <w:sz w:val="20"/>
          <w:szCs w:val="20"/>
          <w:bdr w:val="none" w:sz="0" w:space="0" w:color="auto"/>
        </w:rPr>
        <w:t>,</w:t>
      </w:r>
      <w:r w:rsidR="00F9746C" w:rsidRPr="00676B15">
        <w:rPr>
          <w:rFonts w:ascii="Cambria" w:eastAsia="Times New Roman" w:hAnsi="Cambria"/>
          <w:bCs/>
          <w:sz w:val="20"/>
          <w:szCs w:val="20"/>
          <w:bdr w:val="none" w:sz="0" w:space="0" w:color="auto"/>
        </w:rPr>
        <w:t xml:space="preserve"> </w:t>
      </w:r>
      <w:r w:rsidR="00A2535D" w:rsidRPr="00676B15">
        <w:rPr>
          <w:rFonts w:ascii="Cambria" w:eastAsia="Times New Roman" w:hAnsi="Cambria"/>
          <w:bCs/>
          <w:sz w:val="20"/>
          <w:szCs w:val="20"/>
          <w:bdr w:val="none" w:sz="0" w:space="0" w:color="auto"/>
        </w:rPr>
        <w:t>following</w:t>
      </w:r>
      <w:r w:rsidR="00F9746C" w:rsidRPr="00676B15">
        <w:rPr>
          <w:rFonts w:ascii="Cambria" w:eastAsia="Times New Roman" w:hAnsi="Cambria"/>
          <w:bCs/>
          <w:sz w:val="20"/>
          <w:szCs w:val="20"/>
          <w:bdr w:val="none" w:sz="0" w:space="0" w:color="auto"/>
        </w:rPr>
        <w:t xml:space="preserve"> </w:t>
      </w:r>
      <w:r w:rsidR="00F9746C" w:rsidRPr="00676B15">
        <w:rPr>
          <w:rFonts w:ascii="Cambria" w:eastAsia="Times New Roman" w:hAnsi="Cambria"/>
          <w:bCs/>
          <w:i/>
          <w:sz w:val="20"/>
          <w:szCs w:val="20"/>
          <w:bdr w:val="none" w:sz="0" w:space="0" w:color="auto"/>
        </w:rPr>
        <w:t>Hoffman</w:t>
      </w:r>
      <w:r w:rsidR="00F9746C" w:rsidRPr="00676B15">
        <w:rPr>
          <w:rFonts w:ascii="Cambria" w:eastAsia="Times New Roman" w:hAnsi="Cambria"/>
          <w:bCs/>
          <w:sz w:val="20"/>
          <w:szCs w:val="20"/>
          <w:bdr w:val="none" w:sz="0" w:space="0" w:color="auto"/>
        </w:rPr>
        <w:t>, a number of state courts have</w:t>
      </w:r>
      <w:r w:rsidR="0066759F" w:rsidRPr="00676B15">
        <w:rPr>
          <w:rFonts w:ascii="Cambria" w:eastAsia="Times New Roman" w:hAnsi="Cambria"/>
          <w:bCs/>
          <w:sz w:val="20"/>
          <w:szCs w:val="20"/>
          <w:bdr w:val="none" w:sz="0" w:space="0" w:color="auto"/>
        </w:rPr>
        <w:t xml:space="preserve"> either eliminated or severely limited state-law based workplace protections for undocumented workers. </w:t>
      </w:r>
      <w:r w:rsidR="00BB3430" w:rsidRPr="00676B15">
        <w:rPr>
          <w:rFonts w:ascii="Cambria" w:eastAsia="Times New Roman" w:hAnsi="Cambria"/>
          <w:bCs/>
          <w:sz w:val="20"/>
          <w:szCs w:val="20"/>
          <w:bdr w:val="none" w:sz="0" w:space="0" w:color="auto"/>
        </w:rPr>
        <w:t>Petitioners indicate that</w:t>
      </w:r>
      <w:r w:rsidR="0066759F" w:rsidRPr="00676B15">
        <w:rPr>
          <w:rFonts w:ascii="Cambria" w:eastAsia="Times New Roman" w:hAnsi="Cambria"/>
          <w:bCs/>
          <w:sz w:val="20"/>
          <w:szCs w:val="20"/>
          <w:bdr w:val="none" w:sz="0" w:space="0" w:color="auto"/>
        </w:rPr>
        <w:t xml:space="preserve"> these rights and remedies are often exclusively provided by state law and include access to compensation for workplace injuries</w:t>
      </w:r>
      <w:r w:rsidR="00C30A2B" w:rsidRPr="00676B15">
        <w:rPr>
          <w:rStyle w:val="FootnoteReference"/>
          <w:rFonts w:ascii="Cambria" w:eastAsia="Times New Roman" w:hAnsi="Cambria"/>
          <w:bCs/>
          <w:sz w:val="20"/>
          <w:szCs w:val="20"/>
          <w:bdr w:val="none" w:sz="0" w:space="0" w:color="auto"/>
        </w:rPr>
        <w:footnoteReference w:id="10"/>
      </w:r>
      <w:r w:rsidR="0066759F" w:rsidRPr="00676B15">
        <w:rPr>
          <w:rFonts w:ascii="Cambria" w:eastAsia="Times New Roman" w:hAnsi="Cambria"/>
          <w:bCs/>
          <w:sz w:val="20"/>
          <w:szCs w:val="20"/>
          <w:bdr w:val="none" w:sz="0" w:space="0" w:color="auto"/>
        </w:rPr>
        <w:t xml:space="preserve">, freedom from workplace discrimination, and entitlement to hold an employer responsible for a workplace injury. </w:t>
      </w:r>
      <w:r w:rsidR="00A2535D" w:rsidRPr="00676B15">
        <w:rPr>
          <w:rFonts w:ascii="Cambria" w:eastAsia="Times New Roman" w:hAnsi="Cambria"/>
          <w:bCs/>
          <w:sz w:val="20"/>
          <w:szCs w:val="20"/>
          <w:bdr w:val="none" w:sz="0" w:space="0" w:color="auto"/>
        </w:rPr>
        <w:t xml:space="preserve">Further, petitioners claim that in some states where an individual may sue in tort for injury or wrongful death, these benefits have also been limited – including </w:t>
      </w:r>
      <w:r w:rsidR="00902E06" w:rsidRPr="00676B15">
        <w:rPr>
          <w:rFonts w:ascii="Cambria" w:eastAsia="Times New Roman" w:hAnsi="Cambria"/>
          <w:bCs/>
          <w:sz w:val="20"/>
          <w:szCs w:val="20"/>
          <w:bdr w:val="none" w:sz="0" w:space="0" w:color="auto"/>
        </w:rPr>
        <w:t xml:space="preserve">in </w:t>
      </w:r>
      <w:r w:rsidR="00A2535D" w:rsidRPr="00676B15">
        <w:rPr>
          <w:rFonts w:ascii="Cambria" w:eastAsia="Times New Roman" w:hAnsi="Cambria"/>
          <w:bCs/>
          <w:sz w:val="20"/>
          <w:szCs w:val="20"/>
          <w:bdr w:val="none" w:sz="0" w:space="0" w:color="auto"/>
        </w:rPr>
        <w:t>Pennsylvania and Kansas.</w:t>
      </w:r>
    </w:p>
    <w:p w14:paraId="10713BC8" w14:textId="77777777" w:rsidR="0066759F" w:rsidRPr="00676B15" w:rsidRDefault="0066759F" w:rsidP="0066759F">
      <w:pPr>
        <w:pStyle w:val="ListParagraph"/>
        <w:rPr>
          <w:rFonts w:eastAsia="Times New Roman"/>
          <w:bCs/>
          <w:sz w:val="20"/>
          <w:szCs w:val="20"/>
          <w:bdr w:val="none" w:sz="0" w:space="0" w:color="auto"/>
        </w:rPr>
      </w:pPr>
    </w:p>
    <w:p w14:paraId="630F2279" w14:textId="277D8050" w:rsidR="00F9746C" w:rsidRPr="00676B15" w:rsidRDefault="00A2535D"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lastRenderedPageBreak/>
        <w:t xml:space="preserve"> The petitioners also allege that, in addition to limiting or eliminating the workplace rights of undocumented workers, a further consequence of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xml:space="preserve"> has been the intimidation of undocumented workers to discourage them from asserting their rights through the judicial system. </w:t>
      </w:r>
      <w:r w:rsidR="00BB3430" w:rsidRPr="00676B15">
        <w:rPr>
          <w:rFonts w:ascii="Cambria" w:eastAsia="Times New Roman" w:hAnsi="Cambria"/>
          <w:bCs/>
          <w:sz w:val="20"/>
          <w:szCs w:val="20"/>
          <w:bdr w:val="none" w:sz="0" w:space="0" w:color="auto"/>
        </w:rPr>
        <w:t>More specifically</w:t>
      </w:r>
      <w:r w:rsidRPr="00676B15">
        <w:rPr>
          <w:rFonts w:ascii="Cambria" w:eastAsia="Times New Roman" w:hAnsi="Cambria"/>
          <w:bCs/>
          <w:sz w:val="20"/>
          <w:szCs w:val="20"/>
          <w:bdr w:val="none" w:sz="0" w:space="0" w:color="auto"/>
        </w:rPr>
        <w:t xml:space="preserve">, the petitioners contend that because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xml:space="preserve"> had the effect of making immigration status relevant to workplace rights, employer-defendants often seek dis</w:t>
      </w:r>
      <w:r w:rsidR="001248AE" w:rsidRPr="00676B15">
        <w:rPr>
          <w:rFonts w:ascii="Cambria" w:eastAsia="Times New Roman" w:hAnsi="Cambria"/>
          <w:bCs/>
          <w:sz w:val="20"/>
          <w:szCs w:val="20"/>
          <w:bdr w:val="none" w:sz="0" w:space="0" w:color="auto"/>
        </w:rPr>
        <w:t>covery of im</w:t>
      </w:r>
      <w:r w:rsidRPr="00676B15">
        <w:rPr>
          <w:rFonts w:ascii="Cambria" w:eastAsia="Times New Roman" w:hAnsi="Cambria"/>
          <w:bCs/>
          <w:sz w:val="20"/>
          <w:szCs w:val="20"/>
          <w:bdr w:val="none" w:sz="0" w:space="0" w:color="auto"/>
        </w:rPr>
        <w:t xml:space="preserve">migrant worker-plaintiffs’ immigration status, an action which chills immigrants’ willingness to pursue their workplace rights. </w:t>
      </w:r>
      <w:r w:rsidR="00C458A1" w:rsidRPr="00676B15">
        <w:rPr>
          <w:rFonts w:ascii="Cambria" w:eastAsia="Times New Roman" w:hAnsi="Cambria"/>
          <w:bCs/>
          <w:sz w:val="20"/>
          <w:szCs w:val="20"/>
          <w:bdr w:val="none" w:sz="0" w:space="0" w:color="auto"/>
        </w:rPr>
        <w:t xml:space="preserve">According to the petitioners, allowing this discovery results in the State’s tacit </w:t>
      </w:r>
      <w:r w:rsidR="00BB3430" w:rsidRPr="00676B15">
        <w:rPr>
          <w:rFonts w:ascii="Cambria" w:eastAsia="Times New Roman" w:hAnsi="Cambria"/>
          <w:bCs/>
          <w:sz w:val="20"/>
          <w:szCs w:val="20"/>
          <w:bdr w:val="none" w:sz="0" w:space="0" w:color="auto"/>
        </w:rPr>
        <w:t>condoning</w:t>
      </w:r>
      <w:r w:rsidR="00907326" w:rsidRPr="00676B15">
        <w:rPr>
          <w:rFonts w:ascii="Cambria" w:eastAsia="Times New Roman" w:hAnsi="Cambria"/>
          <w:bCs/>
          <w:sz w:val="20"/>
          <w:szCs w:val="20"/>
          <w:bdr w:val="none" w:sz="0" w:space="0" w:color="auto"/>
        </w:rPr>
        <w:t xml:space="preserve"> of this intimidation </w:t>
      </w:r>
      <w:r w:rsidR="00C458A1" w:rsidRPr="00676B15">
        <w:rPr>
          <w:rFonts w:ascii="Cambria" w:eastAsia="Times New Roman" w:hAnsi="Cambria"/>
          <w:bCs/>
          <w:sz w:val="20"/>
          <w:szCs w:val="20"/>
          <w:bdr w:val="none" w:sz="0" w:space="0" w:color="auto"/>
        </w:rPr>
        <w:t xml:space="preserve">and exploitation of immigrant workers’ rights. </w:t>
      </w:r>
    </w:p>
    <w:p w14:paraId="56AA6C59" w14:textId="77777777" w:rsidR="00354259" w:rsidRPr="00676B15" w:rsidRDefault="00354259" w:rsidP="00354259">
      <w:pPr>
        <w:rPr>
          <w:rFonts w:eastAsia="Times New Roman"/>
          <w:bCs/>
          <w:sz w:val="20"/>
          <w:szCs w:val="20"/>
          <w:bdr w:val="none" w:sz="0" w:space="0" w:color="auto"/>
        </w:rPr>
      </w:pPr>
    </w:p>
    <w:p w14:paraId="630B7DDA" w14:textId="77777777" w:rsidR="00A32BEC" w:rsidRPr="00676B15" w:rsidRDefault="00A32BEC" w:rsidP="00862660">
      <w:pPr>
        <w:pStyle w:val="Heading3"/>
        <w:ind w:left="1530" w:hanging="810"/>
      </w:pPr>
      <w:bookmarkStart w:id="10" w:name="_Toc438547098"/>
      <w:bookmarkStart w:id="11" w:name="_Toc466296160"/>
      <w:r w:rsidRPr="00676B15">
        <w:t>Presumed Victims</w:t>
      </w:r>
      <w:bookmarkEnd w:id="10"/>
      <w:bookmarkEnd w:id="11"/>
    </w:p>
    <w:p w14:paraId="4AE80723" w14:textId="77777777" w:rsidR="00A32BEC" w:rsidRPr="00676B15" w:rsidRDefault="00A32BEC" w:rsidP="00A32BEC">
      <w:pPr>
        <w:rPr>
          <w:lang w:eastAsia="es-ES"/>
        </w:rPr>
      </w:pPr>
    </w:p>
    <w:p w14:paraId="4266959E" w14:textId="77777777" w:rsidR="00A32BEC" w:rsidRPr="00676B15" w:rsidRDefault="00A32BEC" w:rsidP="00862660">
      <w:pPr>
        <w:pStyle w:val="Heading4"/>
        <w:ind w:left="1530" w:hanging="810"/>
        <w:rPr>
          <w:lang w:eastAsia="es-ES"/>
        </w:rPr>
      </w:pPr>
      <w:r w:rsidRPr="00676B15">
        <w:t>Leopoldo Zumaya</w:t>
      </w:r>
    </w:p>
    <w:p w14:paraId="7486A84F" w14:textId="77777777" w:rsidR="00A32BEC" w:rsidRPr="00676B15" w:rsidRDefault="00A32BEC" w:rsidP="001A2F5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3FF5C309" w14:textId="1AECC07C" w:rsidR="003010AB" w:rsidRPr="00676B15" w:rsidRDefault="00BB3430"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Petitioners indicate that </w:t>
      </w:r>
      <w:r w:rsidR="001A2F57" w:rsidRPr="00676B15">
        <w:rPr>
          <w:rFonts w:ascii="Cambria" w:eastAsia="Times New Roman" w:hAnsi="Cambria"/>
          <w:bCs/>
          <w:sz w:val="20"/>
          <w:szCs w:val="20"/>
          <w:bdr w:val="none" w:sz="0" w:space="0" w:color="auto"/>
        </w:rPr>
        <w:t xml:space="preserve">Leopoldo Zumaya, a Mexican national, worked on a farm in Pennsylvania picking apples for 14 months, from September 2003 to November 2004. </w:t>
      </w:r>
      <w:r w:rsidR="003010AB" w:rsidRPr="00676B15">
        <w:rPr>
          <w:rFonts w:ascii="Cambria" w:eastAsia="Times New Roman" w:hAnsi="Cambria"/>
          <w:bCs/>
          <w:sz w:val="20"/>
          <w:szCs w:val="20"/>
          <w:bdr w:val="none" w:sz="0" w:space="0" w:color="auto"/>
        </w:rPr>
        <w:t xml:space="preserve">In his Declaration, Mr. Zumaya stated that, “It was common knowledge that my employer knowingly accepted false documents and employed approximately fifteen undocumented workers when I worked there. My employer accepted my documents </w:t>
      </w:r>
      <w:r w:rsidR="00C72947" w:rsidRPr="00676B15">
        <w:rPr>
          <w:rFonts w:ascii="Cambria" w:eastAsia="Times New Roman" w:hAnsi="Cambria"/>
          <w:bCs/>
          <w:sz w:val="20"/>
          <w:szCs w:val="20"/>
          <w:bdr w:val="none" w:sz="0" w:space="0" w:color="auto"/>
        </w:rPr>
        <w:t xml:space="preserve">[at hiring] </w:t>
      </w:r>
      <w:r w:rsidR="003010AB" w:rsidRPr="00676B15">
        <w:rPr>
          <w:rFonts w:ascii="Cambria" w:eastAsia="Times New Roman" w:hAnsi="Cambria"/>
          <w:bCs/>
          <w:sz w:val="20"/>
          <w:szCs w:val="20"/>
          <w:bdr w:val="none" w:sz="0" w:space="0" w:color="auto"/>
        </w:rPr>
        <w:t xml:space="preserve">and knew that I was undocumented.” </w:t>
      </w:r>
    </w:p>
    <w:p w14:paraId="2F1218DB" w14:textId="77777777" w:rsidR="003010AB" w:rsidRPr="00676B15" w:rsidRDefault="003010AB" w:rsidP="003010A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72503CC5" w14:textId="77777777" w:rsidR="003010AB" w:rsidRPr="00676B15" w:rsidRDefault="001A2F57" w:rsidP="003010A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In November 2004, Mr. Zumaya fell from a tree and severely fractured his left leg. He had to undergo three separate surgeries so that doctors could insert a metal plate and six screws in his ankle and leg and to try to repair torn ligaments. Mr. Zumaya’s employer initially paid his medical benefits, but when it became clear he would not return to work soon, his employer indicated that his benefits would be suspended. He was deemed physically able to return to sedentary work; however, due to his physical limitations, he was unable to find work. </w:t>
      </w:r>
    </w:p>
    <w:p w14:paraId="0ADF41BB" w14:textId="77777777" w:rsidR="003010AB" w:rsidRPr="00676B15" w:rsidRDefault="003010AB" w:rsidP="003010AB">
      <w:pPr>
        <w:pStyle w:val="ListParagraph"/>
        <w:rPr>
          <w:rFonts w:eastAsia="Times New Roman"/>
          <w:bCs/>
          <w:sz w:val="20"/>
          <w:szCs w:val="20"/>
          <w:bdr w:val="none" w:sz="0" w:space="0" w:color="auto"/>
        </w:rPr>
      </w:pPr>
    </w:p>
    <w:p w14:paraId="59D45CF0" w14:textId="38D33D8B" w:rsidR="001A2F57" w:rsidRPr="00676B15" w:rsidRDefault="001A2F57" w:rsidP="003010A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Mr. Zumaya therefore retained an attorney to represent him in a workers’ compensation claim against his former employer. </w:t>
      </w:r>
      <w:r w:rsidR="003010AB" w:rsidRPr="00676B15">
        <w:rPr>
          <w:rFonts w:ascii="Cambria" w:eastAsia="Times New Roman" w:hAnsi="Cambria"/>
          <w:bCs/>
          <w:sz w:val="20"/>
          <w:szCs w:val="20"/>
          <w:bdr w:val="none" w:sz="0" w:space="0" w:color="auto"/>
        </w:rPr>
        <w:t>He</w:t>
      </w:r>
      <w:r w:rsidRPr="00676B15">
        <w:rPr>
          <w:rFonts w:ascii="Cambria" w:eastAsia="Times New Roman" w:hAnsi="Cambria"/>
          <w:bCs/>
          <w:sz w:val="20"/>
          <w:szCs w:val="20"/>
          <w:bdr w:val="none" w:sz="0" w:space="0" w:color="auto"/>
        </w:rPr>
        <w:t xml:space="preserve"> </w:t>
      </w:r>
      <w:r w:rsidR="00C72947" w:rsidRPr="00676B15">
        <w:rPr>
          <w:rFonts w:ascii="Cambria" w:eastAsia="Times New Roman" w:hAnsi="Cambria"/>
          <w:bCs/>
          <w:sz w:val="20"/>
          <w:szCs w:val="20"/>
          <w:bdr w:val="none" w:sz="0" w:space="0" w:color="auto"/>
        </w:rPr>
        <w:t xml:space="preserve">was advised to settle with his employer, and ultimately did so for the </w:t>
      </w:r>
      <w:r w:rsidRPr="00676B15">
        <w:rPr>
          <w:rFonts w:ascii="Cambria" w:eastAsia="Times New Roman" w:hAnsi="Cambria"/>
          <w:bCs/>
          <w:sz w:val="20"/>
          <w:szCs w:val="20"/>
          <w:bdr w:val="none" w:sz="0" w:space="0" w:color="auto"/>
        </w:rPr>
        <w:t>amount of $35,000. According to the petitioners, had Mr. Zumaya been a U.S. citizen, he would have been eligible to receive a settlement value of between US $85,000 – 100,000 in workers</w:t>
      </w:r>
      <w:r w:rsidR="00B7012B" w:rsidRPr="00676B15">
        <w:rPr>
          <w:rFonts w:ascii="Cambria" w:eastAsia="Times New Roman" w:hAnsi="Cambria"/>
          <w:bCs/>
          <w:sz w:val="20"/>
          <w:szCs w:val="20"/>
          <w:bdr w:val="none" w:sz="0" w:space="0" w:color="auto"/>
        </w:rPr>
        <w:t>’</w:t>
      </w:r>
      <w:r w:rsidRPr="00676B15">
        <w:rPr>
          <w:rFonts w:ascii="Cambria" w:eastAsia="Times New Roman" w:hAnsi="Cambria"/>
          <w:bCs/>
          <w:sz w:val="20"/>
          <w:szCs w:val="20"/>
          <w:bdr w:val="none" w:sz="0" w:space="0" w:color="auto"/>
        </w:rPr>
        <w:t xml:space="preserve"> compensation benefits.</w:t>
      </w:r>
      <w:r w:rsidRPr="00676B15">
        <w:rPr>
          <w:rStyle w:val="FootnoteReference"/>
          <w:rFonts w:ascii="Cambria" w:eastAsia="Times New Roman" w:hAnsi="Cambria"/>
          <w:bCs/>
          <w:sz w:val="20"/>
          <w:szCs w:val="20"/>
          <w:bdr w:val="none" w:sz="0" w:space="0" w:color="auto"/>
        </w:rPr>
        <w:footnoteReference w:id="11"/>
      </w:r>
      <w:r w:rsidRPr="00676B15">
        <w:rPr>
          <w:rFonts w:ascii="Cambria" w:eastAsia="Times New Roman" w:hAnsi="Cambria"/>
          <w:bCs/>
          <w:sz w:val="20"/>
          <w:szCs w:val="20"/>
          <w:bdr w:val="none" w:sz="0" w:space="0" w:color="auto"/>
        </w:rPr>
        <w:t xml:space="preserve">  </w:t>
      </w:r>
    </w:p>
    <w:p w14:paraId="42FE54A1" w14:textId="77777777" w:rsidR="001A2F57" w:rsidRPr="00676B15" w:rsidRDefault="001A2F57" w:rsidP="001A2F57">
      <w:pPr>
        <w:pStyle w:val="ListParagraph"/>
        <w:rPr>
          <w:rFonts w:eastAsia="Times New Roman"/>
          <w:bCs/>
          <w:sz w:val="20"/>
          <w:szCs w:val="20"/>
          <w:bdr w:val="none" w:sz="0" w:space="0" w:color="auto"/>
        </w:rPr>
      </w:pPr>
    </w:p>
    <w:p w14:paraId="32017E7A" w14:textId="72D4B413" w:rsidR="001A2F57" w:rsidRPr="00676B15" w:rsidRDefault="001A2F57"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Prior to the issuance of the admissibility report, Mr. Zumaya returned to Mexico.  The petitioners report that he suffers from chronic regional pain disorder and sustained permanent nerve damage, which continues to affect him. </w:t>
      </w:r>
    </w:p>
    <w:p w14:paraId="7E5DEDED" w14:textId="77777777" w:rsidR="00A32BEC" w:rsidRPr="00676B15" w:rsidRDefault="00A32BEC" w:rsidP="00354259">
      <w:pPr>
        <w:rPr>
          <w:rFonts w:eastAsia="Times New Roman"/>
          <w:bCs/>
          <w:sz w:val="20"/>
          <w:szCs w:val="20"/>
          <w:bdr w:val="none" w:sz="0" w:space="0" w:color="auto"/>
        </w:rPr>
      </w:pPr>
    </w:p>
    <w:p w14:paraId="747D949B" w14:textId="77777777" w:rsidR="001A2F57" w:rsidRPr="00676B15" w:rsidRDefault="001A2F57" w:rsidP="00862660">
      <w:pPr>
        <w:pStyle w:val="Heading4"/>
        <w:ind w:left="1530" w:hanging="810"/>
        <w:rPr>
          <w:rFonts w:eastAsia="Times New Roman"/>
          <w:bdr w:val="none" w:sz="0" w:space="0" w:color="auto"/>
        </w:rPr>
      </w:pPr>
      <w:r w:rsidRPr="00676B15">
        <w:rPr>
          <w:rFonts w:eastAsia="Times New Roman"/>
          <w:bdr w:val="none" w:sz="0" w:space="0" w:color="auto"/>
        </w:rPr>
        <w:t xml:space="preserve">Francisco Berumen Lizalde </w:t>
      </w:r>
    </w:p>
    <w:p w14:paraId="10BAF3B9" w14:textId="77777777" w:rsidR="001A2F57" w:rsidRPr="00676B15" w:rsidRDefault="001A2F57" w:rsidP="001A2F5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6F24CBF5" w14:textId="61D18BFD" w:rsidR="001A2F57" w:rsidRPr="00676B15" w:rsidRDefault="004B0CE7"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Petitioners affirm that </w:t>
      </w:r>
      <w:r w:rsidR="001A2F57" w:rsidRPr="00676B15">
        <w:rPr>
          <w:rFonts w:ascii="Cambria" w:eastAsia="Times New Roman" w:hAnsi="Cambria"/>
          <w:bCs/>
          <w:sz w:val="20"/>
          <w:szCs w:val="20"/>
          <w:bdr w:val="none" w:sz="0" w:space="0" w:color="auto"/>
        </w:rPr>
        <w:t xml:space="preserve">Francisco Berumen Lizalde, also a national of Mexico, worked as a painter in Kansas for eight months, from March through November 2005. In November 2005, he fell from scaffolding and fractured his hand, which rendered him unable to work. Mr. Lizalde received medical care for his injury, consisting </w:t>
      </w:r>
      <w:r w:rsidR="004A24D6" w:rsidRPr="00676B15">
        <w:rPr>
          <w:rFonts w:ascii="Cambria" w:eastAsia="Times New Roman" w:hAnsi="Cambria"/>
          <w:bCs/>
          <w:sz w:val="20"/>
          <w:szCs w:val="20"/>
          <w:bdr w:val="none" w:sz="0" w:space="0" w:color="auto"/>
        </w:rPr>
        <w:t>of</w:t>
      </w:r>
      <w:r w:rsidR="001A2F57" w:rsidRPr="00676B15">
        <w:rPr>
          <w:rFonts w:ascii="Cambria" w:eastAsia="Times New Roman" w:hAnsi="Cambria"/>
          <w:bCs/>
          <w:sz w:val="20"/>
          <w:szCs w:val="20"/>
          <w:bdr w:val="none" w:sz="0" w:space="0" w:color="auto"/>
        </w:rPr>
        <w:t xml:space="preserve"> surgery and the placement of a cast on his hand. He also received four checks from his employer’s insurance company</w:t>
      </w:r>
      <w:r w:rsidR="00973925" w:rsidRPr="00676B15">
        <w:rPr>
          <w:rFonts w:ascii="Cambria" w:eastAsia="Times New Roman" w:hAnsi="Cambria"/>
          <w:bCs/>
          <w:sz w:val="20"/>
          <w:szCs w:val="20"/>
          <w:bdr w:val="none" w:sz="0" w:space="0" w:color="auto"/>
        </w:rPr>
        <w:t xml:space="preserve"> to cover medical expenses</w:t>
      </w:r>
      <w:r w:rsidR="001A2F57" w:rsidRPr="00676B15">
        <w:rPr>
          <w:rFonts w:ascii="Cambria" w:eastAsia="Times New Roman" w:hAnsi="Cambria"/>
          <w:bCs/>
          <w:sz w:val="20"/>
          <w:szCs w:val="20"/>
          <w:bdr w:val="none" w:sz="0" w:space="0" w:color="auto"/>
        </w:rPr>
        <w:t xml:space="preserve">.  </w:t>
      </w:r>
    </w:p>
    <w:p w14:paraId="71B16857" w14:textId="77777777" w:rsidR="001A2F57" w:rsidRPr="00676B15" w:rsidRDefault="001A2F57" w:rsidP="001A2F5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3DFCD900" w14:textId="07A1175D" w:rsidR="001A2F57" w:rsidRPr="00676B15" w:rsidRDefault="001A2F57"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Shortly after Mr. Lizalde filed for workers’ compensation benefits</w:t>
      </w:r>
      <w:r w:rsidR="00C72947" w:rsidRPr="00676B15">
        <w:rPr>
          <w:rFonts w:ascii="Cambria" w:eastAsia="Times New Roman" w:hAnsi="Cambria"/>
          <w:bCs/>
          <w:sz w:val="20"/>
          <w:szCs w:val="20"/>
          <w:bdr w:val="none" w:sz="0" w:space="0" w:color="auto"/>
        </w:rPr>
        <w:t xml:space="preserve"> and before he was able to be seen by a doctor to determine the extent of his disability</w:t>
      </w:r>
      <w:r w:rsidRPr="00676B15">
        <w:rPr>
          <w:rFonts w:ascii="Cambria" w:eastAsia="Times New Roman" w:hAnsi="Cambria"/>
          <w:bCs/>
          <w:sz w:val="20"/>
          <w:szCs w:val="20"/>
          <w:bdr w:val="none" w:sz="0" w:space="0" w:color="auto"/>
        </w:rPr>
        <w:t xml:space="preserve">, he was arrested and charged with “document fraud,” on the basis that he used a false social security number to obtain employment. He was subsequently jailed for one month, convicted of </w:t>
      </w:r>
      <w:r w:rsidR="00817956" w:rsidRPr="00676B15">
        <w:rPr>
          <w:rFonts w:ascii="Cambria" w:eastAsia="Times New Roman" w:hAnsi="Cambria"/>
          <w:bCs/>
          <w:sz w:val="20"/>
          <w:szCs w:val="20"/>
          <w:bdr w:val="none" w:sz="0" w:space="0" w:color="auto"/>
        </w:rPr>
        <w:t>this crime (</w:t>
      </w:r>
      <w:r w:rsidRPr="00676B15">
        <w:rPr>
          <w:rFonts w:ascii="Cambria" w:eastAsia="Times New Roman" w:hAnsi="Cambria"/>
          <w:bCs/>
          <w:sz w:val="20"/>
          <w:szCs w:val="20"/>
          <w:bdr w:val="none" w:sz="0" w:space="0" w:color="auto"/>
        </w:rPr>
        <w:t>a felony</w:t>
      </w:r>
      <w:r w:rsidR="00817956" w:rsidRPr="00676B15">
        <w:rPr>
          <w:rFonts w:ascii="Cambria" w:eastAsia="Times New Roman" w:hAnsi="Cambria"/>
          <w:bCs/>
          <w:sz w:val="20"/>
          <w:szCs w:val="20"/>
          <w:bdr w:val="none" w:sz="0" w:space="0" w:color="auto"/>
        </w:rPr>
        <w:t xml:space="preserve"> under U.S. law)</w:t>
      </w:r>
      <w:r w:rsidRPr="00676B15">
        <w:rPr>
          <w:rFonts w:ascii="Cambria" w:eastAsia="Times New Roman" w:hAnsi="Cambria"/>
          <w:bCs/>
          <w:sz w:val="20"/>
          <w:szCs w:val="20"/>
          <w:bdr w:val="none" w:sz="0" w:space="0" w:color="auto"/>
        </w:rPr>
        <w:t xml:space="preserve">, and deported to Mexico in February 2006. During the time he was in jail, Mr. Lizalde was unable to see a doctor and therefore unable to have the cast removed until he returned to Mexico. </w:t>
      </w:r>
    </w:p>
    <w:p w14:paraId="281DB788" w14:textId="77777777" w:rsidR="001A2F57" w:rsidRPr="00676B15" w:rsidRDefault="001A2F57" w:rsidP="001A2F5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1716B0C7" w14:textId="7984C502" w:rsidR="001A2F57" w:rsidRPr="00676B15" w:rsidRDefault="001A2F57"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lastRenderedPageBreak/>
        <w:t xml:space="preserve">After returning to Mexico, Mr. Lizalde reports that he still does not have full movement or strength of his hand. He has undergone physical therapy in Mexico for his hand and </w:t>
      </w:r>
      <w:r w:rsidR="00B5774C" w:rsidRPr="00676B15">
        <w:rPr>
          <w:rFonts w:ascii="Cambria" w:eastAsia="Times New Roman" w:hAnsi="Cambria"/>
          <w:bCs/>
          <w:sz w:val="20"/>
          <w:szCs w:val="20"/>
          <w:bdr w:val="none" w:sz="0" w:space="0" w:color="auto"/>
        </w:rPr>
        <w:t>is paying</w:t>
      </w:r>
      <w:r w:rsidRPr="00676B15">
        <w:rPr>
          <w:rFonts w:ascii="Cambria" w:eastAsia="Times New Roman" w:hAnsi="Cambria"/>
          <w:bCs/>
          <w:sz w:val="20"/>
          <w:szCs w:val="20"/>
          <w:bdr w:val="none" w:sz="0" w:space="0" w:color="auto"/>
        </w:rPr>
        <w:t xml:space="preserve"> the full costs of such treatment. </w:t>
      </w:r>
    </w:p>
    <w:p w14:paraId="5C8889FF" w14:textId="77777777" w:rsidR="001A2F57" w:rsidRPr="00676B15" w:rsidRDefault="001A2F57" w:rsidP="001A2F57"/>
    <w:p w14:paraId="7D22F551" w14:textId="62D70DC7" w:rsidR="001A2F57" w:rsidRPr="00676B15" w:rsidRDefault="002F1485" w:rsidP="00862660">
      <w:pPr>
        <w:pStyle w:val="Heading3"/>
        <w:ind w:left="1530" w:hanging="810"/>
        <w:jc w:val="both"/>
      </w:pPr>
      <w:bookmarkStart w:id="12" w:name="_Toc438547099"/>
      <w:bookmarkStart w:id="13" w:name="_Toc466296161"/>
      <w:r w:rsidRPr="00676B15">
        <w:t xml:space="preserve">Legal Argument: Rights to equality before </w:t>
      </w:r>
      <w:r w:rsidR="00907326" w:rsidRPr="00676B15">
        <w:t xml:space="preserve">the </w:t>
      </w:r>
      <w:r w:rsidRPr="00676B15">
        <w:t>law</w:t>
      </w:r>
      <w:r w:rsidR="00CC337C" w:rsidRPr="00676B15">
        <w:t>,</w:t>
      </w:r>
      <w:r w:rsidRPr="00676B15">
        <w:t xml:space="preserve"> recognition of juridical personality and civil rights</w:t>
      </w:r>
      <w:r w:rsidR="00CC337C" w:rsidRPr="00676B15">
        <w:t xml:space="preserve">, and right to a fair trial (Articles II, </w:t>
      </w:r>
      <w:r w:rsidRPr="00676B15">
        <w:t>XVII</w:t>
      </w:r>
      <w:r w:rsidR="00CC337C" w:rsidRPr="00676B15">
        <w:t>, and XVIII</w:t>
      </w:r>
      <w:r w:rsidRPr="00676B15">
        <w:t xml:space="preserve"> of the American Declaration)</w:t>
      </w:r>
      <w:bookmarkEnd w:id="12"/>
      <w:bookmarkEnd w:id="13"/>
      <w:r w:rsidRPr="00676B15">
        <w:t xml:space="preserve"> </w:t>
      </w:r>
    </w:p>
    <w:p w14:paraId="412A2407" w14:textId="77777777" w:rsidR="008B5B53" w:rsidRPr="00676B15" w:rsidRDefault="008B5B53" w:rsidP="00B5774C">
      <w:pPr>
        <w:rPr>
          <w:lang w:eastAsia="es-ES"/>
        </w:rPr>
      </w:pPr>
    </w:p>
    <w:p w14:paraId="08B50746" w14:textId="700E3E01" w:rsidR="007E069E" w:rsidRPr="00676B15" w:rsidRDefault="005C77C4"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The petitioners submit that the United States’ failure to ensure equal redress </w:t>
      </w:r>
      <w:r w:rsidR="002F58F5" w:rsidRPr="00676B15">
        <w:rPr>
          <w:rFonts w:ascii="Cambria" w:eastAsia="Times New Roman" w:hAnsi="Cambria"/>
          <w:bCs/>
          <w:sz w:val="20"/>
          <w:szCs w:val="20"/>
          <w:bdr w:val="none" w:sz="0" w:space="0" w:color="auto"/>
        </w:rPr>
        <w:t xml:space="preserve">and access to justice </w:t>
      </w:r>
      <w:r w:rsidRPr="00676B15">
        <w:rPr>
          <w:rFonts w:ascii="Cambria" w:eastAsia="Times New Roman" w:hAnsi="Cambria"/>
          <w:bCs/>
          <w:sz w:val="20"/>
          <w:szCs w:val="20"/>
          <w:bdr w:val="none" w:sz="0" w:space="0" w:color="auto"/>
        </w:rPr>
        <w:t xml:space="preserve">for violations of its labor and employment laws and protection of undocumented workers from discrimination by non-state actors </w:t>
      </w:r>
      <w:r w:rsidR="00817956" w:rsidRPr="00676B15">
        <w:rPr>
          <w:rFonts w:ascii="Cambria" w:eastAsia="Times New Roman" w:hAnsi="Cambria"/>
          <w:bCs/>
          <w:sz w:val="20"/>
          <w:szCs w:val="20"/>
          <w:bdr w:val="none" w:sz="0" w:space="0" w:color="auto"/>
        </w:rPr>
        <w:t>violates</w:t>
      </w:r>
      <w:r w:rsidRPr="00676B15">
        <w:rPr>
          <w:rFonts w:ascii="Cambria" w:eastAsia="Times New Roman" w:hAnsi="Cambria"/>
          <w:bCs/>
          <w:sz w:val="20"/>
          <w:szCs w:val="20"/>
          <w:bdr w:val="none" w:sz="0" w:space="0" w:color="auto"/>
        </w:rPr>
        <w:t xml:space="preserve"> its obligat</w:t>
      </w:r>
      <w:r w:rsidR="00AD44B9" w:rsidRPr="00676B15">
        <w:rPr>
          <w:rFonts w:ascii="Cambria" w:eastAsia="Times New Roman" w:hAnsi="Cambria"/>
          <w:bCs/>
          <w:sz w:val="20"/>
          <w:szCs w:val="20"/>
          <w:bdr w:val="none" w:sz="0" w:space="0" w:color="auto"/>
        </w:rPr>
        <w:t>ions under Articles II</w:t>
      </w:r>
      <w:r w:rsidR="00CC337C" w:rsidRPr="00676B15">
        <w:rPr>
          <w:rFonts w:ascii="Cambria" w:eastAsia="Times New Roman" w:hAnsi="Cambria"/>
          <w:bCs/>
          <w:sz w:val="20"/>
          <w:szCs w:val="20"/>
          <w:bdr w:val="none" w:sz="0" w:space="0" w:color="auto"/>
        </w:rPr>
        <w:t>, XVII, and XVIII</w:t>
      </w:r>
      <w:r w:rsidR="00AD44B9" w:rsidRPr="00676B15">
        <w:rPr>
          <w:rFonts w:ascii="Cambria" w:eastAsia="Times New Roman" w:hAnsi="Cambria"/>
          <w:bCs/>
          <w:sz w:val="20"/>
          <w:szCs w:val="20"/>
          <w:bdr w:val="none" w:sz="0" w:space="0" w:color="auto"/>
        </w:rPr>
        <w:t xml:space="preserve"> </w:t>
      </w:r>
      <w:r w:rsidRPr="00676B15">
        <w:rPr>
          <w:rFonts w:ascii="Cambria" w:eastAsia="Times New Roman" w:hAnsi="Cambria"/>
          <w:bCs/>
          <w:sz w:val="20"/>
          <w:szCs w:val="20"/>
          <w:bdr w:val="none" w:sz="0" w:space="0" w:color="auto"/>
        </w:rPr>
        <w:t>of the American Declaration to the detriment of the two presumed victims, Mr. Zumaya and Mr. Lizalde. Petitioners acknowledge that compensation for workplace injury is gove</w:t>
      </w:r>
      <w:r w:rsidR="007E069E" w:rsidRPr="00676B15">
        <w:rPr>
          <w:rFonts w:ascii="Cambria" w:eastAsia="Times New Roman" w:hAnsi="Cambria"/>
          <w:bCs/>
          <w:sz w:val="20"/>
          <w:szCs w:val="20"/>
          <w:bdr w:val="none" w:sz="0" w:space="0" w:color="auto"/>
        </w:rPr>
        <w:t xml:space="preserve">rned by state, not federal, law; however, they assert that the American Declaration imposes an obligation on the federal government to guarantee fundamental human rights at both the national and local levels. Furthermore, they assert that the state laws implicated in the present case are being interpreted in a discriminatory manner because of the analysis and precedent established by the U.S. Supreme Court in </w:t>
      </w:r>
      <w:r w:rsidR="007E069E" w:rsidRPr="00676B15">
        <w:rPr>
          <w:rFonts w:ascii="Cambria" w:eastAsia="Times New Roman" w:hAnsi="Cambria"/>
          <w:bCs/>
          <w:i/>
          <w:sz w:val="20"/>
          <w:szCs w:val="20"/>
          <w:bdr w:val="none" w:sz="0" w:space="0" w:color="auto"/>
        </w:rPr>
        <w:t>Hoffman</w:t>
      </w:r>
      <w:r w:rsidR="00CC337C" w:rsidRPr="00676B15">
        <w:rPr>
          <w:rFonts w:ascii="Cambria" w:eastAsia="Times New Roman" w:hAnsi="Cambria"/>
          <w:bCs/>
          <w:sz w:val="20"/>
          <w:szCs w:val="20"/>
          <w:bdr w:val="none" w:sz="0" w:space="0" w:color="auto"/>
        </w:rPr>
        <w:t xml:space="preserve"> and that current practices inhibit access to justice for undocumented workers.</w:t>
      </w:r>
      <w:r w:rsidRPr="00676B15">
        <w:rPr>
          <w:rFonts w:ascii="Cambria" w:eastAsia="Times New Roman" w:hAnsi="Cambria"/>
          <w:bCs/>
          <w:sz w:val="20"/>
          <w:szCs w:val="20"/>
          <w:bdr w:val="none" w:sz="0" w:space="0" w:color="auto"/>
        </w:rPr>
        <w:t xml:space="preserve"> </w:t>
      </w:r>
    </w:p>
    <w:p w14:paraId="23E4BD08" w14:textId="77777777" w:rsidR="007E069E" w:rsidRPr="00676B15" w:rsidRDefault="007E069E" w:rsidP="007E069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1934A304" w14:textId="07B58BA6" w:rsidR="007E069E" w:rsidRPr="00676B15" w:rsidRDefault="007E069E"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According to the petitioners, </w:t>
      </w:r>
      <w:r w:rsidR="00BA7E36" w:rsidRPr="00676B15">
        <w:rPr>
          <w:rFonts w:ascii="Cambria" w:eastAsia="Times New Roman" w:hAnsi="Cambria"/>
          <w:bCs/>
          <w:sz w:val="20"/>
          <w:szCs w:val="20"/>
          <w:bdr w:val="none" w:sz="0" w:space="0" w:color="auto"/>
        </w:rPr>
        <w:t xml:space="preserve">Mr. Zumaya had his entitlement to </w:t>
      </w:r>
      <w:r w:rsidR="000E6D65" w:rsidRPr="00676B15">
        <w:rPr>
          <w:rFonts w:ascii="Cambria" w:eastAsia="Times New Roman" w:hAnsi="Cambria"/>
          <w:bCs/>
          <w:sz w:val="20"/>
          <w:szCs w:val="20"/>
          <w:bdr w:val="none" w:sz="0" w:space="0" w:color="auto"/>
        </w:rPr>
        <w:t xml:space="preserve">wage-loss benefits, provided under the </w:t>
      </w:r>
      <w:r w:rsidR="00BA7E36" w:rsidRPr="00676B15">
        <w:rPr>
          <w:rFonts w:ascii="Cambria" w:eastAsia="Times New Roman" w:hAnsi="Cambria"/>
          <w:bCs/>
          <w:sz w:val="20"/>
          <w:szCs w:val="20"/>
          <w:bdr w:val="none" w:sz="0" w:space="0" w:color="auto"/>
        </w:rPr>
        <w:t xml:space="preserve">workers’ </w:t>
      </w:r>
      <w:r w:rsidR="00326AB1" w:rsidRPr="00676B15">
        <w:rPr>
          <w:rFonts w:ascii="Cambria" w:eastAsia="Times New Roman" w:hAnsi="Cambria"/>
          <w:bCs/>
          <w:sz w:val="20"/>
          <w:szCs w:val="20"/>
          <w:bdr w:val="none" w:sz="0" w:space="0" w:color="auto"/>
        </w:rPr>
        <w:t>compensation</w:t>
      </w:r>
      <w:r w:rsidR="000E6D65" w:rsidRPr="00676B15">
        <w:rPr>
          <w:rFonts w:ascii="Cambria" w:eastAsia="Times New Roman" w:hAnsi="Cambria"/>
          <w:bCs/>
          <w:sz w:val="20"/>
          <w:szCs w:val="20"/>
          <w:bdr w:val="none" w:sz="0" w:space="0" w:color="auto"/>
        </w:rPr>
        <w:t xml:space="preserve"> scheme,</w:t>
      </w:r>
      <w:r w:rsidR="00BA7E36" w:rsidRPr="00676B15">
        <w:rPr>
          <w:rFonts w:ascii="Cambria" w:eastAsia="Times New Roman" w:hAnsi="Cambria"/>
          <w:bCs/>
          <w:sz w:val="20"/>
          <w:szCs w:val="20"/>
          <w:bdr w:val="none" w:sz="0" w:space="0" w:color="auto"/>
        </w:rPr>
        <w:t xml:space="preserve"> prematurely limited because he </w:t>
      </w:r>
      <w:r w:rsidR="00326AB1" w:rsidRPr="00676B15">
        <w:rPr>
          <w:rFonts w:ascii="Cambria" w:eastAsia="Times New Roman" w:hAnsi="Cambria"/>
          <w:bCs/>
          <w:sz w:val="20"/>
          <w:szCs w:val="20"/>
          <w:bdr w:val="none" w:sz="0" w:space="0" w:color="auto"/>
        </w:rPr>
        <w:t xml:space="preserve">had not been </w:t>
      </w:r>
      <w:r w:rsidR="00BA7E36" w:rsidRPr="00676B15">
        <w:rPr>
          <w:rFonts w:ascii="Cambria" w:eastAsia="Times New Roman" w:hAnsi="Cambria"/>
          <w:bCs/>
          <w:sz w:val="20"/>
          <w:szCs w:val="20"/>
          <w:bdr w:val="none" w:sz="0" w:space="0" w:color="auto"/>
        </w:rPr>
        <w:t>authorized to work</w:t>
      </w:r>
      <w:r w:rsidR="00326AB1" w:rsidRPr="00676B15">
        <w:rPr>
          <w:rFonts w:ascii="Cambria" w:eastAsia="Times New Roman" w:hAnsi="Cambria"/>
          <w:bCs/>
          <w:sz w:val="20"/>
          <w:szCs w:val="20"/>
          <w:bdr w:val="none" w:sz="0" w:space="0" w:color="auto"/>
        </w:rPr>
        <w:t xml:space="preserve"> at that time</w:t>
      </w:r>
      <w:r w:rsidR="00BA7E36" w:rsidRPr="00676B15">
        <w:rPr>
          <w:rFonts w:ascii="Cambria" w:eastAsia="Times New Roman" w:hAnsi="Cambria"/>
          <w:bCs/>
          <w:sz w:val="20"/>
          <w:szCs w:val="20"/>
          <w:bdr w:val="none" w:sz="0" w:space="0" w:color="auto"/>
        </w:rPr>
        <w:t>, despite the fact that he had been fully engaged in the employment relationship when he sustained the injury. The petitioners claim that Mr. Zumaya was forced to accept a settlement for a fraction of his claim, due to a decision of the Pennsylvania Supreme Court finding that an unauthorized worker is not entitled to wage loss benefits once it was determined that the person could return to work, even though there was no work available to him with the physical restrictions imposed by his workplace injury</w:t>
      </w:r>
      <w:r w:rsidR="00326AB1" w:rsidRPr="00676B15">
        <w:rPr>
          <w:rFonts w:ascii="Cambria" w:eastAsia="Times New Roman" w:hAnsi="Cambria"/>
          <w:bCs/>
          <w:sz w:val="20"/>
          <w:szCs w:val="20"/>
          <w:bdr w:val="none" w:sz="0" w:space="0" w:color="auto"/>
        </w:rPr>
        <w:t>.</w:t>
      </w:r>
      <w:r w:rsidR="00BA7E36" w:rsidRPr="00676B15">
        <w:rPr>
          <w:rStyle w:val="FootnoteReference"/>
          <w:rFonts w:ascii="Cambria" w:eastAsia="Times New Roman" w:hAnsi="Cambria"/>
          <w:bCs/>
          <w:sz w:val="20"/>
          <w:szCs w:val="20"/>
          <w:bdr w:val="none" w:sz="0" w:space="0" w:color="auto"/>
        </w:rPr>
        <w:footnoteReference w:id="12"/>
      </w:r>
      <w:r w:rsidR="00BA7E36" w:rsidRPr="00676B15">
        <w:rPr>
          <w:rFonts w:ascii="Cambria" w:eastAsia="Times New Roman" w:hAnsi="Cambria"/>
          <w:bCs/>
          <w:sz w:val="20"/>
          <w:szCs w:val="20"/>
          <w:bdr w:val="none" w:sz="0" w:space="0" w:color="auto"/>
        </w:rPr>
        <w:t xml:space="preserve"> The petitioners assert that had Mr. Zumaya been authorized to work in the United States, his settlement would have been far greater, allowing him to continue physical therapy and support himself pending employment that did not require him to exceed his physical capabilities. </w:t>
      </w:r>
    </w:p>
    <w:p w14:paraId="135E9265" w14:textId="77777777" w:rsidR="00D82D80" w:rsidRPr="00676B15" w:rsidRDefault="00D82D80" w:rsidP="00D82D80">
      <w:pPr>
        <w:pStyle w:val="ListParagraph"/>
        <w:rPr>
          <w:rFonts w:eastAsia="Times New Roman"/>
          <w:bCs/>
          <w:sz w:val="20"/>
          <w:szCs w:val="20"/>
          <w:bdr w:val="none" w:sz="0" w:space="0" w:color="auto"/>
        </w:rPr>
      </w:pPr>
    </w:p>
    <w:p w14:paraId="2E22DA2D" w14:textId="15960620" w:rsidR="00D82D80" w:rsidRPr="00676B15" w:rsidRDefault="00D82D80"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Petitioners argue that, with regard to Mr. Lizalde, he was unable to pursue his claim for disability or to secure payments for medical care after his workplace injury</w:t>
      </w:r>
      <w:r w:rsidR="00D62ABB" w:rsidRPr="00676B15">
        <w:rPr>
          <w:rFonts w:ascii="Cambria" w:eastAsia="Times New Roman" w:hAnsi="Cambria"/>
          <w:bCs/>
          <w:sz w:val="20"/>
          <w:szCs w:val="20"/>
          <w:bdr w:val="none" w:sz="0" w:space="0" w:color="auto"/>
        </w:rPr>
        <w:t xml:space="preserve"> given that he was prosecuted and deported shortly after filing a workers’ compensation claim</w:t>
      </w:r>
      <w:r w:rsidRPr="00676B15">
        <w:rPr>
          <w:rFonts w:ascii="Cambria" w:eastAsia="Times New Roman" w:hAnsi="Cambria"/>
          <w:bCs/>
          <w:sz w:val="20"/>
          <w:szCs w:val="20"/>
          <w:bdr w:val="none" w:sz="0" w:space="0" w:color="auto"/>
        </w:rPr>
        <w:t xml:space="preserve">. </w:t>
      </w:r>
      <w:r w:rsidR="00D62ABB" w:rsidRPr="00676B15">
        <w:rPr>
          <w:rFonts w:ascii="Cambria" w:eastAsia="Times New Roman" w:hAnsi="Cambria"/>
          <w:bCs/>
          <w:sz w:val="20"/>
          <w:szCs w:val="20"/>
          <w:bdr w:val="none" w:sz="0" w:space="0" w:color="auto"/>
        </w:rPr>
        <w:t>Additionally</w:t>
      </w:r>
      <w:r w:rsidRPr="00676B15">
        <w:rPr>
          <w:rFonts w:ascii="Cambria" w:eastAsia="Times New Roman" w:hAnsi="Cambria"/>
          <w:bCs/>
          <w:sz w:val="20"/>
          <w:szCs w:val="20"/>
          <w:bdr w:val="none" w:sz="0" w:space="0" w:color="auto"/>
        </w:rPr>
        <w:t xml:space="preserve">, petitioners call into question the circumstances and timing of Mr. Lizalde’s </w:t>
      </w:r>
      <w:r w:rsidR="000A7E3D" w:rsidRPr="00676B15">
        <w:rPr>
          <w:rFonts w:ascii="Cambria" w:eastAsia="Times New Roman" w:hAnsi="Cambria"/>
          <w:bCs/>
          <w:sz w:val="20"/>
          <w:szCs w:val="20"/>
          <w:bdr w:val="none" w:sz="0" w:space="0" w:color="auto"/>
        </w:rPr>
        <w:t>arrest</w:t>
      </w:r>
      <w:r w:rsidR="00D07A23" w:rsidRPr="00676B15">
        <w:rPr>
          <w:rFonts w:ascii="Cambria" w:eastAsia="Times New Roman" w:hAnsi="Cambria"/>
          <w:bCs/>
          <w:sz w:val="20"/>
          <w:szCs w:val="20"/>
          <w:bdr w:val="none" w:sz="0" w:space="0" w:color="auto"/>
        </w:rPr>
        <w:t>, advancing a “strong suspicion” that he was turned in</w:t>
      </w:r>
      <w:r w:rsidR="00326AB1" w:rsidRPr="00676B15">
        <w:rPr>
          <w:rFonts w:ascii="Cambria" w:eastAsia="Times New Roman" w:hAnsi="Cambria"/>
          <w:bCs/>
          <w:sz w:val="20"/>
          <w:szCs w:val="20"/>
          <w:bdr w:val="none" w:sz="0" w:space="0" w:color="auto"/>
        </w:rPr>
        <w:t xml:space="preserve"> </w:t>
      </w:r>
      <w:r w:rsidR="00D07A23" w:rsidRPr="00676B15">
        <w:rPr>
          <w:rFonts w:ascii="Cambria" w:eastAsia="Times New Roman" w:hAnsi="Cambria"/>
          <w:bCs/>
          <w:sz w:val="20"/>
          <w:szCs w:val="20"/>
          <w:bdr w:val="none" w:sz="0" w:space="0" w:color="auto"/>
        </w:rPr>
        <w:t xml:space="preserve">to immigration authorities as a result of filing a workers’ compensation claim. </w:t>
      </w:r>
    </w:p>
    <w:p w14:paraId="0A18ADA5" w14:textId="77777777" w:rsidR="00D62ABB" w:rsidRPr="00676B15" w:rsidRDefault="00D62ABB" w:rsidP="002F58F5">
      <w:pPr>
        <w:pStyle w:val="ListParagraph"/>
        <w:rPr>
          <w:rFonts w:eastAsia="Times New Roman"/>
          <w:bCs/>
          <w:sz w:val="20"/>
          <w:szCs w:val="20"/>
          <w:bdr w:val="none" w:sz="0" w:space="0" w:color="auto"/>
        </w:rPr>
      </w:pPr>
    </w:p>
    <w:p w14:paraId="6FCA3661" w14:textId="42AA30C8" w:rsidR="004F50C1" w:rsidRPr="00676B15" w:rsidRDefault="008105BF"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In both cases, the petitioners claim that, as illustrated </w:t>
      </w:r>
      <w:r w:rsidR="00416C54" w:rsidRPr="00676B15">
        <w:rPr>
          <w:rFonts w:ascii="Cambria" w:eastAsia="Times New Roman" w:hAnsi="Cambria"/>
          <w:bCs/>
          <w:sz w:val="20"/>
          <w:szCs w:val="20"/>
          <w:bdr w:val="none" w:sz="0" w:space="0" w:color="auto"/>
        </w:rPr>
        <w:t>through the experiences and declarations</w:t>
      </w:r>
      <w:r w:rsidRPr="00676B15">
        <w:rPr>
          <w:rFonts w:ascii="Cambria" w:eastAsia="Times New Roman" w:hAnsi="Cambria"/>
          <w:bCs/>
          <w:sz w:val="20"/>
          <w:szCs w:val="20"/>
          <w:bdr w:val="none" w:sz="0" w:space="0" w:color="auto"/>
        </w:rPr>
        <w:t xml:space="preserve"> of the </w:t>
      </w:r>
      <w:r w:rsidR="009F6BE0" w:rsidRPr="00676B15">
        <w:rPr>
          <w:rFonts w:ascii="Cambria" w:eastAsia="Times New Roman" w:hAnsi="Cambria"/>
          <w:bCs/>
          <w:sz w:val="20"/>
          <w:szCs w:val="20"/>
          <w:bdr w:val="none" w:sz="0" w:space="0" w:color="auto"/>
        </w:rPr>
        <w:t>alleged</w:t>
      </w:r>
      <w:r w:rsidRPr="00676B15">
        <w:rPr>
          <w:rFonts w:ascii="Cambria" w:eastAsia="Times New Roman" w:hAnsi="Cambria"/>
          <w:bCs/>
          <w:sz w:val="20"/>
          <w:szCs w:val="20"/>
          <w:bdr w:val="none" w:sz="0" w:space="0" w:color="auto"/>
        </w:rPr>
        <w:t xml:space="preserve"> victims</w:t>
      </w:r>
      <w:r w:rsidR="00AE37C5" w:rsidRPr="00676B15">
        <w:rPr>
          <w:rFonts w:ascii="Cambria" w:eastAsia="Times New Roman" w:hAnsi="Cambria"/>
          <w:bCs/>
          <w:sz w:val="20"/>
          <w:szCs w:val="20"/>
          <w:bdr w:val="none" w:sz="0" w:space="0" w:color="auto"/>
        </w:rPr>
        <w:t xml:space="preserve"> </w:t>
      </w:r>
      <w:r w:rsidRPr="00676B15">
        <w:rPr>
          <w:rFonts w:ascii="Cambria" w:eastAsia="Times New Roman" w:hAnsi="Cambria"/>
          <w:bCs/>
          <w:sz w:val="20"/>
          <w:szCs w:val="20"/>
          <w:bdr w:val="none" w:sz="0" w:space="0" w:color="auto"/>
        </w:rPr>
        <w:t xml:space="preserve">in this case as well </w:t>
      </w:r>
      <w:r w:rsidR="00AE37C5" w:rsidRPr="00676B15">
        <w:rPr>
          <w:rFonts w:ascii="Cambria" w:eastAsia="Times New Roman" w:hAnsi="Cambria"/>
          <w:bCs/>
          <w:sz w:val="20"/>
          <w:szCs w:val="20"/>
          <w:bdr w:val="none" w:sz="0" w:space="0" w:color="auto"/>
        </w:rPr>
        <w:t xml:space="preserve">as their lawyers, employers are often aware of the undocumented status of immigrant workers and are </w:t>
      </w:r>
      <w:r w:rsidR="00416C54" w:rsidRPr="00676B15">
        <w:rPr>
          <w:rFonts w:ascii="Cambria" w:eastAsia="Times New Roman" w:hAnsi="Cambria"/>
          <w:bCs/>
          <w:sz w:val="20"/>
          <w:szCs w:val="20"/>
          <w:bdr w:val="none" w:sz="0" w:space="0" w:color="auto"/>
        </w:rPr>
        <w:t>“</w:t>
      </w:r>
      <w:r w:rsidR="00AE37C5" w:rsidRPr="00676B15">
        <w:rPr>
          <w:rFonts w:ascii="Cambria" w:eastAsia="Times New Roman" w:hAnsi="Cambria"/>
          <w:bCs/>
          <w:sz w:val="20"/>
          <w:szCs w:val="20"/>
          <w:bdr w:val="none" w:sz="0" w:space="0" w:color="auto"/>
        </w:rPr>
        <w:t>more than willing</w:t>
      </w:r>
      <w:r w:rsidR="00416C54" w:rsidRPr="00676B15">
        <w:rPr>
          <w:rFonts w:ascii="Cambria" w:eastAsia="Times New Roman" w:hAnsi="Cambria"/>
          <w:bCs/>
          <w:sz w:val="20"/>
          <w:szCs w:val="20"/>
          <w:bdr w:val="none" w:sz="0" w:space="0" w:color="auto"/>
        </w:rPr>
        <w:t>”</w:t>
      </w:r>
      <w:r w:rsidR="00AE37C5" w:rsidRPr="00676B15">
        <w:rPr>
          <w:rFonts w:ascii="Cambria" w:eastAsia="Times New Roman" w:hAnsi="Cambria"/>
          <w:bCs/>
          <w:sz w:val="20"/>
          <w:szCs w:val="20"/>
          <w:bdr w:val="none" w:sz="0" w:space="0" w:color="auto"/>
        </w:rPr>
        <w:t xml:space="preserve"> to use that information to defeat claims, deny work, and otherwise harm workers who file claims against them.</w:t>
      </w:r>
      <w:r w:rsidR="00416C54" w:rsidRPr="00676B15">
        <w:rPr>
          <w:rFonts w:ascii="Cambria" w:eastAsia="Times New Roman" w:hAnsi="Cambria"/>
          <w:bCs/>
          <w:sz w:val="20"/>
          <w:szCs w:val="20"/>
          <w:bdr w:val="none" w:sz="0" w:space="0" w:color="auto"/>
        </w:rPr>
        <w:t xml:space="preserve"> </w:t>
      </w:r>
      <w:r w:rsidR="00ED3FB8" w:rsidRPr="00676B15">
        <w:rPr>
          <w:rFonts w:ascii="Cambria" w:eastAsia="Times New Roman" w:hAnsi="Cambria"/>
          <w:bCs/>
          <w:sz w:val="20"/>
          <w:szCs w:val="20"/>
          <w:bdr w:val="none" w:sz="0" w:space="0" w:color="auto"/>
        </w:rPr>
        <w:t xml:space="preserve">Petitioners maintain that, even in states where undocumented workers are legally entitled to workers’ compensation benefits with no limitations, local and federal law enforcement cooperate with employers and insurance companies to deny them those benefits. </w:t>
      </w:r>
      <w:r w:rsidR="00416C54" w:rsidRPr="00676B15">
        <w:rPr>
          <w:rFonts w:ascii="Cambria" w:eastAsia="Times New Roman" w:hAnsi="Cambria"/>
          <w:bCs/>
          <w:sz w:val="20"/>
          <w:szCs w:val="20"/>
          <w:bdr w:val="none" w:sz="0" w:space="0" w:color="auto"/>
        </w:rPr>
        <w:t>Additionally, petitioners submit that undocumented workers also rationally fear deportation as a result of disclosing their full ide</w:t>
      </w:r>
      <w:r w:rsidR="00326AB1" w:rsidRPr="00676B15">
        <w:rPr>
          <w:rFonts w:ascii="Cambria" w:eastAsia="Times New Roman" w:hAnsi="Cambria"/>
          <w:bCs/>
          <w:sz w:val="20"/>
          <w:szCs w:val="20"/>
          <w:bdr w:val="none" w:sz="0" w:space="0" w:color="auto"/>
        </w:rPr>
        <w:t>ntities and immigration status</w:t>
      </w:r>
      <w:r w:rsidR="00416C54" w:rsidRPr="00676B15">
        <w:rPr>
          <w:rFonts w:ascii="Cambria" w:eastAsia="Times New Roman" w:hAnsi="Cambria"/>
          <w:bCs/>
          <w:sz w:val="20"/>
          <w:szCs w:val="20"/>
          <w:bdr w:val="none" w:sz="0" w:space="0" w:color="auto"/>
        </w:rPr>
        <w:t xml:space="preserve"> during legal proceedings against their employer. </w:t>
      </w:r>
    </w:p>
    <w:p w14:paraId="3B952438" w14:textId="77777777" w:rsidR="004F50C1" w:rsidRPr="00676B15" w:rsidRDefault="004F50C1" w:rsidP="004F50C1">
      <w:pPr>
        <w:pStyle w:val="ListParagraph"/>
        <w:rPr>
          <w:rFonts w:eastAsia="Times New Roman"/>
          <w:bCs/>
          <w:sz w:val="20"/>
          <w:szCs w:val="20"/>
          <w:bdr w:val="none" w:sz="0" w:space="0" w:color="auto"/>
        </w:rPr>
      </w:pPr>
    </w:p>
    <w:p w14:paraId="639B5148" w14:textId="40EFF507" w:rsidR="003845BE" w:rsidRPr="00676B15" w:rsidRDefault="004F50C1"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The climate of fear surrounding undocumented workers in the United States regarding the consequences of taking action against employers who have violated workers’ human rights is what petitioners label the “</w:t>
      </w:r>
      <w:r w:rsidRPr="00676B15">
        <w:rPr>
          <w:rFonts w:ascii="Cambria" w:eastAsia="Times New Roman" w:hAnsi="Cambria"/>
          <w:bCs/>
          <w:i/>
          <w:sz w:val="20"/>
          <w:szCs w:val="20"/>
          <w:bdr w:val="none" w:sz="0" w:space="0" w:color="auto"/>
        </w:rPr>
        <w:t>in terrorem</w:t>
      </w:r>
      <w:r w:rsidRPr="00676B15">
        <w:rPr>
          <w:rFonts w:ascii="Cambria" w:eastAsia="Times New Roman" w:hAnsi="Cambria"/>
          <w:bCs/>
          <w:sz w:val="20"/>
          <w:szCs w:val="20"/>
          <w:bdr w:val="none" w:sz="0" w:space="0" w:color="auto"/>
        </w:rPr>
        <w:t xml:space="preserve">” effect. </w:t>
      </w:r>
      <w:r w:rsidR="00817956" w:rsidRPr="00676B15">
        <w:rPr>
          <w:rFonts w:ascii="Cambria" w:eastAsia="Times New Roman" w:hAnsi="Cambria"/>
          <w:bCs/>
          <w:sz w:val="20"/>
          <w:szCs w:val="20"/>
          <w:bdr w:val="none" w:sz="0" w:space="0" w:color="auto"/>
        </w:rPr>
        <w:t>Akin</w:t>
      </w:r>
      <w:r w:rsidRPr="00676B15">
        <w:rPr>
          <w:rFonts w:ascii="Cambria" w:eastAsia="Times New Roman" w:hAnsi="Cambria"/>
          <w:bCs/>
          <w:sz w:val="20"/>
          <w:szCs w:val="20"/>
          <w:bdr w:val="none" w:sz="0" w:space="0" w:color="auto"/>
        </w:rPr>
        <w:t xml:space="preserve"> to a chilling effect, </w:t>
      </w:r>
      <w:r w:rsidR="009F6BE0" w:rsidRPr="00676B15">
        <w:rPr>
          <w:rFonts w:ascii="Cambria" w:eastAsia="Times New Roman" w:hAnsi="Cambria"/>
          <w:bCs/>
          <w:sz w:val="20"/>
          <w:szCs w:val="20"/>
          <w:bdr w:val="none" w:sz="0" w:space="0" w:color="auto"/>
        </w:rPr>
        <w:t xml:space="preserve">they </w:t>
      </w:r>
      <w:r w:rsidR="00973925" w:rsidRPr="00676B15">
        <w:rPr>
          <w:rFonts w:ascii="Cambria" w:eastAsia="Times New Roman" w:hAnsi="Cambria"/>
          <w:bCs/>
          <w:sz w:val="20"/>
          <w:szCs w:val="20"/>
          <w:bdr w:val="none" w:sz="0" w:space="0" w:color="auto"/>
        </w:rPr>
        <w:t>affirm</w:t>
      </w:r>
      <w:r w:rsidR="009F6BE0" w:rsidRPr="00676B15">
        <w:rPr>
          <w:rFonts w:ascii="Cambria" w:eastAsia="Times New Roman" w:hAnsi="Cambria"/>
          <w:bCs/>
          <w:sz w:val="20"/>
          <w:szCs w:val="20"/>
          <w:bdr w:val="none" w:sz="0" w:space="0" w:color="auto"/>
        </w:rPr>
        <w:t xml:space="preserve"> that </w:t>
      </w:r>
      <w:r w:rsidRPr="00676B15">
        <w:rPr>
          <w:rFonts w:ascii="Cambria" w:eastAsia="Times New Roman" w:hAnsi="Cambria"/>
          <w:bCs/>
          <w:sz w:val="20"/>
          <w:szCs w:val="20"/>
          <w:bdr w:val="none" w:sz="0" w:space="0" w:color="auto"/>
        </w:rPr>
        <w:t xml:space="preserve">it discourages undocumented workers from asserting workplace rights out of fear of adverse immigration enforcement actions. </w:t>
      </w:r>
    </w:p>
    <w:p w14:paraId="588A284C" w14:textId="77777777" w:rsidR="003845BE" w:rsidRPr="00676B15" w:rsidRDefault="003845BE" w:rsidP="003845BE">
      <w:pPr>
        <w:pStyle w:val="ListParagraph"/>
        <w:rPr>
          <w:rFonts w:eastAsia="Times New Roman"/>
          <w:bCs/>
          <w:sz w:val="20"/>
          <w:szCs w:val="20"/>
          <w:bdr w:val="none" w:sz="0" w:space="0" w:color="auto"/>
        </w:rPr>
      </w:pPr>
    </w:p>
    <w:p w14:paraId="4738D017" w14:textId="22EB4EA9" w:rsidR="00D62ABB" w:rsidRPr="00676B15" w:rsidRDefault="004F50C1"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lastRenderedPageBreak/>
        <w:t>To combat or overcome this fear, the</w:t>
      </w:r>
      <w:r w:rsidR="00817956" w:rsidRPr="00676B15">
        <w:rPr>
          <w:rFonts w:ascii="Cambria" w:eastAsia="Times New Roman" w:hAnsi="Cambria"/>
          <w:bCs/>
          <w:sz w:val="20"/>
          <w:szCs w:val="20"/>
          <w:bdr w:val="none" w:sz="0" w:space="0" w:color="auto"/>
        </w:rPr>
        <w:t xml:space="preserve"> petitioners report that the</w:t>
      </w:r>
      <w:r w:rsidRPr="00676B15">
        <w:rPr>
          <w:rFonts w:ascii="Cambria" w:eastAsia="Times New Roman" w:hAnsi="Cambria"/>
          <w:bCs/>
          <w:sz w:val="20"/>
          <w:szCs w:val="20"/>
          <w:bdr w:val="none" w:sz="0" w:space="0" w:color="auto"/>
        </w:rPr>
        <w:t xml:space="preserve"> United States, through its </w:t>
      </w:r>
      <w:r w:rsidR="003845BE" w:rsidRPr="00676B15">
        <w:rPr>
          <w:rFonts w:ascii="Cambria" w:eastAsia="Times New Roman" w:hAnsi="Cambria"/>
          <w:bCs/>
          <w:sz w:val="20"/>
          <w:szCs w:val="20"/>
          <w:bdr w:val="none" w:sz="0" w:space="0" w:color="auto"/>
        </w:rPr>
        <w:t>relevant agencies, has developed two policies designed to keep immigration authorities from interfering with workers’ exercise of their labor rights. The first policy is a field manual for U.S. Immigration and Customs Enforcement (ICE) agents on how to question persons during labor disputes to avoid the chilling effect described above</w:t>
      </w:r>
      <w:r w:rsidR="00326AB1" w:rsidRPr="00676B15">
        <w:rPr>
          <w:rFonts w:ascii="Cambria" w:eastAsia="Times New Roman" w:hAnsi="Cambria"/>
          <w:bCs/>
          <w:sz w:val="20"/>
          <w:szCs w:val="20"/>
          <w:bdr w:val="none" w:sz="0" w:space="0" w:color="auto"/>
        </w:rPr>
        <w:t>;</w:t>
      </w:r>
      <w:r w:rsidR="00016A9D" w:rsidRPr="00676B15">
        <w:rPr>
          <w:rStyle w:val="FootnoteReference"/>
          <w:rFonts w:ascii="Cambria" w:eastAsia="Times New Roman" w:hAnsi="Cambria"/>
          <w:bCs/>
          <w:sz w:val="20"/>
          <w:szCs w:val="20"/>
          <w:bdr w:val="none" w:sz="0" w:space="0" w:color="auto"/>
        </w:rPr>
        <w:footnoteReference w:id="13"/>
      </w:r>
      <w:r w:rsidR="003845BE" w:rsidRPr="00676B15">
        <w:rPr>
          <w:rFonts w:ascii="Cambria" w:eastAsia="Times New Roman" w:hAnsi="Cambria"/>
          <w:bCs/>
          <w:sz w:val="20"/>
          <w:szCs w:val="20"/>
          <w:bdr w:val="none" w:sz="0" w:space="0" w:color="auto"/>
        </w:rPr>
        <w:t xml:space="preserve"> the second is a Memorandum of Understanding (MOU) with the U.S. Department of Labor (DOL), the purpose of which is to preclude the involvement of immigration enforcement in labor disputes. However, the petitioners </w:t>
      </w:r>
      <w:r w:rsidR="00817956" w:rsidRPr="00676B15">
        <w:rPr>
          <w:rFonts w:ascii="Cambria" w:eastAsia="Times New Roman" w:hAnsi="Cambria"/>
          <w:bCs/>
          <w:sz w:val="20"/>
          <w:szCs w:val="20"/>
          <w:bdr w:val="none" w:sz="0" w:space="0" w:color="auto"/>
        </w:rPr>
        <w:t>claim</w:t>
      </w:r>
      <w:r w:rsidR="003845BE" w:rsidRPr="00676B15">
        <w:rPr>
          <w:rFonts w:ascii="Cambria" w:eastAsia="Times New Roman" w:hAnsi="Cambria"/>
          <w:bCs/>
          <w:sz w:val="20"/>
          <w:szCs w:val="20"/>
          <w:bdr w:val="none" w:sz="0" w:space="0" w:color="auto"/>
        </w:rPr>
        <w:t xml:space="preserve"> that ICE “often fails to follow its own policy of non-involvement in labor </w:t>
      </w:r>
      <w:r w:rsidR="00F7692E" w:rsidRPr="00676B15">
        <w:rPr>
          <w:rFonts w:ascii="Cambria" w:eastAsia="Times New Roman" w:hAnsi="Cambria"/>
          <w:bCs/>
          <w:sz w:val="20"/>
          <w:szCs w:val="20"/>
          <w:bdr w:val="none" w:sz="0" w:space="0" w:color="auto"/>
        </w:rPr>
        <w:t xml:space="preserve">disputes,” conducting workplace raids in the middle </w:t>
      </w:r>
      <w:r w:rsidR="00817956" w:rsidRPr="00676B15">
        <w:rPr>
          <w:rFonts w:ascii="Cambria" w:eastAsia="Times New Roman" w:hAnsi="Cambria"/>
          <w:bCs/>
          <w:sz w:val="20"/>
          <w:szCs w:val="20"/>
          <w:bdr w:val="none" w:sz="0" w:space="0" w:color="auto"/>
        </w:rPr>
        <w:t xml:space="preserve">of </w:t>
      </w:r>
      <w:r w:rsidR="00F7692E" w:rsidRPr="00676B15">
        <w:rPr>
          <w:rFonts w:ascii="Cambria" w:eastAsia="Times New Roman" w:hAnsi="Cambria"/>
          <w:bCs/>
          <w:sz w:val="20"/>
          <w:szCs w:val="20"/>
          <w:bdr w:val="none" w:sz="0" w:space="0" w:color="auto"/>
        </w:rPr>
        <w:t>or immediately following a DOL investigation against the employer.</w:t>
      </w:r>
      <w:r w:rsidR="00F7692E" w:rsidRPr="00676B15">
        <w:rPr>
          <w:rStyle w:val="FootnoteReference"/>
          <w:rFonts w:ascii="Cambria" w:eastAsia="Times New Roman" w:hAnsi="Cambria"/>
          <w:bCs/>
          <w:sz w:val="20"/>
          <w:szCs w:val="20"/>
          <w:bdr w:val="none" w:sz="0" w:space="0" w:color="auto"/>
        </w:rPr>
        <w:footnoteReference w:id="14"/>
      </w:r>
      <w:r w:rsidR="00F7692E" w:rsidRPr="00676B15">
        <w:rPr>
          <w:rFonts w:ascii="Cambria" w:eastAsia="Times New Roman" w:hAnsi="Cambria"/>
          <w:bCs/>
          <w:sz w:val="20"/>
          <w:szCs w:val="20"/>
          <w:bdr w:val="none" w:sz="0" w:space="0" w:color="auto"/>
        </w:rPr>
        <w:t xml:space="preserve"> </w:t>
      </w:r>
    </w:p>
    <w:p w14:paraId="6993CC15" w14:textId="77777777" w:rsidR="00F7692E" w:rsidRPr="00676B15" w:rsidRDefault="00F7692E" w:rsidP="00F7692E">
      <w:pPr>
        <w:pStyle w:val="ListParagraph"/>
        <w:rPr>
          <w:rFonts w:eastAsia="Times New Roman"/>
          <w:bCs/>
          <w:sz w:val="20"/>
          <w:szCs w:val="20"/>
          <w:bdr w:val="none" w:sz="0" w:space="0" w:color="auto"/>
        </w:rPr>
      </w:pPr>
    </w:p>
    <w:p w14:paraId="660937A4" w14:textId="2A1C9EF7" w:rsidR="00F7692E" w:rsidRPr="00676B15" w:rsidRDefault="004B725C"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P</w:t>
      </w:r>
      <w:r w:rsidR="00A941D7" w:rsidRPr="00676B15">
        <w:rPr>
          <w:rFonts w:ascii="Cambria" w:eastAsia="Times New Roman" w:hAnsi="Cambria"/>
          <w:bCs/>
          <w:sz w:val="20"/>
          <w:szCs w:val="20"/>
          <w:bdr w:val="none" w:sz="0" w:space="0" w:color="auto"/>
        </w:rPr>
        <w:t>etitioners</w:t>
      </w:r>
      <w:r w:rsidRPr="00676B15">
        <w:rPr>
          <w:rFonts w:ascii="Cambria" w:eastAsia="Times New Roman" w:hAnsi="Cambria"/>
          <w:bCs/>
          <w:sz w:val="20"/>
          <w:szCs w:val="20"/>
          <w:bdr w:val="none" w:sz="0" w:space="0" w:color="auto"/>
        </w:rPr>
        <w:t xml:space="preserve"> additionally</w:t>
      </w:r>
      <w:r w:rsidR="00A941D7" w:rsidRPr="00676B15">
        <w:rPr>
          <w:rFonts w:ascii="Cambria" w:eastAsia="Times New Roman" w:hAnsi="Cambria"/>
          <w:bCs/>
          <w:sz w:val="20"/>
          <w:szCs w:val="20"/>
          <w:bdr w:val="none" w:sz="0" w:space="0" w:color="auto"/>
        </w:rPr>
        <w:t xml:space="preserve"> </w:t>
      </w:r>
      <w:r w:rsidR="00973925" w:rsidRPr="00676B15">
        <w:rPr>
          <w:rFonts w:ascii="Cambria" w:eastAsia="Times New Roman" w:hAnsi="Cambria"/>
          <w:bCs/>
          <w:sz w:val="20"/>
          <w:szCs w:val="20"/>
          <w:bdr w:val="none" w:sz="0" w:space="0" w:color="auto"/>
        </w:rPr>
        <w:t>emphasize</w:t>
      </w:r>
      <w:r w:rsidR="00A941D7" w:rsidRPr="00676B15">
        <w:rPr>
          <w:rFonts w:ascii="Cambria" w:eastAsia="Times New Roman" w:hAnsi="Cambria"/>
          <w:bCs/>
          <w:sz w:val="20"/>
          <w:szCs w:val="20"/>
          <w:bdr w:val="none" w:sz="0" w:space="0" w:color="auto"/>
        </w:rPr>
        <w:t xml:space="preserve"> the irrelevance of immigration status and related matters to the issues in labor disputes and workplace rights, in addition to the chilling effect of such disclosures. Petitioners cite a number of cases in which they allege that courts “contemplating the </w:t>
      </w:r>
      <w:r w:rsidR="00A941D7" w:rsidRPr="00676B15">
        <w:rPr>
          <w:rFonts w:ascii="Cambria" w:eastAsia="Times New Roman" w:hAnsi="Cambria"/>
          <w:bCs/>
          <w:i/>
          <w:sz w:val="20"/>
          <w:szCs w:val="20"/>
          <w:bdr w:val="none" w:sz="0" w:space="0" w:color="auto"/>
        </w:rPr>
        <w:t>in</w:t>
      </w:r>
      <w:r w:rsidR="000D36C5" w:rsidRPr="00676B15">
        <w:rPr>
          <w:rFonts w:ascii="Cambria" w:eastAsia="Times New Roman" w:hAnsi="Cambria"/>
          <w:bCs/>
          <w:i/>
          <w:sz w:val="20"/>
          <w:szCs w:val="20"/>
          <w:bdr w:val="none" w:sz="0" w:space="0" w:color="auto"/>
        </w:rPr>
        <w:t xml:space="preserve"> </w:t>
      </w:r>
      <w:r w:rsidR="00A941D7" w:rsidRPr="00676B15">
        <w:rPr>
          <w:rFonts w:ascii="Cambria" w:eastAsia="Times New Roman" w:hAnsi="Cambria"/>
          <w:bCs/>
          <w:i/>
          <w:sz w:val="20"/>
          <w:szCs w:val="20"/>
          <w:bdr w:val="none" w:sz="0" w:space="0" w:color="auto"/>
        </w:rPr>
        <w:t>terrorem</w:t>
      </w:r>
      <w:r w:rsidR="00A941D7" w:rsidRPr="00676B15">
        <w:rPr>
          <w:rFonts w:ascii="Cambria" w:eastAsia="Times New Roman" w:hAnsi="Cambria"/>
          <w:bCs/>
          <w:sz w:val="20"/>
          <w:szCs w:val="20"/>
          <w:bdr w:val="none" w:sz="0" w:space="0" w:color="auto"/>
        </w:rPr>
        <w:t xml:space="preserve"> effect of discovery related to plaintiffs’ immigration status” have come to the same conclusions, upon considering “the overwhelmingly detrimental impact of potential harassment, intimidation, and threats against plaintiffs such discovery causes.”</w:t>
      </w:r>
      <w:r w:rsidR="00A941D7" w:rsidRPr="00676B15">
        <w:rPr>
          <w:rStyle w:val="FootnoteReference"/>
          <w:rFonts w:ascii="Cambria" w:eastAsia="Times New Roman" w:hAnsi="Cambria"/>
          <w:bCs/>
          <w:sz w:val="20"/>
          <w:szCs w:val="20"/>
          <w:bdr w:val="none" w:sz="0" w:space="0" w:color="auto"/>
        </w:rPr>
        <w:footnoteReference w:id="15"/>
      </w:r>
      <w:r w:rsidR="00104AA0" w:rsidRPr="00676B15">
        <w:rPr>
          <w:rFonts w:ascii="Cambria" w:eastAsia="Times New Roman" w:hAnsi="Cambria"/>
          <w:bCs/>
          <w:sz w:val="20"/>
          <w:szCs w:val="20"/>
          <w:bdr w:val="none" w:sz="0" w:space="0" w:color="auto"/>
        </w:rPr>
        <w:t xml:space="preserve"> To support </w:t>
      </w:r>
      <w:r w:rsidR="002F58F5" w:rsidRPr="00676B15">
        <w:rPr>
          <w:rFonts w:ascii="Cambria" w:eastAsia="Times New Roman" w:hAnsi="Cambria"/>
          <w:bCs/>
          <w:sz w:val="20"/>
          <w:szCs w:val="20"/>
          <w:bdr w:val="none" w:sz="0" w:space="0" w:color="auto"/>
        </w:rPr>
        <w:t>this argument</w:t>
      </w:r>
      <w:r w:rsidR="00973925" w:rsidRPr="00676B15">
        <w:rPr>
          <w:rFonts w:ascii="Cambria" w:eastAsia="Times New Roman" w:hAnsi="Cambria"/>
          <w:bCs/>
          <w:sz w:val="20"/>
          <w:szCs w:val="20"/>
          <w:bdr w:val="none" w:sz="0" w:space="0" w:color="auto"/>
        </w:rPr>
        <w:t>, petitioners cite</w:t>
      </w:r>
      <w:r w:rsidR="00104AA0" w:rsidRPr="00676B15">
        <w:rPr>
          <w:rFonts w:ascii="Cambria" w:eastAsia="Times New Roman" w:hAnsi="Cambria"/>
          <w:bCs/>
          <w:sz w:val="20"/>
          <w:szCs w:val="20"/>
          <w:bdr w:val="none" w:sz="0" w:space="0" w:color="auto"/>
        </w:rPr>
        <w:t xml:space="preserve"> cases in which courts found that granting discovery requests for information related to immigration status would allow illegal and condemnable actions by employers to go unreported and unsanctioned.</w:t>
      </w:r>
      <w:r w:rsidR="00104AA0" w:rsidRPr="00676B15">
        <w:rPr>
          <w:rStyle w:val="FootnoteReference"/>
          <w:rFonts w:ascii="Cambria" w:eastAsia="Times New Roman" w:hAnsi="Cambria"/>
          <w:bCs/>
          <w:sz w:val="20"/>
          <w:szCs w:val="20"/>
          <w:bdr w:val="none" w:sz="0" w:space="0" w:color="auto"/>
        </w:rPr>
        <w:footnoteReference w:id="16"/>
      </w:r>
    </w:p>
    <w:p w14:paraId="0AA86BA5" w14:textId="77777777" w:rsidR="00A32BEC" w:rsidRPr="00676B15" w:rsidRDefault="00A32BEC" w:rsidP="00354259">
      <w:pPr>
        <w:rPr>
          <w:rFonts w:eastAsia="Times New Roman"/>
          <w:bCs/>
          <w:sz w:val="20"/>
          <w:szCs w:val="20"/>
          <w:bdr w:val="none" w:sz="0" w:space="0" w:color="auto"/>
        </w:rPr>
      </w:pPr>
    </w:p>
    <w:p w14:paraId="1BF4BBC6" w14:textId="46582BA1" w:rsidR="004B725C" w:rsidRPr="00676B15" w:rsidRDefault="004B725C"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Lastly, the petitioners claim that in the years following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xml:space="preserve">, remedies available to undocumented workers under federal law are no longer guaranteed. This lack of remedies, they maintain, translates into a denial of </w:t>
      </w:r>
      <w:r w:rsidR="00BC0AB7" w:rsidRPr="00676B15">
        <w:rPr>
          <w:rFonts w:ascii="Cambria" w:eastAsia="Times New Roman" w:hAnsi="Cambria"/>
          <w:bCs/>
          <w:sz w:val="20"/>
          <w:szCs w:val="20"/>
          <w:bdr w:val="none" w:sz="0" w:space="0" w:color="auto"/>
        </w:rPr>
        <w:t>undocumented workers’</w:t>
      </w:r>
      <w:r w:rsidRPr="00676B15">
        <w:rPr>
          <w:rFonts w:ascii="Cambria" w:eastAsia="Times New Roman" w:hAnsi="Cambria"/>
          <w:bCs/>
          <w:sz w:val="20"/>
          <w:szCs w:val="20"/>
          <w:bdr w:val="none" w:sz="0" w:space="0" w:color="auto"/>
        </w:rPr>
        <w:t xml:space="preserve"> rights under these statutes.</w:t>
      </w:r>
      <w:r w:rsidR="002F58F5" w:rsidRPr="00676B15">
        <w:rPr>
          <w:rFonts w:ascii="Cambria" w:eastAsia="Times New Roman" w:hAnsi="Cambria"/>
          <w:bCs/>
          <w:sz w:val="20"/>
          <w:szCs w:val="20"/>
          <w:bdr w:val="none" w:sz="0" w:space="0" w:color="auto"/>
        </w:rPr>
        <w:t xml:space="preserve"> E</w:t>
      </w:r>
      <w:r w:rsidR="00504910" w:rsidRPr="00676B15">
        <w:rPr>
          <w:rFonts w:ascii="Cambria" w:eastAsia="Times New Roman" w:hAnsi="Cambria"/>
          <w:bCs/>
          <w:sz w:val="20"/>
          <w:szCs w:val="20"/>
          <w:bdr w:val="none" w:sz="0" w:space="0" w:color="auto"/>
        </w:rPr>
        <w:t xml:space="preserve">ven though </w:t>
      </w:r>
      <w:r w:rsidR="00BC0AB7" w:rsidRPr="00676B15">
        <w:rPr>
          <w:rFonts w:ascii="Cambria" w:eastAsia="Times New Roman" w:hAnsi="Cambria"/>
          <w:bCs/>
          <w:sz w:val="20"/>
          <w:szCs w:val="20"/>
          <w:bdr w:val="none" w:sz="0" w:space="0" w:color="auto"/>
        </w:rPr>
        <w:t>the petitioners</w:t>
      </w:r>
      <w:r w:rsidR="00504910" w:rsidRPr="00676B15">
        <w:rPr>
          <w:rFonts w:ascii="Cambria" w:eastAsia="Times New Roman" w:hAnsi="Cambria"/>
          <w:bCs/>
          <w:sz w:val="20"/>
          <w:szCs w:val="20"/>
          <w:bdr w:val="none" w:sz="0" w:space="0" w:color="auto"/>
        </w:rPr>
        <w:t xml:space="preserve"> recognize that “most litigation ultimately results in undocumented workers being found eligible for remedies under federal statutes,” </w:t>
      </w:r>
      <w:r w:rsidR="00BC0AB7" w:rsidRPr="00676B15">
        <w:rPr>
          <w:rFonts w:ascii="Cambria" w:eastAsia="Times New Roman" w:hAnsi="Cambria"/>
          <w:bCs/>
          <w:sz w:val="20"/>
          <w:szCs w:val="20"/>
          <w:bdr w:val="none" w:sz="0" w:space="0" w:color="auto"/>
        </w:rPr>
        <w:t>they argue that</w:t>
      </w:r>
      <w:r w:rsidR="00504910" w:rsidRPr="00676B15">
        <w:rPr>
          <w:rFonts w:ascii="Cambria" w:eastAsia="Times New Roman" w:hAnsi="Cambria"/>
          <w:bCs/>
          <w:sz w:val="20"/>
          <w:szCs w:val="20"/>
          <w:bdr w:val="none" w:sz="0" w:space="0" w:color="auto"/>
        </w:rPr>
        <w:t xml:space="preserve"> </w:t>
      </w:r>
      <w:r w:rsidR="00504910" w:rsidRPr="00676B15">
        <w:rPr>
          <w:rFonts w:ascii="Cambria" w:eastAsia="Times New Roman" w:hAnsi="Cambria"/>
          <w:bCs/>
          <w:i/>
          <w:sz w:val="20"/>
          <w:szCs w:val="20"/>
          <w:bdr w:val="none" w:sz="0" w:space="0" w:color="auto"/>
        </w:rPr>
        <w:t>Hoffman</w:t>
      </w:r>
      <w:r w:rsidR="00504910" w:rsidRPr="00676B15">
        <w:rPr>
          <w:rFonts w:ascii="Cambria" w:eastAsia="Times New Roman" w:hAnsi="Cambria"/>
          <w:bCs/>
          <w:sz w:val="20"/>
          <w:szCs w:val="20"/>
          <w:bdr w:val="none" w:sz="0" w:space="0" w:color="auto"/>
        </w:rPr>
        <w:t xml:space="preserve"> and cases following it have emboldened employers to disclose their workers’ immigration status and argue against their eligibility</w:t>
      </w:r>
      <w:r w:rsidR="002F58F5" w:rsidRPr="00676B15">
        <w:rPr>
          <w:rFonts w:ascii="Cambria" w:eastAsia="Times New Roman" w:hAnsi="Cambria"/>
          <w:bCs/>
          <w:sz w:val="20"/>
          <w:szCs w:val="20"/>
          <w:bdr w:val="none" w:sz="0" w:space="0" w:color="auto"/>
        </w:rPr>
        <w:t xml:space="preserve"> for workers’ compensation</w:t>
      </w:r>
      <w:r w:rsidR="00504910" w:rsidRPr="00676B15">
        <w:rPr>
          <w:rFonts w:ascii="Cambria" w:eastAsia="Times New Roman" w:hAnsi="Cambria"/>
          <w:bCs/>
          <w:sz w:val="20"/>
          <w:szCs w:val="20"/>
          <w:bdr w:val="none" w:sz="0" w:space="0" w:color="auto"/>
        </w:rPr>
        <w:t xml:space="preserve"> on the basis of their immigration status.</w:t>
      </w:r>
      <w:r w:rsidR="00504910" w:rsidRPr="00676B15">
        <w:rPr>
          <w:rStyle w:val="FootnoteReference"/>
          <w:rFonts w:ascii="Cambria" w:eastAsia="Times New Roman" w:hAnsi="Cambria"/>
          <w:bCs/>
          <w:sz w:val="20"/>
          <w:szCs w:val="20"/>
          <w:bdr w:val="none" w:sz="0" w:space="0" w:color="auto"/>
        </w:rPr>
        <w:footnoteReference w:id="17"/>
      </w:r>
      <w:r w:rsidR="00504910" w:rsidRPr="00676B15">
        <w:rPr>
          <w:rFonts w:ascii="Cambria" w:eastAsia="Times New Roman" w:hAnsi="Cambria"/>
          <w:bCs/>
          <w:sz w:val="20"/>
          <w:szCs w:val="20"/>
          <w:bdr w:val="none" w:sz="0" w:space="0" w:color="auto"/>
        </w:rPr>
        <w:t xml:space="preserve"> Importantly, petitioners assert that “the uncertainty of the outcome has forced undocumented workers to litigate and re-litigate supposedly guaranteed remedies on a case-by-case basis and in various contexts, with varying rates of success.”</w:t>
      </w:r>
      <w:r w:rsidR="00BC0AB7" w:rsidRPr="00676B15">
        <w:rPr>
          <w:rStyle w:val="FootnoteReference"/>
          <w:rFonts w:ascii="Cambria" w:eastAsia="Times New Roman" w:hAnsi="Cambria"/>
          <w:bCs/>
          <w:sz w:val="20"/>
          <w:szCs w:val="20"/>
          <w:bdr w:val="none" w:sz="0" w:space="0" w:color="auto"/>
        </w:rPr>
        <w:footnoteReference w:id="18"/>
      </w:r>
      <w:r w:rsidR="00504910" w:rsidRPr="00676B15">
        <w:rPr>
          <w:rFonts w:ascii="Cambria" w:eastAsia="Times New Roman" w:hAnsi="Cambria"/>
          <w:bCs/>
          <w:sz w:val="20"/>
          <w:szCs w:val="20"/>
          <w:bdr w:val="none" w:sz="0" w:space="0" w:color="auto"/>
        </w:rPr>
        <w:t xml:space="preserve"> According to the petitioners, this litigation </w:t>
      </w:r>
      <w:r w:rsidR="00504910" w:rsidRPr="00676B15">
        <w:rPr>
          <w:rFonts w:ascii="Cambria" w:eastAsia="Times New Roman" w:hAnsi="Cambria"/>
          <w:bCs/>
          <w:sz w:val="20"/>
          <w:szCs w:val="20"/>
          <w:bdr w:val="none" w:sz="0" w:space="0" w:color="auto"/>
        </w:rPr>
        <w:lastRenderedPageBreak/>
        <w:t xml:space="preserve">and mixed outcomes </w:t>
      </w:r>
      <w:r w:rsidR="002F58F5" w:rsidRPr="00676B15">
        <w:rPr>
          <w:rFonts w:ascii="Cambria" w:eastAsia="Times New Roman" w:hAnsi="Cambria"/>
          <w:bCs/>
          <w:sz w:val="20"/>
          <w:szCs w:val="20"/>
          <w:bdr w:val="none" w:sz="0" w:space="0" w:color="auto"/>
        </w:rPr>
        <w:t>threaten</w:t>
      </w:r>
      <w:r w:rsidR="00504910" w:rsidRPr="00676B15">
        <w:rPr>
          <w:rFonts w:ascii="Cambria" w:eastAsia="Times New Roman" w:hAnsi="Cambria"/>
          <w:bCs/>
          <w:sz w:val="20"/>
          <w:szCs w:val="20"/>
          <w:bdr w:val="none" w:sz="0" w:space="0" w:color="auto"/>
        </w:rPr>
        <w:t xml:space="preserve"> undocumented workers’ rights and simultaneously serve to </w:t>
      </w:r>
      <w:r w:rsidR="002F58F5" w:rsidRPr="00676B15">
        <w:rPr>
          <w:rFonts w:ascii="Cambria" w:eastAsia="Times New Roman" w:hAnsi="Cambria"/>
          <w:bCs/>
          <w:sz w:val="20"/>
          <w:szCs w:val="20"/>
          <w:bdr w:val="none" w:sz="0" w:space="0" w:color="auto"/>
        </w:rPr>
        <w:t>discourage</w:t>
      </w:r>
      <w:r w:rsidR="00504910" w:rsidRPr="00676B15">
        <w:rPr>
          <w:rFonts w:ascii="Cambria" w:eastAsia="Times New Roman" w:hAnsi="Cambria"/>
          <w:bCs/>
          <w:sz w:val="20"/>
          <w:szCs w:val="20"/>
          <w:bdr w:val="none" w:sz="0" w:space="0" w:color="auto"/>
        </w:rPr>
        <w:t xml:space="preserve"> them from claiming their rights. </w:t>
      </w:r>
    </w:p>
    <w:p w14:paraId="16D46A48" w14:textId="77777777" w:rsidR="004B725C" w:rsidRPr="00676B15" w:rsidRDefault="004B725C" w:rsidP="004B725C">
      <w:pPr>
        <w:pStyle w:val="ListParagraph"/>
        <w:rPr>
          <w:rFonts w:eastAsia="Times New Roman"/>
          <w:bCs/>
          <w:sz w:val="20"/>
          <w:szCs w:val="20"/>
          <w:bdr w:val="none" w:sz="0" w:space="0" w:color="auto"/>
        </w:rPr>
      </w:pPr>
    </w:p>
    <w:p w14:paraId="7A363CFB" w14:textId="3AFB5B13" w:rsidR="00354259" w:rsidRPr="00676B15" w:rsidRDefault="00B84C23"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The petitioner</w:t>
      </w:r>
      <w:r w:rsidR="00817956" w:rsidRPr="00676B15">
        <w:rPr>
          <w:rFonts w:ascii="Cambria" w:eastAsia="Times New Roman" w:hAnsi="Cambria"/>
          <w:bCs/>
          <w:sz w:val="20"/>
          <w:szCs w:val="20"/>
          <w:bdr w:val="none" w:sz="0" w:space="0" w:color="auto"/>
        </w:rPr>
        <w:t>s conclude</w:t>
      </w:r>
      <w:r w:rsidRPr="00676B15">
        <w:rPr>
          <w:rFonts w:ascii="Cambria" w:eastAsia="Times New Roman" w:hAnsi="Cambria"/>
          <w:bCs/>
          <w:sz w:val="20"/>
          <w:szCs w:val="20"/>
          <w:bdr w:val="none" w:sz="0" w:space="0" w:color="auto"/>
        </w:rPr>
        <w:t xml:space="preserve"> that, as a result of the above, the United States has failed in its affirmative obligation to ensure that </w:t>
      </w:r>
      <w:r w:rsidR="001C40D1" w:rsidRPr="00676B15">
        <w:rPr>
          <w:rFonts w:ascii="Cambria" w:eastAsia="Times New Roman" w:hAnsi="Cambria"/>
          <w:bCs/>
          <w:sz w:val="20"/>
          <w:szCs w:val="20"/>
          <w:bdr w:val="none" w:sz="0" w:space="0" w:color="auto"/>
        </w:rPr>
        <w:t>Messrs.</w:t>
      </w:r>
      <w:r w:rsidR="00817956" w:rsidRPr="00676B15">
        <w:rPr>
          <w:rFonts w:ascii="Cambria" w:eastAsia="Times New Roman" w:hAnsi="Cambria"/>
          <w:bCs/>
          <w:sz w:val="20"/>
          <w:szCs w:val="20"/>
          <w:bdr w:val="none" w:sz="0" w:space="0" w:color="auto"/>
        </w:rPr>
        <w:t xml:space="preserve"> Zumaya and Lizalde were</w:t>
      </w:r>
      <w:r w:rsidRPr="00676B15">
        <w:rPr>
          <w:rFonts w:ascii="Cambria" w:eastAsia="Times New Roman" w:hAnsi="Cambria"/>
          <w:bCs/>
          <w:sz w:val="20"/>
          <w:szCs w:val="20"/>
          <w:bdr w:val="none" w:sz="0" w:space="0" w:color="auto"/>
        </w:rPr>
        <w:t xml:space="preserve"> not discriminated against in the realization of their labor rights</w:t>
      </w:r>
      <w:r w:rsidR="00504910" w:rsidRPr="00676B15">
        <w:rPr>
          <w:rFonts w:ascii="Cambria" w:eastAsia="Times New Roman" w:hAnsi="Cambria"/>
          <w:bCs/>
          <w:sz w:val="20"/>
          <w:szCs w:val="20"/>
          <w:bdr w:val="none" w:sz="0" w:space="0" w:color="auto"/>
        </w:rPr>
        <w:t xml:space="preserve"> and that they had </w:t>
      </w:r>
      <w:r w:rsidR="00BC0AB7" w:rsidRPr="00676B15">
        <w:rPr>
          <w:rFonts w:ascii="Cambria" w:eastAsia="Times New Roman" w:hAnsi="Cambria"/>
          <w:bCs/>
          <w:sz w:val="20"/>
          <w:szCs w:val="20"/>
          <w:bdr w:val="none" w:sz="0" w:space="0" w:color="auto"/>
        </w:rPr>
        <w:t xml:space="preserve">effective </w:t>
      </w:r>
      <w:r w:rsidR="00504910" w:rsidRPr="00676B15">
        <w:rPr>
          <w:rFonts w:ascii="Cambria" w:eastAsia="Times New Roman" w:hAnsi="Cambria"/>
          <w:bCs/>
          <w:sz w:val="20"/>
          <w:szCs w:val="20"/>
          <w:bdr w:val="none" w:sz="0" w:space="0" w:color="auto"/>
        </w:rPr>
        <w:t>access to justice</w:t>
      </w:r>
      <w:r w:rsidRPr="00676B15">
        <w:rPr>
          <w:rFonts w:ascii="Cambria" w:eastAsia="Times New Roman" w:hAnsi="Cambria"/>
          <w:bCs/>
          <w:sz w:val="20"/>
          <w:szCs w:val="20"/>
          <w:bdr w:val="none" w:sz="0" w:space="0" w:color="auto"/>
        </w:rPr>
        <w:t xml:space="preserve">. Thus, </w:t>
      </w:r>
      <w:r w:rsidR="00817956" w:rsidRPr="00676B15">
        <w:rPr>
          <w:rFonts w:ascii="Cambria" w:eastAsia="Times New Roman" w:hAnsi="Cambria"/>
          <w:bCs/>
          <w:sz w:val="20"/>
          <w:szCs w:val="20"/>
          <w:bdr w:val="none" w:sz="0" w:space="0" w:color="auto"/>
        </w:rPr>
        <w:t xml:space="preserve">according to the petitioners, </w:t>
      </w:r>
      <w:r w:rsidRPr="00676B15">
        <w:rPr>
          <w:rFonts w:ascii="Cambria" w:eastAsia="Times New Roman" w:hAnsi="Cambria"/>
          <w:bCs/>
          <w:sz w:val="20"/>
          <w:szCs w:val="20"/>
          <w:bdr w:val="none" w:sz="0" w:space="0" w:color="auto"/>
        </w:rPr>
        <w:t>the State has violated the</w:t>
      </w:r>
      <w:r w:rsidR="00817956" w:rsidRPr="00676B15">
        <w:rPr>
          <w:rFonts w:ascii="Cambria" w:eastAsia="Times New Roman" w:hAnsi="Cambria"/>
          <w:bCs/>
          <w:sz w:val="20"/>
          <w:szCs w:val="20"/>
          <w:bdr w:val="none" w:sz="0" w:space="0" w:color="auto"/>
        </w:rPr>
        <w:t>ir</w:t>
      </w:r>
      <w:r w:rsidRPr="00676B15">
        <w:rPr>
          <w:rFonts w:ascii="Cambria" w:eastAsia="Times New Roman" w:hAnsi="Cambria"/>
          <w:bCs/>
          <w:sz w:val="20"/>
          <w:szCs w:val="20"/>
          <w:bdr w:val="none" w:sz="0" w:space="0" w:color="auto"/>
        </w:rPr>
        <w:t xml:space="preserve"> rights to equality before law</w:t>
      </w:r>
      <w:r w:rsidR="00BC0AB7" w:rsidRPr="00676B15">
        <w:rPr>
          <w:rFonts w:ascii="Cambria" w:eastAsia="Times New Roman" w:hAnsi="Cambria"/>
          <w:bCs/>
          <w:sz w:val="20"/>
          <w:szCs w:val="20"/>
          <w:bdr w:val="none" w:sz="0" w:space="0" w:color="auto"/>
        </w:rPr>
        <w:t>,</w:t>
      </w:r>
      <w:r w:rsidRPr="00676B15">
        <w:rPr>
          <w:rFonts w:ascii="Cambria" w:eastAsia="Times New Roman" w:hAnsi="Cambria"/>
          <w:bCs/>
          <w:sz w:val="20"/>
          <w:szCs w:val="20"/>
          <w:bdr w:val="none" w:sz="0" w:space="0" w:color="auto"/>
        </w:rPr>
        <w:t xml:space="preserve"> recognition of juridical personality and civil rights</w:t>
      </w:r>
      <w:r w:rsidR="00BC0AB7" w:rsidRPr="00676B15">
        <w:rPr>
          <w:rFonts w:ascii="Cambria" w:eastAsia="Times New Roman" w:hAnsi="Cambria"/>
          <w:bCs/>
          <w:sz w:val="20"/>
          <w:szCs w:val="20"/>
          <w:bdr w:val="none" w:sz="0" w:space="0" w:color="auto"/>
        </w:rPr>
        <w:t>, and to a fair trial, as</w:t>
      </w:r>
      <w:r w:rsidRPr="00676B15">
        <w:rPr>
          <w:rFonts w:ascii="Cambria" w:eastAsia="Times New Roman" w:hAnsi="Cambria"/>
          <w:bCs/>
          <w:sz w:val="20"/>
          <w:szCs w:val="20"/>
          <w:bdr w:val="none" w:sz="0" w:space="0" w:color="auto"/>
        </w:rPr>
        <w:t xml:space="preserve"> set forth in Articles II</w:t>
      </w:r>
      <w:r w:rsidR="00ED3FB8" w:rsidRPr="00676B15">
        <w:rPr>
          <w:rFonts w:ascii="Cambria" w:eastAsia="Times New Roman" w:hAnsi="Cambria"/>
          <w:bCs/>
          <w:sz w:val="20"/>
          <w:szCs w:val="20"/>
          <w:bdr w:val="none" w:sz="0" w:space="0" w:color="auto"/>
        </w:rPr>
        <w:t>, XVII, and XVIII</w:t>
      </w:r>
      <w:r w:rsidRPr="00676B15">
        <w:rPr>
          <w:rFonts w:ascii="Cambria" w:eastAsia="Times New Roman" w:hAnsi="Cambria"/>
          <w:bCs/>
          <w:sz w:val="20"/>
          <w:szCs w:val="20"/>
          <w:bdr w:val="none" w:sz="0" w:space="0" w:color="auto"/>
        </w:rPr>
        <w:t xml:space="preserve"> of the American Declaration. </w:t>
      </w:r>
    </w:p>
    <w:p w14:paraId="0DCE5130" w14:textId="77777777" w:rsidR="004347D8" w:rsidRPr="00676B15" w:rsidRDefault="004347D8" w:rsidP="004347D8"/>
    <w:p w14:paraId="3F0D5669" w14:textId="77777777" w:rsidR="004347D8" w:rsidRPr="00676B15" w:rsidRDefault="004347D8" w:rsidP="00862660">
      <w:pPr>
        <w:pStyle w:val="Heading2"/>
        <w:ind w:left="1530" w:hanging="810"/>
      </w:pPr>
      <w:bookmarkStart w:id="14" w:name="_Toc466296162"/>
      <w:r w:rsidRPr="00676B15">
        <w:t>The State</w:t>
      </w:r>
      <w:bookmarkEnd w:id="14"/>
    </w:p>
    <w:p w14:paraId="7DB8C7EB" w14:textId="77777777" w:rsidR="00354259" w:rsidRPr="00676B15" w:rsidRDefault="00354259" w:rsidP="00354259"/>
    <w:p w14:paraId="34DA710B" w14:textId="08A76634" w:rsidR="00817956" w:rsidRPr="00676B15" w:rsidRDefault="00817956"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The State does not dispute the factual circumstances of either Mr. Zumaya</w:t>
      </w:r>
      <w:r w:rsidR="00973925" w:rsidRPr="00676B15">
        <w:rPr>
          <w:rFonts w:ascii="Cambria" w:eastAsia="Times New Roman" w:hAnsi="Cambria"/>
          <w:bCs/>
          <w:sz w:val="20"/>
          <w:szCs w:val="20"/>
          <w:bdr w:val="none" w:sz="0" w:space="0" w:color="auto"/>
        </w:rPr>
        <w:t>’s or Mr. Lizalde’s case</w:t>
      </w:r>
      <w:r w:rsidRPr="00676B15">
        <w:rPr>
          <w:rFonts w:ascii="Cambria" w:eastAsia="Times New Roman" w:hAnsi="Cambria"/>
          <w:bCs/>
          <w:sz w:val="20"/>
          <w:szCs w:val="20"/>
          <w:bdr w:val="none" w:sz="0" w:space="0" w:color="auto"/>
        </w:rPr>
        <w:t>. It does, however, dispute the petitioners’ claims concerning the availability of remedies</w:t>
      </w:r>
      <w:r w:rsidR="00D24B82" w:rsidRPr="00676B15">
        <w:rPr>
          <w:rFonts w:ascii="Cambria" w:eastAsia="Times New Roman" w:hAnsi="Cambria"/>
          <w:bCs/>
          <w:sz w:val="20"/>
          <w:szCs w:val="20"/>
          <w:bdr w:val="none" w:sz="0" w:space="0" w:color="auto"/>
        </w:rPr>
        <w:t xml:space="preserve"> and maintains that the petition sets forth no human rights violations</w:t>
      </w:r>
      <w:r w:rsidRPr="00676B15">
        <w:rPr>
          <w:rFonts w:ascii="Cambria" w:eastAsia="Times New Roman" w:hAnsi="Cambria"/>
          <w:bCs/>
          <w:sz w:val="20"/>
          <w:szCs w:val="20"/>
          <w:bdr w:val="none" w:sz="0" w:space="0" w:color="auto"/>
        </w:rPr>
        <w:t xml:space="preserve">, </w:t>
      </w:r>
      <w:r w:rsidR="003A19C7" w:rsidRPr="00676B15">
        <w:rPr>
          <w:rFonts w:ascii="Cambria" w:eastAsia="Times New Roman" w:hAnsi="Cambria"/>
          <w:bCs/>
          <w:sz w:val="20"/>
          <w:szCs w:val="20"/>
          <w:bdr w:val="none" w:sz="0" w:space="0" w:color="auto"/>
        </w:rPr>
        <w:t>as explained</w:t>
      </w:r>
      <w:r w:rsidRPr="00676B15">
        <w:rPr>
          <w:rFonts w:ascii="Cambria" w:eastAsia="Times New Roman" w:hAnsi="Cambria"/>
          <w:bCs/>
          <w:sz w:val="20"/>
          <w:szCs w:val="20"/>
          <w:bdr w:val="none" w:sz="0" w:space="0" w:color="auto"/>
        </w:rPr>
        <w:t xml:space="preserve"> in more detail below. </w:t>
      </w:r>
    </w:p>
    <w:p w14:paraId="3B2F7169" w14:textId="77777777" w:rsidR="00817956" w:rsidRPr="00676B15" w:rsidRDefault="00817956" w:rsidP="0081795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261EAEC0" w14:textId="1048563D" w:rsidR="00354259" w:rsidRPr="00676B15" w:rsidRDefault="00B84C23"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The United States </w:t>
      </w:r>
      <w:r w:rsidR="008D6586" w:rsidRPr="00676B15">
        <w:rPr>
          <w:rFonts w:ascii="Cambria" w:eastAsia="Times New Roman" w:hAnsi="Cambria"/>
          <w:bCs/>
          <w:sz w:val="20"/>
          <w:szCs w:val="20"/>
          <w:bdr w:val="none" w:sz="0" w:space="0" w:color="auto"/>
        </w:rPr>
        <w:t xml:space="preserve">submits that it is fully committed to the protection of all workers, including undocumented </w:t>
      </w:r>
      <w:r w:rsidR="003A19C7" w:rsidRPr="00676B15">
        <w:rPr>
          <w:rFonts w:ascii="Cambria" w:eastAsia="Times New Roman" w:hAnsi="Cambria"/>
          <w:bCs/>
          <w:sz w:val="20"/>
          <w:szCs w:val="20"/>
          <w:bdr w:val="none" w:sz="0" w:space="0" w:color="auto"/>
        </w:rPr>
        <w:t>persons</w:t>
      </w:r>
      <w:r w:rsidR="008D6586" w:rsidRPr="00676B15">
        <w:rPr>
          <w:rFonts w:ascii="Cambria" w:eastAsia="Times New Roman" w:hAnsi="Cambria"/>
          <w:bCs/>
          <w:sz w:val="20"/>
          <w:szCs w:val="20"/>
          <w:bdr w:val="none" w:sz="0" w:space="0" w:color="auto"/>
        </w:rPr>
        <w:t xml:space="preserve">. </w:t>
      </w:r>
      <w:r w:rsidR="00681D81" w:rsidRPr="00676B15">
        <w:rPr>
          <w:rFonts w:ascii="Cambria" w:eastAsia="Times New Roman" w:hAnsi="Cambria"/>
          <w:bCs/>
          <w:sz w:val="20"/>
          <w:szCs w:val="20"/>
          <w:bdr w:val="none" w:sz="0" w:space="0" w:color="auto"/>
        </w:rPr>
        <w:t xml:space="preserve">The State </w:t>
      </w:r>
      <w:r w:rsidR="00973925" w:rsidRPr="00676B15">
        <w:rPr>
          <w:rFonts w:ascii="Cambria" w:eastAsia="Times New Roman" w:hAnsi="Cambria"/>
          <w:bCs/>
          <w:sz w:val="20"/>
          <w:szCs w:val="20"/>
          <w:bdr w:val="none" w:sz="0" w:space="0" w:color="auto"/>
        </w:rPr>
        <w:t>details</w:t>
      </w:r>
      <w:r w:rsidR="00817956" w:rsidRPr="00676B15">
        <w:rPr>
          <w:rFonts w:ascii="Cambria" w:eastAsia="Times New Roman" w:hAnsi="Cambria"/>
          <w:bCs/>
          <w:sz w:val="20"/>
          <w:szCs w:val="20"/>
          <w:bdr w:val="none" w:sz="0" w:space="0" w:color="auto"/>
        </w:rPr>
        <w:t xml:space="preserve"> the efforts it </w:t>
      </w:r>
      <w:r w:rsidR="00973925" w:rsidRPr="00676B15">
        <w:rPr>
          <w:rFonts w:ascii="Cambria" w:eastAsia="Times New Roman" w:hAnsi="Cambria"/>
          <w:bCs/>
          <w:sz w:val="20"/>
          <w:szCs w:val="20"/>
          <w:bdr w:val="none" w:sz="0" w:space="0" w:color="auto"/>
        </w:rPr>
        <w:t>makes</w:t>
      </w:r>
      <w:r w:rsidR="00817956" w:rsidRPr="00676B15">
        <w:rPr>
          <w:rFonts w:ascii="Cambria" w:eastAsia="Times New Roman" w:hAnsi="Cambria"/>
          <w:bCs/>
          <w:sz w:val="20"/>
          <w:szCs w:val="20"/>
          <w:bdr w:val="none" w:sz="0" w:space="0" w:color="auto"/>
        </w:rPr>
        <w:t xml:space="preserve"> </w:t>
      </w:r>
      <w:r w:rsidR="00681D81" w:rsidRPr="00676B15">
        <w:rPr>
          <w:rFonts w:ascii="Cambria" w:eastAsia="Times New Roman" w:hAnsi="Cambria"/>
          <w:bCs/>
          <w:sz w:val="20"/>
          <w:szCs w:val="20"/>
          <w:bdr w:val="none" w:sz="0" w:space="0" w:color="auto"/>
        </w:rPr>
        <w:t>through its various agencies,</w:t>
      </w:r>
      <w:r w:rsidR="00817956" w:rsidRPr="00676B15">
        <w:rPr>
          <w:rFonts w:ascii="Cambria" w:eastAsia="Times New Roman" w:hAnsi="Cambria"/>
          <w:bCs/>
          <w:sz w:val="20"/>
          <w:szCs w:val="20"/>
          <w:bdr w:val="none" w:sz="0" w:space="0" w:color="auto"/>
        </w:rPr>
        <w:t xml:space="preserve"> outlined below,</w:t>
      </w:r>
      <w:r w:rsidR="00681D81" w:rsidRPr="00676B15">
        <w:rPr>
          <w:rFonts w:ascii="Cambria" w:eastAsia="Times New Roman" w:hAnsi="Cambria"/>
          <w:bCs/>
          <w:sz w:val="20"/>
          <w:szCs w:val="20"/>
          <w:bdr w:val="none" w:sz="0" w:space="0" w:color="auto"/>
        </w:rPr>
        <w:t xml:space="preserve"> to pursue enforcement of labor and employment laws against employers who violate these laws, regardless of whether the victims of those violations are lawfully present and entitled to work in the United States. </w:t>
      </w:r>
    </w:p>
    <w:p w14:paraId="0222BAEB" w14:textId="77777777" w:rsidR="009B4519" w:rsidRPr="00676B15" w:rsidRDefault="009B4519" w:rsidP="00A6454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09698192" w14:textId="77777777" w:rsidR="00A64546" w:rsidRPr="00676B15" w:rsidRDefault="00A64546" w:rsidP="00862660">
      <w:pPr>
        <w:pStyle w:val="Heading3"/>
        <w:numPr>
          <w:ilvl w:val="0"/>
          <w:numId w:val="59"/>
        </w:numPr>
        <w:tabs>
          <w:tab w:val="left" w:pos="1530"/>
        </w:tabs>
        <w:ind w:hanging="1080"/>
      </w:pPr>
      <w:bookmarkStart w:id="15" w:name="_Toc438547101"/>
      <w:bookmarkStart w:id="16" w:name="_Toc466296163"/>
      <w:r w:rsidRPr="00676B15">
        <w:t>Labor Protection Efforts</w:t>
      </w:r>
      <w:bookmarkEnd w:id="15"/>
      <w:bookmarkEnd w:id="16"/>
    </w:p>
    <w:p w14:paraId="2F9C7A5C" w14:textId="77777777" w:rsidR="00A64546" w:rsidRPr="00676B15" w:rsidRDefault="00A64546" w:rsidP="00A6454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210EEE5C" w14:textId="68AA22BB" w:rsidR="00681D81" w:rsidRPr="00676B15" w:rsidRDefault="009B4519"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The State cites as examples</w:t>
      </w:r>
      <w:r w:rsidR="00A64546" w:rsidRPr="00676B15">
        <w:rPr>
          <w:rFonts w:ascii="Cambria" w:eastAsia="Times New Roman" w:hAnsi="Cambria"/>
          <w:bCs/>
          <w:sz w:val="20"/>
          <w:szCs w:val="20"/>
          <w:bdr w:val="none" w:sz="0" w:space="0" w:color="auto"/>
        </w:rPr>
        <w:t xml:space="preserve"> of its</w:t>
      </w:r>
      <w:r w:rsidRPr="00676B15">
        <w:rPr>
          <w:rFonts w:ascii="Cambria" w:eastAsia="Times New Roman" w:hAnsi="Cambria"/>
          <w:bCs/>
          <w:sz w:val="20"/>
          <w:szCs w:val="20"/>
          <w:bdr w:val="none" w:sz="0" w:space="0" w:color="auto"/>
        </w:rPr>
        <w:t xml:space="preserve"> </w:t>
      </w:r>
      <w:r w:rsidR="00D66C4D" w:rsidRPr="00676B15">
        <w:rPr>
          <w:rFonts w:ascii="Cambria" w:eastAsia="Times New Roman" w:hAnsi="Cambria"/>
          <w:bCs/>
          <w:sz w:val="20"/>
          <w:szCs w:val="20"/>
          <w:bdr w:val="none" w:sz="0" w:space="0" w:color="auto"/>
        </w:rPr>
        <w:t xml:space="preserve">enforcement </w:t>
      </w:r>
      <w:r w:rsidRPr="00676B15">
        <w:rPr>
          <w:rFonts w:ascii="Cambria" w:eastAsia="Times New Roman" w:hAnsi="Cambria"/>
          <w:bCs/>
          <w:sz w:val="20"/>
          <w:szCs w:val="20"/>
          <w:bdr w:val="none" w:sz="0" w:space="0" w:color="auto"/>
        </w:rPr>
        <w:t xml:space="preserve">efforts </w:t>
      </w:r>
      <w:r w:rsidR="00A64546" w:rsidRPr="00676B15">
        <w:rPr>
          <w:rFonts w:ascii="Cambria" w:eastAsia="Times New Roman" w:hAnsi="Cambria"/>
          <w:bCs/>
          <w:sz w:val="20"/>
          <w:szCs w:val="20"/>
          <w:bdr w:val="none" w:sz="0" w:space="0" w:color="auto"/>
        </w:rPr>
        <w:t xml:space="preserve">those </w:t>
      </w:r>
      <w:r w:rsidR="00D66C4D" w:rsidRPr="00676B15">
        <w:rPr>
          <w:rFonts w:ascii="Cambria" w:eastAsia="Times New Roman" w:hAnsi="Cambria"/>
          <w:bCs/>
          <w:sz w:val="20"/>
          <w:szCs w:val="20"/>
          <w:bdr w:val="none" w:sz="0" w:space="0" w:color="auto"/>
        </w:rPr>
        <w:t>undertaken by</w:t>
      </w:r>
      <w:r w:rsidRPr="00676B15">
        <w:rPr>
          <w:rFonts w:ascii="Cambria" w:eastAsia="Times New Roman" w:hAnsi="Cambria"/>
          <w:bCs/>
          <w:sz w:val="20"/>
          <w:szCs w:val="20"/>
          <w:bdr w:val="none" w:sz="0" w:space="0" w:color="auto"/>
        </w:rPr>
        <w:t xml:space="preserve"> the Department of Labor (DOL), National Labor Relations Board (NLRB), and the Equal Employment Opportunity Commission (EEOC).  </w:t>
      </w:r>
      <w:r w:rsidR="00D66C4D" w:rsidRPr="00676B15">
        <w:rPr>
          <w:rFonts w:ascii="Cambria" w:eastAsia="Times New Roman" w:hAnsi="Cambria"/>
          <w:bCs/>
          <w:sz w:val="20"/>
          <w:szCs w:val="20"/>
          <w:bdr w:val="none" w:sz="0" w:space="0" w:color="auto"/>
        </w:rPr>
        <w:t xml:space="preserve">According to the State, the DOL administers and enforces more than 180 federal laws for the protection and advancement of workers in the United States. </w:t>
      </w:r>
      <w:r w:rsidR="00817956" w:rsidRPr="00676B15">
        <w:rPr>
          <w:rFonts w:ascii="Cambria" w:eastAsia="Times New Roman" w:hAnsi="Cambria"/>
          <w:bCs/>
          <w:sz w:val="20"/>
          <w:szCs w:val="20"/>
          <w:bdr w:val="none" w:sz="0" w:space="0" w:color="auto"/>
        </w:rPr>
        <w:t>Of these 180, t</w:t>
      </w:r>
      <w:r w:rsidR="00D66C4D" w:rsidRPr="00676B15">
        <w:rPr>
          <w:rFonts w:ascii="Cambria" w:eastAsia="Times New Roman" w:hAnsi="Cambria"/>
          <w:bCs/>
          <w:sz w:val="20"/>
          <w:szCs w:val="20"/>
          <w:bdr w:val="none" w:sz="0" w:space="0" w:color="auto"/>
        </w:rPr>
        <w:t>wo major statutes it enforces are the Fair Labor Standards Act (FLSA), administered by its Wage and Hour Division, and the Occupational Safety and Health Act (OSH Act), administered by the Occupational Safety and Health Administration</w:t>
      </w:r>
      <w:r w:rsidR="003A19C7" w:rsidRPr="00676B15">
        <w:rPr>
          <w:rFonts w:ascii="Cambria" w:eastAsia="Times New Roman" w:hAnsi="Cambria"/>
          <w:bCs/>
          <w:sz w:val="20"/>
          <w:szCs w:val="20"/>
          <w:bdr w:val="none" w:sz="0" w:space="0" w:color="auto"/>
        </w:rPr>
        <w:t xml:space="preserve"> (OSHA)</w:t>
      </w:r>
      <w:r w:rsidR="00D66C4D" w:rsidRPr="00676B15">
        <w:rPr>
          <w:rFonts w:ascii="Cambria" w:eastAsia="Times New Roman" w:hAnsi="Cambria"/>
          <w:bCs/>
          <w:sz w:val="20"/>
          <w:szCs w:val="20"/>
          <w:bdr w:val="none" w:sz="0" w:space="0" w:color="auto"/>
        </w:rPr>
        <w:t xml:space="preserve">. The FLSA prescribes standards for wages and overtime pay, and the OSH Act prescribes a set of regulations and safety and health standards that public sector employers must meet. With regard to the health and safety conditions in private industries, the State asserts that OSHA or OSHA-approved state programs regulate those workplace conditions. </w:t>
      </w:r>
    </w:p>
    <w:p w14:paraId="54DB0CEF" w14:textId="77777777" w:rsidR="007A563B" w:rsidRPr="00676B15" w:rsidRDefault="007A563B" w:rsidP="007A563B">
      <w:pPr>
        <w:pStyle w:val="ListParagraph"/>
        <w:rPr>
          <w:rFonts w:eastAsia="Times New Roman"/>
          <w:bCs/>
          <w:sz w:val="20"/>
          <w:szCs w:val="20"/>
          <w:bdr w:val="none" w:sz="0" w:space="0" w:color="auto"/>
        </w:rPr>
      </w:pPr>
    </w:p>
    <w:p w14:paraId="728C1648" w14:textId="62035CFD" w:rsidR="007A563B" w:rsidRPr="00676B15" w:rsidRDefault="007A563B"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In addition to the work performed by the DOL internally, the State maintains that the Department engages bilaterally with nations of origin </w:t>
      </w:r>
      <w:r w:rsidR="004121CB" w:rsidRPr="00676B15">
        <w:rPr>
          <w:rFonts w:ascii="Cambria" w:eastAsia="Times New Roman" w:hAnsi="Cambria"/>
          <w:bCs/>
          <w:sz w:val="20"/>
          <w:szCs w:val="20"/>
          <w:bdr w:val="none" w:sz="0" w:space="0" w:color="auto"/>
        </w:rPr>
        <w:t>for undocumented workers. The State alleges that these consultations have resulted in DOL initiatives to inform migrant workers about applicable labor protections under United States laws. Further, the State cites a number of joint declarations it has with other States, including Mexico, Costa Rica, El Salvador, Guatemala, Nicaragua, and Belize, on mutual commitments to inform workers about their labor rights in the United States and to foster environments in which these rights are respected.</w:t>
      </w:r>
    </w:p>
    <w:p w14:paraId="033FCE6F" w14:textId="77777777" w:rsidR="003C3D74" w:rsidRPr="00676B15" w:rsidRDefault="003C3D74" w:rsidP="003C3D74">
      <w:pPr>
        <w:pStyle w:val="ListParagraph"/>
        <w:rPr>
          <w:rFonts w:eastAsia="Times New Roman"/>
          <w:bCs/>
          <w:sz w:val="20"/>
          <w:szCs w:val="20"/>
          <w:bdr w:val="none" w:sz="0" w:space="0" w:color="auto"/>
        </w:rPr>
      </w:pPr>
    </w:p>
    <w:p w14:paraId="41DF189E" w14:textId="361335D2" w:rsidR="003C3D74" w:rsidRPr="00676B15" w:rsidRDefault="005D666A"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The State also refers to the work of the NLRB in enforcing the Nati</w:t>
      </w:r>
      <w:r w:rsidR="001A635C" w:rsidRPr="00676B15">
        <w:rPr>
          <w:rFonts w:ascii="Cambria" w:eastAsia="Times New Roman" w:hAnsi="Cambria"/>
          <w:bCs/>
          <w:sz w:val="20"/>
          <w:szCs w:val="20"/>
          <w:bdr w:val="none" w:sz="0" w:space="0" w:color="auto"/>
        </w:rPr>
        <w:t>onal Labor Relations Act (NLRA). The State</w:t>
      </w:r>
      <w:r w:rsidRPr="00676B15">
        <w:rPr>
          <w:rFonts w:ascii="Cambria" w:eastAsia="Times New Roman" w:hAnsi="Cambria"/>
          <w:bCs/>
          <w:sz w:val="20"/>
          <w:szCs w:val="20"/>
          <w:bdr w:val="none" w:sz="0" w:space="0" w:color="auto"/>
        </w:rPr>
        <w:t xml:space="preserve"> </w:t>
      </w:r>
      <w:r w:rsidR="00FB0B2A" w:rsidRPr="00676B15">
        <w:rPr>
          <w:rFonts w:ascii="Cambria" w:eastAsia="Times New Roman" w:hAnsi="Cambria"/>
          <w:bCs/>
          <w:sz w:val="20"/>
          <w:szCs w:val="20"/>
          <w:bdr w:val="none" w:sz="0" w:space="0" w:color="auto"/>
        </w:rPr>
        <w:t>affirms</w:t>
      </w:r>
      <w:r w:rsidR="001A635C" w:rsidRPr="00676B15">
        <w:rPr>
          <w:rFonts w:ascii="Cambria" w:eastAsia="Times New Roman" w:hAnsi="Cambria"/>
          <w:bCs/>
          <w:sz w:val="20"/>
          <w:szCs w:val="20"/>
          <w:bdr w:val="none" w:sz="0" w:space="0" w:color="auto"/>
        </w:rPr>
        <w:t xml:space="preserve"> that the NLRA</w:t>
      </w:r>
      <w:r w:rsidRPr="00676B15">
        <w:rPr>
          <w:rFonts w:ascii="Cambria" w:eastAsia="Times New Roman" w:hAnsi="Cambria"/>
          <w:bCs/>
          <w:sz w:val="20"/>
          <w:szCs w:val="20"/>
          <w:bdr w:val="none" w:sz="0" w:space="0" w:color="auto"/>
        </w:rPr>
        <w:t xml:space="preserve"> guarantees covered employees the right to form, join, decertify, or assist a labor organization and to bargain collectively through representatives of their own choosing or to refrain from such activities. According to the State, employers must not interfere with rights under the NLRA, and employees, labor organizations, and employers themselves may file charges alleging unfair labor practices with the NLRB. The NLRB, in turn, investigates the claims and makes findings</w:t>
      </w:r>
      <w:r w:rsidR="001A635C" w:rsidRPr="00676B15">
        <w:rPr>
          <w:rFonts w:ascii="Cambria" w:eastAsia="Times New Roman" w:hAnsi="Cambria"/>
          <w:bCs/>
          <w:sz w:val="20"/>
          <w:szCs w:val="20"/>
          <w:bdr w:val="none" w:sz="0" w:space="0" w:color="auto"/>
        </w:rPr>
        <w:t xml:space="preserve"> on the merits</w:t>
      </w:r>
      <w:r w:rsidRPr="00676B15">
        <w:rPr>
          <w:rFonts w:ascii="Cambria" w:eastAsia="Times New Roman" w:hAnsi="Cambria"/>
          <w:bCs/>
          <w:sz w:val="20"/>
          <w:szCs w:val="20"/>
          <w:bdr w:val="none" w:sz="0" w:space="0" w:color="auto"/>
        </w:rPr>
        <w:t xml:space="preserve"> and recommendations, which include “make-whole remedies, such as reinstatement and </w:t>
      </w:r>
      <w:r w:rsidR="000D37AB" w:rsidRPr="00676B15">
        <w:rPr>
          <w:rFonts w:ascii="Cambria" w:eastAsia="Times New Roman" w:hAnsi="Cambria"/>
          <w:bCs/>
          <w:sz w:val="20"/>
          <w:szCs w:val="20"/>
          <w:bdr w:val="none" w:sz="0" w:space="0" w:color="auto"/>
        </w:rPr>
        <w:t>backpay</w:t>
      </w:r>
      <w:r w:rsidRPr="00676B15">
        <w:rPr>
          <w:rFonts w:ascii="Cambria" w:eastAsia="Times New Roman" w:hAnsi="Cambria"/>
          <w:bCs/>
          <w:sz w:val="20"/>
          <w:szCs w:val="20"/>
          <w:bdr w:val="none" w:sz="0" w:space="0" w:color="auto"/>
        </w:rPr>
        <w:t xml:space="preserve"> for discharged workers.” </w:t>
      </w:r>
      <w:r w:rsidR="001A635C" w:rsidRPr="00676B15">
        <w:rPr>
          <w:rFonts w:ascii="Cambria" w:eastAsia="Times New Roman" w:hAnsi="Cambria"/>
          <w:bCs/>
          <w:sz w:val="20"/>
          <w:szCs w:val="20"/>
          <w:bdr w:val="none" w:sz="0" w:space="0" w:color="auto"/>
        </w:rPr>
        <w:t>As examples of the types of sanctions</w:t>
      </w:r>
      <w:r w:rsidR="00FB0B2A" w:rsidRPr="00676B15">
        <w:rPr>
          <w:rFonts w:ascii="Cambria" w:eastAsia="Times New Roman" w:hAnsi="Cambria"/>
          <w:bCs/>
          <w:sz w:val="20"/>
          <w:szCs w:val="20"/>
          <w:bdr w:val="none" w:sz="0" w:space="0" w:color="auto"/>
        </w:rPr>
        <w:t xml:space="preserve"> that the NLRB may impose</w:t>
      </w:r>
      <w:r w:rsidR="001A635C" w:rsidRPr="00676B15">
        <w:rPr>
          <w:rFonts w:ascii="Cambria" w:eastAsia="Times New Roman" w:hAnsi="Cambria"/>
          <w:bCs/>
          <w:sz w:val="20"/>
          <w:szCs w:val="20"/>
          <w:bdr w:val="none" w:sz="0" w:space="0" w:color="auto"/>
        </w:rPr>
        <w:t>, the State mentions that</w:t>
      </w:r>
      <w:r w:rsidRPr="00676B15">
        <w:rPr>
          <w:rFonts w:ascii="Cambria" w:eastAsia="Times New Roman" w:hAnsi="Cambria"/>
          <w:bCs/>
          <w:sz w:val="20"/>
          <w:szCs w:val="20"/>
          <w:bdr w:val="none" w:sz="0" w:space="0" w:color="auto"/>
        </w:rPr>
        <w:t xml:space="preserve"> an employer may be ordered to recognize and bargain with a labor organization or to comply with informational remedies, such as the posting of a notice by the </w:t>
      </w:r>
      <w:r w:rsidR="0051688A" w:rsidRPr="00676B15">
        <w:rPr>
          <w:rFonts w:ascii="Cambria" w:eastAsia="Times New Roman" w:hAnsi="Cambria"/>
          <w:bCs/>
          <w:sz w:val="20"/>
          <w:szCs w:val="20"/>
          <w:bdr w:val="none" w:sz="0" w:space="0" w:color="auto"/>
        </w:rPr>
        <w:t>e</w:t>
      </w:r>
      <w:r w:rsidRPr="00676B15">
        <w:rPr>
          <w:rFonts w:ascii="Cambria" w:eastAsia="Times New Roman" w:hAnsi="Cambria"/>
          <w:bCs/>
          <w:sz w:val="20"/>
          <w:szCs w:val="20"/>
          <w:bdr w:val="none" w:sz="0" w:space="0" w:color="auto"/>
        </w:rPr>
        <w:t xml:space="preserve">mployer promising not to violate the law. </w:t>
      </w:r>
    </w:p>
    <w:p w14:paraId="26C04A42" w14:textId="77777777" w:rsidR="003C3D74" w:rsidRPr="00676B15" w:rsidRDefault="003C3D74" w:rsidP="003C3D74">
      <w:pPr>
        <w:pStyle w:val="ListParagraph"/>
        <w:rPr>
          <w:rFonts w:eastAsia="Times New Roman"/>
          <w:bCs/>
          <w:sz w:val="20"/>
          <w:szCs w:val="20"/>
          <w:bdr w:val="none" w:sz="0" w:space="0" w:color="auto"/>
        </w:rPr>
      </w:pPr>
    </w:p>
    <w:p w14:paraId="39ED7CD3" w14:textId="77777777" w:rsidR="003C3D74" w:rsidRPr="00676B15" w:rsidRDefault="0051688A"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lastRenderedPageBreak/>
        <w:t>Regarding the EEOC, the State explains that it is the entity responsible for enforcing federal, anti-discrimination laws that make it illegal to discriminate against a job applicant or an employee on account of the person’s race, color, religion, sex (including pregnancy), national origin, age (40 or older), disability, or genetic information.</w:t>
      </w:r>
      <w:r w:rsidR="00446047" w:rsidRPr="00676B15">
        <w:rPr>
          <w:rStyle w:val="FootnoteReference"/>
          <w:rFonts w:ascii="Cambria" w:eastAsia="Times New Roman" w:hAnsi="Cambria"/>
          <w:bCs/>
          <w:sz w:val="20"/>
          <w:szCs w:val="20"/>
          <w:bdr w:val="none" w:sz="0" w:space="0" w:color="auto"/>
        </w:rPr>
        <w:footnoteReference w:id="19"/>
      </w:r>
      <w:r w:rsidRPr="00676B15">
        <w:rPr>
          <w:rFonts w:ascii="Cambria" w:eastAsia="Times New Roman" w:hAnsi="Cambria"/>
          <w:bCs/>
          <w:sz w:val="20"/>
          <w:szCs w:val="20"/>
          <w:bdr w:val="none" w:sz="0" w:space="0" w:color="auto"/>
        </w:rPr>
        <w:t xml:space="preserve"> </w:t>
      </w:r>
      <w:r w:rsidR="007A563B" w:rsidRPr="00676B15">
        <w:rPr>
          <w:rFonts w:ascii="Cambria" w:eastAsia="Times New Roman" w:hAnsi="Cambria"/>
          <w:bCs/>
          <w:sz w:val="20"/>
          <w:szCs w:val="20"/>
          <w:bdr w:val="none" w:sz="0" w:space="0" w:color="auto"/>
        </w:rPr>
        <w:t>According to the State, it is also illegal to discriminate against a person for having</w:t>
      </w:r>
      <w:r w:rsidR="001A635C" w:rsidRPr="00676B15">
        <w:rPr>
          <w:rFonts w:ascii="Cambria" w:eastAsia="Times New Roman" w:hAnsi="Cambria"/>
          <w:bCs/>
          <w:sz w:val="20"/>
          <w:szCs w:val="20"/>
          <w:bdr w:val="none" w:sz="0" w:space="0" w:color="auto"/>
        </w:rPr>
        <w:t>:</w:t>
      </w:r>
      <w:r w:rsidR="007A563B" w:rsidRPr="00676B15">
        <w:rPr>
          <w:rFonts w:ascii="Cambria" w:eastAsia="Times New Roman" w:hAnsi="Cambria"/>
          <w:bCs/>
          <w:sz w:val="20"/>
          <w:szCs w:val="20"/>
          <w:bdr w:val="none" w:sz="0" w:space="0" w:color="auto"/>
        </w:rPr>
        <w:t xml:space="preserve"> complained about discrimination, filed a charge of discrimination, or participated in an employment discrimination investigation or lawsuit. The State asserts that federal anti-discrimination laws apply to all types of work situations, including hiring, firing, promotions, harassment, training, wages, and benefits.</w:t>
      </w:r>
      <w:r w:rsidR="007A563B" w:rsidRPr="00676B15">
        <w:rPr>
          <w:rStyle w:val="FootnoteReference"/>
          <w:rFonts w:ascii="Cambria" w:eastAsia="Times New Roman" w:hAnsi="Cambria"/>
          <w:bCs/>
          <w:sz w:val="20"/>
          <w:szCs w:val="20"/>
          <w:bdr w:val="none" w:sz="0" w:space="0" w:color="auto"/>
        </w:rPr>
        <w:footnoteReference w:id="20"/>
      </w:r>
    </w:p>
    <w:p w14:paraId="66DA82FE" w14:textId="77777777" w:rsidR="009B4519" w:rsidRPr="00676B15" w:rsidRDefault="009B4519" w:rsidP="009B451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67E02A08" w14:textId="6C0697B7" w:rsidR="00354259" w:rsidRPr="00676B15" w:rsidRDefault="004121CB" w:rsidP="00A6454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On the topic of ICE’s enforcement actions and general agency guidelines, the State informs that on April 30, 2009, ICE announced a revised Worksite Enforcement Strategy, which promotes, among other things, “</w:t>
      </w:r>
      <w:r w:rsidR="00720BD8" w:rsidRPr="00676B15">
        <w:rPr>
          <w:rFonts w:ascii="Cambria" w:eastAsia="Times New Roman" w:hAnsi="Cambria"/>
          <w:bCs/>
          <w:sz w:val="20"/>
          <w:szCs w:val="20"/>
          <w:bdr w:val="none" w:sz="0" w:space="0" w:color="auto"/>
        </w:rPr>
        <w:t>integrity in the immigration system and an equitable enforcement program,” prioritizing the “most egregious violators, including employers who abuse and exploit their workers, traffic in persons, or create false identity documents.” The State assures that “ICE is actively committed to effective labor law enforcement promoting proper wages and working conditions for all covered workers regardless of their immigration status.” Further, the State claims that ICE refrains from engaging in civil worksite enforcement activities at worksites that are the subject of an existing DOL investigation of labor disputes “during the pendency of the investigation and any related proceeding.”</w:t>
      </w:r>
    </w:p>
    <w:p w14:paraId="1DB953FE" w14:textId="77777777" w:rsidR="00681D81" w:rsidRPr="00676B15" w:rsidRDefault="00681D81" w:rsidP="00681D81">
      <w:pPr>
        <w:rPr>
          <w:rFonts w:eastAsia="Times New Roman"/>
          <w:bCs/>
          <w:sz w:val="20"/>
          <w:szCs w:val="20"/>
          <w:bdr w:val="none" w:sz="0" w:space="0" w:color="auto"/>
        </w:rPr>
      </w:pPr>
    </w:p>
    <w:p w14:paraId="69D7FE01" w14:textId="4DFC2EFE" w:rsidR="00A64546" w:rsidRPr="00676B15" w:rsidRDefault="00671E3F" w:rsidP="00862660">
      <w:pPr>
        <w:pStyle w:val="Heading3"/>
        <w:ind w:left="1530" w:hanging="810"/>
        <w:jc w:val="both"/>
      </w:pPr>
      <w:bookmarkStart w:id="17" w:name="_Toc438547102"/>
      <w:bookmarkStart w:id="18" w:name="_Toc466296164"/>
      <w:r w:rsidRPr="00676B15">
        <w:t>Legal Argument: Right</w:t>
      </w:r>
      <w:r w:rsidR="00B77730" w:rsidRPr="00676B15">
        <w:t>s</w:t>
      </w:r>
      <w:r w:rsidR="00A64546" w:rsidRPr="00676B15">
        <w:t xml:space="preserve"> to equality before the law</w:t>
      </w:r>
      <w:r w:rsidR="00B77730" w:rsidRPr="00676B15">
        <w:t>, recognition of juridical personality and civil rights, and a fair trial</w:t>
      </w:r>
      <w:r w:rsidR="00A64546" w:rsidRPr="00676B15">
        <w:t xml:space="preserve"> </w:t>
      </w:r>
      <w:r w:rsidR="004B3CA9" w:rsidRPr="00676B15">
        <w:t>(Article</w:t>
      </w:r>
      <w:r w:rsidR="00B77730" w:rsidRPr="00676B15">
        <w:t>s</w:t>
      </w:r>
      <w:r w:rsidR="004B3CA9" w:rsidRPr="00676B15">
        <w:t xml:space="preserve"> II</w:t>
      </w:r>
      <w:r w:rsidR="00B77730" w:rsidRPr="00676B15">
        <w:t>, XVII, and XVIII</w:t>
      </w:r>
      <w:r w:rsidR="004B3CA9" w:rsidRPr="00676B15">
        <w:t xml:space="preserve"> of the American Declaration)</w:t>
      </w:r>
      <w:bookmarkEnd w:id="17"/>
      <w:bookmarkEnd w:id="18"/>
    </w:p>
    <w:p w14:paraId="62A75576" w14:textId="77777777" w:rsidR="00ED19BD" w:rsidRPr="00676B15" w:rsidRDefault="00ED19BD" w:rsidP="00EB039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48866B5B" w14:textId="0067FC35" w:rsidR="00681D81" w:rsidRPr="00676B15" w:rsidRDefault="00C67C2D"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The State </w:t>
      </w:r>
      <w:r w:rsidR="004B3CA9" w:rsidRPr="00676B15">
        <w:rPr>
          <w:rFonts w:ascii="Cambria" w:eastAsia="Times New Roman" w:hAnsi="Cambria"/>
          <w:bCs/>
          <w:sz w:val="20"/>
          <w:szCs w:val="20"/>
          <w:bdr w:val="none" w:sz="0" w:space="0" w:color="auto"/>
        </w:rPr>
        <w:t>maintains</w:t>
      </w:r>
      <w:r w:rsidRPr="00676B15">
        <w:rPr>
          <w:rFonts w:ascii="Cambria" w:eastAsia="Times New Roman" w:hAnsi="Cambria"/>
          <w:bCs/>
          <w:sz w:val="20"/>
          <w:szCs w:val="20"/>
          <w:bdr w:val="none" w:sz="0" w:space="0" w:color="auto"/>
        </w:rPr>
        <w:t xml:space="preserve"> that there has been no violation of </w:t>
      </w:r>
      <w:r w:rsidR="004B3CA9" w:rsidRPr="00676B15">
        <w:rPr>
          <w:rFonts w:ascii="Cambria" w:eastAsia="Times New Roman" w:hAnsi="Cambria"/>
          <w:bCs/>
          <w:sz w:val="20"/>
          <w:szCs w:val="20"/>
          <w:bdr w:val="none" w:sz="0" w:space="0" w:color="auto"/>
        </w:rPr>
        <w:t>the presumed victims’ right</w:t>
      </w:r>
      <w:r w:rsidR="00B77730" w:rsidRPr="00676B15">
        <w:rPr>
          <w:rFonts w:ascii="Cambria" w:eastAsia="Times New Roman" w:hAnsi="Cambria"/>
          <w:bCs/>
          <w:sz w:val="20"/>
          <w:szCs w:val="20"/>
          <w:bdr w:val="none" w:sz="0" w:space="0" w:color="auto"/>
        </w:rPr>
        <w:t>s under the American Declaration</w:t>
      </w:r>
      <w:r w:rsidR="004B3CA9" w:rsidRPr="00676B15">
        <w:rPr>
          <w:rFonts w:ascii="Cambria" w:eastAsia="Times New Roman" w:hAnsi="Cambria"/>
          <w:bCs/>
          <w:sz w:val="20"/>
          <w:szCs w:val="20"/>
          <w:bdr w:val="none" w:sz="0" w:space="0" w:color="auto"/>
        </w:rPr>
        <w:t xml:space="preserve"> because </w:t>
      </w:r>
      <w:r w:rsidR="004B3CA9" w:rsidRPr="00676B15">
        <w:rPr>
          <w:rFonts w:ascii="Cambria" w:eastAsia="Times New Roman" w:hAnsi="Cambria"/>
          <w:bCs/>
          <w:i/>
          <w:sz w:val="20"/>
          <w:szCs w:val="20"/>
          <w:bdr w:val="none" w:sz="0" w:space="0" w:color="auto"/>
        </w:rPr>
        <w:t>Hoffman</w:t>
      </w:r>
      <w:r w:rsidR="004B3CA9" w:rsidRPr="00676B15">
        <w:rPr>
          <w:rFonts w:ascii="Cambria" w:eastAsia="Times New Roman" w:hAnsi="Cambria"/>
          <w:bCs/>
          <w:sz w:val="20"/>
          <w:szCs w:val="20"/>
          <w:bdr w:val="none" w:sz="0" w:space="0" w:color="auto"/>
        </w:rPr>
        <w:t xml:space="preserve"> does not impact the rights of workers who suffer on-the-job injuries in Pennsylvania and Kansas. </w:t>
      </w:r>
      <w:r w:rsidR="0098079D" w:rsidRPr="00676B15">
        <w:rPr>
          <w:rFonts w:ascii="Cambria" w:eastAsia="Times New Roman" w:hAnsi="Cambria"/>
          <w:bCs/>
          <w:sz w:val="20"/>
          <w:szCs w:val="20"/>
          <w:bdr w:val="none" w:sz="0" w:space="0" w:color="auto"/>
        </w:rPr>
        <w:t>The State submits that it has a sovereign right to deny permission to work to those illegally present in the country or to those who have not obtained authorization to work. Thus, the State submits that</w:t>
      </w:r>
      <w:r w:rsidR="00EB0393" w:rsidRPr="00676B15">
        <w:rPr>
          <w:rFonts w:ascii="Cambria" w:eastAsia="Times New Roman" w:hAnsi="Cambria"/>
          <w:bCs/>
          <w:sz w:val="20"/>
          <w:szCs w:val="20"/>
          <w:bdr w:val="none" w:sz="0" w:space="0" w:color="auto"/>
        </w:rPr>
        <w:t>,</w:t>
      </w:r>
      <w:r w:rsidR="0098079D" w:rsidRPr="00676B15">
        <w:rPr>
          <w:rFonts w:ascii="Cambria" w:eastAsia="Times New Roman" w:hAnsi="Cambria"/>
          <w:bCs/>
          <w:sz w:val="20"/>
          <w:szCs w:val="20"/>
          <w:bdr w:val="none" w:sz="0" w:space="0" w:color="auto"/>
        </w:rPr>
        <w:t xml:space="preserve"> consistent with this principle, federal and state laws recognize the difficulty in providing backpay for work that was not done when it cou</w:t>
      </w:r>
      <w:r w:rsidR="001A635C" w:rsidRPr="00676B15">
        <w:rPr>
          <w:rFonts w:ascii="Cambria" w:eastAsia="Times New Roman" w:hAnsi="Cambria"/>
          <w:bCs/>
          <w:sz w:val="20"/>
          <w:szCs w:val="20"/>
          <w:bdr w:val="none" w:sz="0" w:space="0" w:color="auto"/>
        </w:rPr>
        <w:t>ld not lawfully have been done.</w:t>
      </w:r>
    </w:p>
    <w:p w14:paraId="67D15394" w14:textId="77777777" w:rsidR="0098079D" w:rsidRPr="00676B15" w:rsidRDefault="0098079D" w:rsidP="0098079D">
      <w:pPr>
        <w:pStyle w:val="ListParagraph"/>
        <w:rPr>
          <w:rFonts w:eastAsia="Times New Roman"/>
          <w:bCs/>
          <w:sz w:val="20"/>
          <w:szCs w:val="20"/>
          <w:bdr w:val="none" w:sz="0" w:space="0" w:color="auto"/>
        </w:rPr>
      </w:pPr>
    </w:p>
    <w:p w14:paraId="64804694" w14:textId="4E9A4C5C" w:rsidR="0098079D" w:rsidRPr="00676B15" w:rsidRDefault="0098079D" w:rsidP="0098079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According to the State, the Supreme Court’s decision in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xml:space="preserve"> leaves its decision in </w:t>
      </w:r>
      <w:r w:rsidRPr="00676B15">
        <w:rPr>
          <w:rFonts w:ascii="Cambria" w:eastAsia="Times New Roman" w:hAnsi="Cambria"/>
          <w:bCs/>
          <w:i/>
          <w:sz w:val="20"/>
          <w:szCs w:val="20"/>
          <w:bdr w:val="none" w:sz="0" w:space="0" w:color="auto"/>
        </w:rPr>
        <w:t>Sure-Tan, Inc. v. National Labor Relations Board</w:t>
      </w:r>
      <w:r w:rsidRPr="00676B15">
        <w:rPr>
          <w:rStyle w:val="FootnoteReference"/>
          <w:rFonts w:ascii="Cambria" w:eastAsia="Times New Roman" w:hAnsi="Cambria"/>
          <w:bCs/>
          <w:sz w:val="20"/>
          <w:szCs w:val="20"/>
          <w:bdr w:val="none" w:sz="0" w:space="0" w:color="auto"/>
        </w:rPr>
        <w:footnoteReference w:id="21"/>
      </w:r>
      <w:r w:rsidRPr="00676B15">
        <w:rPr>
          <w:rFonts w:ascii="Cambria" w:eastAsia="Times New Roman" w:hAnsi="Cambria"/>
          <w:bCs/>
          <w:sz w:val="20"/>
          <w:szCs w:val="20"/>
          <w:bdr w:val="none" w:sz="0" w:space="0" w:color="auto"/>
        </w:rPr>
        <w:t xml:space="preserve"> undisturbed, namely the finding that the NLRA applies to undocumented workers. The State asserts that this ruling had no impact on the NLRB’s ability to order companies to cease unlawful activities under the NLRA.</w:t>
      </w:r>
    </w:p>
    <w:p w14:paraId="28209899" w14:textId="77777777" w:rsidR="0098079D" w:rsidRPr="00676B15" w:rsidRDefault="0098079D" w:rsidP="0098079D">
      <w:pPr>
        <w:pStyle w:val="ListParagraph"/>
        <w:rPr>
          <w:rFonts w:eastAsia="Times New Roman"/>
          <w:bCs/>
          <w:sz w:val="20"/>
          <w:szCs w:val="20"/>
          <w:bdr w:val="none" w:sz="0" w:space="0" w:color="auto"/>
        </w:rPr>
      </w:pPr>
    </w:p>
    <w:p w14:paraId="058AF097" w14:textId="1E55894E" w:rsidR="000839D5" w:rsidRPr="00676B15" w:rsidRDefault="00677C25" w:rsidP="000839D5">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rPr>
      </w:pPr>
      <w:r w:rsidRPr="00676B15">
        <w:rPr>
          <w:rFonts w:ascii="Cambria" w:eastAsia="Times New Roman" w:hAnsi="Cambria"/>
          <w:bCs/>
          <w:sz w:val="20"/>
          <w:szCs w:val="20"/>
          <w:bdr w:val="none" w:sz="0" w:space="0" w:color="auto"/>
        </w:rPr>
        <w:t xml:space="preserve">To support this position, the State cites a July 2002 memorandum issued by the General Counsel of the NLRB to NLRB regional offices. </w:t>
      </w:r>
      <w:r w:rsidR="0037333F" w:rsidRPr="00676B15">
        <w:rPr>
          <w:rFonts w:ascii="Cambria" w:eastAsia="Times New Roman" w:hAnsi="Cambria"/>
          <w:bCs/>
          <w:sz w:val="20"/>
          <w:szCs w:val="20"/>
          <w:bdr w:val="none" w:sz="0" w:space="0" w:color="auto"/>
        </w:rPr>
        <w:t xml:space="preserve">In this memo, the State </w:t>
      </w:r>
      <w:r w:rsidR="00D24B82" w:rsidRPr="00676B15">
        <w:rPr>
          <w:rFonts w:ascii="Cambria" w:eastAsia="Times New Roman" w:hAnsi="Cambria"/>
          <w:bCs/>
          <w:sz w:val="20"/>
          <w:szCs w:val="20"/>
          <w:bdr w:val="none" w:sz="0" w:space="0" w:color="auto"/>
        </w:rPr>
        <w:t>indicates that it was made clear</w:t>
      </w:r>
      <w:r w:rsidR="0037333F" w:rsidRPr="00676B15">
        <w:rPr>
          <w:rFonts w:ascii="Cambria" w:eastAsia="Times New Roman" w:hAnsi="Cambria"/>
          <w:bCs/>
          <w:sz w:val="20"/>
          <w:szCs w:val="20"/>
          <w:bdr w:val="none" w:sz="0" w:space="0" w:color="auto"/>
        </w:rPr>
        <w:t xml:space="preserve"> that </w:t>
      </w:r>
      <w:r w:rsidR="0037333F" w:rsidRPr="00676B15">
        <w:rPr>
          <w:rFonts w:ascii="Cambria" w:eastAsia="Times New Roman" w:hAnsi="Cambria"/>
          <w:bCs/>
          <w:i/>
          <w:sz w:val="20"/>
          <w:szCs w:val="20"/>
          <w:bdr w:val="none" w:sz="0" w:space="0" w:color="auto"/>
        </w:rPr>
        <w:t>Hoffman</w:t>
      </w:r>
      <w:r w:rsidR="0037333F" w:rsidRPr="00676B15">
        <w:rPr>
          <w:rFonts w:ascii="Cambria" w:eastAsia="Times New Roman" w:hAnsi="Cambria"/>
          <w:bCs/>
          <w:sz w:val="20"/>
          <w:szCs w:val="20"/>
          <w:bdr w:val="none" w:sz="0" w:space="0" w:color="auto"/>
        </w:rPr>
        <w:t xml:space="preserve"> did not affect other actions the </w:t>
      </w:r>
      <w:r w:rsidR="00056C4B" w:rsidRPr="00676B15">
        <w:rPr>
          <w:rFonts w:ascii="Cambria" w:eastAsia="Times New Roman" w:hAnsi="Cambria"/>
          <w:bCs/>
          <w:sz w:val="20"/>
          <w:szCs w:val="20"/>
          <w:bdr w:val="none" w:sz="0" w:space="0" w:color="auto"/>
        </w:rPr>
        <w:t>NLRB</w:t>
      </w:r>
      <w:r w:rsidR="0037333F" w:rsidRPr="00676B15">
        <w:rPr>
          <w:rFonts w:ascii="Cambria" w:eastAsia="Times New Roman" w:hAnsi="Cambria"/>
          <w:bCs/>
          <w:sz w:val="20"/>
          <w:szCs w:val="20"/>
          <w:bdr w:val="none" w:sz="0" w:space="0" w:color="auto"/>
        </w:rPr>
        <w:t xml:space="preserve"> could take against employers </w:t>
      </w:r>
      <w:r w:rsidR="00EB0393" w:rsidRPr="00676B15">
        <w:rPr>
          <w:rFonts w:ascii="Cambria" w:eastAsia="Times New Roman" w:hAnsi="Cambria"/>
          <w:bCs/>
          <w:sz w:val="20"/>
          <w:szCs w:val="20"/>
          <w:bdr w:val="none" w:sz="0" w:space="0" w:color="auto"/>
        </w:rPr>
        <w:t>acting</w:t>
      </w:r>
      <w:r w:rsidR="0037333F" w:rsidRPr="00676B15">
        <w:rPr>
          <w:rFonts w:ascii="Cambria" w:eastAsia="Times New Roman" w:hAnsi="Cambria"/>
          <w:bCs/>
          <w:sz w:val="20"/>
          <w:szCs w:val="20"/>
          <w:bdr w:val="none" w:sz="0" w:space="0" w:color="auto"/>
        </w:rPr>
        <w:t xml:space="preserve"> unlawfully.</w:t>
      </w:r>
      <w:r w:rsidR="0037333F" w:rsidRPr="00676B15">
        <w:rPr>
          <w:rStyle w:val="FootnoteReference"/>
          <w:rFonts w:ascii="Cambria" w:eastAsia="Times New Roman" w:hAnsi="Cambria"/>
          <w:bCs/>
          <w:sz w:val="20"/>
          <w:szCs w:val="20"/>
          <w:bdr w:val="none" w:sz="0" w:space="0" w:color="auto"/>
        </w:rPr>
        <w:footnoteReference w:id="22"/>
      </w:r>
      <w:r w:rsidR="0037333F" w:rsidRPr="00676B15">
        <w:rPr>
          <w:rFonts w:ascii="Cambria" w:eastAsia="Times New Roman" w:hAnsi="Cambria"/>
          <w:bCs/>
          <w:sz w:val="20"/>
          <w:szCs w:val="20"/>
          <w:bdr w:val="none" w:sz="0" w:space="0" w:color="auto"/>
        </w:rPr>
        <w:t xml:space="preserve"> In the memo, </w:t>
      </w:r>
      <w:r w:rsidR="00EB0393" w:rsidRPr="00676B15">
        <w:rPr>
          <w:rFonts w:ascii="Cambria" w:eastAsia="Times New Roman" w:hAnsi="Cambria"/>
          <w:bCs/>
          <w:sz w:val="20"/>
          <w:szCs w:val="20"/>
          <w:bdr w:val="none" w:sz="0" w:space="0" w:color="auto"/>
        </w:rPr>
        <w:lastRenderedPageBreak/>
        <w:t xml:space="preserve">the </w:t>
      </w:r>
      <w:r w:rsidR="0037333F" w:rsidRPr="00676B15">
        <w:rPr>
          <w:rFonts w:ascii="Cambria" w:eastAsia="Times New Roman" w:hAnsi="Cambria"/>
          <w:bCs/>
          <w:sz w:val="20"/>
          <w:szCs w:val="20"/>
          <w:bdr w:val="none" w:sz="0" w:space="0" w:color="auto"/>
        </w:rPr>
        <w:t>General Counsel advised that the NLRB could still seek to award backpay for work that was actually performed</w:t>
      </w:r>
      <w:r w:rsidR="0098579A" w:rsidRPr="00676B15">
        <w:rPr>
          <w:rStyle w:val="FootnoteReference"/>
          <w:rFonts w:ascii="Cambria" w:eastAsia="Times New Roman" w:hAnsi="Cambria"/>
          <w:bCs/>
          <w:sz w:val="20"/>
          <w:szCs w:val="20"/>
          <w:bdr w:val="none" w:sz="0" w:space="0" w:color="auto"/>
        </w:rPr>
        <w:footnoteReference w:id="23"/>
      </w:r>
      <w:r w:rsidR="0037333F" w:rsidRPr="00676B15">
        <w:rPr>
          <w:rFonts w:ascii="Cambria" w:eastAsia="Times New Roman" w:hAnsi="Cambria"/>
          <w:bCs/>
          <w:sz w:val="20"/>
          <w:szCs w:val="20"/>
          <w:bdr w:val="none" w:sz="0" w:space="0" w:color="auto"/>
        </w:rPr>
        <w:t xml:space="preserve"> </w:t>
      </w:r>
      <w:r w:rsidR="004E6957" w:rsidRPr="00676B15">
        <w:rPr>
          <w:rFonts w:ascii="Cambria" w:eastAsia="Times New Roman" w:hAnsi="Cambria"/>
          <w:bCs/>
          <w:sz w:val="20"/>
          <w:szCs w:val="20"/>
          <w:bdr w:val="none" w:sz="0" w:space="0" w:color="auto"/>
        </w:rPr>
        <w:t>and to enforce cease and desist orders, subject to contempt proceedings for non-compliance.</w:t>
      </w:r>
      <w:r w:rsidR="00B9327F" w:rsidRPr="00676B15">
        <w:rPr>
          <w:rStyle w:val="FootnoteReference"/>
          <w:rFonts w:ascii="Cambria" w:eastAsia="Times New Roman" w:hAnsi="Cambria"/>
          <w:bCs/>
          <w:sz w:val="20"/>
          <w:szCs w:val="20"/>
          <w:bdr w:val="none" w:sz="0" w:space="0" w:color="auto"/>
        </w:rPr>
        <w:footnoteReference w:id="24"/>
      </w:r>
      <w:r w:rsidR="00C667B5" w:rsidRPr="00676B15">
        <w:rPr>
          <w:rFonts w:ascii="Cambria" w:eastAsia="Times New Roman" w:hAnsi="Cambria"/>
          <w:bCs/>
          <w:sz w:val="20"/>
          <w:szCs w:val="20"/>
          <w:bdr w:val="none" w:sz="0" w:space="0" w:color="auto"/>
        </w:rPr>
        <w:t xml:space="preserve"> </w:t>
      </w:r>
      <w:r w:rsidR="00B62E6C" w:rsidRPr="00676B15">
        <w:rPr>
          <w:rFonts w:ascii="Cambria" w:eastAsia="Times New Roman" w:hAnsi="Cambria"/>
          <w:bCs/>
          <w:sz w:val="20"/>
          <w:szCs w:val="20"/>
          <w:bdr w:val="none" w:sz="0" w:space="0" w:color="auto"/>
        </w:rPr>
        <w:t>The State insists that the General Counsel both in this memorandum and in subsequent instruction</w:t>
      </w:r>
      <w:r w:rsidR="00EB0393" w:rsidRPr="00676B15">
        <w:rPr>
          <w:rFonts w:ascii="Cambria" w:eastAsia="Times New Roman" w:hAnsi="Cambria"/>
          <w:bCs/>
          <w:sz w:val="20"/>
          <w:szCs w:val="20"/>
          <w:bdr w:val="none" w:sz="0" w:space="0" w:color="auto"/>
        </w:rPr>
        <w:t>s</w:t>
      </w:r>
      <w:r w:rsidR="00B62E6C" w:rsidRPr="00676B15">
        <w:rPr>
          <w:rFonts w:ascii="Cambria" w:eastAsia="Times New Roman" w:hAnsi="Cambria"/>
          <w:bCs/>
          <w:sz w:val="20"/>
          <w:szCs w:val="20"/>
          <w:bdr w:val="none" w:sz="0" w:space="0" w:color="auto"/>
        </w:rPr>
        <w:t xml:space="preserve"> emphasized the point that </w:t>
      </w:r>
      <w:r w:rsidR="001A635C" w:rsidRPr="00676B15">
        <w:rPr>
          <w:rFonts w:ascii="Cambria" w:eastAsia="Times New Roman" w:hAnsi="Cambria"/>
          <w:bCs/>
          <w:sz w:val="20"/>
          <w:szCs w:val="20"/>
          <w:bdr w:val="none" w:sz="0" w:space="0" w:color="auto"/>
        </w:rPr>
        <w:t>regional offices</w:t>
      </w:r>
      <w:r w:rsidR="00B62E6C" w:rsidRPr="00676B15">
        <w:rPr>
          <w:rFonts w:ascii="Cambria" w:eastAsia="Times New Roman" w:hAnsi="Cambria"/>
          <w:bCs/>
          <w:sz w:val="20"/>
          <w:szCs w:val="20"/>
          <w:bdr w:val="none" w:sz="0" w:space="0" w:color="auto"/>
        </w:rPr>
        <w:t xml:space="preserve"> should presume that employees are lawfully authorized to work and should not set out on </w:t>
      </w:r>
      <w:r w:rsidR="00B62E6C" w:rsidRPr="00676B15">
        <w:rPr>
          <w:rFonts w:ascii="Cambria" w:eastAsia="Times New Roman" w:hAnsi="Cambria"/>
          <w:bCs/>
          <w:i/>
          <w:sz w:val="20"/>
          <w:szCs w:val="20"/>
          <w:bdr w:val="none" w:sz="0" w:space="0" w:color="auto"/>
        </w:rPr>
        <w:t>sua sponte</w:t>
      </w:r>
      <w:r w:rsidR="00B62E6C" w:rsidRPr="00676B15">
        <w:rPr>
          <w:rFonts w:ascii="Cambria" w:eastAsia="Times New Roman" w:hAnsi="Cambria"/>
          <w:bCs/>
          <w:sz w:val="20"/>
          <w:szCs w:val="20"/>
          <w:bdr w:val="none" w:sz="0" w:space="0" w:color="auto"/>
        </w:rPr>
        <w:t xml:space="preserve"> investigations to determine the charging party’s immigration status in the US.</w:t>
      </w:r>
      <w:r w:rsidR="00B62E6C" w:rsidRPr="00676B15">
        <w:rPr>
          <w:rStyle w:val="FootnoteReference"/>
          <w:rFonts w:ascii="Cambria" w:eastAsia="Times New Roman" w:hAnsi="Cambria"/>
          <w:bCs/>
          <w:sz w:val="20"/>
          <w:szCs w:val="20"/>
          <w:bdr w:val="none" w:sz="0" w:space="0" w:color="auto"/>
        </w:rPr>
        <w:footnoteReference w:id="25"/>
      </w:r>
      <w:r w:rsidR="00B62E6C" w:rsidRPr="00676B15">
        <w:rPr>
          <w:rFonts w:ascii="Cambria" w:eastAsia="Times New Roman" w:hAnsi="Cambria"/>
          <w:bCs/>
          <w:sz w:val="20"/>
          <w:szCs w:val="20"/>
          <w:bdr w:val="none" w:sz="0" w:space="0" w:color="auto"/>
        </w:rPr>
        <w:t xml:space="preserve"> </w:t>
      </w:r>
      <w:r w:rsidR="00056C4B" w:rsidRPr="00676B15">
        <w:rPr>
          <w:rFonts w:ascii="Cambria" w:eastAsia="Times New Roman" w:hAnsi="Cambria"/>
          <w:bCs/>
          <w:sz w:val="20"/>
          <w:szCs w:val="20"/>
          <w:bdr w:val="none" w:sz="0" w:space="0" w:color="auto"/>
        </w:rPr>
        <w:t xml:space="preserve">The State also maintains that </w:t>
      </w:r>
      <w:r w:rsidR="00056C4B" w:rsidRPr="00676B15">
        <w:rPr>
          <w:rFonts w:ascii="Cambria" w:eastAsia="Times New Roman" w:hAnsi="Cambria"/>
          <w:bCs/>
          <w:i/>
          <w:sz w:val="20"/>
          <w:szCs w:val="20"/>
          <w:bdr w:val="none" w:sz="0" w:space="0" w:color="auto"/>
        </w:rPr>
        <w:t>Hoffman</w:t>
      </w:r>
      <w:r w:rsidR="00056C4B" w:rsidRPr="00676B15">
        <w:rPr>
          <w:rFonts w:ascii="Cambria" w:eastAsia="Times New Roman" w:hAnsi="Cambria"/>
          <w:bCs/>
          <w:sz w:val="20"/>
          <w:szCs w:val="20"/>
          <w:bdr w:val="none" w:sz="0" w:space="0" w:color="auto"/>
        </w:rPr>
        <w:t xml:space="preserve"> did not impact the laws enforced by DOL or the work of the EEOC.</w:t>
      </w:r>
    </w:p>
    <w:p w14:paraId="3E3C7D83" w14:textId="77777777" w:rsidR="00677C25" w:rsidRPr="00676B15" w:rsidRDefault="00677C25" w:rsidP="00677C2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eastAsia="Times New Roman"/>
          <w:bCs/>
          <w:sz w:val="20"/>
          <w:szCs w:val="20"/>
          <w:bdr w:val="none" w:sz="0" w:space="0" w:color="auto"/>
        </w:rPr>
      </w:pPr>
    </w:p>
    <w:p w14:paraId="31A7EE52" w14:textId="77777777" w:rsidR="00934B3D" w:rsidRPr="00676B15" w:rsidRDefault="00934B3D" w:rsidP="0098079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Further, the State </w:t>
      </w:r>
      <w:r w:rsidR="00922D8B" w:rsidRPr="00676B15">
        <w:rPr>
          <w:rFonts w:ascii="Cambria" w:eastAsia="Times New Roman" w:hAnsi="Cambria"/>
          <w:bCs/>
          <w:sz w:val="20"/>
          <w:szCs w:val="20"/>
          <w:bdr w:val="none" w:sz="0" w:space="0" w:color="auto"/>
        </w:rPr>
        <w:t xml:space="preserve">argues that </w:t>
      </w:r>
      <w:r w:rsidR="001B2C1B" w:rsidRPr="00676B15">
        <w:rPr>
          <w:rFonts w:ascii="Cambria" w:eastAsia="Times New Roman" w:hAnsi="Cambria"/>
          <w:bCs/>
          <w:sz w:val="20"/>
          <w:szCs w:val="20"/>
          <w:bdr w:val="none" w:sz="0" w:space="0" w:color="auto"/>
        </w:rPr>
        <w:t xml:space="preserve">federal and administrative court decisions subsequent to </w:t>
      </w:r>
      <w:r w:rsidR="001B2C1B" w:rsidRPr="00676B15">
        <w:rPr>
          <w:rFonts w:ascii="Cambria" w:eastAsia="Times New Roman" w:hAnsi="Cambria"/>
          <w:bCs/>
          <w:i/>
          <w:sz w:val="20"/>
          <w:szCs w:val="20"/>
          <w:bdr w:val="none" w:sz="0" w:space="0" w:color="auto"/>
        </w:rPr>
        <w:t>Hoffman</w:t>
      </w:r>
      <w:r w:rsidR="001B2C1B" w:rsidRPr="00676B15">
        <w:rPr>
          <w:rFonts w:ascii="Cambria" w:eastAsia="Times New Roman" w:hAnsi="Cambria"/>
          <w:bCs/>
          <w:sz w:val="20"/>
          <w:szCs w:val="20"/>
          <w:bdr w:val="none" w:sz="0" w:space="0" w:color="auto"/>
        </w:rPr>
        <w:t xml:space="preserve"> have confirmed the principle that employers in the United States may not illegally discriminate against employees, even when those employees are undocumented workers.</w:t>
      </w:r>
      <w:r w:rsidR="00B33988" w:rsidRPr="00676B15">
        <w:rPr>
          <w:rStyle w:val="FootnoteReference"/>
          <w:rFonts w:ascii="Cambria" w:eastAsia="Times New Roman" w:hAnsi="Cambria"/>
          <w:bCs/>
          <w:sz w:val="20"/>
          <w:szCs w:val="20"/>
          <w:bdr w:val="none" w:sz="0" w:space="0" w:color="auto"/>
        </w:rPr>
        <w:footnoteReference w:id="26"/>
      </w:r>
      <w:r w:rsidR="001B2C1B" w:rsidRPr="00676B15">
        <w:rPr>
          <w:rFonts w:ascii="Cambria" w:eastAsia="Times New Roman" w:hAnsi="Cambria"/>
          <w:bCs/>
          <w:sz w:val="20"/>
          <w:szCs w:val="20"/>
          <w:bdr w:val="none" w:sz="0" w:space="0" w:color="auto"/>
        </w:rPr>
        <w:t xml:space="preserve"> </w:t>
      </w:r>
    </w:p>
    <w:p w14:paraId="126E9091" w14:textId="77777777" w:rsidR="000839D5" w:rsidRPr="00676B15" w:rsidRDefault="000839D5" w:rsidP="009D43BE">
      <w:pPr>
        <w:rPr>
          <w:rFonts w:eastAsia="Times New Roman"/>
          <w:bCs/>
          <w:sz w:val="20"/>
          <w:szCs w:val="20"/>
          <w:bdr w:val="none" w:sz="0" w:space="0" w:color="auto"/>
        </w:rPr>
      </w:pPr>
    </w:p>
    <w:p w14:paraId="36ACB6CF" w14:textId="4772600B" w:rsidR="00AE0B78" w:rsidRPr="00676B15" w:rsidRDefault="00862F07" w:rsidP="0098079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Additionally, the State contends that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xml:space="preserve"> concerned the unavailability of only one particular remedy under one particular statute – backpay for the period between termination of employment for union activities and when the NLRB found that the employer acted unlawfully. However, the State asserts that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xml:space="preserve"> does not even implicate the claims of Petitioners, who seek compensation through state workers’ compensation systems for </w:t>
      </w:r>
      <w:r w:rsidR="00AE0B78" w:rsidRPr="00676B15">
        <w:rPr>
          <w:rFonts w:ascii="Cambria" w:eastAsia="Times New Roman" w:hAnsi="Cambria"/>
          <w:bCs/>
          <w:sz w:val="20"/>
          <w:szCs w:val="20"/>
          <w:bdr w:val="none" w:sz="0" w:space="0" w:color="auto"/>
        </w:rPr>
        <w:t>injuries</w:t>
      </w:r>
      <w:r w:rsidRPr="00676B15">
        <w:rPr>
          <w:rFonts w:ascii="Cambria" w:eastAsia="Times New Roman" w:hAnsi="Cambria"/>
          <w:bCs/>
          <w:sz w:val="20"/>
          <w:szCs w:val="20"/>
          <w:bdr w:val="none" w:sz="0" w:space="0" w:color="auto"/>
        </w:rPr>
        <w:t xml:space="preserve"> they suf</w:t>
      </w:r>
      <w:r w:rsidR="00AE0B78" w:rsidRPr="00676B15">
        <w:rPr>
          <w:rFonts w:ascii="Cambria" w:eastAsia="Times New Roman" w:hAnsi="Cambria"/>
          <w:bCs/>
          <w:sz w:val="20"/>
          <w:szCs w:val="20"/>
          <w:bdr w:val="none" w:sz="0" w:space="0" w:color="auto"/>
        </w:rPr>
        <w:t xml:space="preserve">fered while working; thus, there is a basic factual distinction that separates the cases. </w:t>
      </w:r>
    </w:p>
    <w:p w14:paraId="1AEDFC84" w14:textId="77777777" w:rsidR="00AE0B78" w:rsidRPr="00676B15" w:rsidRDefault="00AE0B78" w:rsidP="00AE0B78">
      <w:pPr>
        <w:pStyle w:val="ListParagraph"/>
        <w:rPr>
          <w:rFonts w:eastAsia="Times New Roman"/>
          <w:bCs/>
          <w:sz w:val="20"/>
          <w:szCs w:val="20"/>
          <w:bdr w:val="none" w:sz="0" w:space="0" w:color="auto"/>
        </w:rPr>
      </w:pPr>
    </w:p>
    <w:p w14:paraId="36FD1B36" w14:textId="397F3BC4" w:rsidR="009D43BE" w:rsidRPr="00676B15" w:rsidRDefault="00AE0B78" w:rsidP="0098079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Notwithstanding this factual distinction, the State maintains that the two jurisdictions implicated in this case, Pennsylvania and Kansas, are not hostile </w:t>
      </w:r>
      <w:r w:rsidR="00617DB2" w:rsidRPr="00676B15">
        <w:rPr>
          <w:rFonts w:ascii="Cambria" w:eastAsia="Times New Roman" w:hAnsi="Cambria"/>
          <w:bCs/>
          <w:sz w:val="20"/>
          <w:szCs w:val="20"/>
          <w:bdr w:val="none" w:sz="0" w:space="0" w:color="auto"/>
        </w:rPr>
        <w:t xml:space="preserve">or adverse </w:t>
      </w:r>
      <w:r w:rsidR="001A635C" w:rsidRPr="00676B15">
        <w:rPr>
          <w:rFonts w:ascii="Cambria" w:eastAsia="Times New Roman" w:hAnsi="Cambria"/>
          <w:bCs/>
          <w:sz w:val="20"/>
          <w:szCs w:val="20"/>
          <w:bdr w:val="none" w:sz="0" w:space="0" w:color="auto"/>
        </w:rPr>
        <w:t>towards undocumented workers</w:t>
      </w:r>
      <w:r w:rsidR="00617DB2" w:rsidRPr="00676B15">
        <w:rPr>
          <w:rFonts w:ascii="Cambria" w:eastAsia="Times New Roman" w:hAnsi="Cambria"/>
          <w:bCs/>
          <w:sz w:val="20"/>
          <w:szCs w:val="20"/>
          <w:bdr w:val="none" w:sz="0" w:space="0" w:color="auto"/>
        </w:rPr>
        <w:t xml:space="preserve"> </w:t>
      </w:r>
      <w:r w:rsidRPr="00676B15">
        <w:rPr>
          <w:rFonts w:ascii="Cambria" w:eastAsia="Times New Roman" w:hAnsi="Cambria"/>
          <w:bCs/>
          <w:sz w:val="20"/>
          <w:szCs w:val="20"/>
          <w:bdr w:val="none" w:sz="0" w:space="0" w:color="auto"/>
        </w:rPr>
        <w:t xml:space="preserve">and, based on precedent, would likely </w:t>
      </w:r>
      <w:r w:rsidR="00584CF9" w:rsidRPr="00676B15">
        <w:rPr>
          <w:rFonts w:ascii="Cambria" w:eastAsia="Times New Roman" w:hAnsi="Cambria"/>
          <w:bCs/>
          <w:sz w:val="20"/>
          <w:szCs w:val="20"/>
          <w:bdr w:val="none" w:sz="0" w:space="0" w:color="auto"/>
        </w:rPr>
        <w:t xml:space="preserve">have </w:t>
      </w:r>
      <w:r w:rsidRPr="00676B15">
        <w:rPr>
          <w:rFonts w:ascii="Cambria" w:eastAsia="Times New Roman" w:hAnsi="Cambria"/>
          <w:bCs/>
          <w:sz w:val="20"/>
          <w:szCs w:val="20"/>
          <w:bdr w:val="none" w:sz="0" w:space="0" w:color="auto"/>
        </w:rPr>
        <w:t xml:space="preserve">upheld the presumed victims’ rights. </w:t>
      </w:r>
      <w:r w:rsidR="00617DB2" w:rsidRPr="00676B15">
        <w:rPr>
          <w:rFonts w:ascii="Cambria" w:eastAsia="Times New Roman" w:hAnsi="Cambria"/>
          <w:bCs/>
          <w:sz w:val="20"/>
          <w:szCs w:val="20"/>
          <w:bdr w:val="none" w:sz="0" w:space="0" w:color="auto"/>
        </w:rPr>
        <w:t>With regard to Pennsylvania, the State refutes Petitioner</w:t>
      </w:r>
      <w:r w:rsidR="00584CF9" w:rsidRPr="00676B15">
        <w:rPr>
          <w:rFonts w:ascii="Cambria" w:eastAsia="Times New Roman" w:hAnsi="Cambria"/>
          <w:bCs/>
          <w:sz w:val="20"/>
          <w:szCs w:val="20"/>
          <w:bdr w:val="none" w:sz="0" w:space="0" w:color="auto"/>
        </w:rPr>
        <w:t>s’</w:t>
      </w:r>
      <w:r w:rsidR="00617DB2" w:rsidRPr="00676B15">
        <w:rPr>
          <w:rFonts w:ascii="Cambria" w:eastAsia="Times New Roman" w:hAnsi="Cambria"/>
          <w:bCs/>
          <w:sz w:val="20"/>
          <w:szCs w:val="20"/>
          <w:bdr w:val="none" w:sz="0" w:space="0" w:color="auto"/>
        </w:rPr>
        <w:t xml:space="preserve"> claims regarding </w:t>
      </w:r>
      <w:r w:rsidR="00617DB2" w:rsidRPr="00676B15">
        <w:rPr>
          <w:rFonts w:ascii="Cambria" w:eastAsia="Times New Roman" w:hAnsi="Cambria"/>
          <w:bCs/>
          <w:i/>
          <w:sz w:val="20"/>
          <w:szCs w:val="20"/>
          <w:bdr w:val="none" w:sz="0" w:space="0" w:color="auto"/>
        </w:rPr>
        <w:t>Reinforced Earth Co. V. Workers’ Compensation Appeal Board</w:t>
      </w:r>
      <w:r w:rsidR="00617DB2" w:rsidRPr="00676B15">
        <w:rPr>
          <w:rFonts w:ascii="Cambria" w:eastAsia="Times New Roman" w:hAnsi="Cambria"/>
          <w:bCs/>
          <w:sz w:val="20"/>
          <w:szCs w:val="20"/>
          <w:bdr w:val="none" w:sz="0" w:space="0" w:color="auto"/>
        </w:rPr>
        <w:t xml:space="preserve">, stating that the decision does not cite </w:t>
      </w:r>
      <w:r w:rsidR="00617DB2" w:rsidRPr="00676B15">
        <w:rPr>
          <w:rFonts w:ascii="Cambria" w:eastAsia="Times New Roman" w:hAnsi="Cambria"/>
          <w:bCs/>
          <w:i/>
          <w:sz w:val="20"/>
          <w:szCs w:val="20"/>
          <w:bdr w:val="none" w:sz="0" w:space="0" w:color="auto"/>
        </w:rPr>
        <w:t>Hoffman</w:t>
      </w:r>
      <w:r w:rsidR="00617DB2" w:rsidRPr="00676B15">
        <w:rPr>
          <w:rFonts w:ascii="Cambria" w:eastAsia="Times New Roman" w:hAnsi="Cambria"/>
          <w:bCs/>
          <w:sz w:val="20"/>
          <w:szCs w:val="20"/>
          <w:bdr w:val="none" w:sz="0" w:space="0" w:color="auto"/>
        </w:rPr>
        <w:t xml:space="preserve"> and “implicitly rejects” extending </w:t>
      </w:r>
      <w:r w:rsidR="00617DB2" w:rsidRPr="00676B15">
        <w:rPr>
          <w:rFonts w:ascii="Cambria" w:eastAsia="Times New Roman" w:hAnsi="Cambria"/>
          <w:bCs/>
          <w:i/>
          <w:sz w:val="20"/>
          <w:szCs w:val="20"/>
          <w:bdr w:val="none" w:sz="0" w:space="0" w:color="auto"/>
        </w:rPr>
        <w:t>Hoffman</w:t>
      </w:r>
      <w:r w:rsidR="00617DB2" w:rsidRPr="00676B15">
        <w:rPr>
          <w:rFonts w:ascii="Cambria" w:eastAsia="Times New Roman" w:hAnsi="Cambria"/>
          <w:bCs/>
          <w:sz w:val="20"/>
          <w:szCs w:val="20"/>
          <w:bdr w:val="none" w:sz="0" w:space="0" w:color="auto"/>
        </w:rPr>
        <w:t xml:space="preserve"> to the Pennsylvania workers’ compensation scheme. Moreover, the State highlights that the decision expressed the principle that undocumented workers are eligible for workers’ compensation, including medical expenses and wage-loss compensation, even where a worker obtained employment </w:t>
      </w:r>
      <w:r w:rsidR="00584CF9" w:rsidRPr="00676B15">
        <w:rPr>
          <w:rFonts w:ascii="Cambria" w:eastAsia="Times New Roman" w:hAnsi="Cambria"/>
          <w:bCs/>
          <w:sz w:val="20"/>
          <w:szCs w:val="20"/>
          <w:bdr w:val="none" w:sz="0" w:space="0" w:color="auto"/>
        </w:rPr>
        <w:t>using</w:t>
      </w:r>
      <w:r w:rsidR="00617DB2" w:rsidRPr="00676B15">
        <w:rPr>
          <w:rFonts w:ascii="Cambria" w:eastAsia="Times New Roman" w:hAnsi="Cambria"/>
          <w:bCs/>
          <w:sz w:val="20"/>
          <w:szCs w:val="20"/>
          <w:bdr w:val="none" w:sz="0" w:space="0" w:color="auto"/>
        </w:rPr>
        <w:t xml:space="preserve"> fraudulent documentation.</w:t>
      </w:r>
      <w:r w:rsidR="00617DB2" w:rsidRPr="00676B15">
        <w:rPr>
          <w:rStyle w:val="FootnoteReference"/>
          <w:rFonts w:ascii="Cambria" w:eastAsia="Times New Roman" w:hAnsi="Cambria"/>
          <w:bCs/>
          <w:sz w:val="20"/>
          <w:szCs w:val="20"/>
          <w:bdr w:val="none" w:sz="0" w:space="0" w:color="auto"/>
        </w:rPr>
        <w:footnoteReference w:id="27"/>
      </w:r>
    </w:p>
    <w:p w14:paraId="2709B67E" w14:textId="77777777" w:rsidR="00DD0C17" w:rsidRPr="00676B15" w:rsidRDefault="00DD0C17" w:rsidP="00DD0C17">
      <w:pPr>
        <w:pStyle w:val="ListParagraph"/>
        <w:rPr>
          <w:rFonts w:eastAsia="Times New Roman"/>
          <w:bCs/>
          <w:sz w:val="20"/>
          <w:szCs w:val="20"/>
          <w:bdr w:val="none" w:sz="0" w:space="0" w:color="auto"/>
        </w:rPr>
      </w:pPr>
    </w:p>
    <w:p w14:paraId="3AAACB60" w14:textId="09DB68D5" w:rsidR="00DD0C17" w:rsidRPr="00676B15" w:rsidRDefault="00DD0C17" w:rsidP="0098079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With regard to Kansas, the State likewise refutes the Petitioners’ arguments that Kansas has erected procedural barriers to undocumented workers’ access to workers’ compensation. The State maintains that the case cited as support by the Petitioners, </w:t>
      </w:r>
      <w:r w:rsidRPr="00676B15">
        <w:rPr>
          <w:rFonts w:ascii="Cambria" w:eastAsia="Times New Roman" w:hAnsi="Cambria"/>
          <w:bCs/>
          <w:i/>
          <w:sz w:val="20"/>
          <w:szCs w:val="20"/>
          <w:bdr w:val="none" w:sz="0" w:space="0" w:color="auto"/>
        </w:rPr>
        <w:t>Doe v. Kansas Dept. of Human Resources</w:t>
      </w:r>
      <w:r w:rsidRPr="00676B15">
        <w:rPr>
          <w:rFonts w:ascii="Cambria" w:eastAsia="Times New Roman" w:hAnsi="Cambria"/>
          <w:bCs/>
          <w:sz w:val="20"/>
          <w:szCs w:val="20"/>
          <w:bdr w:val="none" w:sz="0" w:space="0" w:color="auto"/>
        </w:rPr>
        <w:t xml:space="preserve">, </w:t>
      </w:r>
      <w:r w:rsidR="00CC03C0" w:rsidRPr="00676B15">
        <w:rPr>
          <w:rFonts w:ascii="Cambria" w:eastAsia="Times New Roman" w:hAnsi="Cambria"/>
          <w:bCs/>
          <w:sz w:val="20"/>
          <w:szCs w:val="20"/>
          <w:bdr w:val="none" w:sz="0" w:space="0" w:color="auto"/>
        </w:rPr>
        <w:t xml:space="preserve">involves a claim by an undocumented worker for workers’ compensation that was upheld. Further, the State affirms that this case does not mention </w:t>
      </w:r>
      <w:r w:rsidR="00CC03C0" w:rsidRPr="00676B15">
        <w:rPr>
          <w:rFonts w:ascii="Cambria" w:eastAsia="Times New Roman" w:hAnsi="Cambria"/>
          <w:bCs/>
          <w:i/>
          <w:sz w:val="20"/>
          <w:szCs w:val="20"/>
          <w:bdr w:val="none" w:sz="0" w:space="0" w:color="auto"/>
        </w:rPr>
        <w:t>Hoffman</w:t>
      </w:r>
      <w:r w:rsidR="00CC03C0" w:rsidRPr="00676B15">
        <w:rPr>
          <w:rFonts w:ascii="Cambria" w:eastAsia="Times New Roman" w:hAnsi="Cambria"/>
          <w:bCs/>
          <w:sz w:val="20"/>
          <w:szCs w:val="20"/>
          <w:bdr w:val="none" w:sz="0" w:space="0" w:color="auto"/>
        </w:rPr>
        <w:t xml:space="preserve"> in its decision. </w:t>
      </w:r>
    </w:p>
    <w:p w14:paraId="45490647" w14:textId="77777777" w:rsidR="00560554" w:rsidRPr="00676B15" w:rsidRDefault="00560554" w:rsidP="0056055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1D82BAEB" w14:textId="3D958142" w:rsidR="004B3CA9" w:rsidRPr="00676B15" w:rsidRDefault="004B3CA9"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Based on the above, the State requests that the Commission dismiss the case</w:t>
      </w:r>
      <w:r w:rsidR="00560554" w:rsidRPr="00676B15">
        <w:rPr>
          <w:rFonts w:ascii="Cambria" w:eastAsia="Times New Roman" w:hAnsi="Cambria"/>
          <w:bCs/>
          <w:sz w:val="20"/>
          <w:szCs w:val="20"/>
          <w:bdr w:val="none" w:sz="0" w:space="0" w:color="auto"/>
        </w:rPr>
        <w:t>, as it submits that no violation of the American Declaration has occurred</w:t>
      </w:r>
      <w:r w:rsidRPr="00676B15">
        <w:rPr>
          <w:rFonts w:ascii="Cambria" w:eastAsia="Times New Roman" w:hAnsi="Cambria"/>
          <w:bCs/>
          <w:sz w:val="20"/>
          <w:szCs w:val="20"/>
          <w:bdr w:val="none" w:sz="0" w:space="0" w:color="auto"/>
        </w:rPr>
        <w:t xml:space="preserve">. </w:t>
      </w:r>
      <w:r w:rsidR="00584CF9" w:rsidRPr="00676B15">
        <w:rPr>
          <w:rFonts w:ascii="Cambria" w:eastAsia="Times New Roman" w:hAnsi="Cambria"/>
          <w:bCs/>
          <w:sz w:val="20"/>
          <w:szCs w:val="20"/>
          <w:bdr w:val="none" w:sz="0" w:space="0" w:color="auto"/>
        </w:rPr>
        <w:t xml:space="preserve">The Commission notes that the State included arguments concerning the admissibility of the case in its response, but given that the admissibility decision was made by the Commission in 2011, these are untimely and it is not pertinent to consider </w:t>
      </w:r>
      <w:r w:rsidR="00D24B82" w:rsidRPr="00676B15">
        <w:rPr>
          <w:rFonts w:ascii="Cambria" w:eastAsia="Times New Roman" w:hAnsi="Cambria"/>
          <w:bCs/>
          <w:sz w:val="20"/>
          <w:szCs w:val="20"/>
          <w:bdr w:val="none" w:sz="0" w:space="0" w:color="auto"/>
        </w:rPr>
        <w:t>them</w:t>
      </w:r>
      <w:r w:rsidR="00584CF9" w:rsidRPr="00676B15">
        <w:rPr>
          <w:rFonts w:ascii="Cambria" w:eastAsia="Times New Roman" w:hAnsi="Cambria"/>
          <w:bCs/>
          <w:sz w:val="20"/>
          <w:szCs w:val="20"/>
          <w:bdr w:val="none" w:sz="0" w:space="0" w:color="auto"/>
        </w:rPr>
        <w:t xml:space="preserve">. </w:t>
      </w:r>
    </w:p>
    <w:p w14:paraId="3B499D24" w14:textId="77777777" w:rsidR="00354259" w:rsidRPr="00676B15" w:rsidRDefault="00354259" w:rsidP="0035425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0DBC3EBE" w14:textId="77777777" w:rsidR="00526E0B" w:rsidRDefault="00526E0B">
      <w:pPr>
        <w:rPr>
          <w:rFonts w:ascii="Cambria" w:eastAsia="Times New Roman" w:hAnsi="Cambria"/>
          <w:b/>
          <w:bCs/>
          <w:sz w:val="20"/>
          <w:szCs w:val="20"/>
          <w:bdr w:val="none" w:sz="0" w:space="0" w:color="auto"/>
        </w:rPr>
      </w:pPr>
      <w:bookmarkStart w:id="19" w:name="_Toc466296165"/>
      <w:r>
        <w:br w:type="page"/>
      </w:r>
    </w:p>
    <w:p w14:paraId="121E4AC4" w14:textId="73292D50" w:rsidR="00354259" w:rsidRPr="00676B15" w:rsidRDefault="00354259" w:rsidP="00862660">
      <w:pPr>
        <w:pStyle w:val="Heading1"/>
        <w:ind w:firstLine="720"/>
      </w:pPr>
      <w:r w:rsidRPr="00676B15">
        <w:lastRenderedPageBreak/>
        <w:t xml:space="preserve">IV. </w:t>
      </w:r>
      <w:r w:rsidRPr="00676B15">
        <w:tab/>
        <w:t>ESTABLISHED FACTS</w:t>
      </w:r>
      <w:bookmarkEnd w:id="19"/>
    </w:p>
    <w:p w14:paraId="2F270F21" w14:textId="77777777" w:rsidR="00F36794" w:rsidRPr="00676B15" w:rsidRDefault="00F36794" w:rsidP="00F3679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087C3B3C" w14:textId="77777777" w:rsidR="00EE6A88" w:rsidRPr="00676B15" w:rsidRDefault="00EE6A88"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In application of Article 43(1) of its Rules of Procedure, the IACHR will examine the arguments and evidence provided by the petitioners and the State. In addition, it will take into consideration publicly available information.</w:t>
      </w:r>
      <w:r w:rsidR="002D6FF4" w:rsidRPr="00676B15">
        <w:rPr>
          <w:rStyle w:val="FootnoteReference"/>
          <w:rFonts w:ascii="Cambria" w:eastAsia="Times New Roman" w:hAnsi="Cambria"/>
          <w:bCs/>
          <w:sz w:val="20"/>
          <w:szCs w:val="20"/>
          <w:bdr w:val="none" w:sz="0" w:space="0" w:color="auto"/>
        </w:rPr>
        <w:footnoteReference w:id="28"/>
      </w:r>
      <w:r w:rsidRPr="00676B15">
        <w:rPr>
          <w:rFonts w:ascii="Cambria" w:eastAsia="Times New Roman" w:hAnsi="Cambria"/>
          <w:bCs/>
          <w:sz w:val="20"/>
          <w:szCs w:val="20"/>
          <w:bdr w:val="none" w:sz="0" w:space="0" w:color="auto"/>
        </w:rPr>
        <w:t xml:space="preserve"> </w:t>
      </w:r>
    </w:p>
    <w:p w14:paraId="20F922E6" w14:textId="77777777" w:rsidR="001C2783" w:rsidRPr="00676B15" w:rsidRDefault="001C2783" w:rsidP="001C278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10BC8A94" w14:textId="77777777" w:rsidR="001C2783" w:rsidRPr="00676B15" w:rsidRDefault="001C2783" w:rsidP="00862660">
      <w:pPr>
        <w:pStyle w:val="Heading2"/>
        <w:numPr>
          <w:ilvl w:val="0"/>
          <w:numId w:val="60"/>
        </w:numPr>
        <w:ind w:left="1530" w:hanging="810"/>
      </w:pPr>
      <w:bookmarkStart w:id="20" w:name="_Toc466296166"/>
      <w:r w:rsidRPr="00676B15">
        <w:t>Presumed Victims</w:t>
      </w:r>
      <w:bookmarkEnd w:id="20"/>
      <w:r w:rsidRPr="00676B15">
        <w:t xml:space="preserve"> </w:t>
      </w:r>
    </w:p>
    <w:p w14:paraId="2C1D0C02" w14:textId="77777777" w:rsidR="00153A38" w:rsidRPr="00676B15" w:rsidRDefault="00153A38" w:rsidP="00153A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71628410" w14:textId="6A121CDA" w:rsidR="00DD233B" w:rsidRPr="00676B15" w:rsidRDefault="00DD233B"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In November 2004, Mr. Zumaya was injured on the job, at a farm in Pennsylvania, while picking apples. He fell from a tree and severely fractured his left leg. Mr. Zumaya had worked on this farm for 14 months and did not have authorization to work in the United States.</w:t>
      </w:r>
      <w:r w:rsidRPr="00676B15">
        <w:rPr>
          <w:rStyle w:val="FootnoteReference"/>
          <w:rFonts w:ascii="Cambria" w:eastAsia="Times New Roman" w:hAnsi="Cambria"/>
          <w:bCs/>
          <w:sz w:val="20"/>
          <w:szCs w:val="20"/>
          <w:bdr w:val="none" w:sz="0" w:space="0" w:color="auto"/>
        </w:rPr>
        <w:footnoteReference w:id="29"/>
      </w:r>
      <w:r w:rsidRPr="00676B15">
        <w:rPr>
          <w:rFonts w:ascii="Cambria" w:eastAsia="Times New Roman" w:hAnsi="Cambria"/>
          <w:bCs/>
          <w:sz w:val="20"/>
          <w:szCs w:val="20"/>
          <w:bdr w:val="none" w:sz="0" w:space="0" w:color="auto"/>
        </w:rPr>
        <w:t xml:space="preserve"> </w:t>
      </w:r>
    </w:p>
    <w:p w14:paraId="6B7143C2" w14:textId="77777777" w:rsidR="00DD233B" w:rsidRPr="00676B15" w:rsidRDefault="00DD233B" w:rsidP="00DD233B">
      <w:pPr>
        <w:pStyle w:val="ListParagraph"/>
        <w:rPr>
          <w:rFonts w:eastAsia="Times New Roman"/>
          <w:bCs/>
          <w:sz w:val="20"/>
          <w:szCs w:val="20"/>
          <w:bdr w:val="none" w:sz="0" w:space="0" w:color="auto"/>
        </w:rPr>
      </w:pPr>
    </w:p>
    <w:p w14:paraId="734163AF" w14:textId="77777777" w:rsidR="00153A38" w:rsidRPr="00676B15" w:rsidRDefault="00DD233B"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As a result of this injury, Mr. Zumaya had </w:t>
      </w:r>
      <w:r w:rsidR="00820312" w:rsidRPr="00676B15">
        <w:rPr>
          <w:rFonts w:ascii="Cambria" w:eastAsia="Times New Roman" w:hAnsi="Cambria"/>
          <w:bCs/>
          <w:sz w:val="20"/>
          <w:szCs w:val="20"/>
          <w:bdr w:val="none" w:sz="0" w:space="0" w:color="auto"/>
        </w:rPr>
        <w:t>to have three operations. In the first operation, a metal plate and six screws were inserted in his leg; in the second, the screws were removed; and the third was to fix a torn ligament in the front of his leg. Mr. Zumaya suffers chronic pain in his leg and sustained permanent nerve damage from the fall.</w:t>
      </w:r>
      <w:r w:rsidR="00820312" w:rsidRPr="00676B15">
        <w:rPr>
          <w:rStyle w:val="FootnoteReference"/>
          <w:rFonts w:ascii="Cambria" w:eastAsia="Times New Roman" w:hAnsi="Cambria"/>
          <w:bCs/>
          <w:sz w:val="20"/>
          <w:szCs w:val="20"/>
          <w:bdr w:val="none" w:sz="0" w:space="0" w:color="auto"/>
        </w:rPr>
        <w:footnoteReference w:id="30"/>
      </w:r>
      <w:r w:rsidR="00820312" w:rsidRPr="00676B15">
        <w:rPr>
          <w:rFonts w:ascii="Cambria" w:eastAsia="Times New Roman" w:hAnsi="Cambria"/>
          <w:bCs/>
          <w:sz w:val="20"/>
          <w:szCs w:val="20"/>
          <w:bdr w:val="none" w:sz="0" w:space="0" w:color="auto"/>
        </w:rPr>
        <w:t xml:space="preserve"> </w:t>
      </w:r>
    </w:p>
    <w:p w14:paraId="2E9A144E" w14:textId="77777777" w:rsidR="00820312" w:rsidRPr="00676B15" w:rsidRDefault="00820312" w:rsidP="00820312">
      <w:pPr>
        <w:pStyle w:val="ListParagraph"/>
        <w:rPr>
          <w:rFonts w:eastAsia="Times New Roman"/>
          <w:bCs/>
          <w:sz w:val="20"/>
          <w:szCs w:val="20"/>
          <w:bdr w:val="none" w:sz="0" w:space="0" w:color="auto"/>
        </w:rPr>
      </w:pPr>
    </w:p>
    <w:p w14:paraId="2CBC1494" w14:textId="27FF80AF" w:rsidR="00E25318" w:rsidRPr="00676B15" w:rsidRDefault="00820312"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Mr. Zumaya’s employer initially paid for his medical expenses, but when it became apparent he could no longer go back to work, his employer ceased </w:t>
      </w:r>
      <w:r w:rsidR="000E2ADC" w:rsidRPr="00676B15">
        <w:rPr>
          <w:rFonts w:ascii="Cambria" w:eastAsia="Times New Roman" w:hAnsi="Cambria"/>
          <w:bCs/>
          <w:sz w:val="20"/>
          <w:szCs w:val="20"/>
          <w:bdr w:val="none" w:sz="0" w:space="0" w:color="auto"/>
        </w:rPr>
        <w:t>these payments.</w:t>
      </w:r>
      <w:r w:rsidR="000E2ADC" w:rsidRPr="00676B15">
        <w:rPr>
          <w:rStyle w:val="FootnoteReference"/>
          <w:rFonts w:ascii="Cambria" w:eastAsia="Times New Roman" w:hAnsi="Cambria"/>
          <w:bCs/>
          <w:sz w:val="20"/>
          <w:szCs w:val="20"/>
          <w:bdr w:val="none" w:sz="0" w:space="0" w:color="auto"/>
        </w:rPr>
        <w:footnoteReference w:id="31"/>
      </w:r>
      <w:r w:rsidR="000E2ADC" w:rsidRPr="00676B15">
        <w:rPr>
          <w:rFonts w:ascii="Cambria" w:eastAsia="Times New Roman" w:hAnsi="Cambria"/>
          <w:bCs/>
          <w:sz w:val="20"/>
          <w:szCs w:val="20"/>
          <w:bdr w:val="none" w:sz="0" w:space="0" w:color="auto"/>
        </w:rPr>
        <w:t xml:space="preserve"> The employer’s insurance company also refused payment of workers’ compensation benefits due to his undocumented status.</w:t>
      </w:r>
      <w:r w:rsidR="008D5B23" w:rsidRPr="00676B15">
        <w:rPr>
          <w:rStyle w:val="FootnoteReference"/>
          <w:rFonts w:ascii="Cambria" w:eastAsia="Times New Roman" w:hAnsi="Cambria"/>
          <w:bCs/>
          <w:sz w:val="20"/>
          <w:szCs w:val="20"/>
          <w:bdr w:val="none" w:sz="0" w:space="0" w:color="auto"/>
        </w:rPr>
        <w:footnoteReference w:id="32"/>
      </w:r>
      <w:r w:rsidR="000E2ADC" w:rsidRPr="00676B15">
        <w:rPr>
          <w:rFonts w:ascii="Cambria" w:eastAsia="Times New Roman" w:hAnsi="Cambria"/>
          <w:bCs/>
          <w:sz w:val="20"/>
          <w:szCs w:val="20"/>
          <w:bdr w:val="none" w:sz="0" w:space="0" w:color="auto"/>
        </w:rPr>
        <w:t xml:space="preserve">  </w:t>
      </w:r>
      <w:r w:rsidR="008D5B23" w:rsidRPr="00676B15">
        <w:rPr>
          <w:rFonts w:ascii="Cambria" w:eastAsia="Times New Roman" w:hAnsi="Cambria"/>
          <w:bCs/>
          <w:sz w:val="20"/>
          <w:szCs w:val="20"/>
          <w:bdr w:val="none" w:sz="0" w:space="0" w:color="auto"/>
        </w:rPr>
        <w:t>Mr. Zumaya retained counsel to bring a workers’ compensation claim against his employer and was advised by his attorney to accept a settlement for $35,000</w:t>
      </w:r>
      <w:r w:rsidR="00E25318" w:rsidRPr="00676B15">
        <w:rPr>
          <w:rFonts w:ascii="Cambria" w:eastAsia="Times New Roman" w:hAnsi="Cambria"/>
          <w:bCs/>
          <w:sz w:val="20"/>
          <w:szCs w:val="20"/>
          <w:bdr w:val="none" w:sz="0" w:space="0" w:color="auto"/>
        </w:rPr>
        <w:t>.</w:t>
      </w:r>
      <w:r w:rsidR="00E25318" w:rsidRPr="00676B15">
        <w:rPr>
          <w:rStyle w:val="FootnoteReference"/>
          <w:rFonts w:ascii="Cambria" w:eastAsia="Times New Roman" w:hAnsi="Cambria"/>
          <w:bCs/>
          <w:sz w:val="20"/>
          <w:szCs w:val="20"/>
          <w:bdr w:val="none" w:sz="0" w:space="0" w:color="auto"/>
        </w:rPr>
        <w:footnoteReference w:id="33"/>
      </w:r>
      <w:r w:rsidR="00E25318" w:rsidRPr="00676B15">
        <w:rPr>
          <w:rFonts w:ascii="Cambria" w:eastAsia="Times New Roman" w:hAnsi="Cambria"/>
          <w:bCs/>
          <w:sz w:val="20"/>
          <w:szCs w:val="20"/>
          <w:bdr w:val="none" w:sz="0" w:space="0" w:color="auto"/>
        </w:rPr>
        <w:t xml:space="preserve">  </w:t>
      </w:r>
    </w:p>
    <w:p w14:paraId="59DE758A" w14:textId="77777777" w:rsidR="00CA43CC" w:rsidRPr="00676B15" w:rsidRDefault="00CA43CC" w:rsidP="00FD22A6">
      <w:pPr>
        <w:pStyle w:val="ListParagraph"/>
        <w:rPr>
          <w:rFonts w:eastAsia="Times New Roman"/>
          <w:bCs/>
          <w:sz w:val="20"/>
          <w:szCs w:val="20"/>
          <w:bdr w:val="none" w:sz="0" w:space="0" w:color="auto"/>
        </w:rPr>
      </w:pPr>
    </w:p>
    <w:p w14:paraId="46500454" w14:textId="142F8631" w:rsidR="00E01A1A" w:rsidRPr="00676B15" w:rsidRDefault="00A2193C"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In November 2005, Mr. Lizalde was injured on the job when he fell from scaffolding and fractured his hand. Mr. Lizalde had been working as a painter in Kansas for eight months.</w:t>
      </w:r>
      <w:r w:rsidR="00F54030" w:rsidRPr="00676B15">
        <w:rPr>
          <w:rStyle w:val="FootnoteReference"/>
          <w:rFonts w:ascii="Cambria" w:eastAsia="Times New Roman" w:hAnsi="Cambria"/>
          <w:bCs/>
          <w:sz w:val="20"/>
          <w:szCs w:val="20"/>
          <w:bdr w:val="none" w:sz="0" w:space="0" w:color="auto"/>
        </w:rPr>
        <w:footnoteReference w:id="34"/>
      </w:r>
      <w:r w:rsidRPr="00676B15">
        <w:rPr>
          <w:rFonts w:ascii="Cambria" w:eastAsia="Times New Roman" w:hAnsi="Cambria"/>
          <w:bCs/>
          <w:sz w:val="20"/>
          <w:szCs w:val="20"/>
          <w:bdr w:val="none" w:sz="0" w:space="0" w:color="auto"/>
        </w:rPr>
        <w:t xml:space="preserve"> </w:t>
      </w:r>
      <w:r w:rsidR="00F54030" w:rsidRPr="00676B15">
        <w:rPr>
          <w:rFonts w:ascii="Cambria" w:eastAsia="Times New Roman" w:hAnsi="Cambria"/>
          <w:bCs/>
          <w:sz w:val="20"/>
          <w:szCs w:val="20"/>
          <w:bdr w:val="none" w:sz="0" w:space="0" w:color="auto"/>
        </w:rPr>
        <w:t xml:space="preserve">Mr. Lizalde received medical care for the injury he sustained, through the insurance of his employer. Such care consisted of surgery on his hand </w:t>
      </w:r>
      <w:r w:rsidR="00371B0C" w:rsidRPr="00676B15">
        <w:rPr>
          <w:rFonts w:ascii="Cambria" w:eastAsia="Times New Roman" w:hAnsi="Cambria"/>
          <w:bCs/>
          <w:sz w:val="20"/>
          <w:szCs w:val="20"/>
          <w:bdr w:val="none" w:sz="0" w:space="0" w:color="auto"/>
        </w:rPr>
        <w:t>which was then placed in a cast</w:t>
      </w:r>
      <w:r w:rsidR="00E01A1A" w:rsidRPr="00676B15">
        <w:rPr>
          <w:rFonts w:ascii="Cambria" w:eastAsia="Times New Roman" w:hAnsi="Cambria"/>
          <w:bCs/>
          <w:sz w:val="20"/>
          <w:szCs w:val="20"/>
          <w:bdr w:val="none" w:sz="0" w:space="0" w:color="auto"/>
        </w:rPr>
        <w:t>. He also received four checks from his employer’s insurance company in the amount of $470 each</w:t>
      </w:r>
      <w:r w:rsidR="00972127" w:rsidRPr="00676B15">
        <w:rPr>
          <w:rFonts w:ascii="Cambria" w:eastAsia="Times New Roman" w:hAnsi="Cambria"/>
          <w:bCs/>
          <w:sz w:val="20"/>
          <w:szCs w:val="20"/>
          <w:bdr w:val="none" w:sz="0" w:space="0" w:color="auto"/>
        </w:rPr>
        <w:t>, for a total of $1,880</w:t>
      </w:r>
      <w:r w:rsidR="009E390E" w:rsidRPr="00676B15">
        <w:rPr>
          <w:rFonts w:ascii="Cambria" w:eastAsia="Times New Roman" w:hAnsi="Cambria"/>
          <w:bCs/>
          <w:sz w:val="20"/>
          <w:szCs w:val="20"/>
          <w:bdr w:val="none" w:sz="0" w:space="0" w:color="auto"/>
        </w:rPr>
        <w:t>, to cover medical expenses</w:t>
      </w:r>
      <w:r w:rsidR="00E01A1A" w:rsidRPr="00676B15">
        <w:rPr>
          <w:rFonts w:ascii="Cambria" w:eastAsia="Times New Roman" w:hAnsi="Cambria"/>
          <w:bCs/>
          <w:sz w:val="20"/>
          <w:szCs w:val="20"/>
          <w:bdr w:val="none" w:sz="0" w:space="0" w:color="auto"/>
        </w:rPr>
        <w:t>.</w:t>
      </w:r>
      <w:r w:rsidR="00E01A1A" w:rsidRPr="00676B15">
        <w:rPr>
          <w:rStyle w:val="FootnoteReference"/>
          <w:rFonts w:ascii="Cambria" w:eastAsia="Times New Roman" w:hAnsi="Cambria"/>
          <w:bCs/>
          <w:sz w:val="20"/>
          <w:szCs w:val="20"/>
          <w:bdr w:val="none" w:sz="0" w:space="0" w:color="auto"/>
        </w:rPr>
        <w:footnoteReference w:id="35"/>
      </w:r>
    </w:p>
    <w:p w14:paraId="06C2D227" w14:textId="77777777" w:rsidR="00E01A1A" w:rsidRPr="00676B15" w:rsidRDefault="00E01A1A" w:rsidP="00E01A1A">
      <w:pPr>
        <w:pStyle w:val="ListParagraph"/>
        <w:rPr>
          <w:rFonts w:eastAsia="Times New Roman"/>
          <w:bCs/>
          <w:sz w:val="20"/>
          <w:szCs w:val="20"/>
          <w:bdr w:val="none" w:sz="0" w:space="0" w:color="auto"/>
        </w:rPr>
      </w:pPr>
    </w:p>
    <w:p w14:paraId="7B04C827" w14:textId="439B06F2" w:rsidR="00CA43CC" w:rsidRPr="00676B15" w:rsidRDefault="00E01A1A"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Shortly after filing a workers’ compensation claim in December 2005</w:t>
      </w:r>
      <w:r w:rsidR="00F23460" w:rsidRPr="00676B15">
        <w:rPr>
          <w:rFonts w:ascii="Cambria" w:eastAsia="Times New Roman" w:hAnsi="Cambria"/>
          <w:bCs/>
          <w:sz w:val="20"/>
          <w:szCs w:val="20"/>
          <w:bdr w:val="none" w:sz="0" w:space="0" w:color="auto"/>
        </w:rPr>
        <w:t xml:space="preserve"> and prior to a doctor’s appointment to determine the full extent of the disability</w:t>
      </w:r>
      <w:r w:rsidRPr="00676B15">
        <w:rPr>
          <w:rFonts w:ascii="Cambria" w:eastAsia="Times New Roman" w:hAnsi="Cambria"/>
          <w:bCs/>
          <w:sz w:val="20"/>
          <w:szCs w:val="20"/>
          <w:bdr w:val="none" w:sz="0" w:space="0" w:color="auto"/>
        </w:rPr>
        <w:t xml:space="preserve">, Mr. Lizalde was arrested and charged with document fraud. </w:t>
      </w:r>
      <w:r w:rsidR="004B70CB" w:rsidRPr="00676B15">
        <w:rPr>
          <w:rFonts w:ascii="Cambria" w:eastAsia="Times New Roman" w:hAnsi="Cambria"/>
          <w:bCs/>
          <w:sz w:val="20"/>
          <w:szCs w:val="20"/>
          <w:bdr w:val="none" w:sz="0" w:space="0" w:color="auto"/>
        </w:rPr>
        <w:t xml:space="preserve">He was detained for more than a month in jail, convicted of </w:t>
      </w:r>
      <w:r w:rsidR="001C2783" w:rsidRPr="00676B15">
        <w:rPr>
          <w:rFonts w:ascii="Cambria" w:eastAsia="Times New Roman" w:hAnsi="Cambria"/>
          <w:bCs/>
          <w:sz w:val="20"/>
          <w:szCs w:val="20"/>
          <w:bdr w:val="none" w:sz="0" w:space="0" w:color="auto"/>
        </w:rPr>
        <w:t>the</w:t>
      </w:r>
      <w:r w:rsidR="004B70CB" w:rsidRPr="00676B15">
        <w:rPr>
          <w:rFonts w:ascii="Cambria" w:eastAsia="Times New Roman" w:hAnsi="Cambria"/>
          <w:bCs/>
          <w:sz w:val="20"/>
          <w:szCs w:val="20"/>
          <w:bdr w:val="none" w:sz="0" w:space="0" w:color="auto"/>
        </w:rPr>
        <w:t xml:space="preserve"> felony and deported to Mexico in February 2006.</w:t>
      </w:r>
      <w:r w:rsidR="004B70CB" w:rsidRPr="00676B15">
        <w:rPr>
          <w:rStyle w:val="FootnoteReference"/>
          <w:rFonts w:ascii="Cambria" w:eastAsia="Times New Roman" w:hAnsi="Cambria"/>
          <w:bCs/>
          <w:sz w:val="20"/>
          <w:szCs w:val="20"/>
          <w:bdr w:val="none" w:sz="0" w:space="0" w:color="auto"/>
        </w:rPr>
        <w:footnoteReference w:id="36"/>
      </w:r>
      <w:r w:rsidR="004B70CB" w:rsidRPr="00676B15">
        <w:rPr>
          <w:rFonts w:ascii="Cambria" w:eastAsia="Times New Roman" w:hAnsi="Cambria"/>
          <w:bCs/>
          <w:sz w:val="20"/>
          <w:szCs w:val="20"/>
          <w:bdr w:val="none" w:sz="0" w:space="0" w:color="auto"/>
        </w:rPr>
        <w:t xml:space="preserve">  </w:t>
      </w:r>
      <w:r w:rsidRPr="00676B15">
        <w:rPr>
          <w:rFonts w:ascii="Cambria" w:eastAsia="Times New Roman" w:hAnsi="Cambria"/>
          <w:bCs/>
          <w:sz w:val="20"/>
          <w:szCs w:val="20"/>
          <w:bdr w:val="none" w:sz="0" w:space="0" w:color="auto"/>
        </w:rPr>
        <w:t xml:space="preserve"> </w:t>
      </w:r>
      <w:r w:rsidR="004B70CB" w:rsidRPr="00676B15">
        <w:rPr>
          <w:rFonts w:ascii="Cambria" w:eastAsia="Times New Roman" w:hAnsi="Cambria"/>
          <w:bCs/>
          <w:sz w:val="20"/>
          <w:szCs w:val="20"/>
          <w:bdr w:val="none" w:sz="0" w:space="0" w:color="auto"/>
        </w:rPr>
        <w:t>While in jail, Mr. Lizalde did not have access to medical care and was unable to get his cast removed until</w:t>
      </w:r>
      <w:r w:rsidR="00BA3F9E" w:rsidRPr="00676B15">
        <w:rPr>
          <w:rFonts w:ascii="Cambria" w:eastAsia="Times New Roman" w:hAnsi="Cambria"/>
          <w:bCs/>
          <w:sz w:val="20"/>
          <w:szCs w:val="20"/>
          <w:bdr w:val="none" w:sz="0" w:space="0" w:color="auto"/>
        </w:rPr>
        <w:t xml:space="preserve"> after</w:t>
      </w:r>
      <w:r w:rsidR="004B70CB" w:rsidRPr="00676B15">
        <w:rPr>
          <w:rFonts w:ascii="Cambria" w:eastAsia="Times New Roman" w:hAnsi="Cambria"/>
          <w:bCs/>
          <w:sz w:val="20"/>
          <w:szCs w:val="20"/>
          <w:bdr w:val="none" w:sz="0" w:space="0" w:color="auto"/>
        </w:rPr>
        <w:t xml:space="preserve"> he was in Mexico</w:t>
      </w:r>
      <w:r w:rsidR="00BA3F9E" w:rsidRPr="00676B15">
        <w:rPr>
          <w:rFonts w:ascii="Cambria" w:eastAsia="Times New Roman" w:hAnsi="Cambria"/>
          <w:bCs/>
          <w:sz w:val="20"/>
          <w:szCs w:val="20"/>
          <w:bdr w:val="none" w:sz="0" w:space="0" w:color="auto"/>
        </w:rPr>
        <w:t>, at his own cost</w:t>
      </w:r>
      <w:r w:rsidR="004B70CB" w:rsidRPr="00676B15">
        <w:rPr>
          <w:rFonts w:ascii="Cambria" w:eastAsia="Times New Roman" w:hAnsi="Cambria"/>
          <w:bCs/>
          <w:sz w:val="20"/>
          <w:szCs w:val="20"/>
          <w:bdr w:val="none" w:sz="0" w:space="0" w:color="auto"/>
        </w:rPr>
        <w:t>.</w:t>
      </w:r>
      <w:r w:rsidR="004B70CB" w:rsidRPr="00676B15">
        <w:rPr>
          <w:rStyle w:val="FootnoteReference"/>
          <w:rFonts w:ascii="Cambria" w:eastAsia="Times New Roman" w:hAnsi="Cambria"/>
          <w:bCs/>
          <w:sz w:val="20"/>
          <w:szCs w:val="20"/>
          <w:bdr w:val="none" w:sz="0" w:space="0" w:color="auto"/>
        </w:rPr>
        <w:footnoteReference w:id="37"/>
      </w:r>
    </w:p>
    <w:p w14:paraId="017F83E5" w14:textId="77777777" w:rsidR="004B70CB" w:rsidRPr="00676B15" w:rsidRDefault="004B70CB" w:rsidP="004B70CB">
      <w:pPr>
        <w:pStyle w:val="ListParagraph"/>
        <w:rPr>
          <w:rFonts w:eastAsia="Times New Roman"/>
          <w:bCs/>
          <w:sz w:val="20"/>
          <w:szCs w:val="20"/>
          <w:bdr w:val="none" w:sz="0" w:space="0" w:color="auto"/>
        </w:rPr>
      </w:pPr>
    </w:p>
    <w:p w14:paraId="13F3A842" w14:textId="77777777" w:rsidR="004B70CB" w:rsidRPr="00676B15" w:rsidRDefault="00BA3F9E"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lastRenderedPageBreak/>
        <w:t xml:space="preserve">Prior to being deported, </w:t>
      </w:r>
      <w:r w:rsidR="00C3215D" w:rsidRPr="00676B15">
        <w:rPr>
          <w:rFonts w:ascii="Cambria" w:eastAsia="Times New Roman" w:hAnsi="Cambria"/>
          <w:bCs/>
          <w:sz w:val="20"/>
          <w:szCs w:val="20"/>
          <w:bdr w:val="none" w:sz="0" w:space="0" w:color="auto"/>
        </w:rPr>
        <w:t>Mr. Lizalde retained counsel to preserve his right to workers’ compensation benefits. Nonetheless, within days of filing Mr. Lizalde’s claim, his lawyer was contacted and informed that Mr. Lizalde had been prosecuted and deported</w:t>
      </w:r>
      <w:r w:rsidR="00CB6A76" w:rsidRPr="00676B15">
        <w:rPr>
          <w:rFonts w:ascii="Cambria" w:eastAsia="Times New Roman" w:hAnsi="Cambria"/>
          <w:bCs/>
          <w:sz w:val="20"/>
          <w:szCs w:val="20"/>
          <w:bdr w:val="none" w:sz="0" w:space="0" w:color="auto"/>
        </w:rPr>
        <w:t>.</w:t>
      </w:r>
      <w:r w:rsidR="00C3215D" w:rsidRPr="00676B15">
        <w:rPr>
          <w:rFonts w:ascii="Cambria" w:eastAsia="Times New Roman" w:hAnsi="Cambria"/>
          <w:bCs/>
          <w:sz w:val="20"/>
          <w:szCs w:val="20"/>
          <w:bdr w:val="none" w:sz="0" w:space="0" w:color="auto"/>
        </w:rPr>
        <w:t xml:space="preserve"> </w:t>
      </w:r>
      <w:r w:rsidR="004A0ABB" w:rsidRPr="00676B15">
        <w:rPr>
          <w:rFonts w:ascii="Cambria" w:eastAsia="Times New Roman" w:hAnsi="Cambria"/>
          <w:bCs/>
          <w:sz w:val="20"/>
          <w:szCs w:val="20"/>
          <w:bdr w:val="none" w:sz="0" w:space="0" w:color="auto"/>
        </w:rPr>
        <w:t>His lawyer was further informed that, g</w:t>
      </w:r>
      <w:r w:rsidR="00C3215D" w:rsidRPr="00676B15">
        <w:rPr>
          <w:rFonts w:ascii="Cambria" w:eastAsia="Times New Roman" w:hAnsi="Cambria"/>
          <w:bCs/>
          <w:sz w:val="20"/>
          <w:szCs w:val="20"/>
          <w:bdr w:val="none" w:sz="0" w:space="0" w:color="auto"/>
        </w:rPr>
        <w:t xml:space="preserve">iven that </w:t>
      </w:r>
      <w:r w:rsidR="004A0ABB" w:rsidRPr="00676B15">
        <w:rPr>
          <w:rFonts w:ascii="Cambria" w:eastAsia="Times New Roman" w:hAnsi="Cambria"/>
          <w:bCs/>
          <w:sz w:val="20"/>
          <w:szCs w:val="20"/>
          <w:bdr w:val="none" w:sz="0" w:space="0" w:color="auto"/>
        </w:rPr>
        <w:t>Mr. Lizalde’s</w:t>
      </w:r>
      <w:r w:rsidR="00C3215D" w:rsidRPr="00676B15">
        <w:rPr>
          <w:rFonts w:ascii="Cambria" w:eastAsia="Times New Roman" w:hAnsi="Cambria"/>
          <w:bCs/>
          <w:sz w:val="20"/>
          <w:szCs w:val="20"/>
          <w:bdr w:val="none" w:sz="0" w:space="0" w:color="auto"/>
        </w:rPr>
        <w:t xml:space="preserve"> presence is required to pursue his claim, Mr. </w:t>
      </w:r>
      <w:r w:rsidR="001C2783" w:rsidRPr="00676B15">
        <w:rPr>
          <w:rFonts w:ascii="Cambria" w:eastAsia="Times New Roman" w:hAnsi="Cambria"/>
          <w:bCs/>
          <w:sz w:val="20"/>
          <w:szCs w:val="20"/>
          <w:bdr w:val="none" w:sz="0" w:space="0" w:color="auto"/>
        </w:rPr>
        <w:t>Lizalde had</w:t>
      </w:r>
      <w:r w:rsidR="00C3215D" w:rsidRPr="00676B15">
        <w:rPr>
          <w:rFonts w:ascii="Cambria" w:eastAsia="Times New Roman" w:hAnsi="Cambria"/>
          <w:bCs/>
          <w:sz w:val="20"/>
          <w:szCs w:val="20"/>
          <w:bdr w:val="none" w:sz="0" w:space="0" w:color="auto"/>
        </w:rPr>
        <w:t xml:space="preserve"> to choose between possible prosecution and conviction for illegal reentry or to forego his legal rights to workers’</w:t>
      </w:r>
      <w:r w:rsidR="00CB6A76" w:rsidRPr="00676B15">
        <w:rPr>
          <w:rFonts w:ascii="Cambria" w:eastAsia="Times New Roman" w:hAnsi="Cambria"/>
          <w:bCs/>
          <w:sz w:val="20"/>
          <w:szCs w:val="20"/>
          <w:bdr w:val="none" w:sz="0" w:space="0" w:color="auto"/>
        </w:rPr>
        <w:t xml:space="preserve"> compensation, including disability compensation and medical treatment.</w:t>
      </w:r>
      <w:r w:rsidR="00CB6A76" w:rsidRPr="00676B15">
        <w:rPr>
          <w:rStyle w:val="FootnoteReference"/>
          <w:rFonts w:ascii="Cambria" w:eastAsia="Times New Roman" w:hAnsi="Cambria"/>
          <w:bCs/>
          <w:sz w:val="20"/>
          <w:szCs w:val="20"/>
          <w:bdr w:val="none" w:sz="0" w:space="0" w:color="auto"/>
        </w:rPr>
        <w:footnoteReference w:id="38"/>
      </w:r>
    </w:p>
    <w:p w14:paraId="058AAB12" w14:textId="77777777" w:rsidR="001C2783" w:rsidRPr="00676B15" w:rsidRDefault="001C2783" w:rsidP="001C2783">
      <w:pPr>
        <w:pStyle w:val="ListParagraph"/>
        <w:rPr>
          <w:rFonts w:eastAsia="Times New Roman"/>
          <w:bCs/>
          <w:sz w:val="20"/>
          <w:szCs w:val="20"/>
          <w:bdr w:val="none" w:sz="0" w:space="0" w:color="auto"/>
        </w:rPr>
      </w:pPr>
    </w:p>
    <w:p w14:paraId="33D18E45" w14:textId="77777777" w:rsidR="001C2783" w:rsidRPr="00676B15" w:rsidRDefault="004E4462" w:rsidP="00862660">
      <w:pPr>
        <w:pStyle w:val="Heading2"/>
        <w:ind w:left="1530" w:hanging="810"/>
      </w:pPr>
      <w:bookmarkStart w:id="21" w:name="_Toc466296167"/>
      <w:r w:rsidRPr="00676B15">
        <w:rPr>
          <w:i/>
        </w:rPr>
        <w:t>Hoffman</w:t>
      </w:r>
      <w:r w:rsidR="00F36AD9" w:rsidRPr="00676B15">
        <w:rPr>
          <w:i/>
        </w:rPr>
        <w:t xml:space="preserve"> Plastic Compounds, Inc. v. NLRB</w:t>
      </w:r>
      <w:bookmarkEnd w:id="21"/>
      <w:r w:rsidR="00F36AD9" w:rsidRPr="00676B15">
        <w:rPr>
          <w:i/>
        </w:rPr>
        <w:t xml:space="preserve"> </w:t>
      </w:r>
    </w:p>
    <w:p w14:paraId="094BBC28" w14:textId="77777777" w:rsidR="001C2783" w:rsidRPr="00676B15" w:rsidRDefault="001C2783" w:rsidP="004E4462">
      <w:pPr>
        <w:pStyle w:val="ListParagraph"/>
        <w:rPr>
          <w:rFonts w:eastAsia="Times New Roman"/>
          <w:bCs/>
          <w:sz w:val="20"/>
          <w:szCs w:val="20"/>
          <w:bdr w:val="none" w:sz="0" w:space="0" w:color="auto"/>
        </w:rPr>
      </w:pPr>
    </w:p>
    <w:p w14:paraId="29167205" w14:textId="6D9D1933" w:rsidR="00064ADD" w:rsidRPr="00676B15" w:rsidRDefault="00064ADD"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Given that the parties center many of their arguments around the</w:t>
      </w:r>
      <w:r w:rsidR="00FD22A6" w:rsidRPr="00676B15">
        <w:rPr>
          <w:rFonts w:ascii="Cambria" w:eastAsia="Times New Roman" w:hAnsi="Cambria"/>
          <w:bCs/>
          <w:sz w:val="20"/>
          <w:szCs w:val="20"/>
          <w:bdr w:val="none" w:sz="0" w:space="0" w:color="auto"/>
        </w:rPr>
        <w:t xml:space="preserve"> impact of the</w:t>
      </w:r>
      <w:r w:rsidRPr="00676B15">
        <w:rPr>
          <w:rFonts w:ascii="Cambria" w:eastAsia="Times New Roman" w:hAnsi="Cambria"/>
          <w:bCs/>
          <w:sz w:val="20"/>
          <w:szCs w:val="20"/>
          <w:bdr w:val="none" w:sz="0" w:space="0" w:color="auto"/>
        </w:rPr>
        <w:t xml:space="preserve"> U.S. Supreme Court case </w:t>
      </w:r>
      <w:r w:rsidRPr="00676B15">
        <w:rPr>
          <w:rFonts w:ascii="Cambria" w:eastAsia="Times New Roman" w:hAnsi="Cambria"/>
          <w:bCs/>
          <w:i/>
          <w:sz w:val="20"/>
          <w:szCs w:val="20"/>
          <w:bdr w:val="none" w:sz="0" w:space="0" w:color="auto"/>
        </w:rPr>
        <w:t>Hoffman Plastic Compounds, Inc. v. NLRB</w:t>
      </w:r>
      <w:r w:rsidR="009B78FA" w:rsidRPr="00676B15">
        <w:rPr>
          <w:rFonts w:ascii="Cambria" w:eastAsia="Times New Roman" w:hAnsi="Cambria"/>
          <w:bCs/>
          <w:i/>
          <w:sz w:val="20"/>
          <w:szCs w:val="20"/>
          <w:bdr w:val="none" w:sz="0" w:space="0" w:color="auto"/>
        </w:rPr>
        <w:t xml:space="preserve"> </w:t>
      </w:r>
      <w:r w:rsidR="009B78FA" w:rsidRPr="00676B15">
        <w:rPr>
          <w:rFonts w:ascii="Cambria" w:eastAsia="Times New Roman" w:hAnsi="Cambria"/>
          <w:bCs/>
          <w:sz w:val="20"/>
          <w:szCs w:val="20"/>
          <w:bdr w:val="none" w:sz="0" w:space="0" w:color="auto"/>
        </w:rPr>
        <w:t>(“</w:t>
      </w:r>
      <w:r w:rsidR="009B78FA" w:rsidRPr="00676B15">
        <w:rPr>
          <w:rFonts w:ascii="Cambria" w:eastAsia="Times New Roman" w:hAnsi="Cambria"/>
          <w:bCs/>
          <w:i/>
          <w:sz w:val="20"/>
          <w:szCs w:val="20"/>
          <w:bdr w:val="none" w:sz="0" w:space="0" w:color="auto"/>
        </w:rPr>
        <w:t>Hoffman</w:t>
      </w:r>
      <w:r w:rsidR="009B78FA" w:rsidRPr="00676B15">
        <w:rPr>
          <w:rFonts w:ascii="Cambria" w:eastAsia="Times New Roman" w:hAnsi="Cambria"/>
          <w:bCs/>
          <w:sz w:val="20"/>
          <w:szCs w:val="20"/>
          <w:bdr w:val="none" w:sz="0" w:space="0" w:color="auto"/>
        </w:rPr>
        <w:t>”)</w:t>
      </w:r>
      <w:r w:rsidRPr="00676B15">
        <w:rPr>
          <w:rFonts w:ascii="Cambria" w:eastAsia="Times New Roman" w:hAnsi="Cambria"/>
          <w:bCs/>
          <w:sz w:val="20"/>
          <w:szCs w:val="20"/>
          <w:bdr w:val="none" w:sz="0" w:space="0" w:color="auto"/>
        </w:rPr>
        <w:t xml:space="preserve">, the Commission considers it pertinent to include a brief description of this case. </w:t>
      </w:r>
    </w:p>
    <w:p w14:paraId="14A55558" w14:textId="77777777" w:rsidR="00064ADD" w:rsidRPr="00676B15" w:rsidRDefault="00064ADD" w:rsidP="00064AD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397E0683" w14:textId="540D12D1" w:rsidR="00E50528" w:rsidRPr="00676B15" w:rsidRDefault="000C1244"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In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xml:space="preserve">, the U.S. Supreme Court </w:t>
      </w:r>
      <w:r w:rsidR="008B63D9" w:rsidRPr="00676B15">
        <w:rPr>
          <w:rFonts w:ascii="Cambria" w:eastAsia="Times New Roman" w:hAnsi="Cambria"/>
          <w:bCs/>
          <w:sz w:val="20"/>
          <w:szCs w:val="20"/>
          <w:bdr w:val="none" w:sz="0" w:space="0" w:color="auto"/>
        </w:rPr>
        <w:t>considered</w:t>
      </w:r>
      <w:r w:rsidRPr="00676B15">
        <w:rPr>
          <w:rFonts w:ascii="Cambria" w:eastAsia="Times New Roman" w:hAnsi="Cambria"/>
          <w:bCs/>
          <w:sz w:val="20"/>
          <w:szCs w:val="20"/>
          <w:bdr w:val="none" w:sz="0" w:space="0" w:color="auto"/>
        </w:rPr>
        <w:t xml:space="preserve"> whether an undocumented worker,</w:t>
      </w:r>
      <w:r w:rsidR="00D72419" w:rsidRPr="00676B15">
        <w:rPr>
          <w:rFonts w:ascii="Cambria" w:eastAsia="Times New Roman" w:hAnsi="Cambria"/>
          <w:bCs/>
          <w:sz w:val="20"/>
          <w:szCs w:val="20"/>
          <w:bdr w:val="none" w:sz="0" w:space="0" w:color="auto"/>
        </w:rPr>
        <w:t xml:space="preserve"> Mr. Jose Castro,</w:t>
      </w:r>
      <w:r w:rsidRPr="00676B15">
        <w:rPr>
          <w:rFonts w:ascii="Cambria" w:eastAsia="Times New Roman" w:hAnsi="Cambria"/>
          <w:bCs/>
          <w:sz w:val="20"/>
          <w:szCs w:val="20"/>
          <w:bdr w:val="none" w:sz="0" w:space="0" w:color="auto"/>
        </w:rPr>
        <w:t xml:space="preserve"> who presented fraudulent documents </w:t>
      </w:r>
      <w:r w:rsidR="0057452C" w:rsidRPr="00676B15">
        <w:rPr>
          <w:rFonts w:ascii="Cambria" w:eastAsia="Times New Roman" w:hAnsi="Cambria"/>
          <w:bCs/>
          <w:sz w:val="20"/>
          <w:szCs w:val="20"/>
          <w:bdr w:val="none" w:sz="0" w:space="0" w:color="auto"/>
        </w:rPr>
        <w:t>to</w:t>
      </w:r>
      <w:r w:rsidRPr="00676B15">
        <w:rPr>
          <w:rFonts w:ascii="Cambria" w:eastAsia="Times New Roman" w:hAnsi="Cambria"/>
          <w:bCs/>
          <w:sz w:val="20"/>
          <w:szCs w:val="20"/>
          <w:bdr w:val="none" w:sz="0" w:space="0" w:color="auto"/>
        </w:rPr>
        <w:t xml:space="preserve"> </w:t>
      </w:r>
      <w:r w:rsidR="0057452C" w:rsidRPr="00676B15">
        <w:rPr>
          <w:rFonts w:ascii="Cambria" w:eastAsia="Times New Roman" w:hAnsi="Cambria"/>
          <w:bCs/>
          <w:sz w:val="20"/>
          <w:szCs w:val="20"/>
          <w:bdr w:val="none" w:sz="0" w:space="0" w:color="auto"/>
        </w:rPr>
        <w:t>prove his authorization to work and was</w:t>
      </w:r>
      <w:r w:rsidRPr="00676B15">
        <w:rPr>
          <w:rFonts w:ascii="Cambria" w:eastAsia="Times New Roman" w:hAnsi="Cambria"/>
          <w:bCs/>
          <w:sz w:val="20"/>
          <w:szCs w:val="20"/>
          <w:bdr w:val="none" w:sz="0" w:space="0" w:color="auto"/>
        </w:rPr>
        <w:t xml:space="preserve"> </w:t>
      </w:r>
      <w:r w:rsidR="00371B0C" w:rsidRPr="00676B15">
        <w:rPr>
          <w:rFonts w:ascii="Cambria" w:eastAsia="Times New Roman" w:hAnsi="Cambria"/>
          <w:bCs/>
          <w:sz w:val="20"/>
          <w:szCs w:val="20"/>
          <w:bdr w:val="none" w:sz="0" w:space="0" w:color="auto"/>
        </w:rPr>
        <w:t xml:space="preserve">later </w:t>
      </w:r>
      <w:r w:rsidRPr="00676B15">
        <w:rPr>
          <w:rFonts w:ascii="Cambria" w:eastAsia="Times New Roman" w:hAnsi="Cambria"/>
          <w:bCs/>
          <w:sz w:val="20"/>
          <w:szCs w:val="20"/>
          <w:bdr w:val="none" w:sz="0" w:space="0" w:color="auto"/>
        </w:rPr>
        <w:t>fired</w:t>
      </w:r>
      <w:r w:rsidR="0057452C" w:rsidRPr="00676B15">
        <w:rPr>
          <w:rFonts w:ascii="Cambria" w:eastAsia="Times New Roman" w:hAnsi="Cambria"/>
          <w:bCs/>
          <w:sz w:val="20"/>
          <w:szCs w:val="20"/>
          <w:bdr w:val="none" w:sz="0" w:space="0" w:color="auto"/>
        </w:rPr>
        <w:t xml:space="preserve"> along with other workers</w:t>
      </w:r>
      <w:r w:rsidRPr="00676B15">
        <w:rPr>
          <w:rFonts w:ascii="Cambria" w:eastAsia="Times New Roman" w:hAnsi="Cambria"/>
          <w:bCs/>
          <w:sz w:val="20"/>
          <w:szCs w:val="20"/>
          <w:bdr w:val="none" w:sz="0" w:space="0" w:color="auto"/>
        </w:rPr>
        <w:t xml:space="preserve"> in retaliation for union-organizing activities</w:t>
      </w:r>
      <w:r w:rsidR="0057452C" w:rsidRPr="00676B15">
        <w:rPr>
          <w:rFonts w:ascii="Cambria" w:eastAsia="Times New Roman" w:hAnsi="Cambria"/>
          <w:bCs/>
          <w:sz w:val="20"/>
          <w:szCs w:val="20"/>
          <w:bdr w:val="none" w:sz="0" w:space="0" w:color="auto"/>
        </w:rPr>
        <w:t>,</w:t>
      </w:r>
      <w:r w:rsidRPr="00676B15">
        <w:rPr>
          <w:rFonts w:ascii="Cambria" w:eastAsia="Times New Roman" w:hAnsi="Cambria"/>
          <w:bCs/>
          <w:sz w:val="20"/>
          <w:szCs w:val="20"/>
          <w:bdr w:val="none" w:sz="0" w:space="0" w:color="auto"/>
        </w:rPr>
        <w:t xml:space="preserve"> could be eligible to receive backpay</w:t>
      </w:r>
      <w:r w:rsidR="00451903" w:rsidRPr="00676B15">
        <w:rPr>
          <w:rStyle w:val="FootnoteReference"/>
          <w:rFonts w:ascii="Cambria" w:eastAsia="Times New Roman" w:hAnsi="Cambria"/>
          <w:bCs/>
          <w:sz w:val="20"/>
          <w:szCs w:val="20"/>
          <w:bdr w:val="none" w:sz="0" w:space="0" w:color="auto"/>
        </w:rPr>
        <w:footnoteReference w:id="39"/>
      </w:r>
      <w:r w:rsidRPr="00676B15">
        <w:rPr>
          <w:rFonts w:ascii="Cambria" w:eastAsia="Times New Roman" w:hAnsi="Cambria"/>
          <w:bCs/>
          <w:sz w:val="20"/>
          <w:szCs w:val="20"/>
          <w:bdr w:val="none" w:sz="0" w:space="0" w:color="auto"/>
        </w:rPr>
        <w:t xml:space="preserve"> and other relief to remedy the labor violation. </w:t>
      </w:r>
      <w:r w:rsidR="002953E1" w:rsidRPr="00676B15">
        <w:rPr>
          <w:rFonts w:ascii="Cambria" w:eastAsia="Times New Roman" w:hAnsi="Cambria"/>
          <w:bCs/>
          <w:sz w:val="20"/>
          <w:szCs w:val="20"/>
          <w:bdr w:val="none" w:sz="0" w:space="0" w:color="auto"/>
        </w:rPr>
        <w:t>In the first instance, t</w:t>
      </w:r>
      <w:r w:rsidR="00D72419" w:rsidRPr="00676B15">
        <w:rPr>
          <w:rFonts w:ascii="Cambria" w:eastAsia="Times New Roman" w:hAnsi="Cambria"/>
          <w:bCs/>
          <w:sz w:val="20"/>
          <w:szCs w:val="20"/>
          <w:bdr w:val="none" w:sz="0" w:space="0" w:color="auto"/>
        </w:rPr>
        <w:t>he NLRB had found that the layoff of these employees</w:t>
      </w:r>
      <w:r w:rsidR="002953E1" w:rsidRPr="00676B15">
        <w:rPr>
          <w:rFonts w:ascii="Cambria" w:eastAsia="Times New Roman" w:hAnsi="Cambria"/>
          <w:bCs/>
          <w:sz w:val="20"/>
          <w:szCs w:val="20"/>
          <w:bdr w:val="none" w:sz="0" w:space="0" w:color="auto"/>
        </w:rPr>
        <w:t xml:space="preserve"> by employer Hoffman Plastic Compounds</w:t>
      </w:r>
      <w:r w:rsidR="00D72419" w:rsidRPr="00676B15">
        <w:rPr>
          <w:rFonts w:ascii="Cambria" w:eastAsia="Times New Roman" w:hAnsi="Cambria"/>
          <w:bCs/>
          <w:sz w:val="20"/>
          <w:szCs w:val="20"/>
          <w:bdr w:val="none" w:sz="0" w:space="0" w:color="auto"/>
        </w:rPr>
        <w:t xml:space="preserve"> violated the NLRA and ordered backpay and other relief.</w:t>
      </w:r>
      <w:r w:rsidR="00741DE8" w:rsidRPr="00676B15">
        <w:rPr>
          <w:rStyle w:val="FootnoteReference"/>
          <w:rFonts w:ascii="Cambria" w:eastAsia="Times New Roman" w:hAnsi="Cambria"/>
          <w:bCs/>
          <w:sz w:val="20"/>
          <w:szCs w:val="20"/>
          <w:bdr w:val="none" w:sz="0" w:space="0" w:color="auto"/>
        </w:rPr>
        <w:footnoteReference w:id="40"/>
      </w:r>
      <w:r w:rsidR="00D72419" w:rsidRPr="00676B15">
        <w:rPr>
          <w:rFonts w:ascii="Cambria" w:eastAsia="Times New Roman" w:hAnsi="Cambria"/>
          <w:bCs/>
          <w:sz w:val="20"/>
          <w:szCs w:val="20"/>
          <w:bdr w:val="none" w:sz="0" w:space="0" w:color="auto"/>
        </w:rPr>
        <w:t xml:space="preserve"> At a</w:t>
      </w:r>
      <w:r w:rsidR="0057452C" w:rsidRPr="00676B15">
        <w:rPr>
          <w:rFonts w:ascii="Cambria" w:eastAsia="Times New Roman" w:hAnsi="Cambria"/>
          <w:bCs/>
          <w:sz w:val="20"/>
          <w:szCs w:val="20"/>
          <w:bdr w:val="none" w:sz="0" w:space="0" w:color="auto"/>
        </w:rPr>
        <w:t xml:space="preserve"> later</w:t>
      </w:r>
      <w:r w:rsidR="00D72419" w:rsidRPr="00676B15">
        <w:rPr>
          <w:rFonts w:ascii="Cambria" w:eastAsia="Times New Roman" w:hAnsi="Cambria"/>
          <w:bCs/>
          <w:sz w:val="20"/>
          <w:szCs w:val="20"/>
          <w:bdr w:val="none" w:sz="0" w:space="0" w:color="auto"/>
        </w:rPr>
        <w:t xml:space="preserve"> compliance hearing, </w:t>
      </w:r>
      <w:r w:rsidR="00741DE8" w:rsidRPr="00676B15">
        <w:rPr>
          <w:rFonts w:ascii="Cambria" w:eastAsia="Times New Roman" w:hAnsi="Cambria"/>
          <w:bCs/>
          <w:sz w:val="20"/>
          <w:szCs w:val="20"/>
          <w:bdr w:val="none" w:sz="0" w:space="0" w:color="auto"/>
        </w:rPr>
        <w:t xml:space="preserve">Mr. Castro testified that he had never been legally admitted nor authorized to work in the United States, and on this basis, the Administrative Law Judge (ALJ) presiding </w:t>
      </w:r>
      <w:r w:rsidR="00E514FE" w:rsidRPr="00676B15">
        <w:rPr>
          <w:rFonts w:ascii="Cambria" w:eastAsia="Times New Roman" w:hAnsi="Cambria"/>
          <w:bCs/>
          <w:sz w:val="20"/>
          <w:szCs w:val="20"/>
          <w:bdr w:val="none" w:sz="0" w:space="0" w:color="auto"/>
        </w:rPr>
        <w:t xml:space="preserve">over </w:t>
      </w:r>
      <w:r w:rsidR="00741DE8" w:rsidRPr="00676B15">
        <w:rPr>
          <w:rFonts w:ascii="Cambria" w:eastAsia="Times New Roman" w:hAnsi="Cambria"/>
          <w:bCs/>
          <w:sz w:val="20"/>
          <w:szCs w:val="20"/>
          <w:bdr w:val="none" w:sz="0" w:space="0" w:color="auto"/>
        </w:rPr>
        <w:t>the case determined that the Board was precluded from ordering backpay as a remedy for Mr. Castro.</w:t>
      </w:r>
      <w:r w:rsidR="00741DE8" w:rsidRPr="00676B15">
        <w:rPr>
          <w:rStyle w:val="FootnoteReference"/>
          <w:rFonts w:ascii="Cambria" w:eastAsia="Times New Roman" w:hAnsi="Cambria"/>
          <w:bCs/>
          <w:sz w:val="20"/>
          <w:szCs w:val="20"/>
          <w:bdr w:val="none" w:sz="0" w:space="0" w:color="auto"/>
        </w:rPr>
        <w:footnoteReference w:id="41"/>
      </w:r>
      <w:r w:rsidR="00741DE8" w:rsidRPr="00676B15">
        <w:rPr>
          <w:rFonts w:ascii="Cambria" w:eastAsia="Times New Roman" w:hAnsi="Cambria"/>
          <w:bCs/>
          <w:sz w:val="20"/>
          <w:szCs w:val="20"/>
          <w:bdr w:val="none" w:sz="0" w:space="0" w:color="auto"/>
        </w:rPr>
        <w:t xml:space="preserve"> </w:t>
      </w:r>
    </w:p>
    <w:p w14:paraId="32CCA5B9" w14:textId="77777777" w:rsidR="00741DE8" w:rsidRPr="00676B15" w:rsidRDefault="00741DE8" w:rsidP="00741DE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6FFE68FF" w14:textId="1497D071" w:rsidR="00741DE8" w:rsidRPr="00676B15" w:rsidRDefault="00741DE8"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In September 1998, the NLRB reversed </w:t>
      </w:r>
      <w:r w:rsidR="002953E1" w:rsidRPr="00676B15">
        <w:rPr>
          <w:rFonts w:ascii="Cambria" w:eastAsia="Times New Roman" w:hAnsi="Cambria"/>
          <w:bCs/>
          <w:sz w:val="20"/>
          <w:szCs w:val="20"/>
          <w:bdr w:val="none" w:sz="0" w:space="0" w:color="auto"/>
        </w:rPr>
        <w:t xml:space="preserve">the ALJ’s decision </w:t>
      </w:r>
      <w:r w:rsidRPr="00676B15">
        <w:rPr>
          <w:rFonts w:ascii="Cambria" w:eastAsia="Times New Roman" w:hAnsi="Cambria"/>
          <w:bCs/>
          <w:sz w:val="20"/>
          <w:szCs w:val="20"/>
          <w:bdr w:val="none" w:sz="0" w:space="0" w:color="auto"/>
        </w:rPr>
        <w:t>with respect to backpay.</w:t>
      </w:r>
      <w:r w:rsidRPr="00676B15">
        <w:rPr>
          <w:rStyle w:val="FootnoteReference"/>
          <w:rFonts w:ascii="Cambria" w:eastAsia="Times New Roman" w:hAnsi="Cambria"/>
          <w:bCs/>
          <w:sz w:val="20"/>
          <w:szCs w:val="20"/>
          <w:bdr w:val="none" w:sz="0" w:space="0" w:color="auto"/>
        </w:rPr>
        <w:footnoteReference w:id="42"/>
      </w:r>
      <w:r w:rsidRPr="00676B15">
        <w:rPr>
          <w:rFonts w:ascii="Cambria" w:eastAsia="Times New Roman" w:hAnsi="Cambria"/>
          <w:bCs/>
          <w:sz w:val="20"/>
          <w:szCs w:val="20"/>
          <w:bdr w:val="none" w:sz="0" w:space="0" w:color="auto"/>
        </w:rPr>
        <w:t xml:space="preserve"> The Board held that “the most effective way to accommodate and further the immigration policies embodied in the </w:t>
      </w:r>
      <w:r w:rsidR="00E725CB" w:rsidRPr="00676B15">
        <w:rPr>
          <w:rFonts w:ascii="Cambria" w:eastAsia="Times New Roman" w:hAnsi="Cambria"/>
          <w:bCs/>
          <w:sz w:val="20"/>
          <w:szCs w:val="20"/>
          <w:bdr w:val="none" w:sz="0" w:space="0" w:color="auto"/>
        </w:rPr>
        <w:t>Immigration Reform and Control Act of 1986</w:t>
      </w:r>
      <w:r w:rsidR="0057452C" w:rsidRPr="00676B15">
        <w:rPr>
          <w:rStyle w:val="FootnoteReference"/>
          <w:rFonts w:ascii="Cambria" w:eastAsia="Times New Roman" w:hAnsi="Cambria"/>
          <w:bCs/>
          <w:sz w:val="20"/>
          <w:szCs w:val="20"/>
          <w:bdr w:val="none" w:sz="0" w:space="0" w:color="auto"/>
        </w:rPr>
        <w:footnoteReference w:id="43"/>
      </w:r>
      <w:r w:rsidR="00E725CB" w:rsidRPr="00676B15">
        <w:rPr>
          <w:rFonts w:ascii="Cambria" w:eastAsia="Times New Roman" w:hAnsi="Cambria"/>
          <w:bCs/>
          <w:sz w:val="20"/>
          <w:szCs w:val="20"/>
          <w:bdr w:val="none" w:sz="0" w:space="0" w:color="auto"/>
        </w:rPr>
        <w:t xml:space="preserve"> is to provide the protections and remedies of the NLRA to undocumented workers in the same manner as to other employees.”</w:t>
      </w:r>
      <w:r w:rsidR="00E725CB" w:rsidRPr="00676B15">
        <w:rPr>
          <w:rStyle w:val="FootnoteReference"/>
          <w:rFonts w:ascii="Cambria" w:eastAsia="Times New Roman" w:hAnsi="Cambria"/>
          <w:bCs/>
          <w:sz w:val="20"/>
          <w:szCs w:val="20"/>
          <w:bdr w:val="none" w:sz="0" w:space="0" w:color="auto"/>
        </w:rPr>
        <w:footnoteReference w:id="44"/>
      </w:r>
      <w:r w:rsidR="00E725CB" w:rsidRPr="00676B15">
        <w:rPr>
          <w:rFonts w:ascii="Cambria" w:eastAsia="Times New Roman" w:hAnsi="Cambria"/>
          <w:bCs/>
          <w:sz w:val="20"/>
          <w:szCs w:val="20"/>
          <w:bdr w:val="none" w:sz="0" w:space="0" w:color="auto"/>
        </w:rPr>
        <w:t xml:space="preserve"> The NLRB determined that Mr. Castro was entitled to backpay in the amount of $66,951, plus interest, calculated from the date of Mr. Castro’s termination of employment to the date that Hoffman first learned of Castro’s undocumented status.</w:t>
      </w:r>
      <w:r w:rsidR="00E725CB" w:rsidRPr="00676B15">
        <w:rPr>
          <w:rStyle w:val="FootnoteReference"/>
          <w:rFonts w:ascii="Cambria" w:eastAsia="Times New Roman" w:hAnsi="Cambria"/>
          <w:bCs/>
          <w:sz w:val="20"/>
          <w:szCs w:val="20"/>
          <w:bdr w:val="none" w:sz="0" w:space="0" w:color="auto"/>
        </w:rPr>
        <w:footnoteReference w:id="45"/>
      </w:r>
      <w:r w:rsidR="00E725CB" w:rsidRPr="00676B15">
        <w:rPr>
          <w:rFonts w:ascii="Cambria" w:eastAsia="Times New Roman" w:hAnsi="Cambria"/>
          <w:bCs/>
          <w:sz w:val="20"/>
          <w:szCs w:val="20"/>
          <w:bdr w:val="none" w:sz="0" w:space="0" w:color="auto"/>
        </w:rPr>
        <w:t xml:space="preserve"> </w:t>
      </w:r>
    </w:p>
    <w:p w14:paraId="0E0EE0B9" w14:textId="77777777" w:rsidR="00E725CB" w:rsidRPr="00676B15" w:rsidRDefault="00E725CB" w:rsidP="00E725CB">
      <w:pPr>
        <w:pStyle w:val="ListParagraph"/>
        <w:rPr>
          <w:rFonts w:eastAsia="Times New Roman"/>
          <w:bCs/>
          <w:sz w:val="20"/>
          <w:szCs w:val="20"/>
          <w:bdr w:val="none" w:sz="0" w:space="0" w:color="auto"/>
        </w:rPr>
      </w:pPr>
    </w:p>
    <w:p w14:paraId="6BCFC3D7" w14:textId="21AAA62C" w:rsidR="00E725CB" w:rsidRPr="00676B15" w:rsidRDefault="002953E1"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Hoffman</w:t>
      </w:r>
      <w:r w:rsidR="00E725CB" w:rsidRPr="00676B15">
        <w:rPr>
          <w:rFonts w:ascii="Cambria" w:eastAsia="Times New Roman" w:hAnsi="Cambria"/>
          <w:bCs/>
          <w:sz w:val="20"/>
          <w:szCs w:val="20"/>
          <w:bdr w:val="none" w:sz="0" w:space="0" w:color="auto"/>
        </w:rPr>
        <w:t xml:space="preserve"> </w:t>
      </w:r>
      <w:r w:rsidR="00554DB5" w:rsidRPr="00676B15">
        <w:rPr>
          <w:rFonts w:ascii="Cambria" w:eastAsia="Times New Roman" w:hAnsi="Cambria"/>
          <w:bCs/>
          <w:sz w:val="20"/>
          <w:szCs w:val="20"/>
          <w:bdr w:val="none" w:sz="0" w:space="0" w:color="auto"/>
        </w:rPr>
        <w:t>next</w:t>
      </w:r>
      <w:r w:rsidR="00E725CB" w:rsidRPr="00676B15">
        <w:rPr>
          <w:rFonts w:ascii="Cambria" w:eastAsia="Times New Roman" w:hAnsi="Cambria"/>
          <w:bCs/>
          <w:sz w:val="20"/>
          <w:szCs w:val="20"/>
          <w:bdr w:val="none" w:sz="0" w:space="0" w:color="auto"/>
        </w:rPr>
        <w:t xml:space="preserve"> appealed </w:t>
      </w:r>
      <w:r w:rsidR="00B30FDF" w:rsidRPr="00676B15">
        <w:rPr>
          <w:rFonts w:ascii="Cambria" w:eastAsia="Times New Roman" w:hAnsi="Cambria"/>
          <w:bCs/>
          <w:sz w:val="20"/>
          <w:szCs w:val="20"/>
          <w:bdr w:val="none" w:sz="0" w:space="0" w:color="auto"/>
        </w:rPr>
        <w:t xml:space="preserve">to the </w:t>
      </w:r>
      <w:r w:rsidR="008A5535" w:rsidRPr="00676B15">
        <w:rPr>
          <w:rFonts w:ascii="Cambria" w:eastAsia="Times New Roman" w:hAnsi="Cambria"/>
          <w:bCs/>
          <w:sz w:val="20"/>
          <w:szCs w:val="20"/>
          <w:bdr w:val="none" w:sz="0" w:space="0" w:color="auto"/>
        </w:rPr>
        <w:t xml:space="preserve">U.S. </w:t>
      </w:r>
      <w:r w:rsidR="00B30FDF" w:rsidRPr="00676B15">
        <w:rPr>
          <w:rFonts w:ascii="Cambria" w:eastAsia="Times New Roman" w:hAnsi="Cambria"/>
          <w:bCs/>
          <w:sz w:val="20"/>
          <w:szCs w:val="20"/>
          <w:bdr w:val="none" w:sz="0" w:space="0" w:color="auto"/>
        </w:rPr>
        <w:t>Court of Appeals</w:t>
      </w:r>
      <w:r w:rsidR="008A5535" w:rsidRPr="00676B15">
        <w:rPr>
          <w:rFonts w:ascii="Cambria" w:eastAsia="Times New Roman" w:hAnsi="Cambria"/>
          <w:bCs/>
          <w:sz w:val="20"/>
          <w:szCs w:val="20"/>
          <w:bdr w:val="none" w:sz="0" w:space="0" w:color="auto"/>
        </w:rPr>
        <w:t xml:space="preserve"> for the District of Columbia (“Court of Appeals”)</w:t>
      </w:r>
      <w:r w:rsidR="00B30FDF" w:rsidRPr="00676B15">
        <w:rPr>
          <w:rFonts w:ascii="Cambria" w:eastAsia="Times New Roman" w:hAnsi="Cambria"/>
          <w:bCs/>
          <w:sz w:val="20"/>
          <w:szCs w:val="20"/>
          <w:bdr w:val="none" w:sz="0" w:space="0" w:color="auto"/>
        </w:rPr>
        <w:t>. A panel of the Court of Appeals denied the petition for review initially</w:t>
      </w:r>
      <w:r w:rsidR="00B30FDF" w:rsidRPr="00676B15">
        <w:rPr>
          <w:rStyle w:val="FootnoteReference"/>
          <w:rFonts w:ascii="Cambria" w:eastAsia="Times New Roman" w:hAnsi="Cambria"/>
          <w:bCs/>
          <w:sz w:val="20"/>
          <w:szCs w:val="20"/>
          <w:bdr w:val="none" w:sz="0" w:space="0" w:color="auto"/>
        </w:rPr>
        <w:footnoteReference w:id="46"/>
      </w:r>
      <w:r w:rsidR="00B30FDF" w:rsidRPr="00676B15">
        <w:rPr>
          <w:rFonts w:ascii="Cambria" w:eastAsia="Times New Roman" w:hAnsi="Cambria"/>
          <w:bCs/>
          <w:sz w:val="20"/>
          <w:szCs w:val="20"/>
          <w:bdr w:val="none" w:sz="0" w:space="0" w:color="auto"/>
        </w:rPr>
        <w:t xml:space="preserve">; after </w:t>
      </w:r>
      <w:r w:rsidR="00E514FE" w:rsidRPr="00676B15">
        <w:rPr>
          <w:rFonts w:ascii="Cambria" w:eastAsia="Times New Roman" w:hAnsi="Cambria"/>
          <w:bCs/>
          <w:sz w:val="20"/>
          <w:szCs w:val="20"/>
          <w:bdr w:val="none" w:sz="0" w:space="0" w:color="auto"/>
        </w:rPr>
        <w:t xml:space="preserve">a </w:t>
      </w:r>
      <w:r w:rsidR="00B30FDF" w:rsidRPr="00676B15">
        <w:rPr>
          <w:rFonts w:ascii="Cambria" w:eastAsia="Times New Roman" w:hAnsi="Cambria"/>
          <w:bCs/>
          <w:sz w:val="20"/>
          <w:szCs w:val="20"/>
          <w:bdr w:val="none" w:sz="0" w:space="0" w:color="auto"/>
        </w:rPr>
        <w:t xml:space="preserve">re-hearing </w:t>
      </w:r>
      <w:r w:rsidR="00B30FDF" w:rsidRPr="00676B15">
        <w:rPr>
          <w:rFonts w:ascii="Cambria" w:eastAsia="Times New Roman" w:hAnsi="Cambria"/>
          <w:bCs/>
          <w:i/>
          <w:sz w:val="20"/>
          <w:szCs w:val="20"/>
          <w:bdr w:val="none" w:sz="0" w:space="0" w:color="auto"/>
        </w:rPr>
        <w:t>en banc</w:t>
      </w:r>
      <w:r w:rsidR="00B30FDF" w:rsidRPr="00676B15">
        <w:rPr>
          <w:rFonts w:ascii="Cambria" w:eastAsia="Times New Roman" w:hAnsi="Cambria"/>
          <w:bCs/>
          <w:sz w:val="20"/>
          <w:szCs w:val="20"/>
          <w:bdr w:val="none" w:sz="0" w:space="0" w:color="auto"/>
        </w:rPr>
        <w:t>, the court again denied the petition for review and upheld the NLRB’s order.</w:t>
      </w:r>
      <w:r w:rsidR="008B63D9" w:rsidRPr="00676B15">
        <w:rPr>
          <w:rStyle w:val="FootnoteReference"/>
          <w:rFonts w:ascii="Cambria" w:eastAsia="Times New Roman" w:hAnsi="Cambria"/>
          <w:bCs/>
          <w:sz w:val="20"/>
          <w:szCs w:val="20"/>
          <w:bdr w:val="none" w:sz="0" w:space="0" w:color="auto"/>
        </w:rPr>
        <w:footnoteReference w:id="47"/>
      </w:r>
      <w:r w:rsidR="008B63D9" w:rsidRPr="00676B15">
        <w:rPr>
          <w:rFonts w:ascii="Cambria" w:eastAsia="Times New Roman" w:hAnsi="Cambria"/>
          <w:bCs/>
          <w:sz w:val="20"/>
          <w:szCs w:val="20"/>
          <w:bdr w:val="none" w:sz="0" w:space="0" w:color="auto"/>
        </w:rPr>
        <w:t xml:space="preserve"> </w:t>
      </w:r>
    </w:p>
    <w:p w14:paraId="1C98F682" w14:textId="77777777" w:rsidR="00FC2068" w:rsidRPr="00676B15" w:rsidRDefault="00FC2068" w:rsidP="00FC2068">
      <w:pPr>
        <w:pStyle w:val="ListParagraph"/>
        <w:rPr>
          <w:rFonts w:eastAsia="Times New Roman"/>
          <w:bCs/>
          <w:sz w:val="20"/>
          <w:szCs w:val="20"/>
          <w:bdr w:val="none" w:sz="0" w:space="0" w:color="auto"/>
        </w:rPr>
      </w:pPr>
    </w:p>
    <w:p w14:paraId="40B7E60A" w14:textId="3C86F9C2" w:rsidR="008A5535" w:rsidRPr="00676B15" w:rsidRDefault="00554DB5"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Hoffman then appealed to t</w:t>
      </w:r>
      <w:r w:rsidR="00FC2068" w:rsidRPr="00676B15">
        <w:rPr>
          <w:rFonts w:ascii="Cambria" w:eastAsia="Times New Roman" w:hAnsi="Cambria"/>
          <w:bCs/>
          <w:sz w:val="20"/>
          <w:szCs w:val="20"/>
          <w:bdr w:val="none" w:sz="0" w:space="0" w:color="auto"/>
        </w:rPr>
        <w:t xml:space="preserve">he </w:t>
      </w:r>
      <w:r w:rsidR="008A5535" w:rsidRPr="00676B15">
        <w:rPr>
          <w:rFonts w:ascii="Cambria" w:eastAsia="Times New Roman" w:hAnsi="Cambria"/>
          <w:bCs/>
          <w:sz w:val="20"/>
          <w:szCs w:val="20"/>
          <w:bdr w:val="none" w:sz="0" w:space="0" w:color="auto"/>
        </w:rPr>
        <w:t xml:space="preserve">U.S. </w:t>
      </w:r>
      <w:r w:rsidRPr="00676B15">
        <w:rPr>
          <w:rFonts w:ascii="Cambria" w:eastAsia="Times New Roman" w:hAnsi="Cambria"/>
          <w:bCs/>
          <w:sz w:val="20"/>
          <w:szCs w:val="20"/>
          <w:bdr w:val="none" w:sz="0" w:space="0" w:color="auto"/>
        </w:rPr>
        <w:t xml:space="preserve">Supreme Court, which granted </w:t>
      </w:r>
      <w:r w:rsidRPr="00676B15">
        <w:rPr>
          <w:rFonts w:ascii="Cambria" w:eastAsia="Times New Roman" w:hAnsi="Cambria"/>
          <w:bCs/>
          <w:i/>
          <w:sz w:val="20"/>
          <w:szCs w:val="20"/>
          <w:bdr w:val="none" w:sz="0" w:space="0" w:color="auto"/>
        </w:rPr>
        <w:t>certiorari</w:t>
      </w:r>
      <w:r w:rsidR="00FC2068" w:rsidRPr="00676B15">
        <w:rPr>
          <w:rFonts w:ascii="Cambria" w:eastAsia="Times New Roman" w:hAnsi="Cambria"/>
          <w:bCs/>
          <w:sz w:val="20"/>
          <w:szCs w:val="20"/>
          <w:bdr w:val="none" w:sz="0" w:space="0" w:color="auto"/>
        </w:rPr>
        <w:t xml:space="preserve"> and ultimately held</w:t>
      </w:r>
      <w:r w:rsidR="00B474F6" w:rsidRPr="00676B15">
        <w:rPr>
          <w:rFonts w:ascii="Cambria" w:eastAsia="Times New Roman" w:hAnsi="Cambria"/>
          <w:bCs/>
          <w:sz w:val="20"/>
          <w:szCs w:val="20"/>
          <w:bdr w:val="none" w:sz="0" w:space="0" w:color="auto"/>
        </w:rPr>
        <w:t xml:space="preserve"> (in a 5-4 vote)</w:t>
      </w:r>
      <w:r w:rsidR="00FC2068" w:rsidRPr="00676B15">
        <w:rPr>
          <w:rFonts w:ascii="Cambria" w:eastAsia="Times New Roman" w:hAnsi="Cambria"/>
          <w:bCs/>
          <w:sz w:val="20"/>
          <w:szCs w:val="20"/>
          <w:bdr w:val="none" w:sz="0" w:space="0" w:color="auto"/>
        </w:rPr>
        <w:t xml:space="preserve"> that “Federal immigration policy, as expressed by Congress in IRCA, foreclosed the Board</w:t>
      </w:r>
      <w:r w:rsidR="008E1B58" w:rsidRPr="00676B15">
        <w:rPr>
          <w:rFonts w:ascii="Cambria" w:eastAsia="Times New Roman" w:hAnsi="Cambria"/>
          <w:bCs/>
          <w:sz w:val="20"/>
          <w:szCs w:val="20"/>
          <w:bdr w:val="none" w:sz="0" w:space="0" w:color="auto"/>
        </w:rPr>
        <w:t xml:space="preserve"> </w:t>
      </w:r>
      <w:r w:rsidR="008E1B58" w:rsidRPr="00676B15">
        <w:rPr>
          <w:rFonts w:ascii="Cambria" w:eastAsia="Times New Roman" w:hAnsi="Cambria"/>
          <w:bCs/>
          <w:sz w:val="20"/>
          <w:szCs w:val="20"/>
          <w:bdr w:val="none" w:sz="0" w:space="0" w:color="auto"/>
        </w:rPr>
        <w:lastRenderedPageBreak/>
        <w:t>[NLRB]</w:t>
      </w:r>
      <w:r w:rsidR="00FC2068" w:rsidRPr="00676B15">
        <w:rPr>
          <w:rFonts w:ascii="Cambria" w:eastAsia="Times New Roman" w:hAnsi="Cambria"/>
          <w:bCs/>
          <w:sz w:val="20"/>
          <w:szCs w:val="20"/>
          <w:bdr w:val="none" w:sz="0" w:space="0" w:color="auto"/>
        </w:rPr>
        <w:t xml:space="preserve"> from awarding backpay to an undocume</w:t>
      </w:r>
      <w:r w:rsidR="008B325E" w:rsidRPr="00676B15">
        <w:rPr>
          <w:rFonts w:ascii="Cambria" w:eastAsia="Times New Roman" w:hAnsi="Cambria"/>
          <w:bCs/>
          <w:sz w:val="20"/>
          <w:szCs w:val="20"/>
          <w:bdr w:val="none" w:sz="0" w:space="0" w:color="auto"/>
        </w:rPr>
        <w:t xml:space="preserve">nted alien who has never been </w:t>
      </w:r>
      <w:r w:rsidR="00FC2068" w:rsidRPr="00676B15">
        <w:rPr>
          <w:rFonts w:ascii="Cambria" w:eastAsia="Times New Roman" w:hAnsi="Cambria"/>
          <w:bCs/>
          <w:sz w:val="20"/>
          <w:szCs w:val="20"/>
          <w:bdr w:val="none" w:sz="0" w:space="0" w:color="auto"/>
        </w:rPr>
        <w:t>legally authorized to work in the United States.”</w:t>
      </w:r>
      <w:r w:rsidR="00FC2068" w:rsidRPr="00676B15">
        <w:rPr>
          <w:rStyle w:val="FootnoteReference"/>
          <w:rFonts w:ascii="Cambria" w:eastAsia="Times New Roman" w:hAnsi="Cambria"/>
          <w:bCs/>
          <w:sz w:val="20"/>
          <w:szCs w:val="20"/>
          <w:bdr w:val="none" w:sz="0" w:space="0" w:color="auto"/>
        </w:rPr>
        <w:footnoteReference w:id="48"/>
      </w:r>
      <w:r w:rsidR="00FC2068" w:rsidRPr="00676B15">
        <w:rPr>
          <w:rFonts w:ascii="Cambria" w:eastAsia="Times New Roman" w:hAnsi="Cambria"/>
          <w:bCs/>
          <w:sz w:val="20"/>
          <w:szCs w:val="20"/>
          <w:bdr w:val="none" w:sz="0" w:space="0" w:color="auto"/>
        </w:rPr>
        <w:t xml:space="preserve"> </w:t>
      </w:r>
    </w:p>
    <w:p w14:paraId="3ECB697E" w14:textId="77777777" w:rsidR="008A5535" w:rsidRPr="00676B15" w:rsidRDefault="008A5535" w:rsidP="008A5535">
      <w:pPr>
        <w:pStyle w:val="ListParagraph"/>
        <w:rPr>
          <w:rFonts w:eastAsia="Times New Roman"/>
          <w:bCs/>
          <w:sz w:val="20"/>
          <w:szCs w:val="20"/>
          <w:bdr w:val="none" w:sz="0" w:space="0" w:color="auto"/>
        </w:rPr>
      </w:pPr>
    </w:p>
    <w:p w14:paraId="3335A62E" w14:textId="5D775200" w:rsidR="00FC2068" w:rsidRPr="00676B15" w:rsidRDefault="00A63D2C"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In so ruling, </w:t>
      </w:r>
      <w:r w:rsidR="000D37AB" w:rsidRPr="00676B15">
        <w:rPr>
          <w:rFonts w:ascii="Cambria" w:eastAsia="Times New Roman" w:hAnsi="Cambria"/>
          <w:bCs/>
          <w:sz w:val="20"/>
          <w:szCs w:val="20"/>
          <w:bdr w:val="none" w:sz="0" w:space="0" w:color="auto"/>
        </w:rPr>
        <w:t xml:space="preserve">the Supreme Court relied heavily on its previous ruling in </w:t>
      </w:r>
      <w:r w:rsidR="000D37AB" w:rsidRPr="00676B15">
        <w:rPr>
          <w:rFonts w:ascii="Cambria" w:eastAsia="Times New Roman" w:hAnsi="Cambria"/>
          <w:bCs/>
          <w:i/>
          <w:sz w:val="20"/>
          <w:szCs w:val="20"/>
          <w:bdr w:val="none" w:sz="0" w:space="0" w:color="auto"/>
        </w:rPr>
        <w:t>Sure-Tan, Inc. v. NLRB</w:t>
      </w:r>
      <w:r w:rsidR="009B78FA" w:rsidRPr="00676B15">
        <w:rPr>
          <w:rFonts w:ascii="Cambria" w:eastAsia="Times New Roman" w:hAnsi="Cambria"/>
          <w:bCs/>
          <w:sz w:val="20"/>
          <w:szCs w:val="20"/>
          <w:bdr w:val="none" w:sz="0" w:space="0" w:color="auto"/>
        </w:rPr>
        <w:t xml:space="preserve"> (“</w:t>
      </w:r>
      <w:r w:rsidR="009B78FA" w:rsidRPr="00676B15">
        <w:rPr>
          <w:rFonts w:ascii="Cambria" w:eastAsia="Times New Roman" w:hAnsi="Cambria"/>
          <w:bCs/>
          <w:i/>
          <w:sz w:val="20"/>
          <w:szCs w:val="20"/>
          <w:bdr w:val="none" w:sz="0" w:space="0" w:color="auto"/>
        </w:rPr>
        <w:t>Sure-Tan</w:t>
      </w:r>
      <w:r w:rsidR="009B78FA" w:rsidRPr="00676B15">
        <w:rPr>
          <w:rFonts w:ascii="Cambria" w:eastAsia="Times New Roman" w:hAnsi="Cambria"/>
          <w:bCs/>
          <w:sz w:val="20"/>
          <w:szCs w:val="20"/>
          <w:bdr w:val="none" w:sz="0" w:space="0" w:color="auto"/>
        </w:rPr>
        <w:t>”)</w:t>
      </w:r>
      <w:r w:rsidR="00141514" w:rsidRPr="00676B15">
        <w:rPr>
          <w:rFonts w:ascii="Cambria" w:eastAsia="Times New Roman" w:hAnsi="Cambria"/>
          <w:bCs/>
          <w:sz w:val="20"/>
          <w:szCs w:val="20"/>
          <w:bdr w:val="none" w:sz="0" w:space="0" w:color="auto"/>
        </w:rPr>
        <w:t>.</w:t>
      </w:r>
      <w:r w:rsidR="00540BE5" w:rsidRPr="00676B15">
        <w:rPr>
          <w:rStyle w:val="FootnoteReference"/>
          <w:rFonts w:ascii="Cambria" w:eastAsia="Times New Roman" w:hAnsi="Cambria"/>
          <w:bCs/>
          <w:sz w:val="20"/>
          <w:szCs w:val="20"/>
          <w:bdr w:val="none" w:sz="0" w:space="0" w:color="auto"/>
        </w:rPr>
        <w:footnoteReference w:id="49"/>
      </w:r>
      <w:r w:rsidR="00141514" w:rsidRPr="00676B15">
        <w:rPr>
          <w:rFonts w:ascii="Cambria" w:eastAsia="Times New Roman" w:hAnsi="Cambria"/>
          <w:bCs/>
          <w:sz w:val="20"/>
          <w:szCs w:val="20"/>
          <w:bdr w:val="none" w:sz="0" w:space="0" w:color="auto"/>
        </w:rPr>
        <w:t xml:space="preserve"> In</w:t>
      </w:r>
      <w:r w:rsidR="0057452C" w:rsidRPr="00676B15">
        <w:rPr>
          <w:rFonts w:ascii="Cambria" w:eastAsia="Times New Roman" w:hAnsi="Cambria"/>
          <w:bCs/>
          <w:sz w:val="20"/>
          <w:szCs w:val="20"/>
          <w:bdr w:val="none" w:sz="0" w:space="0" w:color="auto"/>
        </w:rPr>
        <w:t xml:space="preserve"> the</w:t>
      </w:r>
      <w:r w:rsidR="00141514" w:rsidRPr="00676B15">
        <w:rPr>
          <w:rFonts w:ascii="Cambria" w:eastAsia="Times New Roman" w:hAnsi="Cambria"/>
          <w:bCs/>
          <w:sz w:val="20"/>
          <w:szCs w:val="20"/>
          <w:bdr w:val="none" w:sz="0" w:space="0" w:color="auto"/>
        </w:rPr>
        <w:t xml:space="preserve"> </w:t>
      </w:r>
      <w:r w:rsidR="00141514" w:rsidRPr="00676B15">
        <w:rPr>
          <w:rFonts w:ascii="Cambria" w:eastAsia="Times New Roman" w:hAnsi="Cambria"/>
          <w:bCs/>
          <w:i/>
          <w:sz w:val="20"/>
          <w:szCs w:val="20"/>
          <w:bdr w:val="none" w:sz="0" w:space="0" w:color="auto"/>
        </w:rPr>
        <w:t>Sure-Tan</w:t>
      </w:r>
      <w:r w:rsidR="0057452C" w:rsidRPr="00676B15">
        <w:rPr>
          <w:rFonts w:ascii="Cambria" w:eastAsia="Times New Roman" w:hAnsi="Cambria"/>
          <w:bCs/>
          <w:sz w:val="20"/>
          <w:szCs w:val="20"/>
          <w:bdr w:val="none" w:sz="0" w:space="0" w:color="auto"/>
        </w:rPr>
        <w:t xml:space="preserve"> case</w:t>
      </w:r>
      <w:r w:rsidR="00141514" w:rsidRPr="00676B15">
        <w:rPr>
          <w:rFonts w:ascii="Cambria" w:eastAsia="Times New Roman" w:hAnsi="Cambria"/>
          <w:bCs/>
          <w:sz w:val="20"/>
          <w:szCs w:val="20"/>
          <w:bdr w:val="none" w:sz="0" w:space="0" w:color="auto"/>
        </w:rPr>
        <w:t>,</w:t>
      </w:r>
      <w:r w:rsidR="000D37AB" w:rsidRPr="00676B15">
        <w:rPr>
          <w:rFonts w:ascii="Cambria" w:eastAsia="Times New Roman" w:hAnsi="Cambria"/>
          <w:bCs/>
          <w:sz w:val="20"/>
          <w:szCs w:val="20"/>
          <w:bdr w:val="none" w:sz="0" w:space="0" w:color="auto"/>
        </w:rPr>
        <w:t xml:space="preserve"> </w:t>
      </w:r>
      <w:r w:rsidR="00141514" w:rsidRPr="00676B15">
        <w:rPr>
          <w:rFonts w:ascii="Cambria" w:eastAsia="Times New Roman" w:hAnsi="Cambria"/>
          <w:bCs/>
          <w:sz w:val="20"/>
          <w:szCs w:val="20"/>
          <w:bdr w:val="none" w:sz="0" w:space="0" w:color="auto"/>
        </w:rPr>
        <w:t>six of seven workers were undocumented and all six voted for a certain union as the collective bargaining representative with their employer</w:t>
      </w:r>
      <w:r w:rsidR="00ED0D8B" w:rsidRPr="00676B15">
        <w:rPr>
          <w:rFonts w:ascii="Cambria" w:eastAsia="Times New Roman" w:hAnsi="Cambria"/>
          <w:bCs/>
          <w:sz w:val="20"/>
          <w:szCs w:val="20"/>
          <w:bdr w:val="none" w:sz="0" w:space="0" w:color="auto"/>
        </w:rPr>
        <w:t>, Sure-Tan, Inc.</w:t>
      </w:r>
      <w:r w:rsidR="00141514" w:rsidRPr="00676B15">
        <w:rPr>
          <w:rFonts w:ascii="Cambria" w:eastAsia="Times New Roman" w:hAnsi="Cambria"/>
          <w:bCs/>
          <w:sz w:val="20"/>
          <w:szCs w:val="20"/>
          <w:bdr w:val="none" w:sz="0" w:space="0" w:color="auto"/>
        </w:rPr>
        <w:t xml:space="preserve"> The employer filed objections to</w:t>
      </w:r>
      <w:r w:rsidR="0057452C" w:rsidRPr="00676B15">
        <w:rPr>
          <w:rFonts w:ascii="Cambria" w:eastAsia="Times New Roman" w:hAnsi="Cambria"/>
          <w:bCs/>
          <w:sz w:val="20"/>
          <w:szCs w:val="20"/>
          <w:bdr w:val="none" w:sz="0" w:space="0" w:color="auto"/>
        </w:rPr>
        <w:t xml:space="preserve"> the election with the NLRB, which</w:t>
      </w:r>
      <w:r w:rsidR="00141514" w:rsidRPr="00676B15">
        <w:rPr>
          <w:rFonts w:ascii="Cambria" w:eastAsia="Times New Roman" w:hAnsi="Cambria"/>
          <w:bCs/>
          <w:sz w:val="20"/>
          <w:szCs w:val="20"/>
          <w:bdr w:val="none" w:sz="0" w:space="0" w:color="auto"/>
        </w:rPr>
        <w:t xml:space="preserve"> overruled </w:t>
      </w:r>
      <w:r w:rsidR="0057452C" w:rsidRPr="00676B15">
        <w:rPr>
          <w:rFonts w:ascii="Cambria" w:eastAsia="Times New Roman" w:hAnsi="Cambria"/>
          <w:bCs/>
          <w:sz w:val="20"/>
          <w:szCs w:val="20"/>
          <w:bdr w:val="none" w:sz="0" w:space="0" w:color="auto"/>
        </w:rPr>
        <w:t>them</w:t>
      </w:r>
      <w:r w:rsidR="00141514" w:rsidRPr="00676B15">
        <w:rPr>
          <w:rFonts w:ascii="Cambria" w:eastAsia="Times New Roman" w:hAnsi="Cambria"/>
          <w:bCs/>
          <w:sz w:val="20"/>
          <w:szCs w:val="20"/>
          <w:bdr w:val="none" w:sz="0" w:space="0" w:color="auto"/>
        </w:rPr>
        <w:t xml:space="preserve">. After receiving notification of the overruling, </w:t>
      </w:r>
      <w:r w:rsidR="00554DB5" w:rsidRPr="00676B15">
        <w:rPr>
          <w:rFonts w:ascii="Cambria" w:eastAsia="Times New Roman" w:hAnsi="Cambria"/>
          <w:bCs/>
          <w:sz w:val="20"/>
          <w:szCs w:val="20"/>
          <w:bdr w:val="none" w:sz="0" w:space="0" w:color="auto"/>
        </w:rPr>
        <w:t xml:space="preserve">the president of </w:t>
      </w:r>
      <w:r w:rsidR="00ED0D8B" w:rsidRPr="00676B15">
        <w:rPr>
          <w:rFonts w:ascii="Cambria" w:eastAsia="Times New Roman" w:hAnsi="Cambria"/>
          <w:bCs/>
          <w:sz w:val="20"/>
          <w:szCs w:val="20"/>
          <w:bdr w:val="none" w:sz="0" w:space="0" w:color="auto"/>
        </w:rPr>
        <w:t>Sure-Tan, Inc.</w:t>
      </w:r>
      <w:r w:rsidR="00141514" w:rsidRPr="00676B15">
        <w:rPr>
          <w:rFonts w:ascii="Cambria" w:eastAsia="Times New Roman" w:hAnsi="Cambria"/>
          <w:bCs/>
          <w:sz w:val="20"/>
          <w:szCs w:val="20"/>
          <w:bdr w:val="none" w:sz="0" w:space="0" w:color="auto"/>
        </w:rPr>
        <w:t xml:space="preserve"> sent a letter to the Immigration and Naturalization Service (INS) and requested that it check into the immigration status of a number of its employees</w:t>
      </w:r>
      <w:r w:rsidR="00554DB5" w:rsidRPr="00676B15">
        <w:rPr>
          <w:rFonts w:ascii="Cambria" w:eastAsia="Times New Roman" w:hAnsi="Cambria"/>
          <w:bCs/>
          <w:sz w:val="20"/>
          <w:szCs w:val="20"/>
          <w:bdr w:val="none" w:sz="0" w:space="0" w:color="auto"/>
        </w:rPr>
        <w:t xml:space="preserve">, </w:t>
      </w:r>
      <w:r w:rsidR="00ED0D8B" w:rsidRPr="00676B15">
        <w:rPr>
          <w:rFonts w:ascii="Cambria" w:eastAsia="Times New Roman" w:hAnsi="Cambria"/>
          <w:bCs/>
          <w:sz w:val="20"/>
          <w:szCs w:val="20"/>
          <w:bdr w:val="none" w:sz="0" w:space="0" w:color="auto"/>
        </w:rPr>
        <w:t>claimants</w:t>
      </w:r>
      <w:r w:rsidR="00554DB5" w:rsidRPr="00676B15">
        <w:rPr>
          <w:rFonts w:ascii="Cambria" w:eastAsia="Times New Roman" w:hAnsi="Cambria"/>
          <w:bCs/>
          <w:sz w:val="20"/>
          <w:szCs w:val="20"/>
          <w:bdr w:val="none" w:sz="0" w:space="0" w:color="auto"/>
        </w:rPr>
        <w:t xml:space="preserve"> included</w:t>
      </w:r>
      <w:r w:rsidR="00141514" w:rsidRPr="00676B15">
        <w:rPr>
          <w:rFonts w:ascii="Cambria" w:eastAsia="Times New Roman" w:hAnsi="Cambria"/>
          <w:bCs/>
          <w:sz w:val="20"/>
          <w:szCs w:val="20"/>
          <w:bdr w:val="none" w:sz="0" w:space="0" w:color="auto"/>
        </w:rPr>
        <w:t>. Based on the subsequent investigation realized by the INS, five of the workers</w:t>
      </w:r>
      <w:r w:rsidR="00554DB5" w:rsidRPr="00676B15">
        <w:rPr>
          <w:rFonts w:ascii="Cambria" w:eastAsia="Times New Roman" w:hAnsi="Cambria"/>
          <w:bCs/>
          <w:sz w:val="20"/>
          <w:szCs w:val="20"/>
          <w:bdr w:val="none" w:sz="0" w:space="0" w:color="auto"/>
        </w:rPr>
        <w:t xml:space="preserve"> involved</w:t>
      </w:r>
      <w:r w:rsidR="00141514" w:rsidRPr="00676B15">
        <w:rPr>
          <w:rFonts w:ascii="Cambria" w:eastAsia="Times New Roman" w:hAnsi="Cambria"/>
          <w:bCs/>
          <w:sz w:val="20"/>
          <w:szCs w:val="20"/>
          <w:bdr w:val="none" w:sz="0" w:space="0" w:color="auto"/>
        </w:rPr>
        <w:t xml:space="preserve"> voluntarily exited from the US to avoid deportation. </w:t>
      </w:r>
    </w:p>
    <w:p w14:paraId="2C34FB18" w14:textId="77777777" w:rsidR="00540BE5" w:rsidRPr="00676B15" w:rsidRDefault="00540BE5" w:rsidP="00540BE5">
      <w:pPr>
        <w:pStyle w:val="ListParagraph"/>
        <w:rPr>
          <w:rFonts w:eastAsia="Times New Roman"/>
          <w:bCs/>
          <w:sz w:val="20"/>
          <w:szCs w:val="20"/>
          <w:bdr w:val="none" w:sz="0" w:space="0" w:color="auto"/>
        </w:rPr>
      </w:pPr>
    </w:p>
    <w:p w14:paraId="07918D08" w14:textId="137C3F44" w:rsidR="00540BE5" w:rsidRPr="00676B15" w:rsidRDefault="00540BE5"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The Supreme Court in </w:t>
      </w:r>
      <w:r w:rsidRPr="00676B15">
        <w:rPr>
          <w:rFonts w:ascii="Cambria" w:eastAsia="Times New Roman" w:hAnsi="Cambria"/>
          <w:bCs/>
          <w:i/>
          <w:sz w:val="20"/>
          <w:szCs w:val="20"/>
          <w:bdr w:val="none" w:sz="0" w:space="0" w:color="auto"/>
        </w:rPr>
        <w:t>Sure-Tan</w:t>
      </w:r>
      <w:r w:rsidRPr="00676B15">
        <w:rPr>
          <w:rFonts w:ascii="Cambria" w:eastAsia="Times New Roman" w:hAnsi="Cambria"/>
          <w:bCs/>
          <w:sz w:val="20"/>
          <w:szCs w:val="20"/>
          <w:bdr w:val="none" w:sz="0" w:space="0" w:color="auto"/>
        </w:rPr>
        <w:t xml:space="preserve"> </w:t>
      </w:r>
      <w:r w:rsidR="00554DB5" w:rsidRPr="00676B15">
        <w:rPr>
          <w:rFonts w:ascii="Cambria" w:eastAsia="Times New Roman" w:hAnsi="Cambria"/>
          <w:bCs/>
          <w:sz w:val="20"/>
          <w:szCs w:val="20"/>
          <w:bdr w:val="none" w:sz="0" w:space="0" w:color="auto"/>
        </w:rPr>
        <w:t>determined</w:t>
      </w:r>
      <w:r w:rsidRPr="00676B15">
        <w:rPr>
          <w:rFonts w:ascii="Cambria" w:eastAsia="Times New Roman" w:hAnsi="Cambria"/>
          <w:bCs/>
          <w:sz w:val="20"/>
          <w:szCs w:val="20"/>
          <w:bdr w:val="none" w:sz="0" w:space="0" w:color="auto"/>
        </w:rPr>
        <w:t xml:space="preserve">, </w:t>
      </w:r>
      <w:r w:rsidRPr="00676B15">
        <w:rPr>
          <w:rFonts w:ascii="Cambria" w:eastAsia="Times New Roman" w:hAnsi="Cambria"/>
          <w:bCs/>
          <w:i/>
          <w:sz w:val="20"/>
          <w:szCs w:val="20"/>
          <w:bdr w:val="none" w:sz="0" w:space="0" w:color="auto"/>
        </w:rPr>
        <w:t>inter alia</w:t>
      </w:r>
      <w:r w:rsidRPr="00676B15">
        <w:rPr>
          <w:rFonts w:ascii="Cambria" w:eastAsia="Times New Roman" w:hAnsi="Cambria"/>
          <w:bCs/>
          <w:sz w:val="20"/>
          <w:szCs w:val="20"/>
          <w:bdr w:val="none" w:sz="0" w:space="0" w:color="auto"/>
        </w:rPr>
        <w:t>, that:</w:t>
      </w:r>
    </w:p>
    <w:p w14:paraId="75DC200E" w14:textId="77777777" w:rsidR="00540BE5" w:rsidRPr="00676B15" w:rsidRDefault="00540BE5" w:rsidP="00540BE5">
      <w:pPr>
        <w:pStyle w:val="ListParagraph"/>
        <w:rPr>
          <w:rFonts w:eastAsia="Times New Roman"/>
          <w:bCs/>
          <w:sz w:val="20"/>
          <w:szCs w:val="20"/>
          <w:bdr w:val="none" w:sz="0" w:space="0" w:color="auto"/>
        </w:rPr>
      </w:pPr>
    </w:p>
    <w:p w14:paraId="18C6A31D" w14:textId="77777777" w:rsidR="001B0ED8" w:rsidRPr="00676B15" w:rsidRDefault="001B0ED8" w:rsidP="00D16F2B">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right="720" w:hanging="720"/>
        <w:jc w:val="both"/>
        <w:rPr>
          <w:rFonts w:eastAsia="Times New Roman"/>
          <w:bCs/>
          <w:sz w:val="20"/>
          <w:szCs w:val="20"/>
          <w:bdr w:val="none" w:sz="0" w:space="0" w:color="auto"/>
        </w:rPr>
      </w:pPr>
      <w:r w:rsidRPr="00676B15">
        <w:rPr>
          <w:rFonts w:eastAsia="Times New Roman"/>
          <w:bCs/>
          <w:sz w:val="20"/>
          <w:szCs w:val="20"/>
          <w:bdr w:val="none" w:sz="0" w:space="0" w:color="auto"/>
        </w:rPr>
        <w:t>“</w:t>
      </w:r>
      <w:r w:rsidR="00392FCE" w:rsidRPr="00676B15">
        <w:rPr>
          <w:rFonts w:eastAsia="Times New Roman"/>
          <w:bCs/>
          <w:sz w:val="20"/>
          <w:szCs w:val="20"/>
          <w:bdr w:val="none" w:sz="0" w:space="0" w:color="auto"/>
        </w:rPr>
        <w:t>The NLRA’s terms – defining ‘employee’ to include ‘any employee,’ and not listing undocumented aliens among the few groups of specifically exempted workers – fully support [the interpretation of the NLRB]. Similarly extending the NLRA’s coverage to undocumented aliens is consistent with its purpose of encouraging and protecting the collective bargaining process;”</w:t>
      </w:r>
    </w:p>
    <w:p w14:paraId="176C43EA" w14:textId="77777777" w:rsidR="00392FCE" w:rsidRPr="00676B15" w:rsidRDefault="00392FCE" w:rsidP="00D16F2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right="720" w:hanging="720"/>
        <w:jc w:val="both"/>
        <w:rPr>
          <w:rFonts w:eastAsia="Times New Roman"/>
          <w:bCs/>
          <w:sz w:val="20"/>
          <w:szCs w:val="20"/>
          <w:bdr w:val="none" w:sz="0" w:space="0" w:color="auto"/>
        </w:rPr>
      </w:pPr>
    </w:p>
    <w:p w14:paraId="2F761A36" w14:textId="77777777" w:rsidR="00540BE5" w:rsidRPr="00676B15" w:rsidRDefault="00540BE5" w:rsidP="00D16F2B">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right="720" w:hanging="720"/>
        <w:jc w:val="both"/>
        <w:rPr>
          <w:rFonts w:eastAsia="Times New Roman"/>
          <w:bCs/>
          <w:sz w:val="20"/>
          <w:szCs w:val="20"/>
          <w:bdr w:val="none" w:sz="0" w:space="0" w:color="auto"/>
        </w:rPr>
      </w:pPr>
      <w:r w:rsidRPr="00676B15">
        <w:rPr>
          <w:rFonts w:eastAsia="Times New Roman"/>
          <w:bCs/>
          <w:sz w:val="20"/>
          <w:szCs w:val="20"/>
          <w:bdr w:val="none" w:sz="0" w:space="0" w:color="auto"/>
        </w:rPr>
        <w:t>“The Board’s interpretation of the NLRA as applying to unfair labor practices committed against undocumented aliens is reasonable, and thus will be upheld;”</w:t>
      </w:r>
    </w:p>
    <w:p w14:paraId="60D857EA" w14:textId="77777777" w:rsidR="00E76C05" w:rsidRPr="00676B15" w:rsidRDefault="00E76C05" w:rsidP="00D16F2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right="720" w:hanging="720"/>
        <w:jc w:val="both"/>
        <w:rPr>
          <w:rFonts w:eastAsia="Times New Roman"/>
          <w:bCs/>
          <w:sz w:val="20"/>
          <w:szCs w:val="20"/>
          <w:bdr w:val="none" w:sz="0" w:space="0" w:color="auto"/>
        </w:rPr>
      </w:pPr>
    </w:p>
    <w:p w14:paraId="66B1A517" w14:textId="4C9AA654" w:rsidR="001B0ED8" w:rsidRPr="00676B15" w:rsidRDefault="00E76C05" w:rsidP="00D16F2B">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right="720" w:hanging="720"/>
        <w:jc w:val="both"/>
        <w:rPr>
          <w:rFonts w:eastAsia="Times New Roman"/>
          <w:bCs/>
          <w:sz w:val="20"/>
          <w:szCs w:val="20"/>
          <w:bdr w:val="none" w:sz="0" w:space="0" w:color="auto"/>
        </w:rPr>
      </w:pPr>
      <w:r w:rsidRPr="00676B15">
        <w:rPr>
          <w:rFonts w:eastAsia="Times New Roman"/>
          <w:bCs/>
          <w:sz w:val="20"/>
          <w:szCs w:val="20"/>
          <w:bdr w:val="none" w:sz="0" w:space="0" w:color="auto"/>
        </w:rPr>
        <w:t xml:space="preserve">“Enforcement of the NLRA with respect to undocumented alien employees is compatible with the INA’s purpose in restricting immigration so as to preserve jobs for American workers, since, if there is no advantage as to wages and employment conditions in preferring illegal alien workers, any incentive for employers to hire illegal aliens is lessened. In turn, if the demand for undocumented aliens declines, there may then be fewer incentives for aliens themselves to enter in violation of the federal immigration laws;” </w:t>
      </w:r>
    </w:p>
    <w:p w14:paraId="48175193" w14:textId="77777777" w:rsidR="001B0ED8" w:rsidRPr="00676B15" w:rsidRDefault="001B0ED8" w:rsidP="00D16F2B">
      <w:pPr>
        <w:pStyle w:val="ListParagraph"/>
        <w:ind w:left="1440" w:right="720" w:hanging="720"/>
        <w:rPr>
          <w:rFonts w:eastAsia="Times New Roman"/>
          <w:bCs/>
          <w:sz w:val="20"/>
          <w:szCs w:val="20"/>
          <w:bdr w:val="none" w:sz="0" w:space="0" w:color="auto"/>
        </w:rPr>
      </w:pPr>
    </w:p>
    <w:p w14:paraId="41A155A9" w14:textId="3854F577" w:rsidR="00E76C05" w:rsidRPr="00676B15" w:rsidRDefault="00E76C05" w:rsidP="00D16F2B">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right="720" w:hanging="720"/>
        <w:jc w:val="both"/>
        <w:rPr>
          <w:rFonts w:eastAsia="Times New Roman"/>
          <w:bCs/>
          <w:sz w:val="20"/>
          <w:szCs w:val="20"/>
          <w:bdr w:val="none" w:sz="0" w:space="0" w:color="auto"/>
        </w:rPr>
      </w:pPr>
      <w:r w:rsidRPr="00676B15">
        <w:rPr>
          <w:rFonts w:eastAsia="Times New Roman"/>
          <w:bCs/>
          <w:sz w:val="20"/>
          <w:szCs w:val="20"/>
          <w:bdr w:val="none" w:sz="0" w:space="0" w:color="auto"/>
        </w:rPr>
        <w:t>“[P]etitioners committed an unfair labor practice under § 8(a)(3) of the NLRA by constructively discharging their undocumented alien employees through reporting the employees to the INS in retaliation for pa</w:t>
      </w:r>
      <w:r w:rsidR="00095E1A" w:rsidRPr="00676B15">
        <w:rPr>
          <w:rFonts w:eastAsia="Times New Roman"/>
          <w:bCs/>
          <w:sz w:val="20"/>
          <w:szCs w:val="20"/>
          <w:bdr w:val="none" w:sz="0" w:space="0" w:color="auto"/>
        </w:rPr>
        <w:t>rticipating in union activities</w:t>
      </w:r>
      <w:r w:rsidR="00DA5D1D" w:rsidRPr="00676B15">
        <w:rPr>
          <w:rFonts w:eastAsia="Times New Roman"/>
          <w:bCs/>
          <w:sz w:val="20"/>
          <w:szCs w:val="20"/>
          <w:bdr w:val="none" w:sz="0" w:space="0" w:color="auto"/>
        </w:rPr>
        <w:t>;</w:t>
      </w:r>
      <w:r w:rsidRPr="00676B15">
        <w:rPr>
          <w:rFonts w:eastAsia="Times New Roman"/>
          <w:bCs/>
          <w:sz w:val="20"/>
          <w:szCs w:val="20"/>
          <w:bdr w:val="none" w:sz="0" w:space="0" w:color="auto"/>
        </w:rPr>
        <w:t>”</w:t>
      </w:r>
      <w:r w:rsidR="00DA5D1D" w:rsidRPr="00676B15">
        <w:rPr>
          <w:rFonts w:eastAsia="Times New Roman"/>
          <w:bCs/>
          <w:sz w:val="20"/>
          <w:szCs w:val="20"/>
          <w:bdr w:val="none" w:sz="0" w:space="0" w:color="auto"/>
        </w:rPr>
        <w:t xml:space="preserve"> and</w:t>
      </w:r>
      <w:r w:rsidR="00095E1A" w:rsidRPr="00676B15">
        <w:rPr>
          <w:rStyle w:val="FootnoteReference"/>
          <w:rFonts w:eastAsia="Times New Roman"/>
          <w:bCs/>
          <w:sz w:val="20"/>
          <w:szCs w:val="20"/>
          <w:bdr w:val="none" w:sz="0" w:space="0" w:color="auto"/>
        </w:rPr>
        <w:t xml:space="preserve"> </w:t>
      </w:r>
    </w:p>
    <w:p w14:paraId="65600564" w14:textId="77777777" w:rsidR="00E76C05" w:rsidRPr="00676B15" w:rsidRDefault="00E76C05" w:rsidP="00D16F2B">
      <w:pPr>
        <w:pStyle w:val="ListParagraph"/>
        <w:ind w:left="1440" w:right="720" w:hanging="720"/>
        <w:rPr>
          <w:rFonts w:eastAsia="Times New Roman"/>
          <w:bCs/>
          <w:sz w:val="20"/>
          <w:szCs w:val="20"/>
          <w:bdr w:val="none" w:sz="0" w:space="0" w:color="auto"/>
        </w:rPr>
      </w:pPr>
    </w:p>
    <w:p w14:paraId="6FDAD0DC" w14:textId="4229A9E4" w:rsidR="00095E1A" w:rsidRPr="00676B15" w:rsidRDefault="00DA5D1D" w:rsidP="00D16F2B">
      <w:pPr>
        <w:pStyle w:val="ListParagraph"/>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440" w:right="720" w:hanging="720"/>
        <w:jc w:val="both"/>
        <w:rPr>
          <w:rFonts w:eastAsia="Times New Roman"/>
          <w:bCs/>
          <w:sz w:val="20"/>
          <w:szCs w:val="20"/>
          <w:bdr w:val="none" w:sz="0" w:space="0" w:color="auto"/>
        </w:rPr>
      </w:pPr>
      <w:r w:rsidRPr="00676B15">
        <w:rPr>
          <w:rFonts w:eastAsia="Times New Roman"/>
          <w:bCs/>
          <w:sz w:val="20"/>
          <w:szCs w:val="20"/>
          <w:bdr w:val="none" w:sz="0" w:space="0" w:color="auto"/>
        </w:rPr>
        <w:t>With regard to the NLRB’s remedial order, including the figure of backpay, “t</w:t>
      </w:r>
      <w:r w:rsidR="00E76C05" w:rsidRPr="00676B15">
        <w:rPr>
          <w:rFonts w:eastAsia="Times New Roman"/>
          <w:bCs/>
          <w:sz w:val="20"/>
          <w:szCs w:val="20"/>
          <w:bdr w:val="none" w:sz="0" w:space="0" w:color="auto"/>
        </w:rPr>
        <w:t>he</w:t>
      </w:r>
      <w:r w:rsidR="007C1711" w:rsidRPr="00676B15">
        <w:rPr>
          <w:rFonts w:eastAsia="Times New Roman"/>
          <w:bCs/>
          <w:sz w:val="20"/>
          <w:szCs w:val="20"/>
          <w:bdr w:val="none" w:sz="0" w:space="0" w:color="auto"/>
        </w:rPr>
        <w:t xml:space="preserve"> [Seventh Circuit]</w:t>
      </w:r>
      <w:r w:rsidR="00E76C05" w:rsidRPr="00676B15">
        <w:rPr>
          <w:rFonts w:eastAsia="Times New Roman"/>
          <w:bCs/>
          <w:sz w:val="20"/>
          <w:szCs w:val="20"/>
          <w:bdr w:val="none" w:sz="0" w:space="0" w:color="auto"/>
        </w:rPr>
        <w:t xml:space="preserve"> Court of Appeals e</w:t>
      </w:r>
      <w:r w:rsidRPr="00676B15">
        <w:rPr>
          <w:rFonts w:eastAsia="Times New Roman"/>
          <w:bCs/>
          <w:sz w:val="20"/>
          <w:szCs w:val="20"/>
          <w:bdr w:val="none" w:sz="0" w:space="0" w:color="auto"/>
        </w:rPr>
        <w:t xml:space="preserve">rred in its modification of [this] </w:t>
      </w:r>
      <w:r w:rsidR="00E76C05" w:rsidRPr="00676B15">
        <w:rPr>
          <w:rFonts w:eastAsia="Times New Roman"/>
          <w:bCs/>
          <w:sz w:val="20"/>
          <w:szCs w:val="20"/>
          <w:bdr w:val="none" w:sz="0" w:space="0" w:color="auto"/>
        </w:rPr>
        <w:t xml:space="preserve">order . . . [b]y directing the Board to impose a minimum backpay award without regard to the employees’ actual economic losses or legal availability for work, the court exceeded its limited authority of review under the NLRA. </w:t>
      </w:r>
      <w:r w:rsidR="00FA7BCC" w:rsidRPr="00676B15">
        <w:rPr>
          <w:rFonts w:eastAsia="Times New Roman"/>
          <w:bCs/>
          <w:sz w:val="20"/>
          <w:szCs w:val="20"/>
          <w:bdr w:val="none" w:sz="0" w:space="0" w:color="auto"/>
        </w:rPr>
        <w:t>A backpay remedy must be tailored to expunge only actual, not speculative, consequences of an unfair labor practice.”</w:t>
      </w:r>
      <w:r w:rsidRPr="00676B15">
        <w:rPr>
          <w:rStyle w:val="FootnoteReference"/>
          <w:rFonts w:eastAsia="Times New Roman"/>
          <w:bCs/>
          <w:sz w:val="20"/>
          <w:szCs w:val="20"/>
          <w:bdr w:val="none" w:sz="0" w:space="0" w:color="auto"/>
        </w:rPr>
        <w:footnoteReference w:id="50"/>
      </w:r>
    </w:p>
    <w:p w14:paraId="388B80C8" w14:textId="77777777" w:rsidR="00095E1A" w:rsidRPr="00676B15" w:rsidRDefault="00095E1A" w:rsidP="00095E1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62736AD8" w14:textId="0F5CF9D2" w:rsidR="007E7344" w:rsidRPr="00676B15" w:rsidRDefault="00DA5D1D" w:rsidP="0069779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With regard to (e</w:t>
      </w:r>
      <w:r w:rsidR="00FA7BCC" w:rsidRPr="00676B15">
        <w:rPr>
          <w:rFonts w:ascii="Cambria" w:eastAsia="Times New Roman" w:hAnsi="Cambria"/>
          <w:bCs/>
          <w:sz w:val="20"/>
          <w:szCs w:val="20"/>
          <w:bdr w:val="none" w:sz="0" w:space="0" w:color="auto"/>
        </w:rPr>
        <w:t>), the</w:t>
      </w:r>
      <w:r w:rsidR="00D622CB" w:rsidRPr="00676B15">
        <w:rPr>
          <w:rFonts w:ascii="Cambria" w:eastAsia="Times New Roman" w:hAnsi="Cambria"/>
          <w:bCs/>
          <w:sz w:val="20"/>
          <w:szCs w:val="20"/>
          <w:bdr w:val="none" w:sz="0" w:space="0" w:color="auto"/>
        </w:rPr>
        <w:t xml:space="preserve"> Supreme</w:t>
      </w:r>
      <w:r w:rsidR="00FA7BCC" w:rsidRPr="00676B15">
        <w:rPr>
          <w:rFonts w:ascii="Cambria" w:eastAsia="Times New Roman" w:hAnsi="Cambria"/>
          <w:bCs/>
          <w:sz w:val="20"/>
          <w:szCs w:val="20"/>
          <w:bdr w:val="none" w:sz="0" w:space="0" w:color="auto"/>
        </w:rPr>
        <w:t xml:space="preserve"> Court in </w:t>
      </w:r>
      <w:r w:rsidR="00FA7BCC" w:rsidRPr="00676B15">
        <w:rPr>
          <w:rFonts w:ascii="Cambria" w:eastAsia="Times New Roman" w:hAnsi="Cambria"/>
          <w:bCs/>
          <w:i/>
          <w:sz w:val="20"/>
          <w:szCs w:val="20"/>
          <w:bdr w:val="none" w:sz="0" w:space="0" w:color="auto"/>
        </w:rPr>
        <w:t>Sure-Tan</w:t>
      </w:r>
      <w:r w:rsidR="00FA7BCC" w:rsidRPr="00676B15">
        <w:rPr>
          <w:rFonts w:ascii="Cambria" w:eastAsia="Times New Roman" w:hAnsi="Cambria"/>
          <w:bCs/>
          <w:sz w:val="20"/>
          <w:szCs w:val="20"/>
          <w:bdr w:val="none" w:sz="0" w:space="0" w:color="auto"/>
        </w:rPr>
        <w:t xml:space="preserve"> found that the “main deficiency” in the </w:t>
      </w:r>
      <w:r w:rsidR="007C1711" w:rsidRPr="00676B15">
        <w:rPr>
          <w:rFonts w:ascii="Cambria" w:eastAsia="Times New Roman" w:hAnsi="Cambria"/>
          <w:bCs/>
          <w:sz w:val="20"/>
          <w:szCs w:val="20"/>
          <w:bdr w:val="none" w:sz="0" w:space="0" w:color="auto"/>
        </w:rPr>
        <w:t xml:space="preserve">Seventh Circuit </w:t>
      </w:r>
      <w:r w:rsidR="00FA7BCC" w:rsidRPr="00676B15">
        <w:rPr>
          <w:rFonts w:ascii="Cambria" w:eastAsia="Times New Roman" w:hAnsi="Cambria"/>
          <w:bCs/>
          <w:sz w:val="20"/>
          <w:szCs w:val="20"/>
          <w:bdr w:val="none" w:sz="0" w:space="0" w:color="auto"/>
        </w:rPr>
        <w:t xml:space="preserve">Court of Appeals’ decision </w:t>
      </w:r>
      <w:r w:rsidR="006F6DA6" w:rsidRPr="00676B15">
        <w:rPr>
          <w:rFonts w:ascii="Cambria" w:eastAsia="Times New Roman" w:hAnsi="Cambria"/>
          <w:bCs/>
          <w:sz w:val="20"/>
          <w:szCs w:val="20"/>
          <w:bdr w:val="none" w:sz="0" w:space="0" w:color="auto"/>
        </w:rPr>
        <w:t xml:space="preserve">for review </w:t>
      </w:r>
      <w:r w:rsidR="00FA7BCC" w:rsidRPr="00676B15">
        <w:rPr>
          <w:rFonts w:ascii="Cambria" w:eastAsia="Times New Roman" w:hAnsi="Cambria"/>
          <w:bCs/>
          <w:sz w:val="20"/>
          <w:szCs w:val="20"/>
          <w:bdr w:val="none" w:sz="0" w:space="0" w:color="auto"/>
        </w:rPr>
        <w:t>was the amount of backpay</w:t>
      </w:r>
      <w:r w:rsidR="00591A8A" w:rsidRPr="00676B15">
        <w:rPr>
          <w:rFonts w:ascii="Cambria" w:eastAsia="Times New Roman" w:hAnsi="Cambria"/>
          <w:bCs/>
          <w:sz w:val="20"/>
          <w:szCs w:val="20"/>
          <w:bdr w:val="none" w:sz="0" w:space="0" w:color="auto"/>
        </w:rPr>
        <w:t xml:space="preserve"> ordered, </w:t>
      </w:r>
      <w:r w:rsidR="00FA7BCC" w:rsidRPr="00676B15">
        <w:rPr>
          <w:rFonts w:ascii="Cambria" w:eastAsia="Times New Roman" w:hAnsi="Cambria"/>
          <w:bCs/>
          <w:sz w:val="20"/>
          <w:szCs w:val="20"/>
          <w:bdr w:val="none" w:sz="0" w:space="0" w:color="auto"/>
        </w:rPr>
        <w:t>not that backpay was ordered.</w:t>
      </w:r>
      <w:r w:rsidR="006F6DA6" w:rsidRPr="00676B15">
        <w:rPr>
          <w:rStyle w:val="FootnoteReference"/>
          <w:rFonts w:ascii="Cambria" w:eastAsia="Times New Roman" w:hAnsi="Cambria"/>
          <w:bCs/>
          <w:sz w:val="20"/>
          <w:szCs w:val="20"/>
          <w:bdr w:val="none" w:sz="0" w:space="0" w:color="auto"/>
        </w:rPr>
        <w:footnoteReference w:id="51"/>
      </w:r>
      <w:r w:rsidR="00FA7BCC" w:rsidRPr="00676B15">
        <w:rPr>
          <w:rFonts w:ascii="Cambria" w:eastAsia="Times New Roman" w:hAnsi="Cambria"/>
          <w:bCs/>
          <w:sz w:val="20"/>
          <w:szCs w:val="20"/>
          <w:bdr w:val="none" w:sz="0" w:space="0" w:color="auto"/>
        </w:rPr>
        <w:t xml:space="preserve"> </w:t>
      </w:r>
      <w:r w:rsidR="006F6DA6" w:rsidRPr="00676B15">
        <w:rPr>
          <w:rFonts w:ascii="Cambria" w:eastAsia="Times New Roman" w:hAnsi="Cambria"/>
          <w:bCs/>
          <w:sz w:val="20"/>
          <w:szCs w:val="20"/>
          <w:bdr w:val="none" w:sz="0" w:space="0" w:color="auto"/>
        </w:rPr>
        <w:t xml:space="preserve">Specifically, the </w:t>
      </w:r>
      <w:r w:rsidR="00D622CB" w:rsidRPr="00676B15">
        <w:rPr>
          <w:rFonts w:ascii="Cambria" w:eastAsia="Times New Roman" w:hAnsi="Cambria"/>
          <w:bCs/>
          <w:sz w:val="20"/>
          <w:szCs w:val="20"/>
          <w:bdr w:val="none" w:sz="0" w:space="0" w:color="auto"/>
        </w:rPr>
        <w:t xml:space="preserve"> Supreme </w:t>
      </w:r>
      <w:r w:rsidR="006F6DA6" w:rsidRPr="00676B15">
        <w:rPr>
          <w:rFonts w:ascii="Cambria" w:eastAsia="Times New Roman" w:hAnsi="Cambria"/>
          <w:bCs/>
          <w:sz w:val="20"/>
          <w:szCs w:val="20"/>
          <w:bdr w:val="none" w:sz="0" w:space="0" w:color="auto"/>
        </w:rPr>
        <w:t xml:space="preserve">Court’s objection to the Court of Appeals’ decision in </w:t>
      </w:r>
      <w:r w:rsidR="006F6DA6" w:rsidRPr="00676B15">
        <w:rPr>
          <w:rFonts w:ascii="Cambria" w:eastAsia="Times New Roman" w:hAnsi="Cambria"/>
          <w:bCs/>
          <w:i/>
          <w:sz w:val="20"/>
          <w:szCs w:val="20"/>
          <w:bdr w:val="none" w:sz="0" w:space="0" w:color="auto"/>
        </w:rPr>
        <w:t>Sure-Tan</w:t>
      </w:r>
      <w:r w:rsidR="006F6DA6" w:rsidRPr="00676B15">
        <w:rPr>
          <w:rFonts w:ascii="Cambria" w:eastAsia="Times New Roman" w:hAnsi="Cambria"/>
          <w:bCs/>
          <w:sz w:val="20"/>
          <w:szCs w:val="20"/>
          <w:bdr w:val="none" w:sz="0" w:space="0" w:color="auto"/>
        </w:rPr>
        <w:t xml:space="preserve"> was that the latter failed to take into consideration </w:t>
      </w:r>
      <w:r w:rsidR="00A869B7" w:rsidRPr="00676B15">
        <w:rPr>
          <w:rFonts w:ascii="Cambria" w:eastAsia="Times New Roman" w:hAnsi="Cambria"/>
          <w:bCs/>
          <w:sz w:val="20"/>
          <w:szCs w:val="20"/>
          <w:bdr w:val="none" w:sz="0" w:space="0" w:color="auto"/>
        </w:rPr>
        <w:t>“the period of time these particular employees might have continued working before apprehension by the INS and without affording the petition</w:t>
      </w:r>
      <w:r w:rsidR="00C4236B" w:rsidRPr="00676B15">
        <w:rPr>
          <w:rFonts w:ascii="Cambria" w:eastAsia="Times New Roman" w:hAnsi="Cambria"/>
          <w:bCs/>
          <w:sz w:val="20"/>
          <w:szCs w:val="20"/>
          <w:bdr w:val="none" w:sz="0" w:space="0" w:color="auto"/>
        </w:rPr>
        <w:t>er</w:t>
      </w:r>
      <w:r w:rsidR="00A869B7" w:rsidRPr="00676B15">
        <w:rPr>
          <w:rFonts w:ascii="Cambria" w:eastAsia="Times New Roman" w:hAnsi="Cambria"/>
          <w:bCs/>
          <w:sz w:val="20"/>
          <w:szCs w:val="20"/>
          <w:bdr w:val="none" w:sz="0" w:space="0" w:color="auto"/>
        </w:rPr>
        <w:t xml:space="preserve">s any opportunity to </w:t>
      </w:r>
      <w:r w:rsidR="00A869B7" w:rsidRPr="00676B15">
        <w:rPr>
          <w:rFonts w:ascii="Cambria" w:eastAsia="Times New Roman" w:hAnsi="Cambria"/>
          <w:bCs/>
          <w:sz w:val="20"/>
          <w:szCs w:val="20"/>
          <w:bdr w:val="none" w:sz="0" w:space="0" w:color="auto"/>
        </w:rPr>
        <w:lastRenderedPageBreak/>
        <w:t>provide mitigating evidence” in calculating an estimate amount of backpay.</w:t>
      </w:r>
      <w:r w:rsidR="00A869B7" w:rsidRPr="00676B15">
        <w:rPr>
          <w:rStyle w:val="FootnoteReference"/>
          <w:rFonts w:ascii="Cambria" w:eastAsia="Times New Roman" w:hAnsi="Cambria"/>
          <w:bCs/>
          <w:sz w:val="20"/>
          <w:szCs w:val="20"/>
          <w:bdr w:val="none" w:sz="0" w:space="0" w:color="auto"/>
        </w:rPr>
        <w:footnoteReference w:id="52"/>
      </w:r>
      <w:r w:rsidR="00A869B7" w:rsidRPr="00676B15">
        <w:rPr>
          <w:rFonts w:ascii="Cambria" w:eastAsia="Times New Roman" w:hAnsi="Cambria"/>
          <w:bCs/>
          <w:sz w:val="20"/>
          <w:szCs w:val="20"/>
          <w:bdr w:val="none" w:sz="0" w:space="0" w:color="auto"/>
        </w:rPr>
        <w:t xml:space="preserve"> </w:t>
      </w:r>
      <w:r w:rsidR="005C5540" w:rsidRPr="00676B15">
        <w:rPr>
          <w:rFonts w:ascii="Cambria" w:eastAsia="Times New Roman" w:hAnsi="Cambria"/>
          <w:bCs/>
          <w:sz w:val="20"/>
          <w:szCs w:val="20"/>
          <w:bdr w:val="none" w:sz="0" w:space="0" w:color="auto"/>
        </w:rPr>
        <w:t xml:space="preserve">As the </w:t>
      </w:r>
      <w:r w:rsidR="00D622CB" w:rsidRPr="00676B15">
        <w:rPr>
          <w:rFonts w:ascii="Cambria" w:eastAsia="Times New Roman" w:hAnsi="Cambria"/>
          <w:bCs/>
          <w:sz w:val="20"/>
          <w:szCs w:val="20"/>
          <w:bdr w:val="none" w:sz="0" w:space="0" w:color="auto"/>
        </w:rPr>
        <w:t xml:space="preserve">Supreme </w:t>
      </w:r>
      <w:r w:rsidR="005C5540" w:rsidRPr="00676B15">
        <w:rPr>
          <w:rFonts w:ascii="Cambria" w:eastAsia="Times New Roman" w:hAnsi="Cambria"/>
          <w:bCs/>
          <w:sz w:val="20"/>
          <w:szCs w:val="20"/>
          <w:bdr w:val="none" w:sz="0" w:space="0" w:color="auto"/>
        </w:rPr>
        <w:t xml:space="preserve">Court </w:t>
      </w:r>
      <w:r w:rsidR="00447E2C" w:rsidRPr="00676B15">
        <w:rPr>
          <w:rFonts w:ascii="Cambria" w:eastAsia="Times New Roman" w:hAnsi="Cambria"/>
          <w:bCs/>
          <w:sz w:val="20"/>
          <w:szCs w:val="20"/>
          <w:bdr w:val="none" w:sz="0" w:space="0" w:color="auto"/>
        </w:rPr>
        <w:t>explained</w:t>
      </w:r>
      <w:r w:rsidR="005C5540" w:rsidRPr="00676B15">
        <w:rPr>
          <w:rFonts w:ascii="Cambria" w:eastAsia="Times New Roman" w:hAnsi="Cambria"/>
          <w:bCs/>
          <w:sz w:val="20"/>
          <w:szCs w:val="20"/>
          <w:bdr w:val="none" w:sz="0" w:space="0" w:color="auto"/>
        </w:rPr>
        <w:t xml:space="preserve">: </w:t>
      </w:r>
    </w:p>
    <w:p w14:paraId="00D6CC25" w14:textId="77777777" w:rsidR="007E7344" w:rsidRPr="00676B15" w:rsidRDefault="007E7344" w:rsidP="007E734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4B625B97" w14:textId="77777777" w:rsidR="00FA7BCC" w:rsidRPr="00676B15" w:rsidRDefault="005C5540" w:rsidP="007E734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[T]he Court of Appeals recognized . . . in computing backpay, the employees must be deemed “unavailable for work” (and the accrual of backpay therefore tolled) during any period when they were not lawfully entitled to be present and employed in the United States. The Court of Appeals assumed that, under these circumstances, the employees would receive no backpay, and so awarded a minimum amount of backpay that would effectuate the underlying purposes of the Act by providing some relief to the employees as well as a financial disincentive against the repetition of similar discriminatory acts in the future.</w:t>
      </w:r>
      <w:r w:rsidR="007E7344" w:rsidRPr="00676B15">
        <w:rPr>
          <w:rStyle w:val="FootnoteReference"/>
          <w:rFonts w:ascii="Cambria" w:eastAsia="Times New Roman" w:hAnsi="Cambria"/>
          <w:bCs/>
          <w:sz w:val="20"/>
          <w:szCs w:val="20"/>
          <w:bdr w:val="none" w:sz="0" w:space="0" w:color="auto"/>
        </w:rPr>
        <w:footnoteReference w:id="53"/>
      </w:r>
      <w:r w:rsidRPr="00676B15">
        <w:rPr>
          <w:rFonts w:ascii="Cambria" w:eastAsia="Times New Roman" w:hAnsi="Cambria"/>
          <w:bCs/>
          <w:sz w:val="20"/>
          <w:szCs w:val="20"/>
          <w:bdr w:val="none" w:sz="0" w:space="0" w:color="auto"/>
        </w:rPr>
        <w:t xml:space="preserve"> </w:t>
      </w:r>
    </w:p>
    <w:p w14:paraId="176099E2" w14:textId="77777777" w:rsidR="00FA7BCC" w:rsidRPr="00676B15" w:rsidRDefault="00FA7BCC" w:rsidP="00FA7BC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22928E68" w14:textId="5A513574" w:rsidR="00DA5D1D" w:rsidRPr="00676B15" w:rsidRDefault="00273105" w:rsidP="00E5052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Notwithstanding this reasoning and its own determination of the “probable unavailability of the Act’s more effective remedies” in </w:t>
      </w:r>
      <w:r w:rsidR="0057452C" w:rsidRPr="00676B15">
        <w:rPr>
          <w:rFonts w:ascii="Cambria" w:eastAsia="Times New Roman" w:hAnsi="Cambria"/>
          <w:bCs/>
          <w:sz w:val="20"/>
          <w:szCs w:val="20"/>
          <w:bdr w:val="none" w:sz="0" w:space="0" w:color="auto"/>
        </w:rPr>
        <w:t>that</w:t>
      </w:r>
      <w:r w:rsidRPr="00676B15">
        <w:rPr>
          <w:rFonts w:ascii="Cambria" w:eastAsia="Times New Roman" w:hAnsi="Cambria"/>
          <w:bCs/>
          <w:sz w:val="20"/>
          <w:szCs w:val="20"/>
          <w:bdr w:val="none" w:sz="0" w:space="0" w:color="auto"/>
        </w:rPr>
        <w:t xml:space="preserve"> case,</w:t>
      </w:r>
      <w:r w:rsidR="007E7344" w:rsidRPr="00676B15">
        <w:rPr>
          <w:rFonts w:ascii="Cambria" w:eastAsia="Times New Roman" w:hAnsi="Cambria"/>
          <w:bCs/>
          <w:sz w:val="20"/>
          <w:szCs w:val="20"/>
          <w:bdr w:val="none" w:sz="0" w:space="0" w:color="auto"/>
        </w:rPr>
        <w:t xml:space="preserve"> the</w:t>
      </w:r>
      <w:r w:rsidR="00447E2C" w:rsidRPr="00676B15">
        <w:rPr>
          <w:rFonts w:ascii="Cambria" w:eastAsia="Times New Roman" w:hAnsi="Cambria"/>
          <w:bCs/>
          <w:sz w:val="20"/>
          <w:szCs w:val="20"/>
          <w:bdr w:val="none" w:sz="0" w:space="0" w:color="auto"/>
        </w:rPr>
        <w:t xml:space="preserve"> Supreme</w:t>
      </w:r>
      <w:r w:rsidR="007E7344" w:rsidRPr="00676B15">
        <w:rPr>
          <w:rFonts w:ascii="Cambria" w:eastAsia="Times New Roman" w:hAnsi="Cambria"/>
          <w:bCs/>
          <w:sz w:val="20"/>
          <w:szCs w:val="20"/>
          <w:bdr w:val="none" w:sz="0" w:space="0" w:color="auto"/>
        </w:rPr>
        <w:t xml:space="preserve"> Court </w:t>
      </w:r>
      <w:r w:rsidRPr="00676B15">
        <w:rPr>
          <w:rFonts w:ascii="Cambria" w:eastAsia="Times New Roman" w:hAnsi="Cambria"/>
          <w:bCs/>
          <w:sz w:val="20"/>
          <w:szCs w:val="20"/>
          <w:bdr w:val="none" w:sz="0" w:space="0" w:color="auto"/>
        </w:rPr>
        <w:t xml:space="preserve">in </w:t>
      </w:r>
      <w:r w:rsidRPr="00676B15">
        <w:rPr>
          <w:rFonts w:ascii="Cambria" w:eastAsia="Times New Roman" w:hAnsi="Cambria"/>
          <w:bCs/>
          <w:i/>
          <w:sz w:val="20"/>
          <w:szCs w:val="20"/>
          <w:bdr w:val="none" w:sz="0" w:space="0" w:color="auto"/>
        </w:rPr>
        <w:t>Sure-Tan</w:t>
      </w:r>
      <w:r w:rsidRPr="00676B15">
        <w:rPr>
          <w:rFonts w:ascii="Cambria" w:eastAsia="Times New Roman" w:hAnsi="Cambria"/>
          <w:bCs/>
          <w:sz w:val="20"/>
          <w:szCs w:val="20"/>
          <w:bdr w:val="none" w:sz="0" w:space="0" w:color="auto"/>
        </w:rPr>
        <w:t xml:space="preserve"> found</w:t>
      </w:r>
      <w:r w:rsidR="007E7344" w:rsidRPr="00676B15">
        <w:rPr>
          <w:rFonts w:ascii="Cambria" w:eastAsia="Times New Roman" w:hAnsi="Cambria"/>
          <w:bCs/>
          <w:sz w:val="20"/>
          <w:szCs w:val="20"/>
          <w:bdr w:val="none" w:sz="0" w:space="0" w:color="auto"/>
        </w:rPr>
        <w:t xml:space="preserve"> that the </w:t>
      </w:r>
      <w:r w:rsidR="006C6C58" w:rsidRPr="00676B15">
        <w:rPr>
          <w:rFonts w:ascii="Cambria" w:eastAsia="Times New Roman" w:hAnsi="Cambria"/>
          <w:bCs/>
          <w:sz w:val="20"/>
          <w:szCs w:val="20"/>
          <w:bdr w:val="none" w:sz="0" w:space="0" w:color="auto"/>
        </w:rPr>
        <w:t xml:space="preserve">Seventh Circuit </w:t>
      </w:r>
      <w:r w:rsidR="007E7344" w:rsidRPr="00676B15">
        <w:rPr>
          <w:rFonts w:ascii="Cambria" w:eastAsia="Times New Roman" w:hAnsi="Cambria"/>
          <w:bCs/>
          <w:sz w:val="20"/>
          <w:szCs w:val="20"/>
          <w:bdr w:val="none" w:sz="0" w:space="0" w:color="auto"/>
        </w:rPr>
        <w:t>Court of Appeals “plainly exceeded its limited authority under the Act” by directing the Board to impose a minimum backpay award without regard to the employees’</w:t>
      </w:r>
      <w:r w:rsidRPr="00676B15">
        <w:rPr>
          <w:rFonts w:ascii="Cambria" w:eastAsia="Times New Roman" w:hAnsi="Cambria"/>
          <w:bCs/>
          <w:sz w:val="20"/>
          <w:szCs w:val="20"/>
          <w:bdr w:val="none" w:sz="0" w:space="0" w:color="auto"/>
        </w:rPr>
        <w:t xml:space="preserve"> actual economic losses or</w:t>
      </w:r>
      <w:r w:rsidR="007E7344" w:rsidRPr="00676B15">
        <w:rPr>
          <w:rFonts w:ascii="Cambria" w:eastAsia="Times New Roman" w:hAnsi="Cambria"/>
          <w:bCs/>
          <w:sz w:val="20"/>
          <w:szCs w:val="20"/>
          <w:bdr w:val="none" w:sz="0" w:space="0" w:color="auto"/>
        </w:rPr>
        <w:t xml:space="preserve"> legal availability for work.”</w:t>
      </w:r>
      <w:r w:rsidR="0021470F" w:rsidRPr="00676B15">
        <w:rPr>
          <w:rStyle w:val="FootnoteReference"/>
          <w:rFonts w:ascii="Cambria" w:eastAsia="Times New Roman" w:hAnsi="Cambria"/>
          <w:bCs/>
          <w:sz w:val="20"/>
          <w:szCs w:val="20"/>
          <w:bdr w:val="none" w:sz="0" w:space="0" w:color="auto"/>
        </w:rPr>
        <w:footnoteReference w:id="54"/>
      </w:r>
      <w:r w:rsidRPr="00676B15">
        <w:rPr>
          <w:rFonts w:ascii="Cambria" w:eastAsia="Times New Roman" w:hAnsi="Cambria"/>
          <w:bCs/>
          <w:sz w:val="20"/>
          <w:szCs w:val="20"/>
          <w:bdr w:val="none" w:sz="0" w:space="0" w:color="auto"/>
        </w:rPr>
        <w:t xml:space="preserve"> </w:t>
      </w:r>
    </w:p>
    <w:p w14:paraId="302F53D6" w14:textId="22757144" w:rsidR="00C24515" w:rsidRPr="00676B15" w:rsidRDefault="00DA5D1D" w:rsidP="00E5052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The Supreme Court in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xml:space="preserve"> departed from the </w:t>
      </w:r>
      <w:r w:rsidRPr="00676B15">
        <w:rPr>
          <w:rFonts w:ascii="Cambria" w:eastAsia="Times New Roman" w:hAnsi="Cambria"/>
          <w:bCs/>
          <w:i/>
          <w:sz w:val="20"/>
          <w:szCs w:val="20"/>
          <w:bdr w:val="none" w:sz="0" w:space="0" w:color="auto"/>
        </w:rPr>
        <w:t>Sure-Tan</w:t>
      </w:r>
      <w:r w:rsidRPr="00676B15">
        <w:rPr>
          <w:rFonts w:ascii="Cambria" w:eastAsia="Times New Roman" w:hAnsi="Cambria"/>
          <w:bCs/>
          <w:sz w:val="20"/>
          <w:szCs w:val="20"/>
          <w:bdr w:val="none" w:sz="0" w:space="0" w:color="auto"/>
        </w:rPr>
        <w:t xml:space="preserve"> ruling</w:t>
      </w:r>
      <w:r w:rsidR="00886E43" w:rsidRPr="00676B15">
        <w:rPr>
          <w:rFonts w:ascii="Cambria" w:eastAsia="Times New Roman" w:hAnsi="Cambria"/>
          <w:bCs/>
          <w:sz w:val="20"/>
          <w:szCs w:val="20"/>
          <w:bdr w:val="none" w:sz="0" w:space="0" w:color="auto"/>
        </w:rPr>
        <w:t xml:space="preserve"> on the point of backpay, </w:t>
      </w:r>
      <w:r w:rsidR="009268A1" w:rsidRPr="00676B15">
        <w:rPr>
          <w:rFonts w:ascii="Cambria" w:eastAsia="Times New Roman" w:hAnsi="Cambria"/>
          <w:bCs/>
          <w:sz w:val="20"/>
          <w:szCs w:val="20"/>
          <w:bdr w:val="none" w:sz="0" w:space="0" w:color="auto"/>
        </w:rPr>
        <w:t>determining that</w:t>
      </w:r>
      <w:r w:rsidR="00886E43" w:rsidRPr="00676B15">
        <w:rPr>
          <w:rFonts w:ascii="Cambria" w:eastAsia="Times New Roman" w:hAnsi="Cambria"/>
          <w:bCs/>
          <w:sz w:val="20"/>
          <w:szCs w:val="20"/>
          <w:bdr w:val="none" w:sz="0" w:space="0" w:color="auto"/>
        </w:rPr>
        <w:t xml:space="preserve"> </w:t>
      </w:r>
      <w:r w:rsidR="00C24515" w:rsidRPr="00676B15">
        <w:rPr>
          <w:rFonts w:ascii="Cambria" w:eastAsia="Times New Roman" w:hAnsi="Cambria"/>
          <w:bCs/>
          <w:sz w:val="20"/>
          <w:szCs w:val="20"/>
          <w:bdr w:val="none" w:sz="0" w:space="0" w:color="auto"/>
        </w:rPr>
        <w:t>“There is no reason to think that Congress [ ] intended to permit backpay where but for an employer’s unfair labor practices, an alien-employee would have remained in the United States illegally, and continued to work illegally, all the while successfully evading apprehension by immigration authorities.”</w:t>
      </w:r>
      <w:r w:rsidR="009268A1" w:rsidRPr="00676B15">
        <w:rPr>
          <w:rStyle w:val="FootnoteReference"/>
          <w:rFonts w:ascii="Cambria" w:eastAsia="Times New Roman" w:hAnsi="Cambria"/>
          <w:bCs/>
          <w:sz w:val="20"/>
          <w:szCs w:val="20"/>
          <w:bdr w:val="none" w:sz="0" w:space="0" w:color="auto"/>
        </w:rPr>
        <w:footnoteReference w:id="55"/>
      </w:r>
      <w:r w:rsidR="009268A1" w:rsidRPr="00676B15">
        <w:rPr>
          <w:rFonts w:ascii="Cambria" w:eastAsia="Times New Roman" w:hAnsi="Cambria"/>
          <w:bCs/>
          <w:sz w:val="20"/>
          <w:szCs w:val="20"/>
          <w:bdr w:val="none" w:sz="0" w:space="0" w:color="auto"/>
        </w:rPr>
        <w:t xml:space="preserve">  The Court concluded in </w:t>
      </w:r>
      <w:r w:rsidR="009268A1" w:rsidRPr="00676B15">
        <w:rPr>
          <w:rFonts w:ascii="Cambria" w:eastAsia="Times New Roman" w:hAnsi="Cambria"/>
          <w:bCs/>
          <w:i/>
          <w:sz w:val="20"/>
          <w:szCs w:val="20"/>
          <w:bdr w:val="none" w:sz="0" w:space="0" w:color="auto"/>
        </w:rPr>
        <w:t>Hoffman</w:t>
      </w:r>
      <w:r w:rsidR="009268A1" w:rsidRPr="00676B15">
        <w:rPr>
          <w:rFonts w:ascii="Cambria" w:eastAsia="Times New Roman" w:hAnsi="Cambria"/>
          <w:bCs/>
          <w:sz w:val="20"/>
          <w:szCs w:val="20"/>
          <w:bdr w:val="none" w:sz="0" w:space="0" w:color="auto"/>
        </w:rPr>
        <w:t xml:space="preserve"> that</w:t>
      </w:r>
      <w:r w:rsidR="00C24515" w:rsidRPr="00676B15">
        <w:rPr>
          <w:rFonts w:ascii="Cambria" w:eastAsia="Times New Roman" w:hAnsi="Cambria"/>
          <w:bCs/>
          <w:sz w:val="20"/>
          <w:szCs w:val="20"/>
          <w:bdr w:val="none" w:sz="0" w:space="0" w:color="auto"/>
        </w:rPr>
        <w:t xml:space="preserve"> “allowing the </w:t>
      </w:r>
      <w:r w:rsidR="009268A1" w:rsidRPr="00676B15">
        <w:rPr>
          <w:rFonts w:ascii="Cambria" w:eastAsia="Times New Roman" w:hAnsi="Cambria"/>
          <w:bCs/>
          <w:sz w:val="20"/>
          <w:szCs w:val="20"/>
          <w:bdr w:val="none" w:sz="0" w:space="0" w:color="auto"/>
        </w:rPr>
        <w:t>[NLRB]</w:t>
      </w:r>
      <w:r w:rsidR="00C24515" w:rsidRPr="00676B15">
        <w:rPr>
          <w:rFonts w:ascii="Cambria" w:eastAsia="Times New Roman" w:hAnsi="Cambria"/>
          <w:bCs/>
          <w:sz w:val="20"/>
          <w:szCs w:val="20"/>
          <w:bdr w:val="none" w:sz="0" w:space="0" w:color="auto"/>
        </w:rPr>
        <w:t xml:space="preserve"> to award backpay to illegal aliens would unduly trench upon explicit statutory prohibitions critical to federal immigration policy, as expressed in IRCA. It would encourage the successful evasion of apprehension by immigration authorities, condone prior violations of the immigration laws, </w:t>
      </w:r>
      <w:r w:rsidR="009268A1" w:rsidRPr="00676B15">
        <w:rPr>
          <w:rFonts w:ascii="Cambria" w:eastAsia="Times New Roman" w:hAnsi="Cambria"/>
          <w:bCs/>
          <w:sz w:val="20"/>
          <w:szCs w:val="20"/>
          <w:bdr w:val="none" w:sz="0" w:space="0" w:color="auto"/>
        </w:rPr>
        <w:t>and encourage future violations</w:t>
      </w:r>
      <w:r w:rsidR="00C24515" w:rsidRPr="00676B15">
        <w:rPr>
          <w:rFonts w:ascii="Cambria" w:eastAsia="Times New Roman" w:hAnsi="Cambria"/>
          <w:bCs/>
          <w:sz w:val="20"/>
          <w:szCs w:val="20"/>
          <w:bdr w:val="none" w:sz="0" w:space="0" w:color="auto"/>
        </w:rPr>
        <w:t>.</w:t>
      </w:r>
      <w:r w:rsidR="009268A1" w:rsidRPr="00676B15">
        <w:rPr>
          <w:rFonts w:ascii="Cambria" w:eastAsia="Times New Roman" w:hAnsi="Cambria"/>
          <w:bCs/>
          <w:sz w:val="20"/>
          <w:szCs w:val="20"/>
          <w:bdr w:val="none" w:sz="0" w:space="0" w:color="auto"/>
        </w:rPr>
        <w:t>”</w:t>
      </w:r>
      <w:r w:rsidR="009268A1" w:rsidRPr="00676B15">
        <w:rPr>
          <w:rStyle w:val="FootnoteReference"/>
          <w:rFonts w:ascii="Cambria" w:eastAsia="Times New Roman" w:hAnsi="Cambria"/>
          <w:bCs/>
          <w:sz w:val="20"/>
          <w:szCs w:val="20"/>
          <w:bdr w:val="none" w:sz="0" w:space="0" w:color="auto"/>
        </w:rPr>
        <w:footnoteReference w:id="56"/>
      </w:r>
      <w:r w:rsidR="005E666D" w:rsidRPr="00676B15">
        <w:rPr>
          <w:rFonts w:ascii="Cambria" w:eastAsia="Times New Roman" w:hAnsi="Cambria"/>
          <w:bCs/>
          <w:sz w:val="20"/>
          <w:szCs w:val="20"/>
          <w:bdr w:val="none" w:sz="0" w:space="0" w:color="auto"/>
        </w:rPr>
        <w:t xml:space="preserve"> </w:t>
      </w:r>
      <w:r w:rsidR="008E1B58" w:rsidRPr="00676B15">
        <w:rPr>
          <w:rFonts w:ascii="Cambria" w:eastAsia="Times New Roman" w:hAnsi="Cambria"/>
          <w:bCs/>
          <w:sz w:val="20"/>
          <w:szCs w:val="20"/>
          <w:bdr w:val="none" w:sz="0" w:space="0" w:color="auto"/>
        </w:rPr>
        <w:t>As a result</w:t>
      </w:r>
      <w:r w:rsidR="005E666D" w:rsidRPr="00676B15">
        <w:rPr>
          <w:rFonts w:ascii="Cambria" w:eastAsia="Times New Roman" w:hAnsi="Cambria"/>
          <w:bCs/>
          <w:sz w:val="20"/>
          <w:szCs w:val="20"/>
          <w:bdr w:val="none" w:sz="0" w:space="0" w:color="auto"/>
        </w:rPr>
        <w:t>, Jose Castro, the undocumented worker illegally fired by Hoffman in retaliation for union-organizing, was denied</w:t>
      </w:r>
      <w:r w:rsidR="0021470F" w:rsidRPr="00676B15">
        <w:rPr>
          <w:rFonts w:ascii="Cambria" w:eastAsia="Times New Roman" w:hAnsi="Cambria"/>
          <w:bCs/>
          <w:sz w:val="20"/>
          <w:szCs w:val="20"/>
          <w:bdr w:val="none" w:sz="0" w:space="0" w:color="auto"/>
        </w:rPr>
        <w:t xml:space="preserve"> backpay. </w:t>
      </w:r>
    </w:p>
    <w:p w14:paraId="3938383B" w14:textId="77777777" w:rsidR="00F36AD9" w:rsidRPr="00676B15" w:rsidRDefault="00F36AD9" w:rsidP="00F36AD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0006A0F4" w14:textId="35BB582D" w:rsidR="00F33188" w:rsidRPr="00676B15" w:rsidRDefault="00F33188" w:rsidP="00862660">
      <w:pPr>
        <w:pStyle w:val="Heading2"/>
        <w:ind w:left="1530" w:hanging="810"/>
      </w:pPr>
      <w:bookmarkStart w:id="22" w:name="_Toc466296168"/>
      <w:r w:rsidRPr="00676B15">
        <w:t>S</w:t>
      </w:r>
      <w:r w:rsidR="0017202C" w:rsidRPr="00676B15">
        <w:t>ituation of Undocumented Workers in the United States</w:t>
      </w:r>
      <w:bookmarkEnd w:id="22"/>
      <w:r w:rsidR="0017202C" w:rsidRPr="00676B15">
        <w:t xml:space="preserve"> </w:t>
      </w:r>
      <w:r w:rsidRPr="00676B15">
        <w:t xml:space="preserve"> </w:t>
      </w:r>
    </w:p>
    <w:p w14:paraId="19596C83" w14:textId="77777777" w:rsidR="00F36794" w:rsidRPr="00676B15" w:rsidRDefault="00F36794" w:rsidP="00F36794">
      <w:pPr>
        <w:pStyle w:val="ListParagraph"/>
        <w:rPr>
          <w:rFonts w:eastAsia="Times New Roman"/>
          <w:b/>
          <w:bCs/>
          <w:sz w:val="20"/>
          <w:szCs w:val="20"/>
          <w:u w:val="single"/>
          <w:bdr w:val="none" w:sz="0" w:space="0" w:color="auto"/>
        </w:rPr>
      </w:pPr>
    </w:p>
    <w:p w14:paraId="16A49617" w14:textId="5874B513" w:rsidR="00854D68" w:rsidRPr="00676B15" w:rsidRDefault="004B3540" w:rsidP="004B354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Prior to continuing to its analysis on the </w:t>
      </w:r>
      <w:r w:rsidR="008B5A47" w:rsidRPr="00676B15">
        <w:rPr>
          <w:rFonts w:ascii="Cambria" w:eastAsia="Times New Roman" w:hAnsi="Cambria"/>
          <w:bCs/>
          <w:sz w:val="20"/>
          <w:szCs w:val="20"/>
          <w:bdr w:val="none" w:sz="0" w:space="0" w:color="auto"/>
        </w:rPr>
        <w:t>merits</w:t>
      </w:r>
      <w:r w:rsidRPr="00676B15">
        <w:rPr>
          <w:rFonts w:ascii="Cambria" w:eastAsia="Times New Roman" w:hAnsi="Cambria"/>
          <w:bCs/>
          <w:sz w:val="20"/>
          <w:szCs w:val="20"/>
          <w:bdr w:val="none" w:sz="0" w:space="0" w:color="auto"/>
        </w:rPr>
        <w:t xml:space="preserve"> </w:t>
      </w:r>
      <w:r w:rsidR="008B5A47" w:rsidRPr="00676B15">
        <w:rPr>
          <w:rFonts w:ascii="Cambria" w:eastAsia="Times New Roman" w:hAnsi="Cambria"/>
          <w:bCs/>
          <w:sz w:val="20"/>
          <w:szCs w:val="20"/>
          <w:bdr w:val="none" w:sz="0" w:space="0" w:color="auto"/>
        </w:rPr>
        <w:t>of</w:t>
      </w:r>
      <w:r w:rsidRPr="00676B15">
        <w:rPr>
          <w:rFonts w:ascii="Cambria" w:eastAsia="Times New Roman" w:hAnsi="Cambria"/>
          <w:bCs/>
          <w:sz w:val="20"/>
          <w:szCs w:val="20"/>
          <w:bdr w:val="none" w:sz="0" w:space="0" w:color="auto"/>
        </w:rPr>
        <w:t xml:space="preserve"> this case, the Commission deems it </w:t>
      </w:r>
      <w:r w:rsidR="0049438B" w:rsidRPr="00676B15">
        <w:rPr>
          <w:rFonts w:ascii="Cambria" w:eastAsia="Times New Roman" w:hAnsi="Cambria"/>
          <w:bCs/>
          <w:sz w:val="20"/>
          <w:szCs w:val="20"/>
          <w:bdr w:val="none" w:sz="0" w:space="0" w:color="auto"/>
        </w:rPr>
        <w:t>relevant</w:t>
      </w:r>
      <w:r w:rsidRPr="00676B15">
        <w:rPr>
          <w:rFonts w:ascii="Cambria" w:eastAsia="Times New Roman" w:hAnsi="Cambria"/>
          <w:bCs/>
          <w:sz w:val="20"/>
          <w:szCs w:val="20"/>
          <w:bdr w:val="none" w:sz="0" w:space="0" w:color="auto"/>
        </w:rPr>
        <w:t xml:space="preserve"> to provide an updated snapshot on the situation of undocumented workers in the United States.</w:t>
      </w:r>
      <w:r w:rsidR="0092639E" w:rsidRPr="00676B15">
        <w:rPr>
          <w:rStyle w:val="FootnoteReference"/>
          <w:rFonts w:ascii="Cambria" w:eastAsia="Times New Roman" w:hAnsi="Cambria"/>
          <w:bCs/>
          <w:sz w:val="20"/>
          <w:szCs w:val="20"/>
          <w:bdr w:val="none" w:sz="0" w:space="0" w:color="auto"/>
        </w:rPr>
        <w:footnoteReference w:id="57"/>
      </w:r>
      <w:r w:rsidRPr="00676B15">
        <w:rPr>
          <w:rFonts w:ascii="Cambria" w:eastAsia="Times New Roman" w:hAnsi="Cambria"/>
          <w:bCs/>
          <w:sz w:val="20"/>
          <w:szCs w:val="20"/>
          <w:bdr w:val="none" w:sz="0" w:space="0" w:color="auto"/>
        </w:rPr>
        <w:t xml:space="preserve"> </w:t>
      </w:r>
      <w:r w:rsidR="00CD5E31" w:rsidRPr="00676B15">
        <w:rPr>
          <w:rFonts w:ascii="Cambria" w:eastAsia="Times New Roman" w:hAnsi="Cambria"/>
          <w:bCs/>
          <w:sz w:val="20"/>
          <w:szCs w:val="20"/>
          <w:bdr w:val="none" w:sz="0" w:space="0" w:color="auto"/>
        </w:rPr>
        <w:t>Reports suggest</w:t>
      </w:r>
      <w:r w:rsidR="002606C3" w:rsidRPr="00676B15">
        <w:rPr>
          <w:rFonts w:ascii="Cambria" w:eastAsia="Times New Roman" w:hAnsi="Cambria"/>
          <w:bCs/>
          <w:sz w:val="20"/>
          <w:szCs w:val="20"/>
          <w:bdr w:val="none" w:sz="0" w:space="0" w:color="auto"/>
        </w:rPr>
        <w:t xml:space="preserve"> that the population of “unauthorized immigrants”</w:t>
      </w:r>
      <w:r w:rsidR="002606C3" w:rsidRPr="00676B15">
        <w:rPr>
          <w:rStyle w:val="FootnoteReference"/>
          <w:rFonts w:ascii="Cambria" w:eastAsia="Times New Roman" w:hAnsi="Cambria"/>
          <w:bCs/>
          <w:sz w:val="20"/>
          <w:szCs w:val="20"/>
          <w:bdr w:val="none" w:sz="0" w:space="0" w:color="auto"/>
        </w:rPr>
        <w:footnoteReference w:id="58"/>
      </w:r>
      <w:r w:rsidRPr="00676B15">
        <w:rPr>
          <w:rFonts w:ascii="Cambria" w:eastAsia="Times New Roman" w:hAnsi="Cambria"/>
          <w:bCs/>
          <w:sz w:val="20"/>
          <w:szCs w:val="20"/>
          <w:bdr w:val="none" w:sz="0" w:space="0" w:color="auto"/>
        </w:rPr>
        <w:t xml:space="preserve"> in the United States is </w:t>
      </w:r>
      <w:r w:rsidR="002606C3" w:rsidRPr="00676B15">
        <w:rPr>
          <w:rFonts w:ascii="Cambria" w:eastAsia="Times New Roman" w:hAnsi="Cambria"/>
          <w:bCs/>
          <w:sz w:val="20"/>
          <w:szCs w:val="20"/>
          <w:bdr w:val="none" w:sz="0" w:space="0" w:color="auto"/>
        </w:rPr>
        <w:t>approximately 11,022,000</w:t>
      </w:r>
      <w:r w:rsidRPr="00676B15">
        <w:rPr>
          <w:rFonts w:ascii="Cambria" w:eastAsia="Times New Roman" w:hAnsi="Cambria"/>
          <w:bCs/>
          <w:sz w:val="20"/>
          <w:szCs w:val="20"/>
          <w:bdr w:val="none" w:sz="0" w:space="0" w:color="auto"/>
        </w:rPr>
        <w:t xml:space="preserve"> as of 2013</w:t>
      </w:r>
      <w:r w:rsidR="002606C3" w:rsidRPr="00676B15">
        <w:rPr>
          <w:rFonts w:ascii="Cambria" w:eastAsia="Times New Roman" w:hAnsi="Cambria"/>
          <w:bCs/>
          <w:sz w:val="20"/>
          <w:szCs w:val="20"/>
          <w:bdr w:val="none" w:sz="0" w:space="0" w:color="auto"/>
        </w:rPr>
        <w:t>.</w:t>
      </w:r>
      <w:r w:rsidR="002606C3" w:rsidRPr="00676B15">
        <w:rPr>
          <w:rStyle w:val="FootnoteReference"/>
          <w:rFonts w:ascii="Cambria" w:eastAsia="Times New Roman" w:hAnsi="Cambria"/>
          <w:bCs/>
          <w:sz w:val="20"/>
          <w:szCs w:val="20"/>
          <w:bdr w:val="none" w:sz="0" w:space="0" w:color="auto"/>
        </w:rPr>
        <w:footnoteReference w:id="59"/>
      </w:r>
      <w:r w:rsidR="00A0795A" w:rsidRPr="00676B15">
        <w:rPr>
          <w:rFonts w:ascii="Cambria" w:eastAsia="Times New Roman" w:hAnsi="Cambria"/>
          <w:bCs/>
          <w:sz w:val="20"/>
          <w:szCs w:val="20"/>
          <w:bdr w:val="none" w:sz="0" w:space="0" w:color="auto"/>
        </w:rPr>
        <w:t xml:space="preserve"> The top country of </w:t>
      </w:r>
      <w:r w:rsidR="0083228D" w:rsidRPr="00676B15">
        <w:rPr>
          <w:rFonts w:ascii="Cambria" w:eastAsia="Times New Roman" w:hAnsi="Cambria"/>
          <w:bCs/>
          <w:sz w:val="20"/>
          <w:szCs w:val="20"/>
          <w:bdr w:val="none" w:sz="0" w:space="0" w:color="auto"/>
        </w:rPr>
        <w:t>origin</w:t>
      </w:r>
      <w:r w:rsidR="00A0795A" w:rsidRPr="00676B15">
        <w:rPr>
          <w:rFonts w:ascii="Cambria" w:eastAsia="Times New Roman" w:hAnsi="Cambria"/>
          <w:bCs/>
          <w:sz w:val="20"/>
          <w:szCs w:val="20"/>
          <w:bdr w:val="none" w:sz="0" w:space="0" w:color="auto"/>
        </w:rPr>
        <w:t xml:space="preserve"> is Mexico, with 6,19</w:t>
      </w:r>
      <w:r w:rsidR="0070134E" w:rsidRPr="00676B15">
        <w:rPr>
          <w:rFonts w:ascii="Cambria" w:eastAsia="Times New Roman" w:hAnsi="Cambria"/>
          <w:bCs/>
          <w:sz w:val="20"/>
          <w:szCs w:val="20"/>
          <w:bdr w:val="none" w:sz="0" w:space="0" w:color="auto"/>
        </w:rPr>
        <w:t xml:space="preserve">4,000, or 56% of this population, </w:t>
      </w:r>
      <w:r w:rsidR="0070134E" w:rsidRPr="00676B15">
        <w:rPr>
          <w:rFonts w:ascii="Cambria" w:eastAsia="Times New Roman" w:hAnsi="Cambria"/>
          <w:bCs/>
          <w:sz w:val="20"/>
          <w:szCs w:val="20"/>
          <w:bdr w:val="none" w:sz="0" w:space="0" w:color="auto"/>
        </w:rPr>
        <w:lastRenderedPageBreak/>
        <w:t>accounting for 71% when combined with the countries of Central America</w:t>
      </w:r>
      <w:r w:rsidR="00A0795A" w:rsidRPr="00676B15">
        <w:rPr>
          <w:rFonts w:ascii="Cambria" w:eastAsia="Times New Roman" w:hAnsi="Cambria"/>
          <w:bCs/>
          <w:sz w:val="20"/>
          <w:szCs w:val="20"/>
          <w:bdr w:val="none" w:sz="0" w:space="0" w:color="auto"/>
        </w:rPr>
        <w:t>.</w:t>
      </w:r>
      <w:r w:rsidR="00E16CCE" w:rsidRPr="00676B15">
        <w:rPr>
          <w:rStyle w:val="FootnoteReference"/>
          <w:rFonts w:ascii="Cambria" w:eastAsia="Times New Roman" w:hAnsi="Cambria"/>
          <w:bCs/>
          <w:sz w:val="20"/>
          <w:szCs w:val="20"/>
          <w:bdr w:val="none" w:sz="0" w:space="0" w:color="auto"/>
        </w:rPr>
        <w:footnoteReference w:id="60"/>
      </w:r>
      <w:r w:rsidR="00A0795A" w:rsidRPr="00676B15">
        <w:rPr>
          <w:rFonts w:ascii="Cambria" w:eastAsia="Times New Roman" w:hAnsi="Cambria"/>
          <w:bCs/>
          <w:sz w:val="20"/>
          <w:szCs w:val="20"/>
          <w:bdr w:val="none" w:sz="0" w:space="0" w:color="auto"/>
        </w:rPr>
        <w:t xml:space="preserve"> </w:t>
      </w:r>
      <w:r w:rsidR="00374F5F" w:rsidRPr="00676B15">
        <w:rPr>
          <w:rFonts w:ascii="Cambria" w:eastAsia="Times New Roman" w:hAnsi="Cambria"/>
          <w:bCs/>
          <w:sz w:val="20"/>
          <w:szCs w:val="20"/>
          <w:bdr w:val="none" w:sz="0" w:space="0" w:color="auto"/>
        </w:rPr>
        <w:t xml:space="preserve"> A Pew study reports that, a</w:t>
      </w:r>
      <w:r w:rsidR="0083228D" w:rsidRPr="00676B15">
        <w:rPr>
          <w:rFonts w:ascii="Cambria" w:eastAsia="Times New Roman" w:hAnsi="Cambria"/>
          <w:bCs/>
          <w:sz w:val="20"/>
          <w:szCs w:val="20"/>
          <w:bdr w:val="none" w:sz="0" w:space="0" w:color="auto"/>
        </w:rPr>
        <w:t>s of 2012, unauthorized immigrants accounted for 3.5% of the U.S. population, 26% of all immigrants, a</w:t>
      </w:r>
      <w:r w:rsidR="006157DF" w:rsidRPr="00676B15">
        <w:rPr>
          <w:rFonts w:ascii="Cambria" w:eastAsia="Times New Roman" w:hAnsi="Cambria"/>
          <w:bCs/>
          <w:sz w:val="20"/>
          <w:szCs w:val="20"/>
          <w:bdr w:val="none" w:sz="0" w:space="0" w:color="auto"/>
        </w:rPr>
        <w:t>nd 5.1% of the U.S. labor force</w:t>
      </w:r>
      <w:r w:rsidR="0083228D" w:rsidRPr="00676B15">
        <w:rPr>
          <w:rFonts w:ascii="Cambria" w:eastAsia="Times New Roman" w:hAnsi="Cambria"/>
          <w:bCs/>
          <w:sz w:val="20"/>
          <w:szCs w:val="20"/>
          <w:bdr w:val="none" w:sz="0" w:space="0" w:color="auto"/>
        </w:rPr>
        <w:t xml:space="preserve"> consisting of 8.1 million who were working or looking for work. </w:t>
      </w:r>
      <w:r w:rsidR="0083228D" w:rsidRPr="00676B15">
        <w:rPr>
          <w:rStyle w:val="FootnoteReference"/>
          <w:rFonts w:ascii="Cambria" w:eastAsia="Times New Roman" w:hAnsi="Cambria"/>
          <w:bCs/>
          <w:sz w:val="20"/>
          <w:szCs w:val="20"/>
          <w:bdr w:val="none" w:sz="0" w:space="0" w:color="auto"/>
        </w:rPr>
        <w:footnoteReference w:id="61"/>
      </w:r>
    </w:p>
    <w:p w14:paraId="431EAFD7" w14:textId="77777777" w:rsidR="00854D68" w:rsidRPr="00676B15" w:rsidRDefault="00854D68" w:rsidP="00854D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0B4C9754" w14:textId="0F148862" w:rsidR="0083228D" w:rsidRPr="00676B15" w:rsidRDefault="00374F5F"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According to this same study, i</w:t>
      </w:r>
      <w:r w:rsidR="000B6BBB" w:rsidRPr="00676B15">
        <w:rPr>
          <w:rFonts w:ascii="Cambria" w:eastAsia="Times New Roman" w:hAnsi="Cambria"/>
          <w:bCs/>
          <w:sz w:val="20"/>
          <w:szCs w:val="20"/>
          <w:bdr w:val="none" w:sz="0" w:space="0" w:color="auto"/>
        </w:rPr>
        <w:t>n terms of the top industries in which unauthorized immigrants work, as of 2012, 62% held service, construction, and production jobs, which is twice the share of U.S. born workers in those same industries.</w:t>
      </w:r>
      <w:r w:rsidR="000B6BBB" w:rsidRPr="00676B15">
        <w:rPr>
          <w:rStyle w:val="FootnoteReference"/>
          <w:rFonts w:ascii="Cambria" w:eastAsia="Times New Roman" w:hAnsi="Cambria"/>
          <w:bCs/>
          <w:sz w:val="20"/>
          <w:szCs w:val="20"/>
          <w:bdr w:val="none" w:sz="0" w:space="0" w:color="auto"/>
        </w:rPr>
        <w:footnoteReference w:id="62"/>
      </w:r>
      <w:r w:rsidR="000B6BBB" w:rsidRPr="00676B15">
        <w:rPr>
          <w:rFonts w:ascii="Cambria" w:eastAsia="Times New Roman" w:hAnsi="Cambria"/>
          <w:bCs/>
          <w:sz w:val="20"/>
          <w:szCs w:val="20"/>
          <w:bdr w:val="none" w:sz="0" w:space="0" w:color="auto"/>
        </w:rPr>
        <w:t xml:space="preserve"> </w:t>
      </w:r>
      <w:r w:rsidR="001A05E8" w:rsidRPr="00676B15">
        <w:rPr>
          <w:rFonts w:ascii="Cambria" w:eastAsia="Times New Roman" w:hAnsi="Cambria"/>
          <w:bCs/>
          <w:sz w:val="20"/>
          <w:szCs w:val="20"/>
          <w:bdr w:val="none" w:sz="0" w:space="0" w:color="auto"/>
        </w:rPr>
        <w:t>To break this figure down, nearly 33% held service jobs as a janitor, child care worker or cook, almost double the share of U.S. born workers</w:t>
      </w:r>
      <w:r w:rsidR="004B0C20" w:rsidRPr="00676B15">
        <w:rPr>
          <w:rFonts w:ascii="Cambria" w:eastAsia="Times New Roman" w:hAnsi="Cambria"/>
          <w:bCs/>
          <w:sz w:val="20"/>
          <w:szCs w:val="20"/>
          <w:bdr w:val="none" w:sz="0" w:space="0" w:color="auto"/>
        </w:rPr>
        <w:t xml:space="preserve"> in those types of occupations</w:t>
      </w:r>
      <w:r w:rsidR="001A05E8" w:rsidRPr="00676B15">
        <w:rPr>
          <w:rFonts w:ascii="Cambria" w:eastAsia="Times New Roman" w:hAnsi="Cambria"/>
          <w:bCs/>
          <w:sz w:val="20"/>
          <w:szCs w:val="20"/>
          <w:bdr w:val="none" w:sz="0" w:space="0" w:color="auto"/>
        </w:rPr>
        <w:t xml:space="preserve"> (17%); 15% held construction or extraction jobs, triple the sh</w:t>
      </w:r>
      <w:r w:rsidR="00860082">
        <w:rPr>
          <w:rFonts w:ascii="Cambria" w:eastAsia="Times New Roman" w:hAnsi="Cambria"/>
          <w:bCs/>
          <w:sz w:val="20"/>
          <w:szCs w:val="20"/>
          <w:bdr w:val="none" w:sz="0" w:space="0" w:color="auto"/>
        </w:rPr>
        <w:t xml:space="preserve">are of U.S. workers (5%); and </w:t>
      </w:r>
      <w:r w:rsidR="00860082" w:rsidRPr="00977694">
        <w:rPr>
          <w:rFonts w:ascii="Cambria" w:eastAsia="Times New Roman" w:hAnsi="Cambria"/>
          <w:bCs/>
          <w:sz w:val="20"/>
          <w:szCs w:val="20"/>
          <w:bdr w:val="none" w:sz="0" w:space="0" w:color="auto"/>
        </w:rPr>
        <w:t>14</w:t>
      </w:r>
      <w:r w:rsidR="001A05E8" w:rsidRPr="00977694">
        <w:rPr>
          <w:rFonts w:ascii="Cambria" w:eastAsia="Times New Roman" w:hAnsi="Cambria"/>
          <w:bCs/>
          <w:sz w:val="20"/>
          <w:szCs w:val="20"/>
          <w:bdr w:val="none" w:sz="0" w:space="0" w:color="auto"/>
        </w:rPr>
        <w:t xml:space="preserve">% were employed in </w:t>
      </w:r>
      <w:r w:rsidR="00860082" w:rsidRPr="00977694">
        <w:rPr>
          <w:rFonts w:ascii="Cambria" w:eastAsia="Times New Roman" w:hAnsi="Cambria"/>
          <w:bCs/>
          <w:sz w:val="20"/>
          <w:szCs w:val="20"/>
          <w:bdr w:val="none" w:sz="0" w:space="0" w:color="auto"/>
        </w:rPr>
        <w:t>production, installation, and repair</w:t>
      </w:r>
      <w:r w:rsidR="004B0C20" w:rsidRPr="00977694">
        <w:rPr>
          <w:rFonts w:ascii="Cambria" w:eastAsia="Times New Roman" w:hAnsi="Cambria"/>
          <w:bCs/>
          <w:sz w:val="20"/>
          <w:szCs w:val="20"/>
          <w:bdr w:val="none" w:sz="0" w:space="0" w:color="auto"/>
        </w:rPr>
        <w:t xml:space="preserve">, </w:t>
      </w:r>
      <w:r w:rsidR="00860082" w:rsidRPr="00977694">
        <w:rPr>
          <w:rFonts w:ascii="Cambria" w:eastAsia="Times New Roman" w:hAnsi="Cambria"/>
          <w:bCs/>
          <w:sz w:val="20"/>
          <w:szCs w:val="20"/>
          <w:bdr w:val="none" w:sz="0" w:space="0" w:color="auto"/>
        </w:rPr>
        <w:t>more than half of</w:t>
      </w:r>
      <w:r w:rsidR="004B0C20" w:rsidRPr="00977694">
        <w:rPr>
          <w:rFonts w:ascii="Cambria" w:eastAsia="Times New Roman" w:hAnsi="Cambria"/>
          <w:bCs/>
          <w:sz w:val="20"/>
          <w:szCs w:val="20"/>
          <w:bdr w:val="none" w:sz="0" w:space="0" w:color="auto"/>
        </w:rPr>
        <w:t xml:space="preserve"> the share of U.S. born workers</w:t>
      </w:r>
      <w:r w:rsidR="001A05E8" w:rsidRPr="00977694">
        <w:rPr>
          <w:rFonts w:ascii="Cambria" w:eastAsia="Times New Roman" w:hAnsi="Cambria"/>
          <w:bCs/>
          <w:sz w:val="20"/>
          <w:szCs w:val="20"/>
          <w:bdr w:val="none" w:sz="0" w:space="0" w:color="auto"/>
        </w:rPr>
        <w:t xml:space="preserve"> </w:t>
      </w:r>
      <w:r w:rsidR="00860082" w:rsidRPr="00977694">
        <w:rPr>
          <w:rFonts w:ascii="Cambria" w:eastAsia="Times New Roman" w:hAnsi="Cambria"/>
          <w:bCs/>
          <w:sz w:val="20"/>
          <w:szCs w:val="20"/>
          <w:bdr w:val="none" w:sz="0" w:space="0" w:color="auto"/>
        </w:rPr>
        <w:t>(9</w:t>
      </w:r>
      <w:r w:rsidR="004B0C20" w:rsidRPr="00977694">
        <w:rPr>
          <w:rFonts w:ascii="Cambria" w:eastAsia="Times New Roman" w:hAnsi="Cambria"/>
          <w:bCs/>
          <w:sz w:val="20"/>
          <w:szCs w:val="20"/>
          <w:bdr w:val="none" w:sz="0" w:space="0" w:color="auto"/>
        </w:rPr>
        <w:t>%).</w:t>
      </w:r>
      <w:r w:rsidR="004B0C20" w:rsidRPr="00977694">
        <w:rPr>
          <w:rStyle w:val="FootnoteReference"/>
          <w:rFonts w:ascii="Cambria" w:eastAsia="Times New Roman" w:hAnsi="Cambria"/>
          <w:bCs/>
          <w:sz w:val="20"/>
          <w:szCs w:val="20"/>
          <w:bdr w:val="none" w:sz="0" w:space="0" w:color="auto"/>
        </w:rPr>
        <w:footnoteReference w:id="63"/>
      </w:r>
      <w:r w:rsidR="004B0C20" w:rsidRPr="00676B15">
        <w:rPr>
          <w:rFonts w:ascii="Cambria" w:eastAsia="Times New Roman" w:hAnsi="Cambria"/>
          <w:bCs/>
          <w:sz w:val="20"/>
          <w:szCs w:val="20"/>
          <w:bdr w:val="none" w:sz="0" w:space="0" w:color="auto"/>
        </w:rPr>
        <w:t xml:space="preserve"> Unauthorized immigrants only constitute 2% of the workers in management, professional, and office support occupations.</w:t>
      </w:r>
      <w:r w:rsidR="004B0C20" w:rsidRPr="00676B15">
        <w:rPr>
          <w:rStyle w:val="FootnoteReference"/>
          <w:rFonts w:ascii="Cambria" w:eastAsia="Times New Roman" w:hAnsi="Cambria"/>
          <w:bCs/>
          <w:sz w:val="20"/>
          <w:szCs w:val="20"/>
          <w:bdr w:val="none" w:sz="0" w:space="0" w:color="auto"/>
        </w:rPr>
        <w:footnoteReference w:id="64"/>
      </w:r>
    </w:p>
    <w:p w14:paraId="14563913" w14:textId="77777777" w:rsidR="00854D68" w:rsidRPr="00676B15" w:rsidRDefault="00854D68" w:rsidP="004B0C2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10C6B482" w14:textId="01DBDFE6" w:rsidR="009A03A0" w:rsidRPr="00676B15" w:rsidRDefault="0070134E" w:rsidP="004B0C2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rPr>
      </w:pPr>
      <w:r w:rsidRPr="00676B15">
        <w:rPr>
          <w:rFonts w:ascii="Cambria" w:eastAsia="Times New Roman" w:hAnsi="Cambria"/>
          <w:bCs/>
          <w:sz w:val="20"/>
          <w:szCs w:val="20"/>
          <w:bdr w:val="none" w:sz="0" w:space="0" w:color="auto"/>
        </w:rPr>
        <w:t>According to the U.S. Bureau of Labor Statistics, there were 4,585 workers who died from work-related injuries in 2013.</w:t>
      </w:r>
      <w:r w:rsidR="0016476F" w:rsidRPr="00676B15">
        <w:rPr>
          <w:rStyle w:val="FootnoteReference"/>
          <w:rFonts w:ascii="Cambria" w:eastAsia="Times New Roman" w:hAnsi="Cambria"/>
          <w:bCs/>
          <w:sz w:val="20"/>
          <w:szCs w:val="20"/>
          <w:bdr w:val="none" w:sz="0" w:space="0" w:color="auto"/>
        </w:rPr>
        <w:footnoteReference w:id="65"/>
      </w:r>
      <w:r w:rsidRPr="00676B15">
        <w:rPr>
          <w:rFonts w:ascii="Cambria" w:eastAsia="Times New Roman" w:hAnsi="Cambria"/>
          <w:bCs/>
          <w:sz w:val="20"/>
          <w:szCs w:val="20"/>
          <w:bdr w:val="none" w:sz="0" w:space="0" w:color="auto"/>
        </w:rPr>
        <w:t xml:space="preserve"> Of those, 879</w:t>
      </w:r>
      <w:r w:rsidR="00137F23" w:rsidRPr="00676B15">
        <w:rPr>
          <w:rFonts w:ascii="Cambria" w:eastAsia="Times New Roman" w:hAnsi="Cambria"/>
          <w:bCs/>
          <w:sz w:val="20"/>
          <w:szCs w:val="20"/>
          <w:bdr w:val="none" w:sz="0" w:space="0" w:color="auto"/>
        </w:rPr>
        <w:t xml:space="preserve"> or 19%</w:t>
      </w:r>
      <w:r w:rsidRPr="00676B15">
        <w:rPr>
          <w:rFonts w:ascii="Cambria" w:eastAsia="Times New Roman" w:hAnsi="Cambria"/>
          <w:bCs/>
          <w:sz w:val="20"/>
          <w:szCs w:val="20"/>
          <w:bdr w:val="none" w:sz="0" w:space="0" w:color="auto"/>
        </w:rPr>
        <w:t xml:space="preserve"> involved foreign-born workers, of whom Mexican workers accounted for 41%</w:t>
      </w:r>
      <w:r w:rsidR="0016476F" w:rsidRPr="00676B15">
        <w:rPr>
          <w:rFonts w:ascii="Cambria" w:eastAsia="Times New Roman" w:hAnsi="Cambria"/>
          <w:bCs/>
          <w:sz w:val="20"/>
          <w:szCs w:val="20"/>
          <w:bdr w:val="none" w:sz="0" w:space="0" w:color="auto"/>
        </w:rPr>
        <w:t xml:space="preserve"> (360 persons)</w:t>
      </w:r>
      <w:r w:rsidRPr="00676B15">
        <w:rPr>
          <w:rFonts w:ascii="Cambria" w:eastAsia="Times New Roman" w:hAnsi="Cambria"/>
          <w:bCs/>
          <w:sz w:val="20"/>
          <w:szCs w:val="20"/>
          <w:bdr w:val="none" w:sz="0" w:space="0" w:color="auto"/>
        </w:rPr>
        <w:t xml:space="preserve"> and Central American workers for 14%</w:t>
      </w:r>
      <w:r w:rsidR="0016476F" w:rsidRPr="00676B15">
        <w:rPr>
          <w:rFonts w:ascii="Cambria" w:eastAsia="Times New Roman" w:hAnsi="Cambria"/>
          <w:bCs/>
          <w:sz w:val="20"/>
          <w:szCs w:val="20"/>
          <w:bdr w:val="none" w:sz="0" w:space="0" w:color="auto"/>
        </w:rPr>
        <w:t xml:space="preserve"> (123 persons), for a joint total of 55% (483) or 10.5% of all work-related fatalities.</w:t>
      </w:r>
      <w:r w:rsidR="003102BE" w:rsidRPr="00676B15">
        <w:rPr>
          <w:rStyle w:val="FootnoteReference"/>
          <w:rFonts w:ascii="Cambria" w:eastAsia="Times New Roman" w:hAnsi="Cambria"/>
          <w:bCs/>
          <w:sz w:val="20"/>
          <w:szCs w:val="20"/>
          <w:bdr w:val="none" w:sz="0" w:space="0" w:color="auto"/>
        </w:rPr>
        <w:footnoteReference w:id="66"/>
      </w:r>
      <w:r w:rsidR="0016476F" w:rsidRPr="00676B15">
        <w:rPr>
          <w:rFonts w:ascii="Cambria" w:eastAsia="Times New Roman" w:hAnsi="Cambria"/>
          <w:bCs/>
          <w:sz w:val="20"/>
          <w:szCs w:val="20"/>
          <w:bdr w:val="none" w:sz="0" w:space="0" w:color="auto"/>
        </w:rPr>
        <w:t xml:space="preserve"> </w:t>
      </w:r>
      <w:r w:rsidR="008B03BF" w:rsidRPr="00676B15">
        <w:rPr>
          <w:rFonts w:ascii="Cambria" w:eastAsia="Times New Roman" w:hAnsi="Cambria"/>
          <w:bCs/>
          <w:sz w:val="20"/>
          <w:szCs w:val="20"/>
          <w:bdr w:val="none" w:sz="0" w:space="0" w:color="auto"/>
        </w:rPr>
        <w:t xml:space="preserve">Further, in 2013, of the non-fatal occupational injuries </w:t>
      </w:r>
      <w:r w:rsidR="00B81F0D" w:rsidRPr="00676B15">
        <w:rPr>
          <w:rFonts w:ascii="Cambria" w:eastAsia="Times New Roman" w:hAnsi="Cambria"/>
          <w:bCs/>
          <w:sz w:val="20"/>
          <w:szCs w:val="20"/>
          <w:bdr w:val="none" w:sz="0" w:space="0" w:color="auto"/>
        </w:rPr>
        <w:t>in private industry recorded by the race</w:t>
      </w:r>
      <w:r w:rsidR="00593340" w:rsidRPr="00676B15">
        <w:rPr>
          <w:rFonts w:ascii="Cambria" w:eastAsia="Times New Roman" w:hAnsi="Cambria"/>
          <w:bCs/>
          <w:sz w:val="20"/>
          <w:szCs w:val="20"/>
          <w:bdr w:val="none" w:sz="0" w:space="0" w:color="auto"/>
        </w:rPr>
        <w:t xml:space="preserve"> or ethnic origin of the worker (immigration situation is not recorded), approximately 21-22% were workers classified as “Hispanic” or “Hispanic and another race.”</w:t>
      </w:r>
      <w:r w:rsidR="00593340" w:rsidRPr="00676B15">
        <w:rPr>
          <w:rStyle w:val="FootnoteReference"/>
          <w:rFonts w:ascii="Cambria" w:eastAsia="Times New Roman" w:hAnsi="Cambria"/>
          <w:bCs/>
          <w:sz w:val="20"/>
          <w:szCs w:val="20"/>
          <w:bdr w:val="none" w:sz="0" w:space="0" w:color="auto"/>
        </w:rPr>
        <w:footnoteReference w:id="67"/>
      </w:r>
      <w:r w:rsidR="00593340" w:rsidRPr="00676B15">
        <w:rPr>
          <w:rFonts w:ascii="Cambria" w:eastAsia="Times New Roman" w:hAnsi="Cambria"/>
          <w:bCs/>
          <w:sz w:val="20"/>
          <w:szCs w:val="20"/>
          <w:bdr w:val="none" w:sz="0" w:space="0" w:color="auto"/>
        </w:rPr>
        <w:t xml:space="preserve"> </w:t>
      </w:r>
    </w:p>
    <w:p w14:paraId="66C4DE5F" w14:textId="77777777" w:rsidR="009A03A0" w:rsidRPr="00676B15" w:rsidRDefault="009A03A0" w:rsidP="009A03A0">
      <w:pPr>
        <w:pStyle w:val="ListParagraph"/>
        <w:rPr>
          <w:rFonts w:eastAsia="Times New Roman"/>
          <w:bCs/>
          <w:sz w:val="20"/>
          <w:szCs w:val="20"/>
          <w:bdr w:val="none" w:sz="0" w:space="0" w:color="auto"/>
        </w:rPr>
      </w:pPr>
    </w:p>
    <w:p w14:paraId="4AD85349" w14:textId="324CB848" w:rsidR="004B0C20" w:rsidRPr="00676B15" w:rsidRDefault="00ED5BC0" w:rsidP="004B0C2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rPr>
      </w:pPr>
      <w:r w:rsidRPr="00676B15">
        <w:rPr>
          <w:rFonts w:ascii="Cambria" w:eastAsia="Times New Roman" w:hAnsi="Cambria"/>
          <w:bCs/>
          <w:sz w:val="20"/>
          <w:szCs w:val="20"/>
          <w:bdr w:val="none" w:sz="0" w:space="0" w:color="auto"/>
        </w:rPr>
        <w:t xml:space="preserve">For its part, OSHA has acknowledged that </w:t>
      </w:r>
      <w:r w:rsidR="00C72F44" w:rsidRPr="00676B15">
        <w:rPr>
          <w:rFonts w:ascii="Cambria" w:eastAsia="Times New Roman" w:hAnsi="Cambria"/>
          <w:bCs/>
          <w:sz w:val="20"/>
          <w:szCs w:val="20"/>
          <w:bdr w:val="none" w:sz="0" w:space="0" w:color="auto"/>
        </w:rPr>
        <w:t xml:space="preserve">immigrant and “hard to reach” workers </w:t>
      </w:r>
      <w:r w:rsidR="003102BE" w:rsidRPr="00676B15">
        <w:rPr>
          <w:rFonts w:ascii="Cambria" w:eastAsia="Times New Roman" w:hAnsi="Cambria"/>
          <w:bCs/>
          <w:sz w:val="20"/>
          <w:szCs w:val="20"/>
          <w:bdr w:val="none" w:sz="0" w:space="0" w:color="auto"/>
        </w:rPr>
        <w:t>are employed</w:t>
      </w:r>
      <w:r w:rsidR="00C72F44" w:rsidRPr="00676B15">
        <w:rPr>
          <w:rFonts w:ascii="Cambria" w:eastAsia="Times New Roman" w:hAnsi="Cambria"/>
          <w:bCs/>
          <w:sz w:val="20"/>
          <w:szCs w:val="20"/>
          <w:bdr w:val="none" w:sz="0" w:space="0" w:color="auto"/>
        </w:rPr>
        <w:t xml:space="preserve"> in some of the most inherently dangerous jobs: in its Fiscal Year 2014-2018 Strategic Plan, it explained, “OSHA has made outreach to Latino and other limited English proficiency workers – a population that typically experiences a higher rate of injuries, illnesses, and fatalities in the workplace</w:t>
      </w:r>
      <w:r w:rsidR="009C571E" w:rsidRPr="00676B15">
        <w:rPr>
          <w:rFonts w:ascii="Cambria" w:eastAsia="Times New Roman" w:hAnsi="Cambria"/>
          <w:bCs/>
          <w:sz w:val="20"/>
          <w:szCs w:val="20"/>
          <w:bdr w:val="none" w:sz="0" w:space="0" w:color="auto"/>
        </w:rPr>
        <w:t xml:space="preserve"> – a priority by working with community- and faith- based groups, employers, unions, consulates, the medical community, health and safety professionals, and government representatives</w:t>
      </w:r>
      <w:r w:rsidR="00C72F44" w:rsidRPr="00676B15">
        <w:rPr>
          <w:rFonts w:ascii="Cambria" w:eastAsia="Times New Roman" w:hAnsi="Cambria"/>
          <w:bCs/>
          <w:sz w:val="20"/>
          <w:szCs w:val="20"/>
          <w:bdr w:val="none" w:sz="0" w:space="0" w:color="auto"/>
        </w:rPr>
        <w:t>.</w:t>
      </w:r>
      <w:r w:rsidR="003102BE" w:rsidRPr="00676B15">
        <w:rPr>
          <w:rFonts w:ascii="Cambria" w:eastAsia="Times New Roman" w:hAnsi="Cambria"/>
          <w:bCs/>
          <w:sz w:val="20"/>
          <w:szCs w:val="20"/>
          <w:bdr w:val="none" w:sz="0" w:space="0" w:color="auto"/>
        </w:rPr>
        <w:t>”</w:t>
      </w:r>
      <w:r w:rsidR="00C72F44" w:rsidRPr="00676B15">
        <w:rPr>
          <w:rStyle w:val="FootnoteReference"/>
          <w:rFonts w:ascii="Cambria" w:eastAsia="Times New Roman" w:hAnsi="Cambria"/>
          <w:bCs/>
          <w:sz w:val="20"/>
          <w:szCs w:val="20"/>
          <w:bdr w:val="none" w:sz="0" w:space="0" w:color="auto"/>
        </w:rPr>
        <w:footnoteReference w:id="68"/>
      </w:r>
    </w:p>
    <w:p w14:paraId="67FFF900" w14:textId="77777777" w:rsidR="00854D68" w:rsidRPr="00676B15" w:rsidRDefault="00854D68" w:rsidP="00854D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62005AE7" w14:textId="0CF52CC2" w:rsidR="00F823EE" w:rsidRPr="00676B15" w:rsidRDefault="00BA0116" w:rsidP="00FB2D1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color w:val="0070C0"/>
          <w:sz w:val="20"/>
          <w:szCs w:val="20"/>
          <w:bdr w:val="none" w:sz="0" w:space="0" w:color="auto"/>
        </w:rPr>
      </w:pPr>
      <w:r w:rsidRPr="00676B15">
        <w:rPr>
          <w:rFonts w:ascii="Cambria" w:eastAsia="Times New Roman" w:hAnsi="Cambria"/>
          <w:bCs/>
          <w:sz w:val="20"/>
          <w:szCs w:val="20"/>
          <w:bdr w:val="none" w:sz="0" w:space="0" w:color="auto"/>
        </w:rPr>
        <w:t xml:space="preserve">Undocumented workers also </w:t>
      </w:r>
      <w:r w:rsidR="00FC587E" w:rsidRPr="00676B15">
        <w:rPr>
          <w:rFonts w:ascii="Cambria" w:eastAsia="Times New Roman" w:hAnsi="Cambria"/>
          <w:bCs/>
          <w:sz w:val="20"/>
          <w:szCs w:val="20"/>
          <w:bdr w:val="none" w:sz="0" w:space="0" w:color="auto"/>
        </w:rPr>
        <w:t>contributed an estimated $11.84 billion in state and local taxes</w:t>
      </w:r>
      <w:r w:rsidR="00C3153C" w:rsidRPr="00676B15">
        <w:rPr>
          <w:rFonts w:ascii="Cambria" w:eastAsia="Times New Roman" w:hAnsi="Cambria"/>
          <w:bCs/>
          <w:sz w:val="20"/>
          <w:szCs w:val="20"/>
          <w:bdr w:val="none" w:sz="0" w:space="0" w:color="auto"/>
        </w:rPr>
        <w:t xml:space="preserve"> in 2012</w:t>
      </w:r>
      <w:r w:rsidR="00FC587E" w:rsidRPr="00676B15">
        <w:rPr>
          <w:rFonts w:ascii="Cambria" w:eastAsia="Times New Roman" w:hAnsi="Cambria"/>
          <w:bCs/>
          <w:sz w:val="20"/>
          <w:szCs w:val="20"/>
          <w:bdr w:val="none" w:sz="0" w:space="0" w:color="auto"/>
        </w:rPr>
        <w:t>.</w:t>
      </w:r>
      <w:r w:rsidR="00FC587E" w:rsidRPr="00676B15">
        <w:rPr>
          <w:rStyle w:val="FootnoteReference"/>
          <w:rFonts w:ascii="Cambria" w:eastAsia="Times New Roman" w:hAnsi="Cambria"/>
          <w:bCs/>
          <w:sz w:val="20"/>
          <w:szCs w:val="20"/>
          <w:bdr w:val="none" w:sz="0" w:space="0" w:color="auto"/>
        </w:rPr>
        <w:footnoteReference w:id="69"/>
      </w:r>
      <w:r w:rsidR="00FC587E" w:rsidRPr="00676B15">
        <w:rPr>
          <w:rFonts w:ascii="Cambria" w:eastAsia="Times New Roman" w:hAnsi="Cambria"/>
          <w:bCs/>
          <w:sz w:val="20"/>
          <w:szCs w:val="20"/>
          <w:bdr w:val="none" w:sz="0" w:space="0" w:color="auto"/>
        </w:rPr>
        <w:t xml:space="preserve"> </w:t>
      </w:r>
      <w:r w:rsidR="005416DF" w:rsidRPr="00676B15">
        <w:rPr>
          <w:rFonts w:ascii="Cambria" w:eastAsia="Times New Roman" w:hAnsi="Cambria"/>
          <w:bCs/>
          <w:sz w:val="20"/>
          <w:szCs w:val="20"/>
          <w:bdr w:val="none" w:sz="0" w:space="0" w:color="auto"/>
        </w:rPr>
        <w:t xml:space="preserve">This includes </w:t>
      </w:r>
      <w:r w:rsidR="00FC587E" w:rsidRPr="00676B15">
        <w:rPr>
          <w:rFonts w:ascii="Cambria" w:eastAsia="Times New Roman" w:hAnsi="Cambria"/>
          <w:bCs/>
          <w:sz w:val="20"/>
          <w:szCs w:val="20"/>
          <w:bdr w:val="none" w:sz="0" w:space="0" w:color="auto"/>
        </w:rPr>
        <w:t xml:space="preserve">sales and excise taxes </w:t>
      </w:r>
      <w:r w:rsidR="001F6032" w:rsidRPr="00676B15">
        <w:rPr>
          <w:rFonts w:ascii="Cambria" w:eastAsia="Times New Roman" w:hAnsi="Cambria"/>
          <w:bCs/>
          <w:sz w:val="20"/>
          <w:szCs w:val="20"/>
          <w:bdr w:val="none" w:sz="0" w:space="0" w:color="auto"/>
        </w:rPr>
        <w:t>from the</w:t>
      </w:r>
      <w:r w:rsidR="00FC587E" w:rsidRPr="00676B15">
        <w:rPr>
          <w:rFonts w:ascii="Cambria" w:eastAsia="Times New Roman" w:hAnsi="Cambria"/>
          <w:bCs/>
          <w:sz w:val="20"/>
          <w:szCs w:val="20"/>
          <w:bdr w:val="none" w:sz="0" w:space="0" w:color="auto"/>
        </w:rPr>
        <w:t xml:space="preserve"> purchase </w:t>
      </w:r>
      <w:r w:rsidR="001F6032" w:rsidRPr="00676B15">
        <w:rPr>
          <w:rFonts w:ascii="Cambria" w:eastAsia="Times New Roman" w:hAnsi="Cambria"/>
          <w:bCs/>
          <w:sz w:val="20"/>
          <w:szCs w:val="20"/>
          <w:bdr w:val="none" w:sz="0" w:space="0" w:color="auto"/>
        </w:rPr>
        <w:t xml:space="preserve">of </w:t>
      </w:r>
      <w:r w:rsidR="00FC587E" w:rsidRPr="00676B15">
        <w:rPr>
          <w:rFonts w:ascii="Cambria" w:eastAsia="Times New Roman" w:hAnsi="Cambria"/>
          <w:bCs/>
          <w:sz w:val="20"/>
          <w:szCs w:val="20"/>
          <w:bdr w:val="none" w:sz="0" w:space="0" w:color="auto"/>
        </w:rPr>
        <w:t>goods</w:t>
      </w:r>
      <w:r w:rsidR="001F6032" w:rsidRPr="00676B15">
        <w:rPr>
          <w:rFonts w:ascii="Cambria" w:eastAsia="Times New Roman" w:hAnsi="Cambria"/>
          <w:bCs/>
          <w:sz w:val="20"/>
          <w:szCs w:val="20"/>
          <w:bdr w:val="none" w:sz="0" w:space="0" w:color="auto"/>
        </w:rPr>
        <w:t>, such as gasoline and clothing,</w:t>
      </w:r>
      <w:r w:rsidR="00FC587E" w:rsidRPr="00676B15">
        <w:rPr>
          <w:rFonts w:ascii="Cambria" w:eastAsia="Times New Roman" w:hAnsi="Cambria"/>
          <w:bCs/>
          <w:sz w:val="20"/>
          <w:szCs w:val="20"/>
          <w:bdr w:val="none" w:sz="0" w:space="0" w:color="auto"/>
        </w:rPr>
        <w:t xml:space="preserve"> and services, </w:t>
      </w:r>
      <w:r w:rsidR="001F6032" w:rsidRPr="00676B15">
        <w:rPr>
          <w:rFonts w:ascii="Cambria" w:eastAsia="Times New Roman" w:hAnsi="Cambria"/>
          <w:bCs/>
          <w:sz w:val="20"/>
          <w:szCs w:val="20"/>
          <w:bdr w:val="none" w:sz="0" w:space="0" w:color="auto"/>
        </w:rPr>
        <w:t>which account</w:t>
      </w:r>
      <w:r w:rsidR="005416DF" w:rsidRPr="00676B15">
        <w:rPr>
          <w:rFonts w:ascii="Cambria" w:eastAsia="Times New Roman" w:hAnsi="Cambria"/>
          <w:bCs/>
          <w:sz w:val="20"/>
          <w:szCs w:val="20"/>
          <w:bdr w:val="none" w:sz="0" w:space="0" w:color="auto"/>
        </w:rPr>
        <w:t xml:space="preserve"> for more than $7 billion</w:t>
      </w:r>
      <w:r w:rsidR="00B43A69" w:rsidRPr="00676B15">
        <w:rPr>
          <w:rFonts w:ascii="Cambria" w:eastAsia="Times New Roman" w:hAnsi="Cambria"/>
          <w:bCs/>
          <w:sz w:val="20"/>
          <w:szCs w:val="20"/>
          <w:bdr w:val="none" w:sz="0" w:space="0" w:color="auto"/>
        </w:rPr>
        <w:t xml:space="preserve"> of the $11.84</w:t>
      </w:r>
      <w:r w:rsidR="001F6032" w:rsidRPr="00676B15">
        <w:rPr>
          <w:rFonts w:ascii="Cambria" w:eastAsia="Times New Roman" w:hAnsi="Cambria"/>
          <w:bCs/>
          <w:sz w:val="20"/>
          <w:szCs w:val="20"/>
          <w:bdr w:val="none" w:sz="0" w:space="0" w:color="auto"/>
        </w:rPr>
        <w:t>.</w:t>
      </w:r>
      <w:r w:rsidR="001F6032" w:rsidRPr="00676B15">
        <w:rPr>
          <w:rStyle w:val="FootnoteReference"/>
          <w:rFonts w:ascii="Cambria" w:eastAsia="Times New Roman" w:hAnsi="Cambria"/>
          <w:bCs/>
          <w:sz w:val="20"/>
          <w:szCs w:val="20"/>
          <w:bdr w:val="none" w:sz="0" w:space="0" w:color="auto"/>
        </w:rPr>
        <w:t xml:space="preserve"> </w:t>
      </w:r>
      <w:r w:rsidR="001F6032" w:rsidRPr="00676B15">
        <w:rPr>
          <w:rStyle w:val="FootnoteReference"/>
          <w:rFonts w:ascii="Cambria" w:eastAsia="Times New Roman" w:hAnsi="Cambria"/>
          <w:bCs/>
          <w:sz w:val="20"/>
          <w:szCs w:val="20"/>
          <w:bdr w:val="none" w:sz="0" w:space="0" w:color="auto"/>
        </w:rPr>
        <w:footnoteReference w:id="70"/>
      </w:r>
      <w:r w:rsidR="001F6032" w:rsidRPr="00676B15">
        <w:rPr>
          <w:rFonts w:ascii="Cambria" w:eastAsia="Times New Roman" w:hAnsi="Cambria"/>
          <w:bCs/>
          <w:sz w:val="20"/>
          <w:szCs w:val="20"/>
          <w:bdr w:val="none" w:sz="0" w:space="0" w:color="auto"/>
        </w:rPr>
        <w:t xml:space="preserve">  Undocumented immigrants also </w:t>
      </w:r>
      <w:r w:rsidR="00FC587E" w:rsidRPr="00676B15">
        <w:rPr>
          <w:rFonts w:ascii="Cambria" w:eastAsia="Times New Roman" w:hAnsi="Cambria"/>
          <w:bCs/>
          <w:sz w:val="20"/>
          <w:szCs w:val="20"/>
          <w:bdr w:val="none" w:sz="0" w:space="0" w:color="auto"/>
        </w:rPr>
        <w:t>pay property taxes, directly as property owners or indirectly as renters</w:t>
      </w:r>
      <w:r w:rsidR="005416DF" w:rsidRPr="00676B15">
        <w:rPr>
          <w:rFonts w:ascii="Cambria" w:eastAsia="Times New Roman" w:hAnsi="Cambria"/>
          <w:bCs/>
          <w:sz w:val="20"/>
          <w:szCs w:val="20"/>
          <w:bdr w:val="none" w:sz="0" w:space="0" w:color="auto"/>
        </w:rPr>
        <w:t>, accounting for approximately $3.6 billion</w:t>
      </w:r>
      <w:r w:rsidR="00137F23" w:rsidRPr="00676B15">
        <w:rPr>
          <w:rFonts w:ascii="Cambria" w:eastAsia="Times New Roman" w:hAnsi="Cambria"/>
          <w:bCs/>
          <w:sz w:val="20"/>
          <w:szCs w:val="20"/>
          <w:bdr w:val="none" w:sz="0" w:space="0" w:color="auto"/>
        </w:rPr>
        <w:t xml:space="preserve"> (of the $11.84)</w:t>
      </w:r>
      <w:r w:rsidR="00FC587E" w:rsidRPr="00676B15">
        <w:rPr>
          <w:rFonts w:ascii="Cambria" w:eastAsia="Times New Roman" w:hAnsi="Cambria"/>
          <w:bCs/>
          <w:sz w:val="20"/>
          <w:szCs w:val="20"/>
          <w:bdr w:val="none" w:sz="0" w:space="0" w:color="auto"/>
        </w:rPr>
        <w:t>.</w:t>
      </w:r>
      <w:r w:rsidR="001F6032" w:rsidRPr="00676B15">
        <w:rPr>
          <w:rStyle w:val="FootnoteReference"/>
          <w:rFonts w:ascii="Cambria" w:eastAsia="Times New Roman" w:hAnsi="Cambria"/>
          <w:bCs/>
          <w:sz w:val="20"/>
          <w:szCs w:val="20"/>
          <w:bdr w:val="none" w:sz="0" w:space="0" w:color="auto"/>
        </w:rPr>
        <w:footnoteReference w:id="71"/>
      </w:r>
      <w:r w:rsidR="001F6032" w:rsidRPr="00676B15">
        <w:rPr>
          <w:rFonts w:ascii="Cambria" w:eastAsia="Times New Roman" w:hAnsi="Cambria"/>
          <w:bCs/>
          <w:sz w:val="20"/>
          <w:szCs w:val="20"/>
          <w:bdr w:val="none" w:sz="0" w:space="0" w:color="auto"/>
        </w:rPr>
        <w:t xml:space="preserve"> </w:t>
      </w:r>
      <w:r w:rsidR="005416DF" w:rsidRPr="00676B15">
        <w:rPr>
          <w:rFonts w:ascii="Cambria" w:eastAsia="Times New Roman" w:hAnsi="Cambria"/>
          <w:bCs/>
          <w:sz w:val="20"/>
          <w:szCs w:val="20"/>
          <w:bdr w:val="none" w:sz="0" w:space="0" w:color="auto"/>
        </w:rPr>
        <w:t xml:space="preserve">Regarding contributions to </w:t>
      </w:r>
      <w:r w:rsidR="00137F23" w:rsidRPr="00676B15">
        <w:rPr>
          <w:rFonts w:ascii="Cambria" w:eastAsia="Times New Roman" w:hAnsi="Cambria"/>
          <w:bCs/>
          <w:sz w:val="20"/>
          <w:szCs w:val="20"/>
          <w:bdr w:val="none" w:sz="0" w:space="0" w:color="auto"/>
        </w:rPr>
        <w:t xml:space="preserve">the </w:t>
      </w:r>
      <w:r w:rsidR="005416DF" w:rsidRPr="00676B15">
        <w:rPr>
          <w:rFonts w:ascii="Cambria" w:eastAsia="Times New Roman" w:hAnsi="Cambria"/>
          <w:bCs/>
          <w:sz w:val="20"/>
          <w:szCs w:val="20"/>
          <w:bdr w:val="none" w:sz="0" w:space="0" w:color="auto"/>
        </w:rPr>
        <w:t>social security</w:t>
      </w:r>
      <w:r w:rsidR="00137F23" w:rsidRPr="00676B15">
        <w:rPr>
          <w:rFonts w:ascii="Cambria" w:eastAsia="Times New Roman" w:hAnsi="Cambria"/>
          <w:bCs/>
          <w:sz w:val="20"/>
          <w:szCs w:val="20"/>
          <w:bdr w:val="none" w:sz="0" w:space="0" w:color="auto"/>
        </w:rPr>
        <w:t xml:space="preserve"> fund</w:t>
      </w:r>
      <w:r w:rsidR="005416DF" w:rsidRPr="00676B15">
        <w:rPr>
          <w:rFonts w:ascii="Cambria" w:eastAsia="Times New Roman" w:hAnsi="Cambria"/>
          <w:bCs/>
          <w:sz w:val="20"/>
          <w:szCs w:val="20"/>
          <w:bdr w:val="none" w:sz="0" w:space="0" w:color="auto"/>
        </w:rPr>
        <w:t>, in 2010 the U.S. Social Security Administration</w:t>
      </w:r>
      <w:r w:rsidR="001703BE" w:rsidRPr="00676B15">
        <w:rPr>
          <w:rFonts w:ascii="Cambria" w:eastAsia="Times New Roman" w:hAnsi="Cambria"/>
          <w:bCs/>
          <w:sz w:val="20"/>
          <w:szCs w:val="20"/>
          <w:bdr w:val="none" w:sz="0" w:space="0" w:color="auto"/>
        </w:rPr>
        <w:t xml:space="preserve"> (SSA)</w:t>
      </w:r>
      <w:r w:rsidR="005416DF" w:rsidRPr="00676B15">
        <w:rPr>
          <w:rFonts w:ascii="Cambria" w:eastAsia="Times New Roman" w:hAnsi="Cambria"/>
          <w:bCs/>
          <w:sz w:val="20"/>
          <w:szCs w:val="20"/>
          <w:bdr w:val="none" w:sz="0" w:space="0" w:color="auto"/>
        </w:rPr>
        <w:t xml:space="preserve"> estimated that the</w:t>
      </w:r>
      <w:r w:rsidR="009C571E" w:rsidRPr="00676B15">
        <w:rPr>
          <w:rFonts w:ascii="Cambria" w:eastAsia="Times New Roman" w:hAnsi="Cambria"/>
          <w:bCs/>
          <w:sz w:val="20"/>
          <w:szCs w:val="20"/>
          <w:bdr w:val="none" w:sz="0" w:space="0" w:color="auto"/>
        </w:rPr>
        <w:t>re was a $12 billion surplus of tax revenue paid into the system, attributable to the</w:t>
      </w:r>
      <w:r w:rsidR="001703BE" w:rsidRPr="00676B15">
        <w:rPr>
          <w:rFonts w:ascii="Cambria" w:eastAsia="Times New Roman" w:hAnsi="Cambria"/>
          <w:bCs/>
          <w:sz w:val="20"/>
          <w:szCs w:val="20"/>
          <w:bdr w:val="none" w:sz="0" w:space="0" w:color="auto"/>
        </w:rPr>
        <w:t xml:space="preserve"> earnings of unauthorized workers.</w:t>
      </w:r>
      <w:r w:rsidR="001703BE" w:rsidRPr="00676B15">
        <w:rPr>
          <w:rStyle w:val="FootnoteReference"/>
          <w:rFonts w:ascii="Cambria" w:eastAsia="Times New Roman" w:hAnsi="Cambria"/>
          <w:bCs/>
          <w:sz w:val="20"/>
          <w:szCs w:val="20"/>
          <w:bdr w:val="none" w:sz="0" w:space="0" w:color="auto"/>
        </w:rPr>
        <w:footnoteReference w:id="72"/>
      </w:r>
      <w:r w:rsidR="001703BE" w:rsidRPr="00676B15">
        <w:rPr>
          <w:rFonts w:ascii="Cambria" w:eastAsia="Times New Roman" w:hAnsi="Cambria"/>
          <w:bCs/>
          <w:sz w:val="20"/>
          <w:szCs w:val="20"/>
          <w:bdr w:val="none" w:sz="0" w:space="0" w:color="auto"/>
        </w:rPr>
        <w:t xml:space="preserve"> </w:t>
      </w:r>
    </w:p>
    <w:p w14:paraId="3E210002" w14:textId="77777777" w:rsidR="001A394A" w:rsidRPr="00676B15" w:rsidRDefault="001A394A" w:rsidP="001A394A">
      <w:pPr>
        <w:pStyle w:val="ListParagraph"/>
        <w:rPr>
          <w:rFonts w:eastAsia="Times New Roman"/>
          <w:bCs/>
          <w:color w:val="0070C0"/>
          <w:sz w:val="20"/>
          <w:szCs w:val="20"/>
          <w:bdr w:val="none" w:sz="0" w:space="0" w:color="auto"/>
        </w:rPr>
      </w:pPr>
    </w:p>
    <w:p w14:paraId="130A1C61" w14:textId="77777777" w:rsidR="001A394A" w:rsidRPr="00676B15" w:rsidRDefault="001A394A" w:rsidP="001A394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color w:val="FF0000"/>
          <w:sz w:val="20"/>
          <w:szCs w:val="20"/>
          <w:bdr w:val="none" w:sz="0" w:space="0" w:color="auto"/>
        </w:rPr>
      </w:pPr>
      <w:r w:rsidRPr="00676B15">
        <w:rPr>
          <w:rFonts w:ascii="Cambria" w:eastAsia="Times New Roman" w:hAnsi="Cambria"/>
          <w:bCs/>
          <w:sz w:val="20"/>
          <w:szCs w:val="20"/>
          <w:bdr w:val="none" w:sz="0" w:space="0" w:color="auto"/>
        </w:rPr>
        <w:t>In the United States, the Commission observes that the Immigration Reform and Control Act of 1986 (IRCA) was enacted to “control and deter illegal immigration to the United States” and explicitly prohibited employers from knowingly hiring undocumented workers. Also, for the first time in U.S. history, IRCA established sanctions for U.S. employers who knowingly hire undocumented workers.</w:t>
      </w:r>
      <w:r w:rsidRPr="00676B15">
        <w:rPr>
          <w:rStyle w:val="FootnoteReference"/>
          <w:rFonts w:ascii="Cambria" w:eastAsia="Times New Roman" w:hAnsi="Cambria"/>
          <w:bCs/>
          <w:sz w:val="20"/>
          <w:szCs w:val="20"/>
          <w:bdr w:val="none" w:sz="0" w:space="0" w:color="auto"/>
        </w:rPr>
        <w:footnoteReference w:id="73"/>
      </w:r>
      <w:r w:rsidRPr="00676B15">
        <w:rPr>
          <w:rFonts w:ascii="Cambria" w:eastAsia="Times New Roman" w:hAnsi="Cambria"/>
          <w:bCs/>
          <w:sz w:val="20"/>
          <w:szCs w:val="20"/>
          <w:bdr w:val="none" w:sz="0" w:space="0" w:color="auto"/>
        </w:rPr>
        <w:t xml:space="preserve"> Under IRCA, employers are required to verify the work authorization of prospective employees. This review process, effective November 6, 1986 and onward, consists of requiring all employers to complete a form (known as the “I-9”) each time they seek to hire a person to perform work in the United States.</w:t>
      </w:r>
      <w:r w:rsidRPr="00676B15">
        <w:rPr>
          <w:rStyle w:val="FootnoteReference"/>
          <w:rFonts w:ascii="Cambria" w:eastAsia="Times New Roman" w:hAnsi="Cambria"/>
          <w:bCs/>
          <w:sz w:val="20"/>
          <w:szCs w:val="20"/>
          <w:bdr w:val="none" w:sz="0" w:space="0" w:color="auto"/>
        </w:rPr>
        <w:footnoteReference w:id="74"/>
      </w:r>
      <w:r w:rsidRPr="00676B15">
        <w:rPr>
          <w:rFonts w:ascii="Cambria" w:eastAsia="Times New Roman" w:hAnsi="Cambria"/>
          <w:bCs/>
          <w:sz w:val="20"/>
          <w:szCs w:val="20"/>
          <w:bdr w:val="none" w:sz="0" w:space="0" w:color="auto"/>
        </w:rPr>
        <w:t xml:space="preserve"> In order to complete the I-9, prospective employees need to provide two forms of identification to the employer. </w:t>
      </w:r>
    </w:p>
    <w:p w14:paraId="05EF6BF1" w14:textId="77777777" w:rsidR="001A394A" w:rsidRPr="00676B15" w:rsidRDefault="001A394A" w:rsidP="001A394A">
      <w:pPr>
        <w:pStyle w:val="ListParagraph"/>
        <w:rPr>
          <w:rFonts w:eastAsia="Times New Roman"/>
          <w:bCs/>
          <w:sz w:val="20"/>
          <w:szCs w:val="20"/>
          <w:bdr w:val="none" w:sz="0" w:space="0" w:color="auto"/>
        </w:rPr>
      </w:pPr>
    </w:p>
    <w:p w14:paraId="78465B14" w14:textId="40960F17" w:rsidR="001A394A" w:rsidRPr="00676B15" w:rsidRDefault="001A394A" w:rsidP="001A394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color w:val="FF0000"/>
          <w:sz w:val="20"/>
          <w:szCs w:val="20"/>
          <w:bdr w:val="none" w:sz="0" w:space="0" w:color="auto"/>
        </w:rPr>
      </w:pPr>
      <w:r w:rsidRPr="00676B15">
        <w:rPr>
          <w:rFonts w:ascii="Cambria" w:eastAsia="Times New Roman" w:hAnsi="Cambria"/>
          <w:bCs/>
          <w:sz w:val="20"/>
          <w:szCs w:val="20"/>
          <w:bdr w:val="none" w:sz="0" w:space="0" w:color="auto"/>
        </w:rPr>
        <w:t>The standard of review that employers must apply when examining documentation presented by a prospective employee is whether the document “reasonably appears on its face to be genuine.”</w:t>
      </w:r>
      <w:r w:rsidRPr="00676B15">
        <w:rPr>
          <w:rStyle w:val="FootnoteReference"/>
          <w:rFonts w:ascii="Cambria" w:eastAsia="Times New Roman" w:hAnsi="Cambria"/>
          <w:bCs/>
          <w:sz w:val="20"/>
          <w:szCs w:val="20"/>
          <w:bdr w:val="none" w:sz="0" w:space="0" w:color="auto"/>
        </w:rPr>
        <w:footnoteReference w:id="75"/>
      </w:r>
      <w:r w:rsidRPr="00676B15">
        <w:rPr>
          <w:rFonts w:ascii="Cambria" w:eastAsia="Times New Roman" w:hAnsi="Cambria"/>
          <w:bCs/>
          <w:sz w:val="20"/>
          <w:szCs w:val="20"/>
          <w:bdr w:val="none" w:sz="0" w:space="0" w:color="auto"/>
        </w:rPr>
        <w:t xml:space="preserve"> As mentioned above, failure to comply with these requirements may lead to fines and other sanctions. It is the State’s responsibility to ensure that employers in all U.S. states comply with the requirements established under IRCA and to sanction those employers who fail to comply. This system was in place at the time of hiring for both Mr. Zumaya and Mr. Lizalde.</w:t>
      </w:r>
    </w:p>
    <w:p w14:paraId="5BD49FA2" w14:textId="77777777" w:rsidR="00B5774C" w:rsidRPr="00676B15" w:rsidRDefault="00B5774C" w:rsidP="00E862CA">
      <w:pPr>
        <w:rPr>
          <w:rFonts w:eastAsia="Times New Roman"/>
          <w:bCs/>
          <w:sz w:val="20"/>
          <w:szCs w:val="20"/>
          <w:bdr w:val="none" w:sz="0" w:space="0" w:color="auto"/>
        </w:rPr>
      </w:pPr>
    </w:p>
    <w:p w14:paraId="06FCE9FD" w14:textId="77777777" w:rsidR="00E862CA" w:rsidRPr="00676B15" w:rsidRDefault="008B5B53" w:rsidP="00B11D29">
      <w:pPr>
        <w:pStyle w:val="Heading1"/>
        <w:ind w:firstLine="720"/>
      </w:pPr>
      <w:bookmarkStart w:id="23" w:name="_Toc466296169"/>
      <w:r w:rsidRPr="00676B15">
        <w:t xml:space="preserve">V. </w:t>
      </w:r>
      <w:r w:rsidRPr="00676B15">
        <w:tab/>
        <w:t>LEGAL ANALYSIS</w:t>
      </w:r>
      <w:bookmarkEnd w:id="23"/>
    </w:p>
    <w:p w14:paraId="2FA9441C" w14:textId="77777777" w:rsidR="00FE03A1" w:rsidRPr="00676B15" w:rsidRDefault="00FE03A1" w:rsidP="00FE03A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0BA6BEAA" w14:textId="4D0F6845" w:rsidR="00FE03A1" w:rsidRPr="00676B15" w:rsidRDefault="00FE03A1" w:rsidP="00FE03A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Theme="majorHAnsi" w:eastAsia="Calibri" w:hAnsiTheme="majorHAnsi"/>
          <w:sz w:val="20"/>
          <w:szCs w:val="22"/>
          <w:bdr w:val="none" w:sz="0" w:space="0" w:color="auto"/>
        </w:rPr>
        <w:t>In addressing the allegations raised by the petitioners in this case, the Inter-American Commission emphasizes that it is necessary to consider the provisions of the American Declaration in t</w:t>
      </w:r>
      <w:r w:rsidR="009C571E" w:rsidRPr="00676B15">
        <w:rPr>
          <w:rFonts w:asciiTheme="majorHAnsi" w:eastAsia="Calibri" w:hAnsiTheme="majorHAnsi"/>
          <w:sz w:val="20"/>
          <w:szCs w:val="22"/>
          <w:bdr w:val="none" w:sz="0" w:space="0" w:color="auto"/>
        </w:rPr>
        <w:t>he broader context of both the i</w:t>
      </w:r>
      <w:r w:rsidRPr="00676B15">
        <w:rPr>
          <w:rFonts w:asciiTheme="majorHAnsi" w:eastAsia="Calibri" w:hAnsiTheme="majorHAnsi"/>
          <w:sz w:val="20"/>
          <w:szCs w:val="22"/>
          <w:bdr w:val="none" w:sz="0" w:space="0" w:color="auto"/>
        </w:rPr>
        <w:t xml:space="preserve">nter–American and international human rights systems.  The Inter-American Commission considers this </w:t>
      </w:r>
      <w:r w:rsidR="009C571E" w:rsidRPr="00676B15">
        <w:rPr>
          <w:rFonts w:asciiTheme="majorHAnsi" w:eastAsia="Calibri" w:hAnsiTheme="majorHAnsi"/>
          <w:sz w:val="20"/>
          <w:szCs w:val="22"/>
          <w:bdr w:val="none" w:sz="0" w:space="0" w:color="auto"/>
        </w:rPr>
        <w:t>necessary</w:t>
      </w:r>
      <w:r w:rsidRPr="00676B15">
        <w:rPr>
          <w:rFonts w:asciiTheme="majorHAnsi" w:eastAsia="Calibri" w:hAnsiTheme="majorHAnsi"/>
          <w:sz w:val="20"/>
          <w:szCs w:val="22"/>
          <w:bdr w:val="none" w:sz="0" w:space="0" w:color="auto"/>
        </w:rPr>
        <w:t xml:space="preserve"> in light of </w:t>
      </w:r>
      <w:r w:rsidRPr="00676B15">
        <w:rPr>
          <w:rFonts w:asciiTheme="majorHAnsi" w:eastAsia="Calibri" w:hAnsiTheme="majorHAnsi"/>
          <w:sz w:val="20"/>
          <w:szCs w:val="20"/>
          <w:bdr w:val="none" w:sz="0" w:space="0" w:color="auto"/>
        </w:rPr>
        <w:t>developments</w:t>
      </w:r>
      <w:r w:rsidRPr="00676B15">
        <w:rPr>
          <w:rFonts w:asciiTheme="majorHAnsi" w:eastAsia="Calibri" w:hAnsiTheme="majorHAnsi"/>
          <w:sz w:val="20"/>
          <w:szCs w:val="22"/>
          <w:bdr w:val="none" w:sz="0" w:space="0" w:color="auto"/>
        </w:rPr>
        <w:t xml:space="preserve"> in the field of international human rights law since the Declaration was adopted and having regard to other relevant rules of international law applicable to </w:t>
      </w:r>
      <w:r w:rsidRPr="00676B15">
        <w:rPr>
          <w:rFonts w:asciiTheme="majorHAnsi" w:eastAsia="Calibri" w:hAnsiTheme="majorHAnsi"/>
          <w:sz w:val="20"/>
          <w:szCs w:val="22"/>
          <w:bdr w:val="none" w:sz="0" w:space="0" w:color="auto"/>
        </w:rPr>
        <w:lastRenderedPageBreak/>
        <w:t>member states against which complaints of violations of the Declaration are properly lodged.</w:t>
      </w:r>
      <w:r w:rsidRPr="00676B15">
        <w:rPr>
          <w:rFonts w:asciiTheme="majorHAnsi" w:eastAsia="Calibri" w:hAnsiTheme="majorHAnsi"/>
          <w:sz w:val="20"/>
          <w:szCs w:val="22"/>
          <w:bdr w:val="none" w:sz="0" w:space="0" w:color="auto"/>
          <w:vertAlign w:val="superscript"/>
        </w:rPr>
        <w:footnoteReference w:id="76"/>
      </w:r>
      <w:r w:rsidRPr="00676B15">
        <w:rPr>
          <w:rFonts w:asciiTheme="majorHAnsi" w:eastAsia="Calibri" w:hAnsiTheme="majorHAnsi"/>
          <w:sz w:val="20"/>
          <w:szCs w:val="22"/>
          <w:bdr w:val="none" w:sz="0" w:space="0" w:color="auto"/>
        </w:rPr>
        <w:t xml:space="preserve"> </w:t>
      </w:r>
      <w:r w:rsidR="009C571E" w:rsidRPr="00676B15">
        <w:rPr>
          <w:rFonts w:asciiTheme="majorHAnsi" w:eastAsia="Calibri" w:hAnsiTheme="majorHAnsi"/>
          <w:sz w:val="20"/>
          <w:szCs w:val="22"/>
          <w:bdr w:val="none" w:sz="0" w:space="0" w:color="auto"/>
        </w:rPr>
        <w:t>In the case of the United States, relevant applicable international instruments include the International Covenant on Civil and Political Rights</w:t>
      </w:r>
      <w:r w:rsidR="00AC1B90" w:rsidRPr="00676B15">
        <w:rPr>
          <w:rFonts w:asciiTheme="majorHAnsi" w:eastAsia="Calibri" w:hAnsiTheme="majorHAnsi"/>
          <w:sz w:val="20"/>
          <w:szCs w:val="22"/>
          <w:bdr w:val="none" w:sz="0" w:space="0" w:color="auto"/>
        </w:rPr>
        <w:t xml:space="preserve"> (ICCPR)</w:t>
      </w:r>
      <w:r w:rsidR="00232C43" w:rsidRPr="00676B15">
        <w:rPr>
          <w:rFonts w:asciiTheme="majorHAnsi" w:eastAsia="Calibri" w:hAnsiTheme="majorHAnsi"/>
          <w:sz w:val="20"/>
          <w:szCs w:val="22"/>
          <w:bdr w:val="none" w:sz="0" w:space="0" w:color="auto"/>
        </w:rPr>
        <w:t xml:space="preserve"> and the Convention on the Elimination of all Forms of Racial Discrimination</w:t>
      </w:r>
      <w:r w:rsidR="001A751B" w:rsidRPr="00676B15">
        <w:rPr>
          <w:rFonts w:asciiTheme="majorHAnsi" w:eastAsia="Calibri" w:hAnsiTheme="majorHAnsi"/>
          <w:sz w:val="20"/>
          <w:szCs w:val="22"/>
          <w:bdr w:val="none" w:sz="0" w:space="0" w:color="auto"/>
        </w:rPr>
        <w:t xml:space="preserve"> (ICEAFRD)</w:t>
      </w:r>
      <w:r w:rsidR="00232C43" w:rsidRPr="00676B15">
        <w:rPr>
          <w:rFonts w:asciiTheme="majorHAnsi" w:eastAsia="Calibri" w:hAnsiTheme="majorHAnsi"/>
          <w:sz w:val="20"/>
          <w:szCs w:val="22"/>
          <w:bdr w:val="none" w:sz="0" w:space="0" w:color="auto"/>
        </w:rPr>
        <w:t>,</w:t>
      </w:r>
      <w:r w:rsidR="009C571E" w:rsidRPr="00676B15">
        <w:rPr>
          <w:rFonts w:asciiTheme="majorHAnsi" w:eastAsia="Calibri" w:hAnsiTheme="majorHAnsi"/>
          <w:sz w:val="20"/>
          <w:szCs w:val="22"/>
          <w:bdr w:val="none" w:sz="0" w:space="0" w:color="auto"/>
        </w:rPr>
        <w:t xml:space="preserve"> to which it is a Party. </w:t>
      </w:r>
      <w:r w:rsidRPr="00676B15">
        <w:rPr>
          <w:rFonts w:asciiTheme="majorHAnsi" w:eastAsia="Calibri" w:hAnsiTheme="majorHAnsi"/>
          <w:sz w:val="20"/>
          <w:szCs w:val="22"/>
          <w:bdr w:val="none" w:sz="0" w:space="0" w:color="auto"/>
        </w:rPr>
        <w:t xml:space="preserve">Pursuant to the principles of treaty interpretation, the Inter-American Court of Human Rights has likewise endorsed an interpretation of international human rights instruments that takes into account developments in the </w:t>
      </w:r>
      <w:r w:rsidRPr="00676B15">
        <w:rPr>
          <w:rFonts w:asciiTheme="majorHAnsi" w:eastAsia="Calibri" w:hAnsiTheme="majorHAnsi"/>
          <w:i/>
          <w:sz w:val="20"/>
          <w:szCs w:val="22"/>
          <w:bdr w:val="none" w:sz="0" w:space="0" w:color="auto"/>
        </w:rPr>
        <w:t xml:space="preserve">corpus juris </w:t>
      </w:r>
      <w:r w:rsidRPr="00676B15">
        <w:rPr>
          <w:rFonts w:asciiTheme="majorHAnsi" w:eastAsia="Calibri" w:hAnsiTheme="majorHAnsi"/>
          <w:sz w:val="20"/>
          <w:szCs w:val="22"/>
          <w:bdr w:val="none" w:sz="0" w:space="0" w:color="auto"/>
        </w:rPr>
        <w:t>of international human rights law over time and in present-day conditions.</w:t>
      </w:r>
    </w:p>
    <w:p w14:paraId="16ED4718" w14:textId="77777777" w:rsidR="00FE03A1" w:rsidRPr="00676B15" w:rsidRDefault="00FE03A1" w:rsidP="00FE03A1">
      <w:pPr>
        <w:pStyle w:val="ListParagraph"/>
        <w:rPr>
          <w:rFonts w:eastAsia="Times New Roman"/>
          <w:bCs/>
          <w:sz w:val="20"/>
          <w:szCs w:val="20"/>
          <w:bdr w:val="none" w:sz="0" w:space="0" w:color="auto"/>
        </w:rPr>
      </w:pPr>
    </w:p>
    <w:p w14:paraId="27CD1433" w14:textId="77777777" w:rsidR="00FE03A1" w:rsidRPr="00676B15" w:rsidRDefault="00FE03A1" w:rsidP="00FE03A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Theme="majorHAnsi" w:eastAsia="Calibri" w:hAnsiTheme="majorHAnsi"/>
          <w:sz w:val="20"/>
          <w:szCs w:val="22"/>
          <w:bdr w:val="none" w:sz="0" w:space="0" w:color="auto"/>
        </w:rPr>
        <w:t>Developments in the corpus of international human rights law relevant to interpreting and applying the American Declaration may in turn be drawn from the provisions of other prevailing international and regional human rights instruments.  In particular, this includes the American Convention on Human Rights, which, in many instances, may be considered to represent an authoritative expression of the fundamental principles set forth in the American Declaration. While the Commission clearly does not apply the American Convention in relation to Member States that have yet to ratify that treaty, its provisions may well be relevant in informing an interpretation of the Declaration.</w:t>
      </w:r>
      <w:r w:rsidRPr="00676B15">
        <w:rPr>
          <w:rFonts w:asciiTheme="majorHAnsi" w:eastAsia="Calibri" w:hAnsiTheme="majorHAnsi"/>
          <w:sz w:val="20"/>
          <w:szCs w:val="22"/>
          <w:bdr w:val="none" w:sz="0" w:space="0" w:color="auto"/>
          <w:vertAlign w:val="superscript"/>
        </w:rPr>
        <w:footnoteReference w:id="77"/>
      </w:r>
      <w:r w:rsidRPr="00676B15">
        <w:rPr>
          <w:rFonts w:asciiTheme="majorHAnsi" w:eastAsia="Calibri" w:hAnsiTheme="majorHAnsi"/>
          <w:sz w:val="20"/>
          <w:szCs w:val="22"/>
          <w:bdr w:val="none" w:sz="0" w:space="0" w:color="auto"/>
        </w:rPr>
        <w:t xml:space="preserve"> </w:t>
      </w:r>
    </w:p>
    <w:p w14:paraId="018CB003" w14:textId="77777777" w:rsidR="00FE03A1" w:rsidRPr="00676B15" w:rsidRDefault="00FE03A1" w:rsidP="00FE03A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0D492182" w14:textId="5B5D89EC" w:rsidR="00FE03A1" w:rsidRPr="00676B15" w:rsidRDefault="00FE03A1" w:rsidP="00FE03A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The petitioners claim that the State has violated the rights of </w:t>
      </w:r>
      <w:r w:rsidR="001C40D1" w:rsidRPr="00676B15">
        <w:rPr>
          <w:rFonts w:ascii="Cambria" w:eastAsia="Times New Roman" w:hAnsi="Cambria"/>
          <w:bCs/>
          <w:sz w:val="20"/>
          <w:szCs w:val="20"/>
          <w:bdr w:val="none" w:sz="0" w:space="0" w:color="auto"/>
        </w:rPr>
        <w:t>Messrs.</w:t>
      </w:r>
      <w:r w:rsidRPr="00676B15">
        <w:rPr>
          <w:rFonts w:ascii="Cambria" w:eastAsia="Times New Roman" w:hAnsi="Cambria"/>
          <w:bCs/>
          <w:sz w:val="20"/>
          <w:szCs w:val="20"/>
          <w:bdr w:val="none" w:sz="0" w:space="0" w:color="auto"/>
        </w:rPr>
        <w:t xml:space="preserve"> Zumaya and Lizalde under various Articles of the American Declaration.  As concluded in the admissibility report in this matter, the IACHR is competent to examine and pronounce upon these allegations against the State of the United States.  The Declaration </w:t>
      </w:r>
      <w:r w:rsidR="00C9403E" w:rsidRPr="00676B15">
        <w:rPr>
          <w:rFonts w:ascii="Cambria" w:eastAsia="Times New Roman" w:hAnsi="Cambria"/>
          <w:bCs/>
          <w:sz w:val="20"/>
          <w:szCs w:val="20"/>
          <w:bdr w:val="none" w:sz="0" w:space="0" w:color="auto"/>
        </w:rPr>
        <w:t>is</w:t>
      </w:r>
      <w:r w:rsidRPr="00676B15">
        <w:rPr>
          <w:rFonts w:ascii="Cambria" w:eastAsia="Times New Roman" w:hAnsi="Cambria"/>
          <w:bCs/>
          <w:sz w:val="20"/>
          <w:szCs w:val="20"/>
          <w:bdr w:val="none" w:sz="0" w:space="0" w:color="auto"/>
        </w:rPr>
        <w:t xml:space="preserve"> a source of legal obligation for application by the Inter-American Commission to the United States </w:t>
      </w:r>
      <w:r w:rsidR="00C9403E" w:rsidRPr="00676B15">
        <w:rPr>
          <w:rFonts w:ascii="Cambria" w:eastAsia="Times New Roman" w:hAnsi="Cambria"/>
          <w:bCs/>
          <w:sz w:val="20"/>
          <w:szCs w:val="20"/>
          <w:bdr w:val="none" w:sz="0" w:space="0" w:color="auto"/>
        </w:rPr>
        <w:t xml:space="preserve">on the basis of its commitment to uphold respect for human rights as provided in the Charter of the Organization of American States (OAS). </w:t>
      </w:r>
      <w:r w:rsidRPr="00676B15">
        <w:rPr>
          <w:rFonts w:ascii="Cambria" w:eastAsia="Times New Roman" w:hAnsi="Cambria"/>
          <w:bCs/>
          <w:sz w:val="20"/>
          <w:szCs w:val="20"/>
          <w:bdr w:val="none" w:sz="0" w:space="0" w:color="auto"/>
        </w:rPr>
        <w:t xml:space="preserve">The United States deposited its instrument of ratification of the OAS Charter on </w:t>
      </w:r>
      <w:r w:rsidR="009B4783" w:rsidRPr="00676B15">
        <w:rPr>
          <w:rFonts w:ascii="Cambria" w:eastAsia="Times New Roman" w:hAnsi="Cambria"/>
          <w:bCs/>
          <w:sz w:val="20"/>
          <w:szCs w:val="20"/>
          <w:bdr w:val="none" w:sz="0" w:space="0" w:color="auto"/>
        </w:rPr>
        <w:t>June 19, 1951</w:t>
      </w:r>
      <w:r w:rsidRPr="00676B15">
        <w:rPr>
          <w:rFonts w:ascii="Cambria" w:eastAsia="Times New Roman" w:hAnsi="Cambria"/>
          <w:bCs/>
          <w:sz w:val="20"/>
          <w:szCs w:val="20"/>
          <w:bdr w:val="none" w:sz="0" w:space="0" w:color="auto"/>
        </w:rPr>
        <w:t xml:space="preserve">.  Article 20 of the Inter-American Commission's Statute, </w:t>
      </w:r>
      <w:r w:rsidR="005E011D" w:rsidRPr="00676B15">
        <w:rPr>
          <w:rFonts w:ascii="Cambria" w:eastAsia="Times New Roman" w:hAnsi="Cambria"/>
          <w:bCs/>
          <w:sz w:val="20"/>
          <w:szCs w:val="20"/>
          <w:bdr w:val="none" w:sz="0" w:space="0" w:color="auto"/>
        </w:rPr>
        <w:t>as well as</w:t>
      </w:r>
      <w:r w:rsidRPr="00676B15">
        <w:rPr>
          <w:rFonts w:ascii="Cambria" w:eastAsia="Times New Roman" w:hAnsi="Cambria"/>
          <w:bCs/>
          <w:sz w:val="20"/>
          <w:szCs w:val="20"/>
          <w:bdr w:val="none" w:sz="0" w:space="0" w:color="auto"/>
        </w:rPr>
        <w:t xml:space="preserve"> the Rules of Procedure of the Inter-American Commission, authorize the </w:t>
      </w:r>
      <w:r w:rsidR="005E011D" w:rsidRPr="00676B15">
        <w:rPr>
          <w:rFonts w:ascii="Cambria" w:eastAsia="Times New Roman" w:hAnsi="Cambria"/>
          <w:bCs/>
          <w:sz w:val="20"/>
          <w:szCs w:val="20"/>
          <w:bdr w:val="none" w:sz="0" w:space="0" w:color="auto"/>
        </w:rPr>
        <w:t>IACHR</w:t>
      </w:r>
      <w:r w:rsidRPr="00676B15">
        <w:rPr>
          <w:rFonts w:ascii="Cambria" w:eastAsia="Times New Roman" w:hAnsi="Cambria"/>
          <w:bCs/>
          <w:sz w:val="20"/>
          <w:szCs w:val="20"/>
          <w:bdr w:val="none" w:sz="0" w:space="0" w:color="auto"/>
        </w:rPr>
        <w:t xml:space="preserve"> to </w:t>
      </w:r>
      <w:r w:rsidR="002839AA" w:rsidRPr="00676B15">
        <w:rPr>
          <w:rFonts w:ascii="Cambria" w:eastAsia="Times New Roman" w:hAnsi="Cambria"/>
          <w:bCs/>
          <w:sz w:val="20"/>
          <w:szCs w:val="20"/>
          <w:bdr w:val="none" w:sz="0" w:space="0" w:color="auto"/>
        </w:rPr>
        <w:t>examine</w:t>
      </w:r>
      <w:r w:rsidRPr="00676B15">
        <w:rPr>
          <w:rFonts w:ascii="Cambria" w:eastAsia="Times New Roman" w:hAnsi="Cambria"/>
          <w:bCs/>
          <w:sz w:val="20"/>
          <w:szCs w:val="20"/>
          <w:bdr w:val="none" w:sz="0" w:space="0" w:color="auto"/>
        </w:rPr>
        <w:t xml:space="preserve"> the alleged violations of the Declaration raised by the petitioners against the State, which relate to acts or omissions that transpired after the State joined the OAS.</w:t>
      </w:r>
    </w:p>
    <w:p w14:paraId="7AFDEE38" w14:textId="77777777" w:rsidR="00D07A23" w:rsidRPr="00676B15" w:rsidRDefault="00D07A23" w:rsidP="00D07A23">
      <w:pPr>
        <w:rPr>
          <w:rFonts w:eastAsia="Times New Roman"/>
          <w:bCs/>
          <w:sz w:val="20"/>
          <w:szCs w:val="20"/>
          <w:bdr w:val="none" w:sz="0" w:space="0" w:color="auto"/>
        </w:rPr>
      </w:pPr>
    </w:p>
    <w:p w14:paraId="7AA8D419" w14:textId="105C07A6" w:rsidR="00D07A23" w:rsidRPr="00676B15" w:rsidRDefault="005D4874" w:rsidP="00B11D29">
      <w:pPr>
        <w:pStyle w:val="Heading2"/>
        <w:numPr>
          <w:ilvl w:val="0"/>
          <w:numId w:val="58"/>
        </w:numPr>
        <w:ind w:left="1530" w:hanging="810"/>
      </w:pPr>
      <w:bookmarkStart w:id="24" w:name="_Toc466296170"/>
      <w:r w:rsidRPr="00676B15">
        <w:t xml:space="preserve">Right to equality before law (Article II </w:t>
      </w:r>
      <w:r w:rsidR="00D07A23" w:rsidRPr="00676B15">
        <w:t>of the American Declaration)</w:t>
      </w:r>
      <w:bookmarkEnd w:id="24"/>
    </w:p>
    <w:p w14:paraId="39DDC9BB" w14:textId="77777777" w:rsidR="00D07A23" w:rsidRPr="00676B15" w:rsidRDefault="00D07A23" w:rsidP="00D07A23">
      <w:pPr>
        <w:rPr>
          <w:rFonts w:eastAsia="Times New Roman"/>
          <w:bCs/>
          <w:sz w:val="20"/>
          <w:szCs w:val="20"/>
          <w:bdr w:val="none" w:sz="0" w:space="0" w:color="auto"/>
        </w:rPr>
      </w:pPr>
    </w:p>
    <w:p w14:paraId="0C90CE26" w14:textId="3C55B6DF" w:rsidR="00144C41" w:rsidRPr="00676B15" w:rsidRDefault="005D4874" w:rsidP="00C15B5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Article II </w:t>
      </w:r>
      <w:r w:rsidR="00144C41" w:rsidRPr="00676B15">
        <w:rPr>
          <w:rFonts w:ascii="Cambria" w:eastAsia="Times New Roman" w:hAnsi="Cambria"/>
          <w:bCs/>
          <w:sz w:val="20"/>
          <w:szCs w:val="20"/>
          <w:bdr w:val="none" w:sz="0" w:space="0" w:color="auto"/>
        </w:rPr>
        <w:t>of the American Declaration provide</w:t>
      </w:r>
      <w:r w:rsidRPr="00676B15">
        <w:rPr>
          <w:rFonts w:ascii="Cambria" w:eastAsia="Times New Roman" w:hAnsi="Cambria"/>
          <w:bCs/>
          <w:sz w:val="20"/>
          <w:szCs w:val="20"/>
          <w:bdr w:val="none" w:sz="0" w:space="0" w:color="auto"/>
        </w:rPr>
        <w:t>s</w:t>
      </w:r>
      <w:r w:rsidR="00144C41" w:rsidRPr="00676B15">
        <w:rPr>
          <w:rFonts w:ascii="Cambria" w:eastAsia="Times New Roman" w:hAnsi="Cambria"/>
          <w:bCs/>
          <w:sz w:val="20"/>
          <w:szCs w:val="20"/>
          <w:bdr w:val="none" w:sz="0" w:space="0" w:color="auto"/>
        </w:rPr>
        <w:t xml:space="preserve"> as follows: </w:t>
      </w:r>
    </w:p>
    <w:p w14:paraId="2A4138A9" w14:textId="77777777" w:rsidR="00144C41" w:rsidRPr="00676B15" w:rsidRDefault="00144C41" w:rsidP="00144C4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23276F5B" w14:textId="77777777" w:rsidR="00D07A23" w:rsidRPr="00676B15" w:rsidRDefault="00960976" w:rsidP="00AD198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Article I</w:t>
      </w:r>
      <w:r w:rsidR="00AD1988" w:rsidRPr="00676B15">
        <w:rPr>
          <w:rFonts w:ascii="Cambria" w:eastAsia="Times New Roman" w:hAnsi="Cambria"/>
          <w:bCs/>
          <w:sz w:val="20"/>
          <w:szCs w:val="20"/>
          <w:bdr w:val="none" w:sz="0" w:space="0" w:color="auto"/>
        </w:rPr>
        <w:t>I. All person</w:t>
      </w:r>
      <w:r w:rsidR="00B7084B" w:rsidRPr="00676B15">
        <w:rPr>
          <w:rFonts w:ascii="Cambria" w:eastAsia="Times New Roman" w:hAnsi="Cambria"/>
          <w:bCs/>
          <w:sz w:val="20"/>
          <w:szCs w:val="20"/>
          <w:bdr w:val="none" w:sz="0" w:space="0" w:color="auto"/>
        </w:rPr>
        <w:t>s are equal before the law and have the rights and duties established in this Declaration, without distinction as to race, sex, langu</w:t>
      </w:r>
      <w:r w:rsidR="00AD1988" w:rsidRPr="00676B15">
        <w:rPr>
          <w:rFonts w:ascii="Cambria" w:eastAsia="Times New Roman" w:hAnsi="Cambria"/>
          <w:bCs/>
          <w:sz w:val="20"/>
          <w:szCs w:val="20"/>
          <w:bdr w:val="none" w:sz="0" w:space="0" w:color="auto"/>
        </w:rPr>
        <w:t>age, creed or any other factor.</w:t>
      </w:r>
    </w:p>
    <w:p w14:paraId="24EE0CDF" w14:textId="77777777" w:rsidR="00144C41" w:rsidRPr="00676B15" w:rsidRDefault="00144C41" w:rsidP="003D4656">
      <w:pPr>
        <w:rPr>
          <w:rFonts w:eastAsia="Times New Roman"/>
          <w:bCs/>
          <w:sz w:val="20"/>
          <w:szCs w:val="20"/>
          <w:bdr w:val="none" w:sz="0" w:space="0" w:color="auto"/>
        </w:rPr>
      </w:pPr>
    </w:p>
    <w:p w14:paraId="77416DEC" w14:textId="632001BF" w:rsidR="00BF6442" w:rsidRPr="00676B15" w:rsidRDefault="005E011D" w:rsidP="00BF644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T</w:t>
      </w:r>
      <w:r w:rsidR="006C385C" w:rsidRPr="00676B15">
        <w:rPr>
          <w:rFonts w:ascii="Cambria" w:eastAsia="Times New Roman" w:hAnsi="Cambria"/>
          <w:bCs/>
          <w:sz w:val="20"/>
          <w:szCs w:val="20"/>
          <w:bdr w:val="none" w:sz="0" w:space="0" w:color="auto"/>
        </w:rPr>
        <w:t>he Commission has repeatedly established that the right to equality and non- discrimination contained in Article II is a fundamental principle of the inter-American human rights</w:t>
      </w:r>
      <w:r w:rsidR="008769E3" w:rsidRPr="00676B15">
        <w:rPr>
          <w:rFonts w:ascii="Cambria" w:eastAsia="Times New Roman" w:hAnsi="Cambria"/>
          <w:bCs/>
          <w:sz w:val="20"/>
          <w:szCs w:val="20"/>
          <w:bdr w:val="none" w:sz="0" w:space="0" w:color="auto"/>
        </w:rPr>
        <w:t xml:space="preserve"> system (“IAHRS”)</w:t>
      </w:r>
      <w:r w:rsidR="006C385C" w:rsidRPr="00676B15">
        <w:rPr>
          <w:rFonts w:ascii="Cambria" w:eastAsia="Times New Roman" w:hAnsi="Cambria"/>
          <w:bCs/>
          <w:sz w:val="20"/>
          <w:szCs w:val="20"/>
          <w:bdr w:val="none" w:sz="0" w:space="0" w:color="auto"/>
        </w:rPr>
        <w:t>.</w:t>
      </w:r>
      <w:r w:rsidR="006C385C" w:rsidRPr="00676B15">
        <w:rPr>
          <w:rFonts w:ascii="Cambria" w:eastAsia="Times New Roman" w:hAnsi="Cambria"/>
          <w:bCs/>
          <w:sz w:val="20"/>
          <w:szCs w:val="20"/>
          <w:bdr w:val="none" w:sz="0" w:space="0" w:color="auto"/>
          <w:vertAlign w:val="superscript"/>
        </w:rPr>
        <w:footnoteReference w:id="78"/>
      </w:r>
      <w:r w:rsidR="006C385C" w:rsidRPr="00676B15">
        <w:rPr>
          <w:rFonts w:ascii="Cambria" w:eastAsia="Times New Roman" w:hAnsi="Cambria"/>
          <w:bCs/>
          <w:sz w:val="20"/>
          <w:szCs w:val="20"/>
          <w:bdr w:val="none" w:sz="0" w:space="0" w:color="auto"/>
          <w:vertAlign w:val="superscript"/>
        </w:rPr>
        <w:t xml:space="preserve"> </w:t>
      </w:r>
      <w:r w:rsidR="006C385C" w:rsidRPr="00676B15">
        <w:rPr>
          <w:rFonts w:ascii="Cambria" w:eastAsia="Times New Roman" w:hAnsi="Cambria"/>
          <w:bCs/>
          <w:sz w:val="20"/>
          <w:szCs w:val="20"/>
          <w:bdr w:val="none" w:sz="0" w:space="0" w:color="auto"/>
        </w:rPr>
        <w:t xml:space="preserve"> The principle of non-discrimination is the backbone of the universal and regional systems for the </w:t>
      </w:r>
      <w:r w:rsidR="006C385C" w:rsidRPr="00676B15">
        <w:rPr>
          <w:rFonts w:ascii="Cambria" w:eastAsia="Times New Roman" w:hAnsi="Cambria"/>
          <w:bCs/>
          <w:sz w:val="20"/>
          <w:szCs w:val="20"/>
          <w:bdr w:val="none" w:sz="0" w:space="0" w:color="auto"/>
        </w:rPr>
        <w:lastRenderedPageBreak/>
        <w:t>protection of human rights.</w:t>
      </w:r>
      <w:r w:rsidR="006C385C" w:rsidRPr="00676B15">
        <w:rPr>
          <w:rFonts w:ascii="Cambria" w:eastAsia="Times New Roman" w:hAnsi="Cambria"/>
          <w:bCs/>
          <w:sz w:val="20"/>
          <w:szCs w:val="20"/>
          <w:bdr w:val="none" w:sz="0" w:space="0" w:color="auto"/>
          <w:vertAlign w:val="superscript"/>
        </w:rPr>
        <w:footnoteReference w:id="79"/>
      </w:r>
      <w:r w:rsidR="006C385C" w:rsidRPr="00676B15">
        <w:rPr>
          <w:rFonts w:ascii="Cambria" w:eastAsia="Times New Roman" w:hAnsi="Cambria"/>
          <w:bCs/>
          <w:sz w:val="20"/>
          <w:szCs w:val="20"/>
          <w:bdr w:val="none" w:sz="0" w:space="0" w:color="auto"/>
        </w:rPr>
        <w:t xml:space="preserve"> As with all fundamental rights and freedoms, the Commission has observed that States are not only obligated to provide </w:t>
      </w:r>
      <w:r w:rsidRPr="00676B15">
        <w:rPr>
          <w:rFonts w:ascii="Cambria" w:eastAsia="Times New Roman" w:hAnsi="Cambria"/>
          <w:bCs/>
          <w:sz w:val="20"/>
          <w:szCs w:val="20"/>
          <w:bdr w:val="none" w:sz="0" w:space="0" w:color="auto"/>
        </w:rPr>
        <w:t>for equal protection of the law</w:t>
      </w:r>
      <w:r w:rsidR="006C385C" w:rsidRPr="00676B15">
        <w:rPr>
          <w:rFonts w:ascii="Cambria" w:eastAsia="Times New Roman" w:hAnsi="Cambria"/>
          <w:bCs/>
          <w:sz w:val="20"/>
          <w:szCs w:val="20"/>
          <w:bdr w:val="none" w:sz="0" w:space="0" w:color="auto"/>
          <w:vertAlign w:val="superscript"/>
          <w:lang w:val="fr-FR"/>
        </w:rPr>
        <w:footnoteReference w:id="80"/>
      </w:r>
      <w:r w:rsidRPr="00676B15">
        <w:rPr>
          <w:rFonts w:ascii="Cambria" w:eastAsia="Times New Roman" w:hAnsi="Cambria"/>
          <w:bCs/>
          <w:sz w:val="20"/>
          <w:szCs w:val="20"/>
          <w:bdr w:val="none" w:sz="0" w:space="0" w:color="auto"/>
        </w:rPr>
        <w:t>, but t</w:t>
      </w:r>
      <w:r w:rsidR="006C385C" w:rsidRPr="00676B15">
        <w:rPr>
          <w:rFonts w:ascii="Cambria" w:eastAsia="Times New Roman" w:hAnsi="Cambria"/>
          <w:bCs/>
          <w:sz w:val="20"/>
          <w:szCs w:val="20"/>
          <w:bdr w:val="none" w:sz="0" w:space="0" w:color="auto"/>
        </w:rPr>
        <w:t>hey must also adopt the legislative, policy</w:t>
      </w:r>
      <w:r w:rsidR="001A751B" w:rsidRPr="00676B15">
        <w:rPr>
          <w:rFonts w:ascii="Cambria" w:eastAsia="Times New Roman" w:hAnsi="Cambria"/>
          <w:bCs/>
          <w:sz w:val="20"/>
          <w:szCs w:val="20"/>
          <w:bdr w:val="none" w:sz="0" w:space="0" w:color="auto"/>
        </w:rPr>
        <w:t>,</w:t>
      </w:r>
      <w:r w:rsidR="006C385C" w:rsidRPr="00676B15">
        <w:rPr>
          <w:rFonts w:ascii="Cambria" w:eastAsia="Times New Roman" w:hAnsi="Cambria"/>
          <w:bCs/>
          <w:sz w:val="20"/>
          <w:szCs w:val="20"/>
          <w:bdr w:val="none" w:sz="0" w:space="0" w:color="auto"/>
        </w:rPr>
        <w:t xml:space="preserve"> and other measures necessary to guarantee the effective enjoyment of the rights protected under Article II of the American Declaration.</w:t>
      </w:r>
      <w:r w:rsidR="006C385C" w:rsidRPr="00676B15">
        <w:rPr>
          <w:rFonts w:ascii="Cambria" w:eastAsia="Times New Roman" w:hAnsi="Cambria"/>
          <w:bCs/>
          <w:sz w:val="20"/>
          <w:szCs w:val="20"/>
          <w:bdr w:val="none" w:sz="0" w:space="0" w:color="auto"/>
          <w:vertAlign w:val="superscript"/>
          <w:lang w:val="fr-FR"/>
        </w:rPr>
        <w:footnoteReference w:id="81"/>
      </w:r>
    </w:p>
    <w:p w14:paraId="0A6A61C9" w14:textId="77777777" w:rsidR="008769E3" w:rsidRPr="00676B15" w:rsidRDefault="008769E3" w:rsidP="008769E3">
      <w:pPr>
        <w:pStyle w:val="ListParagraph"/>
        <w:rPr>
          <w:rFonts w:eastAsia="Times New Roman"/>
          <w:bCs/>
          <w:sz w:val="20"/>
          <w:szCs w:val="20"/>
          <w:bdr w:val="none" w:sz="0" w:space="0" w:color="auto"/>
        </w:rPr>
      </w:pPr>
    </w:p>
    <w:p w14:paraId="2E361232" w14:textId="20C9765F" w:rsidR="00367BAE" w:rsidRPr="00676B15" w:rsidRDefault="008202C3" w:rsidP="00AD198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The notion of equality set forth in the</w:t>
      </w:r>
      <w:r w:rsidR="005E011D" w:rsidRPr="00676B15">
        <w:rPr>
          <w:rFonts w:ascii="Cambria" w:eastAsia="Times New Roman" w:hAnsi="Cambria"/>
          <w:bCs/>
          <w:sz w:val="20"/>
          <w:szCs w:val="20"/>
          <w:bdr w:val="none" w:sz="0" w:space="0" w:color="auto"/>
        </w:rPr>
        <w:t xml:space="preserve"> American</w:t>
      </w:r>
      <w:r w:rsidRPr="00676B15">
        <w:rPr>
          <w:rFonts w:ascii="Cambria" w:eastAsia="Times New Roman" w:hAnsi="Cambria"/>
          <w:bCs/>
          <w:sz w:val="20"/>
          <w:szCs w:val="20"/>
          <w:bdr w:val="none" w:sz="0" w:space="0" w:color="auto"/>
        </w:rPr>
        <w:t xml:space="preserve"> Declaration relates to the application of substantive rights and to the protection to be given to them in the case of acts by the State or others.</w:t>
      </w:r>
      <w:r w:rsidRPr="00676B15">
        <w:rPr>
          <w:rStyle w:val="FootnoteReference"/>
          <w:rFonts w:ascii="Cambria" w:eastAsia="Times New Roman" w:hAnsi="Cambria"/>
          <w:bCs/>
          <w:sz w:val="20"/>
          <w:szCs w:val="20"/>
          <w:bdr w:val="none" w:sz="0" w:space="0" w:color="auto"/>
        </w:rPr>
        <w:footnoteReference w:id="82"/>
      </w:r>
      <w:r w:rsidRPr="00676B15">
        <w:rPr>
          <w:rFonts w:ascii="Cambria" w:eastAsia="Times New Roman" w:hAnsi="Cambria"/>
          <w:bCs/>
          <w:sz w:val="20"/>
          <w:szCs w:val="20"/>
          <w:bdr w:val="none" w:sz="0" w:space="0" w:color="auto"/>
        </w:rPr>
        <w:t xml:space="preserve"> </w:t>
      </w:r>
      <w:r w:rsidR="008769E3" w:rsidRPr="00676B15">
        <w:rPr>
          <w:rFonts w:ascii="Cambria" w:eastAsia="Times New Roman" w:hAnsi="Cambria"/>
          <w:bCs/>
          <w:sz w:val="20"/>
          <w:szCs w:val="20"/>
          <w:bdr w:val="none" w:sz="0" w:space="0" w:color="auto"/>
        </w:rPr>
        <w:t>The Commission has clarified that the right to equality before the law does not</w:t>
      </w:r>
      <w:r w:rsidR="00E779C6" w:rsidRPr="00676B15">
        <w:rPr>
          <w:rFonts w:ascii="Cambria" w:eastAsia="Times New Roman" w:hAnsi="Cambria"/>
          <w:bCs/>
          <w:sz w:val="20"/>
          <w:szCs w:val="20"/>
          <w:bdr w:val="none" w:sz="0" w:space="0" w:color="auto"/>
        </w:rPr>
        <w:t xml:space="preserve"> necessarily</w:t>
      </w:r>
      <w:r w:rsidR="008769E3" w:rsidRPr="00676B15">
        <w:rPr>
          <w:rFonts w:ascii="Cambria" w:eastAsia="Times New Roman" w:hAnsi="Cambria"/>
          <w:bCs/>
          <w:sz w:val="20"/>
          <w:szCs w:val="20"/>
          <w:bdr w:val="none" w:sz="0" w:space="0" w:color="auto"/>
        </w:rPr>
        <w:t xml:space="preserve"> mean that the substantive provisions of the law have to be the same for everyone, but that the application of the law should be equal for all without discrimination.</w:t>
      </w:r>
      <w:r w:rsidR="008769E3" w:rsidRPr="00676B15">
        <w:rPr>
          <w:rFonts w:ascii="Cambria" w:eastAsia="Times New Roman" w:hAnsi="Cambria"/>
          <w:bCs/>
          <w:sz w:val="20"/>
          <w:szCs w:val="20"/>
          <w:bdr w:val="none" w:sz="0" w:space="0" w:color="auto"/>
          <w:vertAlign w:val="superscript"/>
          <w:lang w:val="fr-FR"/>
        </w:rPr>
        <w:footnoteReference w:id="83"/>
      </w:r>
      <w:r w:rsidR="008769E3" w:rsidRPr="00676B15">
        <w:rPr>
          <w:rFonts w:ascii="Cambria" w:eastAsia="Times New Roman" w:hAnsi="Cambria"/>
          <w:bCs/>
          <w:sz w:val="20"/>
          <w:szCs w:val="20"/>
          <w:bdr w:val="none" w:sz="0" w:space="0" w:color="auto"/>
        </w:rPr>
        <w:t xml:space="preserve">  In practice this means that States have the obligation to adopt the measures necessary to recognize and guarantee the effective equality of all persons before the law; to abstain from introducing in their legal framework regulations that are discriminatory towards certain groups either </w:t>
      </w:r>
      <w:r w:rsidR="00E779C6" w:rsidRPr="00676B15">
        <w:rPr>
          <w:rFonts w:ascii="Cambria" w:eastAsia="Times New Roman" w:hAnsi="Cambria"/>
          <w:bCs/>
          <w:sz w:val="20"/>
          <w:szCs w:val="20"/>
          <w:bdr w:val="none" w:sz="0" w:space="0" w:color="auto"/>
        </w:rPr>
        <w:t>on</w:t>
      </w:r>
      <w:r w:rsidR="008769E3" w:rsidRPr="00676B15">
        <w:rPr>
          <w:rFonts w:ascii="Cambria" w:eastAsia="Times New Roman" w:hAnsi="Cambria"/>
          <w:bCs/>
          <w:sz w:val="20"/>
          <w:szCs w:val="20"/>
          <w:bdr w:val="none" w:sz="0" w:space="0" w:color="auto"/>
        </w:rPr>
        <w:t xml:space="preserve"> their face or in practice; and to combat discriminatory practices.</w:t>
      </w:r>
      <w:r w:rsidR="008769E3" w:rsidRPr="00676B15">
        <w:rPr>
          <w:rFonts w:ascii="Cambria" w:eastAsia="Times New Roman" w:hAnsi="Cambria"/>
          <w:bCs/>
          <w:sz w:val="20"/>
          <w:szCs w:val="20"/>
          <w:bdr w:val="none" w:sz="0" w:space="0" w:color="auto"/>
          <w:vertAlign w:val="superscript"/>
          <w:lang w:val="fr-FR"/>
        </w:rPr>
        <w:footnoteReference w:id="84"/>
      </w:r>
      <w:r w:rsidR="008769E3" w:rsidRPr="00676B15">
        <w:rPr>
          <w:rFonts w:ascii="Cambria" w:eastAsia="Times New Roman" w:hAnsi="Cambria"/>
          <w:bCs/>
          <w:sz w:val="20"/>
          <w:szCs w:val="20"/>
          <w:bdr w:val="none" w:sz="0" w:space="0" w:color="auto"/>
        </w:rPr>
        <w:t xml:space="preserve">  </w:t>
      </w:r>
    </w:p>
    <w:p w14:paraId="6B64C827" w14:textId="77777777" w:rsidR="000550C0" w:rsidRPr="00676B15" w:rsidRDefault="000550C0" w:rsidP="000550C0">
      <w:pPr>
        <w:pStyle w:val="ListParagraph"/>
        <w:rPr>
          <w:rFonts w:eastAsia="Times New Roman"/>
          <w:bCs/>
          <w:sz w:val="20"/>
          <w:szCs w:val="20"/>
          <w:bdr w:val="none" w:sz="0" w:space="0" w:color="auto"/>
        </w:rPr>
      </w:pPr>
    </w:p>
    <w:p w14:paraId="145F5EA8" w14:textId="5BCB22A5" w:rsidR="000550C0" w:rsidRPr="00676B15" w:rsidRDefault="000550C0" w:rsidP="00AD198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The Commission has previously recognized that while Article II does not prohibit all distinctions in treatment in the enjoyment of protected rights and freedoms, it does require that any permissible distinctions be based upon objective and reasonable justification, that they further a legitimate objective, “regard being had to the principles which normally prevail in democratic societies, and that the means are reasonable and proportionate to the end sought.”</w:t>
      </w:r>
      <w:r w:rsidRPr="00676B15">
        <w:rPr>
          <w:rStyle w:val="FootnoteReference"/>
          <w:rFonts w:ascii="Cambria" w:eastAsia="Times New Roman" w:hAnsi="Cambria"/>
          <w:bCs/>
          <w:sz w:val="20"/>
          <w:szCs w:val="20"/>
          <w:bdr w:val="none" w:sz="0" w:space="0" w:color="auto"/>
        </w:rPr>
        <w:footnoteReference w:id="85"/>
      </w:r>
      <w:r w:rsidR="005E4066" w:rsidRPr="00676B15">
        <w:rPr>
          <w:rFonts w:ascii="Cambria" w:eastAsia="Times New Roman" w:hAnsi="Cambria"/>
          <w:bCs/>
          <w:sz w:val="20"/>
          <w:szCs w:val="20"/>
          <w:bdr w:val="none" w:sz="0" w:space="0" w:color="auto"/>
        </w:rPr>
        <w:t xml:space="preserve"> Regard should also be given to the fact that</w:t>
      </w:r>
      <w:r w:rsidR="00616FE6" w:rsidRPr="00676B15">
        <w:rPr>
          <w:rFonts w:ascii="Cambria" w:eastAsia="Times New Roman" w:hAnsi="Cambria"/>
          <w:bCs/>
          <w:sz w:val="20"/>
          <w:szCs w:val="20"/>
          <w:bdr w:val="none" w:sz="0" w:space="0" w:color="auto"/>
        </w:rPr>
        <w:t xml:space="preserve"> </w:t>
      </w:r>
      <w:r w:rsidR="005E4066" w:rsidRPr="00676B15">
        <w:rPr>
          <w:rFonts w:ascii="Cambria" w:eastAsia="Times New Roman" w:hAnsi="Cambria"/>
          <w:bCs/>
          <w:sz w:val="20"/>
          <w:szCs w:val="20"/>
          <w:bdr w:val="none" w:sz="0" w:space="0" w:color="auto"/>
        </w:rPr>
        <w:t>“[O]ne of the American Declaration’s objectives . . . was to assure in principle ‘the equal protection of the law to nationals and aliens alike in respect to the rights set forth.’”</w:t>
      </w:r>
      <w:r w:rsidR="005E4066" w:rsidRPr="00676B15">
        <w:rPr>
          <w:rFonts w:ascii="Cambria" w:eastAsia="Times New Roman" w:hAnsi="Cambria"/>
          <w:bCs/>
          <w:sz w:val="20"/>
          <w:szCs w:val="20"/>
          <w:bdr w:val="none" w:sz="0" w:space="0" w:color="auto"/>
          <w:vertAlign w:val="superscript"/>
        </w:rPr>
        <w:footnoteReference w:id="86"/>
      </w:r>
      <w:r w:rsidR="005E4066" w:rsidRPr="00676B15">
        <w:rPr>
          <w:rFonts w:ascii="Cambria" w:eastAsia="Times New Roman" w:hAnsi="Cambria"/>
          <w:bCs/>
          <w:sz w:val="20"/>
          <w:szCs w:val="20"/>
          <w:bdr w:val="none" w:sz="0" w:space="0" w:color="auto"/>
        </w:rPr>
        <w:t xml:space="preserve"> In this regard, the Commission takes note of similar conclusions reached by UN treaty bodies, which have interpreted the prohibition of discrimination to include non-nationals, regardless of their legal status and authorization to work</w:t>
      </w:r>
      <w:r w:rsidR="005E4066" w:rsidRPr="00676B15">
        <w:rPr>
          <w:rFonts w:asciiTheme="majorHAnsi" w:eastAsia="Calibri" w:hAnsiTheme="majorHAnsi"/>
          <w:sz w:val="20"/>
          <w:szCs w:val="22"/>
          <w:bdr w:val="none" w:sz="0" w:space="0" w:color="auto"/>
        </w:rPr>
        <w:t>.</w:t>
      </w:r>
      <w:r w:rsidR="005E4066" w:rsidRPr="00676B15">
        <w:rPr>
          <w:rStyle w:val="FootnoteReference"/>
          <w:rFonts w:asciiTheme="majorHAnsi" w:eastAsia="Calibri" w:hAnsiTheme="majorHAnsi"/>
          <w:sz w:val="20"/>
          <w:szCs w:val="22"/>
          <w:bdr w:val="none" w:sz="0" w:space="0" w:color="auto"/>
        </w:rPr>
        <w:footnoteReference w:id="87"/>
      </w:r>
    </w:p>
    <w:p w14:paraId="35002625" w14:textId="77777777" w:rsidR="00BF6442" w:rsidRPr="00676B15" w:rsidRDefault="00BF6442" w:rsidP="00BF6442">
      <w:pPr>
        <w:pStyle w:val="ListParagraph"/>
        <w:rPr>
          <w:rFonts w:eastAsia="Times New Roman"/>
          <w:bCs/>
          <w:sz w:val="20"/>
          <w:szCs w:val="20"/>
          <w:bdr w:val="none" w:sz="0" w:space="0" w:color="auto"/>
        </w:rPr>
      </w:pPr>
    </w:p>
    <w:p w14:paraId="7E5599F4" w14:textId="4C21AD25" w:rsidR="00BF6442" w:rsidRPr="00676B15" w:rsidRDefault="00D54544" w:rsidP="00AD198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The Commission also takes into account evolving standards in the area of discrimination, and considers that what has been</w:t>
      </w:r>
      <w:r w:rsidR="00AC1B90" w:rsidRPr="00676B15">
        <w:rPr>
          <w:rFonts w:ascii="Cambria" w:eastAsia="Times New Roman" w:hAnsi="Cambria"/>
          <w:bCs/>
          <w:sz w:val="20"/>
          <w:szCs w:val="20"/>
          <w:bdr w:val="none" w:sz="0" w:space="0" w:color="auto"/>
        </w:rPr>
        <w:t xml:space="preserve"> expressed by the Human Rights Committee under the ICCPR is equally applicable in the inter-American system:</w:t>
      </w:r>
    </w:p>
    <w:p w14:paraId="42FC3092" w14:textId="77777777" w:rsidR="00AC1B90" w:rsidRPr="00676B15" w:rsidRDefault="00AC1B90" w:rsidP="00AC1B90">
      <w:pPr>
        <w:pStyle w:val="ListParagraph"/>
        <w:rPr>
          <w:rFonts w:eastAsia="Times New Roman"/>
          <w:bCs/>
          <w:sz w:val="20"/>
          <w:szCs w:val="20"/>
          <w:bdr w:val="none" w:sz="0" w:space="0" w:color="auto"/>
        </w:rPr>
      </w:pPr>
    </w:p>
    <w:p w14:paraId="4AC6EA92" w14:textId="5A47FD7B" w:rsidR="00AC1B90" w:rsidRPr="00676B15" w:rsidRDefault="00AC1B90" w:rsidP="00AC1B9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The Committee believes that the term “discrimination” as used in the Covenant should be understood to imply any distinction, exclusion, restriction, or preference which is based on </w:t>
      </w:r>
      <w:r w:rsidRPr="00676B15">
        <w:rPr>
          <w:rFonts w:ascii="Cambria" w:eastAsia="Times New Roman" w:hAnsi="Cambria"/>
          <w:bCs/>
          <w:sz w:val="20"/>
          <w:szCs w:val="20"/>
          <w:bdr w:val="none" w:sz="0" w:space="0" w:color="auto"/>
        </w:rPr>
        <w:lastRenderedPageBreak/>
        <w:t>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Pr="00676B15">
        <w:rPr>
          <w:rStyle w:val="FootnoteReference"/>
          <w:rFonts w:ascii="Cambria" w:eastAsia="Times New Roman" w:hAnsi="Cambria"/>
          <w:bCs/>
          <w:sz w:val="20"/>
          <w:szCs w:val="20"/>
          <w:bdr w:val="none" w:sz="0" w:space="0" w:color="auto"/>
        </w:rPr>
        <w:footnoteReference w:id="88"/>
      </w:r>
      <w:r w:rsidRPr="00676B15">
        <w:rPr>
          <w:rFonts w:ascii="Cambria" w:eastAsia="Times New Roman" w:hAnsi="Cambria"/>
          <w:bCs/>
          <w:sz w:val="20"/>
          <w:szCs w:val="20"/>
          <w:bdr w:val="none" w:sz="0" w:space="0" w:color="auto"/>
        </w:rPr>
        <w:t xml:space="preserve"> </w:t>
      </w:r>
    </w:p>
    <w:p w14:paraId="3CC3641A" w14:textId="77777777" w:rsidR="00C45FA4" w:rsidRPr="00676B15" w:rsidRDefault="00C45FA4" w:rsidP="005E011D">
      <w:pPr>
        <w:rPr>
          <w:rFonts w:eastAsia="Times New Roman"/>
          <w:bCs/>
          <w:sz w:val="20"/>
          <w:szCs w:val="20"/>
          <w:bdr w:val="none" w:sz="0" w:space="0" w:color="auto"/>
        </w:rPr>
      </w:pPr>
    </w:p>
    <w:p w14:paraId="60B52AE2" w14:textId="553249A2" w:rsidR="00DB25A4" w:rsidRPr="00676B15" w:rsidRDefault="00E46799" w:rsidP="00511E7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color w:val="FF0000"/>
          <w:sz w:val="20"/>
          <w:szCs w:val="20"/>
          <w:bdr w:val="none" w:sz="0" w:space="0" w:color="auto"/>
        </w:rPr>
      </w:pPr>
      <w:r w:rsidRPr="00676B15">
        <w:rPr>
          <w:rFonts w:ascii="Cambria" w:eastAsia="Times New Roman" w:hAnsi="Cambria"/>
          <w:bCs/>
          <w:sz w:val="20"/>
          <w:szCs w:val="20"/>
          <w:bdr w:val="none" w:sz="0" w:space="0" w:color="auto"/>
        </w:rPr>
        <w:t>Regarding employment of undocumented workers, the Commission deems it pertinent to state at the outset that neither the State nor individuals in a State are obligated to offer employment to undocumented workers. In other words, the State and individuals, such as employers, can abstain from establishing an employment relationship with migrants in an irregular situation</w:t>
      </w:r>
      <w:r w:rsidR="00712C4A" w:rsidRPr="00676B15">
        <w:rPr>
          <w:rStyle w:val="FootnoteReference"/>
          <w:rFonts w:ascii="Cambria" w:eastAsia="Times New Roman" w:hAnsi="Cambria"/>
          <w:bCs/>
          <w:sz w:val="20"/>
          <w:szCs w:val="20"/>
          <w:bdr w:val="none" w:sz="0" w:space="0" w:color="auto"/>
        </w:rPr>
        <w:footnoteReference w:id="89"/>
      </w:r>
      <w:r w:rsidRPr="00676B15">
        <w:rPr>
          <w:rFonts w:ascii="Cambria" w:eastAsia="Times New Roman" w:hAnsi="Cambria"/>
          <w:bCs/>
          <w:sz w:val="20"/>
          <w:szCs w:val="20"/>
          <w:bdr w:val="none" w:sz="0" w:space="0" w:color="auto"/>
        </w:rPr>
        <w:t xml:space="preserve">. However, </w:t>
      </w:r>
      <w:r w:rsidR="003767FD" w:rsidRPr="00676B15">
        <w:rPr>
          <w:rFonts w:ascii="Cambria" w:eastAsia="Times New Roman" w:hAnsi="Cambria"/>
          <w:bCs/>
          <w:sz w:val="20"/>
          <w:szCs w:val="20"/>
          <w:bdr w:val="none" w:sz="0" w:space="0" w:color="auto"/>
        </w:rPr>
        <w:t>upon</w:t>
      </w:r>
      <w:r w:rsidRPr="00676B15">
        <w:rPr>
          <w:rFonts w:ascii="Cambria" w:eastAsia="Times New Roman" w:hAnsi="Cambria"/>
          <w:bCs/>
          <w:sz w:val="20"/>
          <w:szCs w:val="20"/>
          <w:bdr w:val="none" w:sz="0" w:space="0" w:color="auto"/>
        </w:rPr>
        <w:t xml:space="preserve"> assuming an employment relationship, </w:t>
      </w:r>
      <w:r w:rsidR="00B545DB" w:rsidRPr="00676B15">
        <w:rPr>
          <w:rFonts w:ascii="Cambria" w:eastAsia="Times New Roman" w:hAnsi="Cambria"/>
          <w:bCs/>
          <w:sz w:val="20"/>
          <w:szCs w:val="20"/>
          <w:bdr w:val="none" w:sz="0" w:space="0" w:color="auto"/>
        </w:rPr>
        <w:t>the Commission</w:t>
      </w:r>
      <w:r w:rsidR="005E0D6E" w:rsidRPr="00676B15">
        <w:rPr>
          <w:rFonts w:ascii="Cambria" w:eastAsia="Times New Roman" w:hAnsi="Cambria"/>
          <w:bCs/>
          <w:sz w:val="20"/>
          <w:szCs w:val="20"/>
          <w:bdr w:val="none" w:sz="0" w:space="0" w:color="auto"/>
        </w:rPr>
        <w:t xml:space="preserve"> considers that the protections accorded by law to workers, with the range of rights and obligations covered, must apply to all workers without discrimination, including on the basis of documented or undocumented status</w:t>
      </w:r>
      <w:r w:rsidR="003767FD" w:rsidRPr="00676B15">
        <w:rPr>
          <w:rFonts w:ascii="Cambria" w:eastAsia="Times New Roman" w:hAnsi="Cambria"/>
          <w:bCs/>
          <w:sz w:val="20"/>
          <w:szCs w:val="20"/>
          <w:bdr w:val="none" w:sz="0" w:space="0" w:color="auto"/>
        </w:rPr>
        <w:t>.</w:t>
      </w:r>
      <w:r w:rsidR="003767FD" w:rsidRPr="00676B15">
        <w:rPr>
          <w:rStyle w:val="FootnoteReference"/>
          <w:rFonts w:ascii="Cambria" w:eastAsia="Times New Roman" w:hAnsi="Cambria"/>
          <w:bCs/>
          <w:sz w:val="20"/>
          <w:szCs w:val="20"/>
          <w:bdr w:val="none" w:sz="0" w:space="0" w:color="auto"/>
        </w:rPr>
        <w:footnoteReference w:id="90"/>
      </w:r>
      <w:r w:rsidR="003767FD" w:rsidRPr="00676B15">
        <w:rPr>
          <w:rFonts w:ascii="Cambria" w:eastAsia="Times New Roman" w:hAnsi="Cambria"/>
          <w:bCs/>
          <w:sz w:val="20"/>
          <w:szCs w:val="20"/>
          <w:bdr w:val="none" w:sz="0" w:space="0" w:color="auto"/>
        </w:rPr>
        <w:t xml:space="preserve"> </w:t>
      </w:r>
    </w:p>
    <w:p w14:paraId="688C690F" w14:textId="77777777" w:rsidR="00DB25A4" w:rsidRPr="00676B15" w:rsidRDefault="00DB25A4" w:rsidP="00DB25A4">
      <w:pPr>
        <w:rPr>
          <w:rFonts w:eastAsia="Times New Roman"/>
          <w:bCs/>
          <w:sz w:val="20"/>
          <w:szCs w:val="20"/>
          <w:bdr w:val="none" w:sz="0" w:space="0" w:color="auto"/>
        </w:rPr>
      </w:pPr>
    </w:p>
    <w:p w14:paraId="5DEFDEB1" w14:textId="5D631A65" w:rsidR="001A751B" w:rsidRPr="00676B15" w:rsidRDefault="004E4EE5" w:rsidP="00616FE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color w:val="FF0000"/>
          <w:sz w:val="20"/>
          <w:szCs w:val="20"/>
          <w:bdr w:val="none" w:sz="0" w:space="0" w:color="auto"/>
        </w:rPr>
      </w:pPr>
      <w:r w:rsidRPr="00676B15">
        <w:rPr>
          <w:rFonts w:ascii="Cambria" w:eastAsia="Times New Roman" w:hAnsi="Cambria"/>
          <w:bCs/>
          <w:sz w:val="20"/>
          <w:szCs w:val="20"/>
          <w:bdr w:val="none" w:sz="0" w:space="0" w:color="auto"/>
        </w:rPr>
        <w:t>In the present cas</w:t>
      </w:r>
      <w:r w:rsidR="009F50D3" w:rsidRPr="00676B15">
        <w:rPr>
          <w:rFonts w:ascii="Cambria" w:eastAsia="Times New Roman" w:hAnsi="Cambria"/>
          <w:bCs/>
          <w:sz w:val="20"/>
          <w:szCs w:val="20"/>
          <w:bdr w:val="none" w:sz="0" w:space="0" w:color="auto"/>
        </w:rPr>
        <w:t>e, the Commission finds that</w:t>
      </w:r>
      <w:r w:rsidR="00A028EA" w:rsidRPr="00676B15">
        <w:rPr>
          <w:rFonts w:ascii="Cambria" w:eastAsia="Times New Roman" w:hAnsi="Cambria"/>
          <w:bCs/>
          <w:sz w:val="20"/>
          <w:szCs w:val="20"/>
          <w:bdr w:val="none" w:sz="0" w:space="0" w:color="auto"/>
        </w:rPr>
        <w:t xml:space="preserve"> Mr. Zumaya and Mr. Lizalde, who assumed an employment relationship and were later injured on the job,</w:t>
      </w:r>
      <w:r w:rsidR="009F50D3" w:rsidRPr="00676B15">
        <w:rPr>
          <w:rFonts w:ascii="Cambria" w:eastAsia="Times New Roman" w:hAnsi="Cambria"/>
          <w:bCs/>
          <w:sz w:val="20"/>
          <w:szCs w:val="20"/>
          <w:bdr w:val="none" w:sz="0" w:space="0" w:color="auto"/>
        </w:rPr>
        <w:t xml:space="preserve"> </w:t>
      </w:r>
      <w:r w:rsidR="00A028EA" w:rsidRPr="00676B15">
        <w:rPr>
          <w:rFonts w:ascii="Cambria" w:eastAsia="Times New Roman" w:hAnsi="Cambria"/>
          <w:bCs/>
          <w:sz w:val="20"/>
          <w:szCs w:val="20"/>
          <w:bdr w:val="none" w:sz="0" w:space="0" w:color="auto"/>
        </w:rPr>
        <w:t xml:space="preserve">experienced treatment different than that given to documented workers when they sought to obtain workers’ compensation for their injuries and to access justice. </w:t>
      </w:r>
      <w:r w:rsidR="009F50D3" w:rsidRPr="00676B15">
        <w:rPr>
          <w:rFonts w:ascii="Cambria" w:eastAsia="Times New Roman" w:hAnsi="Cambria"/>
          <w:bCs/>
          <w:sz w:val="20"/>
          <w:szCs w:val="20"/>
          <w:bdr w:val="none" w:sz="0" w:space="0" w:color="auto"/>
        </w:rPr>
        <w:t xml:space="preserve"> </w:t>
      </w:r>
    </w:p>
    <w:p w14:paraId="4CA7500F" w14:textId="77777777" w:rsidR="001A751B" w:rsidRPr="00676B15" w:rsidRDefault="001A751B" w:rsidP="001A751B">
      <w:pPr>
        <w:pStyle w:val="ListParagraph"/>
        <w:rPr>
          <w:rFonts w:eastAsia="Times New Roman"/>
          <w:bCs/>
          <w:sz w:val="20"/>
          <w:szCs w:val="20"/>
          <w:bdr w:val="none" w:sz="0" w:space="0" w:color="auto"/>
        </w:rPr>
      </w:pPr>
    </w:p>
    <w:p w14:paraId="28C7393D" w14:textId="26383762" w:rsidR="00616FE6" w:rsidRPr="00676B15" w:rsidRDefault="002E639A" w:rsidP="00616FE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color w:val="FF0000"/>
          <w:sz w:val="20"/>
          <w:szCs w:val="20"/>
          <w:bdr w:val="none" w:sz="0" w:space="0" w:color="auto"/>
        </w:rPr>
      </w:pPr>
      <w:r w:rsidRPr="00676B15">
        <w:rPr>
          <w:rFonts w:ascii="Cambria" w:eastAsia="Times New Roman" w:hAnsi="Cambria"/>
          <w:bCs/>
          <w:sz w:val="20"/>
          <w:szCs w:val="20"/>
          <w:bdr w:val="none" w:sz="0" w:space="0" w:color="auto"/>
        </w:rPr>
        <w:t xml:space="preserve">This difference in treatment is not </w:t>
      </w:r>
      <w:r w:rsidR="0079433D" w:rsidRPr="00676B15">
        <w:rPr>
          <w:rFonts w:ascii="Cambria" w:eastAsia="Times New Roman" w:hAnsi="Cambria"/>
          <w:bCs/>
          <w:sz w:val="20"/>
          <w:szCs w:val="20"/>
          <w:bdr w:val="none" w:sz="0" w:space="0" w:color="auto"/>
        </w:rPr>
        <w:t xml:space="preserve">attributable to </w:t>
      </w:r>
      <w:r w:rsidRPr="00676B15">
        <w:rPr>
          <w:rFonts w:ascii="Cambria" w:eastAsia="Times New Roman" w:hAnsi="Cambria"/>
          <w:bCs/>
          <w:sz w:val="20"/>
          <w:szCs w:val="20"/>
          <w:bdr w:val="none" w:sz="0" w:space="0" w:color="auto"/>
        </w:rPr>
        <w:t xml:space="preserve">a facial distinction </w:t>
      </w:r>
      <w:r w:rsidR="0079433D" w:rsidRPr="00676B15">
        <w:rPr>
          <w:rFonts w:ascii="Cambria" w:eastAsia="Times New Roman" w:hAnsi="Cambria"/>
          <w:bCs/>
          <w:sz w:val="20"/>
          <w:szCs w:val="20"/>
          <w:bdr w:val="none" w:sz="0" w:space="0" w:color="auto"/>
        </w:rPr>
        <w:t xml:space="preserve">in the laws </w:t>
      </w:r>
      <w:r w:rsidR="0068676F" w:rsidRPr="00676B15">
        <w:rPr>
          <w:rFonts w:ascii="Cambria" w:eastAsia="Times New Roman" w:hAnsi="Cambria"/>
          <w:bCs/>
          <w:sz w:val="20"/>
          <w:szCs w:val="20"/>
          <w:bdr w:val="none" w:sz="0" w:space="0" w:color="auto"/>
        </w:rPr>
        <w:t xml:space="preserve">but rather to </w:t>
      </w:r>
      <w:r w:rsidRPr="00676B15">
        <w:rPr>
          <w:rFonts w:ascii="Cambria" w:eastAsia="Times New Roman" w:hAnsi="Cambria"/>
          <w:bCs/>
          <w:sz w:val="20"/>
          <w:szCs w:val="20"/>
          <w:bdr w:val="none" w:sz="0" w:space="0" w:color="auto"/>
        </w:rPr>
        <w:t xml:space="preserve">a “distinction, exclusion, or preference” </w:t>
      </w:r>
      <w:r w:rsidR="0079433D" w:rsidRPr="00676B15">
        <w:rPr>
          <w:rFonts w:ascii="Cambria" w:eastAsia="Times New Roman" w:hAnsi="Cambria"/>
          <w:bCs/>
          <w:sz w:val="20"/>
          <w:szCs w:val="20"/>
          <w:bdr w:val="none" w:sz="0" w:space="0" w:color="auto"/>
        </w:rPr>
        <w:t xml:space="preserve">in their implementation, which has </w:t>
      </w:r>
      <w:r w:rsidRPr="00676B15">
        <w:rPr>
          <w:rFonts w:ascii="Cambria" w:eastAsia="Times New Roman" w:hAnsi="Cambria"/>
          <w:bCs/>
          <w:sz w:val="20"/>
          <w:szCs w:val="20"/>
          <w:bdr w:val="none" w:sz="0" w:space="0" w:color="auto"/>
        </w:rPr>
        <w:t xml:space="preserve">the practical effect of impairing the rights of undocumented workers. </w:t>
      </w:r>
      <w:r w:rsidR="001A751B" w:rsidRPr="00676B15">
        <w:rPr>
          <w:rFonts w:ascii="Cambria" w:eastAsia="Times New Roman" w:hAnsi="Cambria"/>
          <w:bCs/>
          <w:sz w:val="20"/>
          <w:szCs w:val="20"/>
          <w:bdr w:val="none" w:sz="0" w:space="0" w:color="auto"/>
        </w:rPr>
        <w:t xml:space="preserve">As the State has </w:t>
      </w:r>
      <w:r w:rsidR="0068676F" w:rsidRPr="00676B15">
        <w:rPr>
          <w:rFonts w:ascii="Cambria" w:eastAsia="Times New Roman" w:hAnsi="Cambria"/>
          <w:bCs/>
          <w:sz w:val="20"/>
          <w:szCs w:val="20"/>
          <w:bdr w:val="none" w:sz="0" w:space="0" w:color="auto"/>
        </w:rPr>
        <w:t>put forth and p</w:t>
      </w:r>
      <w:r w:rsidR="00CE1B37" w:rsidRPr="00676B15">
        <w:rPr>
          <w:rFonts w:ascii="Cambria" w:eastAsia="Times New Roman" w:hAnsi="Cambria"/>
          <w:bCs/>
          <w:sz w:val="20"/>
          <w:szCs w:val="20"/>
          <w:bdr w:val="none" w:sz="0" w:space="0" w:color="auto"/>
        </w:rPr>
        <w:t>etitioners acknowledge, there are several laws that protect workers</w:t>
      </w:r>
      <w:r w:rsidR="002C1ACC" w:rsidRPr="00676B15">
        <w:rPr>
          <w:rFonts w:ascii="Cambria" w:eastAsia="Times New Roman" w:hAnsi="Cambria"/>
          <w:bCs/>
          <w:sz w:val="20"/>
          <w:szCs w:val="20"/>
          <w:bdr w:val="none" w:sz="0" w:space="0" w:color="auto"/>
        </w:rPr>
        <w:t xml:space="preserve"> and mechanisms in place to enforce these laws</w:t>
      </w:r>
      <w:r w:rsidR="00CE1B37" w:rsidRPr="00676B15">
        <w:rPr>
          <w:rFonts w:ascii="Cambria" w:eastAsia="Times New Roman" w:hAnsi="Cambria"/>
          <w:bCs/>
          <w:sz w:val="20"/>
          <w:szCs w:val="20"/>
          <w:bdr w:val="none" w:sz="0" w:space="0" w:color="auto"/>
        </w:rPr>
        <w:t xml:space="preserve">, and on the face of </w:t>
      </w:r>
      <w:r w:rsidR="0068676F" w:rsidRPr="00676B15">
        <w:rPr>
          <w:rFonts w:ascii="Cambria" w:eastAsia="Times New Roman" w:hAnsi="Cambria"/>
          <w:bCs/>
          <w:sz w:val="20"/>
          <w:szCs w:val="20"/>
          <w:bdr w:val="none" w:sz="0" w:space="0" w:color="auto"/>
        </w:rPr>
        <w:t>these laws</w:t>
      </w:r>
      <w:r w:rsidR="00CE1B37" w:rsidRPr="00676B15">
        <w:rPr>
          <w:rFonts w:ascii="Cambria" w:eastAsia="Times New Roman" w:hAnsi="Cambria"/>
          <w:bCs/>
          <w:sz w:val="20"/>
          <w:szCs w:val="20"/>
          <w:bdr w:val="none" w:sz="0" w:space="0" w:color="auto"/>
        </w:rPr>
        <w:t xml:space="preserve"> it </w:t>
      </w:r>
      <w:r w:rsidR="001A394A" w:rsidRPr="00676B15">
        <w:rPr>
          <w:rFonts w:ascii="Cambria" w:eastAsia="Times New Roman" w:hAnsi="Cambria"/>
          <w:bCs/>
          <w:sz w:val="20"/>
          <w:szCs w:val="20"/>
          <w:bdr w:val="none" w:sz="0" w:space="0" w:color="auto"/>
        </w:rPr>
        <w:t>does not matter</w:t>
      </w:r>
      <w:r w:rsidR="00CE1B37" w:rsidRPr="00676B15">
        <w:rPr>
          <w:rFonts w:ascii="Cambria" w:eastAsia="Times New Roman" w:hAnsi="Cambria"/>
          <w:bCs/>
          <w:sz w:val="20"/>
          <w:szCs w:val="20"/>
          <w:bdr w:val="none" w:sz="0" w:space="0" w:color="auto"/>
        </w:rPr>
        <w:t xml:space="preserve"> whether the worker involved has work authorization. However, the Commission</w:t>
      </w:r>
      <w:r w:rsidR="0068676F" w:rsidRPr="00676B15">
        <w:rPr>
          <w:rFonts w:ascii="Cambria" w:eastAsia="Times New Roman" w:hAnsi="Cambria"/>
          <w:bCs/>
          <w:sz w:val="20"/>
          <w:szCs w:val="20"/>
          <w:bdr w:val="none" w:sz="0" w:space="0" w:color="auto"/>
        </w:rPr>
        <w:t xml:space="preserve"> observes that, despite </w:t>
      </w:r>
      <w:r w:rsidR="001A394A" w:rsidRPr="00676B15">
        <w:rPr>
          <w:rFonts w:ascii="Cambria" w:eastAsia="Times New Roman" w:hAnsi="Cambria"/>
          <w:bCs/>
          <w:sz w:val="20"/>
          <w:szCs w:val="20"/>
          <w:bdr w:val="none" w:sz="0" w:space="0" w:color="auto"/>
        </w:rPr>
        <w:t>the terms of these</w:t>
      </w:r>
      <w:r w:rsidR="0068676F" w:rsidRPr="00676B15">
        <w:rPr>
          <w:rFonts w:ascii="Cambria" w:eastAsia="Times New Roman" w:hAnsi="Cambria"/>
          <w:bCs/>
          <w:sz w:val="20"/>
          <w:szCs w:val="20"/>
          <w:bdr w:val="none" w:sz="0" w:space="0" w:color="auto"/>
        </w:rPr>
        <w:t xml:space="preserve"> laws and mechanisms, </w:t>
      </w:r>
      <w:r w:rsidR="002C1ACC" w:rsidRPr="00676B15">
        <w:rPr>
          <w:rFonts w:ascii="Cambria" w:eastAsia="Times New Roman" w:hAnsi="Cambria"/>
          <w:bCs/>
          <w:sz w:val="20"/>
          <w:szCs w:val="20"/>
          <w:bdr w:val="none" w:sz="0" w:space="0" w:color="auto"/>
        </w:rPr>
        <w:t xml:space="preserve">neither Mr. Zumaya nor Mr. Lizalde were able to obtain full benefits under workers’ compensation programs, including medical benefits. </w:t>
      </w:r>
    </w:p>
    <w:p w14:paraId="0CB9ED98" w14:textId="77777777" w:rsidR="00B15CF2" w:rsidRPr="00676B15" w:rsidRDefault="00B15CF2" w:rsidP="00B15CF2">
      <w:pPr>
        <w:rPr>
          <w:rFonts w:eastAsia="Times New Roman"/>
          <w:bCs/>
          <w:sz w:val="20"/>
          <w:szCs w:val="20"/>
          <w:bdr w:val="none" w:sz="0" w:space="0" w:color="auto"/>
        </w:rPr>
      </w:pPr>
    </w:p>
    <w:p w14:paraId="53DC8B3A" w14:textId="0E631F20" w:rsidR="00B15CF2" w:rsidRPr="00676B15" w:rsidRDefault="0079433D" w:rsidP="00B15C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The “distinction, exclusion, or preference” is notable in the </w:t>
      </w:r>
      <w:r w:rsidR="00C85CB8" w:rsidRPr="00676B15">
        <w:rPr>
          <w:rFonts w:ascii="Cambria" w:eastAsia="Times New Roman" w:hAnsi="Cambria"/>
          <w:bCs/>
          <w:sz w:val="20"/>
          <w:szCs w:val="20"/>
          <w:bdr w:val="none" w:sz="0" w:space="0" w:color="auto"/>
        </w:rPr>
        <w:t>precedents established in both jurisdictions</w:t>
      </w:r>
      <w:r w:rsidR="001A394A" w:rsidRPr="00676B15">
        <w:rPr>
          <w:rFonts w:ascii="Cambria" w:eastAsia="Times New Roman" w:hAnsi="Cambria"/>
          <w:bCs/>
          <w:sz w:val="20"/>
          <w:szCs w:val="20"/>
          <w:bdr w:val="none" w:sz="0" w:space="0" w:color="auto"/>
        </w:rPr>
        <w:t>, Pennsylvania and Kansas,</w:t>
      </w:r>
      <w:r w:rsidR="00C85CB8" w:rsidRPr="00676B15">
        <w:rPr>
          <w:rFonts w:ascii="Cambria" w:eastAsia="Times New Roman" w:hAnsi="Cambria"/>
          <w:bCs/>
          <w:sz w:val="20"/>
          <w:szCs w:val="20"/>
          <w:bdr w:val="none" w:sz="0" w:space="0" w:color="auto"/>
        </w:rPr>
        <w:t xml:space="preserve"> as well as in</w:t>
      </w:r>
      <w:r w:rsidR="0068676F" w:rsidRPr="00676B15">
        <w:rPr>
          <w:rFonts w:ascii="Cambria" w:eastAsia="Times New Roman" w:hAnsi="Cambria"/>
          <w:bCs/>
          <w:sz w:val="20"/>
          <w:szCs w:val="20"/>
          <w:bdr w:val="none" w:sz="0" w:space="0" w:color="auto"/>
        </w:rPr>
        <w:t xml:space="preserve"> the actions and practices of both State and non-State actors.</w:t>
      </w:r>
      <w:r w:rsidR="00C85CB8" w:rsidRPr="00676B15">
        <w:rPr>
          <w:rFonts w:ascii="Cambria" w:eastAsia="Times New Roman" w:hAnsi="Cambria"/>
          <w:bCs/>
          <w:sz w:val="20"/>
          <w:szCs w:val="20"/>
          <w:bdr w:val="none" w:sz="0" w:space="0" w:color="auto"/>
        </w:rPr>
        <w:t xml:space="preserve"> There are two seminal cases that were repeatedly cited by both the Petitioners and the State</w:t>
      </w:r>
      <w:r w:rsidR="009C7F33" w:rsidRPr="00676B15">
        <w:rPr>
          <w:rFonts w:ascii="Cambria" w:eastAsia="Times New Roman" w:hAnsi="Cambria"/>
          <w:bCs/>
          <w:sz w:val="20"/>
          <w:szCs w:val="20"/>
          <w:bdr w:val="none" w:sz="0" w:space="0" w:color="auto"/>
        </w:rPr>
        <w:t xml:space="preserve"> in their submissions</w:t>
      </w:r>
      <w:r w:rsidR="00F33FE1" w:rsidRPr="00676B15">
        <w:rPr>
          <w:rFonts w:ascii="Cambria" w:eastAsia="Times New Roman" w:hAnsi="Cambria"/>
          <w:bCs/>
          <w:sz w:val="20"/>
          <w:szCs w:val="20"/>
          <w:bdr w:val="none" w:sz="0" w:space="0" w:color="auto"/>
        </w:rPr>
        <w:t xml:space="preserve">. </w:t>
      </w:r>
      <w:r w:rsidR="00B15CF2" w:rsidRPr="00676B15">
        <w:rPr>
          <w:rFonts w:ascii="Cambria" w:eastAsia="Times New Roman" w:hAnsi="Cambria"/>
          <w:bCs/>
          <w:sz w:val="20"/>
          <w:szCs w:val="20"/>
          <w:bdr w:val="none" w:sz="0" w:space="0" w:color="auto"/>
        </w:rPr>
        <w:t xml:space="preserve">These cases demonstrate the reach of </w:t>
      </w:r>
      <w:r w:rsidR="00B15CF2" w:rsidRPr="00676B15">
        <w:rPr>
          <w:rFonts w:ascii="Cambria" w:eastAsia="Times New Roman" w:hAnsi="Cambria"/>
          <w:bCs/>
          <w:i/>
          <w:sz w:val="20"/>
          <w:szCs w:val="20"/>
          <w:bdr w:val="none" w:sz="0" w:space="0" w:color="auto"/>
        </w:rPr>
        <w:t>Hoffman</w:t>
      </w:r>
      <w:r w:rsidR="00B15CF2" w:rsidRPr="00676B15">
        <w:rPr>
          <w:rFonts w:ascii="Cambria" w:eastAsia="Times New Roman" w:hAnsi="Cambria"/>
          <w:bCs/>
          <w:sz w:val="20"/>
          <w:szCs w:val="20"/>
          <w:bdr w:val="none" w:sz="0" w:space="0" w:color="auto"/>
        </w:rPr>
        <w:t xml:space="preserve">, and thus are important to mention here. </w:t>
      </w:r>
    </w:p>
    <w:p w14:paraId="4ED613F3" w14:textId="77777777" w:rsidR="00B15CF2" w:rsidRPr="00676B15" w:rsidRDefault="00B15CF2" w:rsidP="001A394A">
      <w:pPr>
        <w:pStyle w:val="ListParagraph"/>
        <w:rPr>
          <w:rFonts w:eastAsia="Times New Roman"/>
          <w:bCs/>
          <w:color w:val="auto"/>
          <w:sz w:val="20"/>
          <w:szCs w:val="20"/>
          <w:bdr w:val="none" w:sz="0" w:space="0" w:color="auto"/>
        </w:rPr>
      </w:pPr>
    </w:p>
    <w:p w14:paraId="05C82FFE" w14:textId="77777777" w:rsidR="00B15CF2" w:rsidRPr="00676B15" w:rsidRDefault="00B15CF2" w:rsidP="00B15C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In the first case, </w:t>
      </w:r>
      <w:r w:rsidRPr="00676B15">
        <w:rPr>
          <w:rFonts w:ascii="Cambria" w:eastAsia="Times New Roman" w:hAnsi="Cambria"/>
          <w:bCs/>
          <w:i/>
          <w:sz w:val="20"/>
          <w:szCs w:val="20"/>
          <w:bdr w:val="none" w:sz="0" w:space="0" w:color="auto"/>
        </w:rPr>
        <w:t xml:space="preserve">Reinforced Earth Co. v. Workers’ Compensation Appeals Board </w:t>
      </w:r>
      <w:r w:rsidRPr="00676B15">
        <w:rPr>
          <w:rFonts w:ascii="Cambria" w:eastAsia="Times New Roman" w:hAnsi="Cambria"/>
          <w:bCs/>
          <w:sz w:val="20"/>
          <w:szCs w:val="20"/>
          <w:bdr w:val="none" w:sz="0" w:space="0" w:color="auto"/>
        </w:rPr>
        <w:t>(“</w:t>
      </w:r>
      <w:r w:rsidRPr="00676B15">
        <w:rPr>
          <w:rFonts w:ascii="Cambria" w:eastAsia="Times New Roman" w:hAnsi="Cambria"/>
          <w:bCs/>
          <w:i/>
          <w:sz w:val="20"/>
          <w:szCs w:val="20"/>
          <w:bdr w:val="none" w:sz="0" w:space="0" w:color="auto"/>
        </w:rPr>
        <w:t>Reinforced Earth</w:t>
      </w:r>
      <w:r w:rsidRPr="00676B15">
        <w:rPr>
          <w:rFonts w:ascii="Cambria" w:eastAsia="Times New Roman" w:hAnsi="Cambria"/>
          <w:bCs/>
          <w:sz w:val="20"/>
          <w:szCs w:val="20"/>
          <w:bdr w:val="none" w:sz="0" w:space="0" w:color="auto"/>
        </w:rPr>
        <w:t>”), an undocumented worker (the “claimant”) employed as a maintenance helper sustained a head, neck, and back injury.</w:t>
      </w:r>
      <w:r w:rsidRPr="00676B15">
        <w:rPr>
          <w:rStyle w:val="FootnoteReference"/>
          <w:rFonts w:ascii="Cambria" w:eastAsia="Times New Roman" w:hAnsi="Cambria"/>
          <w:bCs/>
          <w:sz w:val="20"/>
          <w:szCs w:val="20"/>
          <w:bdr w:val="none" w:sz="0" w:space="0" w:color="auto"/>
        </w:rPr>
        <w:footnoteReference w:id="91"/>
      </w:r>
      <w:r w:rsidRPr="00676B15">
        <w:rPr>
          <w:rFonts w:ascii="Cambria" w:eastAsia="Times New Roman" w:hAnsi="Cambria"/>
          <w:bCs/>
          <w:sz w:val="20"/>
          <w:szCs w:val="20"/>
          <w:bdr w:val="none" w:sz="0" w:space="0" w:color="auto"/>
        </w:rPr>
        <w:t xml:space="preserve"> As part of the job, the claimant routinely cut and welded iron, repaired motors, and lifted heavy steel beams. As a result of his injuries, the claimant was unable to return to work, and following termination from employment, his employer was ordered to pay claimant’s total disability payments, medical expenses, to remain responsible for claimant’s medical expenses, and pay claimant’s litigation costs. The employer appealed this order several times, eventually reaching the Pennsylvania Supreme Court, seeking a suspension in the claimant’s benefits and the extension of a blanket “public policy exception” that would exempt undocumented workers from coverage under the IRCA, which had been denied on appeals below.</w:t>
      </w:r>
    </w:p>
    <w:p w14:paraId="6BE5C729" w14:textId="77777777" w:rsidR="00B15CF2" w:rsidRPr="00676B15" w:rsidRDefault="00B15CF2" w:rsidP="00B15CF2">
      <w:pPr>
        <w:pStyle w:val="ListParagraph"/>
        <w:rPr>
          <w:rFonts w:eastAsia="Times New Roman"/>
          <w:bCs/>
          <w:color w:val="auto"/>
          <w:sz w:val="20"/>
          <w:szCs w:val="20"/>
          <w:bdr w:val="none" w:sz="0" w:space="0" w:color="auto"/>
        </w:rPr>
      </w:pPr>
    </w:p>
    <w:p w14:paraId="69167052" w14:textId="1701C751" w:rsidR="00B15CF2" w:rsidRPr="00676B15" w:rsidRDefault="00B15CF2" w:rsidP="00B15C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The Pennsylvania Supreme Court, in ruling on the case, held that it would not consider announcing a public policy exception with respect to the receipt of workers’ compensation benefits by undocumented workers, as the legislature has already spoken on the issue and to do so would be to exceed its </w:t>
      </w:r>
      <w:r w:rsidRPr="00676B15">
        <w:rPr>
          <w:rFonts w:ascii="Cambria" w:eastAsia="Times New Roman" w:hAnsi="Cambria"/>
          <w:bCs/>
          <w:sz w:val="20"/>
          <w:szCs w:val="20"/>
          <w:bdr w:val="none" w:sz="0" w:space="0" w:color="auto"/>
        </w:rPr>
        <w:lastRenderedPageBreak/>
        <w:t>powers, engaging in an “exercise of judicial legislation.”</w:t>
      </w:r>
      <w:r w:rsidRPr="00676B15">
        <w:rPr>
          <w:rStyle w:val="FootnoteReference"/>
          <w:rFonts w:ascii="Cambria" w:eastAsia="Times New Roman" w:hAnsi="Cambria"/>
          <w:bCs/>
          <w:sz w:val="20"/>
          <w:szCs w:val="20"/>
          <w:bdr w:val="none" w:sz="0" w:space="0" w:color="auto"/>
        </w:rPr>
        <w:footnoteReference w:id="92"/>
      </w:r>
      <w:r w:rsidRPr="00676B15">
        <w:rPr>
          <w:rFonts w:ascii="Cambria" w:eastAsia="Times New Roman" w:hAnsi="Cambria"/>
          <w:bCs/>
          <w:sz w:val="20"/>
          <w:szCs w:val="20"/>
          <w:bdr w:val="none" w:sz="0" w:space="0" w:color="auto"/>
        </w:rPr>
        <w:t xml:space="preserve"> However, the Court reversed in one key area</w:t>
      </w:r>
      <w:r w:rsidR="00483C87" w:rsidRPr="00676B15">
        <w:rPr>
          <w:rFonts w:ascii="Cambria" w:eastAsia="Times New Roman" w:hAnsi="Cambria"/>
          <w:bCs/>
          <w:sz w:val="20"/>
          <w:szCs w:val="20"/>
          <w:bdr w:val="none" w:sz="0" w:space="0" w:color="auto"/>
        </w:rPr>
        <w:t>;</w:t>
      </w:r>
      <w:r w:rsidR="00291FED" w:rsidRPr="00676B15">
        <w:rPr>
          <w:rFonts w:ascii="Cambria" w:eastAsia="Times New Roman" w:hAnsi="Cambria"/>
          <w:bCs/>
          <w:sz w:val="20"/>
          <w:szCs w:val="20"/>
          <w:bdr w:val="none" w:sz="0" w:space="0" w:color="auto"/>
        </w:rPr>
        <w:t xml:space="preserve"> under Pennsylvania law,</w:t>
      </w:r>
      <w:r w:rsidR="00742A77" w:rsidRPr="00676B15">
        <w:rPr>
          <w:rFonts w:ascii="Cambria" w:eastAsia="Times New Roman" w:hAnsi="Cambria"/>
          <w:bCs/>
          <w:sz w:val="20"/>
          <w:szCs w:val="20"/>
          <w:bdr w:val="none" w:sz="0" w:space="0" w:color="auto"/>
        </w:rPr>
        <w:t xml:space="preserve"> when an employer or insurer seeks to terminate or modify disability benefits, the employer or insurer must show medical evidence of a change in condition and evidence of a referral (or referrals) to an open job or jobs, “which fits in the occupational category for which the claimant has been given medical clearance,” such as light work or sedentary work.</w:t>
      </w:r>
      <w:r w:rsidR="00742A77" w:rsidRPr="00676B15">
        <w:rPr>
          <w:rStyle w:val="FootnoteReference"/>
          <w:rFonts w:ascii="Cambria" w:eastAsia="Times New Roman" w:hAnsi="Cambria"/>
          <w:bCs/>
          <w:sz w:val="20"/>
          <w:szCs w:val="20"/>
          <w:bdr w:val="none" w:sz="0" w:space="0" w:color="auto"/>
        </w:rPr>
        <w:footnoteReference w:id="93"/>
      </w:r>
      <w:r w:rsidRPr="00676B15">
        <w:rPr>
          <w:rFonts w:ascii="Cambria" w:eastAsia="Times New Roman" w:hAnsi="Cambria"/>
          <w:bCs/>
          <w:sz w:val="20"/>
          <w:szCs w:val="20"/>
          <w:bdr w:val="none" w:sz="0" w:space="0" w:color="auto"/>
        </w:rPr>
        <w:t xml:space="preserve"> </w:t>
      </w:r>
      <w:r w:rsidR="00B2158B" w:rsidRPr="00676B15">
        <w:rPr>
          <w:rFonts w:ascii="Cambria" w:eastAsia="Times New Roman" w:hAnsi="Cambria"/>
          <w:bCs/>
          <w:sz w:val="20"/>
          <w:szCs w:val="20"/>
          <w:bdr w:val="none" w:sz="0" w:space="0" w:color="auto"/>
        </w:rPr>
        <w:t xml:space="preserve">In </w:t>
      </w:r>
      <w:r w:rsidR="00B2158B" w:rsidRPr="00676B15">
        <w:rPr>
          <w:rFonts w:ascii="Cambria" w:eastAsia="Times New Roman" w:hAnsi="Cambria"/>
          <w:bCs/>
          <w:i/>
          <w:sz w:val="20"/>
          <w:szCs w:val="20"/>
          <w:bdr w:val="none" w:sz="0" w:space="0" w:color="auto"/>
        </w:rPr>
        <w:t>Reinforced Earth</w:t>
      </w:r>
      <w:r w:rsidR="00B2158B" w:rsidRPr="00676B15">
        <w:rPr>
          <w:rFonts w:ascii="Cambria" w:eastAsia="Times New Roman" w:hAnsi="Cambria"/>
          <w:bCs/>
          <w:sz w:val="20"/>
          <w:szCs w:val="20"/>
          <w:bdr w:val="none" w:sz="0" w:space="0" w:color="auto"/>
        </w:rPr>
        <w:t xml:space="preserve">, the Court eliminated the second requirement </w:t>
      </w:r>
      <w:r w:rsidR="00483C87" w:rsidRPr="00676B15">
        <w:rPr>
          <w:rFonts w:ascii="Cambria" w:eastAsia="Times New Roman" w:hAnsi="Cambria"/>
          <w:bCs/>
          <w:sz w:val="20"/>
          <w:szCs w:val="20"/>
          <w:bdr w:val="none" w:sz="0" w:space="0" w:color="auto"/>
        </w:rPr>
        <w:t xml:space="preserve">for employers and insurers specifically </w:t>
      </w:r>
      <w:r w:rsidR="00B2158B" w:rsidRPr="00676B15">
        <w:rPr>
          <w:rFonts w:ascii="Cambria" w:eastAsia="Times New Roman" w:hAnsi="Cambria"/>
          <w:bCs/>
          <w:sz w:val="20"/>
          <w:szCs w:val="20"/>
          <w:bdr w:val="none" w:sz="0" w:space="0" w:color="auto"/>
        </w:rPr>
        <w:t xml:space="preserve">when the claimant is an undocumented worker, </w:t>
      </w:r>
      <w:r w:rsidRPr="00676B15">
        <w:rPr>
          <w:rFonts w:ascii="Cambria" w:eastAsia="Times New Roman" w:hAnsi="Cambria"/>
          <w:bCs/>
          <w:sz w:val="20"/>
          <w:szCs w:val="20"/>
          <w:bdr w:val="none" w:sz="0" w:space="0" w:color="auto"/>
        </w:rPr>
        <w:t>finding that “when an employer seeks to suspend the workers’ compensation benefits that have been granted to an employee who is an unauthorized alien, a showing of job availability by the employer is not required.”</w:t>
      </w:r>
      <w:r w:rsidRPr="00676B15">
        <w:rPr>
          <w:rStyle w:val="FootnoteReference"/>
          <w:rFonts w:ascii="Cambria" w:eastAsia="Times New Roman" w:hAnsi="Cambria"/>
          <w:bCs/>
          <w:sz w:val="20"/>
          <w:szCs w:val="20"/>
          <w:bdr w:val="none" w:sz="0" w:space="0" w:color="auto"/>
        </w:rPr>
        <w:footnoteReference w:id="94"/>
      </w:r>
      <w:r w:rsidRPr="00676B15">
        <w:rPr>
          <w:rFonts w:ascii="Cambria" w:eastAsia="Times New Roman" w:hAnsi="Cambria"/>
          <w:bCs/>
          <w:sz w:val="20"/>
          <w:szCs w:val="20"/>
          <w:bdr w:val="none" w:sz="0" w:space="0" w:color="auto"/>
        </w:rPr>
        <w:t xml:space="preserve"> </w:t>
      </w:r>
      <w:r w:rsidR="00374F5F" w:rsidRPr="00676B15">
        <w:rPr>
          <w:rFonts w:ascii="Cambria" w:eastAsia="Times New Roman" w:hAnsi="Cambria"/>
          <w:bCs/>
          <w:sz w:val="20"/>
          <w:szCs w:val="20"/>
          <w:bdr w:val="none" w:sz="0" w:space="0" w:color="auto"/>
        </w:rPr>
        <w:t>Clarifying its position</w:t>
      </w:r>
      <w:r w:rsidRPr="00676B15">
        <w:rPr>
          <w:rFonts w:ascii="Cambria" w:eastAsia="Times New Roman" w:hAnsi="Cambria"/>
          <w:bCs/>
          <w:sz w:val="20"/>
          <w:szCs w:val="20"/>
          <w:bdr w:val="none" w:sz="0" w:space="0" w:color="auto"/>
        </w:rPr>
        <w:t>, the Court affirmed that while the employer may seek suspension of the total disability compensation claimant was granted, the employer may not seek a suspension of medical benefits awarded, “as the provisions of [the section providing for payment of reasonable surgical and medical services] apply to injuries whether or not loss of earning power occurs.”</w:t>
      </w:r>
      <w:r w:rsidRPr="00676B15">
        <w:rPr>
          <w:rStyle w:val="FootnoteReference"/>
          <w:rFonts w:ascii="Cambria" w:eastAsia="Times New Roman" w:hAnsi="Cambria"/>
          <w:bCs/>
          <w:sz w:val="20"/>
          <w:szCs w:val="20"/>
          <w:bdr w:val="none" w:sz="0" w:space="0" w:color="auto"/>
        </w:rPr>
        <w:footnoteReference w:id="95"/>
      </w:r>
    </w:p>
    <w:p w14:paraId="1CDFE085" w14:textId="77777777" w:rsidR="00B15CF2" w:rsidRPr="00676B15" w:rsidRDefault="00B15CF2" w:rsidP="00B15CF2">
      <w:pPr>
        <w:pStyle w:val="ListParagraph"/>
        <w:rPr>
          <w:rFonts w:eastAsia="Times New Roman"/>
          <w:bCs/>
          <w:color w:val="auto"/>
          <w:sz w:val="20"/>
          <w:szCs w:val="20"/>
          <w:bdr w:val="none" w:sz="0" w:space="0" w:color="auto"/>
        </w:rPr>
      </w:pPr>
    </w:p>
    <w:p w14:paraId="53B502EA" w14:textId="77777777" w:rsidR="00B15CF2" w:rsidRPr="00676B15" w:rsidRDefault="00B15CF2" w:rsidP="00B15C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In the second case, </w:t>
      </w:r>
      <w:r w:rsidRPr="00676B15">
        <w:rPr>
          <w:rFonts w:ascii="Cambria" w:eastAsia="Times New Roman" w:hAnsi="Cambria"/>
          <w:bCs/>
          <w:i/>
          <w:sz w:val="20"/>
          <w:szCs w:val="20"/>
          <w:bdr w:val="none" w:sz="0" w:space="0" w:color="auto"/>
        </w:rPr>
        <w:t>Doe v. Kansas Department of Human Resources</w:t>
      </w:r>
      <w:r w:rsidRPr="00676B15">
        <w:rPr>
          <w:rFonts w:ascii="Cambria" w:eastAsia="Times New Roman" w:hAnsi="Cambria"/>
          <w:bCs/>
          <w:sz w:val="20"/>
          <w:szCs w:val="20"/>
          <w:bdr w:val="none" w:sz="0" w:space="0" w:color="auto"/>
        </w:rPr>
        <w:t>, an undocumented worker from Mexico, Delia Butanda, sustained injuries on the job at a meatpacking plant.</w:t>
      </w:r>
      <w:r w:rsidRPr="00676B15">
        <w:rPr>
          <w:rStyle w:val="FootnoteReference"/>
          <w:rFonts w:ascii="Cambria" w:eastAsia="Times New Roman" w:hAnsi="Cambria"/>
          <w:bCs/>
          <w:sz w:val="20"/>
          <w:szCs w:val="20"/>
          <w:bdr w:val="none" w:sz="0" w:space="0" w:color="auto"/>
        </w:rPr>
        <w:footnoteReference w:id="96"/>
      </w:r>
      <w:r w:rsidRPr="00676B15">
        <w:rPr>
          <w:rFonts w:ascii="Cambria" w:eastAsia="Times New Roman" w:hAnsi="Cambria"/>
          <w:bCs/>
          <w:sz w:val="20"/>
          <w:szCs w:val="20"/>
          <w:bdr w:val="none" w:sz="0" w:space="0" w:color="auto"/>
        </w:rPr>
        <w:t xml:space="preserve"> She filed a claim for workers’ compensation using the false name (Victoria Acosta) and social security number she originally used to obtain employment at the plant.  Ms. Butanda was awarded over $57,000 in compensation for her injuries.</w:t>
      </w:r>
      <w:r w:rsidRPr="00676B15">
        <w:rPr>
          <w:rStyle w:val="FootnoteReference"/>
          <w:rFonts w:ascii="Cambria" w:eastAsia="Times New Roman" w:hAnsi="Cambria"/>
          <w:bCs/>
          <w:sz w:val="20"/>
          <w:szCs w:val="20"/>
          <w:bdr w:val="none" w:sz="0" w:space="0" w:color="auto"/>
        </w:rPr>
        <w:footnoteReference w:id="97"/>
      </w:r>
      <w:r w:rsidRPr="00676B15">
        <w:rPr>
          <w:rFonts w:ascii="Cambria" w:eastAsia="Times New Roman" w:hAnsi="Cambria"/>
          <w:bCs/>
          <w:sz w:val="20"/>
          <w:szCs w:val="20"/>
          <w:bdr w:val="none" w:sz="0" w:space="0" w:color="auto"/>
        </w:rPr>
        <w:t xml:space="preserve"> Later, as the result of a “referral from the Kansas Insurance Department,” the Workers’ Compensation Division’s Fraud and Abuse Unit discovered Ms. Butanda’s real identity.</w:t>
      </w:r>
      <w:r w:rsidRPr="00676B15">
        <w:rPr>
          <w:rStyle w:val="FootnoteReference"/>
          <w:rFonts w:ascii="Cambria" w:eastAsia="Times New Roman" w:hAnsi="Cambria"/>
          <w:bCs/>
          <w:sz w:val="20"/>
          <w:szCs w:val="20"/>
          <w:bdr w:val="none" w:sz="0" w:space="0" w:color="auto"/>
        </w:rPr>
        <w:footnoteReference w:id="98"/>
      </w:r>
      <w:r w:rsidRPr="00676B15">
        <w:rPr>
          <w:rFonts w:ascii="Cambria" w:eastAsia="Times New Roman" w:hAnsi="Cambria"/>
          <w:bCs/>
          <w:sz w:val="20"/>
          <w:szCs w:val="20"/>
          <w:bdr w:val="none" w:sz="0" w:space="0" w:color="auto"/>
        </w:rPr>
        <w:t xml:space="preserve"> Subsequently, in an administrative decision later affirmed by the Kansas Supreme Court, Ms. Butanda was found to have committed a “fraudulent or abusive act” in obtaining workers’ compensation benefits through the use of this assumed identity, an action which also amounted to concealment of a material fact.</w:t>
      </w:r>
      <w:r w:rsidRPr="00676B15">
        <w:rPr>
          <w:rStyle w:val="FootnoteReference"/>
          <w:rFonts w:ascii="Cambria" w:eastAsia="Times New Roman" w:hAnsi="Cambria"/>
          <w:bCs/>
          <w:sz w:val="20"/>
          <w:szCs w:val="20"/>
          <w:bdr w:val="none" w:sz="0" w:space="0" w:color="auto"/>
        </w:rPr>
        <w:footnoteReference w:id="99"/>
      </w:r>
      <w:r w:rsidRPr="00676B15">
        <w:rPr>
          <w:rFonts w:ascii="Cambria" w:eastAsia="Times New Roman" w:hAnsi="Cambria"/>
          <w:bCs/>
          <w:sz w:val="20"/>
          <w:szCs w:val="20"/>
          <w:bdr w:val="none" w:sz="0" w:space="0" w:color="auto"/>
        </w:rPr>
        <w:t xml:space="preserve"> As a result of this discovery, her compensatory benefits were suspended.</w:t>
      </w:r>
      <w:r w:rsidRPr="00676B15">
        <w:rPr>
          <w:rStyle w:val="FootnoteReference"/>
          <w:rFonts w:ascii="Cambria" w:eastAsia="Times New Roman" w:hAnsi="Cambria"/>
          <w:bCs/>
          <w:sz w:val="20"/>
          <w:szCs w:val="20"/>
          <w:bdr w:val="none" w:sz="0" w:space="0" w:color="auto"/>
        </w:rPr>
        <w:footnoteReference w:id="100"/>
      </w:r>
    </w:p>
    <w:p w14:paraId="623DB87A" w14:textId="77777777" w:rsidR="00B15CF2" w:rsidRPr="00676B15" w:rsidRDefault="00B15CF2" w:rsidP="00B15CF2">
      <w:pPr>
        <w:pStyle w:val="ListParagraph"/>
        <w:rPr>
          <w:rFonts w:eastAsia="Times New Roman"/>
          <w:bCs/>
          <w:color w:val="auto"/>
          <w:sz w:val="20"/>
          <w:szCs w:val="20"/>
          <w:bdr w:val="none" w:sz="0" w:space="0" w:color="auto"/>
        </w:rPr>
      </w:pPr>
    </w:p>
    <w:p w14:paraId="74DB089E" w14:textId="6D8A2635" w:rsidR="00B15CF2" w:rsidRPr="00676B15" w:rsidRDefault="00B15CF2" w:rsidP="00B15C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Notably, in its decision, the Kansas Supreme Court acknowledged that Ms. Butanda’s employer, NBP, “knew or should have known” that she was an undocumented worker and “yet was willing to look the other way when it hired her;” nonetheless, the Court reasoned that NBP’s complicity was irrelevant in the determination of the culpability of Ms. Butanda for her fraudulent actions.</w:t>
      </w:r>
      <w:r w:rsidRPr="00676B15">
        <w:rPr>
          <w:rStyle w:val="FootnoteReference"/>
          <w:rFonts w:ascii="Cambria" w:eastAsia="Times New Roman" w:hAnsi="Cambria"/>
          <w:bCs/>
          <w:sz w:val="20"/>
          <w:szCs w:val="20"/>
          <w:bdr w:val="none" w:sz="0" w:space="0" w:color="auto"/>
        </w:rPr>
        <w:footnoteReference w:id="101"/>
      </w:r>
      <w:r w:rsidRPr="00676B15">
        <w:rPr>
          <w:rFonts w:ascii="Cambria" w:eastAsia="Times New Roman" w:hAnsi="Cambria"/>
          <w:bCs/>
          <w:sz w:val="20"/>
          <w:szCs w:val="20"/>
          <w:bdr w:val="none" w:sz="0" w:space="0" w:color="auto"/>
        </w:rPr>
        <w:t xml:space="preserve">  </w:t>
      </w:r>
    </w:p>
    <w:p w14:paraId="11E68F9C" w14:textId="77777777" w:rsidR="00B15CF2" w:rsidRPr="00676B15" w:rsidRDefault="00B15CF2" w:rsidP="00B15CF2">
      <w:pPr>
        <w:pStyle w:val="ListParagraph"/>
        <w:rPr>
          <w:rFonts w:eastAsia="Times New Roman"/>
          <w:bCs/>
          <w:color w:val="auto"/>
          <w:sz w:val="20"/>
          <w:szCs w:val="20"/>
          <w:bdr w:val="none" w:sz="0" w:space="0" w:color="auto"/>
        </w:rPr>
      </w:pPr>
    </w:p>
    <w:p w14:paraId="315258C8" w14:textId="639344E0" w:rsidR="008D23B5" w:rsidRPr="00676B15" w:rsidRDefault="0086410D" w:rsidP="00B15C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T</w:t>
      </w:r>
      <w:r w:rsidR="008D23B5" w:rsidRPr="00676B15">
        <w:rPr>
          <w:rFonts w:ascii="Cambria" w:eastAsia="Times New Roman" w:hAnsi="Cambria"/>
          <w:bCs/>
          <w:sz w:val="20"/>
          <w:szCs w:val="20"/>
          <w:bdr w:val="none" w:sz="0" w:space="0" w:color="auto"/>
        </w:rPr>
        <w:t xml:space="preserve">he Commission observes that the practical effect </w:t>
      </w:r>
      <w:r w:rsidRPr="00676B15">
        <w:rPr>
          <w:rFonts w:ascii="Cambria" w:eastAsia="Times New Roman" w:hAnsi="Cambria"/>
          <w:bCs/>
          <w:sz w:val="20"/>
          <w:szCs w:val="20"/>
          <w:bdr w:val="none" w:sz="0" w:space="0" w:color="auto"/>
        </w:rPr>
        <w:t xml:space="preserve">of the Kansas Supreme Court’s ruling in </w:t>
      </w:r>
      <w:r w:rsidRPr="00676B15">
        <w:rPr>
          <w:rFonts w:ascii="Cambria" w:eastAsia="Times New Roman" w:hAnsi="Cambria"/>
          <w:bCs/>
          <w:i/>
          <w:sz w:val="20"/>
          <w:szCs w:val="20"/>
          <w:bdr w:val="none" w:sz="0" w:space="0" w:color="auto"/>
        </w:rPr>
        <w:t>Doe</w:t>
      </w:r>
      <w:r w:rsidRPr="00676B15">
        <w:rPr>
          <w:rFonts w:ascii="Cambria" w:eastAsia="Times New Roman" w:hAnsi="Cambria"/>
          <w:bCs/>
          <w:sz w:val="20"/>
          <w:szCs w:val="20"/>
          <w:bdr w:val="none" w:sz="0" w:space="0" w:color="auto"/>
        </w:rPr>
        <w:t xml:space="preserve"> </w:t>
      </w:r>
      <w:r w:rsidR="008D23B5" w:rsidRPr="00676B15">
        <w:rPr>
          <w:rFonts w:ascii="Cambria" w:eastAsia="Times New Roman" w:hAnsi="Cambria"/>
          <w:bCs/>
          <w:sz w:val="20"/>
          <w:szCs w:val="20"/>
          <w:bdr w:val="none" w:sz="0" w:space="0" w:color="auto"/>
        </w:rPr>
        <w:t>has been to require</w:t>
      </w:r>
      <w:r w:rsidR="00B15CF2" w:rsidRPr="00676B15">
        <w:rPr>
          <w:rFonts w:ascii="Cambria" w:eastAsia="Times New Roman" w:hAnsi="Cambria"/>
          <w:bCs/>
          <w:sz w:val="20"/>
          <w:szCs w:val="20"/>
          <w:bdr w:val="none" w:sz="0" w:space="0" w:color="auto"/>
        </w:rPr>
        <w:t xml:space="preserve"> undocumented workers, if injured and terminated from the job all the while under a false identity, </w:t>
      </w:r>
      <w:r w:rsidR="008D23B5" w:rsidRPr="00676B15">
        <w:rPr>
          <w:rFonts w:ascii="Cambria" w:eastAsia="Times New Roman" w:hAnsi="Cambria"/>
          <w:bCs/>
          <w:sz w:val="20"/>
          <w:szCs w:val="20"/>
          <w:bdr w:val="none" w:sz="0" w:space="0" w:color="auto"/>
        </w:rPr>
        <w:t>to</w:t>
      </w:r>
      <w:r w:rsidR="00B15CF2" w:rsidRPr="00676B15">
        <w:rPr>
          <w:rFonts w:ascii="Cambria" w:eastAsia="Times New Roman" w:hAnsi="Cambria"/>
          <w:bCs/>
          <w:sz w:val="20"/>
          <w:szCs w:val="20"/>
          <w:bdr w:val="none" w:sz="0" w:space="0" w:color="auto"/>
        </w:rPr>
        <w:t xml:space="preserve"> disclose their real identity in workers’ compensation proceedings, such that the appropriate </w:t>
      </w:r>
      <w:r w:rsidR="00B15CF2" w:rsidRPr="00676B15">
        <w:rPr>
          <w:rFonts w:ascii="Cambria" w:eastAsia="Times New Roman" w:hAnsi="Cambria"/>
          <w:bCs/>
          <w:sz w:val="20"/>
          <w:szCs w:val="20"/>
          <w:bdr w:val="none" w:sz="0" w:space="0" w:color="auto"/>
        </w:rPr>
        <w:lastRenderedPageBreak/>
        <w:t>agency may properly calculate the amount of benefits owed, or face prosecution for fraud if caught.</w:t>
      </w:r>
      <w:r w:rsidR="00B15CF2" w:rsidRPr="00676B15">
        <w:rPr>
          <w:rStyle w:val="FootnoteReference"/>
          <w:rFonts w:ascii="Cambria" w:eastAsia="Times New Roman" w:hAnsi="Cambria"/>
          <w:bCs/>
          <w:sz w:val="20"/>
          <w:szCs w:val="20"/>
          <w:bdr w:val="none" w:sz="0" w:space="0" w:color="auto"/>
        </w:rPr>
        <w:footnoteReference w:id="102"/>
      </w:r>
      <w:r w:rsidR="008D23B5" w:rsidRPr="00676B15">
        <w:rPr>
          <w:rFonts w:ascii="Cambria" w:eastAsia="Times New Roman" w:hAnsi="Cambria"/>
          <w:bCs/>
          <w:sz w:val="20"/>
          <w:szCs w:val="20"/>
          <w:bdr w:val="none" w:sz="0" w:space="0" w:color="auto"/>
        </w:rPr>
        <w:t xml:space="preserve"> </w:t>
      </w:r>
      <w:r w:rsidRPr="00676B15">
        <w:rPr>
          <w:rFonts w:ascii="Cambria" w:eastAsia="Times New Roman" w:hAnsi="Cambria"/>
          <w:bCs/>
          <w:sz w:val="20"/>
          <w:szCs w:val="20"/>
          <w:bdr w:val="none" w:sz="0" w:space="0" w:color="auto"/>
        </w:rPr>
        <w:t>However</w:t>
      </w:r>
      <w:r w:rsidR="008D23B5" w:rsidRPr="00676B15">
        <w:rPr>
          <w:rFonts w:ascii="Cambria" w:eastAsia="Times New Roman" w:hAnsi="Cambria"/>
          <w:bCs/>
          <w:sz w:val="20"/>
          <w:szCs w:val="20"/>
          <w:bdr w:val="none" w:sz="0" w:space="0" w:color="auto"/>
        </w:rPr>
        <w:t>, s</w:t>
      </w:r>
      <w:r w:rsidR="00B15CF2" w:rsidRPr="00676B15">
        <w:rPr>
          <w:rFonts w:ascii="Cambria" w:eastAsia="Times New Roman" w:hAnsi="Cambria"/>
          <w:bCs/>
          <w:sz w:val="20"/>
          <w:szCs w:val="20"/>
          <w:bdr w:val="none" w:sz="0" w:space="0" w:color="auto"/>
        </w:rPr>
        <w:t>uch disclosure automatically triggers violations of IRCA</w:t>
      </w:r>
      <w:r w:rsidR="000861CC" w:rsidRPr="00676B15">
        <w:rPr>
          <w:rFonts w:ascii="Cambria" w:eastAsia="Times New Roman" w:hAnsi="Cambria"/>
          <w:bCs/>
          <w:sz w:val="20"/>
          <w:szCs w:val="20"/>
          <w:bdr w:val="none" w:sz="0" w:space="0" w:color="auto"/>
        </w:rPr>
        <w:t>.</w:t>
      </w:r>
      <w:r w:rsidR="00B15CF2" w:rsidRPr="00676B15">
        <w:rPr>
          <w:rStyle w:val="FootnoteReference"/>
          <w:rFonts w:ascii="Cambria" w:eastAsia="Times New Roman" w:hAnsi="Cambria"/>
          <w:bCs/>
          <w:sz w:val="20"/>
          <w:szCs w:val="20"/>
          <w:bdr w:val="none" w:sz="0" w:space="0" w:color="auto"/>
        </w:rPr>
        <w:footnoteReference w:id="103"/>
      </w:r>
      <w:r w:rsidR="00B15CF2" w:rsidRPr="00676B15">
        <w:rPr>
          <w:rFonts w:ascii="Cambria" w:eastAsia="Times New Roman" w:hAnsi="Cambria"/>
          <w:bCs/>
          <w:sz w:val="20"/>
          <w:szCs w:val="20"/>
          <w:bdr w:val="none" w:sz="0" w:space="0" w:color="auto"/>
        </w:rPr>
        <w:t xml:space="preserve"> Further, as a result of </w:t>
      </w:r>
      <w:r w:rsidR="00B15CF2" w:rsidRPr="00676B15">
        <w:rPr>
          <w:rFonts w:ascii="Cambria" w:eastAsia="Times New Roman" w:hAnsi="Cambria"/>
          <w:bCs/>
          <w:i/>
          <w:sz w:val="20"/>
          <w:szCs w:val="20"/>
          <w:bdr w:val="none" w:sz="0" w:space="0" w:color="auto"/>
        </w:rPr>
        <w:t>Doe</w:t>
      </w:r>
      <w:r w:rsidR="00B15CF2" w:rsidRPr="00676B15">
        <w:rPr>
          <w:rFonts w:ascii="Cambria" w:eastAsia="Times New Roman" w:hAnsi="Cambria"/>
          <w:bCs/>
          <w:sz w:val="20"/>
          <w:szCs w:val="20"/>
          <w:bdr w:val="none" w:sz="0" w:space="0" w:color="auto"/>
        </w:rPr>
        <w:t xml:space="preserve">, any awards made in Kansas prior to the discovery of the use of a false identity may be set aside or suspended, meaning that the final award may be modified not on the basis of the injury or employer wrongdoing or knowledge – actual or implied – of workers’ immigration status, but rather an action made at the outset of the employment relationship. </w:t>
      </w:r>
    </w:p>
    <w:p w14:paraId="7D9C684B" w14:textId="77777777" w:rsidR="008D23B5" w:rsidRPr="00676B15" w:rsidRDefault="008D23B5" w:rsidP="008D23B5">
      <w:pPr>
        <w:pStyle w:val="ListParagraph"/>
        <w:rPr>
          <w:rFonts w:eastAsia="Times New Roman"/>
          <w:bCs/>
          <w:sz w:val="20"/>
          <w:szCs w:val="20"/>
          <w:bdr w:val="none" w:sz="0" w:space="0" w:color="auto"/>
        </w:rPr>
      </w:pPr>
    </w:p>
    <w:p w14:paraId="5520110A" w14:textId="3B87B65E" w:rsidR="00B15CF2" w:rsidRPr="00676B15" w:rsidRDefault="00B15CF2" w:rsidP="00B15C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Experts have </w:t>
      </w:r>
      <w:r w:rsidR="00483C87" w:rsidRPr="00676B15">
        <w:rPr>
          <w:rFonts w:ascii="Cambria" w:eastAsia="Times New Roman" w:hAnsi="Cambria"/>
          <w:bCs/>
          <w:sz w:val="20"/>
          <w:szCs w:val="20"/>
          <w:bdr w:val="none" w:sz="0" w:space="0" w:color="auto"/>
        </w:rPr>
        <w:t>warned</w:t>
      </w:r>
      <w:r w:rsidRPr="00676B15">
        <w:rPr>
          <w:rFonts w:ascii="Cambria" w:eastAsia="Times New Roman" w:hAnsi="Cambria"/>
          <w:bCs/>
          <w:sz w:val="20"/>
          <w:szCs w:val="20"/>
          <w:bdr w:val="none" w:sz="0" w:space="0" w:color="auto"/>
        </w:rPr>
        <w:t xml:space="preserve"> that, as the result of </w:t>
      </w:r>
      <w:r w:rsidRPr="00676B15">
        <w:rPr>
          <w:rFonts w:ascii="Cambria" w:eastAsia="Times New Roman" w:hAnsi="Cambria"/>
          <w:bCs/>
          <w:i/>
          <w:sz w:val="20"/>
          <w:szCs w:val="20"/>
          <w:bdr w:val="none" w:sz="0" w:space="0" w:color="auto"/>
        </w:rPr>
        <w:t>Doe</w:t>
      </w:r>
      <w:r w:rsidRPr="00676B15">
        <w:rPr>
          <w:rFonts w:ascii="Cambria" w:eastAsia="Times New Roman" w:hAnsi="Cambria"/>
          <w:bCs/>
          <w:sz w:val="20"/>
          <w:szCs w:val="20"/>
          <w:bdr w:val="none" w:sz="0" w:space="0" w:color="auto"/>
        </w:rPr>
        <w:t xml:space="preserve"> and similar cases, undocumented immigrants will be “deterred” from making workers’ compensation claims because </w:t>
      </w:r>
      <w:r w:rsidR="00D63861" w:rsidRPr="00676B15">
        <w:rPr>
          <w:rFonts w:ascii="Cambria" w:eastAsia="Times New Roman" w:hAnsi="Cambria"/>
          <w:bCs/>
          <w:sz w:val="20"/>
          <w:szCs w:val="20"/>
          <w:bdr w:val="none" w:sz="0" w:space="0" w:color="auto"/>
        </w:rPr>
        <w:t>the process</w:t>
      </w:r>
      <w:r w:rsidRPr="00676B15">
        <w:rPr>
          <w:rFonts w:ascii="Cambria" w:eastAsia="Times New Roman" w:hAnsi="Cambria"/>
          <w:bCs/>
          <w:sz w:val="20"/>
          <w:szCs w:val="20"/>
          <w:bdr w:val="none" w:sz="0" w:space="0" w:color="auto"/>
        </w:rPr>
        <w:t xml:space="preserve"> “risks intervention by federal immigration officials.”</w:t>
      </w:r>
      <w:r w:rsidRPr="00676B15">
        <w:rPr>
          <w:rStyle w:val="FootnoteReference"/>
          <w:rFonts w:ascii="Cambria" w:eastAsia="Times New Roman" w:hAnsi="Cambria"/>
          <w:bCs/>
          <w:sz w:val="20"/>
          <w:szCs w:val="20"/>
          <w:bdr w:val="none" w:sz="0" w:space="0" w:color="auto"/>
        </w:rPr>
        <w:footnoteReference w:id="104"/>
      </w:r>
      <w:r w:rsidRPr="00676B15">
        <w:rPr>
          <w:rFonts w:ascii="Cambria" w:eastAsia="Times New Roman" w:hAnsi="Cambria"/>
          <w:bCs/>
          <w:sz w:val="20"/>
          <w:szCs w:val="20"/>
          <w:bdr w:val="none" w:sz="0" w:space="0" w:color="auto"/>
        </w:rPr>
        <w:t xml:space="preserve"> They also caution that “despite any complicity and causation on their behalf, unscrupulous employers will benefit with lower labor costs,” and “unauthorized workers [have] more reason to cling to their assumed identities [thereby] promot[ing] identity fraud.”</w:t>
      </w:r>
      <w:r w:rsidRPr="00676B15">
        <w:rPr>
          <w:rStyle w:val="FootnoteReference"/>
          <w:rFonts w:ascii="Cambria" w:eastAsia="Times New Roman" w:hAnsi="Cambria"/>
          <w:bCs/>
          <w:sz w:val="20"/>
          <w:szCs w:val="20"/>
          <w:bdr w:val="none" w:sz="0" w:space="0" w:color="auto"/>
        </w:rPr>
        <w:footnoteReference w:id="105"/>
      </w:r>
      <w:r w:rsidRPr="00676B15">
        <w:rPr>
          <w:rFonts w:ascii="Cambria" w:eastAsia="Times New Roman" w:hAnsi="Cambria"/>
          <w:bCs/>
          <w:sz w:val="20"/>
          <w:szCs w:val="20"/>
          <w:bdr w:val="none" w:sz="0" w:space="0" w:color="auto"/>
        </w:rPr>
        <w:t xml:space="preserve"> </w:t>
      </w:r>
    </w:p>
    <w:p w14:paraId="4A3A7D68" w14:textId="77777777" w:rsidR="00B15CF2" w:rsidRPr="00676B15" w:rsidRDefault="00B15CF2" w:rsidP="00B15CF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eastAsia="Times New Roman"/>
          <w:bCs/>
          <w:sz w:val="20"/>
          <w:szCs w:val="20"/>
          <w:bdr w:val="none" w:sz="0" w:space="0" w:color="auto"/>
        </w:rPr>
      </w:pPr>
    </w:p>
    <w:p w14:paraId="40E9D147" w14:textId="6DB9B58E" w:rsidR="00B15CF2" w:rsidRPr="00676B15" w:rsidRDefault="00B15CF2" w:rsidP="00B15CF2">
      <w:pPr>
        <w:numPr>
          <w:ilvl w:val="0"/>
          <w:numId w:val="54"/>
        </w:numPr>
        <w:pBdr>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The Commission takes note of two cases in other jurisdictions within the United States</w:t>
      </w:r>
      <w:r w:rsidR="00D63861" w:rsidRPr="00676B15">
        <w:rPr>
          <w:rFonts w:ascii="Cambria" w:eastAsia="Times New Roman" w:hAnsi="Cambria"/>
          <w:bCs/>
          <w:sz w:val="20"/>
          <w:szCs w:val="20"/>
          <w:bdr w:val="none" w:sz="0" w:space="0" w:color="auto"/>
        </w:rPr>
        <w:t xml:space="preserve"> that </w:t>
      </w:r>
      <w:r w:rsidR="00C2363D" w:rsidRPr="00676B15">
        <w:rPr>
          <w:rFonts w:ascii="Cambria" w:eastAsia="Times New Roman" w:hAnsi="Cambria"/>
          <w:bCs/>
          <w:sz w:val="20"/>
          <w:szCs w:val="20"/>
          <w:bdr w:val="none" w:sz="0" w:space="0" w:color="auto"/>
        </w:rPr>
        <w:t>restrict</w:t>
      </w:r>
      <w:r w:rsidR="00D63861" w:rsidRPr="00676B15">
        <w:rPr>
          <w:rFonts w:ascii="Cambria" w:eastAsia="Times New Roman" w:hAnsi="Cambria"/>
          <w:bCs/>
          <w:sz w:val="20"/>
          <w:szCs w:val="20"/>
          <w:bdr w:val="none" w:sz="0" w:space="0" w:color="auto"/>
        </w:rPr>
        <w:t xml:space="preserve"> access to equal remedies for undocumented workers</w:t>
      </w:r>
      <w:r w:rsidRPr="00676B15">
        <w:rPr>
          <w:rFonts w:ascii="Cambria" w:eastAsia="Times New Roman" w:hAnsi="Cambria"/>
          <w:bCs/>
          <w:sz w:val="20"/>
          <w:szCs w:val="20"/>
          <w:bdr w:val="none" w:sz="0" w:space="0" w:color="auto"/>
        </w:rPr>
        <w:t xml:space="preserve">. In </w:t>
      </w:r>
      <w:r w:rsidRPr="00676B15">
        <w:rPr>
          <w:rFonts w:ascii="Cambria" w:eastAsia="Times New Roman" w:hAnsi="Cambria"/>
          <w:bCs/>
          <w:i/>
          <w:sz w:val="20"/>
          <w:szCs w:val="20"/>
          <w:bdr w:val="none" w:sz="0" w:space="0" w:color="auto"/>
        </w:rPr>
        <w:t>Balbuena v. IDR Realty, LLC</w:t>
      </w:r>
      <w:r w:rsidRPr="00676B15">
        <w:rPr>
          <w:rFonts w:ascii="Cambria" w:eastAsia="Times New Roman" w:hAnsi="Cambria"/>
          <w:bCs/>
          <w:sz w:val="20"/>
          <w:szCs w:val="20"/>
          <w:bdr w:val="none" w:sz="0" w:space="0" w:color="auto"/>
        </w:rPr>
        <w:t xml:space="preserve">, the highest </w:t>
      </w:r>
      <w:r w:rsidR="0086410D" w:rsidRPr="00676B15">
        <w:rPr>
          <w:rFonts w:ascii="Cambria" w:eastAsia="Times New Roman" w:hAnsi="Cambria"/>
          <w:bCs/>
          <w:sz w:val="20"/>
          <w:szCs w:val="20"/>
          <w:bdr w:val="none" w:sz="0" w:space="0" w:color="auto"/>
        </w:rPr>
        <w:t xml:space="preserve">state </w:t>
      </w:r>
      <w:r w:rsidRPr="00676B15">
        <w:rPr>
          <w:rFonts w:ascii="Cambria" w:eastAsia="Times New Roman" w:hAnsi="Cambria"/>
          <w:bCs/>
          <w:sz w:val="20"/>
          <w:szCs w:val="20"/>
          <w:bdr w:val="none" w:sz="0" w:space="0" w:color="auto"/>
        </w:rPr>
        <w:t xml:space="preserve">court in New York found that, based on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a</w:t>
      </w:r>
      <w:r w:rsidR="00502B0D" w:rsidRPr="00676B15">
        <w:rPr>
          <w:rFonts w:ascii="Cambria" w:eastAsia="Times New Roman" w:hAnsi="Cambria"/>
          <w:bCs/>
          <w:sz w:val="20"/>
          <w:szCs w:val="20"/>
          <w:bdr w:val="none" w:sz="0" w:space="0" w:color="auto"/>
        </w:rPr>
        <w:t>n injured undocumented worker was</w:t>
      </w:r>
      <w:r w:rsidRPr="00676B15">
        <w:rPr>
          <w:rFonts w:ascii="Cambria" w:eastAsia="Times New Roman" w:hAnsi="Cambria"/>
          <w:bCs/>
          <w:sz w:val="20"/>
          <w:szCs w:val="20"/>
          <w:bdr w:val="none" w:sz="0" w:space="0" w:color="auto"/>
        </w:rPr>
        <w:t xml:space="preserve"> precluded from claiming lost wages derived from income earned in the United States but </w:t>
      </w:r>
      <w:r w:rsidR="00502B0D" w:rsidRPr="00676B15">
        <w:rPr>
          <w:rFonts w:ascii="Cambria" w:eastAsia="Times New Roman" w:hAnsi="Cambria"/>
          <w:bCs/>
          <w:sz w:val="20"/>
          <w:szCs w:val="20"/>
          <w:bdr w:val="none" w:sz="0" w:space="0" w:color="auto"/>
        </w:rPr>
        <w:t>could</w:t>
      </w:r>
      <w:r w:rsidRPr="00676B15">
        <w:rPr>
          <w:rFonts w:ascii="Cambria" w:eastAsia="Times New Roman" w:hAnsi="Cambria"/>
          <w:bCs/>
          <w:sz w:val="20"/>
          <w:szCs w:val="20"/>
          <w:bdr w:val="none" w:sz="0" w:space="0" w:color="auto"/>
        </w:rPr>
        <w:t xml:space="preserve"> seek wages based on income that could be earned in the worker’s home country.</w:t>
      </w:r>
      <w:r w:rsidRPr="00676B15">
        <w:rPr>
          <w:rStyle w:val="FootnoteReference"/>
          <w:rFonts w:ascii="Cambria" w:eastAsia="Times New Roman" w:hAnsi="Cambria"/>
          <w:bCs/>
          <w:sz w:val="20"/>
          <w:szCs w:val="20"/>
          <w:bdr w:val="none" w:sz="0" w:space="0" w:color="auto"/>
        </w:rPr>
        <w:footnoteReference w:id="106"/>
      </w:r>
      <w:r w:rsidRPr="00676B15">
        <w:rPr>
          <w:rFonts w:ascii="Cambria" w:eastAsia="Times New Roman" w:hAnsi="Cambria"/>
          <w:bCs/>
          <w:sz w:val="20"/>
          <w:szCs w:val="20"/>
          <w:bdr w:val="none" w:sz="0" w:space="0" w:color="auto"/>
        </w:rPr>
        <w:t xml:space="preserve">  In </w:t>
      </w:r>
      <w:r w:rsidRPr="00676B15">
        <w:rPr>
          <w:rFonts w:ascii="Cambria" w:eastAsia="Times New Roman" w:hAnsi="Cambria"/>
          <w:bCs/>
          <w:i/>
          <w:sz w:val="20"/>
          <w:szCs w:val="20"/>
          <w:bdr w:val="none" w:sz="0" w:space="0" w:color="auto"/>
        </w:rPr>
        <w:t>Sanchez v. Eagle Alloy</w:t>
      </w:r>
      <w:r w:rsidRPr="00676B15">
        <w:rPr>
          <w:rFonts w:ascii="Cambria" w:eastAsia="Times New Roman" w:hAnsi="Cambria"/>
          <w:bCs/>
          <w:sz w:val="20"/>
          <w:szCs w:val="20"/>
          <w:bdr w:val="none" w:sz="0" w:space="0" w:color="auto"/>
        </w:rPr>
        <w:t xml:space="preserve">, the Michigan Supreme Court denied review of an appellate court decision finding that, based on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due to the workers’ commission of a crime (use of false identities), the weekly wage-loss benefits of the two undocumented workers involved, who were fired after being injured on the job, should be suspended.</w:t>
      </w:r>
      <w:r w:rsidRPr="00676B15">
        <w:rPr>
          <w:rStyle w:val="FootnoteReference"/>
          <w:rFonts w:ascii="Cambria" w:eastAsia="Times New Roman" w:hAnsi="Cambria"/>
          <w:bCs/>
          <w:sz w:val="20"/>
          <w:szCs w:val="20"/>
          <w:bdr w:val="none" w:sz="0" w:space="0" w:color="auto"/>
        </w:rPr>
        <w:footnoteReference w:id="107"/>
      </w:r>
      <w:r w:rsidRPr="00676B15">
        <w:rPr>
          <w:rFonts w:ascii="Cambria" w:eastAsia="Times New Roman" w:hAnsi="Cambria"/>
          <w:bCs/>
          <w:sz w:val="20"/>
          <w:szCs w:val="20"/>
          <w:bdr w:val="none" w:sz="0" w:space="0" w:color="auto"/>
        </w:rPr>
        <w:t xml:space="preserve"> </w:t>
      </w:r>
    </w:p>
    <w:p w14:paraId="650E6A1B" w14:textId="77777777" w:rsidR="00B15CF2" w:rsidRPr="00676B15" w:rsidRDefault="00B15CF2" w:rsidP="00B15CF2">
      <w:pPr>
        <w:pBdr>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75097B6D" w14:textId="6D326684" w:rsidR="00B15CF2" w:rsidRPr="00676B15" w:rsidRDefault="00B15CF2" w:rsidP="00B15CF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Finally, in a more recent decision of the NLRB and in light of the significant jurisprudence on these issues at both state and federal</w:t>
      </w:r>
      <w:r w:rsidR="00502B0D" w:rsidRPr="00676B15">
        <w:rPr>
          <w:rFonts w:ascii="Cambria" w:eastAsia="Times New Roman" w:hAnsi="Cambria"/>
          <w:bCs/>
          <w:sz w:val="20"/>
          <w:szCs w:val="20"/>
          <w:bdr w:val="none" w:sz="0" w:space="0" w:color="auto"/>
        </w:rPr>
        <w:t xml:space="preserve"> levels</w:t>
      </w:r>
      <w:r w:rsidRPr="00676B15">
        <w:rPr>
          <w:rFonts w:ascii="Cambria" w:eastAsia="Times New Roman" w:hAnsi="Cambria"/>
          <w:bCs/>
          <w:sz w:val="20"/>
          <w:szCs w:val="20"/>
          <w:bdr w:val="none" w:sz="0" w:space="0" w:color="auto"/>
        </w:rPr>
        <w:t xml:space="preserve"> in the United States, the Commission deems important to mention the case of </w:t>
      </w:r>
      <w:r w:rsidRPr="00676B15">
        <w:rPr>
          <w:rFonts w:ascii="Cambria" w:eastAsia="Times New Roman" w:hAnsi="Cambria"/>
          <w:bCs/>
          <w:i/>
          <w:sz w:val="20"/>
          <w:szCs w:val="20"/>
          <w:bdr w:val="none" w:sz="0" w:space="0" w:color="auto"/>
        </w:rPr>
        <w:t>Mezonos Maven Bakery, Inc. and Puerto Rican Legal Defense and Education Fund</w:t>
      </w:r>
      <w:r w:rsidRPr="00676B15">
        <w:rPr>
          <w:rFonts w:ascii="Cambria" w:eastAsia="Times New Roman" w:hAnsi="Cambria"/>
          <w:bCs/>
          <w:sz w:val="20"/>
          <w:szCs w:val="20"/>
          <w:bdr w:val="none" w:sz="0" w:space="0" w:color="auto"/>
        </w:rPr>
        <w:t xml:space="preserve"> (“</w:t>
      </w:r>
      <w:r w:rsidRPr="00676B15">
        <w:rPr>
          <w:rFonts w:ascii="Cambria" w:eastAsia="Times New Roman" w:hAnsi="Cambria"/>
          <w:bCs/>
          <w:i/>
          <w:sz w:val="20"/>
          <w:szCs w:val="20"/>
          <w:bdr w:val="none" w:sz="0" w:space="0" w:color="auto"/>
        </w:rPr>
        <w:t>Mezonos</w:t>
      </w:r>
      <w:r w:rsidRPr="00676B15">
        <w:rPr>
          <w:rFonts w:ascii="Cambria" w:eastAsia="Times New Roman" w:hAnsi="Cambria"/>
          <w:bCs/>
          <w:sz w:val="20"/>
          <w:szCs w:val="20"/>
          <w:bdr w:val="none" w:sz="0" w:space="0" w:color="auto"/>
        </w:rPr>
        <w:t>”).</w:t>
      </w:r>
      <w:r w:rsidRPr="00676B15">
        <w:rPr>
          <w:rStyle w:val="FootnoteReference"/>
          <w:rFonts w:ascii="Cambria" w:eastAsia="Times New Roman" w:hAnsi="Cambria"/>
          <w:bCs/>
          <w:sz w:val="20"/>
          <w:szCs w:val="20"/>
          <w:bdr w:val="none" w:sz="0" w:space="0" w:color="auto"/>
        </w:rPr>
        <w:footnoteReference w:id="108"/>
      </w:r>
      <w:r w:rsidRPr="00676B15">
        <w:rPr>
          <w:rFonts w:ascii="Cambria" w:eastAsia="Times New Roman" w:hAnsi="Cambria"/>
          <w:bCs/>
          <w:sz w:val="20"/>
          <w:szCs w:val="20"/>
          <w:bdr w:val="none" w:sz="0" w:space="0" w:color="auto"/>
        </w:rPr>
        <w:t xml:space="preserve">  In </w:t>
      </w:r>
      <w:r w:rsidRPr="00676B15">
        <w:rPr>
          <w:rFonts w:ascii="Cambria" w:eastAsia="Times New Roman" w:hAnsi="Cambria"/>
          <w:bCs/>
          <w:i/>
          <w:sz w:val="20"/>
          <w:szCs w:val="20"/>
          <w:bdr w:val="none" w:sz="0" w:space="0" w:color="auto"/>
        </w:rPr>
        <w:t>Mezonos</w:t>
      </w:r>
      <w:r w:rsidRPr="00676B15">
        <w:rPr>
          <w:rFonts w:ascii="Cambria" w:eastAsia="Times New Roman" w:hAnsi="Cambria"/>
          <w:bCs/>
          <w:sz w:val="20"/>
          <w:szCs w:val="20"/>
          <w:bdr w:val="none" w:sz="0" w:space="0" w:color="auto"/>
        </w:rPr>
        <w:t xml:space="preserve">, the NLRB </w:t>
      </w:r>
      <w:r w:rsidR="00374F5F" w:rsidRPr="00676B15">
        <w:rPr>
          <w:rFonts w:ascii="Cambria" w:eastAsia="Times New Roman" w:hAnsi="Cambria"/>
          <w:bCs/>
          <w:sz w:val="20"/>
          <w:szCs w:val="20"/>
          <w:bdr w:val="none" w:sz="0" w:space="0" w:color="auto"/>
        </w:rPr>
        <w:t>found</w:t>
      </w:r>
      <w:r w:rsidRPr="00676B15">
        <w:rPr>
          <w:rFonts w:ascii="Cambria" w:eastAsia="Times New Roman" w:hAnsi="Cambria"/>
          <w:bCs/>
          <w:sz w:val="20"/>
          <w:szCs w:val="20"/>
          <w:bdr w:val="none" w:sz="0" w:space="0" w:color="auto"/>
        </w:rPr>
        <w:t xml:space="preserve"> that even where it is undisputed that the employer, not the employees, violated IRCA, the undocumented employees who are wrongfully fired are still foreclosed from being awarded backpay on the basis of this violation.</w:t>
      </w:r>
      <w:r w:rsidRPr="00676B15">
        <w:rPr>
          <w:rStyle w:val="FootnoteReference"/>
          <w:rFonts w:ascii="Cambria" w:eastAsia="Times New Roman" w:hAnsi="Cambria"/>
          <w:bCs/>
          <w:sz w:val="20"/>
          <w:szCs w:val="20"/>
          <w:bdr w:val="none" w:sz="0" w:space="0" w:color="auto"/>
        </w:rPr>
        <w:footnoteReference w:id="109"/>
      </w:r>
      <w:r w:rsidRPr="00676B15">
        <w:rPr>
          <w:rFonts w:ascii="Cambria" w:eastAsia="Times New Roman" w:hAnsi="Cambria"/>
          <w:bCs/>
          <w:sz w:val="20"/>
          <w:szCs w:val="20"/>
          <w:bdr w:val="none" w:sz="0" w:space="0" w:color="auto"/>
        </w:rPr>
        <w:t xml:space="preserve"> The NLRB made clear that its hands were tied, “regardless of the merits of [claimants’] arguments,” as the Supreme Court in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xml:space="preserve"> used “IRCA violator-neutral” language - i.e., regardless of which party, employer or employee, committed the violation – and noted that it would be unable to even order such a remedy, as the Court in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xml:space="preserve"> found that a backpay award “lies beyond the bounds of the Board’s remedial discretion.” Lastly, the NLRB in </w:t>
      </w:r>
      <w:r w:rsidRPr="00676B15">
        <w:rPr>
          <w:rFonts w:ascii="Cambria" w:eastAsia="Times New Roman" w:hAnsi="Cambria"/>
          <w:bCs/>
          <w:i/>
          <w:sz w:val="20"/>
          <w:szCs w:val="20"/>
          <w:bdr w:val="none" w:sz="0" w:space="0" w:color="auto"/>
        </w:rPr>
        <w:t>Mezonos</w:t>
      </w:r>
      <w:r w:rsidRPr="00676B15">
        <w:rPr>
          <w:rFonts w:ascii="Cambria" w:eastAsia="Times New Roman" w:hAnsi="Cambria"/>
          <w:bCs/>
          <w:sz w:val="20"/>
          <w:szCs w:val="20"/>
          <w:bdr w:val="none" w:sz="0" w:space="0" w:color="auto"/>
        </w:rPr>
        <w:t xml:space="preserve"> summarized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xml:space="preserve">’s ruling as, where undocumented workers are involved and “[without regard to] which party violates the law, the result </w:t>
      </w:r>
      <w:r w:rsidRPr="00676B15">
        <w:rPr>
          <w:rFonts w:ascii="Cambria" w:eastAsia="Times New Roman" w:hAnsi="Cambria"/>
          <w:bCs/>
          <w:sz w:val="20"/>
          <w:szCs w:val="20"/>
          <w:bdr w:val="none" w:sz="0" w:space="0" w:color="auto"/>
        </w:rPr>
        <w:lastRenderedPageBreak/>
        <w:t>is an unlawful employment relationship [between an employer and an undocumented worker].”</w:t>
      </w:r>
      <w:r w:rsidRPr="00676B15">
        <w:rPr>
          <w:rStyle w:val="FootnoteReference"/>
          <w:rFonts w:ascii="Cambria" w:eastAsia="Times New Roman" w:hAnsi="Cambria"/>
          <w:bCs/>
          <w:sz w:val="20"/>
          <w:szCs w:val="20"/>
          <w:bdr w:val="none" w:sz="0" w:space="0" w:color="auto"/>
        </w:rPr>
        <w:footnoteReference w:id="110"/>
      </w:r>
      <w:r w:rsidRPr="00676B15">
        <w:rPr>
          <w:rFonts w:ascii="Cambria" w:eastAsia="Times New Roman" w:hAnsi="Cambria"/>
          <w:bCs/>
          <w:sz w:val="20"/>
          <w:szCs w:val="20"/>
          <w:bdr w:val="none" w:sz="0" w:space="0" w:color="auto"/>
        </w:rPr>
        <w:t xml:space="preserve"> As such, the NLRB may not </w:t>
      </w:r>
      <w:r w:rsidR="00374F5F" w:rsidRPr="00676B15">
        <w:rPr>
          <w:rFonts w:ascii="Cambria" w:eastAsia="Times New Roman" w:hAnsi="Cambria"/>
          <w:bCs/>
          <w:sz w:val="20"/>
          <w:szCs w:val="20"/>
          <w:bdr w:val="none" w:sz="0" w:space="0" w:color="auto"/>
        </w:rPr>
        <w:t>encroach</w:t>
      </w:r>
      <w:r w:rsidRPr="00676B15">
        <w:rPr>
          <w:rFonts w:ascii="Cambria" w:eastAsia="Times New Roman" w:hAnsi="Cambria"/>
          <w:bCs/>
          <w:sz w:val="20"/>
          <w:szCs w:val="20"/>
          <w:bdr w:val="none" w:sz="0" w:space="0" w:color="auto"/>
        </w:rPr>
        <w:t xml:space="preserve"> upon federal law by “legitimizing” that illegal relationship through awards designed to remedy labor violations.</w:t>
      </w:r>
      <w:r w:rsidRPr="00676B15">
        <w:rPr>
          <w:rStyle w:val="FootnoteReference"/>
          <w:rFonts w:ascii="Cambria" w:eastAsia="Times New Roman" w:hAnsi="Cambria"/>
          <w:bCs/>
          <w:sz w:val="20"/>
          <w:szCs w:val="20"/>
          <w:bdr w:val="none" w:sz="0" w:space="0" w:color="auto"/>
        </w:rPr>
        <w:footnoteReference w:id="111"/>
      </w:r>
      <w:r w:rsidRPr="00676B15">
        <w:rPr>
          <w:rFonts w:ascii="Cambria" w:eastAsia="Times New Roman" w:hAnsi="Cambria"/>
          <w:bCs/>
          <w:sz w:val="20"/>
          <w:szCs w:val="20"/>
          <w:bdr w:val="none" w:sz="0" w:space="0" w:color="auto"/>
        </w:rPr>
        <w:t xml:space="preserve"> </w:t>
      </w:r>
    </w:p>
    <w:p w14:paraId="5C910A08" w14:textId="77777777" w:rsidR="002A317F" w:rsidRPr="00676B15" w:rsidRDefault="002A317F" w:rsidP="00AB2B6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6963EB56" w14:textId="251929CF" w:rsidR="00A678E5" w:rsidRPr="00676B15" w:rsidRDefault="00A678E5" w:rsidP="005C28E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As mentioned above, the difference in treatment is </w:t>
      </w:r>
      <w:r w:rsidR="009A73E5" w:rsidRPr="00676B15">
        <w:rPr>
          <w:rFonts w:ascii="Cambria" w:eastAsia="Times New Roman" w:hAnsi="Cambria"/>
          <w:bCs/>
          <w:sz w:val="20"/>
          <w:szCs w:val="20"/>
          <w:bdr w:val="none" w:sz="0" w:space="0" w:color="auto"/>
        </w:rPr>
        <w:t xml:space="preserve">not only attributable to legal precedent but also </w:t>
      </w:r>
      <w:r w:rsidRPr="00676B15">
        <w:rPr>
          <w:rFonts w:ascii="Cambria" w:eastAsia="Times New Roman" w:hAnsi="Cambria"/>
          <w:bCs/>
          <w:sz w:val="20"/>
          <w:szCs w:val="20"/>
          <w:bdr w:val="none" w:sz="0" w:space="0" w:color="auto"/>
        </w:rPr>
        <w:t xml:space="preserve">to the practice of local and federal officials. </w:t>
      </w:r>
      <w:r w:rsidR="009A73E5" w:rsidRPr="00676B15">
        <w:rPr>
          <w:rFonts w:ascii="Cambria" w:eastAsia="Times New Roman" w:hAnsi="Cambria"/>
          <w:bCs/>
          <w:sz w:val="20"/>
          <w:szCs w:val="20"/>
          <w:bdr w:val="none" w:sz="0" w:space="0" w:color="auto"/>
        </w:rPr>
        <w:t>In this regard, i</w:t>
      </w:r>
      <w:r w:rsidRPr="00676B15">
        <w:rPr>
          <w:rFonts w:ascii="Cambria" w:eastAsia="Times New Roman" w:hAnsi="Cambria"/>
          <w:bCs/>
          <w:sz w:val="20"/>
          <w:szCs w:val="20"/>
          <w:bdr w:val="none" w:sz="0" w:space="0" w:color="auto"/>
        </w:rPr>
        <w:t xml:space="preserve">n the cases of both Mr. Zumaya and Mr. Lizalde, local and federal officials collaborated with </w:t>
      </w:r>
      <w:r w:rsidR="00483C87" w:rsidRPr="00676B15">
        <w:rPr>
          <w:rFonts w:ascii="Cambria" w:eastAsia="Times New Roman" w:hAnsi="Cambria"/>
          <w:bCs/>
          <w:sz w:val="20"/>
          <w:szCs w:val="20"/>
          <w:bdr w:val="none" w:sz="0" w:space="0" w:color="auto"/>
        </w:rPr>
        <w:t>private individuals</w:t>
      </w:r>
      <w:r w:rsidRPr="00676B15">
        <w:rPr>
          <w:rFonts w:ascii="Cambria" w:eastAsia="Times New Roman" w:hAnsi="Cambria"/>
          <w:bCs/>
          <w:sz w:val="20"/>
          <w:szCs w:val="20"/>
          <w:bdr w:val="none" w:sz="0" w:space="0" w:color="auto"/>
        </w:rPr>
        <w:t xml:space="preserve"> (employers and insurance agencies) to enforce the</w:t>
      </w:r>
      <w:r w:rsidR="009A73E5" w:rsidRPr="00676B15">
        <w:rPr>
          <w:rFonts w:ascii="Cambria" w:eastAsia="Times New Roman" w:hAnsi="Cambria"/>
          <w:bCs/>
          <w:sz w:val="20"/>
          <w:szCs w:val="20"/>
          <w:bdr w:val="none" w:sz="0" w:space="0" w:color="auto"/>
        </w:rPr>
        <w:t xml:space="preserve"> infraction of immigration laws; however, these actions took place only</w:t>
      </w:r>
      <w:r w:rsidRPr="00676B15">
        <w:rPr>
          <w:rFonts w:ascii="Cambria" w:eastAsia="Times New Roman" w:hAnsi="Cambria"/>
          <w:bCs/>
          <w:sz w:val="20"/>
          <w:szCs w:val="20"/>
          <w:bdr w:val="none" w:sz="0" w:space="0" w:color="auto"/>
        </w:rPr>
        <w:t xml:space="preserve"> following the initiation of workers’ compensation claims by both workers and to the detriment of the processing of the</w:t>
      </w:r>
      <w:r w:rsidR="00C60101" w:rsidRPr="00676B15">
        <w:rPr>
          <w:rFonts w:ascii="Cambria" w:eastAsia="Times New Roman" w:hAnsi="Cambria"/>
          <w:bCs/>
          <w:sz w:val="20"/>
          <w:szCs w:val="20"/>
          <w:bdr w:val="none" w:sz="0" w:space="0" w:color="auto"/>
        </w:rPr>
        <w:t>se</w:t>
      </w:r>
      <w:r w:rsidRPr="00676B15">
        <w:rPr>
          <w:rFonts w:ascii="Cambria" w:eastAsia="Times New Roman" w:hAnsi="Cambria"/>
          <w:bCs/>
          <w:sz w:val="20"/>
          <w:szCs w:val="20"/>
          <w:bdr w:val="none" w:sz="0" w:space="0" w:color="auto"/>
        </w:rPr>
        <w:t xml:space="preserve"> claims</w:t>
      </w:r>
      <w:r w:rsidR="00C60101" w:rsidRPr="00676B15">
        <w:rPr>
          <w:rFonts w:ascii="Cambria" w:eastAsia="Times New Roman" w:hAnsi="Cambria"/>
          <w:bCs/>
          <w:sz w:val="20"/>
          <w:szCs w:val="20"/>
          <w:bdr w:val="none" w:sz="0" w:space="0" w:color="auto"/>
        </w:rPr>
        <w:t>.</w:t>
      </w:r>
      <w:r w:rsidRPr="00676B15">
        <w:rPr>
          <w:rFonts w:ascii="Cambria" w:eastAsia="Times New Roman" w:hAnsi="Cambria"/>
          <w:bCs/>
          <w:sz w:val="20"/>
          <w:szCs w:val="20"/>
          <w:bdr w:val="none" w:sz="0" w:space="0" w:color="auto"/>
        </w:rPr>
        <w:t xml:space="preserve"> </w:t>
      </w:r>
      <w:r w:rsidR="001643E0" w:rsidRPr="00676B15">
        <w:rPr>
          <w:rFonts w:ascii="Cambria" w:eastAsia="Times New Roman" w:hAnsi="Cambria"/>
          <w:bCs/>
          <w:sz w:val="20"/>
          <w:szCs w:val="20"/>
          <w:bdr w:val="none" w:sz="0" w:space="0" w:color="auto"/>
        </w:rPr>
        <w:t>The Commission considers that t</w:t>
      </w:r>
      <w:r w:rsidR="00C60101" w:rsidRPr="00676B15">
        <w:rPr>
          <w:rFonts w:ascii="Cambria" w:eastAsia="Times New Roman" w:hAnsi="Cambria"/>
          <w:bCs/>
          <w:sz w:val="20"/>
          <w:szCs w:val="20"/>
          <w:bdr w:val="none" w:sz="0" w:space="0" w:color="auto"/>
        </w:rPr>
        <w:t xml:space="preserve">he actions of the State </w:t>
      </w:r>
      <w:r w:rsidR="00C127B4" w:rsidRPr="00676B15">
        <w:rPr>
          <w:rFonts w:ascii="Cambria" w:eastAsia="Times New Roman" w:hAnsi="Cambria"/>
          <w:bCs/>
          <w:sz w:val="20"/>
          <w:szCs w:val="20"/>
          <w:bdr w:val="none" w:sz="0" w:space="0" w:color="auto"/>
        </w:rPr>
        <w:t>in this context</w:t>
      </w:r>
      <w:r w:rsidR="009A73E5" w:rsidRPr="00676B15">
        <w:rPr>
          <w:rFonts w:ascii="Cambria" w:eastAsia="Times New Roman" w:hAnsi="Cambria"/>
          <w:bCs/>
          <w:sz w:val="20"/>
          <w:szCs w:val="20"/>
          <w:bdr w:val="none" w:sz="0" w:space="0" w:color="auto"/>
        </w:rPr>
        <w:t xml:space="preserve"> </w:t>
      </w:r>
      <w:r w:rsidR="00C60101" w:rsidRPr="00676B15">
        <w:rPr>
          <w:rFonts w:ascii="Cambria" w:eastAsia="Times New Roman" w:hAnsi="Cambria"/>
          <w:bCs/>
          <w:sz w:val="20"/>
          <w:szCs w:val="20"/>
          <w:bdr w:val="none" w:sz="0" w:space="0" w:color="auto"/>
        </w:rPr>
        <w:t>had the effect of</w:t>
      </w:r>
      <w:r w:rsidRPr="00676B15">
        <w:rPr>
          <w:rFonts w:ascii="Cambria" w:eastAsia="Times New Roman" w:hAnsi="Cambria"/>
          <w:bCs/>
          <w:sz w:val="20"/>
          <w:szCs w:val="20"/>
          <w:bdr w:val="none" w:sz="0" w:space="0" w:color="auto"/>
        </w:rPr>
        <w:t xml:space="preserve"> </w:t>
      </w:r>
      <w:r w:rsidR="00C60101" w:rsidRPr="00676B15">
        <w:rPr>
          <w:rFonts w:ascii="Cambria" w:eastAsia="Times New Roman" w:hAnsi="Cambria"/>
          <w:bCs/>
          <w:sz w:val="20"/>
          <w:szCs w:val="20"/>
          <w:bdr w:val="none" w:sz="0" w:space="0" w:color="auto"/>
        </w:rPr>
        <w:t>extinguishing the</w:t>
      </w:r>
      <w:r w:rsidR="001643E0" w:rsidRPr="00676B15">
        <w:rPr>
          <w:rFonts w:ascii="Cambria" w:eastAsia="Times New Roman" w:hAnsi="Cambria"/>
          <w:bCs/>
          <w:sz w:val="20"/>
          <w:szCs w:val="20"/>
          <w:bdr w:val="none" w:sz="0" w:space="0" w:color="auto"/>
        </w:rPr>
        <w:t xml:space="preserve"> </w:t>
      </w:r>
      <w:r w:rsidR="009A73E5" w:rsidRPr="00676B15">
        <w:rPr>
          <w:rFonts w:ascii="Cambria" w:eastAsia="Times New Roman" w:hAnsi="Cambria"/>
          <w:bCs/>
          <w:sz w:val="20"/>
          <w:szCs w:val="20"/>
          <w:bdr w:val="none" w:sz="0" w:space="0" w:color="auto"/>
        </w:rPr>
        <w:t xml:space="preserve">two </w:t>
      </w:r>
      <w:r w:rsidR="001643E0" w:rsidRPr="00676B15">
        <w:rPr>
          <w:rFonts w:ascii="Cambria" w:eastAsia="Times New Roman" w:hAnsi="Cambria"/>
          <w:bCs/>
          <w:sz w:val="20"/>
          <w:szCs w:val="20"/>
          <w:bdr w:val="none" w:sz="0" w:space="0" w:color="auto"/>
        </w:rPr>
        <w:t>workers’ compensation</w:t>
      </w:r>
      <w:r w:rsidRPr="00676B15">
        <w:rPr>
          <w:rFonts w:ascii="Cambria" w:eastAsia="Times New Roman" w:hAnsi="Cambria"/>
          <w:bCs/>
          <w:sz w:val="20"/>
          <w:szCs w:val="20"/>
          <w:bdr w:val="none" w:sz="0" w:space="0" w:color="auto"/>
        </w:rPr>
        <w:t xml:space="preserve"> </w:t>
      </w:r>
      <w:r w:rsidR="00C60101" w:rsidRPr="00676B15">
        <w:rPr>
          <w:rFonts w:ascii="Cambria" w:eastAsia="Times New Roman" w:hAnsi="Cambria"/>
          <w:bCs/>
          <w:sz w:val="20"/>
          <w:szCs w:val="20"/>
          <w:bdr w:val="none" w:sz="0" w:space="0" w:color="auto"/>
        </w:rPr>
        <w:t>claims</w:t>
      </w:r>
      <w:r w:rsidR="009A73E5" w:rsidRPr="00676B15">
        <w:rPr>
          <w:rFonts w:ascii="Cambria" w:eastAsia="Times New Roman" w:hAnsi="Cambria"/>
          <w:bCs/>
          <w:sz w:val="20"/>
          <w:szCs w:val="20"/>
          <w:bdr w:val="none" w:sz="0" w:space="0" w:color="auto"/>
        </w:rPr>
        <w:t>, a scenario that would have not taken place but for their irregular migratory situation</w:t>
      </w:r>
      <w:r w:rsidR="001643E0" w:rsidRPr="00676B15">
        <w:rPr>
          <w:rFonts w:ascii="Cambria" w:eastAsia="Times New Roman" w:hAnsi="Cambria"/>
          <w:bCs/>
          <w:sz w:val="20"/>
          <w:szCs w:val="20"/>
          <w:bdr w:val="none" w:sz="0" w:space="0" w:color="auto"/>
        </w:rPr>
        <w:t>:</w:t>
      </w:r>
      <w:r w:rsidRPr="00676B15">
        <w:rPr>
          <w:rFonts w:ascii="Cambria" w:eastAsia="Times New Roman" w:hAnsi="Cambria"/>
          <w:bCs/>
          <w:sz w:val="20"/>
          <w:szCs w:val="20"/>
          <w:bdr w:val="none" w:sz="0" w:space="0" w:color="auto"/>
        </w:rPr>
        <w:t xml:space="preserve"> Mr. Lizalde</w:t>
      </w:r>
      <w:r w:rsidR="001643E0" w:rsidRPr="00676B15">
        <w:rPr>
          <w:rFonts w:ascii="Cambria" w:eastAsia="Times New Roman" w:hAnsi="Cambria"/>
          <w:bCs/>
          <w:sz w:val="20"/>
          <w:szCs w:val="20"/>
          <w:bdr w:val="none" w:sz="0" w:space="0" w:color="auto"/>
        </w:rPr>
        <w:t xml:space="preserve"> was deported</w:t>
      </w:r>
      <w:r w:rsidRPr="00676B15">
        <w:rPr>
          <w:rFonts w:ascii="Cambria" w:eastAsia="Times New Roman" w:hAnsi="Cambria"/>
          <w:bCs/>
          <w:sz w:val="20"/>
          <w:szCs w:val="20"/>
          <w:bdr w:val="none" w:sz="0" w:space="0" w:color="auto"/>
        </w:rPr>
        <w:t xml:space="preserve"> prior to the conclusion of </w:t>
      </w:r>
      <w:r w:rsidR="00C60101" w:rsidRPr="00676B15">
        <w:rPr>
          <w:rFonts w:ascii="Cambria" w:eastAsia="Times New Roman" w:hAnsi="Cambria"/>
          <w:bCs/>
          <w:sz w:val="20"/>
          <w:szCs w:val="20"/>
          <w:bdr w:val="none" w:sz="0" w:space="0" w:color="auto"/>
        </w:rPr>
        <w:t>the</w:t>
      </w:r>
      <w:r w:rsidRPr="00676B15">
        <w:rPr>
          <w:rFonts w:ascii="Cambria" w:eastAsia="Times New Roman" w:hAnsi="Cambria"/>
          <w:bCs/>
          <w:sz w:val="20"/>
          <w:szCs w:val="20"/>
          <w:bdr w:val="none" w:sz="0" w:space="0" w:color="auto"/>
        </w:rPr>
        <w:t xml:space="preserve"> claim and</w:t>
      </w:r>
      <w:r w:rsidR="00C127B4" w:rsidRPr="00676B15">
        <w:rPr>
          <w:rFonts w:ascii="Cambria" w:eastAsia="Times New Roman" w:hAnsi="Cambria"/>
          <w:bCs/>
          <w:sz w:val="20"/>
          <w:szCs w:val="20"/>
          <w:bdr w:val="none" w:sz="0" w:space="0" w:color="auto"/>
        </w:rPr>
        <w:t xml:space="preserve"> it was in this context that</w:t>
      </w:r>
      <w:r w:rsidRPr="00676B15">
        <w:rPr>
          <w:rFonts w:ascii="Cambria" w:eastAsia="Times New Roman" w:hAnsi="Cambria"/>
          <w:bCs/>
          <w:sz w:val="20"/>
          <w:szCs w:val="20"/>
          <w:bdr w:val="none" w:sz="0" w:space="0" w:color="auto"/>
        </w:rPr>
        <w:t xml:space="preserve"> </w:t>
      </w:r>
      <w:r w:rsidR="00427AA4" w:rsidRPr="00676B15">
        <w:rPr>
          <w:rFonts w:ascii="Cambria" w:eastAsia="Times New Roman" w:hAnsi="Cambria"/>
          <w:bCs/>
          <w:sz w:val="20"/>
          <w:szCs w:val="20"/>
          <w:bdr w:val="none" w:sz="0" w:space="0" w:color="auto"/>
        </w:rPr>
        <w:t xml:space="preserve">the insurance agency of </w:t>
      </w:r>
      <w:r w:rsidR="009A73E5" w:rsidRPr="00676B15">
        <w:rPr>
          <w:rFonts w:ascii="Cambria" w:eastAsia="Times New Roman" w:hAnsi="Cambria"/>
          <w:bCs/>
          <w:sz w:val="20"/>
          <w:szCs w:val="20"/>
          <w:bdr w:val="none" w:sz="0" w:space="0" w:color="auto"/>
        </w:rPr>
        <w:t xml:space="preserve">Mr. Zumaya’s </w:t>
      </w:r>
      <w:r w:rsidR="00427AA4" w:rsidRPr="00676B15">
        <w:rPr>
          <w:rFonts w:ascii="Cambria" w:eastAsia="Times New Roman" w:hAnsi="Cambria"/>
          <w:bCs/>
          <w:sz w:val="20"/>
          <w:szCs w:val="20"/>
          <w:bdr w:val="none" w:sz="0" w:space="0" w:color="auto"/>
        </w:rPr>
        <w:t>employer refused to pay</w:t>
      </w:r>
      <w:r w:rsidR="009A73E5" w:rsidRPr="00676B15">
        <w:rPr>
          <w:rFonts w:ascii="Cambria" w:eastAsia="Times New Roman" w:hAnsi="Cambria"/>
          <w:bCs/>
          <w:sz w:val="20"/>
          <w:szCs w:val="20"/>
          <w:bdr w:val="none" w:sz="0" w:space="0" w:color="auto"/>
        </w:rPr>
        <w:t xml:space="preserve"> him </w:t>
      </w:r>
      <w:r w:rsidR="00C60101" w:rsidRPr="00676B15">
        <w:rPr>
          <w:rFonts w:ascii="Cambria" w:eastAsia="Times New Roman" w:hAnsi="Cambria"/>
          <w:bCs/>
          <w:sz w:val="20"/>
          <w:szCs w:val="20"/>
          <w:bdr w:val="none" w:sz="0" w:space="0" w:color="auto"/>
        </w:rPr>
        <w:t xml:space="preserve">workers’ compensation benefits. </w:t>
      </w:r>
    </w:p>
    <w:p w14:paraId="39483628" w14:textId="77777777" w:rsidR="00A678E5" w:rsidRPr="00676B15" w:rsidRDefault="00A678E5" w:rsidP="00A678E5">
      <w:pPr>
        <w:pStyle w:val="ListParagraph"/>
        <w:rPr>
          <w:rFonts w:eastAsia="Times New Roman"/>
          <w:bCs/>
          <w:sz w:val="20"/>
          <w:szCs w:val="20"/>
          <w:bdr w:val="none" w:sz="0" w:space="0" w:color="auto"/>
        </w:rPr>
      </w:pPr>
    </w:p>
    <w:p w14:paraId="13194A99" w14:textId="3A4952F5" w:rsidR="00427AA4" w:rsidRPr="00676B15" w:rsidRDefault="005C28E6" w:rsidP="005C28E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In the present case, the Commission observes that,</w:t>
      </w:r>
      <w:r w:rsidR="00DA60F8" w:rsidRPr="00676B15">
        <w:rPr>
          <w:rFonts w:ascii="Cambria" w:eastAsia="Times New Roman" w:hAnsi="Cambria"/>
          <w:bCs/>
          <w:sz w:val="20"/>
          <w:szCs w:val="20"/>
          <w:bdr w:val="none" w:sz="0" w:space="0" w:color="auto"/>
        </w:rPr>
        <w:t xml:space="preserve"> despite the State’s argument that benefits </w:t>
      </w:r>
      <w:r w:rsidR="00C607CD" w:rsidRPr="00676B15">
        <w:rPr>
          <w:rFonts w:ascii="Cambria" w:eastAsia="Times New Roman" w:hAnsi="Cambria"/>
          <w:bCs/>
          <w:sz w:val="20"/>
          <w:szCs w:val="20"/>
          <w:bdr w:val="none" w:sz="0" w:space="0" w:color="auto"/>
        </w:rPr>
        <w:t>other than</w:t>
      </w:r>
      <w:r w:rsidR="00DA60F8" w:rsidRPr="00676B15">
        <w:rPr>
          <w:rFonts w:ascii="Cambria" w:eastAsia="Times New Roman" w:hAnsi="Cambria"/>
          <w:bCs/>
          <w:sz w:val="20"/>
          <w:szCs w:val="20"/>
          <w:bdr w:val="none" w:sz="0" w:space="0" w:color="auto"/>
        </w:rPr>
        <w:t xml:space="preserve"> lost wages are</w:t>
      </w:r>
      <w:r w:rsidR="00C607CD" w:rsidRPr="00676B15">
        <w:rPr>
          <w:rFonts w:ascii="Cambria" w:eastAsia="Times New Roman" w:hAnsi="Cambria"/>
          <w:bCs/>
          <w:sz w:val="20"/>
          <w:szCs w:val="20"/>
          <w:bdr w:val="none" w:sz="0" w:space="0" w:color="auto"/>
        </w:rPr>
        <w:t xml:space="preserve"> still</w:t>
      </w:r>
      <w:r w:rsidR="00DA60F8" w:rsidRPr="00676B15">
        <w:rPr>
          <w:rFonts w:ascii="Cambria" w:eastAsia="Times New Roman" w:hAnsi="Cambria"/>
          <w:bCs/>
          <w:sz w:val="20"/>
          <w:szCs w:val="20"/>
          <w:bdr w:val="none" w:sz="0" w:space="0" w:color="auto"/>
        </w:rPr>
        <w:t xml:space="preserve"> available to undocumented workers</w:t>
      </w:r>
      <w:r w:rsidR="00467718" w:rsidRPr="00676B15">
        <w:rPr>
          <w:rFonts w:ascii="Cambria" w:eastAsia="Times New Roman" w:hAnsi="Cambria"/>
          <w:bCs/>
          <w:sz w:val="20"/>
          <w:szCs w:val="20"/>
          <w:bdr w:val="none" w:sz="0" w:space="0" w:color="auto"/>
        </w:rPr>
        <w:t xml:space="preserve"> post-</w:t>
      </w:r>
      <w:r w:rsidR="00467718" w:rsidRPr="00676B15">
        <w:rPr>
          <w:rFonts w:ascii="Cambria" w:eastAsia="Times New Roman" w:hAnsi="Cambria"/>
          <w:bCs/>
          <w:i/>
          <w:sz w:val="20"/>
          <w:szCs w:val="20"/>
          <w:bdr w:val="none" w:sz="0" w:space="0" w:color="auto"/>
        </w:rPr>
        <w:t>Hoffman</w:t>
      </w:r>
      <w:r w:rsidR="00DA60F8" w:rsidRPr="00676B15">
        <w:rPr>
          <w:rFonts w:ascii="Cambria" w:eastAsia="Times New Roman" w:hAnsi="Cambria"/>
          <w:bCs/>
          <w:sz w:val="20"/>
          <w:szCs w:val="20"/>
          <w:bdr w:val="none" w:sz="0" w:space="0" w:color="auto"/>
        </w:rPr>
        <w:t>,</w:t>
      </w:r>
      <w:r w:rsidRPr="00676B15">
        <w:rPr>
          <w:rFonts w:ascii="Cambria" w:eastAsia="Times New Roman" w:hAnsi="Cambria"/>
          <w:bCs/>
          <w:sz w:val="20"/>
          <w:szCs w:val="20"/>
          <w:bdr w:val="none" w:sz="0" w:space="0" w:color="auto"/>
        </w:rPr>
        <w:t xml:space="preserve"> neither Mr. Zumaya nor Mr. Lizalde received full medical </w:t>
      </w:r>
      <w:r w:rsidR="001643E0" w:rsidRPr="00676B15">
        <w:rPr>
          <w:rFonts w:ascii="Cambria" w:eastAsia="Times New Roman" w:hAnsi="Cambria"/>
          <w:bCs/>
          <w:sz w:val="20"/>
          <w:szCs w:val="20"/>
          <w:bdr w:val="none" w:sz="0" w:space="0" w:color="auto"/>
        </w:rPr>
        <w:t>benefits</w:t>
      </w:r>
      <w:r w:rsidRPr="00676B15">
        <w:rPr>
          <w:rFonts w:ascii="Cambria" w:eastAsia="Times New Roman" w:hAnsi="Cambria"/>
          <w:bCs/>
          <w:sz w:val="20"/>
          <w:szCs w:val="20"/>
          <w:bdr w:val="none" w:sz="0" w:space="0" w:color="auto"/>
        </w:rPr>
        <w:t xml:space="preserve"> for the injuries they sustained. </w:t>
      </w:r>
      <w:r w:rsidR="00427AA4" w:rsidRPr="00676B15">
        <w:rPr>
          <w:rFonts w:ascii="Cambria" w:eastAsia="Times New Roman" w:hAnsi="Cambria"/>
          <w:bCs/>
          <w:sz w:val="20"/>
          <w:szCs w:val="20"/>
          <w:bdr w:val="none" w:sz="0" w:space="0" w:color="auto"/>
        </w:rPr>
        <w:t>Further, the foregoing analysis makes plain that the State subjected the two victims, Messrs. Zumaya and Lizalde, as non-nationals lacking authorization to work, to a legal regime in relation to their workers’ compensation proceedings that is fundamentally distinct from that applicable to other national and/or authorized workers.</w:t>
      </w:r>
    </w:p>
    <w:p w14:paraId="219A45AB" w14:textId="77777777" w:rsidR="00427AA4" w:rsidRPr="00676B15" w:rsidRDefault="00427AA4" w:rsidP="00427AA4">
      <w:pPr>
        <w:pStyle w:val="ListParagraph"/>
        <w:rPr>
          <w:rFonts w:eastAsia="Times New Roman"/>
          <w:bCs/>
          <w:sz w:val="20"/>
          <w:szCs w:val="20"/>
          <w:bdr w:val="none" w:sz="0" w:space="0" w:color="auto"/>
        </w:rPr>
      </w:pPr>
    </w:p>
    <w:p w14:paraId="34DEAE91" w14:textId="00CC22BE" w:rsidR="001643E0" w:rsidRPr="00676B15" w:rsidRDefault="001643E0" w:rsidP="005C28E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The Commission </w:t>
      </w:r>
      <w:r w:rsidR="00D63861" w:rsidRPr="00676B15">
        <w:rPr>
          <w:rFonts w:ascii="Cambria" w:eastAsia="Times New Roman" w:hAnsi="Cambria"/>
          <w:bCs/>
          <w:sz w:val="20"/>
          <w:szCs w:val="20"/>
          <w:bdr w:val="none" w:sz="0" w:space="0" w:color="auto"/>
        </w:rPr>
        <w:t xml:space="preserve">therefore </w:t>
      </w:r>
      <w:r w:rsidRPr="00676B15">
        <w:rPr>
          <w:rFonts w:ascii="Cambria" w:eastAsia="Times New Roman" w:hAnsi="Cambria"/>
          <w:bCs/>
          <w:sz w:val="20"/>
          <w:szCs w:val="20"/>
          <w:bdr w:val="none" w:sz="0" w:space="0" w:color="auto"/>
        </w:rPr>
        <w:t>considers that the State has failed to ensure that the pro</w:t>
      </w:r>
      <w:r w:rsidR="00467718" w:rsidRPr="00676B15">
        <w:rPr>
          <w:rFonts w:ascii="Cambria" w:eastAsia="Times New Roman" w:hAnsi="Cambria"/>
          <w:bCs/>
          <w:sz w:val="20"/>
          <w:szCs w:val="20"/>
          <w:bdr w:val="none" w:sz="0" w:space="0" w:color="auto"/>
        </w:rPr>
        <w:t>tections in the law for workers, including remedies for</w:t>
      </w:r>
      <w:r w:rsidRPr="00676B15">
        <w:rPr>
          <w:rFonts w:ascii="Cambria" w:eastAsia="Times New Roman" w:hAnsi="Cambria"/>
          <w:bCs/>
          <w:sz w:val="20"/>
          <w:szCs w:val="20"/>
          <w:bdr w:val="none" w:sz="0" w:space="0" w:color="auto"/>
        </w:rPr>
        <w:t xml:space="preserve"> labor rights violations</w:t>
      </w:r>
      <w:r w:rsidR="00467718" w:rsidRPr="00676B15">
        <w:rPr>
          <w:rFonts w:ascii="Cambria" w:eastAsia="Times New Roman" w:hAnsi="Cambria"/>
          <w:bCs/>
          <w:sz w:val="20"/>
          <w:szCs w:val="20"/>
          <w:bdr w:val="none" w:sz="0" w:space="0" w:color="auto"/>
        </w:rPr>
        <w:t>,</w:t>
      </w:r>
      <w:r w:rsidRPr="00676B15">
        <w:rPr>
          <w:rFonts w:ascii="Cambria" w:eastAsia="Times New Roman" w:hAnsi="Cambria"/>
          <w:bCs/>
          <w:sz w:val="20"/>
          <w:szCs w:val="20"/>
          <w:bdr w:val="none" w:sz="0" w:space="0" w:color="auto"/>
        </w:rPr>
        <w:t xml:space="preserve"> are </w:t>
      </w:r>
      <w:r w:rsidR="00791126" w:rsidRPr="00676B15">
        <w:rPr>
          <w:rFonts w:ascii="Cambria" w:eastAsia="Times New Roman" w:hAnsi="Cambria"/>
          <w:bCs/>
          <w:sz w:val="20"/>
          <w:szCs w:val="20"/>
          <w:bdr w:val="none" w:sz="0" w:space="0" w:color="auto"/>
        </w:rPr>
        <w:t>recognized and applied without discrimination to every worker.</w:t>
      </w:r>
      <w:r w:rsidR="00D043B3" w:rsidRPr="00676B15">
        <w:rPr>
          <w:rFonts w:ascii="Cambria" w:eastAsia="Times New Roman" w:hAnsi="Cambria"/>
          <w:bCs/>
          <w:sz w:val="20"/>
          <w:szCs w:val="20"/>
          <w:bdr w:val="none" w:sz="0" w:space="0" w:color="auto"/>
        </w:rPr>
        <w:t xml:space="preserve"> </w:t>
      </w:r>
      <w:r w:rsidR="00427AA4" w:rsidRPr="00676B15">
        <w:rPr>
          <w:rFonts w:ascii="Cambria" w:eastAsia="Times New Roman" w:hAnsi="Cambria"/>
          <w:bCs/>
          <w:sz w:val="20"/>
          <w:szCs w:val="20"/>
          <w:bdr w:val="none" w:sz="0" w:space="0" w:color="auto"/>
        </w:rPr>
        <w:t xml:space="preserve">The Commission acknowledges that </w:t>
      </w:r>
      <w:r w:rsidR="00D043B3" w:rsidRPr="00676B15">
        <w:rPr>
          <w:rFonts w:ascii="Cambria" w:eastAsia="Times New Roman" w:hAnsi="Cambria"/>
          <w:bCs/>
          <w:sz w:val="20"/>
          <w:szCs w:val="20"/>
          <w:bdr w:val="none" w:sz="0" w:space="0" w:color="auto"/>
        </w:rPr>
        <w:t>t</w:t>
      </w:r>
      <w:r w:rsidR="00791126" w:rsidRPr="00676B15">
        <w:rPr>
          <w:rFonts w:ascii="Cambria" w:eastAsia="Times New Roman" w:hAnsi="Cambria"/>
          <w:bCs/>
          <w:sz w:val="20"/>
          <w:szCs w:val="20"/>
          <w:bdr w:val="none" w:sz="0" w:space="0" w:color="auto"/>
        </w:rPr>
        <w:t>he State</w:t>
      </w:r>
      <w:r w:rsidR="00D043B3" w:rsidRPr="00676B15">
        <w:rPr>
          <w:rFonts w:ascii="Cambria" w:eastAsia="Times New Roman" w:hAnsi="Cambria"/>
          <w:bCs/>
          <w:sz w:val="20"/>
          <w:szCs w:val="20"/>
          <w:bdr w:val="none" w:sz="0" w:space="0" w:color="auto"/>
        </w:rPr>
        <w:t xml:space="preserve"> </w:t>
      </w:r>
      <w:r w:rsidR="00F57FEB" w:rsidRPr="00676B15">
        <w:rPr>
          <w:rFonts w:ascii="Cambria" w:eastAsia="Times New Roman" w:hAnsi="Cambria"/>
          <w:bCs/>
          <w:sz w:val="20"/>
          <w:szCs w:val="20"/>
          <w:bdr w:val="none" w:sz="0" w:space="0" w:color="auto"/>
        </w:rPr>
        <w:t>has the prerogative to</w:t>
      </w:r>
      <w:r w:rsidR="00D043B3" w:rsidRPr="00676B15">
        <w:rPr>
          <w:rFonts w:ascii="Cambria" w:eastAsia="Times New Roman" w:hAnsi="Cambria"/>
          <w:bCs/>
          <w:sz w:val="20"/>
          <w:szCs w:val="20"/>
          <w:bdr w:val="none" w:sz="0" w:space="0" w:color="auto"/>
        </w:rPr>
        <w:t xml:space="preserve"> prosecute persons who commit </w:t>
      </w:r>
      <w:r w:rsidR="00791126" w:rsidRPr="00676B15">
        <w:rPr>
          <w:rFonts w:ascii="Cambria" w:eastAsia="Times New Roman" w:hAnsi="Cambria"/>
          <w:bCs/>
          <w:sz w:val="20"/>
          <w:szCs w:val="20"/>
          <w:bdr w:val="none" w:sz="0" w:space="0" w:color="auto"/>
        </w:rPr>
        <w:t>social security fraud</w:t>
      </w:r>
      <w:r w:rsidR="00427AA4" w:rsidRPr="00676B15">
        <w:rPr>
          <w:rFonts w:ascii="Cambria" w:eastAsia="Times New Roman" w:hAnsi="Cambria"/>
          <w:bCs/>
          <w:sz w:val="20"/>
          <w:szCs w:val="20"/>
          <w:bdr w:val="none" w:sz="0" w:space="0" w:color="auto"/>
        </w:rPr>
        <w:t>, but it emphasizes that</w:t>
      </w:r>
      <w:r w:rsidR="00D043B3" w:rsidRPr="00676B15">
        <w:rPr>
          <w:rFonts w:ascii="Cambria" w:eastAsia="Times New Roman" w:hAnsi="Cambria"/>
          <w:bCs/>
          <w:sz w:val="20"/>
          <w:szCs w:val="20"/>
          <w:bdr w:val="none" w:sz="0" w:space="0" w:color="auto"/>
        </w:rPr>
        <w:t xml:space="preserve"> </w:t>
      </w:r>
      <w:r w:rsidR="00467718" w:rsidRPr="00676B15">
        <w:rPr>
          <w:rFonts w:ascii="Cambria" w:eastAsia="Times New Roman" w:hAnsi="Cambria"/>
          <w:bCs/>
          <w:sz w:val="20"/>
          <w:szCs w:val="20"/>
          <w:bdr w:val="none" w:sz="0" w:space="0" w:color="auto"/>
        </w:rPr>
        <w:t xml:space="preserve">such prosecution is irrelevant </w:t>
      </w:r>
      <w:r w:rsidR="00F57FEB" w:rsidRPr="00676B15">
        <w:rPr>
          <w:rFonts w:ascii="Cambria" w:eastAsia="Times New Roman" w:hAnsi="Cambria"/>
          <w:bCs/>
          <w:sz w:val="20"/>
          <w:szCs w:val="20"/>
          <w:bdr w:val="none" w:sz="0" w:space="0" w:color="auto"/>
        </w:rPr>
        <w:t xml:space="preserve">to </w:t>
      </w:r>
      <w:r w:rsidR="00467718" w:rsidRPr="00676B15">
        <w:rPr>
          <w:rFonts w:ascii="Cambria" w:eastAsia="Times New Roman" w:hAnsi="Cambria"/>
          <w:bCs/>
          <w:sz w:val="20"/>
          <w:szCs w:val="20"/>
          <w:bdr w:val="none" w:sz="0" w:space="0" w:color="auto"/>
        </w:rPr>
        <w:t xml:space="preserve">and </w:t>
      </w:r>
      <w:r w:rsidR="00D043B3" w:rsidRPr="00676B15">
        <w:rPr>
          <w:rFonts w:ascii="Cambria" w:eastAsia="Times New Roman" w:hAnsi="Cambria"/>
          <w:bCs/>
          <w:sz w:val="20"/>
          <w:szCs w:val="20"/>
          <w:bdr w:val="none" w:sz="0" w:space="0" w:color="auto"/>
        </w:rPr>
        <w:t xml:space="preserve">in no way should affect the right </w:t>
      </w:r>
      <w:r w:rsidR="00791126" w:rsidRPr="00676B15">
        <w:rPr>
          <w:rFonts w:ascii="Cambria" w:eastAsia="Times New Roman" w:hAnsi="Cambria"/>
          <w:bCs/>
          <w:sz w:val="20"/>
          <w:szCs w:val="20"/>
          <w:bdr w:val="none" w:sz="0" w:space="0" w:color="auto"/>
        </w:rPr>
        <w:t xml:space="preserve">of </w:t>
      </w:r>
      <w:r w:rsidR="00D043B3" w:rsidRPr="00676B15">
        <w:rPr>
          <w:rFonts w:ascii="Cambria" w:eastAsia="Times New Roman" w:hAnsi="Cambria"/>
          <w:bCs/>
          <w:sz w:val="20"/>
          <w:szCs w:val="20"/>
          <w:bdr w:val="none" w:sz="0" w:space="0" w:color="auto"/>
        </w:rPr>
        <w:t>an</w:t>
      </w:r>
      <w:r w:rsidR="005206C4" w:rsidRPr="00676B15">
        <w:rPr>
          <w:rFonts w:ascii="Cambria" w:eastAsia="Times New Roman" w:hAnsi="Cambria"/>
          <w:bCs/>
          <w:sz w:val="20"/>
          <w:szCs w:val="20"/>
          <w:bdr w:val="none" w:sz="0" w:space="0" w:color="auto"/>
        </w:rPr>
        <w:t xml:space="preserve"> undocumented</w:t>
      </w:r>
      <w:r w:rsidR="00791126" w:rsidRPr="00676B15">
        <w:rPr>
          <w:rFonts w:ascii="Cambria" w:eastAsia="Times New Roman" w:hAnsi="Cambria"/>
          <w:bCs/>
          <w:sz w:val="20"/>
          <w:szCs w:val="20"/>
          <w:bdr w:val="none" w:sz="0" w:space="0" w:color="auto"/>
        </w:rPr>
        <w:t xml:space="preserve"> injured worker to receive and enjoy labor rights, such a</w:t>
      </w:r>
      <w:r w:rsidR="00C127B4" w:rsidRPr="00676B15">
        <w:rPr>
          <w:rFonts w:ascii="Cambria" w:eastAsia="Times New Roman" w:hAnsi="Cambria"/>
          <w:bCs/>
          <w:sz w:val="20"/>
          <w:szCs w:val="20"/>
          <w:bdr w:val="none" w:sz="0" w:space="0" w:color="auto"/>
        </w:rPr>
        <w:t>s to</w:t>
      </w:r>
      <w:r w:rsidR="00791126" w:rsidRPr="00676B15">
        <w:rPr>
          <w:rFonts w:ascii="Cambria" w:eastAsia="Times New Roman" w:hAnsi="Cambria"/>
          <w:bCs/>
          <w:sz w:val="20"/>
          <w:szCs w:val="20"/>
          <w:bdr w:val="none" w:sz="0" w:space="0" w:color="auto"/>
        </w:rPr>
        <w:t xml:space="preserve"> workers’ compensation</w:t>
      </w:r>
      <w:r w:rsidR="005206C4" w:rsidRPr="00676B15">
        <w:rPr>
          <w:rFonts w:ascii="Cambria" w:eastAsia="Times New Roman" w:hAnsi="Cambria"/>
          <w:bCs/>
          <w:sz w:val="20"/>
          <w:szCs w:val="20"/>
          <w:bdr w:val="none" w:sz="0" w:space="0" w:color="auto"/>
        </w:rPr>
        <w:t xml:space="preserve">, once the person has assumed an employment relationship in the US. </w:t>
      </w:r>
      <w:r w:rsidR="00791126" w:rsidRPr="00676B15">
        <w:rPr>
          <w:rFonts w:ascii="Cambria" w:eastAsia="Times New Roman" w:hAnsi="Cambria"/>
          <w:bCs/>
          <w:sz w:val="20"/>
          <w:szCs w:val="20"/>
          <w:bdr w:val="none" w:sz="0" w:space="0" w:color="auto"/>
        </w:rPr>
        <w:t xml:space="preserve">  </w:t>
      </w:r>
    </w:p>
    <w:p w14:paraId="42CC03CA" w14:textId="77777777" w:rsidR="005C28E6" w:rsidRPr="00676B15" w:rsidRDefault="005C28E6" w:rsidP="005206C4">
      <w:pPr>
        <w:rPr>
          <w:rFonts w:eastAsia="Times New Roman"/>
          <w:bCs/>
          <w:sz w:val="20"/>
          <w:szCs w:val="20"/>
          <w:bdr w:val="none" w:sz="0" w:space="0" w:color="auto"/>
        </w:rPr>
      </w:pPr>
    </w:p>
    <w:p w14:paraId="4C8EE423" w14:textId="61F02A1A" w:rsidR="001145B8" w:rsidRPr="00676B15" w:rsidRDefault="00541194" w:rsidP="0046771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In the Commission’s view and based on the record in this case, the State has not shown that </w:t>
      </w:r>
      <w:r w:rsidR="004E1EA8" w:rsidRPr="00676B15">
        <w:rPr>
          <w:rFonts w:ascii="Cambria" w:eastAsia="Times New Roman" w:hAnsi="Cambria"/>
          <w:bCs/>
          <w:sz w:val="20"/>
          <w:szCs w:val="20"/>
          <w:bdr w:val="none" w:sz="0" w:space="0" w:color="auto"/>
        </w:rPr>
        <w:t>this difference in treatment is based upon an objective and reasonable justification, that it furthers a legitimate objective, or that the means are reasonable and proportionate to the end sought.</w:t>
      </w:r>
      <w:r w:rsidR="00467718" w:rsidRPr="00676B15">
        <w:rPr>
          <w:rStyle w:val="FootnoteReference"/>
          <w:rFonts w:ascii="Cambria" w:eastAsia="Times New Roman" w:hAnsi="Cambria"/>
          <w:bCs/>
          <w:sz w:val="20"/>
          <w:szCs w:val="20"/>
          <w:bdr w:val="none" w:sz="0" w:space="0" w:color="auto"/>
        </w:rPr>
        <w:footnoteReference w:id="112"/>
      </w:r>
      <w:r w:rsidR="004E1EA8" w:rsidRPr="00676B15">
        <w:rPr>
          <w:rFonts w:ascii="Cambria" w:eastAsia="Times New Roman" w:hAnsi="Cambria"/>
          <w:bCs/>
          <w:sz w:val="20"/>
          <w:szCs w:val="20"/>
          <w:bdr w:val="none" w:sz="0" w:space="0" w:color="auto"/>
        </w:rPr>
        <w:t xml:space="preserve"> </w:t>
      </w:r>
      <w:r w:rsidR="00F57FEB" w:rsidRPr="00676B15">
        <w:rPr>
          <w:rFonts w:ascii="Cambria" w:eastAsia="Times New Roman" w:hAnsi="Cambria"/>
          <w:bCs/>
          <w:sz w:val="20"/>
          <w:szCs w:val="20"/>
          <w:bdr w:val="none" w:sz="0" w:space="0" w:color="auto"/>
        </w:rPr>
        <w:t>The State has described in broad strokes a number of programs and mechanisms to protect workers and enforce violations of labor laws against employers.</w:t>
      </w:r>
      <w:r w:rsidR="00C2363D" w:rsidRPr="00676B15">
        <w:rPr>
          <w:rFonts w:ascii="Cambria" w:eastAsia="Times New Roman" w:hAnsi="Cambria"/>
          <w:bCs/>
          <w:sz w:val="20"/>
          <w:szCs w:val="20"/>
          <w:bdr w:val="none" w:sz="0" w:space="0" w:color="auto"/>
        </w:rPr>
        <w:t xml:space="preserve"> However, the State does not </w:t>
      </w:r>
      <w:r w:rsidR="00C127B4" w:rsidRPr="00676B15">
        <w:rPr>
          <w:rFonts w:ascii="Cambria" w:eastAsia="Times New Roman" w:hAnsi="Cambria"/>
          <w:bCs/>
          <w:sz w:val="20"/>
          <w:szCs w:val="20"/>
          <w:bdr w:val="none" w:sz="0" w:space="0" w:color="auto"/>
        </w:rPr>
        <w:t>provide any concrete link between</w:t>
      </w:r>
      <w:r w:rsidR="00C2363D" w:rsidRPr="00676B15">
        <w:rPr>
          <w:rFonts w:ascii="Cambria" w:eastAsia="Times New Roman" w:hAnsi="Cambria"/>
          <w:bCs/>
          <w:sz w:val="20"/>
          <w:szCs w:val="20"/>
          <w:bdr w:val="none" w:sz="0" w:space="0" w:color="auto"/>
        </w:rPr>
        <w:t xml:space="preserve"> the general </w:t>
      </w:r>
      <w:r w:rsidR="00C127B4" w:rsidRPr="00676B15">
        <w:rPr>
          <w:rFonts w:ascii="Cambria" w:eastAsia="Times New Roman" w:hAnsi="Cambria"/>
          <w:bCs/>
          <w:sz w:val="20"/>
          <w:szCs w:val="20"/>
          <w:bdr w:val="none" w:sz="0" w:space="0" w:color="auto"/>
        </w:rPr>
        <w:t>and</w:t>
      </w:r>
      <w:r w:rsidR="00C2363D" w:rsidRPr="00676B15">
        <w:rPr>
          <w:rFonts w:ascii="Cambria" w:eastAsia="Times New Roman" w:hAnsi="Cambria"/>
          <w:bCs/>
          <w:sz w:val="20"/>
          <w:szCs w:val="20"/>
          <w:bdr w:val="none" w:sz="0" w:space="0" w:color="auto"/>
        </w:rPr>
        <w:t xml:space="preserve"> the specific; it has failed to </w:t>
      </w:r>
      <w:r w:rsidR="004E1EA8" w:rsidRPr="00676B15">
        <w:rPr>
          <w:rFonts w:ascii="Cambria" w:eastAsia="Times New Roman" w:hAnsi="Cambria"/>
          <w:bCs/>
          <w:sz w:val="20"/>
          <w:szCs w:val="20"/>
          <w:bdr w:val="none" w:sz="0" w:space="0" w:color="auto"/>
        </w:rPr>
        <w:t xml:space="preserve">show </w:t>
      </w:r>
      <w:r w:rsidR="00F57FEB" w:rsidRPr="00676B15">
        <w:rPr>
          <w:rFonts w:ascii="Cambria" w:eastAsia="Times New Roman" w:hAnsi="Cambria"/>
          <w:bCs/>
          <w:sz w:val="20"/>
          <w:szCs w:val="20"/>
          <w:bdr w:val="none" w:sz="0" w:space="0" w:color="auto"/>
        </w:rPr>
        <w:t>any measures taken</w:t>
      </w:r>
      <w:r w:rsidR="004E1EA8" w:rsidRPr="00676B15">
        <w:rPr>
          <w:rFonts w:ascii="Cambria" w:eastAsia="Times New Roman" w:hAnsi="Cambria"/>
          <w:bCs/>
          <w:sz w:val="20"/>
          <w:szCs w:val="20"/>
          <w:bdr w:val="none" w:sz="0" w:space="0" w:color="auto"/>
        </w:rPr>
        <w:t xml:space="preserve"> to ensure the effective equality of Messrs. Zumaya and Lizalde in </w:t>
      </w:r>
      <w:r w:rsidR="00AF3A4B" w:rsidRPr="00676B15">
        <w:rPr>
          <w:rFonts w:ascii="Cambria" w:eastAsia="Times New Roman" w:hAnsi="Cambria"/>
          <w:bCs/>
          <w:sz w:val="20"/>
          <w:szCs w:val="20"/>
          <w:bdr w:val="none" w:sz="0" w:space="0" w:color="auto"/>
        </w:rPr>
        <w:t>obtaining workers’ compensation benefits</w:t>
      </w:r>
      <w:r w:rsidR="00C2363D" w:rsidRPr="00676B15">
        <w:rPr>
          <w:rFonts w:ascii="Cambria" w:eastAsia="Times New Roman" w:hAnsi="Cambria"/>
          <w:bCs/>
          <w:sz w:val="20"/>
          <w:szCs w:val="20"/>
          <w:bdr w:val="none" w:sz="0" w:space="0" w:color="auto"/>
        </w:rPr>
        <w:t xml:space="preserve"> equal to those received by similarly-situated, documented peers</w:t>
      </w:r>
      <w:r w:rsidR="00467718" w:rsidRPr="00676B15">
        <w:rPr>
          <w:rFonts w:ascii="Cambria" w:eastAsia="Times New Roman" w:hAnsi="Cambria"/>
          <w:bCs/>
          <w:sz w:val="20"/>
          <w:szCs w:val="20"/>
          <w:bdr w:val="none" w:sz="0" w:space="0" w:color="auto"/>
        </w:rPr>
        <w:t xml:space="preserve"> or in combatting the identified discriminatory practices</w:t>
      </w:r>
      <w:r w:rsidR="00AF3A4B" w:rsidRPr="00676B15">
        <w:rPr>
          <w:rFonts w:ascii="Cambria" w:eastAsia="Times New Roman" w:hAnsi="Cambria"/>
          <w:bCs/>
          <w:sz w:val="20"/>
          <w:szCs w:val="20"/>
          <w:bdr w:val="none" w:sz="0" w:space="0" w:color="auto"/>
        </w:rPr>
        <w:t xml:space="preserve">. </w:t>
      </w:r>
    </w:p>
    <w:p w14:paraId="2DD63352" w14:textId="77777777" w:rsidR="00553044" w:rsidRPr="00676B15" w:rsidRDefault="00553044" w:rsidP="00553044">
      <w:pPr>
        <w:pStyle w:val="ListParagraph"/>
        <w:rPr>
          <w:rFonts w:eastAsia="Times New Roman"/>
          <w:bCs/>
          <w:color w:val="FF0000"/>
          <w:sz w:val="20"/>
          <w:szCs w:val="20"/>
          <w:bdr w:val="none" w:sz="0" w:space="0" w:color="auto"/>
        </w:rPr>
      </w:pPr>
    </w:p>
    <w:p w14:paraId="76A8BF9E" w14:textId="79AAD765" w:rsidR="005C28E6" w:rsidRPr="00676B15" w:rsidRDefault="00AF3A4B" w:rsidP="005C28E6">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Based on the above, i</w:t>
      </w:r>
      <w:r w:rsidR="00553044" w:rsidRPr="00676B15">
        <w:rPr>
          <w:rFonts w:ascii="Cambria" w:eastAsia="Times New Roman" w:hAnsi="Cambria"/>
          <w:bCs/>
          <w:sz w:val="20"/>
          <w:szCs w:val="20"/>
          <w:bdr w:val="none" w:sz="0" w:space="0" w:color="auto"/>
        </w:rPr>
        <w:t xml:space="preserve">n denying the two victims </w:t>
      </w:r>
      <w:r w:rsidR="000131FE" w:rsidRPr="00676B15">
        <w:rPr>
          <w:rFonts w:ascii="Cambria" w:eastAsia="Times New Roman" w:hAnsi="Cambria"/>
          <w:bCs/>
          <w:sz w:val="20"/>
          <w:szCs w:val="20"/>
          <w:bdr w:val="none" w:sz="0" w:space="0" w:color="auto"/>
        </w:rPr>
        <w:t xml:space="preserve">access to </w:t>
      </w:r>
      <w:r w:rsidR="00553044" w:rsidRPr="00676B15">
        <w:rPr>
          <w:rFonts w:ascii="Cambria" w:eastAsia="Times New Roman" w:hAnsi="Cambria"/>
          <w:bCs/>
          <w:sz w:val="20"/>
          <w:szCs w:val="20"/>
          <w:bdr w:val="none" w:sz="0" w:space="0" w:color="auto"/>
        </w:rPr>
        <w:t>remedies</w:t>
      </w:r>
      <w:r w:rsidR="000131FE" w:rsidRPr="00676B15">
        <w:rPr>
          <w:rFonts w:ascii="Cambria" w:eastAsia="Times New Roman" w:hAnsi="Cambria"/>
          <w:bCs/>
          <w:sz w:val="20"/>
          <w:szCs w:val="20"/>
          <w:bdr w:val="none" w:sz="0" w:space="0" w:color="auto"/>
        </w:rPr>
        <w:t xml:space="preserve"> equal to that of other injured workers</w:t>
      </w:r>
      <w:r w:rsidR="00553044" w:rsidRPr="00676B15">
        <w:rPr>
          <w:rFonts w:ascii="Cambria" w:eastAsia="Times New Roman" w:hAnsi="Cambria"/>
          <w:bCs/>
          <w:sz w:val="20"/>
          <w:szCs w:val="20"/>
          <w:bdr w:val="none" w:sz="0" w:space="0" w:color="auto"/>
        </w:rPr>
        <w:t>, t</w:t>
      </w:r>
      <w:r w:rsidR="001F4DAC" w:rsidRPr="00676B15">
        <w:rPr>
          <w:rFonts w:ascii="Cambria" w:eastAsia="Times New Roman" w:hAnsi="Cambria"/>
          <w:bCs/>
          <w:sz w:val="20"/>
          <w:szCs w:val="20"/>
          <w:bdr w:val="none" w:sz="0" w:space="0" w:color="auto"/>
        </w:rPr>
        <w:t>he Commission considers that</w:t>
      </w:r>
      <w:r w:rsidR="005C28E6" w:rsidRPr="00676B15">
        <w:rPr>
          <w:rFonts w:ascii="Cambria" w:eastAsia="Times New Roman" w:hAnsi="Cambria"/>
          <w:bCs/>
          <w:sz w:val="20"/>
          <w:szCs w:val="20"/>
          <w:bdr w:val="none" w:sz="0" w:space="0" w:color="auto"/>
        </w:rPr>
        <w:t xml:space="preserve"> the State has denied them the protection of equality before the law</w:t>
      </w:r>
      <w:r w:rsidR="00553044" w:rsidRPr="00676B15">
        <w:rPr>
          <w:rFonts w:ascii="Cambria" w:eastAsia="Times New Roman" w:hAnsi="Cambria"/>
          <w:bCs/>
          <w:sz w:val="20"/>
          <w:szCs w:val="20"/>
          <w:bdr w:val="none" w:sz="0" w:space="0" w:color="auto"/>
        </w:rPr>
        <w:t xml:space="preserve">, in violation of Article II of the American Declaration. </w:t>
      </w:r>
    </w:p>
    <w:p w14:paraId="574CE313" w14:textId="77777777" w:rsidR="00BD7E56" w:rsidRPr="00676B15" w:rsidRDefault="00BD7E56" w:rsidP="00032C32">
      <w:pPr>
        <w:rPr>
          <w:rFonts w:eastAsia="Times New Roman"/>
          <w:bCs/>
          <w:color w:val="C00000"/>
          <w:sz w:val="20"/>
          <w:szCs w:val="20"/>
          <w:bdr w:val="none" w:sz="0" w:space="0" w:color="auto"/>
        </w:rPr>
      </w:pPr>
    </w:p>
    <w:p w14:paraId="57FB7BEE" w14:textId="2A849AC4" w:rsidR="005D4874" w:rsidRPr="00676B15" w:rsidRDefault="005D4874" w:rsidP="00B11D29">
      <w:pPr>
        <w:pStyle w:val="Heading2"/>
        <w:ind w:left="1530" w:hanging="810"/>
      </w:pPr>
      <w:bookmarkStart w:id="25" w:name="_Toc466296171"/>
      <w:r w:rsidRPr="00676B15">
        <w:lastRenderedPageBreak/>
        <w:t>Rights to juridical personality and to enjoy basic civil rights and to a fair trial (Articles XVII and XVIII of the American Declaration)</w:t>
      </w:r>
      <w:bookmarkEnd w:id="25"/>
    </w:p>
    <w:p w14:paraId="65CE42E2" w14:textId="77777777" w:rsidR="005D4874" w:rsidRPr="00676B15" w:rsidRDefault="005D4874" w:rsidP="00032C32">
      <w:pPr>
        <w:rPr>
          <w:rFonts w:eastAsia="Times New Roman"/>
          <w:bCs/>
          <w:color w:val="C00000"/>
          <w:sz w:val="20"/>
          <w:szCs w:val="20"/>
          <w:bdr w:val="none" w:sz="0" w:space="0" w:color="auto"/>
        </w:rPr>
      </w:pPr>
    </w:p>
    <w:p w14:paraId="08120A62" w14:textId="320B485B" w:rsidR="005D4874" w:rsidRPr="00676B15" w:rsidRDefault="00C45FA4" w:rsidP="005D487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 </w:t>
      </w:r>
      <w:r w:rsidR="005D4874" w:rsidRPr="00676B15">
        <w:rPr>
          <w:rFonts w:ascii="Cambria" w:eastAsia="Times New Roman" w:hAnsi="Cambria"/>
          <w:bCs/>
          <w:sz w:val="20"/>
          <w:szCs w:val="20"/>
          <w:bdr w:val="none" w:sz="0" w:space="0" w:color="auto"/>
        </w:rPr>
        <w:t xml:space="preserve">Articles XVII and XVIII of the American Declaration provide as follows: </w:t>
      </w:r>
    </w:p>
    <w:p w14:paraId="37D4706E" w14:textId="77777777" w:rsidR="005D4874" w:rsidRPr="00676B15" w:rsidRDefault="005D4874" w:rsidP="005D487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720"/>
        <w:jc w:val="both"/>
        <w:rPr>
          <w:rFonts w:ascii="Cambria" w:eastAsia="Times New Roman" w:hAnsi="Cambria"/>
          <w:bCs/>
          <w:sz w:val="20"/>
          <w:szCs w:val="20"/>
          <w:bdr w:val="none" w:sz="0" w:space="0" w:color="auto"/>
        </w:rPr>
      </w:pPr>
    </w:p>
    <w:p w14:paraId="6BEA03A0" w14:textId="77777777" w:rsidR="005D4874" w:rsidRPr="00676B15" w:rsidRDefault="005D4874" w:rsidP="005D487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Article XVII. Every person has the right to be recognized everywhere as a person having rights and obligations, and to enjoy the basic civil rights.</w:t>
      </w:r>
    </w:p>
    <w:p w14:paraId="0B99FEE6" w14:textId="77777777" w:rsidR="005D4874" w:rsidRPr="00676B15" w:rsidRDefault="005D4874" w:rsidP="005D487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20"/>
        <w:jc w:val="both"/>
        <w:rPr>
          <w:rFonts w:ascii="Cambria" w:eastAsia="Times New Roman" w:hAnsi="Cambria"/>
          <w:bCs/>
          <w:sz w:val="20"/>
          <w:szCs w:val="20"/>
          <w:bdr w:val="none" w:sz="0" w:space="0" w:color="auto"/>
        </w:rPr>
      </w:pPr>
    </w:p>
    <w:p w14:paraId="2DD47514" w14:textId="77777777" w:rsidR="005D4874" w:rsidRPr="00676B15" w:rsidRDefault="005D4874" w:rsidP="005D487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Article XVIII. 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p w14:paraId="3C320F9E" w14:textId="77777777" w:rsidR="005D4874" w:rsidRPr="00676B15" w:rsidRDefault="005D4874" w:rsidP="005D487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3BB03654" w14:textId="0DF11660" w:rsidR="0032681C" w:rsidRPr="00676B15" w:rsidRDefault="0032681C" w:rsidP="006C385C">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With regard to the right to juridical personality and to enjoy basic civil rights, enshrined in Article XVII of the American Declaration, the Commission highlights that this right </w:t>
      </w:r>
      <w:r w:rsidR="00B05167" w:rsidRPr="00676B15">
        <w:rPr>
          <w:rFonts w:ascii="Cambria" w:eastAsia="Times New Roman" w:hAnsi="Cambria"/>
          <w:bCs/>
          <w:sz w:val="20"/>
          <w:szCs w:val="20"/>
          <w:bdr w:val="none" w:sz="0" w:space="0" w:color="auto"/>
        </w:rPr>
        <w:t xml:space="preserve">implies the recognition of every person as entitled to rights and obligations based on the sole condition of being human. </w:t>
      </w:r>
      <w:r w:rsidR="00B73E46" w:rsidRPr="00676B15">
        <w:rPr>
          <w:rFonts w:ascii="Cambria" w:eastAsia="Times New Roman" w:hAnsi="Cambria"/>
          <w:bCs/>
          <w:sz w:val="20"/>
          <w:szCs w:val="20"/>
          <w:bdr w:val="none" w:sz="0" w:space="0" w:color="auto"/>
        </w:rPr>
        <w:t>As such, t</w:t>
      </w:r>
      <w:r w:rsidR="00B05167" w:rsidRPr="00676B15">
        <w:rPr>
          <w:rFonts w:ascii="Cambria" w:eastAsia="Times New Roman" w:hAnsi="Cambria"/>
          <w:bCs/>
          <w:sz w:val="20"/>
          <w:szCs w:val="20"/>
          <w:bdr w:val="none" w:sz="0" w:space="0" w:color="auto"/>
        </w:rPr>
        <w:t>his right is an essential requirement or condition f</w:t>
      </w:r>
      <w:r w:rsidR="00B73E46" w:rsidRPr="00676B15">
        <w:rPr>
          <w:rFonts w:ascii="Cambria" w:eastAsia="Times New Roman" w:hAnsi="Cambria"/>
          <w:bCs/>
          <w:sz w:val="20"/>
          <w:szCs w:val="20"/>
          <w:bdr w:val="none" w:sz="0" w:space="0" w:color="auto"/>
        </w:rPr>
        <w:t>or the enjoyment of all rights, and it</w:t>
      </w:r>
      <w:r w:rsidR="009D5A67" w:rsidRPr="00676B15">
        <w:rPr>
          <w:rFonts w:ascii="Cambria" w:eastAsia="Times New Roman" w:hAnsi="Cambria"/>
          <w:bCs/>
          <w:sz w:val="20"/>
          <w:szCs w:val="20"/>
          <w:bdr w:val="none" w:sz="0" w:space="0" w:color="auto"/>
        </w:rPr>
        <w:t xml:space="preserve"> likewise</w:t>
      </w:r>
      <w:r w:rsidR="00B73E46" w:rsidRPr="00676B15">
        <w:rPr>
          <w:rFonts w:ascii="Cambria" w:eastAsia="Times New Roman" w:hAnsi="Cambria"/>
          <w:bCs/>
          <w:sz w:val="20"/>
          <w:szCs w:val="20"/>
          <w:bdr w:val="none" w:sz="0" w:space="0" w:color="auto"/>
        </w:rPr>
        <w:t xml:space="preserve"> imposes important limits to State action.</w:t>
      </w:r>
      <w:r w:rsidR="00CC087B" w:rsidRPr="00676B15">
        <w:rPr>
          <w:rStyle w:val="FootnoteReference"/>
          <w:rFonts w:ascii="Cambria" w:eastAsia="Times New Roman" w:hAnsi="Cambria"/>
          <w:bCs/>
          <w:sz w:val="20"/>
          <w:szCs w:val="20"/>
          <w:bdr w:val="none" w:sz="0" w:space="0" w:color="auto"/>
        </w:rPr>
        <w:footnoteReference w:id="113"/>
      </w:r>
      <w:r w:rsidR="00B73E46" w:rsidRPr="00676B15">
        <w:rPr>
          <w:rFonts w:ascii="Cambria" w:eastAsia="Times New Roman" w:hAnsi="Cambria"/>
          <w:bCs/>
          <w:sz w:val="20"/>
          <w:szCs w:val="20"/>
          <w:bdr w:val="none" w:sz="0" w:space="0" w:color="auto"/>
        </w:rPr>
        <w:t xml:space="preserve"> The Commission </w:t>
      </w:r>
      <w:r w:rsidR="001748F6" w:rsidRPr="00676B15">
        <w:rPr>
          <w:rFonts w:ascii="Cambria" w:eastAsia="Times New Roman" w:hAnsi="Cambria"/>
          <w:bCs/>
          <w:sz w:val="20"/>
          <w:szCs w:val="20"/>
          <w:bdr w:val="none" w:sz="0" w:space="0" w:color="auto"/>
        </w:rPr>
        <w:t>observes that the</w:t>
      </w:r>
      <w:r w:rsidR="00B73E46" w:rsidRPr="00676B15">
        <w:rPr>
          <w:rFonts w:ascii="Cambria" w:eastAsia="Times New Roman" w:hAnsi="Cambria"/>
          <w:bCs/>
          <w:sz w:val="20"/>
          <w:szCs w:val="20"/>
          <w:bdr w:val="none" w:sz="0" w:space="0" w:color="auto"/>
        </w:rPr>
        <w:t xml:space="preserve"> failure to recognize juridical personality harms human dignity</w:t>
      </w:r>
      <w:r w:rsidR="001748F6" w:rsidRPr="00676B15">
        <w:rPr>
          <w:rFonts w:ascii="Cambria" w:eastAsia="Times New Roman" w:hAnsi="Cambria"/>
          <w:bCs/>
          <w:sz w:val="20"/>
          <w:szCs w:val="20"/>
          <w:bdr w:val="none" w:sz="0" w:space="0" w:color="auto"/>
        </w:rPr>
        <w:t xml:space="preserve"> because it renders </w:t>
      </w:r>
      <w:r w:rsidR="000131FE" w:rsidRPr="00676B15">
        <w:rPr>
          <w:rFonts w:ascii="Cambria" w:eastAsia="Times New Roman" w:hAnsi="Cambria"/>
          <w:bCs/>
          <w:sz w:val="20"/>
          <w:szCs w:val="20"/>
          <w:bdr w:val="none" w:sz="0" w:space="0" w:color="auto"/>
        </w:rPr>
        <w:t>a person</w:t>
      </w:r>
      <w:r w:rsidR="001748F6" w:rsidRPr="00676B15">
        <w:rPr>
          <w:rFonts w:ascii="Cambria" w:eastAsia="Times New Roman" w:hAnsi="Cambria"/>
          <w:bCs/>
          <w:sz w:val="20"/>
          <w:szCs w:val="20"/>
          <w:bdr w:val="none" w:sz="0" w:space="0" w:color="auto"/>
        </w:rPr>
        <w:t xml:space="preserve"> vulnerable to non-observance of his</w:t>
      </w:r>
      <w:r w:rsidR="000131FE" w:rsidRPr="00676B15">
        <w:rPr>
          <w:rFonts w:ascii="Cambria" w:eastAsia="Times New Roman" w:hAnsi="Cambria"/>
          <w:bCs/>
          <w:sz w:val="20"/>
          <w:szCs w:val="20"/>
          <w:bdr w:val="none" w:sz="0" w:space="0" w:color="auto"/>
        </w:rPr>
        <w:t xml:space="preserve"> or her</w:t>
      </w:r>
      <w:r w:rsidR="001748F6" w:rsidRPr="00676B15">
        <w:rPr>
          <w:rFonts w:ascii="Cambria" w:eastAsia="Times New Roman" w:hAnsi="Cambria"/>
          <w:bCs/>
          <w:sz w:val="20"/>
          <w:szCs w:val="20"/>
          <w:bdr w:val="none" w:sz="0" w:space="0" w:color="auto"/>
        </w:rPr>
        <w:t xml:space="preserve"> rights by the State or other individuals.</w:t>
      </w:r>
      <w:r w:rsidR="001748F6" w:rsidRPr="00676B15">
        <w:rPr>
          <w:rStyle w:val="FootnoteReference"/>
          <w:rFonts w:ascii="Cambria" w:eastAsia="Times New Roman" w:hAnsi="Cambria"/>
          <w:bCs/>
          <w:sz w:val="20"/>
          <w:szCs w:val="20"/>
          <w:bdr w:val="none" w:sz="0" w:space="0" w:color="auto"/>
        </w:rPr>
        <w:footnoteReference w:id="114"/>
      </w:r>
    </w:p>
    <w:p w14:paraId="722119F7" w14:textId="77777777" w:rsidR="00B73E46" w:rsidRPr="00676B15" w:rsidRDefault="00B73E46" w:rsidP="00B73E46">
      <w:pPr>
        <w:pStyle w:val="ListParagraph"/>
        <w:rPr>
          <w:rFonts w:eastAsia="Times New Roman"/>
          <w:bCs/>
          <w:sz w:val="20"/>
          <w:szCs w:val="20"/>
          <w:bdr w:val="none" w:sz="0" w:space="0" w:color="auto"/>
        </w:rPr>
      </w:pPr>
    </w:p>
    <w:p w14:paraId="7AEE16AF" w14:textId="748B71FD" w:rsidR="00AF6703" w:rsidRPr="00676B15" w:rsidRDefault="008A20BD" w:rsidP="0032681C">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rPr>
      </w:pPr>
      <w:r w:rsidRPr="00676B15">
        <w:rPr>
          <w:rFonts w:ascii="Cambria" w:eastAsia="Times New Roman" w:hAnsi="Cambria"/>
          <w:bCs/>
          <w:sz w:val="20"/>
          <w:szCs w:val="20"/>
          <w:bdr w:val="none" w:sz="0" w:space="0" w:color="auto"/>
        </w:rPr>
        <w:t>The Commission highlights that the American Declaration, u</w:t>
      </w:r>
      <w:r w:rsidR="00B73E46" w:rsidRPr="00676B15">
        <w:rPr>
          <w:rFonts w:ascii="Cambria" w:eastAsia="Times New Roman" w:hAnsi="Cambria"/>
          <w:bCs/>
          <w:sz w:val="20"/>
          <w:szCs w:val="20"/>
          <w:bdr w:val="none" w:sz="0" w:space="0" w:color="auto"/>
        </w:rPr>
        <w:t xml:space="preserve">nlike other international instruments, specifically includes </w:t>
      </w:r>
      <w:r w:rsidR="00245775" w:rsidRPr="00676B15">
        <w:rPr>
          <w:rFonts w:ascii="Cambria" w:eastAsia="Times New Roman" w:hAnsi="Cambria"/>
          <w:bCs/>
          <w:sz w:val="20"/>
          <w:szCs w:val="20"/>
          <w:bdr w:val="none" w:sz="0" w:space="0" w:color="auto"/>
        </w:rPr>
        <w:t xml:space="preserve">within Article XVII </w:t>
      </w:r>
      <w:r w:rsidR="00B73E46" w:rsidRPr="00676B15">
        <w:rPr>
          <w:rFonts w:ascii="Cambria" w:eastAsia="Times New Roman" w:hAnsi="Cambria"/>
          <w:bCs/>
          <w:sz w:val="20"/>
          <w:szCs w:val="20"/>
          <w:bdr w:val="none" w:sz="0" w:space="0" w:color="auto"/>
        </w:rPr>
        <w:t>the right t</w:t>
      </w:r>
      <w:r w:rsidR="00142FD9" w:rsidRPr="00676B15">
        <w:rPr>
          <w:rFonts w:ascii="Cambria" w:eastAsia="Times New Roman" w:hAnsi="Cambria"/>
          <w:bCs/>
          <w:sz w:val="20"/>
          <w:szCs w:val="20"/>
          <w:bdr w:val="none" w:sz="0" w:space="0" w:color="auto"/>
        </w:rPr>
        <w:t>o "enjoy the basic civil rights,</w:t>
      </w:r>
      <w:r w:rsidR="00B73E46" w:rsidRPr="00676B15">
        <w:rPr>
          <w:rFonts w:ascii="Cambria" w:eastAsia="Times New Roman" w:hAnsi="Cambria"/>
          <w:bCs/>
          <w:sz w:val="20"/>
          <w:szCs w:val="20"/>
          <w:bdr w:val="none" w:sz="0" w:space="0" w:color="auto"/>
        </w:rPr>
        <w:t>"</w:t>
      </w:r>
      <w:r w:rsidR="00142FD9" w:rsidRPr="00676B15">
        <w:rPr>
          <w:rFonts w:ascii="Cambria" w:eastAsia="Times New Roman" w:hAnsi="Cambria"/>
          <w:bCs/>
          <w:sz w:val="20"/>
          <w:szCs w:val="20"/>
          <w:bdr w:val="none" w:sz="0" w:space="0" w:color="auto"/>
        </w:rPr>
        <w:t xml:space="preserve"> one of which is the right to work. </w:t>
      </w:r>
      <w:r w:rsidR="00B4625C" w:rsidRPr="00676B15">
        <w:rPr>
          <w:rFonts w:ascii="Cambria" w:eastAsia="Times New Roman" w:hAnsi="Cambria"/>
          <w:bCs/>
          <w:sz w:val="20"/>
          <w:szCs w:val="20"/>
          <w:bdr w:val="none" w:sz="0" w:space="0" w:color="auto"/>
        </w:rPr>
        <w:t>The Charter of the Organization of American States (hereinafter “OAS Charter” or the “Charter”) first established this right in its Article 45 (b), providing that “[w]or</w:t>
      </w:r>
      <w:r w:rsidR="009C682E" w:rsidRPr="00676B15">
        <w:rPr>
          <w:rFonts w:ascii="Cambria" w:eastAsia="Times New Roman" w:hAnsi="Cambria"/>
          <w:bCs/>
          <w:sz w:val="20"/>
          <w:szCs w:val="20"/>
          <w:bdr w:val="none" w:sz="0" w:space="0" w:color="auto"/>
        </w:rPr>
        <w:t>k is a right and a social duty.” The Charter further establishes that this right must be observed</w:t>
      </w:r>
      <w:r w:rsidR="00B4625C" w:rsidRPr="00676B15">
        <w:rPr>
          <w:rFonts w:ascii="Cambria" w:eastAsia="Times New Roman" w:hAnsi="Cambria"/>
          <w:bCs/>
          <w:sz w:val="20"/>
          <w:szCs w:val="20"/>
          <w:bdr w:val="none" w:sz="0" w:space="0" w:color="auto"/>
        </w:rPr>
        <w:t xml:space="preserve"> </w:t>
      </w:r>
      <w:r w:rsidR="00AF6703" w:rsidRPr="00676B15">
        <w:rPr>
          <w:rFonts w:ascii="Cambria" w:eastAsia="Times New Roman" w:hAnsi="Cambria"/>
          <w:bCs/>
          <w:sz w:val="20"/>
          <w:szCs w:val="20"/>
          <w:bdr w:val="none" w:sz="0" w:space="0" w:color="auto"/>
        </w:rPr>
        <w:t>under “proper conditions</w:t>
      </w:r>
      <w:r w:rsidR="009C682E" w:rsidRPr="00676B15">
        <w:rPr>
          <w:rFonts w:ascii="Cambria" w:eastAsia="Times New Roman" w:hAnsi="Cambria"/>
          <w:bCs/>
          <w:sz w:val="20"/>
          <w:szCs w:val="20"/>
          <w:bdr w:val="none" w:sz="0" w:space="0" w:color="auto"/>
        </w:rPr>
        <w:t>,</w:t>
      </w:r>
      <w:r w:rsidR="00AF6703" w:rsidRPr="00676B15">
        <w:rPr>
          <w:rFonts w:ascii="Cambria" w:eastAsia="Times New Roman" w:hAnsi="Cambria"/>
          <w:bCs/>
          <w:sz w:val="20"/>
          <w:szCs w:val="20"/>
          <w:bdr w:val="none" w:sz="0" w:space="0" w:color="auto"/>
        </w:rPr>
        <w:t>”</w:t>
      </w:r>
      <w:r w:rsidR="009C682E" w:rsidRPr="00676B15">
        <w:rPr>
          <w:rFonts w:ascii="Cambria" w:eastAsia="Times New Roman" w:hAnsi="Cambria"/>
          <w:bCs/>
          <w:sz w:val="20"/>
          <w:szCs w:val="20"/>
          <w:bdr w:val="none" w:sz="0" w:space="0" w:color="auto"/>
        </w:rPr>
        <w:t xml:space="preserve"> defined as</w:t>
      </w:r>
      <w:r w:rsidR="00C40B8C" w:rsidRPr="00676B15">
        <w:rPr>
          <w:rFonts w:ascii="Cambria" w:eastAsia="Times New Roman" w:hAnsi="Cambria"/>
          <w:bCs/>
          <w:sz w:val="20"/>
          <w:szCs w:val="20"/>
          <w:bdr w:val="none" w:sz="0" w:space="0" w:color="auto"/>
        </w:rPr>
        <w:t xml:space="preserve"> </w:t>
      </w:r>
      <w:r w:rsidR="00AF6703" w:rsidRPr="00676B15">
        <w:rPr>
          <w:rFonts w:ascii="Cambria" w:eastAsia="Times New Roman" w:hAnsi="Cambria"/>
          <w:bCs/>
          <w:sz w:val="20"/>
          <w:szCs w:val="20"/>
          <w:bdr w:val="none" w:sz="0" w:space="0" w:color="auto"/>
        </w:rPr>
        <w:t>those that “ensure life, health and a decent standard of living for the worker and his family, both during his working years and in his old age, or when any circumstance deprives him of the possibility of working.”</w:t>
      </w:r>
      <w:r w:rsidR="00AF6703" w:rsidRPr="00676B15">
        <w:rPr>
          <w:rStyle w:val="FootnoteReference"/>
          <w:rFonts w:ascii="Cambria" w:eastAsia="Times New Roman" w:hAnsi="Cambria"/>
          <w:bCs/>
          <w:sz w:val="20"/>
          <w:szCs w:val="20"/>
          <w:bdr w:val="none" w:sz="0" w:space="0" w:color="auto"/>
        </w:rPr>
        <w:footnoteReference w:id="115"/>
      </w:r>
      <w:r w:rsidR="00AF6703" w:rsidRPr="00676B15">
        <w:rPr>
          <w:rFonts w:ascii="Cambria" w:eastAsia="Times New Roman" w:hAnsi="Cambria"/>
          <w:bCs/>
          <w:sz w:val="20"/>
          <w:szCs w:val="20"/>
          <w:bdr w:val="none" w:sz="0" w:space="0" w:color="auto"/>
        </w:rPr>
        <w:t xml:space="preserve"> </w:t>
      </w:r>
    </w:p>
    <w:p w14:paraId="1AE91E74" w14:textId="77777777" w:rsidR="00AF6703" w:rsidRPr="00676B15" w:rsidRDefault="00AF6703" w:rsidP="00AF6703">
      <w:pPr>
        <w:pStyle w:val="ListParagraph"/>
        <w:rPr>
          <w:rFonts w:eastAsia="Times New Roman"/>
          <w:bCs/>
          <w:sz w:val="20"/>
          <w:szCs w:val="20"/>
          <w:bdr w:val="none" w:sz="0" w:space="0" w:color="auto"/>
        </w:rPr>
      </w:pPr>
    </w:p>
    <w:p w14:paraId="7C420AC0" w14:textId="004209D0" w:rsidR="009D5A67" w:rsidRPr="00676B15" w:rsidRDefault="00DE61FD" w:rsidP="0032681C">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rPr>
      </w:pPr>
      <w:r w:rsidRPr="00676B15">
        <w:rPr>
          <w:rFonts w:ascii="Cambria" w:eastAsia="Times New Roman" w:hAnsi="Cambria"/>
          <w:bCs/>
          <w:sz w:val="20"/>
          <w:szCs w:val="20"/>
          <w:bdr w:val="none" w:sz="0" w:space="0" w:color="auto"/>
        </w:rPr>
        <w:t xml:space="preserve">In the present, the Commission finds that </w:t>
      </w:r>
      <w:r w:rsidR="0072535D" w:rsidRPr="00676B15">
        <w:rPr>
          <w:rFonts w:ascii="Cambria" w:eastAsia="Times New Roman" w:hAnsi="Cambria"/>
          <w:bCs/>
          <w:sz w:val="20"/>
          <w:szCs w:val="20"/>
          <w:bdr w:val="none" w:sz="0" w:space="0" w:color="auto"/>
        </w:rPr>
        <w:t xml:space="preserve">workers’ compensation programs and </w:t>
      </w:r>
      <w:r w:rsidRPr="00676B15">
        <w:rPr>
          <w:rFonts w:ascii="Cambria" w:eastAsia="Times New Roman" w:hAnsi="Cambria"/>
          <w:bCs/>
          <w:sz w:val="20"/>
          <w:szCs w:val="20"/>
          <w:bdr w:val="none" w:sz="0" w:space="0" w:color="auto"/>
        </w:rPr>
        <w:t xml:space="preserve">the benefits provided </w:t>
      </w:r>
      <w:r w:rsidR="0072535D" w:rsidRPr="00676B15">
        <w:rPr>
          <w:rFonts w:ascii="Cambria" w:eastAsia="Times New Roman" w:hAnsi="Cambria"/>
          <w:bCs/>
          <w:sz w:val="20"/>
          <w:szCs w:val="20"/>
          <w:bdr w:val="none" w:sz="0" w:space="0" w:color="auto"/>
        </w:rPr>
        <w:t>through them</w:t>
      </w:r>
      <w:r w:rsidRPr="00676B15">
        <w:rPr>
          <w:rFonts w:ascii="Cambria" w:eastAsia="Times New Roman" w:hAnsi="Cambria"/>
          <w:bCs/>
          <w:sz w:val="20"/>
          <w:szCs w:val="20"/>
          <w:bdr w:val="none" w:sz="0" w:space="0" w:color="auto"/>
        </w:rPr>
        <w:t xml:space="preserve"> </w:t>
      </w:r>
      <w:r w:rsidR="00B97C17" w:rsidRPr="00676B15">
        <w:rPr>
          <w:rFonts w:ascii="Cambria" w:eastAsia="Times New Roman" w:hAnsi="Cambria"/>
          <w:bCs/>
          <w:sz w:val="20"/>
          <w:szCs w:val="20"/>
          <w:bdr w:val="none" w:sz="0" w:space="0" w:color="auto"/>
        </w:rPr>
        <w:t>fall squarely</w:t>
      </w:r>
      <w:r w:rsidRPr="00676B15">
        <w:rPr>
          <w:rFonts w:ascii="Cambria" w:eastAsia="Times New Roman" w:hAnsi="Cambria"/>
          <w:bCs/>
          <w:sz w:val="20"/>
          <w:szCs w:val="20"/>
          <w:bdr w:val="none" w:sz="0" w:space="0" w:color="auto"/>
        </w:rPr>
        <w:t xml:space="preserve"> within </w:t>
      </w:r>
      <w:r w:rsidR="0072535D" w:rsidRPr="00676B15">
        <w:rPr>
          <w:rFonts w:ascii="Cambria" w:eastAsia="Times New Roman" w:hAnsi="Cambria"/>
          <w:bCs/>
          <w:sz w:val="20"/>
          <w:szCs w:val="20"/>
          <w:bdr w:val="none" w:sz="0" w:space="0" w:color="auto"/>
        </w:rPr>
        <w:t xml:space="preserve">the concept of “proper conditions” as prescribed in the OAS Charter. </w:t>
      </w:r>
      <w:r w:rsidR="00B97C17" w:rsidRPr="00676B15">
        <w:rPr>
          <w:rFonts w:ascii="Cambria" w:eastAsia="Times New Roman" w:hAnsi="Cambria"/>
          <w:bCs/>
          <w:sz w:val="20"/>
          <w:szCs w:val="20"/>
          <w:bdr w:val="none" w:sz="0" w:space="0" w:color="auto"/>
        </w:rPr>
        <w:t>Payments for medical care due to injuries suffered on the job and disability payments, among others, are precisely those types of conditions that ensure life, health, and a decent standard of living when a circumstance, s</w:t>
      </w:r>
      <w:r w:rsidR="00973E58" w:rsidRPr="00676B15">
        <w:rPr>
          <w:rFonts w:ascii="Cambria" w:eastAsia="Times New Roman" w:hAnsi="Cambria"/>
          <w:bCs/>
          <w:sz w:val="20"/>
          <w:szCs w:val="20"/>
          <w:bdr w:val="none" w:sz="0" w:space="0" w:color="auto"/>
        </w:rPr>
        <w:t>uch as an accident, deprive</w:t>
      </w:r>
      <w:r w:rsidR="001A4873" w:rsidRPr="00676B15">
        <w:rPr>
          <w:rFonts w:ascii="Cambria" w:eastAsia="Times New Roman" w:hAnsi="Cambria"/>
          <w:bCs/>
          <w:sz w:val="20"/>
          <w:szCs w:val="20"/>
          <w:bdr w:val="none" w:sz="0" w:space="0" w:color="auto"/>
        </w:rPr>
        <w:t>s</w:t>
      </w:r>
      <w:r w:rsidR="00973E58" w:rsidRPr="00676B15">
        <w:rPr>
          <w:rFonts w:ascii="Cambria" w:eastAsia="Times New Roman" w:hAnsi="Cambria"/>
          <w:bCs/>
          <w:sz w:val="20"/>
          <w:szCs w:val="20"/>
          <w:bdr w:val="none" w:sz="0" w:space="0" w:color="auto"/>
        </w:rPr>
        <w:t xml:space="preserve"> a worker of the possibility of working. </w:t>
      </w:r>
      <w:r w:rsidR="007A1C55" w:rsidRPr="00676B15">
        <w:rPr>
          <w:rFonts w:ascii="Cambria" w:eastAsia="Times New Roman" w:hAnsi="Cambria"/>
          <w:bCs/>
          <w:sz w:val="20"/>
          <w:szCs w:val="20"/>
          <w:bdr w:val="none" w:sz="0" w:space="0" w:color="auto"/>
        </w:rPr>
        <w:t>In addition, the failure to remedy the wrong with the correct or proportionate redress</w:t>
      </w:r>
      <w:r w:rsidR="001A4873" w:rsidRPr="00676B15">
        <w:rPr>
          <w:rFonts w:ascii="Cambria" w:eastAsia="Times New Roman" w:hAnsi="Cambria"/>
          <w:bCs/>
          <w:sz w:val="20"/>
          <w:szCs w:val="20"/>
          <w:bdr w:val="none" w:sz="0" w:space="0" w:color="auto"/>
        </w:rPr>
        <w:t xml:space="preserve"> in the situation of these undocumented workers</w:t>
      </w:r>
      <w:r w:rsidR="007A1C55" w:rsidRPr="00676B15">
        <w:rPr>
          <w:rFonts w:ascii="Cambria" w:eastAsia="Times New Roman" w:hAnsi="Cambria"/>
          <w:bCs/>
          <w:sz w:val="20"/>
          <w:szCs w:val="20"/>
          <w:bdr w:val="none" w:sz="0" w:space="0" w:color="auto"/>
        </w:rPr>
        <w:t xml:space="preserve"> constitutes an impermissible </w:t>
      </w:r>
      <w:r w:rsidR="00DC1D5B" w:rsidRPr="00676B15">
        <w:rPr>
          <w:rFonts w:ascii="Cambria" w:eastAsia="Times New Roman" w:hAnsi="Cambria"/>
          <w:bCs/>
          <w:sz w:val="20"/>
          <w:szCs w:val="20"/>
          <w:bdr w:val="none" w:sz="0" w:space="0" w:color="auto"/>
        </w:rPr>
        <w:t xml:space="preserve">failure to recognize </w:t>
      </w:r>
      <w:r w:rsidR="001A4873" w:rsidRPr="00676B15">
        <w:rPr>
          <w:rFonts w:ascii="Cambria" w:eastAsia="Times New Roman" w:hAnsi="Cambria"/>
          <w:bCs/>
          <w:sz w:val="20"/>
          <w:szCs w:val="20"/>
          <w:bdr w:val="none" w:sz="0" w:space="0" w:color="auto"/>
        </w:rPr>
        <w:t>their</w:t>
      </w:r>
      <w:r w:rsidR="007A1C55" w:rsidRPr="00676B15">
        <w:rPr>
          <w:rFonts w:ascii="Cambria" w:eastAsia="Times New Roman" w:hAnsi="Cambria"/>
          <w:bCs/>
          <w:sz w:val="20"/>
          <w:szCs w:val="20"/>
          <w:bdr w:val="none" w:sz="0" w:space="0" w:color="auto"/>
        </w:rPr>
        <w:t xml:space="preserve"> juridical personality</w:t>
      </w:r>
      <w:r w:rsidR="001A4873" w:rsidRPr="00676B15">
        <w:rPr>
          <w:rFonts w:ascii="Cambria" w:eastAsia="Times New Roman" w:hAnsi="Cambria"/>
          <w:bCs/>
          <w:sz w:val="20"/>
          <w:szCs w:val="20"/>
          <w:bdr w:val="none" w:sz="0" w:space="0" w:color="auto"/>
        </w:rPr>
        <w:t xml:space="preserve">. In effect, this failure creates </w:t>
      </w:r>
      <w:r w:rsidR="007A1C55" w:rsidRPr="00676B15">
        <w:rPr>
          <w:rFonts w:ascii="Cambria" w:eastAsia="Times New Roman" w:hAnsi="Cambria"/>
          <w:bCs/>
          <w:sz w:val="20"/>
          <w:szCs w:val="20"/>
          <w:bdr w:val="none" w:sz="0" w:space="0" w:color="auto"/>
        </w:rPr>
        <w:t xml:space="preserve">a legal limbo </w:t>
      </w:r>
      <w:r w:rsidR="001A4873" w:rsidRPr="00676B15">
        <w:rPr>
          <w:rFonts w:ascii="Cambria" w:eastAsia="Times New Roman" w:hAnsi="Cambria"/>
          <w:bCs/>
          <w:sz w:val="20"/>
          <w:szCs w:val="20"/>
          <w:bdr w:val="none" w:sz="0" w:space="0" w:color="auto"/>
        </w:rPr>
        <w:t xml:space="preserve">in which </w:t>
      </w:r>
      <w:r w:rsidR="001567A7" w:rsidRPr="00676B15">
        <w:rPr>
          <w:rFonts w:ascii="Cambria" w:eastAsia="Times New Roman" w:hAnsi="Cambria"/>
          <w:bCs/>
          <w:sz w:val="20"/>
          <w:szCs w:val="20"/>
          <w:bdr w:val="none" w:sz="0" w:space="0" w:color="auto"/>
        </w:rPr>
        <w:t xml:space="preserve">the violations committed against them are </w:t>
      </w:r>
      <w:r w:rsidR="000131FE" w:rsidRPr="00676B15">
        <w:rPr>
          <w:rFonts w:ascii="Cambria" w:eastAsia="Times New Roman" w:hAnsi="Cambria"/>
          <w:bCs/>
          <w:sz w:val="20"/>
          <w:szCs w:val="20"/>
          <w:bdr w:val="none" w:sz="0" w:space="0" w:color="auto"/>
        </w:rPr>
        <w:t>not recognized under the law</w:t>
      </w:r>
      <w:r w:rsidR="001567A7" w:rsidRPr="00676B15">
        <w:rPr>
          <w:rFonts w:ascii="Cambria" w:eastAsia="Times New Roman" w:hAnsi="Cambria"/>
          <w:bCs/>
          <w:sz w:val="20"/>
          <w:szCs w:val="20"/>
          <w:bdr w:val="none" w:sz="0" w:space="0" w:color="auto"/>
        </w:rPr>
        <w:t xml:space="preserve">. </w:t>
      </w:r>
    </w:p>
    <w:p w14:paraId="0CA353F3" w14:textId="77777777" w:rsidR="009D5A67" w:rsidRPr="00676B15" w:rsidRDefault="009D5A67" w:rsidP="009D5A6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70D84FD7" w14:textId="2219785E" w:rsidR="00892571" w:rsidRPr="00676B15" w:rsidRDefault="00194DCD" w:rsidP="00DE61FD">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Based on a review of this Commiss</w:t>
      </w:r>
      <w:r w:rsidR="00D26748" w:rsidRPr="00676B15">
        <w:rPr>
          <w:rFonts w:ascii="Cambria" w:eastAsia="Times New Roman" w:hAnsi="Cambria"/>
          <w:bCs/>
          <w:sz w:val="20"/>
          <w:szCs w:val="20"/>
          <w:bdr w:val="none" w:sz="0" w:space="0" w:color="auto"/>
        </w:rPr>
        <w:t>i</w:t>
      </w:r>
      <w:r w:rsidRPr="00676B15">
        <w:rPr>
          <w:rFonts w:ascii="Cambria" w:eastAsia="Times New Roman" w:hAnsi="Cambria"/>
          <w:bCs/>
          <w:sz w:val="20"/>
          <w:szCs w:val="20"/>
          <w:bdr w:val="none" w:sz="0" w:space="0" w:color="auto"/>
        </w:rPr>
        <w:t>on’s decisions and principles of international law, the IACHR considers that undocumented workers should not be denied protection of their human rights by the State</w:t>
      </w:r>
      <w:r w:rsidR="0095413A" w:rsidRPr="00676B15">
        <w:rPr>
          <w:rFonts w:ascii="Cambria" w:eastAsia="Times New Roman" w:hAnsi="Cambria"/>
          <w:bCs/>
          <w:sz w:val="20"/>
          <w:szCs w:val="20"/>
          <w:bdr w:val="none" w:sz="0" w:space="0" w:color="auto"/>
        </w:rPr>
        <w:t xml:space="preserve"> on the basis of infractions </w:t>
      </w:r>
      <w:r w:rsidR="000131FE" w:rsidRPr="00676B15">
        <w:rPr>
          <w:rFonts w:ascii="Cambria" w:eastAsia="Times New Roman" w:hAnsi="Cambria"/>
          <w:bCs/>
          <w:sz w:val="20"/>
          <w:szCs w:val="20"/>
          <w:bdr w:val="none" w:sz="0" w:space="0" w:color="auto"/>
        </w:rPr>
        <w:t>of</w:t>
      </w:r>
      <w:r w:rsidR="0095413A" w:rsidRPr="00676B15">
        <w:rPr>
          <w:rFonts w:ascii="Cambria" w:eastAsia="Times New Roman" w:hAnsi="Cambria"/>
          <w:bCs/>
          <w:sz w:val="20"/>
          <w:szCs w:val="20"/>
          <w:bdr w:val="none" w:sz="0" w:space="0" w:color="auto"/>
        </w:rPr>
        <w:t xml:space="preserve"> immigration regulations</w:t>
      </w:r>
      <w:r w:rsidRPr="00676B15">
        <w:rPr>
          <w:rFonts w:ascii="Cambria" w:eastAsia="Times New Roman" w:hAnsi="Cambria"/>
          <w:bCs/>
          <w:sz w:val="20"/>
          <w:szCs w:val="20"/>
          <w:bdr w:val="none" w:sz="0" w:space="0" w:color="auto"/>
        </w:rPr>
        <w:t xml:space="preserve">. </w:t>
      </w:r>
      <w:r w:rsidR="0095413A" w:rsidRPr="00676B15">
        <w:rPr>
          <w:rFonts w:ascii="Cambria" w:eastAsia="Times New Roman" w:hAnsi="Cambria"/>
          <w:bCs/>
          <w:sz w:val="20"/>
          <w:szCs w:val="20"/>
          <w:bdr w:val="none" w:sz="0" w:space="0" w:color="auto"/>
        </w:rPr>
        <w:t xml:space="preserve">In other words, it does not follow that an infraction of (civil) domestic legislation in </w:t>
      </w:r>
      <w:r w:rsidR="000131FE" w:rsidRPr="00676B15">
        <w:rPr>
          <w:rFonts w:ascii="Cambria" w:eastAsia="Times New Roman" w:hAnsi="Cambria"/>
          <w:bCs/>
          <w:sz w:val="20"/>
          <w:szCs w:val="20"/>
          <w:bdr w:val="none" w:sz="0" w:space="0" w:color="auto"/>
        </w:rPr>
        <w:t>one</w:t>
      </w:r>
      <w:r w:rsidR="0095413A" w:rsidRPr="00676B15">
        <w:rPr>
          <w:rFonts w:ascii="Cambria" w:eastAsia="Times New Roman" w:hAnsi="Cambria"/>
          <w:bCs/>
          <w:sz w:val="20"/>
          <w:szCs w:val="20"/>
          <w:bdr w:val="none" w:sz="0" w:space="0" w:color="auto"/>
        </w:rPr>
        <w:t xml:space="preserve"> area should be used to deprive that person of the protection of his or her rights in another. The IACHR </w:t>
      </w:r>
      <w:r w:rsidR="00DC1D5B" w:rsidRPr="00676B15">
        <w:rPr>
          <w:rFonts w:ascii="Cambria" w:eastAsia="Times New Roman" w:hAnsi="Cambria"/>
          <w:bCs/>
          <w:sz w:val="20"/>
          <w:szCs w:val="20"/>
          <w:bdr w:val="none" w:sz="0" w:space="0" w:color="auto"/>
        </w:rPr>
        <w:t>emphasizes</w:t>
      </w:r>
      <w:r w:rsidR="0095413A" w:rsidRPr="00676B15">
        <w:rPr>
          <w:rFonts w:ascii="Cambria" w:eastAsia="Times New Roman" w:hAnsi="Cambria"/>
          <w:bCs/>
          <w:sz w:val="20"/>
          <w:szCs w:val="20"/>
          <w:bdr w:val="none" w:sz="0" w:space="0" w:color="auto"/>
        </w:rPr>
        <w:t xml:space="preserve"> that </w:t>
      </w:r>
      <w:r w:rsidRPr="00676B15">
        <w:rPr>
          <w:rFonts w:ascii="Cambria" w:eastAsia="Times New Roman" w:hAnsi="Cambria"/>
          <w:bCs/>
          <w:sz w:val="20"/>
          <w:szCs w:val="20"/>
          <w:bdr w:val="none" w:sz="0" w:space="0" w:color="auto"/>
        </w:rPr>
        <w:t xml:space="preserve">an infraction of a State’s immigration laws does not exempt the State from complying with its obligations imposed by both </w:t>
      </w:r>
      <w:r w:rsidR="0095413A" w:rsidRPr="00676B15">
        <w:rPr>
          <w:rFonts w:ascii="Cambria" w:eastAsia="Times New Roman" w:hAnsi="Cambria"/>
          <w:bCs/>
          <w:sz w:val="20"/>
          <w:szCs w:val="20"/>
          <w:bdr w:val="none" w:sz="0" w:space="0" w:color="auto"/>
        </w:rPr>
        <w:t>domestic and international law to remedy</w:t>
      </w:r>
      <w:r w:rsidRPr="00676B15">
        <w:rPr>
          <w:rFonts w:ascii="Cambria" w:eastAsia="Times New Roman" w:hAnsi="Cambria"/>
          <w:bCs/>
          <w:sz w:val="20"/>
          <w:szCs w:val="20"/>
          <w:bdr w:val="none" w:sz="0" w:space="0" w:color="auto"/>
        </w:rPr>
        <w:t xml:space="preserve"> the violation of labor rights. To </w:t>
      </w:r>
      <w:r w:rsidR="005A3615" w:rsidRPr="00676B15">
        <w:rPr>
          <w:rFonts w:ascii="Cambria" w:eastAsia="Times New Roman" w:hAnsi="Cambria"/>
          <w:bCs/>
          <w:sz w:val="20"/>
          <w:szCs w:val="20"/>
          <w:bdr w:val="none" w:sz="0" w:space="0" w:color="auto"/>
        </w:rPr>
        <w:t>find</w:t>
      </w:r>
      <w:r w:rsidRPr="00676B15">
        <w:rPr>
          <w:rFonts w:ascii="Cambria" w:eastAsia="Times New Roman" w:hAnsi="Cambria"/>
          <w:bCs/>
          <w:sz w:val="20"/>
          <w:szCs w:val="20"/>
          <w:bdr w:val="none" w:sz="0" w:space="0" w:color="auto"/>
        </w:rPr>
        <w:t xml:space="preserve"> otherwise would </w:t>
      </w:r>
      <w:r w:rsidR="005A3615" w:rsidRPr="00676B15">
        <w:rPr>
          <w:rFonts w:ascii="Cambria" w:eastAsia="Times New Roman" w:hAnsi="Cambria"/>
          <w:bCs/>
          <w:sz w:val="20"/>
          <w:szCs w:val="20"/>
          <w:bdr w:val="none" w:sz="0" w:space="0" w:color="auto"/>
        </w:rPr>
        <w:t xml:space="preserve">be to </w:t>
      </w:r>
      <w:r w:rsidR="00D26748" w:rsidRPr="00676B15">
        <w:rPr>
          <w:rFonts w:ascii="Cambria" w:eastAsia="Times New Roman" w:hAnsi="Cambria"/>
          <w:bCs/>
          <w:sz w:val="20"/>
          <w:szCs w:val="20"/>
          <w:bdr w:val="none" w:sz="0" w:space="0" w:color="auto"/>
        </w:rPr>
        <w:t xml:space="preserve">provide for an indirect, yet highly </w:t>
      </w:r>
      <w:r w:rsidR="00D26748" w:rsidRPr="00676B15">
        <w:rPr>
          <w:rFonts w:ascii="Cambria" w:eastAsia="Times New Roman" w:hAnsi="Cambria"/>
          <w:bCs/>
          <w:sz w:val="20"/>
          <w:szCs w:val="20"/>
          <w:bdr w:val="none" w:sz="0" w:space="0" w:color="auto"/>
        </w:rPr>
        <w:lastRenderedPageBreak/>
        <w:t xml:space="preserve">effective, way of discriminating against undocumented migrant workers by denying them juridical personality and creating legal inequality between persons. </w:t>
      </w:r>
      <w:r w:rsidR="00892571" w:rsidRPr="00676B15">
        <w:rPr>
          <w:rFonts w:ascii="Cambria" w:eastAsia="Times New Roman" w:hAnsi="Cambria"/>
          <w:bCs/>
          <w:sz w:val="20"/>
          <w:szCs w:val="20"/>
          <w:bdr w:val="none" w:sz="0" w:space="0" w:color="auto"/>
        </w:rPr>
        <w:t xml:space="preserve"> </w:t>
      </w:r>
    </w:p>
    <w:p w14:paraId="357BDEA5" w14:textId="77777777" w:rsidR="00B7084B" w:rsidRPr="00676B15" w:rsidRDefault="00B7084B" w:rsidP="00B7084B">
      <w:pPr>
        <w:pStyle w:val="ListParagraph"/>
        <w:rPr>
          <w:rFonts w:eastAsia="Times New Roman"/>
          <w:bCs/>
          <w:sz w:val="20"/>
          <w:szCs w:val="20"/>
          <w:bdr w:val="none" w:sz="0" w:space="0" w:color="auto"/>
        </w:rPr>
      </w:pPr>
    </w:p>
    <w:p w14:paraId="6C193D60" w14:textId="72A961F1" w:rsidR="00AD1988" w:rsidRPr="00676B15" w:rsidRDefault="0095413A" w:rsidP="0095413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As this Commission has recognized previously, both Articles XVII and XVIII are predicated upon the recognition and protection by a State of an individual’s fundamental civil and constitutional rights. Article XVIII further prescribes a fundamental role for the courts of a State in ensuring and protecting these basic rights.</w:t>
      </w:r>
      <w:r w:rsidRPr="00676B15">
        <w:rPr>
          <w:rStyle w:val="FootnoteReference"/>
          <w:rFonts w:ascii="Cambria" w:eastAsia="Times New Roman" w:hAnsi="Cambria"/>
          <w:bCs/>
          <w:sz w:val="20"/>
          <w:szCs w:val="20"/>
          <w:bdr w:val="none" w:sz="0" w:space="0" w:color="auto"/>
        </w:rPr>
        <w:footnoteReference w:id="116"/>
      </w:r>
      <w:r w:rsidRPr="00676B15">
        <w:rPr>
          <w:rFonts w:ascii="Cambria" w:eastAsia="Times New Roman" w:hAnsi="Cambria"/>
          <w:bCs/>
          <w:sz w:val="20"/>
          <w:szCs w:val="20"/>
          <w:bdr w:val="none" w:sz="0" w:space="0" w:color="auto"/>
        </w:rPr>
        <w:t xml:space="preserve"> For its part, </w:t>
      </w:r>
      <w:r w:rsidR="00AD1988" w:rsidRPr="00676B15">
        <w:rPr>
          <w:rFonts w:ascii="Cambria" w:eastAsia="Times New Roman" w:hAnsi="Cambria"/>
          <w:bCs/>
          <w:sz w:val="20"/>
          <w:szCs w:val="20"/>
          <w:bdr w:val="none" w:sz="0" w:space="0" w:color="auto"/>
        </w:rPr>
        <w:t>Article XVIII of the American Declaration establishes that all persons are entitled to access judicial remedies when they have suffered human rights violations.</w:t>
      </w:r>
      <w:r w:rsidR="00AD1988" w:rsidRPr="00676B15">
        <w:rPr>
          <w:rFonts w:ascii="Cambria" w:eastAsia="Times New Roman" w:hAnsi="Cambria"/>
          <w:bCs/>
          <w:sz w:val="20"/>
          <w:szCs w:val="20"/>
          <w:bdr w:val="none" w:sz="0" w:space="0" w:color="auto"/>
          <w:vertAlign w:val="superscript"/>
        </w:rPr>
        <w:footnoteReference w:id="117"/>
      </w:r>
      <w:r w:rsidR="00AD1988" w:rsidRPr="00676B15">
        <w:rPr>
          <w:rFonts w:ascii="Cambria" w:eastAsia="Times New Roman" w:hAnsi="Cambria"/>
          <w:bCs/>
          <w:sz w:val="20"/>
          <w:szCs w:val="20"/>
          <w:bdr w:val="none" w:sz="0" w:space="0" w:color="auto"/>
        </w:rPr>
        <w:t xml:space="preserve">   This right is similar in scope to the right to judicial protection and guarantees contained in Article 25 of the American Convention on Human Rights, which is understood to encompass: the right of every individual to go to a tribunal when any of his or her rights have been violated; to obtain a judicial investigation conducted by a competent, impartial and independent tribunal that establishes whether or not a violation has taken place; and the corresponding right to obtain reparations for the harm suffered.</w:t>
      </w:r>
      <w:r w:rsidR="00AD1988" w:rsidRPr="00676B15">
        <w:rPr>
          <w:rFonts w:ascii="Cambria" w:eastAsia="Times New Roman" w:hAnsi="Cambria"/>
          <w:bCs/>
          <w:sz w:val="20"/>
          <w:szCs w:val="20"/>
          <w:bdr w:val="none" w:sz="0" w:space="0" w:color="auto"/>
          <w:vertAlign w:val="superscript"/>
          <w:lang w:val="fr-FR"/>
        </w:rPr>
        <w:footnoteReference w:id="118"/>
      </w:r>
    </w:p>
    <w:p w14:paraId="1F54791F" w14:textId="77777777" w:rsidR="00833F55" w:rsidRPr="00676B15" w:rsidRDefault="00833F55" w:rsidP="00833F55">
      <w:pPr>
        <w:pStyle w:val="ListParagraph"/>
        <w:rPr>
          <w:rFonts w:eastAsia="Times New Roman"/>
          <w:bCs/>
          <w:sz w:val="20"/>
          <w:szCs w:val="20"/>
          <w:bdr w:val="none" w:sz="0" w:space="0" w:color="auto"/>
        </w:rPr>
      </w:pPr>
    </w:p>
    <w:p w14:paraId="06B76DD0" w14:textId="28D3850F" w:rsidR="00B3322A" w:rsidRPr="00676B15" w:rsidRDefault="00AD1988" w:rsidP="00B332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The </w:t>
      </w:r>
      <w:r w:rsidR="00833F55" w:rsidRPr="00676B15">
        <w:rPr>
          <w:rFonts w:ascii="Cambria" w:eastAsia="Times New Roman" w:hAnsi="Cambria"/>
          <w:bCs/>
          <w:sz w:val="20"/>
          <w:szCs w:val="20"/>
          <w:bdr w:val="none" w:sz="0" w:space="0" w:color="auto"/>
        </w:rPr>
        <w:t>Commission</w:t>
      </w:r>
      <w:r w:rsidRPr="00676B15">
        <w:rPr>
          <w:rFonts w:ascii="Cambria" w:eastAsia="Times New Roman" w:hAnsi="Cambria"/>
          <w:bCs/>
          <w:sz w:val="20"/>
          <w:szCs w:val="20"/>
          <w:bdr w:val="none" w:sz="0" w:space="0" w:color="auto"/>
        </w:rPr>
        <w:t xml:space="preserve"> has affirmed for many years that it is not the formal existence of </w:t>
      </w:r>
      <w:r w:rsidR="00B234DB" w:rsidRPr="00676B15">
        <w:rPr>
          <w:rFonts w:ascii="Cambria" w:eastAsia="Times New Roman" w:hAnsi="Cambria"/>
          <w:bCs/>
          <w:sz w:val="20"/>
          <w:szCs w:val="20"/>
          <w:bdr w:val="none" w:sz="0" w:space="0" w:color="auto"/>
        </w:rPr>
        <w:t>judicial</w:t>
      </w:r>
      <w:r w:rsidRPr="00676B15">
        <w:rPr>
          <w:rFonts w:ascii="Cambria" w:eastAsia="Times New Roman" w:hAnsi="Cambria"/>
          <w:bCs/>
          <w:sz w:val="20"/>
          <w:szCs w:val="20"/>
          <w:bdr w:val="none" w:sz="0" w:space="0" w:color="auto"/>
        </w:rPr>
        <w:t xml:space="preserve"> remedies that demonstrates due diligence, but rather that they are </w:t>
      </w:r>
      <w:r w:rsidR="00793E70" w:rsidRPr="00676B15">
        <w:rPr>
          <w:rFonts w:ascii="Cambria" w:eastAsia="Times New Roman" w:hAnsi="Cambria"/>
          <w:bCs/>
          <w:sz w:val="20"/>
          <w:szCs w:val="20"/>
          <w:bdr w:val="none" w:sz="0" w:space="0" w:color="auto"/>
        </w:rPr>
        <w:t>adequate</w:t>
      </w:r>
      <w:r w:rsidRPr="00676B15">
        <w:rPr>
          <w:rFonts w:ascii="Cambria" w:eastAsia="Times New Roman" w:hAnsi="Cambria"/>
          <w:bCs/>
          <w:sz w:val="20"/>
          <w:szCs w:val="20"/>
          <w:bdr w:val="none" w:sz="0" w:space="0" w:color="auto"/>
        </w:rPr>
        <w:t xml:space="preserve"> and effective.</w:t>
      </w:r>
      <w:r w:rsidRPr="00676B15">
        <w:rPr>
          <w:rFonts w:ascii="Cambria" w:eastAsia="Times New Roman" w:hAnsi="Cambria"/>
          <w:bCs/>
          <w:sz w:val="20"/>
          <w:szCs w:val="20"/>
          <w:bdr w:val="none" w:sz="0" w:space="0" w:color="auto"/>
          <w:vertAlign w:val="superscript"/>
          <w:lang w:val="fr-FR"/>
        </w:rPr>
        <w:footnoteReference w:id="119"/>
      </w:r>
      <w:r w:rsidRPr="00676B15">
        <w:rPr>
          <w:rFonts w:ascii="Cambria" w:eastAsia="Times New Roman" w:hAnsi="Cambria"/>
          <w:bCs/>
          <w:sz w:val="20"/>
          <w:szCs w:val="20"/>
          <w:bdr w:val="none" w:sz="0" w:space="0" w:color="auto"/>
        </w:rPr>
        <w:t xml:space="preserve">  </w:t>
      </w:r>
      <w:r w:rsidR="00833F55" w:rsidRPr="00676B15">
        <w:rPr>
          <w:rFonts w:ascii="Cambria" w:eastAsia="Times New Roman" w:hAnsi="Cambria"/>
          <w:bCs/>
          <w:sz w:val="20"/>
          <w:szCs w:val="20"/>
          <w:bdr w:val="none" w:sz="0" w:space="0" w:color="auto"/>
        </w:rPr>
        <w:t>The “effectiveness” of a judicial remedy has two aspects: one is normative and the other is empirical.</w:t>
      </w:r>
      <w:r w:rsidR="00833F55" w:rsidRPr="00676B15">
        <w:rPr>
          <w:rStyle w:val="FootnoteReference"/>
          <w:rFonts w:ascii="Cambria" w:eastAsia="Times New Roman" w:hAnsi="Cambria"/>
          <w:bCs/>
          <w:sz w:val="20"/>
          <w:szCs w:val="20"/>
          <w:bdr w:val="none" w:sz="0" w:space="0" w:color="auto"/>
        </w:rPr>
        <w:footnoteReference w:id="120"/>
      </w:r>
      <w:r w:rsidR="001807A7" w:rsidRPr="00676B15">
        <w:rPr>
          <w:rFonts w:ascii="Cambria" w:eastAsia="Times New Roman" w:hAnsi="Cambria"/>
          <w:bCs/>
          <w:sz w:val="20"/>
          <w:szCs w:val="20"/>
          <w:bdr w:val="none" w:sz="0" w:space="0" w:color="auto"/>
        </w:rPr>
        <w:t xml:space="preserve"> The normative aspect </w:t>
      </w:r>
      <w:r w:rsidR="00B3322A" w:rsidRPr="00676B15">
        <w:rPr>
          <w:rFonts w:ascii="Cambria" w:eastAsia="Times New Roman" w:hAnsi="Cambria"/>
          <w:bCs/>
          <w:sz w:val="20"/>
          <w:szCs w:val="20"/>
          <w:bdr w:val="none" w:sz="0" w:space="0" w:color="auto"/>
        </w:rPr>
        <w:t xml:space="preserve">deals with the remedy’s suitability, </w:t>
      </w:r>
      <w:r w:rsidR="0095413A" w:rsidRPr="00676B15">
        <w:rPr>
          <w:rFonts w:ascii="Cambria" w:eastAsia="Times New Roman" w:hAnsi="Cambria"/>
          <w:bCs/>
          <w:sz w:val="20"/>
          <w:szCs w:val="20"/>
          <w:bdr w:val="none" w:sz="0" w:space="0" w:color="auto"/>
        </w:rPr>
        <w:t>or</w:t>
      </w:r>
      <w:r w:rsidR="00B3322A" w:rsidRPr="00676B15">
        <w:rPr>
          <w:rFonts w:ascii="Cambria" w:eastAsia="Times New Roman" w:hAnsi="Cambria"/>
          <w:bCs/>
          <w:sz w:val="20"/>
          <w:szCs w:val="20"/>
          <w:bdr w:val="none" w:sz="0" w:space="0" w:color="auto"/>
        </w:rPr>
        <w:t xml:space="preserve"> its ability to determine whether a violation of human rights occurred</w:t>
      </w:r>
      <w:r w:rsidR="007C0DA5" w:rsidRPr="00676B15">
        <w:rPr>
          <w:rFonts w:ascii="Cambria" w:eastAsia="Times New Roman" w:hAnsi="Cambria"/>
          <w:bCs/>
          <w:sz w:val="20"/>
          <w:szCs w:val="20"/>
          <w:bdr w:val="none" w:sz="0" w:space="0" w:color="auto"/>
        </w:rPr>
        <w:t>,</w:t>
      </w:r>
      <w:r w:rsidR="00B3322A" w:rsidRPr="00676B15">
        <w:rPr>
          <w:rFonts w:ascii="Cambria" w:eastAsia="Times New Roman" w:hAnsi="Cambria"/>
          <w:bCs/>
          <w:sz w:val="20"/>
          <w:szCs w:val="20"/>
          <w:bdr w:val="none" w:sz="0" w:space="0" w:color="auto"/>
        </w:rPr>
        <w:t xml:space="preserve"> and its capacity to yield positive results or responses</w:t>
      </w:r>
      <w:r w:rsidR="00335A5E" w:rsidRPr="00676B15">
        <w:rPr>
          <w:rFonts w:ascii="Cambria" w:eastAsia="Times New Roman" w:hAnsi="Cambria"/>
          <w:bCs/>
          <w:sz w:val="20"/>
          <w:szCs w:val="20"/>
          <w:bdr w:val="none" w:sz="0" w:space="0" w:color="auto"/>
        </w:rPr>
        <w:t xml:space="preserve">, </w:t>
      </w:r>
      <w:r w:rsidR="0095413A" w:rsidRPr="00676B15">
        <w:rPr>
          <w:rFonts w:ascii="Cambria" w:eastAsia="Times New Roman" w:hAnsi="Cambria"/>
          <w:bCs/>
          <w:sz w:val="20"/>
          <w:szCs w:val="20"/>
          <w:bdr w:val="none" w:sz="0" w:space="0" w:color="auto"/>
        </w:rPr>
        <w:t>principally measured in terms of whether it</w:t>
      </w:r>
      <w:r w:rsidR="00335A5E" w:rsidRPr="00676B15">
        <w:rPr>
          <w:rFonts w:ascii="Cambria" w:eastAsia="Times New Roman" w:hAnsi="Cambria"/>
          <w:bCs/>
          <w:sz w:val="20"/>
          <w:szCs w:val="20"/>
          <w:bdr w:val="none" w:sz="0" w:space="0" w:color="auto"/>
        </w:rPr>
        <w:t xml:space="preserve"> offer</w:t>
      </w:r>
      <w:r w:rsidR="0095413A" w:rsidRPr="00676B15">
        <w:rPr>
          <w:rFonts w:ascii="Cambria" w:eastAsia="Times New Roman" w:hAnsi="Cambria"/>
          <w:bCs/>
          <w:sz w:val="20"/>
          <w:szCs w:val="20"/>
          <w:bdr w:val="none" w:sz="0" w:space="0" w:color="auto"/>
        </w:rPr>
        <w:t>s</w:t>
      </w:r>
      <w:r w:rsidR="00335A5E" w:rsidRPr="00676B15">
        <w:rPr>
          <w:rFonts w:ascii="Cambria" w:eastAsia="Times New Roman" w:hAnsi="Cambria"/>
          <w:bCs/>
          <w:sz w:val="20"/>
          <w:szCs w:val="20"/>
          <w:bdr w:val="none" w:sz="0" w:space="0" w:color="auto"/>
        </w:rPr>
        <w:t xml:space="preserve"> the possibility to provide adequate redress</w:t>
      </w:r>
      <w:r w:rsidR="00DC1AA6" w:rsidRPr="00676B15">
        <w:rPr>
          <w:rFonts w:ascii="Cambria" w:eastAsia="Times New Roman" w:hAnsi="Cambria"/>
          <w:bCs/>
          <w:sz w:val="20"/>
          <w:szCs w:val="20"/>
          <w:bdr w:val="none" w:sz="0" w:space="0" w:color="auto"/>
        </w:rPr>
        <w:t xml:space="preserve">, for </w:t>
      </w:r>
      <w:r w:rsidR="00B3322A" w:rsidRPr="00676B15">
        <w:rPr>
          <w:rFonts w:ascii="Cambria" w:eastAsia="Times New Roman" w:hAnsi="Cambria"/>
          <w:bCs/>
          <w:sz w:val="20"/>
          <w:szCs w:val="20"/>
          <w:bdr w:val="none" w:sz="0" w:space="0" w:color="auto"/>
        </w:rPr>
        <w:t>human rights violations.</w:t>
      </w:r>
      <w:r w:rsidR="00B3322A" w:rsidRPr="00676B15">
        <w:rPr>
          <w:rStyle w:val="FootnoteReference"/>
          <w:rFonts w:ascii="Cambria" w:eastAsia="Times New Roman" w:hAnsi="Cambria"/>
          <w:bCs/>
          <w:sz w:val="20"/>
          <w:szCs w:val="20"/>
          <w:bdr w:val="none" w:sz="0" w:space="0" w:color="auto"/>
        </w:rPr>
        <w:footnoteReference w:id="121"/>
      </w:r>
      <w:r w:rsidR="00B3322A" w:rsidRPr="00676B15">
        <w:rPr>
          <w:rFonts w:ascii="Cambria" w:eastAsia="Times New Roman" w:hAnsi="Cambria"/>
          <w:bCs/>
          <w:sz w:val="20"/>
          <w:szCs w:val="20"/>
          <w:bdr w:val="none" w:sz="0" w:space="0" w:color="auto"/>
        </w:rPr>
        <w:t xml:space="preserve"> </w:t>
      </w:r>
    </w:p>
    <w:p w14:paraId="45FC65FB" w14:textId="77777777" w:rsidR="00B63FDE" w:rsidRPr="00676B15" w:rsidRDefault="00B63FDE" w:rsidP="00B63FDE">
      <w:pPr>
        <w:pStyle w:val="ListParagraph"/>
        <w:rPr>
          <w:rFonts w:eastAsia="Times New Roman"/>
          <w:bCs/>
          <w:sz w:val="20"/>
          <w:szCs w:val="20"/>
          <w:bdr w:val="none" w:sz="0" w:space="0" w:color="auto"/>
        </w:rPr>
      </w:pPr>
    </w:p>
    <w:p w14:paraId="7EE12878" w14:textId="2DF0E2D3" w:rsidR="00B63FDE" w:rsidRPr="00676B15" w:rsidRDefault="00B63FDE" w:rsidP="00B3322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The second aspect, the empirical nature of the remedy, refers to the political or institutional conditions that enable a legally recognized remedy to “fulfill its purpose” or “produce the result for which </w:t>
      </w:r>
      <w:r w:rsidR="00DC1AA6" w:rsidRPr="00676B15">
        <w:rPr>
          <w:rFonts w:ascii="Cambria" w:eastAsia="Times New Roman" w:hAnsi="Cambria"/>
          <w:bCs/>
          <w:sz w:val="20"/>
          <w:szCs w:val="20"/>
          <w:bdr w:val="none" w:sz="0" w:space="0" w:color="auto"/>
        </w:rPr>
        <w:t>[it]</w:t>
      </w:r>
      <w:r w:rsidRPr="00676B15">
        <w:rPr>
          <w:rFonts w:ascii="Cambria" w:eastAsia="Times New Roman" w:hAnsi="Cambria"/>
          <w:bCs/>
          <w:sz w:val="20"/>
          <w:szCs w:val="20"/>
          <w:bdr w:val="none" w:sz="0" w:space="0" w:color="auto"/>
        </w:rPr>
        <w:t xml:space="preserve"> was designed.”</w:t>
      </w:r>
      <w:r w:rsidRPr="00676B15">
        <w:rPr>
          <w:rStyle w:val="FootnoteReference"/>
          <w:rFonts w:ascii="Cambria" w:eastAsia="Times New Roman" w:hAnsi="Cambria"/>
          <w:bCs/>
          <w:sz w:val="20"/>
          <w:szCs w:val="20"/>
          <w:bdr w:val="none" w:sz="0" w:space="0" w:color="auto"/>
        </w:rPr>
        <w:footnoteReference w:id="122"/>
      </w:r>
      <w:r w:rsidRPr="00676B15">
        <w:rPr>
          <w:rFonts w:ascii="Cambria" w:eastAsia="Times New Roman" w:hAnsi="Cambria"/>
          <w:bCs/>
          <w:sz w:val="20"/>
          <w:szCs w:val="20"/>
          <w:bdr w:val="none" w:sz="0" w:space="0" w:color="auto"/>
        </w:rPr>
        <w:t xml:space="preserve"> In this regard and as the Commission has previously stated, a remedy is not effective when it is “illusory,” excessively onerous for the victim, or when the State has not ensure</w:t>
      </w:r>
      <w:r w:rsidR="004F57D8" w:rsidRPr="00676B15">
        <w:rPr>
          <w:rFonts w:ascii="Cambria" w:eastAsia="Times New Roman" w:hAnsi="Cambria"/>
          <w:bCs/>
          <w:sz w:val="20"/>
          <w:szCs w:val="20"/>
          <w:bdr w:val="none" w:sz="0" w:space="0" w:color="auto"/>
        </w:rPr>
        <w:t>d</w:t>
      </w:r>
      <w:r w:rsidRPr="00676B15">
        <w:rPr>
          <w:rFonts w:ascii="Cambria" w:eastAsia="Times New Roman" w:hAnsi="Cambria"/>
          <w:bCs/>
          <w:sz w:val="20"/>
          <w:szCs w:val="20"/>
          <w:bdr w:val="none" w:sz="0" w:space="0" w:color="auto"/>
        </w:rPr>
        <w:t xml:space="preserve"> its proper enforcement by the judicial authorities.</w:t>
      </w:r>
      <w:r w:rsidRPr="00676B15">
        <w:rPr>
          <w:rStyle w:val="FootnoteReference"/>
          <w:rFonts w:ascii="Cambria" w:eastAsia="Times New Roman" w:hAnsi="Cambria"/>
          <w:bCs/>
          <w:sz w:val="20"/>
          <w:szCs w:val="20"/>
          <w:bdr w:val="none" w:sz="0" w:space="0" w:color="auto"/>
        </w:rPr>
        <w:footnoteReference w:id="123"/>
      </w:r>
      <w:r w:rsidRPr="00676B15">
        <w:rPr>
          <w:rFonts w:ascii="Cambria" w:eastAsia="Times New Roman" w:hAnsi="Cambria"/>
          <w:bCs/>
          <w:sz w:val="20"/>
          <w:szCs w:val="20"/>
          <w:bdr w:val="none" w:sz="0" w:space="0" w:color="auto"/>
        </w:rPr>
        <w:t xml:space="preserve"> </w:t>
      </w:r>
    </w:p>
    <w:p w14:paraId="1EDA7F14" w14:textId="77777777" w:rsidR="00833F55" w:rsidRPr="00676B15" w:rsidRDefault="00833F55" w:rsidP="00833F55">
      <w:pPr>
        <w:pStyle w:val="ListParagraph"/>
        <w:rPr>
          <w:rFonts w:eastAsia="Times New Roman"/>
          <w:bCs/>
          <w:sz w:val="20"/>
          <w:szCs w:val="20"/>
          <w:bdr w:val="none" w:sz="0" w:space="0" w:color="auto"/>
        </w:rPr>
      </w:pPr>
    </w:p>
    <w:p w14:paraId="19ABFC00" w14:textId="2980B1CC" w:rsidR="00501C6F" w:rsidRPr="00676B15" w:rsidRDefault="0095413A" w:rsidP="0095413A">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Thus</w:t>
      </w:r>
      <w:r w:rsidR="00AD1988" w:rsidRPr="00676B15">
        <w:rPr>
          <w:rFonts w:ascii="Cambria" w:eastAsia="Times New Roman" w:hAnsi="Cambria"/>
          <w:bCs/>
          <w:sz w:val="20"/>
          <w:szCs w:val="20"/>
          <w:bdr w:val="none" w:sz="0" w:space="0" w:color="auto"/>
        </w:rPr>
        <w:t>, when the State apparatus leaves human rights violations unpunished and the victim’s full enjoyment of human rights is not promptly restored, the State fails to comply with its positive duties under international human rights law.</w:t>
      </w:r>
      <w:r w:rsidR="00AD1988" w:rsidRPr="00676B15">
        <w:rPr>
          <w:rFonts w:ascii="Cambria" w:eastAsia="Times New Roman" w:hAnsi="Cambria"/>
          <w:bCs/>
          <w:sz w:val="20"/>
          <w:szCs w:val="20"/>
          <w:bdr w:val="none" w:sz="0" w:space="0" w:color="auto"/>
          <w:vertAlign w:val="superscript"/>
        </w:rPr>
        <w:footnoteReference w:id="124"/>
      </w:r>
      <w:r w:rsidR="00AD1988" w:rsidRPr="00676B15">
        <w:rPr>
          <w:rFonts w:ascii="Cambria" w:eastAsia="Times New Roman" w:hAnsi="Cambria"/>
          <w:bCs/>
          <w:sz w:val="20"/>
          <w:szCs w:val="20"/>
          <w:bdr w:val="none" w:sz="0" w:space="0" w:color="auto"/>
        </w:rPr>
        <w:t xml:space="preserve">  The same principle applies when a State allows private persons to </w:t>
      </w:r>
      <w:r w:rsidR="00AD1988" w:rsidRPr="00676B15">
        <w:rPr>
          <w:rFonts w:ascii="Cambria" w:eastAsia="Times New Roman" w:hAnsi="Cambria"/>
          <w:bCs/>
          <w:sz w:val="20"/>
          <w:szCs w:val="20"/>
          <w:bdr w:val="none" w:sz="0" w:space="0" w:color="auto"/>
        </w:rPr>
        <w:lastRenderedPageBreak/>
        <w:t>act freely and with impunity to the detriment of the rights recognized in the governing instruments of the IAHRS.</w:t>
      </w:r>
      <w:r w:rsidR="007F2EE0" w:rsidRPr="00676B15">
        <w:rPr>
          <w:rFonts w:ascii="Cambria" w:eastAsia="Times New Roman" w:hAnsi="Cambria"/>
          <w:bCs/>
          <w:sz w:val="20"/>
          <w:szCs w:val="20"/>
          <w:bdr w:val="none" w:sz="0" w:space="0" w:color="auto"/>
        </w:rPr>
        <w:t xml:space="preserve"> </w:t>
      </w:r>
    </w:p>
    <w:p w14:paraId="75EF51C1" w14:textId="518921C0" w:rsidR="007F2EE0" w:rsidRPr="00676B15" w:rsidRDefault="00B261E7" w:rsidP="007F2EE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T</w:t>
      </w:r>
      <w:r w:rsidR="007F2EE0" w:rsidRPr="00676B15">
        <w:rPr>
          <w:rFonts w:ascii="Cambria" w:eastAsia="Times New Roman" w:hAnsi="Cambria"/>
          <w:bCs/>
          <w:sz w:val="20"/>
          <w:szCs w:val="20"/>
          <w:bdr w:val="none" w:sz="0" w:space="0" w:color="auto"/>
        </w:rPr>
        <w:t>he Commission further maintains that there is a direct connection between the suitability of available judicial remedies</w:t>
      </w:r>
      <w:r w:rsidRPr="00676B15">
        <w:rPr>
          <w:rFonts w:ascii="Cambria" w:eastAsia="Times New Roman" w:hAnsi="Cambria"/>
          <w:bCs/>
          <w:sz w:val="20"/>
          <w:szCs w:val="20"/>
          <w:bdr w:val="none" w:sz="0" w:space="0" w:color="auto"/>
        </w:rPr>
        <w:t>,</w:t>
      </w:r>
      <w:r w:rsidR="007F2EE0" w:rsidRPr="00676B15">
        <w:rPr>
          <w:rFonts w:ascii="Cambria" w:eastAsia="Times New Roman" w:hAnsi="Cambria"/>
          <w:bCs/>
          <w:sz w:val="20"/>
          <w:szCs w:val="20"/>
          <w:bdr w:val="none" w:sz="0" w:space="0" w:color="auto"/>
        </w:rPr>
        <w:t xml:space="preserve"> </w:t>
      </w:r>
      <w:r w:rsidRPr="00676B15">
        <w:rPr>
          <w:rFonts w:ascii="Cambria" w:eastAsia="Times New Roman" w:hAnsi="Cambria"/>
          <w:bCs/>
          <w:sz w:val="20"/>
          <w:szCs w:val="20"/>
          <w:bdr w:val="none" w:sz="0" w:space="0" w:color="auto"/>
        </w:rPr>
        <w:t xml:space="preserve">as mentioned above, </w:t>
      </w:r>
      <w:r w:rsidR="007F2EE0" w:rsidRPr="00676B15">
        <w:rPr>
          <w:rFonts w:ascii="Cambria" w:eastAsia="Times New Roman" w:hAnsi="Cambria"/>
          <w:bCs/>
          <w:sz w:val="20"/>
          <w:szCs w:val="20"/>
          <w:bdr w:val="none" w:sz="0" w:space="0" w:color="auto"/>
        </w:rPr>
        <w:t>and the real possibility of observance of economic, social</w:t>
      </w:r>
      <w:r w:rsidR="002C100F" w:rsidRPr="00676B15">
        <w:rPr>
          <w:rFonts w:ascii="Cambria" w:eastAsia="Times New Roman" w:hAnsi="Cambria"/>
          <w:bCs/>
          <w:sz w:val="20"/>
          <w:szCs w:val="20"/>
          <w:bdr w:val="none" w:sz="0" w:space="0" w:color="auto"/>
        </w:rPr>
        <w:t>,</w:t>
      </w:r>
      <w:r w:rsidR="007F2EE0" w:rsidRPr="00676B15">
        <w:rPr>
          <w:rFonts w:ascii="Cambria" w:eastAsia="Times New Roman" w:hAnsi="Cambria"/>
          <w:bCs/>
          <w:sz w:val="20"/>
          <w:szCs w:val="20"/>
          <w:bdr w:val="none" w:sz="0" w:space="0" w:color="auto"/>
        </w:rPr>
        <w:t xml:space="preserve"> and cultural rights. The IACHR has identified the principle of equality of arms as an integral part of the right to a fair trial, given that the types of relationships governed by social rights usually give rise to and presuppose conditions of inequality between the parties in a dispute – such as between workers and employers or the beneficiary of a social service and the State that provides the service. That inequality </w:t>
      </w:r>
      <w:r w:rsidR="00DC1AA6" w:rsidRPr="00676B15">
        <w:rPr>
          <w:rFonts w:ascii="Cambria" w:eastAsia="Times New Roman" w:hAnsi="Cambria"/>
          <w:bCs/>
          <w:sz w:val="20"/>
          <w:szCs w:val="20"/>
          <w:bdr w:val="none" w:sz="0" w:space="0" w:color="auto"/>
        </w:rPr>
        <w:t>often</w:t>
      </w:r>
      <w:r w:rsidR="007F2EE0" w:rsidRPr="00676B15">
        <w:rPr>
          <w:rFonts w:ascii="Cambria" w:eastAsia="Times New Roman" w:hAnsi="Cambria"/>
          <w:bCs/>
          <w:sz w:val="20"/>
          <w:szCs w:val="20"/>
          <w:bdr w:val="none" w:sz="0" w:space="0" w:color="auto"/>
        </w:rPr>
        <w:t xml:space="preserve"> translates into disadvantages in the framework of judicial proceedings.</w:t>
      </w:r>
      <w:r w:rsidR="007F2EE0" w:rsidRPr="00676B15">
        <w:rPr>
          <w:rStyle w:val="FootnoteReference"/>
          <w:rFonts w:ascii="Cambria" w:eastAsia="Times New Roman" w:hAnsi="Cambria"/>
          <w:bCs/>
          <w:sz w:val="20"/>
          <w:szCs w:val="20"/>
          <w:bdr w:val="none" w:sz="0" w:space="0" w:color="auto"/>
        </w:rPr>
        <w:footnoteReference w:id="125"/>
      </w:r>
    </w:p>
    <w:p w14:paraId="79205D6F" w14:textId="77777777" w:rsidR="007F2EE0" w:rsidRPr="00676B15" w:rsidRDefault="007F2EE0" w:rsidP="007F2EE0">
      <w:pPr>
        <w:pStyle w:val="ListParagraph"/>
        <w:rPr>
          <w:rFonts w:eastAsia="Times New Roman"/>
          <w:bCs/>
          <w:sz w:val="20"/>
          <w:szCs w:val="20"/>
          <w:bdr w:val="none" w:sz="0" w:space="0" w:color="auto"/>
        </w:rPr>
      </w:pPr>
    </w:p>
    <w:p w14:paraId="69AD6322" w14:textId="77777777" w:rsidR="007F2EE0" w:rsidRPr="00676B15" w:rsidRDefault="007F2EE0" w:rsidP="007F2EE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 </w:t>
      </w:r>
      <w:r w:rsidR="00627CB1" w:rsidRPr="00676B15">
        <w:rPr>
          <w:rFonts w:ascii="Cambria" w:eastAsia="Times New Roman" w:hAnsi="Cambria"/>
          <w:bCs/>
          <w:sz w:val="20"/>
          <w:szCs w:val="20"/>
          <w:bdr w:val="none" w:sz="0" w:space="0" w:color="auto"/>
        </w:rPr>
        <w:t>The IACHR considers that real inequality between the parties in a proceeding engages the duty of the State to adopt all the necessary measures to lessen any deficiencies that thwart the effective protection of the rights at stake. The Inter-American Commission has also noted that the particular circumstances of a case may determine that guarantees additional to those explicitly prescribed in the pertinent human rights instruments are necessary to ensure a fair trial.  For the IACHR this includes recognizing and correcting any real disadvantages that the parties in a proceeding might have, thereby observing the principle of equality before the law and the prohibition of discrimination.</w:t>
      </w:r>
      <w:r w:rsidR="00627CB1" w:rsidRPr="00676B15">
        <w:rPr>
          <w:rStyle w:val="FootnoteReference"/>
          <w:rFonts w:ascii="Cambria" w:eastAsia="Times New Roman" w:hAnsi="Cambria"/>
          <w:bCs/>
          <w:sz w:val="20"/>
          <w:szCs w:val="20"/>
          <w:bdr w:val="none" w:sz="0" w:space="0" w:color="auto"/>
        </w:rPr>
        <w:footnoteReference w:id="126"/>
      </w:r>
    </w:p>
    <w:p w14:paraId="3BC0FA46" w14:textId="77777777" w:rsidR="00AA4CE0" w:rsidRPr="00676B15" w:rsidRDefault="00AA4CE0" w:rsidP="00AA4CE0">
      <w:pPr>
        <w:pStyle w:val="ListParagraph"/>
        <w:rPr>
          <w:rFonts w:eastAsia="Times New Roman"/>
          <w:bCs/>
          <w:sz w:val="20"/>
          <w:szCs w:val="20"/>
          <w:bdr w:val="none" w:sz="0" w:space="0" w:color="auto"/>
        </w:rPr>
      </w:pPr>
    </w:p>
    <w:p w14:paraId="754E30FC" w14:textId="32D20518" w:rsidR="00AA4CE0" w:rsidRPr="00676B15" w:rsidRDefault="00DC1AA6" w:rsidP="007F2EE0">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In the context of the specific case, Messrs. Lizalde and Zumaya filed their workers’ compensation claims pursuant to serious work-related injuries that affected their physical integrity with lasting consequences. The interests at stake therefore dealt </w:t>
      </w:r>
      <w:r w:rsidR="007F3D34" w:rsidRPr="00676B15">
        <w:rPr>
          <w:rFonts w:ascii="Cambria" w:eastAsia="Times New Roman" w:hAnsi="Cambria"/>
          <w:bCs/>
          <w:sz w:val="20"/>
          <w:szCs w:val="20"/>
          <w:bdr w:val="none" w:sz="0" w:space="0" w:color="auto"/>
        </w:rPr>
        <w:t xml:space="preserve">not only with their social and economic rights generally, but also very concretely </w:t>
      </w:r>
      <w:r w:rsidRPr="00676B15">
        <w:rPr>
          <w:rFonts w:ascii="Cambria" w:eastAsia="Times New Roman" w:hAnsi="Cambria"/>
          <w:bCs/>
          <w:sz w:val="20"/>
          <w:szCs w:val="20"/>
          <w:bdr w:val="none" w:sz="0" w:space="0" w:color="auto"/>
        </w:rPr>
        <w:t xml:space="preserve">with their personal integrity and involved their need for ongoing medical treatment. </w:t>
      </w:r>
    </w:p>
    <w:p w14:paraId="53BA206B" w14:textId="77777777" w:rsidR="007F2EE0" w:rsidRPr="00676B15" w:rsidRDefault="007F2EE0" w:rsidP="007F2EE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267A7FDD" w14:textId="3EA5F83E" w:rsidR="005A393A" w:rsidRPr="00676B15" w:rsidRDefault="005A393A" w:rsidP="00C15B5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In the present case, the Commission </w:t>
      </w:r>
      <w:r w:rsidR="008B59B6" w:rsidRPr="00676B15">
        <w:rPr>
          <w:rFonts w:ascii="Cambria" w:eastAsia="Times New Roman" w:hAnsi="Cambria"/>
          <w:bCs/>
          <w:sz w:val="20"/>
          <w:szCs w:val="20"/>
          <w:bdr w:val="none" w:sz="0" w:space="0" w:color="auto"/>
        </w:rPr>
        <w:t>observes</w:t>
      </w:r>
      <w:r w:rsidRPr="00676B15">
        <w:rPr>
          <w:rFonts w:ascii="Cambria" w:eastAsia="Times New Roman" w:hAnsi="Cambria"/>
          <w:bCs/>
          <w:sz w:val="20"/>
          <w:szCs w:val="20"/>
          <w:bdr w:val="none" w:sz="0" w:space="0" w:color="auto"/>
        </w:rPr>
        <w:t xml:space="preserve"> that</w:t>
      </w:r>
      <w:r w:rsidR="002E6371" w:rsidRPr="00676B15">
        <w:rPr>
          <w:rFonts w:ascii="Cambria" w:eastAsia="Times New Roman" w:hAnsi="Cambria"/>
          <w:bCs/>
          <w:sz w:val="20"/>
          <w:szCs w:val="20"/>
          <w:bdr w:val="none" w:sz="0" w:space="0" w:color="auto"/>
        </w:rPr>
        <w:t xml:space="preserve"> </w:t>
      </w:r>
      <w:r w:rsidR="00E72487" w:rsidRPr="00676B15">
        <w:rPr>
          <w:rFonts w:ascii="Cambria" w:eastAsia="Times New Roman" w:hAnsi="Cambria"/>
          <w:bCs/>
          <w:sz w:val="20"/>
          <w:szCs w:val="20"/>
          <w:bdr w:val="none" w:sz="0" w:space="0" w:color="auto"/>
        </w:rPr>
        <w:t>Mr. Lizalde</w:t>
      </w:r>
      <w:r w:rsidR="00B25D05" w:rsidRPr="00676B15">
        <w:rPr>
          <w:rFonts w:ascii="Cambria" w:eastAsia="Times New Roman" w:hAnsi="Cambria"/>
          <w:bCs/>
          <w:sz w:val="20"/>
          <w:szCs w:val="20"/>
          <w:bdr w:val="none" w:sz="0" w:space="0" w:color="auto"/>
        </w:rPr>
        <w:t xml:space="preserve"> </w:t>
      </w:r>
      <w:r w:rsidR="002E6371" w:rsidRPr="00676B15">
        <w:rPr>
          <w:rFonts w:ascii="Cambria" w:eastAsia="Times New Roman" w:hAnsi="Cambria"/>
          <w:bCs/>
          <w:sz w:val="20"/>
          <w:szCs w:val="20"/>
          <w:bdr w:val="none" w:sz="0" w:space="0" w:color="auto"/>
        </w:rPr>
        <w:t xml:space="preserve">did not have </w:t>
      </w:r>
      <w:r w:rsidR="007F3D34" w:rsidRPr="00676B15">
        <w:rPr>
          <w:rFonts w:ascii="Cambria" w:eastAsia="Times New Roman" w:hAnsi="Cambria"/>
          <w:bCs/>
          <w:sz w:val="20"/>
          <w:szCs w:val="20"/>
          <w:bdr w:val="none" w:sz="0" w:space="0" w:color="auto"/>
        </w:rPr>
        <w:t>access to a full and fair hearing by the courts</w:t>
      </w:r>
      <w:r w:rsidR="002E6371" w:rsidRPr="00676B15">
        <w:rPr>
          <w:rFonts w:ascii="Cambria" w:eastAsia="Times New Roman" w:hAnsi="Cambria"/>
          <w:bCs/>
          <w:sz w:val="20"/>
          <w:szCs w:val="20"/>
          <w:bdr w:val="none" w:sz="0" w:space="0" w:color="auto"/>
        </w:rPr>
        <w:t xml:space="preserve">. </w:t>
      </w:r>
      <w:r w:rsidR="00E72487" w:rsidRPr="00676B15">
        <w:rPr>
          <w:rFonts w:ascii="Cambria" w:eastAsia="Times New Roman" w:hAnsi="Cambria"/>
          <w:bCs/>
          <w:sz w:val="20"/>
          <w:szCs w:val="20"/>
          <w:bdr w:val="none" w:sz="0" w:space="0" w:color="auto"/>
        </w:rPr>
        <w:t>He initially</w:t>
      </w:r>
      <w:r w:rsidR="001E45DE" w:rsidRPr="00676B15">
        <w:rPr>
          <w:rFonts w:ascii="Cambria" w:eastAsia="Times New Roman" w:hAnsi="Cambria"/>
          <w:bCs/>
          <w:sz w:val="20"/>
          <w:szCs w:val="20"/>
          <w:bdr w:val="none" w:sz="0" w:space="0" w:color="auto"/>
        </w:rPr>
        <w:t xml:space="preserve"> had access to a workers’ compensation mechanism</w:t>
      </w:r>
      <w:r w:rsidR="001E45DE" w:rsidRPr="00676B15">
        <w:rPr>
          <w:rStyle w:val="FootnoteReference"/>
          <w:rFonts w:ascii="Cambria" w:eastAsia="Times New Roman" w:hAnsi="Cambria"/>
          <w:bCs/>
          <w:sz w:val="20"/>
          <w:szCs w:val="20"/>
          <w:bdr w:val="none" w:sz="0" w:space="0" w:color="auto"/>
        </w:rPr>
        <w:footnoteReference w:id="127"/>
      </w:r>
      <w:r w:rsidR="00E72487" w:rsidRPr="00676B15">
        <w:rPr>
          <w:rFonts w:ascii="Cambria" w:eastAsia="Times New Roman" w:hAnsi="Cambria"/>
          <w:bCs/>
          <w:sz w:val="20"/>
          <w:szCs w:val="20"/>
          <w:bdr w:val="none" w:sz="0" w:space="0" w:color="auto"/>
        </w:rPr>
        <w:t>; however,</w:t>
      </w:r>
      <w:r w:rsidR="001E5C56" w:rsidRPr="00676B15">
        <w:rPr>
          <w:rFonts w:ascii="Cambria" w:eastAsia="Times New Roman" w:hAnsi="Cambria"/>
          <w:bCs/>
          <w:sz w:val="20"/>
          <w:szCs w:val="20"/>
          <w:bdr w:val="none" w:sz="0" w:space="0" w:color="auto"/>
        </w:rPr>
        <w:t xml:space="preserve"> his deportation prior </w:t>
      </w:r>
      <w:r w:rsidR="003B7A67" w:rsidRPr="00676B15">
        <w:rPr>
          <w:rFonts w:ascii="Cambria" w:eastAsia="Times New Roman" w:hAnsi="Cambria"/>
          <w:bCs/>
          <w:sz w:val="20"/>
          <w:szCs w:val="20"/>
          <w:bdr w:val="none" w:sz="0" w:space="0" w:color="auto"/>
        </w:rPr>
        <w:t>to the conclusion of the worker</w:t>
      </w:r>
      <w:r w:rsidR="001E5C56" w:rsidRPr="00676B15">
        <w:rPr>
          <w:rFonts w:ascii="Cambria" w:eastAsia="Times New Roman" w:hAnsi="Cambria"/>
          <w:bCs/>
          <w:sz w:val="20"/>
          <w:szCs w:val="20"/>
          <w:bdr w:val="none" w:sz="0" w:space="0" w:color="auto"/>
        </w:rPr>
        <w:t>s</w:t>
      </w:r>
      <w:r w:rsidR="003B7A67" w:rsidRPr="00676B15">
        <w:rPr>
          <w:rFonts w:ascii="Cambria" w:eastAsia="Times New Roman" w:hAnsi="Cambria"/>
          <w:bCs/>
          <w:sz w:val="20"/>
          <w:szCs w:val="20"/>
          <w:bdr w:val="none" w:sz="0" w:space="0" w:color="auto"/>
        </w:rPr>
        <w:t>’</w:t>
      </w:r>
      <w:r w:rsidR="001E5C56" w:rsidRPr="00676B15">
        <w:rPr>
          <w:rFonts w:ascii="Cambria" w:eastAsia="Times New Roman" w:hAnsi="Cambria"/>
          <w:bCs/>
          <w:sz w:val="20"/>
          <w:szCs w:val="20"/>
          <w:bdr w:val="none" w:sz="0" w:space="0" w:color="auto"/>
        </w:rPr>
        <w:t xml:space="preserve"> compensation proceeding he initiated</w:t>
      </w:r>
      <w:r w:rsidR="002C100F" w:rsidRPr="00676B15">
        <w:rPr>
          <w:rFonts w:ascii="Cambria" w:eastAsia="Times New Roman" w:hAnsi="Cambria"/>
          <w:bCs/>
          <w:sz w:val="20"/>
          <w:szCs w:val="20"/>
          <w:bdr w:val="none" w:sz="0" w:space="0" w:color="auto"/>
        </w:rPr>
        <w:t xml:space="preserve"> was a principal factor in</w:t>
      </w:r>
      <w:r w:rsidR="001E5C56" w:rsidRPr="00676B15">
        <w:rPr>
          <w:rFonts w:ascii="Cambria" w:eastAsia="Times New Roman" w:hAnsi="Cambria"/>
          <w:bCs/>
          <w:sz w:val="20"/>
          <w:szCs w:val="20"/>
          <w:bdr w:val="none" w:sz="0" w:space="0" w:color="auto"/>
        </w:rPr>
        <w:t xml:space="preserve"> </w:t>
      </w:r>
      <w:r w:rsidR="002C100F" w:rsidRPr="00676B15">
        <w:rPr>
          <w:rFonts w:ascii="Cambria" w:eastAsia="Times New Roman" w:hAnsi="Cambria"/>
          <w:bCs/>
          <w:sz w:val="20"/>
          <w:szCs w:val="20"/>
          <w:bdr w:val="none" w:sz="0" w:space="0" w:color="auto"/>
        </w:rPr>
        <w:t>rendering</w:t>
      </w:r>
      <w:r w:rsidR="001E5C56" w:rsidRPr="00676B15">
        <w:rPr>
          <w:rFonts w:ascii="Cambria" w:eastAsia="Times New Roman" w:hAnsi="Cambria"/>
          <w:bCs/>
          <w:sz w:val="20"/>
          <w:szCs w:val="20"/>
          <w:bdr w:val="none" w:sz="0" w:space="0" w:color="auto"/>
        </w:rPr>
        <w:t xml:space="preserve"> the second element – the empirical nature – of the judicial remedy null. Upon being deported, </w:t>
      </w:r>
      <w:r w:rsidR="003B7A67" w:rsidRPr="00676B15">
        <w:rPr>
          <w:rFonts w:ascii="Cambria" w:eastAsia="Times New Roman" w:hAnsi="Cambria"/>
          <w:bCs/>
          <w:sz w:val="20"/>
          <w:szCs w:val="20"/>
          <w:bdr w:val="none" w:sz="0" w:space="0" w:color="auto"/>
        </w:rPr>
        <w:t>the worker</w:t>
      </w:r>
      <w:r w:rsidR="001E5C56" w:rsidRPr="00676B15">
        <w:rPr>
          <w:rFonts w:ascii="Cambria" w:eastAsia="Times New Roman" w:hAnsi="Cambria"/>
          <w:bCs/>
          <w:sz w:val="20"/>
          <w:szCs w:val="20"/>
          <w:bdr w:val="none" w:sz="0" w:space="0" w:color="auto"/>
        </w:rPr>
        <w:t>s</w:t>
      </w:r>
      <w:r w:rsidR="003B7A67" w:rsidRPr="00676B15">
        <w:rPr>
          <w:rFonts w:ascii="Cambria" w:eastAsia="Times New Roman" w:hAnsi="Cambria"/>
          <w:bCs/>
          <w:sz w:val="20"/>
          <w:szCs w:val="20"/>
          <w:bdr w:val="none" w:sz="0" w:space="0" w:color="auto"/>
        </w:rPr>
        <w:t>’</w:t>
      </w:r>
      <w:r w:rsidR="001E5C56" w:rsidRPr="00676B15">
        <w:rPr>
          <w:rFonts w:ascii="Cambria" w:eastAsia="Times New Roman" w:hAnsi="Cambria"/>
          <w:bCs/>
          <w:sz w:val="20"/>
          <w:szCs w:val="20"/>
          <w:bdr w:val="none" w:sz="0" w:space="0" w:color="auto"/>
        </w:rPr>
        <w:t xml:space="preserve"> compensation proceeding could not produce the result for which it was designed, as </w:t>
      </w:r>
      <w:r w:rsidR="001E45DE" w:rsidRPr="00676B15">
        <w:rPr>
          <w:rFonts w:ascii="Cambria" w:eastAsia="Times New Roman" w:hAnsi="Cambria"/>
          <w:bCs/>
          <w:sz w:val="20"/>
          <w:szCs w:val="20"/>
          <w:bdr w:val="none" w:sz="0" w:space="0" w:color="auto"/>
        </w:rPr>
        <w:t xml:space="preserve">Kansas law requires </w:t>
      </w:r>
      <w:r w:rsidR="001E5C56" w:rsidRPr="00676B15">
        <w:rPr>
          <w:rFonts w:ascii="Cambria" w:eastAsia="Times New Roman" w:hAnsi="Cambria"/>
          <w:bCs/>
          <w:sz w:val="20"/>
          <w:szCs w:val="20"/>
          <w:bdr w:val="none" w:sz="0" w:space="0" w:color="auto"/>
        </w:rPr>
        <w:t xml:space="preserve">the worker </w:t>
      </w:r>
      <w:r w:rsidR="001E45DE" w:rsidRPr="00676B15">
        <w:rPr>
          <w:rFonts w:ascii="Cambria" w:eastAsia="Times New Roman" w:hAnsi="Cambria"/>
          <w:bCs/>
          <w:sz w:val="20"/>
          <w:szCs w:val="20"/>
          <w:bdr w:val="none" w:sz="0" w:space="0" w:color="auto"/>
        </w:rPr>
        <w:t>to</w:t>
      </w:r>
      <w:r w:rsidR="001E5C56" w:rsidRPr="00676B15">
        <w:rPr>
          <w:rFonts w:ascii="Cambria" w:eastAsia="Times New Roman" w:hAnsi="Cambria"/>
          <w:bCs/>
          <w:sz w:val="20"/>
          <w:szCs w:val="20"/>
          <w:bdr w:val="none" w:sz="0" w:space="0" w:color="auto"/>
        </w:rPr>
        <w:t xml:space="preserve"> be physically present in order to continue his/her case. </w:t>
      </w:r>
      <w:r w:rsidR="00383F7A" w:rsidRPr="00676B15">
        <w:rPr>
          <w:rFonts w:ascii="Cambria" w:eastAsia="Times New Roman" w:hAnsi="Cambria"/>
          <w:bCs/>
          <w:sz w:val="20"/>
          <w:szCs w:val="20"/>
          <w:bdr w:val="none" w:sz="0" w:space="0" w:color="auto"/>
        </w:rPr>
        <w:t xml:space="preserve">For his part, </w:t>
      </w:r>
      <w:r w:rsidR="00A41F6F" w:rsidRPr="00676B15">
        <w:rPr>
          <w:rFonts w:ascii="Cambria" w:eastAsia="Times New Roman" w:hAnsi="Cambria"/>
          <w:bCs/>
          <w:sz w:val="20"/>
          <w:szCs w:val="20"/>
          <w:bdr w:val="none" w:sz="0" w:space="0" w:color="auto"/>
        </w:rPr>
        <w:t xml:space="preserve">Mr. Zumaya </w:t>
      </w:r>
      <w:r w:rsidR="001E45DE" w:rsidRPr="00676B15">
        <w:rPr>
          <w:rFonts w:ascii="Cambria" w:eastAsia="Times New Roman" w:hAnsi="Cambria"/>
          <w:bCs/>
          <w:sz w:val="20"/>
          <w:szCs w:val="20"/>
          <w:bdr w:val="none" w:sz="0" w:space="0" w:color="auto"/>
        </w:rPr>
        <w:t>was advised by his lawyer to accept</w:t>
      </w:r>
      <w:r w:rsidR="00A41F6F" w:rsidRPr="00676B15">
        <w:rPr>
          <w:rFonts w:ascii="Cambria" w:eastAsia="Times New Roman" w:hAnsi="Cambria"/>
          <w:bCs/>
          <w:sz w:val="20"/>
          <w:szCs w:val="20"/>
          <w:bdr w:val="none" w:sz="0" w:space="0" w:color="auto"/>
        </w:rPr>
        <w:t xml:space="preserve"> a settlement with his employer for less than what experts estimate he would have </w:t>
      </w:r>
      <w:r w:rsidR="001E5C56" w:rsidRPr="00676B15">
        <w:rPr>
          <w:rFonts w:ascii="Cambria" w:eastAsia="Times New Roman" w:hAnsi="Cambria"/>
          <w:bCs/>
          <w:sz w:val="20"/>
          <w:szCs w:val="20"/>
          <w:bdr w:val="none" w:sz="0" w:space="0" w:color="auto"/>
        </w:rPr>
        <w:t>received were he a U.S. citizen</w:t>
      </w:r>
      <w:r w:rsidR="007F3D34" w:rsidRPr="00676B15">
        <w:rPr>
          <w:rFonts w:ascii="Cambria" w:eastAsia="Times New Roman" w:hAnsi="Cambria"/>
          <w:bCs/>
          <w:sz w:val="20"/>
          <w:szCs w:val="20"/>
          <w:bdr w:val="none" w:sz="0" w:space="0" w:color="auto"/>
        </w:rPr>
        <w:t>.</w:t>
      </w:r>
      <w:r w:rsidR="001E45DE" w:rsidRPr="00676B15">
        <w:rPr>
          <w:rStyle w:val="FootnoteReference"/>
          <w:rFonts w:ascii="Cambria" w:eastAsia="Times New Roman" w:hAnsi="Cambria"/>
          <w:bCs/>
          <w:sz w:val="20"/>
          <w:szCs w:val="20"/>
          <w:bdr w:val="none" w:sz="0" w:space="0" w:color="auto"/>
        </w:rPr>
        <w:footnoteReference w:id="128"/>
      </w:r>
      <w:r w:rsidR="00793E70" w:rsidRPr="00676B15">
        <w:rPr>
          <w:rFonts w:ascii="Cambria" w:eastAsia="Times New Roman" w:hAnsi="Cambria"/>
          <w:bCs/>
          <w:sz w:val="20"/>
          <w:szCs w:val="20"/>
          <w:bdr w:val="none" w:sz="0" w:space="0" w:color="auto"/>
        </w:rPr>
        <w:t xml:space="preserve"> </w:t>
      </w:r>
    </w:p>
    <w:p w14:paraId="448816B4" w14:textId="77777777" w:rsidR="00A41F6F" w:rsidRPr="00676B15" w:rsidRDefault="00A41F6F" w:rsidP="001E5C56">
      <w:pPr>
        <w:pStyle w:val="ListParagraph"/>
        <w:rPr>
          <w:rFonts w:eastAsia="Times New Roman"/>
          <w:bCs/>
          <w:sz w:val="20"/>
          <w:szCs w:val="20"/>
          <w:bdr w:val="none" w:sz="0" w:space="0" w:color="auto"/>
        </w:rPr>
      </w:pPr>
    </w:p>
    <w:p w14:paraId="33DBD3EE" w14:textId="5494FF6D" w:rsidR="004961FE" w:rsidRPr="00676B15" w:rsidRDefault="00A41F6F" w:rsidP="00C15B5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Regarding th</w:t>
      </w:r>
      <w:r w:rsidR="00793E70" w:rsidRPr="00676B15">
        <w:rPr>
          <w:rFonts w:ascii="Cambria" w:eastAsia="Times New Roman" w:hAnsi="Cambria"/>
          <w:bCs/>
          <w:sz w:val="20"/>
          <w:szCs w:val="20"/>
          <w:bdr w:val="none" w:sz="0" w:space="0" w:color="auto"/>
        </w:rPr>
        <w:t>e situation of Mr. Lizalde, the</w:t>
      </w:r>
      <w:r w:rsidRPr="00676B15">
        <w:rPr>
          <w:rFonts w:ascii="Cambria" w:eastAsia="Times New Roman" w:hAnsi="Cambria"/>
          <w:bCs/>
          <w:sz w:val="20"/>
          <w:szCs w:val="20"/>
          <w:bdr w:val="none" w:sz="0" w:space="0" w:color="auto"/>
        </w:rPr>
        <w:t xml:space="preserve"> State argues that</w:t>
      </w:r>
      <w:r w:rsidR="00793E70" w:rsidRPr="00676B15">
        <w:rPr>
          <w:rFonts w:ascii="Cambria" w:eastAsia="Times New Roman" w:hAnsi="Cambria"/>
          <w:bCs/>
          <w:sz w:val="20"/>
          <w:szCs w:val="20"/>
          <w:bdr w:val="none" w:sz="0" w:space="0" w:color="auto"/>
        </w:rPr>
        <w:t>,</w:t>
      </w:r>
      <w:r w:rsidRPr="00676B15">
        <w:rPr>
          <w:rFonts w:ascii="Cambria" w:eastAsia="Times New Roman" w:hAnsi="Cambria"/>
          <w:bCs/>
          <w:sz w:val="20"/>
          <w:szCs w:val="20"/>
          <w:bdr w:val="none" w:sz="0" w:space="0" w:color="auto"/>
        </w:rPr>
        <w:t xml:space="preserve"> while it may be more difficult</w:t>
      </w:r>
      <w:r w:rsidR="00B25D05" w:rsidRPr="00676B15">
        <w:rPr>
          <w:rFonts w:ascii="Cambria" w:eastAsia="Times New Roman" w:hAnsi="Cambria"/>
          <w:bCs/>
          <w:sz w:val="20"/>
          <w:szCs w:val="20"/>
          <w:bdr w:val="none" w:sz="0" w:space="0" w:color="auto"/>
        </w:rPr>
        <w:t>,</w:t>
      </w:r>
      <w:r w:rsidR="00793E70" w:rsidRPr="00676B15">
        <w:rPr>
          <w:rFonts w:ascii="Cambria" w:eastAsia="Times New Roman" w:hAnsi="Cambria"/>
          <w:bCs/>
          <w:sz w:val="20"/>
          <w:szCs w:val="20"/>
          <w:bdr w:val="none" w:sz="0" w:space="0" w:color="auto"/>
        </w:rPr>
        <w:t xml:space="preserve"> </w:t>
      </w:r>
      <w:r w:rsidRPr="00676B15">
        <w:rPr>
          <w:rFonts w:ascii="Cambria" w:eastAsia="Times New Roman" w:hAnsi="Cambria"/>
          <w:bCs/>
          <w:sz w:val="20"/>
          <w:szCs w:val="20"/>
          <w:bdr w:val="none" w:sz="0" w:space="0" w:color="auto"/>
        </w:rPr>
        <w:t>it is not impossible</w:t>
      </w:r>
      <w:r w:rsidR="00B25D05" w:rsidRPr="00676B15">
        <w:rPr>
          <w:rFonts w:ascii="Cambria" w:eastAsia="Times New Roman" w:hAnsi="Cambria"/>
          <w:bCs/>
          <w:sz w:val="20"/>
          <w:szCs w:val="20"/>
          <w:bdr w:val="none" w:sz="0" w:space="0" w:color="auto"/>
        </w:rPr>
        <w:t xml:space="preserve"> to continue a worker’s compensation claim after being deported,</w:t>
      </w:r>
      <w:r w:rsidRPr="00676B15">
        <w:rPr>
          <w:rFonts w:ascii="Cambria" w:eastAsia="Times New Roman" w:hAnsi="Cambria"/>
          <w:bCs/>
          <w:sz w:val="20"/>
          <w:szCs w:val="20"/>
          <w:bdr w:val="none" w:sz="0" w:space="0" w:color="auto"/>
        </w:rPr>
        <w:t xml:space="preserve"> and, regardless, Mr. Lizalde and his lawyers did not try to pursue the pr</w:t>
      </w:r>
      <w:r w:rsidR="00B25D05" w:rsidRPr="00676B15">
        <w:rPr>
          <w:rFonts w:ascii="Cambria" w:eastAsia="Times New Roman" w:hAnsi="Cambria"/>
          <w:bCs/>
          <w:sz w:val="20"/>
          <w:szCs w:val="20"/>
          <w:bdr w:val="none" w:sz="0" w:space="0" w:color="auto"/>
        </w:rPr>
        <w:t>oceedings once he was deported by way of requesting humanitarian parole to allow his entry into the U.S.</w:t>
      </w:r>
    </w:p>
    <w:p w14:paraId="135E1174" w14:textId="77777777" w:rsidR="004961FE" w:rsidRPr="00676B15" w:rsidRDefault="004961FE" w:rsidP="004961FE">
      <w:pPr>
        <w:pStyle w:val="ListParagraph"/>
        <w:rPr>
          <w:rFonts w:eastAsia="Times New Roman"/>
          <w:bCs/>
          <w:sz w:val="20"/>
          <w:szCs w:val="20"/>
          <w:bdr w:val="none" w:sz="0" w:space="0" w:color="auto"/>
        </w:rPr>
      </w:pPr>
    </w:p>
    <w:p w14:paraId="3DA2CA42" w14:textId="61D51E11" w:rsidR="00794245" w:rsidRPr="00676B15" w:rsidRDefault="00B25D05" w:rsidP="00B3533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On</w:t>
      </w:r>
      <w:r w:rsidR="00750085" w:rsidRPr="00676B15">
        <w:rPr>
          <w:rFonts w:ascii="Cambria" w:eastAsia="Times New Roman" w:hAnsi="Cambria"/>
          <w:bCs/>
          <w:sz w:val="20"/>
          <w:szCs w:val="20"/>
          <w:bdr w:val="none" w:sz="0" w:space="0" w:color="auto"/>
        </w:rPr>
        <w:t xml:space="preserve"> this point</w:t>
      </w:r>
      <w:r w:rsidRPr="00676B15">
        <w:rPr>
          <w:rFonts w:ascii="Cambria" w:eastAsia="Times New Roman" w:hAnsi="Cambria"/>
          <w:bCs/>
          <w:sz w:val="20"/>
          <w:szCs w:val="20"/>
          <w:bdr w:val="none" w:sz="0" w:space="0" w:color="auto"/>
        </w:rPr>
        <w:t xml:space="preserve">, the IACHR </w:t>
      </w:r>
      <w:r w:rsidR="00383F7A" w:rsidRPr="00676B15">
        <w:rPr>
          <w:rFonts w:ascii="Cambria" w:eastAsia="Times New Roman" w:hAnsi="Cambria"/>
          <w:bCs/>
          <w:sz w:val="20"/>
          <w:szCs w:val="20"/>
          <w:bdr w:val="none" w:sz="0" w:space="0" w:color="auto"/>
        </w:rPr>
        <w:t>notes</w:t>
      </w:r>
      <w:r w:rsidRPr="00676B15">
        <w:rPr>
          <w:rFonts w:ascii="Cambria" w:eastAsia="Times New Roman" w:hAnsi="Cambria"/>
          <w:bCs/>
          <w:sz w:val="20"/>
          <w:szCs w:val="20"/>
          <w:bdr w:val="none" w:sz="0" w:space="0" w:color="auto"/>
        </w:rPr>
        <w:t xml:space="preserve"> that it is possible for a </w:t>
      </w:r>
      <w:r w:rsidR="00383F7A" w:rsidRPr="00676B15">
        <w:rPr>
          <w:rFonts w:ascii="Cambria" w:eastAsia="Times New Roman" w:hAnsi="Cambria"/>
          <w:bCs/>
          <w:sz w:val="20"/>
          <w:szCs w:val="20"/>
          <w:bdr w:val="none" w:sz="0" w:space="0" w:color="auto"/>
        </w:rPr>
        <w:t xml:space="preserve">deported </w:t>
      </w:r>
      <w:r w:rsidRPr="00676B15">
        <w:rPr>
          <w:rFonts w:ascii="Cambria" w:eastAsia="Times New Roman" w:hAnsi="Cambria"/>
          <w:bCs/>
          <w:sz w:val="20"/>
          <w:szCs w:val="20"/>
          <w:bdr w:val="none" w:sz="0" w:space="0" w:color="auto"/>
        </w:rPr>
        <w:t>person to</w:t>
      </w:r>
      <w:r w:rsidR="005D52D3" w:rsidRPr="00676B15">
        <w:rPr>
          <w:rFonts w:ascii="Cambria" w:eastAsia="Times New Roman" w:hAnsi="Cambria"/>
          <w:bCs/>
          <w:sz w:val="20"/>
          <w:szCs w:val="20"/>
          <w:bdr w:val="none" w:sz="0" w:space="0" w:color="auto"/>
        </w:rPr>
        <w:t xml:space="preserve"> apply for a non-immigrant visa or</w:t>
      </w:r>
      <w:r w:rsidRPr="00676B15">
        <w:rPr>
          <w:rFonts w:ascii="Cambria" w:eastAsia="Times New Roman" w:hAnsi="Cambria"/>
          <w:bCs/>
          <w:sz w:val="20"/>
          <w:szCs w:val="20"/>
          <w:bdr w:val="none" w:sz="0" w:space="0" w:color="auto"/>
        </w:rPr>
        <w:t xml:space="preserve"> </w:t>
      </w:r>
      <w:r w:rsidR="005D52D3" w:rsidRPr="00676B15">
        <w:rPr>
          <w:rFonts w:ascii="Cambria" w:eastAsia="Times New Roman" w:hAnsi="Cambria"/>
          <w:bCs/>
          <w:sz w:val="20"/>
          <w:szCs w:val="20"/>
          <w:bdr w:val="none" w:sz="0" w:space="0" w:color="auto"/>
        </w:rPr>
        <w:t xml:space="preserve">for </w:t>
      </w:r>
      <w:r w:rsidRPr="00676B15">
        <w:rPr>
          <w:rFonts w:ascii="Cambria" w:eastAsia="Times New Roman" w:hAnsi="Cambria"/>
          <w:bCs/>
          <w:sz w:val="20"/>
          <w:szCs w:val="20"/>
          <w:bdr w:val="none" w:sz="0" w:space="0" w:color="auto"/>
        </w:rPr>
        <w:t xml:space="preserve">humanitarian parole, </w:t>
      </w:r>
      <w:r w:rsidR="00383F7A" w:rsidRPr="00676B15">
        <w:rPr>
          <w:rFonts w:ascii="Cambria" w:eastAsia="Times New Roman" w:hAnsi="Cambria"/>
          <w:bCs/>
          <w:sz w:val="20"/>
          <w:szCs w:val="20"/>
          <w:bdr w:val="none" w:sz="0" w:space="0" w:color="auto"/>
        </w:rPr>
        <w:t>which would allow for entry into the country thus satisfying the requirement of presence to continue a workers’ compensation claim. H</w:t>
      </w:r>
      <w:r w:rsidRPr="00676B15">
        <w:rPr>
          <w:rFonts w:ascii="Cambria" w:eastAsia="Times New Roman" w:hAnsi="Cambria"/>
          <w:bCs/>
          <w:sz w:val="20"/>
          <w:szCs w:val="20"/>
          <w:bdr w:val="none" w:sz="0" w:space="0" w:color="auto"/>
        </w:rPr>
        <w:t xml:space="preserve">owever, </w:t>
      </w:r>
      <w:r w:rsidR="009653F7" w:rsidRPr="00676B15">
        <w:rPr>
          <w:rFonts w:ascii="Cambria" w:eastAsia="Times New Roman" w:hAnsi="Cambria"/>
          <w:bCs/>
          <w:sz w:val="20"/>
          <w:szCs w:val="20"/>
          <w:bdr w:val="none" w:sz="0" w:space="0" w:color="auto"/>
        </w:rPr>
        <w:t xml:space="preserve">the IACHR </w:t>
      </w:r>
      <w:r w:rsidR="00383F7A" w:rsidRPr="00676B15">
        <w:rPr>
          <w:rFonts w:ascii="Cambria" w:eastAsia="Times New Roman" w:hAnsi="Cambria"/>
          <w:bCs/>
          <w:sz w:val="20"/>
          <w:szCs w:val="20"/>
          <w:bdr w:val="none" w:sz="0" w:space="0" w:color="auto"/>
        </w:rPr>
        <w:t>also notes</w:t>
      </w:r>
      <w:r w:rsidR="009653F7" w:rsidRPr="00676B15">
        <w:rPr>
          <w:rFonts w:ascii="Cambria" w:eastAsia="Times New Roman" w:hAnsi="Cambria"/>
          <w:bCs/>
          <w:sz w:val="20"/>
          <w:szCs w:val="20"/>
          <w:bdr w:val="none" w:sz="0" w:space="0" w:color="auto"/>
        </w:rPr>
        <w:t xml:space="preserve"> that</w:t>
      </w:r>
      <w:r w:rsidR="00CB7F73" w:rsidRPr="00676B15">
        <w:rPr>
          <w:rFonts w:ascii="Cambria" w:eastAsia="Times New Roman" w:hAnsi="Cambria"/>
          <w:bCs/>
          <w:sz w:val="20"/>
          <w:szCs w:val="20"/>
          <w:bdr w:val="none" w:sz="0" w:space="0" w:color="auto"/>
        </w:rPr>
        <w:t xml:space="preserve"> undocumented workers </w:t>
      </w:r>
      <w:r w:rsidR="00592340" w:rsidRPr="00676B15">
        <w:rPr>
          <w:rFonts w:ascii="Cambria" w:eastAsia="Times New Roman" w:hAnsi="Cambria"/>
          <w:bCs/>
          <w:sz w:val="20"/>
          <w:szCs w:val="20"/>
          <w:bdr w:val="none" w:sz="0" w:space="0" w:color="auto"/>
        </w:rPr>
        <w:t>would likely be subject to certain bars on their readmission</w:t>
      </w:r>
      <w:r w:rsidR="00B3533B" w:rsidRPr="00676B15">
        <w:rPr>
          <w:rFonts w:ascii="Cambria" w:eastAsia="Times New Roman" w:hAnsi="Cambria"/>
          <w:bCs/>
          <w:sz w:val="20"/>
          <w:szCs w:val="20"/>
          <w:bdr w:val="none" w:sz="0" w:space="0" w:color="auto"/>
        </w:rPr>
        <w:t xml:space="preserve"> under a non-immigrant visa</w:t>
      </w:r>
      <w:r w:rsidR="00592340" w:rsidRPr="00676B15">
        <w:rPr>
          <w:rFonts w:ascii="Cambria" w:eastAsia="Times New Roman" w:hAnsi="Cambria"/>
          <w:bCs/>
          <w:sz w:val="20"/>
          <w:szCs w:val="20"/>
          <w:bdr w:val="none" w:sz="0" w:space="0" w:color="auto"/>
        </w:rPr>
        <w:t>.</w:t>
      </w:r>
      <w:r w:rsidR="00592340" w:rsidRPr="00676B15">
        <w:rPr>
          <w:rStyle w:val="FootnoteReference"/>
          <w:rFonts w:ascii="Cambria" w:eastAsia="Times New Roman" w:hAnsi="Cambria"/>
          <w:bCs/>
          <w:sz w:val="20"/>
          <w:szCs w:val="20"/>
          <w:bdr w:val="none" w:sz="0" w:space="0" w:color="auto"/>
        </w:rPr>
        <w:footnoteReference w:id="129"/>
      </w:r>
      <w:r w:rsidR="00592340" w:rsidRPr="00676B15">
        <w:rPr>
          <w:rFonts w:ascii="Cambria" w:eastAsia="Times New Roman" w:hAnsi="Cambria"/>
          <w:bCs/>
          <w:sz w:val="20"/>
          <w:szCs w:val="20"/>
          <w:bdr w:val="none" w:sz="0" w:space="0" w:color="auto"/>
        </w:rPr>
        <w:t xml:space="preserve"> </w:t>
      </w:r>
      <w:r w:rsidR="005D52D3" w:rsidRPr="00676B15">
        <w:rPr>
          <w:rFonts w:ascii="Cambria" w:eastAsia="Times New Roman" w:hAnsi="Cambria"/>
          <w:bCs/>
          <w:sz w:val="20"/>
          <w:szCs w:val="20"/>
          <w:bdr w:val="none" w:sz="0" w:space="0" w:color="auto"/>
        </w:rPr>
        <w:t xml:space="preserve"> </w:t>
      </w:r>
      <w:r w:rsidR="00B3533B" w:rsidRPr="00676B15">
        <w:rPr>
          <w:rFonts w:ascii="Cambria" w:eastAsia="Times New Roman" w:hAnsi="Cambria"/>
          <w:bCs/>
          <w:sz w:val="20"/>
          <w:szCs w:val="20"/>
          <w:bdr w:val="none" w:sz="0" w:space="0" w:color="auto"/>
        </w:rPr>
        <w:t>In order to</w:t>
      </w:r>
      <w:r w:rsidR="00592340" w:rsidRPr="00676B15">
        <w:rPr>
          <w:rFonts w:ascii="Cambria" w:eastAsia="Times New Roman" w:hAnsi="Cambria"/>
          <w:bCs/>
          <w:sz w:val="20"/>
          <w:szCs w:val="20"/>
          <w:bdr w:val="none" w:sz="0" w:space="0" w:color="auto"/>
        </w:rPr>
        <w:t xml:space="preserve"> overcome these bars, they would</w:t>
      </w:r>
      <w:r w:rsidR="003B7A67" w:rsidRPr="00676B15">
        <w:rPr>
          <w:rFonts w:ascii="Cambria" w:eastAsia="Times New Roman" w:hAnsi="Cambria"/>
          <w:bCs/>
          <w:sz w:val="20"/>
          <w:szCs w:val="20"/>
          <w:bdr w:val="none" w:sz="0" w:space="0" w:color="auto"/>
        </w:rPr>
        <w:t>, at the time of requesting a non-immigrant visa, also</w:t>
      </w:r>
      <w:r w:rsidR="00592340" w:rsidRPr="00676B15">
        <w:rPr>
          <w:rFonts w:ascii="Cambria" w:eastAsia="Times New Roman" w:hAnsi="Cambria"/>
          <w:bCs/>
          <w:sz w:val="20"/>
          <w:szCs w:val="20"/>
          <w:bdr w:val="none" w:sz="0" w:space="0" w:color="auto"/>
        </w:rPr>
        <w:t xml:space="preserve"> </w:t>
      </w:r>
      <w:r w:rsidR="00592340" w:rsidRPr="00676B15">
        <w:rPr>
          <w:rFonts w:ascii="Cambria" w:eastAsia="Times New Roman" w:hAnsi="Cambria"/>
          <w:bCs/>
          <w:sz w:val="20"/>
          <w:szCs w:val="20"/>
          <w:bdr w:val="none" w:sz="0" w:space="0" w:color="auto"/>
        </w:rPr>
        <w:lastRenderedPageBreak/>
        <w:t>have to submit requests for waivers of their</w:t>
      </w:r>
      <w:r w:rsidR="00B3533B" w:rsidRPr="00676B15">
        <w:rPr>
          <w:rFonts w:ascii="Cambria" w:eastAsia="Times New Roman" w:hAnsi="Cambria"/>
          <w:bCs/>
          <w:sz w:val="20"/>
          <w:szCs w:val="20"/>
          <w:bdr w:val="none" w:sz="0" w:space="0" w:color="auto"/>
        </w:rPr>
        <w:t xml:space="preserve"> inadmissibility</w:t>
      </w:r>
      <w:r w:rsidR="00592340" w:rsidRPr="00676B15">
        <w:rPr>
          <w:rFonts w:ascii="Cambria" w:eastAsia="Times New Roman" w:hAnsi="Cambria"/>
          <w:bCs/>
          <w:sz w:val="20"/>
          <w:szCs w:val="20"/>
          <w:bdr w:val="none" w:sz="0" w:space="0" w:color="auto"/>
        </w:rPr>
        <w:t>.</w:t>
      </w:r>
      <w:r w:rsidR="00592340" w:rsidRPr="00676B15">
        <w:rPr>
          <w:rStyle w:val="FootnoteReference"/>
          <w:rFonts w:ascii="Cambria" w:eastAsia="Times New Roman" w:hAnsi="Cambria"/>
          <w:bCs/>
          <w:sz w:val="20"/>
          <w:szCs w:val="20"/>
          <w:bdr w:val="none" w:sz="0" w:space="0" w:color="auto"/>
        </w:rPr>
        <w:footnoteReference w:id="130"/>
      </w:r>
      <w:r w:rsidR="00592340" w:rsidRPr="00676B15">
        <w:rPr>
          <w:rFonts w:ascii="Cambria" w:eastAsia="Times New Roman" w:hAnsi="Cambria"/>
          <w:bCs/>
          <w:sz w:val="20"/>
          <w:szCs w:val="20"/>
          <w:bdr w:val="none" w:sz="0" w:space="0" w:color="auto"/>
        </w:rPr>
        <w:t xml:space="preserve"> </w:t>
      </w:r>
      <w:r w:rsidR="003B7A67" w:rsidRPr="00676B15">
        <w:rPr>
          <w:rFonts w:ascii="Cambria" w:eastAsia="Times New Roman" w:hAnsi="Cambria"/>
          <w:bCs/>
          <w:sz w:val="20"/>
          <w:szCs w:val="20"/>
          <w:bdr w:val="none" w:sz="0" w:space="0" w:color="auto"/>
        </w:rPr>
        <w:t>By way of example, t</w:t>
      </w:r>
      <w:r w:rsidR="009653F7" w:rsidRPr="00676B15">
        <w:rPr>
          <w:rFonts w:ascii="Cambria" w:eastAsia="Times New Roman" w:hAnsi="Cambria"/>
          <w:bCs/>
          <w:sz w:val="20"/>
          <w:szCs w:val="20"/>
          <w:bdr w:val="none" w:sz="0" w:space="0" w:color="auto"/>
        </w:rPr>
        <w:t>he steps required to apply for</w:t>
      </w:r>
      <w:r w:rsidR="003B7A67" w:rsidRPr="00676B15">
        <w:rPr>
          <w:rFonts w:ascii="Cambria" w:eastAsia="Times New Roman" w:hAnsi="Cambria"/>
          <w:bCs/>
          <w:sz w:val="20"/>
          <w:szCs w:val="20"/>
          <w:bdr w:val="none" w:sz="0" w:space="0" w:color="auto"/>
        </w:rPr>
        <w:t xml:space="preserve"> the latter,</w:t>
      </w:r>
      <w:r w:rsidR="009653F7" w:rsidRPr="00676B15">
        <w:rPr>
          <w:rFonts w:ascii="Cambria" w:eastAsia="Times New Roman" w:hAnsi="Cambria"/>
          <w:bCs/>
          <w:sz w:val="20"/>
          <w:szCs w:val="20"/>
          <w:bdr w:val="none" w:sz="0" w:space="0" w:color="auto"/>
        </w:rPr>
        <w:t xml:space="preserve"> humanitarian parole</w:t>
      </w:r>
      <w:r w:rsidR="003B7A67" w:rsidRPr="00676B15">
        <w:rPr>
          <w:rFonts w:ascii="Cambria" w:eastAsia="Times New Roman" w:hAnsi="Cambria"/>
          <w:bCs/>
          <w:sz w:val="20"/>
          <w:szCs w:val="20"/>
          <w:bdr w:val="none" w:sz="0" w:space="0" w:color="auto"/>
        </w:rPr>
        <w:t>,</w:t>
      </w:r>
      <w:r w:rsidR="009653F7" w:rsidRPr="00676B15">
        <w:rPr>
          <w:rFonts w:ascii="Cambria" w:eastAsia="Times New Roman" w:hAnsi="Cambria"/>
          <w:bCs/>
          <w:sz w:val="20"/>
          <w:szCs w:val="20"/>
          <w:bdr w:val="none" w:sz="0" w:space="0" w:color="auto"/>
        </w:rPr>
        <w:t xml:space="preserve"> </w:t>
      </w:r>
      <w:r w:rsidR="00383F7A" w:rsidRPr="00676B15">
        <w:rPr>
          <w:rFonts w:ascii="Cambria" w:eastAsia="Times New Roman" w:hAnsi="Cambria"/>
          <w:bCs/>
          <w:sz w:val="20"/>
          <w:szCs w:val="20"/>
          <w:bdr w:val="none" w:sz="0" w:space="0" w:color="auto"/>
        </w:rPr>
        <w:t xml:space="preserve">include </w:t>
      </w:r>
      <w:r w:rsidR="009653F7" w:rsidRPr="00676B15">
        <w:rPr>
          <w:rFonts w:ascii="Cambria" w:eastAsia="Times New Roman" w:hAnsi="Cambria"/>
          <w:bCs/>
          <w:sz w:val="20"/>
          <w:szCs w:val="20"/>
          <w:bdr w:val="none" w:sz="0" w:space="0" w:color="auto"/>
        </w:rPr>
        <w:t xml:space="preserve">the following: </w:t>
      </w:r>
      <w:r w:rsidR="00750085" w:rsidRPr="00676B15">
        <w:rPr>
          <w:rFonts w:ascii="Cambria" w:eastAsia="Times New Roman" w:hAnsi="Cambria"/>
          <w:bCs/>
          <w:sz w:val="20"/>
          <w:szCs w:val="20"/>
          <w:bdr w:val="none" w:sz="0" w:space="0" w:color="auto"/>
        </w:rPr>
        <w:t xml:space="preserve">(1) </w:t>
      </w:r>
      <w:r w:rsidR="009653F7" w:rsidRPr="00676B15">
        <w:rPr>
          <w:rFonts w:ascii="Cambria" w:eastAsia="Times New Roman" w:hAnsi="Cambria"/>
          <w:bCs/>
          <w:sz w:val="20"/>
          <w:szCs w:val="20"/>
          <w:bdr w:val="none" w:sz="0" w:space="0" w:color="auto"/>
        </w:rPr>
        <w:t>an application for a travel document (</w:t>
      </w:r>
      <w:r w:rsidR="00750085" w:rsidRPr="00676B15">
        <w:rPr>
          <w:rFonts w:ascii="Cambria" w:eastAsia="Times New Roman" w:hAnsi="Cambria"/>
          <w:bCs/>
          <w:sz w:val="20"/>
          <w:szCs w:val="20"/>
          <w:bdr w:val="none" w:sz="0" w:space="0" w:color="auto"/>
        </w:rPr>
        <w:t>Form 131</w:t>
      </w:r>
      <w:r w:rsidR="009653F7" w:rsidRPr="00676B15">
        <w:rPr>
          <w:rFonts w:ascii="Cambria" w:eastAsia="Times New Roman" w:hAnsi="Cambria"/>
          <w:bCs/>
          <w:sz w:val="20"/>
          <w:szCs w:val="20"/>
          <w:bdr w:val="none" w:sz="0" w:space="0" w:color="auto"/>
        </w:rPr>
        <w:t>)</w:t>
      </w:r>
      <w:r w:rsidR="00750085" w:rsidRPr="00676B15">
        <w:rPr>
          <w:rFonts w:ascii="Cambria" w:eastAsia="Times New Roman" w:hAnsi="Cambria"/>
          <w:bCs/>
          <w:sz w:val="20"/>
          <w:szCs w:val="20"/>
          <w:bdr w:val="none" w:sz="0" w:space="0" w:color="auto"/>
        </w:rPr>
        <w:t>, which includes a filing fee of $360 per parole applicant;</w:t>
      </w:r>
      <w:r w:rsidR="00003AEB" w:rsidRPr="00676B15">
        <w:rPr>
          <w:rFonts w:ascii="Cambria" w:eastAsia="Times New Roman" w:hAnsi="Cambria"/>
          <w:bCs/>
          <w:sz w:val="20"/>
          <w:szCs w:val="20"/>
          <w:bdr w:val="none" w:sz="0" w:space="0" w:color="auto"/>
        </w:rPr>
        <w:t xml:space="preserve"> </w:t>
      </w:r>
      <w:r w:rsidR="00750085" w:rsidRPr="00676B15">
        <w:rPr>
          <w:rFonts w:ascii="Cambria" w:eastAsia="Times New Roman" w:hAnsi="Cambria"/>
          <w:bCs/>
          <w:sz w:val="20"/>
          <w:szCs w:val="20"/>
          <w:bdr w:val="none" w:sz="0" w:space="0" w:color="auto"/>
        </w:rPr>
        <w:t>(2) sin</w:t>
      </w:r>
      <w:r w:rsidR="00003AEB" w:rsidRPr="00676B15">
        <w:rPr>
          <w:rFonts w:ascii="Cambria" w:eastAsia="Times New Roman" w:hAnsi="Cambria"/>
          <w:bCs/>
          <w:sz w:val="20"/>
          <w:szCs w:val="20"/>
          <w:bdr w:val="none" w:sz="0" w:space="0" w:color="auto"/>
        </w:rPr>
        <w:t>ce parolees may not work, locating a sponsor</w:t>
      </w:r>
      <w:r w:rsidR="009653F7" w:rsidRPr="00676B15">
        <w:rPr>
          <w:rFonts w:ascii="Cambria" w:eastAsia="Times New Roman" w:hAnsi="Cambria"/>
          <w:bCs/>
          <w:sz w:val="20"/>
          <w:szCs w:val="20"/>
          <w:bdr w:val="none" w:sz="0" w:space="0" w:color="auto"/>
        </w:rPr>
        <w:t xml:space="preserve"> in the US</w:t>
      </w:r>
      <w:r w:rsidR="00003AEB" w:rsidRPr="00676B15">
        <w:rPr>
          <w:rFonts w:ascii="Cambria" w:eastAsia="Times New Roman" w:hAnsi="Cambria"/>
          <w:bCs/>
          <w:sz w:val="20"/>
          <w:szCs w:val="20"/>
          <w:bdr w:val="none" w:sz="0" w:space="0" w:color="auto"/>
        </w:rPr>
        <w:t xml:space="preserve">, and </w:t>
      </w:r>
      <w:r w:rsidR="009653F7" w:rsidRPr="00676B15">
        <w:rPr>
          <w:rFonts w:ascii="Cambria" w:eastAsia="Times New Roman" w:hAnsi="Cambria"/>
          <w:bCs/>
          <w:sz w:val="20"/>
          <w:szCs w:val="20"/>
          <w:bdr w:val="none" w:sz="0" w:space="0" w:color="auto"/>
        </w:rPr>
        <w:t xml:space="preserve">having him or her complete and file </w:t>
      </w:r>
      <w:r w:rsidR="00750085" w:rsidRPr="00676B15">
        <w:rPr>
          <w:rFonts w:ascii="Cambria" w:eastAsia="Times New Roman" w:hAnsi="Cambria"/>
          <w:bCs/>
          <w:sz w:val="20"/>
          <w:szCs w:val="20"/>
          <w:bdr w:val="none" w:sz="0" w:space="0" w:color="auto"/>
        </w:rPr>
        <w:t>Form I</w:t>
      </w:r>
      <w:r w:rsidR="00003AEB" w:rsidRPr="00676B15">
        <w:rPr>
          <w:rFonts w:ascii="Cambria" w:eastAsia="Times New Roman" w:hAnsi="Cambria"/>
          <w:bCs/>
          <w:sz w:val="20"/>
          <w:szCs w:val="20"/>
          <w:bdr w:val="none" w:sz="0" w:space="0" w:color="auto"/>
        </w:rPr>
        <w:t>-134, Affidavit of Support; and (3) mailing these documents, fees, and a supporting explanation</w:t>
      </w:r>
      <w:r w:rsidR="009653F7" w:rsidRPr="00676B15">
        <w:rPr>
          <w:rFonts w:ascii="Cambria" w:eastAsia="Times New Roman" w:hAnsi="Cambria"/>
          <w:bCs/>
          <w:sz w:val="20"/>
          <w:szCs w:val="20"/>
          <w:bdr w:val="none" w:sz="0" w:space="0" w:color="auto"/>
        </w:rPr>
        <w:t xml:space="preserve"> of why the person should be granted humanitarian parole</w:t>
      </w:r>
      <w:r w:rsidR="00003AEB" w:rsidRPr="00676B15">
        <w:rPr>
          <w:rFonts w:ascii="Cambria" w:eastAsia="Times New Roman" w:hAnsi="Cambria"/>
          <w:bCs/>
          <w:sz w:val="20"/>
          <w:szCs w:val="20"/>
          <w:bdr w:val="none" w:sz="0" w:space="0" w:color="auto"/>
        </w:rPr>
        <w:t xml:space="preserve"> to one of two locations in the state of Texas.</w:t>
      </w:r>
      <w:r w:rsidR="00383F7A" w:rsidRPr="00676B15">
        <w:rPr>
          <w:rStyle w:val="FootnoteReference"/>
          <w:rFonts w:ascii="Cambria" w:eastAsia="Times New Roman" w:hAnsi="Cambria"/>
          <w:bCs/>
          <w:sz w:val="20"/>
          <w:szCs w:val="20"/>
          <w:bdr w:val="none" w:sz="0" w:space="0" w:color="auto"/>
        </w:rPr>
        <w:footnoteReference w:id="131"/>
      </w:r>
      <w:r w:rsidR="00003AEB" w:rsidRPr="00676B15">
        <w:rPr>
          <w:rFonts w:ascii="Cambria" w:eastAsia="Times New Roman" w:hAnsi="Cambria"/>
          <w:bCs/>
          <w:sz w:val="20"/>
          <w:szCs w:val="20"/>
          <w:bdr w:val="none" w:sz="0" w:space="0" w:color="auto"/>
        </w:rPr>
        <w:t xml:space="preserve"> While the U.S. government does not specify the time frame to analyze and decide upon requests for humanitarian parole, it does state that if no response is received within 120 days, then</w:t>
      </w:r>
      <w:r w:rsidR="009653F7" w:rsidRPr="00676B15">
        <w:rPr>
          <w:rFonts w:ascii="Cambria" w:eastAsia="Times New Roman" w:hAnsi="Cambria"/>
          <w:bCs/>
          <w:sz w:val="20"/>
          <w:szCs w:val="20"/>
          <w:bdr w:val="none" w:sz="0" w:space="0" w:color="auto"/>
        </w:rPr>
        <w:t xml:space="preserve"> </w:t>
      </w:r>
      <w:r w:rsidR="00270904" w:rsidRPr="00676B15">
        <w:rPr>
          <w:rFonts w:ascii="Cambria" w:eastAsia="Times New Roman" w:hAnsi="Cambria"/>
          <w:bCs/>
          <w:sz w:val="20"/>
          <w:szCs w:val="20"/>
          <w:bdr w:val="none" w:sz="0" w:space="0" w:color="auto"/>
        </w:rPr>
        <w:t xml:space="preserve">only </w:t>
      </w:r>
      <w:r w:rsidR="00383F7A" w:rsidRPr="00676B15">
        <w:rPr>
          <w:rFonts w:ascii="Cambria" w:eastAsia="Times New Roman" w:hAnsi="Cambria"/>
          <w:bCs/>
          <w:sz w:val="20"/>
          <w:szCs w:val="20"/>
          <w:bdr w:val="none" w:sz="0" w:space="0" w:color="auto"/>
        </w:rPr>
        <w:t xml:space="preserve">on or </w:t>
      </w:r>
      <w:r w:rsidR="00270904" w:rsidRPr="00676B15">
        <w:rPr>
          <w:rFonts w:ascii="Cambria" w:eastAsia="Times New Roman" w:hAnsi="Cambria"/>
          <w:bCs/>
          <w:sz w:val="20"/>
          <w:szCs w:val="20"/>
          <w:bdr w:val="none" w:sz="0" w:space="0" w:color="auto"/>
        </w:rPr>
        <w:t>after</w:t>
      </w:r>
      <w:r w:rsidR="00383F7A" w:rsidRPr="00676B15">
        <w:rPr>
          <w:rFonts w:ascii="Cambria" w:eastAsia="Times New Roman" w:hAnsi="Cambria"/>
          <w:bCs/>
          <w:sz w:val="20"/>
          <w:szCs w:val="20"/>
          <w:bdr w:val="none" w:sz="0" w:space="0" w:color="auto"/>
        </w:rPr>
        <w:t xml:space="preserve"> the 121</w:t>
      </w:r>
      <w:r w:rsidR="00383F7A" w:rsidRPr="00676B15">
        <w:rPr>
          <w:rFonts w:ascii="Cambria" w:eastAsia="Times New Roman" w:hAnsi="Cambria"/>
          <w:bCs/>
          <w:sz w:val="20"/>
          <w:szCs w:val="20"/>
          <w:bdr w:val="none" w:sz="0" w:space="0" w:color="auto"/>
          <w:vertAlign w:val="superscript"/>
        </w:rPr>
        <w:t>st</w:t>
      </w:r>
      <w:r w:rsidR="00383F7A" w:rsidRPr="00676B15">
        <w:rPr>
          <w:rFonts w:ascii="Cambria" w:eastAsia="Times New Roman" w:hAnsi="Cambria"/>
          <w:bCs/>
          <w:sz w:val="20"/>
          <w:szCs w:val="20"/>
          <w:bdr w:val="none" w:sz="0" w:space="0" w:color="auto"/>
        </w:rPr>
        <w:t xml:space="preserve"> day</w:t>
      </w:r>
      <w:r w:rsidR="00270904" w:rsidRPr="00676B15">
        <w:rPr>
          <w:rFonts w:ascii="Cambria" w:eastAsia="Times New Roman" w:hAnsi="Cambria"/>
          <w:bCs/>
          <w:sz w:val="20"/>
          <w:szCs w:val="20"/>
          <w:bdr w:val="none" w:sz="0" w:space="0" w:color="auto"/>
        </w:rPr>
        <w:t xml:space="preserve"> may </w:t>
      </w:r>
      <w:r w:rsidR="00383F7A" w:rsidRPr="00676B15">
        <w:rPr>
          <w:rFonts w:ascii="Cambria" w:eastAsia="Times New Roman" w:hAnsi="Cambria"/>
          <w:bCs/>
          <w:sz w:val="20"/>
          <w:szCs w:val="20"/>
          <w:bdr w:val="none" w:sz="0" w:space="0" w:color="auto"/>
        </w:rPr>
        <w:t>the applicant, by mail only,</w:t>
      </w:r>
      <w:r w:rsidR="00003AEB" w:rsidRPr="00676B15">
        <w:rPr>
          <w:rFonts w:ascii="Cambria" w:eastAsia="Times New Roman" w:hAnsi="Cambria"/>
          <w:bCs/>
          <w:sz w:val="20"/>
          <w:szCs w:val="20"/>
          <w:bdr w:val="none" w:sz="0" w:space="0" w:color="auto"/>
        </w:rPr>
        <w:t xml:space="preserve"> contact the Parole Branch, the unit </w:t>
      </w:r>
      <w:r w:rsidR="00383F7A" w:rsidRPr="00676B15">
        <w:rPr>
          <w:rFonts w:ascii="Cambria" w:eastAsia="Times New Roman" w:hAnsi="Cambria"/>
          <w:bCs/>
          <w:sz w:val="20"/>
          <w:szCs w:val="20"/>
          <w:bdr w:val="none" w:sz="0" w:space="0" w:color="auto"/>
        </w:rPr>
        <w:t>that adjudicates these requests</w:t>
      </w:r>
      <w:r w:rsidR="00003AEB" w:rsidRPr="00676B15">
        <w:rPr>
          <w:rFonts w:ascii="Cambria" w:eastAsia="Times New Roman" w:hAnsi="Cambria"/>
          <w:bCs/>
          <w:sz w:val="20"/>
          <w:szCs w:val="20"/>
          <w:bdr w:val="none" w:sz="0" w:space="0" w:color="auto"/>
        </w:rPr>
        <w:t>.</w:t>
      </w:r>
      <w:r w:rsidR="00003AEB" w:rsidRPr="00676B15">
        <w:rPr>
          <w:rStyle w:val="FootnoteReference"/>
          <w:rFonts w:ascii="Cambria" w:eastAsia="Times New Roman" w:hAnsi="Cambria"/>
          <w:bCs/>
          <w:sz w:val="20"/>
          <w:szCs w:val="20"/>
          <w:bdr w:val="none" w:sz="0" w:space="0" w:color="auto"/>
        </w:rPr>
        <w:footnoteReference w:id="132"/>
      </w:r>
      <w:r w:rsidR="00003AEB" w:rsidRPr="00676B15">
        <w:rPr>
          <w:rFonts w:ascii="Cambria" w:eastAsia="Times New Roman" w:hAnsi="Cambria"/>
          <w:bCs/>
          <w:sz w:val="20"/>
          <w:szCs w:val="20"/>
          <w:bdr w:val="none" w:sz="0" w:space="0" w:color="auto"/>
        </w:rPr>
        <w:t xml:space="preserve">  </w:t>
      </w:r>
    </w:p>
    <w:p w14:paraId="190E2D87" w14:textId="77777777" w:rsidR="00794245" w:rsidRPr="00676B15" w:rsidRDefault="00794245" w:rsidP="0079424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1AD04744" w14:textId="0825052B" w:rsidR="00A41F6F" w:rsidRPr="00676B15" w:rsidRDefault="00B3533B" w:rsidP="00B3533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In short, both processes</w:t>
      </w:r>
      <w:r w:rsidR="00794245" w:rsidRPr="00676B15">
        <w:rPr>
          <w:rFonts w:ascii="Cambria" w:eastAsia="Times New Roman" w:hAnsi="Cambria"/>
          <w:bCs/>
          <w:sz w:val="20"/>
          <w:szCs w:val="20"/>
          <w:bdr w:val="none" w:sz="0" w:space="0" w:color="auto"/>
        </w:rPr>
        <w:t xml:space="preserve"> to return to the United States</w:t>
      </w:r>
      <w:r w:rsidRPr="00676B15">
        <w:rPr>
          <w:rFonts w:ascii="Cambria" w:eastAsia="Times New Roman" w:hAnsi="Cambria"/>
          <w:bCs/>
          <w:sz w:val="20"/>
          <w:szCs w:val="20"/>
          <w:bdr w:val="none" w:sz="0" w:space="0" w:color="auto"/>
        </w:rPr>
        <w:t xml:space="preserve"> are complex, costly</w:t>
      </w:r>
      <w:r w:rsidR="00794245" w:rsidRPr="00676B15">
        <w:rPr>
          <w:rStyle w:val="FootnoteReference"/>
          <w:rFonts w:ascii="Cambria" w:eastAsia="Times New Roman" w:hAnsi="Cambria"/>
          <w:bCs/>
          <w:sz w:val="20"/>
          <w:szCs w:val="20"/>
          <w:bdr w:val="none" w:sz="0" w:space="0" w:color="auto"/>
        </w:rPr>
        <w:footnoteReference w:id="133"/>
      </w:r>
      <w:r w:rsidRPr="00676B15">
        <w:rPr>
          <w:rFonts w:ascii="Cambria" w:eastAsia="Times New Roman" w:hAnsi="Cambria"/>
          <w:bCs/>
          <w:sz w:val="20"/>
          <w:szCs w:val="20"/>
          <w:bdr w:val="none" w:sz="0" w:space="0" w:color="auto"/>
        </w:rPr>
        <w:t xml:space="preserve">, and potentially time-consuming, making them - for </w:t>
      </w:r>
      <w:r w:rsidR="00794245" w:rsidRPr="00676B15">
        <w:rPr>
          <w:rFonts w:ascii="Cambria" w:eastAsia="Times New Roman" w:hAnsi="Cambria"/>
          <w:bCs/>
          <w:sz w:val="20"/>
          <w:szCs w:val="20"/>
          <w:bdr w:val="none" w:sz="0" w:space="0" w:color="auto"/>
        </w:rPr>
        <w:t>many</w:t>
      </w:r>
      <w:r w:rsidRPr="00676B15">
        <w:rPr>
          <w:rFonts w:ascii="Cambria" w:eastAsia="Times New Roman" w:hAnsi="Cambria"/>
          <w:bCs/>
          <w:sz w:val="20"/>
          <w:szCs w:val="20"/>
          <w:bdr w:val="none" w:sz="0" w:space="0" w:color="auto"/>
        </w:rPr>
        <w:t xml:space="preserve"> deported or voluntarily-departed workers</w:t>
      </w:r>
      <w:r w:rsidR="00794245" w:rsidRPr="00676B15">
        <w:rPr>
          <w:rFonts w:ascii="Cambria" w:eastAsia="Times New Roman" w:hAnsi="Cambria"/>
          <w:bCs/>
          <w:sz w:val="20"/>
          <w:szCs w:val="20"/>
          <w:bdr w:val="none" w:sz="0" w:space="0" w:color="auto"/>
        </w:rPr>
        <w:t>, and certainly the two workers in this case</w:t>
      </w:r>
      <w:r w:rsidRPr="00676B15">
        <w:rPr>
          <w:rFonts w:ascii="Cambria" w:eastAsia="Times New Roman" w:hAnsi="Cambria"/>
          <w:bCs/>
          <w:sz w:val="20"/>
          <w:szCs w:val="20"/>
          <w:bdr w:val="none" w:sz="0" w:space="0" w:color="auto"/>
        </w:rPr>
        <w:t xml:space="preserve"> - unduly burdensome. Furthermore, there are no guarantees that such applications will be granted.</w:t>
      </w:r>
      <w:r w:rsidRPr="00676B15">
        <w:rPr>
          <w:rStyle w:val="FootnoteReference"/>
          <w:rFonts w:ascii="Cambria" w:eastAsia="Times New Roman" w:hAnsi="Cambria"/>
          <w:bCs/>
          <w:sz w:val="20"/>
          <w:szCs w:val="20"/>
          <w:bdr w:val="none" w:sz="0" w:space="0" w:color="auto"/>
        </w:rPr>
        <w:footnoteReference w:id="134"/>
      </w:r>
      <w:r w:rsidRPr="00676B15">
        <w:rPr>
          <w:rFonts w:ascii="Cambria" w:eastAsia="Times New Roman" w:hAnsi="Cambria"/>
          <w:bCs/>
          <w:sz w:val="20"/>
          <w:szCs w:val="20"/>
          <w:bdr w:val="none" w:sz="0" w:space="0" w:color="auto"/>
        </w:rPr>
        <w:t xml:space="preserve"> </w:t>
      </w:r>
    </w:p>
    <w:p w14:paraId="0F3DDD7B" w14:textId="77777777" w:rsidR="00466862" w:rsidRPr="00676B15" w:rsidRDefault="00466862" w:rsidP="007423F8">
      <w:pPr>
        <w:pStyle w:val="ListParagraph"/>
        <w:rPr>
          <w:rFonts w:eastAsia="Times New Roman"/>
          <w:bCs/>
          <w:sz w:val="20"/>
          <w:szCs w:val="20"/>
          <w:bdr w:val="none" w:sz="0" w:space="0" w:color="auto"/>
        </w:rPr>
      </w:pPr>
    </w:p>
    <w:p w14:paraId="53667340" w14:textId="15247FD6" w:rsidR="00466862" w:rsidRPr="00676B15" w:rsidRDefault="00466862" w:rsidP="005704BC">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The Commission also finds that </w:t>
      </w:r>
      <w:r w:rsidR="004E41EB" w:rsidRPr="00676B15">
        <w:rPr>
          <w:rFonts w:ascii="Cambria" w:eastAsia="Times New Roman" w:hAnsi="Cambria"/>
          <w:bCs/>
          <w:sz w:val="20"/>
          <w:szCs w:val="20"/>
          <w:bdr w:val="none" w:sz="0" w:space="0" w:color="auto"/>
        </w:rPr>
        <w:t>these hurdles allow for undocumented workers to be exploited and discriminated against</w:t>
      </w:r>
      <w:r w:rsidR="00383F7A" w:rsidRPr="00676B15">
        <w:rPr>
          <w:rFonts w:ascii="Cambria" w:eastAsia="Times New Roman" w:hAnsi="Cambria"/>
          <w:bCs/>
          <w:sz w:val="20"/>
          <w:szCs w:val="20"/>
          <w:bdr w:val="none" w:sz="0" w:space="0" w:color="auto"/>
        </w:rPr>
        <w:t xml:space="preserve"> with little to no guarantees of judicial protection</w:t>
      </w:r>
      <w:r w:rsidR="004E41EB" w:rsidRPr="00676B15">
        <w:rPr>
          <w:rFonts w:ascii="Cambria" w:eastAsia="Times New Roman" w:hAnsi="Cambria"/>
          <w:bCs/>
          <w:sz w:val="20"/>
          <w:szCs w:val="20"/>
          <w:bdr w:val="none" w:sz="0" w:space="0" w:color="auto"/>
        </w:rPr>
        <w:t xml:space="preserve">. </w:t>
      </w:r>
      <w:r w:rsidR="00383F7A" w:rsidRPr="00676B15">
        <w:rPr>
          <w:rFonts w:ascii="Cambria" w:eastAsia="Times New Roman" w:hAnsi="Cambria"/>
          <w:bCs/>
          <w:sz w:val="20"/>
          <w:szCs w:val="20"/>
          <w:bdr w:val="none" w:sz="0" w:space="0" w:color="auto"/>
        </w:rPr>
        <w:t xml:space="preserve">In this regard, the Commission </w:t>
      </w:r>
      <w:r w:rsidR="00CB7F73" w:rsidRPr="00676B15">
        <w:rPr>
          <w:rFonts w:ascii="Cambria" w:eastAsia="Times New Roman" w:hAnsi="Cambria"/>
          <w:bCs/>
          <w:sz w:val="20"/>
          <w:szCs w:val="20"/>
          <w:bdr w:val="none" w:sz="0" w:space="0" w:color="auto"/>
        </w:rPr>
        <w:t>takes note of</w:t>
      </w:r>
      <w:r w:rsidR="00383F7A" w:rsidRPr="00676B15">
        <w:rPr>
          <w:rFonts w:ascii="Cambria" w:eastAsia="Times New Roman" w:hAnsi="Cambria"/>
          <w:bCs/>
          <w:sz w:val="20"/>
          <w:szCs w:val="20"/>
          <w:bdr w:val="none" w:sz="0" w:space="0" w:color="auto"/>
        </w:rPr>
        <w:t xml:space="preserve"> the views espoused by U.S. Supreme Court Justice Breyer in his</w:t>
      </w:r>
      <w:r w:rsidR="004E41EB" w:rsidRPr="00676B15">
        <w:rPr>
          <w:rFonts w:ascii="Cambria" w:eastAsia="Times New Roman" w:hAnsi="Cambria"/>
          <w:bCs/>
          <w:sz w:val="20"/>
          <w:szCs w:val="20"/>
          <w:bdr w:val="none" w:sz="0" w:space="0" w:color="auto"/>
        </w:rPr>
        <w:t xml:space="preserve"> dissent</w:t>
      </w:r>
      <w:r w:rsidR="00383F7A" w:rsidRPr="00676B15">
        <w:rPr>
          <w:rFonts w:ascii="Cambria" w:eastAsia="Times New Roman" w:hAnsi="Cambria"/>
          <w:bCs/>
          <w:sz w:val="20"/>
          <w:szCs w:val="20"/>
          <w:bdr w:val="none" w:sz="0" w:space="0" w:color="auto"/>
        </w:rPr>
        <w:t>ing opinion</w:t>
      </w:r>
      <w:r w:rsidR="004E41EB" w:rsidRPr="00676B15">
        <w:rPr>
          <w:rFonts w:ascii="Cambria" w:eastAsia="Times New Roman" w:hAnsi="Cambria"/>
          <w:bCs/>
          <w:sz w:val="20"/>
          <w:szCs w:val="20"/>
          <w:bdr w:val="none" w:sz="0" w:space="0" w:color="auto"/>
        </w:rPr>
        <w:t xml:space="preserve"> in </w:t>
      </w:r>
      <w:r w:rsidR="004E41EB" w:rsidRPr="00676B15">
        <w:rPr>
          <w:rFonts w:ascii="Cambria" w:eastAsia="Times New Roman" w:hAnsi="Cambria"/>
          <w:bCs/>
          <w:i/>
          <w:sz w:val="20"/>
          <w:szCs w:val="20"/>
          <w:bdr w:val="none" w:sz="0" w:space="0" w:color="auto"/>
        </w:rPr>
        <w:t>Hoffman</w:t>
      </w:r>
      <w:r w:rsidR="004E41EB" w:rsidRPr="00676B15">
        <w:rPr>
          <w:rFonts w:ascii="Cambria" w:eastAsia="Times New Roman" w:hAnsi="Cambria"/>
          <w:bCs/>
          <w:sz w:val="20"/>
          <w:szCs w:val="20"/>
          <w:bdr w:val="none" w:sz="0" w:space="0" w:color="auto"/>
        </w:rPr>
        <w:t xml:space="preserve">, </w:t>
      </w:r>
      <w:r w:rsidR="00383F7A" w:rsidRPr="00676B15">
        <w:rPr>
          <w:rFonts w:ascii="Cambria" w:eastAsia="Times New Roman" w:hAnsi="Cambria"/>
          <w:bCs/>
          <w:sz w:val="20"/>
          <w:szCs w:val="20"/>
          <w:bdr w:val="none" w:sz="0" w:space="0" w:color="auto"/>
        </w:rPr>
        <w:t>where he</w:t>
      </w:r>
      <w:r w:rsidR="004E41EB" w:rsidRPr="00676B15">
        <w:rPr>
          <w:rFonts w:ascii="Cambria" w:eastAsia="Times New Roman" w:hAnsi="Cambria"/>
          <w:bCs/>
          <w:sz w:val="20"/>
          <w:szCs w:val="20"/>
          <w:bdr w:val="none" w:sz="0" w:space="0" w:color="auto"/>
        </w:rPr>
        <w:t xml:space="preserve"> recognized the high possibility of exploitation of undocumented workers “if no real penalties existed for labor law violations [committed against undocumented workers] beyond a posting</w:t>
      </w:r>
      <w:r w:rsidR="00383F7A" w:rsidRPr="00676B15">
        <w:rPr>
          <w:rFonts w:ascii="Cambria" w:eastAsia="Times New Roman" w:hAnsi="Cambria"/>
          <w:bCs/>
          <w:sz w:val="20"/>
          <w:szCs w:val="20"/>
          <w:bdr w:val="none" w:sz="0" w:space="0" w:color="auto"/>
        </w:rPr>
        <w:t xml:space="preserve"> [of cease and desist orders]</w:t>
      </w:r>
      <w:r w:rsidR="004E41EB" w:rsidRPr="00676B15">
        <w:rPr>
          <w:rFonts w:ascii="Cambria" w:eastAsia="Times New Roman" w:hAnsi="Cambria"/>
          <w:bCs/>
          <w:sz w:val="20"/>
          <w:szCs w:val="20"/>
          <w:bdr w:val="none" w:sz="0" w:space="0" w:color="auto"/>
        </w:rPr>
        <w:t xml:space="preserve"> and the possibility of a contempt charge for repeat offenders.”</w:t>
      </w:r>
      <w:r w:rsidR="004E41EB" w:rsidRPr="00676B15">
        <w:rPr>
          <w:rStyle w:val="FootnoteReference"/>
          <w:rFonts w:ascii="Cambria" w:eastAsia="Times New Roman" w:hAnsi="Cambria"/>
          <w:bCs/>
          <w:sz w:val="20"/>
          <w:szCs w:val="20"/>
          <w:bdr w:val="none" w:sz="0" w:space="0" w:color="auto"/>
        </w:rPr>
        <w:footnoteReference w:id="135"/>
      </w:r>
      <w:r w:rsidR="004E41EB" w:rsidRPr="00676B15">
        <w:rPr>
          <w:rFonts w:ascii="Cambria" w:eastAsia="Times New Roman" w:hAnsi="Cambria"/>
          <w:bCs/>
          <w:sz w:val="20"/>
          <w:szCs w:val="20"/>
          <w:bdr w:val="none" w:sz="0" w:space="0" w:color="auto"/>
        </w:rPr>
        <w:t xml:space="preserve"> </w:t>
      </w:r>
    </w:p>
    <w:p w14:paraId="1C60479A" w14:textId="77777777" w:rsidR="004961FE" w:rsidRPr="00676B15" w:rsidRDefault="004961FE" w:rsidP="004961F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34A7A142" w14:textId="59832BBC" w:rsidR="00BF3E3F" w:rsidRPr="00676B15" w:rsidRDefault="00646288" w:rsidP="00C15B52">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Based on its review of international law and precedents </w:t>
      </w:r>
      <w:r w:rsidR="00CB7F73" w:rsidRPr="00676B15">
        <w:rPr>
          <w:rFonts w:ascii="Cambria" w:eastAsia="Times New Roman" w:hAnsi="Cambria"/>
          <w:bCs/>
          <w:sz w:val="20"/>
          <w:szCs w:val="20"/>
          <w:bdr w:val="none" w:sz="0" w:space="0" w:color="auto"/>
        </w:rPr>
        <w:t>within the inter-American system</w:t>
      </w:r>
      <w:r w:rsidR="00BF3E3F" w:rsidRPr="00676B15">
        <w:rPr>
          <w:rStyle w:val="FootnoteReference"/>
          <w:rFonts w:ascii="Cambria" w:eastAsia="Times New Roman" w:hAnsi="Cambria"/>
          <w:bCs/>
          <w:sz w:val="20"/>
          <w:szCs w:val="20"/>
          <w:bdr w:val="none" w:sz="0" w:space="0" w:color="auto"/>
        </w:rPr>
        <w:footnoteReference w:id="136"/>
      </w:r>
      <w:r w:rsidRPr="00676B15">
        <w:rPr>
          <w:rFonts w:ascii="Cambria" w:eastAsia="Times New Roman" w:hAnsi="Cambria"/>
          <w:bCs/>
          <w:sz w:val="20"/>
          <w:szCs w:val="20"/>
          <w:bdr w:val="none" w:sz="0" w:space="0" w:color="auto"/>
        </w:rPr>
        <w:t xml:space="preserve">, the IACHR finds that </w:t>
      </w:r>
      <w:r w:rsidR="007D773E" w:rsidRPr="00676B15">
        <w:rPr>
          <w:rFonts w:ascii="Cambria" w:eastAsia="Times New Roman" w:hAnsi="Cambria"/>
          <w:bCs/>
          <w:sz w:val="20"/>
          <w:szCs w:val="20"/>
          <w:bdr w:val="none" w:sz="0" w:space="0" w:color="auto"/>
        </w:rPr>
        <w:t>on</w:t>
      </w:r>
      <w:r w:rsidR="007423F8" w:rsidRPr="00676B15">
        <w:rPr>
          <w:rFonts w:ascii="Cambria" w:eastAsia="Times New Roman" w:hAnsi="Cambria"/>
          <w:bCs/>
          <w:sz w:val="20"/>
          <w:szCs w:val="20"/>
          <w:bdr w:val="none" w:sz="0" w:space="0" w:color="auto"/>
        </w:rPr>
        <w:t>c</w:t>
      </w:r>
      <w:r w:rsidR="007D773E" w:rsidRPr="00676B15">
        <w:rPr>
          <w:rFonts w:ascii="Cambria" w:eastAsia="Times New Roman" w:hAnsi="Cambria"/>
          <w:bCs/>
          <w:sz w:val="20"/>
          <w:szCs w:val="20"/>
          <w:bdr w:val="none" w:sz="0" w:space="0" w:color="auto"/>
        </w:rPr>
        <w:t>e a person</w:t>
      </w:r>
      <w:r w:rsidRPr="00676B15">
        <w:rPr>
          <w:rFonts w:ascii="Cambria" w:eastAsia="Times New Roman" w:hAnsi="Cambria"/>
          <w:bCs/>
          <w:sz w:val="20"/>
          <w:szCs w:val="20"/>
          <w:bdr w:val="none" w:sz="0" w:space="0" w:color="auto"/>
        </w:rPr>
        <w:t xml:space="preserve">, </w:t>
      </w:r>
      <w:r w:rsidR="00367BAE" w:rsidRPr="00676B15">
        <w:rPr>
          <w:rFonts w:ascii="Cambria" w:eastAsia="Times New Roman" w:hAnsi="Cambria"/>
          <w:bCs/>
          <w:sz w:val="20"/>
          <w:szCs w:val="20"/>
          <w:bdr w:val="none" w:sz="0" w:space="0" w:color="auto"/>
        </w:rPr>
        <w:t>regardless of migratory situa</w:t>
      </w:r>
      <w:r w:rsidRPr="00676B15">
        <w:rPr>
          <w:rFonts w:ascii="Cambria" w:eastAsia="Times New Roman" w:hAnsi="Cambria"/>
          <w:bCs/>
          <w:sz w:val="20"/>
          <w:szCs w:val="20"/>
          <w:bdr w:val="none" w:sz="0" w:space="0" w:color="auto"/>
        </w:rPr>
        <w:t xml:space="preserve">tion or authorization to work, </w:t>
      </w:r>
      <w:r w:rsidR="007D773E" w:rsidRPr="00676B15">
        <w:rPr>
          <w:rFonts w:ascii="Cambria" w:eastAsia="Times New Roman" w:hAnsi="Cambria"/>
          <w:bCs/>
          <w:sz w:val="20"/>
          <w:szCs w:val="20"/>
          <w:bdr w:val="none" w:sz="0" w:space="0" w:color="auto"/>
        </w:rPr>
        <w:t>enters</w:t>
      </w:r>
      <w:r w:rsidR="00367BAE" w:rsidRPr="00676B15">
        <w:rPr>
          <w:rFonts w:ascii="Cambria" w:eastAsia="Times New Roman" w:hAnsi="Cambria"/>
          <w:bCs/>
          <w:sz w:val="20"/>
          <w:szCs w:val="20"/>
          <w:bdr w:val="none" w:sz="0" w:space="0" w:color="auto"/>
        </w:rPr>
        <w:t xml:space="preserve"> into an employment relationship, </w:t>
      </w:r>
      <w:r w:rsidR="007D773E" w:rsidRPr="00676B15">
        <w:rPr>
          <w:rFonts w:ascii="Cambria" w:eastAsia="Times New Roman" w:hAnsi="Cambria"/>
          <w:bCs/>
          <w:sz w:val="20"/>
          <w:szCs w:val="20"/>
          <w:bdr w:val="none" w:sz="0" w:space="0" w:color="auto"/>
        </w:rPr>
        <w:t xml:space="preserve">he or she has the </w:t>
      </w:r>
      <w:r w:rsidR="00367BAE" w:rsidRPr="00676B15">
        <w:rPr>
          <w:rFonts w:ascii="Cambria" w:eastAsia="Times New Roman" w:hAnsi="Cambria"/>
          <w:bCs/>
          <w:sz w:val="20"/>
          <w:szCs w:val="20"/>
          <w:bdr w:val="none" w:sz="0" w:space="0" w:color="auto"/>
        </w:rPr>
        <w:t>same rights as all other workers</w:t>
      </w:r>
      <w:r w:rsidR="007D773E" w:rsidRPr="00676B15">
        <w:rPr>
          <w:rFonts w:ascii="Cambria" w:eastAsia="Times New Roman" w:hAnsi="Cambria"/>
          <w:bCs/>
          <w:sz w:val="20"/>
          <w:szCs w:val="20"/>
          <w:bdr w:val="none" w:sz="0" w:space="0" w:color="auto"/>
        </w:rPr>
        <w:t>, and States are obligated to respect, protect, and guarantee these rights</w:t>
      </w:r>
      <w:r w:rsidR="00367BAE" w:rsidRPr="00676B15">
        <w:rPr>
          <w:rFonts w:ascii="Cambria" w:eastAsia="Times New Roman" w:hAnsi="Cambria"/>
          <w:bCs/>
          <w:sz w:val="20"/>
          <w:szCs w:val="20"/>
          <w:bdr w:val="none" w:sz="0" w:space="0" w:color="auto"/>
        </w:rPr>
        <w:t xml:space="preserve">. </w:t>
      </w:r>
    </w:p>
    <w:p w14:paraId="1DE2314D" w14:textId="77777777" w:rsidR="00BF3E3F" w:rsidRPr="00676B15" w:rsidRDefault="00BF3E3F" w:rsidP="00BF3E3F">
      <w:pPr>
        <w:pStyle w:val="ListParagraph"/>
        <w:rPr>
          <w:rFonts w:eastAsia="Times New Roman"/>
          <w:bCs/>
          <w:sz w:val="20"/>
          <w:szCs w:val="20"/>
          <w:bdr w:val="none" w:sz="0" w:space="0" w:color="auto"/>
        </w:rPr>
      </w:pPr>
    </w:p>
    <w:p w14:paraId="17A52EFF" w14:textId="101515E8" w:rsidR="007E3143" w:rsidRPr="00676B15" w:rsidRDefault="00BF3E3F" w:rsidP="00BF3E3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The Commission’s analysis of the merits of this case indicates that the judicial branch of the State has not fully recognized the</w:t>
      </w:r>
      <w:r w:rsidR="00E72487" w:rsidRPr="00676B15">
        <w:rPr>
          <w:rFonts w:ascii="Cambria" w:eastAsia="Times New Roman" w:hAnsi="Cambria"/>
          <w:bCs/>
          <w:sz w:val="20"/>
          <w:szCs w:val="20"/>
          <w:bdr w:val="none" w:sz="0" w:space="0" w:color="auto"/>
        </w:rPr>
        <w:t xml:space="preserve"> victims’ right</w:t>
      </w:r>
      <w:r w:rsidRPr="00676B15">
        <w:rPr>
          <w:rFonts w:ascii="Cambria" w:eastAsia="Times New Roman" w:hAnsi="Cambria"/>
          <w:bCs/>
          <w:sz w:val="20"/>
          <w:szCs w:val="20"/>
          <w:bdr w:val="none" w:sz="0" w:space="0" w:color="auto"/>
        </w:rPr>
        <w:t xml:space="preserve"> to non-discrimination and</w:t>
      </w:r>
      <w:r w:rsidR="00E72487" w:rsidRPr="00676B15">
        <w:rPr>
          <w:rFonts w:ascii="Cambria" w:eastAsia="Times New Roman" w:hAnsi="Cambria"/>
          <w:bCs/>
          <w:sz w:val="20"/>
          <w:szCs w:val="20"/>
          <w:bdr w:val="none" w:sz="0" w:space="0" w:color="auto"/>
        </w:rPr>
        <w:t xml:space="preserve"> Mr. Lizalde’s right to juridical personality, nor has it</w:t>
      </w:r>
      <w:r w:rsidRPr="00676B15">
        <w:rPr>
          <w:rFonts w:ascii="Cambria" w:eastAsia="Times New Roman" w:hAnsi="Cambria"/>
          <w:bCs/>
          <w:sz w:val="20"/>
          <w:szCs w:val="20"/>
          <w:bdr w:val="none" w:sz="0" w:space="0" w:color="auto"/>
        </w:rPr>
        <w:t xml:space="preserve"> afforded the victims adequate or effective protection of their rights as workers, as </w:t>
      </w:r>
      <w:r w:rsidRPr="00676B15">
        <w:rPr>
          <w:rFonts w:ascii="Cambria" w:eastAsia="Times New Roman" w:hAnsi="Cambria"/>
          <w:bCs/>
          <w:sz w:val="20"/>
          <w:szCs w:val="20"/>
          <w:bdr w:val="none" w:sz="0" w:space="0" w:color="auto"/>
        </w:rPr>
        <w:lastRenderedPageBreak/>
        <w:t xml:space="preserve">provided for under the American Declaration. While the victims </w:t>
      </w:r>
      <w:r w:rsidR="00676B15" w:rsidRPr="00676B15">
        <w:rPr>
          <w:rFonts w:ascii="Cambria" w:eastAsia="Times New Roman" w:hAnsi="Cambria"/>
          <w:bCs/>
          <w:sz w:val="20"/>
          <w:szCs w:val="20"/>
          <w:bdr w:val="none" w:sz="0" w:space="0" w:color="auto"/>
        </w:rPr>
        <w:t>were</w:t>
      </w:r>
      <w:r w:rsidRPr="00676B15">
        <w:rPr>
          <w:rFonts w:ascii="Cambria" w:eastAsia="Times New Roman" w:hAnsi="Cambria"/>
          <w:bCs/>
          <w:sz w:val="20"/>
          <w:szCs w:val="20"/>
          <w:bdr w:val="none" w:sz="0" w:space="0" w:color="auto"/>
        </w:rPr>
        <w:t xml:space="preserve"> able to file claims for workers’ compensation and to file suits against their employers for failure to comply with the terms of the workers’ compensation, any relief available from the courts is conditioned, reduced,</w:t>
      </w:r>
      <w:r w:rsidR="007F3D34" w:rsidRPr="00676B15">
        <w:rPr>
          <w:rFonts w:ascii="Cambria" w:eastAsia="Times New Roman" w:hAnsi="Cambria"/>
          <w:bCs/>
          <w:sz w:val="20"/>
          <w:szCs w:val="20"/>
          <w:bdr w:val="none" w:sz="0" w:space="0" w:color="auto"/>
        </w:rPr>
        <w:t xml:space="preserve"> or denied</w:t>
      </w:r>
      <w:r w:rsidRPr="00676B15">
        <w:rPr>
          <w:rFonts w:ascii="Cambria" w:eastAsia="Times New Roman" w:hAnsi="Cambria"/>
          <w:bCs/>
          <w:sz w:val="20"/>
          <w:szCs w:val="20"/>
          <w:bdr w:val="none" w:sz="0" w:space="0" w:color="auto"/>
        </w:rPr>
        <w:t xml:space="preserve"> based on the migratory situation of the workers, a condition</w:t>
      </w:r>
      <w:r w:rsidR="00CB7F73" w:rsidRPr="00676B15">
        <w:rPr>
          <w:rFonts w:ascii="Cambria" w:eastAsia="Times New Roman" w:hAnsi="Cambria"/>
          <w:bCs/>
          <w:sz w:val="20"/>
          <w:szCs w:val="20"/>
          <w:bdr w:val="none" w:sz="0" w:space="0" w:color="auto"/>
        </w:rPr>
        <w:t xml:space="preserve"> which may not be legitimately used to deprive workers harmed on the job from the right to a remedy for a serious injury.</w:t>
      </w:r>
      <w:r w:rsidRPr="00676B15">
        <w:rPr>
          <w:rFonts w:ascii="Cambria" w:eastAsia="Times New Roman" w:hAnsi="Cambria"/>
          <w:bCs/>
          <w:sz w:val="20"/>
          <w:szCs w:val="20"/>
          <w:bdr w:val="none" w:sz="0" w:space="0" w:color="auto"/>
        </w:rPr>
        <w:t xml:space="preserve"> </w:t>
      </w:r>
    </w:p>
    <w:p w14:paraId="64E9FC8E" w14:textId="77777777" w:rsidR="007E3143" w:rsidRPr="00676B15" w:rsidRDefault="007E3143" w:rsidP="007E3143">
      <w:pPr>
        <w:pStyle w:val="ListParagraph"/>
        <w:rPr>
          <w:rFonts w:eastAsia="Times New Roman"/>
          <w:bCs/>
          <w:sz w:val="20"/>
          <w:szCs w:val="20"/>
          <w:bdr w:val="none" w:sz="0" w:space="0" w:color="auto"/>
        </w:rPr>
      </w:pPr>
    </w:p>
    <w:p w14:paraId="469B2178" w14:textId="64DE281A" w:rsidR="00D818D2" w:rsidRPr="00676B15" w:rsidRDefault="007E3143" w:rsidP="00BF3E3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In reaching this conclusion, the Commission takes into consideration the situation of both workers. </w:t>
      </w:r>
      <w:r w:rsidR="005B7EF0" w:rsidRPr="00676B15">
        <w:rPr>
          <w:rFonts w:ascii="Cambria" w:eastAsia="Times New Roman" w:hAnsi="Cambria"/>
          <w:bCs/>
          <w:sz w:val="20"/>
          <w:szCs w:val="20"/>
          <w:bdr w:val="none" w:sz="0" w:space="0" w:color="auto"/>
        </w:rPr>
        <w:t>I</w:t>
      </w:r>
      <w:r w:rsidR="007D773E" w:rsidRPr="00676B15">
        <w:rPr>
          <w:rFonts w:ascii="Cambria" w:eastAsia="Times New Roman" w:hAnsi="Cambria"/>
          <w:bCs/>
          <w:sz w:val="20"/>
          <w:szCs w:val="20"/>
          <w:bdr w:val="none" w:sz="0" w:space="0" w:color="auto"/>
        </w:rPr>
        <w:t xml:space="preserve">n the case of Mr. Lizalde, </w:t>
      </w:r>
      <w:r w:rsidRPr="00676B15">
        <w:rPr>
          <w:rFonts w:ascii="Cambria" w:eastAsia="Times New Roman" w:hAnsi="Cambria"/>
          <w:bCs/>
          <w:sz w:val="20"/>
          <w:szCs w:val="20"/>
          <w:bdr w:val="none" w:sz="0" w:space="0" w:color="auto"/>
        </w:rPr>
        <w:t>who was unable to obtain full medical benefits</w:t>
      </w:r>
      <w:r w:rsidR="005B7EF0" w:rsidRPr="00676B15">
        <w:rPr>
          <w:rFonts w:ascii="Cambria" w:eastAsia="Times New Roman" w:hAnsi="Cambria"/>
          <w:bCs/>
          <w:sz w:val="20"/>
          <w:szCs w:val="20"/>
          <w:bdr w:val="none" w:sz="0" w:space="0" w:color="auto"/>
        </w:rPr>
        <w:t xml:space="preserve"> and unlike Mr. Zumaya did not reach a settlement with his employer</w:t>
      </w:r>
      <w:r w:rsidRPr="00676B15">
        <w:rPr>
          <w:rFonts w:ascii="Cambria" w:eastAsia="Times New Roman" w:hAnsi="Cambria"/>
          <w:bCs/>
          <w:sz w:val="20"/>
          <w:szCs w:val="20"/>
          <w:bdr w:val="none" w:sz="0" w:space="0" w:color="auto"/>
        </w:rPr>
        <w:t xml:space="preserve">, </w:t>
      </w:r>
      <w:r w:rsidR="007D773E" w:rsidRPr="00676B15">
        <w:rPr>
          <w:rFonts w:ascii="Cambria" w:eastAsia="Times New Roman" w:hAnsi="Cambria"/>
          <w:bCs/>
          <w:sz w:val="20"/>
          <w:szCs w:val="20"/>
          <w:bdr w:val="none" w:sz="0" w:space="0" w:color="auto"/>
        </w:rPr>
        <w:t xml:space="preserve">the State has demonstrated that the existence of a worker’s compensation suit is not enough to suspend a deportation, thus heightening the risk that undocumented workers’ rights will not be adequately processed via the judicial system. </w:t>
      </w:r>
      <w:r w:rsidR="005B7EF0" w:rsidRPr="00676B15">
        <w:rPr>
          <w:rFonts w:ascii="Cambria" w:eastAsia="Times New Roman" w:hAnsi="Cambria"/>
          <w:bCs/>
          <w:sz w:val="20"/>
          <w:szCs w:val="20"/>
          <w:bdr w:val="none" w:sz="0" w:space="0" w:color="auto"/>
        </w:rPr>
        <w:t xml:space="preserve">In the case of Mr. Zumaya, the Commission takes into account the allegations of the petitioners and the State, but it considers that it lacks sufficient elements to find a violation of Mr. Zumaya’s rights under Articles XVII and XVIII of the American Declaration. Specifically, it lacks information on the terms </w:t>
      </w:r>
      <w:r w:rsidR="0049544F" w:rsidRPr="00676B15">
        <w:rPr>
          <w:rFonts w:ascii="Cambria" w:eastAsia="Times New Roman" w:hAnsi="Cambria"/>
          <w:bCs/>
          <w:sz w:val="20"/>
          <w:szCs w:val="20"/>
          <w:bdr w:val="none" w:sz="0" w:space="0" w:color="auto"/>
        </w:rPr>
        <w:t>of and reasons for the settlement</w:t>
      </w:r>
      <w:r w:rsidR="00D818D2" w:rsidRPr="00676B15">
        <w:rPr>
          <w:rFonts w:ascii="Cambria" w:eastAsia="Times New Roman" w:hAnsi="Cambria"/>
          <w:bCs/>
          <w:sz w:val="20"/>
          <w:szCs w:val="20"/>
          <w:bdr w:val="none" w:sz="0" w:space="0" w:color="auto"/>
        </w:rPr>
        <w:t xml:space="preserve"> he reached with his employer</w:t>
      </w:r>
      <w:r w:rsidR="0049544F" w:rsidRPr="00676B15">
        <w:rPr>
          <w:rFonts w:ascii="Cambria" w:eastAsia="Times New Roman" w:hAnsi="Cambria"/>
          <w:bCs/>
          <w:sz w:val="20"/>
          <w:szCs w:val="20"/>
          <w:bdr w:val="none" w:sz="0" w:space="0" w:color="auto"/>
        </w:rPr>
        <w:t xml:space="preserve"> as</w:t>
      </w:r>
      <w:r w:rsidR="00D818D2" w:rsidRPr="00676B15">
        <w:rPr>
          <w:rFonts w:ascii="Cambria" w:eastAsia="Times New Roman" w:hAnsi="Cambria"/>
          <w:bCs/>
          <w:sz w:val="20"/>
          <w:szCs w:val="20"/>
          <w:bdr w:val="none" w:sz="0" w:space="0" w:color="auto"/>
        </w:rPr>
        <w:t xml:space="preserve"> well as the consequences of this</w:t>
      </w:r>
      <w:r w:rsidR="0049544F" w:rsidRPr="00676B15">
        <w:rPr>
          <w:rFonts w:ascii="Cambria" w:eastAsia="Times New Roman" w:hAnsi="Cambria"/>
          <w:bCs/>
          <w:sz w:val="20"/>
          <w:szCs w:val="20"/>
          <w:bdr w:val="none" w:sz="0" w:space="0" w:color="auto"/>
        </w:rPr>
        <w:t xml:space="preserve"> settlement </w:t>
      </w:r>
      <w:r w:rsidR="00676B15" w:rsidRPr="00676B15">
        <w:rPr>
          <w:rFonts w:ascii="Cambria" w:eastAsia="Times New Roman" w:hAnsi="Cambria"/>
          <w:bCs/>
          <w:sz w:val="20"/>
          <w:szCs w:val="20"/>
          <w:bdr w:val="none" w:sz="0" w:space="0" w:color="auto"/>
        </w:rPr>
        <w:t>on</w:t>
      </w:r>
      <w:r w:rsidR="00D818D2" w:rsidRPr="00676B15">
        <w:rPr>
          <w:rFonts w:ascii="Cambria" w:eastAsia="Times New Roman" w:hAnsi="Cambria"/>
          <w:bCs/>
          <w:sz w:val="20"/>
          <w:szCs w:val="20"/>
          <w:bdr w:val="none" w:sz="0" w:space="0" w:color="auto"/>
        </w:rPr>
        <w:t xml:space="preserve"> the</w:t>
      </w:r>
      <w:r w:rsidR="0049544F" w:rsidRPr="00676B15">
        <w:rPr>
          <w:rFonts w:ascii="Cambria" w:eastAsia="Times New Roman" w:hAnsi="Cambria"/>
          <w:bCs/>
          <w:sz w:val="20"/>
          <w:szCs w:val="20"/>
          <w:bdr w:val="none" w:sz="0" w:space="0" w:color="auto"/>
        </w:rPr>
        <w:t xml:space="preserve"> claims presented before the IACHR. Despite the lack of information with respect to Mr. Zumaya’s settlement, sufficient evidence was presented by the parties regarding the uncertainty faced by undocumented workers over the outcome of their claims. In this regard, the Commission recognizes that undocumented workers have had varying rates of success on their claims, given </w:t>
      </w:r>
      <w:r w:rsidR="00D818D2" w:rsidRPr="00676B15">
        <w:rPr>
          <w:rFonts w:ascii="Cambria" w:eastAsia="Times New Roman" w:hAnsi="Cambria"/>
          <w:bCs/>
          <w:sz w:val="20"/>
          <w:szCs w:val="20"/>
          <w:bdr w:val="none" w:sz="0" w:space="0" w:color="auto"/>
        </w:rPr>
        <w:t xml:space="preserve">that </w:t>
      </w:r>
      <w:r w:rsidR="0049544F" w:rsidRPr="00676B15">
        <w:rPr>
          <w:rFonts w:ascii="Cambria" w:eastAsia="Times New Roman" w:hAnsi="Cambria"/>
          <w:bCs/>
          <w:sz w:val="20"/>
          <w:szCs w:val="20"/>
          <w:bdr w:val="none" w:sz="0" w:space="0" w:color="auto"/>
        </w:rPr>
        <w:t>the workers’ compensation system in the United States is a patchwork of fifty different systems,</w:t>
      </w:r>
      <w:r w:rsidR="00D818D2" w:rsidRPr="00676B15">
        <w:rPr>
          <w:rFonts w:ascii="Cambria" w:eastAsia="Times New Roman" w:hAnsi="Cambria"/>
          <w:bCs/>
          <w:sz w:val="20"/>
          <w:szCs w:val="20"/>
          <w:bdr w:val="none" w:sz="0" w:space="0" w:color="auto"/>
        </w:rPr>
        <w:t xml:space="preserve"> with varying interpretations of the effect of the </w:t>
      </w:r>
      <w:r w:rsidR="00D818D2" w:rsidRPr="00676B15">
        <w:rPr>
          <w:rFonts w:ascii="Cambria" w:eastAsia="Times New Roman" w:hAnsi="Cambria"/>
          <w:bCs/>
          <w:i/>
          <w:sz w:val="20"/>
          <w:szCs w:val="20"/>
          <w:bdr w:val="none" w:sz="0" w:space="0" w:color="auto"/>
        </w:rPr>
        <w:t>Hoffman</w:t>
      </w:r>
      <w:r w:rsidR="00D818D2" w:rsidRPr="00676B15">
        <w:rPr>
          <w:rFonts w:ascii="Cambria" w:eastAsia="Times New Roman" w:hAnsi="Cambria"/>
          <w:bCs/>
          <w:sz w:val="20"/>
          <w:szCs w:val="20"/>
          <w:bdr w:val="none" w:sz="0" w:space="0" w:color="auto"/>
        </w:rPr>
        <w:t xml:space="preserve"> decision. </w:t>
      </w:r>
      <w:r w:rsidR="0049544F" w:rsidRPr="00676B15">
        <w:rPr>
          <w:rFonts w:ascii="Cambria" w:eastAsia="Times New Roman" w:hAnsi="Cambria"/>
          <w:bCs/>
          <w:sz w:val="20"/>
          <w:szCs w:val="20"/>
          <w:bdr w:val="none" w:sz="0" w:space="0" w:color="auto"/>
        </w:rPr>
        <w:t xml:space="preserve"> </w:t>
      </w:r>
    </w:p>
    <w:p w14:paraId="13E17FDC" w14:textId="77777777" w:rsidR="00BF3E3F" w:rsidRPr="00676B15" w:rsidRDefault="00BF3E3F" w:rsidP="00D818D2">
      <w:pPr>
        <w:rPr>
          <w:rFonts w:eastAsia="Times New Roman"/>
          <w:bCs/>
          <w:sz w:val="20"/>
          <w:szCs w:val="20"/>
          <w:bdr w:val="none" w:sz="0" w:space="0" w:color="auto"/>
        </w:rPr>
      </w:pPr>
    </w:p>
    <w:p w14:paraId="4CF2DFEE" w14:textId="6EB47FC9" w:rsidR="00BF3E3F" w:rsidRPr="00676B15" w:rsidRDefault="00BF3E3F" w:rsidP="00BF3E3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  In this regard, the Commission points to the Concluding Observations of the U.N. Committee on the Elimination of Racial Discrimination (CERD) on the United States, </w:t>
      </w:r>
      <w:r w:rsidR="00CB7F73" w:rsidRPr="00676B15">
        <w:rPr>
          <w:rFonts w:ascii="Cambria" w:eastAsia="Times New Roman" w:hAnsi="Cambria"/>
          <w:bCs/>
          <w:sz w:val="20"/>
          <w:szCs w:val="20"/>
          <w:bdr w:val="none" w:sz="0" w:space="0" w:color="auto"/>
        </w:rPr>
        <w:t>which support</w:t>
      </w:r>
      <w:r w:rsidRPr="00676B15">
        <w:rPr>
          <w:rFonts w:ascii="Cambria" w:eastAsia="Times New Roman" w:hAnsi="Cambria"/>
          <w:bCs/>
          <w:sz w:val="20"/>
          <w:szCs w:val="20"/>
          <w:bdr w:val="none" w:sz="0" w:space="0" w:color="auto"/>
        </w:rPr>
        <w:t xml:space="preserve"> its conclusion in the present case: in pertinent part, the CERD stresses that decisions such as that of </w:t>
      </w:r>
      <w:r w:rsidRPr="00676B15">
        <w:rPr>
          <w:rFonts w:ascii="Cambria" w:eastAsia="Times New Roman" w:hAnsi="Cambria"/>
          <w:bCs/>
          <w:i/>
          <w:sz w:val="20"/>
          <w:szCs w:val="20"/>
          <w:bdr w:val="none" w:sz="0" w:space="0" w:color="auto"/>
        </w:rPr>
        <w:t>Hoffman</w:t>
      </w:r>
      <w:r w:rsidRPr="00676B15">
        <w:rPr>
          <w:rFonts w:ascii="Cambria" w:eastAsia="Times New Roman" w:hAnsi="Cambria"/>
          <w:bCs/>
          <w:sz w:val="20"/>
          <w:szCs w:val="20"/>
          <w:bdr w:val="none" w:sz="0" w:space="0" w:color="auto"/>
        </w:rPr>
        <w:t xml:space="preserve"> from the U.S. Supreme Court “have further eroded the ability of workers belonging to racial, ethnic and national minorities to obtain legal protection and redress in cases of discriminatory treatment at the workplace, unpaid or withheld wages, or work-related injury or illnesses.”</w:t>
      </w:r>
      <w:r w:rsidRPr="00676B15">
        <w:rPr>
          <w:rStyle w:val="FootnoteReference"/>
          <w:rFonts w:ascii="Cambria" w:eastAsia="Times New Roman" w:hAnsi="Cambria"/>
          <w:bCs/>
          <w:sz w:val="20"/>
          <w:szCs w:val="20"/>
          <w:bdr w:val="none" w:sz="0" w:space="0" w:color="auto"/>
        </w:rPr>
        <w:footnoteReference w:id="137"/>
      </w:r>
      <w:r w:rsidRPr="00676B15">
        <w:rPr>
          <w:rFonts w:ascii="Cambria" w:eastAsia="Times New Roman" w:hAnsi="Cambria"/>
          <w:bCs/>
          <w:sz w:val="20"/>
          <w:szCs w:val="20"/>
          <w:bdr w:val="none" w:sz="0" w:space="0" w:color="auto"/>
        </w:rPr>
        <w:t xml:space="preserve"> </w:t>
      </w:r>
    </w:p>
    <w:p w14:paraId="1C859277" w14:textId="77777777" w:rsidR="00BF3E3F" w:rsidRPr="00676B15" w:rsidRDefault="00BF3E3F" w:rsidP="00BF3E3F">
      <w:pPr>
        <w:pStyle w:val="ListParagraph"/>
        <w:rPr>
          <w:rFonts w:eastAsia="Times New Roman"/>
          <w:bCs/>
          <w:sz w:val="20"/>
          <w:szCs w:val="20"/>
          <w:bdr w:val="none" w:sz="0" w:space="0" w:color="auto"/>
        </w:rPr>
      </w:pPr>
    </w:p>
    <w:p w14:paraId="4B50B360" w14:textId="5C23C449" w:rsidR="00BF3E3F" w:rsidRPr="00676B15" w:rsidRDefault="00BF3E3F" w:rsidP="00BF3E3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Based on the foregoing, the Commission finds that the State is re</w:t>
      </w:r>
      <w:r w:rsidR="00D818D2" w:rsidRPr="00676B15">
        <w:rPr>
          <w:rFonts w:ascii="Cambria" w:eastAsia="Times New Roman" w:hAnsi="Cambria"/>
          <w:bCs/>
          <w:sz w:val="20"/>
          <w:szCs w:val="20"/>
          <w:bdr w:val="none" w:sz="0" w:space="0" w:color="auto"/>
        </w:rPr>
        <w:t>sponsible for violations of Mr. Lizalde’s</w:t>
      </w:r>
      <w:r w:rsidRPr="00676B15">
        <w:rPr>
          <w:rFonts w:ascii="Cambria" w:eastAsia="Times New Roman" w:hAnsi="Cambria"/>
          <w:bCs/>
          <w:sz w:val="20"/>
          <w:szCs w:val="20"/>
          <w:bdr w:val="none" w:sz="0" w:space="0" w:color="auto"/>
        </w:rPr>
        <w:t xml:space="preserve"> rights under Article</w:t>
      </w:r>
      <w:r w:rsidR="007423F8" w:rsidRPr="00676B15">
        <w:rPr>
          <w:rFonts w:ascii="Cambria" w:eastAsia="Times New Roman" w:hAnsi="Cambria"/>
          <w:bCs/>
          <w:sz w:val="20"/>
          <w:szCs w:val="20"/>
          <w:bdr w:val="none" w:sz="0" w:space="0" w:color="auto"/>
        </w:rPr>
        <w:t>s XVII and</w:t>
      </w:r>
      <w:r w:rsidRPr="00676B15">
        <w:rPr>
          <w:rFonts w:ascii="Cambria" w:eastAsia="Times New Roman" w:hAnsi="Cambria"/>
          <w:bCs/>
          <w:sz w:val="20"/>
          <w:szCs w:val="20"/>
          <w:bdr w:val="none" w:sz="0" w:space="0" w:color="auto"/>
        </w:rPr>
        <w:t xml:space="preserve"> XVIII of the American Declaration. </w:t>
      </w:r>
    </w:p>
    <w:p w14:paraId="19A84AF8" w14:textId="77777777" w:rsidR="00D07A23" w:rsidRPr="00676B15" w:rsidRDefault="00D07A23" w:rsidP="00BF3E3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6850CCE8" w14:textId="77777777" w:rsidR="00D07A23" w:rsidRPr="00676B15" w:rsidRDefault="00D07A23" w:rsidP="00B11D29">
      <w:pPr>
        <w:pStyle w:val="Heading2"/>
        <w:ind w:left="1530" w:hanging="810"/>
      </w:pPr>
      <w:bookmarkStart w:id="26" w:name="_Toc466296172"/>
      <w:r w:rsidRPr="00676B15">
        <w:t>Right to social security (Article XVI of the American Declaration)</w:t>
      </w:r>
      <w:bookmarkEnd w:id="26"/>
    </w:p>
    <w:p w14:paraId="7ED1BEB0" w14:textId="77777777" w:rsidR="00D07A23" w:rsidRPr="00676B15" w:rsidRDefault="00D07A23" w:rsidP="00D07A2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4F8D610B" w14:textId="77777777" w:rsidR="00D07A23" w:rsidRPr="00676B15" w:rsidRDefault="003C20AC" w:rsidP="00F13FC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Article XVI of the American Declaration establishes that “Every person has the right to social security which will protect him from the consequences of unemployment, old age, and any disabilities arising from causes beyond his control that make it physically or mentally impossible for him to earn a living.”</w:t>
      </w:r>
    </w:p>
    <w:p w14:paraId="7DD0CD9E" w14:textId="77777777" w:rsidR="003C20AC" w:rsidRPr="00676B15" w:rsidRDefault="003C20AC" w:rsidP="003C20A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29F8BFC0" w14:textId="63D369D6" w:rsidR="009D7528" w:rsidRPr="00676B15" w:rsidRDefault="00B7012B" w:rsidP="00F13FC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As explain</w:t>
      </w:r>
      <w:r w:rsidR="00B34889" w:rsidRPr="00676B15">
        <w:rPr>
          <w:rFonts w:ascii="Cambria" w:eastAsia="Times New Roman" w:hAnsi="Cambria"/>
          <w:bCs/>
          <w:sz w:val="20"/>
          <w:szCs w:val="20"/>
          <w:bdr w:val="none" w:sz="0" w:space="0" w:color="auto"/>
        </w:rPr>
        <w:t xml:space="preserve">ed </w:t>
      </w:r>
      <w:r w:rsidR="009D13F1" w:rsidRPr="00676B15">
        <w:rPr>
          <w:rFonts w:ascii="Cambria" w:eastAsia="Times New Roman" w:hAnsi="Cambria"/>
          <w:bCs/>
          <w:sz w:val="20"/>
          <w:szCs w:val="20"/>
          <w:bdr w:val="none" w:sz="0" w:space="0" w:color="auto"/>
        </w:rPr>
        <w:t>in the preceding section</w:t>
      </w:r>
      <w:r w:rsidR="00B34889" w:rsidRPr="00676B15">
        <w:rPr>
          <w:rFonts w:ascii="Cambria" w:eastAsia="Times New Roman" w:hAnsi="Cambria"/>
          <w:bCs/>
          <w:sz w:val="20"/>
          <w:szCs w:val="20"/>
          <w:bdr w:val="none" w:sz="0" w:space="0" w:color="auto"/>
        </w:rPr>
        <w:t>, the OAS Charter provides</w:t>
      </w:r>
      <w:r w:rsidR="009D7528" w:rsidRPr="00676B15">
        <w:rPr>
          <w:rFonts w:ascii="Cambria" w:eastAsia="Times New Roman" w:hAnsi="Cambria"/>
          <w:bCs/>
          <w:sz w:val="20"/>
          <w:szCs w:val="20"/>
          <w:bdr w:val="none" w:sz="0" w:space="0" w:color="auto"/>
        </w:rPr>
        <w:t xml:space="preserve"> in Article 45 (b)</w:t>
      </w:r>
      <w:r w:rsidR="00B34889" w:rsidRPr="00676B15">
        <w:rPr>
          <w:rFonts w:ascii="Cambria" w:eastAsia="Times New Roman" w:hAnsi="Cambria"/>
          <w:bCs/>
          <w:sz w:val="20"/>
          <w:szCs w:val="20"/>
          <w:bdr w:val="none" w:sz="0" w:space="0" w:color="auto"/>
        </w:rPr>
        <w:t xml:space="preserve"> that “proper [working] conditions</w:t>
      </w:r>
      <w:r w:rsidR="009D13F1" w:rsidRPr="00676B15">
        <w:rPr>
          <w:rFonts w:ascii="Cambria" w:eastAsia="Times New Roman" w:hAnsi="Cambria"/>
          <w:bCs/>
          <w:sz w:val="20"/>
          <w:szCs w:val="20"/>
          <w:bdr w:val="none" w:sz="0" w:space="0" w:color="auto"/>
        </w:rPr>
        <w:t>”</w:t>
      </w:r>
      <w:r w:rsidR="00B34889" w:rsidRPr="00676B15">
        <w:rPr>
          <w:rFonts w:ascii="Cambria" w:eastAsia="Times New Roman" w:hAnsi="Cambria"/>
          <w:bCs/>
          <w:sz w:val="20"/>
          <w:szCs w:val="20"/>
          <w:bdr w:val="none" w:sz="0" w:space="0" w:color="auto"/>
        </w:rPr>
        <w:t xml:space="preserve"> are those that “ensure life, health and a decent standard of living for the worker and his </w:t>
      </w:r>
      <w:r w:rsidR="009D13F1" w:rsidRPr="00676B15">
        <w:rPr>
          <w:rFonts w:ascii="Cambria" w:eastAsia="Times New Roman" w:hAnsi="Cambria"/>
          <w:bCs/>
          <w:sz w:val="20"/>
          <w:szCs w:val="20"/>
          <w:bdr w:val="none" w:sz="0" w:space="0" w:color="auto"/>
        </w:rPr>
        <w:t>family, both during his working years and in his old age, or when any circumstance deprives him of the possibility of working.”</w:t>
      </w:r>
      <w:r w:rsidR="009D13F1" w:rsidRPr="00676B15">
        <w:rPr>
          <w:rStyle w:val="FootnoteReference"/>
          <w:rFonts w:ascii="Cambria" w:eastAsia="Times New Roman" w:hAnsi="Cambria"/>
          <w:bCs/>
          <w:sz w:val="20"/>
          <w:szCs w:val="20"/>
          <w:bdr w:val="none" w:sz="0" w:space="0" w:color="auto"/>
        </w:rPr>
        <w:footnoteReference w:id="138"/>
      </w:r>
      <w:r w:rsidR="009D13F1" w:rsidRPr="00676B15">
        <w:rPr>
          <w:rFonts w:ascii="Cambria" w:eastAsia="Times New Roman" w:hAnsi="Cambria"/>
          <w:bCs/>
          <w:sz w:val="20"/>
          <w:szCs w:val="20"/>
          <w:bdr w:val="none" w:sz="0" w:space="0" w:color="auto"/>
        </w:rPr>
        <w:t xml:space="preserve"> </w:t>
      </w:r>
      <w:r w:rsidR="009D7528" w:rsidRPr="00676B15">
        <w:rPr>
          <w:rFonts w:ascii="Cambria" w:eastAsia="Times New Roman" w:hAnsi="Cambria"/>
          <w:bCs/>
          <w:sz w:val="20"/>
          <w:szCs w:val="20"/>
          <w:bdr w:val="none" w:sz="0" w:space="0" w:color="auto"/>
        </w:rPr>
        <w:t xml:space="preserve">The Commission also deems pertinent to note here that Article 45 (h) of the Charter explicitly calls for the “development of an efficient social security policy,” and Article 46, on the subject of regional integration, deems it necessary for Member States to “harmonize social legislation . . . especially in the labor and social security fields, so that workers shall be equally protected.” </w:t>
      </w:r>
    </w:p>
    <w:p w14:paraId="3FABFDDB" w14:textId="77777777" w:rsidR="009D7528" w:rsidRPr="00676B15" w:rsidRDefault="009D7528" w:rsidP="009D752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4E6D1272" w14:textId="2174FC3C" w:rsidR="003C20AC" w:rsidRPr="00676B15" w:rsidRDefault="009D13F1" w:rsidP="00F13FC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The Commission considers that the right of all </w:t>
      </w:r>
      <w:r w:rsidR="009D7528" w:rsidRPr="00676B15">
        <w:rPr>
          <w:rFonts w:ascii="Cambria" w:eastAsia="Times New Roman" w:hAnsi="Cambria"/>
          <w:bCs/>
          <w:sz w:val="20"/>
          <w:szCs w:val="20"/>
          <w:bdr w:val="none" w:sz="0" w:space="0" w:color="auto"/>
        </w:rPr>
        <w:t>workers</w:t>
      </w:r>
      <w:r w:rsidRPr="00676B15">
        <w:rPr>
          <w:rFonts w:ascii="Cambria" w:eastAsia="Times New Roman" w:hAnsi="Cambria"/>
          <w:bCs/>
          <w:sz w:val="20"/>
          <w:szCs w:val="20"/>
          <w:bdr w:val="none" w:sz="0" w:space="0" w:color="auto"/>
        </w:rPr>
        <w:t xml:space="preserve"> to receive benefits arising from the employment relationship, such as those included within workers’ compensation </w:t>
      </w:r>
      <w:r w:rsidR="009D7528" w:rsidRPr="00676B15">
        <w:rPr>
          <w:rFonts w:ascii="Cambria" w:eastAsia="Times New Roman" w:hAnsi="Cambria"/>
          <w:bCs/>
          <w:sz w:val="20"/>
          <w:szCs w:val="20"/>
          <w:bdr w:val="none" w:sz="0" w:space="0" w:color="auto"/>
        </w:rPr>
        <w:t>schemes,</w:t>
      </w:r>
      <w:r w:rsidRPr="00676B15">
        <w:rPr>
          <w:rFonts w:ascii="Cambria" w:eastAsia="Times New Roman" w:hAnsi="Cambria"/>
          <w:bCs/>
          <w:sz w:val="20"/>
          <w:szCs w:val="20"/>
          <w:bdr w:val="none" w:sz="0" w:space="0" w:color="auto"/>
        </w:rPr>
        <w:t xml:space="preserve"> is one of a group of </w:t>
      </w:r>
      <w:r w:rsidR="00B02551" w:rsidRPr="00676B15">
        <w:rPr>
          <w:rFonts w:ascii="Cambria" w:eastAsia="Times New Roman" w:hAnsi="Cambria"/>
          <w:bCs/>
          <w:sz w:val="20"/>
          <w:szCs w:val="20"/>
          <w:bdr w:val="none" w:sz="0" w:space="0" w:color="auto"/>
        </w:rPr>
        <w:t xml:space="preserve">economic and social </w:t>
      </w:r>
      <w:r w:rsidRPr="00676B15">
        <w:rPr>
          <w:rFonts w:ascii="Cambria" w:eastAsia="Times New Roman" w:hAnsi="Cambria"/>
          <w:bCs/>
          <w:sz w:val="20"/>
          <w:szCs w:val="20"/>
          <w:bdr w:val="none" w:sz="0" w:space="0" w:color="auto"/>
        </w:rPr>
        <w:t xml:space="preserve">rights that </w:t>
      </w:r>
      <w:r w:rsidR="00B02551" w:rsidRPr="00676B15">
        <w:rPr>
          <w:rFonts w:ascii="Cambria" w:eastAsia="Times New Roman" w:hAnsi="Cambria"/>
          <w:bCs/>
          <w:sz w:val="20"/>
          <w:szCs w:val="20"/>
          <w:bdr w:val="none" w:sz="0" w:space="0" w:color="auto"/>
        </w:rPr>
        <w:t xml:space="preserve">must accompany civil and political liberties for the full protection of human </w:t>
      </w:r>
      <w:r w:rsidR="00B02551" w:rsidRPr="00676B15">
        <w:rPr>
          <w:rFonts w:ascii="Cambria" w:eastAsia="Times New Roman" w:hAnsi="Cambria"/>
          <w:bCs/>
          <w:sz w:val="20"/>
          <w:szCs w:val="20"/>
          <w:bdr w:val="none" w:sz="0" w:space="0" w:color="auto"/>
        </w:rPr>
        <w:lastRenderedPageBreak/>
        <w:t>rights, such as the</w:t>
      </w:r>
      <w:r w:rsidRPr="00676B15">
        <w:rPr>
          <w:rFonts w:ascii="Cambria" w:eastAsia="Times New Roman" w:hAnsi="Cambria"/>
          <w:bCs/>
          <w:sz w:val="20"/>
          <w:szCs w:val="20"/>
          <w:bdr w:val="none" w:sz="0" w:space="0" w:color="auto"/>
        </w:rPr>
        <w:t xml:space="preserve"> rights </w:t>
      </w:r>
      <w:r w:rsidR="00B02551" w:rsidRPr="00676B15">
        <w:rPr>
          <w:rFonts w:ascii="Cambria" w:eastAsia="Times New Roman" w:hAnsi="Cambria"/>
          <w:bCs/>
          <w:sz w:val="20"/>
          <w:szCs w:val="20"/>
          <w:bdr w:val="none" w:sz="0" w:space="0" w:color="auto"/>
        </w:rPr>
        <w:t>to property or</w:t>
      </w:r>
      <w:r w:rsidRPr="00676B15">
        <w:rPr>
          <w:rFonts w:ascii="Cambria" w:eastAsia="Times New Roman" w:hAnsi="Cambria"/>
          <w:bCs/>
          <w:sz w:val="20"/>
          <w:szCs w:val="20"/>
          <w:bdr w:val="none" w:sz="0" w:space="0" w:color="auto"/>
        </w:rPr>
        <w:t xml:space="preserve"> to juridical personality.</w:t>
      </w:r>
      <w:r w:rsidRPr="00676B15">
        <w:rPr>
          <w:rStyle w:val="FootnoteReference"/>
          <w:rFonts w:ascii="Cambria" w:eastAsia="Times New Roman" w:hAnsi="Cambria"/>
          <w:bCs/>
          <w:sz w:val="20"/>
          <w:szCs w:val="20"/>
          <w:bdr w:val="none" w:sz="0" w:space="0" w:color="auto"/>
        </w:rPr>
        <w:footnoteReference w:id="139"/>
      </w:r>
      <w:r w:rsidRPr="00676B15">
        <w:rPr>
          <w:rFonts w:ascii="Cambria" w:eastAsia="Times New Roman" w:hAnsi="Cambria"/>
          <w:bCs/>
          <w:sz w:val="20"/>
          <w:szCs w:val="20"/>
          <w:bdr w:val="none" w:sz="0" w:space="0" w:color="auto"/>
        </w:rPr>
        <w:t xml:space="preserve"> Benefits such as access to medical treatments and services paid by the employer to cover the cost of healing injuries sustained on the job</w:t>
      </w:r>
      <w:r w:rsidR="00472418" w:rsidRPr="00676B15">
        <w:rPr>
          <w:rFonts w:ascii="Cambria" w:eastAsia="Times New Roman" w:hAnsi="Cambria"/>
          <w:bCs/>
          <w:sz w:val="20"/>
          <w:szCs w:val="20"/>
          <w:bdr w:val="none" w:sz="0" w:space="0" w:color="auto"/>
        </w:rPr>
        <w:t>,</w:t>
      </w:r>
      <w:r w:rsidRPr="00676B15">
        <w:rPr>
          <w:rFonts w:ascii="Cambria" w:eastAsia="Times New Roman" w:hAnsi="Cambria"/>
          <w:bCs/>
          <w:sz w:val="20"/>
          <w:szCs w:val="20"/>
          <w:bdr w:val="none" w:sz="0" w:space="0" w:color="auto"/>
        </w:rPr>
        <w:t xml:space="preserve"> </w:t>
      </w:r>
      <w:r w:rsidR="00281076" w:rsidRPr="00676B15">
        <w:rPr>
          <w:rFonts w:ascii="Cambria" w:eastAsia="Times New Roman" w:hAnsi="Cambria"/>
          <w:bCs/>
          <w:sz w:val="20"/>
          <w:szCs w:val="20"/>
          <w:bdr w:val="none" w:sz="0" w:space="0" w:color="auto"/>
        </w:rPr>
        <w:t xml:space="preserve">as well as </w:t>
      </w:r>
      <w:r w:rsidRPr="00676B15">
        <w:rPr>
          <w:rFonts w:ascii="Cambria" w:eastAsia="Times New Roman" w:hAnsi="Cambria"/>
          <w:bCs/>
          <w:sz w:val="20"/>
          <w:szCs w:val="20"/>
          <w:bdr w:val="none" w:sz="0" w:space="0" w:color="auto"/>
        </w:rPr>
        <w:t>disability payments</w:t>
      </w:r>
      <w:r w:rsidR="00281076" w:rsidRPr="00676B15">
        <w:rPr>
          <w:rFonts w:ascii="Cambria" w:eastAsia="Times New Roman" w:hAnsi="Cambria"/>
          <w:bCs/>
          <w:sz w:val="20"/>
          <w:szCs w:val="20"/>
          <w:bdr w:val="none" w:sz="0" w:space="0" w:color="auto"/>
        </w:rPr>
        <w:t xml:space="preserve"> </w:t>
      </w:r>
      <w:r w:rsidRPr="00676B15">
        <w:rPr>
          <w:rFonts w:ascii="Cambria" w:eastAsia="Times New Roman" w:hAnsi="Cambria"/>
          <w:bCs/>
          <w:sz w:val="20"/>
          <w:szCs w:val="20"/>
          <w:bdr w:val="none" w:sz="0" w:space="0" w:color="auto"/>
        </w:rPr>
        <w:t>to provide a source of income for the injured worker to support himself or herself during the time in which the disability prevents him or her from working</w:t>
      </w:r>
      <w:r w:rsidR="00472418" w:rsidRPr="00676B15">
        <w:rPr>
          <w:rFonts w:ascii="Cambria" w:eastAsia="Times New Roman" w:hAnsi="Cambria"/>
          <w:bCs/>
          <w:sz w:val="20"/>
          <w:szCs w:val="20"/>
          <w:bdr w:val="none" w:sz="0" w:space="0" w:color="auto"/>
        </w:rPr>
        <w:t>,</w:t>
      </w:r>
      <w:r w:rsidRPr="00676B15">
        <w:rPr>
          <w:rFonts w:ascii="Cambria" w:eastAsia="Times New Roman" w:hAnsi="Cambria"/>
          <w:bCs/>
          <w:sz w:val="20"/>
          <w:szCs w:val="20"/>
          <w:bdr w:val="none" w:sz="0" w:space="0" w:color="auto"/>
        </w:rPr>
        <w:t xml:space="preserve"> are critical and necessary to meet the </w:t>
      </w:r>
      <w:r w:rsidR="009D7528" w:rsidRPr="00676B15">
        <w:rPr>
          <w:rFonts w:ascii="Cambria" w:eastAsia="Times New Roman" w:hAnsi="Cambria"/>
          <w:bCs/>
          <w:sz w:val="20"/>
          <w:szCs w:val="20"/>
          <w:bdr w:val="none" w:sz="0" w:space="0" w:color="auto"/>
        </w:rPr>
        <w:t xml:space="preserve">social security </w:t>
      </w:r>
      <w:r w:rsidR="00281076" w:rsidRPr="00676B15">
        <w:rPr>
          <w:rFonts w:ascii="Cambria" w:eastAsia="Times New Roman" w:hAnsi="Cambria"/>
          <w:bCs/>
          <w:sz w:val="20"/>
          <w:szCs w:val="20"/>
          <w:bdr w:val="none" w:sz="0" w:space="0" w:color="auto"/>
        </w:rPr>
        <w:t>standards established</w:t>
      </w:r>
      <w:r w:rsidRPr="00676B15">
        <w:rPr>
          <w:rFonts w:ascii="Cambria" w:eastAsia="Times New Roman" w:hAnsi="Cambria"/>
          <w:bCs/>
          <w:sz w:val="20"/>
          <w:szCs w:val="20"/>
          <w:bdr w:val="none" w:sz="0" w:space="0" w:color="auto"/>
        </w:rPr>
        <w:t xml:space="preserve"> in the OAS Charter and Article XVI of the American Declaration. </w:t>
      </w:r>
      <w:r w:rsidR="00BD73C1" w:rsidRPr="00676B15">
        <w:rPr>
          <w:rFonts w:ascii="Cambria" w:eastAsia="Times New Roman" w:hAnsi="Cambria"/>
          <w:bCs/>
          <w:sz w:val="20"/>
          <w:szCs w:val="20"/>
          <w:bdr w:val="none" w:sz="0" w:space="0" w:color="auto"/>
        </w:rPr>
        <w:t>Access to medical treatment and services also relates to the right to personal integrity. T</w:t>
      </w:r>
      <w:r w:rsidR="00281076" w:rsidRPr="00676B15">
        <w:rPr>
          <w:rFonts w:ascii="Cambria" w:eastAsia="Times New Roman" w:hAnsi="Cambria"/>
          <w:bCs/>
          <w:sz w:val="20"/>
          <w:szCs w:val="20"/>
          <w:bdr w:val="none" w:sz="0" w:space="0" w:color="auto"/>
        </w:rPr>
        <w:t xml:space="preserve">hese benefits </w:t>
      </w:r>
      <w:r w:rsidR="009D7528" w:rsidRPr="00676B15">
        <w:rPr>
          <w:rFonts w:ascii="Cambria" w:eastAsia="Times New Roman" w:hAnsi="Cambria"/>
          <w:bCs/>
          <w:sz w:val="20"/>
          <w:szCs w:val="20"/>
          <w:bdr w:val="none" w:sz="0" w:space="0" w:color="auto"/>
        </w:rPr>
        <w:t>are earned by workers and form</w:t>
      </w:r>
      <w:r w:rsidR="00281076" w:rsidRPr="00676B15">
        <w:rPr>
          <w:rFonts w:ascii="Cambria" w:eastAsia="Times New Roman" w:hAnsi="Cambria"/>
          <w:bCs/>
          <w:sz w:val="20"/>
          <w:szCs w:val="20"/>
          <w:bdr w:val="none" w:sz="0" w:space="0" w:color="auto"/>
        </w:rPr>
        <w:t xml:space="preserve"> part of workers’ compensation. The Commission therefore considers that workers’ compensation program</w:t>
      </w:r>
      <w:r w:rsidR="00203C0B" w:rsidRPr="00676B15">
        <w:rPr>
          <w:rFonts w:ascii="Cambria" w:eastAsia="Times New Roman" w:hAnsi="Cambria"/>
          <w:bCs/>
          <w:sz w:val="20"/>
          <w:szCs w:val="20"/>
          <w:bdr w:val="none" w:sz="0" w:space="0" w:color="auto"/>
        </w:rPr>
        <w:t>s</w:t>
      </w:r>
      <w:r w:rsidR="00281076" w:rsidRPr="00676B15">
        <w:rPr>
          <w:rFonts w:ascii="Cambria" w:eastAsia="Times New Roman" w:hAnsi="Cambria"/>
          <w:bCs/>
          <w:sz w:val="20"/>
          <w:szCs w:val="20"/>
          <w:bdr w:val="none" w:sz="0" w:space="0" w:color="auto"/>
        </w:rPr>
        <w:t xml:space="preserve">, generally, as </w:t>
      </w:r>
      <w:r w:rsidR="00203C0B" w:rsidRPr="00676B15">
        <w:rPr>
          <w:rFonts w:ascii="Cambria" w:eastAsia="Times New Roman" w:hAnsi="Cambria"/>
          <w:bCs/>
          <w:sz w:val="20"/>
          <w:szCs w:val="20"/>
          <w:bdr w:val="none" w:sz="0" w:space="0" w:color="auto"/>
        </w:rPr>
        <w:t>they exist</w:t>
      </w:r>
      <w:r w:rsidR="00281076" w:rsidRPr="00676B15">
        <w:rPr>
          <w:rFonts w:ascii="Cambria" w:eastAsia="Times New Roman" w:hAnsi="Cambria"/>
          <w:bCs/>
          <w:sz w:val="20"/>
          <w:szCs w:val="20"/>
          <w:bdr w:val="none" w:sz="0" w:space="0" w:color="auto"/>
        </w:rPr>
        <w:t xml:space="preserve"> </w:t>
      </w:r>
      <w:r w:rsidR="00203C0B" w:rsidRPr="00676B15">
        <w:rPr>
          <w:rFonts w:ascii="Cambria" w:eastAsia="Times New Roman" w:hAnsi="Cambria"/>
          <w:bCs/>
          <w:sz w:val="20"/>
          <w:szCs w:val="20"/>
          <w:bdr w:val="none" w:sz="0" w:space="0" w:color="auto"/>
        </w:rPr>
        <w:t>in</w:t>
      </w:r>
      <w:r w:rsidR="00281076" w:rsidRPr="00676B15">
        <w:rPr>
          <w:rFonts w:ascii="Cambria" w:eastAsia="Times New Roman" w:hAnsi="Cambria"/>
          <w:bCs/>
          <w:sz w:val="20"/>
          <w:szCs w:val="20"/>
          <w:bdr w:val="none" w:sz="0" w:space="0" w:color="auto"/>
        </w:rPr>
        <w:t xml:space="preserve"> the states of the United Stat</w:t>
      </w:r>
      <w:r w:rsidR="00203C0B" w:rsidRPr="00676B15">
        <w:rPr>
          <w:rFonts w:ascii="Cambria" w:eastAsia="Times New Roman" w:hAnsi="Cambria"/>
          <w:bCs/>
          <w:sz w:val="20"/>
          <w:szCs w:val="20"/>
          <w:bdr w:val="none" w:sz="0" w:space="0" w:color="auto"/>
        </w:rPr>
        <w:t>es,</w:t>
      </w:r>
      <w:r w:rsidR="00281076" w:rsidRPr="00676B15">
        <w:rPr>
          <w:rFonts w:ascii="Cambria" w:eastAsia="Times New Roman" w:hAnsi="Cambria"/>
          <w:bCs/>
          <w:sz w:val="20"/>
          <w:szCs w:val="20"/>
          <w:bdr w:val="none" w:sz="0" w:space="0" w:color="auto"/>
        </w:rPr>
        <w:t xml:space="preserve"> </w:t>
      </w:r>
      <w:r w:rsidR="009D7528" w:rsidRPr="00676B15">
        <w:rPr>
          <w:rFonts w:ascii="Cambria" w:eastAsia="Times New Roman" w:hAnsi="Cambria"/>
          <w:bCs/>
          <w:sz w:val="20"/>
          <w:szCs w:val="20"/>
          <w:bdr w:val="none" w:sz="0" w:space="0" w:color="auto"/>
        </w:rPr>
        <w:t xml:space="preserve">seek to </w:t>
      </w:r>
      <w:r w:rsidR="00281076" w:rsidRPr="00676B15">
        <w:rPr>
          <w:rFonts w:ascii="Cambria" w:eastAsia="Times New Roman" w:hAnsi="Cambria"/>
          <w:bCs/>
          <w:sz w:val="20"/>
          <w:szCs w:val="20"/>
          <w:bdr w:val="none" w:sz="0" w:space="0" w:color="auto"/>
        </w:rPr>
        <w:t>provide protectio</w:t>
      </w:r>
      <w:r w:rsidR="00203C0B" w:rsidRPr="00676B15">
        <w:rPr>
          <w:rFonts w:ascii="Cambria" w:eastAsia="Times New Roman" w:hAnsi="Cambria"/>
          <w:bCs/>
          <w:sz w:val="20"/>
          <w:szCs w:val="20"/>
          <w:bdr w:val="none" w:sz="0" w:space="0" w:color="auto"/>
        </w:rPr>
        <w:t>ns to workers during vulnerable times, and as such clearly fall withi</w:t>
      </w:r>
      <w:r w:rsidR="009D7528" w:rsidRPr="00676B15">
        <w:rPr>
          <w:rFonts w:ascii="Cambria" w:eastAsia="Times New Roman" w:hAnsi="Cambria"/>
          <w:bCs/>
          <w:sz w:val="20"/>
          <w:szCs w:val="20"/>
          <w:bdr w:val="none" w:sz="0" w:space="0" w:color="auto"/>
        </w:rPr>
        <w:t>n the scope of “social security.</w:t>
      </w:r>
      <w:r w:rsidR="00203C0B" w:rsidRPr="00676B15">
        <w:rPr>
          <w:rFonts w:ascii="Cambria" w:eastAsia="Times New Roman" w:hAnsi="Cambria"/>
          <w:bCs/>
          <w:sz w:val="20"/>
          <w:szCs w:val="20"/>
          <w:bdr w:val="none" w:sz="0" w:space="0" w:color="auto"/>
        </w:rPr>
        <w:t>”</w:t>
      </w:r>
    </w:p>
    <w:p w14:paraId="7A747DF5" w14:textId="77777777" w:rsidR="00B83E5C" w:rsidRPr="00676B15" w:rsidRDefault="00B83E5C" w:rsidP="00B83E5C">
      <w:pPr>
        <w:pStyle w:val="ListParagraph"/>
        <w:rPr>
          <w:rFonts w:eastAsia="Times New Roman"/>
          <w:bCs/>
          <w:sz w:val="20"/>
          <w:szCs w:val="20"/>
          <w:bdr w:val="none" w:sz="0" w:space="0" w:color="auto"/>
        </w:rPr>
      </w:pPr>
    </w:p>
    <w:p w14:paraId="2F97DE61" w14:textId="00E81DCC" w:rsidR="001C3785" w:rsidRPr="00676B15" w:rsidRDefault="001C3785" w:rsidP="00F13FC4">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The Inter-American Court has endorsed a similar position. In its </w:t>
      </w:r>
      <w:r w:rsidRPr="00676B15">
        <w:rPr>
          <w:rFonts w:ascii="Cambria" w:eastAsia="Times New Roman" w:hAnsi="Cambria"/>
          <w:bCs/>
          <w:i/>
          <w:sz w:val="20"/>
          <w:szCs w:val="20"/>
          <w:bdr w:val="none" w:sz="0" w:space="0" w:color="auto"/>
        </w:rPr>
        <w:t>Advisory Opinion on the Juridical Condition and Rights of Undocumented Migrants</w:t>
      </w:r>
      <w:r w:rsidRPr="00676B15">
        <w:rPr>
          <w:rFonts w:ascii="Cambria" w:eastAsia="Times New Roman" w:hAnsi="Cambria"/>
          <w:bCs/>
          <w:sz w:val="20"/>
          <w:szCs w:val="20"/>
          <w:bdr w:val="none" w:sz="0" w:space="0" w:color="auto"/>
        </w:rPr>
        <w:t xml:space="preserve">, it cited social security as a right </w:t>
      </w:r>
      <w:r w:rsidR="00C079D8" w:rsidRPr="00676B15">
        <w:rPr>
          <w:rFonts w:ascii="Cambria" w:eastAsia="Times New Roman" w:hAnsi="Cambria"/>
          <w:bCs/>
          <w:sz w:val="20"/>
          <w:szCs w:val="20"/>
          <w:bdr w:val="none" w:sz="0" w:space="0" w:color="auto"/>
        </w:rPr>
        <w:t xml:space="preserve">which all workers irrespective of migratory status possess and one that assumes </w:t>
      </w:r>
      <w:r w:rsidRPr="00676B15">
        <w:rPr>
          <w:rFonts w:ascii="Cambria" w:eastAsia="Times New Roman" w:hAnsi="Cambria"/>
          <w:bCs/>
          <w:sz w:val="20"/>
          <w:szCs w:val="20"/>
          <w:bdr w:val="none" w:sz="0" w:space="0" w:color="auto"/>
        </w:rPr>
        <w:t>a “</w:t>
      </w:r>
      <w:r w:rsidR="00C079D8" w:rsidRPr="00676B15">
        <w:rPr>
          <w:rFonts w:ascii="Cambria" w:eastAsia="Times New Roman" w:hAnsi="Cambria"/>
          <w:bCs/>
          <w:sz w:val="20"/>
          <w:szCs w:val="20"/>
          <w:bdr w:val="none" w:sz="0" w:space="0" w:color="auto"/>
        </w:rPr>
        <w:t>fundamental importance…</w:t>
      </w:r>
      <w:r w:rsidRPr="00676B15">
        <w:rPr>
          <w:rFonts w:ascii="Cambria" w:eastAsia="Times New Roman" w:hAnsi="Cambria"/>
          <w:bCs/>
          <w:sz w:val="20"/>
          <w:szCs w:val="20"/>
          <w:bdr w:val="none" w:sz="0" w:space="0" w:color="auto"/>
        </w:rPr>
        <w:t>yet [is] frequently violated.”</w:t>
      </w:r>
      <w:r w:rsidRPr="00676B15">
        <w:rPr>
          <w:rStyle w:val="FootnoteReference"/>
          <w:rFonts w:ascii="Cambria" w:eastAsia="Times New Roman" w:hAnsi="Cambria"/>
          <w:bCs/>
          <w:sz w:val="20"/>
          <w:szCs w:val="20"/>
          <w:bdr w:val="none" w:sz="0" w:space="0" w:color="auto"/>
        </w:rPr>
        <w:footnoteReference w:id="140"/>
      </w:r>
      <w:r w:rsidRPr="00676B15">
        <w:rPr>
          <w:rFonts w:ascii="Cambria" w:eastAsia="Times New Roman" w:hAnsi="Cambria"/>
          <w:bCs/>
          <w:sz w:val="20"/>
          <w:szCs w:val="20"/>
          <w:bdr w:val="none" w:sz="0" w:space="0" w:color="auto"/>
        </w:rPr>
        <w:t xml:space="preserve"> </w:t>
      </w:r>
      <w:r w:rsidR="0017605C" w:rsidRPr="00676B15">
        <w:rPr>
          <w:rFonts w:ascii="Cambria" w:eastAsia="Times New Roman" w:hAnsi="Cambria"/>
          <w:bCs/>
          <w:sz w:val="20"/>
          <w:szCs w:val="20"/>
          <w:bdr w:val="none" w:sz="0" w:space="0" w:color="auto"/>
        </w:rPr>
        <w:t xml:space="preserve"> The Commission finds illustrative </w:t>
      </w:r>
      <w:r w:rsidR="00BD73C1" w:rsidRPr="00676B15">
        <w:rPr>
          <w:rFonts w:ascii="Cambria" w:eastAsia="Times New Roman" w:hAnsi="Cambria"/>
          <w:bCs/>
          <w:sz w:val="20"/>
          <w:szCs w:val="20"/>
          <w:bdr w:val="none" w:sz="0" w:space="0" w:color="auto"/>
        </w:rPr>
        <w:t>the view</w:t>
      </w:r>
      <w:r w:rsidR="0017605C" w:rsidRPr="00676B15">
        <w:rPr>
          <w:rFonts w:ascii="Cambria" w:eastAsia="Times New Roman" w:hAnsi="Cambria"/>
          <w:bCs/>
          <w:sz w:val="20"/>
          <w:szCs w:val="20"/>
          <w:bdr w:val="none" w:sz="0" w:space="0" w:color="auto"/>
        </w:rPr>
        <w:t xml:space="preserve"> put forth by </w:t>
      </w:r>
      <w:r w:rsidR="0017605C" w:rsidRPr="00676B15">
        <w:rPr>
          <w:rFonts w:ascii="Cambria" w:hAnsi="Cambria"/>
          <w:sz w:val="20"/>
          <w:szCs w:val="22"/>
        </w:rPr>
        <w:t xml:space="preserve">Judge </w:t>
      </w:r>
      <w:r w:rsidR="00E87702" w:rsidRPr="00676B15">
        <w:rPr>
          <w:rFonts w:ascii="Cambria" w:hAnsi="Cambria"/>
          <w:sz w:val="20"/>
          <w:szCs w:val="22"/>
        </w:rPr>
        <w:t>Sergio García Ramírez</w:t>
      </w:r>
      <w:r w:rsidR="00E87702" w:rsidRPr="00676B15">
        <w:rPr>
          <w:rFonts w:asciiTheme="majorHAnsi" w:hAnsiTheme="majorHAnsi"/>
          <w:sz w:val="20"/>
          <w:szCs w:val="22"/>
        </w:rPr>
        <w:t xml:space="preserve"> </w:t>
      </w:r>
      <w:r w:rsidR="0017605C" w:rsidRPr="00676B15">
        <w:rPr>
          <w:rFonts w:ascii="Cambria" w:eastAsia="Times New Roman" w:hAnsi="Cambria"/>
          <w:bCs/>
          <w:sz w:val="20"/>
          <w:szCs w:val="20"/>
          <w:bdr w:val="none" w:sz="0" w:space="0" w:color="auto"/>
        </w:rPr>
        <w:t>in his concurring opinion,</w:t>
      </w:r>
      <w:r w:rsidR="00DD336D" w:rsidRPr="00676B15">
        <w:rPr>
          <w:rFonts w:ascii="Cambria" w:eastAsia="Times New Roman" w:hAnsi="Cambria"/>
          <w:bCs/>
          <w:sz w:val="20"/>
          <w:szCs w:val="20"/>
          <w:bdr w:val="none" w:sz="0" w:space="0" w:color="auto"/>
        </w:rPr>
        <w:t xml:space="preserve"> citing</w:t>
      </w:r>
      <w:r w:rsidR="0017605C" w:rsidRPr="00676B15">
        <w:rPr>
          <w:rFonts w:ascii="Cambria" w:eastAsia="Times New Roman" w:hAnsi="Cambria"/>
          <w:bCs/>
          <w:sz w:val="20"/>
          <w:szCs w:val="20"/>
          <w:bdr w:val="none" w:sz="0" w:space="0" w:color="auto"/>
        </w:rPr>
        <w:t xml:space="preserve"> social security as a “particularly important” right, </w:t>
      </w:r>
      <w:r w:rsidR="00DD336D" w:rsidRPr="00676B15">
        <w:rPr>
          <w:rFonts w:ascii="Cambria" w:eastAsia="Times New Roman" w:hAnsi="Cambria"/>
          <w:bCs/>
          <w:sz w:val="20"/>
          <w:szCs w:val="20"/>
          <w:bdr w:val="none" w:sz="0" w:space="0" w:color="auto"/>
        </w:rPr>
        <w:t>as one that contributes</w:t>
      </w:r>
      <w:r w:rsidR="00E87702" w:rsidRPr="00676B15">
        <w:rPr>
          <w:rFonts w:ascii="Cambria" w:eastAsia="Times New Roman" w:hAnsi="Cambria"/>
          <w:bCs/>
          <w:sz w:val="20"/>
          <w:szCs w:val="20"/>
          <w:bdr w:val="none" w:sz="0" w:space="0" w:color="auto"/>
        </w:rPr>
        <w:t xml:space="preserve"> to determining the “general framework for the provision of services and for the protection and welfare of those that provide them.”</w:t>
      </w:r>
      <w:r w:rsidR="00E87702" w:rsidRPr="00676B15">
        <w:rPr>
          <w:rStyle w:val="FootnoteReference"/>
          <w:rFonts w:ascii="Cambria" w:eastAsia="Times New Roman" w:hAnsi="Cambria"/>
          <w:bCs/>
          <w:sz w:val="20"/>
          <w:szCs w:val="20"/>
          <w:bdr w:val="none" w:sz="0" w:space="0" w:color="auto"/>
        </w:rPr>
        <w:footnoteReference w:id="141"/>
      </w:r>
    </w:p>
    <w:p w14:paraId="703AF9B7" w14:textId="77777777" w:rsidR="001C3785" w:rsidRPr="00676B15" w:rsidRDefault="001C3785" w:rsidP="00923948">
      <w:pPr>
        <w:rPr>
          <w:rFonts w:eastAsia="Times New Roman"/>
          <w:bCs/>
          <w:sz w:val="20"/>
          <w:szCs w:val="20"/>
          <w:bdr w:val="none" w:sz="0" w:space="0" w:color="auto"/>
        </w:rPr>
      </w:pPr>
    </w:p>
    <w:p w14:paraId="7876A6B4" w14:textId="019802E5" w:rsidR="00923948" w:rsidRPr="00676B15" w:rsidRDefault="009D7528" w:rsidP="0092394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Labor rights are also human rights.</w:t>
      </w:r>
      <w:r w:rsidRPr="00676B15">
        <w:rPr>
          <w:rStyle w:val="FootnoteReference"/>
          <w:rFonts w:ascii="Cambria" w:eastAsia="Times New Roman" w:hAnsi="Cambria"/>
          <w:bCs/>
          <w:sz w:val="20"/>
          <w:szCs w:val="20"/>
          <w:bdr w:val="none" w:sz="0" w:space="0" w:color="auto"/>
        </w:rPr>
        <w:footnoteReference w:id="142"/>
      </w:r>
      <w:r w:rsidRPr="00676B15">
        <w:rPr>
          <w:rFonts w:ascii="Cambria" w:eastAsia="Times New Roman" w:hAnsi="Cambria"/>
          <w:bCs/>
          <w:sz w:val="20"/>
          <w:szCs w:val="20"/>
          <w:bdr w:val="none" w:sz="0" w:space="0" w:color="auto"/>
        </w:rPr>
        <w:t xml:space="preserve"> </w:t>
      </w:r>
      <w:r w:rsidR="00923948" w:rsidRPr="00676B15">
        <w:rPr>
          <w:rFonts w:ascii="Cambria" w:eastAsia="Times New Roman" w:hAnsi="Cambria"/>
          <w:bCs/>
          <w:sz w:val="20"/>
          <w:szCs w:val="20"/>
          <w:bdr w:val="none" w:sz="0" w:space="0" w:color="auto"/>
        </w:rPr>
        <w:t>The Commission notes that the right to social security, along with others, is similar to the provisions of other international instruments in this regard. For example, the United States is a Member Country of the International Labour Organization (ILO), which is a specialized agency within the United Nations.</w:t>
      </w:r>
      <w:r w:rsidR="00923948" w:rsidRPr="00676B15">
        <w:rPr>
          <w:rStyle w:val="FootnoteReference"/>
          <w:rFonts w:ascii="Cambria" w:eastAsia="Times New Roman" w:hAnsi="Cambria"/>
          <w:bCs/>
          <w:sz w:val="20"/>
          <w:szCs w:val="20"/>
          <w:bdr w:val="none" w:sz="0" w:space="0" w:color="auto"/>
        </w:rPr>
        <w:footnoteReference w:id="143"/>
      </w:r>
      <w:r w:rsidR="00923948" w:rsidRPr="00676B15">
        <w:rPr>
          <w:rFonts w:ascii="Cambria" w:eastAsia="Times New Roman" w:hAnsi="Cambria"/>
          <w:bCs/>
          <w:sz w:val="20"/>
          <w:szCs w:val="20"/>
          <w:bdr w:val="none" w:sz="0" w:space="0" w:color="auto"/>
        </w:rPr>
        <w:t xml:space="preserve"> </w:t>
      </w:r>
    </w:p>
    <w:p w14:paraId="7AE635D5" w14:textId="77777777" w:rsidR="00923948" w:rsidRPr="00676B15" w:rsidRDefault="00923948" w:rsidP="00923948">
      <w:pPr>
        <w:pStyle w:val="ListParagraph"/>
        <w:rPr>
          <w:rFonts w:eastAsia="Times New Roman"/>
          <w:bCs/>
          <w:sz w:val="20"/>
          <w:szCs w:val="20"/>
          <w:bdr w:val="none" w:sz="0" w:space="0" w:color="auto"/>
        </w:rPr>
      </w:pPr>
    </w:p>
    <w:p w14:paraId="6CAC22B0" w14:textId="5C31F262" w:rsidR="00923948" w:rsidRPr="00676B15" w:rsidRDefault="00923948" w:rsidP="00E6253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In its </w:t>
      </w:r>
      <w:r w:rsidRPr="00676B15">
        <w:rPr>
          <w:rFonts w:ascii="Cambria" w:eastAsia="Times New Roman" w:hAnsi="Cambria"/>
          <w:bCs/>
          <w:i/>
          <w:sz w:val="20"/>
          <w:szCs w:val="20"/>
          <w:bdr w:val="none" w:sz="0" w:space="0" w:color="auto"/>
        </w:rPr>
        <w:t>Note on the Dignity and Rights of Migrant Workers in an Irregular Situation</w:t>
      </w:r>
      <w:r w:rsidRPr="00676B15">
        <w:rPr>
          <w:rFonts w:ascii="Cambria" w:eastAsia="Times New Roman" w:hAnsi="Cambria"/>
          <w:bCs/>
          <w:sz w:val="20"/>
          <w:szCs w:val="20"/>
          <w:bdr w:val="none" w:sz="0" w:space="0" w:color="auto"/>
        </w:rPr>
        <w:t>, the ILO has clarified that “unless otherwise stated, all international labour standards cover all workers irrespective of their nationality or immigration status. Lack of labor protection for migrant workers in an irregular situation undermines protection generally for lawfully resident migrant workers as well as national workers.”</w:t>
      </w:r>
      <w:r w:rsidRPr="00676B15">
        <w:rPr>
          <w:rStyle w:val="FootnoteReference"/>
          <w:rFonts w:ascii="Cambria" w:eastAsia="Times New Roman" w:hAnsi="Cambria"/>
          <w:bCs/>
          <w:sz w:val="20"/>
          <w:szCs w:val="20"/>
          <w:bdr w:val="none" w:sz="0" w:space="0" w:color="auto"/>
        </w:rPr>
        <w:footnoteReference w:id="144"/>
      </w:r>
      <w:r w:rsidRPr="00676B15">
        <w:rPr>
          <w:rFonts w:ascii="Cambria" w:eastAsia="Times New Roman" w:hAnsi="Cambria"/>
          <w:bCs/>
          <w:sz w:val="20"/>
          <w:szCs w:val="20"/>
          <w:bdr w:val="none" w:sz="0" w:space="0" w:color="auto"/>
        </w:rPr>
        <w:t xml:space="preserve"> Further, the United States, as a member of the ILO, is obliged “to respect, to promote and to realize” the principles contained in the ILO Declaration on Fundamental Principles and Rights at Work, which was adopted in 1998 (“1998 ILO Declaration”).</w:t>
      </w:r>
      <w:r w:rsidRPr="00676B15">
        <w:rPr>
          <w:rStyle w:val="FootnoteReference"/>
          <w:rFonts w:ascii="Cambria" w:eastAsia="Times New Roman" w:hAnsi="Cambria"/>
          <w:bCs/>
          <w:sz w:val="20"/>
          <w:szCs w:val="20"/>
          <w:bdr w:val="none" w:sz="0" w:space="0" w:color="auto"/>
        </w:rPr>
        <w:footnoteReference w:id="145"/>
      </w:r>
      <w:r w:rsidRPr="00676B15">
        <w:rPr>
          <w:rFonts w:ascii="Cambria" w:eastAsia="Times New Roman" w:hAnsi="Cambria"/>
          <w:bCs/>
          <w:sz w:val="20"/>
          <w:szCs w:val="20"/>
          <w:bdr w:val="none" w:sz="0" w:space="0" w:color="auto"/>
        </w:rPr>
        <w:t xml:space="preserve"> </w:t>
      </w:r>
      <w:r w:rsidR="00E6253E" w:rsidRPr="00676B15">
        <w:rPr>
          <w:rFonts w:ascii="Cambria" w:eastAsia="Times New Roman" w:hAnsi="Cambria"/>
          <w:bCs/>
          <w:sz w:val="20"/>
          <w:szCs w:val="20"/>
          <w:bdr w:val="none" w:sz="0" w:space="0" w:color="auto"/>
        </w:rPr>
        <w:t xml:space="preserve">One of these fundamental principles centers on eliminating </w:t>
      </w:r>
      <w:r w:rsidR="00E6253E" w:rsidRPr="00676B15">
        <w:rPr>
          <w:rFonts w:ascii="Cambria" w:eastAsia="Times New Roman" w:hAnsi="Cambria"/>
          <w:bCs/>
          <w:sz w:val="20"/>
          <w:szCs w:val="20"/>
          <w:bdr w:val="none" w:sz="0" w:space="0" w:color="auto"/>
        </w:rPr>
        <w:lastRenderedPageBreak/>
        <w:t>discrimination in hiring, assignment of tasks, working conditions, pay, benefits, promotions, lay-offs and termination of employment.</w:t>
      </w:r>
      <w:r w:rsidR="00E6253E" w:rsidRPr="00676B15">
        <w:rPr>
          <w:rStyle w:val="FootnoteReference"/>
          <w:rFonts w:ascii="Cambria" w:eastAsia="Times New Roman" w:hAnsi="Cambria"/>
          <w:bCs/>
          <w:sz w:val="20"/>
          <w:szCs w:val="20"/>
          <w:bdr w:val="none" w:sz="0" w:space="0" w:color="auto"/>
        </w:rPr>
        <w:footnoteReference w:id="146"/>
      </w:r>
      <w:r w:rsidR="00E6253E" w:rsidRPr="00676B15">
        <w:rPr>
          <w:rFonts w:ascii="Cambria" w:eastAsia="Times New Roman" w:hAnsi="Cambria"/>
          <w:bCs/>
          <w:sz w:val="20"/>
          <w:szCs w:val="20"/>
          <w:bdr w:val="none" w:sz="0" w:space="0" w:color="auto"/>
        </w:rPr>
        <w:t> </w:t>
      </w:r>
    </w:p>
    <w:p w14:paraId="22BBB2F3" w14:textId="77777777" w:rsidR="00923948" w:rsidRPr="00676B15" w:rsidRDefault="00923948" w:rsidP="00923948">
      <w:pPr>
        <w:pStyle w:val="ListParagraph"/>
        <w:rPr>
          <w:rFonts w:eastAsia="Times New Roman"/>
          <w:bCs/>
          <w:sz w:val="20"/>
          <w:szCs w:val="20"/>
          <w:bdr w:val="none" w:sz="0" w:space="0" w:color="auto"/>
        </w:rPr>
      </w:pPr>
    </w:p>
    <w:p w14:paraId="15CCD53E" w14:textId="7640F30C" w:rsidR="00923948" w:rsidRPr="00676B15" w:rsidRDefault="00B105B9" w:rsidP="0092394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Additionally</w:t>
      </w:r>
      <w:r w:rsidR="00E6253E" w:rsidRPr="00676B15">
        <w:rPr>
          <w:rFonts w:ascii="Cambria" w:eastAsia="Times New Roman" w:hAnsi="Cambria"/>
          <w:bCs/>
          <w:sz w:val="20"/>
          <w:szCs w:val="20"/>
          <w:bdr w:val="none" w:sz="0" w:space="0" w:color="auto"/>
        </w:rPr>
        <w:t>, t</w:t>
      </w:r>
      <w:r w:rsidR="00923948" w:rsidRPr="00676B15">
        <w:rPr>
          <w:rFonts w:ascii="Cambria" w:eastAsia="Times New Roman" w:hAnsi="Cambria"/>
          <w:bCs/>
          <w:sz w:val="20"/>
          <w:szCs w:val="20"/>
          <w:bdr w:val="none" w:sz="0" w:space="0" w:color="auto"/>
        </w:rPr>
        <w:t xml:space="preserve">he Commission </w:t>
      </w:r>
      <w:r w:rsidR="00BD73C1" w:rsidRPr="00676B15">
        <w:rPr>
          <w:rFonts w:ascii="Cambria" w:eastAsia="Times New Roman" w:hAnsi="Cambria"/>
          <w:bCs/>
          <w:sz w:val="20"/>
          <w:szCs w:val="20"/>
          <w:bdr w:val="none" w:sz="0" w:space="0" w:color="auto"/>
        </w:rPr>
        <w:t>notes</w:t>
      </w:r>
      <w:r w:rsidR="00923948" w:rsidRPr="00676B15">
        <w:rPr>
          <w:rFonts w:ascii="Cambria" w:eastAsia="Times New Roman" w:hAnsi="Cambria"/>
          <w:bCs/>
          <w:sz w:val="20"/>
          <w:szCs w:val="20"/>
          <w:bdr w:val="none" w:sz="0" w:space="0" w:color="auto"/>
        </w:rPr>
        <w:t xml:space="preserve"> that the Uni</w:t>
      </w:r>
      <w:r w:rsidR="002374B8" w:rsidRPr="00676B15">
        <w:rPr>
          <w:rFonts w:ascii="Cambria" w:eastAsia="Times New Roman" w:hAnsi="Cambria"/>
          <w:bCs/>
          <w:sz w:val="20"/>
          <w:szCs w:val="20"/>
          <w:bdr w:val="none" w:sz="0" w:space="0" w:color="auto"/>
        </w:rPr>
        <w:t>ted States is a signatory</w:t>
      </w:r>
      <w:r w:rsidR="00923948" w:rsidRPr="00676B15">
        <w:rPr>
          <w:rFonts w:ascii="Cambria" w:eastAsia="Times New Roman" w:hAnsi="Cambria"/>
          <w:bCs/>
          <w:sz w:val="20"/>
          <w:szCs w:val="20"/>
          <w:bdr w:val="none" w:sz="0" w:space="0" w:color="auto"/>
        </w:rPr>
        <w:t xml:space="preserve"> to the North American Agreement on Labor Cooperation (NAALC), the supplemental labor accord to the North American Free Trade Agreement (NAFTA).</w:t>
      </w:r>
      <w:r w:rsidR="00893C67" w:rsidRPr="00676B15">
        <w:rPr>
          <w:rStyle w:val="FootnoteReference"/>
          <w:rFonts w:ascii="Cambria" w:eastAsia="Times New Roman" w:hAnsi="Cambria"/>
          <w:bCs/>
          <w:sz w:val="20"/>
          <w:szCs w:val="20"/>
          <w:bdr w:val="none" w:sz="0" w:space="0" w:color="auto"/>
        </w:rPr>
        <w:footnoteReference w:id="147"/>
      </w:r>
      <w:r w:rsidR="00923948" w:rsidRPr="00676B15">
        <w:rPr>
          <w:rFonts w:ascii="Cambria" w:eastAsia="Times New Roman" w:hAnsi="Cambria"/>
          <w:bCs/>
          <w:sz w:val="20"/>
          <w:szCs w:val="20"/>
          <w:bdr w:val="none" w:sz="0" w:space="0" w:color="auto"/>
        </w:rPr>
        <w:t xml:space="preserve"> </w:t>
      </w:r>
      <w:r w:rsidR="002374B8" w:rsidRPr="00676B15">
        <w:rPr>
          <w:rFonts w:ascii="Cambria" w:eastAsia="Times New Roman" w:hAnsi="Cambria"/>
          <w:bCs/>
          <w:sz w:val="20"/>
          <w:szCs w:val="20"/>
          <w:bdr w:val="none" w:sz="0" w:space="0" w:color="auto"/>
        </w:rPr>
        <w:t xml:space="preserve"> The three signatories – Canada, Mexico, and the United States – agreed</w:t>
      </w:r>
      <w:r w:rsidR="007248DB" w:rsidRPr="00676B15">
        <w:rPr>
          <w:rFonts w:ascii="Cambria" w:eastAsia="Times New Roman" w:hAnsi="Cambria"/>
          <w:bCs/>
          <w:sz w:val="20"/>
          <w:szCs w:val="20"/>
          <w:bdr w:val="none" w:sz="0" w:space="0" w:color="auto"/>
        </w:rPr>
        <w:t xml:space="preserve"> in the NAALC</w:t>
      </w:r>
      <w:r w:rsidR="002374B8" w:rsidRPr="00676B15">
        <w:rPr>
          <w:rFonts w:ascii="Cambria" w:eastAsia="Times New Roman" w:hAnsi="Cambria"/>
          <w:bCs/>
          <w:sz w:val="20"/>
          <w:szCs w:val="20"/>
          <w:bdr w:val="none" w:sz="0" w:space="0" w:color="auto"/>
        </w:rPr>
        <w:t xml:space="preserve"> to commit themselves</w:t>
      </w:r>
      <w:r w:rsidR="007248DB" w:rsidRPr="00676B15">
        <w:rPr>
          <w:rFonts w:ascii="Cambria" w:eastAsia="Times New Roman" w:hAnsi="Cambria"/>
          <w:bCs/>
          <w:sz w:val="20"/>
          <w:szCs w:val="20"/>
          <w:bdr w:val="none" w:sz="0" w:space="0" w:color="auto"/>
        </w:rPr>
        <w:t xml:space="preserve"> to promote 11 labor principles</w:t>
      </w:r>
      <w:r w:rsidR="00893C67" w:rsidRPr="00676B15">
        <w:rPr>
          <w:rFonts w:ascii="Cambria" w:eastAsia="Times New Roman" w:hAnsi="Cambria"/>
          <w:bCs/>
          <w:sz w:val="20"/>
          <w:szCs w:val="20"/>
          <w:bdr w:val="none" w:sz="0" w:space="0" w:color="auto"/>
        </w:rPr>
        <w:t xml:space="preserve"> that </w:t>
      </w:r>
      <w:r w:rsidR="007248DB" w:rsidRPr="00676B15">
        <w:rPr>
          <w:rFonts w:ascii="Cambria" w:eastAsia="Times New Roman" w:hAnsi="Cambria"/>
          <w:bCs/>
          <w:sz w:val="20"/>
          <w:szCs w:val="20"/>
          <w:bdr w:val="none" w:sz="0" w:space="0" w:color="auto"/>
        </w:rPr>
        <w:t xml:space="preserve">apply to </w:t>
      </w:r>
      <w:r w:rsidR="00893C67" w:rsidRPr="00676B15">
        <w:rPr>
          <w:rFonts w:ascii="Cambria" w:eastAsia="Times New Roman" w:hAnsi="Cambria"/>
          <w:bCs/>
          <w:sz w:val="20"/>
          <w:szCs w:val="20"/>
          <w:bdr w:val="none" w:sz="0" w:space="0" w:color="auto"/>
        </w:rPr>
        <w:t>“</w:t>
      </w:r>
      <w:r w:rsidR="007248DB" w:rsidRPr="00676B15">
        <w:rPr>
          <w:rFonts w:ascii="Cambria" w:eastAsia="Times New Roman" w:hAnsi="Cambria"/>
          <w:bCs/>
          <w:sz w:val="20"/>
          <w:szCs w:val="20"/>
          <w:bdr w:val="none" w:sz="0" w:space="0" w:color="auto"/>
        </w:rPr>
        <w:t>workers</w:t>
      </w:r>
      <w:r w:rsidR="00893C67" w:rsidRPr="00676B15">
        <w:rPr>
          <w:rFonts w:ascii="Cambria" w:eastAsia="Times New Roman" w:hAnsi="Cambria"/>
          <w:bCs/>
          <w:sz w:val="20"/>
          <w:szCs w:val="20"/>
          <w:bdr w:val="none" w:sz="0" w:space="0" w:color="auto"/>
        </w:rPr>
        <w:t xml:space="preserve">” (including non-citizens). </w:t>
      </w:r>
      <w:r w:rsidR="00BD73C1" w:rsidRPr="00676B15">
        <w:rPr>
          <w:rFonts w:ascii="Cambria" w:eastAsia="Times New Roman" w:hAnsi="Cambria"/>
          <w:bCs/>
          <w:sz w:val="20"/>
          <w:szCs w:val="20"/>
          <w:bdr w:val="none" w:sz="0" w:space="0" w:color="auto"/>
        </w:rPr>
        <w:t xml:space="preserve"> T</w:t>
      </w:r>
      <w:r w:rsidR="00893C67" w:rsidRPr="00676B15">
        <w:rPr>
          <w:rFonts w:ascii="Cambria" w:eastAsia="Times New Roman" w:hAnsi="Cambria"/>
          <w:bCs/>
          <w:sz w:val="20"/>
          <w:szCs w:val="20"/>
          <w:bdr w:val="none" w:sz="0" w:space="0" w:color="auto"/>
        </w:rPr>
        <w:t>hese principles</w:t>
      </w:r>
      <w:r w:rsidR="00BD73C1" w:rsidRPr="00676B15">
        <w:rPr>
          <w:rFonts w:ascii="Cambria" w:eastAsia="Times New Roman" w:hAnsi="Cambria"/>
          <w:bCs/>
          <w:sz w:val="20"/>
          <w:szCs w:val="20"/>
          <w:bdr w:val="none" w:sz="0" w:space="0" w:color="auto"/>
        </w:rPr>
        <w:t xml:space="preserve"> include</w:t>
      </w:r>
      <w:r w:rsidR="00893C67" w:rsidRPr="00676B15">
        <w:rPr>
          <w:rFonts w:ascii="Cambria" w:eastAsia="Times New Roman" w:hAnsi="Cambria"/>
          <w:bCs/>
          <w:sz w:val="20"/>
          <w:szCs w:val="20"/>
          <w:bdr w:val="none" w:sz="0" w:space="0" w:color="auto"/>
        </w:rPr>
        <w:t>: prevention of occupational injuries and illnesses; compensation in cases of occupational injuries and illnesses, and protection of migrant workers.</w:t>
      </w:r>
      <w:r w:rsidR="004F4B24" w:rsidRPr="00676B15">
        <w:rPr>
          <w:rStyle w:val="FootnoteReference"/>
          <w:rFonts w:ascii="Cambria" w:eastAsia="Times New Roman" w:hAnsi="Cambria"/>
          <w:bCs/>
          <w:sz w:val="20"/>
          <w:szCs w:val="20"/>
          <w:bdr w:val="none" w:sz="0" w:space="0" w:color="auto"/>
        </w:rPr>
        <w:footnoteReference w:id="148"/>
      </w:r>
      <w:r w:rsidR="00893C67" w:rsidRPr="00676B15">
        <w:rPr>
          <w:rFonts w:ascii="Cambria" w:eastAsia="Times New Roman" w:hAnsi="Cambria"/>
          <w:bCs/>
          <w:sz w:val="20"/>
          <w:szCs w:val="20"/>
          <w:bdr w:val="none" w:sz="0" w:space="0" w:color="auto"/>
        </w:rPr>
        <w:t xml:space="preserve"> </w:t>
      </w:r>
      <w:r w:rsidR="00E6253E" w:rsidRPr="00676B15">
        <w:rPr>
          <w:rFonts w:ascii="Cambria" w:eastAsia="Times New Roman" w:hAnsi="Cambria"/>
          <w:bCs/>
          <w:sz w:val="20"/>
          <w:szCs w:val="20"/>
          <w:bdr w:val="none" w:sz="0" w:space="0" w:color="auto"/>
        </w:rPr>
        <w:t xml:space="preserve">Thus, not only under inter-American </w:t>
      </w:r>
      <w:r w:rsidR="00BD73C1" w:rsidRPr="00676B15">
        <w:rPr>
          <w:rFonts w:ascii="Cambria" w:eastAsia="Times New Roman" w:hAnsi="Cambria"/>
          <w:bCs/>
          <w:sz w:val="20"/>
          <w:szCs w:val="20"/>
          <w:bdr w:val="none" w:sz="0" w:space="0" w:color="auto"/>
        </w:rPr>
        <w:t>standards</w:t>
      </w:r>
      <w:r w:rsidR="00E6253E" w:rsidRPr="00676B15">
        <w:rPr>
          <w:rFonts w:ascii="Cambria" w:eastAsia="Times New Roman" w:hAnsi="Cambria"/>
          <w:bCs/>
          <w:sz w:val="20"/>
          <w:szCs w:val="20"/>
          <w:bdr w:val="none" w:sz="0" w:space="0" w:color="auto"/>
        </w:rPr>
        <w:t xml:space="preserve"> but also through other international treaties and conventions does the US have the obligation to ensure that all workers have effective access to social security programs that protect and</w:t>
      </w:r>
      <w:r w:rsidR="00BD73C1" w:rsidRPr="00676B15">
        <w:rPr>
          <w:rFonts w:ascii="Cambria" w:eastAsia="Times New Roman" w:hAnsi="Cambria"/>
          <w:bCs/>
          <w:sz w:val="20"/>
          <w:szCs w:val="20"/>
          <w:bdr w:val="none" w:sz="0" w:space="0" w:color="auto"/>
        </w:rPr>
        <w:t xml:space="preserve"> provide remedies for</w:t>
      </w:r>
      <w:r w:rsidR="00E6253E" w:rsidRPr="00676B15">
        <w:rPr>
          <w:rFonts w:ascii="Cambria" w:eastAsia="Times New Roman" w:hAnsi="Cambria"/>
          <w:bCs/>
          <w:sz w:val="20"/>
          <w:szCs w:val="20"/>
          <w:bdr w:val="none" w:sz="0" w:space="0" w:color="auto"/>
        </w:rPr>
        <w:t xml:space="preserve"> workers injured on the job. </w:t>
      </w:r>
    </w:p>
    <w:p w14:paraId="794A6B5F" w14:textId="77777777" w:rsidR="0026548C" w:rsidRPr="00676B15" w:rsidRDefault="0026548C" w:rsidP="0026548C">
      <w:pPr>
        <w:pStyle w:val="ListParagraph"/>
        <w:rPr>
          <w:rFonts w:eastAsia="Times New Roman"/>
          <w:bCs/>
          <w:sz w:val="20"/>
          <w:szCs w:val="20"/>
          <w:bdr w:val="none" w:sz="0" w:space="0" w:color="auto"/>
        </w:rPr>
      </w:pPr>
    </w:p>
    <w:p w14:paraId="5A6F422C" w14:textId="125BAAC8" w:rsidR="0026548C" w:rsidRPr="00676B15" w:rsidRDefault="00B105B9" w:rsidP="006056E1">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Lastly, t</w:t>
      </w:r>
      <w:r w:rsidR="0026548C" w:rsidRPr="00676B15">
        <w:rPr>
          <w:rFonts w:ascii="Cambria" w:eastAsia="Times New Roman" w:hAnsi="Cambria"/>
          <w:bCs/>
          <w:sz w:val="20"/>
          <w:szCs w:val="20"/>
          <w:bdr w:val="none" w:sz="0" w:space="0" w:color="auto"/>
        </w:rPr>
        <w:t xml:space="preserve">he Commission observes that there </w:t>
      </w:r>
      <w:r w:rsidR="008622A0" w:rsidRPr="00676B15">
        <w:rPr>
          <w:rFonts w:ascii="Cambria" w:eastAsia="Times New Roman" w:hAnsi="Cambria"/>
          <w:bCs/>
          <w:sz w:val="20"/>
          <w:szCs w:val="20"/>
          <w:bdr w:val="none" w:sz="0" w:space="0" w:color="auto"/>
        </w:rPr>
        <w:t xml:space="preserve">are two programs run by the U.S. Social Security Administration (SSA) </w:t>
      </w:r>
      <w:r w:rsidR="00A4387B" w:rsidRPr="00676B15">
        <w:rPr>
          <w:rFonts w:ascii="Cambria" w:eastAsia="Times New Roman" w:hAnsi="Cambria"/>
          <w:bCs/>
          <w:sz w:val="20"/>
          <w:szCs w:val="20"/>
          <w:bdr w:val="none" w:sz="0" w:space="0" w:color="auto"/>
        </w:rPr>
        <w:t>that benefit</w:t>
      </w:r>
      <w:r w:rsidR="008622A0" w:rsidRPr="00676B15">
        <w:rPr>
          <w:rFonts w:ascii="Cambria" w:eastAsia="Times New Roman" w:hAnsi="Cambria"/>
          <w:bCs/>
          <w:sz w:val="20"/>
          <w:szCs w:val="20"/>
          <w:bdr w:val="none" w:sz="0" w:space="0" w:color="auto"/>
        </w:rPr>
        <w:t xml:space="preserve"> workers whose injuries have rendered them unable to work for at least 12 months, </w:t>
      </w:r>
      <w:r w:rsidR="00A4387B" w:rsidRPr="00676B15">
        <w:rPr>
          <w:rFonts w:ascii="Cambria" w:eastAsia="Times New Roman" w:hAnsi="Cambria"/>
          <w:bCs/>
          <w:sz w:val="20"/>
          <w:szCs w:val="20"/>
          <w:bdr w:val="none" w:sz="0" w:space="0" w:color="auto"/>
        </w:rPr>
        <w:t>in addition to</w:t>
      </w:r>
      <w:r w:rsidR="008622A0" w:rsidRPr="00676B15">
        <w:rPr>
          <w:rFonts w:ascii="Cambria" w:eastAsia="Times New Roman" w:hAnsi="Cambria"/>
          <w:bCs/>
          <w:sz w:val="20"/>
          <w:szCs w:val="20"/>
          <w:bdr w:val="none" w:sz="0" w:space="0" w:color="auto"/>
        </w:rPr>
        <w:t xml:space="preserve"> other individuals. </w:t>
      </w:r>
      <w:r w:rsidR="009066A8" w:rsidRPr="00676B15">
        <w:rPr>
          <w:rFonts w:ascii="Cambria" w:eastAsia="Times New Roman" w:hAnsi="Cambria"/>
          <w:bCs/>
          <w:sz w:val="20"/>
          <w:szCs w:val="20"/>
          <w:bdr w:val="none" w:sz="0" w:space="0" w:color="auto"/>
        </w:rPr>
        <w:t>However, the Commission observes that these programs were not available to the two victims and would not be available to the many undocumented workers who reside in the US temporarily. T</w:t>
      </w:r>
      <w:r w:rsidR="00A4387B" w:rsidRPr="00676B15">
        <w:rPr>
          <w:rFonts w:ascii="Cambria" w:eastAsia="Times New Roman" w:hAnsi="Cambria"/>
          <w:bCs/>
          <w:sz w:val="20"/>
          <w:szCs w:val="20"/>
          <w:bdr w:val="none" w:sz="0" w:space="0" w:color="auto"/>
        </w:rPr>
        <w:t xml:space="preserve">he first program, Social Security Disability Insurance (SSDI), which pays benefits to injured workers and members of </w:t>
      </w:r>
      <w:r w:rsidR="009066A8" w:rsidRPr="00676B15">
        <w:rPr>
          <w:rFonts w:ascii="Cambria" w:eastAsia="Times New Roman" w:hAnsi="Cambria"/>
          <w:bCs/>
          <w:sz w:val="20"/>
          <w:szCs w:val="20"/>
          <w:bdr w:val="none" w:sz="0" w:space="0" w:color="auto"/>
        </w:rPr>
        <w:t>their families</w:t>
      </w:r>
      <w:r w:rsidR="00A4387B" w:rsidRPr="00676B15">
        <w:rPr>
          <w:rFonts w:ascii="Cambria" w:eastAsia="Times New Roman" w:hAnsi="Cambria"/>
          <w:bCs/>
          <w:sz w:val="20"/>
          <w:szCs w:val="20"/>
          <w:bdr w:val="none" w:sz="0" w:space="0" w:color="auto"/>
        </w:rPr>
        <w:t>, only becomes available if the person worked</w:t>
      </w:r>
      <w:r w:rsidR="00F766CD" w:rsidRPr="00676B15">
        <w:rPr>
          <w:rFonts w:ascii="Cambria" w:eastAsia="Times New Roman" w:hAnsi="Cambria"/>
          <w:bCs/>
          <w:sz w:val="20"/>
          <w:szCs w:val="20"/>
          <w:bdr w:val="none" w:sz="0" w:space="0" w:color="auto"/>
        </w:rPr>
        <w:t xml:space="preserve"> a required number of quarters (three-month periods) preceding the claim.</w:t>
      </w:r>
      <w:r w:rsidR="00F766CD" w:rsidRPr="00676B15">
        <w:rPr>
          <w:rStyle w:val="FootnoteReference"/>
          <w:rFonts w:ascii="Cambria" w:eastAsia="Times New Roman" w:hAnsi="Cambria"/>
          <w:bCs/>
          <w:sz w:val="20"/>
          <w:szCs w:val="20"/>
          <w:bdr w:val="none" w:sz="0" w:space="0" w:color="auto"/>
        </w:rPr>
        <w:footnoteReference w:id="149"/>
      </w:r>
      <w:r w:rsidR="00F766CD" w:rsidRPr="00676B15">
        <w:rPr>
          <w:rFonts w:ascii="Cambria" w:eastAsia="Times New Roman" w:hAnsi="Cambria"/>
          <w:bCs/>
          <w:sz w:val="20"/>
          <w:szCs w:val="20"/>
          <w:bdr w:val="none" w:sz="0" w:space="0" w:color="auto"/>
        </w:rPr>
        <w:t xml:space="preserve"> </w:t>
      </w:r>
      <w:r w:rsidR="009A2DB6" w:rsidRPr="00676B15">
        <w:rPr>
          <w:rFonts w:ascii="Cambria" w:eastAsia="Times New Roman" w:hAnsi="Cambria"/>
          <w:bCs/>
          <w:sz w:val="20"/>
          <w:szCs w:val="20"/>
          <w:bdr w:val="none" w:sz="0" w:space="0" w:color="auto"/>
        </w:rPr>
        <w:t xml:space="preserve">The number of quarters </w:t>
      </w:r>
      <w:r w:rsidR="009066A8" w:rsidRPr="00676B15">
        <w:rPr>
          <w:rFonts w:ascii="Cambria" w:eastAsia="Times New Roman" w:hAnsi="Cambria"/>
          <w:bCs/>
          <w:sz w:val="20"/>
          <w:szCs w:val="20"/>
          <w:bdr w:val="none" w:sz="0" w:space="0" w:color="auto"/>
        </w:rPr>
        <w:t xml:space="preserve">required </w:t>
      </w:r>
      <w:r w:rsidR="009A2DB6" w:rsidRPr="00676B15">
        <w:rPr>
          <w:rFonts w:ascii="Cambria" w:eastAsia="Times New Roman" w:hAnsi="Cambria"/>
          <w:bCs/>
          <w:sz w:val="20"/>
          <w:szCs w:val="20"/>
          <w:bdr w:val="none" w:sz="0" w:space="0" w:color="auto"/>
        </w:rPr>
        <w:t>depends on the person’s age</w:t>
      </w:r>
      <w:r w:rsidR="009066A8" w:rsidRPr="00676B15">
        <w:rPr>
          <w:rFonts w:ascii="Cambria" w:eastAsia="Times New Roman" w:hAnsi="Cambria"/>
          <w:bCs/>
          <w:sz w:val="20"/>
          <w:szCs w:val="20"/>
          <w:bdr w:val="none" w:sz="0" w:space="0" w:color="auto"/>
        </w:rPr>
        <w:t xml:space="preserve"> at the time of the event causing the disability</w:t>
      </w:r>
      <w:r w:rsidR="009A2DB6" w:rsidRPr="00676B15">
        <w:rPr>
          <w:rFonts w:ascii="Cambria" w:eastAsia="Times New Roman" w:hAnsi="Cambria"/>
          <w:bCs/>
          <w:sz w:val="20"/>
          <w:szCs w:val="20"/>
          <w:bdr w:val="none" w:sz="0" w:space="0" w:color="auto"/>
        </w:rPr>
        <w:t>, and i</w:t>
      </w:r>
      <w:r w:rsidR="00F766CD" w:rsidRPr="00676B15">
        <w:rPr>
          <w:rFonts w:ascii="Cambria" w:eastAsia="Times New Roman" w:hAnsi="Cambria"/>
          <w:bCs/>
          <w:sz w:val="20"/>
          <w:szCs w:val="20"/>
          <w:bdr w:val="none" w:sz="0" w:space="0" w:color="auto"/>
        </w:rPr>
        <w:t xml:space="preserve">n the cases of both Mr. Zumaya and Mr. Lizalde, </w:t>
      </w:r>
      <w:r w:rsidR="009A2DB6" w:rsidRPr="00676B15">
        <w:rPr>
          <w:rFonts w:ascii="Cambria" w:eastAsia="Times New Roman" w:hAnsi="Cambria"/>
          <w:bCs/>
          <w:sz w:val="20"/>
          <w:szCs w:val="20"/>
          <w:bdr w:val="none" w:sz="0" w:space="0" w:color="auto"/>
        </w:rPr>
        <w:t>the required amount</w:t>
      </w:r>
      <w:r w:rsidR="00F766CD" w:rsidRPr="00676B15">
        <w:rPr>
          <w:rFonts w:ascii="Cambria" w:eastAsia="Times New Roman" w:hAnsi="Cambria"/>
          <w:bCs/>
          <w:sz w:val="20"/>
          <w:szCs w:val="20"/>
          <w:bdr w:val="none" w:sz="0" w:space="0" w:color="auto"/>
        </w:rPr>
        <w:t xml:space="preserve"> would</w:t>
      </w:r>
      <w:r w:rsidR="009A2DB6" w:rsidRPr="00676B15">
        <w:rPr>
          <w:rFonts w:ascii="Cambria" w:eastAsia="Times New Roman" w:hAnsi="Cambria"/>
          <w:bCs/>
          <w:sz w:val="20"/>
          <w:szCs w:val="20"/>
          <w:bdr w:val="none" w:sz="0" w:space="0" w:color="auto"/>
        </w:rPr>
        <w:t xml:space="preserve"> have been</w:t>
      </w:r>
      <w:r w:rsidR="00F766CD" w:rsidRPr="00676B15">
        <w:rPr>
          <w:rFonts w:ascii="Cambria" w:eastAsia="Times New Roman" w:hAnsi="Cambria"/>
          <w:bCs/>
          <w:sz w:val="20"/>
          <w:szCs w:val="20"/>
          <w:bdr w:val="none" w:sz="0" w:space="0" w:color="auto"/>
        </w:rPr>
        <w:t xml:space="preserve"> 20 quarters or five years</w:t>
      </w:r>
      <w:r w:rsidR="00A4387B" w:rsidRPr="00676B15">
        <w:rPr>
          <w:rFonts w:ascii="Cambria" w:eastAsia="Times New Roman" w:hAnsi="Cambria"/>
          <w:bCs/>
          <w:sz w:val="20"/>
          <w:szCs w:val="20"/>
          <w:bdr w:val="none" w:sz="0" w:space="0" w:color="auto"/>
        </w:rPr>
        <w:t>.</w:t>
      </w:r>
      <w:r w:rsidR="00A4387B" w:rsidRPr="00676B15">
        <w:rPr>
          <w:rStyle w:val="FootnoteReference"/>
          <w:rFonts w:ascii="Cambria" w:eastAsia="Times New Roman" w:hAnsi="Cambria"/>
          <w:bCs/>
          <w:sz w:val="20"/>
          <w:szCs w:val="20"/>
          <w:bdr w:val="none" w:sz="0" w:space="0" w:color="auto"/>
        </w:rPr>
        <w:footnoteReference w:id="150"/>
      </w:r>
      <w:r w:rsidR="00A4387B" w:rsidRPr="00676B15">
        <w:rPr>
          <w:rFonts w:ascii="Cambria" w:eastAsia="Times New Roman" w:hAnsi="Cambria"/>
          <w:bCs/>
          <w:sz w:val="20"/>
          <w:szCs w:val="20"/>
          <w:bdr w:val="none" w:sz="0" w:space="0" w:color="auto"/>
        </w:rPr>
        <w:t xml:space="preserve"> </w:t>
      </w:r>
      <w:r w:rsidR="009F5921" w:rsidRPr="00676B15">
        <w:rPr>
          <w:rFonts w:ascii="Cambria" w:eastAsia="Times New Roman" w:hAnsi="Cambria"/>
          <w:bCs/>
          <w:sz w:val="20"/>
          <w:szCs w:val="20"/>
          <w:bdr w:val="none" w:sz="0" w:space="0" w:color="auto"/>
        </w:rPr>
        <w:t xml:space="preserve">The second program, Supplemental Security Income (SSI), makes monthly payments to persons who have low income and few resources and who are age </w:t>
      </w:r>
      <w:r w:rsidR="00855D20" w:rsidRPr="00676B15">
        <w:rPr>
          <w:rFonts w:ascii="Cambria" w:eastAsia="Times New Roman" w:hAnsi="Cambria"/>
          <w:bCs/>
          <w:sz w:val="20"/>
          <w:szCs w:val="20"/>
          <w:bdr w:val="none" w:sz="0" w:space="0" w:color="auto"/>
        </w:rPr>
        <w:t xml:space="preserve">65 or older, blind, or disabled; as a non-citizen, a person must prove that he or she is a “qualified alien” and that he or she also meets a condition that allows qualified </w:t>
      </w:r>
      <w:r w:rsidR="006056E1" w:rsidRPr="00676B15">
        <w:rPr>
          <w:rFonts w:ascii="Cambria" w:eastAsia="Times New Roman" w:hAnsi="Cambria"/>
          <w:bCs/>
          <w:sz w:val="20"/>
          <w:szCs w:val="20"/>
          <w:bdr w:val="none" w:sz="0" w:space="0" w:color="auto"/>
        </w:rPr>
        <w:t>aliens to receive SSI benefits.</w:t>
      </w:r>
      <w:r w:rsidR="009F5921" w:rsidRPr="00676B15">
        <w:rPr>
          <w:rStyle w:val="FootnoteReference"/>
          <w:rFonts w:ascii="Cambria" w:eastAsia="Times New Roman" w:hAnsi="Cambria"/>
          <w:bCs/>
          <w:sz w:val="20"/>
          <w:szCs w:val="20"/>
          <w:bdr w:val="none" w:sz="0" w:space="0" w:color="auto"/>
        </w:rPr>
        <w:footnoteReference w:id="151"/>
      </w:r>
      <w:r w:rsidR="009A2DB6" w:rsidRPr="00676B15">
        <w:rPr>
          <w:rFonts w:ascii="Cambria" w:eastAsia="Times New Roman" w:hAnsi="Cambria"/>
          <w:bCs/>
          <w:sz w:val="20"/>
          <w:szCs w:val="20"/>
          <w:bdr w:val="none" w:sz="0" w:space="0" w:color="auto"/>
        </w:rPr>
        <w:t xml:space="preserve"> </w:t>
      </w:r>
    </w:p>
    <w:p w14:paraId="42C83EA0" w14:textId="77777777" w:rsidR="00923948" w:rsidRPr="00676B15" w:rsidRDefault="00923948" w:rsidP="0092394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08CAFA50" w14:textId="23FD9617" w:rsidR="00D07A23" w:rsidRDefault="00901DB8" w:rsidP="00BA43C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676B15">
        <w:rPr>
          <w:rFonts w:ascii="Cambria" w:eastAsia="Times New Roman" w:hAnsi="Cambria"/>
          <w:bCs/>
          <w:sz w:val="20"/>
          <w:szCs w:val="20"/>
          <w:bdr w:val="none" w:sz="0" w:space="0" w:color="auto"/>
        </w:rPr>
        <w:t xml:space="preserve">Therefore, in light of the fact that neither Mr. Zumaya nor Mr. Lizalde </w:t>
      </w:r>
      <w:r w:rsidR="003B7A67" w:rsidRPr="00676B15">
        <w:rPr>
          <w:rFonts w:ascii="Cambria" w:eastAsia="Times New Roman" w:hAnsi="Cambria"/>
          <w:bCs/>
          <w:sz w:val="20"/>
          <w:szCs w:val="20"/>
          <w:bdr w:val="none" w:sz="0" w:space="0" w:color="auto"/>
        </w:rPr>
        <w:t>was</w:t>
      </w:r>
      <w:r w:rsidRPr="00676B15">
        <w:rPr>
          <w:rFonts w:ascii="Cambria" w:eastAsia="Times New Roman" w:hAnsi="Cambria"/>
          <w:bCs/>
          <w:sz w:val="20"/>
          <w:szCs w:val="20"/>
          <w:bdr w:val="none" w:sz="0" w:space="0" w:color="auto"/>
        </w:rPr>
        <w:t xml:space="preserve"> able to recover their full benefits under the workers’ compensation programs applicable in Pennsylvania and Kansas, respectively, and due to the contrary decisions reached by federal and state courts on the issue, the IACHR finds that the United States has failed to ensure the right to social security of these two workers. Thus, the Commission finds that the State has violated Article XVI of the American Declaration to the detriment of Messrs. Zumaya and Lizalde. </w:t>
      </w:r>
    </w:p>
    <w:p w14:paraId="65D3A337" w14:textId="77777777" w:rsidR="00B11D29" w:rsidRPr="00B11D29" w:rsidRDefault="00B11D29" w:rsidP="00B11D29">
      <w:pPr>
        <w:rPr>
          <w:rFonts w:eastAsia="Times New Roman"/>
          <w:bCs/>
          <w:sz w:val="20"/>
          <w:szCs w:val="20"/>
          <w:bdr w:val="none" w:sz="0" w:space="0" w:color="auto"/>
        </w:rPr>
      </w:pPr>
    </w:p>
    <w:p w14:paraId="27E6DAB3" w14:textId="34A5ABF2" w:rsidR="00CF27CE" w:rsidRPr="00B11D29" w:rsidRDefault="005009F1" w:rsidP="00B11D29">
      <w:pPr>
        <w:pStyle w:val="Heading1"/>
        <w:ind w:firstLine="720"/>
      </w:pPr>
      <w:bookmarkStart w:id="27" w:name="_Toc466296173"/>
      <w:r>
        <w:t>V</w:t>
      </w:r>
      <w:r w:rsidR="00B11D29">
        <w:t>I</w:t>
      </w:r>
      <w:r w:rsidR="008B5B53" w:rsidRPr="00B11D29">
        <w:t xml:space="preserve">. </w:t>
      </w:r>
      <w:r w:rsidR="008B5B53" w:rsidRPr="00B11D29">
        <w:tab/>
      </w:r>
      <w:r w:rsidR="000804B8" w:rsidRPr="00B11D29">
        <w:t xml:space="preserve">ACTIONS SUBSEQUENT TO REPORT No. </w:t>
      </w:r>
      <w:r w:rsidR="00BD40C4" w:rsidRPr="00B11D29">
        <w:t>83</w:t>
      </w:r>
      <w:r w:rsidR="000804B8" w:rsidRPr="00B11D29">
        <w:t>/15</w:t>
      </w:r>
      <w:bookmarkEnd w:id="27"/>
    </w:p>
    <w:p w14:paraId="78B32B2B" w14:textId="77777777" w:rsidR="00D50109" w:rsidRPr="00B11D29" w:rsidRDefault="00D50109" w:rsidP="00D5010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7198EFBF" w14:textId="2B1C1ACA" w:rsidR="000804B8" w:rsidRPr="00B11D29" w:rsidRDefault="000804B8" w:rsidP="000804B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B11D29">
        <w:rPr>
          <w:rFonts w:ascii="Cambria" w:eastAsia="Times New Roman" w:hAnsi="Cambria"/>
          <w:bCs/>
          <w:sz w:val="20"/>
          <w:szCs w:val="20"/>
          <w:bdr w:val="none" w:sz="0" w:space="0" w:color="auto"/>
        </w:rPr>
        <w:t xml:space="preserve">On December 29, 2015, the Inter-American Commission electronically approved Report No. </w:t>
      </w:r>
      <w:r w:rsidR="00BD40C4" w:rsidRPr="00B11D29">
        <w:rPr>
          <w:rFonts w:ascii="Cambria" w:eastAsia="Times New Roman" w:hAnsi="Cambria"/>
          <w:bCs/>
          <w:sz w:val="20"/>
          <w:szCs w:val="20"/>
          <w:bdr w:val="none" w:sz="0" w:space="0" w:color="auto"/>
        </w:rPr>
        <w:t>83</w:t>
      </w:r>
      <w:r w:rsidRPr="00B11D29">
        <w:rPr>
          <w:rFonts w:ascii="Cambria" w:eastAsia="Times New Roman" w:hAnsi="Cambria"/>
          <w:bCs/>
          <w:sz w:val="20"/>
          <w:szCs w:val="20"/>
          <w:bdr w:val="none" w:sz="0" w:space="0" w:color="auto"/>
        </w:rPr>
        <w:t>/15 on the merits of this matter, which comprises paragraphs 1 to 123 supra, with the following recommendations to the State:</w:t>
      </w:r>
    </w:p>
    <w:p w14:paraId="10EFE1C7" w14:textId="77777777" w:rsidR="000804B8" w:rsidRDefault="000804B8" w:rsidP="000804B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30C109AC" w14:textId="77777777" w:rsidR="000804B8" w:rsidRPr="00676B15" w:rsidRDefault="000804B8" w:rsidP="0044304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rPr>
      </w:pPr>
      <w:r w:rsidRPr="000804B8">
        <w:rPr>
          <w:rFonts w:eastAsia="Times New Roman"/>
          <w:bCs/>
          <w:sz w:val="20"/>
          <w:szCs w:val="20"/>
          <w:bdr w:val="none" w:sz="0" w:space="0" w:color="auto"/>
        </w:rPr>
        <w:t xml:space="preserve"> </w:t>
      </w:r>
      <w:r w:rsidRPr="00676B15">
        <w:rPr>
          <w:rFonts w:eastAsia="Times New Roman"/>
          <w:bCs/>
          <w:sz w:val="20"/>
          <w:szCs w:val="20"/>
          <w:bdr w:val="none" w:sz="0" w:space="0" w:color="auto"/>
        </w:rPr>
        <w:t>Provide Messrs. Zumaya and Lizalde with adequate monetary compensation to remedy the violations sustained in the present report;</w:t>
      </w:r>
    </w:p>
    <w:p w14:paraId="789CC69A" w14:textId="77777777" w:rsidR="000804B8" w:rsidRPr="00676B15" w:rsidRDefault="000804B8" w:rsidP="000804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500" w:firstLine="720"/>
        <w:jc w:val="both"/>
        <w:rPr>
          <w:rFonts w:eastAsia="Times New Roman"/>
          <w:bCs/>
          <w:sz w:val="20"/>
          <w:szCs w:val="20"/>
          <w:bdr w:val="none" w:sz="0" w:space="0" w:color="auto"/>
        </w:rPr>
      </w:pPr>
    </w:p>
    <w:p w14:paraId="317BE7D9" w14:textId="77777777" w:rsidR="000804B8" w:rsidRPr="00676B15" w:rsidRDefault="000804B8" w:rsidP="0044304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2"/>
          <w:bdr w:val="none" w:sz="0" w:space="0" w:color="auto"/>
        </w:rPr>
      </w:pPr>
      <w:r w:rsidRPr="00676B15">
        <w:rPr>
          <w:rFonts w:asciiTheme="majorHAnsi" w:eastAsia="Calibri" w:hAnsiTheme="majorHAnsi"/>
          <w:sz w:val="20"/>
          <w:szCs w:val="22"/>
          <w:bdr w:val="none" w:sz="0" w:space="0" w:color="auto"/>
        </w:rPr>
        <w:t xml:space="preserve">Once a person commences work as an employee, ensure all federal and state laws and policies, on their face and in practice, prohibit any and all distinctions in employment and labor rights based on immigration status and work authorization; </w:t>
      </w:r>
    </w:p>
    <w:p w14:paraId="797A4ADE" w14:textId="77777777" w:rsidR="000804B8" w:rsidRPr="00676B15" w:rsidRDefault="000804B8" w:rsidP="000804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860" w:firstLine="720"/>
        <w:jc w:val="both"/>
        <w:rPr>
          <w:rFonts w:asciiTheme="majorHAnsi" w:eastAsia="Calibri" w:hAnsiTheme="majorHAnsi"/>
          <w:sz w:val="20"/>
          <w:szCs w:val="22"/>
          <w:bdr w:val="none" w:sz="0" w:space="0" w:color="auto"/>
        </w:rPr>
      </w:pPr>
    </w:p>
    <w:p w14:paraId="63971B16" w14:textId="77777777" w:rsidR="000804B8" w:rsidRPr="00676B15" w:rsidRDefault="000804B8" w:rsidP="0044304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rPr>
      </w:pPr>
      <w:r w:rsidRPr="00676B15">
        <w:rPr>
          <w:rFonts w:eastAsia="Times New Roman"/>
          <w:bCs/>
          <w:sz w:val="20"/>
          <w:szCs w:val="20"/>
          <w:bdr w:val="none" w:sz="0" w:space="0" w:color="auto"/>
        </w:rPr>
        <w:t>Prohibit employer inquiries into immigration status of a worker asserting his or her employment and labor rights in litigation or in administrative complaints;</w:t>
      </w:r>
    </w:p>
    <w:p w14:paraId="36F6FF52" w14:textId="77777777" w:rsidR="000804B8" w:rsidRPr="00676B15" w:rsidRDefault="000804B8" w:rsidP="000804B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eastAsia="Times New Roman"/>
          <w:bCs/>
          <w:sz w:val="20"/>
          <w:szCs w:val="20"/>
          <w:bdr w:val="none" w:sz="0" w:space="0" w:color="auto"/>
        </w:rPr>
      </w:pPr>
    </w:p>
    <w:p w14:paraId="3CADCEF2" w14:textId="77777777" w:rsidR="000804B8" w:rsidRPr="00676B15" w:rsidRDefault="000804B8" w:rsidP="0044304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rPr>
      </w:pPr>
      <w:r w:rsidRPr="00676B15">
        <w:rPr>
          <w:rFonts w:eastAsia="Times New Roman"/>
          <w:bCs/>
          <w:sz w:val="20"/>
          <w:szCs w:val="20"/>
          <w:bdr w:val="none" w:sz="0" w:space="0" w:color="auto"/>
        </w:rPr>
        <w:t>Ensure that undocumented workers are granted the same rights and remedies for violations of their rights in the workplace as documented workers;</w:t>
      </w:r>
    </w:p>
    <w:p w14:paraId="72E8F1CD" w14:textId="77777777" w:rsidR="000804B8" w:rsidRPr="00676B15" w:rsidRDefault="000804B8" w:rsidP="000804B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eastAsia="Times New Roman"/>
          <w:bCs/>
          <w:sz w:val="20"/>
          <w:szCs w:val="20"/>
          <w:bdr w:val="none" w:sz="0" w:space="0" w:color="auto"/>
        </w:rPr>
      </w:pPr>
    </w:p>
    <w:p w14:paraId="6D914825" w14:textId="77777777" w:rsidR="000804B8" w:rsidRPr="00676B15" w:rsidRDefault="000804B8" w:rsidP="0044304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rPr>
      </w:pPr>
      <w:r w:rsidRPr="00676B15">
        <w:rPr>
          <w:rFonts w:eastAsia="Times New Roman"/>
          <w:bCs/>
          <w:sz w:val="20"/>
          <w:szCs w:val="20"/>
          <w:bdr w:val="none" w:sz="0" w:space="0" w:color="auto"/>
        </w:rPr>
        <w:t>Establish a procedure whereby undocumented workers involved in workers’ compensation proceedings, or their representatives, may request the suspension of their deportations until the resolution of the proceedings and the workers have received the appropriate medical treatment ordered by the presiding courts; and</w:t>
      </w:r>
    </w:p>
    <w:p w14:paraId="7989AB40" w14:textId="77777777" w:rsidR="000804B8" w:rsidRPr="00676B15" w:rsidRDefault="000804B8" w:rsidP="000804B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eastAsia="Times New Roman"/>
          <w:bCs/>
          <w:sz w:val="20"/>
          <w:szCs w:val="20"/>
          <w:bdr w:val="none" w:sz="0" w:space="0" w:color="auto"/>
        </w:rPr>
      </w:pPr>
    </w:p>
    <w:p w14:paraId="317BA12D" w14:textId="77777777" w:rsidR="000804B8" w:rsidRDefault="000804B8" w:rsidP="00443049">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rPr>
      </w:pPr>
      <w:r w:rsidRPr="00676B15">
        <w:rPr>
          <w:rFonts w:eastAsia="Times New Roman"/>
          <w:bCs/>
          <w:sz w:val="20"/>
          <w:szCs w:val="20"/>
          <w:bdr w:val="none" w:sz="0" w:space="0" w:color="auto"/>
        </w:rPr>
        <w:t>Improve and enhance the detection of employers who violate labor rights and exploit undocumented workers and adequately sanction them.</w:t>
      </w:r>
    </w:p>
    <w:p w14:paraId="786CC054" w14:textId="77777777" w:rsidR="000804B8" w:rsidRPr="000804B8" w:rsidRDefault="000804B8" w:rsidP="000804B8">
      <w:pPr>
        <w:pStyle w:val="ListParagraph"/>
        <w:rPr>
          <w:rFonts w:eastAsia="Times New Roman"/>
          <w:bCs/>
          <w:sz w:val="20"/>
          <w:szCs w:val="20"/>
          <w:bdr w:val="none" w:sz="0" w:space="0" w:color="auto"/>
        </w:rPr>
      </w:pPr>
    </w:p>
    <w:p w14:paraId="3A8133F1" w14:textId="492C635E" w:rsidR="000804B8" w:rsidRPr="00946F18" w:rsidRDefault="000804B8" w:rsidP="000804B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2"/>
          <w:bdr w:val="none" w:sz="0" w:space="0" w:color="auto"/>
        </w:rPr>
      </w:pPr>
      <w:r w:rsidRPr="00946F18">
        <w:rPr>
          <w:rFonts w:asciiTheme="majorHAnsi" w:eastAsia="Calibri" w:hAnsiTheme="majorHAnsi"/>
          <w:sz w:val="20"/>
          <w:szCs w:val="22"/>
          <w:bdr w:val="none" w:sz="0" w:space="0" w:color="auto"/>
        </w:rPr>
        <w:t xml:space="preserve">On January 21, 2016 the report was transmitted to the State with a time period of two months to inform the Inter-American Commission on the measures taken to comply with its recommendations. On that same date, the petitioners were notified of the </w:t>
      </w:r>
      <w:r w:rsidR="00BD40C4" w:rsidRPr="00946F18">
        <w:rPr>
          <w:rFonts w:asciiTheme="majorHAnsi" w:eastAsia="Calibri" w:hAnsiTheme="majorHAnsi"/>
          <w:sz w:val="20"/>
          <w:szCs w:val="22"/>
          <w:bdr w:val="none" w:sz="0" w:space="0" w:color="auto"/>
        </w:rPr>
        <w:t xml:space="preserve">adoption of the report. </w:t>
      </w:r>
    </w:p>
    <w:p w14:paraId="46ECE2F1" w14:textId="77B93C05" w:rsidR="00BD40C4" w:rsidRPr="00946F18" w:rsidRDefault="00BD40C4" w:rsidP="00BD40C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Calibri" w:hAnsiTheme="majorHAnsi"/>
          <w:sz w:val="20"/>
          <w:szCs w:val="22"/>
          <w:bdr w:val="none" w:sz="0" w:space="0" w:color="auto"/>
        </w:rPr>
      </w:pPr>
    </w:p>
    <w:p w14:paraId="343616FE" w14:textId="3A68A450" w:rsidR="00D30F88" w:rsidRPr="00946F18" w:rsidRDefault="00BD40C4" w:rsidP="00D30F8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2"/>
          <w:bdr w:val="none" w:sz="0" w:space="0" w:color="auto"/>
        </w:rPr>
      </w:pPr>
      <w:r w:rsidRPr="00946F18">
        <w:rPr>
          <w:rFonts w:asciiTheme="majorHAnsi" w:eastAsia="Calibri" w:hAnsiTheme="majorHAnsi"/>
          <w:sz w:val="20"/>
          <w:szCs w:val="22"/>
          <w:bdr w:val="none" w:sz="0" w:space="0" w:color="auto"/>
        </w:rPr>
        <w:t xml:space="preserve">By letter dated March 18, 2016 the United States provided its response. </w:t>
      </w:r>
      <w:r w:rsidR="00AF1420" w:rsidRPr="00946F18">
        <w:rPr>
          <w:rFonts w:asciiTheme="majorHAnsi" w:eastAsia="Calibri" w:hAnsiTheme="majorHAnsi"/>
          <w:sz w:val="20"/>
          <w:szCs w:val="22"/>
          <w:bdr w:val="none" w:sz="0" w:space="0" w:color="auto"/>
        </w:rPr>
        <w:t>Firstly</w:t>
      </w:r>
      <w:r w:rsidRPr="00946F18">
        <w:rPr>
          <w:rFonts w:asciiTheme="majorHAnsi" w:eastAsia="Calibri" w:hAnsiTheme="majorHAnsi"/>
          <w:sz w:val="20"/>
          <w:szCs w:val="22"/>
          <w:bdr w:val="none" w:sz="0" w:space="0" w:color="auto"/>
        </w:rPr>
        <w:t>, the State contended that several</w:t>
      </w:r>
      <w:r w:rsidR="00996C7F" w:rsidRPr="00946F18">
        <w:rPr>
          <w:rFonts w:asciiTheme="majorHAnsi" w:eastAsia="Calibri" w:hAnsiTheme="majorHAnsi"/>
          <w:sz w:val="20"/>
          <w:szCs w:val="22"/>
          <w:bdr w:val="none" w:sz="0" w:space="0" w:color="auto"/>
        </w:rPr>
        <w:t xml:space="preserve"> </w:t>
      </w:r>
      <w:r w:rsidRPr="00946F18">
        <w:rPr>
          <w:rFonts w:asciiTheme="majorHAnsi" w:eastAsia="Calibri" w:hAnsiTheme="majorHAnsi"/>
          <w:sz w:val="20"/>
          <w:szCs w:val="22"/>
          <w:bdr w:val="none" w:sz="0" w:space="0" w:color="auto"/>
        </w:rPr>
        <w:t xml:space="preserve">of the recommendations of the Commission “already reflect </w:t>
      </w:r>
      <w:r w:rsidR="00A2111D" w:rsidRPr="00946F18">
        <w:rPr>
          <w:rFonts w:asciiTheme="majorHAnsi" w:eastAsia="Calibri" w:hAnsiTheme="majorHAnsi"/>
          <w:sz w:val="20"/>
          <w:szCs w:val="22"/>
          <w:bdr w:val="none" w:sz="0" w:space="0" w:color="auto"/>
        </w:rPr>
        <w:t xml:space="preserve">U.S. law, </w:t>
      </w:r>
      <w:r w:rsidR="00AF1420" w:rsidRPr="00946F18">
        <w:rPr>
          <w:rFonts w:asciiTheme="majorHAnsi" w:eastAsia="Calibri" w:hAnsiTheme="majorHAnsi"/>
          <w:sz w:val="20"/>
          <w:szCs w:val="22"/>
          <w:bdr w:val="none" w:sz="0" w:space="0" w:color="auto"/>
        </w:rPr>
        <w:t>policy,</w:t>
      </w:r>
      <w:r w:rsidR="007864B2" w:rsidRPr="00946F18">
        <w:rPr>
          <w:rFonts w:asciiTheme="majorHAnsi" w:eastAsia="Calibri" w:hAnsiTheme="majorHAnsi"/>
          <w:sz w:val="20"/>
          <w:szCs w:val="22"/>
          <w:bdr w:val="none" w:sz="0" w:space="0" w:color="auto"/>
        </w:rPr>
        <w:t xml:space="preserve"> and action in this area” as </w:t>
      </w:r>
      <w:r w:rsidR="00AF1420" w:rsidRPr="00946F18">
        <w:rPr>
          <w:rFonts w:asciiTheme="majorHAnsi" w:eastAsia="Calibri" w:hAnsiTheme="majorHAnsi"/>
          <w:sz w:val="20"/>
          <w:szCs w:val="22"/>
          <w:bdr w:val="none" w:sz="0" w:space="0" w:color="auto"/>
        </w:rPr>
        <w:t xml:space="preserve">was stated in its submissions during the merits stage. </w:t>
      </w:r>
      <w:r w:rsidR="00D30F88" w:rsidRPr="00946F18">
        <w:rPr>
          <w:rFonts w:asciiTheme="majorHAnsi" w:eastAsia="Calibri" w:hAnsiTheme="majorHAnsi"/>
          <w:sz w:val="20"/>
          <w:szCs w:val="22"/>
          <w:bdr w:val="none" w:sz="0" w:space="0" w:color="auto"/>
        </w:rPr>
        <w:t>In general, the State pointed out that</w:t>
      </w:r>
    </w:p>
    <w:p w14:paraId="5B51C02D" w14:textId="77777777" w:rsidR="00D30F88" w:rsidRPr="00946F18" w:rsidRDefault="00D30F88" w:rsidP="00D30F88">
      <w:pPr>
        <w:pStyle w:val="ListParagraph"/>
        <w:rPr>
          <w:rFonts w:asciiTheme="majorHAnsi" w:eastAsia="Calibri" w:hAnsiTheme="majorHAnsi"/>
          <w:sz w:val="20"/>
          <w:szCs w:val="22"/>
          <w:bdr w:val="none" w:sz="0" w:space="0" w:color="auto"/>
        </w:rPr>
      </w:pPr>
    </w:p>
    <w:p w14:paraId="58BB7CAE" w14:textId="25C390F2" w:rsidR="00D30F88" w:rsidRPr="00946F18" w:rsidRDefault="00D30F88" w:rsidP="00D30F8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left="720" w:right="720"/>
        <w:jc w:val="both"/>
        <w:rPr>
          <w:rFonts w:asciiTheme="majorHAnsi" w:eastAsia="Calibri" w:hAnsiTheme="majorHAnsi"/>
          <w:sz w:val="20"/>
          <w:szCs w:val="22"/>
          <w:bdr w:val="none" w:sz="0" w:space="0" w:color="auto"/>
        </w:rPr>
      </w:pPr>
      <w:r w:rsidRPr="00946F18">
        <w:rPr>
          <w:rFonts w:asciiTheme="majorHAnsi" w:eastAsia="Calibri" w:hAnsiTheme="majorHAnsi"/>
          <w:sz w:val="20"/>
          <w:szCs w:val="22"/>
          <w:bdr w:val="none" w:sz="0" w:space="0" w:color="auto"/>
        </w:rPr>
        <w:t>…these include aggressive enforcement of a robust system of laws that protect workers’ rights and prohibit many forms of discrimination and retaliation against workers based on their undocumented status; ongoing efforts to combat employer efforts to discover the immigration status of workers during litigation, investigation of claims, and administrative proceedings; and conducting investigations at worksites and enforcing labor laws, without regard to the worker’s immigration status. Our immigration law and policies include sa</w:t>
      </w:r>
      <w:r w:rsidR="007864B2" w:rsidRPr="00946F18">
        <w:rPr>
          <w:rFonts w:asciiTheme="majorHAnsi" w:eastAsia="Calibri" w:hAnsiTheme="majorHAnsi"/>
          <w:sz w:val="20"/>
          <w:szCs w:val="22"/>
          <w:bdr w:val="none" w:sz="0" w:space="0" w:color="auto"/>
        </w:rPr>
        <w:t>feguards for the protection of v</w:t>
      </w:r>
      <w:r w:rsidRPr="00946F18">
        <w:rPr>
          <w:rFonts w:asciiTheme="majorHAnsi" w:eastAsia="Calibri" w:hAnsiTheme="majorHAnsi"/>
          <w:sz w:val="20"/>
          <w:szCs w:val="22"/>
          <w:bdr w:val="none" w:sz="0" w:space="0" w:color="auto"/>
        </w:rPr>
        <w:t xml:space="preserve">arious classes of victims and vulnerable individuals. Further, our immigration authorities work collaboratively with labor and employment agencies to ensure consistent enforcement of the law. </w:t>
      </w:r>
    </w:p>
    <w:p w14:paraId="1173689A" w14:textId="77777777" w:rsidR="00BD40C4" w:rsidRPr="00946F18" w:rsidRDefault="00BD40C4" w:rsidP="00946F18">
      <w:pPr>
        <w:rPr>
          <w:rFonts w:asciiTheme="majorHAnsi" w:eastAsia="Calibri" w:hAnsiTheme="majorHAnsi"/>
          <w:sz w:val="20"/>
          <w:szCs w:val="22"/>
          <w:bdr w:val="none" w:sz="0" w:space="0" w:color="auto"/>
        </w:rPr>
      </w:pPr>
    </w:p>
    <w:p w14:paraId="7963B327" w14:textId="77777777" w:rsidR="005E0020" w:rsidRPr="00946F18" w:rsidRDefault="00D30F88" w:rsidP="000804B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2"/>
          <w:bdr w:val="none" w:sz="0" w:space="0" w:color="auto"/>
        </w:rPr>
      </w:pPr>
      <w:r w:rsidRPr="00946F18">
        <w:rPr>
          <w:rFonts w:asciiTheme="majorHAnsi" w:eastAsia="Calibri" w:hAnsiTheme="majorHAnsi"/>
          <w:sz w:val="20"/>
          <w:szCs w:val="22"/>
          <w:bdr w:val="none" w:sz="0" w:space="0" w:color="auto"/>
        </w:rPr>
        <w:t>On the other hand, the State indicated that “other recommendations” of Report 83/15 “do not seem feasible for federal implementation</w:t>
      </w:r>
      <w:r w:rsidR="00D57CF9" w:rsidRPr="00946F18">
        <w:rPr>
          <w:rFonts w:asciiTheme="majorHAnsi" w:eastAsia="Calibri" w:hAnsiTheme="majorHAnsi"/>
          <w:sz w:val="20"/>
          <w:szCs w:val="22"/>
          <w:bdr w:val="none" w:sz="0" w:space="0" w:color="auto"/>
        </w:rPr>
        <w:t xml:space="preserve">, in that they implicate questions of U.S. state law or otherwise fall within the purview of state authorities for their implementation; or require a change in federal or state jurisprudence.” </w:t>
      </w:r>
    </w:p>
    <w:p w14:paraId="3504B8FA" w14:textId="77777777" w:rsidR="005E0020" w:rsidRPr="00946F18" w:rsidRDefault="005E0020" w:rsidP="005E002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Calibri" w:hAnsiTheme="majorHAnsi"/>
          <w:sz w:val="20"/>
          <w:szCs w:val="22"/>
          <w:bdr w:val="none" w:sz="0" w:space="0" w:color="auto"/>
        </w:rPr>
      </w:pPr>
    </w:p>
    <w:p w14:paraId="08CB1092" w14:textId="686B07E9" w:rsidR="00BD40C4" w:rsidRPr="0002466D" w:rsidRDefault="00D57CF9" w:rsidP="000804B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0"/>
          <w:bdr w:val="none" w:sz="0" w:space="0" w:color="auto"/>
        </w:rPr>
      </w:pPr>
      <w:r w:rsidRPr="00946F18">
        <w:rPr>
          <w:rFonts w:asciiTheme="majorHAnsi" w:eastAsia="Calibri" w:hAnsiTheme="majorHAnsi"/>
          <w:sz w:val="20"/>
          <w:szCs w:val="22"/>
          <w:bdr w:val="none" w:sz="0" w:space="0" w:color="auto"/>
        </w:rPr>
        <w:t xml:space="preserve">The State further affirmed that the recommendations of the Commission are “not requirements </w:t>
      </w:r>
      <w:r w:rsidRPr="0002466D">
        <w:rPr>
          <w:rFonts w:asciiTheme="majorHAnsi" w:eastAsia="Calibri" w:hAnsiTheme="majorHAnsi"/>
          <w:sz w:val="20"/>
          <w:szCs w:val="22"/>
          <w:bdr w:val="none" w:sz="0" w:space="0" w:color="auto"/>
        </w:rPr>
        <w:t xml:space="preserve">under </w:t>
      </w:r>
      <w:r w:rsidRPr="0002466D">
        <w:rPr>
          <w:rFonts w:asciiTheme="majorHAnsi" w:eastAsia="Calibri" w:hAnsiTheme="majorHAnsi"/>
          <w:sz w:val="20"/>
          <w:szCs w:val="20"/>
          <w:bdr w:val="none" w:sz="0" w:space="0" w:color="auto"/>
        </w:rPr>
        <w:t>international law</w:t>
      </w:r>
      <w:r w:rsidR="00996C7F" w:rsidRPr="0002466D">
        <w:rPr>
          <w:rFonts w:asciiTheme="majorHAnsi" w:eastAsia="Calibri" w:hAnsiTheme="majorHAnsi"/>
          <w:sz w:val="20"/>
          <w:szCs w:val="20"/>
          <w:bdr w:val="none" w:sz="0" w:space="0" w:color="auto"/>
        </w:rPr>
        <w:t>.</w:t>
      </w:r>
      <w:r w:rsidRPr="0002466D">
        <w:rPr>
          <w:rFonts w:asciiTheme="majorHAnsi" w:eastAsia="Calibri" w:hAnsiTheme="majorHAnsi"/>
          <w:sz w:val="20"/>
          <w:szCs w:val="20"/>
          <w:bdr w:val="none" w:sz="0" w:space="0" w:color="auto"/>
        </w:rPr>
        <w:t xml:space="preserve">” Lastly, the State reiterated its disagreement with the Commission’s assertion that there has been </w:t>
      </w:r>
      <w:r w:rsidR="005E0020" w:rsidRPr="0002466D">
        <w:rPr>
          <w:rFonts w:asciiTheme="majorHAnsi" w:eastAsia="Calibri" w:hAnsiTheme="majorHAnsi"/>
          <w:sz w:val="20"/>
          <w:szCs w:val="20"/>
          <w:bdr w:val="none" w:sz="0" w:space="0" w:color="auto"/>
        </w:rPr>
        <w:t xml:space="preserve">a violation of its legal international obligations in this case. </w:t>
      </w:r>
      <w:r w:rsidR="00996C7F" w:rsidRPr="0002466D">
        <w:rPr>
          <w:rFonts w:asciiTheme="majorHAnsi" w:eastAsia="Calibri" w:hAnsiTheme="majorHAnsi"/>
          <w:sz w:val="20"/>
          <w:szCs w:val="20"/>
          <w:bdr w:val="none" w:sz="0" w:space="0" w:color="auto"/>
        </w:rPr>
        <w:t>The State did not provide</w:t>
      </w:r>
      <w:r w:rsidR="00BD40C4" w:rsidRPr="0002466D">
        <w:rPr>
          <w:rFonts w:asciiTheme="majorHAnsi" w:eastAsia="Calibri" w:hAnsiTheme="majorHAnsi"/>
          <w:sz w:val="20"/>
          <w:szCs w:val="20"/>
          <w:bdr w:val="none" w:sz="0" w:space="0" w:color="auto"/>
        </w:rPr>
        <w:t xml:space="preserve"> information with respect to </w:t>
      </w:r>
      <w:r w:rsidR="00996C7F" w:rsidRPr="0002466D">
        <w:rPr>
          <w:rFonts w:asciiTheme="majorHAnsi" w:eastAsia="Calibri" w:hAnsiTheme="majorHAnsi"/>
          <w:sz w:val="20"/>
          <w:szCs w:val="20"/>
          <w:bdr w:val="none" w:sz="0" w:space="0" w:color="auto"/>
        </w:rPr>
        <w:t xml:space="preserve">measures taken in response to </w:t>
      </w:r>
      <w:r w:rsidR="00BD40C4" w:rsidRPr="0002466D">
        <w:rPr>
          <w:rFonts w:asciiTheme="majorHAnsi" w:eastAsia="Calibri" w:hAnsiTheme="majorHAnsi"/>
          <w:sz w:val="20"/>
          <w:szCs w:val="20"/>
          <w:bdr w:val="none" w:sz="0" w:space="0" w:color="auto"/>
        </w:rPr>
        <w:t xml:space="preserve">the specific recommendations. </w:t>
      </w:r>
    </w:p>
    <w:p w14:paraId="5A694013" w14:textId="77777777" w:rsidR="006025EF" w:rsidRPr="0002466D" w:rsidRDefault="006025EF" w:rsidP="006025EF">
      <w:pPr>
        <w:pStyle w:val="ListParagraph"/>
        <w:rPr>
          <w:rFonts w:asciiTheme="majorHAnsi" w:eastAsia="Calibri" w:hAnsiTheme="majorHAnsi"/>
          <w:sz w:val="20"/>
          <w:szCs w:val="20"/>
          <w:bdr w:val="none" w:sz="0" w:space="0" w:color="auto"/>
        </w:rPr>
      </w:pPr>
    </w:p>
    <w:p w14:paraId="04F8DDFF" w14:textId="75558257" w:rsidR="006025EF" w:rsidRPr="0002466D" w:rsidRDefault="006025EF" w:rsidP="000804B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0"/>
          <w:bdr w:val="none" w:sz="0" w:space="0" w:color="auto"/>
        </w:rPr>
      </w:pPr>
      <w:r w:rsidRPr="0002466D">
        <w:rPr>
          <w:rFonts w:asciiTheme="majorHAnsi" w:eastAsia="Calibri" w:hAnsiTheme="majorHAnsi"/>
          <w:sz w:val="20"/>
          <w:szCs w:val="20"/>
          <w:bdr w:val="none" w:sz="0" w:space="0" w:color="auto"/>
        </w:rPr>
        <w:t xml:space="preserve">On June 10, 2016 </w:t>
      </w:r>
      <w:r w:rsidRPr="0002466D">
        <w:rPr>
          <w:rFonts w:asciiTheme="majorHAnsi" w:hAnsiTheme="majorHAnsi"/>
          <w:sz w:val="20"/>
          <w:szCs w:val="20"/>
        </w:rPr>
        <w:t xml:space="preserve">the Inter-American Commission approved Report No. 29/16 containing the final conclusions and recommendations indicated </w:t>
      </w:r>
      <w:r w:rsidRPr="0002466D">
        <w:rPr>
          <w:rFonts w:asciiTheme="majorHAnsi" w:hAnsiTheme="majorHAnsi"/>
          <w:i/>
          <w:sz w:val="20"/>
          <w:szCs w:val="20"/>
        </w:rPr>
        <w:t>infra</w:t>
      </w:r>
      <w:r w:rsidRPr="0002466D">
        <w:rPr>
          <w:rFonts w:asciiTheme="majorHAnsi" w:hAnsiTheme="majorHAnsi"/>
          <w:sz w:val="20"/>
          <w:szCs w:val="20"/>
        </w:rPr>
        <w:t>. As set forth in Article 47.</w:t>
      </w:r>
      <w:r w:rsidR="00862660" w:rsidRPr="0002466D">
        <w:rPr>
          <w:rFonts w:asciiTheme="majorHAnsi" w:hAnsiTheme="majorHAnsi"/>
          <w:sz w:val="20"/>
          <w:szCs w:val="20"/>
        </w:rPr>
        <w:t>1</w:t>
      </w:r>
      <w:r w:rsidRPr="0002466D">
        <w:rPr>
          <w:rFonts w:asciiTheme="majorHAnsi" w:hAnsiTheme="majorHAnsi"/>
          <w:sz w:val="20"/>
          <w:szCs w:val="20"/>
        </w:rPr>
        <w:t xml:space="preserve"> of its Rules of Procedure, on </w:t>
      </w:r>
      <w:r w:rsidR="00862660" w:rsidRPr="0002466D">
        <w:rPr>
          <w:rFonts w:asciiTheme="majorHAnsi" w:hAnsiTheme="majorHAnsi"/>
          <w:sz w:val="20"/>
          <w:szCs w:val="20"/>
        </w:rPr>
        <w:t>July 5, 2016</w:t>
      </w:r>
      <w:r w:rsidRPr="0002466D">
        <w:rPr>
          <w:rFonts w:asciiTheme="majorHAnsi" w:hAnsiTheme="majorHAnsi"/>
          <w:sz w:val="20"/>
          <w:szCs w:val="20"/>
        </w:rPr>
        <w:t>, the IACHR transmitted the report to the State with a time period of one month to present information on compliance with the final recommendations. On the same date the IACHR transmitted the report to the petitioners and also requested their observations on compliance with the final recommendations.</w:t>
      </w:r>
    </w:p>
    <w:p w14:paraId="1002EEBA" w14:textId="77777777" w:rsidR="00862660" w:rsidRPr="0002466D" w:rsidRDefault="00862660" w:rsidP="00862660">
      <w:pPr>
        <w:pStyle w:val="ListParagraph"/>
        <w:rPr>
          <w:rFonts w:asciiTheme="majorHAnsi" w:eastAsia="Calibri" w:hAnsiTheme="majorHAnsi"/>
          <w:sz w:val="20"/>
          <w:szCs w:val="20"/>
          <w:bdr w:val="none" w:sz="0" w:space="0" w:color="auto"/>
        </w:rPr>
      </w:pPr>
    </w:p>
    <w:p w14:paraId="6C76435B" w14:textId="4EFFB705" w:rsidR="00862660" w:rsidRPr="0002466D" w:rsidRDefault="00862660" w:rsidP="000804B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0"/>
          <w:bdr w:val="none" w:sz="0" w:space="0" w:color="auto"/>
        </w:rPr>
      </w:pPr>
      <w:r w:rsidRPr="0002466D">
        <w:rPr>
          <w:rFonts w:asciiTheme="majorHAnsi" w:hAnsiTheme="majorHAnsi"/>
          <w:sz w:val="20"/>
          <w:szCs w:val="20"/>
        </w:rPr>
        <w:t>The State did not provide information with respect to compliance with the final recommendations. Also, no response was received within the stipulated period from the petitioners.</w:t>
      </w:r>
    </w:p>
    <w:p w14:paraId="3F89EEE3" w14:textId="77777777" w:rsidR="004D56C1" w:rsidRPr="0002466D" w:rsidRDefault="004D56C1" w:rsidP="006025EF">
      <w:pPr>
        <w:rPr>
          <w:rFonts w:asciiTheme="majorHAnsi" w:eastAsia="Calibri" w:hAnsiTheme="majorHAnsi"/>
          <w:sz w:val="20"/>
          <w:szCs w:val="22"/>
          <w:bdr w:val="none" w:sz="0" w:space="0" w:color="auto"/>
        </w:rPr>
      </w:pPr>
    </w:p>
    <w:p w14:paraId="67D3CB0E" w14:textId="52C224ED" w:rsidR="005E0020" w:rsidRPr="0002466D" w:rsidRDefault="005E0020" w:rsidP="005E0020">
      <w:pPr>
        <w:pStyle w:val="Heading1"/>
        <w:ind w:firstLine="720"/>
      </w:pPr>
      <w:bookmarkStart w:id="28" w:name="_Toc466296174"/>
      <w:r w:rsidRPr="0002466D">
        <w:t>VII.</w:t>
      </w:r>
      <w:r w:rsidRPr="0002466D">
        <w:tab/>
        <w:t>FINAL CONCLUSIONS AND RECOMMENDATIONS</w:t>
      </w:r>
      <w:bookmarkEnd w:id="28"/>
    </w:p>
    <w:p w14:paraId="4DF91628" w14:textId="77777777" w:rsidR="005E0020" w:rsidRPr="0002466D" w:rsidRDefault="005E0020" w:rsidP="00BD40C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eastAsia="Times New Roman" w:hAnsi="Cambria"/>
          <w:bCs/>
          <w:sz w:val="20"/>
          <w:szCs w:val="20"/>
          <w:bdr w:val="none" w:sz="0" w:space="0" w:color="auto"/>
        </w:rPr>
      </w:pPr>
    </w:p>
    <w:p w14:paraId="3F370C5D" w14:textId="7A8B381D" w:rsidR="00D818D2" w:rsidRPr="0002466D" w:rsidRDefault="00C74C68" w:rsidP="00153A3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02466D">
        <w:rPr>
          <w:rFonts w:ascii="Cambria" w:eastAsia="Times New Roman" w:hAnsi="Cambria"/>
          <w:bCs/>
          <w:sz w:val="20"/>
          <w:szCs w:val="20"/>
          <w:bdr w:val="none" w:sz="0" w:space="0" w:color="auto"/>
        </w:rPr>
        <w:t xml:space="preserve">On the basis of the foregoing analysis, </w:t>
      </w:r>
      <w:r w:rsidRPr="0002466D">
        <w:rPr>
          <w:rFonts w:asciiTheme="majorHAnsi" w:eastAsia="Calibri" w:hAnsiTheme="majorHAnsi"/>
          <w:sz w:val="20"/>
          <w:szCs w:val="22"/>
          <w:bdr w:val="none" w:sz="0" w:space="0" w:color="auto"/>
        </w:rPr>
        <w:t xml:space="preserve">the Inter-American Commission finds that the State is responsible for violating </w:t>
      </w:r>
      <w:r w:rsidR="009A27C0" w:rsidRPr="0002466D">
        <w:rPr>
          <w:rFonts w:asciiTheme="majorHAnsi" w:eastAsia="Calibri" w:hAnsiTheme="majorHAnsi"/>
          <w:sz w:val="20"/>
          <w:szCs w:val="22"/>
          <w:bdr w:val="none" w:sz="0" w:space="0" w:color="auto"/>
        </w:rPr>
        <w:t xml:space="preserve">the human rights of </w:t>
      </w:r>
      <w:r w:rsidR="001C40D1" w:rsidRPr="0002466D">
        <w:rPr>
          <w:rFonts w:asciiTheme="majorHAnsi" w:eastAsia="Calibri" w:hAnsiTheme="majorHAnsi"/>
          <w:sz w:val="20"/>
          <w:szCs w:val="22"/>
          <w:bdr w:val="none" w:sz="0" w:space="0" w:color="auto"/>
        </w:rPr>
        <w:t>Messrs.</w:t>
      </w:r>
      <w:r w:rsidR="009A27C0" w:rsidRPr="0002466D">
        <w:rPr>
          <w:rFonts w:asciiTheme="majorHAnsi" w:eastAsia="Calibri" w:hAnsiTheme="majorHAnsi"/>
          <w:sz w:val="20"/>
          <w:szCs w:val="22"/>
          <w:bdr w:val="none" w:sz="0" w:space="0" w:color="auto"/>
        </w:rPr>
        <w:t xml:space="preserve"> Zumaya and Lizalde under Articles II</w:t>
      </w:r>
      <w:r w:rsidR="00C53792" w:rsidRPr="0002466D">
        <w:rPr>
          <w:rFonts w:asciiTheme="majorHAnsi" w:eastAsia="Calibri" w:hAnsiTheme="majorHAnsi"/>
          <w:sz w:val="20"/>
          <w:szCs w:val="22"/>
          <w:bdr w:val="none" w:sz="0" w:space="0" w:color="auto"/>
        </w:rPr>
        <w:t xml:space="preserve"> and XVI</w:t>
      </w:r>
      <w:r w:rsidR="00D818D2" w:rsidRPr="0002466D">
        <w:rPr>
          <w:rFonts w:asciiTheme="majorHAnsi" w:eastAsia="Calibri" w:hAnsiTheme="majorHAnsi"/>
          <w:sz w:val="20"/>
          <w:szCs w:val="22"/>
          <w:bdr w:val="none" w:sz="0" w:space="0" w:color="auto"/>
        </w:rPr>
        <w:t xml:space="preserve"> of the American Declaration by not fully recognizing the victims’ rights to non-discrimination and social security. The Commission further finds that, as Mr. Lizalde was unable to pursue his workers’ compensation claim in the judicial system, the State has also violated his right to juridical personality and a fair trial, enshrined in Articles XVII and XVIII of the American Declaration. </w:t>
      </w:r>
    </w:p>
    <w:p w14:paraId="347C0380" w14:textId="77777777" w:rsidR="009A27C0" w:rsidRPr="0002466D" w:rsidRDefault="009A27C0" w:rsidP="00D818D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60C5CFC6" w14:textId="77777777" w:rsidR="00153A38" w:rsidRPr="0002466D" w:rsidRDefault="00153A38" w:rsidP="00153A38">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eastAsia="Times New Roman" w:hAnsi="Cambria"/>
          <w:bCs/>
          <w:sz w:val="20"/>
          <w:szCs w:val="20"/>
          <w:bdr w:val="none" w:sz="0" w:space="0" w:color="auto"/>
        </w:rPr>
      </w:pPr>
      <w:r w:rsidRPr="0002466D">
        <w:rPr>
          <w:rFonts w:ascii="Cambria" w:eastAsia="Times New Roman" w:hAnsi="Cambria"/>
          <w:bCs/>
          <w:sz w:val="20"/>
          <w:szCs w:val="20"/>
          <w:bdr w:val="none" w:sz="0" w:space="0" w:color="auto"/>
        </w:rPr>
        <w:t xml:space="preserve">Based upon these conclusions, </w:t>
      </w:r>
    </w:p>
    <w:p w14:paraId="1FC0D432" w14:textId="77777777" w:rsidR="00153A38" w:rsidRPr="0002466D" w:rsidRDefault="00153A38" w:rsidP="00153A3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2"/>
          <w:bdr w:val="none" w:sz="0" w:space="0" w:color="auto"/>
        </w:rPr>
      </w:pPr>
    </w:p>
    <w:p w14:paraId="44C48139" w14:textId="77777777" w:rsidR="000B63E3" w:rsidRDefault="00153A38" w:rsidP="006025E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center"/>
        <w:rPr>
          <w:rFonts w:asciiTheme="majorHAnsi" w:eastAsia="Calibri" w:hAnsiTheme="majorHAnsi"/>
          <w:b/>
          <w:sz w:val="20"/>
          <w:szCs w:val="22"/>
          <w:bdr w:val="none" w:sz="0" w:space="0" w:color="auto"/>
        </w:rPr>
      </w:pPr>
      <w:r w:rsidRPr="0002466D">
        <w:rPr>
          <w:rFonts w:asciiTheme="majorHAnsi" w:eastAsia="Calibri" w:hAnsiTheme="majorHAnsi"/>
          <w:b/>
          <w:sz w:val="20"/>
          <w:szCs w:val="22"/>
          <w:bdr w:val="none" w:sz="0" w:space="0" w:color="auto"/>
        </w:rPr>
        <w:t>THE INTER-AMER</w:t>
      </w:r>
      <w:r w:rsidR="004D56C1" w:rsidRPr="0002466D">
        <w:rPr>
          <w:rFonts w:asciiTheme="majorHAnsi" w:eastAsia="Calibri" w:hAnsiTheme="majorHAnsi"/>
          <w:b/>
          <w:sz w:val="20"/>
          <w:szCs w:val="22"/>
          <w:bdr w:val="none" w:sz="0" w:space="0" w:color="auto"/>
        </w:rPr>
        <w:t xml:space="preserve">ICAN COMMISSION ON HUMAN RIGHTS </w:t>
      </w:r>
    </w:p>
    <w:p w14:paraId="43993FE8" w14:textId="419E42AC" w:rsidR="00153A38" w:rsidRPr="0002466D" w:rsidRDefault="004D56C1" w:rsidP="006025E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center"/>
        <w:rPr>
          <w:rFonts w:asciiTheme="majorHAnsi" w:eastAsia="Calibri" w:hAnsiTheme="majorHAnsi"/>
          <w:b/>
          <w:sz w:val="20"/>
          <w:szCs w:val="22"/>
          <w:bdr w:val="none" w:sz="0" w:space="0" w:color="auto"/>
        </w:rPr>
      </w:pPr>
      <w:r w:rsidRPr="0002466D">
        <w:rPr>
          <w:rFonts w:asciiTheme="majorHAnsi" w:eastAsia="Calibri" w:hAnsiTheme="majorHAnsi"/>
          <w:b/>
          <w:sz w:val="20"/>
          <w:szCs w:val="22"/>
          <w:bdr w:val="none" w:sz="0" w:space="0" w:color="auto"/>
        </w:rPr>
        <w:t>REITERATES THAT</w:t>
      </w:r>
      <w:r w:rsidR="00153A38" w:rsidRPr="0002466D">
        <w:rPr>
          <w:rFonts w:asciiTheme="majorHAnsi" w:eastAsia="Calibri" w:hAnsiTheme="majorHAnsi"/>
          <w:b/>
          <w:sz w:val="20"/>
          <w:szCs w:val="22"/>
          <w:bdr w:val="none" w:sz="0" w:space="0" w:color="auto"/>
        </w:rPr>
        <w:t xml:space="preserve"> THE </w:t>
      </w:r>
      <w:r w:rsidR="009A27C0" w:rsidRPr="0002466D">
        <w:rPr>
          <w:rFonts w:asciiTheme="majorHAnsi" w:eastAsia="Calibri" w:hAnsiTheme="majorHAnsi"/>
          <w:b/>
          <w:sz w:val="20"/>
          <w:szCs w:val="22"/>
          <w:bdr w:val="none" w:sz="0" w:space="0" w:color="auto"/>
        </w:rPr>
        <w:t>UNITED STATES</w:t>
      </w:r>
      <w:r w:rsidR="00237563" w:rsidRPr="0002466D">
        <w:rPr>
          <w:rFonts w:asciiTheme="majorHAnsi" w:eastAsia="Calibri" w:hAnsiTheme="majorHAnsi"/>
          <w:b/>
          <w:sz w:val="20"/>
          <w:szCs w:val="22"/>
          <w:bdr w:val="none" w:sz="0" w:space="0" w:color="auto"/>
        </w:rPr>
        <w:t>:</w:t>
      </w:r>
    </w:p>
    <w:p w14:paraId="5558BAF5" w14:textId="77777777" w:rsidR="004D56C1" w:rsidRPr="0002466D" w:rsidRDefault="004D56C1" w:rsidP="004D56C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4809386C" w14:textId="77777777" w:rsidR="004D56C1" w:rsidRPr="0002466D" w:rsidRDefault="004D56C1" w:rsidP="0044304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rPr>
      </w:pPr>
      <w:r w:rsidRPr="0002466D">
        <w:rPr>
          <w:rFonts w:eastAsia="Times New Roman"/>
          <w:bCs/>
          <w:sz w:val="20"/>
          <w:szCs w:val="20"/>
          <w:bdr w:val="none" w:sz="0" w:space="0" w:color="auto"/>
        </w:rPr>
        <w:t xml:space="preserve"> Provide Messrs. Zumaya and Lizalde with adequate monetary compensation to remedy the violations sustained in the present report;</w:t>
      </w:r>
    </w:p>
    <w:p w14:paraId="24C664E6" w14:textId="77777777" w:rsidR="004D56C1" w:rsidRPr="0002466D" w:rsidRDefault="004D56C1" w:rsidP="004D56C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500" w:firstLine="720"/>
        <w:jc w:val="both"/>
        <w:rPr>
          <w:rFonts w:eastAsia="Times New Roman"/>
          <w:bCs/>
          <w:sz w:val="20"/>
          <w:szCs w:val="20"/>
          <w:bdr w:val="none" w:sz="0" w:space="0" w:color="auto"/>
        </w:rPr>
      </w:pPr>
    </w:p>
    <w:p w14:paraId="6A1980FA" w14:textId="77777777" w:rsidR="004D56C1" w:rsidRPr="0002466D" w:rsidRDefault="004D56C1" w:rsidP="0044304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2"/>
          <w:bdr w:val="none" w:sz="0" w:space="0" w:color="auto"/>
        </w:rPr>
      </w:pPr>
      <w:r w:rsidRPr="0002466D">
        <w:rPr>
          <w:rFonts w:asciiTheme="majorHAnsi" w:eastAsia="Calibri" w:hAnsiTheme="majorHAnsi"/>
          <w:sz w:val="20"/>
          <w:szCs w:val="22"/>
          <w:bdr w:val="none" w:sz="0" w:space="0" w:color="auto"/>
        </w:rPr>
        <w:t xml:space="preserve">Once a person commences work as an employee, ensure all federal and state laws and policies, on their face and in practice, prohibit any and all distinctions in employment and labor rights based on immigration status and work authorization; </w:t>
      </w:r>
    </w:p>
    <w:p w14:paraId="6F75E437" w14:textId="77777777" w:rsidR="004D56C1" w:rsidRPr="0002466D" w:rsidRDefault="004D56C1" w:rsidP="004D56C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860" w:firstLine="720"/>
        <w:jc w:val="both"/>
        <w:rPr>
          <w:rFonts w:asciiTheme="majorHAnsi" w:eastAsia="Calibri" w:hAnsiTheme="majorHAnsi"/>
          <w:sz w:val="20"/>
          <w:szCs w:val="22"/>
          <w:bdr w:val="none" w:sz="0" w:space="0" w:color="auto"/>
        </w:rPr>
      </w:pPr>
    </w:p>
    <w:p w14:paraId="18C0F351" w14:textId="77777777" w:rsidR="004D56C1" w:rsidRPr="0002466D" w:rsidRDefault="004D56C1" w:rsidP="0044304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rPr>
      </w:pPr>
      <w:r w:rsidRPr="0002466D">
        <w:rPr>
          <w:rFonts w:eastAsia="Times New Roman"/>
          <w:bCs/>
          <w:sz w:val="20"/>
          <w:szCs w:val="20"/>
          <w:bdr w:val="none" w:sz="0" w:space="0" w:color="auto"/>
        </w:rPr>
        <w:t>Prohibit employer inquiries into immigration status of a worker asserting his or her employment and labor rights in litigation or in administrative complaints;</w:t>
      </w:r>
    </w:p>
    <w:p w14:paraId="3D431C1B" w14:textId="77777777" w:rsidR="004D56C1" w:rsidRPr="0002466D" w:rsidRDefault="004D56C1" w:rsidP="004D56C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eastAsia="Times New Roman"/>
          <w:bCs/>
          <w:sz w:val="20"/>
          <w:szCs w:val="20"/>
          <w:bdr w:val="none" w:sz="0" w:space="0" w:color="auto"/>
        </w:rPr>
      </w:pPr>
    </w:p>
    <w:p w14:paraId="5299FBB1" w14:textId="77777777" w:rsidR="004D56C1" w:rsidRPr="0002466D" w:rsidRDefault="004D56C1" w:rsidP="0044304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rPr>
      </w:pPr>
      <w:r w:rsidRPr="0002466D">
        <w:rPr>
          <w:rFonts w:eastAsia="Times New Roman"/>
          <w:bCs/>
          <w:sz w:val="20"/>
          <w:szCs w:val="20"/>
          <w:bdr w:val="none" w:sz="0" w:space="0" w:color="auto"/>
        </w:rPr>
        <w:t>Ensure that undocumented workers are granted the same rights and remedies for violations of their rights in the workplace as documented workers;</w:t>
      </w:r>
    </w:p>
    <w:p w14:paraId="7859A4DE" w14:textId="77777777" w:rsidR="004D56C1" w:rsidRPr="0002466D" w:rsidRDefault="004D56C1" w:rsidP="004D56C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eastAsia="Times New Roman"/>
          <w:bCs/>
          <w:sz w:val="20"/>
          <w:szCs w:val="20"/>
          <w:bdr w:val="none" w:sz="0" w:space="0" w:color="auto"/>
        </w:rPr>
      </w:pPr>
    </w:p>
    <w:p w14:paraId="2216C43F" w14:textId="77777777" w:rsidR="004D56C1" w:rsidRPr="0002466D" w:rsidRDefault="004D56C1" w:rsidP="0044304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rPr>
      </w:pPr>
      <w:r w:rsidRPr="0002466D">
        <w:rPr>
          <w:rFonts w:eastAsia="Times New Roman"/>
          <w:bCs/>
          <w:sz w:val="20"/>
          <w:szCs w:val="20"/>
          <w:bdr w:val="none" w:sz="0" w:space="0" w:color="auto"/>
        </w:rPr>
        <w:t>Establish a procedure whereby undocumented workers involved in workers’ compensation proceedings, or their representatives, may request the suspension of their deportations until the resolution of the proceedings and the workers have received the appropriate medical treatment ordered by the presiding courts; and</w:t>
      </w:r>
    </w:p>
    <w:p w14:paraId="5E73786E" w14:textId="77777777" w:rsidR="004D56C1" w:rsidRPr="0002466D" w:rsidRDefault="004D56C1" w:rsidP="004D56C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eastAsia="Times New Roman"/>
          <w:bCs/>
          <w:sz w:val="20"/>
          <w:szCs w:val="20"/>
          <w:bdr w:val="none" w:sz="0" w:space="0" w:color="auto"/>
        </w:rPr>
      </w:pPr>
    </w:p>
    <w:p w14:paraId="0EE0021C" w14:textId="77777777" w:rsidR="004D56C1" w:rsidRPr="0002466D" w:rsidRDefault="004D56C1" w:rsidP="0044304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eastAsia="Times New Roman"/>
          <w:bCs/>
          <w:sz w:val="20"/>
          <w:szCs w:val="20"/>
          <w:bdr w:val="none" w:sz="0" w:space="0" w:color="auto"/>
        </w:rPr>
      </w:pPr>
      <w:r w:rsidRPr="0002466D">
        <w:rPr>
          <w:rFonts w:eastAsia="Times New Roman"/>
          <w:bCs/>
          <w:sz w:val="20"/>
          <w:szCs w:val="20"/>
          <w:bdr w:val="none" w:sz="0" w:space="0" w:color="auto"/>
        </w:rPr>
        <w:t>Improve and enhance the detection of employers who violate labor rights and exploit undocumented workers and adequately sanction them.</w:t>
      </w:r>
    </w:p>
    <w:p w14:paraId="2CD56EA3" w14:textId="77777777" w:rsidR="004D56C1" w:rsidRPr="0002466D" w:rsidRDefault="004D56C1" w:rsidP="004D56C1">
      <w:pPr>
        <w:pStyle w:val="Heading1"/>
      </w:pPr>
      <w:bookmarkStart w:id="29" w:name="_Toc329679568"/>
      <w:bookmarkStart w:id="30" w:name="_Toc345666412"/>
      <w:bookmarkStart w:id="31" w:name="_Toc359416803"/>
      <w:bookmarkStart w:id="32" w:name="_Toc423331143"/>
    </w:p>
    <w:p w14:paraId="7609E5C7" w14:textId="2C30E7CC" w:rsidR="004D56C1" w:rsidRPr="0002466D" w:rsidRDefault="005009F1" w:rsidP="004D56C1">
      <w:pPr>
        <w:pStyle w:val="Heading1"/>
        <w:ind w:firstLine="720"/>
      </w:pPr>
      <w:bookmarkStart w:id="33" w:name="_Toc466296175"/>
      <w:r>
        <w:t>VIII</w:t>
      </w:r>
      <w:r w:rsidR="004D56C1" w:rsidRPr="0002466D">
        <w:t>.</w:t>
      </w:r>
      <w:r w:rsidR="004D56C1" w:rsidRPr="0002466D">
        <w:tab/>
      </w:r>
      <w:bookmarkEnd w:id="29"/>
      <w:bookmarkEnd w:id="30"/>
      <w:bookmarkEnd w:id="31"/>
      <w:bookmarkEnd w:id="32"/>
      <w:r w:rsidR="006025EF" w:rsidRPr="0002466D">
        <w:t>PUBLICATION</w:t>
      </w:r>
      <w:bookmarkEnd w:id="33"/>
    </w:p>
    <w:p w14:paraId="74C10AD6" w14:textId="77777777" w:rsidR="004D56C1" w:rsidRPr="0002466D" w:rsidRDefault="004D56C1" w:rsidP="004D56C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14:paraId="46320BBB" w14:textId="0B309E18" w:rsidR="00237563" w:rsidRPr="0002466D" w:rsidRDefault="006025EF" w:rsidP="006025EF">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Calibri" w:hAnsiTheme="majorHAnsi"/>
          <w:sz w:val="20"/>
          <w:szCs w:val="20"/>
          <w:bdr w:val="none" w:sz="0" w:space="0" w:color="auto"/>
        </w:rPr>
      </w:pPr>
      <w:r w:rsidRPr="0002466D">
        <w:rPr>
          <w:rFonts w:asciiTheme="majorHAnsi" w:hAnsiTheme="majorHAnsi"/>
          <w:sz w:val="20"/>
          <w:szCs w:val="20"/>
        </w:rPr>
        <w:t>In light of the above and in accordance with Article 47.3 of its Rules of Procedure, the IACHR decides to make this report public, and to include it in its Annual Report to the General Assembly of the Organization of American States. The Inter-American Commission, according to the instruments which govern its mandate, will continue evaluating the measures adopted by the United States with respect to the above recommendations until it determines there has been full compliance.</w:t>
      </w:r>
    </w:p>
    <w:p w14:paraId="62BE1C40" w14:textId="77777777" w:rsidR="00946F18" w:rsidRDefault="00946F18" w:rsidP="00153A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500"/>
        <w:jc w:val="both"/>
        <w:rPr>
          <w:rFonts w:asciiTheme="majorHAnsi" w:eastAsia="Calibri" w:hAnsiTheme="majorHAnsi"/>
          <w:sz w:val="20"/>
          <w:szCs w:val="22"/>
          <w:bdr w:val="none" w:sz="0" w:space="0" w:color="auto"/>
        </w:rPr>
      </w:pPr>
    </w:p>
    <w:p w14:paraId="14E4430B" w14:textId="77777777" w:rsidR="00194535" w:rsidRPr="008A65CA" w:rsidRDefault="00194535" w:rsidP="00194535">
      <w:pPr>
        <w:jc w:val="both"/>
        <w:rPr>
          <w:rFonts w:ascii="Cambria" w:hAnsi="Cambria" w:cs="Cambria"/>
          <w:sz w:val="20"/>
          <w:szCs w:val="20"/>
          <w:highlight w:val="yellow"/>
        </w:rPr>
      </w:pPr>
      <w:r>
        <w:rPr>
          <w:rFonts w:ascii="Cambria" w:hAnsi="Cambria"/>
          <w:sz w:val="20"/>
          <w:szCs w:val="20"/>
        </w:rPr>
        <w:lastRenderedPageBreak/>
        <w:tab/>
      </w:r>
      <w:r w:rsidRPr="003B6BC7">
        <w:rPr>
          <w:rFonts w:ascii="Cambria" w:hAnsi="Cambria"/>
          <w:sz w:val="20"/>
          <w:szCs w:val="20"/>
        </w:rPr>
        <w:t xml:space="preserve">Done and signed in the city of Panama City, on the </w:t>
      </w:r>
      <w:r>
        <w:rPr>
          <w:rFonts w:ascii="Cambria" w:hAnsi="Cambria"/>
          <w:sz w:val="20"/>
          <w:szCs w:val="20"/>
        </w:rPr>
        <w:t>30</w:t>
      </w:r>
      <w:r w:rsidRPr="003B6BC7">
        <w:rPr>
          <w:rFonts w:ascii="Cambria" w:hAnsi="Cambria"/>
          <w:sz w:val="20"/>
          <w:szCs w:val="20"/>
          <w:vertAlign w:val="superscript"/>
        </w:rPr>
        <w:t>th</w:t>
      </w:r>
      <w:r w:rsidRPr="003B6BC7">
        <w:rPr>
          <w:rFonts w:ascii="Cambria" w:hAnsi="Cambria"/>
          <w:sz w:val="20"/>
          <w:szCs w:val="20"/>
        </w:rPr>
        <w:t xml:space="preserve"> day of the month of </w:t>
      </w:r>
      <w:r>
        <w:rPr>
          <w:rFonts w:ascii="Cambria" w:hAnsi="Cambria"/>
          <w:sz w:val="20"/>
          <w:szCs w:val="20"/>
        </w:rPr>
        <w:t>November</w:t>
      </w:r>
      <w:r w:rsidRPr="003B6BC7">
        <w:rPr>
          <w:rFonts w:ascii="Cambria" w:hAnsi="Cambria"/>
          <w:sz w:val="20"/>
          <w:szCs w:val="20"/>
        </w:rPr>
        <w:t>, 2016. (Signed): Francisco Eguiguren Praeli, First Vice-President; Margarette May Macaulay, Second Vice-</w:t>
      </w:r>
      <w:r>
        <w:rPr>
          <w:rFonts w:ascii="Cambria" w:hAnsi="Cambria"/>
          <w:sz w:val="20"/>
          <w:szCs w:val="20"/>
        </w:rPr>
        <w:t xml:space="preserve">President; Paulo Vannuchi, </w:t>
      </w:r>
      <w:r w:rsidRPr="003B6BC7">
        <w:rPr>
          <w:rFonts w:ascii="Cambria" w:hAnsi="Cambria"/>
          <w:sz w:val="20"/>
          <w:szCs w:val="20"/>
        </w:rPr>
        <w:t xml:space="preserve">Esmeralda Arosemena de Troitiño, and Enrique Gil Botero, Commissioners. </w:t>
      </w:r>
    </w:p>
    <w:p w14:paraId="39A548BD" w14:textId="77777777" w:rsidR="00194535" w:rsidRDefault="00194535" w:rsidP="00153A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500"/>
        <w:jc w:val="both"/>
        <w:rPr>
          <w:rFonts w:asciiTheme="majorHAnsi" w:eastAsia="Calibri" w:hAnsiTheme="majorHAnsi"/>
          <w:sz w:val="20"/>
          <w:szCs w:val="22"/>
          <w:bdr w:val="none" w:sz="0" w:space="0" w:color="auto"/>
        </w:rPr>
      </w:pPr>
    </w:p>
    <w:p w14:paraId="2CD84D8E" w14:textId="77777777" w:rsidR="00194535" w:rsidRPr="00676B15" w:rsidRDefault="00194535" w:rsidP="00153A3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500"/>
        <w:jc w:val="both"/>
        <w:rPr>
          <w:rFonts w:asciiTheme="majorHAnsi" w:eastAsia="Calibri" w:hAnsiTheme="majorHAnsi"/>
          <w:sz w:val="20"/>
          <w:szCs w:val="22"/>
          <w:bdr w:val="none" w:sz="0" w:space="0" w:color="auto"/>
        </w:rPr>
      </w:pPr>
    </w:p>
    <w:sectPr w:rsidR="00194535" w:rsidRPr="00676B15" w:rsidSect="006311D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18505" w14:textId="77777777" w:rsidR="00CF4796" w:rsidRDefault="00CF4796" w:rsidP="00036A8A">
      <w:r>
        <w:separator/>
      </w:r>
    </w:p>
  </w:endnote>
  <w:endnote w:type="continuationSeparator" w:id="0">
    <w:p w14:paraId="52FAD734" w14:textId="77777777" w:rsidR="00CF4796" w:rsidRDefault="00CF479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744E7" w14:textId="77777777" w:rsidR="0051167F" w:rsidRDefault="00511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5D6D0063" w14:textId="77777777" w:rsidR="00E54CE8" w:rsidRPr="006311DA" w:rsidRDefault="00E54CE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1167F">
          <w:rPr>
            <w:noProof/>
            <w:sz w:val="16"/>
          </w:rPr>
          <w:t>1</w:t>
        </w:r>
        <w:r w:rsidRPr="006311DA">
          <w:rPr>
            <w:noProof/>
            <w:sz w:val="16"/>
          </w:rPr>
          <w:fldChar w:fldCharType="end"/>
        </w:r>
      </w:p>
    </w:sdtContent>
  </w:sdt>
  <w:p w14:paraId="39B4CDC7" w14:textId="77777777" w:rsidR="00E54CE8" w:rsidRDefault="00E54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51FE3" w14:textId="77777777" w:rsidR="00E54CE8" w:rsidRDefault="00E54CE8">
    <w:pPr>
      <w:pStyle w:val="Footer"/>
      <w:jc w:val="center"/>
    </w:pPr>
  </w:p>
  <w:p w14:paraId="5614EBBB" w14:textId="77777777" w:rsidR="00E54CE8" w:rsidRDefault="00E54C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14:paraId="668A894A" w14:textId="77777777" w:rsidR="00E54CE8" w:rsidRDefault="00E54CE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C1D14B" w14:textId="77777777" w:rsidR="00E54CE8" w:rsidRDefault="00E54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A7141" w14:textId="77777777" w:rsidR="00CF4796" w:rsidRPr="00036A8A" w:rsidRDefault="00CF479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9CE6A5D" w14:textId="77777777" w:rsidR="00CF4796" w:rsidRPr="00036A8A" w:rsidRDefault="00CF4796" w:rsidP="00036A8A">
      <w:pPr>
        <w:rPr>
          <w:rFonts w:asciiTheme="majorHAnsi" w:hAnsiTheme="majorHAnsi"/>
          <w:sz w:val="16"/>
          <w:szCs w:val="16"/>
        </w:rPr>
      </w:pPr>
      <w:r w:rsidRPr="00036A8A">
        <w:rPr>
          <w:rFonts w:asciiTheme="majorHAnsi" w:hAnsiTheme="majorHAnsi"/>
          <w:sz w:val="16"/>
          <w:szCs w:val="16"/>
        </w:rPr>
        <w:separator/>
      </w:r>
    </w:p>
    <w:p w14:paraId="1ED32AC5" w14:textId="77777777" w:rsidR="00CF4796" w:rsidRPr="00036A8A" w:rsidRDefault="00CF479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153AC72" w14:textId="77777777" w:rsidR="00CF4796" w:rsidRPr="0093441A" w:rsidRDefault="00CF479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6788F67" w14:textId="6AEEFA88" w:rsidR="00E54CE8" w:rsidRPr="00B11D29" w:rsidRDefault="00E54CE8" w:rsidP="00B11D29">
      <w:pPr>
        <w:spacing w:before="120"/>
        <w:ind w:firstLine="720"/>
        <w:jc w:val="both"/>
        <w:rPr>
          <w:rFonts w:asciiTheme="majorHAnsi" w:hAnsiTheme="majorHAnsi"/>
          <w:sz w:val="16"/>
          <w:szCs w:val="16"/>
        </w:rPr>
      </w:pPr>
      <w:r w:rsidRPr="00B11D29">
        <w:rPr>
          <w:rStyle w:val="FootnoteReference"/>
          <w:rFonts w:asciiTheme="majorHAnsi" w:hAnsiTheme="majorHAnsi"/>
          <w:sz w:val="16"/>
          <w:szCs w:val="16"/>
        </w:rPr>
        <w:sym w:font="Symbol" w:char="F02A"/>
      </w:r>
      <w:r w:rsidRPr="00B11D29">
        <w:rPr>
          <w:rFonts w:asciiTheme="majorHAnsi" w:hAnsiTheme="majorHAnsi"/>
          <w:sz w:val="16"/>
          <w:szCs w:val="16"/>
        </w:rPr>
        <w:t xml:space="preserve"> Commissioner James </w:t>
      </w:r>
      <w:r w:rsidR="00194535">
        <w:rPr>
          <w:rFonts w:asciiTheme="majorHAnsi" w:hAnsiTheme="majorHAnsi"/>
          <w:sz w:val="16"/>
          <w:szCs w:val="16"/>
        </w:rPr>
        <w:t xml:space="preserve">L. </w:t>
      </w:r>
      <w:r w:rsidRPr="00B11D29">
        <w:rPr>
          <w:rFonts w:asciiTheme="majorHAnsi" w:hAnsiTheme="majorHAnsi"/>
          <w:sz w:val="16"/>
          <w:szCs w:val="16"/>
        </w:rPr>
        <w:t xml:space="preserve">Cavallaro, a U.S. national, did not participate in discussing or deciding this case, in accordance with Article 17.2(a) of the IACHR’s Rules of Procedure. Commissioner José de Jesús Orozco Henríquez, a Mexican national, considered that he should abstain from participating in the study and decision of this case, in accordance with Article 17.3 of the IACHR’s Rules of Procedure, noting that the alleged victims in this case are also nationals of Mexico. The Inter-American Commission accepted his decision to excuse himself, with the result that Commissioner Orozco Henríquez did not participate in the deliberation or vote on this case. </w:t>
      </w:r>
    </w:p>
  </w:footnote>
  <w:footnote w:id="3">
    <w:p w14:paraId="37834BE3" w14:textId="77777777" w:rsidR="00E54CE8" w:rsidRPr="00B11D29" w:rsidRDefault="00E54CE8" w:rsidP="00B11D29">
      <w:pPr>
        <w:pStyle w:val="Footnotes"/>
        <w:spacing w:before="120" w:after="0"/>
        <w:rPr>
          <w:rStyle w:val="FootnoteReference"/>
          <w:rFonts w:asciiTheme="majorHAnsi" w:hAnsiTheme="majorHAnsi"/>
          <w:sz w:val="16"/>
          <w:szCs w:val="16"/>
          <w:vertAlign w:val="baseline"/>
        </w:rPr>
      </w:pPr>
      <w:r w:rsidRPr="00B11D29">
        <w:rPr>
          <w:rStyle w:val="FootnoteReference"/>
          <w:rFonts w:asciiTheme="majorHAnsi" w:hAnsiTheme="majorHAnsi"/>
          <w:sz w:val="16"/>
          <w:szCs w:val="16"/>
        </w:rPr>
        <w:footnoteRef/>
      </w:r>
      <w:r w:rsidRPr="00B11D29">
        <w:rPr>
          <w:rStyle w:val="FootnoteReference"/>
          <w:rFonts w:asciiTheme="majorHAnsi" w:hAnsiTheme="majorHAnsi"/>
          <w:sz w:val="16"/>
          <w:szCs w:val="16"/>
          <w:vertAlign w:val="baseline"/>
        </w:rPr>
        <w:t xml:space="preserve"> The petition was also presented on behalf of three other presumed victims.  As indicated in paragraph 5 of the Admissibility Report</w:t>
      </w:r>
      <w:r w:rsidRPr="00B11D29">
        <w:rPr>
          <w:rFonts w:asciiTheme="majorHAnsi" w:hAnsiTheme="majorHAnsi"/>
          <w:sz w:val="16"/>
          <w:szCs w:val="16"/>
        </w:rPr>
        <w:t>, No. 134/11</w:t>
      </w:r>
      <w:r w:rsidRPr="00B11D29">
        <w:rPr>
          <w:rStyle w:val="FootnoteReference"/>
          <w:rFonts w:asciiTheme="majorHAnsi" w:hAnsiTheme="majorHAnsi"/>
          <w:sz w:val="16"/>
          <w:szCs w:val="16"/>
          <w:vertAlign w:val="baseline"/>
        </w:rPr>
        <w:t>, the IACHR has decided to divide the petition and process separately the situation of these presumed victims.</w:t>
      </w:r>
    </w:p>
  </w:footnote>
  <w:footnote w:id="4">
    <w:p w14:paraId="4303082D"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The NLRA was enacted in 1935 to “protect the rights of employees and employers, to encourage collective bargaining, and to curtail certain private sector labor and management practices, which can harm the general welfare of workers, businesses, and the U.S. economy.” The Act created the National Labor Relations Board (NLRB), an independent federal agency, which “safeguard[s] employees’ rights to organize and to determine whether to have unions as their bargaining representative. The agency also acts to prevent and remedy unfair labor practices committed by private sector employers and unions.” When a violation is found by the NLRB, it encourages the parties to resolve cases through settlements rather than litigation; however, if this is not possible, then a hearing is held before an NLRB Administrative Law Judge. The hearing is conducted as a court proceeding, with arguments, evidence, witnesses, and experts; after the hearing, the judges issue initial decisions. These decisions are reviewable by the Board (a five-member panel appointed by the U.S. President for 5 year terms); and the decisions of the Board may be appealed to a U.S. Court of Appeals and, following that, to the U.S. Supreme Court.  </w:t>
      </w:r>
      <w:r w:rsidRPr="00B11D29">
        <w:rPr>
          <w:rFonts w:asciiTheme="majorHAnsi" w:hAnsiTheme="majorHAnsi"/>
          <w:i/>
          <w:sz w:val="16"/>
          <w:szCs w:val="16"/>
        </w:rPr>
        <w:t>See</w:t>
      </w:r>
      <w:r w:rsidRPr="00B11D29">
        <w:rPr>
          <w:rFonts w:asciiTheme="majorHAnsi" w:hAnsiTheme="majorHAnsi"/>
          <w:sz w:val="16"/>
          <w:szCs w:val="16"/>
        </w:rPr>
        <w:t xml:space="preserve"> NLRB, “National Labor Relations Act” and “What We Do,” http://www.nlrb.gov/what-we-do (last accessed May 6, 2015). </w:t>
      </w:r>
    </w:p>
  </w:footnote>
  <w:footnote w:id="5">
    <w:p w14:paraId="665D6F7A"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On October 20, 2011, the IACHR, pursuant to Article 29.1(c) of its Rules of Procedure in force at the time, decided to divide the petition and process separately the claims presented on behalf of three presumed victims whose complete names had not been provided to the IACHR. </w:t>
      </w:r>
      <w:r w:rsidRPr="00B11D29">
        <w:rPr>
          <w:rFonts w:asciiTheme="majorHAnsi" w:hAnsiTheme="majorHAnsi"/>
          <w:i/>
          <w:sz w:val="16"/>
          <w:szCs w:val="16"/>
        </w:rPr>
        <w:t>See</w:t>
      </w:r>
      <w:r w:rsidRPr="00B11D29">
        <w:rPr>
          <w:rFonts w:asciiTheme="majorHAnsi" w:hAnsiTheme="majorHAnsi"/>
          <w:sz w:val="16"/>
          <w:szCs w:val="16"/>
        </w:rPr>
        <w:t xml:space="preserve"> IACHR, Report No. 134/11, Case 12.834, Admissibility, </w:t>
      </w:r>
      <w:r w:rsidRPr="00B11D29">
        <w:rPr>
          <w:rFonts w:asciiTheme="majorHAnsi" w:hAnsiTheme="majorHAnsi"/>
          <w:i/>
          <w:sz w:val="16"/>
          <w:szCs w:val="16"/>
        </w:rPr>
        <w:t>Undocumented Workers</w:t>
      </w:r>
      <w:r w:rsidRPr="00B11D29">
        <w:rPr>
          <w:rFonts w:asciiTheme="majorHAnsi" w:hAnsiTheme="majorHAnsi"/>
          <w:sz w:val="16"/>
          <w:szCs w:val="16"/>
        </w:rPr>
        <w:t>, United States, October 20, 2011, paras. 5,12.</w:t>
      </w:r>
    </w:p>
  </w:footnote>
  <w:footnote w:id="6">
    <w:p w14:paraId="415B64F2" w14:textId="00B7D7B1" w:rsidR="00E54CE8" w:rsidRPr="00B11D29" w:rsidRDefault="00E54CE8" w:rsidP="00B11D29">
      <w:pPr>
        <w:pStyle w:val="Footnotes"/>
        <w:spacing w:before="120" w:after="0"/>
        <w:rPr>
          <w:rFonts w:asciiTheme="majorHAnsi" w:hAnsiTheme="majorHAnsi"/>
          <w:sz w:val="16"/>
          <w:szCs w:val="16"/>
          <w:lang w:val="es-ES_tradnl"/>
        </w:rPr>
      </w:pPr>
      <w:r w:rsidRPr="00B11D29">
        <w:rPr>
          <w:rStyle w:val="FootnoteReference"/>
          <w:rFonts w:asciiTheme="majorHAnsi" w:hAnsiTheme="majorHAnsi"/>
          <w:sz w:val="16"/>
          <w:szCs w:val="16"/>
        </w:rPr>
        <w:footnoteRef/>
      </w:r>
      <w:r w:rsidRPr="00B11D29">
        <w:rPr>
          <w:rStyle w:val="FootnoteReference"/>
          <w:rFonts w:asciiTheme="majorHAnsi" w:hAnsiTheme="majorHAnsi"/>
          <w:sz w:val="16"/>
          <w:szCs w:val="16"/>
          <w:vertAlign w:val="baseline"/>
        </w:rPr>
        <w:t xml:space="preserve"> To see video of the hearing, visit the Multimedia Section of the IACHR’s website, </w:t>
      </w:r>
      <w:hyperlink r:id="rId1" w:history="1">
        <w:r w:rsidRPr="00B11D29">
          <w:rPr>
            <w:rStyle w:val="FootnoteReference"/>
            <w:rFonts w:asciiTheme="majorHAnsi" w:hAnsiTheme="majorHAnsi"/>
            <w:sz w:val="16"/>
            <w:szCs w:val="16"/>
            <w:vertAlign w:val="baseline"/>
          </w:rPr>
          <w:t>http://www.oas.org/es/cidh/multimedia/sesiones/154/default.asp</w:t>
        </w:r>
      </w:hyperlink>
      <w:r w:rsidRPr="00B11D29">
        <w:rPr>
          <w:rStyle w:val="FootnoteReference"/>
          <w:rFonts w:asciiTheme="majorHAnsi" w:hAnsiTheme="majorHAnsi"/>
          <w:sz w:val="16"/>
          <w:szCs w:val="16"/>
          <w:vertAlign w:val="baseline"/>
        </w:rPr>
        <w:t xml:space="preserve">; </w:t>
      </w:r>
      <w:r w:rsidRPr="00B11D29">
        <w:rPr>
          <w:rStyle w:val="FootnoteReference"/>
          <w:rFonts w:asciiTheme="majorHAnsi" w:hAnsiTheme="majorHAnsi"/>
          <w:i/>
          <w:sz w:val="16"/>
          <w:szCs w:val="16"/>
          <w:vertAlign w:val="baseline"/>
        </w:rPr>
        <w:t>see also</w:t>
      </w:r>
      <w:r w:rsidRPr="00B11D29">
        <w:rPr>
          <w:rStyle w:val="FootnoteReference"/>
          <w:rFonts w:asciiTheme="majorHAnsi" w:hAnsiTheme="majorHAnsi"/>
          <w:sz w:val="16"/>
          <w:szCs w:val="16"/>
          <w:vertAlign w:val="baseline"/>
        </w:rPr>
        <w:t xml:space="preserve"> </w:t>
      </w:r>
      <w:hyperlink r:id="rId2" w:history="1">
        <w:r w:rsidRPr="00B11D29">
          <w:rPr>
            <w:rStyle w:val="FootnoteReference"/>
            <w:rFonts w:asciiTheme="majorHAnsi" w:hAnsiTheme="majorHAnsi"/>
            <w:sz w:val="16"/>
            <w:szCs w:val="16"/>
            <w:vertAlign w:val="baseline"/>
          </w:rPr>
          <w:t>https://www.youtube.com/watch?v=GtZumYHuqAU</w:t>
        </w:r>
      </w:hyperlink>
      <w:r w:rsidRPr="00B11D29">
        <w:rPr>
          <w:rStyle w:val="FootnoteReference"/>
          <w:rFonts w:asciiTheme="majorHAnsi" w:hAnsiTheme="majorHAnsi"/>
          <w:sz w:val="16"/>
          <w:szCs w:val="16"/>
          <w:vertAlign w:val="baseline"/>
        </w:rPr>
        <w:t>.</w:t>
      </w:r>
    </w:p>
  </w:footnote>
  <w:footnote w:id="7">
    <w:p w14:paraId="6A3C5F52" w14:textId="2A3873B5"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For the purposes of this report, the Commission will use the term and definition put forth by the petitioners of “undocumented” or “unauthorized workers” to refer to “immigrant workers, otherwise known as irregular migrants, who do not possess authorization to be employed pursuant to U.S. law and are unlawfully present in the United States.” As the petitioners correctly describe, “this group also includes workers who are in the United States legally for various reasons (on student visas, asylum applicants, etc.) but who nevertheless lack authorization to work.” Petition P-1190-06 (Nov. 1, 2006) (hereinafter “Petition” or “Petitioners’ document dated Nov. 1, 2006”), FN 1. </w:t>
      </w:r>
    </w:p>
  </w:footnote>
  <w:footnote w:id="8">
    <w:p w14:paraId="2921AA9A"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535 U.S. 137 (2002). </w:t>
      </w:r>
    </w:p>
  </w:footnote>
  <w:footnote w:id="9">
    <w:p w14:paraId="109CE4B3"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U.S. Civil Rights Act of 1964, Pub. L. 88-352, 78 Stat. 241 (1964), Title VII. </w:t>
      </w:r>
    </w:p>
  </w:footnote>
  <w:footnote w:id="10">
    <w:p w14:paraId="1DFEEA21" w14:textId="417BB258" w:rsidR="00E54CE8" w:rsidRPr="00B11D29" w:rsidRDefault="00E54CE8" w:rsidP="00B11D29">
      <w:pPr>
        <w:pStyle w:val="Footnotes"/>
        <w:spacing w:before="120" w:after="0"/>
        <w:rPr>
          <w:rFonts w:asciiTheme="majorHAnsi" w:hAnsiTheme="majorHAnsi"/>
          <w:sz w:val="16"/>
          <w:szCs w:val="16"/>
        </w:rPr>
      </w:pPr>
      <w:r w:rsidRPr="00B11D29">
        <w:rPr>
          <w:rFonts w:asciiTheme="majorHAnsi" w:hAnsiTheme="majorHAnsi"/>
          <w:sz w:val="16"/>
          <w:szCs w:val="16"/>
          <w:vertAlign w:val="superscript"/>
        </w:rPr>
        <w:footnoteRef/>
      </w:r>
      <w:r w:rsidRPr="00B11D29">
        <w:rPr>
          <w:rFonts w:asciiTheme="majorHAnsi" w:hAnsiTheme="majorHAnsi"/>
          <w:sz w:val="16"/>
          <w:szCs w:val="16"/>
        </w:rPr>
        <w:t xml:space="preserve"> The Commission notes that workers’ compensation programs are generally designed to provide employees who are injured at work or acquire an occupational disease with various benefits, depending on their need, such as wage replacement benefits, medical treatment, rehabilitation, and others. As mentioned above, workers’ compensation programs are most often exclusively provided by state law. In Pennsylvania, the Commission observes that workers’ compensation is understood as the employer’s liability “for compensation for personal injury to, or for the death of each employe [sic], by an injury in the course of his employment, and such compensation shall be paid in all cases by the employer, without regard to negligence” in accordance with a schedule provided in Articles 306 and 307 of the Pennsylvania Workers’ Compensation Act of 1915, P.L. 736, No. 338, Art. III, § 301(a) (77 Pa. Cons. Stat. §431).  Under the Pennsylvania workers’ compensation scheme, benefits provided consist of payments for lost wages (“wage-loss” or “time-loss” benefits), death, specific loss (generally the permanent loss of the use of a limb or sense or a serious and permanent disfigurement to the head, face, or neck), medical care, total and partial disability, as well as alternative dispute resolution services. </w:t>
      </w:r>
      <w:r w:rsidRPr="00B11D29">
        <w:rPr>
          <w:rFonts w:asciiTheme="majorHAnsi" w:hAnsiTheme="majorHAnsi"/>
          <w:i/>
          <w:sz w:val="16"/>
          <w:szCs w:val="16"/>
        </w:rPr>
        <w:t>See</w:t>
      </w:r>
      <w:r w:rsidRPr="00B11D29">
        <w:rPr>
          <w:rFonts w:asciiTheme="majorHAnsi" w:hAnsiTheme="majorHAnsi"/>
          <w:sz w:val="16"/>
          <w:szCs w:val="16"/>
        </w:rPr>
        <w:t xml:space="preserve"> Pennsylvania Department of Labor &amp; Industry, “Workers’ Compensation &amp; the Injured Worker,” Rev 09-13, </w:t>
      </w:r>
      <w:hyperlink r:id="rId3" w:anchor="whatcovered" w:history="1">
        <w:r w:rsidRPr="00B11D29">
          <w:rPr>
            <w:rStyle w:val="Hyperlink"/>
            <w:rFonts w:asciiTheme="majorHAnsi" w:hAnsiTheme="majorHAnsi"/>
            <w:sz w:val="16"/>
            <w:szCs w:val="16"/>
          </w:rPr>
          <w:t>http://www.portal.state.pa.us/portal/server.pt/community/workers%27_compensation/10386/about_workers%27_compensation/552721#whatcovered</w:t>
        </w:r>
      </w:hyperlink>
      <w:r w:rsidRPr="00B11D29">
        <w:rPr>
          <w:rFonts w:asciiTheme="majorHAnsi" w:hAnsiTheme="majorHAnsi"/>
          <w:sz w:val="16"/>
          <w:szCs w:val="16"/>
        </w:rPr>
        <w:t xml:space="preserve"> (last accessed December 8, 2015).</w:t>
      </w:r>
    </w:p>
    <w:p w14:paraId="7A01089C" w14:textId="66B526B5" w:rsidR="00E54CE8" w:rsidRPr="00B11D29" w:rsidRDefault="00E54CE8" w:rsidP="00B11D29">
      <w:pPr>
        <w:pStyle w:val="Footnotes"/>
        <w:spacing w:before="120" w:after="0"/>
        <w:rPr>
          <w:rFonts w:asciiTheme="majorHAnsi" w:hAnsiTheme="majorHAnsi"/>
          <w:sz w:val="16"/>
          <w:szCs w:val="16"/>
        </w:rPr>
      </w:pPr>
      <w:r w:rsidRPr="00B11D29">
        <w:rPr>
          <w:rFonts w:asciiTheme="majorHAnsi" w:hAnsiTheme="majorHAnsi"/>
          <w:sz w:val="16"/>
          <w:szCs w:val="16"/>
        </w:rPr>
        <w:t>In Kansas, the Workers’ Compensation Act provides, “If, in any employment to which the workers compensation act applies, an employee suffers personal injury by accident, repetitive trauma or occupational disease arising out of and in the course of employment, the employer shall be liable to pay compensation to the employee in accordance with and subject to the provisions of the workers compensation act.” Kan. Stat. Ann. § 44-501(b) (2014). Included under the Kansas workers’ compensation scheme are benefits for: disability, survivors (when a job-related death occurs), medical treatment, income (lost wages), as well as ombudsman, mediation, and vocational rehabilitation services.</w:t>
      </w:r>
    </w:p>
    <w:p w14:paraId="141AC49B" w14:textId="74103E39" w:rsidR="00E54CE8" w:rsidRPr="00B11D29" w:rsidRDefault="00E54CE8" w:rsidP="00B11D29">
      <w:pPr>
        <w:pStyle w:val="Footnotes"/>
        <w:spacing w:before="120" w:after="0"/>
        <w:rPr>
          <w:rFonts w:asciiTheme="majorHAnsi" w:hAnsiTheme="majorHAnsi"/>
          <w:sz w:val="16"/>
          <w:szCs w:val="16"/>
        </w:rPr>
      </w:pPr>
      <w:r w:rsidRPr="00B11D29">
        <w:rPr>
          <w:rFonts w:asciiTheme="majorHAnsi" w:hAnsiTheme="majorHAnsi"/>
          <w:sz w:val="16"/>
          <w:szCs w:val="16"/>
        </w:rPr>
        <w:t xml:space="preserve">The Commission will use the term “workers’ compensation” to refer to all of the these benefits, generally and in collective, unless otherwise specified, with the acknowledgement that the type and amount of benefits received in any particular case is the result of a case by case analysis and determination. </w:t>
      </w:r>
    </w:p>
  </w:footnote>
  <w:footnote w:id="11">
    <w:p w14:paraId="477B4E19" w14:textId="0723410B"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Petitioners’ Supplemental Information (Mar. 5, 2010), p. 2 (citing Decl. of Andrew Touchstone, attorney who represented Mr. Zumaya in his workers’ compensation claim at para. 9., Exhibit A (2) (i) to Petitioners’ document dated Nov. 1, 2006.).</w:t>
      </w:r>
    </w:p>
  </w:footnote>
  <w:footnote w:id="12">
    <w:p w14:paraId="121CE170" w14:textId="38356689"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Petitioners cite </w:t>
      </w:r>
      <w:r w:rsidRPr="00B11D29">
        <w:rPr>
          <w:rFonts w:asciiTheme="majorHAnsi" w:hAnsiTheme="majorHAnsi"/>
          <w:i/>
          <w:sz w:val="16"/>
          <w:szCs w:val="16"/>
        </w:rPr>
        <w:t>Reinforced Earth Co. v. Workers’ Compensation Appeal Bd</w:t>
      </w:r>
      <w:r w:rsidRPr="00B11D29">
        <w:rPr>
          <w:rFonts w:asciiTheme="majorHAnsi" w:hAnsiTheme="majorHAnsi"/>
          <w:sz w:val="16"/>
          <w:szCs w:val="16"/>
        </w:rPr>
        <w:t xml:space="preserve">., 570 Pa. 464 (Pa. 2002). </w:t>
      </w:r>
    </w:p>
  </w:footnote>
  <w:footnote w:id="13">
    <w:p w14:paraId="079E2094" w14:textId="0E025669"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Petitioners cite ICE, Operating Instruction (OI) 287.3a, Questioning Persons During Labor Disputes”, now known as ICE Special Agents Field Manual 33.14(h). </w:t>
      </w:r>
    </w:p>
  </w:footnote>
  <w:footnote w:id="14">
    <w:p w14:paraId="58548A28"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Petitioners’ Supplemental Information (Mar. 5, 2010), p. 6 (citing a report by the American Federation of Labor and Congress of Industrial Organizations (AFL-CIO), American Rights at Work, and National Employment Law Project (NELP</w:t>
      </w:r>
      <w:r w:rsidRPr="00B11D29">
        <w:rPr>
          <w:rFonts w:asciiTheme="majorHAnsi" w:hAnsiTheme="majorHAnsi"/>
          <w:i/>
          <w:sz w:val="16"/>
          <w:szCs w:val="16"/>
        </w:rPr>
        <w:t xml:space="preserve">) </w:t>
      </w:r>
      <w:r w:rsidRPr="00B11D29">
        <w:rPr>
          <w:rFonts w:asciiTheme="majorHAnsi" w:hAnsiTheme="majorHAnsi"/>
          <w:sz w:val="16"/>
          <w:szCs w:val="16"/>
        </w:rPr>
        <w:t>entitled</w:t>
      </w:r>
      <w:r w:rsidRPr="00B11D29">
        <w:rPr>
          <w:rFonts w:asciiTheme="majorHAnsi" w:hAnsiTheme="majorHAnsi"/>
          <w:i/>
          <w:sz w:val="16"/>
          <w:szCs w:val="16"/>
        </w:rPr>
        <w:t xml:space="preserve"> Iced Out: How Immigration Enforcement Has Interfered with Workers’ Rights</w:t>
      </w:r>
      <w:r w:rsidRPr="00B11D29">
        <w:rPr>
          <w:rFonts w:asciiTheme="majorHAnsi" w:hAnsiTheme="majorHAnsi"/>
          <w:sz w:val="16"/>
          <w:szCs w:val="16"/>
        </w:rPr>
        <w:t xml:space="preserve"> (Oct. 2009)). In one example, petitioners mention that an immigration judge found that immigration agents failed to follow their own policy when raiding a New York factory and initiating removal proceedings against two workers engaged in union activities. Petitioners allege that the immigration authority’s attorney in the case argued that the ICE policy embodied in the MOU and the manual were merely instructions and did not command the same force of law as an officially promulgated rule or regulation. </w:t>
      </w:r>
      <w:r w:rsidRPr="00B11D29">
        <w:rPr>
          <w:rFonts w:asciiTheme="majorHAnsi" w:hAnsiTheme="majorHAnsi"/>
          <w:i/>
          <w:sz w:val="16"/>
          <w:szCs w:val="16"/>
        </w:rPr>
        <w:t>See id</w:t>
      </w:r>
      <w:r w:rsidRPr="00B11D29">
        <w:rPr>
          <w:rFonts w:asciiTheme="majorHAnsi" w:hAnsiTheme="majorHAnsi"/>
          <w:sz w:val="16"/>
          <w:szCs w:val="16"/>
        </w:rPr>
        <w:t xml:space="preserve">. (citing </w:t>
      </w:r>
      <w:r w:rsidRPr="00B11D29">
        <w:rPr>
          <w:rFonts w:asciiTheme="majorHAnsi" w:hAnsiTheme="majorHAnsi"/>
          <w:i/>
          <w:sz w:val="16"/>
          <w:szCs w:val="16"/>
        </w:rPr>
        <w:t>In the matter of Herrera-Priego</w:t>
      </w:r>
      <w:r w:rsidRPr="00B11D29">
        <w:rPr>
          <w:rFonts w:asciiTheme="majorHAnsi" w:hAnsiTheme="majorHAnsi"/>
          <w:sz w:val="16"/>
          <w:szCs w:val="16"/>
        </w:rPr>
        <w:t xml:space="preserve">, USDOJ EOIR (July 10, 2003)). </w:t>
      </w:r>
    </w:p>
  </w:footnote>
  <w:footnote w:id="15">
    <w:p w14:paraId="3E4509CE" w14:textId="4340D41F"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Petitioners’ Supplemental Information (Mar. 5, 2010), p. 7-8 (citing </w:t>
      </w:r>
      <w:r w:rsidRPr="00B11D29">
        <w:rPr>
          <w:rFonts w:asciiTheme="majorHAnsi" w:hAnsiTheme="majorHAnsi"/>
          <w:i/>
          <w:sz w:val="16"/>
          <w:szCs w:val="16"/>
        </w:rPr>
        <w:t>Lozano v. City of Hazleton</w:t>
      </w:r>
      <w:r w:rsidRPr="00B11D29">
        <w:rPr>
          <w:rFonts w:asciiTheme="majorHAnsi" w:hAnsiTheme="majorHAnsi"/>
          <w:sz w:val="16"/>
          <w:szCs w:val="16"/>
        </w:rPr>
        <w:t xml:space="preserve">, 496 F. Supp. 2d 477, 513-14 (M.D. Pa. 2007) (reasoning that “federal courts have recognized that inquiries into immigration status can have an </w:t>
      </w:r>
      <w:r w:rsidRPr="00B11D29">
        <w:rPr>
          <w:rFonts w:asciiTheme="majorHAnsi" w:hAnsiTheme="majorHAnsi"/>
          <w:i/>
          <w:sz w:val="16"/>
          <w:szCs w:val="16"/>
        </w:rPr>
        <w:t>in terrorem</w:t>
      </w:r>
      <w:r w:rsidRPr="00B11D29">
        <w:rPr>
          <w:rFonts w:asciiTheme="majorHAnsi" w:hAnsiTheme="majorHAnsi"/>
          <w:sz w:val="16"/>
          <w:szCs w:val="16"/>
        </w:rPr>
        <w:t xml:space="preserve"> effect limiting the willingness of plaintiffs to pursue their rights out of fear of the consequences of an exposure of their position”); </w:t>
      </w:r>
      <w:r w:rsidRPr="00B11D29">
        <w:rPr>
          <w:rFonts w:asciiTheme="majorHAnsi" w:hAnsiTheme="majorHAnsi"/>
          <w:i/>
          <w:sz w:val="16"/>
          <w:szCs w:val="16"/>
        </w:rPr>
        <w:t>Topo v. Dhir</w:t>
      </w:r>
      <w:r w:rsidRPr="00B11D29">
        <w:rPr>
          <w:rFonts w:asciiTheme="majorHAnsi" w:hAnsiTheme="majorHAnsi"/>
          <w:sz w:val="16"/>
          <w:szCs w:val="16"/>
        </w:rPr>
        <w:t xml:space="preserve">, 210 F.R.D. 76, 78-79 (S.D.N.Y. 2002) (quoting “Plaintiff’s fears of her immigration status deterring further prosecution of her claims are well founded. Courts have generally recognized the </w:t>
      </w:r>
      <w:r w:rsidRPr="00B11D29">
        <w:rPr>
          <w:rFonts w:asciiTheme="majorHAnsi" w:hAnsiTheme="majorHAnsi"/>
          <w:i/>
          <w:sz w:val="16"/>
          <w:szCs w:val="16"/>
        </w:rPr>
        <w:t>in terrorem</w:t>
      </w:r>
      <w:r w:rsidRPr="00B11D29">
        <w:rPr>
          <w:rFonts w:asciiTheme="majorHAnsi" w:hAnsiTheme="majorHAnsi"/>
          <w:sz w:val="16"/>
          <w:szCs w:val="16"/>
        </w:rPr>
        <w:t xml:space="preserve"> effect of inquiring into a party’s immigration status when irrelevant to any material claim”); </w:t>
      </w:r>
      <w:r w:rsidRPr="00B11D29">
        <w:rPr>
          <w:rFonts w:asciiTheme="majorHAnsi" w:hAnsiTheme="majorHAnsi"/>
          <w:i/>
          <w:sz w:val="16"/>
          <w:szCs w:val="16"/>
        </w:rPr>
        <w:t>Flores v. Albertsons, Inc</w:t>
      </w:r>
      <w:r w:rsidRPr="00B11D29">
        <w:rPr>
          <w:rFonts w:asciiTheme="majorHAnsi" w:hAnsiTheme="majorHAnsi"/>
          <w:sz w:val="16"/>
          <w:szCs w:val="16"/>
        </w:rPr>
        <w:t xml:space="preserve">., No. CV 01-00515 AHM(SHx), 2002 WL 1163623, at *5-6 (C.D. Cal. 2002) (denying the defendant’s request for documents relating to plaintiffs’ immigration status, finding “it is entirely likely that any undocumented [litigant] forced to produce documents related to his or her immigration status will withdraw from the suit rather than produce such documents and face deportation”). </w:t>
      </w:r>
    </w:p>
  </w:footnote>
  <w:footnote w:id="16">
    <w:p w14:paraId="7996058A"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Petitioners’ Supplemental Information (Mar. 5, 2010), p. 8-9 (citing </w:t>
      </w:r>
      <w:r w:rsidRPr="00B11D29">
        <w:rPr>
          <w:rFonts w:asciiTheme="majorHAnsi" w:hAnsiTheme="majorHAnsi"/>
          <w:i/>
          <w:sz w:val="16"/>
          <w:szCs w:val="16"/>
        </w:rPr>
        <w:t>Rivera v. NIBCO, Inc</w:t>
      </w:r>
      <w:r w:rsidRPr="00B11D29">
        <w:rPr>
          <w:rFonts w:asciiTheme="majorHAnsi" w:hAnsiTheme="majorHAnsi"/>
          <w:sz w:val="16"/>
          <w:szCs w:val="16"/>
        </w:rPr>
        <w:t>. 364 F.3d 1057, 1064 (9th</w:t>
      </w:r>
      <w:r w:rsidRPr="00B11D29">
        <w:rPr>
          <w:rFonts w:asciiTheme="majorHAnsi" w:hAnsiTheme="majorHAnsi"/>
          <w:sz w:val="16"/>
          <w:szCs w:val="16"/>
          <w:vertAlign w:val="superscript"/>
        </w:rPr>
        <w:t xml:space="preserve"> </w:t>
      </w:r>
      <w:r w:rsidRPr="00B11D29">
        <w:rPr>
          <w:rFonts w:asciiTheme="majorHAnsi" w:hAnsiTheme="majorHAnsi"/>
          <w:sz w:val="16"/>
          <w:szCs w:val="16"/>
        </w:rPr>
        <w:t xml:space="preserve">Cir. 2004)(affirming a protective order in an employment discrimination case because it was necessary to avoid “the chilling effect that disclosure of plaintiffs’ immigration status could have upon their ability to effectuate their rights...[W]ere we to grant discovery requests for information related to immigration status in every case involving national origin discrimination…countless acts of illegal and reprehensible conduct would go unreported”); </w:t>
      </w:r>
      <w:r w:rsidRPr="00B11D29">
        <w:rPr>
          <w:rFonts w:asciiTheme="majorHAnsi" w:hAnsiTheme="majorHAnsi"/>
          <w:i/>
          <w:sz w:val="16"/>
          <w:szCs w:val="16"/>
        </w:rPr>
        <w:t>see also</w:t>
      </w:r>
      <w:r w:rsidRPr="00B11D29">
        <w:rPr>
          <w:rFonts w:asciiTheme="majorHAnsi" w:hAnsiTheme="majorHAnsi"/>
          <w:sz w:val="16"/>
          <w:szCs w:val="16"/>
        </w:rPr>
        <w:t xml:space="preserve"> </w:t>
      </w:r>
      <w:r w:rsidRPr="00B11D29">
        <w:rPr>
          <w:rFonts w:asciiTheme="majorHAnsi" w:hAnsiTheme="majorHAnsi"/>
          <w:i/>
          <w:sz w:val="16"/>
          <w:szCs w:val="16"/>
        </w:rPr>
        <w:t>In re Reyes</w:t>
      </w:r>
      <w:r w:rsidRPr="00B11D29">
        <w:rPr>
          <w:rFonts w:asciiTheme="majorHAnsi" w:hAnsiTheme="majorHAnsi"/>
          <w:sz w:val="16"/>
          <w:szCs w:val="16"/>
        </w:rPr>
        <w:t xml:space="preserve">, 814 F.2d 168, 170 (5th Cir. 1987); </w:t>
      </w:r>
      <w:r w:rsidRPr="00B11D29">
        <w:rPr>
          <w:rFonts w:asciiTheme="majorHAnsi" w:hAnsiTheme="majorHAnsi"/>
          <w:i/>
          <w:sz w:val="16"/>
          <w:szCs w:val="16"/>
        </w:rPr>
        <w:t>Trejos v. Editas Bar and Restaurant</w:t>
      </w:r>
      <w:r w:rsidRPr="00B11D29">
        <w:rPr>
          <w:rFonts w:asciiTheme="majorHAnsi" w:hAnsiTheme="majorHAnsi"/>
          <w:sz w:val="16"/>
          <w:szCs w:val="16"/>
        </w:rPr>
        <w:t xml:space="preserve">, 2009 WL 749891 (E.D.N.Y. 2009); </w:t>
      </w:r>
      <w:r w:rsidRPr="00B11D29">
        <w:rPr>
          <w:rFonts w:asciiTheme="majorHAnsi" w:hAnsiTheme="majorHAnsi"/>
          <w:i/>
          <w:sz w:val="16"/>
          <w:szCs w:val="16"/>
        </w:rPr>
        <w:t>Galaviz-Zamora v. Brady Farms Inc.</w:t>
      </w:r>
      <w:r w:rsidRPr="00B11D29">
        <w:rPr>
          <w:rFonts w:asciiTheme="majorHAnsi" w:hAnsiTheme="majorHAnsi"/>
          <w:sz w:val="16"/>
          <w:szCs w:val="16"/>
        </w:rPr>
        <w:t xml:space="preserve">, 230 F.R.D. 499, 501 (W.D. Mich. 2005). </w:t>
      </w:r>
    </w:p>
  </w:footnote>
  <w:footnote w:id="17">
    <w:p w14:paraId="69E770C1" w14:textId="2C323730"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Petitioners’ documented dated Jan. 6, 2015, at p. 17. </w:t>
      </w:r>
    </w:p>
  </w:footnote>
  <w:footnote w:id="18">
    <w:p w14:paraId="53CB6832"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Petitioners’ documented dated Jan. 6, 2015, at p. 17.</w:t>
      </w:r>
    </w:p>
  </w:footnote>
  <w:footnote w:id="19">
    <w:p w14:paraId="2737C393" w14:textId="0C147CD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The EEOC enforces federal law at all federal agencies. With regard to state and local government agencies, the EEOC may generally enforce these laws if the agency has 15 or more employees who worked for the agency for at least twenty calendar weeks. If the complaint involves age discrimination, the state or local government agency is covered, regardless of the number of employees, in addition to the obligation to comply with the Equal Pay Act (EPA), which makes it illegal to pay different wages to men and women if they are performing substantially equal work in the same workplace. Regarding private employers, the EEOC may generally cover the employer if it has 15 or more employees who worked for it for at least 20 calendar weeks. If the complaint involves age discrimination, the EEOC may cover the employer if it has 20 or more employees who worked for the company for at least 20 calendar weeks, and “virtually all” employers are covered by the EPA, mentioned above.  Where a state and local government agency or private employer does not meet the qualifications for EEOC coverage, then state and local anti-discrimination laws may apply and cover that employer. EEOC, “Coverage,” (last accessed May 15, 2015), http://www.eeoc.gov/employers/coverage.cfm. </w:t>
      </w:r>
    </w:p>
  </w:footnote>
  <w:footnote w:id="20">
    <w:p w14:paraId="21569B9F"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State’s Response, p. 7 (citing, </w:t>
      </w:r>
      <w:r w:rsidRPr="00B11D29">
        <w:rPr>
          <w:rFonts w:asciiTheme="majorHAnsi" w:hAnsiTheme="majorHAnsi"/>
          <w:i/>
          <w:sz w:val="16"/>
          <w:szCs w:val="16"/>
        </w:rPr>
        <w:t>inter alia</w:t>
      </w:r>
      <w:r w:rsidRPr="00B11D29">
        <w:rPr>
          <w:rFonts w:asciiTheme="majorHAnsi" w:hAnsiTheme="majorHAnsi"/>
          <w:sz w:val="16"/>
          <w:szCs w:val="16"/>
        </w:rPr>
        <w:t>, Title VII of the Civil Rights Act of 1964, 42 U.S.C. § 2000e, et seq.; Equal Pay Act of 1963, 29 U.S.C. § 206(d); Age Discrimination in Employment Act of 1987, 29 U.S.C. § 621 et seq.; Americans with Disabilities Act of 1990 (ADA), 42 U.S.C. § 12101 et seq.; Genetic Information Nondiscrimination Act of 2008 (GINA), 42 U.S.C. § 2000ff et seq.).</w:t>
      </w:r>
    </w:p>
  </w:footnote>
  <w:footnote w:id="21">
    <w:p w14:paraId="1409975B"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467 U.S. 883 (1984). </w:t>
      </w:r>
    </w:p>
  </w:footnote>
  <w:footnote w:id="22">
    <w:p w14:paraId="597E3824" w14:textId="69869B74"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State’s Response, p. 14. </w:t>
      </w:r>
      <w:r w:rsidRPr="00B11D29">
        <w:rPr>
          <w:rFonts w:asciiTheme="majorHAnsi" w:hAnsiTheme="majorHAnsi"/>
          <w:i/>
          <w:sz w:val="16"/>
          <w:szCs w:val="16"/>
        </w:rPr>
        <w:t>See</w:t>
      </w:r>
      <w:r w:rsidRPr="00B11D29">
        <w:rPr>
          <w:rFonts w:asciiTheme="majorHAnsi" w:hAnsiTheme="majorHAnsi"/>
          <w:sz w:val="16"/>
          <w:szCs w:val="16"/>
        </w:rPr>
        <w:t xml:space="preserve"> NLRB General Counsel Memorandum GC 02-06 (July 19, 2002) (“GC 02-06”), p. 1 (“The Court in </w:t>
      </w:r>
      <w:r w:rsidRPr="00B11D29">
        <w:rPr>
          <w:rFonts w:asciiTheme="majorHAnsi" w:hAnsiTheme="majorHAnsi"/>
          <w:i/>
          <w:sz w:val="16"/>
          <w:szCs w:val="16"/>
        </w:rPr>
        <w:t>Hoffman</w:t>
      </w:r>
      <w:r w:rsidRPr="00B11D29">
        <w:rPr>
          <w:rFonts w:asciiTheme="majorHAnsi" w:hAnsiTheme="majorHAnsi"/>
          <w:sz w:val="16"/>
          <w:szCs w:val="16"/>
        </w:rPr>
        <w:t xml:space="preserve"> dealt only with a remedial question, and thus, as set forth above, does not overturn otherwise settled Board and Court law. Thus, Regions should continue to object to a charged party’s attempt to elicit evidence concerning an employee’s asserted undocumented status in order to escape unfair labor practice liability.”) </w:t>
      </w:r>
    </w:p>
  </w:footnote>
  <w:footnote w:id="23">
    <w:p w14:paraId="5A3CAB4C"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Where the “worker has already left the US” and unpaid wages for work performed are owed to this person, the State submits that DOL works with U.S. consulates to locate the worker so that he/she may receive the wages collected on his/her behalf. State’s Response, p. 15-16.</w:t>
      </w:r>
    </w:p>
  </w:footnote>
  <w:footnote w:id="24">
    <w:p w14:paraId="648463DD"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State’s Response, p. 14. A cease and desist order is one of the orders the NLRB may order when it finds that, upon a preponderance of the testimony taken, the person named in the complaint has engaged in unfair labor practice(s). The person must therefore stop such unfair practice(s) and take affirmative remedial action(s) as ordered by the NLRB. </w:t>
      </w:r>
      <w:r w:rsidRPr="00B11D29">
        <w:rPr>
          <w:rFonts w:asciiTheme="majorHAnsi" w:hAnsiTheme="majorHAnsi"/>
          <w:i/>
          <w:sz w:val="16"/>
          <w:szCs w:val="16"/>
        </w:rPr>
        <w:t>See</w:t>
      </w:r>
      <w:r w:rsidRPr="00B11D29">
        <w:rPr>
          <w:rFonts w:asciiTheme="majorHAnsi" w:hAnsiTheme="majorHAnsi"/>
          <w:sz w:val="16"/>
          <w:szCs w:val="16"/>
        </w:rPr>
        <w:t xml:space="preserve"> NLRA, 29 U.S.C. §§ 151 – 169, 160(c). </w:t>
      </w:r>
    </w:p>
  </w:footnote>
  <w:footnote w:id="25">
    <w:p w14:paraId="45F80CA5"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State’s Response, p. 14-15 (citing NLRB General Counsel Memorandum OM 11-62 (June 7, 2011) (“OM 11-62”), p. 3; GC 02-06, p. 5). </w:t>
      </w:r>
    </w:p>
  </w:footnote>
  <w:footnote w:id="26">
    <w:p w14:paraId="1248E5EC"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State’s Response, p. 17-18 (citing, </w:t>
      </w:r>
      <w:r w:rsidRPr="00B11D29">
        <w:rPr>
          <w:rFonts w:asciiTheme="majorHAnsi" w:hAnsiTheme="majorHAnsi"/>
          <w:i/>
          <w:sz w:val="16"/>
          <w:szCs w:val="16"/>
        </w:rPr>
        <w:t>inter alia</w:t>
      </w:r>
      <w:r w:rsidRPr="00B11D29">
        <w:rPr>
          <w:rFonts w:asciiTheme="majorHAnsi" w:hAnsiTheme="majorHAnsi"/>
          <w:sz w:val="16"/>
          <w:szCs w:val="16"/>
        </w:rPr>
        <w:t xml:space="preserve">, Concrete Form Walls, Inc., 346 NLRB 831 (2006); </w:t>
      </w:r>
      <w:r w:rsidRPr="00B11D29">
        <w:rPr>
          <w:rFonts w:asciiTheme="majorHAnsi" w:hAnsiTheme="majorHAnsi"/>
          <w:i/>
          <w:sz w:val="16"/>
          <w:szCs w:val="16"/>
        </w:rPr>
        <w:t>Chellen v. John Pickle Co.</w:t>
      </w:r>
      <w:r w:rsidRPr="00B11D29">
        <w:rPr>
          <w:rFonts w:asciiTheme="majorHAnsi" w:hAnsiTheme="majorHAnsi"/>
          <w:sz w:val="16"/>
          <w:szCs w:val="16"/>
        </w:rPr>
        <w:t xml:space="preserve">, 344 F.Supp.2d 1278 (N.D. Okla. 2004) (holding that a worker not authorized to work was still covered by FLSA); </w:t>
      </w:r>
      <w:r w:rsidRPr="00B11D29">
        <w:rPr>
          <w:rFonts w:asciiTheme="majorHAnsi" w:hAnsiTheme="majorHAnsi"/>
          <w:i/>
          <w:sz w:val="16"/>
          <w:szCs w:val="16"/>
        </w:rPr>
        <w:t>Flores v. Amigon</w:t>
      </w:r>
      <w:r w:rsidRPr="00B11D29">
        <w:rPr>
          <w:rFonts w:asciiTheme="majorHAnsi" w:hAnsiTheme="majorHAnsi"/>
          <w:sz w:val="16"/>
          <w:szCs w:val="16"/>
        </w:rPr>
        <w:t xml:space="preserve">, 233 F.Supp.2d 462, 463 (E.D.N.Y. 2002) (holding that the FLSA applies to employees regardless of immigration status)). </w:t>
      </w:r>
    </w:p>
  </w:footnote>
  <w:footnote w:id="27">
    <w:p w14:paraId="287FDF35"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State’s Response, p. 20 (citing </w:t>
      </w:r>
      <w:r w:rsidRPr="00B11D29">
        <w:rPr>
          <w:rFonts w:asciiTheme="majorHAnsi" w:hAnsiTheme="majorHAnsi"/>
          <w:i/>
          <w:sz w:val="16"/>
          <w:szCs w:val="16"/>
        </w:rPr>
        <w:t>Reinforced Earth Co. v. Workers’ Compensation Appeal Bd</w:t>
      </w:r>
      <w:r w:rsidRPr="00B11D29">
        <w:rPr>
          <w:rFonts w:asciiTheme="majorHAnsi" w:hAnsiTheme="majorHAnsi"/>
          <w:sz w:val="16"/>
          <w:szCs w:val="16"/>
        </w:rPr>
        <w:t xml:space="preserve">., 570 Pa. 464, 467 (Pa. 2002). </w:t>
      </w:r>
    </w:p>
  </w:footnote>
  <w:footnote w:id="28">
    <w:p w14:paraId="1CE31F3B"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Article 43(1) of the Rules of Procedure of the Inter-American Commission on Human Rights provides that: “The Commission shall deliberate on the merits of the case, to which end it shall prepare a report in which it will examine the arguments, the evidence presented by the parties, and the information obtained during hearings and on-site observations. In addition, the Commission may take into account other information that is a matter of public knowledge.”  </w:t>
      </w:r>
    </w:p>
  </w:footnote>
  <w:footnote w:id="29">
    <w:p w14:paraId="5031CEBC"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State’s Response, p. 4. </w:t>
      </w:r>
    </w:p>
  </w:footnote>
  <w:footnote w:id="30">
    <w:p w14:paraId="21D4D3E5" w14:textId="2FCF01CC"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Exhibit A (2) to Petitioners’ document dated Nov. 1, 2006, Decl. of Leopoldo Zumaya, paras. 2, 4-5.</w:t>
      </w:r>
    </w:p>
  </w:footnote>
  <w:footnote w:id="31">
    <w:p w14:paraId="7CD1CA9C" w14:textId="27B71349"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Petitioners’ document dated Nov. 1, 2006 at p. 24. </w:t>
      </w:r>
    </w:p>
  </w:footnote>
  <w:footnote w:id="32">
    <w:p w14:paraId="1756BB62" w14:textId="50D3174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Exhibit A (2) to Petitioners’ document dated Nov. 1, 2006, Decl. of Leopoldo Zumaya, para. 8. </w:t>
      </w:r>
    </w:p>
  </w:footnote>
  <w:footnote w:id="33">
    <w:p w14:paraId="6E7DDE29" w14:textId="733B7D72"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 xml:space="preserve">Cf. </w:t>
      </w:r>
      <w:r w:rsidRPr="00B11D29">
        <w:rPr>
          <w:rFonts w:asciiTheme="majorHAnsi" w:hAnsiTheme="majorHAnsi"/>
          <w:sz w:val="16"/>
          <w:szCs w:val="16"/>
        </w:rPr>
        <w:t xml:space="preserve">Petitioners’ Supplemental Information (Mar. 5, 2010), p. 2 (citing the declaration of Mr. Zumaya’s attorney, Andrew Touchstone, who, at the time of the declaration had 18 years of experience in the area of workers’ compensation and alleged that Mr. Zumaya could have received between $85,000-100,000 in the settlement had he been a U.S. citizen). The State did not directly refute this contention, although it did refute the context of the argument.  </w:t>
      </w:r>
    </w:p>
  </w:footnote>
  <w:footnote w:id="34">
    <w:p w14:paraId="6874718D"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State’s Response, p. 4. </w:t>
      </w:r>
    </w:p>
  </w:footnote>
  <w:footnote w:id="35">
    <w:p w14:paraId="56351FBD" w14:textId="696608D1"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Exhibit A (4) to Petitioners’ document dated Nov. 1, 2006, Decl. of Francisco Berumen Lizalde, paras. 5-6.</w:t>
      </w:r>
    </w:p>
  </w:footnote>
  <w:footnote w:id="36">
    <w:p w14:paraId="4F0F769E" w14:textId="3384B29F"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Petitioners’ document dated Nov. 1, 2006 at p. 25. </w:t>
      </w:r>
    </w:p>
  </w:footnote>
  <w:footnote w:id="37">
    <w:p w14:paraId="1F4666E3" w14:textId="6569B742"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Exhibit A (4) to Petitioners’ document dated Nov. 1, 2006, Decl. of Francisco Berumen Lizalde, para. 9.</w:t>
      </w:r>
    </w:p>
  </w:footnote>
  <w:footnote w:id="38">
    <w:p w14:paraId="6AE5E3FC" w14:textId="0898501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Exhibit A (4)(i) to Petitioners’ document dated Nov. 1, 2006. Decl. of Michael Snider, paras. 5-8.</w:t>
      </w:r>
    </w:p>
  </w:footnote>
  <w:footnote w:id="39">
    <w:p w14:paraId="6070A2E2" w14:textId="189E373B" w:rsidR="00E54CE8" w:rsidRPr="00B11D29" w:rsidRDefault="00E54CE8" w:rsidP="00B11D29">
      <w:pPr>
        <w:pStyle w:val="FootnoteText"/>
        <w:spacing w:before="120"/>
        <w:ind w:firstLine="720"/>
        <w:jc w:val="both"/>
        <w:rPr>
          <w:rFonts w:asciiTheme="majorHAnsi" w:hAnsiTheme="majorHAnsi"/>
          <w:sz w:val="16"/>
          <w:szCs w:val="16"/>
        </w:rPr>
      </w:pPr>
      <w:r w:rsidRPr="00B11D29">
        <w:rPr>
          <w:rFonts w:asciiTheme="majorHAnsi" w:hAnsiTheme="majorHAnsi"/>
          <w:color w:val="auto"/>
          <w:sz w:val="16"/>
          <w:szCs w:val="16"/>
          <w:bdr w:val="none" w:sz="0" w:space="0" w:color="auto"/>
          <w:vertAlign w:val="superscript"/>
          <w:lang w:eastAsia="en-US"/>
        </w:rPr>
        <w:footnoteRef/>
      </w:r>
      <w:r w:rsidRPr="00B11D29">
        <w:rPr>
          <w:rFonts w:asciiTheme="majorHAnsi" w:hAnsiTheme="majorHAnsi" w:cs="Times New Roman"/>
          <w:color w:val="auto"/>
          <w:sz w:val="16"/>
          <w:szCs w:val="16"/>
          <w:bdr w:val="none" w:sz="0" w:space="0" w:color="auto"/>
          <w:vertAlign w:val="superscript"/>
          <w:lang w:eastAsia="en-US"/>
        </w:rPr>
        <w:t xml:space="preserve"> </w:t>
      </w:r>
      <w:r w:rsidRPr="00B11D29">
        <w:rPr>
          <w:rFonts w:asciiTheme="majorHAnsi" w:hAnsiTheme="majorHAnsi" w:cs="Times New Roman"/>
          <w:color w:val="auto"/>
          <w:sz w:val="16"/>
          <w:szCs w:val="16"/>
          <w:bdr w:val="none" w:sz="0" w:space="0" w:color="auto"/>
          <w:lang w:eastAsia="en-US"/>
        </w:rPr>
        <w:t>Generally speaking, the Commission understands “backpay” to mean past wages to which an employee is entitled due to unlawful employment practices that resulted in his or her inability to earn wages or to collect the full amount of wages earned, whereas “wage loss” compensation is designed to pay employees part of their normal wages when a work-related disability or injury prevents them from working.</w:t>
      </w:r>
      <w:r w:rsidRPr="00B11D29">
        <w:rPr>
          <w:rFonts w:asciiTheme="majorHAnsi" w:hAnsiTheme="majorHAnsi"/>
          <w:sz w:val="16"/>
          <w:szCs w:val="16"/>
        </w:rPr>
        <w:t xml:space="preserve">  </w:t>
      </w:r>
    </w:p>
  </w:footnote>
  <w:footnote w:id="40">
    <w:p w14:paraId="10682C5E"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306 NLRB 100 (1992). </w:t>
      </w:r>
    </w:p>
  </w:footnote>
  <w:footnote w:id="41">
    <w:p w14:paraId="077AC255"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314 NLRB 683, 685-86 (1994). </w:t>
      </w:r>
    </w:p>
  </w:footnote>
  <w:footnote w:id="42">
    <w:p w14:paraId="0B7DE27E"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326 NLRB 1060 (1998).</w:t>
      </w:r>
    </w:p>
  </w:footnote>
  <w:footnote w:id="43">
    <w:p w14:paraId="13FBB10B" w14:textId="664D9764"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See </w:t>
      </w:r>
      <w:r w:rsidRPr="00B11D29">
        <w:rPr>
          <w:rFonts w:asciiTheme="majorHAnsi" w:hAnsiTheme="majorHAnsi"/>
          <w:i/>
          <w:sz w:val="16"/>
          <w:szCs w:val="16"/>
        </w:rPr>
        <w:t>infra</w:t>
      </w:r>
      <w:r w:rsidRPr="00B11D29">
        <w:rPr>
          <w:rFonts w:asciiTheme="majorHAnsi" w:hAnsiTheme="majorHAnsi"/>
          <w:sz w:val="16"/>
          <w:szCs w:val="16"/>
        </w:rPr>
        <w:t xml:space="preserve"> at para. 57 for more information on the Immigration Reform and Control Act. </w:t>
      </w:r>
    </w:p>
  </w:footnote>
  <w:footnote w:id="44">
    <w:p w14:paraId="7766A44E"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326 NLRB at 1060 (citing </w:t>
      </w:r>
      <w:r w:rsidRPr="00B11D29">
        <w:rPr>
          <w:rFonts w:asciiTheme="majorHAnsi" w:hAnsiTheme="majorHAnsi"/>
          <w:i/>
          <w:sz w:val="16"/>
          <w:szCs w:val="16"/>
        </w:rPr>
        <w:t>A.P.R.A. Fuel Oil Buyers Group</w:t>
      </w:r>
      <w:r w:rsidRPr="00B11D29">
        <w:rPr>
          <w:rFonts w:asciiTheme="majorHAnsi" w:hAnsiTheme="majorHAnsi"/>
          <w:sz w:val="16"/>
          <w:szCs w:val="16"/>
        </w:rPr>
        <w:t xml:space="preserve">, 320 NLRB 408 (1995), aff’d 134 F.3d 50 (2d Cir. 1997).  </w:t>
      </w:r>
    </w:p>
  </w:footnote>
  <w:footnote w:id="45">
    <w:p w14:paraId="37BA4ECE"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326 NLRB at 1061-062. </w:t>
      </w:r>
    </w:p>
  </w:footnote>
  <w:footnote w:id="46">
    <w:p w14:paraId="016E0217"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208 F.3d 229 (D.C. Cir. 2000). </w:t>
      </w:r>
    </w:p>
  </w:footnote>
  <w:footnote w:id="47">
    <w:p w14:paraId="7452EA3E" w14:textId="77777777" w:rsidR="00E54CE8" w:rsidRPr="00526E0B" w:rsidRDefault="00E54CE8" w:rsidP="00B11D29">
      <w:pPr>
        <w:pStyle w:val="Footnotes"/>
        <w:spacing w:before="120" w:after="0"/>
        <w:rPr>
          <w:rFonts w:asciiTheme="majorHAnsi" w:hAnsiTheme="majorHAnsi"/>
          <w:sz w:val="16"/>
          <w:szCs w:val="16"/>
          <w:lang w:val="fr-CA"/>
        </w:rPr>
      </w:pPr>
      <w:r w:rsidRPr="00B11D29">
        <w:rPr>
          <w:rStyle w:val="FootnoteReference"/>
          <w:rFonts w:asciiTheme="majorHAnsi" w:hAnsiTheme="majorHAnsi"/>
          <w:sz w:val="16"/>
          <w:szCs w:val="16"/>
        </w:rPr>
        <w:footnoteRef/>
      </w:r>
      <w:r w:rsidRPr="00526E0B">
        <w:rPr>
          <w:rFonts w:asciiTheme="majorHAnsi" w:hAnsiTheme="majorHAnsi"/>
          <w:sz w:val="16"/>
          <w:szCs w:val="16"/>
          <w:lang w:val="fr-CA"/>
        </w:rPr>
        <w:t xml:space="preserve"> 237 F.3d 639 (D.C. Cir. 2001). </w:t>
      </w:r>
    </w:p>
  </w:footnote>
  <w:footnote w:id="48">
    <w:p w14:paraId="2BF14E14" w14:textId="77777777" w:rsidR="00E54CE8" w:rsidRPr="00526E0B" w:rsidRDefault="00E54CE8" w:rsidP="00B11D29">
      <w:pPr>
        <w:pStyle w:val="Footnotes"/>
        <w:spacing w:before="120" w:after="0"/>
        <w:rPr>
          <w:rFonts w:asciiTheme="majorHAnsi" w:hAnsiTheme="majorHAnsi"/>
          <w:sz w:val="16"/>
          <w:szCs w:val="16"/>
          <w:lang w:val="fr-CA"/>
        </w:rPr>
      </w:pPr>
      <w:r w:rsidRPr="00B11D29">
        <w:rPr>
          <w:rStyle w:val="FootnoteReference"/>
          <w:rFonts w:asciiTheme="majorHAnsi" w:hAnsiTheme="majorHAnsi"/>
          <w:sz w:val="16"/>
          <w:szCs w:val="16"/>
        </w:rPr>
        <w:footnoteRef/>
      </w:r>
      <w:r w:rsidRPr="00526E0B">
        <w:rPr>
          <w:rFonts w:asciiTheme="majorHAnsi" w:hAnsiTheme="majorHAnsi"/>
          <w:sz w:val="16"/>
          <w:szCs w:val="16"/>
          <w:lang w:val="fr-CA"/>
        </w:rPr>
        <w:t xml:space="preserve"> 535 US 137 (2001), Syllabus. </w:t>
      </w:r>
    </w:p>
  </w:footnote>
  <w:footnote w:id="49">
    <w:p w14:paraId="634D1687"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467 US 883 (1984).</w:t>
      </w:r>
    </w:p>
  </w:footnote>
  <w:footnote w:id="50">
    <w:p w14:paraId="3DE4D7D5"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467 US 883, Syllabus.</w:t>
      </w:r>
    </w:p>
  </w:footnote>
  <w:footnote w:id="51">
    <w:p w14:paraId="2B22CBF0"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467 US at 899-900, no. 9; </w:t>
      </w:r>
      <w:r w:rsidRPr="00B11D29">
        <w:rPr>
          <w:rFonts w:asciiTheme="majorHAnsi" w:hAnsiTheme="majorHAnsi"/>
          <w:i/>
          <w:sz w:val="16"/>
          <w:szCs w:val="16"/>
        </w:rPr>
        <w:t>see also</w:t>
      </w:r>
      <w:r w:rsidRPr="00B11D29">
        <w:rPr>
          <w:rFonts w:asciiTheme="majorHAnsi" w:hAnsiTheme="majorHAnsi"/>
          <w:sz w:val="16"/>
          <w:szCs w:val="16"/>
        </w:rPr>
        <w:t xml:space="preserve"> 237 F.3d 639, 644 (DDC 2001).</w:t>
      </w:r>
    </w:p>
  </w:footnote>
  <w:footnote w:id="52">
    <w:p w14:paraId="70F67C9E"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467 US at 901 n. 11. </w:t>
      </w:r>
    </w:p>
  </w:footnote>
  <w:footnote w:id="53">
    <w:p w14:paraId="3B17AFB6" w14:textId="2F1651D9"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467 US at 903-04. However, as Justice Brennan’s dissenting opinion in </w:t>
      </w:r>
      <w:r w:rsidRPr="00B11D29">
        <w:rPr>
          <w:rFonts w:asciiTheme="majorHAnsi" w:hAnsiTheme="majorHAnsi"/>
          <w:i/>
          <w:sz w:val="16"/>
          <w:szCs w:val="16"/>
        </w:rPr>
        <w:t>Sure-Tan</w:t>
      </w:r>
      <w:r w:rsidRPr="00B11D29">
        <w:rPr>
          <w:rFonts w:asciiTheme="majorHAnsi" w:hAnsiTheme="majorHAnsi"/>
          <w:sz w:val="16"/>
          <w:szCs w:val="16"/>
        </w:rPr>
        <w:t xml:space="preserve"> contends, “it is clear that the Board’s decision to support the backpay award ordered by the Court of Appeals rests squarely upon its own judgement that this award estimates with a fair degree of precision the period that these employees would have continued working for petitions had petitioners not reported them to the INS. Indeed, as the Board points out, such an award is no more speculative or conjectural than those developed in other situations commonly confronted by the Board in which it is not clear how long an employment relationship would have continued in the absence of an unfair labor practice,” (citing </w:t>
      </w:r>
      <w:r w:rsidRPr="00B11D29">
        <w:rPr>
          <w:rFonts w:asciiTheme="majorHAnsi" w:hAnsiTheme="majorHAnsi"/>
          <w:i/>
          <w:sz w:val="16"/>
          <w:szCs w:val="16"/>
        </w:rPr>
        <w:t>Buncher v. NLRB</w:t>
      </w:r>
      <w:r w:rsidRPr="00B11D29">
        <w:rPr>
          <w:rFonts w:asciiTheme="majorHAnsi" w:hAnsiTheme="majorHAnsi"/>
          <w:sz w:val="16"/>
          <w:szCs w:val="16"/>
        </w:rPr>
        <w:t xml:space="preserve">, 405 F.2d 789-90 (3d Cir. 1968) (in establishing that an estimate must be made of the income these employees would have earned but for the petitioners’ unfair labor practices).  </w:t>
      </w:r>
    </w:p>
  </w:footnote>
  <w:footnote w:id="54">
    <w:p w14:paraId="787C91E2" w14:textId="514F0CF2"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467 US at 904-05.</w:t>
      </w:r>
    </w:p>
  </w:footnote>
  <w:footnote w:id="55">
    <w:p w14:paraId="36B9232C" w14:textId="7727F1E9"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535 US 137, 149.</w:t>
      </w:r>
    </w:p>
  </w:footnote>
  <w:footnote w:id="56">
    <w:p w14:paraId="77022E33" w14:textId="59AAA5AB"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535 US 137, 151.</w:t>
      </w:r>
    </w:p>
  </w:footnote>
  <w:footnote w:id="57">
    <w:p w14:paraId="72355751" w14:textId="199A1D86"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Style w:val="FootnoteReference"/>
          <w:rFonts w:asciiTheme="majorHAnsi" w:hAnsiTheme="majorHAnsi"/>
          <w:sz w:val="16"/>
          <w:szCs w:val="16"/>
          <w:vertAlign w:val="baseline"/>
        </w:rPr>
        <w:t xml:space="preserve"> In Petitioners’ document dated Nov. 1, 2006, p. 8, the Petitioners cite the Pew Hispanic Center, which estimated that in March 2005, there were approximately 11.5 – 12 million undocumented immigrants living in the United States. Of those, an estimated 7.2 million unauthorized immigrants were employed in March 2005, constituting 4.9% of the U.S. civilian labor force.</w:t>
      </w:r>
      <w:r w:rsidRPr="00B11D29">
        <w:rPr>
          <w:rFonts w:asciiTheme="majorHAnsi" w:hAnsiTheme="majorHAnsi"/>
          <w:sz w:val="16"/>
          <w:szCs w:val="16"/>
        </w:rPr>
        <w:t xml:space="preserve"> The United States did not dispute these estimates in its Response dated June 26, 2014.</w:t>
      </w:r>
    </w:p>
  </w:footnote>
  <w:footnote w:id="58">
    <w:p w14:paraId="2D7198D2" w14:textId="1722CCB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To be used herein interchangeably with the term “undocumented [immigrant] workers.” </w:t>
      </w:r>
    </w:p>
  </w:footnote>
  <w:footnote w:id="59">
    <w:p w14:paraId="7A008AF3"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Migration Policy Institute (MPI), Data Hub, “Unauthorized Immigrant Population: United States,” http://www.migrationpolicy.org/data/unauthorized-immigrant-population/state/US (last accessed May 28, 2015) (data is MPI’s analysis of U.S. Census Bureau data from the 2013 American Community Survey (ACS), 2009-2013, and the 2008 Survey of Income and Program Participation (SIPP) by James Bachmeier of Temple University and Jennifer Van Hook of The Pennsylvania State University, Population Research Institute). </w:t>
      </w:r>
    </w:p>
  </w:footnote>
  <w:footnote w:id="60">
    <w:p w14:paraId="01DF843E"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Id</w:t>
      </w:r>
      <w:r w:rsidRPr="00B11D29">
        <w:rPr>
          <w:rFonts w:asciiTheme="majorHAnsi" w:hAnsiTheme="majorHAnsi"/>
          <w:sz w:val="16"/>
          <w:szCs w:val="16"/>
        </w:rPr>
        <w:t xml:space="preserve">. </w:t>
      </w:r>
    </w:p>
  </w:footnote>
  <w:footnote w:id="61">
    <w:p w14:paraId="76E0EAA7"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Jeffrey Passel and D’Vera Cohn, “Immigrant Workers in Production, Construction Jobs Falls Since 2007: In States, Hospitality, Manufacturing and Construction are Top Industries,” Pew Research Center (March 2015), p. 5-6. </w:t>
      </w:r>
    </w:p>
  </w:footnote>
  <w:footnote w:id="62">
    <w:p w14:paraId="2D970859"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Id</w:t>
      </w:r>
      <w:r w:rsidRPr="00B11D29">
        <w:rPr>
          <w:rFonts w:asciiTheme="majorHAnsi" w:hAnsiTheme="majorHAnsi"/>
          <w:sz w:val="16"/>
          <w:szCs w:val="16"/>
        </w:rPr>
        <w:t xml:space="preserve">. at p. 5. Note: This figure varies among the states: in the west and northeast (and Florida), leisure and hospitality is the largest industry among unauthorized immigrant workers; in most southern states, the principal industry is construction; and in the Midwest, manufacturing is the dominant employer.  </w:t>
      </w:r>
      <w:r w:rsidRPr="00B11D29">
        <w:rPr>
          <w:rFonts w:asciiTheme="majorHAnsi" w:hAnsiTheme="majorHAnsi"/>
          <w:i/>
          <w:sz w:val="16"/>
          <w:szCs w:val="16"/>
        </w:rPr>
        <w:t>Id</w:t>
      </w:r>
      <w:r w:rsidRPr="00B11D29">
        <w:rPr>
          <w:rFonts w:asciiTheme="majorHAnsi" w:hAnsiTheme="majorHAnsi"/>
          <w:sz w:val="16"/>
          <w:szCs w:val="16"/>
        </w:rPr>
        <w:t xml:space="preserve">. at p. 6. </w:t>
      </w:r>
    </w:p>
  </w:footnote>
  <w:footnote w:id="63">
    <w:p w14:paraId="16281CAB" w14:textId="604B70E2"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Id</w:t>
      </w:r>
      <w:r w:rsidRPr="00B11D29">
        <w:rPr>
          <w:rFonts w:asciiTheme="majorHAnsi" w:hAnsiTheme="majorHAnsi"/>
          <w:sz w:val="16"/>
          <w:szCs w:val="16"/>
        </w:rPr>
        <w:t>. at p. 4.</w:t>
      </w:r>
    </w:p>
  </w:footnote>
  <w:footnote w:id="64">
    <w:p w14:paraId="1BE099E6"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Id</w:t>
      </w:r>
      <w:r w:rsidRPr="00B11D29">
        <w:rPr>
          <w:rFonts w:asciiTheme="majorHAnsi" w:hAnsiTheme="majorHAnsi"/>
          <w:sz w:val="16"/>
          <w:szCs w:val="16"/>
        </w:rPr>
        <w:t xml:space="preserve">. at p. 9. </w:t>
      </w:r>
    </w:p>
  </w:footnote>
  <w:footnote w:id="65">
    <w:p w14:paraId="127CD4DD"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U.S. Department of Labor, Bureau of Labor Statistics, “Table A-7. Fatal occupational injuries by worker characteristics and event or exposure, all United States, 2013,” http://www.bls.gov/iif/oshwc/cfoi/cftb0283.pdf (last accessed June 1, 2015); Bureau of Labor Statistics, “Census of Fatal Occupational Injuries: All Charts” (2015), p. 12, http://www.bls.gov/iif/oshwc/cfoi/cfch0012.pdf.</w:t>
      </w:r>
    </w:p>
  </w:footnote>
  <w:footnote w:id="66">
    <w:p w14:paraId="14DFFA74" w14:textId="69ECE1FD"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Fatal injuries involving undocumented workers are included in these figures provided they meet the other work-relationship criteria. The U.S. Bureau of Labor does not, however, break down its figures according to the work authorization status of the workers involved, so the number of foreign-born workers is an approximation. </w:t>
      </w:r>
      <w:r w:rsidRPr="00B11D29">
        <w:rPr>
          <w:rFonts w:asciiTheme="majorHAnsi" w:hAnsiTheme="majorHAnsi"/>
          <w:i/>
          <w:sz w:val="16"/>
          <w:szCs w:val="16"/>
        </w:rPr>
        <w:t>See</w:t>
      </w:r>
      <w:r w:rsidRPr="00B11D29">
        <w:rPr>
          <w:rFonts w:asciiTheme="majorHAnsi" w:hAnsiTheme="majorHAnsi"/>
          <w:sz w:val="16"/>
          <w:szCs w:val="16"/>
        </w:rPr>
        <w:t xml:space="preserve"> U.S. Bureau of Labor Statistics, Injuries, Illnesses, and Fatalities, “Census of Fatal Occupational Injuries (CFOI): Definitions” (last modified date Apr. 22, 2015), http://www.bls.gov/iif/oshcfdef.htm.</w:t>
      </w:r>
    </w:p>
  </w:footnote>
  <w:footnote w:id="67">
    <w:p w14:paraId="6B292A95" w14:textId="58C243D2"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U.S. Department of Labor, Bureau of Labor Statistics, Survey of Occupational Injuries and Illnesses in cooperation with participating State agencies, “Table R72. Number and percent distribution of nonfatal occupational injuries and illnesses involving days away from work by selected worker characteristics and number of days away from work, and median number of days away from work, private industry, 2013” http://www.bls.gov/iif/oshwc/osh/case/ostb4052.pdf. In total, there were 917,130 total nonfatal injuries recorded in private industry in 2013. Of that total, race or ethnic origin was not recorded in 336,830 of those cases, and incidents on farms with fewer than 11 employees were not recorded, either. Thus, the total number of incidents with race recorded was 580,300; of that number, 124,330 (21.4%) were “Hispanic or Latino only” and another 940 were “Hispanic or Latino and other race” (for a combined total of 21.6%). Due to the gaps in this data, including the lack of information on the immigration situation of the injured workers, the number of nonfatal incidents is used herein for illustrative purposes only. </w:t>
      </w:r>
    </w:p>
  </w:footnote>
  <w:footnote w:id="68">
    <w:p w14:paraId="59FEE0A0"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U.S. Department of Labor, Strategic Plan Fiscal Years 2014-2018, p. 33-34, http://www.dol.gov/_sec/stratplan/FY2014-2018StrategicPlan.pdf; OSHA, Strategic Management Plan 2003-2008, https://www.osha.gov/StratPlanPublic/strategicmanagementplan-final.html.</w:t>
      </w:r>
    </w:p>
  </w:footnote>
  <w:footnote w:id="69">
    <w:p w14:paraId="21FC38C3"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Matthew Gardner, Sebastian Johnson and Meg Wiehe, </w:t>
      </w:r>
      <w:r w:rsidRPr="00B11D29">
        <w:rPr>
          <w:rFonts w:asciiTheme="majorHAnsi" w:hAnsiTheme="majorHAnsi"/>
          <w:i/>
          <w:sz w:val="16"/>
          <w:szCs w:val="16"/>
        </w:rPr>
        <w:t>Undocumented Immigrants’ State &amp; Local Tax Contributions</w:t>
      </w:r>
      <w:r w:rsidRPr="00B11D29">
        <w:rPr>
          <w:rFonts w:asciiTheme="majorHAnsi" w:hAnsiTheme="majorHAnsi"/>
          <w:sz w:val="16"/>
          <w:szCs w:val="16"/>
        </w:rPr>
        <w:t>, The Institute on Taxation &amp; Economic Policy (ITEP) (Apr. 2015), p. 1 (“ITEP Report”).</w:t>
      </w:r>
    </w:p>
  </w:footnote>
  <w:footnote w:id="70">
    <w:p w14:paraId="6E0C9B02"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ITEP Report at p.2</w:t>
      </w:r>
    </w:p>
  </w:footnote>
  <w:footnote w:id="71">
    <w:p w14:paraId="51E02548" w14:textId="11218074"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Id</w:t>
      </w:r>
      <w:r w:rsidRPr="00B11D29">
        <w:rPr>
          <w:rFonts w:asciiTheme="majorHAnsi" w:hAnsiTheme="majorHAnsi"/>
          <w:sz w:val="16"/>
          <w:szCs w:val="16"/>
        </w:rPr>
        <w:t>.</w:t>
      </w:r>
    </w:p>
  </w:footnote>
  <w:footnote w:id="72">
    <w:p w14:paraId="611A2DCF" w14:textId="24C0275A"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SSA, Office of the Chief Actuary, “Effects of Unauthorized Immigration on the Actuarial Status of the Social Security Trust Funds,” Actuarial Note No. 151 (Apr. 2013), p. 3, http://www.socialsecurity.gov/OACT/NOTES/pdf_notes/note151.pdf (estimating that undocumented workers contributed as much as $13 billion in payroll taxes to the social security system and only about $1 billion in benefit payments are attributable to unauthorized work, thus arriving at the $12 billion surplus).  In fact, the Social Security Administration (SSA) has recognized that, without the monetary contributions of undocumented workers, it </w:t>
      </w:r>
      <w:r w:rsidRPr="00B11D29">
        <w:rPr>
          <w:rStyle w:val="FootnoteReference"/>
          <w:rFonts w:asciiTheme="majorHAnsi" w:hAnsiTheme="majorHAnsi"/>
          <w:sz w:val="16"/>
          <w:szCs w:val="16"/>
          <w:vertAlign w:val="baseline"/>
        </w:rPr>
        <w:t xml:space="preserve">would have “entered into a persistent shortfall of tax revenue to cover payouts starting in 2009. </w:t>
      </w:r>
      <w:r w:rsidRPr="00B11D29">
        <w:rPr>
          <w:rStyle w:val="FootnoteReference"/>
          <w:rFonts w:asciiTheme="majorHAnsi" w:hAnsiTheme="majorHAnsi"/>
          <w:i/>
          <w:sz w:val="16"/>
          <w:szCs w:val="16"/>
          <w:vertAlign w:val="baseline"/>
        </w:rPr>
        <w:t>See</w:t>
      </w:r>
      <w:r w:rsidRPr="00B11D29">
        <w:rPr>
          <w:rStyle w:val="FootnoteReference"/>
          <w:rFonts w:asciiTheme="majorHAnsi" w:hAnsiTheme="majorHAnsi"/>
          <w:sz w:val="16"/>
          <w:szCs w:val="16"/>
          <w:vertAlign w:val="baseline"/>
        </w:rPr>
        <w:t xml:space="preserve"> Maria Santana, “5 Immigration Myths Debunked,” CNN Money (Nov. 20, 2011), http://money.cnn.com/2014/11/20/news/economy/immigration-myths/ (citing Stephen Gross, chief actuary of the SSA).</w:t>
      </w:r>
    </w:p>
  </w:footnote>
  <w:footnote w:id="73">
    <w:p w14:paraId="7879A8DA"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Other major provisions included: legalization of undocumented aliens who had been continuously unlawfully present since 1982, legalization of certain agricultural workers, and increased enforcement at U.S. borders. </w:t>
      </w:r>
      <w:r w:rsidRPr="00B11D29">
        <w:rPr>
          <w:rFonts w:asciiTheme="majorHAnsi" w:hAnsiTheme="majorHAnsi"/>
          <w:i/>
          <w:sz w:val="16"/>
          <w:szCs w:val="16"/>
        </w:rPr>
        <w:t>See</w:t>
      </w:r>
      <w:r w:rsidRPr="00B11D29">
        <w:rPr>
          <w:rFonts w:asciiTheme="majorHAnsi" w:hAnsiTheme="majorHAnsi"/>
          <w:sz w:val="16"/>
          <w:szCs w:val="16"/>
        </w:rPr>
        <w:t xml:space="preserve"> USCIS, “IRCA”, http://www.uscis.gov/tools/glossary/immigration-reform-and-control-act-1986-irca (last accessed May 26, 2015). </w:t>
      </w:r>
    </w:p>
  </w:footnote>
  <w:footnote w:id="74">
    <w:p w14:paraId="6E4FB7E4"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U.S. Citizenship and Immigration Services (USCIS), I-9 Employment Eligibility Verification (version May 2013), </w:t>
      </w:r>
      <w:hyperlink r:id="rId4" w:history="1">
        <w:r w:rsidRPr="00B11D29">
          <w:rPr>
            <w:rStyle w:val="Hyperlink"/>
            <w:rFonts w:asciiTheme="majorHAnsi" w:hAnsiTheme="majorHAnsi"/>
            <w:sz w:val="16"/>
            <w:szCs w:val="16"/>
          </w:rPr>
          <w:t>http://www.uscis.gov/i-9</w:t>
        </w:r>
      </w:hyperlink>
      <w:r w:rsidRPr="00B11D29">
        <w:rPr>
          <w:rFonts w:asciiTheme="majorHAnsi" w:hAnsiTheme="majorHAnsi"/>
          <w:sz w:val="16"/>
          <w:szCs w:val="16"/>
        </w:rPr>
        <w:t xml:space="preserve">; USCIS, Handbook for Employers: Guidance for Completing I-9, M-274, Rev 04/30/13, </w:t>
      </w:r>
      <w:hyperlink r:id="rId5" w:history="1">
        <w:r w:rsidRPr="00B11D29">
          <w:rPr>
            <w:rStyle w:val="Hyperlink"/>
            <w:rFonts w:asciiTheme="majorHAnsi" w:hAnsiTheme="majorHAnsi"/>
            <w:sz w:val="16"/>
            <w:szCs w:val="16"/>
          </w:rPr>
          <w:t>http://www.uscis.gov/sites/default/files/files/form/m-274.pdf</w:t>
        </w:r>
      </w:hyperlink>
      <w:r w:rsidRPr="00B11D29">
        <w:rPr>
          <w:rFonts w:asciiTheme="majorHAnsi" w:hAnsiTheme="majorHAnsi"/>
          <w:sz w:val="16"/>
          <w:szCs w:val="16"/>
        </w:rPr>
        <w:t xml:space="preserve">. </w:t>
      </w:r>
    </w:p>
  </w:footnote>
  <w:footnote w:id="75">
    <w:p w14:paraId="034E9A0C"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8 U.S.C. § 1324a(b)(1)(A)(ii).</w:t>
      </w:r>
    </w:p>
  </w:footnote>
  <w:footnote w:id="76">
    <w:p w14:paraId="002FD542" w14:textId="77777777" w:rsidR="00E54CE8" w:rsidRPr="00B11D29" w:rsidRDefault="00E54CE8" w:rsidP="00B11D29">
      <w:pPr>
        <w:pStyle w:val="Footnotes"/>
        <w:spacing w:before="120" w:after="0"/>
        <w:rPr>
          <w:rFonts w:asciiTheme="majorHAnsi" w:hAnsiTheme="majorHAnsi"/>
          <w:b/>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See</w:t>
      </w:r>
      <w:r w:rsidRPr="00B11D29">
        <w:rPr>
          <w:rFonts w:asciiTheme="majorHAnsi" w:hAnsiTheme="majorHAnsi"/>
          <w:sz w:val="16"/>
          <w:szCs w:val="16"/>
        </w:rPr>
        <w:t xml:space="preserve"> I/A Court H.R., I</w:t>
      </w:r>
      <w:r w:rsidRPr="00B11D29">
        <w:rPr>
          <w:rFonts w:asciiTheme="majorHAnsi" w:hAnsiTheme="majorHAnsi"/>
          <w:i/>
          <w:sz w:val="16"/>
          <w:szCs w:val="16"/>
        </w:rPr>
        <w:t>nterpretation of the American Declaration of the Rights and Duties of Man within the Framework of Article 64 of the American Convention on Human Rights</w:t>
      </w:r>
      <w:r w:rsidRPr="00B11D29">
        <w:rPr>
          <w:rFonts w:asciiTheme="majorHAnsi" w:hAnsiTheme="majorHAnsi"/>
          <w:sz w:val="16"/>
          <w:szCs w:val="16"/>
        </w:rPr>
        <w:t xml:space="preserve">. Advisory Opinion OC-10/89 of July 14, 1989. Series A No. 10, para. 37 (pointing out that in determining the legal status of the American Declaration, it is appropriate to look to the Inter-American system of today in the light of the evolution it has undergone since the adoption of the Declaration, rather than to examine the normative value and significance which that instrument was believed to have had in 1948). </w:t>
      </w:r>
      <w:r w:rsidRPr="00B11D29">
        <w:rPr>
          <w:rFonts w:asciiTheme="majorHAnsi" w:hAnsiTheme="majorHAnsi"/>
          <w:i/>
          <w:sz w:val="16"/>
          <w:szCs w:val="16"/>
        </w:rPr>
        <w:t xml:space="preserve">See also </w:t>
      </w:r>
      <w:r w:rsidRPr="00B11D29">
        <w:rPr>
          <w:rFonts w:asciiTheme="majorHAnsi" w:hAnsiTheme="majorHAnsi"/>
          <w:sz w:val="16"/>
          <w:szCs w:val="16"/>
        </w:rPr>
        <w:t>ICJ, Legal Consequences for States of the Continued Presence of South Africa in Namibia (South West Africa) notwithstanding Security Council Resolution 276 (1970), Advisory Opinion, I.C.J. Reports 1971, p. 16 ad 31 stating that "an international instrument must be interpreted and applied within the overall framework of the juridical system in force at the time of the interpretation").</w:t>
      </w:r>
    </w:p>
  </w:footnote>
  <w:footnote w:id="77">
    <w:p w14:paraId="2A984DD4"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 xml:space="preserve">See </w:t>
      </w:r>
      <w:r w:rsidRPr="00B11D29">
        <w:rPr>
          <w:rFonts w:asciiTheme="majorHAnsi" w:hAnsiTheme="majorHAnsi"/>
          <w:sz w:val="16"/>
          <w:szCs w:val="16"/>
        </w:rPr>
        <w:t xml:space="preserve">IACHR, </w:t>
      </w:r>
      <w:r w:rsidRPr="00B11D29">
        <w:rPr>
          <w:rFonts w:asciiTheme="majorHAnsi" w:hAnsiTheme="majorHAnsi"/>
          <w:i/>
          <w:sz w:val="16"/>
          <w:szCs w:val="16"/>
        </w:rPr>
        <w:t>Report of the Situation of Human Rights of Asylum Seekers within the Canadian Refugee Determination System</w:t>
      </w:r>
      <w:r w:rsidRPr="00B11D29">
        <w:rPr>
          <w:rFonts w:asciiTheme="majorHAnsi" w:hAnsiTheme="majorHAnsi"/>
          <w:sz w:val="16"/>
          <w:szCs w:val="16"/>
        </w:rPr>
        <w:t xml:space="preserve">, Doc. OEA/Ser.L/V/II.106, Doc. 40 rev. (February 28, 2000), para. 38; IACHR, </w:t>
      </w:r>
      <w:r w:rsidRPr="00B11D29">
        <w:rPr>
          <w:rFonts w:asciiTheme="majorHAnsi" w:hAnsiTheme="majorHAnsi"/>
          <w:i/>
          <w:sz w:val="16"/>
          <w:szCs w:val="16"/>
        </w:rPr>
        <w:t>Garza v. United States</w:t>
      </w:r>
      <w:r w:rsidRPr="00B11D29">
        <w:rPr>
          <w:rFonts w:asciiTheme="majorHAnsi" w:hAnsiTheme="majorHAnsi"/>
          <w:sz w:val="16"/>
          <w:szCs w:val="16"/>
        </w:rPr>
        <w:t>, Case No. 12.275, Annual Report of the IACHR 2000, paras. 88-89.</w:t>
      </w:r>
    </w:p>
  </w:footnote>
  <w:footnote w:id="78">
    <w:p w14:paraId="6D0E37B5"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cs="Arial"/>
          <w:i/>
          <w:sz w:val="16"/>
          <w:szCs w:val="16"/>
        </w:rPr>
        <w:t>See</w:t>
      </w:r>
      <w:r w:rsidRPr="00B11D29">
        <w:rPr>
          <w:rFonts w:asciiTheme="majorHAnsi" w:hAnsiTheme="majorHAnsi" w:cs="Arial"/>
          <w:sz w:val="16"/>
          <w:szCs w:val="16"/>
        </w:rPr>
        <w:t xml:space="preserve">, </w:t>
      </w:r>
      <w:r w:rsidRPr="00B11D29">
        <w:rPr>
          <w:rFonts w:asciiTheme="majorHAnsi" w:hAnsiTheme="majorHAnsi"/>
          <w:sz w:val="16"/>
          <w:szCs w:val="16"/>
        </w:rPr>
        <w:t xml:space="preserve">IACHR, Report Nº 80/11, Case 12.626, </w:t>
      </w:r>
      <w:r w:rsidRPr="00B11D29">
        <w:rPr>
          <w:rFonts w:asciiTheme="majorHAnsi" w:hAnsiTheme="majorHAnsi"/>
          <w:i/>
          <w:sz w:val="16"/>
          <w:szCs w:val="16"/>
        </w:rPr>
        <w:t>Jessica Lenahan (Gonzales) et al.</w:t>
      </w:r>
      <w:r w:rsidRPr="00B11D29">
        <w:rPr>
          <w:rFonts w:asciiTheme="majorHAnsi" w:hAnsiTheme="majorHAnsi"/>
          <w:sz w:val="16"/>
          <w:szCs w:val="16"/>
        </w:rPr>
        <w:t xml:space="preserve"> (United States), July 21, 2011, para. 107; </w:t>
      </w:r>
      <w:r w:rsidRPr="00B11D29">
        <w:rPr>
          <w:rFonts w:asciiTheme="majorHAnsi" w:hAnsiTheme="majorHAnsi" w:cs="Arial"/>
          <w:sz w:val="16"/>
          <w:szCs w:val="16"/>
        </w:rPr>
        <w:t xml:space="preserve">IACHR </w:t>
      </w:r>
      <w:r w:rsidRPr="00B11D29">
        <w:rPr>
          <w:rFonts w:asciiTheme="majorHAnsi" w:hAnsiTheme="majorHAnsi"/>
          <w:sz w:val="16"/>
          <w:szCs w:val="16"/>
        </w:rPr>
        <w:t xml:space="preserve">Report 40/04, Case 12.053, </w:t>
      </w:r>
      <w:r w:rsidRPr="00B11D29">
        <w:rPr>
          <w:rFonts w:asciiTheme="majorHAnsi" w:hAnsiTheme="majorHAnsi"/>
          <w:i/>
          <w:sz w:val="16"/>
          <w:szCs w:val="16"/>
        </w:rPr>
        <w:t>Maya Indigenous Community</w:t>
      </w:r>
      <w:r w:rsidRPr="00B11D29">
        <w:rPr>
          <w:rFonts w:asciiTheme="majorHAnsi" w:hAnsiTheme="majorHAnsi"/>
          <w:sz w:val="16"/>
          <w:szCs w:val="16"/>
        </w:rPr>
        <w:t xml:space="preserve"> (Belize), October 12, 2004, para. </w:t>
      </w:r>
      <w:r w:rsidRPr="00194535">
        <w:rPr>
          <w:rFonts w:asciiTheme="majorHAnsi" w:hAnsiTheme="majorHAnsi"/>
          <w:sz w:val="16"/>
          <w:szCs w:val="16"/>
          <w:lang w:val="es-ES"/>
        </w:rPr>
        <w:t xml:space="preserve">163;  IACHR Report 67/06, Case 12.476, </w:t>
      </w:r>
      <w:r w:rsidRPr="00194535">
        <w:rPr>
          <w:rFonts w:asciiTheme="majorHAnsi" w:hAnsiTheme="majorHAnsi"/>
          <w:i/>
          <w:sz w:val="16"/>
          <w:szCs w:val="16"/>
          <w:lang w:val="es-ES"/>
        </w:rPr>
        <w:t>Oscar Elías Bicet et al.</w:t>
      </w:r>
      <w:r w:rsidRPr="00194535">
        <w:rPr>
          <w:rFonts w:asciiTheme="majorHAnsi" w:hAnsiTheme="majorHAnsi"/>
          <w:sz w:val="16"/>
          <w:szCs w:val="16"/>
          <w:lang w:val="es-ES"/>
        </w:rPr>
        <w:t xml:space="preserve"> (Cuba), October 21, 2006, para. </w:t>
      </w:r>
      <w:r w:rsidRPr="00B11D29">
        <w:rPr>
          <w:rFonts w:asciiTheme="majorHAnsi" w:hAnsiTheme="majorHAnsi"/>
          <w:sz w:val="16"/>
          <w:szCs w:val="16"/>
        </w:rPr>
        <w:t xml:space="preserve">228; IACHR, </w:t>
      </w:r>
      <w:r w:rsidRPr="00B11D29">
        <w:rPr>
          <w:rFonts w:asciiTheme="majorHAnsi" w:hAnsiTheme="majorHAnsi"/>
          <w:i/>
          <w:sz w:val="16"/>
          <w:szCs w:val="16"/>
        </w:rPr>
        <w:t>Report on Terrorism and Human Rights</w:t>
      </w:r>
      <w:r w:rsidRPr="00B11D29">
        <w:rPr>
          <w:rFonts w:asciiTheme="majorHAnsi" w:hAnsiTheme="majorHAnsi"/>
          <w:sz w:val="16"/>
          <w:szCs w:val="16"/>
        </w:rPr>
        <w:t>, Doc. OEA/Ser.L./V/II.116 Doc. 5 rev. 1 corr. , 22 October 2002, para. 335.</w:t>
      </w:r>
    </w:p>
  </w:footnote>
  <w:footnote w:id="79">
    <w:p w14:paraId="557BFA5D" w14:textId="77777777" w:rsidR="00E54CE8" w:rsidRPr="00B11D29" w:rsidRDefault="00E54CE8" w:rsidP="00B11D29">
      <w:pPr>
        <w:pStyle w:val="FootnoteText"/>
        <w:spacing w:before="120"/>
        <w:ind w:firstLine="720"/>
        <w:jc w:val="both"/>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cs="Arial"/>
          <w:i/>
          <w:sz w:val="16"/>
          <w:szCs w:val="16"/>
        </w:rPr>
        <w:t>See, e.g</w:t>
      </w:r>
      <w:r w:rsidRPr="00B11D29">
        <w:rPr>
          <w:rFonts w:asciiTheme="majorHAnsi" w:hAnsiTheme="majorHAnsi" w:cs="Arial"/>
          <w:sz w:val="16"/>
          <w:szCs w:val="16"/>
        </w:rPr>
        <w:t>., International Covenant on Civil and Political Rights (Articles 2 and 26); International Covenant on Economic, Social and Cultural Rights (Articles 2.2 and 3); European Convention on Human Rights (Article 14); African Charter on Human and People’s Rights (Article 2).</w:t>
      </w:r>
    </w:p>
  </w:footnote>
  <w:footnote w:id="80">
    <w:p w14:paraId="104092F0" w14:textId="77777777" w:rsidR="00E54CE8" w:rsidRPr="00B11D29" w:rsidRDefault="00E54CE8" w:rsidP="00B11D29">
      <w:pPr>
        <w:pStyle w:val="FootnoteText"/>
        <w:spacing w:before="120"/>
        <w:ind w:firstLine="720"/>
        <w:jc w:val="both"/>
        <w:rPr>
          <w:rFonts w:asciiTheme="majorHAnsi" w:hAnsiTheme="majorHAnsi" w:cs="Arial"/>
          <w:sz w:val="16"/>
          <w:szCs w:val="16"/>
        </w:rPr>
      </w:pPr>
      <w:r w:rsidRPr="00B11D29">
        <w:rPr>
          <w:rStyle w:val="FootnoteReference"/>
          <w:rFonts w:asciiTheme="majorHAnsi" w:hAnsiTheme="majorHAnsi" w:cs="Arial"/>
          <w:sz w:val="16"/>
          <w:szCs w:val="16"/>
        </w:rPr>
        <w:footnoteRef/>
      </w:r>
      <w:r w:rsidRPr="00B11D29">
        <w:rPr>
          <w:rFonts w:asciiTheme="majorHAnsi" w:hAnsiTheme="majorHAnsi"/>
          <w:sz w:val="16"/>
          <w:szCs w:val="16"/>
        </w:rPr>
        <w:t xml:space="preserve"> </w:t>
      </w:r>
      <w:r w:rsidRPr="00B11D29">
        <w:rPr>
          <w:rFonts w:asciiTheme="majorHAnsi" w:hAnsiTheme="majorHAnsi" w:cs="Arial"/>
          <w:sz w:val="16"/>
          <w:szCs w:val="16"/>
        </w:rPr>
        <w:t xml:space="preserve">IACHR, </w:t>
      </w:r>
      <w:r w:rsidRPr="00B11D29">
        <w:rPr>
          <w:rFonts w:asciiTheme="majorHAnsi" w:hAnsiTheme="majorHAnsi"/>
          <w:sz w:val="16"/>
          <w:szCs w:val="16"/>
        </w:rPr>
        <w:t xml:space="preserve">Report Nº 40/04, Case 12.053, </w:t>
      </w:r>
      <w:r w:rsidRPr="00B11D29">
        <w:rPr>
          <w:rFonts w:asciiTheme="majorHAnsi" w:hAnsiTheme="majorHAnsi"/>
          <w:i/>
          <w:sz w:val="16"/>
          <w:szCs w:val="16"/>
        </w:rPr>
        <w:t>Maya Indigenous Community</w:t>
      </w:r>
      <w:r w:rsidRPr="00B11D29">
        <w:rPr>
          <w:rFonts w:asciiTheme="majorHAnsi" w:hAnsiTheme="majorHAnsi"/>
          <w:sz w:val="16"/>
          <w:szCs w:val="16"/>
        </w:rPr>
        <w:t xml:space="preserve"> (Belize), October 12, 2004, para. 162.</w:t>
      </w:r>
    </w:p>
  </w:footnote>
  <w:footnote w:id="81">
    <w:p w14:paraId="1851A9CD" w14:textId="77777777" w:rsidR="00E54CE8" w:rsidRPr="00B11D29" w:rsidRDefault="00E54CE8" w:rsidP="00B11D29">
      <w:pPr>
        <w:pStyle w:val="Footnotes"/>
        <w:spacing w:before="120" w:after="0"/>
        <w:rPr>
          <w:rFonts w:asciiTheme="majorHAnsi" w:hAnsiTheme="majorHAnsi" w:cs="Arial"/>
          <w:sz w:val="16"/>
          <w:szCs w:val="16"/>
        </w:rPr>
      </w:pPr>
      <w:r w:rsidRPr="00B11D29">
        <w:rPr>
          <w:rStyle w:val="FootnoteReference"/>
          <w:rFonts w:asciiTheme="majorHAnsi" w:hAnsiTheme="majorHAnsi" w:cs="Arial"/>
          <w:sz w:val="16"/>
          <w:szCs w:val="16"/>
        </w:rPr>
        <w:footnoteRef/>
      </w:r>
      <w:r w:rsidRPr="00B11D29">
        <w:rPr>
          <w:rFonts w:asciiTheme="majorHAnsi" w:hAnsiTheme="majorHAnsi" w:cs="Arial"/>
          <w:sz w:val="16"/>
          <w:szCs w:val="16"/>
        </w:rPr>
        <w:t xml:space="preserve"> </w:t>
      </w:r>
      <w:r w:rsidRPr="00B11D29">
        <w:rPr>
          <w:rFonts w:asciiTheme="majorHAnsi" w:hAnsiTheme="majorHAnsi"/>
          <w:sz w:val="16"/>
          <w:szCs w:val="16"/>
        </w:rPr>
        <w:t xml:space="preserve">IACHR, Report Nº 80/11, Case 12.626, </w:t>
      </w:r>
      <w:r w:rsidRPr="00B11D29">
        <w:rPr>
          <w:rFonts w:asciiTheme="majorHAnsi" w:hAnsiTheme="majorHAnsi"/>
          <w:i/>
          <w:sz w:val="16"/>
          <w:szCs w:val="16"/>
        </w:rPr>
        <w:t>Jessica Lenahan (Gonzales) et al.</w:t>
      </w:r>
      <w:r w:rsidRPr="00B11D29">
        <w:rPr>
          <w:rFonts w:asciiTheme="majorHAnsi" w:hAnsiTheme="majorHAnsi"/>
          <w:sz w:val="16"/>
          <w:szCs w:val="16"/>
        </w:rPr>
        <w:t xml:space="preserve"> (United States), July 21, 2011, para. 108; </w:t>
      </w:r>
      <w:r w:rsidRPr="00B11D29">
        <w:rPr>
          <w:rFonts w:asciiTheme="majorHAnsi" w:hAnsiTheme="majorHAnsi" w:cs="Arial"/>
          <w:sz w:val="16"/>
          <w:szCs w:val="16"/>
        </w:rPr>
        <w:t xml:space="preserve">IACHR, </w:t>
      </w:r>
      <w:r w:rsidRPr="00B11D29">
        <w:rPr>
          <w:rFonts w:asciiTheme="majorHAnsi" w:hAnsiTheme="majorHAnsi"/>
          <w:sz w:val="16"/>
          <w:szCs w:val="16"/>
        </w:rPr>
        <w:t xml:space="preserve">Report Nº40/04, Case 12.053, </w:t>
      </w:r>
      <w:r w:rsidRPr="00B11D29">
        <w:rPr>
          <w:rFonts w:asciiTheme="majorHAnsi" w:hAnsiTheme="majorHAnsi"/>
          <w:i/>
          <w:sz w:val="16"/>
          <w:szCs w:val="16"/>
        </w:rPr>
        <w:t>Maya Indigenous Community</w:t>
      </w:r>
      <w:r w:rsidRPr="00B11D29">
        <w:rPr>
          <w:rFonts w:asciiTheme="majorHAnsi" w:hAnsiTheme="majorHAnsi"/>
          <w:sz w:val="16"/>
          <w:szCs w:val="16"/>
        </w:rPr>
        <w:t xml:space="preserve"> (Belize), October 12, 2004, para. 162.</w:t>
      </w:r>
    </w:p>
  </w:footnote>
  <w:footnote w:id="82">
    <w:p w14:paraId="0FEBE22F"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IACHR, Report No. 51/01, Case 9903, </w:t>
      </w:r>
      <w:r w:rsidRPr="00B11D29">
        <w:rPr>
          <w:rFonts w:asciiTheme="majorHAnsi" w:hAnsiTheme="majorHAnsi"/>
          <w:i/>
          <w:sz w:val="16"/>
          <w:szCs w:val="16"/>
        </w:rPr>
        <w:t>Rafael Ferrer-Mazorra et al.</w:t>
      </w:r>
      <w:r w:rsidRPr="00B11D29">
        <w:rPr>
          <w:rFonts w:asciiTheme="majorHAnsi" w:hAnsiTheme="majorHAnsi"/>
          <w:sz w:val="16"/>
          <w:szCs w:val="16"/>
        </w:rPr>
        <w:t xml:space="preserve">, United States, Apr. 4, 2001, para. 23; IACHR, </w:t>
      </w:r>
      <w:r w:rsidRPr="00B11D29">
        <w:rPr>
          <w:rFonts w:asciiTheme="majorHAnsi" w:hAnsiTheme="majorHAnsi"/>
          <w:i/>
          <w:sz w:val="16"/>
          <w:szCs w:val="16"/>
        </w:rPr>
        <w:t>Report on the Situation of Human Rights of Asylum Seekers within the Canadian Refugee Determination System</w:t>
      </w:r>
      <w:r w:rsidRPr="00B11D29">
        <w:rPr>
          <w:rFonts w:asciiTheme="majorHAnsi" w:hAnsiTheme="majorHAnsi"/>
          <w:sz w:val="16"/>
          <w:szCs w:val="16"/>
        </w:rPr>
        <w:t>, 28 February 2000, OEA/Ser.L/V/II.106 Doc. 40 rev., para. 96 (citing the</w:t>
      </w:r>
      <w:r w:rsidRPr="00B11D29">
        <w:rPr>
          <w:rStyle w:val="apple-converted-space"/>
          <w:rFonts w:asciiTheme="majorHAnsi" w:hAnsiTheme="majorHAnsi"/>
          <w:color w:val="000000"/>
          <w:sz w:val="16"/>
          <w:szCs w:val="16"/>
        </w:rPr>
        <w:t> </w:t>
      </w:r>
      <w:r w:rsidRPr="00B11D29">
        <w:rPr>
          <w:rFonts w:asciiTheme="majorHAnsi" w:hAnsiTheme="majorHAnsi"/>
          <w:sz w:val="16"/>
          <w:szCs w:val="16"/>
        </w:rPr>
        <w:t>Inter-American Juridical Committee, “Draft Declaration of the International Rights and Duties of Man and Accompanying Report” (1946)); IACHR, Report Nº 51/96, Annual Report of the IACHR 1996, p. 550, paras. 177-178.</w:t>
      </w:r>
    </w:p>
  </w:footnote>
  <w:footnote w:id="83">
    <w:p w14:paraId="6750EE34" w14:textId="77777777" w:rsidR="00E54CE8" w:rsidRPr="00B11D29" w:rsidRDefault="00E54CE8" w:rsidP="00B11D29">
      <w:pPr>
        <w:pStyle w:val="Footnotes"/>
        <w:spacing w:before="120" w:after="0"/>
        <w:rPr>
          <w:rFonts w:asciiTheme="majorHAnsi" w:hAnsiTheme="majorHAnsi"/>
          <w:sz w:val="16"/>
          <w:szCs w:val="16"/>
          <w:lang w:val="es-ES_tradnl"/>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IACHR, Report Nº 57/96, Case 11.139, </w:t>
      </w:r>
      <w:r w:rsidRPr="00B11D29">
        <w:rPr>
          <w:rFonts w:asciiTheme="majorHAnsi" w:hAnsiTheme="majorHAnsi"/>
          <w:i/>
          <w:sz w:val="16"/>
          <w:szCs w:val="16"/>
        </w:rPr>
        <w:t xml:space="preserve">William Andrews </w:t>
      </w:r>
      <w:r w:rsidRPr="00B11D29">
        <w:rPr>
          <w:rFonts w:asciiTheme="majorHAnsi" w:hAnsiTheme="majorHAnsi"/>
          <w:sz w:val="16"/>
          <w:szCs w:val="16"/>
        </w:rPr>
        <w:t xml:space="preserve">(United States), December 6, 1996, para. </w:t>
      </w:r>
      <w:r w:rsidRPr="00B11D29">
        <w:rPr>
          <w:rFonts w:asciiTheme="majorHAnsi" w:hAnsiTheme="majorHAnsi"/>
          <w:sz w:val="16"/>
          <w:szCs w:val="16"/>
          <w:lang w:val="es-ES_tradnl"/>
        </w:rPr>
        <w:t xml:space="preserve">173. </w:t>
      </w:r>
    </w:p>
  </w:footnote>
  <w:footnote w:id="84">
    <w:p w14:paraId="26CF2585"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lang w:val="es-AR"/>
        </w:rPr>
        <w:t xml:space="preserve"> IACHR, Report Nº 67/06, Case 12.476, </w:t>
      </w:r>
      <w:r w:rsidRPr="00B11D29">
        <w:rPr>
          <w:rFonts w:asciiTheme="majorHAnsi" w:hAnsiTheme="majorHAnsi"/>
          <w:i/>
          <w:sz w:val="16"/>
          <w:szCs w:val="16"/>
          <w:lang w:val="es-AR"/>
        </w:rPr>
        <w:t>Oscar Elías Bicet et al.</w:t>
      </w:r>
      <w:r w:rsidRPr="00B11D29">
        <w:rPr>
          <w:rFonts w:asciiTheme="majorHAnsi" w:hAnsiTheme="majorHAnsi"/>
          <w:sz w:val="16"/>
          <w:szCs w:val="16"/>
          <w:lang w:val="es-AR"/>
        </w:rPr>
        <w:t xml:space="preserve"> (Cuba), October 21, 2006, paras. </w:t>
      </w:r>
      <w:r w:rsidRPr="00B11D29">
        <w:rPr>
          <w:rFonts w:asciiTheme="majorHAnsi" w:hAnsiTheme="majorHAnsi"/>
          <w:sz w:val="16"/>
          <w:szCs w:val="16"/>
        </w:rPr>
        <w:t xml:space="preserve">228-231; IACHR Report Nº 40/04, Case 12.053, </w:t>
      </w:r>
      <w:r w:rsidRPr="00B11D29">
        <w:rPr>
          <w:rFonts w:asciiTheme="majorHAnsi" w:hAnsiTheme="majorHAnsi"/>
          <w:i/>
          <w:sz w:val="16"/>
          <w:szCs w:val="16"/>
        </w:rPr>
        <w:t>Maya Indigenous Community</w:t>
      </w:r>
      <w:r w:rsidRPr="00B11D29">
        <w:rPr>
          <w:rFonts w:asciiTheme="majorHAnsi" w:hAnsiTheme="majorHAnsi"/>
          <w:sz w:val="16"/>
          <w:szCs w:val="16"/>
        </w:rPr>
        <w:t xml:space="preserve"> (Belize), October 12, 2004, paras. 162, 166.</w:t>
      </w:r>
    </w:p>
  </w:footnote>
  <w:footnote w:id="85">
    <w:p w14:paraId="73DF36FB"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IACHR, Report No. 51/01, Case 9903, </w:t>
      </w:r>
      <w:r w:rsidRPr="00B11D29">
        <w:rPr>
          <w:rFonts w:asciiTheme="majorHAnsi" w:hAnsiTheme="majorHAnsi"/>
          <w:i/>
          <w:sz w:val="16"/>
          <w:szCs w:val="16"/>
        </w:rPr>
        <w:t>Rafael Ferrer-Mazorra et al.</w:t>
      </w:r>
      <w:r w:rsidRPr="00B11D29">
        <w:rPr>
          <w:rFonts w:asciiTheme="majorHAnsi" w:hAnsiTheme="majorHAnsi"/>
          <w:sz w:val="16"/>
          <w:szCs w:val="16"/>
        </w:rPr>
        <w:t xml:space="preserve">, United States, Apr. 4, 2001, para. 238 (citing </w:t>
      </w:r>
      <w:r w:rsidRPr="00B11D29">
        <w:rPr>
          <w:rFonts w:asciiTheme="majorHAnsi" w:eastAsia="Times New Roman" w:hAnsiTheme="majorHAnsi"/>
          <w:iCs/>
          <w:color w:val="000000"/>
          <w:sz w:val="16"/>
          <w:szCs w:val="16"/>
        </w:rPr>
        <w:t xml:space="preserve">as support of its position </w:t>
      </w:r>
      <w:r w:rsidRPr="00B11D29">
        <w:rPr>
          <w:rFonts w:asciiTheme="majorHAnsi" w:eastAsia="Times New Roman" w:hAnsiTheme="majorHAnsi"/>
          <w:color w:val="000000"/>
          <w:sz w:val="16"/>
          <w:szCs w:val="16"/>
        </w:rPr>
        <w:t>Eur. Ct. H.R., </w:t>
      </w:r>
      <w:r w:rsidRPr="00B11D29">
        <w:rPr>
          <w:rFonts w:asciiTheme="majorHAnsi" w:eastAsia="Times New Roman" w:hAnsiTheme="majorHAnsi"/>
          <w:i/>
          <w:iCs/>
          <w:color w:val="000000"/>
          <w:sz w:val="16"/>
          <w:szCs w:val="16"/>
        </w:rPr>
        <w:t>Belgian Linguistics Case</w:t>
      </w:r>
      <w:r w:rsidRPr="00B11D29">
        <w:rPr>
          <w:rFonts w:asciiTheme="majorHAnsi" w:eastAsia="Times New Roman" w:hAnsiTheme="majorHAnsi"/>
          <w:color w:val="000000"/>
          <w:sz w:val="16"/>
          <w:szCs w:val="16"/>
        </w:rPr>
        <w:t xml:space="preserve">, July 23, 1968, Series A Nº 6, 1 E.H.R.R. 252, p. 35, para. 10). </w:t>
      </w:r>
    </w:p>
  </w:footnote>
  <w:footnote w:id="86">
    <w:p w14:paraId="554D28F4"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IACHR, Report No. 113/14, Case 11.661, Merits, </w:t>
      </w:r>
      <w:r w:rsidRPr="00B11D29">
        <w:rPr>
          <w:rFonts w:asciiTheme="majorHAnsi" w:hAnsiTheme="majorHAnsi"/>
          <w:i/>
          <w:sz w:val="16"/>
          <w:szCs w:val="16"/>
        </w:rPr>
        <w:t>Manickavasagam Suresh</w:t>
      </w:r>
      <w:r w:rsidRPr="00B11D29">
        <w:rPr>
          <w:rFonts w:asciiTheme="majorHAnsi" w:hAnsiTheme="majorHAnsi"/>
          <w:sz w:val="16"/>
          <w:szCs w:val="16"/>
        </w:rPr>
        <w:t xml:space="preserve">, Canada, November 7, 2014, para. 86; IACHR, Report No. 51/01, Case 9903, </w:t>
      </w:r>
      <w:r w:rsidRPr="00B11D29">
        <w:rPr>
          <w:rFonts w:asciiTheme="majorHAnsi" w:hAnsiTheme="majorHAnsi"/>
          <w:i/>
          <w:sz w:val="16"/>
          <w:szCs w:val="16"/>
        </w:rPr>
        <w:t>Rafael Ferrer-Mazorra et al.</w:t>
      </w:r>
      <w:r w:rsidRPr="00B11D29">
        <w:rPr>
          <w:rFonts w:asciiTheme="majorHAnsi" w:hAnsiTheme="majorHAnsi"/>
          <w:sz w:val="16"/>
          <w:szCs w:val="16"/>
        </w:rPr>
        <w:t xml:space="preserve">, United States, Apr. 4, 2001, para. 239. </w:t>
      </w:r>
      <w:r w:rsidRPr="00B11D29">
        <w:rPr>
          <w:rFonts w:asciiTheme="majorHAnsi" w:hAnsiTheme="majorHAnsi"/>
          <w:i/>
          <w:sz w:val="16"/>
          <w:szCs w:val="16"/>
        </w:rPr>
        <w:t>See also</w:t>
      </w:r>
      <w:r w:rsidRPr="00B11D29">
        <w:rPr>
          <w:rFonts w:asciiTheme="majorHAnsi" w:hAnsiTheme="majorHAnsi"/>
          <w:sz w:val="16"/>
          <w:szCs w:val="16"/>
        </w:rPr>
        <w:t xml:space="preserve"> IACHR, </w:t>
      </w:r>
      <w:r w:rsidRPr="00B11D29">
        <w:rPr>
          <w:rFonts w:asciiTheme="majorHAnsi" w:hAnsiTheme="majorHAnsi"/>
          <w:i/>
          <w:sz w:val="16"/>
          <w:szCs w:val="16"/>
        </w:rPr>
        <w:t>Report on the Situation of Human Rights of Asylum Seekers within the Canadian Refugee Determination System</w:t>
      </w:r>
      <w:r w:rsidRPr="00B11D29">
        <w:rPr>
          <w:rFonts w:asciiTheme="majorHAnsi" w:hAnsiTheme="majorHAnsi"/>
          <w:sz w:val="16"/>
          <w:szCs w:val="16"/>
        </w:rPr>
        <w:t xml:space="preserve">, OEA/Ser.L/V/II.106 Doc 40.rev (February 28, 2000), para. 96. </w:t>
      </w:r>
    </w:p>
  </w:footnote>
  <w:footnote w:id="87">
    <w:p w14:paraId="0C28F687"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See, e.g.</w:t>
      </w:r>
      <w:r w:rsidRPr="00B11D29">
        <w:rPr>
          <w:rFonts w:asciiTheme="majorHAnsi" w:hAnsiTheme="majorHAnsi"/>
          <w:sz w:val="16"/>
          <w:szCs w:val="16"/>
        </w:rPr>
        <w:t xml:space="preserve">, U.N. Committee on the Protection of the Rights of All Migrant Workers and Members of Their Families, General comment no. 2 on the rights of migrant workers in an irregular situation and members of their families, CMW/C/GC/2 (Aug. 2013), para. 18 (citing U.N. Committee on Economic, Social and Cultural Rights, General comment no. 20 on non-discrimination in economic, social and cultural rights, E/C.12/GC/20 (July 2009), para. 30). </w:t>
      </w:r>
    </w:p>
  </w:footnote>
  <w:footnote w:id="88">
    <w:p w14:paraId="16D435B9" w14:textId="3BC2625C"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U.N. Human Rights Committee, Compilation of General Comments and General Recommendations Adopted by Human Rights Treaty Bodies, HRI/GEN/1/Rev.1 (1994), General Comment 18, Non-discrimination, p. 26. </w:t>
      </w:r>
    </w:p>
  </w:footnote>
  <w:footnote w:id="89">
    <w:p w14:paraId="66D724F7" w14:textId="68616908"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Referred to as “[foreign] undocumented workers” in this merits brief. </w:t>
      </w:r>
    </w:p>
  </w:footnote>
  <w:footnote w:id="90">
    <w:p w14:paraId="39502E36" w14:textId="0F90F86C"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See</w:t>
      </w:r>
      <w:r w:rsidRPr="00B11D29">
        <w:rPr>
          <w:rFonts w:asciiTheme="majorHAnsi" w:hAnsiTheme="majorHAnsi"/>
          <w:sz w:val="16"/>
          <w:szCs w:val="16"/>
        </w:rPr>
        <w:t xml:space="preserve"> I/A Court H.R., </w:t>
      </w:r>
      <w:r w:rsidRPr="00B11D29">
        <w:rPr>
          <w:rFonts w:asciiTheme="majorHAnsi" w:hAnsiTheme="majorHAnsi"/>
          <w:i/>
          <w:sz w:val="16"/>
          <w:szCs w:val="16"/>
        </w:rPr>
        <w:t>Juridical Condition and Rights of the Undocumented Migrants</w:t>
      </w:r>
      <w:r w:rsidRPr="00B11D29">
        <w:rPr>
          <w:rFonts w:asciiTheme="majorHAnsi" w:hAnsiTheme="majorHAnsi"/>
          <w:sz w:val="16"/>
          <w:szCs w:val="16"/>
        </w:rPr>
        <w:t xml:space="preserve">. Advisory Opinion OC-18/03 of September 17, 2003. Series A No. 18, paras. 131-36. </w:t>
      </w:r>
      <w:r w:rsidRPr="00B11D29">
        <w:rPr>
          <w:rFonts w:asciiTheme="majorHAnsi" w:hAnsiTheme="majorHAnsi"/>
          <w:i/>
          <w:sz w:val="16"/>
          <w:szCs w:val="16"/>
        </w:rPr>
        <w:t>See also</w:t>
      </w:r>
      <w:r w:rsidRPr="00B11D29">
        <w:rPr>
          <w:rFonts w:asciiTheme="majorHAnsi" w:hAnsiTheme="majorHAnsi"/>
          <w:sz w:val="16"/>
          <w:szCs w:val="16"/>
        </w:rPr>
        <w:t>, Committee on the Elimination of Racial Discrimination (CERD), General Recommendation 30, Discrimination against Non-citizens, CERD/C/64/Misc.11/rev.3 (2004), para. 35.</w:t>
      </w:r>
    </w:p>
  </w:footnote>
  <w:footnote w:id="91">
    <w:p w14:paraId="2FE8341D"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570 Pa. 464 (2002).</w:t>
      </w:r>
    </w:p>
  </w:footnote>
  <w:footnote w:id="92">
    <w:p w14:paraId="7A240344"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570 Pa. at 475. </w:t>
      </w:r>
    </w:p>
  </w:footnote>
  <w:footnote w:id="93">
    <w:p w14:paraId="48C368FC" w14:textId="1FBB7CAE"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Style w:val="FootnoteReference"/>
          <w:rFonts w:asciiTheme="majorHAnsi" w:hAnsiTheme="majorHAnsi"/>
          <w:i/>
          <w:sz w:val="16"/>
          <w:szCs w:val="16"/>
          <w:vertAlign w:val="baseline"/>
        </w:rPr>
        <w:t>Kachinski v. Workmen's Compensation Appeal Board</w:t>
      </w:r>
      <w:r w:rsidRPr="00B11D29">
        <w:rPr>
          <w:rStyle w:val="FootnoteReference"/>
          <w:rFonts w:asciiTheme="majorHAnsi" w:hAnsiTheme="majorHAnsi"/>
          <w:sz w:val="16"/>
          <w:szCs w:val="16"/>
          <w:vertAlign w:val="baseline"/>
        </w:rPr>
        <w:t xml:space="preserve"> (Vepco Construction Co.), 516 Pa. 240, 251-252 (1987) (these are the first two elements of a test </w:t>
      </w:r>
      <w:r w:rsidRPr="00B11D29">
        <w:rPr>
          <w:rFonts w:asciiTheme="majorHAnsi" w:hAnsiTheme="majorHAnsi"/>
          <w:sz w:val="16"/>
          <w:szCs w:val="16"/>
        </w:rPr>
        <w:t xml:space="preserve">established in this case, referred to as </w:t>
      </w:r>
      <w:r w:rsidRPr="00B11D29">
        <w:rPr>
          <w:rStyle w:val="FootnoteReference"/>
          <w:rFonts w:asciiTheme="majorHAnsi" w:hAnsiTheme="majorHAnsi"/>
          <w:sz w:val="16"/>
          <w:szCs w:val="16"/>
          <w:vertAlign w:val="baseline"/>
        </w:rPr>
        <w:t>the “Kachinski four pronged test”).</w:t>
      </w:r>
      <w:r w:rsidRPr="00B11D29">
        <w:rPr>
          <w:rFonts w:asciiTheme="majorHAnsi" w:hAnsiTheme="majorHAnsi"/>
          <w:sz w:val="16"/>
          <w:szCs w:val="16"/>
          <w:shd w:val="clear" w:color="auto" w:fill="EBEDEE"/>
        </w:rPr>
        <w:t xml:space="preserve"> </w:t>
      </w:r>
    </w:p>
  </w:footnote>
  <w:footnote w:id="94">
    <w:p w14:paraId="529E3386"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570 Pa. at 479-80 (clarifying in n. 11 that it “does not address” whether the lower court’s modification of the “job availability prong” for the modification of benefits, as originally established in </w:t>
      </w:r>
      <w:r w:rsidRPr="00B11D29">
        <w:rPr>
          <w:rFonts w:asciiTheme="majorHAnsi" w:hAnsiTheme="majorHAnsi"/>
          <w:i/>
          <w:sz w:val="16"/>
          <w:szCs w:val="16"/>
        </w:rPr>
        <w:t>Kachinski v. Workmen’s Compensation Appeal Bd.</w:t>
      </w:r>
      <w:r w:rsidRPr="00B11D29">
        <w:rPr>
          <w:rFonts w:asciiTheme="majorHAnsi" w:hAnsiTheme="majorHAnsi"/>
          <w:sz w:val="16"/>
          <w:szCs w:val="16"/>
        </w:rPr>
        <w:t xml:space="preserve">, 532 A.2d 374 (Pa. 1987), to allow for availability to be established through expert testimony or advertisements in the employment area would be correct”). </w:t>
      </w:r>
    </w:p>
  </w:footnote>
  <w:footnote w:id="95">
    <w:p w14:paraId="1A2B8435"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570 Pa. at n. 12. </w:t>
      </w:r>
    </w:p>
  </w:footnote>
  <w:footnote w:id="96">
    <w:p w14:paraId="127BA7A5"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277 Kan. 795 (2004). </w:t>
      </w:r>
    </w:p>
  </w:footnote>
  <w:footnote w:id="97">
    <w:p w14:paraId="2CDB15DF"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Acosta v. National Beef Packing Co., L.P.</w:t>
      </w:r>
      <w:r w:rsidRPr="00B11D29">
        <w:rPr>
          <w:rFonts w:asciiTheme="majorHAnsi" w:hAnsiTheme="majorHAnsi"/>
          <w:sz w:val="16"/>
          <w:szCs w:val="16"/>
        </w:rPr>
        <w:t xml:space="preserve">, 273 Kan. 385 (2002). In this earlier decision, the Kansas Supreme Court found that Ms. Butanda (a/k/a Victoria Acosta) was owed $57,936.72 out of the total $78,608.38 awarded to her, an amount that her employer had not paid and refused to pay even prior to the amount being set aside based on the discovery of her fraud.  </w:t>
      </w:r>
    </w:p>
  </w:footnote>
  <w:footnote w:id="98">
    <w:p w14:paraId="6BE2D6F0"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277 Kan. at 797.</w:t>
      </w:r>
    </w:p>
  </w:footnote>
  <w:footnote w:id="99">
    <w:p w14:paraId="785CA79A"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277 Kan. at 799-804.</w:t>
      </w:r>
    </w:p>
  </w:footnote>
  <w:footnote w:id="100">
    <w:p w14:paraId="1596A6E0" w14:textId="56E6C115"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See </w:t>
      </w:r>
      <w:r w:rsidRPr="00B11D29">
        <w:rPr>
          <w:rFonts w:asciiTheme="majorHAnsi" w:hAnsiTheme="majorHAnsi"/>
          <w:i/>
          <w:sz w:val="16"/>
          <w:szCs w:val="16"/>
        </w:rPr>
        <w:t>supra</w:t>
      </w:r>
      <w:r w:rsidRPr="00B11D29">
        <w:rPr>
          <w:rFonts w:asciiTheme="majorHAnsi" w:hAnsiTheme="majorHAnsi"/>
          <w:sz w:val="16"/>
          <w:szCs w:val="16"/>
        </w:rPr>
        <w:t xml:space="preserve"> n. 86. However, at the outset of the case, the court affirms that Ms. Butanda was “legally entitled to the benefits she [already] received.” 277 Kan. 795; see also, supra 273 Kan. 385 (2002) (upholding Ms. Butanda’s claim to $57,936.72). </w:t>
      </w:r>
    </w:p>
  </w:footnote>
  <w:footnote w:id="101">
    <w:p w14:paraId="4F8C9074"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277 Kan. at 807 (upon applying for employment at the plant, Ms. Butanda “disclosed that she was prevented from lawfully working in the country because of visa or immigration status…”).</w:t>
      </w:r>
    </w:p>
  </w:footnote>
  <w:footnote w:id="102">
    <w:p w14:paraId="1D778F8A"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277 Kan. 800 (citing the District Court’s finding on the evolving way records are being made and maintained [i.e. via digitalization and rapid indexing of persons based on their social security numbers] that “without a person’s name and social security number, an agency [ ] would be unable to properly investigate and gather information on that individual, or at the very least, it would be severely handicapped in its efforts to uncover information”).</w:t>
      </w:r>
    </w:p>
  </w:footnote>
  <w:footnote w:id="103">
    <w:p w14:paraId="0ECA635F"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8 U.S.C. § 1324c(a). </w:t>
      </w:r>
    </w:p>
  </w:footnote>
  <w:footnote w:id="104">
    <w:p w14:paraId="0552FCDF"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Fritz Ebinger, </w:t>
      </w:r>
      <w:r w:rsidRPr="00B11D29">
        <w:rPr>
          <w:rFonts w:asciiTheme="majorHAnsi" w:hAnsiTheme="majorHAnsi"/>
          <w:i/>
          <w:sz w:val="16"/>
          <w:szCs w:val="16"/>
        </w:rPr>
        <w:t>Exposed to the Elements: Workers’ Compensation and Unauthorized Farm Workers in the Midwest</w:t>
      </w:r>
      <w:r w:rsidRPr="00B11D29">
        <w:rPr>
          <w:rFonts w:asciiTheme="majorHAnsi" w:hAnsiTheme="majorHAnsi"/>
          <w:sz w:val="16"/>
          <w:szCs w:val="16"/>
        </w:rPr>
        <w:t xml:space="preserve">, 13 Drake J. Agric.  L. 263, 281 (2008). </w:t>
      </w:r>
      <w:r w:rsidRPr="00B11D29">
        <w:rPr>
          <w:rFonts w:asciiTheme="majorHAnsi" w:hAnsiTheme="majorHAnsi"/>
          <w:i/>
          <w:sz w:val="16"/>
          <w:szCs w:val="16"/>
        </w:rPr>
        <w:t xml:space="preserve">See also </w:t>
      </w:r>
      <w:r w:rsidRPr="00B11D29">
        <w:rPr>
          <w:rFonts w:asciiTheme="majorHAnsi" w:hAnsiTheme="majorHAnsi"/>
          <w:sz w:val="16"/>
          <w:szCs w:val="16"/>
        </w:rPr>
        <w:t xml:space="preserve">Petitioners’ document dated Nov. 1, 2006 at p. 21-22 (citing Brent I. Anderson, </w:t>
      </w:r>
      <w:r w:rsidRPr="00B11D29">
        <w:rPr>
          <w:rFonts w:asciiTheme="majorHAnsi" w:hAnsiTheme="majorHAnsi"/>
          <w:i/>
          <w:sz w:val="16"/>
          <w:szCs w:val="16"/>
        </w:rPr>
        <w:t>The Perils of U.S. Employment for Falsely Documented Workers (and Whatever You Do, Don’t File a Work Comp Claim)</w:t>
      </w:r>
      <w:r w:rsidRPr="00B11D29">
        <w:rPr>
          <w:rFonts w:asciiTheme="majorHAnsi" w:hAnsiTheme="majorHAnsi"/>
          <w:sz w:val="16"/>
          <w:szCs w:val="16"/>
        </w:rPr>
        <w:t xml:space="preserve">, paper submitted to American Bar Association, Labor and Employment Law Workers’ Compensation Committee Midwinter Meeting (March 2006) (providing that an Assistant U.S. Attorney in Wichita, Kansas made public the practice of verifying a worker’s immigration status after he or she files a worker’s compensation claim, with employers and insurance companies referring those cases that raise flags to the U.S Attorney’s office. This office proceeds to these employees for fraud, which ultimately may lead to their deportation)). </w:t>
      </w:r>
    </w:p>
  </w:footnote>
  <w:footnote w:id="105">
    <w:p w14:paraId="5BBBA3D1"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Fritz Ebinger, </w:t>
      </w:r>
      <w:r w:rsidRPr="00B11D29">
        <w:rPr>
          <w:rFonts w:asciiTheme="majorHAnsi" w:hAnsiTheme="majorHAnsi"/>
          <w:i/>
          <w:sz w:val="16"/>
          <w:szCs w:val="16"/>
        </w:rPr>
        <w:t>Exposed to the Elements: Workers’ Compensation and Unauthorized Farm Workers in the Midwest</w:t>
      </w:r>
      <w:r w:rsidRPr="00B11D29">
        <w:rPr>
          <w:rFonts w:asciiTheme="majorHAnsi" w:hAnsiTheme="majorHAnsi"/>
          <w:sz w:val="16"/>
          <w:szCs w:val="16"/>
        </w:rPr>
        <w:t>, 13 Drake J. Agric.  L. 263, 281 (2008).</w:t>
      </w:r>
    </w:p>
  </w:footnote>
  <w:footnote w:id="106">
    <w:p w14:paraId="48887A98"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6 N.Y. 3d 338, 350, 370 (2006) (affirming the judgment of the Appellate Division, First Department).</w:t>
      </w:r>
    </w:p>
  </w:footnote>
  <w:footnote w:id="107">
    <w:p w14:paraId="36D3E1C0"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658 N.W.2d 510, 519-21 (Mich. Ct. App. 2003), cert. denied </w:t>
      </w:r>
      <w:r w:rsidRPr="00B11D29">
        <w:rPr>
          <w:rFonts w:asciiTheme="majorHAnsi" w:hAnsiTheme="majorHAnsi"/>
          <w:i/>
          <w:sz w:val="16"/>
          <w:szCs w:val="16"/>
        </w:rPr>
        <w:t>Sanchez v. Eagle Alloy, Inc.</w:t>
      </w:r>
      <w:r w:rsidRPr="00B11D29">
        <w:rPr>
          <w:rFonts w:asciiTheme="majorHAnsi" w:hAnsiTheme="majorHAnsi"/>
          <w:sz w:val="16"/>
          <w:szCs w:val="16"/>
        </w:rPr>
        <w:t xml:space="preserve">, 471 Mich. 851 (Mich. 2004). </w:t>
      </w:r>
    </w:p>
  </w:footnote>
  <w:footnote w:id="108">
    <w:p w14:paraId="798855FE"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357 NLRB No. 47 (2011).  </w:t>
      </w:r>
    </w:p>
  </w:footnote>
  <w:footnote w:id="109">
    <w:p w14:paraId="7E57E9E8"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357 NLRB at p. 1, 4. The employer in this case never asked for work authorization documents when it hired the workers who were later unlawfully fired. These employees worked for the employer for periods ranging from 5 months to 8 years, and were discharged after concertedly complaining about unfair labor practices. </w:t>
      </w:r>
    </w:p>
  </w:footnote>
  <w:footnote w:id="110">
    <w:p w14:paraId="0DB55435"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357 NLRB at p. 2-3 (citing </w:t>
      </w:r>
      <w:r w:rsidRPr="00B11D29">
        <w:rPr>
          <w:rFonts w:asciiTheme="majorHAnsi" w:hAnsiTheme="majorHAnsi"/>
          <w:i/>
          <w:sz w:val="16"/>
          <w:szCs w:val="16"/>
        </w:rPr>
        <w:t>Hoffman</w:t>
      </w:r>
      <w:r w:rsidRPr="00B11D29">
        <w:rPr>
          <w:rFonts w:asciiTheme="majorHAnsi" w:hAnsiTheme="majorHAnsi"/>
          <w:sz w:val="16"/>
          <w:szCs w:val="16"/>
        </w:rPr>
        <w:t xml:space="preserve"> at p. 148). </w:t>
      </w:r>
    </w:p>
  </w:footnote>
  <w:footnote w:id="111">
    <w:p w14:paraId="006C3087"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357 NLRB at p. 3. </w:t>
      </w:r>
    </w:p>
  </w:footnote>
  <w:footnote w:id="112">
    <w:p w14:paraId="03DB9DE7" w14:textId="14860B28"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The IACHR would be remiss if it failed to reject here the argument that discrimination against undocumented workers discourages them from seeking employment in contravention of U.S. law. Rather, the Commission considers that by requiring employers to provide equal redress to employees, undocumented or otherwise, would do more to achieve this goal. If undocumented workers must be paid the same, treated the same, and remedied the same under the law, the incentives for hiring undocumented workers are reduced. Additionally, the Commission observes that measures, such as the denial of workers’ compensation or a denial of certain workers’ compensation benefits, in the wake of </w:t>
      </w:r>
      <w:r w:rsidRPr="00B11D29">
        <w:rPr>
          <w:rFonts w:asciiTheme="majorHAnsi" w:hAnsiTheme="majorHAnsi"/>
          <w:i/>
          <w:sz w:val="16"/>
          <w:szCs w:val="16"/>
        </w:rPr>
        <w:t>Hoffman</w:t>
      </w:r>
      <w:r w:rsidRPr="00B11D29">
        <w:rPr>
          <w:rFonts w:asciiTheme="majorHAnsi" w:hAnsiTheme="majorHAnsi"/>
          <w:sz w:val="16"/>
          <w:szCs w:val="16"/>
        </w:rPr>
        <w:t xml:space="preserve"> have failed to discourage employment of undocumented workers: in 2000, there were an estimated 5.5 million unauthorized immigrant workers in the US, representing 3.8% of the total work force. This number has, with some small variations, steadily continued to grow through 2012, when the estimated number of unauthorized immigrant workers was 8.1 million or 5.1% of the labor force. </w:t>
      </w:r>
      <w:r w:rsidRPr="00B11D29">
        <w:rPr>
          <w:rFonts w:asciiTheme="majorHAnsi" w:hAnsiTheme="majorHAnsi"/>
          <w:i/>
          <w:sz w:val="16"/>
          <w:szCs w:val="16"/>
        </w:rPr>
        <w:t>See</w:t>
      </w:r>
      <w:r w:rsidRPr="00B11D29">
        <w:rPr>
          <w:rFonts w:asciiTheme="majorHAnsi" w:hAnsiTheme="majorHAnsi"/>
          <w:sz w:val="16"/>
          <w:szCs w:val="16"/>
        </w:rPr>
        <w:t xml:space="preserve"> Jeffrey Passel and D’Vera Cohn, </w:t>
      </w:r>
      <w:r w:rsidRPr="00B11D29">
        <w:rPr>
          <w:rFonts w:asciiTheme="majorHAnsi" w:hAnsiTheme="majorHAnsi"/>
          <w:i/>
          <w:sz w:val="16"/>
          <w:szCs w:val="16"/>
        </w:rPr>
        <w:t>Immigrant Workers in Production, Construction Jobs Falls Since 2007: In States, Hospitality, Manufacturing and Construction are Top Industries</w:t>
      </w:r>
      <w:r w:rsidRPr="00B11D29">
        <w:rPr>
          <w:rFonts w:asciiTheme="majorHAnsi" w:hAnsiTheme="majorHAnsi"/>
          <w:sz w:val="16"/>
          <w:szCs w:val="16"/>
        </w:rPr>
        <w:t xml:space="preserve">, Pew Research Center (Mar. 2015), p. 5. Jeffrey Passel and D’Vera Cohn, </w:t>
      </w:r>
      <w:r w:rsidRPr="00B11D29">
        <w:rPr>
          <w:rFonts w:asciiTheme="majorHAnsi" w:hAnsiTheme="majorHAnsi"/>
          <w:i/>
          <w:sz w:val="16"/>
          <w:szCs w:val="16"/>
        </w:rPr>
        <w:t>Unauthorized Immigrant Population: National and State Trends, 2010</w:t>
      </w:r>
      <w:r w:rsidRPr="00B11D29">
        <w:rPr>
          <w:rFonts w:asciiTheme="majorHAnsi" w:hAnsiTheme="majorHAnsi"/>
          <w:sz w:val="16"/>
          <w:szCs w:val="16"/>
        </w:rPr>
        <w:t xml:space="preserve"> (Feb. 1, 2011), p. 17.</w:t>
      </w:r>
    </w:p>
  </w:footnote>
  <w:footnote w:id="113">
    <w:p w14:paraId="79BA09C2" w14:textId="3D31557A"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Independent of the two undocumented workers’ existential or juridical condition, the Commission considers that they have full legal capacity in the circumstances presented. Messrs. Zumaya and Lizalde sought the recognition of their economic and social rights as workers under the workers’ compensation schemes into which they both contributed, as opposed to the recognition of certain political rights, such as the right to vote in the US, which are not normally granted to non-nationals. </w:t>
      </w:r>
    </w:p>
  </w:footnote>
  <w:footnote w:id="114">
    <w:p w14:paraId="0182E1D4"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I/A Court H.R., </w:t>
      </w:r>
      <w:r w:rsidRPr="00B11D29">
        <w:rPr>
          <w:rFonts w:asciiTheme="majorHAnsi" w:hAnsiTheme="majorHAnsi"/>
          <w:i/>
          <w:sz w:val="16"/>
          <w:szCs w:val="16"/>
        </w:rPr>
        <w:t>Case of the Yean and Bosico Children v. The Dominican Republic</w:t>
      </w:r>
      <w:r w:rsidRPr="00B11D29">
        <w:rPr>
          <w:rFonts w:asciiTheme="majorHAnsi" w:hAnsiTheme="majorHAnsi"/>
          <w:sz w:val="16"/>
          <w:szCs w:val="16"/>
        </w:rPr>
        <w:t xml:space="preserve">. </w:t>
      </w:r>
      <w:r w:rsidRPr="00B11D29">
        <w:rPr>
          <w:rFonts w:asciiTheme="majorHAnsi" w:hAnsiTheme="majorHAnsi"/>
          <w:bCs/>
          <w:sz w:val="16"/>
          <w:szCs w:val="16"/>
        </w:rPr>
        <w:t>Preliminary Objections, Merits, Reparations and Costs. Judgment of September 8, 2005. Series C No. 130, para. 180.</w:t>
      </w:r>
      <w:r w:rsidRPr="00B11D29">
        <w:rPr>
          <w:rFonts w:asciiTheme="majorHAnsi" w:hAnsiTheme="majorHAnsi"/>
          <w:b/>
          <w:bCs/>
          <w:sz w:val="16"/>
          <w:szCs w:val="16"/>
        </w:rPr>
        <w:t xml:space="preserve"> </w:t>
      </w:r>
    </w:p>
  </w:footnote>
  <w:footnote w:id="115">
    <w:p w14:paraId="151E2E9A"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Articles 34 (g) and 45 (b) of the OAS Charter; Article XIV of the American Declaration. </w:t>
      </w:r>
    </w:p>
  </w:footnote>
  <w:footnote w:id="116">
    <w:p w14:paraId="64F3E9CB"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IACHR</w:t>
      </w:r>
      <w:r w:rsidRPr="00B11D29">
        <w:rPr>
          <w:rFonts w:asciiTheme="majorHAnsi" w:hAnsiTheme="majorHAnsi"/>
          <w:sz w:val="16"/>
          <w:szCs w:val="16"/>
          <w:bdr w:val="nil"/>
        </w:rPr>
        <w:t xml:space="preserve">, Report No. 51/01, Case 9903, </w:t>
      </w:r>
      <w:r w:rsidRPr="00B11D29">
        <w:rPr>
          <w:rFonts w:asciiTheme="majorHAnsi" w:hAnsiTheme="majorHAnsi"/>
          <w:i/>
          <w:sz w:val="16"/>
          <w:szCs w:val="16"/>
          <w:bdr w:val="nil"/>
        </w:rPr>
        <w:t>Rafael Ferrer-Mazorra et al.</w:t>
      </w:r>
      <w:r w:rsidRPr="00B11D29">
        <w:rPr>
          <w:rFonts w:asciiTheme="majorHAnsi" w:hAnsiTheme="majorHAnsi"/>
          <w:sz w:val="16"/>
          <w:szCs w:val="16"/>
          <w:bdr w:val="nil"/>
        </w:rPr>
        <w:t xml:space="preserve">, </w:t>
      </w:r>
      <w:r w:rsidRPr="00B11D29">
        <w:rPr>
          <w:rFonts w:asciiTheme="majorHAnsi" w:hAnsiTheme="majorHAnsi"/>
          <w:sz w:val="16"/>
          <w:szCs w:val="16"/>
        </w:rPr>
        <w:t>United States, Apr. 4, 2001, para. 243.</w:t>
      </w:r>
    </w:p>
  </w:footnote>
  <w:footnote w:id="117">
    <w:p w14:paraId="7930C3AB"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IACHR, Report Nº 80/11, Case 12.626, </w:t>
      </w:r>
      <w:r w:rsidRPr="00B11D29">
        <w:rPr>
          <w:rFonts w:asciiTheme="majorHAnsi" w:hAnsiTheme="majorHAnsi"/>
          <w:i/>
          <w:sz w:val="16"/>
          <w:szCs w:val="16"/>
        </w:rPr>
        <w:t>Jessica Lenahan (Gonzales) et al.</w:t>
      </w:r>
      <w:r w:rsidRPr="00B11D29">
        <w:rPr>
          <w:rFonts w:asciiTheme="majorHAnsi" w:hAnsiTheme="majorHAnsi"/>
          <w:sz w:val="16"/>
          <w:szCs w:val="16"/>
        </w:rPr>
        <w:t xml:space="preserve"> </w:t>
      </w:r>
      <w:r w:rsidRPr="00526E0B">
        <w:rPr>
          <w:rFonts w:asciiTheme="majorHAnsi" w:hAnsiTheme="majorHAnsi"/>
          <w:sz w:val="16"/>
          <w:szCs w:val="16"/>
          <w:lang w:val="pt-BR"/>
        </w:rPr>
        <w:t xml:space="preserve">(United States), July 21, 2011, para. </w:t>
      </w:r>
      <w:r w:rsidRPr="00B11D29">
        <w:rPr>
          <w:rFonts w:asciiTheme="majorHAnsi" w:hAnsiTheme="majorHAnsi"/>
          <w:sz w:val="16"/>
          <w:szCs w:val="16"/>
          <w:lang w:val="pt-BR"/>
        </w:rPr>
        <w:t xml:space="preserve">172; IACHR, Report Nº 54/01, Case 12.051, </w:t>
      </w:r>
      <w:r w:rsidRPr="00B11D29">
        <w:rPr>
          <w:rFonts w:asciiTheme="majorHAnsi" w:hAnsiTheme="majorHAnsi"/>
          <w:i/>
          <w:sz w:val="16"/>
          <w:szCs w:val="16"/>
          <w:lang w:val="pt-BR"/>
        </w:rPr>
        <w:t>Maria Da Penha Maia Fernandes</w:t>
      </w:r>
      <w:r w:rsidRPr="00B11D29">
        <w:rPr>
          <w:rFonts w:asciiTheme="majorHAnsi" w:hAnsiTheme="majorHAnsi"/>
          <w:sz w:val="16"/>
          <w:szCs w:val="16"/>
          <w:lang w:val="pt-BR"/>
        </w:rPr>
        <w:t xml:space="preserve"> (Brazil), April 16, 2001, para. </w:t>
      </w:r>
      <w:r w:rsidRPr="00B11D29">
        <w:rPr>
          <w:rFonts w:asciiTheme="majorHAnsi" w:hAnsiTheme="majorHAnsi"/>
          <w:sz w:val="16"/>
          <w:szCs w:val="16"/>
        </w:rPr>
        <w:t>37.</w:t>
      </w:r>
    </w:p>
  </w:footnote>
  <w:footnote w:id="118">
    <w:p w14:paraId="5ECF6C15"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IACHR, Report Nº 80/11, Case 12.626, </w:t>
      </w:r>
      <w:r w:rsidRPr="00B11D29">
        <w:rPr>
          <w:rFonts w:asciiTheme="majorHAnsi" w:hAnsiTheme="majorHAnsi"/>
          <w:i/>
          <w:sz w:val="16"/>
          <w:szCs w:val="16"/>
        </w:rPr>
        <w:t>Jessica Lenahan (Gonzales) et al.</w:t>
      </w:r>
      <w:r w:rsidRPr="00B11D29">
        <w:rPr>
          <w:rFonts w:asciiTheme="majorHAnsi" w:hAnsiTheme="majorHAnsi"/>
          <w:sz w:val="16"/>
          <w:szCs w:val="16"/>
        </w:rPr>
        <w:t xml:space="preserve"> (United States), July 21, 2011, para. </w:t>
      </w:r>
      <w:r w:rsidRPr="00B11D29">
        <w:rPr>
          <w:rFonts w:asciiTheme="majorHAnsi" w:hAnsiTheme="majorHAnsi"/>
          <w:sz w:val="16"/>
          <w:szCs w:val="16"/>
          <w:lang w:val="pt-BR"/>
        </w:rPr>
        <w:t xml:space="preserve">172; IACHR, Report Nº 40/4, Case 12.053, </w:t>
      </w:r>
      <w:r w:rsidRPr="00B11D29">
        <w:rPr>
          <w:rFonts w:asciiTheme="majorHAnsi" w:hAnsiTheme="majorHAnsi"/>
          <w:i/>
          <w:sz w:val="16"/>
          <w:szCs w:val="16"/>
          <w:lang w:val="pt-BR"/>
        </w:rPr>
        <w:t xml:space="preserve">Maya Indigenous Community </w:t>
      </w:r>
      <w:r w:rsidRPr="00B11D29">
        <w:rPr>
          <w:rFonts w:asciiTheme="majorHAnsi" w:hAnsiTheme="majorHAnsi"/>
          <w:sz w:val="16"/>
          <w:szCs w:val="16"/>
          <w:lang w:val="pt-BR"/>
        </w:rPr>
        <w:t xml:space="preserve">(Belize), para. 174; IACHR, Report </w:t>
      </w:r>
      <w:r w:rsidRPr="00B11D29">
        <w:rPr>
          <w:rFonts w:asciiTheme="majorHAnsi" w:hAnsiTheme="majorHAnsi"/>
          <w:sz w:val="16"/>
          <w:szCs w:val="16"/>
          <w:lang w:val="pt-BR"/>
        </w:rPr>
        <w:br/>
        <w:t xml:space="preserve">Nº 54/01, Case 12.051, </w:t>
      </w:r>
      <w:r w:rsidRPr="00B11D29">
        <w:rPr>
          <w:rFonts w:asciiTheme="majorHAnsi" w:hAnsiTheme="majorHAnsi"/>
          <w:i/>
          <w:sz w:val="16"/>
          <w:szCs w:val="16"/>
          <w:lang w:val="pt-BR"/>
        </w:rPr>
        <w:t>Maria Da Penha Fernandes</w:t>
      </w:r>
      <w:r w:rsidRPr="00B11D29">
        <w:rPr>
          <w:rFonts w:asciiTheme="majorHAnsi" w:hAnsiTheme="majorHAnsi"/>
          <w:sz w:val="16"/>
          <w:szCs w:val="16"/>
          <w:lang w:val="pt-BR"/>
        </w:rPr>
        <w:t xml:space="preserve"> (Brazil), April 16, 2001, para. </w:t>
      </w:r>
      <w:r w:rsidRPr="00B11D29">
        <w:rPr>
          <w:rFonts w:asciiTheme="majorHAnsi" w:hAnsiTheme="majorHAnsi"/>
          <w:sz w:val="16"/>
          <w:szCs w:val="16"/>
        </w:rPr>
        <w:t xml:space="preserve">37. </w:t>
      </w:r>
      <w:r w:rsidRPr="00B11D29">
        <w:rPr>
          <w:rFonts w:asciiTheme="majorHAnsi" w:hAnsiTheme="majorHAnsi" w:cs="Arial"/>
          <w:sz w:val="16"/>
          <w:szCs w:val="16"/>
        </w:rPr>
        <w:t xml:space="preserve"> </w:t>
      </w:r>
    </w:p>
  </w:footnote>
  <w:footnote w:id="119">
    <w:p w14:paraId="5672504C" w14:textId="3EA3FF31"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See</w:t>
      </w:r>
      <w:r w:rsidRPr="00B11D29">
        <w:rPr>
          <w:rFonts w:asciiTheme="majorHAnsi" w:hAnsiTheme="majorHAnsi"/>
          <w:sz w:val="16"/>
          <w:szCs w:val="16"/>
        </w:rPr>
        <w:t xml:space="preserve"> IACHR, Report Nº 80/11, Case 12.626, </w:t>
      </w:r>
      <w:r w:rsidRPr="00B11D29">
        <w:rPr>
          <w:rFonts w:asciiTheme="majorHAnsi" w:hAnsiTheme="majorHAnsi"/>
          <w:i/>
          <w:sz w:val="16"/>
          <w:szCs w:val="16"/>
        </w:rPr>
        <w:t>Jessica Lenahan (Gonzales) et al.</w:t>
      </w:r>
      <w:r w:rsidRPr="00B11D29">
        <w:rPr>
          <w:rFonts w:asciiTheme="majorHAnsi" w:hAnsiTheme="majorHAnsi"/>
          <w:sz w:val="16"/>
          <w:szCs w:val="16"/>
        </w:rPr>
        <w:t xml:space="preserve"> (United States), July 21, 2011, para. 173; IACHR, Report Nº 81/10, Case 12.562, </w:t>
      </w:r>
      <w:r w:rsidRPr="00B11D29">
        <w:rPr>
          <w:rFonts w:asciiTheme="majorHAnsi" w:hAnsiTheme="majorHAnsi"/>
          <w:i/>
          <w:sz w:val="16"/>
          <w:szCs w:val="16"/>
        </w:rPr>
        <w:t>Wayne Smith, Hugo Armendatriz, et al.,</w:t>
      </w:r>
      <w:r w:rsidRPr="00B11D29">
        <w:rPr>
          <w:rFonts w:asciiTheme="majorHAnsi" w:hAnsiTheme="majorHAnsi"/>
          <w:sz w:val="16"/>
          <w:szCs w:val="16"/>
        </w:rPr>
        <w:t xml:space="preserve"> United States, July 12, 2010, para. 62; IACHR, ACHR, Report on Admissibility Nº 52/07, Petition 1490-05, </w:t>
      </w:r>
      <w:r w:rsidRPr="00B11D29">
        <w:rPr>
          <w:rFonts w:asciiTheme="majorHAnsi" w:hAnsiTheme="majorHAnsi"/>
          <w:i/>
          <w:sz w:val="16"/>
          <w:szCs w:val="16"/>
        </w:rPr>
        <w:t>Jessica Gonzales and Others (United States)</w:t>
      </w:r>
      <w:r w:rsidRPr="00B11D29">
        <w:rPr>
          <w:rFonts w:asciiTheme="majorHAnsi" w:hAnsiTheme="majorHAnsi"/>
          <w:sz w:val="16"/>
          <w:szCs w:val="16"/>
        </w:rPr>
        <w:t xml:space="preserve">, July 24, 2007, para. 42; IACHR, </w:t>
      </w:r>
      <w:r w:rsidRPr="00B11D29">
        <w:rPr>
          <w:rFonts w:asciiTheme="majorHAnsi" w:hAnsiTheme="majorHAnsi"/>
          <w:i/>
          <w:sz w:val="16"/>
          <w:szCs w:val="16"/>
        </w:rPr>
        <w:t>Access to Justice for Women Victims of Violence in the Americas</w:t>
      </w:r>
      <w:r w:rsidRPr="00B11D29">
        <w:rPr>
          <w:rFonts w:asciiTheme="majorHAnsi" w:hAnsiTheme="majorHAnsi"/>
          <w:sz w:val="16"/>
          <w:szCs w:val="16"/>
        </w:rPr>
        <w:t xml:space="preserve">, OEA/Ser.L/V/II, Doc. 68 (January 20, 2007), para. 26. </w:t>
      </w:r>
      <w:r w:rsidRPr="00B11D29">
        <w:rPr>
          <w:rFonts w:asciiTheme="majorHAnsi" w:hAnsiTheme="majorHAnsi"/>
          <w:i/>
          <w:sz w:val="16"/>
          <w:szCs w:val="16"/>
        </w:rPr>
        <w:t>See also</w:t>
      </w:r>
      <w:r w:rsidRPr="00B11D29">
        <w:rPr>
          <w:rFonts w:asciiTheme="majorHAnsi" w:hAnsiTheme="majorHAnsi"/>
          <w:sz w:val="16"/>
          <w:szCs w:val="16"/>
        </w:rPr>
        <w:t xml:space="preserve"> I/A Court H.R., The “Street Children” Case (Villagrán Morales et al.). Judgment of November 19, 1999. Series C No. 63, para. 235; IACHR, Report No. 105/09, Petition P-592-07, Admissibility, </w:t>
      </w:r>
      <w:r w:rsidRPr="00B11D29">
        <w:rPr>
          <w:rFonts w:asciiTheme="majorHAnsi" w:hAnsiTheme="majorHAnsi"/>
          <w:i/>
          <w:sz w:val="16"/>
          <w:szCs w:val="16"/>
        </w:rPr>
        <w:t>Hul’Qumi’Num Treaty Group</w:t>
      </w:r>
      <w:r w:rsidRPr="00B11D29">
        <w:rPr>
          <w:rFonts w:asciiTheme="majorHAnsi" w:hAnsiTheme="majorHAnsi"/>
          <w:sz w:val="16"/>
          <w:szCs w:val="16"/>
        </w:rPr>
        <w:t xml:space="preserve">, Canada, October 30, 2009, para. 31. </w:t>
      </w:r>
    </w:p>
  </w:footnote>
  <w:footnote w:id="120">
    <w:p w14:paraId="7A7F584F" w14:textId="29232CFC" w:rsidR="00E54CE8" w:rsidRPr="00B11D29" w:rsidRDefault="00E54CE8" w:rsidP="00B11D29">
      <w:pPr>
        <w:pStyle w:val="Footnotes"/>
        <w:spacing w:before="120" w:after="0"/>
        <w:rPr>
          <w:rFonts w:asciiTheme="majorHAnsi" w:hAnsiTheme="majorHAnsi"/>
          <w:sz w:val="16"/>
          <w:szCs w:val="16"/>
          <w:lang w:val="es-ES_tradnl"/>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IACHR, </w:t>
      </w:r>
      <w:r w:rsidRPr="00B11D29">
        <w:rPr>
          <w:rFonts w:asciiTheme="majorHAnsi" w:hAnsiTheme="majorHAnsi"/>
          <w:i/>
          <w:sz w:val="16"/>
          <w:szCs w:val="16"/>
        </w:rPr>
        <w:t>Access to Justice as a Guarantee of Economic, Social, and Cultural Rights</w:t>
      </w:r>
      <w:r w:rsidRPr="00B11D29">
        <w:rPr>
          <w:rFonts w:asciiTheme="majorHAnsi" w:hAnsiTheme="majorHAnsi"/>
          <w:sz w:val="16"/>
          <w:szCs w:val="16"/>
        </w:rPr>
        <w:t xml:space="preserve">, OEA/Ser.L/V/II.129 Doc.4 (Sept. 2007) (hereinafter “IACHR Access to Justice Report”), para. </w:t>
      </w:r>
      <w:r w:rsidRPr="00B11D29">
        <w:rPr>
          <w:rFonts w:asciiTheme="majorHAnsi" w:hAnsiTheme="majorHAnsi"/>
          <w:sz w:val="16"/>
          <w:szCs w:val="16"/>
          <w:lang w:val="es-ES_tradnl"/>
        </w:rPr>
        <w:t xml:space="preserve">245 (citing </w:t>
      </w:r>
      <w:r w:rsidRPr="00B11D29">
        <w:rPr>
          <w:rStyle w:val="apple-converted-space"/>
          <w:rFonts w:asciiTheme="majorHAnsi" w:hAnsiTheme="majorHAnsi"/>
          <w:color w:val="000000"/>
          <w:sz w:val="16"/>
          <w:szCs w:val="16"/>
          <w:lang w:val="es-ES_tradnl"/>
        </w:rPr>
        <w:t> </w:t>
      </w:r>
      <w:r w:rsidRPr="00B11D29">
        <w:rPr>
          <w:rFonts w:asciiTheme="majorHAnsi" w:hAnsiTheme="majorHAnsi"/>
          <w:sz w:val="16"/>
          <w:szCs w:val="16"/>
          <w:lang w:val="es-ES_tradnl"/>
        </w:rPr>
        <w:t>Courtis C.,</w:t>
      </w:r>
      <w:r w:rsidRPr="00B11D29">
        <w:rPr>
          <w:rStyle w:val="apple-converted-space"/>
          <w:rFonts w:asciiTheme="majorHAnsi" w:hAnsiTheme="majorHAnsi"/>
          <w:color w:val="000000"/>
          <w:sz w:val="16"/>
          <w:szCs w:val="16"/>
          <w:lang w:val="es-ES_tradnl"/>
        </w:rPr>
        <w:t> </w:t>
      </w:r>
      <w:r w:rsidRPr="00B11D29">
        <w:rPr>
          <w:rFonts w:asciiTheme="majorHAnsi" w:hAnsiTheme="majorHAnsi"/>
          <w:i/>
          <w:sz w:val="16"/>
          <w:szCs w:val="16"/>
          <w:lang w:val="es-ES_tradnl"/>
        </w:rPr>
        <w:t>El derecho a un recurso rápido, sencillo y efectivo frente a afectaciones colectivas de derechos humanos</w:t>
      </w:r>
      <w:r w:rsidRPr="00B11D29">
        <w:rPr>
          <w:rFonts w:asciiTheme="majorHAnsi" w:hAnsiTheme="majorHAnsi"/>
          <w:sz w:val="16"/>
          <w:szCs w:val="16"/>
          <w:lang w:val="es-ES_tradnl"/>
        </w:rPr>
        <w:t>, in Víctor Abramovich, Alberto Bovino and Christian Courtis (comp.) “La aplicación de los tratados de derechos humanos en el ámbito local.  La experiencia de una década</w:t>
      </w:r>
      <w:r w:rsidRPr="00B11D29">
        <w:rPr>
          <w:rStyle w:val="apple-converted-space"/>
          <w:rFonts w:asciiTheme="majorHAnsi" w:hAnsiTheme="majorHAnsi"/>
          <w:i/>
          <w:iCs/>
          <w:color w:val="000000"/>
          <w:sz w:val="16"/>
          <w:szCs w:val="16"/>
          <w:lang w:val="es-ES_tradnl"/>
        </w:rPr>
        <w:t> </w:t>
      </w:r>
      <w:r w:rsidRPr="00B11D29">
        <w:rPr>
          <w:rFonts w:asciiTheme="majorHAnsi" w:hAnsiTheme="majorHAnsi"/>
          <w:sz w:val="16"/>
          <w:szCs w:val="16"/>
          <w:lang w:val="es-ES_tradnl"/>
        </w:rPr>
        <w:t>(1994-2005)”, Buenos Aires, CELS and Editores del puerto).</w:t>
      </w:r>
    </w:p>
  </w:footnote>
  <w:footnote w:id="121">
    <w:p w14:paraId="026BD3B3"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Id</w:t>
      </w:r>
      <w:r w:rsidRPr="00B11D29">
        <w:rPr>
          <w:rFonts w:asciiTheme="majorHAnsi" w:hAnsiTheme="majorHAnsi"/>
          <w:sz w:val="16"/>
          <w:szCs w:val="16"/>
        </w:rPr>
        <w:t xml:space="preserve">. at paras. 246-47. </w:t>
      </w:r>
    </w:p>
  </w:footnote>
  <w:footnote w:id="122">
    <w:p w14:paraId="7DA53D62"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Id</w:t>
      </w:r>
      <w:r w:rsidRPr="00B11D29">
        <w:rPr>
          <w:rFonts w:asciiTheme="majorHAnsi" w:hAnsiTheme="majorHAnsi"/>
          <w:sz w:val="16"/>
          <w:szCs w:val="16"/>
        </w:rPr>
        <w:t xml:space="preserve">. at para. 251. </w:t>
      </w:r>
    </w:p>
  </w:footnote>
  <w:footnote w:id="123">
    <w:p w14:paraId="4730E41F"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Id</w:t>
      </w:r>
      <w:r w:rsidRPr="00B11D29">
        <w:rPr>
          <w:rFonts w:asciiTheme="majorHAnsi" w:hAnsiTheme="majorHAnsi"/>
          <w:sz w:val="16"/>
          <w:szCs w:val="16"/>
        </w:rPr>
        <w:t xml:space="preserve">. </w:t>
      </w:r>
    </w:p>
  </w:footnote>
  <w:footnote w:id="124">
    <w:p w14:paraId="39AC4C0F"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vertAlign w:val="superscript"/>
        </w:rPr>
        <w:t xml:space="preserve"> </w:t>
      </w:r>
      <w:r w:rsidRPr="00B11D29">
        <w:rPr>
          <w:rFonts w:asciiTheme="majorHAnsi" w:hAnsiTheme="majorHAnsi"/>
          <w:sz w:val="16"/>
          <w:szCs w:val="16"/>
        </w:rPr>
        <w:t xml:space="preserve">IACHR, Report Nº 80/11, Case 12.626, </w:t>
      </w:r>
      <w:r w:rsidRPr="00B11D29">
        <w:rPr>
          <w:rFonts w:asciiTheme="majorHAnsi" w:hAnsiTheme="majorHAnsi"/>
          <w:i/>
          <w:sz w:val="16"/>
          <w:szCs w:val="16"/>
        </w:rPr>
        <w:t>Jessica Lenahan (Gonzales) et al.</w:t>
      </w:r>
      <w:r w:rsidRPr="00B11D29">
        <w:rPr>
          <w:rFonts w:asciiTheme="majorHAnsi" w:hAnsiTheme="majorHAnsi"/>
          <w:sz w:val="16"/>
          <w:szCs w:val="16"/>
        </w:rPr>
        <w:t xml:space="preserve"> (United States), July 21, 2011, para. 173; IACHR, </w:t>
      </w:r>
      <w:r w:rsidRPr="00B11D29">
        <w:rPr>
          <w:rFonts w:asciiTheme="majorHAnsi" w:hAnsiTheme="majorHAnsi"/>
          <w:i/>
          <w:sz w:val="16"/>
          <w:szCs w:val="16"/>
        </w:rPr>
        <w:t>The Situation of the Rights of Women in Ciudad Juarez</w:t>
      </w:r>
      <w:r w:rsidRPr="00B11D29">
        <w:rPr>
          <w:rFonts w:asciiTheme="majorHAnsi" w:hAnsiTheme="majorHAnsi"/>
          <w:sz w:val="16"/>
          <w:szCs w:val="16"/>
        </w:rPr>
        <w:t xml:space="preserve">, OEA/Ser. L/V/II.117. Doc. 44 (March 7, 2003), para. 51.  </w:t>
      </w:r>
    </w:p>
  </w:footnote>
  <w:footnote w:id="125">
    <w:p w14:paraId="5C071C90"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IACHR Access to Justice Report, </w:t>
      </w:r>
      <w:r w:rsidRPr="00B11D29">
        <w:rPr>
          <w:rFonts w:asciiTheme="majorHAnsi" w:hAnsiTheme="majorHAnsi"/>
          <w:i/>
          <w:sz w:val="16"/>
          <w:szCs w:val="16"/>
        </w:rPr>
        <w:t>supra</w:t>
      </w:r>
      <w:r w:rsidRPr="00B11D29">
        <w:rPr>
          <w:rFonts w:asciiTheme="majorHAnsi" w:hAnsiTheme="majorHAnsi"/>
          <w:sz w:val="16"/>
          <w:szCs w:val="16"/>
        </w:rPr>
        <w:t>, paras. 19-20.</w:t>
      </w:r>
    </w:p>
  </w:footnote>
  <w:footnote w:id="126">
    <w:p w14:paraId="17DFB80D"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IACHR Access to Justice Report, </w:t>
      </w:r>
      <w:r w:rsidRPr="00B11D29">
        <w:rPr>
          <w:rFonts w:asciiTheme="majorHAnsi" w:hAnsiTheme="majorHAnsi"/>
          <w:i/>
          <w:sz w:val="16"/>
          <w:szCs w:val="16"/>
        </w:rPr>
        <w:t>supra</w:t>
      </w:r>
      <w:r w:rsidRPr="00B11D29">
        <w:rPr>
          <w:rFonts w:asciiTheme="majorHAnsi" w:hAnsiTheme="majorHAnsi"/>
          <w:sz w:val="16"/>
          <w:szCs w:val="16"/>
        </w:rPr>
        <w:t xml:space="preserve">, para. 20. </w:t>
      </w:r>
    </w:p>
  </w:footnote>
  <w:footnote w:id="127">
    <w:p w14:paraId="06BFD082" w14:textId="543D4825"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In both Pennsylvania and Kansas, the adjudicating body is administrative in nature. </w:t>
      </w:r>
    </w:p>
  </w:footnote>
  <w:footnote w:id="128">
    <w:p w14:paraId="765FCA46" w14:textId="480F9B83"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This was based on his lawyer’s assessment of Pennsylvania jurisprudence at the time. The Commission notes that some experts have interpreted </w:t>
      </w:r>
      <w:r w:rsidRPr="00B11D29">
        <w:rPr>
          <w:rFonts w:asciiTheme="majorHAnsi" w:hAnsiTheme="majorHAnsi"/>
          <w:i/>
          <w:sz w:val="16"/>
          <w:szCs w:val="16"/>
        </w:rPr>
        <w:t>Reinforced Earth Co.</w:t>
      </w:r>
      <w:r w:rsidRPr="00B11D29">
        <w:rPr>
          <w:rFonts w:asciiTheme="majorHAnsi" w:hAnsiTheme="majorHAnsi"/>
          <w:sz w:val="16"/>
          <w:szCs w:val="16"/>
        </w:rPr>
        <w:t>, 570 Pa. 464 (2002) as prohibiting undocumented workers from receiving any workers’ compensation benefits on the basis of public policy.</w:t>
      </w:r>
    </w:p>
  </w:footnote>
  <w:footnote w:id="129">
    <w:p w14:paraId="2BC2AB58" w14:textId="6D17DC98"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U.S. Department of State, “Visa Ineligibilities,” (last accessed Dec. 11, 2015), http://travel.state.gov/content/visas/en/general/ineligibilities.html#visa (among them, refer to section 212(a)).</w:t>
      </w:r>
    </w:p>
  </w:footnote>
  <w:footnote w:id="130">
    <w:p w14:paraId="0BAED228" w14:textId="4EDA084B"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It is worth noting that the filing fee for the waiver of inadmissibility is $585. Additional information on the waiver application may be found at USCIS, “I-601, Application for Waiver on Grounds of Inadmissibility,” (edition date May 22, 2015), http://www.uscis.gov/i-601.</w:t>
      </w:r>
    </w:p>
  </w:footnote>
  <w:footnote w:id="131">
    <w:p w14:paraId="7E4CAE88" w14:textId="1B5C23F2"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U.S. Department of Homeland Security, U.S. Citizenship and Immigration Services (USCIS), “Humanitarian Parole,” http://www.uscis.gov/humanitarian/humanitarian-parole (last accessed June 10, 2015).</w:t>
      </w:r>
    </w:p>
  </w:footnote>
  <w:footnote w:id="132">
    <w:p w14:paraId="4F0B6ADE" w14:textId="6170CD4E"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U.S. Department of Homeland Security, U.S. Citizenship and Immigration Services (USCIS), “Humanitarian Parole,” http://www.uscis.gov/humanitarian/humanitarian-parole (last accessed June 10, 2015). </w:t>
      </w:r>
    </w:p>
  </w:footnote>
  <w:footnote w:id="133">
    <w:p w14:paraId="0F43F6B3" w14:textId="42F07F5E"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The filing costs alone are high, but the Commission also considers the potentially high associated costs, as well, such as those to mail the paperwork through an international courier mail service, obtain a passport (if necessary), and international travel (transportation, lodging, meals, etc.). </w:t>
      </w:r>
    </w:p>
  </w:footnote>
  <w:footnote w:id="134">
    <w:p w14:paraId="6E047796" w14:textId="7ADDA9A6"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A study conducted by the U.S. Government Accountability Office (GAO) that analyzed the adjudication of requests for humanitarian parole during a period spanning October 1, 2001 to June 30, 2007 found that one of the top 10 reasons for denial of a request, accounting for 13% of denials, was “The applicant had committed a prior immigration violation or other criminal violation.” Additionally, the same study found that although Mexican nationals constituted the largest number of humanitarian parole applicants, 82% of all Mexican applicants were denied. </w:t>
      </w:r>
      <w:r w:rsidRPr="00B11D29">
        <w:rPr>
          <w:rFonts w:asciiTheme="majorHAnsi" w:hAnsiTheme="majorHAnsi"/>
          <w:i/>
          <w:sz w:val="16"/>
          <w:szCs w:val="16"/>
        </w:rPr>
        <w:t>See</w:t>
      </w:r>
      <w:r w:rsidRPr="00B11D29">
        <w:rPr>
          <w:rFonts w:asciiTheme="majorHAnsi" w:hAnsiTheme="majorHAnsi"/>
          <w:sz w:val="16"/>
          <w:szCs w:val="16"/>
        </w:rPr>
        <w:t xml:space="preserve"> U.S. GAO, “Immigration Benefits: Internal Controls for Adjudicating Humanitarian Parole Cases are Generally Effective, but Some Can Be Strengthened,” GAO-08-282 (Feb. 2008), p. 15-17 (noting that the adjudication process is discretionary and that the adjudicating officials noted that “none of the reasons are in and of themselves automatically disqualifying”), 13, 21.</w:t>
      </w:r>
    </w:p>
  </w:footnote>
  <w:footnote w:id="135">
    <w:p w14:paraId="2D8343AF"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Hoffman</w:t>
      </w:r>
      <w:r w:rsidRPr="00B11D29">
        <w:rPr>
          <w:rFonts w:asciiTheme="majorHAnsi" w:hAnsiTheme="majorHAnsi"/>
          <w:sz w:val="16"/>
          <w:szCs w:val="16"/>
        </w:rPr>
        <w:t xml:space="preserve"> at 154. </w:t>
      </w:r>
      <w:r w:rsidRPr="00B11D29">
        <w:rPr>
          <w:rFonts w:asciiTheme="majorHAnsi" w:hAnsiTheme="majorHAnsi"/>
          <w:i/>
          <w:sz w:val="16"/>
          <w:szCs w:val="16"/>
        </w:rPr>
        <w:t>See also</w:t>
      </w:r>
      <w:r w:rsidRPr="00B11D29">
        <w:rPr>
          <w:rFonts w:asciiTheme="majorHAnsi" w:hAnsiTheme="majorHAnsi"/>
          <w:sz w:val="16"/>
          <w:szCs w:val="16"/>
        </w:rPr>
        <w:t xml:space="preserve"> Fritz Ebinger, </w:t>
      </w:r>
      <w:r w:rsidRPr="00B11D29">
        <w:rPr>
          <w:rFonts w:asciiTheme="majorHAnsi" w:hAnsiTheme="majorHAnsi"/>
          <w:i/>
          <w:sz w:val="16"/>
          <w:szCs w:val="16"/>
        </w:rPr>
        <w:t>Exposed to the Elements: Workers’ Compensation and Unauthorized Farm Workers in the Midwest</w:t>
      </w:r>
      <w:r w:rsidRPr="00B11D29">
        <w:rPr>
          <w:rFonts w:asciiTheme="majorHAnsi" w:hAnsiTheme="majorHAnsi"/>
          <w:sz w:val="16"/>
          <w:szCs w:val="16"/>
        </w:rPr>
        <w:t>, 13 Drake J. Agric.  L. 263, 280 (2008) (concluding that “If employers know that they will not be liable for expenses of unauthorized worker injuries, then they naturally have a financial incentive to find and hire unauthorized workers. In the least, some employers will look the other way and accept documents that are known to be false under the pretext that they are ‘reasonably genuine’”).</w:t>
      </w:r>
    </w:p>
  </w:footnote>
  <w:footnote w:id="136">
    <w:p w14:paraId="1FC85FED" w14:textId="62729952"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See, e.g.,</w:t>
      </w:r>
      <w:r w:rsidRPr="00B11D29">
        <w:rPr>
          <w:rFonts w:asciiTheme="majorHAnsi" w:hAnsiTheme="majorHAnsi"/>
          <w:sz w:val="16"/>
          <w:szCs w:val="16"/>
        </w:rPr>
        <w:t xml:space="preserve"> OC-18/03 at paras. 133-34. </w:t>
      </w:r>
    </w:p>
  </w:footnote>
  <w:footnote w:id="137">
    <w:p w14:paraId="6514C849"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U.N. CERD, “Consideration of Reports Submitted by States Parties under Article 9 of the Convention: Concluding Observations of the CERD,” CERD/C/USA/CO/6 (Feb. 2008), at para. 28.</w:t>
      </w:r>
    </w:p>
  </w:footnote>
  <w:footnote w:id="138">
    <w:p w14:paraId="598B0056"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Articles 34 (g) and 45 (b) of the OAS Charter; Article XIV of the American Declaration. </w:t>
      </w:r>
    </w:p>
  </w:footnote>
  <w:footnote w:id="139">
    <w:p w14:paraId="4498D38F"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See also</w:t>
      </w:r>
      <w:r w:rsidRPr="00B11D29">
        <w:rPr>
          <w:rFonts w:asciiTheme="majorHAnsi" w:hAnsiTheme="majorHAnsi"/>
          <w:sz w:val="16"/>
          <w:szCs w:val="16"/>
        </w:rPr>
        <w:t xml:space="preserve"> Brief for the Academy of Human Rights and International Humanitarian Law of the American University Washington College of Law and the Human Rights Program of the Universidad Iberoamericana de Mexico as Amicus Curiae, p. 53-59, I/A Court H.R., </w:t>
      </w:r>
      <w:r w:rsidRPr="00B11D29">
        <w:rPr>
          <w:rFonts w:asciiTheme="majorHAnsi" w:hAnsiTheme="majorHAnsi"/>
          <w:bCs/>
          <w:i/>
          <w:sz w:val="16"/>
          <w:szCs w:val="16"/>
        </w:rPr>
        <w:t>Juridical Condition and Rights of the Undocumented Migrants</w:t>
      </w:r>
      <w:r w:rsidRPr="00B11D29">
        <w:rPr>
          <w:rFonts w:asciiTheme="majorHAnsi" w:hAnsiTheme="majorHAnsi"/>
          <w:bCs/>
          <w:sz w:val="16"/>
          <w:szCs w:val="16"/>
        </w:rPr>
        <w:t>. Advisory Opinion OC-18/03 of September 17, 2003. Series A No. 18.</w:t>
      </w:r>
    </w:p>
  </w:footnote>
  <w:footnote w:id="140">
    <w:p w14:paraId="0F451588" w14:textId="7CA19554"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See</w:t>
      </w:r>
      <w:r w:rsidRPr="00B11D29">
        <w:rPr>
          <w:rFonts w:asciiTheme="majorHAnsi" w:hAnsiTheme="majorHAnsi"/>
          <w:sz w:val="16"/>
          <w:szCs w:val="16"/>
        </w:rPr>
        <w:t xml:space="preserve"> I/A Court H.R., </w:t>
      </w:r>
      <w:r w:rsidRPr="00B11D29">
        <w:rPr>
          <w:rFonts w:asciiTheme="majorHAnsi" w:hAnsiTheme="majorHAnsi"/>
          <w:i/>
          <w:sz w:val="16"/>
          <w:szCs w:val="16"/>
        </w:rPr>
        <w:t>Juridical Condition and Rights of the Undocumented Migrants</w:t>
      </w:r>
      <w:r w:rsidRPr="00B11D29">
        <w:rPr>
          <w:rFonts w:asciiTheme="majorHAnsi" w:hAnsiTheme="majorHAnsi"/>
          <w:sz w:val="16"/>
          <w:szCs w:val="16"/>
        </w:rPr>
        <w:t>. Advisory Opinion OC-18/03 of September 17, 2003. Series A No. 18, para. 157.</w:t>
      </w:r>
    </w:p>
  </w:footnote>
  <w:footnote w:id="141">
    <w:p w14:paraId="29D7953D" w14:textId="15C156B5"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Judge Sergio García Ramírez’s non-exhaustive list of “particularly important” rights: prohibition of obligatory or forced labor, elimination of discriminations in the provisions of labor, abolition of child labor, protection of women workers and the rights corresponding to remuneration, the working day, rest and holidays, health and security in the workplace, association to form trade unions and collective negotiation. OC-18/03 (concurring opinion), para. 33.</w:t>
      </w:r>
    </w:p>
  </w:footnote>
  <w:footnote w:id="142">
    <w:p w14:paraId="7AE88FF0"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See</w:t>
      </w:r>
      <w:r w:rsidRPr="00B11D29">
        <w:rPr>
          <w:rFonts w:asciiTheme="majorHAnsi" w:hAnsiTheme="majorHAnsi"/>
          <w:sz w:val="16"/>
          <w:szCs w:val="16"/>
        </w:rPr>
        <w:t xml:space="preserve"> I/A Court H.R., </w:t>
      </w:r>
      <w:r w:rsidRPr="00B11D29">
        <w:rPr>
          <w:rFonts w:asciiTheme="majorHAnsi" w:hAnsiTheme="majorHAnsi"/>
          <w:i/>
          <w:sz w:val="16"/>
          <w:szCs w:val="16"/>
        </w:rPr>
        <w:t>Juridical Condition and Rights of the Undocumented Migrants</w:t>
      </w:r>
      <w:r w:rsidRPr="00B11D29">
        <w:rPr>
          <w:rFonts w:asciiTheme="majorHAnsi" w:hAnsiTheme="majorHAnsi"/>
          <w:sz w:val="16"/>
          <w:szCs w:val="16"/>
        </w:rPr>
        <w:t xml:space="preserve">. Advisory Opinion OC-18/03 of September 17, 2003. Series A No. 18; </w:t>
      </w:r>
      <w:r w:rsidRPr="00B11D29">
        <w:rPr>
          <w:rFonts w:asciiTheme="majorHAnsi" w:hAnsiTheme="majorHAnsi"/>
          <w:i/>
          <w:sz w:val="16"/>
          <w:szCs w:val="16"/>
        </w:rPr>
        <w:t>see also</w:t>
      </w:r>
      <w:r w:rsidRPr="00B11D29">
        <w:rPr>
          <w:rFonts w:asciiTheme="majorHAnsi" w:hAnsiTheme="majorHAnsi"/>
          <w:sz w:val="16"/>
          <w:szCs w:val="16"/>
        </w:rPr>
        <w:t xml:space="preserve"> the Universal Declaration on Human Rights (UDHR), ICCPR, and ICESCR. </w:t>
      </w:r>
    </w:p>
  </w:footnote>
  <w:footnote w:id="143">
    <w:p w14:paraId="7A9854BA"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w:t>
      </w:r>
      <w:r w:rsidRPr="00B11D29">
        <w:rPr>
          <w:rFonts w:asciiTheme="majorHAnsi" w:hAnsiTheme="majorHAnsi"/>
          <w:i/>
          <w:sz w:val="16"/>
          <w:szCs w:val="16"/>
        </w:rPr>
        <w:t>See</w:t>
      </w:r>
      <w:r w:rsidRPr="00B11D29">
        <w:rPr>
          <w:rFonts w:asciiTheme="majorHAnsi" w:hAnsiTheme="majorHAnsi"/>
          <w:sz w:val="16"/>
          <w:szCs w:val="16"/>
        </w:rPr>
        <w:t xml:space="preserve"> ILO, Official Relations Branch, Alphabetical List of ILO Member Countries, http://www.ilo.org/public/english/standards/relm/country.htm. </w:t>
      </w:r>
    </w:p>
  </w:footnote>
  <w:footnote w:id="144">
    <w:p w14:paraId="6FD3DCF7"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ILO, Note on the Dignity and Rights of Migrant Workers in an Irregular Situation, Submitted to ILO-Brussels (Nov. 30, 2011).</w:t>
      </w:r>
    </w:p>
  </w:footnote>
  <w:footnote w:id="145">
    <w:p w14:paraId="2DD0EAB0" w14:textId="7777777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ILO Member States are required to do so regardless of whether they have ratified the relevant Conventions. ILO, “About the Declaration,” http://www.ilo.org/declaration/thedeclaration/lang--en/index.htm. Of the eight core Conventions, the US has ratified two: #105 on forced labor and #182 on the worst forms of child labor.</w:t>
      </w:r>
    </w:p>
  </w:footnote>
  <w:footnote w:id="146">
    <w:p w14:paraId="032C85CD" w14:textId="661C45BE"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ILO, Declaration on Fundamental Principles and Rights at Work: Elimination of Discrimination in Respect of Employment and Occupation, http://www.ilo.org/declaration/principles/eliminationofdiscrimination/lang--en/index.htm (last visited June 10, 2015). </w:t>
      </w:r>
    </w:p>
  </w:footnote>
  <w:footnote w:id="147">
    <w:p w14:paraId="37023D69" w14:textId="77494800"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The United States, Mexico and Canada signed the NAALC on September 14, 1993 and it entered into force on January 1, 1994. The NAALC is one of the supplementary accords to the North America Free Trade Agreement (NAFTA). According to the Commission for Labor Cooperation, the international organization created under the NAALC, the three signatories sought to improve working conditions and living standards and to “protect, enhance and enforce basic workers’ rights.” </w:t>
      </w:r>
      <w:r w:rsidRPr="00B11D29">
        <w:rPr>
          <w:rFonts w:asciiTheme="majorHAnsi" w:hAnsiTheme="majorHAnsi"/>
          <w:i/>
          <w:sz w:val="16"/>
          <w:szCs w:val="16"/>
        </w:rPr>
        <w:t>See</w:t>
      </w:r>
      <w:r w:rsidRPr="00B11D29">
        <w:rPr>
          <w:rFonts w:asciiTheme="majorHAnsi" w:hAnsiTheme="majorHAnsi"/>
          <w:sz w:val="16"/>
          <w:szCs w:val="16"/>
        </w:rPr>
        <w:t xml:space="preserve"> Secretariat of the Commission for Labor Cooperation, “The NAALC,” http://new.naalc.org/naalc/thenaalc.htm. </w:t>
      </w:r>
    </w:p>
  </w:footnote>
  <w:footnote w:id="148">
    <w:p w14:paraId="536E9374" w14:textId="35CEE998"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Principles 9-11. Secretariat of the Commission for Labor Cooperation, “Annex 1: Labor Principles,” http://new.naalc.org/index.cfm?page=219.</w:t>
      </w:r>
    </w:p>
  </w:footnote>
  <w:footnote w:id="149">
    <w:p w14:paraId="33B8A239" w14:textId="19FD947D"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SSA, Disability Benefits (May 2015), p. 5, https://www.ssa.gov/pubs/EN-05-10029.pdf.</w:t>
      </w:r>
    </w:p>
  </w:footnote>
  <w:footnote w:id="150">
    <w:p w14:paraId="586AF8D2" w14:textId="7C022C67"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SSA, Disability Benefits (May 2015), p. 5, </w:t>
      </w:r>
      <w:hyperlink r:id="rId6" w:history="1">
        <w:r w:rsidRPr="00B11D29">
          <w:rPr>
            <w:rStyle w:val="Hyperlink"/>
            <w:rFonts w:asciiTheme="majorHAnsi" w:hAnsiTheme="majorHAnsi"/>
            <w:sz w:val="16"/>
            <w:szCs w:val="16"/>
          </w:rPr>
          <w:t>https://www.ssa.gov/pubs/EN-05-10029.pdf</w:t>
        </w:r>
      </w:hyperlink>
      <w:r w:rsidRPr="00B11D29">
        <w:rPr>
          <w:rFonts w:asciiTheme="majorHAnsi" w:hAnsiTheme="majorHAnsi"/>
          <w:sz w:val="16"/>
          <w:szCs w:val="16"/>
        </w:rPr>
        <w:t xml:space="preserve">. According to their respective declarations, at the time of their workplace injuries, Mr. Zumaya was 34 years old and Mr. Lizalde was 37 years old. Mr. Zumaya declared having worked in total for a year and two months; for his part, Mr. Lizalde declared that he worked for eight months. </w:t>
      </w:r>
    </w:p>
  </w:footnote>
  <w:footnote w:id="151">
    <w:p w14:paraId="49E38D52" w14:textId="3B43C94D" w:rsidR="00E54CE8" w:rsidRPr="00B11D29" w:rsidRDefault="00E54CE8" w:rsidP="00B11D29">
      <w:pPr>
        <w:pStyle w:val="Footnotes"/>
        <w:spacing w:before="120" w:after="0"/>
        <w:rPr>
          <w:rFonts w:asciiTheme="majorHAnsi" w:hAnsiTheme="majorHAnsi"/>
          <w:sz w:val="16"/>
          <w:szCs w:val="16"/>
        </w:rPr>
      </w:pPr>
      <w:r w:rsidRPr="00B11D29">
        <w:rPr>
          <w:rStyle w:val="FootnoteReference"/>
          <w:rFonts w:asciiTheme="majorHAnsi" w:hAnsiTheme="majorHAnsi"/>
          <w:sz w:val="16"/>
          <w:szCs w:val="16"/>
        </w:rPr>
        <w:footnoteRef/>
      </w:r>
      <w:r w:rsidRPr="00B11D29">
        <w:rPr>
          <w:rFonts w:asciiTheme="majorHAnsi" w:hAnsiTheme="majorHAnsi"/>
          <w:sz w:val="16"/>
          <w:szCs w:val="16"/>
        </w:rPr>
        <w:t xml:space="preserve"> SSA, Supplemental Security Income (SSI) (Jan. 2015), p. 4, </w:t>
      </w:r>
      <w:hyperlink r:id="rId7" w:history="1">
        <w:r w:rsidRPr="00B11D29">
          <w:rPr>
            <w:rStyle w:val="Hyperlink"/>
            <w:rFonts w:asciiTheme="majorHAnsi" w:hAnsiTheme="majorHAnsi"/>
            <w:sz w:val="16"/>
            <w:szCs w:val="16"/>
          </w:rPr>
          <w:t>https://www.ssa.gov/pubs/EN-05-11000.pdf</w:t>
        </w:r>
      </w:hyperlink>
      <w:r w:rsidRPr="00B11D29">
        <w:rPr>
          <w:rFonts w:asciiTheme="majorHAnsi" w:hAnsiTheme="majorHAnsi"/>
          <w:sz w:val="16"/>
          <w:szCs w:val="16"/>
        </w:rPr>
        <w:t xml:space="preserve">; SSA, SSI Eligibility Requirements – 2015 edition, </w:t>
      </w:r>
      <w:hyperlink r:id="rId8" w:history="1">
        <w:r w:rsidRPr="00B11D29">
          <w:rPr>
            <w:rStyle w:val="Hyperlink"/>
            <w:rFonts w:asciiTheme="majorHAnsi" w:hAnsiTheme="majorHAnsi"/>
            <w:sz w:val="16"/>
            <w:szCs w:val="16"/>
          </w:rPr>
          <w:t>https://www.ssa.gov/ssi/text-eligibility-ussi.htm</w:t>
        </w:r>
      </w:hyperlink>
      <w:r w:rsidRPr="00B11D29">
        <w:rPr>
          <w:rFonts w:asciiTheme="majorHAnsi" w:hAnsiTheme="majorHAnsi"/>
          <w:sz w:val="16"/>
          <w:szCs w:val="16"/>
        </w:rPr>
        <w:t xml:space="preserve"> (last accessed Dec. 16, 2015). The categories of “qualified aliens” are as follows: lawfully admitted for permanent residence in the United States; granted conditional entry under Section  203(a)(7) of the Immigration and Nationality Act (INA) as in effect before April 1, 1980; paroled into the U.S. under Section 212(d)(5) of the INA for a period of at least one year; refugee admitted to the U.S. under Section 207 of the INA; granted asylum under Section 208 of the INA; deportation is being withheld under Section  243(h) of the INA as in effect before April 1, 1997, or removal is being withheld under Section 241(b)(3) of the INA; or a “Cuban or Haitian entrant” under Section 501(e)of the Refugee Education Assistance Act of 1980 or in a status that is to be treated as a “Cuban/Haitian entrant” for SSI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B3450" w14:textId="77777777" w:rsidR="00E54CE8" w:rsidRDefault="00E54CE8" w:rsidP="00F7692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A52AE9C" w14:textId="77777777" w:rsidR="00E54CE8" w:rsidRDefault="00E54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3012D" w14:textId="77777777" w:rsidR="00E54CE8" w:rsidRDefault="00E54CE8" w:rsidP="002C1641">
    <w:pPr>
      <w:pStyle w:val="Header"/>
      <w:tabs>
        <w:tab w:val="clear" w:pos="4320"/>
        <w:tab w:val="clear" w:pos="8640"/>
      </w:tabs>
      <w:jc w:val="center"/>
      <w:rPr>
        <w:sz w:val="22"/>
        <w:szCs w:val="22"/>
      </w:rPr>
    </w:pPr>
    <w:r>
      <w:rPr>
        <w:noProof/>
        <w:sz w:val="22"/>
        <w:szCs w:val="22"/>
      </w:rPr>
      <w:drawing>
        <wp:inline distT="0" distB="0" distL="0" distR="0" wp14:anchorId="78225A92" wp14:editId="58F9854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F50F8DC" w14:textId="77777777" w:rsidR="00E54CE8" w:rsidRPr="00EC7D62" w:rsidRDefault="00CF4796" w:rsidP="002C1641">
    <w:pPr>
      <w:pStyle w:val="Header"/>
      <w:tabs>
        <w:tab w:val="clear" w:pos="4320"/>
        <w:tab w:val="clear" w:pos="8640"/>
      </w:tabs>
      <w:jc w:val="center"/>
      <w:rPr>
        <w:sz w:val="22"/>
        <w:szCs w:val="22"/>
      </w:rPr>
    </w:pPr>
    <w:r>
      <w:rPr>
        <w:sz w:val="22"/>
        <w:szCs w:val="22"/>
      </w:rPr>
      <w:pict w14:anchorId="777BDB5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120B1" w14:textId="77777777" w:rsidR="0051167F" w:rsidRDefault="00511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9C917DA"/>
    <w:multiLevelType w:val="hybridMultilevel"/>
    <w:tmpl w:val="8B8AA6C4"/>
    <w:lvl w:ilvl="0" w:tplc="D6AE8F54">
      <w:start w:val="1"/>
      <w:numFmt w:val="lowerLetter"/>
      <w:pStyle w:val="Heading4"/>
      <w:lvlText w:val="%1."/>
      <w:lvlJc w:val="lef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0C9676B"/>
    <w:multiLevelType w:val="hybridMultilevel"/>
    <w:tmpl w:val="23C21E1E"/>
    <w:lvl w:ilvl="0" w:tplc="DFB4B130">
      <w:start w:val="1"/>
      <w:numFmt w:val="decimal"/>
      <w:pStyle w:val="Heading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143A36"/>
    <w:multiLevelType w:val="hybridMultilevel"/>
    <w:tmpl w:val="0B9819EA"/>
    <w:lvl w:ilvl="0" w:tplc="D812B83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5DD54DE"/>
    <w:multiLevelType w:val="hybridMultilevel"/>
    <w:tmpl w:val="B8B6BC1C"/>
    <w:lvl w:ilvl="0" w:tplc="A946883E">
      <w:start w:val="1"/>
      <w:numFmt w:val="decimal"/>
      <w:lvlText w:val="%1."/>
      <w:lvlJc w:val="left"/>
      <w:pPr>
        <w:tabs>
          <w:tab w:val="num" w:pos="1500"/>
        </w:tabs>
        <w:ind w:left="1500" w:hanging="765"/>
      </w:pPr>
      <w:rPr>
        <w:rFonts w:ascii="Cambria" w:hAnsi="Cambria" w:cs="Arial" w:hint="default"/>
        <w:b w:val="0"/>
        <w:vanish w:val="0"/>
        <w:color w:val="auto"/>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3">
    <w:nsid w:val="59513571"/>
    <w:multiLevelType w:val="hybridMultilevel"/>
    <w:tmpl w:val="7604138C"/>
    <w:lvl w:ilvl="0" w:tplc="45D6A2A4">
      <w:start w:val="1"/>
      <w:numFmt w:val="upperLetter"/>
      <w:pStyle w:val="Heading2"/>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713176"/>
    <w:multiLevelType w:val="hybridMultilevel"/>
    <w:tmpl w:val="0B9819EA"/>
    <w:lvl w:ilvl="0" w:tplc="D812B83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2"/>
  </w:num>
  <w:num w:numId="5">
    <w:abstractNumId w:val="47"/>
  </w:num>
  <w:num w:numId="6">
    <w:abstractNumId w:val="27"/>
  </w:num>
  <w:num w:numId="7">
    <w:abstractNumId w:val="6"/>
  </w:num>
  <w:num w:numId="8">
    <w:abstractNumId w:val="17"/>
  </w:num>
  <w:num w:numId="9">
    <w:abstractNumId w:val="41"/>
  </w:num>
  <w:num w:numId="10">
    <w:abstractNumId w:val="0"/>
  </w:num>
  <w:num w:numId="11">
    <w:abstractNumId w:val="36"/>
  </w:num>
  <w:num w:numId="12">
    <w:abstractNumId w:val="37"/>
  </w:num>
  <w:num w:numId="13">
    <w:abstractNumId w:val="44"/>
  </w:num>
  <w:num w:numId="14">
    <w:abstractNumId w:val="1"/>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6"/>
  </w:num>
  <w:num w:numId="42">
    <w:abstractNumId w:val="48"/>
  </w:num>
  <w:num w:numId="43">
    <w:abstractNumId w:val="50"/>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45"/>
  </w:num>
  <w:num w:numId="54">
    <w:abstractNumId w:val="42"/>
  </w:num>
  <w:num w:numId="55">
    <w:abstractNumId w:val="43"/>
  </w:num>
  <w:num w:numId="56">
    <w:abstractNumId w:val="12"/>
  </w:num>
  <w:num w:numId="57">
    <w:abstractNumId w:val="2"/>
  </w:num>
  <w:num w:numId="58">
    <w:abstractNumId w:val="43"/>
    <w:lvlOverride w:ilvl="0">
      <w:startOverride w:val="1"/>
    </w:lvlOverride>
  </w:num>
  <w:num w:numId="59">
    <w:abstractNumId w:val="12"/>
    <w:lvlOverride w:ilvl="0">
      <w:startOverride w:val="1"/>
    </w:lvlOverride>
  </w:num>
  <w:num w:numId="60">
    <w:abstractNumId w:val="43"/>
    <w:lvlOverride w:ilvl="0">
      <w:startOverride w:val="1"/>
    </w:lvlOverride>
  </w:num>
  <w:num w:numId="61">
    <w:abstractNumId w:val="49"/>
  </w:num>
  <w:num w:numId="62">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ADF"/>
    <w:rsid w:val="00003AEB"/>
    <w:rsid w:val="0000548A"/>
    <w:rsid w:val="000070D7"/>
    <w:rsid w:val="000111A8"/>
    <w:rsid w:val="00011CC3"/>
    <w:rsid w:val="000131FE"/>
    <w:rsid w:val="0001669A"/>
    <w:rsid w:val="00016A9D"/>
    <w:rsid w:val="00016AE5"/>
    <w:rsid w:val="0001788C"/>
    <w:rsid w:val="00023555"/>
    <w:rsid w:val="0002466D"/>
    <w:rsid w:val="0002727A"/>
    <w:rsid w:val="00030CAF"/>
    <w:rsid w:val="00032C32"/>
    <w:rsid w:val="00036A8A"/>
    <w:rsid w:val="00040C3A"/>
    <w:rsid w:val="00045FB6"/>
    <w:rsid w:val="0004737A"/>
    <w:rsid w:val="000518DB"/>
    <w:rsid w:val="00052144"/>
    <w:rsid w:val="00054AC0"/>
    <w:rsid w:val="000550C0"/>
    <w:rsid w:val="00056C4B"/>
    <w:rsid w:val="000639C0"/>
    <w:rsid w:val="000645ED"/>
    <w:rsid w:val="00064ADD"/>
    <w:rsid w:val="000656EC"/>
    <w:rsid w:val="000668DD"/>
    <w:rsid w:val="00066F3B"/>
    <w:rsid w:val="00070F3A"/>
    <w:rsid w:val="000716C5"/>
    <w:rsid w:val="00075E23"/>
    <w:rsid w:val="000801FA"/>
    <w:rsid w:val="000804B8"/>
    <w:rsid w:val="000839D5"/>
    <w:rsid w:val="000861CC"/>
    <w:rsid w:val="00087946"/>
    <w:rsid w:val="000919B0"/>
    <w:rsid w:val="00092F32"/>
    <w:rsid w:val="0009344A"/>
    <w:rsid w:val="00093DEC"/>
    <w:rsid w:val="00095E1A"/>
    <w:rsid w:val="000A2421"/>
    <w:rsid w:val="000A40E7"/>
    <w:rsid w:val="000A575F"/>
    <w:rsid w:val="000A7E3D"/>
    <w:rsid w:val="000B18E7"/>
    <w:rsid w:val="000B3285"/>
    <w:rsid w:val="000B63E3"/>
    <w:rsid w:val="000B6BBB"/>
    <w:rsid w:val="000B6F33"/>
    <w:rsid w:val="000C1244"/>
    <w:rsid w:val="000C49AD"/>
    <w:rsid w:val="000D10DB"/>
    <w:rsid w:val="000D36C5"/>
    <w:rsid w:val="000D37AB"/>
    <w:rsid w:val="000D3E63"/>
    <w:rsid w:val="000D6C0A"/>
    <w:rsid w:val="000E2236"/>
    <w:rsid w:val="000E2ADC"/>
    <w:rsid w:val="000E6D65"/>
    <w:rsid w:val="000E70A7"/>
    <w:rsid w:val="000F5D27"/>
    <w:rsid w:val="00101A35"/>
    <w:rsid w:val="00102658"/>
    <w:rsid w:val="00104AA0"/>
    <w:rsid w:val="00107DD4"/>
    <w:rsid w:val="00111E32"/>
    <w:rsid w:val="00112AC3"/>
    <w:rsid w:val="001145B8"/>
    <w:rsid w:val="00116629"/>
    <w:rsid w:val="001248AE"/>
    <w:rsid w:val="0012542B"/>
    <w:rsid w:val="0012560C"/>
    <w:rsid w:val="00126174"/>
    <w:rsid w:val="0012673C"/>
    <w:rsid w:val="0013104F"/>
    <w:rsid w:val="00137EBA"/>
    <w:rsid w:val="00137F23"/>
    <w:rsid w:val="00141514"/>
    <w:rsid w:val="00141BD3"/>
    <w:rsid w:val="0014296A"/>
    <w:rsid w:val="00142FD9"/>
    <w:rsid w:val="00144C41"/>
    <w:rsid w:val="00144F31"/>
    <w:rsid w:val="00145788"/>
    <w:rsid w:val="00145EDC"/>
    <w:rsid w:val="00153A38"/>
    <w:rsid w:val="001567A7"/>
    <w:rsid w:val="001643E0"/>
    <w:rsid w:val="0016476F"/>
    <w:rsid w:val="00165114"/>
    <w:rsid w:val="00165B60"/>
    <w:rsid w:val="00167A34"/>
    <w:rsid w:val="001703BE"/>
    <w:rsid w:val="0017202C"/>
    <w:rsid w:val="00172DBE"/>
    <w:rsid w:val="00174259"/>
    <w:rsid w:val="001744FB"/>
    <w:rsid w:val="001748F6"/>
    <w:rsid w:val="0017605C"/>
    <w:rsid w:val="0018037F"/>
    <w:rsid w:val="001807A7"/>
    <w:rsid w:val="00185C60"/>
    <w:rsid w:val="00194535"/>
    <w:rsid w:val="00194DCD"/>
    <w:rsid w:val="00196426"/>
    <w:rsid w:val="001A05E8"/>
    <w:rsid w:val="001A2F57"/>
    <w:rsid w:val="001A394A"/>
    <w:rsid w:val="001A4873"/>
    <w:rsid w:val="001A5F27"/>
    <w:rsid w:val="001A635C"/>
    <w:rsid w:val="001A751B"/>
    <w:rsid w:val="001A7870"/>
    <w:rsid w:val="001B0ED8"/>
    <w:rsid w:val="001B2C1B"/>
    <w:rsid w:val="001B4ADC"/>
    <w:rsid w:val="001B51D4"/>
    <w:rsid w:val="001B6E90"/>
    <w:rsid w:val="001C1B41"/>
    <w:rsid w:val="001C2783"/>
    <w:rsid w:val="001C3336"/>
    <w:rsid w:val="001C3785"/>
    <w:rsid w:val="001C40D1"/>
    <w:rsid w:val="001D3553"/>
    <w:rsid w:val="001E4020"/>
    <w:rsid w:val="001E45DE"/>
    <w:rsid w:val="001E55E2"/>
    <w:rsid w:val="001E5C56"/>
    <w:rsid w:val="001F2E4A"/>
    <w:rsid w:val="001F4DAC"/>
    <w:rsid w:val="001F6032"/>
    <w:rsid w:val="001F6589"/>
    <w:rsid w:val="001F6AFC"/>
    <w:rsid w:val="00203067"/>
    <w:rsid w:val="00203C0B"/>
    <w:rsid w:val="00210E0E"/>
    <w:rsid w:val="00212164"/>
    <w:rsid w:val="0021470F"/>
    <w:rsid w:val="002211D6"/>
    <w:rsid w:val="00232BA4"/>
    <w:rsid w:val="00232C43"/>
    <w:rsid w:val="0023585E"/>
    <w:rsid w:val="00237204"/>
    <w:rsid w:val="002374B8"/>
    <w:rsid w:val="00237563"/>
    <w:rsid w:val="00242AD1"/>
    <w:rsid w:val="00245775"/>
    <w:rsid w:val="002465C6"/>
    <w:rsid w:val="00247403"/>
    <w:rsid w:val="00247542"/>
    <w:rsid w:val="00247D37"/>
    <w:rsid w:val="0025141D"/>
    <w:rsid w:val="00252128"/>
    <w:rsid w:val="00257893"/>
    <w:rsid w:val="002606C3"/>
    <w:rsid w:val="00261744"/>
    <w:rsid w:val="0026548C"/>
    <w:rsid w:val="00266092"/>
    <w:rsid w:val="00266B61"/>
    <w:rsid w:val="0026712A"/>
    <w:rsid w:val="00270052"/>
    <w:rsid w:val="002704DB"/>
    <w:rsid w:val="00270904"/>
    <w:rsid w:val="00273105"/>
    <w:rsid w:val="002731E6"/>
    <w:rsid w:val="002760F9"/>
    <w:rsid w:val="00276D67"/>
    <w:rsid w:val="00281076"/>
    <w:rsid w:val="002839AA"/>
    <w:rsid w:val="002861AE"/>
    <w:rsid w:val="00291379"/>
    <w:rsid w:val="00291FED"/>
    <w:rsid w:val="00293959"/>
    <w:rsid w:val="002953E1"/>
    <w:rsid w:val="00296464"/>
    <w:rsid w:val="002A317F"/>
    <w:rsid w:val="002A764B"/>
    <w:rsid w:val="002B0A7E"/>
    <w:rsid w:val="002B2E96"/>
    <w:rsid w:val="002B6726"/>
    <w:rsid w:val="002C100F"/>
    <w:rsid w:val="002C1641"/>
    <w:rsid w:val="002C1ACC"/>
    <w:rsid w:val="002C5EB8"/>
    <w:rsid w:val="002D5BBC"/>
    <w:rsid w:val="002D6FF4"/>
    <w:rsid w:val="002D7BC9"/>
    <w:rsid w:val="002D7EA2"/>
    <w:rsid w:val="002E1444"/>
    <w:rsid w:val="002E15DF"/>
    <w:rsid w:val="002E187C"/>
    <w:rsid w:val="002E2C86"/>
    <w:rsid w:val="002E4DA7"/>
    <w:rsid w:val="002E6371"/>
    <w:rsid w:val="002E639A"/>
    <w:rsid w:val="002E6E57"/>
    <w:rsid w:val="002F1485"/>
    <w:rsid w:val="002F58F5"/>
    <w:rsid w:val="00301075"/>
    <w:rsid w:val="003010AB"/>
    <w:rsid w:val="00302733"/>
    <w:rsid w:val="00302EE6"/>
    <w:rsid w:val="003102BE"/>
    <w:rsid w:val="00311A4F"/>
    <w:rsid w:val="00313CEE"/>
    <w:rsid w:val="00314078"/>
    <w:rsid w:val="003159BA"/>
    <w:rsid w:val="00322450"/>
    <w:rsid w:val="003246B5"/>
    <w:rsid w:val="0032681C"/>
    <w:rsid w:val="00326AB1"/>
    <w:rsid w:val="0033169F"/>
    <w:rsid w:val="00335A5E"/>
    <w:rsid w:val="003414AC"/>
    <w:rsid w:val="003435A6"/>
    <w:rsid w:val="00347A03"/>
    <w:rsid w:val="00354259"/>
    <w:rsid w:val="00356185"/>
    <w:rsid w:val="00360380"/>
    <w:rsid w:val="00362938"/>
    <w:rsid w:val="00363478"/>
    <w:rsid w:val="0036703D"/>
    <w:rsid w:val="00367BAE"/>
    <w:rsid w:val="00371B0C"/>
    <w:rsid w:val="00371B32"/>
    <w:rsid w:val="0037333F"/>
    <w:rsid w:val="00374F5F"/>
    <w:rsid w:val="003767FD"/>
    <w:rsid w:val="00383F7A"/>
    <w:rsid w:val="003845BE"/>
    <w:rsid w:val="00386CF0"/>
    <w:rsid w:val="00392FCE"/>
    <w:rsid w:val="003A19C7"/>
    <w:rsid w:val="003B3107"/>
    <w:rsid w:val="003B7A67"/>
    <w:rsid w:val="003B7AD2"/>
    <w:rsid w:val="003C0514"/>
    <w:rsid w:val="003C20AC"/>
    <w:rsid w:val="003C32BC"/>
    <w:rsid w:val="003C3D74"/>
    <w:rsid w:val="003C4176"/>
    <w:rsid w:val="003C64B9"/>
    <w:rsid w:val="003D2342"/>
    <w:rsid w:val="003D4656"/>
    <w:rsid w:val="003D5DE1"/>
    <w:rsid w:val="003D6AC6"/>
    <w:rsid w:val="003F1BBF"/>
    <w:rsid w:val="003F45D6"/>
    <w:rsid w:val="003F5ABE"/>
    <w:rsid w:val="00404CBC"/>
    <w:rsid w:val="004121CB"/>
    <w:rsid w:val="004165C2"/>
    <w:rsid w:val="00416C54"/>
    <w:rsid w:val="00427AA4"/>
    <w:rsid w:val="004347D8"/>
    <w:rsid w:val="00435BF6"/>
    <w:rsid w:val="00437283"/>
    <w:rsid w:val="00443049"/>
    <w:rsid w:val="00444511"/>
    <w:rsid w:val="00446047"/>
    <w:rsid w:val="00447E2C"/>
    <w:rsid w:val="0045080C"/>
    <w:rsid w:val="00450A4A"/>
    <w:rsid w:val="00451903"/>
    <w:rsid w:val="00457F0A"/>
    <w:rsid w:val="004632F5"/>
    <w:rsid w:val="00463F8D"/>
    <w:rsid w:val="004666FB"/>
    <w:rsid w:val="00466862"/>
    <w:rsid w:val="00467065"/>
    <w:rsid w:val="00467718"/>
    <w:rsid w:val="00467B7E"/>
    <w:rsid w:val="00472418"/>
    <w:rsid w:val="00481785"/>
    <w:rsid w:val="004820BB"/>
    <w:rsid w:val="004836E6"/>
    <w:rsid w:val="00483C87"/>
    <w:rsid w:val="00486733"/>
    <w:rsid w:val="004873E3"/>
    <w:rsid w:val="00493F2C"/>
    <w:rsid w:val="0049419D"/>
    <w:rsid w:val="0049438B"/>
    <w:rsid w:val="0049544F"/>
    <w:rsid w:val="004961FE"/>
    <w:rsid w:val="00496C38"/>
    <w:rsid w:val="004A0ABB"/>
    <w:rsid w:val="004A24D6"/>
    <w:rsid w:val="004A617E"/>
    <w:rsid w:val="004B0C20"/>
    <w:rsid w:val="004B0CE7"/>
    <w:rsid w:val="004B0F22"/>
    <w:rsid w:val="004B200B"/>
    <w:rsid w:val="004B268B"/>
    <w:rsid w:val="004B2762"/>
    <w:rsid w:val="004B3540"/>
    <w:rsid w:val="004B3CA9"/>
    <w:rsid w:val="004B70CB"/>
    <w:rsid w:val="004B725C"/>
    <w:rsid w:val="004B7EB6"/>
    <w:rsid w:val="004C3407"/>
    <w:rsid w:val="004C45EB"/>
    <w:rsid w:val="004C4B62"/>
    <w:rsid w:val="004C4DC7"/>
    <w:rsid w:val="004D1B0F"/>
    <w:rsid w:val="004D3410"/>
    <w:rsid w:val="004D46E2"/>
    <w:rsid w:val="004D56C1"/>
    <w:rsid w:val="004D6025"/>
    <w:rsid w:val="004D6DED"/>
    <w:rsid w:val="004D72BC"/>
    <w:rsid w:val="004E135C"/>
    <w:rsid w:val="004E1EA8"/>
    <w:rsid w:val="004E286F"/>
    <w:rsid w:val="004E3C74"/>
    <w:rsid w:val="004E41EB"/>
    <w:rsid w:val="004E4462"/>
    <w:rsid w:val="004E4EE5"/>
    <w:rsid w:val="004E5FED"/>
    <w:rsid w:val="004E65DE"/>
    <w:rsid w:val="004E6957"/>
    <w:rsid w:val="004F4B24"/>
    <w:rsid w:val="004F50C1"/>
    <w:rsid w:val="004F57D8"/>
    <w:rsid w:val="005009F1"/>
    <w:rsid w:val="00501399"/>
    <w:rsid w:val="00501C6F"/>
    <w:rsid w:val="0050246B"/>
    <w:rsid w:val="00502B0D"/>
    <w:rsid w:val="00504910"/>
    <w:rsid w:val="00507BC4"/>
    <w:rsid w:val="00510BFE"/>
    <w:rsid w:val="0051167F"/>
    <w:rsid w:val="00511CF2"/>
    <w:rsid w:val="00511E71"/>
    <w:rsid w:val="005128E4"/>
    <w:rsid w:val="0051688A"/>
    <w:rsid w:val="005206C4"/>
    <w:rsid w:val="00520DFD"/>
    <w:rsid w:val="005239C1"/>
    <w:rsid w:val="00525560"/>
    <w:rsid w:val="005269FD"/>
    <w:rsid w:val="00526D35"/>
    <w:rsid w:val="00526E0B"/>
    <w:rsid w:val="0052741A"/>
    <w:rsid w:val="00530D2A"/>
    <w:rsid w:val="00530E91"/>
    <w:rsid w:val="00532A63"/>
    <w:rsid w:val="00532E7B"/>
    <w:rsid w:val="00533D57"/>
    <w:rsid w:val="005357A6"/>
    <w:rsid w:val="00536F57"/>
    <w:rsid w:val="00540BE5"/>
    <w:rsid w:val="00541194"/>
    <w:rsid w:val="005416DF"/>
    <w:rsid w:val="00544C49"/>
    <w:rsid w:val="00550AA9"/>
    <w:rsid w:val="00553044"/>
    <w:rsid w:val="00554DB5"/>
    <w:rsid w:val="00557002"/>
    <w:rsid w:val="00560554"/>
    <w:rsid w:val="00564436"/>
    <w:rsid w:val="00564E60"/>
    <w:rsid w:val="0056703C"/>
    <w:rsid w:val="005704BC"/>
    <w:rsid w:val="00572D8C"/>
    <w:rsid w:val="0057402A"/>
    <w:rsid w:val="0057452C"/>
    <w:rsid w:val="0057597B"/>
    <w:rsid w:val="00576CD1"/>
    <w:rsid w:val="005771D0"/>
    <w:rsid w:val="00584CF9"/>
    <w:rsid w:val="005878A4"/>
    <w:rsid w:val="0059191A"/>
    <w:rsid w:val="00591A8A"/>
    <w:rsid w:val="005921FF"/>
    <w:rsid w:val="00592340"/>
    <w:rsid w:val="00593340"/>
    <w:rsid w:val="00596286"/>
    <w:rsid w:val="00597F6A"/>
    <w:rsid w:val="005A127B"/>
    <w:rsid w:val="005A3615"/>
    <w:rsid w:val="005A393A"/>
    <w:rsid w:val="005A642E"/>
    <w:rsid w:val="005A6D0E"/>
    <w:rsid w:val="005B222D"/>
    <w:rsid w:val="005B52B0"/>
    <w:rsid w:val="005B6806"/>
    <w:rsid w:val="005B6AA8"/>
    <w:rsid w:val="005B72BA"/>
    <w:rsid w:val="005B739C"/>
    <w:rsid w:val="005B7EF0"/>
    <w:rsid w:val="005C00F9"/>
    <w:rsid w:val="005C28E6"/>
    <w:rsid w:val="005C3C24"/>
    <w:rsid w:val="005C4225"/>
    <w:rsid w:val="005C5078"/>
    <w:rsid w:val="005C5540"/>
    <w:rsid w:val="005C775F"/>
    <w:rsid w:val="005C77C4"/>
    <w:rsid w:val="005D1646"/>
    <w:rsid w:val="005D4874"/>
    <w:rsid w:val="005D52D3"/>
    <w:rsid w:val="005D666A"/>
    <w:rsid w:val="005E0020"/>
    <w:rsid w:val="005E011D"/>
    <w:rsid w:val="005E0D6E"/>
    <w:rsid w:val="005E3808"/>
    <w:rsid w:val="005E4066"/>
    <w:rsid w:val="005E666D"/>
    <w:rsid w:val="005F0F33"/>
    <w:rsid w:val="005F391D"/>
    <w:rsid w:val="005F4D83"/>
    <w:rsid w:val="00600DEB"/>
    <w:rsid w:val="006025EF"/>
    <w:rsid w:val="006056E1"/>
    <w:rsid w:val="00613027"/>
    <w:rsid w:val="006157DF"/>
    <w:rsid w:val="00616FE6"/>
    <w:rsid w:val="00617DB2"/>
    <w:rsid w:val="00627C9F"/>
    <w:rsid w:val="00627CB1"/>
    <w:rsid w:val="006311DA"/>
    <w:rsid w:val="006311E9"/>
    <w:rsid w:val="00632354"/>
    <w:rsid w:val="0063253D"/>
    <w:rsid w:val="00633290"/>
    <w:rsid w:val="00633F5D"/>
    <w:rsid w:val="0063484C"/>
    <w:rsid w:val="00642810"/>
    <w:rsid w:val="00646288"/>
    <w:rsid w:val="00652333"/>
    <w:rsid w:val="00666B61"/>
    <w:rsid w:val="0066759F"/>
    <w:rsid w:val="006700F3"/>
    <w:rsid w:val="00671E3F"/>
    <w:rsid w:val="006752EB"/>
    <w:rsid w:val="00676B15"/>
    <w:rsid w:val="00677C25"/>
    <w:rsid w:val="0068009E"/>
    <w:rsid w:val="006802EE"/>
    <w:rsid w:val="00681D81"/>
    <w:rsid w:val="006839F2"/>
    <w:rsid w:val="0068676F"/>
    <w:rsid w:val="006907E4"/>
    <w:rsid w:val="006912E4"/>
    <w:rsid w:val="00691E09"/>
    <w:rsid w:val="00695E52"/>
    <w:rsid w:val="00697791"/>
    <w:rsid w:val="006A17D2"/>
    <w:rsid w:val="006A4253"/>
    <w:rsid w:val="006A73E6"/>
    <w:rsid w:val="006B203A"/>
    <w:rsid w:val="006B2D5C"/>
    <w:rsid w:val="006B2DB6"/>
    <w:rsid w:val="006B7E22"/>
    <w:rsid w:val="006C385C"/>
    <w:rsid w:val="006C4EB1"/>
    <w:rsid w:val="006C6C58"/>
    <w:rsid w:val="006C71A6"/>
    <w:rsid w:val="006D5DC0"/>
    <w:rsid w:val="006D68FA"/>
    <w:rsid w:val="006E0166"/>
    <w:rsid w:val="006E6DD0"/>
    <w:rsid w:val="006E7B34"/>
    <w:rsid w:val="006F1E83"/>
    <w:rsid w:val="006F5ECB"/>
    <w:rsid w:val="006F6DA6"/>
    <w:rsid w:val="006F7790"/>
    <w:rsid w:val="0070134E"/>
    <w:rsid w:val="00701B24"/>
    <w:rsid w:val="00707024"/>
    <w:rsid w:val="00707FAE"/>
    <w:rsid w:val="00712C4A"/>
    <w:rsid w:val="00720ADB"/>
    <w:rsid w:val="00720BD8"/>
    <w:rsid w:val="00720C34"/>
    <w:rsid w:val="007248DB"/>
    <w:rsid w:val="0072535D"/>
    <w:rsid w:val="00741DE8"/>
    <w:rsid w:val="007423F8"/>
    <w:rsid w:val="00742A77"/>
    <w:rsid w:val="00743A38"/>
    <w:rsid w:val="007443C3"/>
    <w:rsid w:val="00745899"/>
    <w:rsid w:val="00750085"/>
    <w:rsid w:val="007513FC"/>
    <w:rsid w:val="007523B7"/>
    <w:rsid w:val="00755CD3"/>
    <w:rsid w:val="007607C4"/>
    <w:rsid w:val="00765A63"/>
    <w:rsid w:val="0076643F"/>
    <w:rsid w:val="0077326F"/>
    <w:rsid w:val="007748E0"/>
    <w:rsid w:val="00775C58"/>
    <w:rsid w:val="0077643C"/>
    <w:rsid w:val="007810CC"/>
    <w:rsid w:val="007864B2"/>
    <w:rsid w:val="0079016B"/>
    <w:rsid w:val="0079048B"/>
    <w:rsid w:val="00791116"/>
    <w:rsid w:val="00791126"/>
    <w:rsid w:val="00793E70"/>
    <w:rsid w:val="00794245"/>
    <w:rsid w:val="0079433D"/>
    <w:rsid w:val="00796484"/>
    <w:rsid w:val="007A1C55"/>
    <w:rsid w:val="007A2F70"/>
    <w:rsid w:val="007A304C"/>
    <w:rsid w:val="007A563B"/>
    <w:rsid w:val="007C0DA5"/>
    <w:rsid w:val="007C1711"/>
    <w:rsid w:val="007C174B"/>
    <w:rsid w:val="007C17CE"/>
    <w:rsid w:val="007C3334"/>
    <w:rsid w:val="007C52BB"/>
    <w:rsid w:val="007D29D5"/>
    <w:rsid w:val="007D2AA4"/>
    <w:rsid w:val="007D2B98"/>
    <w:rsid w:val="007D34C5"/>
    <w:rsid w:val="007D7324"/>
    <w:rsid w:val="007D773E"/>
    <w:rsid w:val="007E069E"/>
    <w:rsid w:val="007E07AB"/>
    <w:rsid w:val="007E3143"/>
    <w:rsid w:val="007E48F7"/>
    <w:rsid w:val="007E5672"/>
    <w:rsid w:val="007E7344"/>
    <w:rsid w:val="007F14DE"/>
    <w:rsid w:val="007F1AAB"/>
    <w:rsid w:val="007F2EE0"/>
    <w:rsid w:val="007F3D34"/>
    <w:rsid w:val="007F4B99"/>
    <w:rsid w:val="00803F1C"/>
    <w:rsid w:val="00804ADC"/>
    <w:rsid w:val="0080600E"/>
    <w:rsid w:val="008105BF"/>
    <w:rsid w:val="0081237D"/>
    <w:rsid w:val="00817612"/>
    <w:rsid w:val="00817956"/>
    <w:rsid w:val="008202C3"/>
    <w:rsid w:val="00820312"/>
    <w:rsid w:val="0082115B"/>
    <w:rsid w:val="00826A2F"/>
    <w:rsid w:val="008306A1"/>
    <w:rsid w:val="00831A4F"/>
    <w:rsid w:val="0083228D"/>
    <w:rsid w:val="00833F55"/>
    <w:rsid w:val="008352CF"/>
    <w:rsid w:val="00837C45"/>
    <w:rsid w:val="00851792"/>
    <w:rsid w:val="0085305A"/>
    <w:rsid w:val="00853419"/>
    <w:rsid w:val="00853C39"/>
    <w:rsid w:val="00854C5B"/>
    <w:rsid w:val="00854D22"/>
    <w:rsid w:val="00854D68"/>
    <w:rsid w:val="00855D20"/>
    <w:rsid w:val="00860082"/>
    <w:rsid w:val="00861716"/>
    <w:rsid w:val="008622A0"/>
    <w:rsid w:val="00862660"/>
    <w:rsid w:val="00862C7E"/>
    <w:rsid w:val="00862F07"/>
    <w:rsid w:val="0086410D"/>
    <w:rsid w:val="008720D8"/>
    <w:rsid w:val="00873DFB"/>
    <w:rsid w:val="008769E3"/>
    <w:rsid w:val="00886E43"/>
    <w:rsid w:val="00890170"/>
    <w:rsid w:val="00890FC3"/>
    <w:rsid w:val="00892571"/>
    <w:rsid w:val="00893C67"/>
    <w:rsid w:val="00897E12"/>
    <w:rsid w:val="008A0B8A"/>
    <w:rsid w:val="008A1CE6"/>
    <w:rsid w:val="008A20BD"/>
    <w:rsid w:val="008A5535"/>
    <w:rsid w:val="008B03BF"/>
    <w:rsid w:val="008B325E"/>
    <w:rsid w:val="008B59B6"/>
    <w:rsid w:val="008B5A47"/>
    <w:rsid w:val="008B5B53"/>
    <w:rsid w:val="008B63D9"/>
    <w:rsid w:val="008C2E48"/>
    <w:rsid w:val="008C3040"/>
    <w:rsid w:val="008C3E9E"/>
    <w:rsid w:val="008D23B5"/>
    <w:rsid w:val="008D43BA"/>
    <w:rsid w:val="008D5B23"/>
    <w:rsid w:val="008D6586"/>
    <w:rsid w:val="008D736A"/>
    <w:rsid w:val="008D7FE5"/>
    <w:rsid w:val="008E1B58"/>
    <w:rsid w:val="008E20F0"/>
    <w:rsid w:val="008E2C97"/>
    <w:rsid w:val="008E2E80"/>
    <w:rsid w:val="008E3759"/>
    <w:rsid w:val="008E492C"/>
    <w:rsid w:val="008E71E1"/>
    <w:rsid w:val="008F454A"/>
    <w:rsid w:val="008F7788"/>
    <w:rsid w:val="00901DB8"/>
    <w:rsid w:val="00902E06"/>
    <w:rsid w:val="009041DC"/>
    <w:rsid w:val="009066A8"/>
    <w:rsid w:val="00907326"/>
    <w:rsid w:val="009104B4"/>
    <w:rsid w:val="00916174"/>
    <w:rsid w:val="00922D8B"/>
    <w:rsid w:val="00923948"/>
    <w:rsid w:val="00924086"/>
    <w:rsid w:val="00925FCD"/>
    <w:rsid w:val="0092639E"/>
    <w:rsid w:val="0092663C"/>
    <w:rsid w:val="009268A1"/>
    <w:rsid w:val="00927179"/>
    <w:rsid w:val="00927193"/>
    <w:rsid w:val="0093441A"/>
    <w:rsid w:val="00934B3D"/>
    <w:rsid w:val="00934F82"/>
    <w:rsid w:val="00942264"/>
    <w:rsid w:val="00946F18"/>
    <w:rsid w:val="009515CA"/>
    <w:rsid w:val="00952E9C"/>
    <w:rsid w:val="0095413A"/>
    <w:rsid w:val="00954BF7"/>
    <w:rsid w:val="00960976"/>
    <w:rsid w:val="00963480"/>
    <w:rsid w:val="009653F7"/>
    <w:rsid w:val="009668C5"/>
    <w:rsid w:val="0096706E"/>
    <w:rsid w:val="009705B0"/>
    <w:rsid w:val="00972127"/>
    <w:rsid w:val="00973925"/>
    <w:rsid w:val="00973E58"/>
    <w:rsid w:val="00975D48"/>
    <w:rsid w:val="00977694"/>
    <w:rsid w:val="0098079D"/>
    <w:rsid w:val="00981FBA"/>
    <w:rsid w:val="009840AF"/>
    <w:rsid w:val="0098579A"/>
    <w:rsid w:val="009870C7"/>
    <w:rsid w:val="0099404B"/>
    <w:rsid w:val="00996C7F"/>
    <w:rsid w:val="009A03A0"/>
    <w:rsid w:val="009A27C0"/>
    <w:rsid w:val="009A2DB6"/>
    <w:rsid w:val="009A3F04"/>
    <w:rsid w:val="009A73E5"/>
    <w:rsid w:val="009B381B"/>
    <w:rsid w:val="009B4519"/>
    <w:rsid w:val="009B4783"/>
    <w:rsid w:val="009B564C"/>
    <w:rsid w:val="009B637F"/>
    <w:rsid w:val="009B78FA"/>
    <w:rsid w:val="009C4EE6"/>
    <w:rsid w:val="009C571E"/>
    <w:rsid w:val="009C5924"/>
    <w:rsid w:val="009C682E"/>
    <w:rsid w:val="009C6A62"/>
    <w:rsid w:val="009C7F33"/>
    <w:rsid w:val="009D13F1"/>
    <w:rsid w:val="009D2DAE"/>
    <w:rsid w:val="009D43BE"/>
    <w:rsid w:val="009D4CE2"/>
    <w:rsid w:val="009D5A67"/>
    <w:rsid w:val="009D7528"/>
    <w:rsid w:val="009D7611"/>
    <w:rsid w:val="009E390E"/>
    <w:rsid w:val="009E53DE"/>
    <w:rsid w:val="009F02C1"/>
    <w:rsid w:val="009F17CC"/>
    <w:rsid w:val="009F50D3"/>
    <w:rsid w:val="009F5921"/>
    <w:rsid w:val="009F6BE0"/>
    <w:rsid w:val="00A028EA"/>
    <w:rsid w:val="00A06CC9"/>
    <w:rsid w:val="00A0795A"/>
    <w:rsid w:val="00A15E01"/>
    <w:rsid w:val="00A15FA6"/>
    <w:rsid w:val="00A177F1"/>
    <w:rsid w:val="00A17F94"/>
    <w:rsid w:val="00A20507"/>
    <w:rsid w:val="00A2111D"/>
    <w:rsid w:val="00A2193C"/>
    <w:rsid w:val="00A2535D"/>
    <w:rsid w:val="00A2614B"/>
    <w:rsid w:val="00A272EB"/>
    <w:rsid w:val="00A3233C"/>
    <w:rsid w:val="00A32BEC"/>
    <w:rsid w:val="00A41F6F"/>
    <w:rsid w:val="00A43458"/>
    <w:rsid w:val="00A4387B"/>
    <w:rsid w:val="00A442AC"/>
    <w:rsid w:val="00A44F9E"/>
    <w:rsid w:val="00A528D1"/>
    <w:rsid w:val="00A52A10"/>
    <w:rsid w:val="00A63D2C"/>
    <w:rsid w:val="00A63E5A"/>
    <w:rsid w:val="00A64546"/>
    <w:rsid w:val="00A655D6"/>
    <w:rsid w:val="00A66BE5"/>
    <w:rsid w:val="00A66FB7"/>
    <w:rsid w:val="00A678E5"/>
    <w:rsid w:val="00A73DC8"/>
    <w:rsid w:val="00A73F72"/>
    <w:rsid w:val="00A869B7"/>
    <w:rsid w:val="00A87D4A"/>
    <w:rsid w:val="00A941D7"/>
    <w:rsid w:val="00A9439E"/>
    <w:rsid w:val="00A96C00"/>
    <w:rsid w:val="00AA4CE0"/>
    <w:rsid w:val="00AA5B75"/>
    <w:rsid w:val="00AA64EB"/>
    <w:rsid w:val="00AB2B61"/>
    <w:rsid w:val="00AC1B90"/>
    <w:rsid w:val="00AC3EE9"/>
    <w:rsid w:val="00AD0285"/>
    <w:rsid w:val="00AD1988"/>
    <w:rsid w:val="00AD2662"/>
    <w:rsid w:val="00AD37C1"/>
    <w:rsid w:val="00AD44B9"/>
    <w:rsid w:val="00AD5EAA"/>
    <w:rsid w:val="00AD6397"/>
    <w:rsid w:val="00AE0B78"/>
    <w:rsid w:val="00AE2BA4"/>
    <w:rsid w:val="00AE37C5"/>
    <w:rsid w:val="00AE3E22"/>
    <w:rsid w:val="00AE5840"/>
    <w:rsid w:val="00AE66EC"/>
    <w:rsid w:val="00AE6F91"/>
    <w:rsid w:val="00AF1420"/>
    <w:rsid w:val="00AF3A4B"/>
    <w:rsid w:val="00AF5571"/>
    <w:rsid w:val="00AF6703"/>
    <w:rsid w:val="00B024D2"/>
    <w:rsid w:val="00B02551"/>
    <w:rsid w:val="00B05167"/>
    <w:rsid w:val="00B06623"/>
    <w:rsid w:val="00B105B9"/>
    <w:rsid w:val="00B11D29"/>
    <w:rsid w:val="00B15CF2"/>
    <w:rsid w:val="00B16605"/>
    <w:rsid w:val="00B167E9"/>
    <w:rsid w:val="00B2158B"/>
    <w:rsid w:val="00B234DB"/>
    <w:rsid w:val="00B23E76"/>
    <w:rsid w:val="00B25D05"/>
    <w:rsid w:val="00B261E7"/>
    <w:rsid w:val="00B27519"/>
    <w:rsid w:val="00B30FDF"/>
    <w:rsid w:val="00B314DB"/>
    <w:rsid w:val="00B31EBE"/>
    <w:rsid w:val="00B32A7A"/>
    <w:rsid w:val="00B3322A"/>
    <w:rsid w:val="00B3365A"/>
    <w:rsid w:val="00B33988"/>
    <w:rsid w:val="00B34889"/>
    <w:rsid w:val="00B34CE8"/>
    <w:rsid w:val="00B3533B"/>
    <w:rsid w:val="00B355FC"/>
    <w:rsid w:val="00B3718B"/>
    <w:rsid w:val="00B43A69"/>
    <w:rsid w:val="00B4625C"/>
    <w:rsid w:val="00B4632A"/>
    <w:rsid w:val="00B474F6"/>
    <w:rsid w:val="00B52C24"/>
    <w:rsid w:val="00B545DB"/>
    <w:rsid w:val="00B55537"/>
    <w:rsid w:val="00B5774C"/>
    <w:rsid w:val="00B62E6C"/>
    <w:rsid w:val="00B63A34"/>
    <w:rsid w:val="00B63FDE"/>
    <w:rsid w:val="00B7012B"/>
    <w:rsid w:val="00B7084B"/>
    <w:rsid w:val="00B710F6"/>
    <w:rsid w:val="00B73E46"/>
    <w:rsid w:val="00B74042"/>
    <w:rsid w:val="00B77730"/>
    <w:rsid w:val="00B81CE3"/>
    <w:rsid w:val="00B81F0D"/>
    <w:rsid w:val="00B83E5C"/>
    <w:rsid w:val="00B84C23"/>
    <w:rsid w:val="00B8508E"/>
    <w:rsid w:val="00B875AE"/>
    <w:rsid w:val="00B9327F"/>
    <w:rsid w:val="00B97C17"/>
    <w:rsid w:val="00BA0116"/>
    <w:rsid w:val="00BA051B"/>
    <w:rsid w:val="00BA276C"/>
    <w:rsid w:val="00BA3F9E"/>
    <w:rsid w:val="00BA43C8"/>
    <w:rsid w:val="00BA4B2E"/>
    <w:rsid w:val="00BA6846"/>
    <w:rsid w:val="00BA7E36"/>
    <w:rsid w:val="00BB04D6"/>
    <w:rsid w:val="00BB306F"/>
    <w:rsid w:val="00BB3430"/>
    <w:rsid w:val="00BB72EA"/>
    <w:rsid w:val="00BB7CF6"/>
    <w:rsid w:val="00BC0AB7"/>
    <w:rsid w:val="00BC0CB3"/>
    <w:rsid w:val="00BC4AEE"/>
    <w:rsid w:val="00BD0225"/>
    <w:rsid w:val="00BD232B"/>
    <w:rsid w:val="00BD2F29"/>
    <w:rsid w:val="00BD40C4"/>
    <w:rsid w:val="00BD4B89"/>
    <w:rsid w:val="00BD73C1"/>
    <w:rsid w:val="00BD7528"/>
    <w:rsid w:val="00BD7E56"/>
    <w:rsid w:val="00BF18D9"/>
    <w:rsid w:val="00BF3E3F"/>
    <w:rsid w:val="00BF457B"/>
    <w:rsid w:val="00BF6442"/>
    <w:rsid w:val="00BF7464"/>
    <w:rsid w:val="00C00366"/>
    <w:rsid w:val="00C02230"/>
    <w:rsid w:val="00C03BD4"/>
    <w:rsid w:val="00C03FF0"/>
    <w:rsid w:val="00C079D8"/>
    <w:rsid w:val="00C127B4"/>
    <w:rsid w:val="00C13325"/>
    <w:rsid w:val="00C142C5"/>
    <w:rsid w:val="00C15B52"/>
    <w:rsid w:val="00C17FCA"/>
    <w:rsid w:val="00C21762"/>
    <w:rsid w:val="00C23308"/>
    <w:rsid w:val="00C2363D"/>
    <w:rsid w:val="00C24515"/>
    <w:rsid w:val="00C24543"/>
    <w:rsid w:val="00C25121"/>
    <w:rsid w:val="00C256A2"/>
    <w:rsid w:val="00C30A2B"/>
    <w:rsid w:val="00C3153C"/>
    <w:rsid w:val="00C3215D"/>
    <w:rsid w:val="00C3492D"/>
    <w:rsid w:val="00C34F3A"/>
    <w:rsid w:val="00C40B8C"/>
    <w:rsid w:val="00C4236B"/>
    <w:rsid w:val="00C42568"/>
    <w:rsid w:val="00C458A1"/>
    <w:rsid w:val="00C45A6F"/>
    <w:rsid w:val="00C45FA4"/>
    <w:rsid w:val="00C46BFB"/>
    <w:rsid w:val="00C47B44"/>
    <w:rsid w:val="00C53792"/>
    <w:rsid w:val="00C55560"/>
    <w:rsid w:val="00C60101"/>
    <w:rsid w:val="00C607CD"/>
    <w:rsid w:val="00C61C51"/>
    <w:rsid w:val="00C61C7B"/>
    <w:rsid w:val="00C667B5"/>
    <w:rsid w:val="00C66B72"/>
    <w:rsid w:val="00C67ADF"/>
    <w:rsid w:val="00C67C2D"/>
    <w:rsid w:val="00C7044E"/>
    <w:rsid w:val="00C72947"/>
    <w:rsid w:val="00C72F44"/>
    <w:rsid w:val="00C74026"/>
    <w:rsid w:val="00C74C68"/>
    <w:rsid w:val="00C75BB4"/>
    <w:rsid w:val="00C80AA8"/>
    <w:rsid w:val="00C82787"/>
    <w:rsid w:val="00C85CB8"/>
    <w:rsid w:val="00C8715D"/>
    <w:rsid w:val="00C90A8F"/>
    <w:rsid w:val="00C9403E"/>
    <w:rsid w:val="00C9567A"/>
    <w:rsid w:val="00CA41A7"/>
    <w:rsid w:val="00CA43CC"/>
    <w:rsid w:val="00CA68FC"/>
    <w:rsid w:val="00CB2660"/>
    <w:rsid w:val="00CB645A"/>
    <w:rsid w:val="00CB6A76"/>
    <w:rsid w:val="00CB7F73"/>
    <w:rsid w:val="00CC03C0"/>
    <w:rsid w:val="00CC087B"/>
    <w:rsid w:val="00CC1C7E"/>
    <w:rsid w:val="00CC337C"/>
    <w:rsid w:val="00CC5E90"/>
    <w:rsid w:val="00CD046C"/>
    <w:rsid w:val="00CD16FC"/>
    <w:rsid w:val="00CD44A6"/>
    <w:rsid w:val="00CD55A3"/>
    <w:rsid w:val="00CD5E31"/>
    <w:rsid w:val="00CE1562"/>
    <w:rsid w:val="00CE1B37"/>
    <w:rsid w:val="00CE269C"/>
    <w:rsid w:val="00CE5199"/>
    <w:rsid w:val="00CE66D5"/>
    <w:rsid w:val="00CE702F"/>
    <w:rsid w:val="00CE76D6"/>
    <w:rsid w:val="00CF27CE"/>
    <w:rsid w:val="00CF4165"/>
    <w:rsid w:val="00CF4796"/>
    <w:rsid w:val="00CF4911"/>
    <w:rsid w:val="00D043B3"/>
    <w:rsid w:val="00D07A23"/>
    <w:rsid w:val="00D1561D"/>
    <w:rsid w:val="00D162AB"/>
    <w:rsid w:val="00D1659F"/>
    <w:rsid w:val="00D16EA8"/>
    <w:rsid w:val="00D16F2B"/>
    <w:rsid w:val="00D20725"/>
    <w:rsid w:val="00D208C4"/>
    <w:rsid w:val="00D21E51"/>
    <w:rsid w:val="00D241D5"/>
    <w:rsid w:val="00D24B82"/>
    <w:rsid w:val="00D26748"/>
    <w:rsid w:val="00D27AA7"/>
    <w:rsid w:val="00D30F88"/>
    <w:rsid w:val="00D34786"/>
    <w:rsid w:val="00D373BA"/>
    <w:rsid w:val="00D40A1E"/>
    <w:rsid w:val="00D4713B"/>
    <w:rsid w:val="00D50109"/>
    <w:rsid w:val="00D502B2"/>
    <w:rsid w:val="00D50718"/>
    <w:rsid w:val="00D528C6"/>
    <w:rsid w:val="00D54544"/>
    <w:rsid w:val="00D57CF9"/>
    <w:rsid w:val="00D622CB"/>
    <w:rsid w:val="00D62ABB"/>
    <w:rsid w:val="00D63861"/>
    <w:rsid w:val="00D66C4D"/>
    <w:rsid w:val="00D6791A"/>
    <w:rsid w:val="00D712D3"/>
    <w:rsid w:val="00D71422"/>
    <w:rsid w:val="00D7145E"/>
    <w:rsid w:val="00D72419"/>
    <w:rsid w:val="00D73F06"/>
    <w:rsid w:val="00D7558D"/>
    <w:rsid w:val="00D76C58"/>
    <w:rsid w:val="00D818D2"/>
    <w:rsid w:val="00D81D92"/>
    <w:rsid w:val="00D81F3C"/>
    <w:rsid w:val="00D82D80"/>
    <w:rsid w:val="00D93446"/>
    <w:rsid w:val="00DA00E5"/>
    <w:rsid w:val="00DA5D1D"/>
    <w:rsid w:val="00DA60F8"/>
    <w:rsid w:val="00DA7966"/>
    <w:rsid w:val="00DA7B5F"/>
    <w:rsid w:val="00DB0B3A"/>
    <w:rsid w:val="00DB25A4"/>
    <w:rsid w:val="00DB2B3B"/>
    <w:rsid w:val="00DB5E09"/>
    <w:rsid w:val="00DB7BF0"/>
    <w:rsid w:val="00DC1AA6"/>
    <w:rsid w:val="00DC1D5B"/>
    <w:rsid w:val="00DC2CDC"/>
    <w:rsid w:val="00DC6013"/>
    <w:rsid w:val="00DD0C17"/>
    <w:rsid w:val="00DD233B"/>
    <w:rsid w:val="00DD336D"/>
    <w:rsid w:val="00DE61FD"/>
    <w:rsid w:val="00E01A1A"/>
    <w:rsid w:val="00E07FE4"/>
    <w:rsid w:val="00E11F24"/>
    <w:rsid w:val="00E16CCE"/>
    <w:rsid w:val="00E17218"/>
    <w:rsid w:val="00E17723"/>
    <w:rsid w:val="00E17B31"/>
    <w:rsid w:val="00E25318"/>
    <w:rsid w:val="00E34949"/>
    <w:rsid w:val="00E35559"/>
    <w:rsid w:val="00E372C1"/>
    <w:rsid w:val="00E407A9"/>
    <w:rsid w:val="00E43157"/>
    <w:rsid w:val="00E46799"/>
    <w:rsid w:val="00E50528"/>
    <w:rsid w:val="00E514FE"/>
    <w:rsid w:val="00E533FF"/>
    <w:rsid w:val="00E54CE8"/>
    <w:rsid w:val="00E6253E"/>
    <w:rsid w:val="00E65394"/>
    <w:rsid w:val="00E709B3"/>
    <w:rsid w:val="00E72272"/>
    <w:rsid w:val="00E722D8"/>
    <w:rsid w:val="00E72487"/>
    <w:rsid w:val="00E725CB"/>
    <w:rsid w:val="00E729F1"/>
    <w:rsid w:val="00E75A64"/>
    <w:rsid w:val="00E76C05"/>
    <w:rsid w:val="00E779C6"/>
    <w:rsid w:val="00E859A9"/>
    <w:rsid w:val="00E862CA"/>
    <w:rsid w:val="00E87702"/>
    <w:rsid w:val="00E8789F"/>
    <w:rsid w:val="00E928F4"/>
    <w:rsid w:val="00E97B71"/>
    <w:rsid w:val="00EA7614"/>
    <w:rsid w:val="00EB0393"/>
    <w:rsid w:val="00EB454D"/>
    <w:rsid w:val="00EC6EB2"/>
    <w:rsid w:val="00EC7A0E"/>
    <w:rsid w:val="00ED0D8B"/>
    <w:rsid w:val="00ED19BD"/>
    <w:rsid w:val="00ED3FB8"/>
    <w:rsid w:val="00ED48A5"/>
    <w:rsid w:val="00ED575C"/>
    <w:rsid w:val="00ED5BC0"/>
    <w:rsid w:val="00EE1955"/>
    <w:rsid w:val="00EE1E76"/>
    <w:rsid w:val="00EE3522"/>
    <w:rsid w:val="00EE6A88"/>
    <w:rsid w:val="00EE7B94"/>
    <w:rsid w:val="00EF619B"/>
    <w:rsid w:val="00F00B55"/>
    <w:rsid w:val="00F022A4"/>
    <w:rsid w:val="00F02968"/>
    <w:rsid w:val="00F11AE2"/>
    <w:rsid w:val="00F1380F"/>
    <w:rsid w:val="00F13FC4"/>
    <w:rsid w:val="00F14F0E"/>
    <w:rsid w:val="00F23460"/>
    <w:rsid w:val="00F23BA2"/>
    <w:rsid w:val="00F24C29"/>
    <w:rsid w:val="00F2517E"/>
    <w:rsid w:val="00F253CC"/>
    <w:rsid w:val="00F27218"/>
    <w:rsid w:val="00F32691"/>
    <w:rsid w:val="00F33188"/>
    <w:rsid w:val="00F33FE1"/>
    <w:rsid w:val="00F36794"/>
    <w:rsid w:val="00F36AD9"/>
    <w:rsid w:val="00F402C5"/>
    <w:rsid w:val="00F54030"/>
    <w:rsid w:val="00F5577D"/>
    <w:rsid w:val="00F56097"/>
    <w:rsid w:val="00F56BA5"/>
    <w:rsid w:val="00F56F25"/>
    <w:rsid w:val="00F57FEB"/>
    <w:rsid w:val="00F61D62"/>
    <w:rsid w:val="00F644E6"/>
    <w:rsid w:val="00F766CD"/>
    <w:rsid w:val="00F7692E"/>
    <w:rsid w:val="00F80B00"/>
    <w:rsid w:val="00F81589"/>
    <w:rsid w:val="00F823EE"/>
    <w:rsid w:val="00F8451C"/>
    <w:rsid w:val="00F947B3"/>
    <w:rsid w:val="00F9653B"/>
    <w:rsid w:val="00F96D5D"/>
    <w:rsid w:val="00F9746C"/>
    <w:rsid w:val="00FA4909"/>
    <w:rsid w:val="00FA7BCC"/>
    <w:rsid w:val="00FB0B2A"/>
    <w:rsid w:val="00FB118F"/>
    <w:rsid w:val="00FB1C63"/>
    <w:rsid w:val="00FB2762"/>
    <w:rsid w:val="00FB2D13"/>
    <w:rsid w:val="00FB62CF"/>
    <w:rsid w:val="00FC2068"/>
    <w:rsid w:val="00FC3EB4"/>
    <w:rsid w:val="00FC53AF"/>
    <w:rsid w:val="00FC57C3"/>
    <w:rsid w:val="00FC587E"/>
    <w:rsid w:val="00FC6C58"/>
    <w:rsid w:val="00FD22A6"/>
    <w:rsid w:val="00FD394F"/>
    <w:rsid w:val="00FD6377"/>
    <w:rsid w:val="00FD797C"/>
    <w:rsid w:val="00FE03A1"/>
    <w:rsid w:val="00FE0D7C"/>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A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A32BEC"/>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pPr>
    <w:rPr>
      <w:rFonts w:ascii="Cambria" w:eastAsia="Times New Roman" w:hAnsi="Cambria"/>
      <w:b/>
      <w:bCs/>
      <w:sz w:val="20"/>
      <w:szCs w:val="20"/>
      <w:bdr w:val="none" w:sz="0" w:space="0" w:color="auto"/>
    </w:rPr>
  </w:style>
  <w:style w:type="paragraph" w:styleId="Heading2">
    <w:name w:val="heading 2"/>
    <w:basedOn w:val="Heading1"/>
    <w:next w:val="Normal"/>
    <w:link w:val="Heading2Char"/>
    <w:uiPriority w:val="9"/>
    <w:unhideWhenUsed/>
    <w:qFormat/>
    <w:rsid w:val="004347D8"/>
    <w:pPr>
      <w:numPr>
        <w:numId w:val="55"/>
      </w:numPr>
      <w:outlineLvl w:val="1"/>
    </w:pPr>
  </w:style>
  <w:style w:type="paragraph" w:styleId="Heading3">
    <w:name w:val="heading 3"/>
    <w:basedOn w:val="ListParagraph"/>
    <w:next w:val="Normal"/>
    <w:link w:val="Heading3Char"/>
    <w:uiPriority w:val="9"/>
    <w:unhideWhenUsed/>
    <w:qFormat/>
    <w:rsid w:val="00A32BEC"/>
    <w:pPr>
      <w:numPr>
        <w:numId w:val="56"/>
      </w:numPr>
      <w:outlineLvl w:val="2"/>
    </w:pPr>
    <w:rPr>
      <w:rFonts w:eastAsia="Times New Roman"/>
      <w:b/>
      <w:bCs/>
      <w:sz w:val="20"/>
      <w:szCs w:val="20"/>
      <w:bdr w:val="none" w:sz="0" w:space="0" w:color="auto"/>
    </w:rPr>
  </w:style>
  <w:style w:type="paragraph" w:styleId="Heading4">
    <w:name w:val="heading 4"/>
    <w:basedOn w:val="Normal"/>
    <w:next w:val="Normal"/>
    <w:link w:val="Heading4Char"/>
    <w:uiPriority w:val="9"/>
    <w:unhideWhenUsed/>
    <w:qFormat/>
    <w:rsid w:val="001A2F57"/>
    <w:pPr>
      <w:keepNext/>
      <w:keepLines/>
      <w:numPr>
        <w:numId w:val="57"/>
      </w:numPr>
      <w:ind w:left="2520"/>
      <w:jc w:val="both"/>
      <w:outlineLvl w:val="3"/>
    </w:pPr>
    <w:rPr>
      <w:rFonts w:asciiTheme="majorHAnsi" w:eastAsiaTheme="majorEastAsia" w:hAnsiTheme="majorHAnsi"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A32BEC"/>
    <w:rPr>
      <w:rFonts w:ascii="Cambria" w:eastAsia="Times New Roman" w:hAnsi="Cambria"/>
      <w:b/>
      <w:bCs/>
      <w:bdr w:val="none" w:sz="0" w:space="0" w:color="auto"/>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ind w:left="240"/>
    </w:pPr>
    <w:rPr>
      <w:rFonts w:asciiTheme="minorHAnsi" w:hAnsiTheme="minorHAnsi"/>
      <w:smallCaps/>
      <w:sz w:val="20"/>
      <w:szCs w:val="20"/>
    </w:rPr>
  </w:style>
  <w:style w:type="paragraph" w:styleId="TOC1">
    <w:name w:val="toc 1"/>
    <w:basedOn w:val="Normal"/>
    <w:next w:val="Normal"/>
    <w:autoRedefine/>
    <w:uiPriority w:val="39"/>
    <w:unhideWhenUsed/>
    <w:qFormat/>
    <w:rsid w:val="005C4225"/>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rsid w:val="005C4225"/>
    <w:pPr>
      <w:ind w:left="480"/>
    </w:pPr>
    <w:rPr>
      <w:rFonts w:asciiTheme="minorHAnsi" w:hAnsiTheme="minorHAnsi"/>
      <w:i/>
      <w:iCs/>
      <w:sz w:val="20"/>
      <w:szCs w:val="20"/>
    </w:rPr>
  </w:style>
  <w:style w:type="paragraph" w:styleId="TOC4">
    <w:name w:val="toc 4"/>
    <w:basedOn w:val="Normal"/>
    <w:next w:val="Normal"/>
    <w:autoRedefine/>
    <w:uiPriority w:val="39"/>
    <w:unhideWhenUsed/>
    <w:rsid w:val="005C4225"/>
    <w:pPr>
      <w:ind w:left="720"/>
    </w:pPr>
    <w:rPr>
      <w:rFonts w:asciiTheme="minorHAnsi" w:hAnsiTheme="minorHAnsi"/>
      <w:sz w:val="18"/>
      <w:szCs w:val="18"/>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Footnotes">
    <w:name w:val="Footnotes"/>
    <w:basedOn w:val="FootnoteText"/>
    <w:qFormat/>
    <w:rsid w:val="0057597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character" w:customStyle="1" w:styleId="Heading2Char">
    <w:name w:val="Heading 2 Char"/>
    <w:basedOn w:val="DefaultParagraphFont"/>
    <w:link w:val="Heading2"/>
    <w:uiPriority w:val="9"/>
    <w:rsid w:val="004347D8"/>
    <w:rPr>
      <w:rFonts w:ascii="Cambria" w:eastAsia="Times New Roman" w:hAnsi="Cambria"/>
      <w:b/>
      <w:bCs/>
      <w:bdr w:val="none" w:sz="0" w:space="0" w:color="auto"/>
      <w:lang w:val="en-US" w:eastAsia="en-US"/>
    </w:rPr>
  </w:style>
  <w:style w:type="paragraph" w:styleId="TOCHeading">
    <w:name w:val="TOC Heading"/>
    <w:basedOn w:val="Heading1"/>
    <w:next w:val="Normal"/>
    <w:uiPriority w:val="39"/>
    <w:semiHidden/>
    <w:unhideWhenUsed/>
    <w:qFormat/>
    <w:rsid w:val="00EE7B94"/>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5">
    <w:name w:val="toc 5"/>
    <w:basedOn w:val="Normal"/>
    <w:next w:val="Normal"/>
    <w:autoRedefine/>
    <w:uiPriority w:val="39"/>
    <w:unhideWhenUsed/>
    <w:rsid w:val="00EE7B94"/>
    <w:pPr>
      <w:ind w:left="960"/>
    </w:pPr>
    <w:rPr>
      <w:rFonts w:asciiTheme="minorHAnsi" w:hAnsiTheme="minorHAnsi"/>
      <w:sz w:val="18"/>
      <w:szCs w:val="18"/>
    </w:rPr>
  </w:style>
  <w:style w:type="paragraph" w:styleId="TOC6">
    <w:name w:val="toc 6"/>
    <w:basedOn w:val="Normal"/>
    <w:next w:val="Normal"/>
    <w:autoRedefine/>
    <w:uiPriority w:val="39"/>
    <w:unhideWhenUsed/>
    <w:rsid w:val="00EE7B94"/>
    <w:pPr>
      <w:ind w:left="1200"/>
    </w:pPr>
    <w:rPr>
      <w:rFonts w:asciiTheme="minorHAnsi" w:hAnsiTheme="minorHAnsi"/>
      <w:sz w:val="18"/>
      <w:szCs w:val="18"/>
    </w:rPr>
  </w:style>
  <w:style w:type="paragraph" w:styleId="TOC7">
    <w:name w:val="toc 7"/>
    <w:basedOn w:val="Normal"/>
    <w:next w:val="Normal"/>
    <w:autoRedefine/>
    <w:uiPriority w:val="39"/>
    <w:unhideWhenUsed/>
    <w:rsid w:val="00EE7B94"/>
    <w:pPr>
      <w:ind w:left="1440"/>
    </w:pPr>
    <w:rPr>
      <w:rFonts w:asciiTheme="minorHAnsi" w:hAnsiTheme="minorHAnsi"/>
      <w:sz w:val="18"/>
      <w:szCs w:val="18"/>
    </w:rPr>
  </w:style>
  <w:style w:type="paragraph" w:styleId="TOC8">
    <w:name w:val="toc 8"/>
    <w:basedOn w:val="Normal"/>
    <w:next w:val="Normal"/>
    <w:autoRedefine/>
    <w:uiPriority w:val="39"/>
    <w:unhideWhenUsed/>
    <w:rsid w:val="00EE7B94"/>
    <w:pPr>
      <w:ind w:left="1680"/>
    </w:pPr>
    <w:rPr>
      <w:rFonts w:asciiTheme="minorHAnsi" w:hAnsiTheme="minorHAnsi"/>
      <w:sz w:val="18"/>
      <w:szCs w:val="18"/>
    </w:rPr>
  </w:style>
  <w:style w:type="paragraph" w:styleId="TOC9">
    <w:name w:val="toc 9"/>
    <w:basedOn w:val="Normal"/>
    <w:next w:val="Normal"/>
    <w:autoRedefine/>
    <w:uiPriority w:val="39"/>
    <w:unhideWhenUsed/>
    <w:rsid w:val="00EE7B94"/>
    <w:pPr>
      <w:ind w:left="1920"/>
    </w:pPr>
    <w:rPr>
      <w:rFonts w:asciiTheme="minorHAnsi" w:hAnsiTheme="minorHAnsi"/>
      <w:sz w:val="18"/>
      <w:szCs w:val="18"/>
    </w:rPr>
  </w:style>
  <w:style w:type="character" w:customStyle="1" w:styleId="Heading3Char">
    <w:name w:val="Heading 3 Char"/>
    <w:basedOn w:val="DefaultParagraphFont"/>
    <w:link w:val="Heading3"/>
    <w:uiPriority w:val="9"/>
    <w:rsid w:val="00A32BEC"/>
    <w:rPr>
      <w:rFonts w:ascii="Cambria" w:eastAsia="Times New Roman" w:hAnsi="Cambria" w:cs="Cambria"/>
      <w:b/>
      <w:bCs/>
      <w:color w:val="000000"/>
      <w:u w:color="000000"/>
      <w:bdr w:val="none" w:sz="0" w:space="0" w:color="auto"/>
      <w:lang w:val="en-US"/>
    </w:rPr>
  </w:style>
  <w:style w:type="character" w:customStyle="1" w:styleId="Heading4Char">
    <w:name w:val="Heading 4 Char"/>
    <w:basedOn w:val="DefaultParagraphFont"/>
    <w:link w:val="Heading4"/>
    <w:uiPriority w:val="9"/>
    <w:rsid w:val="001A2F57"/>
    <w:rPr>
      <w:rFonts w:asciiTheme="majorHAnsi" w:eastAsiaTheme="majorEastAsia" w:hAnsiTheme="majorHAnsi" w:cstheme="majorBidi"/>
      <w:b/>
      <w:bCs/>
      <w:iCs/>
      <w:szCs w:val="24"/>
      <w:lang w:val="en-US" w:eastAsia="en-US"/>
    </w:rPr>
  </w:style>
  <w:style w:type="paragraph" w:styleId="NormalWeb">
    <w:name w:val="Normal (Web)"/>
    <w:basedOn w:val="Normal"/>
    <w:uiPriority w:val="99"/>
    <w:semiHidden/>
    <w:unhideWhenUsed/>
    <w:rsid w:val="00AD5EAA"/>
  </w:style>
  <w:style w:type="character" w:customStyle="1" w:styleId="apple-converted-space">
    <w:name w:val="apple-converted-space"/>
    <w:basedOn w:val="DefaultParagraphFont"/>
    <w:rsid w:val="00755CD3"/>
  </w:style>
  <w:style w:type="paragraph" w:styleId="DocumentMap">
    <w:name w:val="Document Map"/>
    <w:basedOn w:val="Normal"/>
    <w:link w:val="DocumentMapChar"/>
    <w:uiPriority w:val="99"/>
    <w:semiHidden/>
    <w:unhideWhenUsed/>
    <w:rsid w:val="00383F7A"/>
    <w:rPr>
      <w:rFonts w:ascii="Lucida Grande" w:hAnsi="Lucida Grande" w:cs="Lucida Grande"/>
    </w:rPr>
  </w:style>
  <w:style w:type="character" w:customStyle="1" w:styleId="DocumentMapChar">
    <w:name w:val="Document Map Char"/>
    <w:basedOn w:val="DefaultParagraphFont"/>
    <w:link w:val="DocumentMap"/>
    <w:uiPriority w:val="99"/>
    <w:semiHidden/>
    <w:rsid w:val="00383F7A"/>
    <w:rPr>
      <w:rFonts w:ascii="Lucida Grande" w:hAnsi="Lucida Grande" w:cs="Lucida Grande"/>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A32BEC"/>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pPr>
    <w:rPr>
      <w:rFonts w:ascii="Cambria" w:eastAsia="Times New Roman" w:hAnsi="Cambria"/>
      <w:b/>
      <w:bCs/>
      <w:sz w:val="20"/>
      <w:szCs w:val="20"/>
      <w:bdr w:val="none" w:sz="0" w:space="0" w:color="auto"/>
    </w:rPr>
  </w:style>
  <w:style w:type="paragraph" w:styleId="Heading2">
    <w:name w:val="heading 2"/>
    <w:basedOn w:val="Heading1"/>
    <w:next w:val="Normal"/>
    <w:link w:val="Heading2Char"/>
    <w:uiPriority w:val="9"/>
    <w:unhideWhenUsed/>
    <w:qFormat/>
    <w:rsid w:val="004347D8"/>
    <w:pPr>
      <w:numPr>
        <w:numId w:val="55"/>
      </w:numPr>
      <w:outlineLvl w:val="1"/>
    </w:pPr>
  </w:style>
  <w:style w:type="paragraph" w:styleId="Heading3">
    <w:name w:val="heading 3"/>
    <w:basedOn w:val="ListParagraph"/>
    <w:next w:val="Normal"/>
    <w:link w:val="Heading3Char"/>
    <w:uiPriority w:val="9"/>
    <w:unhideWhenUsed/>
    <w:qFormat/>
    <w:rsid w:val="00A32BEC"/>
    <w:pPr>
      <w:numPr>
        <w:numId w:val="56"/>
      </w:numPr>
      <w:outlineLvl w:val="2"/>
    </w:pPr>
    <w:rPr>
      <w:rFonts w:eastAsia="Times New Roman"/>
      <w:b/>
      <w:bCs/>
      <w:sz w:val="20"/>
      <w:szCs w:val="20"/>
      <w:bdr w:val="none" w:sz="0" w:space="0" w:color="auto"/>
    </w:rPr>
  </w:style>
  <w:style w:type="paragraph" w:styleId="Heading4">
    <w:name w:val="heading 4"/>
    <w:basedOn w:val="Normal"/>
    <w:next w:val="Normal"/>
    <w:link w:val="Heading4Char"/>
    <w:uiPriority w:val="9"/>
    <w:unhideWhenUsed/>
    <w:qFormat/>
    <w:rsid w:val="001A2F57"/>
    <w:pPr>
      <w:keepNext/>
      <w:keepLines/>
      <w:numPr>
        <w:numId w:val="57"/>
      </w:numPr>
      <w:ind w:left="2520"/>
      <w:jc w:val="both"/>
      <w:outlineLvl w:val="3"/>
    </w:pPr>
    <w:rPr>
      <w:rFonts w:asciiTheme="majorHAnsi" w:eastAsiaTheme="majorEastAsia" w:hAnsiTheme="majorHAnsi"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A32BEC"/>
    <w:rPr>
      <w:rFonts w:ascii="Cambria" w:eastAsia="Times New Roman" w:hAnsi="Cambria"/>
      <w:b/>
      <w:bCs/>
      <w:bdr w:val="none" w:sz="0" w:space="0" w:color="auto"/>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ind w:left="240"/>
    </w:pPr>
    <w:rPr>
      <w:rFonts w:asciiTheme="minorHAnsi" w:hAnsiTheme="minorHAnsi"/>
      <w:smallCaps/>
      <w:sz w:val="20"/>
      <w:szCs w:val="20"/>
    </w:rPr>
  </w:style>
  <w:style w:type="paragraph" w:styleId="TOC1">
    <w:name w:val="toc 1"/>
    <w:basedOn w:val="Normal"/>
    <w:next w:val="Normal"/>
    <w:autoRedefine/>
    <w:uiPriority w:val="39"/>
    <w:unhideWhenUsed/>
    <w:qFormat/>
    <w:rsid w:val="005C4225"/>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qFormat/>
    <w:rsid w:val="005C4225"/>
    <w:pPr>
      <w:ind w:left="480"/>
    </w:pPr>
    <w:rPr>
      <w:rFonts w:asciiTheme="minorHAnsi" w:hAnsiTheme="minorHAnsi"/>
      <w:i/>
      <w:iCs/>
      <w:sz w:val="20"/>
      <w:szCs w:val="20"/>
    </w:rPr>
  </w:style>
  <w:style w:type="paragraph" w:styleId="TOC4">
    <w:name w:val="toc 4"/>
    <w:basedOn w:val="Normal"/>
    <w:next w:val="Normal"/>
    <w:autoRedefine/>
    <w:uiPriority w:val="39"/>
    <w:unhideWhenUsed/>
    <w:rsid w:val="005C4225"/>
    <w:pPr>
      <w:ind w:left="720"/>
    </w:pPr>
    <w:rPr>
      <w:rFonts w:asciiTheme="minorHAnsi" w:hAnsiTheme="minorHAnsi"/>
      <w:sz w:val="18"/>
      <w:szCs w:val="18"/>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Footnotes">
    <w:name w:val="Footnotes"/>
    <w:basedOn w:val="FootnoteText"/>
    <w:qFormat/>
    <w:rsid w:val="0057597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character" w:customStyle="1" w:styleId="Heading2Char">
    <w:name w:val="Heading 2 Char"/>
    <w:basedOn w:val="DefaultParagraphFont"/>
    <w:link w:val="Heading2"/>
    <w:uiPriority w:val="9"/>
    <w:rsid w:val="004347D8"/>
    <w:rPr>
      <w:rFonts w:ascii="Cambria" w:eastAsia="Times New Roman" w:hAnsi="Cambria"/>
      <w:b/>
      <w:bCs/>
      <w:bdr w:val="none" w:sz="0" w:space="0" w:color="auto"/>
      <w:lang w:val="en-US" w:eastAsia="en-US"/>
    </w:rPr>
  </w:style>
  <w:style w:type="paragraph" w:styleId="TOCHeading">
    <w:name w:val="TOC Heading"/>
    <w:basedOn w:val="Heading1"/>
    <w:next w:val="Normal"/>
    <w:uiPriority w:val="39"/>
    <w:semiHidden/>
    <w:unhideWhenUsed/>
    <w:qFormat/>
    <w:rsid w:val="00EE7B94"/>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5">
    <w:name w:val="toc 5"/>
    <w:basedOn w:val="Normal"/>
    <w:next w:val="Normal"/>
    <w:autoRedefine/>
    <w:uiPriority w:val="39"/>
    <w:unhideWhenUsed/>
    <w:rsid w:val="00EE7B94"/>
    <w:pPr>
      <w:ind w:left="960"/>
    </w:pPr>
    <w:rPr>
      <w:rFonts w:asciiTheme="minorHAnsi" w:hAnsiTheme="minorHAnsi"/>
      <w:sz w:val="18"/>
      <w:szCs w:val="18"/>
    </w:rPr>
  </w:style>
  <w:style w:type="paragraph" w:styleId="TOC6">
    <w:name w:val="toc 6"/>
    <w:basedOn w:val="Normal"/>
    <w:next w:val="Normal"/>
    <w:autoRedefine/>
    <w:uiPriority w:val="39"/>
    <w:unhideWhenUsed/>
    <w:rsid w:val="00EE7B94"/>
    <w:pPr>
      <w:ind w:left="1200"/>
    </w:pPr>
    <w:rPr>
      <w:rFonts w:asciiTheme="minorHAnsi" w:hAnsiTheme="minorHAnsi"/>
      <w:sz w:val="18"/>
      <w:szCs w:val="18"/>
    </w:rPr>
  </w:style>
  <w:style w:type="paragraph" w:styleId="TOC7">
    <w:name w:val="toc 7"/>
    <w:basedOn w:val="Normal"/>
    <w:next w:val="Normal"/>
    <w:autoRedefine/>
    <w:uiPriority w:val="39"/>
    <w:unhideWhenUsed/>
    <w:rsid w:val="00EE7B94"/>
    <w:pPr>
      <w:ind w:left="1440"/>
    </w:pPr>
    <w:rPr>
      <w:rFonts w:asciiTheme="minorHAnsi" w:hAnsiTheme="minorHAnsi"/>
      <w:sz w:val="18"/>
      <w:szCs w:val="18"/>
    </w:rPr>
  </w:style>
  <w:style w:type="paragraph" w:styleId="TOC8">
    <w:name w:val="toc 8"/>
    <w:basedOn w:val="Normal"/>
    <w:next w:val="Normal"/>
    <w:autoRedefine/>
    <w:uiPriority w:val="39"/>
    <w:unhideWhenUsed/>
    <w:rsid w:val="00EE7B94"/>
    <w:pPr>
      <w:ind w:left="1680"/>
    </w:pPr>
    <w:rPr>
      <w:rFonts w:asciiTheme="minorHAnsi" w:hAnsiTheme="minorHAnsi"/>
      <w:sz w:val="18"/>
      <w:szCs w:val="18"/>
    </w:rPr>
  </w:style>
  <w:style w:type="paragraph" w:styleId="TOC9">
    <w:name w:val="toc 9"/>
    <w:basedOn w:val="Normal"/>
    <w:next w:val="Normal"/>
    <w:autoRedefine/>
    <w:uiPriority w:val="39"/>
    <w:unhideWhenUsed/>
    <w:rsid w:val="00EE7B94"/>
    <w:pPr>
      <w:ind w:left="1920"/>
    </w:pPr>
    <w:rPr>
      <w:rFonts w:asciiTheme="minorHAnsi" w:hAnsiTheme="minorHAnsi"/>
      <w:sz w:val="18"/>
      <w:szCs w:val="18"/>
    </w:rPr>
  </w:style>
  <w:style w:type="character" w:customStyle="1" w:styleId="Heading3Char">
    <w:name w:val="Heading 3 Char"/>
    <w:basedOn w:val="DefaultParagraphFont"/>
    <w:link w:val="Heading3"/>
    <w:uiPriority w:val="9"/>
    <w:rsid w:val="00A32BEC"/>
    <w:rPr>
      <w:rFonts w:ascii="Cambria" w:eastAsia="Times New Roman" w:hAnsi="Cambria" w:cs="Cambria"/>
      <w:b/>
      <w:bCs/>
      <w:color w:val="000000"/>
      <w:u w:color="000000"/>
      <w:bdr w:val="none" w:sz="0" w:space="0" w:color="auto"/>
      <w:lang w:val="en-US"/>
    </w:rPr>
  </w:style>
  <w:style w:type="character" w:customStyle="1" w:styleId="Heading4Char">
    <w:name w:val="Heading 4 Char"/>
    <w:basedOn w:val="DefaultParagraphFont"/>
    <w:link w:val="Heading4"/>
    <w:uiPriority w:val="9"/>
    <w:rsid w:val="001A2F57"/>
    <w:rPr>
      <w:rFonts w:asciiTheme="majorHAnsi" w:eastAsiaTheme="majorEastAsia" w:hAnsiTheme="majorHAnsi" w:cstheme="majorBidi"/>
      <w:b/>
      <w:bCs/>
      <w:iCs/>
      <w:szCs w:val="24"/>
      <w:lang w:val="en-US" w:eastAsia="en-US"/>
    </w:rPr>
  </w:style>
  <w:style w:type="paragraph" w:styleId="NormalWeb">
    <w:name w:val="Normal (Web)"/>
    <w:basedOn w:val="Normal"/>
    <w:uiPriority w:val="99"/>
    <w:semiHidden/>
    <w:unhideWhenUsed/>
    <w:rsid w:val="00AD5EAA"/>
  </w:style>
  <w:style w:type="character" w:customStyle="1" w:styleId="apple-converted-space">
    <w:name w:val="apple-converted-space"/>
    <w:basedOn w:val="DefaultParagraphFont"/>
    <w:rsid w:val="00755CD3"/>
  </w:style>
  <w:style w:type="paragraph" w:styleId="DocumentMap">
    <w:name w:val="Document Map"/>
    <w:basedOn w:val="Normal"/>
    <w:link w:val="DocumentMapChar"/>
    <w:uiPriority w:val="99"/>
    <w:semiHidden/>
    <w:unhideWhenUsed/>
    <w:rsid w:val="00383F7A"/>
    <w:rPr>
      <w:rFonts w:ascii="Lucida Grande" w:hAnsi="Lucida Grande" w:cs="Lucida Grande"/>
    </w:rPr>
  </w:style>
  <w:style w:type="character" w:customStyle="1" w:styleId="DocumentMapChar">
    <w:name w:val="Document Map Char"/>
    <w:basedOn w:val="DefaultParagraphFont"/>
    <w:link w:val="DocumentMap"/>
    <w:uiPriority w:val="99"/>
    <w:semiHidden/>
    <w:rsid w:val="00383F7A"/>
    <w:rPr>
      <w:rFonts w:ascii="Lucida Grande" w:hAnsi="Lucida Grande" w:cs="Lucida Grand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89623">
      <w:bodyDiv w:val="1"/>
      <w:marLeft w:val="0"/>
      <w:marRight w:val="0"/>
      <w:marTop w:val="0"/>
      <w:marBottom w:val="0"/>
      <w:divBdr>
        <w:top w:val="none" w:sz="0" w:space="0" w:color="auto"/>
        <w:left w:val="none" w:sz="0" w:space="0" w:color="auto"/>
        <w:bottom w:val="none" w:sz="0" w:space="0" w:color="auto"/>
        <w:right w:val="none" w:sz="0" w:space="0" w:color="auto"/>
      </w:divBdr>
    </w:div>
    <w:div w:id="585308049">
      <w:bodyDiv w:val="1"/>
      <w:marLeft w:val="0"/>
      <w:marRight w:val="0"/>
      <w:marTop w:val="0"/>
      <w:marBottom w:val="0"/>
      <w:divBdr>
        <w:top w:val="none" w:sz="0" w:space="0" w:color="auto"/>
        <w:left w:val="none" w:sz="0" w:space="0" w:color="auto"/>
        <w:bottom w:val="none" w:sz="0" w:space="0" w:color="auto"/>
        <w:right w:val="none" w:sz="0" w:space="0" w:color="auto"/>
      </w:divBdr>
    </w:div>
    <w:div w:id="763957059">
      <w:bodyDiv w:val="1"/>
      <w:marLeft w:val="0"/>
      <w:marRight w:val="0"/>
      <w:marTop w:val="0"/>
      <w:marBottom w:val="0"/>
      <w:divBdr>
        <w:top w:val="none" w:sz="0" w:space="0" w:color="auto"/>
        <w:left w:val="none" w:sz="0" w:space="0" w:color="auto"/>
        <w:bottom w:val="none" w:sz="0" w:space="0" w:color="auto"/>
        <w:right w:val="none" w:sz="0" w:space="0" w:color="auto"/>
      </w:divBdr>
    </w:div>
    <w:div w:id="935670227">
      <w:bodyDiv w:val="1"/>
      <w:marLeft w:val="0"/>
      <w:marRight w:val="0"/>
      <w:marTop w:val="0"/>
      <w:marBottom w:val="0"/>
      <w:divBdr>
        <w:top w:val="none" w:sz="0" w:space="0" w:color="auto"/>
        <w:left w:val="none" w:sz="0" w:space="0" w:color="auto"/>
        <w:bottom w:val="none" w:sz="0" w:space="0" w:color="auto"/>
        <w:right w:val="none" w:sz="0" w:space="0" w:color="auto"/>
      </w:divBdr>
    </w:div>
    <w:div w:id="962541619">
      <w:bodyDiv w:val="1"/>
      <w:marLeft w:val="0"/>
      <w:marRight w:val="0"/>
      <w:marTop w:val="0"/>
      <w:marBottom w:val="0"/>
      <w:divBdr>
        <w:top w:val="none" w:sz="0" w:space="0" w:color="auto"/>
        <w:left w:val="none" w:sz="0" w:space="0" w:color="auto"/>
        <w:bottom w:val="none" w:sz="0" w:space="0" w:color="auto"/>
        <w:right w:val="none" w:sz="0" w:space="0" w:color="auto"/>
      </w:divBdr>
    </w:div>
    <w:div w:id="988440892">
      <w:bodyDiv w:val="1"/>
      <w:marLeft w:val="0"/>
      <w:marRight w:val="0"/>
      <w:marTop w:val="0"/>
      <w:marBottom w:val="0"/>
      <w:divBdr>
        <w:top w:val="none" w:sz="0" w:space="0" w:color="auto"/>
        <w:left w:val="none" w:sz="0" w:space="0" w:color="auto"/>
        <w:bottom w:val="none" w:sz="0" w:space="0" w:color="auto"/>
        <w:right w:val="none" w:sz="0" w:space="0" w:color="auto"/>
      </w:divBdr>
      <w:divsChild>
        <w:div w:id="300890744">
          <w:marLeft w:val="0"/>
          <w:marRight w:val="0"/>
          <w:marTop w:val="0"/>
          <w:marBottom w:val="0"/>
          <w:divBdr>
            <w:top w:val="none" w:sz="0" w:space="0" w:color="auto"/>
            <w:left w:val="none" w:sz="0" w:space="0" w:color="auto"/>
            <w:bottom w:val="none" w:sz="0" w:space="0" w:color="auto"/>
            <w:right w:val="none" w:sz="0" w:space="0" w:color="auto"/>
          </w:divBdr>
        </w:div>
        <w:div w:id="469708535">
          <w:marLeft w:val="0"/>
          <w:marRight w:val="0"/>
          <w:marTop w:val="0"/>
          <w:marBottom w:val="0"/>
          <w:divBdr>
            <w:top w:val="none" w:sz="0" w:space="0" w:color="auto"/>
            <w:left w:val="none" w:sz="0" w:space="0" w:color="auto"/>
            <w:bottom w:val="none" w:sz="0" w:space="0" w:color="auto"/>
            <w:right w:val="none" w:sz="0" w:space="0" w:color="auto"/>
          </w:divBdr>
        </w:div>
        <w:div w:id="1498499333">
          <w:marLeft w:val="0"/>
          <w:marRight w:val="0"/>
          <w:marTop w:val="0"/>
          <w:marBottom w:val="0"/>
          <w:divBdr>
            <w:top w:val="none" w:sz="0" w:space="0" w:color="auto"/>
            <w:left w:val="none" w:sz="0" w:space="0" w:color="auto"/>
            <w:bottom w:val="none" w:sz="0" w:space="0" w:color="auto"/>
            <w:right w:val="none" w:sz="0" w:space="0" w:color="auto"/>
          </w:divBdr>
        </w:div>
        <w:div w:id="1896820554">
          <w:marLeft w:val="0"/>
          <w:marRight w:val="0"/>
          <w:marTop w:val="0"/>
          <w:marBottom w:val="0"/>
          <w:divBdr>
            <w:top w:val="none" w:sz="0" w:space="0" w:color="auto"/>
            <w:left w:val="none" w:sz="0" w:space="0" w:color="auto"/>
            <w:bottom w:val="none" w:sz="0" w:space="0" w:color="auto"/>
            <w:right w:val="none" w:sz="0" w:space="0" w:color="auto"/>
          </w:divBdr>
        </w:div>
        <w:div w:id="1254703804">
          <w:marLeft w:val="0"/>
          <w:marRight w:val="0"/>
          <w:marTop w:val="0"/>
          <w:marBottom w:val="0"/>
          <w:divBdr>
            <w:top w:val="none" w:sz="0" w:space="0" w:color="auto"/>
            <w:left w:val="none" w:sz="0" w:space="0" w:color="auto"/>
            <w:bottom w:val="none" w:sz="0" w:space="0" w:color="auto"/>
            <w:right w:val="none" w:sz="0" w:space="0" w:color="auto"/>
          </w:divBdr>
        </w:div>
      </w:divsChild>
    </w:div>
    <w:div w:id="109551646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2750918">
      <w:bodyDiv w:val="1"/>
      <w:marLeft w:val="0"/>
      <w:marRight w:val="0"/>
      <w:marTop w:val="0"/>
      <w:marBottom w:val="0"/>
      <w:divBdr>
        <w:top w:val="none" w:sz="0" w:space="0" w:color="auto"/>
        <w:left w:val="none" w:sz="0" w:space="0" w:color="auto"/>
        <w:bottom w:val="none" w:sz="0" w:space="0" w:color="auto"/>
        <w:right w:val="none" w:sz="0" w:space="0" w:color="auto"/>
      </w:divBdr>
    </w:div>
    <w:div w:id="1907255244">
      <w:bodyDiv w:val="1"/>
      <w:marLeft w:val="0"/>
      <w:marRight w:val="0"/>
      <w:marTop w:val="0"/>
      <w:marBottom w:val="0"/>
      <w:divBdr>
        <w:top w:val="none" w:sz="0" w:space="0" w:color="auto"/>
        <w:left w:val="none" w:sz="0" w:space="0" w:color="auto"/>
        <w:bottom w:val="none" w:sz="0" w:space="0" w:color="auto"/>
        <w:right w:val="none" w:sz="0" w:space="0" w:color="auto"/>
      </w:divBdr>
    </w:div>
    <w:div w:id="1986230413">
      <w:bodyDiv w:val="1"/>
      <w:marLeft w:val="0"/>
      <w:marRight w:val="0"/>
      <w:marTop w:val="0"/>
      <w:marBottom w:val="0"/>
      <w:divBdr>
        <w:top w:val="none" w:sz="0" w:space="0" w:color="auto"/>
        <w:left w:val="none" w:sz="0" w:space="0" w:color="auto"/>
        <w:bottom w:val="none" w:sz="0" w:space="0" w:color="auto"/>
        <w:right w:val="none" w:sz="0" w:space="0" w:color="auto"/>
      </w:divBdr>
      <w:divsChild>
        <w:div w:id="1899513212">
          <w:marLeft w:val="0"/>
          <w:marRight w:val="0"/>
          <w:marTop w:val="0"/>
          <w:marBottom w:val="0"/>
          <w:divBdr>
            <w:top w:val="none" w:sz="0" w:space="0" w:color="auto"/>
            <w:left w:val="none" w:sz="0" w:space="0" w:color="auto"/>
            <w:bottom w:val="none" w:sz="0" w:space="0" w:color="auto"/>
            <w:right w:val="none" w:sz="0" w:space="0" w:color="auto"/>
          </w:divBdr>
        </w:div>
        <w:div w:id="1047727899">
          <w:marLeft w:val="0"/>
          <w:marRight w:val="0"/>
          <w:marTop w:val="0"/>
          <w:marBottom w:val="0"/>
          <w:divBdr>
            <w:top w:val="none" w:sz="0" w:space="0" w:color="auto"/>
            <w:left w:val="none" w:sz="0" w:space="0" w:color="auto"/>
            <w:bottom w:val="none" w:sz="0" w:space="0" w:color="auto"/>
            <w:right w:val="none" w:sz="0" w:space="0" w:color="auto"/>
          </w:divBdr>
        </w:div>
        <w:div w:id="482544698">
          <w:marLeft w:val="0"/>
          <w:marRight w:val="0"/>
          <w:marTop w:val="0"/>
          <w:marBottom w:val="0"/>
          <w:divBdr>
            <w:top w:val="none" w:sz="0" w:space="0" w:color="auto"/>
            <w:left w:val="none" w:sz="0" w:space="0" w:color="auto"/>
            <w:bottom w:val="none" w:sz="0" w:space="0" w:color="auto"/>
            <w:right w:val="none" w:sz="0" w:space="0" w:color="auto"/>
          </w:divBdr>
        </w:div>
        <w:div w:id="604463396">
          <w:marLeft w:val="0"/>
          <w:marRight w:val="0"/>
          <w:marTop w:val="0"/>
          <w:marBottom w:val="0"/>
          <w:divBdr>
            <w:top w:val="none" w:sz="0" w:space="0" w:color="auto"/>
            <w:left w:val="none" w:sz="0" w:space="0" w:color="auto"/>
            <w:bottom w:val="none" w:sz="0" w:space="0" w:color="auto"/>
            <w:right w:val="none" w:sz="0" w:space="0" w:color="auto"/>
          </w:divBdr>
        </w:div>
        <w:div w:id="8753935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ssa.gov/ssi/text-eligibility-ussi.htm" TargetMode="External"/><Relationship Id="rId3" Type="http://schemas.openxmlformats.org/officeDocument/2006/relationships/hyperlink" Target="http://www.portal.state.pa.us/portal/server.pt/community/workers%27_compensation/10386/about_workers%27_compensation/552721" TargetMode="External"/><Relationship Id="rId7" Type="http://schemas.openxmlformats.org/officeDocument/2006/relationships/hyperlink" Target="https://www.ssa.gov/pubs/EN-05-11000.pdf" TargetMode="External"/><Relationship Id="rId2" Type="http://schemas.openxmlformats.org/officeDocument/2006/relationships/hyperlink" Target="https://www.youtube.com/watch?v=GtZumYHuqAU" TargetMode="External"/><Relationship Id="rId1" Type="http://schemas.openxmlformats.org/officeDocument/2006/relationships/hyperlink" Target="http://www.oas.org/es/cidh/multimedia/sesiones/154/default.asp" TargetMode="External"/><Relationship Id="rId6" Type="http://schemas.openxmlformats.org/officeDocument/2006/relationships/hyperlink" Target="https://www.ssa.gov/pubs/EN-05-10029.pdf" TargetMode="External"/><Relationship Id="rId5" Type="http://schemas.openxmlformats.org/officeDocument/2006/relationships/hyperlink" Target="http://www.uscis.gov/sites/default/files/files/form/m-274.pdf" TargetMode="External"/><Relationship Id="rId4" Type="http://schemas.openxmlformats.org/officeDocument/2006/relationships/hyperlink" Target="http://www.uscis.gov/i-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1F72-CA45-41A1-84FF-475D8A26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14781</Words>
  <Characters>79080</Characters>
  <Application>Microsoft Office Word</Application>
  <DocSecurity>0</DocSecurity>
  <Lines>1216</Lines>
  <Paragraphs>214</Paragraphs>
  <ScaleCrop>false</ScaleCrop>
  <Company/>
  <LinksUpToDate>false</LinksUpToDate>
  <CharactersWithSpaces>93647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50/16</dc:title>
  <dc:creator/>
  <cp:lastModifiedBy/>
  <cp:revision>1</cp:revision>
  <dcterms:created xsi:type="dcterms:W3CDTF">2017-03-02T14:52:00Z</dcterms:created>
  <dcterms:modified xsi:type="dcterms:W3CDTF">2017-03-02T14:53:00Z</dcterms:modified>
</cp:coreProperties>
</file>