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C2A" w:rsidRPr="00F02DFC" w:rsidRDefault="00042C2A" w:rsidP="00042C2A">
      <w:pPr>
        <w:jc w:val="both"/>
        <w:rPr>
          <w:rFonts w:ascii="Cambria" w:hAnsi="Cambria" w:cs="Univers"/>
          <w:b/>
          <w:bCs/>
          <w:sz w:val="22"/>
          <w:szCs w:val="22"/>
          <w:lang w:val="es-ES_tradnl"/>
        </w:rPr>
      </w:pPr>
      <w:r>
        <w:rPr>
          <w:noProof/>
        </w:rPr>
        <mc:AlternateContent>
          <mc:Choice Requires="wps">
            <w:drawing>
              <wp:anchor distT="0" distB="0" distL="114300" distR="114300" simplePos="0" relativeHeight="251684864" behindDoc="0" locked="0" layoutInCell="1" allowOverlap="1" wp14:anchorId="2EC3D069" wp14:editId="291F14C0">
                <wp:simplePos x="0" y="0"/>
                <wp:positionH relativeFrom="column">
                  <wp:posOffset>-415925</wp:posOffset>
                </wp:positionH>
                <wp:positionV relativeFrom="paragraph">
                  <wp:posOffset>-356870</wp:posOffset>
                </wp:positionV>
                <wp:extent cx="1409700" cy="897763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32.75pt;margin-top:-28.1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" fillcolor="#67ae3c" stroked="f" strokeweight="2pt">
                <v:path arrowok="t"/>
              </v:rect>
            </w:pict>
          </mc:Fallback>
        </mc:AlternateContent>
      </w:r>
      <w:r>
        <w:rPr>
          <w:noProof/>
        </w:rPr>
        <mc:AlternateContent>
          <mc:Choice Requires="wps">
            <w:drawing>
              <wp:anchor distT="0" distB="0" distL="114300" distR="114300" simplePos="0" relativeHeight="251688960" behindDoc="0" locked="0" layoutInCell="1" allowOverlap="1" wp14:anchorId="286BE3F7" wp14:editId="4E1548E1">
                <wp:simplePos x="0" y="0"/>
                <wp:positionH relativeFrom="column">
                  <wp:posOffset>1143000</wp:posOffset>
                </wp:positionH>
                <wp:positionV relativeFrom="paragraph">
                  <wp:posOffset>-371475</wp:posOffset>
                </wp:positionV>
                <wp:extent cx="4486275" cy="75247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042C2A" w:rsidRDefault="00042C2A" w:rsidP="00042C2A">
                            <w:r>
                              <w:rPr>
                                <w:noProof/>
                              </w:rPr>
                              <w:drawing>
                                <wp:inline distT="0" distB="0" distL="0" distR="0" wp14:anchorId="3E01409E" wp14:editId="5118C61D">
                                  <wp:extent cx="2523490" cy="484505"/>
                                  <wp:effectExtent l="0" t="0" r="0" b="0"/>
                                  <wp:docPr id="20" name="Picture 2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490" cy="48450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90pt;margin-top:-29.25pt;width:353.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5cOw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" filled="f" stroked="f" strokeweight=".5pt">
                <v:path arrowok="t"/>
                <v:textbox>
                  <w:txbxContent>
                    <w:p w:rsidR="00042C2A" w:rsidRDefault="00042C2A" w:rsidP="00042C2A">
                      <w:r>
                        <w:rPr>
                          <w:noProof/>
                        </w:rPr>
                        <w:drawing>
                          <wp:inline distT="0" distB="0" distL="0" distR="0" wp14:anchorId="3E01409E" wp14:editId="5118C61D">
                            <wp:extent cx="2523490" cy="484505"/>
                            <wp:effectExtent l="0" t="0" r="0" b="0"/>
                            <wp:docPr id="20" name="Picture 2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3490" cy="484505"/>
                                    </a:xfrm>
                                    <a:prstGeom prst="rect">
                                      <a:avLst/>
                                    </a:prstGeom>
                                    <a:noFill/>
                                    <a:ln>
                                      <a:noFill/>
                                    </a:ln>
                                  </pic:spPr>
                                </pic:pic>
                              </a:graphicData>
                            </a:graphic>
                          </wp:inline>
                        </w:drawing>
                      </w:r>
                      <w:r>
                        <w:t xml:space="preserve">                                               </w:t>
                      </w:r>
                    </w:p>
                  </w:txbxContent>
                </v:textbox>
              </v:shape>
            </w:pict>
          </mc:Fallback>
        </mc:AlternateContent>
      </w:r>
    </w:p>
    <w:p w:rsidR="00042C2A" w:rsidRPr="00F02DFC" w:rsidRDefault="00042C2A" w:rsidP="00042C2A">
      <w:pPr>
        <w:tabs>
          <w:tab w:val="center" w:pos="5400"/>
        </w:tabs>
        <w:suppressAutoHyphens/>
        <w:jc w:val="both"/>
        <w:rPr>
          <w:rFonts w:ascii="Cambria" w:hAnsi="Cambria"/>
          <w:sz w:val="22"/>
          <w:szCs w:val="22"/>
          <w:lang w:val="es-ES"/>
        </w:rPr>
      </w:pPr>
    </w:p>
    <w:p w:rsidR="00042C2A" w:rsidRPr="00F02DFC" w:rsidRDefault="00042C2A" w:rsidP="00042C2A">
      <w:pPr>
        <w:tabs>
          <w:tab w:val="center" w:pos="5400"/>
        </w:tabs>
        <w:suppressAutoHyphens/>
        <w:jc w:val="both"/>
        <w:rPr>
          <w:rFonts w:ascii="Cambria" w:hAnsi="Cambria"/>
          <w:sz w:val="22"/>
          <w:szCs w:val="22"/>
          <w:lang w:val="es-ES"/>
        </w:rPr>
      </w:pPr>
    </w:p>
    <w:p w:rsidR="00042C2A" w:rsidRPr="00F02DFC" w:rsidRDefault="00042C2A" w:rsidP="00042C2A">
      <w:pPr>
        <w:tabs>
          <w:tab w:val="center" w:pos="5400"/>
        </w:tabs>
        <w:suppressAutoHyphens/>
        <w:rPr>
          <w:rFonts w:ascii="Cambria" w:hAnsi="Cambria"/>
          <w:sz w:val="22"/>
          <w:szCs w:val="22"/>
          <w:lang w:val="es-ES_tradnl"/>
        </w:rPr>
      </w:pPr>
    </w:p>
    <w:p w:rsidR="00042C2A" w:rsidRPr="00F02DFC" w:rsidRDefault="00042C2A" w:rsidP="00042C2A">
      <w:pPr>
        <w:tabs>
          <w:tab w:val="center" w:pos="5400"/>
        </w:tabs>
        <w:suppressAutoHyphens/>
        <w:rPr>
          <w:rFonts w:ascii="Cambria" w:hAnsi="Cambria"/>
          <w:sz w:val="22"/>
          <w:szCs w:val="22"/>
          <w:lang w:val="es-ES_tradnl"/>
        </w:rPr>
      </w:pPr>
    </w:p>
    <w:p w:rsidR="00042C2A" w:rsidRPr="00F02DFC" w:rsidRDefault="00042C2A" w:rsidP="00042C2A">
      <w:pPr>
        <w:tabs>
          <w:tab w:val="center" w:pos="5400"/>
        </w:tabs>
        <w:suppressAutoHyphens/>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8588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042C2A" w:rsidRPr="00E560F5" w:rsidRDefault="00042C2A" w:rsidP="00042C2A">
                            <w:pPr>
                              <w:spacing w:line="276" w:lineRule="auto"/>
                              <w:rPr>
                                <w:rFonts w:ascii="Cambria" w:hAnsi="Cambria" w:cs="Arial"/>
                                <w:b/>
                                <w:bCs/>
                                <w:color w:val="0D0D0D"/>
                                <w:sz w:val="36"/>
                                <w:szCs w:val="22"/>
                              </w:rPr>
                            </w:pPr>
                            <w:r w:rsidRPr="00E560F5">
                              <w:rPr>
                                <w:rFonts w:ascii="Cambria" w:hAnsi="Cambria" w:cs="Arial"/>
                                <w:b/>
                                <w:bCs/>
                                <w:color w:val="0D0D0D"/>
                                <w:sz w:val="36"/>
                                <w:szCs w:val="22"/>
                              </w:rPr>
                              <w:t xml:space="preserve">REPORT </w:t>
                            </w:r>
                            <w:r w:rsidRPr="00E560F5">
                              <w:rPr>
                                <w:rFonts w:ascii="Cambria" w:hAnsi="Cambria" w:cs="Arial"/>
                                <w:b/>
                                <w:bCs/>
                                <w:color w:val="0D0D0D"/>
                                <w:sz w:val="36"/>
                                <w:szCs w:val="40"/>
                              </w:rPr>
                              <w:t>No.</w:t>
                            </w:r>
                            <w:r>
                              <w:rPr>
                                <w:rFonts w:ascii="Cambria" w:hAnsi="Cambria" w:cs="Arial"/>
                                <w:b/>
                                <w:bCs/>
                                <w:color w:val="0D0D0D"/>
                                <w:sz w:val="36"/>
                                <w:szCs w:val="22"/>
                              </w:rPr>
                              <w:t xml:space="preserve"> </w:t>
                            </w:r>
                            <w:r w:rsidR="00E84956">
                              <w:rPr>
                                <w:rFonts w:ascii="Cambria" w:hAnsi="Cambria" w:cs="Arial"/>
                                <w:b/>
                                <w:bCs/>
                                <w:color w:val="0D0D0D"/>
                                <w:sz w:val="36"/>
                                <w:szCs w:val="22"/>
                              </w:rPr>
                              <w:t>30</w:t>
                            </w:r>
                            <w:r w:rsidRPr="00E560F5">
                              <w:rPr>
                                <w:rFonts w:ascii="Cambria" w:hAnsi="Cambria" w:cs="Arial"/>
                                <w:b/>
                                <w:bCs/>
                                <w:color w:val="0D0D0D"/>
                                <w:sz w:val="36"/>
                                <w:szCs w:val="22"/>
                              </w:rPr>
                              <w:t>/15</w:t>
                            </w:r>
                          </w:p>
                          <w:p w:rsidR="00042C2A" w:rsidRPr="00E560F5" w:rsidRDefault="00042C2A" w:rsidP="00042C2A">
                            <w:pPr>
                              <w:spacing w:line="276" w:lineRule="auto"/>
                              <w:rPr>
                                <w:rFonts w:ascii="Cambria" w:hAnsi="Cambria" w:cs="Arial"/>
                                <w:b/>
                                <w:color w:val="0D0D0D"/>
                                <w:sz w:val="36"/>
                                <w:szCs w:val="22"/>
                              </w:rPr>
                            </w:pPr>
                            <w:r w:rsidRPr="00E560F5">
                              <w:rPr>
                                <w:rFonts w:ascii="Cambria" w:hAnsi="Cambria" w:cs="Arial"/>
                                <w:b/>
                                <w:color w:val="0D0D0D"/>
                                <w:sz w:val="36"/>
                                <w:szCs w:val="22"/>
                              </w:rPr>
                              <w:t xml:space="preserve">PETITION </w:t>
                            </w:r>
                            <w:r>
                              <w:rPr>
                                <w:rFonts w:ascii="Cambria" w:hAnsi="Cambria" w:cs="Arial"/>
                                <w:b/>
                                <w:color w:val="0D0D0D"/>
                                <w:sz w:val="36"/>
                                <w:szCs w:val="22"/>
                              </w:rPr>
                              <w:t>1263-08</w:t>
                            </w:r>
                          </w:p>
                          <w:p w:rsidR="00042C2A" w:rsidRPr="00E560F5" w:rsidRDefault="00042C2A" w:rsidP="00042C2A">
                            <w:pPr>
                              <w:spacing w:line="276" w:lineRule="auto"/>
                              <w:rPr>
                                <w:rFonts w:ascii="Cambria" w:hAnsi="Cambria" w:cs="Arial"/>
                                <w:color w:val="0D0D0D"/>
                                <w:szCs w:val="22"/>
                              </w:rPr>
                            </w:pPr>
                            <w:r w:rsidRPr="00E560F5">
                              <w:rPr>
                                <w:rFonts w:ascii="Cambria" w:hAnsi="Cambria" w:cs="Arial"/>
                                <w:color w:val="0D0D0D"/>
                                <w:szCs w:val="22"/>
                              </w:rPr>
                              <w:t xml:space="preserve">REPORT ON ADMISSIBILITY </w:t>
                            </w:r>
                          </w:p>
                          <w:p w:rsidR="00042C2A" w:rsidRPr="00E560F5" w:rsidRDefault="00042C2A" w:rsidP="00042C2A">
                            <w:pPr>
                              <w:spacing w:line="276" w:lineRule="auto"/>
                              <w:rPr>
                                <w:rFonts w:ascii="Cambria" w:hAnsi="Cambria" w:cs="Arial"/>
                                <w:color w:val="0D0D0D"/>
                                <w:szCs w:val="22"/>
                              </w:rPr>
                            </w:pPr>
                          </w:p>
                          <w:p w:rsidR="00042C2A" w:rsidRPr="00E560F5" w:rsidRDefault="00042C2A" w:rsidP="00042C2A">
                            <w:pPr>
                              <w:spacing w:line="276" w:lineRule="auto"/>
                              <w:rPr>
                                <w:rFonts w:ascii="Cambria" w:hAnsi="Cambria" w:cs="Arial"/>
                                <w:color w:val="0D0D0D"/>
                                <w:szCs w:val="22"/>
                              </w:rPr>
                            </w:pPr>
                          </w:p>
                          <w:p w:rsidR="00042C2A" w:rsidRPr="00E560F5" w:rsidRDefault="00042C2A" w:rsidP="00042C2A">
                            <w:pPr>
                              <w:spacing w:line="276" w:lineRule="auto"/>
                              <w:rPr>
                                <w:rFonts w:ascii="Cambria" w:hAnsi="Cambria" w:cs="Arial"/>
                                <w:color w:val="0D0D0D"/>
                                <w:szCs w:val="22"/>
                              </w:rPr>
                            </w:pPr>
                            <w:r>
                              <w:rPr>
                                <w:rFonts w:ascii="Cambria" w:hAnsi="Cambria" w:cs="Arial"/>
                                <w:color w:val="0D0D0D"/>
                                <w:szCs w:val="22"/>
                              </w:rPr>
                              <w:t>SANDRA CECILIA PAVEZ PAVEZ</w:t>
                            </w:r>
                          </w:p>
                          <w:p w:rsidR="00042C2A" w:rsidRPr="00E560F5" w:rsidRDefault="00042C2A" w:rsidP="00042C2A">
                            <w:pPr>
                              <w:spacing w:line="276" w:lineRule="auto"/>
                              <w:rPr>
                                <w:rFonts w:ascii="Cambria" w:hAnsi="Cambria" w:cs="Arial"/>
                                <w:color w:val="0D0D0D"/>
                                <w:szCs w:val="22"/>
                              </w:rPr>
                            </w:pPr>
                            <w:r w:rsidRPr="00E560F5">
                              <w:rPr>
                                <w:rFonts w:ascii="Cambria" w:hAnsi="Cambria" w:cs="Arial"/>
                                <w:color w:val="0D0D0D"/>
                                <w:szCs w:val="22"/>
                              </w:rPr>
                              <w:t>ARGENTINA</w:t>
                            </w:r>
                          </w:p>
                          <w:p w:rsidR="00042C2A" w:rsidRPr="00F02DFC" w:rsidRDefault="00042C2A" w:rsidP="00042C2A">
                            <w:pPr>
                              <w:spacing w:line="276" w:lineRule="auto"/>
                              <w:rPr>
                                <w:rFonts w:ascii="Cambria" w:hAnsi="Cambria"/>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BILHSAPwIAAIIEAAAO&#10;AAAAAAAAAAAAAAAAAC4CAABkcnMvZTJvRG9jLnhtbFBLAQItABQABgAIAAAAIQCffO/d3wAAAAoB&#10;AAAPAAAAAAAAAAAAAAAAAJkEAABkcnMvZG93bnJldi54bWxQSwUGAAAAAAQABADzAAAApQUAAAAA&#10;" filled="f" stroked="f" strokeweight=".5pt">
                <v:path arrowok="t"/>
                <v:textbox>
                  <w:txbxContent>
                    <w:p w:rsidR="00042C2A" w:rsidRPr="00E560F5" w:rsidRDefault="00042C2A" w:rsidP="00042C2A">
                      <w:pPr>
                        <w:spacing w:line="276" w:lineRule="auto"/>
                        <w:rPr>
                          <w:rFonts w:ascii="Cambria" w:hAnsi="Cambria" w:cs="Arial"/>
                          <w:b/>
                          <w:bCs/>
                          <w:color w:val="0D0D0D"/>
                          <w:sz w:val="36"/>
                          <w:szCs w:val="22"/>
                        </w:rPr>
                      </w:pPr>
                      <w:r w:rsidRPr="00E560F5">
                        <w:rPr>
                          <w:rFonts w:ascii="Cambria" w:hAnsi="Cambria" w:cs="Arial"/>
                          <w:b/>
                          <w:bCs/>
                          <w:color w:val="0D0D0D"/>
                          <w:sz w:val="36"/>
                          <w:szCs w:val="22"/>
                        </w:rPr>
                        <w:t xml:space="preserve">REPORT </w:t>
                      </w:r>
                      <w:r w:rsidRPr="00E560F5">
                        <w:rPr>
                          <w:rFonts w:ascii="Cambria" w:hAnsi="Cambria" w:cs="Arial"/>
                          <w:b/>
                          <w:bCs/>
                          <w:color w:val="0D0D0D"/>
                          <w:sz w:val="36"/>
                          <w:szCs w:val="40"/>
                        </w:rPr>
                        <w:t>No.</w:t>
                      </w:r>
                      <w:r>
                        <w:rPr>
                          <w:rFonts w:ascii="Cambria" w:hAnsi="Cambria" w:cs="Arial"/>
                          <w:b/>
                          <w:bCs/>
                          <w:color w:val="0D0D0D"/>
                          <w:sz w:val="36"/>
                          <w:szCs w:val="22"/>
                        </w:rPr>
                        <w:t xml:space="preserve"> </w:t>
                      </w:r>
                      <w:r w:rsidR="00E84956">
                        <w:rPr>
                          <w:rFonts w:ascii="Cambria" w:hAnsi="Cambria" w:cs="Arial"/>
                          <w:b/>
                          <w:bCs/>
                          <w:color w:val="0D0D0D"/>
                          <w:sz w:val="36"/>
                          <w:szCs w:val="22"/>
                        </w:rPr>
                        <w:t>30</w:t>
                      </w:r>
                      <w:r w:rsidRPr="00E560F5">
                        <w:rPr>
                          <w:rFonts w:ascii="Cambria" w:hAnsi="Cambria" w:cs="Arial"/>
                          <w:b/>
                          <w:bCs/>
                          <w:color w:val="0D0D0D"/>
                          <w:sz w:val="36"/>
                          <w:szCs w:val="22"/>
                        </w:rPr>
                        <w:t>/15</w:t>
                      </w:r>
                    </w:p>
                    <w:p w:rsidR="00042C2A" w:rsidRPr="00E560F5" w:rsidRDefault="00042C2A" w:rsidP="00042C2A">
                      <w:pPr>
                        <w:spacing w:line="276" w:lineRule="auto"/>
                        <w:rPr>
                          <w:rFonts w:ascii="Cambria" w:hAnsi="Cambria" w:cs="Arial"/>
                          <w:b/>
                          <w:color w:val="0D0D0D"/>
                          <w:sz w:val="36"/>
                          <w:szCs w:val="22"/>
                        </w:rPr>
                      </w:pPr>
                      <w:r w:rsidRPr="00E560F5">
                        <w:rPr>
                          <w:rFonts w:ascii="Cambria" w:hAnsi="Cambria" w:cs="Arial"/>
                          <w:b/>
                          <w:color w:val="0D0D0D"/>
                          <w:sz w:val="36"/>
                          <w:szCs w:val="22"/>
                        </w:rPr>
                        <w:t xml:space="preserve">PETITION </w:t>
                      </w:r>
                      <w:r>
                        <w:rPr>
                          <w:rFonts w:ascii="Cambria" w:hAnsi="Cambria" w:cs="Arial"/>
                          <w:b/>
                          <w:color w:val="0D0D0D"/>
                          <w:sz w:val="36"/>
                          <w:szCs w:val="22"/>
                        </w:rPr>
                        <w:t>1263-08</w:t>
                      </w:r>
                    </w:p>
                    <w:p w:rsidR="00042C2A" w:rsidRPr="00E560F5" w:rsidRDefault="00042C2A" w:rsidP="00042C2A">
                      <w:pPr>
                        <w:spacing w:line="276" w:lineRule="auto"/>
                        <w:rPr>
                          <w:rFonts w:ascii="Cambria" w:hAnsi="Cambria" w:cs="Arial"/>
                          <w:color w:val="0D0D0D"/>
                          <w:szCs w:val="22"/>
                        </w:rPr>
                      </w:pPr>
                      <w:r w:rsidRPr="00E560F5">
                        <w:rPr>
                          <w:rFonts w:ascii="Cambria" w:hAnsi="Cambria" w:cs="Arial"/>
                          <w:color w:val="0D0D0D"/>
                          <w:szCs w:val="22"/>
                        </w:rPr>
                        <w:t xml:space="preserve">REPORT ON ADMISSIBILITY </w:t>
                      </w:r>
                    </w:p>
                    <w:p w:rsidR="00042C2A" w:rsidRPr="00E560F5" w:rsidRDefault="00042C2A" w:rsidP="00042C2A">
                      <w:pPr>
                        <w:spacing w:line="276" w:lineRule="auto"/>
                        <w:rPr>
                          <w:rFonts w:ascii="Cambria" w:hAnsi="Cambria" w:cs="Arial"/>
                          <w:color w:val="0D0D0D"/>
                          <w:szCs w:val="22"/>
                        </w:rPr>
                      </w:pPr>
                    </w:p>
                    <w:p w:rsidR="00042C2A" w:rsidRPr="00E560F5" w:rsidRDefault="00042C2A" w:rsidP="00042C2A">
                      <w:pPr>
                        <w:spacing w:line="276" w:lineRule="auto"/>
                        <w:rPr>
                          <w:rFonts w:ascii="Cambria" w:hAnsi="Cambria" w:cs="Arial"/>
                          <w:color w:val="0D0D0D"/>
                          <w:szCs w:val="22"/>
                        </w:rPr>
                      </w:pPr>
                    </w:p>
                    <w:p w:rsidR="00042C2A" w:rsidRPr="00E560F5" w:rsidRDefault="00042C2A" w:rsidP="00042C2A">
                      <w:pPr>
                        <w:spacing w:line="276" w:lineRule="auto"/>
                        <w:rPr>
                          <w:rFonts w:ascii="Cambria" w:hAnsi="Cambria" w:cs="Arial"/>
                          <w:color w:val="0D0D0D"/>
                          <w:szCs w:val="22"/>
                        </w:rPr>
                      </w:pPr>
                      <w:r>
                        <w:rPr>
                          <w:rFonts w:ascii="Cambria" w:hAnsi="Cambria" w:cs="Arial"/>
                          <w:color w:val="0D0D0D"/>
                          <w:szCs w:val="22"/>
                        </w:rPr>
                        <w:t xml:space="preserve">SANDRA CECILIA PAVEZ </w:t>
                      </w:r>
                      <w:proofErr w:type="spellStart"/>
                      <w:r>
                        <w:rPr>
                          <w:rFonts w:ascii="Cambria" w:hAnsi="Cambria" w:cs="Arial"/>
                          <w:color w:val="0D0D0D"/>
                          <w:szCs w:val="22"/>
                        </w:rPr>
                        <w:t>PAVEZ</w:t>
                      </w:r>
                      <w:proofErr w:type="spellEnd"/>
                    </w:p>
                    <w:p w:rsidR="00042C2A" w:rsidRPr="00E560F5" w:rsidRDefault="00042C2A" w:rsidP="00042C2A">
                      <w:pPr>
                        <w:spacing w:line="276" w:lineRule="auto"/>
                        <w:rPr>
                          <w:rFonts w:ascii="Cambria" w:hAnsi="Cambria" w:cs="Arial"/>
                          <w:color w:val="0D0D0D"/>
                          <w:szCs w:val="22"/>
                        </w:rPr>
                      </w:pPr>
                      <w:r w:rsidRPr="00E560F5">
                        <w:rPr>
                          <w:rFonts w:ascii="Cambria" w:hAnsi="Cambria" w:cs="Arial"/>
                          <w:color w:val="0D0D0D"/>
                          <w:szCs w:val="22"/>
                        </w:rPr>
                        <w:t>ARGENTINA</w:t>
                      </w:r>
                    </w:p>
                    <w:p w:rsidR="00042C2A" w:rsidRPr="00F02DFC" w:rsidRDefault="00042C2A" w:rsidP="00042C2A">
                      <w:pPr>
                        <w:spacing w:line="276" w:lineRule="auto"/>
                        <w:rPr>
                          <w:rFonts w:ascii="Cambria" w:hAnsi="Cambria"/>
                          <w:color w:val="0D0D0D"/>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042C2A" w:rsidRPr="00042C2A" w:rsidRDefault="00042C2A" w:rsidP="00042C2A">
                            <w:pPr>
                              <w:spacing w:after="40"/>
                              <w:jc w:val="right"/>
                              <w:rPr>
                                <w:rFonts w:ascii="Calibri" w:hAnsi="Calibri"/>
                                <w:color w:val="FFFFFF"/>
                                <w:sz w:val="22"/>
                                <w:lang w:val="pt-BR"/>
                              </w:rPr>
                            </w:pPr>
                            <w:r w:rsidRPr="00042C2A">
                              <w:rPr>
                                <w:rFonts w:ascii="Calibri" w:hAnsi="Calibri"/>
                                <w:color w:val="FFFFFF"/>
                                <w:sz w:val="22"/>
                                <w:lang w:val="pt-BR"/>
                              </w:rPr>
                              <w:t>OEA/Ser.L/V/II.155</w:t>
                            </w:r>
                          </w:p>
                          <w:p w:rsidR="00042C2A" w:rsidRPr="00042C2A" w:rsidRDefault="00042C2A" w:rsidP="00042C2A">
                            <w:pPr>
                              <w:spacing w:after="40"/>
                              <w:jc w:val="right"/>
                              <w:rPr>
                                <w:rFonts w:ascii="Calibri" w:hAnsi="Calibri"/>
                                <w:color w:val="FFFFFF"/>
                                <w:sz w:val="22"/>
                                <w:lang w:val="pt-BR"/>
                              </w:rPr>
                            </w:pPr>
                            <w:r w:rsidRPr="00042C2A">
                              <w:rPr>
                                <w:rFonts w:ascii="Calibri" w:hAnsi="Calibri"/>
                                <w:color w:val="FFFFFF"/>
                                <w:sz w:val="22"/>
                                <w:lang w:val="pt-BR"/>
                              </w:rPr>
                              <w:t xml:space="preserve">Doc. </w:t>
                            </w:r>
                            <w:r w:rsidR="00E84956">
                              <w:rPr>
                                <w:rFonts w:ascii="Calibri" w:hAnsi="Calibri"/>
                                <w:color w:val="FFFFFF"/>
                                <w:sz w:val="22"/>
                                <w:lang w:val="pt-BR"/>
                              </w:rPr>
                              <w:t>9</w:t>
                            </w:r>
                          </w:p>
                          <w:p w:rsidR="00042C2A" w:rsidRPr="00042C2A" w:rsidRDefault="00E84956" w:rsidP="00042C2A">
                            <w:pPr>
                              <w:spacing w:after="40"/>
                              <w:jc w:val="right"/>
                              <w:rPr>
                                <w:rFonts w:ascii="Calibri" w:hAnsi="Calibri"/>
                                <w:color w:val="FFFFFF"/>
                                <w:sz w:val="22"/>
                                <w:lang w:val="pt-BR"/>
                              </w:rPr>
                            </w:pPr>
                            <w:r>
                              <w:rPr>
                                <w:rFonts w:ascii="Calibri" w:hAnsi="Calibri"/>
                                <w:color w:val="FFFFFF"/>
                                <w:sz w:val="22"/>
                                <w:lang w:val="pt-BR"/>
                              </w:rPr>
                              <w:t>21 July</w:t>
                            </w:r>
                            <w:r w:rsidR="00042C2A" w:rsidRPr="00042C2A">
                              <w:rPr>
                                <w:rFonts w:ascii="Calibri" w:hAnsi="Calibri"/>
                                <w:color w:val="FFFFFF"/>
                                <w:sz w:val="22"/>
                                <w:lang w:val="pt-BR"/>
                              </w:rPr>
                              <w:t xml:space="preserve"> 2015</w:t>
                            </w:r>
                          </w:p>
                          <w:p w:rsidR="00042C2A" w:rsidRPr="00042C2A" w:rsidRDefault="005864A7" w:rsidP="00042C2A">
                            <w:pPr>
                              <w:spacing w:after="40"/>
                              <w:jc w:val="right"/>
                              <w:rPr>
                                <w:rFonts w:ascii="Calibri" w:hAnsi="Calibri"/>
                                <w:color w:val="FFFFFF"/>
                                <w:sz w:val="22"/>
                                <w:lang w:val="es-ES"/>
                              </w:rPr>
                            </w:pPr>
                            <w:r>
                              <w:rPr>
                                <w:rFonts w:ascii="Calibri" w:hAnsi="Calibri"/>
                                <w:color w:val="FFFFFF"/>
                                <w:sz w:val="22"/>
                                <w:lang w:val="es-ES"/>
                              </w:rPr>
                              <w:t>Original: S</w:t>
                            </w:r>
                            <w:r w:rsidR="00F0412D">
                              <w:rPr>
                                <w:rFonts w:ascii="Calibri" w:hAnsi="Calibri"/>
                                <w:color w:val="FFFFFF"/>
                                <w:sz w:val="22"/>
                                <w:lang w:val="es-ES"/>
                              </w:rPr>
                              <w:t>panish</w:t>
                            </w:r>
                          </w:p>
                          <w:p w:rsidR="00042C2A" w:rsidRPr="00F02DFC" w:rsidRDefault="00042C2A" w:rsidP="00042C2A">
                            <w:pPr>
                              <w:spacing w:after="40"/>
                              <w:jc w:val="right"/>
                              <w:rPr>
                                <w:rFonts w:ascii="Calibri" w:hAnsi="Calibri"/>
                                <w:color w:val="FFFFFF"/>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LU07oVBAgAAggQA&#10;AA4AAAAAAAAAAAAAAAAALgIAAGRycy9lMm9Eb2MueG1sUEsBAi0AFAAGAAgAAAAhAGKknRffAAAA&#10;CgEAAA8AAAAAAAAAAAAAAAAAmwQAAGRycy9kb3ducmV2LnhtbFBLBQYAAAAABAAEAPMAAACnBQAA&#10;AAA=&#10;" filled="f" stroked="f" strokeweight=".5pt">
                <v:path arrowok="t"/>
                <v:textbox>
                  <w:txbxContent>
                    <w:p w:rsidR="00042C2A" w:rsidRPr="00042C2A" w:rsidRDefault="00042C2A" w:rsidP="00042C2A">
                      <w:pPr>
                        <w:spacing w:after="40"/>
                        <w:jc w:val="right"/>
                        <w:rPr>
                          <w:rFonts w:ascii="Calibri" w:hAnsi="Calibri"/>
                          <w:color w:val="FFFFFF"/>
                          <w:sz w:val="22"/>
                          <w:lang w:val="pt-BR"/>
                        </w:rPr>
                      </w:pPr>
                      <w:r w:rsidRPr="00042C2A">
                        <w:rPr>
                          <w:rFonts w:ascii="Calibri" w:hAnsi="Calibri"/>
                          <w:color w:val="FFFFFF"/>
                          <w:sz w:val="22"/>
                          <w:lang w:val="pt-BR"/>
                        </w:rPr>
                        <w:t>OEA/Ser.L/V/II.155</w:t>
                      </w:r>
                    </w:p>
                    <w:p w:rsidR="00042C2A" w:rsidRPr="00042C2A" w:rsidRDefault="00042C2A" w:rsidP="00042C2A">
                      <w:pPr>
                        <w:spacing w:after="40"/>
                        <w:jc w:val="right"/>
                        <w:rPr>
                          <w:rFonts w:ascii="Calibri" w:hAnsi="Calibri"/>
                          <w:color w:val="FFFFFF"/>
                          <w:sz w:val="22"/>
                          <w:lang w:val="pt-BR"/>
                        </w:rPr>
                      </w:pPr>
                      <w:r w:rsidRPr="00042C2A">
                        <w:rPr>
                          <w:rFonts w:ascii="Calibri" w:hAnsi="Calibri"/>
                          <w:color w:val="FFFFFF"/>
                          <w:sz w:val="22"/>
                          <w:lang w:val="pt-BR"/>
                        </w:rPr>
                        <w:t xml:space="preserve">Doc. </w:t>
                      </w:r>
                      <w:r w:rsidR="00E84956">
                        <w:rPr>
                          <w:rFonts w:ascii="Calibri" w:hAnsi="Calibri"/>
                          <w:color w:val="FFFFFF"/>
                          <w:sz w:val="22"/>
                          <w:lang w:val="pt-BR"/>
                        </w:rPr>
                        <w:t>9</w:t>
                      </w:r>
                    </w:p>
                    <w:p w:rsidR="00042C2A" w:rsidRPr="00042C2A" w:rsidRDefault="00E84956" w:rsidP="00042C2A">
                      <w:pPr>
                        <w:spacing w:after="40"/>
                        <w:jc w:val="right"/>
                        <w:rPr>
                          <w:rFonts w:ascii="Calibri" w:hAnsi="Calibri"/>
                          <w:color w:val="FFFFFF"/>
                          <w:sz w:val="22"/>
                          <w:lang w:val="pt-BR"/>
                        </w:rPr>
                      </w:pPr>
                      <w:r>
                        <w:rPr>
                          <w:rFonts w:ascii="Calibri" w:hAnsi="Calibri"/>
                          <w:color w:val="FFFFFF"/>
                          <w:sz w:val="22"/>
                          <w:lang w:val="pt-BR"/>
                        </w:rPr>
                        <w:t>21 July</w:t>
                      </w:r>
                      <w:r w:rsidR="00042C2A" w:rsidRPr="00042C2A">
                        <w:rPr>
                          <w:rFonts w:ascii="Calibri" w:hAnsi="Calibri"/>
                          <w:color w:val="FFFFFF"/>
                          <w:sz w:val="22"/>
                          <w:lang w:val="pt-BR"/>
                        </w:rPr>
                        <w:t xml:space="preserve"> 2015</w:t>
                      </w:r>
                    </w:p>
                    <w:p w:rsidR="00042C2A" w:rsidRPr="00042C2A" w:rsidRDefault="005864A7" w:rsidP="00042C2A">
                      <w:pPr>
                        <w:spacing w:after="40"/>
                        <w:jc w:val="right"/>
                        <w:rPr>
                          <w:rFonts w:ascii="Calibri" w:hAnsi="Calibri"/>
                          <w:color w:val="FFFFFF"/>
                          <w:sz w:val="22"/>
                          <w:lang w:val="es-ES"/>
                        </w:rPr>
                      </w:pPr>
                      <w:r>
                        <w:rPr>
                          <w:rFonts w:ascii="Calibri" w:hAnsi="Calibri"/>
                          <w:color w:val="FFFFFF"/>
                          <w:sz w:val="22"/>
                          <w:lang w:val="es-ES"/>
                        </w:rPr>
                        <w:t xml:space="preserve">Original: </w:t>
                      </w:r>
                      <w:proofErr w:type="spellStart"/>
                      <w:r>
                        <w:rPr>
                          <w:rFonts w:ascii="Calibri" w:hAnsi="Calibri"/>
                          <w:color w:val="FFFFFF"/>
                          <w:sz w:val="22"/>
                          <w:lang w:val="es-ES"/>
                        </w:rPr>
                        <w:t>S</w:t>
                      </w:r>
                      <w:r w:rsidR="00F0412D">
                        <w:rPr>
                          <w:rFonts w:ascii="Calibri" w:hAnsi="Calibri"/>
                          <w:color w:val="FFFFFF"/>
                          <w:sz w:val="22"/>
                          <w:lang w:val="es-ES"/>
                        </w:rPr>
                        <w:t>panish</w:t>
                      </w:r>
                      <w:proofErr w:type="spellEnd"/>
                    </w:p>
                    <w:p w:rsidR="00042C2A" w:rsidRPr="00F02DFC" w:rsidRDefault="00042C2A" w:rsidP="00042C2A">
                      <w:pPr>
                        <w:spacing w:after="40"/>
                        <w:jc w:val="right"/>
                        <w:rPr>
                          <w:rFonts w:ascii="Calibri" w:hAnsi="Calibri"/>
                          <w:color w:val="FFFFFF"/>
                          <w:sz w:val="22"/>
                        </w:rPr>
                      </w:pPr>
                    </w:p>
                  </w:txbxContent>
                </v:textbox>
              </v:shape>
            </w:pict>
          </mc:Fallback>
        </mc:AlternateContent>
      </w: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cs="Arial"/>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22"/>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86912"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042C2A" w:rsidRPr="00F02DFC" w:rsidRDefault="00A75F99" w:rsidP="00042C2A">
                            <w:pPr>
                              <w:tabs>
                                <w:tab w:val="center" w:pos="5400"/>
                              </w:tabs>
                              <w:suppressAutoHyphens/>
                              <w:spacing w:before="60"/>
                              <w:rPr>
                                <w:rFonts w:ascii="Cambria" w:hAnsi="Cambria"/>
                                <w:color w:val="0D0D0D"/>
                                <w:sz w:val="18"/>
                                <w:szCs w:val="22"/>
                              </w:rPr>
                            </w:pPr>
                            <w:r w:rsidRPr="00A75F99">
                              <w:rPr>
                                <w:rFonts w:ascii="Cambria" w:hAnsi="Cambria"/>
                                <w:color w:val="0D0D0D"/>
                                <w:sz w:val="18"/>
                                <w:szCs w:val="20"/>
                              </w:rPr>
                              <w:t>Approved by the Commission at its session No. 2034 held on</w:t>
                            </w:r>
                            <w:r w:rsidR="00042C2A" w:rsidRPr="006E09B7">
                              <w:rPr>
                                <w:rFonts w:ascii="Cambria" w:hAnsi="Cambria"/>
                                <w:color w:val="0D0D0D"/>
                                <w:sz w:val="18"/>
                                <w:szCs w:val="20"/>
                              </w:rPr>
                              <w:t xml:space="preserve"> </w:t>
                            </w:r>
                            <w:r w:rsidR="00E84956">
                              <w:rPr>
                                <w:rFonts w:ascii="Cambria" w:hAnsi="Cambria"/>
                                <w:color w:val="0D0D0D"/>
                                <w:sz w:val="18"/>
                                <w:szCs w:val="20"/>
                              </w:rPr>
                              <w:t>July 21, 2015</w:t>
                            </w:r>
                            <w:r w:rsidR="00042C2A" w:rsidRPr="006E09B7">
                              <w:rPr>
                                <w:rFonts w:ascii="Cambria" w:hAnsi="Cambria"/>
                                <w:color w:val="0D0D0D"/>
                                <w:sz w:val="18"/>
                                <w:szCs w:val="20"/>
                              </w:rPr>
                              <w:t xml:space="preserve"> at its</w:t>
                            </w:r>
                            <w:r w:rsidR="00976943">
                              <w:rPr>
                                <w:rFonts w:ascii="Cambria" w:hAnsi="Cambria"/>
                                <w:color w:val="0D0D0D"/>
                                <w:sz w:val="18"/>
                                <w:szCs w:val="20"/>
                              </w:rPr>
                              <w:t xml:space="preserve"> </w:t>
                            </w:r>
                            <w:r w:rsidR="00E84956">
                              <w:rPr>
                                <w:rFonts w:ascii="Cambria" w:hAnsi="Cambria" w:cs="Univers"/>
                                <w:color w:val="0D0D0D"/>
                                <w:sz w:val="18"/>
                                <w:szCs w:val="20"/>
                              </w:rPr>
                              <w:t>155</w:t>
                            </w:r>
                            <w:r w:rsidR="00E84956" w:rsidRPr="00E84956">
                              <w:rPr>
                                <w:rFonts w:ascii="Cambria" w:hAnsi="Cambria" w:cs="Univers"/>
                                <w:color w:val="0D0D0D"/>
                                <w:sz w:val="18"/>
                                <w:szCs w:val="20"/>
                                <w:vertAlign w:val="superscript"/>
                              </w:rPr>
                              <w:t>th</w:t>
                            </w:r>
                            <w:r w:rsidR="00E84956">
                              <w:rPr>
                                <w:rFonts w:ascii="Cambria" w:hAnsi="Cambria" w:cs="Univers"/>
                                <w:color w:val="0D0D0D"/>
                                <w:sz w:val="18"/>
                                <w:szCs w:val="20"/>
                              </w:rPr>
                              <w:t xml:space="preserve"> </w:t>
                            </w:r>
                            <w:r>
                              <w:rPr>
                                <w:rFonts w:ascii="Cambria" w:hAnsi="Cambria" w:cs="Univers"/>
                                <w:color w:val="0D0D0D"/>
                                <w:sz w:val="18"/>
                                <w:szCs w:val="20"/>
                              </w:rPr>
                              <w:t>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left:0;text-align:left;margin-left:95.25pt;margin-top:5.6pt;width:361.8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" filled="f" stroked="f" strokeweight=".5pt">
                <v:path arrowok="t"/>
                <v:textbox>
                  <w:txbxContent>
                    <w:p w:rsidR="00042C2A" w:rsidRPr="00F02DFC" w:rsidRDefault="00A75F99" w:rsidP="00042C2A">
                      <w:pPr>
                        <w:tabs>
                          <w:tab w:val="center" w:pos="5400"/>
                        </w:tabs>
                        <w:suppressAutoHyphens/>
                        <w:spacing w:before="60"/>
                        <w:rPr>
                          <w:rFonts w:ascii="Cambria" w:hAnsi="Cambria"/>
                          <w:color w:val="0D0D0D"/>
                          <w:sz w:val="18"/>
                          <w:szCs w:val="22"/>
                        </w:rPr>
                      </w:pPr>
                      <w:r w:rsidRPr="00A75F99">
                        <w:rPr>
                          <w:rFonts w:ascii="Cambria" w:hAnsi="Cambria"/>
                          <w:color w:val="0D0D0D"/>
                          <w:sz w:val="18"/>
                          <w:szCs w:val="20"/>
                        </w:rPr>
                        <w:t>Approved by the Commission at its session No. 2034 held on</w:t>
                      </w:r>
                      <w:r w:rsidR="00042C2A" w:rsidRPr="006E09B7">
                        <w:rPr>
                          <w:rFonts w:ascii="Cambria" w:hAnsi="Cambria"/>
                          <w:color w:val="0D0D0D"/>
                          <w:sz w:val="18"/>
                          <w:szCs w:val="20"/>
                        </w:rPr>
                        <w:t xml:space="preserve"> </w:t>
                      </w:r>
                      <w:r w:rsidR="00E84956">
                        <w:rPr>
                          <w:rFonts w:ascii="Cambria" w:hAnsi="Cambria"/>
                          <w:color w:val="0D0D0D"/>
                          <w:sz w:val="18"/>
                          <w:szCs w:val="20"/>
                        </w:rPr>
                        <w:t>July 21, 2015</w:t>
                      </w:r>
                      <w:r w:rsidR="00042C2A" w:rsidRPr="006E09B7">
                        <w:rPr>
                          <w:rFonts w:ascii="Cambria" w:hAnsi="Cambria"/>
                          <w:color w:val="0D0D0D"/>
                          <w:sz w:val="18"/>
                          <w:szCs w:val="20"/>
                        </w:rPr>
                        <w:t xml:space="preserve"> at its</w:t>
                      </w:r>
                      <w:r w:rsidR="00976943">
                        <w:rPr>
                          <w:rFonts w:ascii="Cambria" w:hAnsi="Cambria"/>
                          <w:color w:val="0D0D0D"/>
                          <w:sz w:val="18"/>
                          <w:szCs w:val="20"/>
                        </w:rPr>
                        <w:t xml:space="preserve"> </w:t>
                      </w:r>
                      <w:r w:rsidR="00E84956">
                        <w:rPr>
                          <w:rFonts w:ascii="Cambria" w:hAnsi="Cambria" w:cs="Univers"/>
                          <w:color w:val="0D0D0D"/>
                          <w:sz w:val="18"/>
                          <w:szCs w:val="20"/>
                        </w:rPr>
                        <w:t>155</w:t>
                      </w:r>
                      <w:r w:rsidR="00E84956" w:rsidRPr="00E84956">
                        <w:rPr>
                          <w:rFonts w:ascii="Cambria" w:hAnsi="Cambria" w:cs="Univers"/>
                          <w:color w:val="0D0D0D"/>
                          <w:sz w:val="18"/>
                          <w:szCs w:val="20"/>
                          <w:vertAlign w:val="superscript"/>
                        </w:rPr>
                        <w:t>th</w:t>
                      </w:r>
                      <w:r w:rsidR="00E84956">
                        <w:rPr>
                          <w:rFonts w:ascii="Cambria" w:hAnsi="Cambria" w:cs="Univers"/>
                          <w:color w:val="0D0D0D"/>
                          <w:sz w:val="18"/>
                          <w:szCs w:val="20"/>
                        </w:rPr>
                        <w:t xml:space="preserve"> </w:t>
                      </w:r>
                      <w:r>
                        <w:rPr>
                          <w:rFonts w:ascii="Cambria" w:hAnsi="Cambria" w:cs="Univers"/>
                          <w:color w:val="0D0D0D"/>
                          <w:sz w:val="18"/>
                          <w:szCs w:val="20"/>
                        </w:rPr>
                        <w:t>Period of Session.</w:t>
                      </w:r>
                    </w:p>
                  </w:txbxContent>
                </v:textbox>
              </v:shape>
            </w:pict>
          </mc:Fallback>
        </mc:AlternateContent>
      </w: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8998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042C2A" w:rsidRPr="00F02DFC" w:rsidRDefault="00042C2A" w:rsidP="00042C2A">
                            <w:pPr>
                              <w:spacing w:line="276" w:lineRule="auto"/>
                              <w:rPr>
                                <w:rFonts w:ascii="Cambria" w:hAnsi="Cambria"/>
                                <w:color w:val="595959"/>
                                <w:sz w:val="18"/>
                              </w:rPr>
                            </w:pPr>
                            <w:r w:rsidRPr="006E09B7">
                              <w:rPr>
                                <w:rFonts w:ascii="Cambria" w:hAnsi="Cambria"/>
                                <w:b/>
                                <w:color w:val="595959"/>
                                <w:sz w:val="18"/>
                              </w:rPr>
                              <w:t xml:space="preserve">Cite as: </w:t>
                            </w:r>
                            <w:r w:rsidRPr="006E09B7">
                              <w:rPr>
                                <w:rFonts w:ascii="Cambria" w:hAnsi="Cambria"/>
                                <w:color w:val="595959"/>
                                <w:sz w:val="18"/>
                              </w:rPr>
                              <w:t xml:space="preserve">IACHR, Report No. </w:t>
                            </w:r>
                            <w:r w:rsidR="00E84956">
                              <w:rPr>
                                <w:rFonts w:ascii="Cambria" w:hAnsi="Cambria"/>
                                <w:color w:val="595959"/>
                                <w:sz w:val="18"/>
                              </w:rPr>
                              <w:t>30</w:t>
                            </w:r>
                            <w:r w:rsidRPr="006E09B7">
                              <w:rPr>
                                <w:rFonts w:ascii="Cambria" w:hAnsi="Cambria"/>
                                <w:color w:val="595959"/>
                                <w:sz w:val="18"/>
                              </w:rPr>
                              <w:t xml:space="preserve">/15, Petition 1263-08. </w:t>
                            </w:r>
                            <w:r w:rsidRPr="006E09B7">
                              <w:rPr>
                                <w:rFonts w:ascii="Cambria" w:hAnsi="Cambria"/>
                                <w:color w:val="595959"/>
                                <w:sz w:val="18"/>
                                <w:lang w:val="pt-BR"/>
                              </w:rPr>
                              <w:t>Admissibility. Sandra Cecilia Pavez Pavez. Chile</w:t>
                            </w:r>
                            <w:r w:rsidRPr="006E09B7">
                              <w:rPr>
                                <w:rFonts w:ascii="Cambria" w:hAnsi="Cambria"/>
                                <w:color w:val="595959"/>
                                <w:sz w:val="18"/>
                              </w:rPr>
                              <w:t xml:space="preserve">. </w:t>
                            </w:r>
                            <w:r w:rsidR="00E84956">
                              <w:rPr>
                                <w:rFonts w:ascii="Cambria" w:hAnsi="Cambria"/>
                                <w:color w:val="595959"/>
                                <w:sz w:val="18"/>
                              </w:rPr>
                              <w:t>July 21,</w:t>
                            </w:r>
                            <w:r w:rsidRPr="006E09B7">
                              <w:rPr>
                                <w:rFonts w:ascii="Cambria" w:hAnsi="Cambria"/>
                                <w:color w:val="595959"/>
                                <w:sz w:val="18"/>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95.25pt;margin-top:7.25pt;width:379.8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" filled="f" stroked="f" strokeweight=".5pt">
                <v:path arrowok="t"/>
                <v:textbox>
                  <w:txbxContent>
                    <w:p w:rsidR="00042C2A" w:rsidRPr="00F02DFC" w:rsidRDefault="00042C2A" w:rsidP="00042C2A">
                      <w:pPr>
                        <w:spacing w:line="276" w:lineRule="auto"/>
                        <w:rPr>
                          <w:rFonts w:ascii="Cambria" w:hAnsi="Cambria"/>
                          <w:color w:val="595959"/>
                          <w:sz w:val="18"/>
                        </w:rPr>
                      </w:pPr>
                      <w:r w:rsidRPr="006E09B7">
                        <w:rPr>
                          <w:rFonts w:ascii="Cambria" w:hAnsi="Cambria"/>
                          <w:b/>
                          <w:color w:val="595959"/>
                          <w:sz w:val="18"/>
                        </w:rPr>
                        <w:t xml:space="preserve">Cite as: </w:t>
                      </w:r>
                      <w:r w:rsidRPr="006E09B7">
                        <w:rPr>
                          <w:rFonts w:ascii="Cambria" w:hAnsi="Cambria"/>
                          <w:color w:val="595959"/>
                          <w:sz w:val="18"/>
                        </w:rPr>
                        <w:t xml:space="preserve">IACHR, Report No. </w:t>
                      </w:r>
                      <w:r w:rsidR="00E84956">
                        <w:rPr>
                          <w:rFonts w:ascii="Cambria" w:hAnsi="Cambria"/>
                          <w:color w:val="595959"/>
                          <w:sz w:val="18"/>
                        </w:rPr>
                        <w:t>30</w:t>
                      </w:r>
                      <w:r w:rsidRPr="006E09B7">
                        <w:rPr>
                          <w:rFonts w:ascii="Cambria" w:hAnsi="Cambria"/>
                          <w:color w:val="595959"/>
                          <w:sz w:val="18"/>
                        </w:rPr>
                        <w:t xml:space="preserve">/15, Petition 1263-08. </w:t>
                      </w:r>
                      <w:r w:rsidRPr="006E09B7">
                        <w:rPr>
                          <w:rFonts w:ascii="Cambria" w:hAnsi="Cambria"/>
                          <w:color w:val="595959"/>
                          <w:sz w:val="18"/>
                          <w:lang w:val="pt-BR"/>
                        </w:rPr>
                        <w:t>Admissibility. Sandra Cecilia Pavez Pavez. Chile</w:t>
                      </w:r>
                      <w:r w:rsidRPr="006E09B7">
                        <w:rPr>
                          <w:rFonts w:ascii="Cambria" w:hAnsi="Cambria"/>
                          <w:color w:val="595959"/>
                          <w:sz w:val="18"/>
                        </w:rPr>
                        <w:t xml:space="preserve">. </w:t>
                      </w:r>
                      <w:r w:rsidR="00E84956">
                        <w:rPr>
                          <w:rFonts w:ascii="Cambria" w:hAnsi="Cambria"/>
                          <w:color w:val="595959"/>
                          <w:sz w:val="18"/>
                        </w:rPr>
                        <w:t>July 21,</w:t>
                      </w:r>
                      <w:r w:rsidRPr="006E09B7">
                        <w:rPr>
                          <w:rFonts w:ascii="Cambria" w:hAnsi="Cambria"/>
                          <w:color w:val="595959"/>
                          <w:sz w:val="18"/>
                        </w:rPr>
                        <w:t xml:space="preserve"> 2015.</w:t>
                      </w:r>
                    </w:p>
                  </w:txbxContent>
                </v:textbox>
              </v:shape>
            </w:pict>
          </mc:Fallback>
        </mc:AlternateContent>
      </w: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lang w:val="es-ES_tradnl"/>
        </w:rPr>
      </w:pPr>
    </w:p>
    <w:p w:rsidR="00042C2A" w:rsidRPr="00F02DFC" w:rsidRDefault="00042C2A" w:rsidP="00042C2A">
      <w:pPr>
        <w:tabs>
          <w:tab w:val="center" w:pos="5400"/>
        </w:tabs>
        <w:suppressAutoHyphens/>
        <w:jc w:val="center"/>
        <w:rPr>
          <w:rFonts w:ascii="Cambria" w:hAnsi="Cambria"/>
          <w:sz w:val="18"/>
          <w:szCs w:val="22"/>
        </w:rPr>
      </w:pPr>
    </w:p>
    <w:p w:rsidR="00042C2A" w:rsidRPr="00F02DFC" w:rsidRDefault="00042C2A" w:rsidP="00042C2A">
      <w:pP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9203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042C2A" w:rsidRPr="00F02DFC" w:rsidRDefault="00042C2A" w:rsidP="00042C2A">
                            <w:pPr>
                              <w:jc w:val="center"/>
                              <w:rPr>
                                <w:rFonts w:ascii="Calibri" w:hAnsi="Calibri"/>
                                <w:b/>
                                <w:color w:val="FFFFFF"/>
                              </w:rPr>
                            </w:pPr>
                            <w:r w:rsidRPr="00F02DFC">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23.55pt;margin-top:67.6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" filled="f" stroked="f" strokeweight=".5pt">
                <v:path arrowok="t"/>
                <v:textbox>
                  <w:txbxContent>
                    <w:p w:rsidR="00042C2A" w:rsidRPr="00F02DFC" w:rsidRDefault="00042C2A" w:rsidP="00042C2A">
                      <w:pPr>
                        <w:jc w:val="center"/>
                        <w:rPr>
                          <w:rFonts w:ascii="Calibri" w:hAnsi="Calibri"/>
                          <w:b/>
                          <w:color w:val="FFFFFF"/>
                        </w:rPr>
                      </w:pPr>
                      <w:r w:rsidRPr="00F02DFC">
                        <w:rPr>
                          <w:rFonts w:ascii="Calibri" w:hAnsi="Calibri"/>
                          <w:b/>
                          <w:color w:val="FFFFFF"/>
                          <w:lang w:val="pt-BR"/>
                        </w:rPr>
                        <w:t>www.cidh.org</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042C2A" w:rsidRDefault="00042C2A" w:rsidP="00042C2A">
                            <w:r>
                              <w:rPr>
                                <w:noProof/>
                              </w:rPr>
                              <w:drawing>
                                <wp:inline distT="0" distB="0" distL="0" distR="0" wp14:anchorId="68D4AC9F" wp14:editId="41EF313E">
                                  <wp:extent cx="1124585" cy="384175"/>
                                  <wp:effectExtent l="0" t="0" r="0" b="0"/>
                                  <wp:docPr id="6" name="Picture 6"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4585" cy="384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95.15pt;margin-top:56.9pt;width:164.2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" fillcolor="window" stroked="f" strokeweight=".5pt">
                <v:path arrowok="t"/>
                <v:textbox>
                  <w:txbxContent>
                    <w:p w:rsidR="00042C2A" w:rsidRDefault="00042C2A" w:rsidP="00042C2A">
                      <w:r>
                        <w:rPr>
                          <w:noProof/>
                        </w:rPr>
                        <w:drawing>
                          <wp:inline distT="0" distB="0" distL="0" distR="0" wp14:anchorId="68D4AC9F" wp14:editId="41EF313E">
                            <wp:extent cx="1124585" cy="384175"/>
                            <wp:effectExtent l="0" t="0" r="0" b="0"/>
                            <wp:docPr id="6" name="Picture 6"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4585" cy="384175"/>
                                    </a:xfrm>
                                    <a:prstGeom prst="rect">
                                      <a:avLst/>
                                    </a:prstGeom>
                                    <a:noFill/>
                                    <a:ln>
                                      <a:noFill/>
                                    </a:ln>
                                  </pic:spPr>
                                </pic:pic>
                              </a:graphicData>
                            </a:graphic>
                          </wp:inline>
                        </w:drawing>
                      </w:r>
                    </w:p>
                  </w:txbxContent>
                </v:textbox>
              </v:shape>
            </w:pict>
          </mc:Fallback>
        </mc:AlternateContent>
      </w:r>
    </w:p>
    <w:p w:rsidR="00042C2A" w:rsidRPr="00F02DFC" w:rsidRDefault="00042C2A" w:rsidP="00042C2A">
      <w:pPr>
        <w:tabs>
          <w:tab w:val="center" w:pos="5400"/>
        </w:tabs>
        <w:suppressAutoHyphens/>
        <w:jc w:val="center"/>
        <w:rPr>
          <w:rFonts w:ascii="Cambria" w:hAnsi="Cambria"/>
          <w:sz w:val="18"/>
          <w:szCs w:val="22"/>
        </w:rPr>
        <w:sectPr w:rsidR="00042C2A" w:rsidRPr="00F02DFC"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4F0E2C" w:rsidRPr="0004208D" w:rsidRDefault="00E4542F" w:rsidP="00F03820">
      <w:pPr>
        <w:tabs>
          <w:tab w:val="center" w:pos="5400"/>
        </w:tabs>
        <w:suppressAutoHyphens/>
        <w:jc w:val="center"/>
        <w:rPr>
          <w:rFonts w:asciiTheme="majorHAnsi" w:hAnsiTheme="majorHAnsi"/>
          <w:b/>
          <w:sz w:val="18"/>
          <w:szCs w:val="20"/>
        </w:rPr>
      </w:pPr>
      <w:r w:rsidRPr="0004208D">
        <w:rPr>
          <w:rFonts w:asciiTheme="majorHAnsi" w:hAnsiTheme="majorHAnsi"/>
          <w:b/>
          <w:sz w:val="18"/>
          <w:szCs w:val="20"/>
        </w:rPr>
        <w:lastRenderedPageBreak/>
        <w:t>REPORT</w:t>
      </w:r>
      <w:r w:rsidR="004F0E2C" w:rsidRPr="0004208D">
        <w:rPr>
          <w:rFonts w:asciiTheme="majorHAnsi" w:hAnsiTheme="majorHAnsi"/>
          <w:b/>
          <w:sz w:val="18"/>
          <w:szCs w:val="20"/>
        </w:rPr>
        <w:t xml:space="preserve"> No. </w:t>
      </w:r>
      <w:r w:rsidR="00976943">
        <w:rPr>
          <w:rFonts w:asciiTheme="majorHAnsi" w:hAnsiTheme="majorHAnsi"/>
          <w:b/>
          <w:sz w:val="18"/>
          <w:szCs w:val="20"/>
        </w:rPr>
        <w:t>30</w:t>
      </w:r>
      <w:r w:rsidR="004F0E2C" w:rsidRPr="0004208D">
        <w:rPr>
          <w:rFonts w:asciiTheme="majorHAnsi" w:hAnsiTheme="majorHAnsi"/>
          <w:b/>
          <w:sz w:val="18"/>
          <w:szCs w:val="20"/>
        </w:rPr>
        <w:t>/1</w:t>
      </w:r>
      <w:r w:rsidR="00042C2A">
        <w:rPr>
          <w:rFonts w:asciiTheme="majorHAnsi" w:hAnsiTheme="majorHAnsi"/>
          <w:b/>
          <w:sz w:val="18"/>
          <w:szCs w:val="20"/>
        </w:rPr>
        <w:t>5</w:t>
      </w:r>
      <w:r w:rsidR="005A3ECB" w:rsidRPr="0004208D">
        <w:rPr>
          <w:rFonts w:ascii="Calibri" w:hAnsi="Calibri" w:cs="Arial"/>
          <w:b/>
          <w:sz w:val="18"/>
          <w:szCs w:val="20"/>
          <w:vertAlign w:val="superscript"/>
        </w:rPr>
        <w:footnoteReference w:id="2"/>
      </w:r>
    </w:p>
    <w:p w:rsidR="004F0E2C" w:rsidRPr="0004208D" w:rsidRDefault="004F0E2C" w:rsidP="00F03820">
      <w:pPr>
        <w:tabs>
          <w:tab w:val="center" w:pos="5400"/>
        </w:tabs>
        <w:suppressAutoHyphens/>
        <w:jc w:val="center"/>
        <w:rPr>
          <w:rFonts w:asciiTheme="majorHAnsi" w:hAnsiTheme="majorHAnsi"/>
          <w:b/>
          <w:sz w:val="18"/>
          <w:szCs w:val="20"/>
        </w:rPr>
      </w:pPr>
      <w:r w:rsidRPr="0004208D">
        <w:rPr>
          <w:rFonts w:asciiTheme="majorHAnsi" w:hAnsiTheme="majorHAnsi"/>
          <w:b/>
          <w:sz w:val="18"/>
          <w:szCs w:val="20"/>
        </w:rPr>
        <w:t>PETI</w:t>
      </w:r>
      <w:r w:rsidR="00E4542F" w:rsidRPr="0004208D">
        <w:rPr>
          <w:rFonts w:asciiTheme="majorHAnsi" w:hAnsiTheme="majorHAnsi"/>
          <w:b/>
          <w:sz w:val="18"/>
          <w:szCs w:val="20"/>
        </w:rPr>
        <w:t>TION</w:t>
      </w:r>
      <w:r w:rsidRPr="0004208D">
        <w:rPr>
          <w:rFonts w:asciiTheme="majorHAnsi" w:hAnsiTheme="majorHAnsi"/>
          <w:b/>
          <w:sz w:val="18"/>
          <w:szCs w:val="20"/>
        </w:rPr>
        <w:t xml:space="preserve"> 1263-08</w:t>
      </w:r>
    </w:p>
    <w:p w:rsidR="004F0E2C" w:rsidRPr="0004208D" w:rsidRDefault="004F0E2C" w:rsidP="00F03820">
      <w:pPr>
        <w:tabs>
          <w:tab w:val="center" w:pos="5400"/>
        </w:tabs>
        <w:suppressAutoHyphens/>
        <w:jc w:val="center"/>
        <w:rPr>
          <w:rFonts w:asciiTheme="majorHAnsi" w:hAnsiTheme="majorHAnsi"/>
          <w:sz w:val="18"/>
          <w:szCs w:val="20"/>
        </w:rPr>
      </w:pPr>
      <w:r w:rsidRPr="0004208D">
        <w:rPr>
          <w:rFonts w:asciiTheme="majorHAnsi" w:hAnsiTheme="majorHAnsi"/>
          <w:sz w:val="18"/>
          <w:szCs w:val="20"/>
        </w:rPr>
        <w:t>ADMI</w:t>
      </w:r>
      <w:r w:rsidR="00E4542F" w:rsidRPr="0004208D">
        <w:rPr>
          <w:rFonts w:asciiTheme="majorHAnsi" w:hAnsiTheme="majorHAnsi"/>
          <w:sz w:val="18"/>
          <w:szCs w:val="20"/>
        </w:rPr>
        <w:t>S</w:t>
      </w:r>
      <w:r w:rsidRPr="0004208D">
        <w:rPr>
          <w:rFonts w:asciiTheme="majorHAnsi" w:hAnsiTheme="majorHAnsi"/>
          <w:sz w:val="18"/>
          <w:szCs w:val="20"/>
        </w:rPr>
        <w:t>SIBILI</w:t>
      </w:r>
      <w:r w:rsidR="00E4542F" w:rsidRPr="0004208D">
        <w:rPr>
          <w:rFonts w:asciiTheme="majorHAnsi" w:hAnsiTheme="majorHAnsi"/>
          <w:sz w:val="18"/>
          <w:szCs w:val="20"/>
        </w:rPr>
        <w:t>TY</w:t>
      </w:r>
    </w:p>
    <w:p w:rsidR="004F0E2C" w:rsidRPr="0004208D" w:rsidRDefault="004F0E2C" w:rsidP="00F03820">
      <w:pPr>
        <w:tabs>
          <w:tab w:val="center" w:pos="5400"/>
        </w:tabs>
        <w:suppressAutoHyphens/>
        <w:jc w:val="center"/>
        <w:rPr>
          <w:rFonts w:asciiTheme="majorHAnsi" w:hAnsiTheme="majorHAnsi"/>
          <w:sz w:val="18"/>
          <w:szCs w:val="20"/>
        </w:rPr>
      </w:pPr>
      <w:r w:rsidRPr="0004208D">
        <w:rPr>
          <w:rFonts w:asciiTheme="majorHAnsi" w:hAnsiTheme="majorHAnsi"/>
          <w:sz w:val="18"/>
          <w:szCs w:val="20"/>
        </w:rPr>
        <w:t>SANDRA CECILIA PAVEZ PAVEZ</w:t>
      </w:r>
    </w:p>
    <w:p w:rsidR="004F0E2C" w:rsidRPr="0004208D" w:rsidRDefault="004F0E2C" w:rsidP="00F03820">
      <w:pPr>
        <w:tabs>
          <w:tab w:val="center" w:pos="5400"/>
        </w:tabs>
        <w:suppressAutoHyphens/>
        <w:jc w:val="center"/>
        <w:rPr>
          <w:rFonts w:asciiTheme="majorHAnsi" w:hAnsiTheme="majorHAnsi"/>
          <w:sz w:val="18"/>
          <w:szCs w:val="20"/>
        </w:rPr>
      </w:pPr>
      <w:r w:rsidRPr="0004208D">
        <w:rPr>
          <w:rFonts w:asciiTheme="majorHAnsi" w:hAnsiTheme="majorHAnsi"/>
          <w:sz w:val="18"/>
          <w:szCs w:val="20"/>
        </w:rPr>
        <w:t>CHILE</w:t>
      </w:r>
    </w:p>
    <w:p w:rsidR="00DF1EC4" w:rsidRDefault="00976943" w:rsidP="00F03820">
      <w:pPr>
        <w:tabs>
          <w:tab w:val="center" w:pos="5400"/>
        </w:tabs>
        <w:suppressAutoHyphens/>
        <w:jc w:val="center"/>
        <w:rPr>
          <w:rFonts w:asciiTheme="majorHAnsi" w:hAnsiTheme="majorHAnsi"/>
          <w:sz w:val="18"/>
          <w:szCs w:val="20"/>
        </w:rPr>
      </w:pPr>
      <w:r>
        <w:rPr>
          <w:rFonts w:asciiTheme="majorHAnsi" w:hAnsiTheme="majorHAnsi"/>
          <w:sz w:val="18"/>
          <w:szCs w:val="20"/>
        </w:rPr>
        <w:t>JULY 21, 2015</w:t>
      </w:r>
    </w:p>
    <w:p w:rsidR="006E09B7" w:rsidRPr="0004208D" w:rsidRDefault="006E09B7" w:rsidP="00F03820">
      <w:pPr>
        <w:tabs>
          <w:tab w:val="center" w:pos="5400"/>
        </w:tabs>
        <w:suppressAutoHyphens/>
        <w:jc w:val="center"/>
        <w:rPr>
          <w:rFonts w:asciiTheme="majorHAnsi" w:hAnsiTheme="majorHAnsi"/>
          <w:sz w:val="18"/>
          <w:szCs w:val="20"/>
        </w:rPr>
      </w:pPr>
    </w:p>
    <w:p w:rsidR="009B2357" w:rsidRDefault="009B2357" w:rsidP="00F03820">
      <w:pPr>
        <w:tabs>
          <w:tab w:val="center" w:pos="5400"/>
        </w:tabs>
        <w:suppressAutoHyphens/>
        <w:spacing w:after="120"/>
        <w:jc w:val="center"/>
        <w:rPr>
          <w:rFonts w:asciiTheme="majorHAnsi" w:hAnsiTheme="majorHAnsi"/>
          <w:sz w:val="20"/>
          <w:szCs w:val="20"/>
        </w:rPr>
      </w:pPr>
    </w:p>
    <w:p w:rsidR="00101F29" w:rsidRPr="0004208D" w:rsidRDefault="00E4542F" w:rsidP="006905E2">
      <w:pPr>
        <w:pStyle w:val="Heading1"/>
        <w:numPr>
          <w:ilvl w:val="0"/>
          <w:numId w:val="58"/>
        </w:numPr>
        <w:spacing w:before="0"/>
        <w:rPr>
          <w:color w:val="000000" w:themeColor="text1"/>
          <w:sz w:val="20"/>
          <w:szCs w:val="20"/>
        </w:rPr>
      </w:pPr>
      <w:r w:rsidRPr="0004208D">
        <w:rPr>
          <w:color w:val="000000" w:themeColor="text1"/>
          <w:sz w:val="20"/>
          <w:szCs w:val="20"/>
        </w:rPr>
        <w:t>SUMMARY</w:t>
      </w:r>
    </w:p>
    <w:p w:rsidR="006905E2" w:rsidRPr="0004208D" w:rsidRDefault="006905E2" w:rsidP="006905E2">
      <w:pPr>
        <w:rPr>
          <w:color w:val="000000" w:themeColor="text1"/>
        </w:rPr>
      </w:pPr>
    </w:p>
    <w:p w:rsidR="00920706" w:rsidRPr="0004208D" w:rsidRDefault="00E4542F"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color w:val="000000" w:themeColor="text1"/>
          <w:sz w:val="20"/>
          <w:szCs w:val="20"/>
        </w:rPr>
      </w:pPr>
      <w:r w:rsidRPr="0004208D">
        <w:rPr>
          <w:rFonts w:asciiTheme="majorHAnsi" w:hAnsiTheme="majorHAnsi"/>
          <w:color w:val="000000" w:themeColor="text1"/>
          <w:sz w:val="20"/>
          <w:szCs w:val="20"/>
        </w:rPr>
        <w:t xml:space="preserve">On October 28, </w:t>
      </w:r>
      <w:r w:rsidR="00101F29" w:rsidRPr="0004208D">
        <w:rPr>
          <w:rFonts w:asciiTheme="majorHAnsi" w:hAnsiTheme="majorHAnsi"/>
          <w:color w:val="000000" w:themeColor="text1"/>
          <w:sz w:val="20"/>
          <w:szCs w:val="20"/>
        </w:rPr>
        <w:t>200</w:t>
      </w:r>
      <w:r w:rsidR="00751022" w:rsidRPr="0004208D">
        <w:rPr>
          <w:rFonts w:asciiTheme="majorHAnsi" w:hAnsiTheme="majorHAnsi"/>
          <w:color w:val="000000" w:themeColor="text1"/>
          <w:sz w:val="20"/>
          <w:szCs w:val="20"/>
        </w:rPr>
        <w:t>8</w:t>
      </w:r>
      <w:r w:rsidRPr="0004208D">
        <w:rPr>
          <w:rFonts w:asciiTheme="majorHAnsi" w:hAnsiTheme="majorHAnsi"/>
          <w:color w:val="000000" w:themeColor="text1"/>
          <w:sz w:val="20"/>
          <w:szCs w:val="20"/>
        </w:rPr>
        <w:t xml:space="preserve">, the Inter-American Commission on Human Rights (hereinafter also “the Inter-American Commission,” “the Commission,” or “the IACHR”) received a petition submitted by </w:t>
      </w:r>
      <w:r w:rsidR="00285D4F" w:rsidRPr="0004208D">
        <w:rPr>
          <w:rFonts w:asciiTheme="majorHAnsi" w:hAnsiTheme="majorHAnsi"/>
          <w:color w:val="000000" w:themeColor="text1"/>
          <w:sz w:val="20"/>
          <w:szCs w:val="20"/>
        </w:rPr>
        <w:t>Sandra Cecilia Pavez Pavez</w:t>
      </w:r>
      <w:r w:rsidR="004D1F7B"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hereinafter the “</w:t>
      </w:r>
      <w:r w:rsidR="00C57516" w:rsidRPr="0004208D">
        <w:rPr>
          <w:rFonts w:asciiTheme="majorHAnsi" w:hAnsiTheme="majorHAnsi"/>
          <w:color w:val="000000" w:themeColor="text1"/>
          <w:sz w:val="20"/>
          <w:szCs w:val="20"/>
        </w:rPr>
        <w:t xml:space="preserve">the </w:t>
      </w:r>
      <w:r w:rsidRPr="0004208D">
        <w:rPr>
          <w:rFonts w:asciiTheme="majorHAnsi" w:hAnsiTheme="majorHAnsi"/>
          <w:color w:val="000000" w:themeColor="text1"/>
          <w:sz w:val="20"/>
          <w:szCs w:val="20"/>
        </w:rPr>
        <w:t>alleged victim”), by</w:t>
      </w:r>
      <w:r w:rsidR="00BC6D51" w:rsidRPr="0004208D">
        <w:rPr>
          <w:rFonts w:asciiTheme="majorHAnsi" w:hAnsiTheme="majorHAnsi"/>
          <w:color w:val="000000" w:themeColor="text1"/>
          <w:sz w:val="20"/>
          <w:szCs w:val="20"/>
        </w:rPr>
        <w:t xml:space="preserve"> Rolando Paul Jiménez Pérez, </w:t>
      </w:r>
      <w:r w:rsidRPr="0004208D">
        <w:rPr>
          <w:rFonts w:asciiTheme="majorHAnsi" w:hAnsiTheme="majorHAnsi"/>
          <w:color w:val="000000" w:themeColor="text1"/>
          <w:sz w:val="20"/>
          <w:szCs w:val="20"/>
        </w:rPr>
        <w:t>legal representative of the Movimiento</w:t>
      </w:r>
      <w:r w:rsidR="004D1F7B" w:rsidRPr="0004208D">
        <w:rPr>
          <w:rFonts w:asciiTheme="majorHAnsi" w:hAnsiTheme="majorHAnsi"/>
          <w:color w:val="000000" w:themeColor="text1"/>
          <w:sz w:val="20"/>
          <w:szCs w:val="20"/>
        </w:rPr>
        <w:t xml:space="preserve"> de Integración y Liberación Homosexual</w:t>
      </w:r>
      <w:r w:rsidRPr="0004208D">
        <w:rPr>
          <w:rFonts w:asciiTheme="majorHAnsi" w:hAnsiTheme="majorHAnsi"/>
          <w:color w:val="000000" w:themeColor="text1"/>
          <w:sz w:val="20"/>
          <w:szCs w:val="20"/>
        </w:rPr>
        <w:t xml:space="preserve"> </w:t>
      </w:r>
      <w:r w:rsidR="00C57516" w:rsidRPr="0004208D">
        <w:rPr>
          <w:rFonts w:asciiTheme="majorHAnsi" w:hAnsiTheme="majorHAnsi"/>
          <w:color w:val="000000" w:themeColor="text1"/>
          <w:sz w:val="20"/>
          <w:szCs w:val="20"/>
        </w:rPr>
        <w:t>(</w:t>
      </w:r>
      <w:r w:rsidR="00920706" w:rsidRPr="0004208D">
        <w:rPr>
          <w:rFonts w:asciiTheme="majorHAnsi" w:hAnsiTheme="majorHAnsi"/>
          <w:color w:val="000000" w:themeColor="text1"/>
          <w:sz w:val="20"/>
          <w:szCs w:val="20"/>
        </w:rPr>
        <w:t>MOVILH)</w:t>
      </w:r>
      <w:r w:rsidR="00C57516" w:rsidRPr="0004208D">
        <w:rPr>
          <w:rFonts w:asciiTheme="majorHAnsi" w:hAnsiTheme="majorHAnsi"/>
          <w:color w:val="000000" w:themeColor="text1"/>
          <w:sz w:val="20"/>
          <w:szCs w:val="20"/>
        </w:rPr>
        <w:t>,</w:t>
      </w:r>
      <w:r w:rsidR="004D1F7B"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and </w:t>
      </w:r>
      <w:r w:rsidR="00285D4F" w:rsidRPr="0004208D">
        <w:rPr>
          <w:rFonts w:asciiTheme="majorHAnsi" w:hAnsiTheme="majorHAnsi"/>
          <w:color w:val="000000" w:themeColor="text1"/>
          <w:sz w:val="20"/>
          <w:szCs w:val="20"/>
        </w:rPr>
        <w:t xml:space="preserve">Alfredo Morgado </w:t>
      </w:r>
      <w:r w:rsidR="00101F29" w:rsidRPr="0004208D">
        <w:rPr>
          <w:rFonts w:asciiTheme="majorHAnsi" w:hAnsiTheme="majorHAnsi"/>
          <w:color w:val="000000" w:themeColor="text1"/>
          <w:sz w:val="20"/>
          <w:szCs w:val="20"/>
        </w:rPr>
        <w:t>(</w:t>
      </w:r>
      <w:r w:rsidRPr="0004208D">
        <w:rPr>
          <w:rFonts w:asciiTheme="majorHAnsi" w:hAnsiTheme="majorHAnsi"/>
          <w:color w:val="000000" w:themeColor="text1"/>
          <w:sz w:val="20"/>
          <w:szCs w:val="20"/>
        </w:rPr>
        <w:t>hereinafter also “the petitioners”) alleging responsibility on the part of the Republic of Chile</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hereinafter “Chile,” “the State,” or “the Chilean State”) for an alleged violation of their right not to endure </w:t>
      </w:r>
      <w:r w:rsidR="008F497A" w:rsidRPr="0004208D">
        <w:rPr>
          <w:rFonts w:asciiTheme="majorHAnsi" w:hAnsiTheme="majorHAnsi"/>
          <w:color w:val="000000" w:themeColor="text1"/>
          <w:sz w:val="20"/>
          <w:szCs w:val="20"/>
        </w:rPr>
        <w:t>arbitrary interference in their private life, as established in Article</w:t>
      </w:r>
      <w:r w:rsidR="00882B95" w:rsidRPr="0004208D">
        <w:rPr>
          <w:rFonts w:asciiTheme="majorHAnsi" w:hAnsiTheme="majorHAnsi"/>
          <w:color w:val="000000" w:themeColor="text1"/>
          <w:sz w:val="20"/>
          <w:szCs w:val="20"/>
        </w:rPr>
        <w:t xml:space="preserve"> 11</w:t>
      </w:r>
      <w:r w:rsidR="006C60B0" w:rsidRPr="0004208D">
        <w:rPr>
          <w:rFonts w:asciiTheme="majorHAnsi" w:hAnsiTheme="majorHAnsi"/>
          <w:color w:val="000000" w:themeColor="text1"/>
          <w:sz w:val="20"/>
          <w:szCs w:val="20"/>
        </w:rPr>
        <w:t xml:space="preserve"> </w:t>
      </w:r>
      <w:r w:rsidR="008F497A" w:rsidRPr="0004208D">
        <w:rPr>
          <w:rFonts w:asciiTheme="majorHAnsi" w:hAnsiTheme="majorHAnsi"/>
          <w:color w:val="000000" w:themeColor="text1"/>
          <w:sz w:val="20"/>
          <w:szCs w:val="20"/>
        </w:rPr>
        <w:t>of the American Convention on Human Rights (hereinafter also “the American Convention” or “the Convention”) and their right to equality before the law, established in Article</w:t>
      </w:r>
      <w:r w:rsidR="00882B95" w:rsidRPr="0004208D">
        <w:rPr>
          <w:rFonts w:asciiTheme="majorHAnsi" w:hAnsiTheme="majorHAnsi"/>
          <w:color w:val="000000" w:themeColor="text1"/>
          <w:sz w:val="20"/>
          <w:szCs w:val="20"/>
        </w:rPr>
        <w:t xml:space="preserve"> 24 </w:t>
      </w:r>
      <w:r w:rsidR="008F497A" w:rsidRPr="0004208D">
        <w:rPr>
          <w:rFonts w:asciiTheme="majorHAnsi" w:hAnsiTheme="majorHAnsi"/>
          <w:color w:val="000000" w:themeColor="text1"/>
          <w:sz w:val="20"/>
          <w:szCs w:val="20"/>
        </w:rPr>
        <w:t>of the Convention, both in connection with Article</w:t>
      </w:r>
      <w:r w:rsidR="006C60B0" w:rsidRPr="0004208D">
        <w:rPr>
          <w:rFonts w:asciiTheme="majorHAnsi" w:hAnsiTheme="majorHAnsi"/>
          <w:color w:val="000000" w:themeColor="text1"/>
          <w:sz w:val="20"/>
          <w:szCs w:val="20"/>
        </w:rPr>
        <w:t xml:space="preserve"> 1.1 </w:t>
      </w:r>
      <w:r w:rsidR="003A1AF6" w:rsidRPr="0004208D">
        <w:rPr>
          <w:rFonts w:asciiTheme="majorHAnsi" w:hAnsiTheme="majorHAnsi"/>
          <w:color w:val="000000" w:themeColor="text1"/>
          <w:sz w:val="20"/>
          <w:szCs w:val="20"/>
        </w:rPr>
        <w:t>(</w:t>
      </w:r>
      <w:r w:rsidR="008F497A" w:rsidRPr="0004208D">
        <w:rPr>
          <w:rFonts w:asciiTheme="majorHAnsi" w:hAnsiTheme="majorHAnsi"/>
          <w:color w:val="000000" w:themeColor="text1"/>
          <w:sz w:val="20"/>
          <w:szCs w:val="20"/>
        </w:rPr>
        <w:t>Obligation to Respect Rights</w:t>
      </w:r>
      <w:r w:rsidR="003A1AF6" w:rsidRPr="0004208D">
        <w:rPr>
          <w:rFonts w:asciiTheme="majorHAnsi" w:hAnsiTheme="majorHAnsi"/>
          <w:color w:val="000000" w:themeColor="text1"/>
          <w:sz w:val="20"/>
          <w:szCs w:val="20"/>
        </w:rPr>
        <w:t>)</w:t>
      </w:r>
      <w:r w:rsidR="008464A4" w:rsidRPr="0004208D">
        <w:rPr>
          <w:rFonts w:asciiTheme="majorHAnsi" w:hAnsiTheme="majorHAnsi"/>
          <w:color w:val="000000" w:themeColor="text1"/>
          <w:sz w:val="20"/>
          <w:szCs w:val="20"/>
        </w:rPr>
        <w:t xml:space="preserve"> </w:t>
      </w:r>
      <w:r w:rsidR="008F497A" w:rsidRPr="0004208D">
        <w:rPr>
          <w:rFonts w:asciiTheme="majorHAnsi" w:hAnsiTheme="majorHAnsi"/>
          <w:color w:val="000000" w:themeColor="text1"/>
          <w:sz w:val="20"/>
          <w:szCs w:val="20"/>
        </w:rPr>
        <w:t>of the same instrument</w:t>
      </w:r>
      <w:r w:rsidR="00882B95" w:rsidRPr="0004208D">
        <w:rPr>
          <w:rFonts w:asciiTheme="majorHAnsi" w:hAnsiTheme="majorHAnsi"/>
          <w:color w:val="000000" w:themeColor="text1"/>
          <w:sz w:val="20"/>
          <w:szCs w:val="20"/>
        </w:rPr>
        <w: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iCs/>
          <w:color w:val="000000" w:themeColor="text1"/>
          <w:sz w:val="20"/>
          <w:szCs w:val="20"/>
        </w:rPr>
      </w:pPr>
    </w:p>
    <w:p w:rsidR="00101F29" w:rsidRPr="0004208D" w:rsidRDefault="007A2C55"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color w:val="000000" w:themeColor="text1"/>
          <w:sz w:val="20"/>
          <w:szCs w:val="20"/>
        </w:rPr>
      </w:pPr>
      <w:r w:rsidRPr="0004208D">
        <w:rPr>
          <w:rFonts w:asciiTheme="majorHAnsi" w:hAnsiTheme="majorHAnsi" w:cs="Arial"/>
          <w:iCs/>
          <w:color w:val="000000" w:themeColor="text1"/>
          <w:sz w:val="20"/>
          <w:szCs w:val="20"/>
        </w:rPr>
        <w:t>For its part, the Chilean State</w:t>
      </w:r>
      <w:r w:rsidR="008F497A" w:rsidRPr="0004208D">
        <w:rPr>
          <w:rFonts w:asciiTheme="majorHAnsi" w:hAnsiTheme="majorHAnsi" w:cs="Arial"/>
          <w:iCs/>
          <w:color w:val="000000" w:themeColor="text1"/>
          <w:sz w:val="20"/>
          <w:szCs w:val="20"/>
        </w:rPr>
        <w:t xml:space="preserve"> indicated to this Commission that “</w:t>
      </w:r>
      <w:r w:rsidR="00CB43FA" w:rsidRPr="0004208D">
        <w:rPr>
          <w:rFonts w:asciiTheme="majorHAnsi" w:hAnsiTheme="majorHAnsi" w:cs="Arial"/>
          <w:iCs/>
          <w:color w:val="000000" w:themeColor="text1"/>
          <w:sz w:val="20"/>
          <w:szCs w:val="20"/>
        </w:rPr>
        <w:t>without prejudice to observations on the merits that the State may formulate in due time, it has no objections regarding the petitioners’ compliance with the formal requirements.”</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color w:val="000000" w:themeColor="text1"/>
          <w:sz w:val="20"/>
          <w:szCs w:val="20"/>
        </w:rPr>
      </w:pPr>
    </w:p>
    <w:p w:rsidR="00101F29" w:rsidRPr="0004208D" w:rsidRDefault="00CB43FA"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After examining the complaint in the light of the admissibility requirements provided in Articles </w:t>
      </w:r>
      <w:r w:rsidR="00101F29" w:rsidRPr="0004208D">
        <w:rPr>
          <w:rFonts w:asciiTheme="majorHAnsi" w:hAnsiTheme="majorHAnsi"/>
          <w:color w:val="000000" w:themeColor="text1"/>
          <w:sz w:val="20"/>
          <w:szCs w:val="20"/>
        </w:rPr>
        <w:t xml:space="preserve">46 </w:t>
      </w:r>
      <w:r w:rsidRPr="0004208D">
        <w:rPr>
          <w:rFonts w:asciiTheme="majorHAnsi" w:hAnsiTheme="majorHAnsi"/>
          <w:color w:val="000000" w:themeColor="text1"/>
          <w:sz w:val="20"/>
          <w:szCs w:val="20"/>
        </w:rPr>
        <w:t xml:space="preserve">and 47 of the Convention and given the State’s response, the Commission concluded that it is competent to hear the complaints submitted regarding the alleged violation of the rights established in Articles </w:t>
      </w:r>
      <w:r w:rsidR="00262BEF">
        <w:rPr>
          <w:rFonts w:asciiTheme="majorHAnsi" w:hAnsiTheme="majorHAnsi"/>
          <w:color w:val="000000" w:themeColor="text1"/>
          <w:sz w:val="20"/>
          <w:szCs w:val="20"/>
        </w:rPr>
        <w:t xml:space="preserve">8, </w:t>
      </w:r>
      <w:r w:rsidR="00EE71BC" w:rsidRPr="0004208D">
        <w:rPr>
          <w:rFonts w:asciiTheme="majorHAnsi" w:hAnsiTheme="majorHAnsi"/>
          <w:color w:val="000000" w:themeColor="text1"/>
          <w:sz w:val="20"/>
          <w:szCs w:val="20"/>
        </w:rPr>
        <w:t>11</w:t>
      </w:r>
      <w:r w:rsidR="009B2357" w:rsidRPr="0004208D">
        <w:rPr>
          <w:rFonts w:asciiTheme="majorHAnsi" w:hAnsiTheme="majorHAnsi"/>
          <w:color w:val="000000" w:themeColor="text1"/>
          <w:sz w:val="20"/>
          <w:szCs w:val="20"/>
        </w:rPr>
        <w:t>,</w:t>
      </w:r>
      <w:r w:rsidR="00EE71BC" w:rsidRPr="0004208D">
        <w:rPr>
          <w:rFonts w:asciiTheme="majorHAnsi" w:hAnsiTheme="majorHAnsi"/>
          <w:color w:val="000000" w:themeColor="text1"/>
          <w:sz w:val="20"/>
          <w:szCs w:val="20"/>
        </w:rPr>
        <w:t xml:space="preserve"> 24</w:t>
      </w:r>
      <w:r w:rsidRPr="0004208D">
        <w:rPr>
          <w:rFonts w:asciiTheme="majorHAnsi" w:hAnsiTheme="majorHAnsi"/>
          <w:color w:val="000000" w:themeColor="text1"/>
          <w:sz w:val="20"/>
          <w:szCs w:val="20"/>
        </w:rPr>
        <w:t>, and</w:t>
      </w:r>
      <w:r w:rsidR="00280A03" w:rsidRPr="0004208D">
        <w:rPr>
          <w:rFonts w:asciiTheme="majorHAnsi" w:hAnsiTheme="majorHAnsi"/>
          <w:color w:val="000000" w:themeColor="text1"/>
          <w:sz w:val="20"/>
          <w:szCs w:val="20"/>
        </w:rPr>
        <w:t xml:space="preserve"> </w:t>
      </w:r>
      <w:r w:rsidR="009B2357" w:rsidRPr="0004208D">
        <w:rPr>
          <w:rFonts w:asciiTheme="majorHAnsi" w:hAnsiTheme="majorHAnsi"/>
          <w:color w:val="000000" w:themeColor="text1"/>
          <w:sz w:val="20"/>
          <w:szCs w:val="20"/>
        </w:rPr>
        <w:t xml:space="preserve">25 </w:t>
      </w:r>
      <w:r w:rsidRPr="0004208D">
        <w:rPr>
          <w:rFonts w:asciiTheme="majorHAnsi" w:hAnsiTheme="majorHAnsi"/>
          <w:color w:val="000000" w:themeColor="text1"/>
          <w:sz w:val="20"/>
          <w:szCs w:val="20"/>
        </w:rPr>
        <w:t xml:space="preserve">of the American Convention in connection with Articles </w:t>
      </w:r>
      <w:r w:rsidR="00101F29" w:rsidRPr="0004208D">
        <w:rPr>
          <w:rFonts w:asciiTheme="majorHAnsi" w:hAnsiTheme="majorHAnsi"/>
          <w:color w:val="000000" w:themeColor="text1"/>
          <w:sz w:val="20"/>
          <w:szCs w:val="20"/>
        </w:rPr>
        <w:t>1.1</w:t>
      </w:r>
      <w:r w:rsidR="0023487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and</w:t>
      </w:r>
      <w:r w:rsidR="00234879" w:rsidRPr="0004208D">
        <w:rPr>
          <w:rFonts w:asciiTheme="majorHAnsi" w:hAnsiTheme="majorHAnsi"/>
          <w:color w:val="000000" w:themeColor="text1"/>
          <w:sz w:val="20"/>
          <w:szCs w:val="20"/>
        </w:rPr>
        <w:t xml:space="preserve"> 2</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thereof. In addition, the Commission decided to inform the parties of this report, to make it public, and include it in its Annual Report to the General Assembly of the OAS</w:t>
      </w:r>
      <w:r w:rsidR="00101F29" w:rsidRPr="0004208D">
        <w:rPr>
          <w:rFonts w:asciiTheme="majorHAnsi" w:hAnsiTheme="majorHAnsi"/>
          <w:color w:val="000000" w:themeColor="text1"/>
          <w:sz w:val="20"/>
          <w:szCs w:val="20"/>
        </w:rPr>
        <w:t xml:space="preserve">. </w:t>
      </w:r>
    </w:p>
    <w:p w:rsidR="009B2357" w:rsidRPr="0004208D" w:rsidRDefault="009B2357"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101F29" w:rsidRPr="0004208D" w:rsidRDefault="00CB43FA" w:rsidP="006905E2">
      <w:pPr>
        <w:pStyle w:val="Heading1"/>
        <w:numPr>
          <w:ilvl w:val="0"/>
          <w:numId w:val="58"/>
        </w:numPr>
        <w:spacing w:before="0"/>
        <w:rPr>
          <w:color w:val="000000" w:themeColor="text1"/>
          <w:sz w:val="20"/>
          <w:szCs w:val="20"/>
        </w:rPr>
      </w:pPr>
      <w:r w:rsidRPr="0004208D">
        <w:rPr>
          <w:color w:val="000000" w:themeColor="text1"/>
          <w:sz w:val="20"/>
          <w:szCs w:val="20"/>
        </w:rPr>
        <w:t>PROCESSING BY THE COMMISSION</w:t>
      </w:r>
    </w:p>
    <w:p w:rsidR="006905E2" w:rsidRPr="0004208D" w:rsidRDefault="006905E2" w:rsidP="006905E2">
      <w:pPr>
        <w:pStyle w:val="ListParagraph"/>
        <w:ind w:left="1440"/>
        <w:rPr>
          <w:color w:val="000000" w:themeColor="text1"/>
        </w:rPr>
      </w:pPr>
    </w:p>
    <w:p w:rsidR="00D435C6" w:rsidRPr="0004208D" w:rsidRDefault="00CB43FA"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On October 28,</w:t>
      </w:r>
      <w:r w:rsidR="008E7ED9" w:rsidRPr="0004208D">
        <w:rPr>
          <w:rFonts w:asciiTheme="majorHAnsi" w:hAnsiTheme="majorHAnsi"/>
          <w:color w:val="000000" w:themeColor="text1"/>
          <w:sz w:val="20"/>
          <w:szCs w:val="20"/>
        </w:rPr>
        <w:t xml:space="preserve"> 2008</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the Commission received the initial petition, which was recorded under number</w:t>
      </w:r>
      <w:r w:rsidR="00101F29" w:rsidRPr="0004208D">
        <w:rPr>
          <w:rFonts w:asciiTheme="majorHAnsi" w:hAnsiTheme="majorHAnsi"/>
          <w:color w:val="000000" w:themeColor="text1"/>
          <w:sz w:val="20"/>
          <w:szCs w:val="20"/>
        </w:rPr>
        <w:t xml:space="preserve"> P</w:t>
      </w:r>
      <w:r w:rsidR="00EE71BC" w:rsidRPr="0004208D">
        <w:rPr>
          <w:rFonts w:asciiTheme="majorHAnsi" w:hAnsiTheme="majorHAnsi"/>
          <w:color w:val="000000" w:themeColor="text1"/>
          <w:sz w:val="20"/>
          <w:szCs w:val="20"/>
        </w:rPr>
        <w:t>-</w:t>
      </w:r>
      <w:r w:rsidR="008E7ED9" w:rsidRPr="0004208D">
        <w:rPr>
          <w:rFonts w:asciiTheme="majorHAnsi" w:hAnsiTheme="majorHAnsi"/>
          <w:color w:val="000000" w:themeColor="text1"/>
          <w:sz w:val="20"/>
          <w:szCs w:val="20"/>
        </w:rPr>
        <w:t>1263</w:t>
      </w:r>
      <w:r w:rsidR="00101F29" w:rsidRPr="0004208D">
        <w:rPr>
          <w:rFonts w:asciiTheme="majorHAnsi" w:hAnsiTheme="majorHAnsi"/>
          <w:color w:val="000000" w:themeColor="text1"/>
          <w:sz w:val="20"/>
          <w:szCs w:val="20"/>
        </w:rPr>
        <w:t>-0</w:t>
      </w:r>
      <w:r w:rsidR="008E7ED9" w:rsidRPr="0004208D">
        <w:rPr>
          <w:rFonts w:asciiTheme="majorHAnsi" w:hAnsiTheme="majorHAnsi"/>
          <w:color w:val="000000" w:themeColor="text1"/>
          <w:sz w:val="20"/>
          <w:szCs w:val="20"/>
        </w:rPr>
        <w:t>8</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On October 24, </w:t>
      </w:r>
      <w:r w:rsidR="00101F29" w:rsidRPr="0004208D">
        <w:rPr>
          <w:rFonts w:asciiTheme="majorHAnsi" w:hAnsiTheme="majorHAnsi"/>
          <w:color w:val="000000" w:themeColor="text1"/>
          <w:sz w:val="20"/>
          <w:szCs w:val="20"/>
        </w:rPr>
        <w:t>20</w:t>
      </w:r>
      <w:r w:rsidR="008E7ED9" w:rsidRPr="0004208D">
        <w:rPr>
          <w:rFonts w:asciiTheme="majorHAnsi" w:hAnsiTheme="majorHAnsi"/>
          <w:color w:val="000000" w:themeColor="text1"/>
          <w:sz w:val="20"/>
          <w:szCs w:val="20"/>
        </w:rPr>
        <w:t>12</w:t>
      </w:r>
      <w:r w:rsidR="00101F29" w:rsidRPr="0004208D">
        <w:rPr>
          <w:rFonts w:asciiTheme="majorHAnsi" w:hAnsiTheme="majorHAnsi"/>
          <w:color w:val="000000" w:themeColor="text1"/>
          <w:sz w:val="20"/>
          <w:szCs w:val="20"/>
        </w:rPr>
        <w:t>,</w:t>
      </w:r>
      <w:r w:rsidR="008E7ED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the Commission asked the petitioners to provide additional information, which was received on July 10,</w:t>
      </w:r>
      <w:r w:rsidR="00D435C6" w:rsidRPr="0004208D">
        <w:rPr>
          <w:rFonts w:asciiTheme="majorHAnsi" w:hAnsiTheme="majorHAnsi"/>
          <w:color w:val="000000" w:themeColor="text1"/>
          <w:sz w:val="20"/>
          <w:szCs w:val="20"/>
        </w:rPr>
        <w:t xml:space="preserve"> 2013</w:t>
      </w:r>
      <w:r w:rsidR="00124908" w:rsidRPr="0004208D">
        <w:rPr>
          <w:rFonts w:asciiTheme="majorHAnsi" w:hAnsiTheme="majorHAnsi"/>
          <w:color w:val="000000" w:themeColor="text1"/>
          <w:sz w:val="20"/>
          <w:szCs w:val="20"/>
        </w:rPr>
        <w:t>.</w:t>
      </w:r>
      <w:r w:rsidR="00D435C6" w:rsidRPr="0004208D">
        <w:rPr>
          <w:rFonts w:asciiTheme="majorHAnsi" w:hAnsiTheme="majorHAnsi"/>
          <w:color w:val="000000" w:themeColor="text1"/>
          <w:sz w:val="20"/>
          <w:szCs w:val="20"/>
        </w:rPr>
        <w:t xml:space="preserve"> </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101F29" w:rsidRPr="0004208D" w:rsidRDefault="00CB43FA"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On October 10,</w:t>
      </w:r>
      <w:r w:rsidR="00101F29" w:rsidRPr="0004208D">
        <w:rPr>
          <w:rFonts w:asciiTheme="majorHAnsi" w:hAnsiTheme="majorHAnsi"/>
          <w:color w:val="000000" w:themeColor="text1"/>
          <w:sz w:val="20"/>
          <w:szCs w:val="20"/>
        </w:rPr>
        <w:t xml:space="preserve"> 2013, </w:t>
      </w:r>
      <w:r w:rsidRPr="0004208D">
        <w:rPr>
          <w:rFonts w:asciiTheme="majorHAnsi" w:hAnsiTheme="majorHAnsi"/>
          <w:color w:val="000000" w:themeColor="text1"/>
          <w:sz w:val="20"/>
          <w:szCs w:val="20"/>
        </w:rPr>
        <w:t>after completing the preliminary review of the petition, the Commission proceeded to forward the relevant sections of the petition to the Chilean State, allowing it a period of three months to submit its observations, in accordance with Article</w:t>
      </w:r>
      <w:r w:rsidR="00101F29" w:rsidRPr="0004208D">
        <w:rPr>
          <w:rFonts w:asciiTheme="majorHAnsi" w:hAnsiTheme="majorHAnsi"/>
          <w:color w:val="000000" w:themeColor="text1"/>
          <w:sz w:val="20"/>
          <w:szCs w:val="20"/>
        </w:rPr>
        <w:t xml:space="preserve"> 30(</w:t>
      </w:r>
      <w:r w:rsidR="00C323C3" w:rsidRPr="0004208D">
        <w:rPr>
          <w:rFonts w:asciiTheme="majorHAnsi" w:hAnsiTheme="majorHAnsi"/>
          <w:color w:val="000000" w:themeColor="text1"/>
          <w:sz w:val="20"/>
          <w:szCs w:val="20"/>
        </w:rPr>
        <w:t>3</w:t>
      </w:r>
      <w:r w:rsidR="00101F29" w:rsidRPr="0004208D">
        <w:rPr>
          <w:rFonts w:asciiTheme="majorHAnsi" w:hAnsiTheme="majorHAnsi"/>
          <w:color w:val="000000" w:themeColor="text1"/>
          <w:sz w:val="20"/>
          <w:szCs w:val="20"/>
        </w:rPr>
        <w:t xml:space="preserve">) </w:t>
      </w:r>
      <w:r w:rsidR="00A8393E" w:rsidRPr="0004208D">
        <w:rPr>
          <w:rFonts w:asciiTheme="majorHAnsi" w:hAnsiTheme="majorHAnsi"/>
          <w:color w:val="000000" w:themeColor="text1"/>
          <w:sz w:val="20"/>
          <w:szCs w:val="20"/>
        </w:rPr>
        <w:t>of the Commission’s Rules of Procedure</w:t>
      </w:r>
      <w:r w:rsidR="00101F29" w:rsidRPr="0004208D">
        <w:rPr>
          <w:rFonts w:asciiTheme="majorHAnsi" w:hAnsiTheme="majorHAnsi"/>
          <w:color w:val="000000" w:themeColor="text1"/>
          <w:sz w:val="20"/>
          <w:szCs w:val="20"/>
        </w:rPr>
        <w:t xml:space="preserve">. </w:t>
      </w:r>
      <w:r w:rsidR="00A8393E" w:rsidRPr="0004208D">
        <w:rPr>
          <w:rFonts w:asciiTheme="majorHAnsi" w:hAnsiTheme="majorHAnsi"/>
          <w:color w:val="000000" w:themeColor="text1"/>
          <w:sz w:val="20"/>
          <w:szCs w:val="20"/>
        </w:rPr>
        <w:t xml:space="preserve">On January 17, </w:t>
      </w:r>
      <w:r w:rsidR="00101F29" w:rsidRPr="0004208D">
        <w:rPr>
          <w:rFonts w:asciiTheme="majorHAnsi" w:hAnsiTheme="majorHAnsi"/>
          <w:color w:val="000000" w:themeColor="text1"/>
          <w:sz w:val="20"/>
          <w:szCs w:val="20"/>
        </w:rPr>
        <w:t>201</w:t>
      </w:r>
      <w:r w:rsidR="00151384" w:rsidRPr="0004208D">
        <w:rPr>
          <w:rFonts w:asciiTheme="majorHAnsi" w:hAnsiTheme="majorHAnsi"/>
          <w:color w:val="000000" w:themeColor="text1"/>
          <w:sz w:val="20"/>
          <w:szCs w:val="20"/>
        </w:rPr>
        <w:t>4</w:t>
      </w:r>
      <w:r w:rsidR="00101F29" w:rsidRPr="0004208D">
        <w:rPr>
          <w:rFonts w:asciiTheme="majorHAnsi" w:hAnsiTheme="majorHAnsi"/>
          <w:color w:val="000000" w:themeColor="text1"/>
          <w:sz w:val="20"/>
          <w:szCs w:val="20"/>
        </w:rPr>
        <w:t xml:space="preserve"> </w:t>
      </w:r>
      <w:r w:rsidR="00A8393E" w:rsidRPr="0004208D">
        <w:rPr>
          <w:rFonts w:asciiTheme="majorHAnsi" w:hAnsiTheme="majorHAnsi"/>
          <w:color w:val="000000" w:themeColor="text1"/>
          <w:sz w:val="20"/>
          <w:szCs w:val="20"/>
        </w:rPr>
        <w:t>the State requested an extension. On June 4,</w:t>
      </w:r>
      <w:r w:rsidR="00151384" w:rsidRPr="0004208D">
        <w:rPr>
          <w:rFonts w:asciiTheme="majorHAnsi" w:hAnsiTheme="majorHAnsi"/>
          <w:color w:val="000000" w:themeColor="text1"/>
          <w:sz w:val="20"/>
          <w:szCs w:val="20"/>
        </w:rPr>
        <w:t xml:space="preserve"> 2014</w:t>
      </w:r>
      <w:r w:rsidR="00101F29" w:rsidRPr="0004208D">
        <w:rPr>
          <w:rFonts w:asciiTheme="majorHAnsi" w:hAnsiTheme="majorHAnsi"/>
          <w:color w:val="000000" w:themeColor="text1"/>
          <w:sz w:val="20"/>
          <w:szCs w:val="20"/>
        </w:rPr>
        <w:t xml:space="preserve">, </w:t>
      </w:r>
      <w:r w:rsidR="00A8393E" w:rsidRPr="0004208D">
        <w:rPr>
          <w:rFonts w:asciiTheme="majorHAnsi" w:hAnsiTheme="majorHAnsi"/>
          <w:color w:val="000000" w:themeColor="text1"/>
          <w:sz w:val="20"/>
          <w:szCs w:val="20"/>
        </w:rPr>
        <w:t>the Commission informed both parties that it had not granted the extension requested by the State, in accordance with the provisions of Article</w:t>
      </w:r>
      <w:r w:rsidR="00101F29" w:rsidRPr="0004208D">
        <w:rPr>
          <w:rFonts w:asciiTheme="majorHAnsi" w:hAnsiTheme="majorHAnsi"/>
          <w:color w:val="000000" w:themeColor="text1"/>
          <w:sz w:val="20"/>
          <w:szCs w:val="20"/>
        </w:rPr>
        <w:t xml:space="preserve"> 30(3) </w:t>
      </w:r>
      <w:r w:rsidR="00A8393E" w:rsidRPr="0004208D">
        <w:rPr>
          <w:rFonts w:asciiTheme="majorHAnsi" w:hAnsiTheme="majorHAnsi"/>
          <w:color w:val="000000" w:themeColor="text1"/>
          <w:sz w:val="20"/>
          <w:szCs w:val="20"/>
        </w:rPr>
        <w:t xml:space="preserve">of the Commission’s Rules of Procedure. On June 16, </w:t>
      </w:r>
      <w:r w:rsidR="00151384" w:rsidRPr="0004208D">
        <w:rPr>
          <w:rFonts w:asciiTheme="majorHAnsi" w:hAnsiTheme="majorHAnsi"/>
          <w:color w:val="000000" w:themeColor="text1"/>
          <w:sz w:val="20"/>
          <w:szCs w:val="20"/>
        </w:rPr>
        <w:t xml:space="preserve">2014, </w:t>
      </w:r>
      <w:r w:rsidR="00A8393E" w:rsidRPr="0004208D">
        <w:rPr>
          <w:rFonts w:asciiTheme="majorHAnsi" w:hAnsiTheme="majorHAnsi"/>
          <w:color w:val="000000" w:themeColor="text1"/>
          <w:sz w:val="20"/>
          <w:szCs w:val="20"/>
        </w:rPr>
        <w:t>the State submitted its response</w:t>
      </w:r>
      <w:r w:rsidR="00F75995" w:rsidRPr="0004208D">
        <w:rPr>
          <w:rFonts w:asciiTheme="majorHAnsi" w:hAnsiTheme="majorHAnsi"/>
          <w:color w:val="000000" w:themeColor="text1"/>
          <w:sz w:val="20"/>
          <w:szCs w:val="20"/>
        </w:rPr>
        <w: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9B2357" w:rsidRPr="0004208D" w:rsidRDefault="00A8393E"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Finally, on March 18, </w:t>
      </w:r>
      <w:r w:rsidR="00CB7A68" w:rsidRPr="0004208D">
        <w:rPr>
          <w:rFonts w:asciiTheme="majorHAnsi" w:hAnsiTheme="majorHAnsi"/>
          <w:color w:val="000000" w:themeColor="text1"/>
          <w:sz w:val="20"/>
          <w:szCs w:val="20"/>
        </w:rPr>
        <w:t>2015</w:t>
      </w:r>
      <w:r w:rsidR="00737EED" w:rsidRPr="0004208D">
        <w:rPr>
          <w:rFonts w:asciiTheme="majorHAnsi" w:hAnsiTheme="majorHAnsi"/>
          <w:color w:val="000000" w:themeColor="text1"/>
          <w:sz w:val="20"/>
          <w:szCs w:val="20"/>
        </w:rPr>
        <w:t>,</w:t>
      </w:r>
      <w:r w:rsidR="00CB7A68"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the</w:t>
      </w:r>
      <w:r w:rsidR="00CB7A68" w:rsidRPr="0004208D">
        <w:rPr>
          <w:rFonts w:asciiTheme="majorHAnsi" w:hAnsiTheme="majorHAnsi"/>
          <w:color w:val="000000" w:themeColor="text1"/>
          <w:sz w:val="20"/>
          <w:szCs w:val="20"/>
        </w:rPr>
        <w:t xml:space="preserve"> Alliance Defending Freedom</w:t>
      </w:r>
      <w:r w:rsidRPr="0004208D">
        <w:rPr>
          <w:rFonts w:asciiTheme="majorHAnsi" w:hAnsiTheme="majorHAnsi"/>
          <w:color w:val="000000" w:themeColor="text1"/>
          <w:sz w:val="20"/>
          <w:szCs w:val="20"/>
        </w:rPr>
        <w:t xml:space="preserve"> organization presented an “amicus curiae”</w:t>
      </w:r>
      <w:r w:rsidR="00520C3E" w:rsidRPr="0004208D">
        <w:rPr>
          <w:rFonts w:asciiTheme="majorHAnsi" w:hAnsiTheme="majorHAnsi"/>
          <w:color w:val="000000" w:themeColor="text1"/>
          <w:sz w:val="20"/>
          <w:szCs w:val="20"/>
        </w:rPr>
        <w:t xml:space="preserve"> brief in which it offers arguments intended to demonstrate that the rights of the alleged victim have not been violated in this case.</w:t>
      </w:r>
    </w:p>
    <w:p w:rsidR="00520C3E" w:rsidRPr="0004208D" w:rsidRDefault="00520C3E" w:rsidP="006905E2">
      <w:pPr>
        <w:rPr>
          <w:rFonts w:asciiTheme="majorHAnsi" w:eastAsiaTheme="majorEastAsia" w:hAnsiTheme="majorHAnsi" w:cstheme="majorBidi"/>
          <w:b/>
          <w:bCs/>
          <w:color w:val="000000" w:themeColor="text1"/>
          <w:sz w:val="20"/>
          <w:szCs w:val="20"/>
        </w:rPr>
      </w:pPr>
      <w:r w:rsidRPr="0004208D">
        <w:rPr>
          <w:color w:val="000000" w:themeColor="text1"/>
          <w:sz w:val="20"/>
          <w:szCs w:val="20"/>
        </w:rPr>
        <w:br w:type="page"/>
      </w:r>
    </w:p>
    <w:p w:rsidR="00101F29" w:rsidRPr="0004208D" w:rsidRDefault="00520C3E" w:rsidP="006905E2">
      <w:pPr>
        <w:pStyle w:val="Heading1"/>
        <w:numPr>
          <w:ilvl w:val="0"/>
          <w:numId w:val="58"/>
        </w:numPr>
        <w:spacing w:before="0"/>
        <w:rPr>
          <w:color w:val="000000" w:themeColor="text1"/>
          <w:sz w:val="20"/>
          <w:szCs w:val="20"/>
        </w:rPr>
      </w:pPr>
      <w:r w:rsidRPr="0004208D">
        <w:rPr>
          <w:color w:val="000000" w:themeColor="text1"/>
          <w:sz w:val="20"/>
          <w:szCs w:val="20"/>
        </w:rPr>
        <w:lastRenderedPageBreak/>
        <w:t>POSITION</w:t>
      </w:r>
      <w:r w:rsidR="00562739" w:rsidRPr="0004208D">
        <w:rPr>
          <w:color w:val="000000" w:themeColor="text1"/>
          <w:sz w:val="20"/>
          <w:szCs w:val="20"/>
        </w:rPr>
        <w:t>S</w:t>
      </w:r>
      <w:r w:rsidRPr="0004208D">
        <w:rPr>
          <w:color w:val="000000" w:themeColor="text1"/>
          <w:sz w:val="20"/>
          <w:szCs w:val="20"/>
        </w:rPr>
        <w:t xml:space="preserve"> OF THE PARTIES</w:t>
      </w:r>
    </w:p>
    <w:p w:rsidR="006905E2" w:rsidRPr="00EF3B7E" w:rsidRDefault="006905E2" w:rsidP="006905E2">
      <w:pPr>
        <w:pStyle w:val="ListParagraph"/>
        <w:ind w:left="1440"/>
        <w:rPr>
          <w:color w:val="000000" w:themeColor="text1"/>
        </w:rPr>
      </w:pPr>
    </w:p>
    <w:p w:rsidR="006905E2" w:rsidRPr="0004208D" w:rsidRDefault="00101F29" w:rsidP="006905E2">
      <w:pPr>
        <w:pStyle w:val="Heading1"/>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000000" w:themeColor="text1"/>
          <w:sz w:val="20"/>
          <w:szCs w:val="20"/>
        </w:rPr>
      </w:pPr>
      <w:r w:rsidRPr="0004208D">
        <w:rPr>
          <w:color w:val="000000" w:themeColor="text1"/>
          <w:sz w:val="20"/>
          <w:szCs w:val="20"/>
        </w:rPr>
        <w:t>Posi</w:t>
      </w:r>
      <w:r w:rsidR="00520C3E" w:rsidRPr="0004208D">
        <w:rPr>
          <w:color w:val="000000" w:themeColor="text1"/>
          <w:sz w:val="20"/>
          <w:szCs w:val="20"/>
        </w:rPr>
        <w:t>tion of the petitioners</w:t>
      </w:r>
    </w:p>
    <w:p w:rsidR="006905E2" w:rsidRPr="00EF3B7E" w:rsidRDefault="006905E2" w:rsidP="006905E2">
      <w:pPr>
        <w:rPr>
          <w:color w:val="000000" w:themeColor="text1"/>
        </w:rPr>
      </w:pPr>
    </w:p>
    <w:p w:rsidR="00226643" w:rsidRPr="0004208D" w:rsidRDefault="00520C3E"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According to the information provided by the petitioners, </w:t>
      </w:r>
      <w:r w:rsidR="002D09F3" w:rsidRPr="0004208D">
        <w:rPr>
          <w:rFonts w:asciiTheme="majorHAnsi" w:hAnsiTheme="majorHAnsi"/>
          <w:color w:val="000000" w:themeColor="text1"/>
          <w:sz w:val="20"/>
          <w:szCs w:val="20"/>
        </w:rPr>
        <w:t xml:space="preserve">Sandra Cecilia Pavez Pavez </w:t>
      </w:r>
      <w:r w:rsidR="00F41A32" w:rsidRPr="0004208D">
        <w:rPr>
          <w:rFonts w:asciiTheme="majorHAnsi" w:hAnsiTheme="majorHAnsi"/>
          <w:color w:val="000000" w:themeColor="text1"/>
          <w:sz w:val="20"/>
          <w:szCs w:val="20"/>
        </w:rPr>
        <w:t xml:space="preserve">is a religion teacher in general basic education and has served in that profession for more than 25 years, </w:t>
      </w:r>
      <w:r w:rsidR="00562739" w:rsidRPr="0004208D">
        <w:rPr>
          <w:rFonts w:asciiTheme="majorHAnsi" w:hAnsiTheme="majorHAnsi"/>
          <w:color w:val="000000" w:themeColor="text1"/>
          <w:sz w:val="20"/>
          <w:szCs w:val="20"/>
        </w:rPr>
        <w:t>meeting</w:t>
      </w:r>
      <w:r w:rsidR="00F41A32" w:rsidRPr="0004208D">
        <w:rPr>
          <w:rFonts w:asciiTheme="majorHAnsi" w:hAnsiTheme="majorHAnsi"/>
          <w:color w:val="000000" w:themeColor="text1"/>
          <w:sz w:val="20"/>
          <w:szCs w:val="20"/>
        </w:rPr>
        <w:t xml:space="preserve"> all academic and legal requirements </w:t>
      </w:r>
      <w:r w:rsidR="00562739" w:rsidRPr="0004208D">
        <w:rPr>
          <w:rFonts w:asciiTheme="majorHAnsi" w:hAnsiTheme="majorHAnsi"/>
          <w:color w:val="000000" w:themeColor="text1"/>
          <w:sz w:val="20"/>
          <w:szCs w:val="20"/>
        </w:rPr>
        <w:t>for</w:t>
      </w:r>
      <w:r w:rsidR="00F41A32" w:rsidRPr="0004208D">
        <w:rPr>
          <w:rFonts w:asciiTheme="majorHAnsi" w:hAnsiTheme="majorHAnsi"/>
          <w:color w:val="000000" w:themeColor="text1"/>
          <w:sz w:val="20"/>
          <w:szCs w:val="20"/>
        </w:rPr>
        <w:t xml:space="preserve"> the position, without having been the subject of reproach by her superiors</w:t>
      </w:r>
      <w:r w:rsidR="00365D73" w:rsidRPr="0004208D">
        <w:rPr>
          <w:rFonts w:asciiTheme="majorHAnsi" w:hAnsiTheme="majorHAnsi"/>
          <w:color w:val="000000" w:themeColor="text1"/>
          <w:sz w:val="20"/>
          <w:szCs w:val="20"/>
        </w:rPr>
        <w:t xml:space="preserve">. </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E07A93" w:rsidRPr="0004208D" w:rsidRDefault="00F41A32"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The petitioners explained that pursuant to Article </w:t>
      </w:r>
      <w:r w:rsidR="00226643" w:rsidRPr="0004208D">
        <w:rPr>
          <w:rFonts w:asciiTheme="majorHAnsi" w:hAnsiTheme="majorHAnsi"/>
          <w:color w:val="000000" w:themeColor="text1"/>
          <w:sz w:val="20"/>
          <w:szCs w:val="20"/>
        </w:rPr>
        <w:t xml:space="preserve">9 </w:t>
      </w:r>
      <w:r w:rsidR="00562739" w:rsidRPr="0004208D">
        <w:rPr>
          <w:rFonts w:asciiTheme="majorHAnsi" w:hAnsiTheme="majorHAnsi"/>
          <w:color w:val="000000" w:themeColor="text1"/>
          <w:sz w:val="20"/>
          <w:szCs w:val="20"/>
        </w:rPr>
        <w:t xml:space="preserve">of </w:t>
      </w:r>
      <w:r w:rsidRPr="0004208D">
        <w:rPr>
          <w:rFonts w:asciiTheme="majorHAnsi" w:hAnsiTheme="majorHAnsi"/>
          <w:color w:val="000000" w:themeColor="text1"/>
          <w:sz w:val="20"/>
          <w:szCs w:val="20"/>
        </w:rPr>
        <w:t>Decree</w:t>
      </w:r>
      <w:r w:rsidR="00226643" w:rsidRPr="0004208D">
        <w:rPr>
          <w:rFonts w:asciiTheme="majorHAnsi" w:hAnsiTheme="majorHAnsi"/>
          <w:color w:val="000000" w:themeColor="text1"/>
          <w:sz w:val="20"/>
          <w:szCs w:val="20"/>
        </w:rPr>
        <w:t xml:space="preserve"> 924 </w:t>
      </w:r>
      <w:r w:rsidRPr="0004208D">
        <w:rPr>
          <w:rFonts w:asciiTheme="majorHAnsi" w:hAnsiTheme="majorHAnsi"/>
          <w:color w:val="000000" w:themeColor="text1"/>
          <w:sz w:val="20"/>
          <w:szCs w:val="20"/>
        </w:rPr>
        <w:t>of</w:t>
      </w:r>
      <w:r w:rsidR="00226643" w:rsidRPr="0004208D">
        <w:rPr>
          <w:rFonts w:asciiTheme="majorHAnsi" w:hAnsiTheme="majorHAnsi"/>
          <w:color w:val="000000" w:themeColor="text1"/>
          <w:sz w:val="20"/>
          <w:szCs w:val="20"/>
        </w:rPr>
        <w:t xml:space="preserve"> 1984—</w:t>
      </w:r>
      <w:r w:rsidRPr="0004208D">
        <w:rPr>
          <w:rFonts w:asciiTheme="majorHAnsi" w:hAnsiTheme="majorHAnsi"/>
          <w:color w:val="000000" w:themeColor="text1"/>
          <w:sz w:val="20"/>
          <w:szCs w:val="20"/>
        </w:rPr>
        <w:t>governing religion classes in educational facilities</w:t>
      </w:r>
      <w:r w:rsidR="00226643" w:rsidRPr="0004208D">
        <w:rPr>
          <w:rFonts w:asciiTheme="majorHAnsi" w:hAnsiTheme="majorHAnsi"/>
          <w:color w:val="000000" w:themeColor="text1"/>
          <w:sz w:val="20"/>
          <w:szCs w:val="20"/>
        </w:rPr>
        <w:t>—</w:t>
      </w:r>
      <w:r w:rsidRPr="0004208D">
        <w:rPr>
          <w:rFonts w:asciiTheme="majorHAnsi" w:hAnsiTheme="majorHAnsi"/>
          <w:color w:val="000000" w:themeColor="text1"/>
          <w:sz w:val="20"/>
          <w:szCs w:val="20"/>
        </w:rPr>
        <w:t>in order to exercise their profession</w:t>
      </w:r>
      <w:r w:rsidR="00226643"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those who teach religion must have a certificate of suitability, which is granted by the religious authority corresponding to the faith whose teachings they impart, which is valid for as long as said authority does not revoke it.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226643" w:rsidRPr="0004208D" w:rsidRDefault="000E4690"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They then indicate that on July 25, </w:t>
      </w:r>
      <w:r w:rsidR="00E07A93" w:rsidRPr="0004208D">
        <w:rPr>
          <w:rFonts w:asciiTheme="majorHAnsi" w:hAnsiTheme="majorHAnsi"/>
          <w:color w:val="000000" w:themeColor="text1"/>
          <w:sz w:val="20"/>
          <w:szCs w:val="20"/>
        </w:rPr>
        <w:t xml:space="preserve">2007, </w:t>
      </w:r>
      <w:r w:rsidRPr="0004208D">
        <w:rPr>
          <w:rFonts w:asciiTheme="majorHAnsi" w:hAnsiTheme="majorHAnsi"/>
          <w:color w:val="000000" w:themeColor="text1"/>
          <w:sz w:val="20"/>
          <w:szCs w:val="20"/>
        </w:rPr>
        <w:t xml:space="preserve">the Vicar of Education of the diocese of </w:t>
      </w:r>
      <w:r w:rsidR="00E07A93" w:rsidRPr="0004208D">
        <w:rPr>
          <w:rFonts w:asciiTheme="majorHAnsi" w:hAnsiTheme="majorHAnsi"/>
          <w:color w:val="000000" w:themeColor="text1"/>
          <w:sz w:val="20"/>
          <w:szCs w:val="20"/>
        </w:rPr>
        <w:t>San Bernardo</w:t>
      </w:r>
      <w:r w:rsidR="00D7749C" w:rsidRPr="0004208D">
        <w:rPr>
          <w:rFonts w:asciiTheme="majorHAnsi" w:hAnsiTheme="majorHAnsi"/>
          <w:color w:val="000000" w:themeColor="text1"/>
          <w:sz w:val="20"/>
          <w:szCs w:val="20"/>
        </w:rPr>
        <w:t>, René Aguilera Colinier,</w:t>
      </w:r>
      <w:r w:rsidR="00E07A93"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informed the alleged victim in writing that he had decided to revoke her certificate of suitability, thus disqualifying her for teaching Catholicism in educational facilities </w:t>
      </w:r>
      <w:r w:rsidR="00562739" w:rsidRPr="0004208D">
        <w:rPr>
          <w:rFonts w:asciiTheme="majorHAnsi" w:hAnsiTheme="majorHAnsi"/>
          <w:color w:val="000000" w:themeColor="text1"/>
          <w:sz w:val="20"/>
          <w:szCs w:val="20"/>
        </w:rPr>
        <w:t>of</w:t>
      </w:r>
      <w:r w:rsidRPr="0004208D">
        <w:rPr>
          <w:rFonts w:asciiTheme="majorHAnsi" w:hAnsiTheme="majorHAnsi"/>
          <w:color w:val="000000" w:themeColor="text1"/>
          <w:sz w:val="20"/>
          <w:szCs w:val="20"/>
        </w:rPr>
        <w:t xml:space="preserve"> the diocese</w:t>
      </w:r>
      <w:r w:rsidR="00E07A93"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of </w:t>
      </w:r>
      <w:r w:rsidR="00E07A93" w:rsidRPr="0004208D">
        <w:rPr>
          <w:rFonts w:asciiTheme="majorHAnsi" w:hAnsiTheme="majorHAnsi"/>
          <w:color w:val="000000" w:themeColor="text1"/>
          <w:sz w:val="20"/>
          <w:szCs w:val="20"/>
        </w:rPr>
        <w:t xml:space="preserve">San Bernardo. </w:t>
      </w:r>
      <w:r w:rsidRPr="0004208D">
        <w:rPr>
          <w:rFonts w:asciiTheme="majorHAnsi" w:hAnsiTheme="majorHAnsi"/>
          <w:color w:val="000000" w:themeColor="text1"/>
          <w:sz w:val="20"/>
          <w:szCs w:val="20"/>
        </w:rPr>
        <w:t>In that communication, he indicated that his decision had been adopted “following the process analyzing the situation that [the alleged victim] already [knew about] and that [they had] discussed on various occasions and considering the Church’s provisions regarding the suitability necessary to teach Catholicism in educational facilities and current legal standards, as well as the provisions of canon law.</w:t>
      </w:r>
      <w:r w:rsidR="00E07A93" w:rsidRPr="0004208D">
        <w:rPr>
          <w:rFonts w:asciiTheme="majorHAnsi" w:hAnsiTheme="majorHAnsi"/>
          <w:color w:val="000000" w:themeColor="text1"/>
          <w:sz w:val="20"/>
          <w:szCs w:val="20"/>
        </w:rPr>
        <w:t>”</w:t>
      </w:r>
      <w:r w:rsidR="00070A51" w:rsidRPr="0004208D">
        <w:rPr>
          <w:rFonts w:asciiTheme="majorHAnsi" w:hAnsiTheme="majorHAnsi"/>
          <w:color w:val="000000" w:themeColor="text1"/>
          <w:sz w:val="20"/>
          <w:szCs w:val="20"/>
        </w:rPr>
        <w:t xml:space="preserve"> </w:t>
      </w:r>
      <w:r w:rsidR="00A45FED" w:rsidRPr="0004208D">
        <w:rPr>
          <w:rFonts w:asciiTheme="majorHAnsi" w:hAnsiTheme="majorHAnsi"/>
          <w:color w:val="000000" w:themeColor="text1"/>
          <w:sz w:val="20"/>
          <w:szCs w:val="20"/>
        </w:rPr>
        <w:t>C</w:t>
      </w:r>
      <w:r w:rsidRPr="0004208D">
        <w:rPr>
          <w:rFonts w:asciiTheme="majorHAnsi" w:hAnsiTheme="majorHAnsi"/>
          <w:color w:val="000000" w:themeColor="text1"/>
          <w:sz w:val="20"/>
          <w:szCs w:val="20"/>
        </w:rPr>
        <w:t xml:space="preserve">opies of that communication had been submitted to the mayor of </w:t>
      </w:r>
      <w:r w:rsidR="00070A51" w:rsidRPr="0004208D">
        <w:rPr>
          <w:rFonts w:asciiTheme="majorHAnsi" w:hAnsiTheme="majorHAnsi"/>
          <w:color w:val="000000" w:themeColor="text1"/>
          <w:sz w:val="20"/>
          <w:szCs w:val="20"/>
        </w:rPr>
        <w:t xml:space="preserve">San Bernardo </w:t>
      </w:r>
      <w:r w:rsidRPr="0004208D">
        <w:rPr>
          <w:rFonts w:asciiTheme="majorHAnsi" w:hAnsiTheme="majorHAnsi"/>
          <w:color w:val="000000" w:themeColor="text1"/>
          <w:sz w:val="20"/>
          <w:szCs w:val="20"/>
        </w:rPr>
        <w:t>and the director of that municipality’s corporation for education and health</w:t>
      </w:r>
      <w:r w:rsidR="00070A51" w:rsidRPr="0004208D">
        <w:rPr>
          <w:rFonts w:asciiTheme="majorHAnsi" w:hAnsiTheme="majorHAnsi"/>
          <w:color w:val="000000" w:themeColor="text1"/>
          <w:sz w:val="20"/>
          <w:szCs w:val="20"/>
        </w:rPr>
        <w: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C943B8" w:rsidRPr="0004208D" w:rsidRDefault="000E4690"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The petitioners also explained that by </w:t>
      </w:r>
      <w:r w:rsidR="00562739" w:rsidRPr="0004208D">
        <w:rPr>
          <w:rFonts w:asciiTheme="majorHAnsi" w:hAnsiTheme="majorHAnsi"/>
          <w:color w:val="000000" w:themeColor="text1"/>
          <w:sz w:val="20"/>
          <w:szCs w:val="20"/>
        </w:rPr>
        <w:t>referring</w:t>
      </w:r>
      <w:r w:rsidRPr="0004208D">
        <w:rPr>
          <w:rFonts w:asciiTheme="majorHAnsi" w:hAnsiTheme="majorHAnsi"/>
          <w:color w:val="000000" w:themeColor="text1"/>
          <w:sz w:val="20"/>
          <w:szCs w:val="20"/>
        </w:rPr>
        <w:t xml:space="preserve"> to the “situation that [the alleged victim] already [knew about] and that [they had] discussed on various occasions,” the vicar was making direct reference to the fact that the alleged victim is a lesbian and to the series of conversations held with her</w:t>
      </w:r>
      <w:r w:rsidR="00641D7B" w:rsidRPr="0004208D">
        <w:rPr>
          <w:rFonts w:asciiTheme="majorHAnsi" w:hAnsiTheme="majorHAnsi"/>
          <w:color w:val="000000" w:themeColor="text1"/>
          <w:sz w:val="20"/>
          <w:szCs w:val="20"/>
        </w:rPr>
        <w:t xml:space="preserve"> since April </w:t>
      </w:r>
      <w:r w:rsidR="00A9675C" w:rsidRPr="0004208D">
        <w:rPr>
          <w:rFonts w:asciiTheme="majorHAnsi" w:hAnsiTheme="majorHAnsi"/>
          <w:color w:val="000000" w:themeColor="text1"/>
          <w:sz w:val="20"/>
          <w:szCs w:val="20"/>
        </w:rPr>
        <w:t xml:space="preserve">2007, </w:t>
      </w:r>
      <w:r w:rsidR="00641D7B" w:rsidRPr="0004208D">
        <w:rPr>
          <w:rFonts w:asciiTheme="majorHAnsi" w:hAnsiTheme="majorHAnsi"/>
          <w:color w:val="000000" w:themeColor="text1"/>
          <w:sz w:val="20"/>
          <w:szCs w:val="20"/>
        </w:rPr>
        <w:t>in which both that vicar and the bishop of the diocese of</w:t>
      </w:r>
      <w:r w:rsidR="00D7749C" w:rsidRPr="0004208D">
        <w:rPr>
          <w:rFonts w:asciiTheme="majorHAnsi" w:hAnsiTheme="majorHAnsi"/>
          <w:color w:val="000000" w:themeColor="text1"/>
          <w:sz w:val="20"/>
          <w:szCs w:val="20"/>
        </w:rPr>
        <w:t xml:space="preserve"> San Bernardo </w:t>
      </w:r>
      <w:r w:rsidR="00641D7B" w:rsidRPr="0004208D">
        <w:rPr>
          <w:rFonts w:asciiTheme="majorHAnsi" w:hAnsiTheme="majorHAnsi"/>
          <w:color w:val="000000" w:themeColor="text1"/>
          <w:sz w:val="20"/>
          <w:szCs w:val="20"/>
        </w:rPr>
        <w:t>had reproached her for her sexual orientation and for maintaining a stable relationship with someone of the same sex. Thus, they had urged her to “immediately terminate her homosexual life”</w:t>
      </w:r>
      <w:r w:rsidR="00C943B8" w:rsidRPr="0004208D">
        <w:rPr>
          <w:rFonts w:asciiTheme="majorHAnsi" w:hAnsiTheme="majorHAnsi"/>
          <w:color w:val="000000" w:themeColor="text1"/>
          <w:sz w:val="20"/>
          <w:szCs w:val="20"/>
        </w:rPr>
        <w:t xml:space="preserve"> [sic]</w:t>
      </w:r>
      <w:r w:rsidR="00C05E85" w:rsidRPr="0004208D">
        <w:rPr>
          <w:rFonts w:asciiTheme="majorHAnsi" w:hAnsiTheme="majorHAnsi"/>
          <w:color w:val="000000" w:themeColor="text1"/>
          <w:sz w:val="20"/>
          <w:szCs w:val="20"/>
        </w:rPr>
        <w:t xml:space="preserve">, </w:t>
      </w:r>
      <w:r w:rsidR="00641D7B" w:rsidRPr="0004208D">
        <w:rPr>
          <w:rFonts w:asciiTheme="majorHAnsi" w:hAnsiTheme="majorHAnsi"/>
          <w:color w:val="000000" w:themeColor="text1"/>
          <w:sz w:val="20"/>
          <w:szCs w:val="20"/>
        </w:rPr>
        <w:t>under penalty of no longer being able to exercise her profession as a religion teacher</w:t>
      </w:r>
      <w:r w:rsidR="00C05E85" w:rsidRPr="0004208D">
        <w:rPr>
          <w:rFonts w:asciiTheme="majorHAnsi" w:hAnsiTheme="majorHAnsi"/>
          <w:color w:val="000000" w:themeColor="text1"/>
          <w:sz w:val="20"/>
          <w:szCs w:val="20"/>
        </w:rPr>
        <w:t xml:space="preserve">. </w:t>
      </w:r>
      <w:r w:rsidR="00641D7B" w:rsidRPr="0004208D">
        <w:rPr>
          <w:rFonts w:asciiTheme="majorHAnsi" w:hAnsiTheme="majorHAnsi"/>
          <w:color w:val="000000" w:themeColor="text1"/>
          <w:sz w:val="20"/>
          <w:szCs w:val="20"/>
        </w:rPr>
        <w:t>The petitioners also indicate that they had imposed on her the additional condition of submitting to “psychiatric therapy” for the purpose of “reversing her alleged mental disorder”</w:t>
      </w:r>
      <w:r w:rsidR="00C943B8" w:rsidRPr="0004208D">
        <w:rPr>
          <w:rFonts w:asciiTheme="majorHAnsi" w:hAnsiTheme="majorHAnsi"/>
          <w:color w:val="000000" w:themeColor="text1"/>
          <w:sz w:val="20"/>
          <w:szCs w:val="20"/>
        </w:rPr>
        <w:t xml:space="preserve"> [sic]</w:t>
      </w:r>
      <w:r w:rsidR="00C05E85" w:rsidRPr="0004208D">
        <w:rPr>
          <w:rFonts w:asciiTheme="majorHAnsi" w:hAnsiTheme="majorHAnsi"/>
          <w:color w:val="000000" w:themeColor="text1"/>
          <w:sz w:val="20"/>
          <w:szCs w:val="20"/>
        </w:rPr>
        <w:t>.</w:t>
      </w:r>
      <w:r w:rsidR="00C943B8" w:rsidRPr="0004208D">
        <w:rPr>
          <w:rFonts w:asciiTheme="majorHAnsi" w:hAnsiTheme="majorHAnsi"/>
          <w:color w:val="000000" w:themeColor="text1"/>
          <w:sz w:val="20"/>
          <w:szCs w:val="20"/>
        </w:rPr>
        <w:t xml:space="preserve"> </w:t>
      </w:r>
      <w:r w:rsidR="00641D7B" w:rsidRPr="0004208D">
        <w:rPr>
          <w:rFonts w:asciiTheme="majorHAnsi" w:hAnsiTheme="majorHAnsi"/>
          <w:color w:val="000000" w:themeColor="text1"/>
          <w:sz w:val="20"/>
          <w:szCs w:val="20"/>
        </w:rPr>
        <w:t>As indicated in the petition, the alleged victim did not agree to such conditions, so the vicar proceeded to revoke her certificate of suitability</w:t>
      </w:r>
      <w:r w:rsidR="00C05E85" w:rsidRPr="0004208D">
        <w:rPr>
          <w:rFonts w:asciiTheme="majorHAnsi" w:hAnsiTheme="majorHAnsi"/>
          <w:color w:val="000000" w:themeColor="text1"/>
          <w:sz w:val="20"/>
          <w:szCs w:val="20"/>
        </w:rPr>
        <w: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9946A8" w:rsidRPr="0004208D" w:rsidRDefault="00641D7B"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The petitioners indicate that in view of </w:t>
      </w:r>
      <w:r w:rsidR="00562739" w:rsidRPr="0004208D">
        <w:rPr>
          <w:rFonts w:asciiTheme="majorHAnsi" w:hAnsiTheme="majorHAnsi"/>
          <w:color w:val="000000" w:themeColor="text1"/>
          <w:sz w:val="20"/>
          <w:szCs w:val="20"/>
        </w:rPr>
        <w:t>the vicar’s</w:t>
      </w:r>
      <w:r w:rsidRPr="0004208D">
        <w:rPr>
          <w:rFonts w:asciiTheme="majorHAnsi" w:hAnsiTheme="majorHAnsi"/>
          <w:color w:val="000000" w:themeColor="text1"/>
          <w:sz w:val="20"/>
          <w:szCs w:val="20"/>
        </w:rPr>
        <w:t xml:space="preserve"> decision, the alleged victim file</w:t>
      </w:r>
      <w:r w:rsidR="00562739" w:rsidRPr="0004208D">
        <w:rPr>
          <w:rFonts w:asciiTheme="majorHAnsi" w:hAnsiTheme="majorHAnsi"/>
          <w:color w:val="000000" w:themeColor="text1"/>
          <w:sz w:val="20"/>
          <w:szCs w:val="20"/>
        </w:rPr>
        <w:t>d</w:t>
      </w:r>
      <w:r w:rsidRPr="0004208D">
        <w:rPr>
          <w:rFonts w:asciiTheme="majorHAnsi" w:hAnsiTheme="majorHAnsi"/>
          <w:color w:val="000000" w:themeColor="text1"/>
          <w:sz w:val="20"/>
          <w:szCs w:val="20"/>
        </w:rPr>
        <w:t xml:space="preserve"> an appeal for protection with the local courts of justice, seeking protection for her rights to equality before the law and a private life</w:t>
      </w:r>
      <w:r w:rsidR="00C943B8" w:rsidRPr="0004208D">
        <w:rPr>
          <w:rFonts w:asciiTheme="majorHAnsi" w:hAnsiTheme="majorHAnsi"/>
          <w:color w:val="000000" w:themeColor="text1"/>
          <w:sz w:val="20"/>
          <w:szCs w:val="20"/>
        </w:rPr>
        <w:t>.</w:t>
      </w:r>
      <w:r w:rsidR="00D332B2"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However, in a decision dated November 27,</w:t>
      </w:r>
      <w:r w:rsidR="00C943B8" w:rsidRPr="0004208D">
        <w:rPr>
          <w:rFonts w:asciiTheme="majorHAnsi" w:hAnsiTheme="majorHAnsi"/>
          <w:color w:val="000000" w:themeColor="text1"/>
          <w:sz w:val="20"/>
          <w:szCs w:val="20"/>
        </w:rPr>
        <w:t xml:space="preserve"> 2007, </w:t>
      </w:r>
      <w:r w:rsidRPr="0004208D">
        <w:rPr>
          <w:rFonts w:asciiTheme="majorHAnsi" w:hAnsiTheme="majorHAnsi"/>
          <w:color w:val="000000" w:themeColor="text1"/>
          <w:sz w:val="20"/>
          <w:szCs w:val="20"/>
        </w:rPr>
        <w:t xml:space="preserve">the Court of Appeals of </w:t>
      </w:r>
      <w:r w:rsidR="00C943B8" w:rsidRPr="0004208D">
        <w:rPr>
          <w:rFonts w:asciiTheme="majorHAnsi" w:hAnsiTheme="majorHAnsi"/>
          <w:color w:val="000000" w:themeColor="text1"/>
          <w:sz w:val="20"/>
          <w:szCs w:val="20"/>
        </w:rPr>
        <w:t>San Miguel</w:t>
      </w:r>
      <w:r w:rsidR="00D332B2" w:rsidRPr="0004208D">
        <w:rPr>
          <w:rFonts w:asciiTheme="majorHAnsi" w:hAnsiTheme="majorHAnsi"/>
          <w:color w:val="000000" w:themeColor="text1"/>
          <w:sz w:val="20"/>
          <w:szCs w:val="20"/>
        </w:rPr>
        <w:t xml:space="preserve"> </w:t>
      </w:r>
      <w:r w:rsidR="00562739" w:rsidRPr="0004208D">
        <w:rPr>
          <w:rFonts w:asciiTheme="majorHAnsi" w:hAnsiTheme="majorHAnsi"/>
          <w:color w:val="000000" w:themeColor="text1"/>
          <w:sz w:val="20"/>
          <w:szCs w:val="20"/>
        </w:rPr>
        <w:t>decided</w:t>
      </w:r>
      <w:r w:rsidRPr="0004208D">
        <w:rPr>
          <w:rFonts w:asciiTheme="majorHAnsi" w:hAnsiTheme="majorHAnsi"/>
          <w:color w:val="000000" w:themeColor="text1"/>
          <w:sz w:val="20"/>
          <w:szCs w:val="20"/>
        </w:rPr>
        <w:t xml:space="preserve"> to </w:t>
      </w:r>
      <w:r w:rsidR="00562739" w:rsidRPr="0004208D">
        <w:rPr>
          <w:rFonts w:asciiTheme="majorHAnsi" w:hAnsiTheme="majorHAnsi"/>
          <w:color w:val="000000" w:themeColor="text1"/>
          <w:sz w:val="20"/>
          <w:szCs w:val="20"/>
        </w:rPr>
        <w:t>dismiss</w:t>
      </w:r>
      <w:r w:rsidRPr="0004208D">
        <w:rPr>
          <w:rFonts w:asciiTheme="majorHAnsi" w:hAnsiTheme="majorHAnsi"/>
          <w:color w:val="000000" w:themeColor="text1"/>
          <w:sz w:val="20"/>
          <w:szCs w:val="20"/>
        </w:rPr>
        <w:t xml:space="preserve"> the action filed</w:t>
      </w:r>
      <w:r w:rsidR="00D332B2" w:rsidRPr="0004208D">
        <w:rPr>
          <w:rFonts w:asciiTheme="majorHAnsi" w:hAnsiTheme="majorHAnsi"/>
          <w:color w:val="000000" w:themeColor="text1"/>
          <w:sz w:val="20"/>
          <w:szCs w:val="20"/>
        </w:rPr>
        <w:t xml:space="preserve">. </w:t>
      </w:r>
      <w:r w:rsidR="00531DCA" w:rsidRPr="0004208D">
        <w:rPr>
          <w:rFonts w:asciiTheme="majorHAnsi" w:hAnsiTheme="majorHAnsi"/>
          <w:color w:val="000000" w:themeColor="text1"/>
          <w:sz w:val="20"/>
          <w:szCs w:val="20"/>
        </w:rPr>
        <w:t xml:space="preserve">In </w:t>
      </w:r>
      <w:r w:rsidR="006C2082" w:rsidRPr="0004208D">
        <w:rPr>
          <w:rFonts w:asciiTheme="majorHAnsi" w:hAnsiTheme="majorHAnsi"/>
          <w:color w:val="000000" w:themeColor="text1"/>
          <w:sz w:val="20"/>
          <w:szCs w:val="20"/>
        </w:rPr>
        <w:t>making that</w:t>
      </w:r>
      <w:r w:rsidR="00531DCA" w:rsidRPr="0004208D">
        <w:rPr>
          <w:rFonts w:asciiTheme="majorHAnsi" w:hAnsiTheme="majorHAnsi"/>
          <w:color w:val="000000" w:themeColor="text1"/>
          <w:sz w:val="20"/>
          <w:szCs w:val="20"/>
        </w:rPr>
        <w:t xml:space="preserve"> decision, </w:t>
      </w:r>
      <w:r w:rsidR="006C2082" w:rsidRPr="0004208D">
        <w:rPr>
          <w:rFonts w:asciiTheme="majorHAnsi" w:hAnsiTheme="majorHAnsi"/>
          <w:color w:val="000000" w:themeColor="text1"/>
          <w:sz w:val="20"/>
          <w:szCs w:val="20"/>
        </w:rPr>
        <w:t>the</w:t>
      </w:r>
      <w:r w:rsidR="00531DCA" w:rsidRPr="0004208D">
        <w:rPr>
          <w:rFonts w:asciiTheme="majorHAnsi" w:hAnsiTheme="majorHAnsi"/>
          <w:color w:val="000000" w:themeColor="text1"/>
          <w:sz w:val="20"/>
          <w:szCs w:val="20"/>
        </w:rPr>
        <w:t xml:space="preserve"> court opined that the applicable legislation empowered the respective religious body to grant and revoke authorization to teach religion in accordance with its particular religious, moral, and philosophic principles, with regard to which the State did not have any power to interfere</w:t>
      </w:r>
      <w:r w:rsidR="00FB582A" w:rsidRPr="0004208D">
        <w:rPr>
          <w:rFonts w:asciiTheme="majorHAnsi" w:hAnsiTheme="majorHAnsi"/>
          <w:color w:val="000000" w:themeColor="text1"/>
          <w:sz w:val="20"/>
          <w:szCs w:val="20"/>
        </w:rPr>
        <w:t xml:space="preserve">. </w:t>
      </w:r>
      <w:r w:rsidR="00531DCA" w:rsidRPr="0004208D">
        <w:rPr>
          <w:rFonts w:asciiTheme="majorHAnsi" w:hAnsiTheme="majorHAnsi"/>
          <w:color w:val="000000" w:themeColor="text1"/>
          <w:sz w:val="20"/>
          <w:szCs w:val="20"/>
        </w:rPr>
        <w:t xml:space="preserve">Along these same lines, the court opined that that power rests with the religion itself, which has broad freedom to establish its standards and principles, and the underlying legal standard provides that someone who teaches a faith in the classroom </w:t>
      </w:r>
      <w:r w:rsidR="006C2082" w:rsidRPr="0004208D">
        <w:rPr>
          <w:rFonts w:asciiTheme="majorHAnsi" w:hAnsiTheme="majorHAnsi"/>
          <w:color w:val="000000" w:themeColor="text1"/>
          <w:sz w:val="20"/>
          <w:szCs w:val="20"/>
        </w:rPr>
        <w:t>must</w:t>
      </w:r>
      <w:r w:rsidR="00531DCA" w:rsidRPr="0004208D">
        <w:rPr>
          <w:rFonts w:asciiTheme="majorHAnsi" w:hAnsiTheme="majorHAnsi"/>
          <w:color w:val="000000" w:themeColor="text1"/>
          <w:sz w:val="20"/>
          <w:szCs w:val="20"/>
        </w:rPr>
        <w:t xml:space="preserve"> conform to those standards, beliefs, and dogmas without State agencies’ having jurisdiction to intrude or to question those principles.</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9946A8" w:rsidRPr="0004208D" w:rsidRDefault="00531DCA"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In response to the </w:t>
      </w:r>
      <w:r w:rsidR="006C2082" w:rsidRPr="0004208D">
        <w:rPr>
          <w:rFonts w:asciiTheme="majorHAnsi" w:hAnsiTheme="majorHAnsi"/>
          <w:color w:val="000000" w:themeColor="text1"/>
          <w:sz w:val="20"/>
          <w:szCs w:val="20"/>
        </w:rPr>
        <w:t>dismissal by</w:t>
      </w:r>
      <w:r w:rsidRPr="0004208D">
        <w:rPr>
          <w:rFonts w:asciiTheme="majorHAnsi" w:hAnsiTheme="majorHAnsi"/>
          <w:color w:val="000000" w:themeColor="text1"/>
          <w:sz w:val="20"/>
          <w:szCs w:val="20"/>
        </w:rPr>
        <w:t xml:space="preserve"> the Court of Appeal</w:t>
      </w:r>
      <w:r w:rsidR="006C2082" w:rsidRPr="0004208D">
        <w:rPr>
          <w:rFonts w:asciiTheme="majorHAnsi" w:hAnsiTheme="majorHAnsi"/>
          <w:color w:val="000000" w:themeColor="text1"/>
          <w:sz w:val="20"/>
          <w:szCs w:val="20"/>
        </w:rPr>
        <w:t>s</w:t>
      </w:r>
      <w:r w:rsidRPr="0004208D">
        <w:rPr>
          <w:rFonts w:asciiTheme="majorHAnsi" w:hAnsiTheme="majorHAnsi"/>
          <w:color w:val="000000" w:themeColor="text1"/>
          <w:sz w:val="20"/>
          <w:szCs w:val="20"/>
        </w:rPr>
        <w:t xml:space="preserve"> of </w:t>
      </w:r>
      <w:r w:rsidR="009946A8" w:rsidRPr="0004208D">
        <w:rPr>
          <w:rFonts w:asciiTheme="majorHAnsi" w:hAnsiTheme="majorHAnsi"/>
          <w:color w:val="000000" w:themeColor="text1"/>
          <w:sz w:val="20"/>
          <w:szCs w:val="20"/>
        </w:rPr>
        <w:t xml:space="preserve">San Miguel, </w:t>
      </w:r>
      <w:r w:rsidRPr="0004208D">
        <w:rPr>
          <w:rFonts w:asciiTheme="majorHAnsi" w:hAnsiTheme="majorHAnsi"/>
          <w:color w:val="000000" w:themeColor="text1"/>
          <w:sz w:val="20"/>
          <w:szCs w:val="20"/>
        </w:rPr>
        <w:t xml:space="preserve">the alleged victim </w:t>
      </w:r>
      <w:r w:rsidR="00D86DD9" w:rsidRPr="0004208D">
        <w:rPr>
          <w:rFonts w:asciiTheme="majorHAnsi" w:hAnsiTheme="majorHAnsi"/>
          <w:color w:val="000000" w:themeColor="text1"/>
          <w:sz w:val="20"/>
          <w:szCs w:val="20"/>
        </w:rPr>
        <w:t>appealed to the higher court. On April 17,</w:t>
      </w:r>
      <w:r w:rsidR="009946A8" w:rsidRPr="0004208D">
        <w:rPr>
          <w:rFonts w:asciiTheme="majorHAnsi" w:hAnsiTheme="majorHAnsi"/>
          <w:color w:val="000000" w:themeColor="text1"/>
          <w:sz w:val="20"/>
          <w:szCs w:val="20"/>
        </w:rPr>
        <w:t xml:space="preserve"> 2008</w:t>
      </w:r>
      <w:r w:rsidR="00B77B1B" w:rsidRPr="0004208D">
        <w:rPr>
          <w:rFonts w:asciiTheme="majorHAnsi" w:hAnsiTheme="majorHAnsi"/>
          <w:color w:val="000000" w:themeColor="text1"/>
          <w:sz w:val="20"/>
          <w:szCs w:val="20"/>
        </w:rPr>
        <w:t>,</w:t>
      </w:r>
      <w:r w:rsidR="009946A8" w:rsidRPr="0004208D">
        <w:rPr>
          <w:rFonts w:asciiTheme="majorHAnsi" w:hAnsiTheme="majorHAnsi"/>
          <w:color w:val="000000" w:themeColor="text1"/>
          <w:sz w:val="20"/>
          <w:szCs w:val="20"/>
        </w:rPr>
        <w:t xml:space="preserve"> </w:t>
      </w:r>
      <w:r w:rsidR="00D86DD9" w:rsidRPr="0004208D">
        <w:rPr>
          <w:rFonts w:asciiTheme="majorHAnsi" w:hAnsiTheme="majorHAnsi"/>
          <w:color w:val="000000" w:themeColor="text1"/>
          <w:sz w:val="20"/>
          <w:szCs w:val="20"/>
        </w:rPr>
        <w:t xml:space="preserve">the Supreme Court of the Republic of </w:t>
      </w:r>
      <w:r w:rsidR="007E16EF" w:rsidRPr="0004208D">
        <w:rPr>
          <w:rFonts w:asciiTheme="majorHAnsi" w:hAnsiTheme="majorHAnsi"/>
          <w:color w:val="000000" w:themeColor="text1"/>
          <w:sz w:val="20"/>
          <w:szCs w:val="20"/>
        </w:rPr>
        <w:t xml:space="preserve">Chile </w:t>
      </w:r>
      <w:r w:rsidR="00D86DD9" w:rsidRPr="0004208D">
        <w:rPr>
          <w:rFonts w:asciiTheme="majorHAnsi" w:hAnsiTheme="majorHAnsi"/>
          <w:color w:val="000000" w:themeColor="text1"/>
          <w:sz w:val="20"/>
          <w:szCs w:val="20"/>
        </w:rPr>
        <w:t xml:space="preserve">confirmed all </w:t>
      </w:r>
      <w:r w:rsidR="006C2082" w:rsidRPr="0004208D">
        <w:rPr>
          <w:rFonts w:asciiTheme="majorHAnsi" w:hAnsiTheme="majorHAnsi"/>
          <w:color w:val="000000" w:themeColor="text1"/>
          <w:sz w:val="20"/>
          <w:szCs w:val="20"/>
        </w:rPr>
        <w:t>portions of the judgment of the Court of Appeal</w:t>
      </w:r>
      <w:r w:rsidR="00D86DD9" w:rsidRPr="0004208D">
        <w:rPr>
          <w:rFonts w:asciiTheme="majorHAnsi" w:hAnsiTheme="majorHAnsi"/>
          <w:color w:val="000000" w:themeColor="text1"/>
          <w:sz w:val="20"/>
          <w:szCs w:val="20"/>
        </w:rPr>
        <w:t>s</w:t>
      </w:r>
      <w:r w:rsidR="009946A8" w:rsidRPr="0004208D">
        <w:rPr>
          <w:rFonts w:asciiTheme="majorHAnsi" w:hAnsiTheme="majorHAnsi"/>
          <w:color w:val="000000" w:themeColor="text1"/>
          <w:sz w:val="20"/>
          <w:szCs w:val="20"/>
        </w:rPr>
        <w: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6C5744" w:rsidRPr="0004208D" w:rsidRDefault="00D86DD9"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The petitioners allege that the vicar’s decision to revoke the alleged victim’s certificate of suitabil</w:t>
      </w:r>
      <w:r w:rsidR="006C2082" w:rsidRPr="0004208D">
        <w:rPr>
          <w:rFonts w:asciiTheme="majorHAnsi" w:hAnsiTheme="majorHAnsi"/>
          <w:color w:val="000000" w:themeColor="text1"/>
          <w:sz w:val="20"/>
          <w:szCs w:val="20"/>
        </w:rPr>
        <w:t>ity, followed by the national court</w:t>
      </w:r>
      <w:r w:rsidRPr="0004208D">
        <w:rPr>
          <w:rFonts w:asciiTheme="majorHAnsi" w:hAnsiTheme="majorHAnsi"/>
          <w:color w:val="000000" w:themeColor="text1"/>
          <w:sz w:val="20"/>
          <w:szCs w:val="20"/>
        </w:rPr>
        <w:t>s</w:t>
      </w:r>
      <w:r w:rsidR="006C2082" w:rsidRPr="0004208D">
        <w:rPr>
          <w:rFonts w:asciiTheme="majorHAnsi" w:hAnsiTheme="majorHAnsi"/>
          <w:color w:val="000000" w:themeColor="text1"/>
          <w:sz w:val="20"/>
          <w:szCs w:val="20"/>
        </w:rPr>
        <w:t>’</w:t>
      </w:r>
      <w:r w:rsidRPr="0004208D">
        <w:rPr>
          <w:rFonts w:asciiTheme="majorHAnsi" w:hAnsiTheme="majorHAnsi"/>
          <w:color w:val="000000" w:themeColor="text1"/>
          <w:sz w:val="20"/>
          <w:szCs w:val="20"/>
        </w:rPr>
        <w:t xml:space="preserve"> failure to protect her rights, violated the right to equality before the law, as established in Article</w:t>
      </w:r>
      <w:r w:rsidR="002F003F" w:rsidRPr="0004208D">
        <w:rPr>
          <w:rFonts w:asciiTheme="majorHAnsi" w:hAnsiTheme="majorHAnsi"/>
          <w:color w:val="000000" w:themeColor="text1"/>
          <w:sz w:val="20"/>
          <w:szCs w:val="20"/>
        </w:rPr>
        <w:t xml:space="preserve"> 24 </w:t>
      </w:r>
      <w:r w:rsidRPr="0004208D">
        <w:rPr>
          <w:rFonts w:asciiTheme="majorHAnsi" w:hAnsiTheme="majorHAnsi"/>
          <w:color w:val="000000" w:themeColor="text1"/>
          <w:sz w:val="20"/>
          <w:szCs w:val="20"/>
        </w:rPr>
        <w:t>of the American Convention</w:t>
      </w:r>
      <w:r w:rsidR="002F003F"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They allege that said actions lead to </w:t>
      </w:r>
      <w:r w:rsidR="006C2082" w:rsidRPr="0004208D">
        <w:rPr>
          <w:rFonts w:asciiTheme="majorHAnsi" w:hAnsiTheme="majorHAnsi"/>
          <w:color w:val="000000" w:themeColor="text1"/>
          <w:sz w:val="20"/>
          <w:szCs w:val="20"/>
        </w:rPr>
        <w:t xml:space="preserve">the </w:t>
      </w:r>
      <w:r w:rsidRPr="0004208D">
        <w:rPr>
          <w:rFonts w:asciiTheme="majorHAnsi" w:hAnsiTheme="majorHAnsi"/>
          <w:color w:val="000000" w:themeColor="text1"/>
          <w:sz w:val="20"/>
          <w:szCs w:val="20"/>
        </w:rPr>
        <w:t xml:space="preserve">perpetuation of a situation of constant discrimination and repudiation against lesbian, gay, bisexual, and </w:t>
      </w:r>
      <w:r w:rsidRPr="0004208D">
        <w:rPr>
          <w:rFonts w:asciiTheme="majorHAnsi" w:hAnsiTheme="majorHAnsi"/>
          <w:color w:val="000000" w:themeColor="text1"/>
          <w:sz w:val="20"/>
          <w:szCs w:val="20"/>
        </w:rPr>
        <w:lastRenderedPageBreak/>
        <w:t xml:space="preserve">transsexual persons and </w:t>
      </w:r>
      <w:r w:rsidR="00CF7AD5" w:rsidRPr="0004208D">
        <w:rPr>
          <w:rFonts w:asciiTheme="majorHAnsi" w:hAnsiTheme="majorHAnsi"/>
          <w:color w:val="000000" w:themeColor="text1"/>
          <w:sz w:val="20"/>
          <w:szCs w:val="20"/>
        </w:rPr>
        <w:t>foster</w:t>
      </w:r>
      <w:r w:rsidRPr="0004208D">
        <w:rPr>
          <w:rFonts w:asciiTheme="majorHAnsi" w:hAnsiTheme="majorHAnsi"/>
          <w:color w:val="000000" w:themeColor="text1"/>
          <w:sz w:val="20"/>
          <w:szCs w:val="20"/>
        </w:rPr>
        <w:t xml:space="preserve"> a line of thinking within the Catholic church that directly contradicts the law of the State of Chile</w:t>
      </w:r>
      <w:r w:rsidR="006C5744" w:rsidRPr="0004208D">
        <w:rPr>
          <w:rFonts w:asciiTheme="majorHAnsi" w:hAnsiTheme="majorHAnsi"/>
          <w:color w:val="000000" w:themeColor="text1"/>
          <w:sz w:val="20"/>
          <w:szCs w:val="20"/>
        </w:rPr>
        <w: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101F29" w:rsidRPr="0004208D" w:rsidRDefault="00D86DD9"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In addition, they allege that were was a violation of Article </w:t>
      </w:r>
      <w:r w:rsidR="006C5744" w:rsidRPr="0004208D">
        <w:rPr>
          <w:rFonts w:asciiTheme="majorHAnsi" w:hAnsiTheme="majorHAnsi"/>
          <w:color w:val="000000" w:themeColor="text1"/>
          <w:sz w:val="20"/>
          <w:szCs w:val="20"/>
        </w:rPr>
        <w:t>11</w:t>
      </w:r>
      <w:r w:rsidR="00F044C1"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of the Convention, in that Chilean courts may not </w:t>
      </w:r>
      <w:r w:rsidR="005F570C" w:rsidRPr="0004208D">
        <w:rPr>
          <w:rFonts w:asciiTheme="majorHAnsi" w:hAnsiTheme="majorHAnsi"/>
          <w:color w:val="000000" w:themeColor="text1"/>
          <w:sz w:val="20"/>
          <w:szCs w:val="20"/>
        </w:rPr>
        <w:t>protect</w:t>
      </w:r>
      <w:r w:rsidRPr="0004208D">
        <w:rPr>
          <w:rFonts w:asciiTheme="majorHAnsi" w:hAnsiTheme="majorHAnsi"/>
          <w:color w:val="000000" w:themeColor="text1"/>
          <w:sz w:val="20"/>
          <w:szCs w:val="20"/>
        </w:rPr>
        <w:t xml:space="preserve"> within the country “lines of thinking that undermine the constitutional maxims” and that </w:t>
      </w:r>
      <w:r w:rsidR="005F570C" w:rsidRPr="0004208D">
        <w:rPr>
          <w:rFonts w:asciiTheme="majorHAnsi" w:hAnsiTheme="majorHAnsi"/>
          <w:color w:val="000000" w:themeColor="text1"/>
          <w:sz w:val="20"/>
          <w:szCs w:val="20"/>
        </w:rPr>
        <w:t>while</w:t>
      </w:r>
      <w:r w:rsidRPr="0004208D">
        <w:rPr>
          <w:rFonts w:asciiTheme="majorHAnsi" w:hAnsiTheme="majorHAnsi"/>
          <w:color w:val="000000" w:themeColor="text1"/>
          <w:sz w:val="20"/>
          <w:szCs w:val="20"/>
        </w:rPr>
        <w:t xml:space="preserve"> it is true that the Constitution </w:t>
      </w:r>
      <w:r w:rsidR="005F570C" w:rsidRPr="0004208D">
        <w:rPr>
          <w:rFonts w:asciiTheme="majorHAnsi" w:hAnsiTheme="majorHAnsi"/>
          <w:color w:val="000000" w:themeColor="text1"/>
          <w:sz w:val="20"/>
          <w:szCs w:val="20"/>
        </w:rPr>
        <w:t>protects</w:t>
      </w:r>
      <w:r w:rsidRPr="0004208D">
        <w:rPr>
          <w:rFonts w:asciiTheme="majorHAnsi" w:hAnsiTheme="majorHAnsi"/>
          <w:color w:val="000000" w:themeColor="text1"/>
          <w:sz w:val="20"/>
          <w:szCs w:val="20"/>
        </w:rPr>
        <w:t xml:space="preserve"> religious freedom, that freedom must</w:t>
      </w:r>
      <w:r w:rsidR="006C5744" w:rsidRPr="0004208D">
        <w:rPr>
          <w:rFonts w:asciiTheme="majorHAnsi" w:hAnsiTheme="majorHAnsi"/>
          <w:color w:val="000000" w:themeColor="text1"/>
          <w:sz w:val="20"/>
          <w:szCs w:val="20"/>
        </w:rPr>
        <w:t xml:space="preserve"> </w:t>
      </w:r>
      <w:r w:rsidR="005F570C" w:rsidRPr="0004208D">
        <w:rPr>
          <w:rFonts w:asciiTheme="majorHAnsi" w:hAnsiTheme="majorHAnsi"/>
          <w:color w:val="000000" w:themeColor="text1"/>
          <w:sz w:val="20"/>
          <w:szCs w:val="20"/>
        </w:rPr>
        <w:t>strictly adhere to the law, thus prohibiting any form of discrimination and interference in the life of individuals</w:t>
      </w:r>
      <w:r w:rsidR="00F044C1" w:rsidRPr="0004208D">
        <w:rPr>
          <w:rFonts w:asciiTheme="majorHAnsi" w:hAnsiTheme="majorHAnsi"/>
          <w:color w:val="000000" w:themeColor="text1"/>
          <w:sz w:val="20"/>
          <w:szCs w:val="20"/>
        </w:rPr>
        <w:t xml:space="preserve">. </w:t>
      </w:r>
      <w:r w:rsidR="005F570C" w:rsidRPr="0004208D">
        <w:rPr>
          <w:rFonts w:asciiTheme="majorHAnsi" w:hAnsiTheme="majorHAnsi"/>
          <w:color w:val="000000" w:themeColor="text1"/>
          <w:sz w:val="20"/>
          <w:szCs w:val="20"/>
        </w:rPr>
        <w:t>They also add that “it is neither possible to apply a treaty while disregarding the general principles of law</w:t>
      </w:r>
      <w:r w:rsidR="00F044C1" w:rsidRPr="0004208D">
        <w:rPr>
          <w:rFonts w:asciiTheme="majorHAnsi" w:hAnsiTheme="majorHAnsi"/>
          <w:color w:val="000000" w:themeColor="text1"/>
          <w:sz w:val="20"/>
          <w:szCs w:val="20"/>
        </w:rPr>
        <w:t xml:space="preserve"> </w:t>
      </w:r>
      <w:r w:rsidR="005F570C" w:rsidRPr="0004208D">
        <w:rPr>
          <w:rFonts w:asciiTheme="majorHAnsi" w:hAnsiTheme="majorHAnsi"/>
          <w:color w:val="000000" w:themeColor="text1"/>
          <w:sz w:val="20"/>
          <w:szCs w:val="20"/>
        </w:rPr>
        <w:t>or the common law that precedes or supplements it, nor to ignore when interpreting a treaty the other sources of law that may have succeeded it, clarifying or supplementing it</w:t>
      </w:r>
      <w:r w:rsidR="00262ECF" w:rsidRPr="0004208D">
        <w:rPr>
          <w:rFonts w:asciiTheme="majorHAnsi" w:hAnsiTheme="majorHAnsi"/>
          <w:color w:val="000000" w:themeColor="text1"/>
          <w:sz w:val="20"/>
          <w:szCs w:val="20"/>
        </w:rPr>
        <w:t>.”</w:t>
      </w:r>
    </w:p>
    <w:p w:rsidR="009B2357" w:rsidRPr="0004208D" w:rsidRDefault="009B2357"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101F29" w:rsidRPr="0004208D" w:rsidRDefault="00101F29" w:rsidP="006905E2">
      <w:pPr>
        <w:pStyle w:val="Heading1"/>
        <w:numPr>
          <w:ilvl w:val="0"/>
          <w:numId w:val="56"/>
        </w:numPr>
        <w:spacing w:before="0"/>
        <w:rPr>
          <w:color w:val="000000" w:themeColor="text1"/>
          <w:sz w:val="20"/>
          <w:szCs w:val="20"/>
        </w:rPr>
      </w:pPr>
      <w:r w:rsidRPr="0004208D">
        <w:rPr>
          <w:color w:val="000000" w:themeColor="text1"/>
          <w:sz w:val="20"/>
          <w:szCs w:val="20"/>
        </w:rPr>
        <w:t>Posi</w:t>
      </w:r>
      <w:r w:rsidR="00262ECF" w:rsidRPr="0004208D">
        <w:rPr>
          <w:color w:val="000000" w:themeColor="text1"/>
          <w:sz w:val="20"/>
          <w:szCs w:val="20"/>
        </w:rPr>
        <w:t>tion of the State</w:t>
      </w:r>
    </w:p>
    <w:p w:rsidR="006905E2" w:rsidRPr="0004208D" w:rsidRDefault="006905E2" w:rsidP="006905E2">
      <w:pPr>
        <w:rPr>
          <w:color w:val="000000" w:themeColor="text1"/>
        </w:rPr>
      </w:pPr>
    </w:p>
    <w:p w:rsidR="00101F29" w:rsidRPr="0004208D" w:rsidRDefault="005B78AD"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In its response, the State succinctly indicated that “</w:t>
      </w:r>
      <w:r w:rsidRPr="0004208D">
        <w:rPr>
          <w:rFonts w:asciiTheme="majorHAnsi" w:hAnsiTheme="majorHAnsi" w:cs="Arial"/>
          <w:iCs/>
          <w:color w:val="000000" w:themeColor="text1"/>
          <w:sz w:val="20"/>
          <w:szCs w:val="20"/>
        </w:rPr>
        <w:t>without prejudice to the observations on the merits that the State may formulate in due time, it has no objections regarding the petitioners’ compliance with the formal requirements.”</w:t>
      </w:r>
      <w:r w:rsidR="0026059D" w:rsidRPr="0004208D">
        <w:rPr>
          <w:rFonts w:asciiTheme="majorHAnsi" w:hAnsiTheme="majorHAnsi"/>
          <w:color w:val="000000" w:themeColor="text1"/>
          <w:sz w:val="20"/>
          <w:szCs w:val="20"/>
        </w:rPr>
        <w:t xml:space="preserve"> </w:t>
      </w:r>
    </w:p>
    <w:p w:rsidR="009B2357" w:rsidRPr="0004208D" w:rsidRDefault="009B2357"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101F29" w:rsidRPr="0004208D" w:rsidRDefault="005B78AD" w:rsidP="006905E2">
      <w:pPr>
        <w:pStyle w:val="Heading1"/>
        <w:numPr>
          <w:ilvl w:val="0"/>
          <w:numId w:val="58"/>
        </w:numPr>
        <w:spacing w:before="0"/>
        <w:rPr>
          <w:color w:val="000000" w:themeColor="text1"/>
          <w:sz w:val="20"/>
          <w:szCs w:val="20"/>
        </w:rPr>
      </w:pPr>
      <w:r w:rsidRPr="0004208D">
        <w:rPr>
          <w:color w:val="000000" w:themeColor="text1"/>
          <w:sz w:val="20"/>
          <w:szCs w:val="20"/>
        </w:rPr>
        <w:t>ANALYSIS OF COMPETENCE AND ADMISSIBILITY</w:t>
      </w:r>
      <w:r w:rsidR="00101F29" w:rsidRPr="0004208D">
        <w:rPr>
          <w:color w:val="000000" w:themeColor="text1"/>
          <w:sz w:val="20"/>
          <w:szCs w:val="20"/>
        </w:rPr>
        <w:t xml:space="preserve"> </w:t>
      </w:r>
    </w:p>
    <w:p w:rsidR="006905E2" w:rsidRPr="0004208D" w:rsidRDefault="006905E2" w:rsidP="006905E2">
      <w:pPr>
        <w:rPr>
          <w:color w:val="000000" w:themeColor="text1"/>
        </w:rPr>
      </w:pPr>
    </w:p>
    <w:p w:rsidR="00101F29" w:rsidRPr="0004208D" w:rsidRDefault="00101F29" w:rsidP="006905E2">
      <w:pPr>
        <w:pStyle w:val="Heading1"/>
        <w:numPr>
          <w:ilvl w:val="0"/>
          <w:numId w:val="0"/>
        </w:numPr>
        <w:spacing w:before="0"/>
        <w:ind w:left="1440" w:hanging="720"/>
        <w:rPr>
          <w:color w:val="000000" w:themeColor="text1"/>
          <w:sz w:val="20"/>
          <w:szCs w:val="20"/>
        </w:rPr>
      </w:pPr>
      <w:r w:rsidRPr="0004208D">
        <w:rPr>
          <w:color w:val="000000" w:themeColor="text1"/>
          <w:sz w:val="20"/>
          <w:szCs w:val="20"/>
        </w:rPr>
        <w:t>A.</w:t>
      </w:r>
      <w:r w:rsidRPr="0004208D">
        <w:rPr>
          <w:color w:val="000000" w:themeColor="text1"/>
          <w:sz w:val="20"/>
          <w:szCs w:val="20"/>
        </w:rPr>
        <w:tab/>
      </w:r>
      <w:r w:rsidR="00AC64FD" w:rsidRPr="0004208D">
        <w:rPr>
          <w:color w:val="000000" w:themeColor="text1"/>
          <w:sz w:val="20"/>
          <w:szCs w:val="20"/>
        </w:rPr>
        <w:t>C</w:t>
      </w:r>
      <w:r w:rsidRPr="0004208D">
        <w:rPr>
          <w:color w:val="000000" w:themeColor="text1"/>
          <w:sz w:val="20"/>
          <w:szCs w:val="20"/>
        </w:rPr>
        <w:t>ompetenc</w:t>
      </w:r>
      <w:r w:rsidR="00AC64FD" w:rsidRPr="0004208D">
        <w:rPr>
          <w:color w:val="000000" w:themeColor="text1"/>
          <w:sz w:val="20"/>
          <w:szCs w:val="20"/>
        </w:rPr>
        <w:t>e</w:t>
      </w:r>
      <w:r w:rsidRPr="0004208D">
        <w:rPr>
          <w:color w:val="000000" w:themeColor="text1"/>
          <w:sz w:val="20"/>
          <w:szCs w:val="20"/>
        </w:rPr>
        <w:t xml:space="preserve"> </w:t>
      </w:r>
      <w:r w:rsidRPr="0004208D">
        <w:rPr>
          <w:i/>
          <w:color w:val="000000" w:themeColor="text1"/>
          <w:sz w:val="20"/>
          <w:szCs w:val="20"/>
        </w:rPr>
        <w:t>ratione personae</w:t>
      </w:r>
      <w:r w:rsidRPr="0004208D">
        <w:rPr>
          <w:color w:val="000000" w:themeColor="text1"/>
          <w:sz w:val="20"/>
          <w:szCs w:val="20"/>
        </w:rPr>
        <w:t xml:space="preserve">, </w:t>
      </w:r>
      <w:r w:rsidRPr="0004208D">
        <w:rPr>
          <w:i/>
          <w:color w:val="000000" w:themeColor="text1"/>
          <w:sz w:val="20"/>
          <w:szCs w:val="20"/>
        </w:rPr>
        <w:t>ratione loci</w:t>
      </w:r>
      <w:r w:rsidRPr="0004208D">
        <w:rPr>
          <w:color w:val="000000" w:themeColor="text1"/>
          <w:sz w:val="20"/>
          <w:szCs w:val="20"/>
        </w:rPr>
        <w:t xml:space="preserve">, </w:t>
      </w:r>
      <w:r w:rsidRPr="0004208D">
        <w:rPr>
          <w:i/>
          <w:color w:val="000000" w:themeColor="text1"/>
          <w:sz w:val="20"/>
          <w:szCs w:val="20"/>
        </w:rPr>
        <w:t>ratione temporis</w:t>
      </w:r>
      <w:r w:rsidR="00AC64FD" w:rsidRPr="0004208D">
        <w:rPr>
          <w:color w:val="000000" w:themeColor="text1"/>
          <w:sz w:val="20"/>
          <w:szCs w:val="20"/>
        </w:rPr>
        <w:t>, and</w:t>
      </w:r>
      <w:r w:rsidRPr="0004208D">
        <w:rPr>
          <w:color w:val="000000" w:themeColor="text1"/>
          <w:sz w:val="20"/>
          <w:szCs w:val="20"/>
        </w:rPr>
        <w:t xml:space="preserve"> </w:t>
      </w:r>
      <w:r w:rsidRPr="0004208D">
        <w:rPr>
          <w:i/>
          <w:color w:val="000000" w:themeColor="text1"/>
          <w:sz w:val="20"/>
          <w:szCs w:val="20"/>
        </w:rPr>
        <w:t>ratione materiae</w:t>
      </w:r>
      <w:r w:rsidRPr="0004208D">
        <w:rPr>
          <w:color w:val="000000" w:themeColor="text1"/>
          <w:sz w:val="20"/>
          <w:szCs w:val="20"/>
        </w:rPr>
        <w:t xml:space="preserve"> </w:t>
      </w:r>
      <w:r w:rsidR="00AC64FD" w:rsidRPr="0004208D">
        <w:rPr>
          <w:color w:val="000000" w:themeColor="text1"/>
          <w:sz w:val="20"/>
          <w:szCs w:val="20"/>
        </w:rPr>
        <w:t>of the Commission</w:t>
      </w:r>
    </w:p>
    <w:p w:rsidR="006905E2" w:rsidRPr="0004208D" w:rsidRDefault="006905E2" w:rsidP="006905E2">
      <w:pPr>
        <w:rPr>
          <w:color w:val="000000" w:themeColor="text1"/>
        </w:rPr>
      </w:pPr>
    </w:p>
    <w:p w:rsidR="0026059D" w:rsidRPr="0004208D" w:rsidRDefault="00AC64FD"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The petitioners are empowered by Article </w:t>
      </w:r>
      <w:r w:rsidR="00B1253E" w:rsidRPr="0004208D">
        <w:rPr>
          <w:rFonts w:asciiTheme="majorHAnsi" w:hAnsiTheme="majorHAnsi"/>
          <w:color w:val="000000" w:themeColor="text1"/>
          <w:sz w:val="20"/>
          <w:szCs w:val="20"/>
        </w:rPr>
        <w:t xml:space="preserve">44 </w:t>
      </w:r>
      <w:r w:rsidRPr="0004208D">
        <w:rPr>
          <w:rFonts w:asciiTheme="majorHAnsi" w:hAnsiTheme="majorHAnsi"/>
          <w:color w:val="000000" w:themeColor="text1"/>
          <w:sz w:val="20"/>
          <w:szCs w:val="20"/>
        </w:rPr>
        <w:t xml:space="preserve">of the American Convention to </w:t>
      </w:r>
      <w:r w:rsidR="000E3944" w:rsidRPr="0004208D">
        <w:rPr>
          <w:rFonts w:asciiTheme="majorHAnsi" w:hAnsiTheme="majorHAnsi"/>
          <w:color w:val="000000" w:themeColor="text1"/>
          <w:sz w:val="20"/>
          <w:szCs w:val="20"/>
        </w:rPr>
        <w:t>lodge</w:t>
      </w:r>
      <w:r w:rsidRPr="0004208D">
        <w:rPr>
          <w:rFonts w:asciiTheme="majorHAnsi" w:hAnsiTheme="majorHAnsi"/>
          <w:color w:val="000000" w:themeColor="text1"/>
          <w:sz w:val="20"/>
          <w:szCs w:val="20"/>
        </w:rPr>
        <w:t xml:space="preserve"> petitions </w:t>
      </w:r>
      <w:r w:rsidR="000E3944" w:rsidRPr="0004208D">
        <w:rPr>
          <w:rFonts w:asciiTheme="majorHAnsi" w:hAnsiTheme="majorHAnsi"/>
          <w:color w:val="000000" w:themeColor="text1"/>
          <w:sz w:val="20"/>
          <w:szCs w:val="20"/>
        </w:rPr>
        <w:t>with</w:t>
      </w:r>
      <w:r w:rsidRPr="0004208D">
        <w:rPr>
          <w:rFonts w:asciiTheme="majorHAnsi" w:hAnsiTheme="majorHAnsi"/>
          <w:color w:val="000000" w:themeColor="text1"/>
          <w:sz w:val="20"/>
          <w:szCs w:val="20"/>
        </w:rPr>
        <w:t xml:space="preserve"> the Commission. The petition indicates as the alleged victim an individual with respect to whom the Chilean State committed to respect and guarantee the rights established in the American Convention</w:t>
      </w:r>
      <w:r w:rsidR="00B1253E"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With regard to the State, the Commission indicates that Chile has been a State Party to the American Convention since August 21, </w:t>
      </w:r>
      <w:r w:rsidR="00B1253E" w:rsidRPr="0004208D">
        <w:rPr>
          <w:rFonts w:asciiTheme="majorHAnsi" w:hAnsiTheme="majorHAnsi"/>
          <w:color w:val="000000" w:themeColor="text1"/>
          <w:sz w:val="20"/>
          <w:szCs w:val="20"/>
        </w:rPr>
        <w:t xml:space="preserve">1990, </w:t>
      </w:r>
      <w:r w:rsidRPr="0004208D">
        <w:rPr>
          <w:rFonts w:asciiTheme="majorHAnsi" w:hAnsiTheme="majorHAnsi"/>
          <w:color w:val="000000" w:themeColor="text1"/>
          <w:sz w:val="20"/>
          <w:szCs w:val="20"/>
        </w:rPr>
        <w:t>the date on which it deposited its instrument</w:t>
      </w:r>
      <w:r w:rsidR="000E3944" w:rsidRPr="0004208D">
        <w:rPr>
          <w:rFonts w:asciiTheme="majorHAnsi" w:hAnsiTheme="majorHAnsi"/>
          <w:color w:val="000000" w:themeColor="text1"/>
          <w:sz w:val="20"/>
          <w:szCs w:val="20"/>
        </w:rPr>
        <w:t xml:space="preserve"> of ratification</w:t>
      </w:r>
      <w:r w:rsidRPr="0004208D">
        <w:rPr>
          <w:rFonts w:asciiTheme="majorHAnsi" w:hAnsiTheme="majorHAnsi"/>
          <w:color w:val="000000" w:themeColor="text1"/>
          <w:sz w:val="20"/>
          <w:szCs w:val="20"/>
        </w:rPr>
        <w:t xml:space="preserve">. </w:t>
      </w:r>
      <w:r w:rsidR="000E3944" w:rsidRPr="0004208D">
        <w:rPr>
          <w:rFonts w:asciiTheme="majorHAnsi" w:hAnsiTheme="majorHAnsi"/>
          <w:color w:val="000000" w:themeColor="text1"/>
          <w:sz w:val="20"/>
          <w:szCs w:val="20"/>
        </w:rPr>
        <w:t>Thus</w:t>
      </w:r>
      <w:r w:rsidRPr="0004208D">
        <w:rPr>
          <w:rFonts w:asciiTheme="majorHAnsi" w:hAnsiTheme="majorHAnsi"/>
          <w:color w:val="000000" w:themeColor="text1"/>
          <w:sz w:val="20"/>
          <w:szCs w:val="20"/>
        </w:rPr>
        <w:t>, the Commission is competent</w:t>
      </w:r>
      <w:r w:rsidR="00B1253E" w:rsidRPr="0004208D">
        <w:rPr>
          <w:rFonts w:asciiTheme="majorHAnsi" w:hAnsiTheme="majorHAnsi"/>
          <w:color w:val="000000" w:themeColor="text1"/>
          <w:sz w:val="20"/>
          <w:szCs w:val="20"/>
        </w:rPr>
        <w:t xml:space="preserve"> </w:t>
      </w:r>
      <w:r w:rsidR="00B1253E" w:rsidRPr="0004208D">
        <w:rPr>
          <w:rFonts w:asciiTheme="majorHAnsi" w:hAnsiTheme="majorHAnsi"/>
          <w:i/>
          <w:color w:val="000000" w:themeColor="text1"/>
          <w:sz w:val="20"/>
          <w:szCs w:val="20"/>
        </w:rPr>
        <w:t>ratione personae</w:t>
      </w:r>
      <w:r w:rsidR="00B1253E"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to examine the petition</w:t>
      </w:r>
      <w:r w:rsidR="00101F29" w:rsidRPr="0004208D">
        <w:rPr>
          <w:rFonts w:asciiTheme="majorHAnsi" w:hAnsiTheme="majorHAnsi"/>
          <w:color w:val="000000" w:themeColor="text1"/>
          <w:sz w:val="20"/>
          <w:szCs w:val="20"/>
        </w:rPr>
        <w:t>.</w:t>
      </w:r>
      <w:r w:rsidR="0026059D" w:rsidRPr="0004208D">
        <w:rPr>
          <w:rFonts w:asciiTheme="majorHAnsi" w:hAnsiTheme="majorHAnsi"/>
          <w:color w:val="000000" w:themeColor="text1"/>
          <w:sz w:val="20"/>
          <w:szCs w:val="20"/>
        </w:rPr>
        <w:t xml:space="preserve"> </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101F29" w:rsidRPr="0004208D" w:rsidRDefault="00AC64FD"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In addition, the Commission is competent</w:t>
      </w:r>
      <w:r w:rsidR="00B1253E" w:rsidRPr="0004208D">
        <w:rPr>
          <w:rFonts w:asciiTheme="majorHAnsi" w:hAnsiTheme="majorHAnsi"/>
          <w:color w:val="000000" w:themeColor="text1"/>
          <w:sz w:val="20"/>
          <w:szCs w:val="20"/>
        </w:rPr>
        <w:t xml:space="preserve"> </w:t>
      </w:r>
      <w:r w:rsidR="00B1253E" w:rsidRPr="0004208D">
        <w:rPr>
          <w:rFonts w:asciiTheme="majorHAnsi" w:hAnsiTheme="majorHAnsi"/>
          <w:i/>
          <w:color w:val="000000" w:themeColor="text1"/>
          <w:sz w:val="20"/>
          <w:szCs w:val="20"/>
        </w:rPr>
        <w:t>ratione loci</w:t>
      </w:r>
      <w:r w:rsidR="00B1253E"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to hear the petition, in that it alleges violations of rights protected in the American Convention that would have taken place under the jurisdiction of the Chilean State, a State Party to that treaty</w:t>
      </w:r>
      <w:r w:rsidR="00B1253E" w:rsidRPr="0004208D">
        <w:rPr>
          <w:rFonts w:asciiTheme="majorHAnsi" w:hAnsiTheme="majorHAnsi"/>
          <w:color w:val="000000" w:themeColor="text1"/>
          <w:sz w:val="20"/>
          <w:szCs w:val="20"/>
        </w:rPr>
        <w:t>.</w:t>
      </w:r>
      <w:r w:rsidR="00101F29" w:rsidRPr="0004208D">
        <w:rPr>
          <w:rFonts w:asciiTheme="majorHAnsi" w:hAnsiTheme="majorHAnsi"/>
          <w:color w:val="000000" w:themeColor="text1"/>
          <w:sz w:val="20"/>
          <w:szCs w:val="20"/>
        </w:rPr>
        <w:t xml:space="preserve"> </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B1253E" w:rsidRDefault="00AC64FD"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The Commission is competent</w:t>
      </w:r>
      <w:r w:rsidR="00B1253E" w:rsidRPr="0004208D">
        <w:rPr>
          <w:rFonts w:asciiTheme="majorHAnsi" w:hAnsiTheme="majorHAnsi"/>
          <w:color w:val="000000" w:themeColor="text1"/>
          <w:sz w:val="20"/>
          <w:szCs w:val="20"/>
        </w:rPr>
        <w:t xml:space="preserve"> </w:t>
      </w:r>
      <w:r w:rsidR="00B1253E" w:rsidRPr="0004208D">
        <w:rPr>
          <w:rFonts w:asciiTheme="majorHAnsi" w:hAnsiTheme="majorHAnsi"/>
          <w:i/>
          <w:color w:val="000000" w:themeColor="text1"/>
          <w:sz w:val="20"/>
          <w:szCs w:val="20"/>
        </w:rPr>
        <w:t>ratione temporis</w:t>
      </w:r>
      <w:r w:rsidR="000A1ADA" w:rsidRPr="0004208D">
        <w:rPr>
          <w:rFonts w:asciiTheme="majorHAnsi" w:hAnsiTheme="majorHAnsi"/>
          <w:color w:val="000000" w:themeColor="text1"/>
          <w:sz w:val="20"/>
          <w:szCs w:val="20"/>
        </w:rPr>
        <w:t>,</w:t>
      </w:r>
      <w:r w:rsidR="00B1253E"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in that the obligation to respect and guarantee the rights protected in the American Convention were already in effect for the State on the date the events alleged in the petition would have occurred</w:t>
      </w:r>
      <w:r w:rsidR="00101F29" w:rsidRPr="0004208D">
        <w:rPr>
          <w:rFonts w:asciiTheme="majorHAnsi" w:hAnsiTheme="majorHAnsi"/>
          <w:color w:val="000000" w:themeColor="text1"/>
          <w:sz w:val="20"/>
          <w:szCs w:val="20"/>
        </w:rPr>
        <w:t>.</w:t>
      </w:r>
    </w:p>
    <w:p w:rsidR="00D13DB7" w:rsidRPr="0004208D" w:rsidRDefault="00D13DB7" w:rsidP="00D13D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3A1AF6" w:rsidRPr="0004208D" w:rsidRDefault="00B1253E"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Final</w:t>
      </w:r>
      <w:r w:rsidR="00AC64FD" w:rsidRPr="0004208D">
        <w:rPr>
          <w:rFonts w:asciiTheme="majorHAnsi" w:hAnsiTheme="majorHAnsi"/>
          <w:color w:val="000000" w:themeColor="text1"/>
          <w:sz w:val="20"/>
          <w:szCs w:val="20"/>
        </w:rPr>
        <w:t>ly, the Commission is competent</w:t>
      </w:r>
      <w:r w:rsidRPr="0004208D">
        <w:rPr>
          <w:rFonts w:asciiTheme="majorHAnsi" w:hAnsiTheme="majorHAnsi"/>
          <w:color w:val="000000" w:themeColor="text1"/>
          <w:sz w:val="20"/>
          <w:szCs w:val="20"/>
        </w:rPr>
        <w:t xml:space="preserve"> </w:t>
      </w:r>
      <w:r w:rsidRPr="0004208D">
        <w:rPr>
          <w:rFonts w:asciiTheme="majorHAnsi" w:hAnsiTheme="majorHAnsi"/>
          <w:i/>
          <w:color w:val="000000" w:themeColor="text1"/>
          <w:sz w:val="20"/>
          <w:szCs w:val="20"/>
        </w:rPr>
        <w:t>ratione materiae</w:t>
      </w:r>
      <w:r w:rsidRPr="0004208D">
        <w:rPr>
          <w:rFonts w:asciiTheme="majorHAnsi" w:hAnsiTheme="majorHAnsi"/>
          <w:color w:val="000000" w:themeColor="text1"/>
          <w:sz w:val="20"/>
          <w:szCs w:val="20"/>
        </w:rPr>
        <w:t xml:space="preserve">, </w:t>
      </w:r>
      <w:r w:rsidR="00AC64FD" w:rsidRPr="0004208D">
        <w:rPr>
          <w:rFonts w:asciiTheme="majorHAnsi" w:hAnsiTheme="majorHAnsi"/>
          <w:color w:val="000000" w:themeColor="text1"/>
          <w:sz w:val="20"/>
          <w:szCs w:val="20"/>
        </w:rPr>
        <w:t>in that the petition alleges possible violations of human rights protected by the American Convention</w:t>
      </w:r>
      <w:r w:rsidRPr="0004208D">
        <w:rPr>
          <w:rFonts w:asciiTheme="majorHAnsi" w:hAnsiTheme="majorHAnsi"/>
          <w:color w:val="000000" w:themeColor="text1"/>
          <w:sz w:val="20"/>
          <w:szCs w:val="20"/>
        </w:rPr>
        <w:t>.</w:t>
      </w:r>
    </w:p>
    <w:p w:rsidR="009B2357" w:rsidRPr="0004208D" w:rsidRDefault="009B2357"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101F29" w:rsidRPr="0004208D" w:rsidRDefault="00101F29" w:rsidP="006905E2">
      <w:pPr>
        <w:pStyle w:val="Heading1"/>
        <w:numPr>
          <w:ilvl w:val="0"/>
          <w:numId w:val="0"/>
        </w:numPr>
        <w:spacing w:before="0"/>
        <w:ind w:left="720"/>
        <w:rPr>
          <w:color w:val="000000" w:themeColor="text1"/>
          <w:sz w:val="20"/>
          <w:szCs w:val="20"/>
        </w:rPr>
      </w:pPr>
      <w:r w:rsidRPr="0004208D">
        <w:rPr>
          <w:color w:val="000000" w:themeColor="text1"/>
          <w:sz w:val="20"/>
          <w:szCs w:val="20"/>
        </w:rPr>
        <w:t>B.</w:t>
      </w:r>
      <w:r w:rsidRPr="0004208D">
        <w:rPr>
          <w:color w:val="000000" w:themeColor="text1"/>
          <w:sz w:val="20"/>
          <w:szCs w:val="20"/>
        </w:rPr>
        <w:tab/>
      </w:r>
      <w:r w:rsidR="00AC64FD" w:rsidRPr="0004208D">
        <w:rPr>
          <w:color w:val="000000" w:themeColor="text1"/>
          <w:sz w:val="20"/>
          <w:szCs w:val="20"/>
        </w:rPr>
        <w:t>Exhaustion of domestic remedies</w:t>
      </w:r>
    </w:p>
    <w:p w:rsidR="006905E2" w:rsidRPr="0004208D" w:rsidRDefault="006905E2" w:rsidP="006905E2">
      <w:pPr>
        <w:rPr>
          <w:color w:val="000000" w:themeColor="text1"/>
        </w:rPr>
      </w:pPr>
    </w:p>
    <w:p w:rsidR="00101F29" w:rsidRPr="0004208D" w:rsidRDefault="00CC1198"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Article</w:t>
      </w:r>
      <w:r w:rsidR="00101F29" w:rsidRPr="0004208D">
        <w:rPr>
          <w:rFonts w:asciiTheme="majorHAnsi" w:hAnsiTheme="majorHAnsi"/>
          <w:color w:val="000000" w:themeColor="text1"/>
          <w:sz w:val="20"/>
          <w:szCs w:val="20"/>
        </w:rPr>
        <w:t xml:space="preserve"> 46(1)(a) </w:t>
      </w:r>
      <w:r w:rsidRPr="0004208D">
        <w:rPr>
          <w:rFonts w:asciiTheme="majorHAnsi" w:hAnsiTheme="majorHAnsi"/>
          <w:color w:val="000000" w:themeColor="text1"/>
          <w:sz w:val="20"/>
          <w:szCs w:val="20"/>
        </w:rPr>
        <w:t>of the American Convention provides that in order for a petition submitted to the Commission to be admissible in accordance with Article</w:t>
      </w:r>
      <w:r w:rsidR="00101F29" w:rsidRPr="0004208D">
        <w:rPr>
          <w:rFonts w:asciiTheme="majorHAnsi" w:hAnsiTheme="majorHAnsi"/>
          <w:color w:val="000000" w:themeColor="text1"/>
          <w:sz w:val="20"/>
          <w:szCs w:val="20"/>
        </w:rPr>
        <w:t xml:space="preserve"> 44 </w:t>
      </w:r>
      <w:r w:rsidRPr="0004208D">
        <w:rPr>
          <w:rFonts w:asciiTheme="majorHAnsi" w:hAnsiTheme="majorHAnsi"/>
          <w:color w:val="000000" w:themeColor="text1"/>
          <w:sz w:val="20"/>
          <w:szCs w:val="20"/>
        </w:rPr>
        <w:t xml:space="preserve">of the Convention, </w:t>
      </w:r>
      <w:r w:rsidR="00EA0EA0" w:rsidRPr="0004208D">
        <w:rPr>
          <w:rFonts w:asciiTheme="majorHAnsi" w:hAnsiTheme="majorHAnsi"/>
          <w:color w:val="000000" w:themeColor="text1"/>
          <w:sz w:val="20"/>
          <w:szCs w:val="20"/>
        </w:rPr>
        <w:t>the domestic remedies must have been pursued and exhausted in accordance with generally recognized principles of international law</w:t>
      </w:r>
      <w:r w:rsidR="00101F29" w:rsidRPr="0004208D">
        <w:rPr>
          <w:rFonts w:asciiTheme="majorHAnsi" w:hAnsiTheme="majorHAnsi"/>
          <w:color w:val="000000" w:themeColor="text1"/>
          <w:sz w:val="20"/>
          <w:szCs w:val="20"/>
        </w:rPr>
        <w:t xml:space="preserve">. </w:t>
      </w:r>
      <w:r w:rsidR="00EA0EA0" w:rsidRPr="0004208D">
        <w:rPr>
          <w:rFonts w:asciiTheme="majorHAnsi" w:hAnsiTheme="majorHAnsi"/>
          <w:color w:val="000000" w:themeColor="text1"/>
          <w:sz w:val="20"/>
          <w:szCs w:val="20"/>
        </w:rPr>
        <w:t>The purpose of this requirement is to allow national authorities to hear the alleged violation of a protected right and, if appropriate, to have the opportunity to resolve it before it is heard by an international body. The requirement of prior exhaustion applies when the national system has remedies available that are adequate and effective for remedying the alleged violation of human rights</w:t>
      </w:r>
      <w:r w:rsidR="00101F29" w:rsidRPr="0004208D">
        <w:rPr>
          <w:rFonts w:asciiTheme="majorHAnsi" w:hAnsiTheme="majorHAnsi"/>
          <w:color w:val="000000" w:themeColor="text1"/>
          <w:sz w:val="20"/>
          <w:szCs w:val="20"/>
        </w:rPr>
        <w:t xml:space="preserve">. </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D05847" w:rsidRPr="0004208D" w:rsidRDefault="00003A2E"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As indicated in the petition and the copies submitted as an attachment, in response to the revocation of her certificate of suitability by the vicar, the alleged victim filed an appeal for protection with the Court of Appeals of </w:t>
      </w:r>
      <w:r w:rsidR="003A61C4" w:rsidRPr="0004208D">
        <w:rPr>
          <w:rFonts w:asciiTheme="majorHAnsi" w:hAnsiTheme="majorHAnsi"/>
          <w:color w:val="000000" w:themeColor="text1"/>
          <w:sz w:val="20"/>
          <w:szCs w:val="20"/>
        </w:rPr>
        <w:t xml:space="preserve">San Miguel </w:t>
      </w:r>
      <w:r w:rsidRPr="0004208D">
        <w:rPr>
          <w:rFonts w:asciiTheme="majorHAnsi" w:hAnsiTheme="majorHAnsi"/>
          <w:color w:val="000000" w:themeColor="text1"/>
          <w:sz w:val="20"/>
          <w:szCs w:val="20"/>
        </w:rPr>
        <w:t>seeking to have that court protect her rights to equality before the law and the right not to endure arbitrary interferences in her private life</w:t>
      </w:r>
      <w:r w:rsidR="003A61C4" w:rsidRPr="0004208D">
        <w:rPr>
          <w:rFonts w:asciiTheme="majorHAnsi" w:hAnsiTheme="majorHAnsi"/>
          <w:color w:val="000000" w:themeColor="text1"/>
          <w:sz w:val="20"/>
          <w:szCs w:val="20"/>
        </w:rPr>
        <w:t>.</w:t>
      </w:r>
      <w:r w:rsidR="00B6531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That appeal was </w:t>
      </w:r>
      <w:r w:rsidR="000E3944" w:rsidRPr="0004208D">
        <w:rPr>
          <w:rFonts w:asciiTheme="majorHAnsi" w:hAnsiTheme="majorHAnsi"/>
          <w:color w:val="000000" w:themeColor="text1"/>
          <w:sz w:val="20"/>
          <w:szCs w:val="20"/>
        </w:rPr>
        <w:t>dismissed</w:t>
      </w:r>
      <w:r w:rsidRPr="0004208D">
        <w:rPr>
          <w:rFonts w:asciiTheme="majorHAnsi" w:hAnsiTheme="majorHAnsi"/>
          <w:color w:val="000000" w:themeColor="text1"/>
          <w:sz w:val="20"/>
          <w:szCs w:val="20"/>
        </w:rPr>
        <w:t xml:space="preserve"> by the court on </w:t>
      </w:r>
      <w:r w:rsidRPr="0004208D">
        <w:rPr>
          <w:rFonts w:asciiTheme="majorHAnsi" w:hAnsiTheme="majorHAnsi"/>
          <w:color w:val="000000" w:themeColor="text1"/>
          <w:sz w:val="20"/>
          <w:szCs w:val="20"/>
        </w:rPr>
        <w:lastRenderedPageBreak/>
        <w:t xml:space="preserve">November 27, </w:t>
      </w:r>
      <w:r w:rsidR="00B65319" w:rsidRPr="0004208D">
        <w:rPr>
          <w:rFonts w:asciiTheme="majorHAnsi" w:hAnsiTheme="majorHAnsi"/>
          <w:color w:val="000000" w:themeColor="text1"/>
          <w:sz w:val="20"/>
          <w:szCs w:val="20"/>
        </w:rPr>
        <w:t xml:space="preserve">2007. </w:t>
      </w:r>
      <w:r w:rsidRPr="0004208D">
        <w:rPr>
          <w:rFonts w:asciiTheme="majorHAnsi" w:hAnsiTheme="majorHAnsi"/>
          <w:color w:val="000000" w:themeColor="text1"/>
          <w:sz w:val="20"/>
          <w:szCs w:val="20"/>
        </w:rPr>
        <w:t xml:space="preserve">In response to that decision, the alleged victim filed an appeal with the higher court, which was resolved by the Supreme Court of Justice of Chile in a </w:t>
      </w:r>
      <w:r w:rsidR="000E3944" w:rsidRPr="0004208D">
        <w:rPr>
          <w:rFonts w:asciiTheme="majorHAnsi" w:hAnsiTheme="majorHAnsi"/>
          <w:color w:val="000000" w:themeColor="text1"/>
          <w:sz w:val="20"/>
          <w:szCs w:val="20"/>
        </w:rPr>
        <w:t>judgment</w:t>
      </w:r>
      <w:r w:rsidRPr="0004208D">
        <w:rPr>
          <w:rFonts w:asciiTheme="majorHAnsi" w:hAnsiTheme="majorHAnsi"/>
          <w:color w:val="000000" w:themeColor="text1"/>
          <w:sz w:val="20"/>
          <w:szCs w:val="20"/>
        </w:rPr>
        <w:t xml:space="preserve"> dated April </w:t>
      </w:r>
      <w:r w:rsidR="00B65319" w:rsidRPr="0004208D">
        <w:rPr>
          <w:rFonts w:asciiTheme="majorHAnsi" w:hAnsiTheme="majorHAnsi"/>
          <w:color w:val="000000" w:themeColor="text1"/>
          <w:sz w:val="20"/>
          <w:szCs w:val="20"/>
        </w:rPr>
        <w:t>1</w:t>
      </w:r>
      <w:r w:rsidR="005C04A8" w:rsidRPr="0004208D">
        <w:rPr>
          <w:rFonts w:asciiTheme="majorHAnsi" w:hAnsiTheme="majorHAnsi"/>
          <w:color w:val="000000" w:themeColor="text1"/>
          <w:sz w:val="20"/>
          <w:szCs w:val="20"/>
        </w:rPr>
        <w:t>7</w:t>
      </w:r>
      <w:r w:rsidRPr="0004208D">
        <w:rPr>
          <w:rFonts w:asciiTheme="majorHAnsi" w:hAnsiTheme="majorHAnsi"/>
          <w:color w:val="000000" w:themeColor="text1"/>
          <w:sz w:val="20"/>
          <w:szCs w:val="20"/>
        </w:rPr>
        <w:t>,</w:t>
      </w:r>
      <w:r w:rsidR="00B65319" w:rsidRPr="0004208D">
        <w:rPr>
          <w:rFonts w:asciiTheme="majorHAnsi" w:hAnsiTheme="majorHAnsi"/>
          <w:color w:val="000000" w:themeColor="text1"/>
          <w:sz w:val="20"/>
          <w:szCs w:val="20"/>
        </w:rPr>
        <w:t xml:space="preserve"> 2008. </w:t>
      </w:r>
      <w:r w:rsidRPr="0004208D">
        <w:rPr>
          <w:rFonts w:asciiTheme="majorHAnsi" w:hAnsiTheme="majorHAnsi"/>
          <w:color w:val="000000" w:themeColor="text1"/>
          <w:sz w:val="20"/>
          <w:szCs w:val="20"/>
        </w:rPr>
        <w:t xml:space="preserve">This latter </w:t>
      </w:r>
      <w:r w:rsidR="000E3944" w:rsidRPr="0004208D">
        <w:rPr>
          <w:rFonts w:asciiTheme="majorHAnsi" w:hAnsiTheme="majorHAnsi"/>
          <w:color w:val="000000" w:themeColor="text1"/>
          <w:sz w:val="20"/>
          <w:szCs w:val="20"/>
        </w:rPr>
        <w:t>ruling</w:t>
      </w:r>
      <w:r w:rsidRPr="0004208D">
        <w:rPr>
          <w:rFonts w:asciiTheme="majorHAnsi" w:hAnsiTheme="majorHAnsi"/>
          <w:color w:val="000000" w:themeColor="text1"/>
          <w:sz w:val="20"/>
          <w:szCs w:val="20"/>
        </w:rPr>
        <w:t xml:space="preserve"> confirmed all parts of the </w:t>
      </w:r>
      <w:r w:rsidR="000E3944" w:rsidRPr="0004208D">
        <w:rPr>
          <w:rFonts w:asciiTheme="majorHAnsi" w:hAnsiTheme="majorHAnsi"/>
          <w:color w:val="000000" w:themeColor="text1"/>
          <w:sz w:val="20"/>
          <w:szCs w:val="20"/>
        </w:rPr>
        <w:t>judgment</w:t>
      </w:r>
      <w:r w:rsidRPr="0004208D">
        <w:rPr>
          <w:rFonts w:asciiTheme="majorHAnsi" w:hAnsiTheme="majorHAnsi"/>
          <w:color w:val="000000" w:themeColor="text1"/>
          <w:sz w:val="20"/>
          <w:szCs w:val="20"/>
        </w:rPr>
        <w:t xml:space="preserve"> </w:t>
      </w:r>
      <w:r w:rsidR="000E3944" w:rsidRPr="0004208D">
        <w:rPr>
          <w:rFonts w:asciiTheme="majorHAnsi" w:hAnsiTheme="majorHAnsi"/>
          <w:color w:val="000000" w:themeColor="text1"/>
          <w:sz w:val="20"/>
          <w:szCs w:val="20"/>
        </w:rPr>
        <w:t>of</w:t>
      </w:r>
      <w:r w:rsidRPr="0004208D">
        <w:rPr>
          <w:rFonts w:asciiTheme="majorHAnsi" w:hAnsiTheme="majorHAnsi"/>
          <w:color w:val="000000" w:themeColor="text1"/>
          <w:sz w:val="20"/>
          <w:szCs w:val="20"/>
        </w:rPr>
        <w:t xml:space="preserve"> the Court of Appeals of </w:t>
      </w:r>
      <w:r w:rsidR="00B65319" w:rsidRPr="0004208D">
        <w:rPr>
          <w:rFonts w:asciiTheme="majorHAnsi" w:hAnsiTheme="majorHAnsi"/>
          <w:color w:val="000000" w:themeColor="text1"/>
          <w:sz w:val="20"/>
          <w:szCs w:val="20"/>
        </w:rPr>
        <w:t>San Miguel.</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101F29" w:rsidRPr="0004208D" w:rsidRDefault="00003A2E"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The Commission notes that the alleged victim exhausted the remedies that the Chilean legal order offered her to put an end to the situation alleged to be a violat</w:t>
      </w:r>
      <w:r w:rsidR="000E3944" w:rsidRPr="0004208D">
        <w:rPr>
          <w:rFonts w:asciiTheme="majorHAnsi" w:hAnsiTheme="majorHAnsi"/>
          <w:color w:val="000000" w:themeColor="text1"/>
          <w:sz w:val="20"/>
          <w:szCs w:val="20"/>
        </w:rPr>
        <w:t>ion of her rights. T</w:t>
      </w:r>
      <w:r w:rsidRPr="0004208D">
        <w:rPr>
          <w:rFonts w:asciiTheme="majorHAnsi" w:hAnsiTheme="majorHAnsi"/>
          <w:color w:val="000000" w:themeColor="text1"/>
          <w:sz w:val="20"/>
          <w:szCs w:val="20"/>
        </w:rPr>
        <w:t>he Commission</w:t>
      </w:r>
      <w:r w:rsidR="00895275" w:rsidRPr="0004208D">
        <w:rPr>
          <w:rFonts w:asciiTheme="majorHAnsi" w:hAnsiTheme="majorHAnsi"/>
          <w:color w:val="000000" w:themeColor="text1"/>
          <w:sz w:val="20"/>
          <w:szCs w:val="20"/>
        </w:rPr>
        <w:t xml:space="preserve"> </w:t>
      </w:r>
      <w:r w:rsidR="000E3944" w:rsidRPr="0004208D">
        <w:rPr>
          <w:rFonts w:asciiTheme="majorHAnsi" w:hAnsiTheme="majorHAnsi"/>
          <w:color w:val="000000" w:themeColor="text1"/>
          <w:sz w:val="20"/>
          <w:szCs w:val="20"/>
        </w:rPr>
        <w:t xml:space="preserve">also </w:t>
      </w:r>
      <w:r w:rsidR="00216836" w:rsidRPr="0004208D">
        <w:rPr>
          <w:rFonts w:asciiTheme="majorHAnsi" w:hAnsiTheme="majorHAnsi"/>
          <w:color w:val="000000" w:themeColor="text1"/>
          <w:sz w:val="20"/>
          <w:szCs w:val="20"/>
        </w:rPr>
        <w:t xml:space="preserve">notes in particular that the State has expressly indicated that it does not </w:t>
      </w:r>
      <w:r w:rsidR="000E3944" w:rsidRPr="0004208D">
        <w:rPr>
          <w:rFonts w:asciiTheme="majorHAnsi" w:hAnsiTheme="majorHAnsi"/>
          <w:color w:val="000000" w:themeColor="text1"/>
          <w:sz w:val="20"/>
          <w:szCs w:val="20"/>
        </w:rPr>
        <w:t>have</w:t>
      </w:r>
      <w:r w:rsidR="00216836" w:rsidRPr="0004208D">
        <w:rPr>
          <w:rFonts w:asciiTheme="majorHAnsi" w:hAnsiTheme="majorHAnsi"/>
          <w:color w:val="000000" w:themeColor="text1"/>
          <w:sz w:val="20"/>
          <w:szCs w:val="20"/>
        </w:rPr>
        <w:t xml:space="preserve"> any objection regarding the formal requirements</w:t>
      </w:r>
      <w:r w:rsidR="00E528A0" w:rsidRPr="0004208D">
        <w:rPr>
          <w:rFonts w:asciiTheme="majorHAnsi" w:hAnsiTheme="majorHAnsi"/>
          <w:color w:val="000000" w:themeColor="text1"/>
          <w:sz w:val="20"/>
          <w:szCs w:val="20"/>
        </w:rPr>
        <w:t xml:space="preserve">, </w:t>
      </w:r>
      <w:r w:rsidR="00216836" w:rsidRPr="0004208D">
        <w:rPr>
          <w:rFonts w:asciiTheme="majorHAnsi" w:hAnsiTheme="majorHAnsi"/>
          <w:color w:val="000000" w:themeColor="text1"/>
          <w:sz w:val="20"/>
          <w:szCs w:val="20"/>
        </w:rPr>
        <w:t xml:space="preserve">and it is thus appropriate to deem as properly confirmed the exhaustion of domestic remedies imposed under Article </w:t>
      </w:r>
      <w:r w:rsidR="00E528A0" w:rsidRPr="0004208D">
        <w:rPr>
          <w:rFonts w:asciiTheme="majorHAnsi" w:hAnsiTheme="majorHAnsi"/>
          <w:color w:val="000000" w:themeColor="text1"/>
          <w:sz w:val="20"/>
          <w:szCs w:val="20"/>
        </w:rPr>
        <w:t xml:space="preserve">46(1)(a) </w:t>
      </w:r>
      <w:r w:rsidR="00216836" w:rsidRPr="0004208D">
        <w:rPr>
          <w:rFonts w:asciiTheme="majorHAnsi" w:hAnsiTheme="majorHAnsi"/>
          <w:color w:val="000000" w:themeColor="text1"/>
          <w:sz w:val="20"/>
          <w:szCs w:val="20"/>
        </w:rPr>
        <w:t>of the American Convention</w:t>
      </w:r>
      <w:r w:rsidR="00E528A0" w:rsidRPr="0004208D">
        <w:rPr>
          <w:rFonts w:asciiTheme="majorHAnsi" w:hAnsiTheme="majorHAnsi"/>
          <w:color w:val="000000" w:themeColor="text1"/>
          <w:sz w:val="20"/>
          <w:szCs w:val="20"/>
        </w:rPr>
        <w:t>.</w:t>
      </w:r>
    </w:p>
    <w:p w:rsidR="009B2357" w:rsidRPr="0004208D" w:rsidRDefault="009B2357"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101F29" w:rsidRPr="0004208D" w:rsidRDefault="00101F29" w:rsidP="006905E2">
      <w:pPr>
        <w:pStyle w:val="Heading1"/>
        <w:numPr>
          <w:ilvl w:val="0"/>
          <w:numId w:val="0"/>
        </w:numPr>
        <w:spacing w:before="0"/>
        <w:ind w:left="720"/>
        <w:rPr>
          <w:color w:val="000000" w:themeColor="text1"/>
          <w:sz w:val="20"/>
          <w:szCs w:val="20"/>
        </w:rPr>
      </w:pPr>
      <w:r w:rsidRPr="0004208D">
        <w:rPr>
          <w:color w:val="000000" w:themeColor="text1"/>
          <w:sz w:val="20"/>
          <w:szCs w:val="20"/>
        </w:rPr>
        <w:t>C.</w:t>
      </w:r>
      <w:r w:rsidRPr="0004208D">
        <w:rPr>
          <w:color w:val="000000" w:themeColor="text1"/>
          <w:sz w:val="20"/>
          <w:szCs w:val="20"/>
        </w:rPr>
        <w:tab/>
      </w:r>
      <w:r w:rsidR="00EB5E67" w:rsidRPr="0004208D">
        <w:rPr>
          <w:color w:val="000000" w:themeColor="text1"/>
          <w:sz w:val="20"/>
          <w:szCs w:val="20"/>
        </w:rPr>
        <w:t>Deadline for submitting the petition</w:t>
      </w:r>
    </w:p>
    <w:p w:rsidR="006905E2" w:rsidRPr="0004208D" w:rsidRDefault="006905E2" w:rsidP="006905E2">
      <w:pPr>
        <w:rPr>
          <w:color w:val="000000" w:themeColor="text1"/>
        </w:rPr>
      </w:pPr>
    </w:p>
    <w:p w:rsidR="00101F29" w:rsidRPr="0004208D" w:rsidRDefault="00C64284"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Article</w:t>
      </w:r>
      <w:r w:rsidR="00101F29" w:rsidRPr="0004208D">
        <w:rPr>
          <w:rFonts w:asciiTheme="majorHAnsi" w:hAnsiTheme="majorHAnsi"/>
          <w:color w:val="000000" w:themeColor="text1"/>
          <w:sz w:val="20"/>
          <w:szCs w:val="20"/>
        </w:rPr>
        <w:t xml:space="preserve"> 46(1)(b) </w:t>
      </w:r>
      <w:r w:rsidRPr="0004208D">
        <w:rPr>
          <w:rFonts w:asciiTheme="majorHAnsi" w:hAnsiTheme="majorHAnsi"/>
          <w:color w:val="000000" w:themeColor="text1"/>
          <w:sz w:val="20"/>
          <w:szCs w:val="20"/>
        </w:rPr>
        <w:t xml:space="preserve">of the American Convention establishes that in order for a petition to be declared admissible, it must have been submitted within a period of six months </w:t>
      </w:r>
      <w:r w:rsidR="000E3944" w:rsidRPr="0004208D">
        <w:rPr>
          <w:rFonts w:asciiTheme="majorHAnsi" w:hAnsiTheme="majorHAnsi"/>
          <w:color w:val="000000" w:themeColor="text1"/>
          <w:sz w:val="20"/>
          <w:szCs w:val="20"/>
        </w:rPr>
        <w:t>from</w:t>
      </w:r>
      <w:r w:rsidRPr="0004208D">
        <w:rPr>
          <w:rFonts w:asciiTheme="majorHAnsi" w:hAnsiTheme="majorHAnsi"/>
          <w:color w:val="000000" w:themeColor="text1"/>
          <w:sz w:val="20"/>
          <w:szCs w:val="20"/>
        </w:rPr>
        <w:t xml:space="preserve"> the date </w:t>
      </w:r>
      <w:r w:rsidR="000E3944" w:rsidRPr="0004208D">
        <w:rPr>
          <w:rFonts w:asciiTheme="majorHAnsi" w:hAnsiTheme="majorHAnsi"/>
          <w:color w:val="000000" w:themeColor="text1"/>
          <w:sz w:val="20"/>
          <w:szCs w:val="20"/>
        </w:rPr>
        <w:t>on which</w:t>
      </w:r>
      <w:r w:rsidRPr="0004208D">
        <w:rPr>
          <w:rFonts w:asciiTheme="majorHAnsi" w:hAnsiTheme="majorHAnsi"/>
          <w:color w:val="000000" w:themeColor="text1"/>
          <w:sz w:val="20"/>
          <w:szCs w:val="20"/>
        </w:rPr>
        <w:t xml:space="preserve"> the interested party was notified of the final </w:t>
      </w:r>
      <w:r w:rsidR="000E3944" w:rsidRPr="0004208D">
        <w:rPr>
          <w:rFonts w:asciiTheme="majorHAnsi" w:hAnsiTheme="majorHAnsi"/>
          <w:color w:val="000000" w:themeColor="text1"/>
          <w:sz w:val="20"/>
          <w:szCs w:val="20"/>
        </w:rPr>
        <w:t>judgment</w:t>
      </w:r>
      <w:r w:rsidRPr="0004208D">
        <w:rPr>
          <w:rFonts w:asciiTheme="majorHAnsi" w:hAnsiTheme="majorHAnsi"/>
          <w:color w:val="000000" w:themeColor="text1"/>
          <w:sz w:val="20"/>
          <w:szCs w:val="20"/>
        </w:rPr>
        <w:t xml:space="preserve"> that exhausted the domestic jurisdiction</w:t>
      </w:r>
      <w:r w:rsidR="00101F29" w:rsidRPr="0004208D">
        <w:rPr>
          <w:rFonts w:asciiTheme="majorHAnsi" w:hAnsiTheme="majorHAnsi"/>
          <w:color w:val="000000" w:themeColor="text1"/>
          <w:sz w:val="20"/>
          <w:szCs w:val="20"/>
        </w:rPr>
        <w: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101F29" w:rsidRPr="0004208D" w:rsidRDefault="0003179F"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In the specific case, the Commission has already established that the domestic remedies were exhausted with the </w:t>
      </w:r>
      <w:r w:rsidR="000E3944" w:rsidRPr="0004208D">
        <w:rPr>
          <w:rFonts w:asciiTheme="majorHAnsi" w:hAnsiTheme="majorHAnsi"/>
          <w:color w:val="000000" w:themeColor="text1"/>
          <w:sz w:val="20"/>
          <w:szCs w:val="20"/>
        </w:rPr>
        <w:t>judgment of</w:t>
      </w:r>
      <w:r w:rsidRPr="0004208D">
        <w:rPr>
          <w:rFonts w:asciiTheme="majorHAnsi" w:hAnsiTheme="majorHAnsi"/>
          <w:color w:val="000000" w:themeColor="text1"/>
          <w:sz w:val="20"/>
          <w:szCs w:val="20"/>
        </w:rPr>
        <w:t xml:space="preserve"> the Supreme Court of Justice dated and reported in the </w:t>
      </w:r>
      <w:r w:rsidRPr="0004208D">
        <w:rPr>
          <w:rFonts w:asciiTheme="majorHAnsi" w:hAnsiTheme="majorHAnsi"/>
          <w:i/>
          <w:color w:val="000000" w:themeColor="text1"/>
          <w:sz w:val="20"/>
          <w:szCs w:val="20"/>
        </w:rPr>
        <w:t>Estado Diario</w:t>
      </w:r>
      <w:r w:rsidRPr="0004208D">
        <w:rPr>
          <w:rFonts w:asciiTheme="majorHAnsi" w:hAnsiTheme="majorHAnsi"/>
          <w:color w:val="000000" w:themeColor="text1"/>
          <w:sz w:val="20"/>
          <w:szCs w:val="20"/>
        </w:rPr>
        <w:t xml:space="preserve"> of April 17, </w:t>
      </w:r>
      <w:r w:rsidR="00481902" w:rsidRPr="0004208D">
        <w:rPr>
          <w:rFonts w:asciiTheme="majorHAnsi" w:hAnsiTheme="majorHAnsi"/>
          <w:color w:val="000000" w:themeColor="text1"/>
          <w:sz w:val="20"/>
          <w:szCs w:val="20"/>
        </w:rPr>
        <w:t>2008</w:t>
      </w:r>
      <w:r w:rsidRPr="0004208D">
        <w:rPr>
          <w:rFonts w:asciiTheme="majorHAnsi" w:hAnsiTheme="majorHAnsi"/>
          <w:color w:val="000000" w:themeColor="text1"/>
          <w:sz w:val="20"/>
          <w:szCs w:val="20"/>
        </w:rPr>
        <w:t>, with respect to which the “to be carried out,”</w:t>
      </w:r>
      <w:r w:rsidR="003A6420" w:rsidRPr="0004208D">
        <w:rPr>
          <w:rFonts w:asciiTheme="majorHAnsi" w:hAnsiTheme="majorHAnsi"/>
          <w:color w:val="000000" w:themeColor="text1"/>
          <w:sz w:val="20"/>
          <w:szCs w:val="20"/>
        </w:rPr>
        <w:t xml:space="preserve"> [locally referred to in Spanish as the “cúmplase” order] </w:t>
      </w:r>
      <w:r w:rsidRPr="0004208D">
        <w:rPr>
          <w:rFonts w:asciiTheme="majorHAnsi" w:hAnsiTheme="majorHAnsi"/>
          <w:color w:val="000000" w:themeColor="text1"/>
          <w:sz w:val="20"/>
          <w:szCs w:val="20"/>
        </w:rPr>
        <w:t>as can be seen in the copies of the proceedings provided by the petitioners, was reported to the alleged victim on April</w:t>
      </w:r>
      <w:r w:rsidR="00EB5732" w:rsidRPr="0004208D">
        <w:rPr>
          <w:rFonts w:asciiTheme="majorHAnsi" w:hAnsiTheme="majorHAnsi"/>
          <w:color w:val="000000" w:themeColor="text1"/>
          <w:sz w:val="20"/>
          <w:szCs w:val="20"/>
        </w:rPr>
        <w:t xml:space="preserve"> 30</w:t>
      </w:r>
      <w:r w:rsidR="000E3944" w:rsidRPr="0004208D">
        <w:rPr>
          <w:rFonts w:asciiTheme="majorHAnsi" w:hAnsiTheme="majorHAnsi"/>
          <w:color w:val="000000" w:themeColor="text1"/>
          <w:sz w:val="20"/>
          <w:szCs w:val="20"/>
        </w:rPr>
        <w:t>,</w:t>
      </w:r>
      <w:r w:rsidR="00EB5732" w:rsidRPr="0004208D">
        <w:rPr>
          <w:rFonts w:asciiTheme="majorHAnsi" w:hAnsiTheme="majorHAnsi"/>
          <w:color w:val="000000" w:themeColor="text1"/>
          <w:sz w:val="20"/>
          <w:szCs w:val="20"/>
        </w:rPr>
        <w:t xml:space="preserve"> 2008.</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In that the petition was received on October 28, </w:t>
      </w:r>
      <w:r w:rsidR="00891336" w:rsidRPr="0004208D">
        <w:rPr>
          <w:rFonts w:asciiTheme="majorHAnsi" w:hAnsiTheme="majorHAnsi"/>
          <w:color w:val="000000" w:themeColor="text1"/>
          <w:sz w:val="20"/>
          <w:szCs w:val="20"/>
        </w:rPr>
        <w:t>2008</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the Commission considers the deadline provided in Article </w:t>
      </w:r>
      <w:r w:rsidR="00101F29" w:rsidRPr="0004208D">
        <w:rPr>
          <w:rFonts w:asciiTheme="majorHAnsi" w:hAnsiTheme="majorHAnsi"/>
          <w:color w:val="000000" w:themeColor="text1"/>
          <w:sz w:val="20"/>
          <w:szCs w:val="20"/>
        </w:rPr>
        <w:t xml:space="preserve">46(1)(b) </w:t>
      </w:r>
      <w:r w:rsidRPr="0004208D">
        <w:rPr>
          <w:rFonts w:asciiTheme="majorHAnsi" w:hAnsiTheme="majorHAnsi"/>
          <w:color w:val="000000" w:themeColor="text1"/>
          <w:sz w:val="20"/>
          <w:szCs w:val="20"/>
        </w:rPr>
        <w:t>of the American Convention to have been met.</w:t>
      </w:r>
    </w:p>
    <w:p w:rsidR="009B2357" w:rsidRPr="0004208D" w:rsidRDefault="009B2357"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101F29" w:rsidRPr="0004208D" w:rsidRDefault="00101F29" w:rsidP="006905E2">
      <w:pPr>
        <w:pStyle w:val="Heading1"/>
        <w:numPr>
          <w:ilvl w:val="0"/>
          <w:numId w:val="0"/>
        </w:numPr>
        <w:spacing w:before="0"/>
        <w:ind w:left="720"/>
        <w:rPr>
          <w:i/>
          <w:color w:val="000000" w:themeColor="text1"/>
          <w:sz w:val="20"/>
          <w:szCs w:val="20"/>
        </w:rPr>
      </w:pPr>
      <w:r w:rsidRPr="0004208D">
        <w:rPr>
          <w:color w:val="000000" w:themeColor="text1"/>
          <w:sz w:val="20"/>
          <w:szCs w:val="20"/>
        </w:rPr>
        <w:t>D.</w:t>
      </w:r>
      <w:r w:rsidRPr="0004208D">
        <w:rPr>
          <w:color w:val="000000" w:themeColor="text1"/>
          <w:sz w:val="20"/>
          <w:szCs w:val="20"/>
        </w:rPr>
        <w:tab/>
        <w:t>Duplic</w:t>
      </w:r>
      <w:r w:rsidR="0003179F" w:rsidRPr="0004208D">
        <w:rPr>
          <w:color w:val="000000" w:themeColor="text1"/>
          <w:sz w:val="20"/>
          <w:szCs w:val="20"/>
        </w:rPr>
        <w:t xml:space="preserve">ation of proceedings and international </w:t>
      </w:r>
      <w:r w:rsidR="00612B00" w:rsidRPr="0004208D">
        <w:rPr>
          <w:i/>
          <w:color w:val="000000" w:themeColor="text1"/>
          <w:sz w:val="20"/>
          <w:szCs w:val="20"/>
        </w:rPr>
        <w:t>res jud</w:t>
      </w:r>
      <w:r w:rsidR="0003179F" w:rsidRPr="0004208D">
        <w:rPr>
          <w:i/>
          <w:color w:val="000000" w:themeColor="text1"/>
          <w:sz w:val="20"/>
          <w:szCs w:val="20"/>
        </w:rPr>
        <w:t>icata</w:t>
      </w:r>
    </w:p>
    <w:p w:rsidR="006905E2" w:rsidRPr="0004208D" w:rsidRDefault="006905E2" w:rsidP="006905E2">
      <w:pPr>
        <w:rPr>
          <w:color w:val="000000" w:themeColor="text1"/>
        </w:rPr>
      </w:pPr>
    </w:p>
    <w:p w:rsidR="00101F29" w:rsidRPr="0004208D" w:rsidRDefault="00612B00"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04208D">
        <w:rPr>
          <w:rFonts w:asciiTheme="majorHAnsi" w:hAnsiTheme="majorHAnsi"/>
          <w:bCs/>
          <w:color w:val="000000" w:themeColor="text1"/>
          <w:sz w:val="20"/>
          <w:szCs w:val="20"/>
        </w:rPr>
        <w:t>Article</w:t>
      </w:r>
      <w:r w:rsidR="00101F29" w:rsidRPr="0004208D">
        <w:rPr>
          <w:rFonts w:asciiTheme="majorHAnsi" w:hAnsiTheme="majorHAnsi"/>
          <w:bCs/>
          <w:color w:val="000000" w:themeColor="text1"/>
          <w:sz w:val="20"/>
          <w:szCs w:val="20"/>
        </w:rPr>
        <w:t xml:space="preserve"> 46</w:t>
      </w:r>
      <w:r w:rsidR="00EB5732" w:rsidRPr="0004208D">
        <w:rPr>
          <w:rFonts w:asciiTheme="majorHAnsi" w:hAnsiTheme="majorHAnsi"/>
          <w:bCs/>
          <w:color w:val="000000" w:themeColor="text1"/>
          <w:sz w:val="20"/>
          <w:szCs w:val="20"/>
        </w:rPr>
        <w:t>(</w:t>
      </w:r>
      <w:r w:rsidR="00101F29" w:rsidRPr="0004208D">
        <w:rPr>
          <w:rFonts w:asciiTheme="majorHAnsi" w:hAnsiTheme="majorHAnsi"/>
          <w:bCs/>
          <w:color w:val="000000" w:themeColor="text1"/>
          <w:sz w:val="20"/>
          <w:szCs w:val="20"/>
        </w:rPr>
        <w:t>1</w:t>
      </w:r>
      <w:r w:rsidR="00EB5732" w:rsidRPr="0004208D">
        <w:rPr>
          <w:rFonts w:asciiTheme="majorHAnsi" w:hAnsiTheme="majorHAnsi"/>
          <w:bCs/>
          <w:color w:val="000000" w:themeColor="text1"/>
          <w:sz w:val="20"/>
          <w:szCs w:val="20"/>
        </w:rPr>
        <w:t>)(</w:t>
      </w:r>
      <w:r w:rsidR="00101F29" w:rsidRPr="0004208D">
        <w:rPr>
          <w:rFonts w:asciiTheme="majorHAnsi" w:hAnsiTheme="majorHAnsi"/>
          <w:bCs/>
          <w:color w:val="000000" w:themeColor="text1"/>
          <w:sz w:val="20"/>
          <w:szCs w:val="20"/>
        </w:rPr>
        <w:t xml:space="preserve">c) </w:t>
      </w:r>
      <w:r w:rsidRPr="0004208D">
        <w:rPr>
          <w:rFonts w:asciiTheme="majorHAnsi" w:hAnsiTheme="majorHAnsi"/>
          <w:bCs/>
          <w:color w:val="000000" w:themeColor="text1"/>
          <w:sz w:val="20"/>
          <w:szCs w:val="20"/>
        </w:rPr>
        <w:t>of the Convention provides that the admission of petitions is subject to the requirement that the subject “is not pending in another international proceeding</w:t>
      </w:r>
      <w:r w:rsidRPr="0004208D">
        <w:rPr>
          <w:rFonts w:asciiTheme="majorHAnsi" w:hAnsiTheme="majorHAnsi" w:cs="Arial"/>
          <w:color w:val="000000" w:themeColor="text1"/>
          <w:sz w:val="20"/>
          <w:szCs w:val="20"/>
        </w:rPr>
        <w:t xml:space="preserve"> </w:t>
      </w:r>
      <w:r w:rsidR="00101F29" w:rsidRPr="0004208D">
        <w:rPr>
          <w:rFonts w:asciiTheme="majorHAnsi" w:hAnsiTheme="majorHAnsi" w:cs="Arial"/>
          <w:color w:val="000000" w:themeColor="text1"/>
          <w:sz w:val="20"/>
          <w:szCs w:val="20"/>
        </w:rPr>
        <w:t>"</w:t>
      </w:r>
      <w:r w:rsidR="00101F29" w:rsidRPr="0004208D">
        <w:rPr>
          <w:rFonts w:asciiTheme="majorHAnsi" w:hAnsiTheme="majorHAnsi"/>
          <w:bCs/>
          <w:color w:val="000000" w:themeColor="text1"/>
          <w:sz w:val="20"/>
          <w:szCs w:val="20"/>
        </w:rPr>
        <w:t xml:space="preserve"> </w:t>
      </w:r>
      <w:r w:rsidRPr="0004208D">
        <w:rPr>
          <w:rFonts w:asciiTheme="majorHAnsi" w:hAnsiTheme="majorHAnsi"/>
          <w:bCs/>
          <w:color w:val="000000" w:themeColor="text1"/>
          <w:sz w:val="20"/>
          <w:szCs w:val="20"/>
        </w:rPr>
        <w:t xml:space="preserve">and Article </w:t>
      </w:r>
      <w:r w:rsidR="00EB5732" w:rsidRPr="0004208D">
        <w:rPr>
          <w:rFonts w:asciiTheme="majorHAnsi" w:hAnsiTheme="majorHAnsi"/>
          <w:bCs/>
          <w:color w:val="000000" w:themeColor="text1"/>
          <w:sz w:val="20"/>
          <w:szCs w:val="20"/>
        </w:rPr>
        <w:t>47(</w:t>
      </w:r>
      <w:r w:rsidR="00101F29" w:rsidRPr="0004208D">
        <w:rPr>
          <w:rFonts w:asciiTheme="majorHAnsi" w:hAnsiTheme="majorHAnsi"/>
          <w:bCs/>
          <w:color w:val="000000" w:themeColor="text1"/>
          <w:sz w:val="20"/>
          <w:szCs w:val="20"/>
        </w:rPr>
        <w:t xml:space="preserve">d) </w:t>
      </w:r>
      <w:r w:rsidRPr="0004208D">
        <w:rPr>
          <w:rFonts w:asciiTheme="majorHAnsi" w:hAnsiTheme="majorHAnsi"/>
          <w:bCs/>
          <w:color w:val="000000" w:themeColor="text1"/>
          <w:sz w:val="20"/>
          <w:szCs w:val="20"/>
        </w:rPr>
        <w:t>of the Convention stipulates that the Commission will not accept a petition that is substantially the same as one previously studied by the Commission or by another international organization</w:t>
      </w:r>
      <w:r w:rsidR="00101F29" w:rsidRPr="0004208D">
        <w:rPr>
          <w:rFonts w:asciiTheme="majorHAnsi" w:hAnsiTheme="majorHAnsi"/>
          <w:bCs/>
          <w:color w:val="000000" w:themeColor="text1"/>
          <w:sz w:val="20"/>
          <w:szCs w:val="20"/>
        </w:rPr>
        <w:t>.</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rsidR="00262BEF" w:rsidRDefault="00612B00" w:rsidP="00EF647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EF6475">
        <w:rPr>
          <w:rFonts w:asciiTheme="majorHAnsi" w:hAnsiTheme="majorHAnsi"/>
          <w:color w:val="000000" w:themeColor="text1"/>
          <w:sz w:val="20"/>
          <w:szCs w:val="20"/>
        </w:rPr>
        <w:t>The file does not indicate that the subject of the petition is pending another international proceeding or that it reproduces a petition already examined by this or any other international body. Therefore, it is appropriate to deem that the requirements established in Articles</w:t>
      </w:r>
      <w:r w:rsidR="00101F29" w:rsidRPr="00EF6475">
        <w:rPr>
          <w:rFonts w:asciiTheme="majorHAnsi" w:hAnsiTheme="majorHAnsi"/>
          <w:color w:val="000000" w:themeColor="text1"/>
          <w:sz w:val="20"/>
          <w:szCs w:val="20"/>
        </w:rPr>
        <w:t xml:space="preserve"> 46(1)(c) </w:t>
      </w:r>
      <w:r w:rsidRPr="00EF6475">
        <w:rPr>
          <w:rFonts w:asciiTheme="majorHAnsi" w:hAnsiTheme="majorHAnsi"/>
          <w:color w:val="000000" w:themeColor="text1"/>
          <w:sz w:val="20"/>
          <w:szCs w:val="20"/>
        </w:rPr>
        <w:t>and</w:t>
      </w:r>
      <w:r w:rsidR="00101F29" w:rsidRPr="00EF6475">
        <w:rPr>
          <w:rFonts w:asciiTheme="majorHAnsi" w:hAnsiTheme="majorHAnsi"/>
          <w:color w:val="000000" w:themeColor="text1"/>
          <w:sz w:val="20"/>
          <w:szCs w:val="20"/>
        </w:rPr>
        <w:t xml:space="preserve"> 47(d) </w:t>
      </w:r>
      <w:r w:rsidRPr="00EF6475">
        <w:rPr>
          <w:rFonts w:asciiTheme="majorHAnsi" w:hAnsiTheme="majorHAnsi"/>
          <w:color w:val="000000" w:themeColor="text1"/>
          <w:sz w:val="20"/>
          <w:szCs w:val="20"/>
        </w:rPr>
        <w:t>of the Convention have been met</w:t>
      </w:r>
      <w:r w:rsidR="00101F29" w:rsidRPr="00EF6475">
        <w:rPr>
          <w:rFonts w:asciiTheme="majorHAnsi" w:hAnsiTheme="majorHAnsi"/>
          <w:color w:val="000000" w:themeColor="text1"/>
          <w:sz w:val="20"/>
          <w:szCs w:val="20"/>
        </w:rPr>
        <w:t>.</w:t>
      </w:r>
    </w:p>
    <w:p w:rsidR="00EF6475" w:rsidRPr="00EF6475" w:rsidRDefault="00EF6475" w:rsidP="00EF647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rsidR="00101F29" w:rsidRPr="0004208D" w:rsidRDefault="00101F29" w:rsidP="006905E2">
      <w:pPr>
        <w:pStyle w:val="Heading1"/>
        <w:numPr>
          <w:ilvl w:val="0"/>
          <w:numId w:val="0"/>
        </w:numPr>
        <w:spacing w:before="0"/>
        <w:ind w:left="720"/>
        <w:rPr>
          <w:color w:val="000000" w:themeColor="text1"/>
          <w:sz w:val="20"/>
          <w:szCs w:val="20"/>
        </w:rPr>
      </w:pPr>
      <w:r w:rsidRPr="0004208D">
        <w:rPr>
          <w:color w:val="000000" w:themeColor="text1"/>
          <w:sz w:val="20"/>
          <w:szCs w:val="20"/>
        </w:rPr>
        <w:t>E.</w:t>
      </w:r>
      <w:r w:rsidRPr="0004208D">
        <w:rPr>
          <w:color w:val="000000" w:themeColor="text1"/>
          <w:sz w:val="20"/>
          <w:szCs w:val="20"/>
        </w:rPr>
        <w:tab/>
        <w:t>C</w:t>
      </w:r>
      <w:r w:rsidR="00612B00" w:rsidRPr="0004208D">
        <w:rPr>
          <w:color w:val="000000" w:themeColor="text1"/>
          <w:sz w:val="20"/>
          <w:szCs w:val="20"/>
        </w:rPr>
        <w:t>haracterization of the alleged facts</w:t>
      </w:r>
    </w:p>
    <w:p w:rsidR="006905E2" w:rsidRPr="0004208D" w:rsidRDefault="006905E2" w:rsidP="006905E2">
      <w:pPr>
        <w:rPr>
          <w:color w:val="000000" w:themeColor="text1"/>
        </w:rPr>
      </w:pPr>
    </w:p>
    <w:p w:rsidR="00101F29" w:rsidRPr="00F952B4" w:rsidRDefault="00DF762A"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color w:val="000000" w:themeColor="text1"/>
          <w:sz w:val="20"/>
          <w:szCs w:val="20"/>
        </w:rPr>
      </w:pPr>
      <w:r w:rsidRPr="0004208D">
        <w:rPr>
          <w:rFonts w:asciiTheme="majorHAnsi" w:hAnsiTheme="majorHAnsi"/>
          <w:color w:val="000000" w:themeColor="text1"/>
          <w:sz w:val="20"/>
          <w:szCs w:val="20"/>
        </w:rPr>
        <w:t>For admissibility purposes, the Commission must decide whether the petition states facts that tend to establish a violation, as stipulated in Article</w:t>
      </w:r>
      <w:r w:rsidR="00101F29" w:rsidRPr="0004208D">
        <w:rPr>
          <w:rFonts w:asciiTheme="majorHAnsi" w:hAnsiTheme="majorHAnsi"/>
          <w:color w:val="000000" w:themeColor="text1"/>
          <w:sz w:val="20"/>
          <w:szCs w:val="20"/>
        </w:rPr>
        <w:t xml:space="preserve"> 47(b) </w:t>
      </w:r>
      <w:r w:rsidRPr="0004208D">
        <w:rPr>
          <w:rFonts w:asciiTheme="majorHAnsi" w:hAnsiTheme="majorHAnsi"/>
          <w:color w:val="000000" w:themeColor="text1"/>
          <w:sz w:val="20"/>
          <w:szCs w:val="20"/>
        </w:rPr>
        <w:t>of the American Convention, and whether the petition is “manifestly groundless” or “obviously out of order,” in accordance with paragraph</w:t>
      </w:r>
      <w:r w:rsidR="00101F29" w:rsidRPr="0004208D">
        <w:rPr>
          <w:rFonts w:asciiTheme="majorHAnsi" w:hAnsiTheme="majorHAnsi"/>
          <w:color w:val="000000" w:themeColor="text1"/>
          <w:sz w:val="20"/>
          <w:szCs w:val="20"/>
        </w:rPr>
        <w:t xml:space="preserve"> (c) </w:t>
      </w:r>
      <w:r w:rsidRPr="0004208D">
        <w:rPr>
          <w:rFonts w:asciiTheme="majorHAnsi" w:hAnsiTheme="majorHAnsi"/>
          <w:color w:val="000000" w:themeColor="text1"/>
          <w:sz w:val="20"/>
          <w:szCs w:val="20"/>
        </w:rPr>
        <w:t>of the same article</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The standard for assessing these points is different from that required to rule on the merits of a complaint.</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 xml:space="preserve">The Commission must perform a </w:t>
      </w:r>
      <w:r w:rsidR="00101F29" w:rsidRPr="0004208D">
        <w:rPr>
          <w:rFonts w:asciiTheme="majorHAnsi" w:hAnsiTheme="majorHAnsi"/>
          <w:i/>
          <w:color w:val="000000" w:themeColor="text1"/>
          <w:sz w:val="20"/>
          <w:szCs w:val="20"/>
        </w:rPr>
        <w:t>prima facie</w:t>
      </w:r>
      <w:r w:rsidR="00101F29" w:rsidRPr="0004208D">
        <w:rPr>
          <w:rFonts w:asciiTheme="majorHAnsi" w:hAnsiTheme="majorHAnsi"/>
          <w:color w:val="000000" w:themeColor="text1"/>
          <w:sz w:val="20"/>
          <w:szCs w:val="20"/>
        </w:rPr>
        <w:t xml:space="preserve"> </w:t>
      </w:r>
      <w:r w:rsidRPr="0004208D">
        <w:rPr>
          <w:rFonts w:asciiTheme="majorHAnsi" w:hAnsiTheme="majorHAnsi"/>
          <w:color w:val="000000" w:themeColor="text1"/>
          <w:sz w:val="20"/>
          <w:szCs w:val="20"/>
        </w:rPr>
        <w:t>evaluation to examine whether the complaint provides the basis for the apparent or potential violation of a right guaranteed by the Convention and not to establish the existence of a violation. Such examination is a summary analysis and does not imply a prejudgment or advance opinion on the merits</w:t>
      </w:r>
      <w:r w:rsidR="00101F29" w:rsidRPr="0004208D">
        <w:rPr>
          <w:rFonts w:asciiTheme="majorHAnsi" w:hAnsiTheme="majorHAnsi"/>
          <w:color w:val="000000" w:themeColor="text1"/>
          <w:sz w:val="20"/>
          <w:szCs w:val="20"/>
        </w:rPr>
        <w:t>.</w:t>
      </w:r>
    </w:p>
    <w:p w:rsidR="00F952B4" w:rsidRPr="00F952B4" w:rsidRDefault="00F952B4" w:rsidP="00F952B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iCs/>
          <w:color w:val="000000" w:themeColor="text1"/>
          <w:sz w:val="20"/>
          <w:szCs w:val="20"/>
        </w:rPr>
      </w:pPr>
    </w:p>
    <w:p w:rsidR="00F952B4" w:rsidRPr="00976943" w:rsidRDefault="00F952B4" w:rsidP="000706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Cambria" w:hAnsiTheme="majorHAnsi" w:cs="Cambria"/>
          <w:sz w:val="20"/>
          <w:szCs w:val="20"/>
        </w:rPr>
      </w:pPr>
      <w:r w:rsidRPr="00976943">
        <w:rPr>
          <w:rFonts w:asciiTheme="majorHAnsi" w:eastAsia="Times New Roman" w:hAnsiTheme="majorHAnsi"/>
          <w:sz w:val="20"/>
          <w:szCs w:val="20"/>
          <w:bdr w:val="none" w:sz="0" w:space="0" w:color="auto"/>
        </w:rPr>
        <w:t xml:space="preserve">Neither the American Convention nor the Rules of Procedure of the IACHR require that the petition identify the specific rights allegedly violated by the State in a matter submitted to the Commission, though the petitioners may do so. It is up to the Commission, based on the case-law of the system, to determine in its admissibility reports which provision of the relevant inter-American instruments is applicable or could be established as having been violated, if the facts alleged are sufficiently proven. </w:t>
      </w:r>
    </w:p>
    <w:p w:rsidR="006905E2" w:rsidRPr="00976943"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iCs/>
          <w:color w:val="000000" w:themeColor="text1"/>
          <w:sz w:val="20"/>
          <w:szCs w:val="20"/>
        </w:rPr>
      </w:pPr>
    </w:p>
    <w:p w:rsidR="00E11933" w:rsidRPr="00976943" w:rsidRDefault="00F952B4"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76943">
        <w:rPr>
          <w:rFonts w:asciiTheme="majorHAnsi" w:eastAsia="Cambria" w:hAnsiTheme="majorHAnsi" w:cs="Cambria"/>
          <w:sz w:val="20"/>
          <w:szCs w:val="20"/>
        </w:rPr>
        <w:t xml:space="preserve">In light of the arguments of fact and of law presented by the parties and the nature of the matter before it, the IACHR finds that the petitioners’ submissions regarding the </w:t>
      </w:r>
      <w:r w:rsidR="004C725A" w:rsidRPr="00976943">
        <w:rPr>
          <w:rFonts w:asciiTheme="majorHAnsi" w:eastAsia="Cambria" w:hAnsiTheme="majorHAnsi" w:cs="Cambria"/>
          <w:sz w:val="20"/>
          <w:szCs w:val="20"/>
        </w:rPr>
        <w:t xml:space="preserve">alleged withdrawal of the </w:t>
      </w:r>
      <w:r w:rsidRPr="00976943">
        <w:rPr>
          <w:rFonts w:asciiTheme="majorHAnsi" w:eastAsia="Cambria" w:hAnsiTheme="majorHAnsi" w:cs="Cambria"/>
          <w:sz w:val="20"/>
          <w:szCs w:val="20"/>
        </w:rPr>
        <w:lastRenderedPageBreak/>
        <w:t>certificate of suitability</w:t>
      </w:r>
      <w:r w:rsidR="00E93FA1" w:rsidRPr="00976943">
        <w:rPr>
          <w:rFonts w:asciiTheme="majorHAnsi" w:eastAsia="Cambria" w:hAnsiTheme="majorHAnsi" w:cs="Cambria"/>
          <w:sz w:val="20"/>
          <w:szCs w:val="20"/>
        </w:rPr>
        <w:t xml:space="preserve"> based on the alleged victim’s sexual orientation</w:t>
      </w:r>
      <w:r w:rsidR="004C725A" w:rsidRPr="00976943">
        <w:rPr>
          <w:rFonts w:asciiTheme="majorHAnsi" w:eastAsia="Cambria" w:hAnsiTheme="majorHAnsi" w:cs="Cambria"/>
          <w:sz w:val="20"/>
          <w:szCs w:val="20"/>
        </w:rPr>
        <w:t xml:space="preserve">, which was ordered by religious authorities </w:t>
      </w:r>
      <w:r w:rsidR="0066543C" w:rsidRPr="00976943">
        <w:rPr>
          <w:rFonts w:asciiTheme="majorHAnsi" w:eastAsia="Cambria" w:hAnsiTheme="majorHAnsi" w:cs="Cambria"/>
          <w:sz w:val="20"/>
          <w:szCs w:val="20"/>
        </w:rPr>
        <w:t xml:space="preserve">in use of powers delegated by </w:t>
      </w:r>
      <w:r w:rsidR="00E11933" w:rsidRPr="00976943">
        <w:rPr>
          <w:rFonts w:asciiTheme="majorHAnsi" w:eastAsia="Cambria" w:hAnsiTheme="majorHAnsi" w:cs="Cambria"/>
          <w:sz w:val="20"/>
          <w:szCs w:val="20"/>
        </w:rPr>
        <w:t xml:space="preserve">the </w:t>
      </w:r>
      <w:r w:rsidR="0066543C" w:rsidRPr="00976943">
        <w:rPr>
          <w:rFonts w:asciiTheme="majorHAnsi" w:eastAsia="Cambria" w:hAnsiTheme="majorHAnsi" w:cs="Cambria"/>
          <w:sz w:val="20"/>
          <w:szCs w:val="20"/>
        </w:rPr>
        <w:t>State</w:t>
      </w:r>
      <w:r w:rsidR="00E11933" w:rsidRPr="00976943">
        <w:rPr>
          <w:rFonts w:asciiTheme="majorHAnsi" w:eastAsia="Cambria" w:hAnsiTheme="majorHAnsi" w:cs="Cambria"/>
          <w:sz w:val="20"/>
          <w:szCs w:val="20"/>
        </w:rPr>
        <w:t xml:space="preserve"> by means of an executive order</w:t>
      </w:r>
      <w:r w:rsidR="0066543C" w:rsidRPr="00976943">
        <w:rPr>
          <w:rFonts w:asciiTheme="majorHAnsi" w:eastAsia="Cambria" w:hAnsiTheme="majorHAnsi" w:cs="Cambria"/>
          <w:sz w:val="20"/>
          <w:szCs w:val="20"/>
        </w:rPr>
        <w:t>,</w:t>
      </w:r>
      <w:r w:rsidR="00E93FA1" w:rsidRPr="00976943">
        <w:rPr>
          <w:rFonts w:asciiTheme="majorHAnsi" w:eastAsia="Cambria" w:hAnsiTheme="majorHAnsi" w:cs="Cambria"/>
          <w:sz w:val="20"/>
          <w:szCs w:val="20"/>
        </w:rPr>
        <w:t xml:space="preserve"> </w:t>
      </w:r>
      <w:r w:rsidR="00B75F8C" w:rsidRPr="00976943">
        <w:rPr>
          <w:rFonts w:asciiTheme="majorHAnsi" w:eastAsia="Cambria" w:hAnsiTheme="majorHAnsi" w:cs="Cambria"/>
          <w:sz w:val="20"/>
          <w:szCs w:val="20"/>
        </w:rPr>
        <w:t xml:space="preserve">will </w:t>
      </w:r>
      <w:r w:rsidR="00B75F8C" w:rsidRPr="00976943">
        <w:rPr>
          <w:rFonts w:asciiTheme="majorHAnsi" w:hAnsiTheme="majorHAnsi"/>
          <w:iCs/>
          <w:color w:val="000000" w:themeColor="text1"/>
          <w:sz w:val="20"/>
          <w:szCs w:val="20"/>
        </w:rPr>
        <w:t xml:space="preserve">require an analysis in the merits stage to assess its compatibility with the provisions set forth in </w:t>
      </w:r>
      <w:r w:rsidR="00070682" w:rsidRPr="00976943">
        <w:rPr>
          <w:rFonts w:asciiTheme="majorHAnsi" w:hAnsiTheme="majorHAnsi"/>
          <w:iCs/>
          <w:color w:val="000000" w:themeColor="text1"/>
          <w:sz w:val="20"/>
          <w:szCs w:val="20"/>
        </w:rPr>
        <w:t>A</w:t>
      </w:r>
      <w:r w:rsidR="00DF762A" w:rsidRPr="00976943">
        <w:rPr>
          <w:rFonts w:asciiTheme="majorHAnsi" w:hAnsiTheme="majorHAnsi"/>
          <w:iCs/>
          <w:color w:val="000000" w:themeColor="text1"/>
          <w:sz w:val="20"/>
          <w:szCs w:val="20"/>
        </w:rPr>
        <w:t>rticles</w:t>
      </w:r>
      <w:r w:rsidR="00101F29" w:rsidRPr="00976943">
        <w:rPr>
          <w:rFonts w:asciiTheme="majorHAnsi" w:hAnsiTheme="majorHAnsi"/>
          <w:iCs/>
          <w:color w:val="000000" w:themeColor="text1"/>
          <w:sz w:val="20"/>
          <w:szCs w:val="20"/>
        </w:rPr>
        <w:t xml:space="preserve"> </w:t>
      </w:r>
      <w:r w:rsidR="00E63128" w:rsidRPr="00976943">
        <w:rPr>
          <w:rFonts w:asciiTheme="majorHAnsi" w:hAnsiTheme="majorHAnsi"/>
          <w:iCs/>
          <w:color w:val="000000" w:themeColor="text1"/>
          <w:sz w:val="20"/>
          <w:szCs w:val="20"/>
        </w:rPr>
        <w:t>11</w:t>
      </w:r>
      <w:r w:rsidR="00E93FA1" w:rsidRPr="00976943">
        <w:rPr>
          <w:rFonts w:asciiTheme="majorHAnsi" w:hAnsiTheme="majorHAnsi"/>
          <w:iCs/>
          <w:color w:val="000000" w:themeColor="text1"/>
          <w:sz w:val="20"/>
          <w:szCs w:val="20"/>
        </w:rPr>
        <w:t xml:space="preserve"> and </w:t>
      </w:r>
      <w:r w:rsidR="00E63128" w:rsidRPr="00976943">
        <w:rPr>
          <w:rFonts w:asciiTheme="majorHAnsi" w:hAnsiTheme="majorHAnsi"/>
          <w:iCs/>
          <w:color w:val="000000" w:themeColor="text1"/>
          <w:sz w:val="20"/>
          <w:szCs w:val="20"/>
        </w:rPr>
        <w:t>24</w:t>
      </w:r>
      <w:r w:rsidR="00E93FA1" w:rsidRPr="00976943">
        <w:rPr>
          <w:rFonts w:asciiTheme="majorHAnsi" w:hAnsiTheme="majorHAnsi"/>
          <w:iCs/>
          <w:color w:val="000000" w:themeColor="text1"/>
          <w:sz w:val="20"/>
          <w:szCs w:val="20"/>
        </w:rPr>
        <w:t xml:space="preserve"> </w:t>
      </w:r>
      <w:r w:rsidR="00DF762A" w:rsidRPr="00976943">
        <w:rPr>
          <w:rFonts w:asciiTheme="majorHAnsi" w:hAnsiTheme="majorHAnsi"/>
          <w:iCs/>
          <w:color w:val="000000" w:themeColor="text1"/>
          <w:sz w:val="20"/>
          <w:szCs w:val="20"/>
        </w:rPr>
        <w:t>of the American Convention</w:t>
      </w:r>
      <w:r w:rsidR="00782044" w:rsidRPr="00976943">
        <w:rPr>
          <w:rFonts w:asciiTheme="majorHAnsi" w:hAnsiTheme="majorHAnsi"/>
          <w:iCs/>
          <w:color w:val="000000" w:themeColor="text1"/>
          <w:sz w:val="20"/>
          <w:szCs w:val="20"/>
        </w:rPr>
        <w:t>,</w:t>
      </w:r>
      <w:r w:rsidR="00DF762A" w:rsidRPr="00976943">
        <w:rPr>
          <w:rFonts w:asciiTheme="majorHAnsi" w:hAnsiTheme="majorHAnsi"/>
          <w:iCs/>
          <w:color w:val="000000" w:themeColor="text1"/>
          <w:sz w:val="20"/>
          <w:szCs w:val="20"/>
        </w:rPr>
        <w:t xml:space="preserve"> in connection with </w:t>
      </w:r>
      <w:r w:rsidR="00070682" w:rsidRPr="00976943">
        <w:rPr>
          <w:rFonts w:asciiTheme="majorHAnsi" w:hAnsiTheme="majorHAnsi"/>
          <w:iCs/>
          <w:color w:val="000000" w:themeColor="text1"/>
          <w:sz w:val="20"/>
          <w:szCs w:val="20"/>
        </w:rPr>
        <w:t>A</w:t>
      </w:r>
      <w:r w:rsidR="00DF762A" w:rsidRPr="00976943">
        <w:rPr>
          <w:rFonts w:asciiTheme="majorHAnsi" w:hAnsiTheme="majorHAnsi"/>
          <w:iCs/>
          <w:color w:val="000000" w:themeColor="text1"/>
          <w:sz w:val="20"/>
          <w:szCs w:val="20"/>
        </w:rPr>
        <w:t>rticles</w:t>
      </w:r>
      <w:r w:rsidR="00101F29" w:rsidRPr="00976943">
        <w:rPr>
          <w:rFonts w:asciiTheme="majorHAnsi" w:hAnsiTheme="majorHAnsi"/>
          <w:iCs/>
          <w:color w:val="000000" w:themeColor="text1"/>
          <w:sz w:val="20"/>
          <w:szCs w:val="20"/>
        </w:rPr>
        <w:t xml:space="preserve"> 1.1</w:t>
      </w:r>
      <w:r w:rsidR="003A1AF6" w:rsidRPr="00976943">
        <w:rPr>
          <w:rFonts w:asciiTheme="majorHAnsi" w:hAnsiTheme="majorHAnsi"/>
          <w:color w:val="000000" w:themeColor="text1"/>
          <w:sz w:val="20"/>
          <w:szCs w:val="20"/>
        </w:rPr>
        <w:t xml:space="preserve"> </w:t>
      </w:r>
      <w:r w:rsidR="00DF762A" w:rsidRPr="00976943">
        <w:rPr>
          <w:rFonts w:asciiTheme="majorHAnsi" w:hAnsiTheme="majorHAnsi"/>
          <w:color w:val="000000" w:themeColor="text1"/>
          <w:sz w:val="20"/>
          <w:szCs w:val="20"/>
        </w:rPr>
        <w:t>and</w:t>
      </w:r>
      <w:r w:rsidR="00B90E23" w:rsidRPr="00976943">
        <w:rPr>
          <w:rFonts w:asciiTheme="majorHAnsi" w:hAnsiTheme="majorHAnsi"/>
          <w:color w:val="000000" w:themeColor="text1"/>
          <w:sz w:val="20"/>
          <w:szCs w:val="20"/>
        </w:rPr>
        <w:t xml:space="preserve"> 2 </w:t>
      </w:r>
      <w:r w:rsidR="00B75F8C" w:rsidRPr="00976943">
        <w:rPr>
          <w:rFonts w:asciiTheme="majorHAnsi" w:hAnsiTheme="majorHAnsi"/>
          <w:iCs/>
          <w:color w:val="000000" w:themeColor="text1"/>
          <w:sz w:val="20"/>
          <w:szCs w:val="20"/>
        </w:rPr>
        <w:t>thereof</w:t>
      </w:r>
      <w:r w:rsidR="00101F29" w:rsidRPr="00976943">
        <w:rPr>
          <w:rFonts w:asciiTheme="majorHAnsi" w:hAnsiTheme="majorHAnsi"/>
          <w:iCs/>
          <w:color w:val="000000" w:themeColor="text1"/>
          <w:sz w:val="20"/>
          <w:szCs w:val="20"/>
        </w:rPr>
        <w:t>.</w:t>
      </w:r>
      <w:r w:rsidR="00571CF5" w:rsidRPr="00976943">
        <w:rPr>
          <w:rFonts w:asciiTheme="majorHAnsi" w:hAnsiTheme="majorHAnsi"/>
          <w:iCs/>
          <w:color w:val="000000" w:themeColor="text1"/>
          <w:sz w:val="20"/>
          <w:szCs w:val="20"/>
        </w:rPr>
        <w:t xml:space="preserve"> </w:t>
      </w:r>
      <w:r w:rsidR="00E11933" w:rsidRPr="00976943">
        <w:rPr>
          <w:rFonts w:asciiTheme="majorHAnsi" w:eastAsia="Cambria" w:hAnsiTheme="majorHAnsi" w:cs="Cambria"/>
          <w:sz w:val="20"/>
          <w:szCs w:val="20"/>
        </w:rPr>
        <w:t xml:space="preserve">In addition, though the petitioners do not expressly allege as much, the IACHR </w:t>
      </w:r>
      <w:r w:rsidR="00782044" w:rsidRPr="00976943">
        <w:rPr>
          <w:rFonts w:asciiTheme="majorHAnsi" w:eastAsia="Cambria" w:hAnsiTheme="majorHAnsi" w:cs="Cambria"/>
          <w:sz w:val="20"/>
          <w:szCs w:val="20"/>
        </w:rPr>
        <w:t>notes</w:t>
      </w:r>
      <w:r w:rsidR="00E11933" w:rsidRPr="00976943">
        <w:rPr>
          <w:rFonts w:asciiTheme="majorHAnsi" w:eastAsia="Cambria" w:hAnsiTheme="majorHAnsi" w:cs="Cambria"/>
          <w:sz w:val="20"/>
          <w:szCs w:val="20"/>
        </w:rPr>
        <w:t xml:space="preserve"> that the purported inexistence </w:t>
      </w:r>
      <w:r w:rsidR="00782044" w:rsidRPr="00976943">
        <w:rPr>
          <w:rFonts w:asciiTheme="majorHAnsi" w:eastAsia="Cambria" w:hAnsiTheme="majorHAnsi" w:cs="Cambria"/>
          <w:sz w:val="20"/>
          <w:szCs w:val="20"/>
        </w:rPr>
        <w:t>of judicial</w:t>
      </w:r>
      <w:r w:rsidR="00E11933" w:rsidRPr="00976943">
        <w:rPr>
          <w:rFonts w:asciiTheme="majorHAnsi" w:eastAsia="Cambria" w:hAnsiTheme="majorHAnsi" w:cs="Cambria"/>
          <w:sz w:val="20"/>
          <w:szCs w:val="20"/>
        </w:rPr>
        <w:t xml:space="preserve"> protection and the purported omission to ensure due process in the access to domestic remedies, could </w:t>
      </w:r>
      <w:r w:rsidR="00782044" w:rsidRPr="00976943">
        <w:rPr>
          <w:rFonts w:asciiTheme="majorHAnsi" w:eastAsia="Cambria" w:hAnsiTheme="majorHAnsi" w:cs="Cambria"/>
          <w:sz w:val="20"/>
          <w:szCs w:val="20"/>
        </w:rPr>
        <w:t xml:space="preserve">represent a violation </w:t>
      </w:r>
      <w:r w:rsidR="00E11933" w:rsidRPr="00976943">
        <w:rPr>
          <w:rFonts w:asciiTheme="majorHAnsi" w:eastAsia="Cambria" w:hAnsiTheme="majorHAnsi" w:cs="Cambria"/>
          <w:sz w:val="20"/>
          <w:szCs w:val="20"/>
        </w:rPr>
        <w:t xml:space="preserve">of </w:t>
      </w:r>
      <w:r w:rsidR="00070682" w:rsidRPr="00976943">
        <w:rPr>
          <w:rFonts w:asciiTheme="majorHAnsi" w:eastAsia="Cambria" w:hAnsiTheme="majorHAnsi" w:cs="Cambria"/>
          <w:sz w:val="20"/>
          <w:szCs w:val="20"/>
        </w:rPr>
        <w:t>a</w:t>
      </w:r>
      <w:r w:rsidR="00E11933" w:rsidRPr="00976943">
        <w:rPr>
          <w:rFonts w:asciiTheme="majorHAnsi" w:eastAsia="Cambria" w:hAnsiTheme="majorHAnsi" w:cs="Cambria"/>
          <w:sz w:val="20"/>
          <w:szCs w:val="20"/>
        </w:rPr>
        <w:t>rticle</w:t>
      </w:r>
      <w:r w:rsidR="00782044" w:rsidRPr="00976943">
        <w:rPr>
          <w:rFonts w:asciiTheme="majorHAnsi" w:eastAsia="Cambria" w:hAnsiTheme="majorHAnsi" w:cs="Cambria"/>
          <w:sz w:val="20"/>
          <w:szCs w:val="20"/>
        </w:rPr>
        <w:t xml:space="preserve">s 8 and 25 of the American Convention </w:t>
      </w:r>
      <w:r w:rsidR="00782044" w:rsidRPr="00976943">
        <w:rPr>
          <w:rFonts w:asciiTheme="majorHAnsi" w:hAnsiTheme="majorHAnsi"/>
          <w:iCs/>
          <w:color w:val="000000" w:themeColor="text1"/>
          <w:sz w:val="20"/>
          <w:szCs w:val="20"/>
        </w:rPr>
        <w:t xml:space="preserve">in connection with </w:t>
      </w:r>
      <w:r w:rsidR="00070682" w:rsidRPr="00976943">
        <w:rPr>
          <w:rFonts w:asciiTheme="majorHAnsi" w:hAnsiTheme="majorHAnsi"/>
          <w:iCs/>
          <w:color w:val="000000" w:themeColor="text1"/>
          <w:sz w:val="20"/>
          <w:szCs w:val="20"/>
        </w:rPr>
        <w:t>A</w:t>
      </w:r>
      <w:r w:rsidR="00782044" w:rsidRPr="00976943">
        <w:rPr>
          <w:rFonts w:asciiTheme="majorHAnsi" w:hAnsiTheme="majorHAnsi"/>
          <w:iCs/>
          <w:color w:val="000000" w:themeColor="text1"/>
          <w:sz w:val="20"/>
          <w:szCs w:val="20"/>
        </w:rPr>
        <w:t>rticles 1.1</w:t>
      </w:r>
      <w:r w:rsidR="00782044" w:rsidRPr="00976943">
        <w:rPr>
          <w:rFonts w:asciiTheme="majorHAnsi" w:hAnsiTheme="majorHAnsi"/>
          <w:color w:val="000000" w:themeColor="text1"/>
          <w:sz w:val="20"/>
          <w:szCs w:val="20"/>
        </w:rPr>
        <w:t xml:space="preserve"> and 2 </w:t>
      </w:r>
      <w:r w:rsidR="00782044" w:rsidRPr="00976943">
        <w:rPr>
          <w:rFonts w:asciiTheme="majorHAnsi" w:hAnsiTheme="majorHAnsi"/>
          <w:iCs/>
          <w:color w:val="000000" w:themeColor="text1"/>
          <w:sz w:val="20"/>
          <w:szCs w:val="20"/>
        </w:rPr>
        <w:t>of said instrument.</w:t>
      </w:r>
    </w:p>
    <w:p w:rsidR="00D13DB7" w:rsidRDefault="00D13DB7" w:rsidP="00D13DB7">
      <w:pPr>
        <w:pStyle w:val="ListParagraph"/>
        <w:rPr>
          <w:rFonts w:asciiTheme="majorHAnsi" w:hAnsiTheme="majorHAnsi"/>
          <w:color w:val="000000" w:themeColor="text1"/>
          <w:sz w:val="20"/>
          <w:szCs w:val="20"/>
        </w:rPr>
      </w:pPr>
    </w:p>
    <w:p w:rsidR="00101F29" w:rsidRPr="0004208D" w:rsidRDefault="00DF762A" w:rsidP="006905E2">
      <w:pPr>
        <w:pStyle w:val="Heading1"/>
        <w:numPr>
          <w:ilvl w:val="0"/>
          <w:numId w:val="0"/>
        </w:numPr>
        <w:spacing w:before="0"/>
        <w:ind w:left="720"/>
        <w:rPr>
          <w:color w:val="000000" w:themeColor="text1"/>
          <w:sz w:val="20"/>
          <w:szCs w:val="20"/>
        </w:rPr>
      </w:pPr>
      <w:r w:rsidRPr="0004208D">
        <w:rPr>
          <w:color w:val="000000" w:themeColor="text1"/>
          <w:sz w:val="20"/>
          <w:szCs w:val="20"/>
        </w:rPr>
        <w:t>V.</w:t>
      </w:r>
      <w:r w:rsidRPr="0004208D">
        <w:rPr>
          <w:color w:val="000000" w:themeColor="text1"/>
          <w:sz w:val="20"/>
          <w:szCs w:val="20"/>
        </w:rPr>
        <w:tab/>
        <w:t>CONCLUSION</w:t>
      </w:r>
      <w:r w:rsidR="00101F29" w:rsidRPr="0004208D">
        <w:rPr>
          <w:color w:val="000000" w:themeColor="text1"/>
          <w:sz w:val="20"/>
          <w:szCs w:val="20"/>
        </w:rPr>
        <w:t>S</w:t>
      </w:r>
    </w:p>
    <w:p w:rsidR="006905E2" w:rsidRPr="0004208D" w:rsidRDefault="006905E2" w:rsidP="006905E2">
      <w:pPr>
        <w:rPr>
          <w:color w:val="000000" w:themeColor="text1"/>
        </w:rPr>
      </w:pPr>
    </w:p>
    <w:p w:rsidR="009B2357" w:rsidRPr="00DC684C" w:rsidRDefault="00DF762A" w:rsidP="00690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color w:val="000000" w:themeColor="text1"/>
          <w:sz w:val="20"/>
          <w:szCs w:val="20"/>
        </w:rPr>
      </w:pPr>
      <w:r w:rsidRPr="0004208D">
        <w:rPr>
          <w:rFonts w:asciiTheme="majorHAnsi" w:hAnsiTheme="majorHAnsi"/>
          <w:color w:val="000000" w:themeColor="text1"/>
          <w:sz w:val="20"/>
          <w:szCs w:val="20"/>
        </w:rPr>
        <w:t>Based on the factual and legal considerations presented, and without prejudging the merits of the case, the Inter-American Commission concludes that this complaint meets the admissibility requirements indicated in Articles</w:t>
      </w:r>
      <w:r w:rsidR="00101F29" w:rsidRPr="0004208D">
        <w:rPr>
          <w:rFonts w:asciiTheme="majorHAnsi" w:hAnsiTheme="majorHAnsi"/>
          <w:color w:val="000000" w:themeColor="text1"/>
          <w:sz w:val="20"/>
          <w:szCs w:val="20"/>
        </w:rPr>
        <w:t xml:space="preserve"> 46 </w:t>
      </w:r>
      <w:r w:rsidRPr="0004208D">
        <w:rPr>
          <w:rFonts w:asciiTheme="majorHAnsi" w:hAnsiTheme="majorHAnsi"/>
          <w:color w:val="000000" w:themeColor="text1"/>
          <w:sz w:val="20"/>
          <w:szCs w:val="20"/>
        </w:rPr>
        <w:t>and</w:t>
      </w:r>
      <w:r w:rsidR="00101F29" w:rsidRPr="0004208D">
        <w:rPr>
          <w:rFonts w:asciiTheme="majorHAnsi" w:hAnsiTheme="majorHAnsi"/>
          <w:color w:val="000000" w:themeColor="text1"/>
          <w:sz w:val="20"/>
          <w:szCs w:val="20"/>
        </w:rPr>
        <w:t xml:space="preserve"> 47 </w:t>
      </w:r>
      <w:r w:rsidRPr="0004208D">
        <w:rPr>
          <w:rFonts w:asciiTheme="majorHAnsi" w:hAnsiTheme="majorHAnsi"/>
          <w:color w:val="000000" w:themeColor="text1"/>
          <w:sz w:val="20"/>
          <w:szCs w:val="20"/>
        </w:rPr>
        <w:t xml:space="preserve">of the American Convention and </w:t>
      </w:r>
      <w:r w:rsidR="00E10BA8" w:rsidRPr="0004208D">
        <w:rPr>
          <w:rFonts w:asciiTheme="majorHAnsi" w:hAnsiTheme="majorHAnsi"/>
          <w:color w:val="000000" w:themeColor="text1"/>
          <w:sz w:val="20"/>
          <w:szCs w:val="20"/>
        </w:rPr>
        <w:t>accordingly</w:t>
      </w:r>
      <w:r w:rsidRPr="0004208D">
        <w:rPr>
          <w:rFonts w:asciiTheme="majorHAnsi" w:hAnsiTheme="majorHAnsi"/>
          <w:color w:val="000000" w:themeColor="text1"/>
          <w:sz w:val="20"/>
          <w:szCs w:val="20"/>
        </w:rPr>
        <w:t>,</w:t>
      </w:r>
    </w:p>
    <w:p w:rsidR="00DC684C" w:rsidRPr="0004208D" w:rsidRDefault="00DC684C" w:rsidP="00DC684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iCs/>
          <w:color w:val="000000" w:themeColor="text1"/>
          <w:sz w:val="20"/>
          <w:szCs w:val="20"/>
        </w:rPr>
      </w:pPr>
    </w:p>
    <w:p w:rsidR="00A75F99" w:rsidRDefault="00DF762A" w:rsidP="00A75F99">
      <w:pPr>
        <w:ind w:firstLine="720"/>
        <w:jc w:val="center"/>
        <w:rPr>
          <w:rFonts w:asciiTheme="majorHAnsi" w:hAnsiTheme="majorHAnsi"/>
          <w:b/>
          <w:color w:val="000000" w:themeColor="text1"/>
          <w:sz w:val="20"/>
          <w:szCs w:val="20"/>
        </w:rPr>
      </w:pPr>
      <w:r w:rsidRPr="0004208D">
        <w:rPr>
          <w:rFonts w:asciiTheme="majorHAnsi" w:hAnsiTheme="majorHAnsi"/>
          <w:b/>
          <w:color w:val="000000" w:themeColor="text1"/>
          <w:sz w:val="20"/>
          <w:szCs w:val="20"/>
        </w:rPr>
        <w:t>THE INTER-AMERICAN COMMISSION ON HUMAN RIGHTS</w:t>
      </w:r>
      <w:r w:rsidR="00101F29" w:rsidRPr="0004208D">
        <w:rPr>
          <w:rFonts w:asciiTheme="majorHAnsi" w:hAnsiTheme="majorHAnsi"/>
          <w:b/>
          <w:color w:val="000000" w:themeColor="text1"/>
          <w:sz w:val="20"/>
          <w:szCs w:val="20"/>
        </w:rPr>
        <w:t>,</w:t>
      </w:r>
    </w:p>
    <w:p w:rsidR="00101F29" w:rsidRDefault="00101F29" w:rsidP="00A75F99">
      <w:pPr>
        <w:rPr>
          <w:rFonts w:asciiTheme="majorHAnsi" w:hAnsiTheme="majorHAnsi"/>
          <w:b/>
          <w:color w:val="000000" w:themeColor="text1"/>
          <w:sz w:val="20"/>
          <w:szCs w:val="20"/>
        </w:rPr>
      </w:pPr>
      <w:r w:rsidRPr="0004208D">
        <w:rPr>
          <w:rFonts w:asciiTheme="majorHAnsi" w:hAnsiTheme="majorHAnsi"/>
          <w:b/>
          <w:color w:val="000000" w:themeColor="text1"/>
          <w:sz w:val="20"/>
          <w:szCs w:val="20"/>
        </w:rPr>
        <w:t>DECIDE</w:t>
      </w:r>
      <w:r w:rsidR="00DF762A" w:rsidRPr="0004208D">
        <w:rPr>
          <w:rFonts w:asciiTheme="majorHAnsi" w:hAnsiTheme="majorHAnsi"/>
          <w:b/>
          <w:color w:val="000000" w:themeColor="text1"/>
          <w:sz w:val="20"/>
          <w:szCs w:val="20"/>
        </w:rPr>
        <w:t>S</w:t>
      </w:r>
      <w:r w:rsidRPr="0004208D">
        <w:rPr>
          <w:rFonts w:asciiTheme="majorHAnsi" w:hAnsiTheme="majorHAnsi"/>
          <w:b/>
          <w:color w:val="000000" w:themeColor="text1"/>
          <w:sz w:val="20"/>
          <w:szCs w:val="20"/>
        </w:rPr>
        <w:t>:</w:t>
      </w:r>
    </w:p>
    <w:p w:rsidR="00DC684C" w:rsidRPr="0004208D" w:rsidRDefault="00DC684C" w:rsidP="006905E2">
      <w:pPr>
        <w:rPr>
          <w:rFonts w:asciiTheme="majorHAnsi" w:hAnsiTheme="majorHAnsi"/>
          <w:b/>
          <w:color w:val="000000" w:themeColor="text1"/>
          <w:sz w:val="20"/>
          <w:szCs w:val="20"/>
        </w:rPr>
      </w:pPr>
    </w:p>
    <w:p w:rsidR="00101F29" w:rsidRPr="0004208D" w:rsidRDefault="00DF762A" w:rsidP="006905E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1080"/>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To declare the petition admissible with respect to </w:t>
      </w:r>
      <w:r w:rsidR="00070682">
        <w:rPr>
          <w:rFonts w:asciiTheme="majorHAnsi" w:hAnsiTheme="majorHAnsi"/>
          <w:color w:val="000000" w:themeColor="text1"/>
          <w:sz w:val="20"/>
          <w:szCs w:val="20"/>
        </w:rPr>
        <w:t>A</w:t>
      </w:r>
      <w:r w:rsidRPr="0004208D">
        <w:rPr>
          <w:rFonts w:asciiTheme="majorHAnsi" w:hAnsiTheme="majorHAnsi"/>
          <w:color w:val="000000" w:themeColor="text1"/>
          <w:sz w:val="20"/>
          <w:szCs w:val="20"/>
        </w:rPr>
        <w:t xml:space="preserve">rticles </w:t>
      </w:r>
      <w:r w:rsidR="00262BEF">
        <w:rPr>
          <w:rFonts w:asciiTheme="majorHAnsi" w:hAnsiTheme="majorHAnsi"/>
          <w:color w:val="000000" w:themeColor="text1"/>
          <w:sz w:val="20"/>
          <w:szCs w:val="20"/>
        </w:rPr>
        <w:t xml:space="preserve">8, </w:t>
      </w:r>
      <w:r w:rsidR="00280A03" w:rsidRPr="0004208D">
        <w:rPr>
          <w:rFonts w:asciiTheme="majorHAnsi" w:hAnsiTheme="majorHAnsi"/>
          <w:color w:val="000000" w:themeColor="text1"/>
          <w:sz w:val="20"/>
          <w:szCs w:val="20"/>
        </w:rPr>
        <w:t xml:space="preserve">11, </w:t>
      </w:r>
      <w:r w:rsidR="00882B95" w:rsidRPr="0004208D">
        <w:rPr>
          <w:rFonts w:asciiTheme="majorHAnsi" w:hAnsiTheme="majorHAnsi"/>
          <w:color w:val="000000" w:themeColor="text1"/>
          <w:sz w:val="20"/>
          <w:szCs w:val="20"/>
        </w:rPr>
        <w:t>24</w:t>
      </w:r>
      <w:r w:rsidRPr="0004208D">
        <w:rPr>
          <w:rFonts w:asciiTheme="majorHAnsi" w:hAnsiTheme="majorHAnsi"/>
          <w:color w:val="000000" w:themeColor="text1"/>
          <w:sz w:val="20"/>
          <w:szCs w:val="20"/>
        </w:rPr>
        <w:t>, and</w:t>
      </w:r>
      <w:r w:rsidR="00280A03" w:rsidRPr="0004208D">
        <w:rPr>
          <w:rFonts w:asciiTheme="majorHAnsi" w:hAnsiTheme="majorHAnsi"/>
          <w:color w:val="000000" w:themeColor="text1"/>
          <w:sz w:val="20"/>
          <w:szCs w:val="20"/>
        </w:rPr>
        <w:t xml:space="preserve"> 25</w:t>
      </w:r>
      <w:r w:rsidR="00AE7623" w:rsidRPr="0004208D">
        <w:rPr>
          <w:rFonts w:asciiTheme="majorHAnsi" w:hAnsiTheme="majorHAnsi"/>
          <w:color w:val="000000" w:themeColor="text1"/>
          <w:sz w:val="20"/>
          <w:szCs w:val="20"/>
        </w:rPr>
        <w:t xml:space="preserve"> </w:t>
      </w:r>
      <w:r w:rsidR="00CF7AD5" w:rsidRPr="0004208D">
        <w:rPr>
          <w:rFonts w:asciiTheme="majorHAnsi" w:hAnsiTheme="majorHAnsi"/>
          <w:color w:val="000000" w:themeColor="text1"/>
          <w:sz w:val="20"/>
          <w:szCs w:val="20"/>
        </w:rPr>
        <w:t xml:space="preserve">of the American Convention in connection with the obligations established in </w:t>
      </w:r>
      <w:r w:rsidR="00262BEF">
        <w:rPr>
          <w:rFonts w:asciiTheme="majorHAnsi" w:hAnsiTheme="majorHAnsi"/>
          <w:color w:val="000000" w:themeColor="text1"/>
          <w:sz w:val="20"/>
          <w:szCs w:val="20"/>
        </w:rPr>
        <w:t>a</w:t>
      </w:r>
      <w:r w:rsidR="00CF7AD5" w:rsidRPr="0004208D">
        <w:rPr>
          <w:rFonts w:asciiTheme="majorHAnsi" w:hAnsiTheme="majorHAnsi"/>
          <w:color w:val="000000" w:themeColor="text1"/>
          <w:sz w:val="20"/>
          <w:szCs w:val="20"/>
        </w:rPr>
        <w:t xml:space="preserve">rticles </w:t>
      </w:r>
      <w:r w:rsidR="00AE7623" w:rsidRPr="0004208D">
        <w:rPr>
          <w:rFonts w:asciiTheme="majorHAnsi" w:hAnsiTheme="majorHAnsi"/>
          <w:color w:val="000000" w:themeColor="text1"/>
          <w:sz w:val="20"/>
          <w:szCs w:val="20"/>
        </w:rPr>
        <w:t xml:space="preserve">1.1 </w:t>
      </w:r>
      <w:r w:rsidR="00CF7AD5" w:rsidRPr="0004208D">
        <w:rPr>
          <w:rFonts w:asciiTheme="majorHAnsi" w:hAnsiTheme="majorHAnsi"/>
          <w:color w:val="000000" w:themeColor="text1"/>
          <w:sz w:val="20"/>
          <w:szCs w:val="20"/>
        </w:rPr>
        <w:t>and</w:t>
      </w:r>
      <w:r w:rsidR="00B90E23" w:rsidRPr="0004208D">
        <w:rPr>
          <w:rFonts w:asciiTheme="majorHAnsi" w:hAnsiTheme="majorHAnsi"/>
          <w:color w:val="000000" w:themeColor="text1"/>
          <w:sz w:val="20"/>
          <w:szCs w:val="20"/>
        </w:rPr>
        <w:t xml:space="preserve"> 2 </w:t>
      </w:r>
      <w:r w:rsidR="00CF7AD5" w:rsidRPr="0004208D">
        <w:rPr>
          <w:rFonts w:asciiTheme="majorHAnsi" w:hAnsiTheme="majorHAnsi"/>
          <w:color w:val="000000" w:themeColor="text1"/>
          <w:sz w:val="20"/>
          <w:szCs w:val="20"/>
        </w:rPr>
        <w:t>of the same instrument</w:t>
      </w:r>
      <w:r w:rsidR="00101F29" w:rsidRPr="0004208D">
        <w:rPr>
          <w:rFonts w:asciiTheme="majorHAnsi" w:hAnsiTheme="majorHAnsi"/>
          <w:color w:val="000000" w:themeColor="text1"/>
          <w:sz w:val="20"/>
          <w:szCs w:val="20"/>
        </w:rPr>
        <w:t xml:space="preserve">. </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rFonts w:asciiTheme="majorHAnsi" w:hAnsiTheme="majorHAnsi"/>
          <w:color w:val="000000" w:themeColor="text1"/>
          <w:sz w:val="20"/>
          <w:szCs w:val="20"/>
        </w:rPr>
      </w:pPr>
    </w:p>
    <w:p w:rsidR="00101F29" w:rsidRPr="0004208D" w:rsidRDefault="00CF7AD5" w:rsidP="006905E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1080"/>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To report this decision to the State and </w:t>
      </w:r>
      <w:r w:rsidR="00E10BA8" w:rsidRPr="0004208D">
        <w:rPr>
          <w:rFonts w:asciiTheme="majorHAnsi" w:hAnsiTheme="majorHAnsi"/>
          <w:color w:val="000000" w:themeColor="text1"/>
          <w:sz w:val="20"/>
          <w:szCs w:val="20"/>
        </w:rPr>
        <w:t xml:space="preserve">to </w:t>
      </w:r>
      <w:r w:rsidRPr="0004208D">
        <w:rPr>
          <w:rFonts w:asciiTheme="majorHAnsi" w:hAnsiTheme="majorHAnsi"/>
          <w:color w:val="000000" w:themeColor="text1"/>
          <w:sz w:val="20"/>
          <w:szCs w:val="20"/>
        </w:rPr>
        <w:t>the petitioners;</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rPr>
      </w:pPr>
    </w:p>
    <w:p w:rsidR="00101F29" w:rsidRPr="0004208D" w:rsidRDefault="00CF7AD5" w:rsidP="006905E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1080"/>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To initiate processing on the merits of the case;</w:t>
      </w:r>
    </w:p>
    <w:p w:rsidR="006905E2" w:rsidRPr="0004208D" w:rsidRDefault="006905E2" w:rsidP="006905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rFonts w:asciiTheme="majorHAnsi" w:hAnsiTheme="majorHAnsi"/>
          <w:color w:val="000000" w:themeColor="text1"/>
          <w:sz w:val="20"/>
          <w:szCs w:val="20"/>
        </w:rPr>
      </w:pPr>
    </w:p>
    <w:p w:rsidR="00101F29" w:rsidRPr="0004208D" w:rsidRDefault="00CF7AD5" w:rsidP="006905E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1080"/>
        <w:jc w:val="both"/>
        <w:rPr>
          <w:rFonts w:asciiTheme="majorHAnsi" w:hAnsiTheme="majorHAnsi"/>
          <w:color w:val="000000" w:themeColor="text1"/>
          <w:sz w:val="20"/>
          <w:szCs w:val="20"/>
        </w:rPr>
      </w:pPr>
      <w:r w:rsidRPr="0004208D">
        <w:rPr>
          <w:rFonts w:asciiTheme="majorHAnsi" w:hAnsiTheme="majorHAnsi"/>
          <w:color w:val="000000" w:themeColor="text1"/>
          <w:sz w:val="20"/>
          <w:szCs w:val="20"/>
        </w:rPr>
        <w:t xml:space="preserve">To publish this decision and include </w:t>
      </w:r>
      <w:r w:rsidR="00E10BA8" w:rsidRPr="0004208D">
        <w:rPr>
          <w:rFonts w:asciiTheme="majorHAnsi" w:hAnsiTheme="majorHAnsi"/>
          <w:color w:val="000000" w:themeColor="text1"/>
          <w:sz w:val="20"/>
          <w:szCs w:val="20"/>
        </w:rPr>
        <w:t xml:space="preserve">it </w:t>
      </w:r>
      <w:r w:rsidRPr="0004208D">
        <w:rPr>
          <w:rFonts w:asciiTheme="majorHAnsi" w:hAnsiTheme="majorHAnsi"/>
          <w:color w:val="000000" w:themeColor="text1"/>
          <w:sz w:val="20"/>
          <w:szCs w:val="20"/>
        </w:rPr>
        <w:t>in its Annual Report, to be submitted to the General Assembly of the OAS</w:t>
      </w:r>
      <w:r w:rsidR="00101F29" w:rsidRPr="0004208D">
        <w:rPr>
          <w:rFonts w:asciiTheme="majorHAnsi" w:hAnsiTheme="majorHAnsi"/>
          <w:color w:val="000000" w:themeColor="text1"/>
          <w:sz w:val="20"/>
          <w:szCs w:val="20"/>
        </w:rPr>
        <w:t>.</w:t>
      </w:r>
    </w:p>
    <w:p w:rsidR="00101F29" w:rsidRPr="0004208D" w:rsidRDefault="00101F29" w:rsidP="006905E2">
      <w:pPr>
        <w:tabs>
          <w:tab w:val="left" w:pos="1440"/>
        </w:tabs>
        <w:rPr>
          <w:rFonts w:asciiTheme="majorHAnsi" w:hAnsiTheme="majorHAnsi"/>
          <w:color w:val="000000" w:themeColor="text1"/>
          <w:sz w:val="20"/>
          <w:szCs w:val="20"/>
        </w:rPr>
      </w:pPr>
    </w:p>
    <w:p w:rsidR="001711E3" w:rsidRPr="003035DA" w:rsidRDefault="001711E3" w:rsidP="00A75F99">
      <w:pPr>
        <w:ind w:firstLine="720"/>
        <w:jc w:val="both"/>
        <w:rPr>
          <w:rFonts w:ascii="Cambria" w:hAnsi="Cambria"/>
          <w:spacing w:val="-2"/>
          <w:sz w:val="20"/>
          <w:szCs w:val="20"/>
        </w:rPr>
      </w:pPr>
      <w:r w:rsidRPr="00874A5A">
        <w:rPr>
          <w:rFonts w:ascii="Cambria" w:hAnsi="Cambria"/>
          <w:spacing w:val="-2"/>
          <w:sz w:val="20"/>
          <w:szCs w:val="20"/>
        </w:rPr>
        <w:t>Done and signed in the cit</w:t>
      </w:r>
      <w:r>
        <w:rPr>
          <w:rFonts w:ascii="Cambria" w:hAnsi="Cambria"/>
          <w:spacing w:val="-2"/>
          <w:sz w:val="20"/>
          <w:szCs w:val="20"/>
        </w:rPr>
        <w:t>y of Washington, D.C., on the 21</w:t>
      </w:r>
      <w:r>
        <w:rPr>
          <w:rFonts w:ascii="Cambria" w:hAnsi="Cambria"/>
          <w:spacing w:val="-2"/>
          <w:sz w:val="20"/>
          <w:szCs w:val="20"/>
          <w:vertAlign w:val="superscript"/>
        </w:rPr>
        <w:t>st</w:t>
      </w:r>
      <w:r w:rsidRPr="00874A5A">
        <w:rPr>
          <w:rFonts w:ascii="Cambria" w:hAnsi="Cambria"/>
          <w:spacing w:val="-2"/>
          <w:sz w:val="20"/>
          <w:szCs w:val="20"/>
        </w:rPr>
        <w:t xml:space="preserve"> day of the month of </w:t>
      </w:r>
      <w:r>
        <w:rPr>
          <w:rFonts w:ascii="Cambria" w:hAnsi="Cambria"/>
          <w:spacing w:val="-2"/>
          <w:sz w:val="20"/>
          <w:szCs w:val="20"/>
        </w:rPr>
        <w:t>July</w:t>
      </w:r>
      <w:r w:rsidR="00D46475">
        <w:rPr>
          <w:rFonts w:ascii="Cambria" w:hAnsi="Cambria"/>
          <w:spacing w:val="-2"/>
          <w:sz w:val="20"/>
          <w:szCs w:val="20"/>
        </w:rPr>
        <w:t xml:space="preserve">, 2015. (Signed): </w:t>
      </w:r>
      <w:r w:rsidRPr="00874A5A">
        <w:rPr>
          <w:rFonts w:ascii="Cambria" w:hAnsi="Cambria" w:cs="Arial"/>
          <w:noProof/>
          <w:spacing w:val="-2"/>
          <w:sz w:val="20"/>
          <w:szCs w:val="20"/>
        </w:rPr>
        <w:t>Rose-Marie Belle Antoine,</w:t>
      </w:r>
      <w:r w:rsidRPr="00874A5A">
        <w:rPr>
          <w:rFonts w:ascii="Cambria" w:hAnsi="Cambria"/>
          <w:sz w:val="20"/>
          <w:szCs w:val="20"/>
        </w:rPr>
        <w:t xml:space="preserve"> President; </w:t>
      </w:r>
      <w:r w:rsidRPr="00874A5A">
        <w:rPr>
          <w:rFonts w:ascii="Cambria" w:hAnsi="Cambria" w:cs="Arial"/>
          <w:noProof/>
          <w:spacing w:val="-2"/>
          <w:sz w:val="20"/>
          <w:szCs w:val="20"/>
        </w:rPr>
        <w:t>James L. Cavallaro</w:t>
      </w:r>
      <w:r w:rsidRPr="00874A5A">
        <w:rPr>
          <w:rFonts w:ascii="Cambria" w:hAnsi="Cambria"/>
          <w:sz w:val="20"/>
          <w:szCs w:val="20"/>
        </w:rPr>
        <w:t xml:space="preserve">, </w:t>
      </w:r>
      <w:r w:rsidRPr="00874A5A">
        <w:rPr>
          <w:rFonts w:ascii="Cambria" w:hAnsi="Cambria"/>
          <w:spacing w:val="-2"/>
          <w:sz w:val="20"/>
          <w:szCs w:val="20"/>
        </w:rPr>
        <w:t>First Vice President;</w:t>
      </w:r>
      <w:r w:rsidRPr="00874A5A">
        <w:rPr>
          <w:rFonts w:ascii="Cambria" w:hAnsi="Cambria" w:cs="Arial"/>
          <w:noProof/>
          <w:spacing w:val="-2"/>
          <w:sz w:val="20"/>
          <w:szCs w:val="20"/>
        </w:rPr>
        <w:t xml:space="preserve"> José de Jesús Orozco Henríquez</w:t>
      </w:r>
      <w:r w:rsidRPr="00874A5A">
        <w:rPr>
          <w:rFonts w:ascii="Cambria" w:hAnsi="Cambria"/>
          <w:spacing w:val="-2"/>
          <w:sz w:val="20"/>
          <w:szCs w:val="20"/>
        </w:rPr>
        <w:t xml:space="preserve">, </w:t>
      </w:r>
      <w:r>
        <w:rPr>
          <w:rFonts w:ascii="Cambria" w:hAnsi="Cambria" w:cs="Arial"/>
          <w:noProof/>
          <w:spacing w:val="-2"/>
          <w:sz w:val="20"/>
          <w:szCs w:val="20"/>
        </w:rPr>
        <w:t>Second Vice President</w:t>
      </w:r>
      <w:r w:rsidRPr="00874A5A">
        <w:rPr>
          <w:rFonts w:ascii="Cambria" w:hAnsi="Cambria" w:cs="Arial"/>
          <w:noProof/>
          <w:spacing w:val="-2"/>
          <w:sz w:val="20"/>
          <w:szCs w:val="20"/>
        </w:rPr>
        <w:t xml:space="preserve">, Rosa María Ortiz, </w:t>
      </w:r>
      <w:r w:rsidRPr="00874A5A">
        <w:rPr>
          <w:rFonts w:ascii="Cambria" w:hAnsi="Cambria"/>
          <w:sz w:val="20"/>
          <w:szCs w:val="20"/>
        </w:rPr>
        <w:t>Tracy Robinson and</w:t>
      </w:r>
      <w:r w:rsidRPr="00874A5A">
        <w:rPr>
          <w:rFonts w:ascii="Cambria" w:hAnsi="Cambria" w:cs="Arial"/>
          <w:noProof/>
          <w:spacing w:val="-2"/>
          <w:sz w:val="20"/>
          <w:szCs w:val="20"/>
        </w:rPr>
        <w:t xml:space="preserve"> Paulo Vannuchi, </w:t>
      </w:r>
      <w:r w:rsidRPr="00874A5A">
        <w:rPr>
          <w:rFonts w:ascii="Cambria" w:hAnsi="Cambria"/>
          <w:spacing w:val="-2"/>
          <w:sz w:val="20"/>
          <w:szCs w:val="20"/>
        </w:rPr>
        <w:t>Commissioners</w:t>
      </w:r>
      <w:r>
        <w:rPr>
          <w:rFonts w:ascii="Cambria" w:hAnsi="Cambria" w:cs="Tahoma"/>
          <w:color w:val="333333"/>
          <w:sz w:val="20"/>
          <w:szCs w:val="20"/>
        </w:rPr>
        <w:t>.</w:t>
      </w:r>
    </w:p>
    <w:p w:rsidR="00F0412D" w:rsidRPr="007A2F92" w:rsidRDefault="00F0412D" w:rsidP="00101F29">
      <w:pPr>
        <w:tabs>
          <w:tab w:val="center" w:pos="4680"/>
          <w:tab w:val="left" w:pos="6511"/>
        </w:tabs>
        <w:rPr>
          <w:rFonts w:ascii="Cambria" w:hAnsi="Cambria" w:cs="Calibri"/>
          <w:color w:val="808080" w:themeColor="background1" w:themeShade="80"/>
          <w:sz w:val="20"/>
          <w:szCs w:val="20"/>
        </w:rPr>
      </w:pPr>
    </w:p>
    <w:sectPr w:rsidR="00F0412D" w:rsidRPr="007A2F92"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A4" w:rsidRDefault="00AF5CA4">
      <w:r>
        <w:separator/>
      </w:r>
    </w:p>
  </w:endnote>
  <w:endnote w:type="continuationSeparator" w:id="0">
    <w:p w:rsidR="00AF5CA4" w:rsidRDefault="00AF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47" w:rsidRDefault="00FC5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2A" w:rsidRPr="006311DA" w:rsidRDefault="00042C2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p w:rsidR="00042C2A" w:rsidRDefault="00042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2A" w:rsidRDefault="00042C2A">
    <w:pPr>
      <w:pStyle w:val="Footer"/>
      <w:jc w:val="center"/>
    </w:pPr>
  </w:p>
  <w:p w:rsidR="00042C2A" w:rsidRDefault="00042C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C5947">
          <w:rPr>
            <w:noProof/>
            <w:sz w:val="16"/>
            <w:szCs w:val="22"/>
          </w:rPr>
          <w:t>1</w:t>
        </w:r>
        <w:r w:rsidRPr="00934A2C">
          <w:rPr>
            <w:noProof/>
            <w:sz w:val="16"/>
            <w:szCs w:val="22"/>
          </w:rPr>
          <w:fldChar w:fldCharType="end"/>
        </w:r>
      </w:p>
    </w:sdtContent>
  </w:sdt>
  <w:p w:rsidR="0070697F" w:rsidRDefault="007069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A4" w:rsidRPr="000F35ED" w:rsidRDefault="00AF5CA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F5CA4" w:rsidRPr="000F35ED" w:rsidRDefault="00AF5CA4" w:rsidP="000F35ED">
      <w:pPr>
        <w:rPr>
          <w:rFonts w:asciiTheme="majorHAnsi" w:hAnsiTheme="majorHAnsi"/>
          <w:sz w:val="16"/>
          <w:szCs w:val="16"/>
        </w:rPr>
      </w:pPr>
      <w:r w:rsidRPr="000F35ED">
        <w:rPr>
          <w:rFonts w:asciiTheme="majorHAnsi" w:hAnsiTheme="majorHAnsi"/>
          <w:sz w:val="16"/>
          <w:szCs w:val="16"/>
        </w:rPr>
        <w:separator/>
      </w:r>
    </w:p>
    <w:p w:rsidR="00AF5CA4" w:rsidRPr="000F35ED" w:rsidRDefault="00AF5CA4"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rsidR="00AF5CA4" w:rsidRPr="000F35ED" w:rsidRDefault="00AF5CA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w:t>
      </w:r>
      <w:r>
        <w:rPr>
          <w:rFonts w:asciiTheme="majorHAnsi" w:hAnsiTheme="majorHAnsi"/>
          <w:sz w:val="16"/>
          <w:szCs w:val="16"/>
          <w:lang w:val="es-ES"/>
        </w:rPr>
        <w:t>ued</w:t>
      </w:r>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A3ECB" w:rsidRPr="00520C3E" w:rsidRDefault="005A3ECB" w:rsidP="005A3ECB">
      <w:pPr>
        <w:pStyle w:val="FootnoteText"/>
        <w:tabs>
          <w:tab w:val="left" w:pos="1080"/>
        </w:tabs>
        <w:spacing w:after="120"/>
        <w:ind w:firstLine="720"/>
        <w:jc w:val="both"/>
        <w:rPr>
          <w:rFonts w:asciiTheme="majorHAnsi" w:hAnsiTheme="majorHAnsi" w:cs="Arial"/>
          <w:sz w:val="18"/>
          <w:szCs w:val="18"/>
        </w:rPr>
      </w:pPr>
      <w:r w:rsidRPr="00520C3E">
        <w:rPr>
          <w:rStyle w:val="FootnoteCharacters"/>
          <w:rFonts w:asciiTheme="majorHAnsi" w:hAnsiTheme="majorHAnsi" w:cs="Arial"/>
          <w:sz w:val="18"/>
          <w:szCs w:val="18"/>
        </w:rPr>
        <w:footnoteRef/>
      </w:r>
      <w:r w:rsidRPr="00520C3E">
        <w:rPr>
          <w:rFonts w:asciiTheme="majorHAnsi" w:hAnsiTheme="majorHAnsi" w:cs="Arial"/>
          <w:sz w:val="18"/>
          <w:szCs w:val="18"/>
        </w:rPr>
        <w:t xml:space="preserve"> </w:t>
      </w:r>
      <w:r w:rsidR="00520C3E" w:rsidRPr="00520C3E">
        <w:rPr>
          <w:rFonts w:asciiTheme="majorHAnsi" w:hAnsiTheme="majorHAnsi" w:cs="Arial"/>
          <w:sz w:val="18"/>
          <w:szCs w:val="18"/>
        </w:rPr>
        <w:t xml:space="preserve">As provided in Article </w:t>
      </w:r>
      <w:r w:rsidRPr="00520C3E">
        <w:rPr>
          <w:rFonts w:asciiTheme="majorHAnsi" w:hAnsiTheme="majorHAnsi" w:cs="Arial"/>
          <w:sz w:val="18"/>
          <w:szCs w:val="18"/>
        </w:rPr>
        <w:t xml:space="preserve">17.2 </w:t>
      </w:r>
      <w:r w:rsidR="00520C3E" w:rsidRPr="00520C3E">
        <w:rPr>
          <w:rFonts w:asciiTheme="majorHAnsi" w:hAnsiTheme="majorHAnsi" w:cs="Arial"/>
          <w:sz w:val="18"/>
          <w:szCs w:val="18"/>
        </w:rPr>
        <w:t>of the Commission’s Rules of Procedure, Commissioner</w:t>
      </w:r>
      <w:r w:rsidRPr="00520C3E">
        <w:rPr>
          <w:rFonts w:asciiTheme="majorHAnsi" w:hAnsiTheme="majorHAnsi" w:cs="Arial"/>
          <w:sz w:val="18"/>
          <w:szCs w:val="18"/>
        </w:rPr>
        <w:t xml:space="preserve"> Felipe González, </w:t>
      </w:r>
      <w:r w:rsidR="00520C3E" w:rsidRPr="00520C3E">
        <w:rPr>
          <w:rFonts w:asciiTheme="majorHAnsi" w:hAnsiTheme="majorHAnsi" w:cs="Arial"/>
          <w:sz w:val="18"/>
          <w:szCs w:val="18"/>
        </w:rPr>
        <w:t xml:space="preserve">a </w:t>
      </w:r>
      <w:r w:rsidR="00562739">
        <w:rPr>
          <w:rFonts w:asciiTheme="majorHAnsi" w:hAnsiTheme="majorHAnsi" w:cs="Arial"/>
          <w:sz w:val="18"/>
          <w:szCs w:val="18"/>
        </w:rPr>
        <w:t>Chilean national</w:t>
      </w:r>
      <w:r w:rsidR="00520C3E" w:rsidRPr="00520C3E">
        <w:rPr>
          <w:rFonts w:asciiTheme="majorHAnsi" w:hAnsiTheme="majorHAnsi" w:cs="Arial"/>
          <w:sz w:val="18"/>
          <w:szCs w:val="18"/>
        </w:rPr>
        <w:t>, did not participate in the discussion or the decision regarding this case</w:t>
      </w:r>
      <w:r w:rsidRPr="00520C3E">
        <w:rPr>
          <w:rFonts w:asciiTheme="majorHAnsi" w:hAnsiTheme="majorHAnsi"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2A" w:rsidRDefault="00042C2A" w:rsidP="004C63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2C2A" w:rsidRDefault="00042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2A" w:rsidRDefault="00042C2A" w:rsidP="002C1641">
    <w:pPr>
      <w:pStyle w:val="Header"/>
      <w:tabs>
        <w:tab w:val="clear" w:pos="4320"/>
        <w:tab w:val="clear" w:pos="8640"/>
      </w:tabs>
      <w:jc w:val="center"/>
      <w:rPr>
        <w:sz w:val="22"/>
        <w:szCs w:val="22"/>
      </w:rPr>
    </w:pPr>
    <w:r>
      <w:rPr>
        <w:noProof/>
        <w:sz w:val="22"/>
        <w:szCs w:val="22"/>
      </w:rPr>
      <w:drawing>
        <wp:inline distT="0" distB="0" distL="0" distR="0" wp14:anchorId="2BE0CA98" wp14:editId="69C90155">
          <wp:extent cx="2212975" cy="118745"/>
          <wp:effectExtent l="0" t="0" r="0" b="0"/>
          <wp:docPr id="23" name="Picture 2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118745"/>
                  </a:xfrm>
                  <a:prstGeom prst="rect">
                    <a:avLst/>
                  </a:prstGeom>
                  <a:noFill/>
                  <a:ln>
                    <a:noFill/>
                  </a:ln>
                </pic:spPr>
              </pic:pic>
            </a:graphicData>
          </a:graphic>
        </wp:inline>
      </w:drawing>
    </w:r>
  </w:p>
  <w:p w:rsidR="00042C2A" w:rsidRPr="00EC7D62" w:rsidRDefault="00AF5CA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47" w:rsidRDefault="00FC59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16402D" w:rsidP="00A50FCF">
    <w:pPr>
      <w:pStyle w:val="Header"/>
      <w:tabs>
        <w:tab w:val="clear" w:pos="4320"/>
        <w:tab w:val="clear" w:pos="8640"/>
      </w:tabs>
      <w:jc w:val="center"/>
      <w:rPr>
        <w:sz w:val="22"/>
        <w:szCs w:val="22"/>
      </w:rPr>
    </w:pPr>
    <w:r>
      <w:rPr>
        <w:noProof/>
        <w:sz w:val="22"/>
        <w:szCs w:val="22"/>
      </w:rPr>
      <w:drawing>
        <wp:inline distT="0" distB="0" distL="0" distR="0">
          <wp:extent cx="2210435" cy="111125"/>
          <wp:effectExtent l="0" t="0" r="0" b="3175"/>
          <wp:docPr id="1" name="Picture 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111125"/>
                  </a:xfrm>
                  <a:prstGeom prst="rect">
                    <a:avLst/>
                  </a:prstGeom>
                  <a:noFill/>
                  <a:ln>
                    <a:noFill/>
                  </a:ln>
                </pic:spPr>
              </pic:pic>
            </a:graphicData>
          </a:graphic>
        </wp:inline>
      </w:drawing>
    </w:r>
  </w:p>
  <w:p w:rsidR="00040C3A" w:rsidRPr="00EC7D62" w:rsidRDefault="00AF5CA4" w:rsidP="00A50FCF">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FF131A"/>
    <w:multiLevelType w:val="hybridMultilevel"/>
    <w:tmpl w:val="F0EE591A"/>
    <w:lvl w:ilvl="0" w:tplc="0B3C374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D983EE9"/>
    <w:multiLevelType w:val="hybridMultilevel"/>
    <w:tmpl w:val="1DCA43C6"/>
    <w:lvl w:ilvl="0" w:tplc="6E46FFFC">
      <w:start w:val="1"/>
      <w:numFmt w:val="decimal"/>
      <w:lvlText w:val="%1."/>
      <w:lvlJc w:val="left"/>
      <w:pPr>
        <w:tabs>
          <w:tab w:val="num" w:pos="720"/>
        </w:tabs>
        <w:ind w:left="0" w:firstLine="720"/>
      </w:pPr>
      <w:rPr>
        <w:rFonts w:asciiTheme="majorHAnsi" w:hAnsiTheme="majorHAnsi" w:hint="default"/>
        <w:b w:val="0"/>
        <w:i w:val="0"/>
        <w:sz w:val="20"/>
        <w:szCs w:val="20"/>
        <w:lang w:val="en-U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ED7988"/>
    <w:multiLevelType w:val="hybridMultilevel"/>
    <w:tmpl w:val="80C0AEA2"/>
    <w:lvl w:ilvl="0" w:tplc="73F637A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E730757"/>
    <w:multiLevelType w:val="hybridMultilevel"/>
    <w:tmpl w:val="E20C7D80"/>
    <w:lvl w:ilvl="0" w:tplc="1ECE4C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BFE6718"/>
    <w:multiLevelType w:val="hybridMultilevel"/>
    <w:tmpl w:val="D85A70D4"/>
    <w:lvl w:ilvl="0" w:tplc="C84EFCFC">
      <w:start w:val="1"/>
      <w:numFmt w:val="decimal"/>
      <w:lvlText w:val="%1."/>
      <w:lvlJc w:val="left"/>
      <w:pPr>
        <w:tabs>
          <w:tab w:val="num" w:pos="720"/>
        </w:tabs>
        <w:ind w:left="720" w:hanging="360"/>
      </w:pPr>
      <w:rPr>
        <w:rFonts w:hint="default"/>
      </w:rPr>
    </w:lvl>
    <w:lvl w:ilvl="1" w:tplc="5EC417BC">
      <w:start w:val="1"/>
      <w:numFmt w:val="upperLetter"/>
      <w:lvlText w:val="%2."/>
      <w:lvlJc w:val="left"/>
      <w:pPr>
        <w:ind w:left="1788" w:hanging="708"/>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0"/>
  </w:num>
  <w:num w:numId="5">
    <w:abstractNumId w:val="47"/>
  </w:num>
  <w:num w:numId="6">
    <w:abstractNumId w:val="25"/>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4"/>
  </w:num>
  <w:num w:numId="55">
    <w:abstractNumId w:val="27"/>
  </w:num>
  <w:num w:numId="56">
    <w:abstractNumId w:val="2"/>
  </w:num>
  <w:num w:numId="57">
    <w:abstractNumId w:val="28"/>
  </w:num>
  <w:num w:numId="58">
    <w:abstractNumId w:val="29"/>
  </w:num>
  <w:num w:numId="59">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A2E"/>
    <w:rsid w:val="00004187"/>
    <w:rsid w:val="00006E1F"/>
    <w:rsid w:val="000070D7"/>
    <w:rsid w:val="000073EA"/>
    <w:rsid w:val="00016B35"/>
    <w:rsid w:val="0001788C"/>
    <w:rsid w:val="0003179F"/>
    <w:rsid w:val="00040C3A"/>
    <w:rsid w:val="0004208D"/>
    <w:rsid w:val="00042C2A"/>
    <w:rsid w:val="0004458B"/>
    <w:rsid w:val="00056DE9"/>
    <w:rsid w:val="000677FB"/>
    <w:rsid w:val="00070682"/>
    <w:rsid w:val="00070A51"/>
    <w:rsid w:val="000716C5"/>
    <w:rsid w:val="00075E23"/>
    <w:rsid w:val="0009344A"/>
    <w:rsid w:val="0009567C"/>
    <w:rsid w:val="000A1ADA"/>
    <w:rsid w:val="000A392E"/>
    <w:rsid w:val="000A575F"/>
    <w:rsid w:val="000D07DF"/>
    <w:rsid w:val="000D10DB"/>
    <w:rsid w:val="000E3944"/>
    <w:rsid w:val="000E4690"/>
    <w:rsid w:val="000E5EB5"/>
    <w:rsid w:val="000F35ED"/>
    <w:rsid w:val="00101F29"/>
    <w:rsid w:val="001068FF"/>
    <w:rsid w:val="00107131"/>
    <w:rsid w:val="0010736F"/>
    <w:rsid w:val="001128DF"/>
    <w:rsid w:val="00113F73"/>
    <w:rsid w:val="00121CC2"/>
    <w:rsid w:val="00124908"/>
    <w:rsid w:val="00133EE5"/>
    <w:rsid w:val="00140393"/>
    <w:rsid w:val="00151384"/>
    <w:rsid w:val="0016402D"/>
    <w:rsid w:val="00167A34"/>
    <w:rsid w:val="001711E3"/>
    <w:rsid w:val="001A7870"/>
    <w:rsid w:val="001C1B41"/>
    <w:rsid w:val="001D65EF"/>
    <w:rsid w:val="002011A8"/>
    <w:rsid w:val="0020677C"/>
    <w:rsid w:val="00214BA5"/>
    <w:rsid w:val="00216836"/>
    <w:rsid w:val="00220172"/>
    <w:rsid w:val="002250A3"/>
    <w:rsid w:val="00226643"/>
    <w:rsid w:val="00234879"/>
    <w:rsid w:val="00235217"/>
    <w:rsid w:val="00242652"/>
    <w:rsid w:val="00246D1F"/>
    <w:rsid w:val="00247403"/>
    <w:rsid w:val="00247542"/>
    <w:rsid w:val="0026059D"/>
    <w:rsid w:val="00262BEF"/>
    <w:rsid w:val="00262ECF"/>
    <w:rsid w:val="00264753"/>
    <w:rsid w:val="00266B61"/>
    <w:rsid w:val="0026712A"/>
    <w:rsid w:val="002704DB"/>
    <w:rsid w:val="00277651"/>
    <w:rsid w:val="00280A03"/>
    <w:rsid w:val="00285D4F"/>
    <w:rsid w:val="00287ADD"/>
    <w:rsid w:val="002A0AAE"/>
    <w:rsid w:val="002A5820"/>
    <w:rsid w:val="002B2146"/>
    <w:rsid w:val="002D09F3"/>
    <w:rsid w:val="002D2B26"/>
    <w:rsid w:val="002D3761"/>
    <w:rsid w:val="002D7EA2"/>
    <w:rsid w:val="002E187C"/>
    <w:rsid w:val="002F003F"/>
    <w:rsid w:val="00302733"/>
    <w:rsid w:val="00310E88"/>
    <w:rsid w:val="00314078"/>
    <w:rsid w:val="0031535D"/>
    <w:rsid w:val="0033169F"/>
    <w:rsid w:val="003418B6"/>
    <w:rsid w:val="00346C95"/>
    <w:rsid w:val="00356185"/>
    <w:rsid w:val="00360380"/>
    <w:rsid w:val="00365D73"/>
    <w:rsid w:val="0037519E"/>
    <w:rsid w:val="00386CF0"/>
    <w:rsid w:val="00390CDC"/>
    <w:rsid w:val="003A1AF6"/>
    <w:rsid w:val="003A61C4"/>
    <w:rsid w:val="003A6420"/>
    <w:rsid w:val="003A6463"/>
    <w:rsid w:val="003A6EA7"/>
    <w:rsid w:val="003B4F6E"/>
    <w:rsid w:val="003C676B"/>
    <w:rsid w:val="003D3BC2"/>
    <w:rsid w:val="003E6CA1"/>
    <w:rsid w:val="003F71B2"/>
    <w:rsid w:val="00406847"/>
    <w:rsid w:val="0041206B"/>
    <w:rsid w:val="004165C2"/>
    <w:rsid w:val="00441ECB"/>
    <w:rsid w:val="00467B7E"/>
    <w:rsid w:val="00470DF0"/>
    <w:rsid w:val="00477592"/>
    <w:rsid w:val="00481902"/>
    <w:rsid w:val="00486F1C"/>
    <w:rsid w:val="0049419D"/>
    <w:rsid w:val="004C20D2"/>
    <w:rsid w:val="004C4B62"/>
    <w:rsid w:val="004C54C9"/>
    <w:rsid w:val="004C725A"/>
    <w:rsid w:val="004C75F6"/>
    <w:rsid w:val="004D1F7B"/>
    <w:rsid w:val="004D6025"/>
    <w:rsid w:val="004E05EC"/>
    <w:rsid w:val="004E2649"/>
    <w:rsid w:val="004F0E2C"/>
    <w:rsid w:val="004F3065"/>
    <w:rsid w:val="00501399"/>
    <w:rsid w:val="0050633D"/>
    <w:rsid w:val="00507BC4"/>
    <w:rsid w:val="005128E4"/>
    <w:rsid w:val="005133DB"/>
    <w:rsid w:val="005162A2"/>
    <w:rsid w:val="00520C3E"/>
    <w:rsid w:val="00525560"/>
    <w:rsid w:val="00531DCA"/>
    <w:rsid w:val="005339F1"/>
    <w:rsid w:val="005419BF"/>
    <w:rsid w:val="00544C49"/>
    <w:rsid w:val="005515C9"/>
    <w:rsid w:val="005516A1"/>
    <w:rsid w:val="00562739"/>
    <w:rsid w:val="00571CF5"/>
    <w:rsid w:val="0057402A"/>
    <w:rsid w:val="005771D0"/>
    <w:rsid w:val="005864A7"/>
    <w:rsid w:val="005914B0"/>
    <w:rsid w:val="0059191A"/>
    <w:rsid w:val="005921FF"/>
    <w:rsid w:val="005A3645"/>
    <w:rsid w:val="005A3ECB"/>
    <w:rsid w:val="005A6D0E"/>
    <w:rsid w:val="005B52B0"/>
    <w:rsid w:val="005B6806"/>
    <w:rsid w:val="005B78AD"/>
    <w:rsid w:val="005C04A8"/>
    <w:rsid w:val="005C4225"/>
    <w:rsid w:val="005C7B47"/>
    <w:rsid w:val="005E3701"/>
    <w:rsid w:val="005E72E3"/>
    <w:rsid w:val="005F0DAD"/>
    <w:rsid w:val="005F0F33"/>
    <w:rsid w:val="005F570C"/>
    <w:rsid w:val="00600DEB"/>
    <w:rsid w:val="00612B00"/>
    <w:rsid w:val="00627C9F"/>
    <w:rsid w:val="006311E9"/>
    <w:rsid w:val="00632354"/>
    <w:rsid w:val="00641D7B"/>
    <w:rsid w:val="00642810"/>
    <w:rsid w:val="00647CBF"/>
    <w:rsid w:val="00652333"/>
    <w:rsid w:val="0066543C"/>
    <w:rsid w:val="0068009E"/>
    <w:rsid w:val="006905E2"/>
    <w:rsid w:val="006907C2"/>
    <w:rsid w:val="00692219"/>
    <w:rsid w:val="006A17D2"/>
    <w:rsid w:val="006A73E6"/>
    <w:rsid w:val="006B1BEC"/>
    <w:rsid w:val="006B2D5C"/>
    <w:rsid w:val="006C2082"/>
    <w:rsid w:val="006C4EB1"/>
    <w:rsid w:val="006C5744"/>
    <w:rsid w:val="006C60B0"/>
    <w:rsid w:val="006E0166"/>
    <w:rsid w:val="006E09B7"/>
    <w:rsid w:val="006E7B34"/>
    <w:rsid w:val="006F4FC3"/>
    <w:rsid w:val="0070697F"/>
    <w:rsid w:val="0071378D"/>
    <w:rsid w:val="0072199C"/>
    <w:rsid w:val="00722C9F"/>
    <w:rsid w:val="007253B8"/>
    <w:rsid w:val="007259E9"/>
    <w:rsid w:val="0073331D"/>
    <w:rsid w:val="0073741F"/>
    <w:rsid w:val="00737EED"/>
    <w:rsid w:val="00744A0B"/>
    <w:rsid w:val="00751022"/>
    <w:rsid w:val="00760722"/>
    <w:rsid w:val="0076643F"/>
    <w:rsid w:val="00777F63"/>
    <w:rsid w:val="00782044"/>
    <w:rsid w:val="007A2C55"/>
    <w:rsid w:val="007A2F92"/>
    <w:rsid w:val="007A5817"/>
    <w:rsid w:val="007B60E9"/>
    <w:rsid w:val="007B6CC3"/>
    <w:rsid w:val="007C3334"/>
    <w:rsid w:val="007D2B98"/>
    <w:rsid w:val="007E16EF"/>
    <w:rsid w:val="007E21BC"/>
    <w:rsid w:val="007E7445"/>
    <w:rsid w:val="007E7600"/>
    <w:rsid w:val="007F57B2"/>
    <w:rsid w:val="00803F1C"/>
    <w:rsid w:val="0080600E"/>
    <w:rsid w:val="008073A2"/>
    <w:rsid w:val="00815DEE"/>
    <w:rsid w:val="00817612"/>
    <w:rsid w:val="008338A4"/>
    <w:rsid w:val="00837C45"/>
    <w:rsid w:val="00837E57"/>
    <w:rsid w:val="00844730"/>
    <w:rsid w:val="008457C2"/>
    <w:rsid w:val="008464A4"/>
    <w:rsid w:val="00857A82"/>
    <w:rsid w:val="00871E85"/>
    <w:rsid w:val="00873836"/>
    <w:rsid w:val="008748A7"/>
    <w:rsid w:val="00877E5B"/>
    <w:rsid w:val="00882B95"/>
    <w:rsid w:val="0088495F"/>
    <w:rsid w:val="00885737"/>
    <w:rsid w:val="00890650"/>
    <w:rsid w:val="00891336"/>
    <w:rsid w:val="00895275"/>
    <w:rsid w:val="00897E12"/>
    <w:rsid w:val="008A7546"/>
    <w:rsid w:val="008A7E0F"/>
    <w:rsid w:val="008B12F5"/>
    <w:rsid w:val="008B2159"/>
    <w:rsid w:val="008B5364"/>
    <w:rsid w:val="008D768D"/>
    <w:rsid w:val="008E3759"/>
    <w:rsid w:val="008E7ED9"/>
    <w:rsid w:val="008F1912"/>
    <w:rsid w:val="008F497A"/>
    <w:rsid w:val="00901ECC"/>
    <w:rsid w:val="0090270B"/>
    <w:rsid w:val="009041DC"/>
    <w:rsid w:val="00917B5A"/>
    <w:rsid w:val="00920706"/>
    <w:rsid w:val="00920A58"/>
    <w:rsid w:val="00920A8C"/>
    <w:rsid w:val="00925D42"/>
    <w:rsid w:val="00934A2C"/>
    <w:rsid w:val="009446CD"/>
    <w:rsid w:val="0096706E"/>
    <w:rsid w:val="00975C4E"/>
    <w:rsid w:val="00976943"/>
    <w:rsid w:val="00981FBA"/>
    <w:rsid w:val="009850D2"/>
    <w:rsid w:val="009946A8"/>
    <w:rsid w:val="00997BC5"/>
    <w:rsid w:val="009A4F41"/>
    <w:rsid w:val="009B2357"/>
    <w:rsid w:val="009B381B"/>
    <w:rsid w:val="009D1753"/>
    <w:rsid w:val="009D7611"/>
    <w:rsid w:val="009E0B61"/>
    <w:rsid w:val="009E53DE"/>
    <w:rsid w:val="00A01543"/>
    <w:rsid w:val="00A040A5"/>
    <w:rsid w:val="00A139D9"/>
    <w:rsid w:val="00A1402B"/>
    <w:rsid w:val="00A23D02"/>
    <w:rsid w:val="00A328B3"/>
    <w:rsid w:val="00A32E7D"/>
    <w:rsid w:val="00A41BDF"/>
    <w:rsid w:val="00A45FED"/>
    <w:rsid w:val="00A50FCF"/>
    <w:rsid w:val="00A528D1"/>
    <w:rsid w:val="00A610CD"/>
    <w:rsid w:val="00A75F99"/>
    <w:rsid w:val="00A8393E"/>
    <w:rsid w:val="00A9675C"/>
    <w:rsid w:val="00AA09A2"/>
    <w:rsid w:val="00AA7996"/>
    <w:rsid w:val="00AC19CB"/>
    <w:rsid w:val="00AC594F"/>
    <w:rsid w:val="00AC64FD"/>
    <w:rsid w:val="00AD1C98"/>
    <w:rsid w:val="00AE5488"/>
    <w:rsid w:val="00AE6F91"/>
    <w:rsid w:val="00AE7623"/>
    <w:rsid w:val="00AF5571"/>
    <w:rsid w:val="00AF5CA4"/>
    <w:rsid w:val="00B07341"/>
    <w:rsid w:val="00B1253E"/>
    <w:rsid w:val="00B30539"/>
    <w:rsid w:val="00B314DB"/>
    <w:rsid w:val="00B361F2"/>
    <w:rsid w:val="00B3718B"/>
    <w:rsid w:val="00B4632A"/>
    <w:rsid w:val="00B530F1"/>
    <w:rsid w:val="00B60B94"/>
    <w:rsid w:val="00B65319"/>
    <w:rsid w:val="00B75F8C"/>
    <w:rsid w:val="00B77B1B"/>
    <w:rsid w:val="00B84418"/>
    <w:rsid w:val="00B90E23"/>
    <w:rsid w:val="00BA276C"/>
    <w:rsid w:val="00BB306F"/>
    <w:rsid w:val="00BC6D51"/>
    <w:rsid w:val="00BD4B89"/>
    <w:rsid w:val="00BF6FD8"/>
    <w:rsid w:val="00C03680"/>
    <w:rsid w:val="00C054DF"/>
    <w:rsid w:val="00C05E85"/>
    <w:rsid w:val="00C1150D"/>
    <w:rsid w:val="00C21762"/>
    <w:rsid w:val="00C24543"/>
    <w:rsid w:val="00C256A2"/>
    <w:rsid w:val="00C31CEB"/>
    <w:rsid w:val="00C323C3"/>
    <w:rsid w:val="00C32CCB"/>
    <w:rsid w:val="00C51515"/>
    <w:rsid w:val="00C5660B"/>
    <w:rsid w:val="00C57516"/>
    <w:rsid w:val="00C64284"/>
    <w:rsid w:val="00C66B72"/>
    <w:rsid w:val="00C943B8"/>
    <w:rsid w:val="00C9567A"/>
    <w:rsid w:val="00CB212D"/>
    <w:rsid w:val="00CB2660"/>
    <w:rsid w:val="00CB43FA"/>
    <w:rsid w:val="00CB7A68"/>
    <w:rsid w:val="00CC1198"/>
    <w:rsid w:val="00CC5E90"/>
    <w:rsid w:val="00CD046C"/>
    <w:rsid w:val="00CE076C"/>
    <w:rsid w:val="00CE5199"/>
    <w:rsid w:val="00CE66D5"/>
    <w:rsid w:val="00CF637A"/>
    <w:rsid w:val="00CF7AD5"/>
    <w:rsid w:val="00D01174"/>
    <w:rsid w:val="00D05847"/>
    <w:rsid w:val="00D059DE"/>
    <w:rsid w:val="00D13DB7"/>
    <w:rsid w:val="00D13FCE"/>
    <w:rsid w:val="00D306D1"/>
    <w:rsid w:val="00D332B2"/>
    <w:rsid w:val="00D34786"/>
    <w:rsid w:val="00D37BFC"/>
    <w:rsid w:val="00D435C6"/>
    <w:rsid w:val="00D46475"/>
    <w:rsid w:val="00D47A8E"/>
    <w:rsid w:val="00D52D14"/>
    <w:rsid w:val="00D712D3"/>
    <w:rsid w:val="00D71422"/>
    <w:rsid w:val="00D72DC6"/>
    <w:rsid w:val="00D7558D"/>
    <w:rsid w:val="00D7749C"/>
    <w:rsid w:val="00D81D92"/>
    <w:rsid w:val="00D86DD9"/>
    <w:rsid w:val="00DA2F2D"/>
    <w:rsid w:val="00DA7B5F"/>
    <w:rsid w:val="00DC11E7"/>
    <w:rsid w:val="00DC684C"/>
    <w:rsid w:val="00DC7023"/>
    <w:rsid w:val="00DC7629"/>
    <w:rsid w:val="00DC769A"/>
    <w:rsid w:val="00DD3D86"/>
    <w:rsid w:val="00DE3DCE"/>
    <w:rsid w:val="00DF1EC4"/>
    <w:rsid w:val="00DF762A"/>
    <w:rsid w:val="00E0340B"/>
    <w:rsid w:val="00E04A90"/>
    <w:rsid w:val="00E07A93"/>
    <w:rsid w:val="00E10BA8"/>
    <w:rsid w:val="00E11933"/>
    <w:rsid w:val="00E219C7"/>
    <w:rsid w:val="00E37560"/>
    <w:rsid w:val="00E43157"/>
    <w:rsid w:val="00E4542F"/>
    <w:rsid w:val="00E461CE"/>
    <w:rsid w:val="00E528A0"/>
    <w:rsid w:val="00E63128"/>
    <w:rsid w:val="00E67E07"/>
    <w:rsid w:val="00E720CA"/>
    <w:rsid w:val="00E81FE8"/>
    <w:rsid w:val="00E84956"/>
    <w:rsid w:val="00E84EB5"/>
    <w:rsid w:val="00E85662"/>
    <w:rsid w:val="00E8789F"/>
    <w:rsid w:val="00E93FA1"/>
    <w:rsid w:val="00E97B71"/>
    <w:rsid w:val="00EA0EA0"/>
    <w:rsid w:val="00EA3D34"/>
    <w:rsid w:val="00EB454D"/>
    <w:rsid w:val="00EB5259"/>
    <w:rsid w:val="00EB5732"/>
    <w:rsid w:val="00EB5E67"/>
    <w:rsid w:val="00ED76BE"/>
    <w:rsid w:val="00EE71BC"/>
    <w:rsid w:val="00EF3B7E"/>
    <w:rsid w:val="00EF619B"/>
    <w:rsid w:val="00EF6475"/>
    <w:rsid w:val="00F00B55"/>
    <w:rsid w:val="00F02AD1"/>
    <w:rsid w:val="00F03820"/>
    <w:rsid w:val="00F0412D"/>
    <w:rsid w:val="00F044C1"/>
    <w:rsid w:val="00F13D5F"/>
    <w:rsid w:val="00F253CC"/>
    <w:rsid w:val="00F351C3"/>
    <w:rsid w:val="00F37106"/>
    <w:rsid w:val="00F41A32"/>
    <w:rsid w:val="00F519CF"/>
    <w:rsid w:val="00F56BA5"/>
    <w:rsid w:val="00F60E22"/>
    <w:rsid w:val="00F70462"/>
    <w:rsid w:val="00F70C7B"/>
    <w:rsid w:val="00F75995"/>
    <w:rsid w:val="00F81395"/>
    <w:rsid w:val="00F917D1"/>
    <w:rsid w:val="00F936B9"/>
    <w:rsid w:val="00F952B4"/>
    <w:rsid w:val="00F9653B"/>
    <w:rsid w:val="00FB582A"/>
    <w:rsid w:val="00FB62CF"/>
    <w:rsid w:val="00FB69A9"/>
    <w:rsid w:val="00FC5947"/>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FootnoteCharacters">
    <w:name w:val="Footnote Characters"/>
    <w:rsid w:val="005A3E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FootnoteCharacters">
    <w:name w:val="Footnote Characters"/>
    <w:rsid w:val="005A3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2ACE-1481-4806-B893-C6F34C9D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2653</Words>
  <Characters>14355</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30/15</dc:title>
  <dc:creator/>
  <cp:lastModifiedBy/>
  <cp:revision>1</cp:revision>
  <dcterms:created xsi:type="dcterms:W3CDTF">2015-09-18T16:32:00Z</dcterms:created>
  <dcterms:modified xsi:type="dcterms:W3CDTF">2015-11-11T14:18:00Z</dcterms:modified>
</cp:coreProperties>
</file>