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26E1">
                              <w:rPr>
                                <w:rFonts w:asciiTheme="majorHAnsi" w:hAnsiTheme="majorHAnsi" w:cs="Arial"/>
                                <w:b/>
                                <w:bCs/>
                                <w:color w:val="0D0D0D" w:themeColor="text1" w:themeTint="F2"/>
                                <w:sz w:val="36"/>
                                <w:szCs w:val="40"/>
                              </w:rPr>
                              <w:t>31</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A26E1">
                              <w:rPr>
                                <w:rFonts w:asciiTheme="majorHAnsi" w:hAnsiTheme="majorHAnsi" w:cs="Arial"/>
                                <w:b/>
                                <w:bCs/>
                                <w:color w:val="0D0D0D" w:themeColor="text1" w:themeTint="F2"/>
                                <w:sz w:val="36"/>
                                <w:szCs w:val="40"/>
                              </w:rPr>
                              <w:t>11.837</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0A26E1" w:rsidP="004B7EB6">
                            <w:pPr>
                              <w:spacing w:line="276" w:lineRule="auto"/>
                              <w:rPr>
                                <w:rFonts w:asciiTheme="majorHAnsi" w:hAnsiTheme="majorHAnsi" w:cs="Arial"/>
                                <w:color w:val="0D0D0D" w:themeColor="text1" w:themeTint="F2"/>
                              </w:rPr>
                            </w:pPr>
                            <w:r w:rsidRPr="00994A4B">
                              <w:rPr>
                                <w:rFonts w:asciiTheme="majorHAnsi" w:hAnsiTheme="majorHAnsi"/>
                              </w:rPr>
                              <w:t>INDRAVANI PAMELA RAMJATTAN</w:t>
                            </w:r>
                          </w:p>
                          <w:p w:rsidR="005B52B0" w:rsidRPr="000A26E1" w:rsidRDefault="000A26E1"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TRINIDAD AND TOBAGO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0A26E1">
                        <w:rPr>
                          <w:rFonts w:asciiTheme="majorHAnsi" w:hAnsiTheme="majorHAnsi" w:cs="Arial"/>
                          <w:b/>
                          <w:bCs/>
                          <w:color w:val="0D0D0D" w:themeColor="text1" w:themeTint="F2"/>
                          <w:sz w:val="36"/>
                          <w:szCs w:val="40"/>
                        </w:rPr>
                        <w:t>3</w:t>
                      </w:r>
                      <w:bookmarkStart w:id="1" w:name="_GoBack"/>
                      <w:bookmarkEnd w:id="1"/>
                      <w:r w:rsidR="000A26E1">
                        <w:rPr>
                          <w:rFonts w:asciiTheme="majorHAnsi" w:hAnsiTheme="majorHAnsi" w:cs="Arial"/>
                          <w:b/>
                          <w:bCs/>
                          <w:color w:val="0D0D0D" w:themeColor="text1" w:themeTint="F2"/>
                          <w:sz w:val="36"/>
                          <w:szCs w:val="40"/>
                        </w:rPr>
                        <w:t>1</w:t>
                      </w:r>
                      <w:r w:rsidRPr="004B7EB6">
                        <w:rPr>
                          <w:rFonts w:asciiTheme="majorHAnsi" w:hAnsiTheme="majorHAnsi" w:cs="Arial"/>
                          <w:b/>
                          <w:bCs/>
                          <w:color w:val="0D0D0D" w:themeColor="text1" w:themeTint="F2"/>
                          <w:sz w:val="36"/>
                          <w:szCs w:val="40"/>
                        </w:rPr>
                        <w:t>/14</w:t>
                      </w:r>
                    </w:p>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sidR="000A26E1">
                        <w:rPr>
                          <w:rFonts w:asciiTheme="majorHAnsi" w:hAnsiTheme="majorHAnsi" w:cs="Arial"/>
                          <w:b/>
                          <w:bCs/>
                          <w:color w:val="0D0D0D" w:themeColor="text1" w:themeTint="F2"/>
                          <w:sz w:val="36"/>
                          <w:szCs w:val="40"/>
                        </w:rPr>
                        <w:t>11.837</w:t>
                      </w:r>
                    </w:p>
                    <w:p w:rsidR="00322450" w:rsidRPr="004B7EB6" w:rsidRDefault="00450A4A"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ARCHIVE</w:t>
                      </w:r>
                    </w:p>
                    <w:p w:rsidR="00450A4A" w:rsidRDefault="00450A4A" w:rsidP="004B7EB6">
                      <w:pPr>
                        <w:spacing w:line="276" w:lineRule="auto"/>
                        <w:rPr>
                          <w:rFonts w:asciiTheme="majorHAnsi" w:hAnsiTheme="majorHAnsi" w:cs="Arial"/>
                          <w:color w:val="0D0D0D" w:themeColor="text1" w:themeTint="F2"/>
                          <w:szCs w:val="22"/>
                        </w:rPr>
                      </w:pPr>
                    </w:p>
                    <w:p w:rsidR="000A26E1" w:rsidRDefault="000A26E1" w:rsidP="004B7EB6">
                      <w:pPr>
                        <w:spacing w:line="276" w:lineRule="auto"/>
                        <w:rPr>
                          <w:rFonts w:asciiTheme="majorHAnsi" w:hAnsiTheme="majorHAnsi" w:cs="Arial"/>
                          <w:color w:val="0D0D0D" w:themeColor="text1" w:themeTint="F2"/>
                          <w:szCs w:val="22"/>
                        </w:rPr>
                      </w:pPr>
                    </w:p>
                    <w:p w:rsidR="000A26E1" w:rsidRPr="004B7EB6" w:rsidRDefault="000A26E1" w:rsidP="004B7EB6">
                      <w:pPr>
                        <w:spacing w:line="276" w:lineRule="auto"/>
                        <w:rPr>
                          <w:rFonts w:asciiTheme="majorHAnsi" w:hAnsiTheme="majorHAnsi" w:cs="Arial"/>
                          <w:color w:val="0D0D0D" w:themeColor="text1" w:themeTint="F2"/>
                          <w:szCs w:val="22"/>
                        </w:rPr>
                      </w:pPr>
                    </w:p>
                    <w:p w:rsidR="00322450" w:rsidRPr="00994A4B" w:rsidRDefault="000A26E1" w:rsidP="004B7EB6">
                      <w:pPr>
                        <w:spacing w:line="276" w:lineRule="auto"/>
                        <w:rPr>
                          <w:rFonts w:asciiTheme="majorHAnsi" w:hAnsiTheme="majorHAnsi" w:cs="Arial"/>
                          <w:color w:val="0D0D0D" w:themeColor="text1" w:themeTint="F2"/>
                        </w:rPr>
                      </w:pPr>
                      <w:r w:rsidRPr="00994A4B">
                        <w:rPr>
                          <w:rFonts w:asciiTheme="majorHAnsi" w:hAnsiTheme="majorHAnsi"/>
                        </w:rPr>
                        <w:t>INDRAVANI PAMELA RAMJATTAN</w:t>
                      </w:r>
                    </w:p>
                    <w:p w:rsidR="005B52B0" w:rsidRPr="000A26E1" w:rsidRDefault="000A26E1"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TRINIDAD AND TOBAGO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A26E1">
                              <w:rPr>
                                <w:rFonts w:asciiTheme="minorHAnsi" w:hAnsiTheme="minorHAnsi"/>
                                <w:color w:val="FFFFFF" w:themeColor="background1"/>
                                <w:sz w:val="22"/>
                                <w:lang w:val="pt-BR"/>
                              </w:rPr>
                              <w:t>35</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OEA/Ser.L/V/II.150</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0A26E1">
                        <w:rPr>
                          <w:rFonts w:asciiTheme="minorHAnsi" w:hAnsiTheme="minorHAnsi"/>
                          <w:color w:val="FFFFFF" w:themeColor="background1"/>
                          <w:sz w:val="22"/>
                          <w:lang w:val="pt-BR"/>
                        </w:rPr>
                        <w:t>35</w:t>
                      </w:r>
                    </w:p>
                    <w:p w:rsidR="00627C9F" w:rsidRPr="004B7EB6" w:rsidRDefault="000A26E1" w:rsidP="002C1641">
                      <w:pPr>
                        <w:jc w:val="right"/>
                        <w:rPr>
                          <w:rFonts w:asciiTheme="minorHAnsi" w:hAnsiTheme="minorHAnsi"/>
                          <w:color w:val="FFFFFF" w:themeColor="background1"/>
                          <w:sz w:val="22"/>
                        </w:rPr>
                      </w:pPr>
                      <w:r>
                        <w:rPr>
                          <w:rFonts w:asciiTheme="minorHAnsi" w:hAnsiTheme="minorHAnsi"/>
                          <w:color w:val="FFFFFF" w:themeColor="background1"/>
                          <w:sz w:val="22"/>
                        </w:rPr>
                        <w:t>4</w:t>
                      </w:r>
                      <w:r w:rsidR="00627C9F" w:rsidRPr="004B7EB6">
                        <w:rPr>
                          <w:rFonts w:asciiTheme="minorHAnsi" w:hAnsiTheme="minorHAnsi"/>
                          <w:color w:val="FFFFFF" w:themeColor="background1"/>
                          <w:sz w:val="22"/>
                        </w:rPr>
                        <w:t xml:space="preserve"> </w:t>
                      </w:r>
                      <w:r w:rsidR="00070F3A" w:rsidRPr="004B7EB6">
                        <w:rPr>
                          <w:rFonts w:asciiTheme="minorHAnsi" w:hAnsiTheme="minorHAnsi"/>
                          <w:color w:val="FFFFFF" w:themeColor="background1"/>
                          <w:sz w:val="22"/>
                        </w:rPr>
                        <w:t>A</w:t>
                      </w:r>
                      <w:r w:rsidR="00613027" w:rsidRPr="004B7EB6">
                        <w:rPr>
                          <w:rFonts w:asciiTheme="minorHAnsi" w:hAnsiTheme="minorHAnsi"/>
                          <w:color w:val="FFFFFF" w:themeColor="background1"/>
                          <w:sz w:val="22"/>
                        </w:rPr>
                        <w:t>pril</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322450" w:rsidRPr="004B7EB6">
                        <w:rPr>
                          <w:rFonts w:asciiTheme="minorHAnsi" w:hAnsiTheme="minorHAnsi"/>
                          <w:color w:val="FFFFFF" w:themeColor="background1"/>
                          <w:sz w:val="22"/>
                        </w:rPr>
                        <w:t>English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D57424">
                        <w:rPr>
                          <w:rFonts w:asciiTheme="majorHAnsi" w:hAnsiTheme="majorHAnsi"/>
                          <w:color w:val="0D0D0D" w:themeColor="text1" w:themeTint="F2"/>
                          <w:sz w:val="18"/>
                          <w:szCs w:val="20"/>
                        </w:rPr>
                        <w:t>1980</w:t>
                      </w:r>
                      <w:r w:rsidR="00D57424"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D57424" w:rsidRPr="003C32BC">
                        <w:rPr>
                          <w:rFonts w:asciiTheme="majorHAnsi" w:hAnsiTheme="majorHAnsi"/>
                          <w:color w:val="0D0D0D" w:themeColor="text1" w:themeTint="F2"/>
                          <w:sz w:val="18"/>
                          <w:szCs w:val="20"/>
                        </w:rPr>
                        <w:t xml:space="preserve">April </w:t>
                      </w:r>
                      <w:r w:rsidR="00D57424">
                        <w:rPr>
                          <w:rFonts w:asciiTheme="majorHAnsi" w:hAnsiTheme="majorHAnsi"/>
                          <w:color w:val="0D0D0D" w:themeColor="text1" w:themeTint="F2"/>
                          <w:sz w:val="18"/>
                          <w:szCs w:val="20"/>
                        </w:rPr>
                        <w:t>4</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150 Regular Period of Sessions</w:t>
                      </w:r>
                    </w:p>
                    <w:p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IACHR, Report No. 31/14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 xml:space="preserve">11.837. </w:t>
                            </w:r>
                            <w:r w:rsidRPr="003C32BC">
                              <w:rPr>
                                <w:rFonts w:asciiTheme="majorHAnsi" w:hAnsiTheme="majorHAnsi"/>
                                <w:color w:val="595959" w:themeColor="text1" w:themeTint="A6"/>
                                <w:sz w:val="18"/>
                              </w:rPr>
                              <w:t xml:space="preserve">Archive. </w:t>
                            </w:r>
                            <w:r w:rsidR="000A26E1">
                              <w:rPr>
                                <w:rFonts w:asciiTheme="majorHAnsi" w:hAnsiTheme="majorHAnsi"/>
                                <w:color w:val="595959" w:themeColor="text1" w:themeTint="A6"/>
                                <w:sz w:val="18"/>
                              </w:rPr>
                              <w:t>Indravani Pamela Ramjattan</w:t>
                            </w:r>
                            <w:r w:rsidRPr="003C32BC">
                              <w:rPr>
                                <w:rFonts w:asciiTheme="majorHAnsi" w:hAnsiTheme="majorHAnsi"/>
                                <w:color w:val="595959" w:themeColor="text1" w:themeTint="A6"/>
                                <w:sz w:val="18"/>
                              </w:rPr>
                              <w:t xml:space="preserve">. </w:t>
                            </w:r>
                            <w:r w:rsidR="004A63BE">
                              <w:rPr>
                                <w:rFonts w:asciiTheme="majorHAnsi" w:hAnsiTheme="majorHAnsi"/>
                                <w:color w:val="595959" w:themeColor="text1" w:themeTint="A6"/>
                                <w:sz w:val="18"/>
                              </w:rPr>
                              <w:t>Trinidad and Tobago. April 4,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0A26E1">
                        <w:rPr>
                          <w:rFonts w:asciiTheme="majorHAnsi" w:hAnsiTheme="majorHAnsi"/>
                          <w:color w:val="595959" w:themeColor="text1" w:themeTint="A6"/>
                          <w:sz w:val="18"/>
                        </w:rPr>
                        <w:t>IACHR, Report No. 31/14</w:t>
                      </w:r>
                      <w:r w:rsidRPr="003C32BC">
                        <w:rPr>
                          <w:rFonts w:asciiTheme="majorHAnsi" w:hAnsiTheme="majorHAnsi"/>
                          <w:color w:val="595959" w:themeColor="text1" w:themeTint="A6"/>
                          <w:sz w:val="18"/>
                        </w:rPr>
                        <w:t xml:space="preserve">, Case </w:t>
                      </w:r>
                      <w:r w:rsidR="000A26E1">
                        <w:rPr>
                          <w:rFonts w:asciiTheme="majorHAnsi" w:hAnsiTheme="majorHAnsi"/>
                          <w:color w:val="595959" w:themeColor="text1" w:themeTint="A6"/>
                          <w:sz w:val="18"/>
                        </w:rPr>
                        <w:t xml:space="preserve">11.837. </w:t>
                      </w:r>
                      <w:r w:rsidRPr="003C32BC">
                        <w:rPr>
                          <w:rFonts w:asciiTheme="majorHAnsi" w:hAnsiTheme="majorHAnsi"/>
                          <w:color w:val="595959" w:themeColor="text1" w:themeTint="A6"/>
                          <w:sz w:val="18"/>
                        </w:rPr>
                        <w:t xml:space="preserve">Archive. </w:t>
                      </w:r>
                      <w:r w:rsidR="000A26E1">
                        <w:rPr>
                          <w:rFonts w:asciiTheme="majorHAnsi" w:hAnsiTheme="majorHAnsi"/>
                          <w:color w:val="595959" w:themeColor="text1" w:themeTint="A6"/>
                          <w:sz w:val="18"/>
                        </w:rPr>
                        <w:t>Indravani Pamela Ramjattan</w:t>
                      </w:r>
                      <w:r w:rsidRPr="003C32BC">
                        <w:rPr>
                          <w:rFonts w:asciiTheme="majorHAnsi" w:hAnsiTheme="majorHAnsi"/>
                          <w:color w:val="595959" w:themeColor="text1" w:themeTint="A6"/>
                          <w:sz w:val="18"/>
                        </w:rPr>
                        <w:t xml:space="preserve">. </w:t>
                      </w:r>
                      <w:r w:rsidR="004A63BE">
                        <w:rPr>
                          <w:rFonts w:asciiTheme="majorHAnsi" w:hAnsiTheme="majorHAnsi"/>
                          <w:color w:val="595959" w:themeColor="text1" w:themeTint="A6"/>
                          <w:sz w:val="18"/>
                        </w:rPr>
                        <w:t>Trinidad and Tobago. April 4, 2014.</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7A2F70" w:rsidRPr="00E82CF9" w:rsidRDefault="007A2F70" w:rsidP="00145EDC">
      <w:pPr>
        <w:tabs>
          <w:tab w:val="center" w:pos="5400"/>
        </w:tabs>
        <w:suppressAutoHyphens/>
        <w:spacing w:line="276" w:lineRule="auto"/>
        <w:jc w:val="center"/>
        <w:rPr>
          <w:rFonts w:asciiTheme="majorHAnsi" w:hAnsiTheme="majorHAnsi"/>
          <w:b/>
          <w:sz w:val="18"/>
          <w:szCs w:val="18"/>
        </w:rPr>
      </w:pPr>
      <w:r w:rsidRPr="00E82CF9">
        <w:rPr>
          <w:rFonts w:asciiTheme="majorHAnsi" w:hAnsiTheme="majorHAnsi"/>
          <w:b/>
          <w:sz w:val="18"/>
          <w:szCs w:val="18"/>
        </w:rPr>
        <w:lastRenderedPageBreak/>
        <w:t xml:space="preserve">REPORT No. </w:t>
      </w:r>
      <w:r w:rsidR="00782086" w:rsidRPr="00E82CF9">
        <w:rPr>
          <w:rFonts w:asciiTheme="majorHAnsi" w:hAnsiTheme="majorHAnsi"/>
          <w:b/>
          <w:sz w:val="18"/>
          <w:szCs w:val="18"/>
        </w:rPr>
        <w:t>31</w:t>
      </w:r>
      <w:r w:rsidRPr="00E82CF9">
        <w:rPr>
          <w:rFonts w:asciiTheme="majorHAnsi" w:hAnsiTheme="majorHAnsi"/>
          <w:b/>
          <w:sz w:val="18"/>
          <w:szCs w:val="18"/>
        </w:rPr>
        <w:t>/14</w:t>
      </w:r>
    </w:p>
    <w:p w:rsidR="007A2F70" w:rsidRPr="00E82CF9" w:rsidRDefault="007A2F70" w:rsidP="00145EDC">
      <w:pPr>
        <w:tabs>
          <w:tab w:val="center" w:pos="5400"/>
        </w:tabs>
        <w:suppressAutoHyphens/>
        <w:spacing w:line="276" w:lineRule="auto"/>
        <w:jc w:val="center"/>
        <w:rPr>
          <w:rFonts w:asciiTheme="majorHAnsi" w:hAnsiTheme="majorHAnsi"/>
          <w:sz w:val="18"/>
          <w:szCs w:val="18"/>
        </w:rPr>
      </w:pPr>
      <w:r w:rsidRPr="00E82CF9">
        <w:rPr>
          <w:rFonts w:asciiTheme="majorHAnsi" w:hAnsiTheme="majorHAnsi"/>
          <w:sz w:val="18"/>
          <w:szCs w:val="18"/>
        </w:rPr>
        <w:t xml:space="preserve">CASE </w:t>
      </w:r>
      <w:r w:rsidR="00E334C5" w:rsidRPr="00E82CF9">
        <w:rPr>
          <w:rFonts w:asciiTheme="majorHAnsi" w:hAnsiTheme="majorHAnsi"/>
          <w:sz w:val="18"/>
          <w:szCs w:val="18"/>
        </w:rPr>
        <w:t>11.837</w:t>
      </w:r>
    </w:p>
    <w:p w:rsidR="007A2F70" w:rsidRPr="00E82CF9" w:rsidRDefault="007A2F70" w:rsidP="00145EDC">
      <w:pPr>
        <w:tabs>
          <w:tab w:val="center" w:pos="5400"/>
        </w:tabs>
        <w:suppressAutoHyphens/>
        <w:spacing w:line="276" w:lineRule="auto"/>
        <w:jc w:val="center"/>
        <w:rPr>
          <w:rFonts w:asciiTheme="majorHAnsi" w:hAnsiTheme="majorHAnsi"/>
          <w:sz w:val="18"/>
          <w:szCs w:val="18"/>
        </w:rPr>
      </w:pPr>
      <w:r w:rsidRPr="00E82CF9">
        <w:rPr>
          <w:rFonts w:asciiTheme="majorHAnsi" w:hAnsiTheme="majorHAnsi"/>
          <w:sz w:val="18"/>
          <w:szCs w:val="18"/>
        </w:rPr>
        <w:t>ARCHIVE</w:t>
      </w:r>
    </w:p>
    <w:p w:rsidR="007A2F70" w:rsidRPr="00E82CF9" w:rsidRDefault="00E334C5" w:rsidP="00145EDC">
      <w:pPr>
        <w:tabs>
          <w:tab w:val="center" w:pos="5400"/>
        </w:tabs>
        <w:suppressAutoHyphens/>
        <w:spacing w:line="276" w:lineRule="auto"/>
        <w:jc w:val="center"/>
        <w:rPr>
          <w:rFonts w:asciiTheme="majorHAnsi" w:hAnsiTheme="majorHAnsi"/>
          <w:sz w:val="18"/>
          <w:szCs w:val="18"/>
        </w:rPr>
      </w:pPr>
      <w:r w:rsidRPr="00E82CF9">
        <w:rPr>
          <w:rFonts w:asciiTheme="majorHAnsi" w:hAnsiTheme="majorHAnsi"/>
          <w:sz w:val="18"/>
          <w:szCs w:val="18"/>
        </w:rPr>
        <w:t>INDRAVANI PAMELA RAMJATTAN</w:t>
      </w:r>
    </w:p>
    <w:p w:rsidR="007A2F70" w:rsidRPr="00E82CF9" w:rsidRDefault="00E334C5" w:rsidP="00145EDC">
      <w:pPr>
        <w:tabs>
          <w:tab w:val="center" w:pos="5400"/>
        </w:tabs>
        <w:suppressAutoHyphens/>
        <w:spacing w:line="276" w:lineRule="auto"/>
        <w:jc w:val="center"/>
        <w:rPr>
          <w:rFonts w:asciiTheme="majorHAnsi" w:hAnsiTheme="majorHAnsi"/>
          <w:sz w:val="18"/>
          <w:szCs w:val="18"/>
        </w:rPr>
      </w:pPr>
      <w:r w:rsidRPr="00E82CF9">
        <w:rPr>
          <w:rFonts w:asciiTheme="majorHAnsi" w:hAnsiTheme="majorHAnsi"/>
          <w:sz w:val="18"/>
          <w:szCs w:val="18"/>
        </w:rPr>
        <w:t>TRINIDAD AND TOBAGO</w:t>
      </w:r>
      <w:r w:rsidR="003414AC" w:rsidRPr="00E82CF9">
        <w:rPr>
          <w:rFonts w:asciiTheme="majorHAnsi" w:hAnsiTheme="majorHAnsi"/>
          <w:sz w:val="18"/>
          <w:szCs w:val="18"/>
        </w:rPr>
        <w:br/>
      </w:r>
      <w:r w:rsidRPr="00E82CF9">
        <w:rPr>
          <w:rFonts w:asciiTheme="majorHAnsi" w:hAnsiTheme="majorHAnsi"/>
          <w:sz w:val="18"/>
          <w:szCs w:val="18"/>
        </w:rPr>
        <w:t>APRIL 4, 2014</w:t>
      </w:r>
    </w:p>
    <w:p w:rsidR="007607C4" w:rsidRPr="00E334C5" w:rsidRDefault="007607C4" w:rsidP="00145EDC">
      <w:pPr>
        <w:tabs>
          <w:tab w:val="center" w:pos="5400"/>
        </w:tabs>
        <w:suppressAutoHyphens/>
        <w:spacing w:line="276" w:lineRule="auto"/>
        <w:rPr>
          <w:rFonts w:asciiTheme="majorHAnsi" w:hAnsiTheme="majorHAnsi"/>
          <w:sz w:val="20"/>
          <w:szCs w:val="20"/>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noProof/>
          <w:sz w:val="20"/>
          <w:szCs w:val="20"/>
          <w:bdr w:val="none" w:sz="0" w:space="0" w:color="auto"/>
        </w:rPr>
      </w:pPr>
      <w:r w:rsidRPr="004A63BE">
        <w:rPr>
          <w:rFonts w:asciiTheme="majorHAnsi" w:eastAsia="Times New Roman" w:hAnsiTheme="majorHAnsi"/>
          <w:b/>
          <w:noProof/>
          <w:sz w:val="20"/>
          <w:szCs w:val="20"/>
          <w:bdr w:val="none" w:sz="0" w:space="0" w:color="auto"/>
        </w:rPr>
        <w:t>ALLEGED VICTIM:</w:t>
      </w:r>
      <w:r w:rsidRPr="004A63BE">
        <w:rPr>
          <w:rFonts w:asciiTheme="majorHAnsi" w:eastAsia="Times New Roman" w:hAnsiTheme="majorHAnsi"/>
          <w:b/>
          <w:noProof/>
          <w:sz w:val="20"/>
          <w:szCs w:val="20"/>
          <w:bdr w:val="none" w:sz="0" w:space="0" w:color="auto"/>
        </w:rPr>
        <w:tab/>
      </w:r>
      <w:r w:rsidRPr="004A63BE">
        <w:rPr>
          <w:rFonts w:asciiTheme="majorHAnsi" w:eastAsia="Times New Roman" w:hAnsiTheme="majorHAnsi"/>
          <w:b/>
          <w:noProof/>
          <w:sz w:val="20"/>
          <w:szCs w:val="20"/>
          <w:bdr w:val="none" w:sz="0" w:space="0" w:color="auto"/>
        </w:rPr>
        <w:tab/>
      </w:r>
      <w:r w:rsidRPr="004A63BE">
        <w:rPr>
          <w:rFonts w:asciiTheme="majorHAnsi" w:eastAsia="Times New Roman" w:hAnsiTheme="majorHAnsi"/>
          <w:b/>
          <w:noProof/>
          <w:sz w:val="20"/>
          <w:szCs w:val="20"/>
          <w:bdr w:val="none" w:sz="0" w:space="0" w:color="auto"/>
        </w:rPr>
        <w:tab/>
      </w:r>
      <w:r w:rsidRPr="004A63BE">
        <w:rPr>
          <w:rFonts w:asciiTheme="majorHAnsi" w:eastAsia="Times New Roman" w:hAnsiTheme="majorHAnsi"/>
          <w:noProof/>
          <w:sz w:val="20"/>
          <w:szCs w:val="20"/>
          <w:bdr w:val="none" w:sz="0" w:space="0" w:color="auto"/>
        </w:rPr>
        <w:t>Indravani Pamela Ramjattan</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Theme="majorHAnsi" w:eastAsia="Times New Roman" w:hAnsiTheme="majorHAnsi"/>
          <w:noProof/>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b/>
          <w:noProof/>
          <w:sz w:val="20"/>
          <w:szCs w:val="20"/>
          <w:bdr w:val="none" w:sz="0" w:space="0" w:color="auto"/>
        </w:rPr>
        <w:t>PETITIONERS:</w:t>
      </w:r>
      <w:r w:rsidRPr="004A63BE">
        <w:rPr>
          <w:rFonts w:asciiTheme="majorHAnsi" w:eastAsia="Times New Roman" w:hAnsiTheme="majorHAnsi"/>
          <w:noProof/>
          <w:sz w:val="20"/>
          <w:szCs w:val="20"/>
          <w:bdr w:val="none" w:sz="0" w:space="0" w:color="auto"/>
        </w:rPr>
        <w:t xml:space="preserve"> </w:t>
      </w:r>
      <w:r w:rsidRPr="004A63BE">
        <w:rPr>
          <w:rFonts w:asciiTheme="majorHAnsi" w:eastAsia="Times New Roman" w:hAnsiTheme="majorHAnsi"/>
          <w:noProof/>
          <w:sz w:val="20"/>
          <w:szCs w:val="20"/>
          <w:bdr w:val="none" w:sz="0" w:space="0" w:color="auto"/>
        </w:rPr>
        <w:tab/>
      </w:r>
      <w:r w:rsidRPr="004A63BE">
        <w:rPr>
          <w:rFonts w:asciiTheme="majorHAnsi" w:eastAsia="Times New Roman" w:hAnsiTheme="majorHAnsi"/>
          <w:noProof/>
          <w:sz w:val="20"/>
          <w:szCs w:val="20"/>
          <w:bdr w:val="none" w:sz="0" w:space="0" w:color="auto"/>
        </w:rPr>
        <w:tab/>
      </w:r>
      <w:r w:rsidRPr="004A63BE">
        <w:rPr>
          <w:rFonts w:asciiTheme="majorHAnsi" w:eastAsia="Times New Roman" w:hAnsiTheme="majorHAnsi"/>
          <w:noProof/>
          <w:sz w:val="20"/>
          <w:szCs w:val="20"/>
          <w:bdr w:val="none" w:sz="0" w:space="0" w:color="auto"/>
        </w:rPr>
        <w:tab/>
      </w:r>
      <w:r w:rsidRPr="004A63BE">
        <w:rPr>
          <w:rFonts w:asciiTheme="majorHAnsi" w:eastAsia="Times New Roman" w:hAnsiTheme="majorHAnsi"/>
          <w:noProof/>
          <w:sz w:val="20"/>
          <w:szCs w:val="20"/>
          <w:bdr w:val="none" w:sz="0" w:space="0" w:color="auto"/>
        </w:rPr>
        <w:tab/>
        <w:t>Joanne Cross (Slaughter and May)</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left="3600" w:hanging="360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b/>
          <w:noProof/>
          <w:sz w:val="20"/>
          <w:szCs w:val="20"/>
          <w:bdr w:val="none" w:sz="0" w:space="0" w:color="auto"/>
        </w:rPr>
        <w:t>ALLEGED VIOLATIONS:</w:t>
      </w:r>
      <w:r w:rsidRPr="004A63BE">
        <w:rPr>
          <w:rFonts w:asciiTheme="majorHAnsi" w:eastAsia="Times New Roman" w:hAnsiTheme="majorHAnsi"/>
          <w:noProof/>
          <w:sz w:val="20"/>
          <w:szCs w:val="20"/>
          <w:bdr w:val="none" w:sz="0" w:space="0" w:color="auto"/>
        </w:rPr>
        <w:t xml:space="preserve"> </w:t>
      </w:r>
      <w:r w:rsidRPr="004A63BE">
        <w:rPr>
          <w:rFonts w:asciiTheme="majorHAnsi" w:eastAsia="Times New Roman" w:hAnsiTheme="majorHAnsi"/>
          <w:noProof/>
          <w:sz w:val="20"/>
          <w:szCs w:val="20"/>
          <w:bdr w:val="none" w:sz="0" w:space="0" w:color="auto"/>
        </w:rPr>
        <w:tab/>
        <w:t>Articles 4, 5, 8 and 11 of the American Convention; and Articles 3, 4, 7 and 8 of the Inter-American Convention on the Prevention, Punishment and Eradication of Violence Against Women (“Convention of Belem do Para”)</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left="2880" w:hanging="2880"/>
        <w:jc w:val="both"/>
        <w:rPr>
          <w:rFonts w:asciiTheme="majorHAnsi" w:eastAsia="Times New Roman" w:hAnsiTheme="majorHAnsi"/>
          <w:noProof/>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highlight w:val="magenta"/>
          <w:bdr w:val="none" w:sz="0" w:space="0" w:color="auto"/>
        </w:rPr>
      </w:pPr>
      <w:r w:rsidRPr="004A63BE">
        <w:rPr>
          <w:rFonts w:asciiTheme="majorHAnsi" w:eastAsia="Times New Roman" w:hAnsiTheme="majorHAnsi"/>
          <w:b/>
          <w:noProof/>
          <w:sz w:val="20"/>
          <w:szCs w:val="20"/>
          <w:bdr w:val="none" w:sz="0" w:space="0" w:color="auto"/>
        </w:rPr>
        <w:t>BEGINNING OF PROCESSING:</w:t>
      </w:r>
      <w:r w:rsidRPr="004A63BE">
        <w:rPr>
          <w:rFonts w:asciiTheme="majorHAnsi" w:eastAsia="Times New Roman" w:hAnsiTheme="majorHAnsi"/>
          <w:noProof/>
          <w:sz w:val="20"/>
          <w:szCs w:val="20"/>
          <w:bdr w:val="none" w:sz="0" w:space="0" w:color="auto"/>
        </w:rPr>
        <w:tab/>
      </w:r>
      <w:r w:rsidRPr="004A63BE">
        <w:rPr>
          <w:rFonts w:asciiTheme="majorHAnsi" w:eastAsia="Times New Roman" w:hAnsiTheme="majorHAnsi"/>
          <w:noProof/>
          <w:sz w:val="20"/>
          <w:szCs w:val="20"/>
          <w:bdr w:val="none" w:sz="0" w:space="0" w:color="auto"/>
        </w:rPr>
        <w:tab/>
        <w:t>November 21, 1997</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noProof/>
          <w:sz w:val="20"/>
          <w:szCs w:val="20"/>
          <w:highlight w:val="magenta"/>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right="-720"/>
        <w:rPr>
          <w:rFonts w:asciiTheme="majorHAnsi" w:eastAsia="Times New Roman" w:hAnsiTheme="majorHAnsi"/>
          <w:noProof/>
          <w:sz w:val="20"/>
          <w:szCs w:val="20"/>
          <w:highlight w:val="magenta"/>
          <w:bdr w:val="none" w:sz="0" w:space="0" w:color="auto"/>
        </w:rPr>
      </w:pPr>
    </w:p>
    <w:p w:rsidR="004A63BE" w:rsidRPr="004A63BE" w:rsidRDefault="004A63BE" w:rsidP="004A63BE">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b/>
          <w:noProof/>
          <w:sz w:val="20"/>
          <w:szCs w:val="20"/>
          <w:bdr w:val="none" w:sz="0" w:space="0" w:color="auto"/>
        </w:rPr>
        <w:t>POSITION OF THE PETITIONER</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On November 19, 1997, the Inter-American Commission on Human Rights (the “Inter-American Commission” or the “IACHR”) received a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tition against the Republic of Trinidad and Tobago (“the State” or “Trinidad”) on behalf of Indravani Pamela Ramjattan (“Ms. Ramjattan” or the “alleged victim”), an inmate sentenced to the mandatory death penalty, presented by Joanne Cross from the London firm of solicitors Slaughter and May</w:t>
      </w:r>
      <w:r w:rsidRPr="004A63BE">
        <w:rPr>
          <w:rFonts w:asciiTheme="majorHAnsi" w:eastAsia="Times New Roman" w:hAnsiTheme="majorHAnsi"/>
          <w:noProof/>
          <w:sz w:val="20"/>
          <w:szCs w:val="20"/>
          <w:bdr w:val="none" w:sz="0" w:space="0" w:color="auto"/>
          <w:vertAlign w:val="superscript"/>
        </w:rPr>
        <w:footnoteReference w:id="2"/>
      </w:r>
      <w:r w:rsidRPr="004A63BE">
        <w:rPr>
          <w:rFonts w:asciiTheme="majorHAnsi" w:eastAsia="Times New Roman" w:hAnsiTheme="majorHAnsi"/>
          <w:noProof/>
          <w:sz w:val="20"/>
          <w:szCs w:val="20"/>
          <w:bdr w:val="none" w:sz="0" w:space="0" w:color="auto"/>
        </w:rPr>
        <w:t xml:space="preserve">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titioner”).</w:t>
      </w:r>
    </w:p>
    <w:p w:rsidR="004A63BE" w:rsidRPr="004A63BE" w:rsidRDefault="004A63BE" w:rsidP="008F72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 </w:t>
      </w: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According to the information available, Ms. Ramjattan had suffered an appalling history of physical and mental abuse at the hands of her common-law husband, Alexander Jordan, the deceased.  When the alleged victim was 17 years old she was reportedly sent against her will to live with him.  He was 36 years old at that time.  They had six children by February 12, 1991, the date of the alleged crime.  </w:t>
      </w:r>
      <w:r w:rsidRPr="004A63BE">
        <w:rPr>
          <w:rFonts w:asciiTheme="majorHAnsi" w:eastAsia="Times New Roman" w:hAnsiTheme="majorHAnsi"/>
          <w:sz w:val="20"/>
          <w:szCs w:val="20"/>
          <w:bdr w:val="none" w:sz="0" w:space="0" w:color="auto"/>
        </w:rPr>
        <w:t xml:space="preserve">Jordan reportedly subjected the alleged victim to a "reign of terror." Her lover, Denny Baptiste, with </w:t>
      </w:r>
      <w:proofErr w:type="gramStart"/>
      <w:r w:rsidRPr="004A63BE">
        <w:rPr>
          <w:rFonts w:asciiTheme="majorHAnsi" w:eastAsia="Times New Roman" w:hAnsiTheme="majorHAnsi"/>
          <w:sz w:val="20"/>
          <w:szCs w:val="20"/>
          <w:bdr w:val="none" w:sz="0" w:space="0" w:color="auto"/>
        </w:rPr>
        <w:t>whom</w:t>
      </w:r>
      <w:proofErr w:type="gramEnd"/>
      <w:r w:rsidRPr="004A63BE">
        <w:rPr>
          <w:rFonts w:asciiTheme="majorHAnsi" w:eastAsia="Times New Roman" w:hAnsiTheme="majorHAnsi"/>
          <w:sz w:val="20"/>
          <w:szCs w:val="20"/>
          <w:bdr w:val="none" w:sz="0" w:space="0" w:color="auto"/>
        </w:rPr>
        <w:t xml:space="preserve"> she was 5-6 months pregnant, reportedly inflicted the fatal blows on Mr. Jordan and </w:t>
      </w:r>
      <w:r w:rsidRPr="004A63BE">
        <w:rPr>
          <w:rFonts w:asciiTheme="majorHAnsi" w:eastAsia="Times New Roman" w:hAnsiTheme="majorHAnsi"/>
          <w:noProof/>
          <w:sz w:val="20"/>
          <w:szCs w:val="20"/>
          <w:bdr w:val="none" w:sz="0" w:space="0" w:color="auto"/>
        </w:rPr>
        <w:t>Ms. Ramjattan</w:t>
      </w:r>
      <w:r w:rsidRPr="004A63BE">
        <w:rPr>
          <w:rFonts w:asciiTheme="majorHAnsi" w:eastAsia="Times New Roman" w:hAnsiTheme="majorHAnsi"/>
          <w:sz w:val="20"/>
          <w:szCs w:val="20"/>
          <w:bdr w:val="none" w:sz="0" w:space="0" w:color="auto"/>
        </w:rPr>
        <w:t>, according to the petition," was not even in the same room when the fatal blows were struck." Ms. Ramjattan was convicted on May 29, 1995, by the High Court of Trinidad and sentenced to the mandatory death penalty for murder.</w:t>
      </w:r>
    </w:p>
    <w:p w:rsidR="004A63BE" w:rsidRPr="004A63BE" w:rsidRDefault="004A63BE" w:rsidP="008F726F">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firstLine="0"/>
        <w:rPr>
          <w:rFonts w:asciiTheme="majorHAnsi" w:eastAsia="Times New Roman" w:hAnsiTheme="majorHAnsi"/>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With res</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 xml:space="preserve">ct to the merits of the complaint,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 xml:space="preserve">titioner alleges </w:t>
      </w:r>
      <w:r w:rsidRPr="004A63BE">
        <w:rPr>
          <w:rFonts w:asciiTheme="majorHAnsi" w:eastAsia="Times New Roman" w:hAnsiTheme="majorHAnsi"/>
          <w:sz w:val="20"/>
          <w:szCs w:val="20"/>
          <w:bdr w:val="none" w:sz="0" w:space="0" w:color="auto"/>
        </w:rPr>
        <w:t xml:space="preserve">serious violations as regards the right to legal representation in a capital case.  According to the petition, the first time </w:t>
      </w:r>
      <w:r w:rsidRPr="004A63BE">
        <w:rPr>
          <w:rFonts w:asciiTheme="majorHAnsi" w:eastAsia="Times New Roman" w:hAnsiTheme="majorHAnsi"/>
          <w:noProof/>
          <w:sz w:val="20"/>
          <w:szCs w:val="20"/>
          <w:bdr w:val="none" w:sz="0" w:space="0" w:color="auto"/>
        </w:rPr>
        <w:t>Ms. Ramjattan</w:t>
      </w:r>
      <w:r w:rsidRPr="004A63BE">
        <w:rPr>
          <w:rFonts w:asciiTheme="majorHAnsi" w:eastAsia="Times New Roman" w:hAnsiTheme="majorHAnsi"/>
          <w:sz w:val="20"/>
          <w:szCs w:val="20"/>
          <w:bdr w:val="none" w:sz="0" w:space="0" w:color="auto"/>
        </w:rPr>
        <w:t xml:space="preserve"> met her defense attorney was at the preliminary hearing; she received no prior notice of the charges and had no opportunity to prepare her defense; at the trial she was represented by a different attorney who visited her twice prior to the trial, each time for only twenty minutes; during the actual trial she was only able to see her attorney for 3-5 minutes on some days of the trial, not every day; no importance was attached by her attorney to the physical and mental abuse she had suffered and its impact on her conduct in relation to the alleged crime; no witnesses were called in her defense.</w:t>
      </w:r>
    </w:p>
    <w:p w:rsidR="004A63BE" w:rsidRPr="004A63BE" w:rsidRDefault="004A63BE" w:rsidP="008F72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By letter dated February 9, 1999, the petitioner informed the Commission that, on February 3, 1999, the Judicial Committee of the Privy Council decided to remit Ms. Ramjattan’s case to the Court of Appeal for further consideration of a psychiatric report.  In view of that decision, the petitioner requested that the Commission treat Ms. Ramjattan’s case before it “as pending but suspended, until such time as the </w:t>
      </w:r>
      <w:r w:rsidRPr="004A63BE">
        <w:rPr>
          <w:rFonts w:asciiTheme="majorHAnsi" w:eastAsia="Times New Roman" w:hAnsiTheme="majorHAnsi"/>
          <w:noProof/>
          <w:sz w:val="20"/>
          <w:szCs w:val="20"/>
          <w:bdr w:val="none" w:sz="0" w:space="0" w:color="auto"/>
        </w:rPr>
        <w:lastRenderedPageBreak/>
        <w:t xml:space="preserve">outcome of the hearing before the Court of Appeal is known.”  As of the date of this report, the IACHR has not received any additional observations from the petitioner.  </w:t>
      </w:r>
    </w:p>
    <w:p w:rsidR="004A63BE" w:rsidRPr="004A63BE" w:rsidRDefault="004A63BE" w:rsidP="008F726F">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According to publicly available information, on October 7, 1999, the Court of Appeal overturned Ms. Ramjattan's murder conviction and imposed a reduced conviction for manslaughter.  The alleged victim was sentenced to an additional five years in prison.</w:t>
      </w:r>
      <w:r w:rsidRPr="004A63BE">
        <w:rPr>
          <w:rFonts w:asciiTheme="majorHAnsi" w:eastAsia="Times New Roman" w:hAnsiTheme="majorHAnsi"/>
          <w:noProof/>
          <w:sz w:val="20"/>
          <w:szCs w:val="20"/>
          <w:bdr w:val="none" w:sz="0" w:space="0" w:color="auto"/>
          <w:vertAlign w:val="superscript"/>
        </w:rPr>
        <w:footnoteReference w:id="3"/>
      </w:r>
    </w:p>
    <w:p w:rsidR="004A63BE" w:rsidRPr="004A63BE" w:rsidRDefault="004A63BE" w:rsidP="008F726F">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On February 7, 2014, the IACHR requested updated information from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titioner.  No response was received.</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noProof/>
          <w:sz w:val="20"/>
          <w:szCs w:val="20"/>
          <w:bdr w:val="none" w:sz="0" w:space="0" w:color="auto"/>
        </w:rPr>
      </w:pPr>
      <w:r w:rsidRPr="004A63BE">
        <w:rPr>
          <w:rFonts w:asciiTheme="majorHAnsi" w:eastAsia="Times New Roman" w:hAnsiTheme="majorHAnsi"/>
          <w:b/>
          <w:noProof/>
          <w:sz w:val="20"/>
          <w:szCs w:val="20"/>
          <w:bdr w:val="none" w:sz="0" w:space="0" w:color="auto"/>
        </w:rPr>
        <w:t>II.</w:t>
      </w:r>
      <w:r w:rsidRPr="004A63BE">
        <w:rPr>
          <w:rFonts w:asciiTheme="majorHAnsi" w:eastAsia="Times New Roman" w:hAnsiTheme="majorHAnsi"/>
          <w:b/>
          <w:noProof/>
          <w:sz w:val="20"/>
          <w:szCs w:val="20"/>
          <w:bdr w:val="none" w:sz="0" w:space="0" w:color="auto"/>
        </w:rPr>
        <w:tab/>
        <w:t>POSITION OF THE STATE</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On April 16, 1998, in line with its approach to death penalty cases at that time, </w:t>
      </w:r>
      <w:r w:rsidRPr="004A63BE">
        <w:rPr>
          <w:rFonts w:asciiTheme="majorHAnsi" w:eastAsia="Times New Roman" w:hAnsiTheme="majorHAnsi"/>
          <w:sz w:val="20"/>
          <w:szCs w:val="20"/>
          <w:bdr w:val="none" w:sz="0" w:space="0" w:color="auto"/>
        </w:rPr>
        <w:t xml:space="preserve">the State requested that the Commission issue a decision on the merits in this case within a period of six months from April 16, 1998 or by October 16, 1998.  According to the State, the decision of the Commission would be considered by the Minister of National Security when advising the President as to whether he should exercise the prerogative of mercy. </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Times New Roman" w:hAnsiTheme="majorHAnsi"/>
          <w:b/>
          <w:noProof/>
          <w:sz w:val="20"/>
          <w:szCs w:val="20"/>
          <w:bdr w:val="none" w:sz="0" w:space="0" w:color="auto"/>
        </w:rPr>
      </w:pPr>
      <w:r w:rsidRPr="004A63BE">
        <w:rPr>
          <w:rFonts w:asciiTheme="majorHAnsi" w:eastAsia="Times New Roman" w:hAnsiTheme="majorHAnsi"/>
          <w:b/>
          <w:noProof/>
          <w:sz w:val="20"/>
          <w:szCs w:val="20"/>
          <w:bdr w:val="none" w:sz="0" w:space="0" w:color="auto"/>
        </w:rPr>
        <w:t>III.</w:t>
      </w:r>
      <w:r w:rsidRPr="004A63BE">
        <w:rPr>
          <w:rFonts w:asciiTheme="majorHAnsi" w:eastAsia="Times New Roman" w:hAnsiTheme="majorHAnsi"/>
          <w:b/>
          <w:noProof/>
          <w:sz w:val="20"/>
          <w:szCs w:val="20"/>
          <w:bdr w:val="none" w:sz="0" w:space="0" w:color="auto"/>
        </w:rPr>
        <w:tab/>
        <w:t>PROCEEDINGS BEFORE THE IACHR</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On November 19, 1997, the IACHR received the petition, which was transmitted to the State on November 21, 1997.  In the same communication </w:t>
      </w:r>
      <w:r w:rsidRPr="004A63BE">
        <w:rPr>
          <w:rFonts w:asciiTheme="majorHAnsi" w:eastAsia="Times New Roman" w:hAnsiTheme="majorHAnsi"/>
          <w:sz w:val="20"/>
          <w:szCs w:val="20"/>
          <w:bdr w:val="none" w:sz="0" w:space="0" w:color="auto"/>
        </w:rPr>
        <w:t>the Inter-American Commission requested the State to stay the execution until it had the opportunity to examine the case and issue a decision.</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sz w:val="20"/>
          <w:szCs w:val="20"/>
          <w:bdr w:val="none" w:sz="0" w:space="0" w:color="auto"/>
        </w:rPr>
        <w:t xml:space="preserve">On November 3, 1998, the IACHR adopted Admissibility Report No. 92/98 which was transmitted to the parties on November 24, 1998.  On December 2, 1998, the petitioners indicated that they were interested in pursuing a friendly settlement. </w:t>
      </w:r>
    </w:p>
    <w:p w:rsidR="004A63BE" w:rsidRPr="004A63BE" w:rsidRDefault="004A63BE" w:rsidP="004A63B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By letter dated February 9, 1999, the petitioner requested that the Commission treat Ms. Ramjattan’s case before it “as pending but suspended, until such time as the outcome of the hearing before the Court of Appeal is known.”  </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The IACHR requested updated information from the petitioner on February 7, 2014, indicating that the Commission may archive the petition.  </w:t>
      </w:r>
      <w:r w:rsidRPr="004A63BE">
        <w:rPr>
          <w:rFonts w:asciiTheme="majorHAnsi" w:eastAsia="Times New Roman" w:hAnsiTheme="majorHAnsi"/>
          <w:sz w:val="20"/>
          <w:szCs w:val="20"/>
          <w:bdr w:val="none" w:sz="0" w:space="0" w:color="auto"/>
        </w:rPr>
        <w:t>On March 25, 2014, the Commission received a communication from the petitioner confirming that the grounds for the petition no longer exist, and requesting that the record of the case be archived.</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ind w:left="1080"/>
        <w:rPr>
          <w:rFonts w:asciiTheme="majorHAnsi" w:eastAsia="Times New Roman" w:hAnsiTheme="majorHAnsi"/>
          <w:noProof/>
          <w:sz w:val="20"/>
          <w:szCs w:val="20"/>
          <w:bdr w:val="none" w:sz="0" w:space="0" w:color="auto"/>
        </w:rPr>
      </w:pPr>
    </w:p>
    <w:p w:rsidR="004A63BE" w:rsidRPr="004A63BE" w:rsidRDefault="004A63BE" w:rsidP="004A63BE">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ind w:firstLine="0"/>
        <w:rPr>
          <w:rFonts w:asciiTheme="majorHAnsi" w:eastAsia="Times New Roman" w:hAnsiTheme="majorHAnsi"/>
          <w:noProof/>
          <w:sz w:val="20"/>
          <w:szCs w:val="20"/>
          <w:bdr w:val="none" w:sz="0" w:space="0" w:color="auto"/>
        </w:rPr>
      </w:pPr>
    </w:p>
    <w:p w:rsidR="004A63BE" w:rsidRPr="004A63BE" w:rsidRDefault="004A63BE" w:rsidP="004A63BE">
      <w:pPr>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b/>
          <w:noProof/>
          <w:sz w:val="20"/>
          <w:szCs w:val="20"/>
          <w:bdr w:val="none" w:sz="0" w:space="0" w:color="auto"/>
        </w:rPr>
      </w:pPr>
      <w:r w:rsidRPr="004A63BE">
        <w:rPr>
          <w:rFonts w:asciiTheme="majorHAnsi" w:eastAsia="Times New Roman" w:hAnsiTheme="majorHAnsi"/>
          <w:b/>
          <w:noProof/>
          <w:sz w:val="20"/>
          <w:szCs w:val="20"/>
          <w:bdr w:val="none" w:sz="0" w:space="0" w:color="auto"/>
        </w:rPr>
        <w:t>GROUNDS FOR THE DECISION TO ARCHIVE</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z w:val="20"/>
          <w:szCs w:val="20"/>
          <w:bdr w:val="none" w:sz="0" w:space="0" w:color="auto"/>
        </w:rPr>
      </w:pPr>
      <w:r w:rsidRPr="004A63BE">
        <w:rPr>
          <w:rFonts w:asciiTheme="majorHAnsi" w:eastAsia="Times New Roman" w:hAnsiTheme="majorHAnsi"/>
          <w:noProof/>
          <w:sz w:val="20"/>
          <w:szCs w:val="20"/>
          <w:bdr w:val="none" w:sz="0" w:space="0" w:color="auto"/>
        </w:rPr>
        <w:t xml:space="preserve">Article 42 of the IACHR’s Rules sets forth the procedure for archiving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 xml:space="preserve">titions and cases, when the grounds for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 xml:space="preserve">tition or case do not exist or subsist; or when the information necessary for the adoption of a decision is unavailable.  In such cases, the IACHR, after having requested information from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 xml:space="preserve">titioners and given notice of the possibility of a decision to archive to the </w:t>
      </w:r>
      <w:smartTag w:uri="urn:schemas-microsoft-com:office:smarttags" w:element="PersonName">
        <w:r w:rsidRPr="004A63BE">
          <w:rPr>
            <w:rFonts w:asciiTheme="majorHAnsi" w:eastAsia="Times New Roman" w:hAnsiTheme="majorHAnsi"/>
            <w:noProof/>
            <w:sz w:val="20"/>
            <w:szCs w:val="20"/>
            <w:bdr w:val="none" w:sz="0" w:space="0" w:color="auto"/>
          </w:rPr>
          <w:t>pe</w:t>
        </w:r>
      </w:smartTag>
      <w:r w:rsidRPr="004A63BE">
        <w:rPr>
          <w:rFonts w:asciiTheme="majorHAnsi" w:eastAsia="Times New Roman" w:hAnsiTheme="majorHAnsi"/>
          <w:noProof/>
          <w:sz w:val="20"/>
          <w:szCs w:val="20"/>
          <w:bdr w:val="none" w:sz="0" w:space="0" w:color="auto"/>
        </w:rPr>
        <w:t>titioners, shall proceed to adopt the appropriate decision.</w:t>
      </w:r>
    </w:p>
    <w:p w:rsidR="004A63BE" w:rsidRPr="004A63BE" w:rsidRDefault="004A63BE" w:rsidP="008F726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noProof/>
          <w:sz w:val="20"/>
          <w:szCs w:val="20"/>
          <w:bdr w:val="none" w:sz="0" w:space="0" w:color="auto"/>
        </w:rPr>
      </w:pPr>
    </w:p>
    <w:p w:rsidR="004A63BE" w:rsidRPr="004A63BE" w:rsidRDefault="004A63BE" w:rsidP="008F726F">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0"/>
        </w:tabs>
        <w:ind w:left="0" w:firstLine="720"/>
        <w:jc w:val="both"/>
        <w:rPr>
          <w:rFonts w:asciiTheme="majorHAnsi" w:eastAsia="Times New Roman" w:hAnsiTheme="majorHAnsi"/>
          <w:noProof/>
          <w:spacing w:val="-2"/>
          <w:sz w:val="20"/>
          <w:szCs w:val="20"/>
          <w:bdr w:val="none" w:sz="0" w:space="0" w:color="auto"/>
        </w:rPr>
      </w:pPr>
      <w:r w:rsidRPr="004A63BE">
        <w:rPr>
          <w:rFonts w:asciiTheme="majorHAnsi" w:eastAsia="Times New Roman" w:hAnsiTheme="majorHAnsi"/>
          <w:noProof/>
          <w:sz w:val="20"/>
          <w:szCs w:val="20"/>
          <w:bdr w:val="none" w:sz="0" w:space="0" w:color="auto"/>
        </w:rPr>
        <w:t xml:space="preserve">The petitioner brought Ms. Ramjattan’s case to the IACHR alleging, </w:t>
      </w:r>
      <w:r w:rsidRPr="004A63BE">
        <w:rPr>
          <w:rFonts w:asciiTheme="majorHAnsi" w:eastAsia="Times New Roman" w:hAnsiTheme="majorHAnsi"/>
          <w:i/>
          <w:noProof/>
          <w:sz w:val="20"/>
          <w:szCs w:val="20"/>
          <w:bdr w:val="none" w:sz="0" w:space="0" w:color="auto"/>
        </w:rPr>
        <w:t>inter alia</w:t>
      </w:r>
      <w:r w:rsidRPr="004A63BE">
        <w:rPr>
          <w:rFonts w:asciiTheme="majorHAnsi" w:eastAsia="Times New Roman" w:hAnsiTheme="majorHAnsi"/>
          <w:noProof/>
          <w:sz w:val="20"/>
          <w:szCs w:val="20"/>
          <w:bdr w:val="none" w:sz="0" w:space="0" w:color="auto"/>
        </w:rPr>
        <w:t xml:space="preserve">, </w:t>
      </w:r>
      <w:r w:rsidRPr="004A63BE">
        <w:rPr>
          <w:rFonts w:asciiTheme="majorHAnsi" w:eastAsia="Times New Roman" w:hAnsiTheme="majorHAnsi"/>
          <w:sz w:val="20"/>
          <w:szCs w:val="20"/>
          <w:bdr w:val="none" w:sz="0" w:space="0" w:color="auto"/>
        </w:rPr>
        <w:t xml:space="preserve">serious violations as regards the right to legal representation in a </w:t>
      </w:r>
      <w:r w:rsidRPr="004A63BE">
        <w:rPr>
          <w:rFonts w:asciiTheme="majorHAnsi" w:eastAsia="Times New Roman" w:hAnsiTheme="majorHAnsi"/>
          <w:noProof/>
          <w:sz w:val="20"/>
          <w:szCs w:val="20"/>
          <w:bdr w:val="none" w:sz="0" w:space="0" w:color="auto"/>
        </w:rPr>
        <w:t xml:space="preserve">mandatory death penalty case.  In February 1999 the petitioner requested that the IACHR suspend the analysis of the case in view of new developments in the domestic proceedings.  </w:t>
      </w:r>
      <w:r w:rsidRPr="004A63BE">
        <w:rPr>
          <w:rFonts w:asciiTheme="majorHAnsi" w:eastAsia="Times New Roman" w:hAnsiTheme="majorHAnsi"/>
          <w:sz w:val="20"/>
          <w:szCs w:val="20"/>
          <w:bdr w:val="none" w:sz="0" w:space="0" w:color="auto"/>
        </w:rPr>
        <w:t xml:space="preserve">On March 25, 2014, the </w:t>
      </w:r>
      <w:smartTag w:uri="urn:schemas-microsoft-com:office:smarttags" w:element="PersonName">
        <w:r w:rsidRPr="004A63BE">
          <w:rPr>
            <w:rFonts w:asciiTheme="majorHAnsi" w:eastAsia="Times New Roman" w:hAnsiTheme="majorHAnsi"/>
            <w:sz w:val="20"/>
            <w:szCs w:val="20"/>
            <w:bdr w:val="none" w:sz="0" w:space="0" w:color="auto"/>
          </w:rPr>
          <w:t>pe</w:t>
        </w:r>
      </w:smartTag>
      <w:r w:rsidRPr="004A63BE">
        <w:rPr>
          <w:rFonts w:asciiTheme="majorHAnsi" w:eastAsia="Times New Roman" w:hAnsiTheme="majorHAnsi"/>
          <w:sz w:val="20"/>
          <w:szCs w:val="20"/>
          <w:bdr w:val="none" w:sz="0" w:space="0" w:color="auto"/>
        </w:rPr>
        <w:t xml:space="preserve">titioners informed the Commission that the grounds for the </w:t>
      </w:r>
      <w:smartTag w:uri="urn:schemas-microsoft-com:office:smarttags" w:element="PersonName">
        <w:r w:rsidRPr="004A63BE">
          <w:rPr>
            <w:rFonts w:asciiTheme="majorHAnsi" w:eastAsia="Times New Roman" w:hAnsiTheme="majorHAnsi"/>
            <w:sz w:val="20"/>
            <w:szCs w:val="20"/>
            <w:bdr w:val="none" w:sz="0" w:space="0" w:color="auto"/>
          </w:rPr>
          <w:t>pe</w:t>
        </w:r>
      </w:smartTag>
      <w:r w:rsidRPr="004A63BE">
        <w:rPr>
          <w:rFonts w:asciiTheme="majorHAnsi" w:eastAsia="Times New Roman" w:hAnsiTheme="majorHAnsi"/>
          <w:sz w:val="20"/>
          <w:szCs w:val="20"/>
          <w:bdr w:val="none" w:sz="0" w:space="0" w:color="auto"/>
        </w:rPr>
        <w:t xml:space="preserve">tition do not subsist and they expressly indicated their wish to desist from pursuing the matter.  In </w:t>
      </w:r>
      <w:r w:rsidRPr="004A63BE">
        <w:rPr>
          <w:rFonts w:asciiTheme="majorHAnsi" w:eastAsia="Times New Roman" w:hAnsiTheme="majorHAnsi"/>
          <w:sz w:val="20"/>
          <w:szCs w:val="20"/>
          <w:bdr w:val="none" w:sz="0" w:space="0" w:color="auto"/>
        </w:rPr>
        <w:lastRenderedPageBreak/>
        <w:t xml:space="preserve">accordance with Article 41 of its Rules, which indicates that a </w:t>
      </w:r>
      <w:smartTag w:uri="urn:schemas-microsoft-com:office:smarttags" w:element="PersonName">
        <w:r w:rsidRPr="004A63BE">
          <w:rPr>
            <w:rFonts w:asciiTheme="majorHAnsi" w:eastAsia="Times New Roman" w:hAnsiTheme="majorHAnsi"/>
            <w:sz w:val="20"/>
            <w:szCs w:val="20"/>
            <w:bdr w:val="none" w:sz="0" w:space="0" w:color="auto"/>
          </w:rPr>
          <w:t>pe</w:t>
        </w:r>
      </w:smartTag>
      <w:r w:rsidRPr="004A63BE">
        <w:rPr>
          <w:rFonts w:asciiTheme="majorHAnsi" w:eastAsia="Times New Roman" w:hAnsiTheme="majorHAnsi"/>
          <w:sz w:val="20"/>
          <w:szCs w:val="20"/>
          <w:bdr w:val="none" w:sz="0" w:space="0" w:color="auto"/>
        </w:rPr>
        <w:t xml:space="preserve">titioner may desist from a </w:t>
      </w:r>
      <w:smartTag w:uri="urn:schemas-microsoft-com:office:smarttags" w:element="PersonName">
        <w:r w:rsidRPr="004A63BE">
          <w:rPr>
            <w:rFonts w:asciiTheme="majorHAnsi" w:eastAsia="Times New Roman" w:hAnsiTheme="majorHAnsi"/>
            <w:sz w:val="20"/>
            <w:szCs w:val="20"/>
            <w:bdr w:val="none" w:sz="0" w:space="0" w:color="auto"/>
          </w:rPr>
          <w:t>pe</w:t>
        </w:r>
      </w:smartTag>
      <w:r w:rsidRPr="004A63BE">
        <w:rPr>
          <w:rFonts w:asciiTheme="majorHAnsi" w:eastAsia="Times New Roman" w:hAnsiTheme="majorHAnsi"/>
          <w:sz w:val="20"/>
          <w:szCs w:val="20"/>
          <w:bdr w:val="none" w:sz="0" w:space="0" w:color="auto"/>
        </w:rPr>
        <w:t xml:space="preserve">tition at any stage, the IACHR hereby decides to archive the present </w:t>
      </w:r>
      <w:smartTag w:uri="urn:schemas-microsoft-com:office:smarttags" w:element="PersonName">
        <w:r w:rsidRPr="004A63BE">
          <w:rPr>
            <w:rFonts w:asciiTheme="majorHAnsi" w:eastAsia="Times New Roman" w:hAnsiTheme="majorHAnsi"/>
            <w:sz w:val="20"/>
            <w:szCs w:val="20"/>
            <w:bdr w:val="none" w:sz="0" w:space="0" w:color="auto"/>
          </w:rPr>
          <w:t>pe</w:t>
        </w:r>
      </w:smartTag>
      <w:r w:rsidRPr="004A63BE">
        <w:rPr>
          <w:rFonts w:asciiTheme="majorHAnsi" w:eastAsia="Times New Roman" w:hAnsiTheme="majorHAnsi"/>
          <w:sz w:val="20"/>
          <w:szCs w:val="20"/>
          <w:bdr w:val="none" w:sz="0" w:space="0" w:color="auto"/>
        </w:rPr>
        <w:t>tition.</w:t>
      </w: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Times New Roman" w:hAnsiTheme="majorHAnsi"/>
          <w:spacing w:val="-2"/>
          <w:sz w:val="20"/>
          <w:szCs w:val="20"/>
          <w:bdr w:val="none" w:sz="0" w:space="0" w:color="auto"/>
        </w:rPr>
      </w:pPr>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eastAsia="Times New Roman" w:hAnsiTheme="majorHAnsi"/>
          <w:spacing w:val="-2"/>
          <w:sz w:val="20"/>
          <w:szCs w:val="20"/>
          <w:bdr w:val="none" w:sz="0" w:space="0" w:color="auto"/>
        </w:rPr>
      </w:pPr>
      <w:r w:rsidRPr="004A63BE">
        <w:rPr>
          <w:rFonts w:asciiTheme="majorHAnsi" w:eastAsia="Times New Roman" w:hAnsiTheme="majorHAnsi"/>
          <w:spacing w:val="-2"/>
          <w:sz w:val="20"/>
          <w:szCs w:val="20"/>
          <w:bdr w:val="none" w:sz="0" w:space="0" w:color="auto"/>
        </w:rPr>
        <w:t>Done and signed in the city of Washington, D.C., on the 4</w:t>
      </w:r>
      <w:r w:rsidRPr="004A63BE">
        <w:rPr>
          <w:rFonts w:asciiTheme="majorHAnsi" w:eastAsia="Times New Roman" w:hAnsiTheme="majorHAnsi"/>
          <w:spacing w:val="-2"/>
          <w:sz w:val="20"/>
          <w:szCs w:val="20"/>
          <w:bdr w:val="none" w:sz="0" w:space="0" w:color="auto"/>
          <w:vertAlign w:val="superscript"/>
        </w:rPr>
        <w:t xml:space="preserve">th </w:t>
      </w:r>
      <w:r w:rsidRPr="004A63BE">
        <w:rPr>
          <w:rFonts w:asciiTheme="majorHAnsi" w:eastAsia="Times New Roman" w:hAnsiTheme="majorHAnsi"/>
          <w:spacing w:val="-2"/>
          <w:sz w:val="20"/>
          <w:szCs w:val="20"/>
          <w:bdr w:val="none" w:sz="0" w:space="0" w:color="auto"/>
        </w:rPr>
        <w:t xml:space="preserve">day of the month of April, 2014. </w:t>
      </w:r>
      <w:proofErr w:type="gramStart"/>
      <w:r w:rsidRPr="004A63BE">
        <w:rPr>
          <w:rFonts w:asciiTheme="majorHAnsi" w:eastAsia="Times New Roman" w:hAnsiTheme="majorHAnsi"/>
          <w:spacing w:val="-2"/>
          <w:sz w:val="20"/>
          <w:szCs w:val="20"/>
          <w:bdr w:val="none" w:sz="0" w:space="0" w:color="auto"/>
        </w:rPr>
        <w:t xml:space="preserve">(Signed):  </w:t>
      </w:r>
      <w:r w:rsidRPr="004A63BE">
        <w:rPr>
          <w:rFonts w:asciiTheme="majorHAnsi" w:eastAsia="Times New Roman" w:hAnsiTheme="majorHAnsi" w:cs="Arial"/>
          <w:noProof/>
          <w:spacing w:val="-2"/>
          <w:sz w:val="20"/>
          <w:szCs w:val="20"/>
          <w:bdr w:val="none" w:sz="0" w:space="0" w:color="auto"/>
        </w:rPr>
        <w:t>Tracy Robinson</w:t>
      </w:r>
      <w:r w:rsidRPr="004A63BE">
        <w:rPr>
          <w:rFonts w:asciiTheme="majorHAnsi" w:eastAsia="Times New Roman" w:hAnsiTheme="majorHAnsi"/>
          <w:spacing w:val="-2"/>
          <w:sz w:val="20"/>
          <w:szCs w:val="20"/>
          <w:bdr w:val="none" w:sz="0" w:space="0" w:color="auto"/>
        </w:rPr>
        <w:t>,</w:t>
      </w:r>
      <w:r w:rsidRPr="004A63BE">
        <w:rPr>
          <w:rFonts w:asciiTheme="majorHAnsi" w:eastAsia="Times New Roman" w:hAnsiTheme="majorHAnsi"/>
          <w:sz w:val="20"/>
          <w:szCs w:val="20"/>
          <w:bdr w:val="none" w:sz="0" w:space="0" w:color="auto"/>
        </w:rPr>
        <w:t xml:space="preserve"> President;</w:t>
      </w:r>
      <w:r w:rsidRPr="004A63BE">
        <w:rPr>
          <w:rFonts w:asciiTheme="majorHAnsi" w:eastAsia="Times New Roman" w:hAnsiTheme="majorHAnsi"/>
          <w:spacing w:val="-2"/>
          <w:sz w:val="20"/>
          <w:szCs w:val="20"/>
          <w:bdr w:val="none" w:sz="0" w:space="0" w:color="auto"/>
        </w:rPr>
        <w:t xml:space="preserve"> </w:t>
      </w:r>
      <w:r w:rsidRPr="004A63BE">
        <w:rPr>
          <w:rFonts w:asciiTheme="majorHAnsi" w:eastAsia="Times New Roman" w:hAnsiTheme="majorHAnsi" w:cs="Arial"/>
          <w:noProof/>
          <w:spacing w:val="-2"/>
          <w:sz w:val="20"/>
          <w:szCs w:val="20"/>
          <w:bdr w:val="none" w:sz="0" w:space="0" w:color="auto"/>
        </w:rPr>
        <w:t xml:space="preserve">Felipe González, </w:t>
      </w:r>
      <w:r w:rsidRPr="004A63BE">
        <w:rPr>
          <w:rFonts w:asciiTheme="majorHAnsi" w:eastAsia="Times New Roman" w:hAnsiTheme="majorHAnsi"/>
          <w:spacing w:val="-2"/>
          <w:sz w:val="20"/>
          <w:szCs w:val="20"/>
          <w:bdr w:val="none" w:sz="0" w:space="0" w:color="auto"/>
        </w:rPr>
        <w:t>Second Vice President; José de Jesús Orozco Henríquez</w:t>
      </w:r>
      <w:r w:rsidRPr="004A63BE">
        <w:rPr>
          <w:rFonts w:asciiTheme="majorHAnsi" w:eastAsia="Times New Roman" w:hAnsiTheme="majorHAnsi" w:cs="Arial"/>
          <w:noProof/>
          <w:spacing w:val="-2"/>
          <w:sz w:val="20"/>
          <w:szCs w:val="20"/>
          <w:bdr w:val="none" w:sz="0" w:space="0" w:color="auto"/>
        </w:rPr>
        <w:t>, Rosa María Ortiz</w:t>
      </w:r>
      <w:r w:rsidRPr="004A63BE">
        <w:rPr>
          <w:rFonts w:asciiTheme="majorHAnsi" w:eastAsia="Times New Roman" w:hAnsiTheme="majorHAnsi"/>
          <w:sz w:val="20"/>
          <w:szCs w:val="20"/>
          <w:bdr w:val="none" w:sz="0" w:space="0" w:color="auto"/>
        </w:rPr>
        <w:t>,</w:t>
      </w:r>
      <w:r w:rsidRPr="004A63BE">
        <w:rPr>
          <w:rFonts w:asciiTheme="majorHAnsi" w:eastAsia="Times New Roman" w:hAnsiTheme="majorHAnsi" w:cs="Arial"/>
          <w:noProof/>
          <w:spacing w:val="-2"/>
          <w:sz w:val="20"/>
          <w:szCs w:val="20"/>
          <w:bdr w:val="none" w:sz="0" w:space="0" w:color="auto"/>
        </w:rPr>
        <w:t xml:space="preserve"> Paulo Vannuchi and</w:t>
      </w:r>
      <w:r w:rsidRPr="004A63BE">
        <w:rPr>
          <w:rFonts w:asciiTheme="majorHAnsi" w:eastAsia="Times New Roman" w:hAnsiTheme="majorHAnsi"/>
          <w:sz w:val="20"/>
          <w:szCs w:val="20"/>
          <w:bdr w:val="none" w:sz="0" w:space="0" w:color="auto"/>
        </w:rPr>
        <w:t xml:space="preserve"> James L. Cavallaro, </w:t>
      </w:r>
      <w:r w:rsidRPr="004A63BE">
        <w:rPr>
          <w:rFonts w:asciiTheme="majorHAnsi" w:eastAsia="Times New Roman" w:hAnsiTheme="majorHAnsi"/>
          <w:spacing w:val="-2"/>
          <w:sz w:val="20"/>
          <w:szCs w:val="20"/>
          <w:bdr w:val="none" w:sz="0" w:space="0" w:color="auto"/>
        </w:rPr>
        <w:t>Commissioners.</w:t>
      </w:r>
      <w:proofErr w:type="gramEnd"/>
    </w:p>
    <w:p w:rsidR="004A63BE" w:rsidRPr="004A63BE" w:rsidRDefault="004A63BE" w:rsidP="004A63BE">
      <w:pPr>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Theme="majorHAnsi" w:eastAsia="Times New Roman" w:hAnsiTheme="majorHAnsi"/>
          <w:spacing w:val="-2"/>
          <w:sz w:val="20"/>
          <w:szCs w:val="20"/>
          <w:bdr w:val="none" w:sz="0" w:space="0" w:color="auto"/>
        </w:rPr>
      </w:pPr>
    </w:p>
    <w:sectPr w:rsidR="004A63BE" w:rsidRPr="004A63BE" w:rsidSect="006311DA">
      <w:footerReference w:type="first" r:id="rId17"/>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49E" w:rsidRDefault="002D449E" w:rsidP="00036A8A">
      <w:r>
        <w:separator/>
      </w:r>
    </w:p>
  </w:endnote>
  <w:endnote w:type="continuationSeparator" w:id="0">
    <w:p w:rsidR="002D449E" w:rsidRDefault="002D449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E01F4">
          <w:rPr>
            <w:noProof/>
            <w:sz w:val="16"/>
          </w:rPr>
          <w:t>3</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49E" w:rsidRPr="00036A8A" w:rsidRDefault="002D449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2D449E" w:rsidRPr="00036A8A" w:rsidRDefault="002D449E" w:rsidP="00036A8A">
      <w:pPr>
        <w:rPr>
          <w:rFonts w:asciiTheme="majorHAnsi" w:hAnsiTheme="majorHAnsi"/>
          <w:sz w:val="16"/>
          <w:szCs w:val="16"/>
        </w:rPr>
      </w:pPr>
      <w:r w:rsidRPr="00036A8A">
        <w:rPr>
          <w:rFonts w:asciiTheme="majorHAnsi" w:hAnsiTheme="majorHAnsi"/>
          <w:sz w:val="16"/>
          <w:szCs w:val="16"/>
        </w:rPr>
        <w:separator/>
      </w:r>
    </w:p>
    <w:p w:rsidR="002D449E" w:rsidRPr="00036A8A" w:rsidRDefault="002D449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2D449E" w:rsidRPr="0093441A" w:rsidRDefault="002D449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4A63BE" w:rsidRPr="005B1224" w:rsidRDefault="004A63BE" w:rsidP="004A63BE">
      <w:pPr>
        <w:pStyle w:val="FootnoteText"/>
        <w:spacing w:after="120"/>
        <w:ind w:firstLine="720"/>
        <w:jc w:val="both"/>
        <w:rPr>
          <w:sz w:val="18"/>
          <w:szCs w:val="18"/>
        </w:rPr>
      </w:pPr>
      <w:r w:rsidRPr="005B1224">
        <w:rPr>
          <w:rStyle w:val="FootnoteReference"/>
          <w:sz w:val="18"/>
          <w:szCs w:val="18"/>
        </w:rPr>
        <w:footnoteRef/>
      </w:r>
      <w:r>
        <w:rPr>
          <w:sz w:val="18"/>
          <w:szCs w:val="18"/>
        </w:rPr>
        <w:t xml:space="preserve"> I</w:t>
      </w:r>
      <w:r w:rsidRPr="005B1224">
        <w:rPr>
          <w:sz w:val="18"/>
          <w:szCs w:val="18"/>
        </w:rPr>
        <w:t>n a note dated August 18, 1999, the petitioner informed the IACHR that she was moving firms effective September 1, 1999, and that she would retain the instant case at her new firm, Herbert Smith.</w:t>
      </w:r>
    </w:p>
  </w:footnote>
  <w:footnote w:id="3">
    <w:p w:rsidR="004A63BE" w:rsidRPr="004D3ECC" w:rsidRDefault="004A63BE" w:rsidP="004A63BE">
      <w:pPr>
        <w:pStyle w:val="FootnoteText"/>
        <w:spacing w:after="120"/>
        <w:ind w:firstLine="720"/>
        <w:jc w:val="both"/>
        <w:rPr>
          <w:sz w:val="18"/>
          <w:szCs w:val="18"/>
        </w:rPr>
      </w:pPr>
      <w:r w:rsidRPr="004D3ECC">
        <w:rPr>
          <w:rStyle w:val="FootnoteReference"/>
          <w:sz w:val="18"/>
          <w:szCs w:val="18"/>
        </w:rPr>
        <w:footnoteRef/>
      </w:r>
      <w:r w:rsidRPr="004D3ECC">
        <w:rPr>
          <w:sz w:val="18"/>
          <w:szCs w:val="18"/>
        </w:rPr>
        <w:t xml:space="preserve"> Equality Now, </w:t>
      </w:r>
      <w:smartTag w:uri="urn:schemas-microsoft-com:office:smarttags" w:element="country-region">
        <w:smartTag w:uri="urn:schemas-microsoft-com:office:smarttags" w:element="place">
          <w:r w:rsidRPr="004D3ECC">
            <w:rPr>
              <w:sz w:val="18"/>
              <w:szCs w:val="18"/>
            </w:rPr>
            <w:t>Trinidad and Tobago</w:t>
          </w:r>
        </w:smartTag>
      </w:smartTag>
      <w:r w:rsidRPr="004D3ECC">
        <w:rPr>
          <w:sz w:val="18"/>
          <w:szCs w:val="18"/>
        </w:rPr>
        <w:t xml:space="preserve">: The Imminent Execution of a Battered Woman’s Defenders, July 1, 2000. Available at: </w:t>
      </w:r>
      <w:hyperlink r:id="rId1" w:history="1">
        <w:r w:rsidRPr="004D3ECC">
          <w:rPr>
            <w:rStyle w:val="Hyperlink"/>
            <w:sz w:val="18"/>
            <w:szCs w:val="18"/>
          </w:rPr>
          <w:t>http://www.equalitynow.org/node/191</w:t>
        </w:r>
      </w:hyperlink>
      <w:r w:rsidRPr="004D3ECC">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2D449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BF235B"/>
    <w:multiLevelType w:val="hybridMultilevel"/>
    <w:tmpl w:val="12768670"/>
    <w:lvl w:ilvl="0" w:tplc="4F5E373A">
      <w:start w:val="1"/>
      <w:numFmt w:val="upperRoman"/>
      <w:lvlText w:val="%1."/>
      <w:lvlJc w:val="left"/>
      <w:pPr>
        <w:tabs>
          <w:tab w:val="num" w:pos="1260"/>
        </w:tabs>
        <w:ind w:left="1260" w:hanging="72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3B70BABA">
      <w:start w:val="1"/>
      <w:numFmt w:val="upperLetter"/>
      <w:lvlText w:val="%4."/>
      <w:lvlJc w:val="left"/>
      <w:pPr>
        <w:tabs>
          <w:tab w:val="num" w:pos="3060"/>
        </w:tabs>
        <w:ind w:left="3060" w:hanging="360"/>
      </w:pPr>
      <w:rPr>
        <w:rFonts w:cs="Times New Roman" w:hint="default"/>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BB593D"/>
    <w:multiLevelType w:val="hybridMultilevel"/>
    <w:tmpl w:val="28CEB052"/>
    <w:lvl w:ilvl="0" w:tplc="9AF659AA">
      <w:start w:val="4"/>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0C5D2C"/>
    <w:multiLevelType w:val="hybridMultilevel"/>
    <w:tmpl w:val="0B8EB41C"/>
    <w:lvl w:ilvl="0" w:tplc="8A36CD8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8DE2EF1"/>
    <w:multiLevelType w:val="multilevel"/>
    <w:tmpl w:val="800CF4A2"/>
    <w:lvl w:ilvl="0">
      <w:start w:val="1"/>
      <w:numFmt w:val="upperRoman"/>
      <w:lvlText w:val="%1"/>
      <w:lvlJc w:val="left"/>
      <w:pPr>
        <w:tabs>
          <w:tab w:val="num" w:pos="360"/>
        </w:tabs>
        <w:ind w:left="360" w:hanging="360"/>
      </w:pPr>
      <w:rPr>
        <w:rFonts w:cs="Times New Roman" w:hint="default"/>
      </w:rPr>
    </w:lvl>
    <w:lvl w:ilvl="1">
      <w:start w:val="1"/>
      <w:numFmt w:val="upp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3"/>
  </w:num>
  <w:num w:numId="9">
    <w:abstractNumId w:val="49"/>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6"/>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5"/>
  </w:num>
  <w:num w:numId="57">
    <w:abstractNumId w:val="1"/>
  </w:num>
  <w:num w:numId="58">
    <w:abstractNumId w:val="2"/>
  </w:num>
  <w:num w:numId="59">
    <w:abstractNumId w:val="9"/>
  </w:num>
  <w:num w:numId="60">
    <w:abstractNumId w:val="11"/>
  </w:num>
  <w:num w:numId="61">
    <w:abstractNumId w:val="12"/>
  </w:num>
  <w:num w:numId="62">
    <w:abstractNumId w:val="13"/>
  </w:num>
  <w:num w:numId="63">
    <w:abstractNumId w:val="14"/>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1"/>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7"/>
  </w:num>
  <w:num w:numId="85">
    <w:abstractNumId w:val="50"/>
  </w:num>
  <w:num w:numId="86">
    <w:abstractNumId w:val="52"/>
  </w:num>
  <w:num w:numId="87">
    <w:abstractNumId w:val="55"/>
  </w:num>
  <w:num w:numId="88">
    <w:abstractNumId w:val="57"/>
  </w:num>
  <w:num w:numId="89">
    <w:abstractNumId w:val="60"/>
  </w:num>
  <w:num w:numId="90">
    <w:abstractNumId w:val="61"/>
  </w:num>
  <w:num w:numId="91">
    <w:abstractNumId w:val="62"/>
  </w:num>
  <w:num w:numId="92">
    <w:abstractNumId w:val="63"/>
  </w:num>
  <w:num w:numId="93">
    <w:abstractNumId w:val="64"/>
  </w:num>
  <w:num w:numId="94">
    <w:abstractNumId w:val="22"/>
  </w:num>
  <w:num w:numId="95">
    <w:abstractNumId w:val="43"/>
  </w:num>
  <w:num w:numId="96">
    <w:abstractNumId w:val="54"/>
  </w:num>
  <w:num w:numId="97">
    <w:abstractNumId w:val="51"/>
  </w:num>
  <w:num w:numId="98">
    <w:abstractNumId w:val="46"/>
  </w:num>
  <w:num w:numId="99">
    <w:abstractNumId w:val="38"/>
  </w:num>
  <w:num w:numId="100">
    <w:abstractNumId w:val="3"/>
  </w:num>
  <w:num w:numId="101">
    <w:abstractNumId w:val="27"/>
  </w:num>
  <w:num w:numId="102">
    <w:abstractNumId w:val="48"/>
  </w:num>
  <w:num w:numId="103">
    <w:abstractNumId w:val="6"/>
  </w:num>
  <w:num w:numId="104">
    <w:abstractNumId w:val="59"/>
  </w:num>
  <w:num w:numId="105">
    <w:abstractNumId w:val="4"/>
  </w:num>
  <w:num w:numId="106">
    <w:abstractNumId w:val="53"/>
  </w:num>
  <w:num w:numId="107">
    <w:abstractNumId w:val="1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26E1"/>
    <w:rsid w:val="000A575F"/>
    <w:rsid w:val="000D10DB"/>
    <w:rsid w:val="000E3B1F"/>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C1641"/>
    <w:rsid w:val="002D449E"/>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86CF0"/>
    <w:rsid w:val="003B3DF2"/>
    <w:rsid w:val="003C32BC"/>
    <w:rsid w:val="003F1BBF"/>
    <w:rsid w:val="004165C2"/>
    <w:rsid w:val="00450A4A"/>
    <w:rsid w:val="004666FB"/>
    <w:rsid w:val="00467B7E"/>
    <w:rsid w:val="0049419D"/>
    <w:rsid w:val="004A63BE"/>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7B34"/>
    <w:rsid w:val="00701B24"/>
    <w:rsid w:val="00745899"/>
    <w:rsid w:val="007607C4"/>
    <w:rsid w:val="0076643F"/>
    <w:rsid w:val="00782086"/>
    <w:rsid w:val="007A2F70"/>
    <w:rsid w:val="007C3334"/>
    <w:rsid w:val="007C52BB"/>
    <w:rsid w:val="007D2B98"/>
    <w:rsid w:val="00803F1C"/>
    <w:rsid w:val="0080600E"/>
    <w:rsid w:val="00817612"/>
    <w:rsid w:val="00837C45"/>
    <w:rsid w:val="00853419"/>
    <w:rsid w:val="00897E12"/>
    <w:rsid w:val="008D43BA"/>
    <w:rsid w:val="008E3759"/>
    <w:rsid w:val="008F726F"/>
    <w:rsid w:val="009041DC"/>
    <w:rsid w:val="009104B4"/>
    <w:rsid w:val="00925FCD"/>
    <w:rsid w:val="0093441A"/>
    <w:rsid w:val="00954BF7"/>
    <w:rsid w:val="0096706E"/>
    <w:rsid w:val="00981FBA"/>
    <w:rsid w:val="00994A4B"/>
    <w:rsid w:val="009B381B"/>
    <w:rsid w:val="009D7611"/>
    <w:rsid w:val="009E53DE"/>
    <w:rsid w:val="00A43458"/>
    <w:rsid w:val="00A528D1"/>
    <w:rsid w:val="00A66BE5"/>
    <w:rsid w:val="00AD37C1"/>
    <w:rsid w:val="00AE66EC"/>
    <w:rsid w:val="00AE6F91"/>
    <w:rsid w:val="00AF5571"/>
    <w:rsid w:val="00B13D22"/>
    <w:rsid w:val="00B167E9"/>
    <w:rsid w:val="00B314DB"/>
    <w:rsid w:val="00B31EBE"/>
    <w:rsid w:val="00B3718B"/>
    <w:rsid w:val="00B4632A"/>
    <w:rsid w:val="00BA276C"/>
    <w:rsid w:val="00BB306F"/>
    <w:rsid w:val="00BD232B"/>
    <w:rsid w:val="00BD4B89"/>
    <w:rsid w:val="00C21762"/>
    <w:rsid w:val="00C24543"/>
    <w:rsid w:val="00C256A2"/>
    <w:rsid w:val="00C3492D"/>
    <w:rsid w:val="00C55560"/>
    <w:rsid w:val="00C66B72"/>
    <w:rsid w:val="00C9567A"/>
    <w:rsid w:val="00CA292E"/>
    <w:rsid w:val="00CB2660"/>
    <w:rsid w:val="00CC5E90"/>
    <w:rsid w:val="00CD046C"/>
    <w:rsid w:val="00CE5199"/>
    <w:rsid w:val="00CE66D5"/>
    <w:rsid w:val="00D34786"/>
    <w:rsid w:val="00D40A1E"/>
    <w:rsid w:val="00D57424"/>
    <w:rsid w:val="00D712D3"/>
    <w:rsid w:val="00D71422"/>
    <w:rsid w:val="00D7145E"/>
    <w:rsid w:val="00D7558D"/>
    <w:rsid w:val="00D81D92"/>
    <w:rsid w:val="00D93446"/>
    <w:rsid w:val="00DA7B5F"/>
    <w:rsid w:val="00E334C5"/>
    <w:rsid w:val="00E43157"/>
    <w:rsid w:val="00E533FF"/>
    <w:rsid w:val="00E709B3"/>
    <w:rsid w:val="00E82CF9"/>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01F4"/>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now.org/node/1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4C9D-7FB3-4225-91E2-0C68A546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5574</Characters>
  <Application>Microsoft Office Word</Application>
  <DocSecurity>0</DocSecurity>
  <Lines>185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2</cp:revision>
  <cp:lastPrinted>2014-06-04T21:22:00Z</cp:lastPrinted>
  <dcterms:created xsi:type="dcterms:W3CDTF">2015-03-03T14:23:00Z</dcterms:created>
  <dcterms:modified xsi:type="dcterms:W3CDTF">2015-03-03T14:23:00Z</dcterms:modified>
</cp:coreProperties>
</file>