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AE2985" w:rsidRDefault="006311DA" w:rsidP="00627C9F">
      <w:pPr>
        <w:jc w:val="both"/>
        <w:rPr>
          <w:rFonts w:asciiTheme="majorHAnsi" w:hAnsiTheme="majorHAnsi" w:cs="Univers"/>
          <w:b/>
          <w:bCs/>
          <w:sz w:val="22"/>
          <w:szCs w:val="22"/>
          <w:lang w:val="es-ES_tradnl"/>
        </w:rPr>
      </w:pPr>
      <w:r w:rsidRPr="00AE2985">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31B23C1A" wp14:editId="1DB88BE3">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AE2985">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5952F2AB" wp14:editId="5E3473EB">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3EAF1F3F" wp14:editId="5F4E9AE9">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p>
                  </w:txbxContent>
                </v:textbox>
              </v:shape>
            </w:pict>
          </mc:Fallback>
        </mc:AlternateContent>
      </w:r>
    </w:p>
    <w:p w:rsidR="00040C3A" w:rsidRPr="00AE2985" w:rsidRDefault="00040C3A" w:rsidP="00040C3A">
      <w:pPr>
        <w:tabs>
          <w:tab w:val="center" w:pos="5400"/>
        </w:tabs>
        <w:suppressAutoHyphens/>
        <w:jc w:val="both"/>
        <w:rPr>
          <w:rFonts w:asciiTheme="majorHAnsi" w:hAnsiTheme="majorHAnsi"/>
          <w:sz w:val="22"/>
          <w:szCs w:val="22"/>
          <w:lang w:val="es-ES"/>
        </w:rPr>
      </w:pPr>
    </w:p>
    <w:p w:rsidR="00040C3A" w:rsidRPr="00AE2985" w:rsidRDefault="00040C3A" w:rsidP="00040C3A">
      <w:pPr>
        <w:tabs>
          <w:tab w:val="center" w:pos="5400"/>
        </w:tabs>
        <w:suppressAutoHyphens/>
        <w:jc w:val="both"/>
        <w:rPr>
          <w:rFonts w:asciiTheme="majorHAnsi" w:hAnsiTheme="majorHAnsi"/>
          <w:sz w:val="22"/>
          <w:szCs w:val="22"/>
          <w:lang w:val="es-ES"/>
        </w:rPr>
      </w:pPr>
    </w:p>
    <w:p w:rsidR="005128E4" w:rsidRPr="00AE2985" w:rsidRDefault="005128E4" w:rsidP="00040C3A">
      <w:pPr>
        <w:tabs>
          <w:tab w:val="center" w:pos="5400"/>
        </w:tabs>
        <w:suppressAutoHyphens/>
        <w:rPr>
          <w:rFonts w:asciiTheme="majorHAnsi" w:hAnsiTheme="majorHAnsi"/>
          <w:sz w:val="22"/>
          <w:szCs w:val="22"/>
          <w:lang w:val="es-ES_tradnl"/>
        </w:rPr>
      </w:pPr>
    </w:p>
    <w:p w:rsidR="005128E4" w:rsidRPr="00AE2985" w:rsidRDefault="005128E4" w:rsidP="00040C3A">
      <w:pPr>
        <w:tabs>
          <w:tab w:val="center" w:pos="5400"/>
        </w:tabs>
        <w:suppressAutoHyphens/>
        <w:rPr>
          <w:rFonts w:asciiTheme="majorHAnsi" w:hAnsiTheme="majorHAnsi"/>
          <w:sz w:val="22"/>
          <w:szCs w:val="22"/>
          <w:lang w:val="es-ES_tradnl"/>
        </w:rPr>
      </w:pPr>
    </w:p>
    <w:p w:rsidR="005128E4" w:rsidRPr="00AE2985" w:rsidRDefault="005128E4" w:rsidP="00040C3A">
      <w:pPr>
        <w:tabs>
          <w:tab w:val="center" w:pos="5400"/>
        </w:tabs>
        <w:suppressAutoHyphens/>
        <w:rPr>
          <w:rFonts w:asciiTheme="majorHAnsi" w:hAnsiTheme="majorHAnsi"/>
          <w:sz w:val="22"/>
          <w:szCs w:val="22"/>
          <w:lang w:val="es-ES_tradnl"/>
        </w:rPr>
      </w:pPr>
    </w:p>
    <w:p w:rsidR="00040C3A" w:rsidRPr="00AE2985" w:rsidRDefault="00040C3A" w:rsidP="005128E4">
      <w:pPr>
        <w:tabs>
          <w:tab w:val="center" w:pos="5400"/>
        </w:tabs>
        <w:suppressAutoHyphens/>
        <w:jc w:val="center"/>
        <w:rPr>
          <w:rFonts w:asciiTheme="majorHAnsi" w:hAnsiTheme="majorHAnsi"/>
          <w:sz w:val="22"/>
          <w:szCs w:val="22"/>
          <w:lang w:val="es-ES_tradnl"/>
        </w:rPr>
      </w:pPr>
    </w:p>
    <w:p w:rsidR="00040C3A" w:rsidRPr="00AE2985" w:rsidRDefault="00040C3A" w:rsidP="005128E4">
      <w:pPr>
        <w:tabs>
          <w:tab w:val="center" w:pos="5400"/>
        </w:tabs>
        <w:suppressAutoHyphens/>
        <w:jc w:val="center"/>
        <w:rPr>
          <w:rFonts w:asciiTheme="majorHAnsi" w:hAnsiTheme="majorHAnsi"/>
          <w:sz w:val="22"/>
          <w:szCs w:val="22"/>
          <w:lang w:val="es-ES_tradnl"/>
        </w:rPr>
      </w:pPr>
    </w:p>
    <w:p w:rsidR="005B52B0" w:rsidRPr="00AE2985" w:rsidRDefault="005B52B0" w:rsidP="005128E4">
      <w:pPr>
        <w:tabs>
          <w:tab w:val="center" w:pos="5400"/>
        </w:tabs>
        <w:suppressAutoHyphens/>
        <w:jc w:val="center"/>
        <w:rPr>
          <w:rFonts w:asciiTheme="majorHAnsi" w:hAnsiTheme="majorHAnsi"/>
          <w:sz w:val="22"/>
          <w:szCs w:val="22"/>
          <w:lang w:val="es-ES_tradnl"/>
        </w:rPr>
      </w:pPr>
    </w:p>
    <w:p w:rsidR="005B52B0" w:rsidRPr="00AE2985" w:rsidRDefault="005B52B0" w:rsidP="005128E4">
      <w:pPr>
        <w:tabs>
          <w:tab w:val="center" w:pos="5400"/>
        </w:tabs>
        <w:suppressAutoHyphens/>
        <w:jc w:val="center"/>
        <w:rPr>
          <w:rFonts w:asciiTheme="majorHAnsi" w:hAnsiTheme="majorHAnsi"/>
          <w:sz w:val="22"/>
          <w:szCs w:val="22"/>
          <w:lang w:val="es-ES_tradnl"/>
        </w:rPr>
      </w:pPr>
    </w:p>
    <w:p w:rsidR="005B52B0" w:rsidRPr="00AE2985" w:rsidRDefault="005B52B0" w:rsidP="005128E4">
      <w:pPr>
        <w:tabs>
          <w:tab w:val="center" w:pos="5400"/>
        </w:tabs>
        <w:suppressAutoHyphens/>
        <w:jc w:val="center"/>
        <w:rPr>
          <w:rFonts w:asciiTheme="majorHAnsi" w:hAnsiTheme="majorHAnsi"/>
          <w:sz w:val="22"/>
          <w:szCs w:val="22"/>
          <w:lang w:val="es-ES_tradnl"/>
        </w:rPr>
      </w:pPr>
    </w:p>
    <w:p w:rsidR="00040C3A" w:rsidRPr="00AE2985" w:rsidRDefault="00040C3A" w:rsidP="00040C3A">
      <w:pPr>
        <w:tabs>
          <w:tab w:val="center" w:pos="5400"/>
        </w:tabs>
        <w:suppressAutoHyphens/>
        <w:jc w:val="center"/>
        <w:rPr>
          <w:rFonts w:asciiTheme="majorHAnsi" w:hAnsiTheme="majorHAnsi"/>
          <w:sz w:val="22"/>
          <w:szCs w:val="22"/>
          <w:lang w:val="es-ES_tradnl"/>
        </w:rPr>
      </w:pPr>
    </w:p>
    <w:p w:rsidR="00040C3A" w:rsidRPr="00AE2985" w:rsidRDefault="00040C3A" w:rsidP="00040C3A">
      <w:pPr>
        <w:tabs>
          <w:tab w:val="center" w:pos="5400"/>
        </w:tabs>
        <w:suppressAutoHyphens/>
        <w:jc w:val="center"/>
        <w:rPr>
          <w:rFonts w:asciiTheme="majorHAnsi" w:hAnsiTheme="majorHAnsi"/>
          <w:sz w:val="22"/>
          <w:szCs w:val="22"/>
          <w:lang w:val="es-ES_tradnl"/>
        </w:rPr>
      </w:pPr>
    </w:p>
    <w:p w:rsidR="00040C3A" w:rsidRPr="00AE2985" w:rsidRDefault="00040C3A" w:rsidP="00040C3A">
      <w:pPr>
        <w:tabs>
          <w:tab w:val="center" w:pos="5400"/>
        </w:tabs>
        <w:suppressAutoHyphens/>
        <w:jc w:val="center"/>
        <w:rPr>
          <w:rFonts w:asciiTheme="majorHAnsi" w:hAnsiTheme="majorHAnsi"/>
          <w:sz w:val="22"/>
          <w:szCs w:val="22"/>
          <w:lang w:val="es-ES_tradnl"/>
        </w:rPr>
      </w:pPr>
    </w:p>
    <w:p w:rsidR="00040C3A" w:rsidRPr="00AE2985" w:rsidRDefault="00E533FF" w:rsidP="00040C3A">
      <w:pPr>
        <w:tabs>
          <w:tab w:val="center" w:pos="5400"/>
        </w:tabs>
        <w:suppressAutoHyphens/>
        <w:jc w:val="center"/>
        <w:rPr>
          <w:rFonts w:asciiTheme="majorHAnsi" w:hAnsiTheme="majorHAnsi"/>
          <w:sz w:val="22"/>
          <w:szCs w:val="22"/>
          <w:lang w:val="es-ES_tradnl"/>
        </w:rPr>
      </w:pPr>
      <w:r w:rsidRPr="00AE2985">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4A015208" wp14:editId="2FB4C6B6">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D00F6E">
                              <w:rPr>
                                <w:rFonts w:asciiTheme="majorHAnsi" w:hAnsiTheme="majorHAnsi" w:cs="Arial"/>
                                <w:b/>
                                <w:bCs/>
                                <w:color w:val="0D0D0D" w:themeColor="text1" w:themeTint="F2"/>
                                <w:sz w:val="36"/>
                                <w:szCs w:val="40"/>
                              </w:rPr>
                              <w:t>35</w:t>
                            </w:r>
                            <w:r w:rsidRPr="004B7EB6">
                              <w:rPr>
                                <w:rFonts w:asciiTheme="majorHAnsi" w:hAnsiTheme="majorHAnsi" w:cs="Arial"/>
                                <w:b/>
                                <w:bCs/>
                                <w:color w:val="0D0D0D" w:themeColor="text1" w:themeTint="F2"/>
                                <w:sz w:val="36"/>
                                <w:szCs w:val="40"/>
                              </w:rPr>
                              <w:t>/14</w:t>
                            </w:r>
                          </w:p>
                          <w:p w:rsidR="00322450" w:rsidRPr="004B7EB6" w:rsidRDefault="00613027"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PETITION </w:t>
                            </w:r>
                            <w:r w:rsidR="00D00F6E">
                              <w:rPr>
                                <w:rFonts w:asciiTheme="majorHAnsi" w:hAnsiTheme="majorHAnsi" w:cs="Arial"/>
                                <w:b/>
                                <w:color w:val="0D0D0D" w:themeColor="text1" w:themeTint="F2"/>
                                <w:sz w:val="36"/>
                                <w:szCs w:val="40"/>
                              </w:rPr>
                              <w:t>1334-09</w:t>
                            </w:r>
                          </w:p>
                          <w:p w:rsidR="00D14723" w:rsidRPr="004B7EB6" w:rsidRDefault="00450A4A" w:rsidP="00D14723">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sidR="00322450" w:rsidRPr="004B7EB6">
                              <w:rPr>
                                <w:rFonts w:asciiTheme="majorHAnsi" w:hAnsiTheme="majorHAnsi" w:cs="Arial"/>
                                <w:color w:val="0D0D0D" w:themeColor="text1" w:themeTint="F2"/>
                                <w:szCs w:val="22"/>
                              </w:rPr>
                              <w:t>ADMISSIBILITY</w:t>
                            </w:r>
                          </w:p>
                          <w:p w:rsidR="00322450" w:rsidRPr="004B7EB6" w:rsidRDefault="00322450" w:rsidP="004B7EB6">
                            <w:pPr>
                              <w:spacing w:line="276" w:lineRule="auto"/>
                              <w:rPr>
                                <w:rFonts w:asciiTheme="majorHAnsi" w:hAnsiTheme="majorHAnsi" w:cs="Arial"/>
                                <w:color w:val="0D0D0D" w:themeColor="text1" w:themeTint="F2"/>
                                <w:szCs w:val="22"/>
                              </w:rPr>
                            </w:pPr>
                          </w:p>
                          <w:p w:rsidR="00450A4A" w:rsidRPr="004B7EB6" w:rsidRDefault="00450A4A" w:rsidP="004B7EB6">
                            <w:pPr>
                              <w:spacing w:line="276" w:lineRule="auto"/>
                              <w:rPr>
                                <w:rFonts w:asciiTheme="majorHAnsi" w:hAnsiTheme="majorHAnsi" w:cs="Arial"/>
                                <w:color w:val="0D0D0D" w:themeColor="text1" w:themeTint="F2"/>
                                <w:szCs w:val="22"/>
                              </w:rPr>
                            </w:pPr>
                          </w:p>
                          <w:p w:rsidR="00322450" w:rsidRPr="00EC2EF7" w:rsidRDefault="004861F1" w:rsidP="004B7EB6">
                            <w:pPr>
                              <w:spacing w:line="276" w:lineRule="auto"/>
                              <w:rPr>
                                <w:rFonts w:asciiTheme="majorHAnsi" w:hAnsiTheme="majorHAnsi" w:cs="Arial"/>
                                <w:color w:val="0D0D0D" w:themeColor="text1" w:themeTint="F2"/>
                                <w:szCs w:val="22"/>
                              </w:rPr>
                            </w:pPr>
                            <w:r w:rsidRPr="004861F1">
                              <w:rPr>
                                <w:rFonts w:asciiTheme="majorHAnsi" w:hAnsiTheme="majorHAnsi" w:cs="Arial"/>
                                <w:color w:val="0D0D0D" w:themeColor="text1" w:themeTint="F2"/>
                                <w:szCs w:val="22"/>
                              </w:rPr>
                              <w:t>EULOGIA AND HER SON SERGIO</w:t>
                            </w:r>
                          </w:p>
                          <w:p w:rsidR="005B52B0" w:rsidRPr="00AE2985" w:rsidRDefault="00D00F6E" w:rsidP="004B7EB6">
                            <w:pPr>
                              <w:spacing w:line="276" w:lineRule="auto"/>
                              <w:rPr>
                                <w:rFonts w:asciiTheme="majorHAnsi" w:hAnsiTheme="majorHAnsi"/>
                                <w:color w:val="0D0D0D" w:themeColor="text1" w:themeTint="F2"/>
                              </w:rPr>
                            </w:pPr>
                            <w:r w:rsidRPr="00AE2985">
                              <w:rPr>
                                <w:rFonts w:asciiTheme="majorHAnsi" w:hAnsiTheme="majorHAnsi" w:cs="Arial"/>
                                <w:color w:val="0D0D0D" w:themeColor="text1" w:themeTint="F2"/>
                                <w:szCs w:val="22"/>
                              </w:rPr>
                              <w:t>PERU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D00F6E">
                        <w:rPr>
                          <w:rFonts w:asciiTheme="majorHAnsi" w:hAnsiTheme="majorHAnsi" w:cs="Arial"/>
                          <w:b/>
                          <w:bCs/>
                          <w:color w:val="0D0D0D" w:themeColor="text1" w:themeTint="F2"/>
                          <w:sz w:val="36"/>
                          <w:szCs w:val="40"/>
                        </w:rPr>
                        <w:t>35</w:t>
                      </w:r>
                      <w:r w:rsidRPr="004B7EB6">
                        <w:rPr>
                          <w:rFonts w:asciiTheme="majorHAnsi" w:hAnsiTheme="majorHAnsi" w:cs="Arial"/>
                          <w:b/>
                          <w:bCs/>
                          <w:color w:val="0D0D0D" w:themeColor="text1" w:themeTint="F2"/>
                          <w:sz w:val="36"/>
                          <w:szCs w:val="40"/>
                        </w:rPr>
                        <w:t>/14</w:t>
                      </w:r>
                    </w:p>
                    <w:p w:rsidR="00322450" w:rsidRPr="004B7EB6" w:rsidRDefault="00613027"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PETITION </w:t>
                      </w:r>
                      <w:r w:rsidR="00D00F6E">
                        <w:rPr>
                          <w:rFonts w:asciiTheme="majorHAnsi" w:hAnsiTheme="majorHAnsi" w:cs="Arial"/>
                          <w:b/>
                          <w:color w:val="0D0D0D" w:themeColor="text1" w:themeTint="F2"/>
                          <w:sz w:val="36"/>
                          <w:szCs w:val="40"/>
                        </w:rPr>
                        <w:t>1334-09</w:t>
                      </w:r>
                    </w:p>
                    <w:p w:rsidR="00D14723" w:rsidRPr="004B7EB6" w:rsidRDefault="00450A4A" w:rsidP="00D14723">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sidR="00322450" w:rsidRPr="004B7EB6">
                        <w:rPr>
                          <w:rFonts w:asciiTheme="majorHAnsi" w:hAnsiTheme="majorHAnsi" w:cs="Arial"/>
                          <w:color w:val="0D0D0D" w:themeColor="text1" w:themeTint="F2"/>
                          <w:szCs w:val="22"/>
                        </w:rPr>
                        <w:t>ADMISSIBILITY</w:t>
                      </w:r>
                    </w:p>
                    <w:p w:rsidR="00322450" w:rsidRPr="004B7EB6" w:rsidRDefault="00322450" w:rsidP="004B7EB6">
                      <w:pPr>
                        <w:spacing w:line="276" w:lineRule="auto"/>
                        <w:rPr>
                          <w:rFonts w:asciiTheme="majorHAnsi" w:hAnsiTheme="majorHAnsi" w:cs="Arial"/>
                          <w:color w:val="0D0D0D" w:themeColor="text1" w:themeTint="F2"/>
                          <w:szCs w:val="22"/>
                        </w:rPr>
                      </w:pPr>
                    </w:p>
                    <w:p w:rsidR="00450A4A" w:rsidRPr="004B7EB6" w:rsidRDefault="00450A4A" w:rsidP="004B7EB6">
                      <w:pPr>
                        <w:spacing w:line="276" w:lineRule="auto"/>
                        <w:rPr>
                          <w:rFonts w:asciiTheme="majorHAnsi" w:hAnsiTheme="majorHAnsi" w:cs="Arial"/>
                          <w:color w:val="0D0D0D" w:themeColor="text1" w:themeTint="F2"/>
                          <w:szCs w:val="22"/>
                        </w:rPr>
                      </w:pPr>
                    </w:p>
                    <w:p w:rsidR="00322450" w:rsidRPr="00EC2EF7" w:rsidRDefault="004861F1" w:rsidP="004B7EB6">
                      <w:pPr>
                        <w:spacing w:line="276" w:lineRule="auto"/>
                        <w:rPr>
                          <w:rFonts w:asciiTheme="majorHAnsi" w:hAnsiTheme="majorHAnsi" w:cs="Arial"/>
                          <w:color w:val="0D0D0D" w:themeColor="text1" w:themeTint="F2"/>
                          <w:szCs w:val="22"/>
                        </w:rPr>
                      </w:pPr>
                      <w:r w:rsidRPr="004861F1">
                        <w:rPr>
                          <w:rFonts w:asciiTheme="majorHAnsi" w:hAnsiTheme="majorHAnsi" w:cs="Arial"/>
                          <w:color w:val="0D0D0D" w:themeColor="text1" w:themeTint="F2"/>
                          <w:szCs w:val="22"/>
                        </w:rPr>
                        <w:t>EULOGIA AND HER SON SERGIO</w:t>
                      </w:r>
                    </w:p>
                    <w:p w:rsidR="005B52B0" w:rsidRPr="004B7EB6" w:rsidRDefault="00D00F6E" w:rsidP="004B7EB6">
                      <w:pPr>
                        <w:spacing w:line="276" w:lineRule="auto"/>
                        <w:rPr>
                          <w:rFonts w:asciiTheme="majorHAnsi" w:hAnsiTheme="majorHAnsi"/>
                          <w:color w:val="0D0D0D" w:themeColor="text1" w:themeTint="F2"/>
                          <w:lang w:val="es-ES_tradnl"/>
                        </w:rPr>
                      </w:pPr>
                      <w:r>
                        <w:rPr>
                          <w:rFonts w:asciiTheme="majorHAnsi" w:hAnsiTheme="majorHAnsi" w:cs="Arial"/>
                          <w:color w:val="0D0D0D" w:themeColor="text1" w:themeTint="F2"/>
                          <w:szCs w:val="22"/>
                          <w:lang w:val="es-ES_tradnl"/>
                        </w:rPr>
                        <w:t>PERU</w:t>
                      </w:r>
                    </w:p>
                  </w:txbxContent>
                </v:textbox>
              </v:shape>
            </w:pict>
          </mc:Fallback>
        </mc:AlternateContent>
      </w:r>
      <w:r w:rsidR="004B7EB6" w:rsidRPr="00AE2985">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49702E88" wp14:editId="6FB5E1CF">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AE2985" w:rsidRDefault="004861F1" w:rsidP="002C1641">
                            <w:pPr>
                              <w:jc w:val="right"/>
                              <w:rPr>
                                <w:rFonts w:asciiTheme="minorHAnsi" w:hAnsiTheme="minorHAnsi"/>
                                <w:color w:val="FFFFFF" w:themeColor="background1"/>
                                <w:sz w:val="22"/>
                                <w:lang w:val="pt-BR"/>
                              </w:rPr>
                            </w:pPr>
                            <w:r w:rsidRPr="00AE2985">
                              <w:rPr>
                                <w:rFonts w:asciiTheme="minorHAnsi" w:hAnsiTheme="minorHAnsi"/>
                                <w:color w:val="FFFFFF" w:themeColor="background1"/>
                                <w:sz w:val="22"/>
                                <w:lang w:val="pt-BR"/>
                              </w:rPr>
                              <w:t>OEA/Ser.L/V/II.150</w:t>
                            </w:r>
                          </w:p>
                          <w:p w:rsidR="00627C9F" w:rsidRPr="00AE2985" w:rsidRDefault="00627C9F" w:rsidP="002C1641">
                            <w:pPr>
                              <w:jc w:val="right"/>
                              <w:rPr>
                                <w:rFonts w:asciiTheme="minorHAnsi" w:hAnsiTheme="minorHAnsi"/>
                                <w:color w:val="FFFFFF" w:themeColor="background1"/>
                                <w:sz w:val="22"/>
                                <w:lang w:val="pt-BR"/>
                              </w:rPr>
                            </w:pPr>
                            <w:r w:rsidRPr="00AE2985">
                              <w:rPr>
                                <w:rFonts w:asciiTheme="minorHAnsi" w:hAnsiTheme="minorHAnsi"/>
                                <w:color w:val="FFFFFF" w:themeColor="background1"/>
                                <w:sz w:val="22"/>
                                <w:lang w:val="pt-BR"/>
                              </w:rPr>
                              <w:t xml:space="preserve">Doc. </w:t>
                            </w:r>
                            <w:r w:rsidR="004861F1" w:rsidRPr="00AE2985">
                              <w:rPr>
                                <w:rFonts w:asciiTheme="minorHAnsi" w:hAnsiTheme="minorHAnsi"/>
                                <w:color w:val="FFFFFF" w:themeColor="background1"/>
                                <w:sz w:val="22"/>
                                <w:lang w:val="pt-BR"/>
                              </w:rPr>
                              <w:t>39</w:t>
                            </w:r>
                          </w:p>
                          <w:p w:rsidR="00627C9F" w:rsidRPr="004B7EB6" w:rsidRDefault="004861F1" w:rsidP="002C1641">
                            <w:pPr>
                              <w:jc w:val="right"/>
                              <w:rPr>
                                <w:rFonts w:asciiTheme="minorHAnsi" w:hAnsiTheme="minorHAnsi"/>
                                <w:color w:val="FFFFFF" w:themeColor="background1"/>
                                <w:sz w:val="22"/>
                              </w:rPr>
                            </w:pPr>
                            <w:r>
                              <w:rPr>
                                <w:rFonts w:asciiTheme="minorHAnsi" w:hAnsiTheme="minorHAnsi"/>
                                <w:color w:val="FFFFFF" w:themeColor="background1"/>
                                <w:sz w:val="22"/>
                              </w:rPr>
                              <w:t>4 April</w:t>
                            </w:r>
                            <w:r w:rsidR="00627C9F" w:rsidRPr="004B7EB6">
                              <w:rPr>
                                <w:rFonts w:asciiTheme="minorHAnsi" w:hAnsiTheme="minorHAnsi"/>
                                <w:color w:val="FFFFFF" w:themeColor="background1"/>
                                <w:sz w:val="22"/>
                              </w:rPr>
                              <w:t xml:space="preserve"> 2014</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4861F1">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4861F1" w:rsidRDefault="004861F1" w:rsidP="002C1641">
                      <w:pPr>
                        <w:jc w:val="right"/>
                        <w:rPr>
                          <w:rFonts w:asciiTheme="minorHAnsi" w:hAnsiTheme="minorHAnsi"/>
                          <w:color w:val="FFFFFF" w:themeColor="background1"/>
                          <w:sz w:val="22"/>
                        </w:rPr>
                      </w:pPr>
                      <w:r w:rsidRPr="004861F1">
                        <w:rPr>
                          <w:rFonts w:asciiTheme="minorHAnsi" w:hAnsiTheme="minorHAnsi"/>
                          <w:color w:val="FFFFFF" w:themeColor="background1"/>
                          <w:sz w:val="22"/>
                        </w:rPr>
                        <w:t>OEA/</w:t>
                      </w:r>
                      <w:proofErr w:type="spellStart"/>
                      <w:r w:rsidRPr="004861F1">
                        <w:rPr>
                          <w:rFonts w:asciiTheme="minorHAnsi" w:hAnsiTheme="minorHAnsi"/>
                          <w:color w:val="FFFFFF" w:themeColor="background1"/>
                          <w:sz w:val="22"/>
                        </w:rPr>
                        <w:t>Ser.L</w:t>
                      </w:r>
                      <w:proofErr w:type="spellEnd"/>
                      <w:r w:rsidRPr="004861F1">
                        <w:rPr>
                          <w:rFonts w:asciiTheme="minorHAnsi" w:hAnsiTheme="minorHAnsi"/>
                          <w:color w:val="FFFFFF" w:themeColor="background1"/>
                          <w:sz w:val="22"/>
                        </w:rPr>
                        <w:t>/V/II.150</w:t>
                      </w:r>
                    </w:p>
                    <w:p w:rsidR="00627C9F" w:rsidRPr="004861F1" w:rsidRDefault="00627C9F" w:rsidP="002C1641">
                      <w:pPr>
                        <w:jc w:val="right"/>
                        <w:rPr>
                          <w:rFonts w:asciiTheme="minorHAnsi" w:hAnsiTheme="minorHAnsi"/>
                          <w:color w:val="FFFFFF" w:themeColor="background1"/>
                          <w:sz w:val="22"/>
                        </w:rPr>
                      </w:pPr>
                      <w:r w:rsidRPr="004861F1">
                        <w:rPr>
                          <w:rFonts w:asciiTheme="minorHAnsi" w:hAnsiTheme="minorHAnsi"/>
                          <w:color w:val="FFFFFF" w:themeColor="background1"/>
                          <w:sz w:val="22"/>
                        </w:rPr>
                        <w:t xml:space="preserve">Doc. </w:t>
                      </w:r>
                      <w:r w:rsidR="004861F1" w:rsidRPr="004861F1">
                        <w:rPr>
                          <w:rFonts w:asciiTheme="minorHAnsi" w:hAnsiTheme="minorHAnsi"/>
                          <w:color w:val="FFFFFF" w:themeColor="background1"/>
                          <w:sz w:val="22"/>
                        </w:rPr>
                        <w:t>39</w:t>
                      </w:r>
                    </w:p>
                    <w:p w:rsidR="00627C9F" w:rsidRPr="004B7EB6" w:rsidRDefault="004861F1" w:rsidP="002C1641">
                      <w:pPr>
                        <w:jc w:val="right"/>
                        <w:rPr>
                          <w:rFonts w:asciiTheme="minorHAnsi" w:hAnsiTheme="minorHAnsi"/>
                          <w:color w:val="FFFFFF" w:themeColor="background1"/>
                          <w:sz w:val="22"/>
                        </w:rPr>
                      </w:pPr>
                      <w:r>
                        <w:rPr>
                          <w:rFonts w:asciiTheme="minorHAnsi" w:hAnsiTheme="minorHAnsi"/>
                          <w:color w:val="FFFFFF" w:themeColor="background1"/>
                          <w:sz w:val="22"/>
                        </w:rPr>
                        <w:t>4 April</w:t>
                      </w:r>
                      <w:r w:rsidR="00627C9F" w:rsidRPr="004B7EB6">
                        <w:rPr>
                          <w:rFonts w:asciiTheme="minorHAnsi" w:hAnsiTheme="minorHAnsi"/>
                          <w:color w:val="FFFFFF" w:themeColor="background1"/>
                          <w:sz w:val="22"/>
                        </w:rPr>
                        <w:t xml:space="preserve"> 2014</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4861F1">
                        <w:rPr>
                          <w:rFonts w:asciiTheme="minorHAnsi" w:hAnsiTheme="minorHAnsi"/>
                          <w:color w:val="FFFFFF" w:themeColor="background1"/>
                          <w:sz w:val="22"/>
                        </w:rPr>
                        <w:t>Spanish</w:t>
                      </w:r>
                    </w:p>
                  </w:txbxContent>
                </v:textbox>
              </v:shape>
            </w:pict>
          </mc:Fallback>
        </mc:AlternateContent>
      </w:r>
    </w:p>
    <w:p w:rsidR="00040C3A" w:rsidRPr="00AE2985" w:rsidRDefault="00040C3A" w:rsidP="00040C3A">
      <w:pPr>
        <w:tabs>
          <w:tab w:val="center" w:pos="5400"/>
        </w:tabs>
        <w:suppressAutoHyphens/>
        <w:jc w:val="center"/>
        <w:rPr>
          <w:rFonts w:asciiTheme="majorHAnsi" w:hAnsiTheme="majorHAnsi"/>
          <w:sz w:val="22"/>
          <w:szCs w:val="22"/>
          <w:lang w:val="es-ES_tradnl"/>
        </w:rPr>
      </w:pPr>
    </w:p>
    <w:p w:rsidR="00040C3A" w:rsidRPr="00AE2985" w:rsidRDefault="00040C3A" w:rsidP="00040C3A">
      <w:pPr>
        <w:tabs>
          <w:tab w:val="center" w:pos="5400"/>
        </w:tabs>
        <w:suppressAutoHyphens/>
        <w:jc w:val="center"/>
        <w:rPr>
          <w:rFonts w:asciiTheme="majorHAnsi" w:hAnsiTheme="majorHAnsi" w:cs="Arial"/>
          <w:sz w:val="22"/>
          <w:szCs w:val="22"/>
          <w:lang w:val="es-ES_tradnl"/>
        </w:rPr>
      </w:pPr>
    </w:p>
    <w:p w:rsidR="00040C3A" w:rsidRPr="00AE2985" w:rsidRDefault="00040C3A" w:rsidP="00040C3A">
      <w:pPr>
        <w:tabs>
          <w:tab w:val="center" w:pos="5400"/>
        </w:tabs>
        <w:suppressAutoHyphens/>
        <w:jc w:val="center"/>
        <w:rPr>
          <w:rFonts w:asciiTheme="majorHAnsi" w:hAnsiTheme="majorHAnsi"/>
          <w:sz w:val="22"/>
          <w:szCs w:val="22"/>
          <w:lang w:val="es-ES_tradnl"/>
        </w:rPr>
      </w:pPr>
    </w:p>
    <w:p w:rsidR="00040C3A" w:rsidRPr="00AE2985" w:rsidRDefault="00040C3A" w:rsidP="00040C3A">
      <w:pPr>
        <w:tabs>
          <w:tab w:val="center" w:pos="5400"/>
        </w:tabs>
        <w:suppressAutoHyphens/>
        <w:jc w:val="center"/>
        <w:rPr>
          <w:rFonts w:asciiTheme="majorHAnsi" w:hAnsiTheme="majorHAnsi"/>
          <w:sz w:val="22"/>
          <w:szCs w:val="22"/>
          <w:lang w:val="es-ES_tradnl"/>
        </w:rPr>
      </w:pPr>
    </w:p>
    <w:p w:rsidR="00040C3A" w:rsidRPr="00AE2985" w:rsidRDefault="00040C3A" w:rsidP="00040C3A">
      <w:pPr>
        <w:tabs>
          <w:tab w:val="center" w:pos="5400"/>
        </w:tabs>
        <w:suppressAutoHyphens/>
        <w:jc w:val="center"/>
        <w:rPr>
          <w:rFonts w:asciiTheme="majorHAnsi" w:hAnsiTheme="majorHAnsi"/>
          <w:sz w:val="22"/>
          <w:szCs w:val="22"/>
          <w:lang w:val="es-ES_tradnl"/>
        </w:rPr>
      </w:pPr>
    </w:p>
    <w:p w:rsidR="00040C3A" w:rsidRPr="00AE2985" w:rsidRDefault="00040C3A" w:rsidP="00040C3A">
      <w:pPr>
        <w:tabs>
          <w:tab w:val="center" w:pos="5400"/>
        </w:tabs>
        <w:suppressAutoHyphens/>
        <w:jc w:val="center"/>
        <w:rPr>
          <w:rFonts w:asciiTheme="majorHAnsi" w:hAnsiTheme="majorHAnsi"/>
          <w:sz w:val="22"/>
          <w:szCs w:val="22"/>
          <w:lang w:val="es-ES_tradnl"/>
        </w:rPr>
      </w:pPr>
    </w:p>
    <w:p w:rsidR="005128E4" w:rsidRPr="00AE2985" w:rsidRDefault="005128E4" w:rsidP="00040C3A">
      <w:pPr>
        <w:tabs>
          <w:tab w:val="center" w:pos="5400"/>
        </w:tabs>
        <w:suppressAutoHyphens/>
        <w:jc w:val="center"/>
        <w:rPr>
          <w:rFonts w:asciiTheme="majorHAnsi" w:hAnsiTheme="majorHAnsi"/>
          <w:sz w:val="22"/>
          <w:szCs w:val="22"/>
          <w:lang w:val="es-ES_tradnl"/>
        </w:rPr>
      </w:pPr>
    </w:p>
    <w:p w:rsidR="00040C3A" w:rsidRPr="00AE2985" w:rsidRDefault="00040C3A" w:rsidP="00040C3A">
      <w:pPr>
        <w:tabs>
          <w:tab w:val="center" w:pos="5400"/>
        </w:tabs>
        <w:suppressAutoHyphens/>
        <w:jc w:val="center"/>
        <w:rPr>
          <w:rFonts w:asciiTheme="majorHAnsi" w:hAnsiTheme="majorHAnsi"/>
          <w:sz w:val="22"/>
          <w:szCs w:val="22"/>
          <w:lang w:val="es-ES_tradnl"/>
        </w:rPr>
      </w:pPr>
    </w:p>
    <w:p w:rsidR="005128E4" w:rsidRPr="00AE2985" w:rsidRDefault="005128E4" w:rsidP="00040C3A">
      <w:pPr>
        <w:tabs>
          <w:tab w:val="center" w:pos="5400"/>
        </w:tabs>
        <w:suppressAutoHyphens/>
        <w:jc w:val="center"/>
        <w:rPr>
          <w:rFonts w:asciiTheme="majorHAnsi" w:hAnsiTheme="majorHAnsi"/>
          <w:sz w:val="22"/>
          <w:szCs w:val="22"/>
          <w:lang w:val="es-ES_tradnl"/>
        </w:rPr>
      </w:pPr>
    </w:p>
    <w:p w:rsidR="005128E4" w:rsidRPr="00AE2985" w:rsidRDefault="005128E4" w:rsidP="00040C3A">
      <w:pPr>
        <w:tabs>
          <w:tab w:val="center" w:pos="5400"/>
        </w:tabs>
        <w:suppressAutoHyphens/>
        <w:jc w:val="center"/>
        <w:rPr>
          <w:rFonts w:asciiTheme="majorHAnsi" w:hAnsiTheme="majorHAnsi"/>
          <w:sz w:val="22"/>
          <w:szCs w:val="22"/>
          <w:lang w:val="es-ES_tradnl"/>
        </w:rPr>
      </w:pPr>
    </w:p>
    <w:p w:rsidR="005128E4" w:rsidRPr="00AE2985" w:rsidRDefault="005128E4" w:rsidP="00040C3A">
      <w:pPr>
        <w:tabs>
          <w:tab w:val="center" w:pos="5400"/>
        </w:tabs>
        <w:suppressAutoHyphens/>
        <w:jc w:val="center"/>
        <w:rPr>
          <w:rFonts w:asciiTheme="majorHAnsi" w:hAnsiTheme="majorHAnsi"/>
          <w:sz w:val="22"/>
          <w:szCs w:val="22"/>
          <w:lang w:val="es-ES_tradnl"/>
        </w:rPr>
      </w:pPr>
    </w:p>
    <w:p w:rsidR="00040C3A" w:rsidRPr="00AE2985" w:rsidRDefault="00040C3A" w:rsidP="00040C3A">
      <w:pPr>
        <w:tabs>
          <w:tab w:val="center" w:pos="5400"/>
        </w:tabs>
        <w:suppressAutoHyphens/>
        <w:jc w:val="center"/>
        <w:rPr>
          <w:rFonts w:asciiTheme="majorHAnsi" w:hAnsiTheme="majorHAnsi"/>
          <w:sz w:val="22"/>
          <w:szCs w:val="22"/>
          <w:lang w:val="es-ES_tradnl"/>
        </w:rPr>
      </w:pPr>
    </w:p>
    <w:p w:rsidR="00040C3A" w:rsidRPr="00AE2985" w:rsidRDefault="00040C3A" w:rsidP="00040C3A">
      <w:pPr>
        <w:tabs>
          <w:tab w:val="center" w:pos="5400"/>
        </w:tabs>
        <w:suppressAutoHyphens/>
        <w:jc w:val="center"/>
        <w:rPr>
          <w:rFonts w:asciiTheme="majorHAnsi" w:hAnsiTheme="majorHAnsi"/>
          <w:sz w:val="22"/>
          <w:szCs w:val="22"/>
          <w:lang w:val="es-ES_tradnl"/>
        </w:rPr>
      </w:pPr>
    </w:p>
    <w:p w:rsidR="002C1641" w:rsidRPr="00AE2985" w:rsidRDefault="002C1641" w:rsidP="00040C3A">
      <w:pPr>
        <w:tabs>
          <w:tab w:val="center" w:pos="5400"/>
        </w:tabs>
        <w:suppressAutoHyphens/>
        <w:jc w:val="center"/>
        <w:rPr>
          <w:rFonts w:asciiTheme="majorHAnsi" w:hAnsiTheme="majorHAnsi"/>
          <w:sz w:val="18"/>
          <w:szCs w:val="22"/>
          <w:lang w:val="es-ES_tradnl"/>
        </w:rPr>
      </w:pPr>
    </w:p>
    <w:p w:rsidR="002C1641" w:rsidRPr="00AE2985" w:rsidRDefault="002C1641" w:rsidP="00040C3A">
      <w:pPr>
        <w:tabs>
          <w:tab w:val="center" w:pos="5400"/>
        </w:tabs>
        <w:suppressAutoHyphens/>
        <w:jc w:val="center"/>
        <w:rPr>
          <w:rFonts w:asciiTheme="majorHAnsi" w:hAnsiTheme="majorHAnsi"/>
          <w:sz w:val="18"/>
          <w:szCs w:val="22"/>
          <w:lang w:val="es-ES_tradnl"/>
        </w:rPr>
      </w:pPr>
    </w:p>
    <w:p w:rsidR="002C1641" w:rsidRPr="00AE2985" w:rsidRDefault="002C1641" w:rsidP="00040C3A">
      <w:pPr>
        <w:tabs>
          <w:tab w:val="center" w:pos="5400"/>
        </w:tabs>
        <w:suppressAutoHyphens/>
        <w:jc w:val="center"/>
        <w:rPr>
          <w:rFonts w:asciiTheme="majorHAnsi" w:hAnsiTheme="majorHAnsi"/>
          <w:sz w:val="18"/>
          <w:szCs w:val="22"/>
          <w:lang w:val="es-ES_tradnl"/>
        </w:rPr>
      </w:pPr>
    </w:p>
    <w:p w:rsidR="002C1641" w:rsidRPr="00AE2985" w:rsidRDefault="002C1641" w:rsidP="00040C3A">
      <w:pPr>
        <w:tabs>
          <w:tab w:val="center" w:pos="5400"/>
        </w:tabs>
        <w:suppressAutoHyphens/>
        <w:jc w:val="center"/>
        <w:rPr>
          <w:rFonts w:asciiTheme="majorHAnsi" w:hAnsiTheme="majorHAnsi"/>
          <w:sz w:val="18"/>
          <w:szCs w:val="22"/>
          <w:lang w:val="es-ES_tradnl"/>
        </w:rPr>
      </w:pPr>
    </w:p>
    <w:p w:rsidR="002C1641" w:rsidRPr="00AE2985" w:rsidRDefault="002C1641" w:rsidP="00040C3A">
      <w:pPr>
        <w:tabs>
          <w:tab w:val="center" w:pos="5400"/>
        </w:tabs>
        <w:suppressAutoHyphens/>
        <w:jc w:val="center"/>
        <w:rPr>
          <w:rFonts w:asciiTheme="majorHAnsi" w:hAnsiTheme="majorHAnsi"/>
          <w:sz w:val="18"/>
          <w:szCs w:val="22"/>
          <w:lang w:val="es-ES_tradnl"/>
        </w:rPr>
      </w:pPr>
    </w:p>
    <w:p w:rsidR="002C1641" w:rsidRPr="00AE2985" w:rsidRDefault="002C1641" w:rsidP="00040C3A">
      <w:pPr>
        <w:tabs>
          <w:tab w:val="center" w:pos="5400"/>
        </w:tabs>
        <w:suppressAutoHyphens/>
        <w:jc w:val="center"/>
        <w:rPr>
          <w:rFonts w:asciiTheme="majorHAnsi" w:hAnsiTheme="majorHAnsi"/>
          <w:sz w:val="18"/>
          <w:szCs w:val="22"/>
          <w:lang w:val="es-ES_tradnl"/>
        </w:rPr>
      </w:pPr>
    </w:p>
    <w:p w:rsidR="002C1641" w:rsidRPr="00AE2985" w:rsidRDefault="002C1641" w:rsidP="00040C3A">
      <w:pPr>
        <w:tabs>
          <w:tab w:val="center" w:pos="5400"/>
        </w:tabs>
        <w:suppressAutoHyphens/>
        <w:jc w:val="center"/>
        <w:rPr>
          <w:rFonts w:asciiTheme="majorHAnsi" w:hAnsiTheme="majorHAnsi"/>
          <w:sz w:val="18"/>
          <w:szCs w:val="22"/>
          <w:lang w:val="es-ES_tradnl"/>
        </w:rPr>
      </w:pPr>
    </w:p>
    <w:p w:rsidR="002C1641" w:rsidRPr="00AE2985" w:rsidRDefault="002C1641" w:rsidP="00040C3A">
      <w:pPr>
        <w:tabs>
          <w:tab w:val="center" w:pos="5400"/>
        </w:tabs>
        <w:suppressAutoHyphens/>
        <w:jc w:val="center"/>
        <w:rPr>
          <w:rFonts w:asciiTheme="majorHAnsi" w:hAnsiTheme="majorHAnsi"/>
          <w:sz w:val="18"/>
          <w:szCs w:val="22"/>
          <w:lang w:val="es-ES_tradnl"/>
        </w:rPr>
      </w:pPr>
    </w:p>
    <w:p w:rsidR="002C1641" w:rsidRPr="00AE2985" w:rsidRDefault="002C1641" w:rsidP="00040C3A">
      <w:pPr>
        <w:tabs>
          <w:tab w:val="center" w:pos="5400"/>
        </w:tabs>
        <w:suppressAutoHyphens/>
        <w:jc w:val="center"/>
        <w:rPr>
          <w:rFonts w:asciiTheme="majorHAnsi" w:hAnsiTheme="majorHAnsi"/>
          <w:sz w:val="18"/>
          <w:szCs w:val="22"/>
          <w:lang w:val="es-ES_tradnl"/>
        </w:rPr>
      </w:pPr>
    </w:p>
    <w:p w:rsidR="002C1641" w:rsidRPr="00AE2985" w:rsidRDefault="002C1641" w:rsidP="00040C3A">
      <w:pPr>
        <w:tabs>
          <w:tab w:val="center" w:pos="5400"/>
        </w:tabs>
        <w:suppressAutoHyphens/>
        <w:jc w:val="center"/>
        <w:rPr>
          <w:rFonts w:asciiTheme="majorHAnsi" w:hAnsiTheme="majorHAnsi"/>
          <w:sz w:val="18"/>
          <w:szCs w:val="22"/>
          <w:lang w:val="es-ES_tradnl"/>
        </w:rPr>
      </w:pPr>
    </w:p>
    <w:p w:rsidR="002C1641" w:rsidRPr="00AE2985" w:rsidRDefault="002C1641" w:rsidP="00040C3A">
      <w:pPr>
        <w:tabs>
          <w:tab w:val="center" w:pos="5400"/>
        </w:tabs>
        <w:suppressAutoHyphens/>
        <w:jc w:val="center"/>
        <w:rPr>
          <w:rFonts w:asciiTheme="majorHAnsi" w:hAnsiTheme="majorHAnsi"/>
          <w:sz w:val="18"/>
          <w:szCs w:val="22"/>
          <w:lang w:val="es-ES_tradnl"/>
        </w:rPr>
      </w:pPr>
    </w:p>
    <w:p w:rsidR="002C1641" w:rsidRPr="00AE2985" w:rsidRDefault="002C1641" w:rsidP="00040C3A">
      <w:pPr>
        <w:tabs>
          <w:tab w:val="center" w:pos="5400"/>
        </w:tabs>
        <w:suppressAutoHyphens/>
        <w:jc w:val="center"/>
        <w:rPr>
          <w:rFonts w:asciiTheme="majorHAnsi" w:hAnsiTheme="majorHAnsi"/>
          <w:sz w:val="18"/>
          <w:szCs w:val="22"/>
          <w:lang w:val="es-ES_tradnl"/>
        </w:rPr>
      </w:pPr>
    </w:p>
    <w:p w:rsidR="002C1641" w:rsidRPr="00AE2985" w:rsidRDefault="003C32BC" w:rsidP="00040C3A">
      <w:pPr>
        <w:tabs>
          <w:tab w:val="center" w:pos="5400"/>
        </w:tabs>
        <w:suppressAutoHyphens/>
        <w:jc w:val="center"/>
        <w:rPr>
          <w:rFonts w:asciiTheme="majorHAnsi" w:hAnsiTheme="majorHAnsi"/>
          <w:sz w:val="18"/>
          <w:szCs w:val="22"/>
          <w:lang w:val="es-ES_tradnl"/>
        </w:rPr>
      </w:pPr>
      <w:r w:rsidRPr="00AE2985">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5F1A2C4F" wp14:editId="0A22BAEE">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Pr="003C32BC">
                              <w:rPr>
                                <w:rFonts w:asciiTheme="majorHAnsi" w:hAnsiTheme="majorHAnsi"/>
                                <w:color w:val="0D0D0D" w:themeColor="text1" w:themeTint="F2"/>
                                <w:sz w:val="18"/>
                                <w:szCs w:val="20"/>
                              </w:rPr>
                              <w:t xml:space="preserve"> </w:t>
                            </w:r>
                            <w:r w:rsidR="004861F1">
                              <w:rPr>
                                <w:rFonts w:asciiTheme="majorHAnsi" w:hAnsiTheme="majorHAnsi"/>
                                <w:color w:val="0D0D0D" w:themeColor="text1" w:themeTint="F2"/>
                                <w:sz w:val="18"/>
                                <w:szCs w:val="20"/>
                              </w:rPr>
                              <w:t>1981</w:t>
                            </w:r>
                            <w:r w:rsidR="00613027" w:rsidRPr="003C32BC">
                              <w:rPr>
                                <w:rFonts w:asciiTheme="majorHAnsi" w:hAnsiTheme="majorHAnsi"/>
                                <w:color w:val="0D0D0D" w:themeColor="text1" w:themeTint="F2"/>
                                <w:sz w:val="18"/>
                                <w:szCs w:val="20"/>
                              </w:rPr>
                              <w:t xml:space="preserve"> h</w:t>
                            </w:r>
                            <w:r w:rsidRPr="003C32BC">
                              <w:rPr>
                                <w:rFonts w:asciiTheme="majorHAnsi" w:hAnsiTheme="majorHAnsi"/>
                                <w:color w:val="0D0D0D" w:themeColor="text1" w:themeTint="F2"/>
                                <w:sz w:val="18"/>
                                <w:szCs w:val="20"/>
                              </w:rPr>
                              <w:t xml:space="preserve">eld on </w:t>
                            </w:r>
                            <w:r w:rsidR="004861F1">
                              <w:rPr>
                                <w:rFonts w:asciiTheme="majorHAnsi" w:hAnsiTheme="majorHAnsi"/>
                                <w:color w:val="0D0D0D" w:themeColor="text1" w:themeTint="F2"/>
                                <w:sz w:val="18"/>
                                <w:szCs w:val="20"/>
                              </w:rPr>
                              <w:t>April 4,</w:t>
                            </w:r>
                            <w:r w:rsidRPr="003C32BC">
                              <w:rPr>
                                <w:rFonts w:asciiTheme="majorHAnsi" w:hAnsiTheme="majorHAnsi"/>
                                <w:color w:val="0D0D0D" w:themeColor="text1" w:themeTint="F2"/>
                                <w:sz w:val="18"/>
                                <w:szCs w:val="20"/>
                              </w:rPr>
                              <w:t>, 2014</w:t>
                            </w:r>
                            <w:r w:rsidR="004B7EB6" w:rsidRPr="003C32BC">
                              <w:rPr>
                                <w:rFonts w:asciiTheme="majorHAnsi" w:hAnsiTheme="majorHAnsi"/>
                                <w:color w:val="0D0D0D" w:themeColor="text1" w:themeTint="F2"/>
                                <w:sz w:val="18"/>
                                <w:szCs w:val="20"/>
                              </w:rPr>
                              <w:br/>
                            </w:r>
                            <w:r w:rsidR="00DE2350">
                              <w:rPr>
                                <w:rFonts w:asciiTheme="majorHAnsi" w:hAnsiTheme="majorHAnsi" w:cs="Univers"/>
                                <w:color w:val="0D0D0D" w:themeColor="text1" w:themeTint="F2"/>
                                <w:sz w:val="18"/>
                                <w:szCs w:val="20"/>
                              </w:rPr>
                              <w:t>15</w:t>
                            </w:r>
                            <w:r w:rsidR="004861F1">
                              <w:rPr>
                                <w:rFonts w:asciiTheme="majorHAnsi" w:hAnsiTheme="majorHAnsi" w:cs="Univers"/>
                                <w:color w:val="0D0D0D" w:themeColor="text1" w:themeTint="F2"/>
                                <w:sz w:val="18"/>
                                <w:szCs w:val="20"/>
                              </w:rPr>
                              <w:t>0</w:t>
                            </w:r>
                            <w:r w:rsidR="00092F32" w:rsidRPr="003C32BC">
                              <w:rPr>
                                <w:rFonts w:asciiTheme="majorHAnsi" w:hAnsiTheme="majorHAnsi" w:cs="Univers"/>
                                <w:color w:val="0D0D0D" w:themeColor="text1" w:themeTint="F2"/>
                                <w:sz w:val="18"/>
                                <w:szCs w:val="20"/>
                              </w:rPr>
                              <w:t xml:space="preserve"> Regular Period of Sessions</w:t>
                            </w:r>
                          </w:p>
                          <w:p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Pr="003C32BC">
                        <w:rPr>
                          <w:rFonts w:asciiTheme="majorHAnsi" w:hAnsiTheme="majorHAnsi"/>
                          <w:color w:val="0D0D0D" w:themeColor="text1" w:themeTint="F2"/>
                          <w:sz w:val="18"/>
                          <w:szCs w:val="20"/>
                        </w:rPr>
                        <w:t xml:space="preserve"> </w:t>
                      </w:r>
                      <w:r w:rsidR="004861F1">
                        <w:rPr>
                          <w:rFonts w:asciiTheme="majorHAnsi" w:hAnsiTheme="majorHAnsi"/>
                          <w:color w:val="0D0D0D" w:themeColor="text1" w:themeTint="F2"/>
                          <w:sz w:val="18"/>
                          <w:szCs w:val="20"/>
                        </w:rPr>
                        <w:t>1981</w:t>
                      </w:r>
                      <w:r w:rsidR="00613027" w:rsidRPr="003C32BC">
                        <w:rPr>
                          <w:rFonts w:asciiTheme="majorHAnsi" w:hAnsiTheme="majorHAnsi"/>
                          <w:color w:val="0D0D0D" w:themeColor="text1" w:themeTint="F2"/>
                          <w:sz w:val="18"/>
                          <w:szCs w:val="20"/>
                        </w:rPr>
                        <w:t xml:space="preserve"> h</w:t>
                      </w:r>
                      <w:r w:rsidRPr="003C32BC">
                        <w:rPr>
                          <w:rFonts w:asciiTheme="majorHAnsi" w:hAnsiTheme="majorHAnsi"/>
                          <w:color w:val="0D0D0D" w:themeColor="text1" w:themeTint="F2"/>
                          <w:sz w:val="18"/>
                          <w:szCs w:val="20"/>
                        </w:rPr>
                        <w:t xml:space="preserve">eld on </w:t>
                      </w:r>
                      <w:r w:rsidR="004861F1">
                        <w:rPr>
                          <w:rFonts w:asciiTheme="majorHAnsi" w:hAnsiTheme="majorHAnsi"/>
                          <w:color w:val="0D0D0D" w:themeColor="text1" w:themeTint="F2"/>
                          <w:sz w:val="18"/>
                          <w:szCs w:val="20"/>
                        </w:rPr>
                        <w:t>April 4,</w:t>
                      </w:r>
                      <w:r w:rsidRPr="003C32BC">
                        <w:rPr>
                          <w:rFonts w:asciiTheme="majorHAnsi" w:hAnsiTheme="majorHAnsi"/>
                          <w:color w:val="0D0D0D" w:themeColor="text1" w:themeTint="F2"/>
                          <w:sz w:val="18"/>
                          <w:szCs w:val="20"/>
                        </w:rPr>
                        <w:t>, 2014</w:t>
                      </w:r>
                      <w:r w:rsidR="004B7EB6" w:rsidRPr="003C32BC">
                        <w:rPr>
                          <w:rFonts w:asciiTheme="majorHAnsi" w:hAnsiTheme="majorHAnsi"/>
                          <w:color w:val="0D0D0D" w:themeColor="text1" w:themeTint="F2"/>
                          <w:sz w:val="18"/>
                          <w:szCs w:val="20"/>
                        </w:rPr>
                        <w:br/>
                      </w:r>
                      <w:r w:rsidR="00DE2350">
                        <w:rPr>
                          <w:rFonts w:asciiTheme="majorHAnsi" w:hAnsiTheme="majorHAnsi" w:cs="Univers"/>
                          <w:color w:val="0D0D0D" w:themeColor="text1" w:themeTint="F2"/>
                          <w:sz w:val="18"/>
                          <w:szCs w:val="20"/>
                        </w:rPr>
                        <w:t>15</w:t>
                      </w:r>
                      <w:r w:rsidR="004861F1">
                        <w:rPr>
                          <w:rFonts w:asciiTheme="majorHAnsi" w:hAnsiTheme="majorHAnsi" w:cs="Univers"/>
                          <w:color w:val="0D0D0D" w:themeColor="text1" w:themeTint="F2"/>
                          <w:sz w:val="18"/>
                          <w:szCs w:val="20"/>
                        </w:rPr>
                        <w:t>0</w:t>
                      </w:r>
                      <w:r w:rsidR="00092F32" w:rsidRPr="003C32BC">
                        <w:rPr>
                          <w:rFonts w:asciiTheme="majorHAnsi" w:hAnsiTheme="majorHAnsi" w:cs="Univers"/>
                          <w:color w:val="0D0D0D" w:themeColor="text1" w:themeTint="F2"/>
                          <w:sz w:val="18"/>
                          <w:szCs w:val="20"/>
                        </w:rPr>
                        <w:t xml:space="preserve"> Regular Period of Sessions</w:t>
                      </w:r>
                    </w:p>
                    <w:p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rsidR="002C1641" w:rsidRPr="00AE2985" w:rsidRDefault="002C1641" w:rsidP="00040C3A">
      <w:pPr>
        <w:tabs>
          <w:tab w:val="center" w:pos="5400"/>
        </w:tabs>
        <w:suppressAutoHyphens/>
        <w:jc w:val="center"/>
        <w:rPr>
          <w:rFonts w:asciiTheme="majorHAnsi" w:hAnsiTheme="majorHAnsi"/>
          <w:sz w:val="18"/>
          <w:szCs w:val="22"/>
          <w:lang w:val="es-ES_tradnl"/>
        </w:rPr>
      </w:pPr>
    </w:p>
    <w:p w:rsidR="002C1641" w:rsidRPr="00AE2985" w:rsidRDefault="002C1641" w:rsidP="00040C3A">
      <w:pPr>
        <w:tabs>
          <w:tab w:val="center" w:pos="5400"/>
        </w:tabs>
        <w:suppressAutoHyphens/>
        <w:jc w:val="center"/>
        <w:rPr>
          <w:rFonts w:asciiTheme="majorHAnsi" w:hAnsiTheme="majorHAnsi"/>
          <w:sz w:val="18"/>
          <w:szCs w:val="22"/>
          <w:lang w:val="es-ES_tradnl"/>
        </w:rPr>
      </w:pPr>
    </w:p>
    <w:p w:rsidR="002C1641" w:rsidRPr="00AE2985" w:rsidRDefault="002C1641" w:rsidP="00040C3A">
      <w:pPr>
        <w:tabs>
          <w:tab w:val="center" w:pos="5400"/>
        </w:tabs>
        <w:suppressAutoHyphens/>
        <w:jc w:val="center"/>
        <w:rPr>
          <w:rFonts w:asciiTheme="majorHAnsi" w:hAnsiTheme="majorHAnsi"/>
          <w:sz w:val="18"/>
          <w:szCs w:val="22"/>
          <w:lang w:val="es-ES_tradnl"/>
        </w:rPr>
      </w:pPr>
    </w:p>
    <w:p w:rsidR="002C1641" w:rsidRPr="00AE2985" w:rsidRDefault="002C1641" w:rsidP="00040C3A">
      <w:pPr>
        <w:tabs>
          <w:tab w:val="center" w:pos="5400"/>
        </w:tabs>
        <w:suppressAutoHyphens/>
        <w:jc w:val="center"/>
        <w:rPr>
          <w:rFonts w:asciiTheme="majorHAnsi" w:hAnsiTheme="majorHAnsi"/>
          <w:sz w:val="18"/>
          <w:szCs w:val="22"/>
          <w:lang w:val="es-ES_tradnl"/>
        </w:rPr>
      </w:pPr>
    </w:p>
    <w:p w:rsidR="002C1641" w:rsidRPr="00AE2985" w:rsidRDefault="003C32BC" w:rsidP="00040C3A">
      <w:pPr>
        <w:tabs>
          <w:tab w:val="center" w:pos="5400"/>
        </w:tabs>
        <w:suppressAutoHyphens/>
        <w:jc w:val="center"/>
        <w:rPr>
          <w:rFonts w:asciiTheme="majorHAnsi" w:hAnsiTheme="majorHAnsi"/>
          <w:sz w:val="18"/>
          <w:szCs w:val="22"/>
          <w:lang w:val="es-ES_tradnl"/>
        </w:rPr>
      </w:pPr>
      <w:r w:rsidRPr="00AE2985">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22DA9F7E" wp14:editId="38257B8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0002783D">
                              <w:rPr>
                                <w:rFonts w:asciiTheme="majorHAnsi" w:hAnsiTheme="majorHAnsi"/>
                                <w:color w:val="595959" w:themeColor="text1" w:themeTint="A6"/>
                                <w:sz w:val="18"/>
                              </w:rPr>
                              <w:t xml:space="preserve">IACHR, </w:t>
                            </w:r>
                            <w:r w:rsidR="0002783D">
                              <w:rPr>
                                <w:rFonts w:asciiTheme="majorHAnsi" w:hAnsiTheme="majorHAnsi"/>
                                <w:color w:val="595959" w:themeColor="text1" w:themeTint="A6"/>
                                <w:sz w:val="18"/>
                                <w:szCs w:val="18"/>
                              </w:rPr>
                              <w:t xml:space="preserve">Report </w:t>
                            </w:r>
                            <w:r w:rsidR="0002783D" w:rsidRPr="00FC1ED2">
                              <w:rPr>
                                <w:rFonts w:asciiTheme="majorHAnsi" w:hAnsiTheme="majorHAnsi"/>
                                <w:color w:val="595959" w:themeColor="text1" w:themeTint="A6"/>
                                <w:sz w:val="18"/>
                                <w:szCs w:val="18"/>
                              </w:rPr>
                              <w:t xml:space="preserve">No. </w:t>
                            </w:r>
                            <w:r w:rsidR="004861F1">
                              <w:rPr>
                                <w:rFonts w:asciiTheme="majorHAnsi" w:hAnsiTheme="majorHAnsi"/>
                                <w:color w:val="595959" w:themeColor="text1" w:themeTint="A6"/>
                                <w:sz w:val="18"/>
                                <w:szCs w:val="18"/>
                              </w:rPr>
                              <w:t>35</w:t>
                            </w:r>
                            <w:r w:rsidR="00FD6FFD">
                              <w:rPr>
                                <w:rFonts w:asciiTheme="majorHAnsi" w:hAnsiTheme="majorHAnsi"/>
                                <w:color w:val="595959" w:themeColor="text1" w:themeTint="A6"/>
                                <w:sz w:val="18"/>
                                <w:szCs w:val="18"/>
                              </w:rPr>
                              <w:t>/14</w:t>
                            </w:r>
                            <w:r w:rsidR="0002783D">
                              <w:rPr>
                                <w:rFonts w:asciiTheme="majorHAnsi" w:hAnsiTheme="majorHAnsi"/>
                                <w:color w:val="595959" w:themeColor="text1" w:themeTint="A6"/>
                                <w:sz w:val="18"/>
                                <w:szCs w:val="18"/>
                              </w:rPr>
                              <w:t>, Petition</w:t>
                            </w:r>
                            <w:r w:rsidR="0002783D" w:rsidRPr="00FC1ED2">
                              <w:rPr>
                                <w:rFonts w:asciiTheme="majorHAnsi" w:hAnsiTheme="majorHAnsi"/>
                                <w:color w:val="595959" w:themeColor="text1" w:themeTint="A6"/>
                                <w:sz w:val="18"/>
                                <w:szCs w:val="18"/>
                              </w:rPr>
                              <w:t xml:space="preserve"> </w:t>
                            </w:r>
                            <w:r w:rsidR="004861F1">
                              <w:rPr>
                                <w:rFonts w:asciiTheme="majorHAnsi" w:hAnsiTheme="majorHAnsi"/>
                                <w:color w:val="595959" w:themeColor="text1" w:themeTint="A6"/>
                                <w:sz w:val="18"/>
                                <w:szCs w:val="18"/>
                              </w:rPr>
                              <w:t>1334-09, A</w:t>
                            </w:r>
                            <w:r w:rsidR="0002783D" w:rsidRPr="00FC1ED2">
                              <w:rPr>
                                <w:rFonts w:asciiTheme="majorHAnsi" w:hAnsiTheme="majorHAnsi"/>
                                <w:color w:val="595959" w:themeColor="text1" w:themeTint="A6"/>
                                <w:sz w:val="18"/>
                                <w:szCs w:val="18"/>
                              </w:rPr>
                              <w:t>dmi</w:t>
                            </w:r>
                            <w:r w:rsidR="0002783D">
                              <w:rPr>
                                <w:rFonts w:asciiTheme="majorHAnsi" w:hAnsiTheme="majorHAnsi"/>
                                <w:color w:val="595959" w:themeColor="text1" w:themeTint="A6"/>
                                <w:sz w:val="18"/>
                                <w:szCs w:val="18"/>
                              </w:rPr>
                              <w:t>s</w:t>
                            </w:r>
                            <w:r w:rsidR="0002783D" w:rsidRPr="00FC1ED2">
                              <w:rPr>
                                <w:rFonts w:asciiTheme="majorHAnsi" w:hAnsiTheme="majorHAnsi"/>
                                <w:color w:val="595959" w:themeColor="text1" w:themeTint="A6"/>
                                <w:sz w:val="18"/>
                                <w:szCs w:val="18"/>
                              </w:rPr>
                              <w:t>sibili</w:t>
                            </w:r>
                            <w:r w:rsidR="0002783D">
                              <w:rPr>
                                <w:rFonts w:asciiTheme="majorHAnsi" w:hAnsiTheme="majorHAnsi"/>
                                <w:color w:val="595959" w:themeColor="text1" w:themeTint="A6"/>
                                <w:sz w:val="18"/>
                                <w:szCs w:val="18"/>
                              </w:rPr>
                              <w:t>ty,</w:t>
                            </w:r>
                            <w:r w:rsidR="0002783D" w:rsidRPr="00FC1ED2">
                              <w:rPr>
                                <w:rFonts w:asciiTheme="majorHAnsi" w:hAnsiTheme="majorHAnsi"/>
                                <w:color w:val="595959" w:themeColor="text1" w:themeTint="A6"/>
                                <w:sz w:val="18"/>
                                <w:szCs w:val="18"/>
                              </w:rPr>
                              <w:t xml:space="preserve"> </w:t>
                            </w:r>
                            <w:r w:rsidR="004861F1">
                              <w:rPr>
                                <w:rFonts w:asciiTheme="majorHAnsi" w:hAnsiTheme="majorHAnsi"/>
                                <w:color w:val="595959" w:themeColor="text1" w:themeTint="A6"/>
                                <w:sz w:val="18"/>
                                <w:szCs w:val="18"/>
                              </w:rPr>
                              <w:t>Eulogia a</w:t>
                            </w:r>
                            <w:r w:rsidR="004861F1" w:rsidRPr="004861F1">
                              <w:rPr>
                                <w:rFonts w:asciiTheme="majorHAnsi" w:hAnsiTheme="majorHAnsi"/>
                                <w:color w:val="595959" w:themeColor="text1" w:themeTint="A6"/>
                                <w:sz w:val="18"/>
                                <w:szCs w:val="18"/>
                              </w:rPr>
                              <w:t xml:space="preserve">nd </w:t>
                            </w:r>
                            <w:r w:rsidR="004861F1">
                              <w:rPr>
                                <w:rFonts w:asciiTheme="majorHAnsi" w:hAnsiTheme="majorHAnsi"/>
                                <w:color w:val="595959" w:themeColor="text1" w:themeTint="A6"/>
                                <w:sz w:val="18"/>
                                <w:szCs w:val="18"/>
                              </w:rPr>
                              <w:t>h</w:t>
                            </w:r>
                            <w:r w:rsidR="004861F1" w:rsidRPr="004861F1">
                              <w:rPr>
                                <w:rFonts w:asciiTheme="majorHAnsi" w:hAnsiTheme="majorHAnsi"/>
                                <w:color w:val="595959" w:themeColor="text1" w:themeTint="A6"/>
                                <w:sz w:val="18"/>
                                <w:szCs w:val="18"/>
                              </w:rPr>
                              <w:t xml:space="preserve">er </w:t>
                            </w:r>
                            <w:r w:rsidR="004861F1">
                              <w:rPr>
                                <w:rFonts w:asciiTheme="majorHAnsi" w:hAnsiTheme="majorHAnsi"/>
                                <w:color w:val="595959" w:themeColor="text1" w:themeTint="A6"/>
                                <w:sz w:val="18"/>
                                <w:szCs w:val="18"/>
                              </w:rPr>
                              <w:t>s</w:t>
                            </w:r>
                            <w:r w:rsidR="004861F1" w:rsidRPr="004861F1">
                              <w:rPr>
                                <w:rFonts w:asciiTheme="majorHAnsi" w:hAnsiTheme="majorHAnsi"/>
                                <w:color w:val="595959" w:themeColor="text1" w:themeTint="A6"/>
                                <w:sz w:val="18"/>
                                <w:szCs w:val="18"/>
                              </w:rPr>
                              <w:t>on Sergio</w:t>
                            </w:r>
                            <w:r w:rsidR="0002783D">
                              <w:rPr>
                                <w:rFonts w:asciiTheme="majorHAnsi" w:hAnsiTheme="majorHAnsi"/>
                                <w:color w:val="595959" w:themeColor="text1" w:themeTint="A6"/>
                                <w:sz w:val="18"/>
                                <w:szCs w:val="18"/>
                              </w:rPr>
                              <w:t xml:space="preserve">, </w:t>
                            </w:r>
                            <w:r w:rsidR="004861F1">
                              <w:rPr>
                                <w:rFonts w:asciiTheme="majorHAnsi" w:hAnsiTheme="majorHAnsi"/>
                                <w:color w:val="595959" w:themeColor="text1" w:themeTint="A6"/>
                                <w:sz w:val="18"/>
                                <w:szCs w:val="18"/>
                              </w:rPr>
                              <w:t>Peru</w:t>
                            </w:r>
                            <w:r w:rsidR="0002783D" w:rsidRPr="00FC1ED2">
                              <w:rPr>
                                <w:rFonts w:asciiTheme="majorHAnsi" w:hAnsiTheme="majorHAnsi"/>
                                <w:color w:val="595959" w:themeColor="text1" w:themeTint="A6"/>
                                <w:sz w:val="18"/>
                                <w:szCs w:val="18"/>
                              </w:rPr>
                              <w:t xml:space="preserve">, </w:t>
                            </w:r>
                            <w:r w:rsidR="004861F1">
                              <w:rPr>
                                <w:rFonts w:asciiTheme="majorHAnsi" w:hAnsiTheme="majorHAnsi"/>
                                <w:color w:val="595959" w:themeColor="text1" w:themeTint="A6"/>
                                <w:sz w:val="18"/>
                                <w:szCs w:val="18"/>
                              </w:rPr>
                              <w:t>April 4,</w:t>
                            </w:r>
                            <w:r w:rsidR="0002783D">
                              <w:rPr>
                                <w:rFonts w:asciiTheme="majorHAnsi" w:hAnsiTheme="majorHAnsi"/>
                                <w:color w:val="595959" w:themeColor="text1" w:themeTint="A6"/>
                                <w:sz w:val="18"/>
                                <w:szCs w:val="18"/>
                              </w:rPr>
                              <w:t xml:space="preserve"> 2014</w:t>
                            </w:r>
                            <w:r w:rsidR="0002783D" w:rsidRPr="00FC1ED2">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0002783D">
                        <w:rPr>
                          <w:rFonts w:asciiTheme="majorHAnsi" w:hAnsiTheme="majorHAnsi"/>
                          <w:color w:val="595959" w:themeColor="text1" w:themeTint="A6"/>
                          <w:sz w:val="18"/>
                        </w:rPr>
                        <w:t xml:space="preserve">IACHR, </w:t>
                      </w:r>
                      <w:r w:rsidR="0002783D">
                        <w:rPr>
                          <w:rFonts w:asciiTheme="majorHAnsi" w:hAnsiTheme="majorHAnsi"/>
                          <w:color w:val="595959" w:themeColor="text1" w:themeTint="A6"/>
                          <w:sz w:val="18"/>
                          <w:szCs w:val="18"/>
                        </w:rPr>
                        <w:t xml:space="preserve">Report </w:t>
                      </w:r>
                      <w:r w:rsidR="0002783D" w:rsidRPr="00FC1ED2">
                        <w:rPr>
                          <w:rFonts w:asciiTheme="majorHAnsi" w:hAnsiTheme="majorHAnsi"/>
                          <w:color w:val="595959" w:themeColor="text1" w:themeTint="A6"/>
                          <w:sz w:val="18"/>
                          <w:szCs w:val="18"/>
                        </w:rPr>
                        <w:t xml:space="preserve">No. </w:t>
                      </w:r>
                      <w:r w:rsidR="004861F1">
                        <w:rPr>
                          <w:rFonts w:asciiTheme="majorHAnsi" w:hAnsiTheme="majorHAnsi"/>
                          <w:color w:val="595959" w:themeColor="text1" w:themeTint="A6"/>
                          <w:sz w:val="18"/>
                          <w:szCs w:val="18"/>
                        </w:rPr>
                        <w:t>35</w:t>
                      </w:r>
                      <w:r w:rsidR="00FD6FFD">
                        <w:rPr>
                          <w:rFonts w:asciiTheme="majorHAnsi" w:hAnsiTheme="majorHAnsi"/>
                          <w:color w:val="595959" w:themeColor="text1" w:themeTint="A6"/>
                          <w:sz w:val="18"/>
                          <w:szCs w:val="18"/>
                        </w:rPr>
                        <w:t>/14</w:t>
                      </w:r>
                      <w:r w:rsidR="0002783D">
                        <w:rPr>
                          <w:rFonts w:asciiTheme="majorHAnsi" w:hAnsiTheme="majorHAnsi"/>
                          <w:color w:val="595959" w:themeColor="text1" w:themeTint="A6"/>
                          <w:sz w:val="18"/>
                          <w:szCs w:val="18"/>
                        </w:rPr>
                        <w:t>, Petition</w:t>
                      </w:r>
                      <w:r w:rsidR="0002783D" w:rsidRPr="00FC1ED2">
                        <w:rPr>
                          <w:rFonts w:asciiTheme="majorHAnsi" w:hAnsiTheme="majorHAnsi"/>
                          <w:color w:val="595959" w:themeColor="text1" w:themeTint="A6"/>
                          <w:sz w:val="18"/>
                          <w:szCs w:val="18"/>
                        </w:rPr>
                        <w:t xml:space="preserve"> </w:t>
                      </w:r>
                      <w:r w:rsidR="004861F1">
                        <w:rPr>
                          <w:rFonts w:asciiTheme="majorHAnsi" w:hAnsiTheme="majorHAnsi"/>
                          <w:color w:val="595959" w:themeColor="text1" w:themeTint="A6"/>
                          <w:sz w:val="18"/>
                          <w:szCs w:val="18"/>
                        </w:rPr>
                        <w:t>1334-09, A</w:t>
                      </w:r>
                      <w:r w:rsidR="0002783D" w:rsidRPr="00FC1ED2">
                        <w:rPr>
                          <w:rFonts w:asciiTheme="majorHAnsi" w:hAnsiTheme="majorHAnsi"/>
                          <w:color w:val="595959" w:themeColor="text1" w:themeTint="A6"/>
                          <w:sz w:val="18"/>
                          <w:szCs w:val="18"/>
                        </w:rPr>
                        <w:t>dmi</w:t>
                      </w:r>
                      <w:r w:rsidR="0002783D">
                        <w:rPr>
                          <w:rFonts w:asciiTheme="majorHAnsi" w:hAnsiTheme="majorHAnsi"/>
                          <w:color w:val="595959" w:themeColor="text1" w:themeTint="A6"/>
                          <w:sz w:val="18"/>
                          <w:szCs w:val="18"/>
                        </w:rPr>
                        <w:t>s</w:t>
                      </w:r>
                      <w:r w:rsidR="0002783D" w:rsidRPr="00FC1ED2">
                        <w:rPr>
                          <w:rFonts w:asciiTheme="majorHAnsi" w:hAnsiTheme="majorHAnsi"/>
                          <w:color w:val="595959" w:themeColor="text1" w:themeTint="A6"/>
                          <w:sz w:val="18"/>
                          <w:szCs w:val="18"/>
                        </w:rPr>
                        <w:t>sibili</w:t>
                      </w:r>
                      <w:r w:rsidR="0002783D">
                        <w:rPr>
                          <w:rFonts w:asciiTheme="majorHAnsi" w:hAnsiTheme="majorHAnsi"/>
                          <w:color w:val="595959" w:themeColor="text1" w:themeTint="A6"/>
                          <w:sz w:val="18"/>
                          <w:szCs w:val="18"/>
                        </w:rPr>
                        <w:t>ty,</w:t>
                      </w:r>
                      <w:r w:rsidR="0002783D" w:rsidRPr="00FC1ED2">
                        <w:rPr>
                          <w:rFonts w:asciiTheme="majorHAnsi" w:hAnsiTheme="majorHAnsi"/>
                          <w:color w:val="595959" w:themeColor="text1" w:themeTint="A6"/>
                          <w:sz w:val="18"/>
                          <w:szCs w:val="18"/>
                        </w:rPr>
                        <w:t xml:space="preserve"> </w:t>
                      </w:r>
                      <w:r w:rsidR="004861F1">
                        <w:rPr>
                          <w:rFonts w:asciiTheme="majorHAnsi" w:hAnsiTheme="majorHAnsi"/>
                          <w:color w:val="595959" w:themeColor="text1" w:themeTint="A6"/>
                          <w:sz w:val="18"/>
                          <w:szCs w:val="18"/>
                        </w:rPr>
                        <w:t>Eulogia a</w:t>
                      </w:r>
                      <w:r w:rsidR="004861F1" w:rsidRPr="004861F1">
                        <w:rPr>
                          <w:rFonts w:asciiTheme="majorHAnsi" w:hAnsiTheme="majorHAnsi"/>
                          <w:color w:val="595959" w:themeColor="text1" w:themeTint="A6"/>
                          <w:sz w:val="18"/>
                          <w:szCs w:val="18"/>
                        </w:rPr>
                        <w:t xml:space="preserve">nd </w:t>
                      </w:r>
                      <w:r w:rsidR="004861F1">
                        <w:rPr>
                          <w:rFonts w:asciiTheme="majorHAnsi" w:hAnsiTheme="majorHAnsi"/>
                          <w:color w:val="595959" w:themeColor="text1" w:themeTint="A6"/>
                          <w:sz w:val="18"/>
                          <w:szCs w:val="18"/>
                        </w:rPr>
                        <w:t>h</w:t>
                      </w:r>
                      <w:r w:rsidR="004861F1" w:rsidRPr="004861F1">
                        <w:rPr>
                          <w:rFonts w:asciiTheme="majorHAnsi" w:hAnsiTheme="majorHAnsi"/>
                          <w:color w:val="595959" w:themeColor="text1" w:themeTint="A6"/>
                          <w:sz w:val="18"/>
                          <w:szCs w:val="18"/>
                        </w:rPr>
                        <w:t xml:space="preserve">er </w:t>
                      </w:r>
                      <w:r w:rsidR="004861F1">
                        <w:rPr>
                          <w:rFonts w:asciiTheme="majorHAnsi" w:hAnsiTheme="majorHAnsi"/>
                          <w:color w:val="595959" w:themeColor="text1" w:themeTint="A6"/>
                          <w:sz w:val="18"/>
                          <w:szCs w:val="18"/>
                        </w:rPr>
                        <w:t>s</w:t>
                      </w:r>
                      <w:r w:rsidR="004861F1" w:rsidRPr="004861F1">
                        <w:rPr>
                          <w:rFonts w:asciiTheme="majorHAnsi" w:hAnsiTheme="majorHAnsi"/>
                          <w:color w:val="595959" w:themeColor="text1" w:themeTint="A6"/>
                          <w:sz w:val="18"/>
                          <w:szCs w:val="18"/>
                        </w:rPr>
                        <w:t>on Sergio</w:t>
                      </w:r>
                      <w:r w:rsidR="0002783D">
                        <w:rPr>
                          <w:rFonts w:asciiTheme="majorHAnsi" w:hAnsiTheme="majorHAnsi"/>
                          <w:color w:val="595959" w:themeColor="text1" w:themeTint="A6"/>
                          <w:sz w:val="18"/>
                          <w:szCs w:val="18"/>
                        </w:rPr>
                        <w:t xml:space="preserve">, </w:t>
                      </w:r>
                      <w:r w:rsidR="004861F1">
                        <w:rPr>
                          <w:rFonts w:asciiTheme="majorHAnsi" w:hAnsiTheme="majorHAnsi"/>
                          <w:color w:val="595959" w:themeColor="text1" w:themeTint="A6"/>
                          <w:sz w:val="18"/>
                          <w:szCs w:val="18"/>
                        </w:rPr>
                        <w:t>Peru</w:t>
                      </w:r>
                      <w:r w:rsidR="0002783D" w:rsidRPr="00FC1ED2">
                        <w:rPr>
                          <w:rFonts w:asciiTheme="majorHAnsi" w:hAnsiTheme="majorHAnsi"/>
                          <w:color w:val="595959" w:themeColor="text1" w:themeTint="A6"/>
                          <w:sz w:val="18"/>
                          <w:szCs w:val="18"/>
                        </w:rPr>
                        <w:t xml:space="preserve">, </w:t>
                      </w:r>
                      <w:r w:rsidR="004861F1">
                        <w:rPr>
                          <w:rFonts w:asciiTheme="majorHAnsi" w:hAnsiTheme="majorHAnsi"/>
                          <w:color w:val="595959" w:themeColor="text1" w:themeTint="A6"/>
                          <w:sz w:val="18"/>
                          <w:szCs w:val="18"/>
                        </w:rPr>
                        <w:t>April 4,</w:t>
                      </w:r>
                      <w:r w:rsidR="0002783D">
                        <w:rPr>
                          <w:rFonts w:asciiTheme="majorHAnsi" w:hAnsiTheme="majorHAnsi"/>
                          <w:color w:val="595959" w:themeColor="text1" w:themeTint="A6"/>
                          <w:sz w:val="18"/>
                          <w:szCs w:val="18"/>
                        </w:rPr>
                        <w:t xml:space="preserve"> 2014</w:t>
                      </w:r>
                      <w:r w:rsidR="0002783D" w:rsidRPr="00FC1ED2">
                        <w:rPr>
                          <w:rFonts w:asciiTheme="majorHAnsi" w:hAnsiTheme="majorHAnsi"/>
                          <w:color w:val="595959" w:themeColor="text1" w:themeTint="A6"/>
                          <w:sz w:val="18"/>
                          <w:szCs w:val="18"/>
                        </w:rPr>
                        <w:t>.</w:t>
                      </w:r>
                    </w:p>
                  </w:txbxContent>
                </v:textbox>
              </v:shape>
            </w:pict>
          </mc:Fallback>
        </mc:AlternateContent>
      </w:r>
    </w:p>
    <w:p w:rsidR="002C1641" w:rsidRPr="00AE2985" w:rsidRDefault="002C1641" w:rsidP="00040C3A">
      <w:pPr>
        <w:tabs>
          <w:tab w:val="center" w:pos="5400"/>
        </w:tabs>
        <w:suppressAutoHyphens/>
        <w:jc w:val="center"/>
        <w:rPr>
          <w:rFonts w:asciiTheme="majorHAnsi" w:hAnsiTheme="majorHAnsi"/>
          <w:sz w:val="18"/>
          <w:szCs w:val="22"/>
          <w:lang w:val="es-ES_tradnl"/>
        </w:rPr>
      </w:pPr>
    </w:p>
    <w:p w:rsidR="002C1641" w:rsidRPr="00AE2985" w:rsidRDefault="002C1641" w:rsidP="00040C3A">
      <w:pPr>
        <w:tabs>
          <w:tab w:val="center" w:pos="5400"/>
        </w:tabs>
        <w:suppressAutoHyphens/>
        <w:jc w:val="center"/>
        <w:rPr>
          <w:rFonts w:asciiTheme="majorHAnsi" w:hAnsiTheme="majorHAnsi"/>
          <w:sz w:val="18"/>
          <w:szCs w:val="22"/>
          <w:lang w:val="es-ES_tradnl"/>
        </w:rPr>
      </w:pPr>
    </w:p>
    <w:p w:rsidR="003C32BC" w:rsidRPr="00AE2985" w:rsidRDefault="003C32BC" w:rsidP="003C32BC">
      <w:pPr>
        <w:tabs>
          <w:tab w:val="center" w:pos="5400"/>
        </w:tabs>
        <w:suppressAutoHyphens/>
        <w:jc w:val="center"/>
        <w:rPr>
          <w:rFonts w:asciiTheme="majorHAnsi" w:hAnsiTheme="majorHAnsi"/>
          <w:sz w:val="18"/>
          <w:szCs w:val="22"/>
        </w:rPr>
      </w:pPr>
    </w:p>
    <w:p w:rsidR="003C32BC" w:rsidRPr="00AE2985" w:rsidRDefault="006311DA" w:rsidP="003C32BC">
      <w:pPr>
        <w:tabs>
          <w:tab w:val="center" w:pos="5400"/>
        </w:tabs>
        <w:suppressAutoHyphens/>
        <w:jc w:val="center"/>
        <w:rPr>
          <w:rFonts w:asciiTheme="majorHAnsi" w:hAnsiTheme="majorHAnsi"/>
          <w:sz w:val="18"/>
          <w:szCs w:val="22"/>
        </w:rPr>
      </w:pPr>
      <w:r w:rsidRPr="00AE2985">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07C8E6D3" wp14:editId="414BE2D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AE2985">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3E66C107" wp14:editId="0708106C">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21B0AB8C" wp14:editId="11B1D9ED">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Pr="00AE2985" w:rsidRDefault="007607C4" w:rsidP="003C32BC">
      <w:pPr>
        <w:tabs>
          <w:tab w:val="center" w:pos="5400"/>
        </w:tabs>
        <w:suppressAutoHyphens/>
        <w:jc w:val="center"/>
        <w:rPr>
          <w:rFonts w:asciiTheme="majorHAnsi" w:hAnsiTheme="majorHAnsi"/>
          <w:sz w:val="18"/>
          <w:szCs w:val="22"/>
        </w:rPr>
        <w:sectPr w:rsidR="007607C4" w:rsidRPr="00AE2985" w:rsidSect="00853419">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p>
    <w:p w:rsidR="00D00F6E" w:rsidRPr="00AE2985" w:rsidRDefault="00D00F6E" w:rsidP="00D00F6E">
      <w:pPr>
        <w:jc w:val="center"/>
        <w:rPr>
          <w:rFonts w:ascii="Cambria" w:hAnsi="Cambria" w:cs="Arial"/>
          <w:b/>
          <w:spacing w:val="-3"/>
          <w:sz w:val="18"/>
          <w:szCs w:val="18"/>
        </w:rPr>
      </w:pPr>
      <w:r w:rsidRPr="00AE2985">
        <w:rPr>
          <w:rFonts w:ascii="Cambria" w:hAnsi="Cambria" w:cs="Arial"/>
          <w:b/>
          <w:spacing w:val="-3"/>
          <w:sz w:val="18"/>
          <w:szCs w:val="18"/>
        </w:rPr>
        <w:lastRenderedPageBreak/>
        <w:t>REPORT NO. 35/14</w:t>
      </w:r>
    </w:p>
    <w:p w:rsidR="00D00F6E" w:rsidRPr="00AE2985" w:rsidRDefault="00D00F6E" w:rsidP="00D00F6E">
      <w:pPr>
        <w:jc w:val="center"/>
        <w:rPr>
          <w:rFonts w:ascii="Cambria" w:hAnsi="Cambria" w:cs="Arial"/>
          <w:spacing w:val="-3"/>
          <w:sz w:val="18"/>
          <w:szCs w:val="18"/>
        </w:rPr>
      </w:pPr>
      <w:r w:rsidRPr="00AE2985">
        <w:rPr>
          <w:rFonts w:ascii="Cambria" w:hAnsi="Cambria" w:cs="Arial"/>
          <w:spacing w:val="-3"/>
          <w:sz w:val="18"/>
          <w:szCs w:val="18"/>
        </w:rPr>
        <w:t>PETITION P-1334-09</w:t>
      </w:r>
    </w:p>
    <w:p w:rsidR="00D00F6E" w:rsidRPr="00AE2985" w:rsidRDefault="00D00F6E" w:rsidP="00D00F6E">
      <w:pPr>
        <w:jc w:val="center"/>
        <w:rPr>
          <w:rFonts w:ascii="Cambria" w:hAnsi="Cambria" w:cs="Arial"/>
          <w:spacing w:val="-3"/>
          <w:sz w:val="18"/>
          <w:szCs w:val="18"/>
        </w:rPr>
      </w:pPr>
      <w:r w:rsidRPr="00AE2985">
        <w:rPr>
          <w:rFonts w:ascii="Cambria" w:hAnsi="Cambria" w:cs="Arial"/>
          <w:spacing w:val="-3"/>
          <w:sz w:val="18"/>
          <w:szCs w:val="18"/>
        </w:rPr>
        <w:t>ADMISSIBILITY</w:t>
      </w:r>
    </w:p>
    <w:p w:rsidR="00D00F6E" w:rsidRPr="00AE2985" w:rsidRDefault="00D00F6E" w:rsidP="00D00F6E">
      <w:pPr>
        <w:jc w:val="center"/>
        <w:rPr>
          <w:rFonts w:ascii="Cambria" w:hAnsi="Cambria" w:cs="Arial"/>
          <w:spacing w:val="-3"/>
          <w:sz w:val="18"/>
          <w:szCs w:val="18"/>
        </w:rPr>
      </w:pPr>
      <w:r w:rsidRPr="00AE2985">
        <w:rPr>
          <w:rFonts w:ascii="Cambria" w:hAnsi="Cambria" w:cs="Arial"/>
          <w:spacing w:val="-3"/>
          <w:sz w:val="18"/>
          <w:szCs w:val="18"/>
        </w:rPr>
        <w:t>EULOGIA AND HER SON SERGIO</w:t>
      </w:r>
      <w:r w:rsidRPr="00AE2985">
        <w:rPr>
          <w:rStyle w:val="FootnoteReference"/>
          <w:rFonts w:ascii="Cambria" w:hAnsi="Cambria" w:cs="Arial"/>
          <w:spacing w:val="-3"/>
          <w:sz w:val="18"/>
          <w:szCs w:val="18"/>
        </w:rPr>
        <w:footnoteReference w:id="2"/>
      </w:r>
      <w:r w:rsidRPr="00AE2985">
        <w:rPr>
          <w:rFonts w:ascii="Cambria" w:hAnsi="Cambria" w:cs="Arial"/>
          <w:spacing w:val="-3"/>
          <w:sz w:val="18"/>
          <w:szCs w:val="18"/>
        </w:rPr>
        <w:t xml:space="preserve"> </w:t>
      </w:r>
    </w:p>
    <w:p w:rsidR="00D00F6E" w:rsidRPr="00AE2985" w:rsidRDefault="00D00F6E" w:rsidP="00D00F6E">
      <w:pPr>
        <w:jc w:val="center"/>
        <w:rPr>
          <w:rFonts w:ascii="Cambria" w:hAnsi="Cambria" w:cs="Arial"/>
          <w:spacing w:val="-3"/>
          <w:sz w:val="18"/>
          <w:szCs w:val="18"/>
        </w:rPr>
      </w:pPr>
      <w:r w:rsidRPr="00AE2985">
        <w:rPr>
          <w:rFonts w:ascii="Cambria" w:hAnsi="Cambria" w:cs="Arial"/>
          <w:spacing w:val="-3"/>
          <w:sz w:val="18"/>
          <w:szCs w:val="18"/>
        </w:rPr>
        <w:t>PERU</w:t>
      </w:r>
    </w:p>
    <w:p w:rsidR="00D00F6E" w:rsidRPr="00AE2985" w:rsidRDefault="00D00F6E" w:rsidP="00D00F6E">
      <w:pPr>
        <w:jc w:val="center"/>
        <w:rPr>
          <w:rFonts w:ascii="Cambria" w:hAnsi="Cambria" w:cs="Arial"/>
          <w:spacing w:val="-3"/>
          <w:sz w:val="18"/>
          <w:szCs w:val="18"/>
        </w:rPr>
      </w:pPr>
      <w:r w:rsidRPr="00AE2985">
        <w:rPr>
          <w:rFonts w:ascii="Cambria" w:hAnsi="Cambria" w:cs="Arial"/>
          <w:spacing w:val="-3"/>
          <w:sz w:val="18"/>
          <w:szCs w:val="18"/>
        </w:rPr>
        <w:t>APRIL 4, 2014</w:t>
      </w:r>
    </w:p>
    <w:p w:rsidR="00D00F6E" w:rsidRPr="00AE2985" w:rsidRDefault="00D00F6E" w:rsidP="00D00F6E">
      <w:pPr>
        <w:jc w:val="both"/>
        <w:outlineLvl w:val="2"/>
        <w:rPr>
          <w:rFonts w:ascii="Cambria" w:hAnsi="Cambria" w:cs="Arial"/>
          <w:b/>
          <w:bCs/>
          <w:sz w:val="20"/>
          <w:szCs w:val="20"/>
        </w:rPr>
      </w:pPr>
    </w:p>
    <w:p w:rsidR="00D00F6E" w:rsidRPr="00AE2985" w:rsidRDefault="00D00F6E" w:rsidP="00D00F6E">
      <w:pPr>
        <w:jc w:val="both"/>
        <w:outlineLvl w:val="2"/>
        <w:rPr>
          <w:rFonts w:ascii="Cambria" w:hAnsi="Cambria" w:cs="Arial"/>
          <w:b/>
          <w:bCs/>
          <w:sz w:val="20"/>
          <w:szCs w:val="20"/>
        </w:rPr>
      </w:pPr>
    </w:p>
    <w:p w:rsidR="00D00F6E" w:rsidRPr="00AE2985" w:rsidRDefault="00D00F6E" w:rsidP="004861F1">
      <w:pPr>
        <w:pStyle w:val="Heading1"/>
      </w:pPr>
      <w:r w:rsidRPr="00AE2985">
        <w:t>I.</w:t>
      </w:r>
      <w:r w:rsidRPr="00AE2985">
        <w:tab/>
        <w:t>SUMMARY</w:t>
      </w:r>
    </w:p>
    <w:p w:rsidR="00D00F6E" w:rsidRPr="00AE2985" w:rsidRDefault="00D00F6E" w:rsidP="00D00F6E">
      <w:pPr>
        <w:ind w:firstLine="720"/>
        <w:jc w:val="both"/>
        <w:outlineLvl w:val="2"/>
        <w:rPr>
          <w:rFonts w:ascii="Cambria" w:hAnsi="Cambria" w:cs="Arial"/>
          <w:b/>
          <w:bCs/>
          <w:sz w:val="20"/>
          <w:szCs w:val="20"/>
        </w:rPr>
      </w:pPr>
      <w:r w:rsidRPr="00AE2985">
        <w:rPr>
          <w:rFonts w:ascii="Cambria" w:hAnsi="Cambria" w:cs="Arial"/>
          <w:b/>
          <w:bCs/>
          <w:sz w:val="20"/>
          <w:szCs w:val="20"/>
        </w:rPr>
        <w:t> </w:t>
      </w:r>
    </w:p>
    <w:p w:rsidR="00D00F6E" w:rsidRPr="00AE2985" w:rsidRDefault="00D00F6E" w:rsidP="00D00F6E">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napToGrid w:val="0"/>
        <w:ind w:left="0" w:firstLine="720"/>
        <w:jc w:val="both"/>
        <w:rPr>
          <w:rFonts w:ascii="Cambria" w:hAnsi="Cambria" w:cs="Arial"/>
          <w:spacing w:val="-3"/>
          <w:sz w:val="20"/>
        </w:rPr>
      </w:pPr>
      <w:r w:rsidRPr="00AE2985">
        <w:rPr>
          <w:rFonts w:ascii="Cambria" w:hAnsi="Cambria" w:cs="Arial"/>
          <w:spacing w:val="-3"/>
          <w:sz w:val="20"/>
          <w:szCs w:val="20"/>
        </w:rPr>
        <w:t xml:space="preserve">On October 27, 2009, the Inter-American Human Rights Commission (hereinafter, “the Commission,” “the Inter-American Commission,” or “the IACHR”) received a petition submitted by the </w:t>
      </w:r>
      <w:proofErr w:type="spellStart"/>
      <w:r w:rsidRPr="00AE2985">
        <w:rPr>
          <w:rFonts w:ascii="Cambria" w:hAnsi="Cambria" w:cs="Arial"/>
          <w:i/>
          <w:spacing w:val="-3"/>
          <w:sz w:val="20"/>
          <w:szCs w:val="20"/>
        </w:rPr>
        <w:t>Vicaría</w:t>
      </w:r>
      <w:proofErr w:type="spellEnd"/>
      <w:r w:rsidRPr="00AE2985">
        <w:rPr>
          <w:rFonts w:ascii="Cambria" w:hAnsi="Cambria" w:cs="Arial"/>
          <w:i/>
          <w:spacing w:val="-3"/>
          <w:sz w:val="20"/>
          <w:szCs w:val="20"/>
        </w:rPr>
        <w:t xml:space="preserve"> de </w:t>
      </w:r>
      <w:proofErr w:type="spellStart"/>
      <w:r w:rsidRPr="00AE2985">
        <w:rPr>
          <w:rFonts w:ascii="Cambria" w:hAnsi="Cambria" w:cs="Arial"/>
          <w:i/>
          <w:spacing w:val="-3"/>
          <w:sz w:val="20"/>
          <w:szCs w:val="20"/>
        </w:rPr>
        <w:t>Solidaridad</w:t>
      </w:r>
      <w:proofErr w:type="spellEnd"/>
      <w:r w:rsidRPr="00AE2985">
        <w:rPr>
          <w:rFonts w:ascii="Cambria" w:hAnsi="Cambria" w:cs="Arial"/>
          <w:i/>
          <w:spacing w:val="-3"/>
          <w:sz w:val="20"/>
          <w:szCs w:val="20"/>
        </w:rPr>
        <w:t xml:space="preserve"> de la </w:t>
      </w:r>
      <w:proofErr w:type="spellStart"/>
      <w:r w:rsidRPr="00AE2985">
        <w:rPr>
          <w:rFonts w:ascii="Cambria" w:hAnsi="Cambria" w:cs="Arial"/>
          <w:i/>
          <w:spacing w:val="-3"/>
          <w:sz w:val="20"/>
          <w:szCs w:val="20"/>
        </w:rPr>
        <w:t>Prelatura</w:t>
      </w:r>
      <w:proofErr w:type="spellEnd"/>
      <w:r w:rsidRPr="00AE2985">
        <w:rPr>
          <w:rFonts w:ascii="Cambria" w:hAnsi="Cambria" w:cs="Arial"/>
          <w:i/>
          <w:spacing w:val="-3"/>
          <w:sz w:val="20"/>
          <w:szCs w:val="20"/>
        </w:rPr>
        <w:t xml:space="preserve"> de </w:t>
      </w:r>
      <w:proofErr w:type="spellStart"/>
      <w:r w:rsidRPr="00AE2985">
        <w:rPr>
          <w:rFonts w:ascii="Cambria" w:hAnsi="Cambria" w:cs="Arial"/>
          <w:i/>
          <w:spacing w:val="-3"/>
          <w:sz w:val="20"/>
          <w:szCs w:val="20"/>
        </w:rPr>
        <w:t>Sicuani</w:t>
      </w:r>
      <w:proofErr w:type="spellEnd"/>
      <w:r w:rsidRPr="00AE2985">
        <w:rPr>
          <w:rFonts w:ascii="Cambria" w:hAnsi="Cambria" w:cs="Arial"/>
          <w:spacing w:val="-3"/>
          <w:sz w:val="20"/>
          <w:szCs w:val="20"/>
        </w:rPr>
        <w:t xml:space="preserve"> [Vicarage of Solidarity of the Prelature of </w:t>
      </w:r>
      <w:proofErr w:type="spellStart"/>
      <w:r w:rsidRPr="00AE2985">
        <w:rPr>
          <w:rFonts w:ascii="Cambria" w:hAnsi="Cambria" w:cs="Arial"/>
          <w:spacing w:val="-3"/>
          <w:sz w:val="20"/>
          <w:szCs w:val="20"/>
        </w:rPr>
        <w:t>Secuani</w:t>
      </w:r>
      <w:proofErr w:type="spellEnd"/>
      <w:r w:rsidRPr="00AE2985">
        <w:rPr>
          <w:rFonts w:ascii="Cambria" w:hAnsi="Cambria" w:cs="Arial"/>
          <w:spacing w:val="-3"/>
          <w:sz w:val="20"/>
          <w:szCs w:val="20"/>
        </w:rPr>
        <w:t xml:space="preserve">] (agency of the Catholic Church), in representation of Mrs. Eulogia and the child Sergio </w:t>
      </w:r>
      <w:proofErr w:type="spellStart"/>
      <w:r w:rsidRPr="00AE2985">
        <w:rPr>
          <w:rFonts w:ascii="Cambria" w:hAnsi="Cambria" w:cs="Arial"/>
          <w:spacing w:val="-3"/>
          <w:sz w:val="20"/>
          <w:szCs w:val="20"/>
        </w:rPr>
        <w:t>Jesús</w:t>
      </w:r>
      <w:proofErr w:type="spellEnd"/>
      <w:r w:rsidRPr="00AE2985">
        <w:rPr>
          <w:rFonts w:ascii="Cambria" w:hAnsi="Cambria" w:cs="Arial"/>
          <w:spacing w:val="-3"/>
          <w:sz w:val="20"/>
          <w:szCs w:val="20"/>
        </w:rPr>
        <w:t xml:space="preserve"> (hereinafter, “the petitioners”), alleging the responsibility of the Republic of Peru (hereinafter, “the State,” “the Peruvian State,” or “Peru”) for the purported violation of rights enshrined in the American Convention on Human Rights (hereinafter “the Convention” or “the American Convention”) to the detriment of Eulogia, Sergio and their family. </w:t>
      </w:r>
    </w:p>
    <w:p w:rsidR="00D00F6E" w:rsidRPr="00AE2985" w:rsidRDefault="00D00F6E" w:rsidP="00D00F6E">
      <w:pPr>
        <w:jc w:val="both"/>
        <w:rPr>
          <w:rFonts w:ascii="Cambria" w:hAnsi="Cambria" w:cs="Arial"/>
          <w:spacing w:val="-3"/>
          <w:sz w:val="20"/>
          <w:szCs w:val="20"/>
        </w:rPr>
      </w:pPr>
    </w:p>
    <w:p w:rsidR="00D00F6E" w:rsidRPr="00AE2985" w:rsidRDefault="00D00F6E" w:rsidP="00D00F6E">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napToGrid w:val="0"/>
        <w:ind w:left="0" w:firstLine="720"/>
        <w:jc w:val="both"/>
        <w:rPr>
          <w:rFonts w:ascii="Cambria" w:hAnsi="Cambria" w:cs="Arial"/>
          <w:spacing w:val="-3"/>
          <w:sz w:val="20"/>
          <w:szCs w:val="20"/>
        </w:rPr>
      </w:pPr>
      <w:r w:rsidRPr="00AE2985">
        <w:rPr>
          <w:rFonts w:ascii="Cambria" w:hAnsi="Cambria" w:cs="Arial"/>
          <w:spacing w:val="-3"/>
          <w:sz w:val="20"/>
          <w:szCs w:val="20"/>
        </w:rPr>
        <w:t xml:space="preserve">The petitioners have alleged that the Peruvian State is responsible for the inadequate medical care Mrs. Eulogia received at a public clinic during and after delivery, which led to her child, Sergio </w:t>
      </w:r>
      <w:proofErr w:type="spellStart"/>
      <w:r w:rsidRPr="00AE2985">
        <w:rPr>
          <w:rFonts w:ascii="Cambria" w:hAnsi="Cambria" w:cs="Arial"/>
          <w:spacing w:val="-3"/>
          <w:sz w:val="20"/>
          <w:szCs w:val="20"/>
        </w:rPr>
        <w:t>Jesús</w:t>
      </w:r>
      <w:proofErr w:type="spellEnd"/>
      <w:r w:rsidRPr="00AE2985">
        <w:rPr>
          <w:rFonts w:ascii="Cambria" w:hAnsi="Cambria" w:cs="Arial"/>
          <w:spacing w:val="-3"/>
          <w:sz w:val="20"/>
          <w:szCs w:val="20"/>
        </w:rPr>
        <w:t xml:space="preserve">, being dropped at the moment he was born. As a result, Sergio </w:t>
      </w:r>
      <w:proofErr w:type="spellStart"/>
      <w:r w:rsidRPr="00AE2985">
        <w:rPr>
          <w:rFonts w:ascii="Cambria" w:hAnsi="Cambria" w:cs="Arial"/>
          <w:spacing w:val="-3"/>
          <w:sz w:val="20"/>
          <w:szCs w:val="20"/>
        </w:rPr>
        <w:t>Jesús</w:t>
      </w:r>
      <w:proofErr w:type="spellEnd"/>
      <w:r w:rsidRPr="00AE2985">
        <w:rPr>
          <w:rFonts w:ascii="Cambria" w:hAnsi="Cambria" w:cs="Arial"/>
          <w:spacing w:val="-3"/>
          <w:sz w:val="20"/>
          <w:szCs w:val="20"/>
        </w:rPr>
        <w:t xml:space="preserve">, age 10 at the time this report was drafted, was severely disabled, physically, intellectually and </w:t>
      </w:r>
      <w:proofErr w:type="spellStart"/>
      <w:r w:rsidRPr="00AE2985">
        <w:rPr>
          <w:rFonts w:ascii="Cambria" w:hAnsi="Cambria" w:cs="Arial"/>
          <w:spacing w:val="-3"/>
          <w:sz w:val="20"/>
          <w:szCs w:val="20"/>
        </w:rPr>
        <w:t>sensorially</w:t>
      </w:r>
      <w:proofErr w:type="spellEnd"/>
      <w:r w:rsidRPr="00AE2985">
        <w:rPr>
          <w:rFonts w:ascii="Cambria" w:hAnsi="Cambria" w:cs="Arial"/>
          <w:spacing w:val="-3"/>
          <w:sz w:val="20"/>
          <w:szCs w:val="20"/>
        </w:rPr>
        <w:t xml:space="preserve">, in addition to suffering pain and chronic convulsions. They have alleged that since the child was born they have not received appropriate medical attention to treat his condition and that the criminal proceedings brought were ineffective. In light of the foregoing, they have alleged a violation of guarantees of judicial protection, provided for under Article 25 of the Convention and violation of the right to health protected under Article 10 of the Additional Protocol to the American Convention on Human Rights in the Area of Economic, Social and Cultural Rights (hereinafter, “the Protocol of San Salvador”). </w:t>
      </w:r>
    </w:p>
    <w:p w:rsidR="00D00F6E" w:rsidRPr="00AE2985" w:rsidRDefault="00D00F6E" w:rsidP="00D00F6E">
      <w:pPr>
        <w:ind w:firstLine="720"/>
        <w:jc w:val="both"/>
        <w:rPr>
          <w:rFonts w:ascii="Cambria" w:hAnsi="Cambria" w:cs="Arial"/>
          <w:spacing w:val="-3"/>
          <w:sz w:val="20"/>
          <w:szCs w:val="20"/>
        </w:rPr>
      </w:pPr>
    </w:p>
    <w:p w:rsidR="00D00F6E" w:rsidRPr="00AE2985" w:rsidRDefault="00D00F6E" w:rsidP="00D00F6E">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napToGrid w:val="0"/>
        <w:ind w:left="0" w:firstLine="720"/>
        <w:jc w:val="both"/>
        <w:rPr>
          <w:rFonts w:ascii="Cambria" w:hAnsi="Cambria" w:cs="Arial"/>
          <w:spacing w:val="-3"/>
          <w:sz w:val="20"/>
          <w:szCs w:val="20"/>
        </w:rPr>
      </w:pPr>
      <w:r w:rsidRPr="00AE2985">
        <w:rPr>
          <w:rFonts w:ascii="Cambria" w:hAnsi="Cambria" w:cs="Arial"/>
          <w:spacing w:val="-3"/>
          <w:sz w:val="20"/>
          <w:szCs w:val="20"/>
        </w:rPr>
        <w:t>For its part, the State has requested that the Commission declare the petition inadmissible because it is [seeking] a fourth instance, inasmuch as the situation had already been investigated and ruled on by domestic court and because the petition has come about as a result of the petitioner’s disagreement with the ruling of the Superior Court of Justice of Cusco in proceedings in which all judicial guarantees had been ensured. Additionally, the State has alleged that the petitioner has not exhausted all domestic remedies aimed at ensuring reparations through civil proceedings, as the petitioner should file a civil suit for damages. The State added that it is currently providing the alleged victims medical treatment through the Comprehensive Health Service [</w:t>
      </w:r>
      <w:proofErr w:type="spellStart"/>
      <w:r w:rsidRPr="00AE2985">
        <w:rPr>
          <w:rFonts w:ascii="Cambria" w:hAnsi="Cambria" w:cs="Arial"/>
          <w:i/>
          <w:spacing w:val="-3"/>
          <w:sz w:val="20"/>
          <w:szCs w:val="20"/>
        </w:rPr>
        <w:t>Servicio</w:t>
      </w:r>
      <w:proofErr w:type="spellEnd"/>
      <w:r w:rsidRPr="00AE2985">
        <w:rPr>
          <w:rFonts w:ascii="Cambria" w:hAnsi="Cambria" w:cs="Arial"/>
          <w:i/>
          <w:spacing w:val="-3"/>
          <w:sz w:val="20"/>
          <w:szCs w:val="20"/>
        </w:rPr>
        <w:t xml:space="preserve"> Integral de </w:t>
      </w:r>
      <w:proofErr w:type="spellStart"/>
      <w:r w:rsidRPr="00AE2985">
        <w:rPr>
          <w:rFonts w:ascii="Cambria" w:hAnsi="Cambria" w:cs="Arial"/>
          <w:i/>
          <w:spacing w:val="-3"/>
          <w:sz w:val="20"/>
          <w:szCs w:val="20"/>
        </w:rPr>
        <w:t>Salud</w:t>
      </w:r>
      <w:proofErr w:type="spellEnd"/>
      <w:r w:rsidRPr="00AE2985">
        <w:rPr>
          <w:rFonts w:ascii="Cambria" w:hAnsi="Cambria" w:cs="Arial"/>
          <w:spacing w:val="-3"/>
          <w:sz w:val="20"/>
          <w:szCs w:val="20"/>
        </w:rPr>
        <w:t xml:space="preserve">] program. </w:t>
      </w:r>
    </w:p>
    <w:p w:rsidR="00D00F6E" w:rsidRPr="00AE2985" w:rsidRDefault="00D00F6E" w:rsidP="00D00F6E">
      <w:pPr>
        <w:ind w:firstLine="720"/>
        <w:jc w:val="both"/>
        <w:rPr>
          <w:rFonts w:ascii="Cambria" w:hAnsi="Cambria" w:cs="Arial"/>
          <w:spacing w:val="-3"/>
          <w:sz w:val="20"/>
          <w:szCs w:val="20"/>
        </w:rPr>
      </w:pPr>
    </w:p>
    <w:p w:rsidR="00D00F6E" w:rsidRPr="00AE2985" w:rsidRDefault="00D00F6E" w:rsidP="00D00F6E">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napToGrid w:val="0"/>
        <w:ind w:left="0" w:firstLine="720"/>
        <w:jc w:val="both"/>
        <w:rPr>
          <w:rFonts w:ascii="Cambria" w:hAnsi="Cambria" w:cs="Arial"/>
          <w:spacing w:val="-3"/>
          <w:sz w:val="20"/>
          <w:szCs w:val="20"/>
        </w:rPr>
      </w:pPr>
      <w:r w:rsidRPr="00AE2985">
        <w:rPr>
          <w:rFonts w:ascii="Cambria" w:hAnsi="Cambria" w:cs="Arial"/>
          <w:spacing w:val="-3"/>
          <w:sz w:val="20"/>
          <w:szCs w:val="20"/>
        </w:rPr>
        <w:t>Without prejudging the merits of the complaint, after having analyzed the position of the parties and fulfillment of the requirements stipulated in Articles 46 and 47 of the American Convention, the Commission has decided to declare the case admissible for purposes of reviewing the claim with regard to purported violations of rights enshrined in Article 4, 5, 8, 19, 25, and 26 of the American Convention in relation to Article 1(1) thereof, and Article 7 of the Inter-American Convention on the Prevention, Punishment and Eradication of Violence against Women in relation to Article 24 of the American convention. The Commission has further decided to notify the parties and order publication of the report in its Annual Report to the OAS General Assembly.</w:t>
      </w:r>
    </w:p>
    <w:p w:rsidR="00D00F6E" w:rsidRPr="00AE2985" w:rsidRDefault="00D00F6E" w:rsidP="00D00F6E">
      <w:pPr>
        <w:pStyle w:val="ListParagraph"/>
        <w:rPr>
          <w:rFonts w:cs="Arial"/>
          <w:color w:val="auto"/>
          <w:spacing w:val="-3"/>
          <w:sz w:val="20"/>
          <w:szCs w:val="20"/>
        </w:rPr>
      </w:pPr>
    </w:p>
    <w:p w:rsidR="00D00F6E" w:rsidRPr="00AE2985" w:rsidRDefault="00D00F6E" w:rsidP="004861F1">
      <w:pPr>
        <w:pStyle w:val="Heading1"/>
      </w:pPr>
      <w:r w:rsidRPr="00AE2985">
        <w:rPr>
          <w:snapToGrid w:val="0"/>
        </w:rPr>
        <w:t>II.</w:t>
      </w:r>
      <w:r w:rsidRPr="00AE2985">
        <w:rPr>
          <w:snapToGrid w:val="0"/>
        </w:rPr>
        <w:tab/>
        <w:t>PROCESSING BY THE COMMISSION</w:t>
      </w:r>
    </w:p>
    <w:p w:rsidR="00D00F6E" w:rsidRPr="00AE2985" w:rsidRDefault="00D00F6E" w:rsidP="00D00F6E">
      <w:pPr>
        <w:pStyle w:val="BodyText"/>
        <w:spacing w:after="0"/>
        <w:ind w:firstLine="720"/>
        <w:jc w:val="both"/>
        <w:rPr>
          <w:rFonts w:ascii="Cambria" w:hAnsi="Cambria" w:cs="Arial"/>
          <w:sz w:val="20"/>
          <w:szCs w:val="20"/>
        </w:rPr>
      </w:pPr>
    </w:p>
    <w:p w:rsidR="00D00F6E" w:rsidRPr="00AE2985" w:rsidRDefault="00D00F6E" w:rsidP="00D00F6E">
      <w:pPr>
        <w:pStyle w:val="BodyText"/>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0"/>
        <w:ind w:left="0" w:firstLine="720"/>
        <w:jc w:val="both"/>
        <w:rPr>
          <w:rFonts w:ascii="Cambria" w:hAnsi="Cambria" w:cs="Arial"/>
          <w:sz w:val="20"/>
          <w:szCs w:val="20"/>
        </w:rPr>
      </w:pPr>
      <w:r w:rsidRPr="00AE2985">
        <w:rPr>
          <w:rFonts w:ascii="Cambria" w:hAnsi="Cambria" w:cs="Arial"/>
          <w:snapToGrid w:val="0"/>
          <w:spacing w:val="-3"/>
          <w:sz w:val="20"/>
          <w:szCs w:val="20"/>
        </w:rPr>
        <w:t xml:space="preserve">On October 2, 2009, the petitioners lodged a petition that was registered under No. P-1334-09. The petition was forwarded to the Peruvian State on October 12, 2010, granting the State two months to submit its observations in keeping with the provisions of Article 30(2) of the IACHR’s Rules of Procedure. </w:t>
      </w:r>
    </w:p>
    <w:p w:rsidR="00D00F6E" w:rsidRPr="00AE2985" w:rsidRDefault="00D00F6E" w:rsidP="00D00F6E">
      <w:pPr>
        <w:pStyle w:val="BodyText"/>
        <w:spacing w:after="0"/>
        <w:ind w:firstLine="720"/>
        <w:jc w:val="both"/>
        <w:rPr>
          <w:rFonts w:ascii="Cambria" w:hAnsi="Cambria" w:cs="Arial"/>
          <w:sz w:val="20"/>
          <w:szCs w:val="20"/>
        </w:rPr>
      </w:pPr>
    </w:p>
    <w:p w:rsidR="00D00F6E" w:rsidRPr="00AE2985" w:rsidRDefault="00D00F6E" w:rsidP="00D00F6E">
      <w:pPr>
        <w:pStyle w:val="BodyText"/>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0"/>
        <w:ind w:left="0" w:firstLine="720"/>
        <w:jc w:val="both"/>
        <w:rPr>
          <w:rFonts w:ascii="Cambria" w:hAnsi="Cambria" w:cs="Arial"/>
          <w:sz w:val="20"/>
          <w:szCs w:val="20"/>
        </w:rPr>
      </w:pPr>
      <w:r w:rsidRPr="00AE2985">
        <w:rPr>
          <w:rFonts w:ascii="Cambria" w:hAnsi="Cambria" w:cs="Arial"/>
          <w:sz w:val="20"/>
          <w:szCs w:val="20"/>
        </w:rPr>
        <w:lastRenderedPageBreak/>
        <w:t xml:space="preserve">The Commission received observations from the State on June 13, 2011, which were sent to the petitioners on August 8, 2011. The petitioners submitted their observations on January 5, 2012, which were forwarded to the State on May 22, 2012. The Commission received observations from the State on August 29, 2013. The petitioners presented additional information on April 4, 2013. All communications were duly transmitted.  </w:t>
      </w:r>
    </w:p>
    <w:p w:rsidR="00D00F6E" w:rsidRPr="00AE2985" w:rsidRDefault="00D00F6E" w:rsidP="00D00F6E">
      <w:pPr>
        <w:pStyle w:val="BodyText"/>
        <w:spacing w:after="0"/>
        <w:ind w:firstLine="720"/>
        <w:jc w:val="both"/>
        <w:rPr>
          <w:rFonts w:ascii="Cambria" w:hAnsi="Cambria" w:cs="Arial"/>
          <w:snapToGrid w:val="0"/>
          <w:spacing w:val="-3"/>
          <w:sz w:val="20"/>
          <w:szCs w:val="20"/>
        </w:rPr>
      </w:pPr>
    </w:p>
    <w:p w:rsidR="00D00F6E" w:rsidRPr="00AE2985" w:rsidRDefault="00D00F6E" w:rsidP="004861F1">
      <w:pPr>
        <w:pStyle w:val="Heading1"/>
        <w:rPr>
          <w:snapToGrid w:val="0"/>
        </w:rPr>
      </w:pPr>
      <w:r w:rsidRPr="00AE2985">
        <w:rPr>
          <w:snapToGrid w:val="0"/>
        </w:rPr>
        <w:t>I</w:t>
      </w:r>
      <w:r w:rsidR="00AE2985" w:rsidRPr="00AE2985">
        <w:rPr>
          <w:snapToGrid w:val="0"/>
        </w:rPr>
        <w:t>I</w:t>
      </w:r>
      <w:r w:rsidRPr="00AE2985">
        <w:rPr>
          <w:snapToGrid w:val="0"/>
        </w:rPr>
        <w:t>I.</w:t>
      </w:r>
      <w:r w:rsidRPr="00AE2985">
        <w:rPr>
          <w:snapToGrid w:val="0"/>
        </w:rPr>
        <w:tab/>
        <w:t>POSITION OF THE PARTIES</w:t>
      </w:r>
    </w:p>
    <w:p w:rsidR="00D00F6E" w:rsidRPr="00AE2985" w:rsidRDefault="00D00F6E" w:rsidP="00D00F6E">
      <w:pPr>
        <w:pStyle w:val="BodyText"/>
        <w:spacing w:after="0"/>
        <w:ind w:firstLine="720"/>
        <w:rPr>
          <w:rFonts w:ascii="Cambria" w:hAnsi="Cambria" w:cs="Arial"/>
          <w:sz w:val="20"/>
          <w:szCs w:val="20"/>
        </w:rPr>
      </w:pPr>
    </w:p>
    <w:p w:rsidR="00D00F6E" w:rsidRPr="00AE2985" w:rsidRDefault="00D00F6E" w:rsidP="00D00F6E">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napToGrid w:val="0"/>
        <w:ind w:left="0" w:firstLine="720"/>
        <w:rPr>
          <w:rFonts w:ascii="Cambria" w:hAnsi="Cambria" w:cs="Arial"/>
          <w:b/>
          <w:spacing w:val="-3"/>
          <w:sz w:val="20"/>
          <w:szCs w:val="20"/>
        </w:rPr>
      </w:pPr>
      <w:r w:rsidRPr="00AE2985">
        <w:rPr>
          <w:rFonts w:ascii="Cambria" w:hAnsi="Cambria" w:cs="Arial"/>
          <w:b/>
          <w:spacing w:val="-3"/>
          <w:sz w:val="20"/>
          <w:szCs w:val="20"/>
        </w:rPr>
        <w:t>Position of the Petitioners</w:t>
      </w:r>
    </w:p>
    <w:p w:rsidR="00D00F6E" w:rsidRPr="00AE2985" w:rsidRDefault="00D00F6E" w:rsidP="00D00F6E">
      <w:pPr>
        <w:ind w:firstLine="720"/>
        <w:rPr>
          <w:rFonts w:ascii="Cambria" w:hAnsi="Cambria" w:cs="Arial"/>
          <w:b/>
          <w:spacing w:val="-3"/>
          <w:sz w:val="20"/>
          <w:szCs w:val="20"/>
        </w:rPr>
      </w:pPr>
    </w:p>
    <w:p w:rsidR="00D00F6E" w:rsidRPr="00AE2985" w:rsidRDefault="00D00F6E" w:rsidP="00D00F6E">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napToGrid w:val="0"/>
        <w:ind w:left="0" w:firstLine="720"/>
        <w:jc w:val="both"/>
        <w:rPr>
          <w:rFonts w:ascii="Cambria" w:hAnsi="Cambria" w:cs="Arial"/>
          <w:spacing w:val="-3"/>
          <w:sz w:val="20"/>
          <w:szCs w:val="20"/>
        </w:rPr>
      </w:pPr>
      <w:r w:rsidRPr="00AE2985">
        <w:rPr>
          <w:rFonts w:ascii="Cambria" w:hAnsi="Cambria" w:cs="Arial"/>
          <w:spacing w:val="-3"/>
          <w:sz w:val="20"/>
          <w:szCs w:val="20"/>
        </w:rPr>
        <w:t xml:space="preserve">The petitioners have alleged that on August 10, 2003, between 6 and 8 in the evening, Mrs. Eulogia, an indigenous Quechua woman belonging to the </w:t>
      </w:r>
      <w:proofErr w:type="spellStart"/>
      <w:r w:rsidRPr="00AE2985">
        <w:rPr>
          <w:rFonts w:ascii="Cambria" w:hAnsi="Cambria" w:cs="Arial"/>
          <w:i/>
          <w:spacing w:val="-3"/>
          <w:sz w:val="20"/>
          <w:szCs w:val="20"/>
        </w:rPr>
        <w:t>campesina</w:t>
      </w:r>
      <w:proofErr w:type="spellEnd"/>
      <w:r w:rsidRPr="00AE2985">
        <w:rPr>
          <w:rFonts w:ascii="Cambria" w:hAnsi="Cambria" w:cs="Arial"/>
          <w:spacing w:val="-3"/>
          <w:sz w:val="20"/>
          <w:szCs w:val="20"/>
        </w:rPr>
        <w:t xml:space="preserve"> community of </w:t>
      </w:r>
      <w:proofErr w:type="spellStart"/>
      <w:r w:rsidRPr="00AE2985">
        <w:rPr>
          <w:rFonts w:ascii="Cambria" w:hAnsi="Cambria" w:cs="Arial"/>
          <w:spacing w:val="-3"/>
          <w:sz w:val="20"/>
          <w:szCs w:val="20"/>
        </w:rPr>
        <w:t>Layme</w:t>
      </w:r>
      <w:proofErr w:type="spellEnd"/>
      <w:r w:rsidRPr="00AE2985">
        <w:rPr>
          <w:rFonts w:ascii="Cambria" w:hAnsi="Cambria" w:cs="Arial"/>
          <w:spacing w:val="-3"/>
          <w:sz w:val="20"/>
          <w:szCs w:val="20"/>
        </w:rPr>
        <w:t xml:space="preserve"> in the Cusco region, was taken from her home to the Public Health Center of the </w:t>
      </w:r>
      <w:proofErr w:type="spellStart"/>
      <w:r w:rsidRPr="00AE2985">
        <w:rPr>
          <w:rFonts w:ascii="Cambria" w:hAnsi="Cambria" w:cs="Arial"/>
          <w:spacing w:val="-3"/>
          <w:sz w:val="20"/>
          <w:szCs w:val="20"/>
        </w:rPr>
        <w:t>Yanaoca</w:t>
      </w:r>
      <w:proofErr w:type="spellEnd"/>
      <w:r w:rsidRPr="00AE2985">
        <w:rPr>
          <w:rFonts w:ascii="Cambria" w:hAnsi="Cambria" w:cs="Arial"/>
          <w:spacing w:val="-3"/>
          <w:sz w:val="20"/>
          <w:szCs w:val="20"/>
        </w:rPr>
        <w:t xml:space="preserve"> District because she presented symptoms of going into labor. The petitioners state that her partner, Jaime, the obstetrician, Marina Aguilar </w:t>
      </w:r>
      <w:proofErr w:type="spellStart"/>
      <w:r w:rsidRPr="00AE2985">
        <w:rPr>
          <w:rFonts w:ascii="Cambria" w:hAnsi="Cambria" w:cs="Arial"/>
          <w:spacing w:val="-3"/>
          <w:sz w:val="20"/>
          <w:szCs w:val="20"/>
        </w:rPr>
        <w:t>Tacusi</w:t>
      </w:r>
      <w:proofErr w:type="spellEnd"/>
      <w:r w:rsidRPr="00AE2985">
        <w:rPr>
          <w:rFonts w:ascii="Cambria" w:hAnsi="Cambria" w:cs="Arial"/>
          <w:spacing w:val="-3"/>
          <w:sz w:val="20"/>
          <w:szCs w:val="20"/>
        </w:rPr>
        <w:t xml:space="preserve">, and a man and a woman who were medical assistants, also rode in the ambulance. </w:t>
      </w:r>
    </w:p>
    <w:p w:rsidR="00D00F6E" w:rsidRPr="00AE2985" w:rsidRDefault="00D00F6E" w:rsidP="00D00F6E">
      <w:pPr>
        <w:ind w:firstLine="720"/>
        <w:jc w:val="both"/>
        <w:rPr>
          <w:rFonts w:ascii="Cambria" w:hAnsi="Cambria" w:cs="Arial"/>
          <w:spacing w:val="-3"/>
          <w:sz w:val="20"/>
          <w:szCs w:val="20"/>
        </w:rPr>
      </w:pPr>
    </w:p>
    <w:p w:rsidR="00D00F6E" w:rsidRPr="00AE2985" w:rsidRDefault="00D00F6E" w:rsidP="00D00F6E">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napToGrid w:val="0"/>
        <w:ind w:left="0" w:firstLine="720"/>
        <w:jc w:val="both"/>
        <w:rPr>
          <w:rFonts w:ascii="Cambria" w:hAnsi="Cambria" w:cs="Arial"/>
          <w:spacing w:val="-3"/>
          <w:sz w:val="20"/>
          <w:szCs w:val="20"/>
        </w:rPr>
      </w:pPr>
      <w:r w:rsidRPr="00AE2985">
        <w:rPr>
          <w:rFonts w:ascii="Cambria" w:hAnsi="Cambria" w:cs="Arial"/>
          <w:spacing w:val="-3"/>
          <w:sz w:val="20"/>
          <w:szCs w:val="20"/>
        </w:rPr>
        <w:t xml:space="preserve">The petitioners have stated that they arrived at the </w:t>
      </w:r>
      <w:proofErr w:type="spellStart"/>
      <w:r w:rsidRPr="00AE2985">
        <w:rPr>
          <w:rFonts w:ascii="Cambria" w:hAnsi="Cambria" w:cs="Arial"/>
          <w:spacing w:val="-3"/>
          <w:sz w:val="20"/>
          <w:szCs w:val="20"/>
        </w:rPr>
        <w:t>Yanaoca</w:t>
      </w:r>
      <w:proofErr w:type="spellEnd"/>
      <w:r w:rsidRPr="00AE2985">
        <w:rPr>
          <w:rFonts w:ascii="Cambria" w:hAnsi="Cambria" w:cs="Arial"/>
          <w:spacing w:val="-3"/>
          <w:sz w:val="20"/>
          <w:szCs w:val="20"/>
        </w:rPr>
        <w:t xml:space="preserve"> Health Center around 8:20 in the evening and the obstetrician, Marina Aguilar, took the couple to the delivery room, where she laid Mrs. Eulogia down, telling her she would soon return. The petitioners have further stated that the obstetrician had gone home to get a coat, leaving Mrs. Eulogia alone with her husband in the room and not returning until after the birth. </w:t>
      </w:r>
    </w:p>
    <w:p w:rsidR="00D00F6E" w:rsidRPr="00AE2985" w:rsidRDefault="00D00F6E" w:rsidP="00D00F6E">
      <w:pPr>
        <w:ind w:firstLine="720"/>
        <w:jc w:val="both"/>
        <w:rPr>
          <w:rFonts w:ascii="Cambria" w:hAnsi="Cambria" w:cs="Arial"/>
          <w:spacing w:val="-3"/>
          <w:sz w:val="20"/>
          <w:szCs w:val="20"/>
        </w:rPr>
      </w:pPr>
    </w:p>
    <w:p w:rsidR="00D00F6E" w:rsidRPr="00AE2985" w:rsidRDefault="00D00F6E" w:rsidP="00D00F6E">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napToGrid w:val="0"/>
        <w:ind w:left="0" w:firstLine="720"/>
        <w:jc w:val="both"/>
        <w:rPr>
          <w:rFonts w:ascii="Cambria" w:hAnsi="Cambria" w:cs="Arial"/>
          <w:spacing w:val="-3"/>
          <w:sz w:val="20"/>
          <w:szCs w:val="20"/>
        </w:rPr>
      </w:pPr>
      <w:r w:rsidRPr="00AE2985">
        <w:rPr>
          <w:rFonts w:ascii="Cambria" w:hAnsi="Cambria" w:cs="Arial"/>
          <w:spacing w:val="-3"/>
          <w:sz w:val="20"/>
          <w:szCs w:val="20"/>
        </w:rPr>
        <w:t xml:space="preserve">The petitioners have alleged that as the labor pains became increasingly intense and frequent, Jaime went to the hall to yell for help from medical personnel, but he found no one. Upon return to the room, Mrs. Eulogia had felt the need to urinate and asked her partner to give her the bedpan and help her squat down. At that point she felt the baby’s head coming out of her vagina, and therefore asked her partner to look for someone to help them. The petitioner began to scream, “I am giving birth.”   </w:t>
      </w:r>
    </w:p>
    <w:p w:rsidR="00D00F6E" w:rsidRPr="00AE2985" w:rsidRDefault="00D00F6E" w:rsidP="00D00F6E">
      <w:pPr>
        <w:ind w:firstLine="720"/>
        <w:jc w:val="both"/>
        <w:rPr>
          <w:rFonts w:ascii="Cambria" w:hAnsi="Cambria" w:cs="Arial"/>
          <w:spacing w:val="-3"/>
          <w:sz w:val="20"/>
          <w:szCs w:val="20"/>
        </w:rPr>
      </w:pPr>
    </w:p>
    <w:p w:rsidR="00D00F6E" w:rsidRPr="00AE2985" w:rsidRDefault="00D00F6E" w:rsidP="00D00F6E">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napToGrid w:val="0"/>
        <w:ind w:left="0" w:firstLine="720"/>
        <w:jc w:val="both"/>
        <w:rPr>
          <w:rFonts w:ascii="Cambria" w:hAnsi="Cambria" w:cs="Arial"/>
          <w:spacing w:val="-3"/>
          <w:sz w:val="20"/>
          <w:szCs w:val="20"/>
        </w:rPr>
      </w:pPr>
      <w:r w:rsidRPr="00AE2985">
        <w:rPr>
          <w:rFonts w:ascii="Cambria" w:hAnsi="Cambria" w:cs="Arial"/>
          <w:spacing w:val="-3"/>
          <w:sz w:val="20"/>
          <w:szCs w:val="20"/>
        </w:rPr>
        <w:t xml:space="preserve">The petitioners have recounted that at that point Jaime once again went to the hall yelling for someone to help them. After a few moments, a nurse name Gladys </w:t>
      </w:r>
      <w:proofErr w:type="spellStart"/>
      <w:r w:rsidRPr="00AE2985">
        <w:rPr>
          <w:rFonts w:ascii="Cambria" w:hAnsi="Cambria" w:cs="Arial"/>
          <w:spacing w:val="-3"/>
          <w:sz w:val="20"/>
          <w:szCs w:val="20"/>
        </w:rPr>
        <w:t>Limachi</w:t>
      </w:r>
      <w:proofErr w:type="spellEnd"/>
      <w:r w:rsidRPr="00AE2985">
        <w:rPr>
          <w:rFonts w:ascii="Cambria" w:hAnsi="Cambria" w:cs="Arial"/>
          <w:spacing w:val="-3"/>
          <w:sz w:val="20"/>
          <w:szCs w:val="20"/>
        </w:rPr>
        <w:t xml:space="preserve"> </w:t>
      </w:r>
      <w:proofErr w:type="spellStart"/>
      <w:r w:rsidRPr="00AE2985">
        <w:rPr>
          <w:rFonts w:ascii="Cambria" w:hAnsi="Cambria" w:cs="Arial"/>
          <w:spacing w:val="-3"/>
          <w:sz w:val="20"/>
          <w:szCs w:val="20"/>
        </w:rPr>
        <w:t>Queso</w:t>
      </w:r>
      <w:proofErr w:type="spellEnd"/>
      <w:r w:rsidRPr="00AE2985">
        <w:rPr>
          <w:rFonts w:ascii="Cambria" w:hAnsi="Cambria" w:cs="Arial"/>
          <w:spacing w:val="-3"/>
          <w:sz w:val="20"/>
          <w:szCs w:val="20"/>
        </w:rPr>
        <w:t xml:space="preserve"> came to the delivery room, and seeing Eulogia squatting down proceeded to raise her up. The petitioners have stated that Mrs. Eulogia begged the nurse not to raise her up, that the baby was coming out and that she should help her give birth in that position; however, the nurse grabbed Mrs. Eulogia’s arm and told her partner to do the same in order to hoist her up on the bed that was almost a meter high. At that moment the baby was born, violently crashing into the cement floor, hitting his head and cutting the umbilical cord.</w:t>
      </w:r>
    </w:p>
    <w:p w:rsidR="00D00F6E" w:rsidRPr="00AE2985" w:rsidRDefault="00D00F6E" w:rsidP="00D00F6E">
      <w:pPr>
        <w:ind w:firstLine="720"/>
        <w:jc w:val="both"/>
        <w:rPr>
          <w:rFonts w:ascii="Cambria" w:hAnsi="Cambria" w:cs="Arial"/>
          <w:spacing w:val="-3"/>
          <w:sz w:val="20"/>
          <w:szCs w:val="20"/>
        </w:rPr>
      </w:pPr>
    </w:p>
    <w:p w:rsidR="00D00F6E" w:rsidRPr="00AE2985" w:rsidRDefault="00D00F6E" w:rsidP="00D00F6E">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napToGrid w:val="0"/>
        <w:ind w:left="0" w:firstLine="720"/>
        <w:jc w:val="both"/>
        <w:rPr>
          <w:rFonts w:ascii="Cambria" w:hAnsi="Cambria" w:cs="Arial"/>
          <w:spacing w:val="-3"/>
          <w:sz w:val="20"/>
          <w:szCs w:val="20"/>
        </w:rPr>
      </w:pPr>
      <w:r w:rsidRPr="00AE2985">
        <w:rPr>
          <w:rFonts w:ascii="Cambria" w:hAnsi="Cambria" w:cs="Arial"/>
          <w:spacing w:val="-3"/>
          <w:sz w:val="20"/>
          <w:szCs w:val="20"/>
        </w:rPr>
        <w:t xml:space="preserve">The petitioners have alleged that the nurse took the unconscious child from the floor while she yelled for the rest of the medical personnel, who at that point appeared in order to attend to the newborn </w:t>
      </w:r>
      <w:proofErr w:type="gramStart"/>
      <w:r w:rsidRPr="00AE2985">
        <w:rPr>
          <w:rFonts w:ascii="Cambria" w:hAnsi="Cambria" w:cs="Arial"/>
          <w:spacing w:val="-3"/>
          <w:sz w:val="20"/>
          <w:szCs w:val="20"/>
        </w:rPr>
        <w:t>who</w:t>
      </w:r>
      <w:proofErr w:type="gramEnd"/>
      <w:r w:rsidRPr="00AE2985">
        <w:rPr>
          <w:rFonts w:ascii="Cambria" w:hAnsi="Cambria" w:cs="Arial"/>
          <w:spacing w:val="-3"/>
          <w:sz w:val="20"/>
          <w:szCs w:val="20"/>
        </w:rPr>
        <w:t xml:space="preserve"> was not crying or moving. </w:t>
      </w:r>
    </w:p>
    <w:p w:rsidR="00D00F6E" w:rsidRPr="00AE2985" w:rsidRDefault="00D00F6E" w:rsidP="00D00F6E">
      <w:pPr>
        <w:jc w:val="both"/>
        <w:rPr>
          <w:rFonts w:ascii="Cambria" w:hAnsi="Cambria" w:cs="Arial"/>
          <w:spacing w:val="-3"/>
          <w:sz w:val="20"/>
          <w:szCs w:val="20"/>
        </w:rPr>
      </w:pPr>
    </w:p>
    <w:p w:rsidR="00D00F6E" w:rsidRPr="00AE2985" w:rsidRDefault="00D00F6E" w:rsidP="00D00F6E">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napToGrid w:val="0"/>
        <w:ind w:left="0" w:firstLine="720"/>
        <w:jc w:val="both"/>
        <w:rPr>
          <w:rFonts w:ascii="Cambria" w:hAnsi="Cambria" w:cs="Arial"/>
          <w:spacing w:val="-3"/>
          <w:sz w:val="20"/>
          <w:szCs w:val="20"/>
        </w:rPr>
      </w:pPr>
      <w:r w:rsidRPr="00AE2985">
        <w:rPr>
          <w:rFonts w:ascii="Cambria" w:hAnsi="Cambria" w:cs="Arial"/>
          <w:spacing w:val="-3"/>
          <w:sz w:val="20"/>
          <w:szCs w:val="20"/>
        </w:rPr>
        <w:t xml:space="preserve">The petitioners have recounted that the next day at 10 a.m. the child and mother were driven to the Cusco Regional Hospital, 70 kilometers away, where they arrived around 12 noon. According to Eulogia, she was accompanied in the ambulance by a person known as “the tooth-puller,” a medical assistant and medical intern. The petitioners have contended that the child was admitted, but the mother was not immediately treated at the hospital entrance, although bleeding and with a uterus that was 10-centimeters dilated, because the proper papers had not been sent. The petitioners have submitted the evaluation report from Cusco Regional Hospital, which indicated that the woman [Eulogia] was “brought by </w:t>
      </w:r>
      <w:proofErr w:type="spellStart"/>
      <w:r w:rsidRPr="00AE2985">
        <w:rPr>
          <w:rFonts w:ascii="Cambria" w:hAnsi="Cambria" w:cs="Arial"/>
          <w:spacing w:val="-3"/>
          <w:sz w:val="20"/>
          <w:szCs w:val="20"/>
        </w:rPr>
        <w:t>Yanaoca</w:t>
      </w:r>
      <w:proofErr w:type="spellEnd"/>
      <w:r w:rsidRPr="00AE2985">
        <w:rPr>
          <w:rFonts w:ascii="Cambria" w:hAnsi="Cambria" w:cs="Arial"/>
          <w:spacing w:val="-3"/>
          <w:sz w:val="20"/>
          <w:szCs w:val="20"/>
        </w:rPr>
        <w:t xml:space="preserve"> health personnel, without having notified the obstetric center’s team, abandoning the patient without reporting either her physical condition or the aforementioned patient’s method of delivery, or the comprehensive health system SIS [</w:t>
      </w:r>
      <w:r w:rsidRPr="00AE2985">
        <w:rPr>
          <w:rFonts w:ascii="Cambria" w:hAnsi="Cambria" w:cs="Arial"/>
          <w:i/>
          <w:spacing w:val="-3"/>
          <w:sz w:val="20"/>
          <w:szCs w:val="20"/>
        </w:rPr>
        <w:t>sic</w:t>
      </w:r>
      <w:r w:rsidRPr="00AE2985">
        <w:rPr>
          <w:rFonts w:ascii="Cambria" w:hAnsi="Cambria" w:cs="Arial"/>
          <w:spacing w:val="-3"/>
          <w:sz w:val="20"/>
          <w:szCs w:val="20"/>
        </w:rPr>
        <w:t xml:space="preserve">].”  The petitioners have stated that Jaime had had to return to their province, two hours away by car, in order to find said papers. </w:t>
      </w:r>
    </w:p>
    <w:p w:rsidR="00D00F6E" w:rsidRPr="00AE2985" w:rsidRDefault="00D00F6E" w:rsidP="00D00F6E">
      <w:pPr>
        <w:ind w:firstLine="720"/>
        <w:jc w:val="both"/>
        <w:rPr>
          <w:rFonts w:ascii="Cambria" w:hAnsi="Cambria" w:cs="Arial"/>
          <w:spacing w:val="-3"/>
          <w:sz w:val="20"/>
          <w:szCs w:val="20"/>
        </w:rPr>
      </w:pPr>
    </w:p>
    <w:p w:rsidR="00D00F6E" w:rsidRPr="00AE2985" w:rsidRDefault="00D00F6E" w:rsidP="00D00F6E">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napToGrid w:val="0"/>
        <w:ind w:left="0" w:firstLine="720"/>
        <w:jc w:val="both"/>
        <w:rPr>
          <w:rFonts w:ascii="Cambria" w:hAnsi="Cambria" w:cs="Arial"/>
          <w:spacing w:val="-3"/>
          <w:sz w:val="20"/>
          <w:szCs w:val="20"/>
        </w:rPr>
      </w:pPr>
      <w:r w:rsidRPr="00AE2985">
        <w:rPr>
          <w:rFonts w:ascii="Cambria" w:hAnsi="Cambria" w:cs="Arial"/>
          <w:spacing w:val="-3"/>
          <w:sz w:val="20"/>
          <w:szCs w:val="20"/>
        </w:rPr>
        <w:t xml:space="preserve">As for the newborn, the petitioners have indicated that he was admitted to the hospital for approximately two weeks, without favorable results. The petitioners have stated that the child currently suffers from irreversible cortical blindness due to brain damage, hypoxic-ischemic encephalopathy due to traumatic brain injury at birth, and for this reason the child convulses constantly, cannot speak, see or walk, uses diapers, cries non-stop as if he were suffering and is on his mother’s back most of the time. </w:t>
      </w:r>
    </w:p>
    <w:p w:rsidR="00D00F6E" w:rsidRPr="00AE2985" w:rsidRDefault="00D00F6E" w:rsidP="00D00F6E">
      <w:pPr>
        <w:ind w:firstLine="720"/>
        <w:jc w:val="both"/>
        <w:rPr>
          <w:rFonts w:ascii="Cambria" w:hAnsi="Cambria" w:cs="Arial"/>
          <w:spacing w:val="-3"/>
          <w:sz w:val="20"/>
          <w:szCs w:val="20"/>
        </w:rPr>
      </w:pPr>
    </w:p>
    <w:p w:rsidR="00D00F6E" w:rsidRPr="00AE2985" w:rsidRDefault="00D00F6E" w:rsidP="00D00F6E">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napToGrid w:val="0"/>
        <w:ind w:left="0" w:firstLine="720"/>
        <w:jc w:val="both"/>
        <w:rPr>
          <w:rFonts w:ascii="Cambria" w:hAnsi="Cambria" w:cs="Arial"/>
          <w:spacing w:val="-3"/>
          <w:sz w:val="20"/>
          <w:szCs w:val="20"/>
        </w:rPr>
      </w:pPr>
      <w:r w:rsidRPr="00AE2985">
        <w:rPr>
          <w:rFonts w:ascii="Cambria" w:hAnsi="Cambria" w:cs="Arial"/>
          <w:spacing w:val="-3"/>
          <w:sz w:val="20"/>
          <w:szCs w:val="20"/>
        </w:rPr>
        <w:t xml:space="preserve">The petitioners have recounted that on August 27, 2003, the baby’s parents went to the </w:t>
      </w:r>
      <w:proofErr w:type="spellStart"/>
      <w:r w:rsidRPr="00AE2985">
        <w:rPr>
          <w:rFonts w:ascii="Cambria" w:hAnsi="Cambria" w:cs="Arial"/>
          <w:spacing w:val="-3"/>
          <w:sz w:val="20"/>
          <w:szCs w:val="20"/>
        </w:rPr>
        <w:t>Yanaoca</w:t>
      </w:r>
      <w:proofErr w:type="spellEnd"/>
      <w:r w:rsidRPr="00AE2985">
        <w:rPr>
          <w:rFonts w:ascii="Cambria" w:hAnsi="Cambria" w:cs="Arial"/>
          <w:spacing w:val="-3"/>
          <w:sz w:val="20"/>
          <w:szCs w:val="20"/>
        </w:rPr>
        <w:t xml:space="preserve"> Health Center so the doctor could follow up on Sergio’s health condition, but the nurse Gladys </w:t>
      </w:r>
      <w:proofErr w:type="spellStart"/>
      <w:r w:rsidRPr="00AE2985">
        <w:rPr>
          <w:rFonts w:ascii="Cambria" w:hAnsi="Cambria" w:cs="Arial"/>
          <w:spacing w:val="-3"/>
          <w:sz w:val="20"/>
          <w:szCs w:val="20"/>
        </w:rPr>
        <w:t>Limachi</w:t>
      </w:r>
      <w:proofErr w:type="spellEnd"/>
      <w:r w:rsidRPr="00AE2985">
        <w:rPr>
          <w:rFonts w:ascii="Cambria" w:hAnsi="Cambria" w:cs="Arial"/>
          <w:spacing w:val="-3"/>
          <w:sz w:val="20"/>
          <w:szCs w:val="20"/>
        </w:rPr>
        <w:t xml:space="preserve"> </w:t>
      </w:r>
      <w:proofErr w:type="spellStart"/>
      <w:r w:rsidRPr="00AE2985">
        <w:rPr>
          <w:rFonts w:ascii="Cambria" w:hAnsi="Cambria" w:cs="Arial"/>
          <w:spacing w:val="-3"/>
          <w:sz w:val="20"/>
          <w:szCs w:val="20"/>
        </w:rPr>
        <w:t>Queso</w:t>
      </w:r>
      <w:proofErr w:type="spellEnd"/>
      <w:r w:rsidRPr="00AE2985">
        <w:rPr>
          <w:rFonts w:ascii="Cambria" w:hAnsi="Cambria" w:cs="Arial"/>
          <w:spacing w:val="-3"/>
          <w:sz w:val="20"/>
          <w:szCs w:val="20"/>
        </w:rPr>
        <w:t xml:space="preserve"> had closed the entrance door on them and had yelled vulgar and humiliating words at them, even threatening Jaime, telling him that he was very young and might at some point need the services of the Health Center. As a result of the foregoing, the petitioners have stated that the couple left with tears in their eyes, had felt completely humiliated, helpless and fearful of returning to the health center. The petitioners have stated that the child has not received appropriate medical care and has only been given analgesics when he has had a fever. They have further stated that the child has received no treatment to relieve his pain, nor has he received physical therapy or evaluation. </w:t>
      </w:r>
    </w:p>
    <w:p w:rsidR="00D00F6E" w:rsidRPr="00AE2985" w:rsidRDefault="00D00F6E" w:rsidP="00D00F6E">
      <w:pPr>
        <w:ind w:firstLine="720"/>
        <w:jc w:val="both"/>
        <w:rPr>
          <w:rFonts w:ascii="Cambria" w:hAnsi="Cambria" w:cs="Arial"/>
          <w:spacing w:val="-3"/>
          <w:sz w:val="20"/>
          <w:szCs w:val="20"/>
        </w:rPr>
      </w:pPr>
    </w:p>
    <w:p w:rsidR="00D00F6E" w:rsidRPr="00AE2985" w:rsidRDefault="00D00F6E" w:rsidP="00D00F6E">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napToGrid w:val="0"/>
        <w:ind w:left="0" w:firstLine="720"/>
        <w:jc w:val="both"/>
        <w:rPr>
          <w:rFonts w:ascii="Cambria" w:hAnsi="Cambria" w:cs="Arial"/>
          <w:spacing w:val="-3"/>
          <w:sz w:val="20"/>
          <w:szCs w:val="20"/>
        </w:rPr>
      </w:pPr>
      <w:r w:rsidRPr="00AE2985">
        <w:rPr>
          <w:rFonts w:ascii="Cambria" w:hAnsi="Cambria" w:cs="Arial"/>
          <w:spacing w:val="-3"/>
          <w:sz w:val="20"/>
          <w:szCs w:val="20"/>
        </w:rPr>
        <w:t xml:space="preserve">The petitioners have stated that the child’s parents went to the </w:t>
      </w:r>
      <w:proofErr w:type="spellStart"/>
      <w:r w:rsidRPr="00AE2985">
        <w:rPr>
          <w:rFonts w:ascii="Cambria" w:hAnsi="Cambria" w:cs="Arial"/>
          <w:spacing w:val="-3"/>
          <w:sz w:val="20"/>
          <w:szCs w:val="20"/>
        </w:rPr>
        <w:t>Yanaoca</w:t>
      </w:r>
      <w:proofErr w:type="spellEnd"/>
      <w:r w:rsidRPr="00AE2985">
        <w:rPr>
          <w:rFonts w:ascii="Cambria" w:hAnsi="Cambria" w:cs="Arial"/>
          <w:spacing w:val="-3"/>
          <w:sz w:val="20"/>
          <w:szCs w:val="20"/>
        </w:rPr>
        <w:t xml:space="preserve"> Provincial Human Rights Commission to lodge a complaint on September 4, 2003. They have added that the police investigation began on September 1, 2003, and the judicial investigation on October 30, 2003. </w:t>
      </w:r>
    </w:p>
    <w:p w:rsidR="00D00F6E" w:rsidRPr="00AE2985" w:rsidRDefault="00D00F6E" w:rsidP="00D00F6E">
      <w:pPr>
        <w:jc w:val="both"/>
        <w:rPr>
          <w:rFonts w:ascii="Cambria" w:hAnsi="Cambria" w:cs="Arial"/>
          <w:spacing w:val="-3"/>
          <w:sz w:val="20"/>
          <w:szCs w:val="20"/>
        </w:rPr>
      </w:pPr>
    </w:p>
    <w:p w:rsidR="00D00F6E" w:rsidRPr="00AE2985" w:rsidRDefault="00D00F6E" w:rsidP="00D00F6E">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napToGrid w:val="0"/>
        <w:ind w:left="0" w:firstLine="720"/>
        <w:jc w:val="both"/>
        <w:rPr>
          <w:rFonts w:ascii="Cambria" w:hAnsi="Cambria" w:cs="Arial"/>
          <w:spacing w:val="-3"/>
          <w:sz w:val="20"/>
          <w:szCs w:val="20"/>
        </w:rPr>
      </w:pPr>
      <w:r w:rsidRPr="00AE2985">
        <w:rPr>
          <w:rFonts w:ascii="Cambria" w:hAnsi="Cambria" w:cs="Arial"/>
          <w:spacing w:val="-3"/>
          <w:sz w:val="20"/>
          <w:szCs w:val="20"/>
        </w:rPr>
        <w:t xml:space="preserve">The petitioners have indicated that on September 5, 2006, the Public Ministry brought charges against Gladys </w:t>
      </w:r>
      <w:proofErr w:type="spellStart"/>
      <w:r w:rsidRPr="00AE2985">
        <w:rPr>
          <w:rFonts w:ascii="Cambria" w:hAnsi="Cambria" w:cs="Arial"/>
          <w:spacing w:val="-3"/>
          <w:sz w:val="20"/>
          <w:szCs w:val="20"/>
        </w:rPr>
        <w:t>Limache</w:t>
      </w:r>
      <w:proofErr w:type="spellEnd"/>
      <w:r w:rsidRPr="00AE2985">
        <w:rPr>
          <w:rFonts w:ascii="Cambria" w:hAnsi="Cambria" w:cs="Arial"/>
          <w:spacing w:val="-3"/>
          <w:sz w:val="20"/>
          <w:szCs w:val="20"/>
        </w:rPr>
        <w:t xml:space="preserve"> </w:t>
      </w:r>
      <w:proofErr w:type="spellStart"/>
      <w:r w:rsidRPr="00AE2985">
        <w:rPr>
          <w:rFonts w:ascii="Cambria" w:hAnsi="Cambria" w:cs="Arial"/>
          <w:spacing w:val="-3"/>
          <w:sz w:val="20"/>
          <w:szCs w:val="20"/>
        </w:rPr>
        <w:t>Queso</w:t>
      </w:r>
      <w:proofErr w:type="spellEnd"/>
      <w:r w:rsidRPr="00AE2985">
        <w:rPr>
          <w:rFonts w:ascii="Cambria" w:hAnsi="Cambria" w:cs="Arial"/>
          <w:spacing w:val="-3"/>
          <w:sz w:val="20"/>
          <w:szCs w:val="20"/>
        </w:rPr>
        <w:t xml:space="preserve">, Frida Delgado </w:t>
      </w:r>
      <w:proofErr w:type="spellStart"/>
      <w:r w:rsidRPr="00AE2985">
        <w:rPr>
          <w:rFonts w:ascii="Cambria" w:hAnsi="Cambria" w:cs="Arial"/>
          <w:spacing w:val="-3"/>
          <w:sz w:val="20"/>
          <w:szCs w:val="20"/>
        </w:rPr>
        <w:t>Montesinos</w:t>
      </w:r>
      <w:proofErr w:type="spellEnd"/>
      <w:r w:rsidRPr="00AE2985">
        <w:rPr>
          <w:rFonts w:ascii="Cambria" w:hAnsi="Cambria" w:cs="Arial"/>
          <w:spacing w:val="-3"/>
          <w:sz w:val="20"/>
          <w:szCs w:val="20"/>
        </w:rPr>
        <w:t xml:space="preserve">, Marina Aguilar </w:t>
      </w:r>
      <w:proofErr w:type="spellStart"/>
      <w:r w:rsidRPr="00AE2985">
        <w:rPr>
          <w:rFonts w:ascii="Cambria" w:hAnsi="Cambria" w:cs="Arial"/>
          <w:spacing w:val="-3"/>
          <w:sz w:val="20"/>
          <w:szCs w:val="20"/>
        </w:rPr>
        <w:t>Tacusi</w:t>
      </w:r>
      <w:proofErr w:type="spellEnd"/>
      <w:r w:rsidRPr="00AE2985">
        <w:rPr>
          <w:rFonts w:ascii="Cambria" w:hAnsi="Cambria" w:cs="Arial"/>
          <w:spacing w:val="-3"/>
          <w:sz w:val="20"/>
          <w:szCs w:val="20"/>
        </w:rPr>
        <w:t xml:space="preserve">, Juan Carlos </w:t>
      </w:r>
      <w:proofErr w:type="spellStart"/>
      <w:r w:rsidRPr="00AE2985">
        <w:rPr>
          <w:rFonts w:ascii="Cambria" w:hAnsi="Cambria" w:cs="Arial"/>
          <w:spacing w:val="-3"/>
          <w:sz w:val="20"/>
          <w:szCs w:val="20"/>
        </w:rPr>
        <w:t>Peláez</w:t>
      </w:r>
      <w:proofErr w:type="spellEnd"/>
      <w:r w:rsidRPr="00AE2985">
        <w:rPr>
          <w:rFonts w:ascii="Cambria" w:hAnsi="Cambria" w:cs="Arial"/>
          <w:spacing w:val="-3"/>
          <w:sz w:val="20"/>
          <w:szCs w:val="20"/>
        </w:rPr>
        <w:t xml:space="preserve"> </w:t>
      </w:r>
      <w:proofErr w:type="spellStart"/>
      <w:r w:rsidRPr="00AE2985">
        <w:rPr>
          <w:rFonts w:ascii="Cambria" w:hAnsi="Cambria" w:cs="Arial"/>
          <w:spacing w:val="-3"/>
          <w:sz w:val="20"/>
          <w:szCs w:val="20"/>
        </w:rPr>
        <w:t>Zegarra</w:t>
      </w:r>
      <w:proofErr w:type="spellEnd"/>
      <w:r w:rsidRPr="00AE2985">
        <w:rPr>
          <w:rFonts w:ascii="Cambria" w:hAnsi="Cambria" w:cs="Arial"/>
          <w:spacing w:val="-3"/>
          <w:sz w:val="20"/>
          <w:szCs w:val="20"/>
        </w:rPr>
        <w:t xml:space="preserve"> and Alberto Heber </w:t>
      </w:r>
      <w:proofErr w:type="spellStart"/>
      <w:r w:rsidRPr="00AE2985">
        <w:rPr>
          <w:rFonts w:ascii="Cambria" w:hAnsi="Cambria" w:cs="Arial"/>
          <w:spacing w:val="-3"/>
          <w:sz w:val="20"/>
          <w:szCs w:val="20"/>
        </w:rPr>
        <w:t>Zamolla</w:t>
      </w:r>
      <w:proofErr w:type="spellEnd"/>
      <w:r w:rsidRPr="00AE2985">
        <w:rPr>
          <w:rFonts w:ascii="Cambria" w:hAnsi="Cambria" w:cs="Arial"/>
          <w:spacing w:val="-3"/>
          <w:sz w:val="20"/>
          <w:szCs w:val="20"/>
        </w:rPr>
        <w:t xml:space="preserve"> </w:t>
      </w:r>
      <w:proofErr w:type="spellStart"/>
      <w:r w:rsidRPr="00AE2985">
        <w:rPr>
          <w:rFonts w:ascii="Cambria" w:hAnsi="Cambria" w:cs="Arial"/>
          <w:spacing w:val="-3"/>
          <w:sz w:val="20"/>
          <w:szCs w:val="20"/>
        </w:rPr>
        <w:t>Triveño</w:t>
      </w:r>
      <w:proofErr w:type="spellEnd"/>
      <w:r w:rsidRPr="00AE2985">
        <w:rPr>
          <w:rFonts w:ascii="Cambria" w:hAnsi="Cambria" w:cs="Arial"/>
          <w:spacing w:val="-3"/>
          <w:sz w:val="20"/>
          <w:szCs w:val="20"/>
        </w:rPr>
        <w:t xml:space="preserve"> for the crime of aggravated endangerment or neglect of persons in danger to the detriment of Eulogia y Sergio. </w:t>
      </w:r>
    </w:p>
    <w:p w:rsidR="00D00F6E" w:rsidRPr="00AE2985" w:rsidRDefault="00D00F6E" w:rsidP="00D00F6E">
      <w:pPr>
        <w:ind w:firstLine="720"/>
        <w:jc w:val="both"/>
        <w:rPr>
          <w:rFonts w:ascii="Cambria" w:hAnsi="Cambria" w:cs="Arial"/>
          <w:spacing w:val="-3"/>
          <w:sz w:val="20"/>
          <w:szCs w:val="20"/>
        </w:rPr>
      </w:pPr>
    </w:p>
    <w:p w:rsidR="00D00F6E" w:rsidRPr="00AE2985" w:rsidRDefault="00D00F6E" w:rsidP="00D00F6E">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napToGrid w:val="0"/>
        <w:ind w:left="0" w:firstLine="720"/>
        <w:jc w:val="both"/>
        <w:rPr>
          <w:rFonts w:ascii="Cambria" w:hAnsi="Cambria" w:cs="Arial"/>
          <w:spacing w:val="-3"/>
          <w:sz w:val="20"/>
          <w:szCs w:val="20"/>
        </w:rPr>
      </w:pPr>
      <w:r w:rsidRPr="00AE2985">
        <w:rPr>
          <w:rFonts w:ascii="Cambria" w:hAnsi="Cambria" w:cs="Arial"/>
          <w:spacing w:val="-3"/>
          <w:sz w:val="20"/>
          <w:szCs w:val="20"/>
        </w:rPr>
        <w:t xml:space="preserve">According to the information provided by the petitioners, the </w:t>
      </w:r>
      <w:proofErr w:type="spellStart"/>
      <w:r w:rsidRPr="00AE2985">
        <w:rPr>
          <w:rFonts w:ascii="Cambria" w:hAnsi="Cambria" w:cs="Arial"/>
          <w:spacing w:val="-3"/>
          <w:sz w:val="20"/>
          <w:szCs w:val="20"/>
        </w:rPr>
        <w:t>Canas</w:t>
      </w:r>
      <w:proofErr w:type="spellEnd"/>
      <w:r w:rsidRPr="00AE2985">
        <w:rPr>
          <w:rFonts w:ascii="Cambria" w:hAnsi="Cambria" w:cs="Arial"/>
          <w:spacing w:val="-3"/>
          <w:sz w:val="20"/>
          <w:szCs w:val="20"/>
        </w:rPr>
        <w:t xml:space="preserve"> Mixed Jurisdiction Court [</w:t>
      </w:r>
      <w:proofErr w:type="spellStart"/>
      <w:r w:rsidRPr="00AE2985">
        <w:rPr>
          <w:rFonts w:ascii="Cambria" w:hAnsi="Cambria" w:cs="Arial"/>
          <w:i/>
          <w:spacing w:val="-3"/>
          <w:sz w:val="20"/>
          <w:szCs w:val="20"/>
        </w:rPr>
        <w:t>Juzgado</w:t>
      </w:r>
      <w:proofErr w:type="spellEnd"/>
      <w:r w:rsidRPr="00AE2985">
        <w:rPr>
          <w:rFonts w:ascii="Cambria" w:hAnsi="Cambria" w:cs="Arial"/>
          <w:i/>
          <w:spacing w:val="-3"/>
          <w:sz w:val="20"/>
          <w:szCs w:val="20"/>
        </w:rPr>
        <w:t xml:space="preserve"> </w:t>
      </w:r>
      <w:proofErr w:type="spellStart"/>
      <w:r w:rsidRPr="00AE2985">
        <w:rPr>
          <w:rFonts w:ascii="Cambria" w:hAnsi="Cambria" w:cs="Arial"/>
          <w:i/>
          <w:spacing w:val="-3"/>
          <w:sz w:val="20"/>
          <w:szCs w:val="20"/>
        </w:rPr>
        <w:t>Mixto</w:t>
      </w:r>
      <w:proofErr w:type="spellEnd"/>
      <w:r w:rsidRPr="00AE2985">
        <w:rPr>
          <w:rFonts w:ascii="Cambria" w:hAnsi="Cambria" w:cs="Arial"/>
          <w:i/>
          <w:spacing w:val="-3"/>
          <w:sz w:val="20"/>
          <w:szCs w:val="20"/>
        </w:rPr>
        <w:t xml:space="preserve"> de </w:t>
      </w:r>
      <w:proofErr w:type="spellStart"/>
      <w:r w:rsidRPr="00AE2985">
        <w:rPr>
          <w:rFonts w:ascii="Cambria" w:hAnsi="Cambria" w:cs="Arial"/>
          <w:i/>
          <w:spacing w:val="-3"/>
          <w:sz w:val="20"/>
          <w:szCs w:val="20"/>
        </w:rPr>
        <w:t>Canas</w:t>
      </w:r>
      <w:proofErr w:type="spellEnd"/>
      <w:r w:rsidRPr="00AE2985">
        <w:rPr>
          <w:rFonts w:ascii="Cambria" w:hAnsi="Cambria" w:cs="Arial"/>
          <w:spacing w:val="-3"/>
          <w:sz w:val="20"/>
          <w:szCs w:val="20"/>
        </w:rPr>
        <w:t xml:space="preserve">] heard the joint criminal case against the defendants, brought under case No. 105-2003. In said proceedings, the decision to indict Frida Delgado </w:t>
      </w:r>
      <w:proofErr w:type="spellStart"/>
      <w:r w:rsidRPr="00AE2985">
        <w:rPr>
          <w:rFonts w:ascii="Cambria" w:hAnsi="Cambria" w:cs="Arial"/>
          <w:spacing w:val="-3"/>
          <w:sz w:val="20"/>
          <w:szCs w:val="20"/>
        </w:rPr>
        <w:t>Montesinos</w:t>
      </w:r>
      <w:proofErr w:type="spellEnd"/>
      <w:r w:rsidRPr="00AE2985">
        <w:rPr>
          <w:rFonts w:ascii="Cambria" w:hAnsi="Cambria" w:cs="Arial"/>
          <w:spacing w:val="-3"/>
          <w:sz w:val="20"/>
          <w:szCs w:val="20"/>
        </w:rPr>
        <w:t xml:space="preserve"> was withdrawn due to a lack of evidence, and Gladys </w:t>
      </w:r>
      <w:proofErr w:type="spellStart"/>
      <w:r w:rsidRPr="00AE2985">
        <w:rPr>
          <w:rFonts w:ascii="Cambria" w:hAnsi="Cambria" w:cs="Arial"/>
          <w:spacing w:val="-3"/>
          <w:sz w:val="20"/>
          <w:szCs w:val="20"/>
        </w:rPr>
        <w:t>Limache</w:t>
      </w:r>
      <w:proofErr w:type="spellEnd"/>
      <w:r w:rsidRPr="00AE2985">
        <w:rPr>
          <w:rFonts w:ascii="Cambria" w:hAnsi="Cambria" w:cs="Arial"/>
          <w:spacing w:val="-3"/>
          <w:sz w:val="20"/>
          <w:szCs w:val="20"/>
        </w:rPr>
        <w:t xml:space="preserve"> </w:t>
      </w:r>
      <w:proofErr w:type="spellStart"/>
      <w:r w:rsidRPr="00AE2985">
        <w:rPr>
          <w:rFonts w:ascii="Cambria" w:hAnsi="Cambria" w:cs="Arial"/>
          <w:spacing w:val="-3"/>
          <w:sz w:val="20"/>
          <w:szCs w:val="20"/>
        </w:rPr>
        <w:t>Queso’s</w:t>
      </w:r>
      <w:proofErr w:type="spellEnd"/>
      <w:r w:rsidRPr="00AE2985">
        <w:rPr>
          <w:rFonts w:ascii="Cambria" w:hAnsi="Cambria" w:cs="Arial"/>
          <w:spacing w:val="-3"/>
          <w:sz w:val="20"/>
          <w:szCs w:val="20"/>
        </w:rPr>
        <w:t xml:space="preserve"> sentence was not read in the defendant’s absence. The </w:t>
      </w:r>
      <w:proofErr w:type="spellStart"/>
      <w:r w:rsidRPr="00AE2985">
        <w:rPr>
          <w:rFonts w:ascii="Cambria" w:hAnsi="Cambria" w:cs="Arial"/>
          <w:spacing w:val="-3"/>
          <w:sz w:val="20"/>
          <w:szCs w:val="20"/>
        </w:rPr>
        <w:t>Canas</w:t>
      </w:r>
      <w:proofErr w:type="spellEnd"/>
      <w:r w:rsidRPr="00AE2985">
        <w:rPr>
          <w:rFonts w:ascii="Cambria" w:hAnsi="Cambria" w:cs="Arial"/>
          <w:spacing w:val="-3"/>
          <w:sz w:val="20"/>
          <w:szCs w:val="20"/>
        </w:rPr>
        <w:t xml:space="preserve"> Mixed Jurisdiction Court handed down 3 convictions, the first on December 11, 2008, of Juan Carlos </w:t>
      </w:r>
      <w:proofErr w:type="spellStart"/>
      <w:r w:rsidRPr="00AE2985">
        <w:rPr>
          <w:rFonts w:ascii="Cambria" w:hAnsi="Cambria" w:cs="Arial"/>
          <w:spacing w:val="-3"/>
          <w:sz w:val="20"/>
          <w:szCs w:val="20"/>
        </w:rPr>
        <w:t>Peláez</w:t>
      </w:r>
      <w:proofErr w:type="spellEnd"/>
      <w:r w:rsidRPr="00AE2985">
        <w:rPr>
          <w:rFonts w:ascii="Cambria" w:hAnsi="Cambria" w:cs="Arial"/>
          <w:spacing w:val="-3"/>
          <w:sz w:val="20"/>
          <w:szCs w:val="20"/>
        </w:rPr>
        <w:t xml:space="preserve"> </w:t>
      </w:r>
      <w:proofErr w:type="spellStart"/>
      <w:r w:rsidRPr="00AE2985">
        <w:rPr>
          <w:rFonts w:ascii="Cambria" w:hAnsi="Cambria" w:cs="Arial"/>
          <w:spacing w:val="-3"/>
          <w:sz w:val="20"/>
          <w:szCs w:val="20"/>
        </w:rPr>
        <w:t>Zegarra</w:t>
      </w:r>
      <w:proofErr w:type="spellEnd"/>
      <w:r w:rsidRPr="00AE2985">
        <w:rPr>
          <w:rFonts w:ascii="Cambria" w:hAnsi="Cambria" w:cs="Arial"/>
          <w:spacing w:val="-3"/>
          <w:sz w:val="20"/>
          <w:szCs w:val="20"/>
        </w:rPr>
        <w:t xml:space="preserve">; the second, on December 22, 2008, of Alberto Heber </w:t>
      </w:r>
      <w:proofErr w:type="spellStart"/>
      <w:r w:rsidRPr="00AE2985">
        <w:rPr>
          <w:rFonts w:ascii="Cambria" w:hAnsi="Cambria" w:cs="Arial"/>
          <w:spacing w:val="-3"/>
          <w:sz w:val="20"/>
          <w:szCs w:val="20"/>
        </w:rPr>
        <w:t>Zamalloa</w:t>
      </w:r>
      <w:proofErr w:type="spellEnd"/>
      <w:r w:rsidRPr="00AE2985">
        <w:rPr>
          <w:rFonts w:ascii="Cambria" w:hAnsi="Cambria" w:cs="Arial"/>
          <w:spacing w:val="-3"/>
          <w:sz w:val="20"/>
          <w:szCs w:val="20"/>
        </w:rPr>
        <w:t xml:space="preserve">; and the third, on December 29, 2008, of Marina Aguilar </w:t>
      </w:r>
      <w:proofErr w:type="spellStart"/>
      <w:r w:rsidRPr="00AE2985">
        <w:rPr>
          <w:rFonts w:ascii="Cambria" w:hAnsi="Cambria" w:cs="Arial"/>
          <w:spacing w:val="-3"/>
          <w:sz w:val="20"/>
          <w:szCs w:val="20"/>
        </w:rPr>
        <w:t>Tacusi</w:t>
      </w:r>
      <w:proofErr w:type="spellEnd"/>
      <w:r w:rsidRPr="00AE2985">
        <w:rPr>
          <w:rFonts w:ascii="Cambria" w:hAnsi="Cambria" w:cs="Arial"/>
          <w:spacing w:val="-3"/>
          <w:sz w:val="20"/>
          <w:szCs w:val="20"/>
        </w:rPr>
        <w:t xml:space="preserve">, for the crimes of neglect of a minor or impaired individual in a situation of grave and imminent harm to their health, followed by grievous bodily harm. </w:t>
      </w:r>
    </w:p>
    <w:p w:rsidR="00D00F6E" w:rsidRPr="00AE2985" w:rsidRDefault="00D00F6E" w:rsidP="00D00F6E">
      <w:pPr>
        <w:ind w:firstLine="720"/>
        <w:jc w:val="both"/>
        <w:rPr>
          <w:rFonts w:ascii="Cambria" w:hAnsi="Cambria" w:cs="Arial"/>
          <w:spacing w:val="-3"/>
          <w:sz w:val="20"/>
          <w:szCs w:val="20"/>
        </w:rPr>
      </w:pPr>
    </w:p>
    <w:p w:rsidR="00D00F6E" w:rsidRPr="00AE2985" w:rsidRDefault="00D00F6E" w:rsidP="00D00F6E">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napToGrid w:val="0"/>
        <w:ind w:left="0" w:firstLine="720"/>
        <w:jc w:val="both"/>
        <w:rPr>
          <w:rFonts w:ascii="Cambria" w:hAnsi="Cambria" w:cs="Arial"/>
          <w:spacing w:val="-3"/>
          <w:sz w:val="20"/>
          <w:szCs w:val="20"/>
        </w:rPr>
      </w:pPr>
      <w:r w:rsidRPr="00AE2985">
        <w:rPr>
          <w:rFonts w:ascii="Cambria" w:hAnsi="Cambria" w:cs="Arial"/>
          <w:spacing w:val="-3"/>
          <w:sz w:val="20"/>
          <w:szCs w:val="20"/>
        </w:rPr>
        <w:t>The petitioners have provided information indicating that the judgment of December 11, 2008 was appealed and the Superior Court of Justice of Cusco handed down a judgment in the second instance on March 23, 2009, acquitting the four defendants as the Court considered that the wording of the punishable conduct—“expose [to danger]” and “neglect”—required willful intent [</w:t>
      </w:r>
      <w:proofErr w:type="spellStart"/>
      <w:r w:rsidRPr="00AE2985">
        <w:rPr>
          <w:rFonts w:ascii="Cambria" w:hAnsi="Cambria" w:cs="Arial"/>
          <w:i/>
          <w:spacing w:val="-3"/>
          <w:sz w:val="20"/>
          <w:szCs w:val="20"/>
        </w:rPr>
        <w:t>actuación</w:t>
      </w:r>
      <w:proofErr w:type="spellEnd"/>
      <w:r w:rsidRPr="00AE2985">
        <w:rPr>
          <w:rFonts w:ascii="Cambria" w:hAnsi="Cambria" w:cs="Arial"/>
          <w:i/>
          <w:spacing w:val="-3"/>
          <w:sz w:val="20"/>
          <w:szCs w:val="20"/>
        </w:rPr>
        <w:t xml:space="preserve"> </w:t>
      </w:r>
      <w:proofErr w:type="spellStart"/>
      <w:r w:rsidRPr="00AE2985">
        <w:rPr>
          <w:rFonts w:ascii="Cambria" w:hAnsi="Cambria" w:cs="Arial"/>
          <w:i/>
          <w:spacing w:val="-3"/>
          <w:sz w:val="20"/>
          <w:szCs w:val="20"/>
        </w:rPr>
        <w:t>dolosa</w:t>
      </w:r>
      <w:proofErr w:type="spellEnd"/>
      <w:r w:rsidRPr="00AE2985">
        <w:rPr>
          <w:rFonts w:ascii="Cambria" w:hAnsi="Cambria" w:cs="Arial"/>
          <w:spacing w:val="-3"/>
          <w:sz w:val="20"/>
          <w:szCs w:val="20"/>
        </w:rPr>
        <w:t xml:space="preserve">] in which the agent must knowingly and willfully expose and neglect the person in the face of a specific danger, which had not been shown. </w:t>
      </w:r>
    </w:p>
    <w:p w:rsidR="00D00F6E" w:rsidRPr="00AE2985" w:rsidRDefault="00D00F6E" w:rsidP="00D00F6E">
      <w:pPr>
        <w:jc w:val="both"/>
        <w:rPr>
          <w:rFonts w:ascii="Cambria" w:hAnsi="Cambria" w:cs="Arial"/>
          <w:spacing w:val="-3"/>
          <w:sz w:val="20"/>
          <w:szCs w:val="20"/>
        </w:rPr>
      </w:pPr>
    </w:p>
    <w:p w:rsidR="00D00F6E" w:rsidRPr="00AE2985" w:rsidRDefault="00D00F6E" w:rsidP="00D00F6E">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napToGrid w:val="0"/>
        <w:ind w:left="0" w:firstLine="720"/>
        <w:jc w:val="both"/>
        <w:rPr>
          <w:rFonts w:ascii="Cambria" w:hAnsi="Cambria" w:cs="Arial"/>
          <w:spacing w:val="-3"/>
          <w:sz w:val="20"/>
          <w:szCs w:val="20"/>
        </w:rPr>
      </w:pPr>
      <w:r w:rsidRPr="00AE2985">
        <w:rPr>
          <w:rFonts w:ascii="Cambria" w:hAnsi="Cambria" w:cs="Arial"/>
          <w:spacing w:val="-3"/>
          <w:sz w:val="20"/>
          <w:szCs w:val="20"/>
        </w:rPr>
        <w:t xml:space="preserve">The petitioners have alleged they filed an appeal for annulment of the acquittal, but said appeal was rejected on April 30, 2009 and notified on May 8 of that same year. In this respect, the petitioners have contended that although Peruvian law states that summary proceedings are to last 180 days, in this case there was an unjustified delay as the proceedings lasted a total of five years and six months. The petitioners have stated that in the appeal the Court had not given value to significant evidence such as the obstetrician’s administrative penalty memorandum, which highlighted her direct responsibility in the events for having neglected Eulogia. The petitioners have provided information indicating that the visual inspection took place on January 22, 2004, four months after the complaint was filed. In the inspection report provided by the petitioners, it states that the </w:t>
      </w:r>
      <w:proofErr w:type="spellStart"/>
      <w:r w:rsidRPr="00AE2985">
        <w:rPr>
          <w:rFonts w:ascii="Cambria" w:hAnsi="Cambria" w:cs="Arial"/>
          <w:spacing w:val="-3"/>
          <w:sz w:val="20"/>
          <w:szCs w:val="20"/>
        </w:rPr>
        <w:t>Yanaoca</w:t>
      </w:r>
      <w:proofErr w:type="spellEnd"/>
      <w:r w:rsidRPr="00AE2985">
        <w:rPr>
          <w:rFonts w:ascii="Cambria" w:hAnsi="Cambria" w:cs="Arial"/>
          <w:spacing w:val="-3"/>
          <w:sz w:val="20"/>
          <w:szCs w:val="20"/>
        </w:rPr>
        <w:t xml:space="preserve"> Health Center measured less than 300 square meters, was one sole story and had insufficient space for the functioning of the administrative offices, examining rooms, and inpatient wards. Additionally, the aforementioned report states that there were old blood stains on the walls, that the place showed a lack of cleanliness and asepsis, and lacked water service. </w:t>
      </w:r>
    </w:p>
    <w:p w:rsidR="00D00F6E" w:rsidRPr="00AE2985" w:rsidRDefault="00D00F6E" w:rsidP="00D00F6E">
      <w:pPr>
        <w:jc w:val="both"/>
        <w:rPr>
          <w:rFonts w:ascii="Cambria" w:hAnsi="Cambria" w:cs="Arial"/>
          <w:spacing w:val="-3"/>
          <w:sz w:val="20"/>
          <w:szCs w:val="20"/>
        </w:rPr>
      </w:pPr>
    </w:p>
    <w:p w:rsidR="00D00F6E" w:rsidRPr="00AE2985" w:rsidRDefault="00D00F6E" w:rsidP="00D00F6E">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napToGrid w:val="0"/>
        <w:ind w:left="0" w:firstLine="720"/>
        <w:jc w:val="both"/>
        <w:rPr>
          <w:rFonts w:ascii="Cambria" w:hAnsi="Cambria" w:cs="Arial"/>
          <w:spacing w:val="-3"/>
          <w:sz w:val="20"/>
          <w:szCs w:val="20"/>
        </w:rPr>
      </w:pPr>
      <w:r w:rsidRPr="00AE2985">
        <w:rPr>
          <w:rFonts w:ascii="Cambria" w:hAnsi="Cambria" w:cs="Arial"/>
          <w:spacing w:val="-3"/>
          <w:sz w:val="20"/>
          <w:szCs w:val="20"/>
        </w:rPr>
        <w:t>The petitioners have also claimed that the State has the obligation to provide for the necessary mechanisms to punish those responsible for an unlawful act, and may not hide behind the excuse of an inadequate description of a criminal offense in order to acquit those responsible and perpetrate [</w:t>
      </w:r>
      <w:r w:rsidRPr="00AE2985">
        <w:rPr>
          <w:rFonts w:ascii="Cambria" w:hAnsi="Cambria" w:cs="Arial"/>
          <w:i/>
          <w:spacing w:val="-3"/>
          <w:sz w:val="20"/>
          <w:szCs w:val="20"/>
        </w:rPr>
        <w:t>sic</w:t>
      </w:r>
      <w:r w:rsidRPr="00AE2985">
        <w:rPr>
          <w:rFonts w:ascii="Cambria" w:hAnsi="Cambria" w:cs="Arial"/>
          <w:spacing w:val="-3"/>
          <w:sz w:val="20"/>
          <w:szCs w:val="20"/>
        </w:rPr>
        <w:t xml:space="preserve">] impunity. </w:t>
      </w:r>
    </w:p>
    <w:p w:rsidR="00D00F6E" w:rsidRPr="00AE2985" w:rsidRDefault="00D00F6E" w:rsidP="00D00F6E">
      <w:pPr>
        <w:ind w:firstLine="720"/>
        <w:jc w:val="both"/>
        <w:rPr>
          <w:rFonts w:ascii="Cambria" w:hAnsi="Cambria" w:cs="Arial"/>
          <w:spacing w:val="-3"/>
          <w:sz w:val="20"/>
          <w:szCs w:val="20"/>
        </w:rPr>
      </w:pPr>
    </w:p>
    <w:p w:rsidR="00D00F6E" w:rsidRPr="00AE2985" w:rsidRDefault="00D00F6E" w:rsidP="00D00F6E">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napToGrid w:val="0"/>
        <w:ind w:left="0" w:firstLine="720"/>
        <w:jc w:val="both"/>
        <w:rPr>
          <w:rFonts w:ascii="Cambria" w:hAnsi="Cambria" w:cs="Arial"/>
          <w:spacing w:val="-3"/>
          <w:sz w:val="20"/>
          <w:szCs w:val="20"/>
        </w:rPr>
      </w:pPr>
      <w:r w:rsidRPr="00AE2985">
        <w:rPr>
          <w:rFonts w:ascii="Cambria" w:hAnsi="Cambria" w:cs="Arial"/>
          <w:spacing w:val="-3"/>
          <w:sz w:val="20"/>
          <w:szCs w:val="20"/>
        </w:rPr>
        <w:t xml:space="preserve">The petitioners have alleged that the Peruvian State incurred international responsibility for failing to offer the conditions and guarantees for the safe delivery of Eulogia, who belongs to one of the most vulnerable groups of Peru, as she is a poor, indigenous, </w:t>
      </w:r>
      <w:proofErr w:type="spellStart"/>
      <w:r w:rsidRPr="00AE2985">
        <w:rPr>
          <w:rFonts w:ascii="Cambria" w:hAnsi="Cambria" w:cs="Arial"/>
          <w:i/>
          <w:spacing w:val="-3"/>
          <w:sz w:val="20"/>
          <w:szCs w:val="20"/>
        </w:rPr>
        <w:t>campesina</w:t>
      </w:r>
      <w:proofErr w:type="spellEnd"/>
      <w:r w:rsidRPr="00AE2985">
        <w:rPr>
          <w:rFonts w:ascii="Cambria" w:hAnsi="Cambria" w:cs="Arial"/>
          <w:spacing w:val="-3"/>
          <w:sz w:val="20"/>
          <w:szCs w:val="20"/>
        </w:rPr>
        <w:t xml:space="preserve"> woman. The petitioners have highlighted that </w:t>
      </w:r>
      <w:r w:rsidRPr="00AE2985">
        <w:rPr>
          <w:rFonts w:ascii="Cambria" w:hAnsi="Cambria" w:cs="Arial"/>
          <w:spacing w:val="-3"/>
          <w:sz w:val="20"/>
          <w:szCs w:val="20"/>
        </w:rPr>
        <w:lastRenderedPageBreak/>
        <w:t xml:space="preserve">this negligence gave rise to serious and permanent injury to the child Sergio’s personal integrity and that the State did not punish the persons responsible for such acts, nor have they provided comprehensive reparations to the victims, despite involving public health services. </w:t>
      </w:r>
    </w:p>
    <w:p w:rsidR="00D00F6E" w:rsidRPr="00AE2985" w:rsidRDefault="00D00F6E" w:rsidP="00D00F6E">
      <w:pPr>
        <w:ind w:firstLine="720"/>
        <w:jc w:val="both"/>
        <w:rPr>
          <w:rFonts w:ascii="Cambria" w:hAnsi="Cambria" w:cs="Arial"/>
          <w:spacing w:val="-3"/>
          <w:sz w:val="20"/>
          <w:szCs w:val="20"/>
        </w:rPr>
      </w:pPr>
    </w:p>
    <w:p w:rsidR="00D00F6E" w:rsidRPr="00AE2985" w:rsidRDefault="00D00F6E" w:rsidP="00D00F6E">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napToGrid w:val="0"/>
        <w:ind w:left="0" w:firstLine="720"/>
        <w:jc w:val="both"/>
        <w:rPr>
          <w:rFonts w:ascii="Cambria" w:hAnsi="Cambria" w:cs="Arial"/>
          <w:spacing w:val="-3"/>
          <w:sz w:val="20"/>
          <w:szCs w:val="20"/>
        </w:rPr>
      </w:pPr>
      <w:r w:rsidRPr="00AE2985">
        <w:rPr>
          <w:rFonts w:ascii="Cambria" w:hAnsi="Cambria" w:cs="Arial"/>
          <w:spacing w:val="-3"/>
          <w:sz w:val="20"/>
          <w:szCs w:val="20"/>
        </w:rPr>
        <w:t xml:space="preserve">Additionally, the petitioners have contended that the State has not taken the necessary steps to ensure the child’s access to the best health possible through specialized care in line with his current condition. Although the child is covered by the Comprehensive Health System, this is a general system for the population that lives in extreme poverty and is not a specific response to Sergio </w:t>
      </w:r>
      <w:proofErr w:type="spellStart"/>
      <w:r w:rsidRPr="00AE2985">
        <w:rPr>
          <w:rFonts w:ascii="Cambria" w:hAnsi="Cambria" w:cs="Arial"/>
          <w:spacing w:val="-3"/>
          <w:sz w:val="20"/>
          <w:szCs w:val="20"/>
        </w:rPr>
        <w:t>Jesús</w:t>
      </w:r>
      <w:proofErr w:type="spellEnd"/>
      <w:r w:rsidRPr="00AE2985">
        <w:rPr>
          <w:rFonts w:ascii="Cambria" w:hAnsi="Cambria" w:cs="Arial"/>
          <w:spacing w:val="-3"/>
          <w:sz w:val="20"/>
          <w:szCs w:val="20"/>
        </w:rPr>
        <w:t xml:space="preserve">’ case. According to Eulogia, in 10 years she has not received even one pill for the child’s convulsions and when she goes to the health center she is only given vitamins or amoxicillin if the child has a fever. </w:t>
      </w:r>
    </w:p>
    <w:p w:rsidR="00D00F6E" w:rsidRPr="00AE2985" w:rsidRDefault="00D00F6E" w:rsidP="00D00F6E">
      <w:pPr>
        <w:ind w:firstLine="720"/>
        <w:jc w:val="both"/>
        <w:rPr>
          <w:rFonts w:ascii="Cambria" w:hAnsi="Cambria" w:cs="Arial"/>
          <w:spacing w:val="-3"/>
          <w:sz w:val="20"/>
          <w:szCs w:val="20"/>
        </w:rPr>
      </w:pPr>
    </w:p>
    <w:p w:rsidR="00D00F6E" w:rsidRPr="00AE2985" w:rsidRDefault="00D00F6E" w:rsidP="00D00F6E">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napToGrid w:val="0"/>
        <w:ind w:left="0" w:firstLine="720"/>
        <w:jc w:val="both"/>
        <w:rPr>
          <w:rFonts w:ascii="Cambria" w:hAnsi="Cambria" w:cs="Arial"/>
          <w:spacing w:val="-3"/>
          <w:sz w:val="20"/>
          <w:szCs w:val="20"/>
        </w:rPr>
      </w:pPr>
      <w:r w:rsidRPr="00AE2985">
        <w:rPr>
          <w:rFonts w:ascii="Cambria" w:hAnsi="Cambria" w:cs="Arial"/>
          <w:spacing w:val="-3"/>
          <w:sz w:val="20"/>
          <w:szCs w:val="20"/>
        </w:rPr>
        <w:t xml:space="preserve">For the foregoing reasons, the petitioners consider that the Peruvian State is responsible for the violation of the rights protected under Article 25 of the American Convention and Article 10 of the Additional Protocol to the American Convention on Human Rights in the Area of Economic, Social and Cultural Rights. </w:t>
      </w:r>
    </w:p>
    <w:p w:rsidR="00D00F6E" w:rsidRPr="00AE2985" w:rsidRDefault="00D00F6E" w:rsidP="00D00F6E">
      <w:pPr>
        <w:ind w:firstLine="720"/>
        <w:jc w:val="both"/>
        <w:rPr>
          <w:rFonts w:ascii="Cambria" w:hAnsi="Cambria" w:cs="Arial"/>
          <w:spacing w:val="-3"/>
          <w:sz w:val="20"/>
          <w:szCs w:val="20"/>
        </w:rPr>
      </w:pPr>
    </w:p>
    <w:p w:rsidR="00D00F6E" w:rsidRPr="00AE2985" w:rsidRDefault="00D00F6E" w:rsidP="00D00F6E">
      <w:pPr>
        <w:ind w:firstLine="720"/>
        <w:jc w:val="both"/>
        <w:rPr>
          <w:rFonts w:ascii="Cambria" w:hAnsi="Cambria" w:cs="Arial"/>
          <w:b/>
          <w:spacing w:val="-3"/>
          <w:sz w:val="20"/>
          <w:szCs w:val="20"/>
        </w:rPr>
      </w:pPr>
      <w:r w:rsidRPr="00AE2985">
        <w:rPr>
          <w:rFonts w:ascii="Cambria" w:hAnsi="Cambria" w:cs="Arial"/>
          <w:b/>
          <w:spacing w:val="-3"/>
          <w:sz w:val="20"/>
          <w:szCs w:val="20"/>
        </w:rPr>
        <w:t xml:space="preserve">B. </w:t>
      </w:r>
      <w:r w:rsidRPr="00AE2985">
        <w:rPr>
          <w:rFonts w:ascii="Cambria" w:hAnsi="Cambria" w:cs="Arial"/>
          <w:b/>
          <w:spacing w:val="-3"/>
          <w:sz w:val="20"/>
          <w:szCs w:val="20"/>
        </w:rPr>
        <w:tab/>
        <w:t>Position of the State</w:t>
      </w:r>
    </w:p>
    <w:p w:rsidR="00D00F6E" w:rsidRPr="00AE2985" w:rsidRDefault="00D00F6E" w:rsidP="00D00F6E">
      <w:pPr>
        <w:ind w:firstLine="720"/>
        <w:jc w:val="both"/>
        <w:rPr>
          <w:rFonts w:ascii="Cambria" w:hAnsi="Cambria" w:cs="Arial"/>
          <w:spacing w:val="-3"/>
          <w:sz w:val="20"/>
          <w:szCs w:val="20"/>
        </w:rPr>
      </w:pPr>
    </w:p>
    <w:p w:rsidR="00D00F6E" w:rsidRPr="00AE2985" w:rsidRDefault="00D00F6E" w:rsidP="00D00F6E">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napToGrid w:val="0"/>
        <w:ind w:left="0" w:firstLine="720"/>
        <w:jc w:val="both"/>
        <w:rPr>
          <w:rFonts w:ascii="Cambria" w:hAnsi="Cambria" w:cs="Arial"/>
          <w:spacing w:val="-3"/>
          <w:sz w:val="20"/>
          <w:szCs w:val="20"/>
        </w:rPr>
      </w:pPr>
      <w:r w:rsidRPr="00AE2985">
        <w:rPr>
          <w:rFonts w:ascii="Cambria" w:hAnsi="Cambria" w:cs="Arial"/>
          <w:spacing w:val="-3"/>
          <w:sz w:val="20"/>
          <w:szCs w:val="20"/>
        </w:rPr>
        <w:t xml:space="preserve">The State has alleged that the petition is inadmissible in keeping with Article 47(b) of the American Convention as it fails to describe facts that may constitute a violation of rights guaranteed under said Convention. In this regard, the State has argued that a domestic investigation was carried out, which complied with the guarantees of due process and concluded with a final judgment. The State has indicated that although the results were unfavorable for the appellants, this does not mean a violation of judicial protection has taken place. </w:t>
      </w:r>
    </w:p>
    <w:p w:rsidR="00D00F6E" w:rsidRPr="00AE2985" w:rsidRDefault="00D00F6E" w:rsidP="00D00F6E">
      <w:pPr>
        <w:ind w:firstLine="720"/>
        <w:jc w:val="both"/>
        <w:rPr>
          <w:rFonts w:ascii="Cambria" w:hAnsi="Cambria" w:cs="Arial"/>
          <w:spacing w:val="-3"/>
          <w:sz w:val="20"/>
          <w:szCs w:val="20"/>
        </w:rPr>
      </w:pPr>
    </w:p>
    <w:p w:rsidR="00D00F6E" w:rsidRPr="00AE2985" w:rsidRDefault="00D00F6E" w:rsidP="00D00F6E">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napToGrid w:val="0"/>
        <w:ind w:left="0" w:firstLine="720"/>
        <w:jc w:val="both"/>
        <w:rPr>
          <w:rFonts w:ascii="Cambria" w:hAnsi="Cambria" w:cs="Arial"/>
          <w:spacing w:val="-3"/>
          <w:sz w:val="20"/>
          <w:szCs w:val="20"/>
        </w:rPr>
      </w:pPr>
      <w:r w:rsidRPr="00AE2985">
        <w:rPr>
          <w:rFonts w:ascii="Cambria" w:hAnsi="Cambria" w:cs="Arial"/>
          <w:spacing w:val="-3"/>
          <w:sz w:val="20"/>
          <w:szCs w:val="20"/>
        </w:rPr>
        <w:t xml:space="preserve">As a result of the foregoing, the State has alleged that to seek to have the IACHR review said domestic ruling would mean that the Commission is undertaking the role of a fourth instance and that this is not within its remit, nor in keeping with its competencies. The State has emphasized that the Inter-American Human Rights System is of a supplemental, subsidiary and supporting nature, and in accordance with the competencies conferred on its oversight bodies, among those the Inter-American Commission, such bodies may not act as a fourth instance. </w:t>
      </w:r>
    </w:p>
    <w:p w:rsidR="00D00F6E" w:rsidRPr="00AE2985" w:rsidRDefault="00D00F6E" w:rsidP="00D00F6E">
      <w:pPr>
        <w:ind w:firstLine="720"/>
        <w:jc w:val="both"/>
        <w:rPr>
          <w:rFonts w:ascii="Cambria" w:hAnsi="Cambria" w:cs="Arial"/>
          <w:spacing w:val="-3"/>
          <w:sz w:val="20"/>
          <w:szCs w:val="20"/>
        </w:rPr>
      </w:pPr>
    </w:p>
    <w:p w:rsidR="00D00F6E" w:rsidRPr="00AE2985" w:rsidRDefault="00D00F6E" w:rsidP="00D00F6E">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napToGrid w:val="0"/>
        <w:ind w:left="0" w:firstLine="720"/>
        <w:jc w:val="both"/>
        <w:rPr>
          <w:rFonts w:ascii="Cambria" w:hAnsi="Cambria" w:cs="Arial"/>
          <w:spacing w:val="-3"/>
          <w:sz w:val="20"/>
          <w:szCs w:val="20"/>
        </w:rPr>
      </w:pPr>
      <w:r w:rsidRPr="00AE2985">
        <w:rPr>
          <w:rFonts w:ascii="Cambria" w:hAnsi="Cambria" w:cs="Arial"/>
          <w:spacing w:val="-3"/>
          <w:sz w:val="20"/>
          <w:szCs w:val="20"/>
        </w:rPr>
        <w:t xml:space="preserve">The State has highlighted that it is not the competence of the Commission to review domestic court rulings, judgments, decisions, or similar, nor may it question the assessment criteria that judicial bodies apply in the cases that go forward in proper proceedings that respect the guarantees of due process provided for in the Peruvian Constitution and the American Convention. </w:t>
      </w:r>
    </w:p>
    <w:p w:rsidR="00D00F6E" w:rsidRPr="00AE2985" w:rsidRDefault="00D00F6E" w:rsidP="00D00F6E">
      <w:pPr>
        <w:ind w:firstLine="720"/>
        <w:jc w:val="both"/>
        <w:rPr>
          <w:rFonts w:ascii="Cambria" w:hAnsi="Cambria" w:cs="Arial"/>
          <w:spacing w:val="-3"/>
          <w:sz w:val="20"/>
          <w:szCs w:val="20"/>
        </w:rPr>
      </w:pPr>
    </w:p>
    <w:p w:rsidR="00D00F6E" w:rsidRPr="00AE2985" w:rsidRDefault="00D00F6E" w:rsidP="00D00F6E">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napToGrid w:val="0"/>
        <w:ind w:left="0" w:firstLine="720"/>
        <w:jc w:val="both"/>
        <w:rPr>
          <w:rFonts w:ascii="Cambria" w:hAnsi="Cambria" w:cs="Arial"/>
          <w:spacing w:val="-3"/>
          <w:sz w:val="20"/>
          <w:szCs w:val="20"/>
        </w:rPr>
      </w:pPr>
      <w:r w:rsidRPr="00AE2985">
        <w:rPr>
          <w:rFonts w:ascii="Cambria" w:hAnsi="Cambria" w:cs="Arial"/>
          <w:spacing w:val="-3"/>
          <w:sz w:val="20"/>
          <w:szCs w:val="20"/>
        </w:rPr>
        <w:t xml:space="preserve">The State has indicated that the criminal proceedings that were brought based on the facts in question concluded with a judgment issued by the Cusco Superior Court of Justice, Decentralized and Itinerant Mixed Courtroom of </w:t>
      </w:r>
      <w:proofErr w:type="spellStart"/>
      <w:r w:rsidRPr="00AE2985">
        <w:rPr>
          <w:rFonts w:ascii="Cambria" w:hAnsi="Cambria" w:cs="Arial"/>
          <w:spacing w:val="-3"/>
          <w:sz w:val="20"/>
          <w:szCs w:val="20"/>
        </w:rPr>
        <w:t>Canchis-Sicuani</w:t>
      </w:r>
      <w:proofErr w:type="spellEnd"/>
      <w:r w:rsidRPr="00AE2985">
        <w:rPr>
          <w:rFonts w:ascii="Cambria" w:hAnsi="Cambria" w:cs="Arial"/>
          <w:spacing w:val="-3"/>
          <w:sz w:val="20"/>
          <w:szCs w:val="20"/>
        </w:rPr>
        <w:t xml:space="preserve"> on March 23, 2009, which overturned the first instance judgment convicting the defendants and providing for payment of civil reparations. The State has further indicated that the main consideration of the Court in overturning the conviction was that the facts of the case revealed no willful intent [</w:t>
      </w:r>
      <w:proofErr w:type="spellStart"/>
      <w:r w:rsidRPr="00AE2985">
        <w:rPr>
          <w:rFonts w:ascii="Cambria" w:hAnsi="Cambria" w:cs="Arial"/>
          <w:i/>
          <w:spacing w:val="-3"/>
          <w:sz w:val="20"/>
          <w:szCs w:val="20"/>
        </w:rPr>
        <w:t>dolo</w:t>
      </w:r>
      <w:proofErr w:type="spellEnd"/>
      <w:r w:rsidRPr="00AE2985">
        <w:rPr>
          <w:rFonts w:ascii="Cambria" w:hAnsi="Cambria" w:cs="Arial"/>
          <w:spacing w:val="-3"/>
          <w:sz w:val="20"/>
          <w:szCs w:val="20"/>
        </w:rPr>
        <w:t xml:space="preserve">] on the part of the defendants. </w:t>
      </w:r>
    </w:p>
    <w:p w:rsidR="00D00F6E" w:rsidRPr="00AE2985" w:rsidRDefault="00D00F6E" w:rsidP="00D00F6E">
      <w:pPr>
        <w:ind w:firstLine="720"/>
        <w:jc w:val="both"/>
        <w:rPr>
          <w:rFonts w:ascii="Cambria" w:hAnsi="Cambria" w:cs="Arial"/>
          <w:spacing w:val="-3"/>
          <w:sz w:val="20"/>
          <w:szCs w:val="20"/>
        </w:rPr>
      </w:pPr>
    </w:p>
    <w:p w:rsidR="00D00F6E" w:rsidRPr="00AE2985" w:rsidRDefault="00D00F6E" w:rsidP="00D00F6E">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napToGrid w:val="0"/>
        <w:ind w:left="0" w:firstLine="720"/>
        <w:jc w:val="both"/>
        <w:rPr>
          <w:rFonts w:ascii="Cambria" w:hAnsi="Cambria" w:cs="Arial"/>
          <w:spacing w:val="-3"/>
          <w:sz w:val="20"/>
          <w:szCs w:val="20"/>
        </w:rPr>
      </w:pPr>
      <w:r w:rsidRPr="00AE2985">
        <w:rPr>
          <w:rFonts w:ascii="Cambria" w:hAnsi="Cambria" w:cs="Arial"/>
          <w:spacing w:val="-3"/>
          <w:sz w:val="20"/>
          <w:szCs w:val="20"/>
        </w:rPr>
        <w:t xml:space="preserve">The State has added that the petitioners had ready access to the remedies provided for under the domestic legal system in order to act in said proceedings, and at the same time has pointed out that the defendants are entitled to the same right. Indeed, this is why the defendants lodged an appeal, which was decided in their favor. The State has argued that it is unviable for the Commission to be questioning legal opinions and considerations that the national court held when deciding to acquit the defendants of criminal liability. </w:t>
      </w:r>
    </w:p>
    <w:p w:rsidR="00D00F6E" w:rsidRPr="00AE2985" w:rsidRDefault="00D00F6E" w:rsidP="00D00F6E">
      <w:pPr>
        <w:ind w:firstLine="720"/>
        <w:jc w:val="both"/>
        <w:rPr>
          <w:rFonts w:ascii="Cambria" w:hAnsi="Cambria" w:cs="Arial"/>
          <w:spacing w:val="-3"/>
          <w:sz w:val="20"/>
          <w:szCs w:val="20"/>
        </w:rPr>
      </w:pPr>
    </w:p>
    <w:p w:rsidR="00D00F6E" w:rsidRPr="00AE2985" w:rsidRDefault="00D00F6E" w:rsidP="00D00F6E">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napToGrid w:val="0"/>
        <w:ind w:left="0" w:firstLine="720"/>
        <w:jc w:val="both"/>
        <w:rPr>
          <w:rFonts w:ascii="Cambria" w:hAnsi="Cambria" w:cs="Arial"/>
          <w:spacing w:val="-3"/>
          <w:sz w:val="20"/>
          <w:szCs w:val="20"/>
        </w:rPr>
      </w:pPr>
      <w:r w:rsidRPr="00AE2985">
        <w:rPr>
          <w:rFonts w:ascii="Cambria" w:hAnsi="Cambria" w:cs="Arial"/>
          <w:spacing w:val="-3"/>
          <w:sz w:val="20"/>
          <w:szCs w:val="20"/>
        </w:rPr>
        <w:t xml:space="preserve">Additionally, the State has alleged that the petitioners could have filed a civil suit for damages. The State has pointed out that Article 1969 of Peruvian Civil Code, which regulates compensation for culpable damages and damages for arrears provides that, “Whoever out of willful intent or negligence causes harm to another is required to pay compensation. The perpetrator has the burden of disproving there has been willful intent or negligence.” According to what the Peruvian State has alleged, the petitioners did not make use of this domestic legal proceeding available to them at that time, and whose statute of limitations has unfortunately already lapsed. </w:t>
      </w:r>
    </w:p>
    <w:p w:rsidR="00D00F6E" w:rsidRPr="00AE2985" w:rsidRDefault="00D00F6E" w:rsidP="00D00F6E">
      <w:pPr>
        <w:ind w:firstLine="720"/>
        <w:jc w:val="both"/>
        <w:rPr>
          <w:rFonts w:ascii="Cambria" w:hAnsi="Cambria" w:cs="Arial"/>
          <w:spacing w:val="-3"/>
          <w:sz w:val="20"/>
          <w:szCs w:val="20"/>
        </w:rPr>
      </w:pPr>
    </w:p>
    <w:p w:rsidR="00D00F6E" w:rsidRPr="00AE2985" w:rsidRDefault="00D00F6E" w:rsidP="00D00F6E">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napToGrid w:val="0"/>
        <w:ind w:left="0" w:firstLine="720"/>
        <w:jc w:val="both"/>
        <w:rPr>
          <w:rFonts w:ascii="Cambria" w:hAnsi="Cambria" w:cs="Arial"/>
          <w:spacing w:val="-3"/>
          <w:sz w:val="20"/>
          <w:szCs w:val="20"/>
        </w:rPr>
      </w:pPr>
      <w:r w:rsidRPr="00AE2985">
        <w:rPr>
          <w:rFonts w:ascii="Cambria" w:hAnsi="Cambria" w:cs="Arial"/>
          <w:spacing w:val="-3"/>
          <w:sz w:val="20"/>
          <w:szCs w:val="20"/>
        </w:rPr>
        <w:t xml:space="preserve">Finally, the State has contended that the Ministry of Health has reported that Eulogia and Sergio are covered by the Comprehensive Health Service. For this reason, they are guaranteed health care coverage pursuant to current regulations and may receive the medical treatment they require in the health establishment in their jurisdiction and, if they require more specialized attention, may be referred to an establishment with more sophisticated services. Furthermore, if there is an emergency they may receive the pertinent care under their Health Service coverage at any health establishment of the Ministry of Health. The State has further contended that, pursuant to the American Convention and Article 19(6) of the Additional Protocol to the American Convention on Human Rights in the Area of Economic, Social, and Cultural Rights, the right to health is not a right that may be invoked under the individual petition system. </w:t>
      </w:r>
    </w:p>
    <w:p w:rsidR="00D00F6E" w:rsidRPr="00AE2985" w:rsidRDefault="00D00F6E" w:rsidP="00D00F6E">
      <w:pPr>
        <w:ind w:firstLine="720"/>
        <w:jc w:val="both"/>
        <w:rPr>
          <w:rFonts w:ascii="Cambria" w:hAnsi="Cambria" w:cs="Arial"/>
          <w:spacing w:val="-3"/>
          <w:sz w:val="20"/>
          <w:szCs w:val="20"/>
        </w:rPr>
      </w:pPr>
    </w:p>
    <w:p w:rsidR="00D00F6E" w:rsidRPr="00AE2985" w:rsidRDefault="00D00F6E" w:rsidP="00D00F6E">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napToGrid w:val="0"/>
        <w:ind w:left="0" w:firstLine="720"/>
        <w:jc w:val="both"/>
        <w:rPr>
          <w:rFonts w:ascii="Cambria" w:hAnsi="Cambria" w:cs="Arial"/>
          <w:spacing w:val="-3"/>
          <w:sz w:val="20"/>
          <w:szCs w:val="20"/>
        </w:rPr>
      </w:pPr>
      <w:r w:rsidRPr="00AE2985">
        <w:rPr>
          <w:rFonts w:ascii="Cambria" w:hAnsi="Cambria"/>
          <w:sz w:val="20"/>
          <w:szCs w:val="20"/>
        </w:rPr>
        <w:t xml:space="preserve">For the foregoing reasons, the Peruvian State has requested that the IACHR declare the case inadmissible pursuant to the provisions set forth in Article 47(b) of the American Convention. </w:t>
      </w:r>
    </w:p>
    <w:p w:rsidR="00D00F6E" w:rsidRPr="00AE2985" w:rsidRDefault="00D00F6E" w:rsidP="00D00F6E">
      <w:pPr>
        <w:ind w:firstLine="720"/>
        <w:jc w:val="both"/>
        <w:rPr>
          <w:rFonts w:ascii="Cambria" w:hAnsi="Cambria"/>
          <w:sz w:val="20"/>
          <w:szCs w:val="20"/>
        </w:rPr>
      </w:pPr>
    </w:p>
    <w:p w:rsidR="00D00F6E" w:rsidRPr="00AE2985" w:rsidRDefault="00D00F6E" w:rsidP="004861F1">
      <w:pPr>
        <w:pStyle w:val="Heading1"/>
        <w:rPr>
          <w:snapToGrid w:val="0"/>
        </w:rPr>
      </w:pPr>
      <w:r w:rsidRPr="00AE2985">
        <w:rPr>
          <w:snapToGrid w:val="0"/>
        </w:rPr>
        <w:t>IV.</w:t>
      </w:r>
      <w:r w:rsidRPr="00AE2985">
        <w:rPr>
          <w:snapToGrid w:val="0"/>
        </w:rPr>
        <w:tab/>
        <w:t>ANALYSIS REGARDING COMPETENCE AND ADMISSIBILITY</w:t>
      </w:r>
    </w:p>
    <w:p w:rsidR="00D00F6E" w:rsidRPr="00AE2985" w:rsidRDefault="00D00F6E" w:rsidP="00D00F6E">
      <w:pPr>
        <w:pStyle w:val="Heading2"/>
        <w:spacing w:before="0"/>
        <w:ind w:firstLine="720"/>
        <w:rPr>
          <w:rFonts w:ascii="Cambria" w:hAnsi="Cambria"/>
          <w:bCs w:val="0"/>
          <w:snapToGrid w:val="0"/>
          <w:color w:val="auto"/>
          <w:spacing w:val="-3"/>
          <w:sz w:val="20"/>
          <w:szCs w:val="20"/>
        </w:rPr>
      </w:pPr>
      <w:r w:rsidRPr="00AE2985">
        <w:rPr>
          <w:rFonts w:ascii="Cambria" w:hAnsi="Cambria"/>
          <w:bCs w:val="0"/>
          <w:snapToGrid w:val="0"/>
          <w:color w:val="auto"/>
          <w:spacing w:val="-3"/>
          <w:sz w:val="20"/>
          <w:szCs w:val="20"/>
        </w:rPr>
        <w:t> </w:t>
      </w:r>
    </w:p>
    <w:p w:rsidR="00D00F6E" w:rsidRPr="00AE2985" w:rsidRDefault="00D00F6E" w:rsidP="00D00F6E">
      <w:pPr>
        <w:pStyle w:val="Heading2"/>
        <w:spacing w:before="0"/>
        <w:ind w:firstLine="720"/>
        <w:rPr>
          <w:rFonts w:ascii="Cambria" w:hAnsi="Cambria"/>
          <w:bCs w:val="0"/>
          <w:snapToGrid w:val="0"/>
          <w:color w:val="auto"/>
          <w:spacing w:val="-3"/>
          <w:sz w:val="20"/>
          <w:szCs w:val="20"/>
        </w:rPr>
      </w:pPr>
      <w:r w:rsidRPr="00AE2985">
        <w:rPr>
          <w:rFonts w:ascii="Cambria" w:hAnsi="Cambria"/>
          <w:bCs w:val="0"/>
          <w:snapToGrid w:val="0"/>
          <w:color w:val="auto"/>
          <w:spacing w:val="-3"/>
          <w:sz w:val="20"/>
          <w:szCs w:val="20"/>
        </w:rPr>
        <w:t>A.</w:t>
      </w:r>
      <w:r w:rsidRPr="00AE2985">
        <w:rPr>
          <w:rFonts w:ascii="Cambria" w:hAnsi="Cambria"/>
          <w:bCs w:val="0"/>
          <w:snapToGrid w:val="0"/>
          <w:color w:val="auto"/>
          <w:spacing w:val="-3"/>
          <w:sz w:val="20"/>
          <w:szCs w:val="20"/>
        </w:rPr>
        <w:tab/>
        <w:t>Competence</w:t>
      </w:r>
    </w:p>
    <w:p w:rsidR="00D00F6E" w:rsidRPr="00AE2985" w:rsidRDefault="00D00F6E" w:rsidP="00D00F6E">
      <w:pPr>
        <w:ind w:firstLine="720"/>
        <w:jc w:val="both"/>
        <w:rPr>
          <w:rFonts w:ascii="Cambria" w:hAnsi="Cambria"/>
          <w:sz w:val="20"/>
          <w:szCs w:val="20"/>
        </w:rPr>
      </w:pPr>
    </w:p>
    <w:p w:rsidR="00D00F6E" w:rsidRPr="00AE2985" w:rsidRDefault="00D00F6E" w:rsidP="00D00F6E">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napToGrid w:val="0"/>
        <w:ind w:left="0" w:firstLine="720"/>
        <w:jc w:val="both"/>
        <w:rPr>
          <w:rFonts w:ascii="Cambria" w:hAnsi="Cambria" w:cs="Arial"/>
          <w:spacing w:val="-3"/>
          <w:sz w:val="20"/>
          <w:szCs w:val="20"/>
        </w:rPr>
      </w:pPr>
      <w:r w:rsidRPr="00AE2985">
        <w:rPr>
          <w:rFonts w:ascii="Cambria" w:hAnsi="Cambria"/>
          <w:sz w:val="20"/>
          <w:szCs w:val="20"/>
        </w:rPr>
        <w:t xml:space="preserve">The petition identifies the alleged victims as individuals with regard to whom the Peruvian State committed to respecting and ensuring the rights enshrined in the American Convention. Furthermore, in keeping with the provisions of Article 44 of the American Convention, the petitioner has standing to submit a complaint to the Commission. The Commission highlights that Peru has been party to the American Convention since July 28, 1978, when it deposited its instrument of ratification. As a result, the Commission is competent </w:t>
      </w:r>
      <w:proofErr w:type="spellStart"/>
      <w:r w:rsidRPr="00AE2985">
        <w:rPr>
          <w:rFonts w:ascii="Cambria" w:hAnsi="Cambria"/>
          <w:i/>
          <w:sz w:val="20"/>
          <w:szCs w:val="20"/>
        </w:rPr>
        <w:t>ratione</w:t>
      </w:r>
      <w:proofErr w:type="spellEnd"/>
      <w:r w:rsidRPr="00AE2985">
        <w:rPr>
          <w:rFonts w:ascii="Cambria" w:hAnsi="Cambria"/>
          <w:i/>
          <w:sz w:val="20"/>
          <w:szCs w:val="20"/>
        </w:rPr>
        <w:t xml:space="preserve"> personae</w:t>
      </w:r>
      <w:r w:rsidRPr="00AE2985">
        <w:rPr>
          <w:rFonts w:ascii="Cambria" w:hAnsi="Cambria"/>
          <w:sz w:val="20"/>
          <w:szCs w:val="20"/>
        </w:rPr>
        <w:t xml:space="preserve"> to review the complaint lodged. </w:t>
      </w:r>
    </w:p>
    <w:p w:rsidR="00D00F6E" w:rsidRPr="00AE2985" w:rsidRDefault="00D00F6E" w:rsidP="00D00F6E">
      <w:pPr>
        <w:ind w:firstLine="720"/>
        <w:jc w:val="both"/>
        <w:rPr>
          <w:rFonts w:ascii="Cambria" w:hAnsi="Cambria" w:cs="Arial"/>
          <w:spacing w:val="-3"/>
          <w:sz w:val="20"/>
          <w:szCs w:val="20"/>
        </w:rPr>
      </w:pPr>
    </w:p>
    <w:p w:rsidR="00D00F6E" w:rsidRPr="00AE2985" w:rsidRDefault="00D00F6E" w:rsidP="00D00F6E">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napToGrid w:val="0"/>
        <w:ind w:left="0" w:firstLine="720"/>
        <w:jc w:val="both"/>
        <w:rPr>
          <w:rFonts w:ascii="Cambria" w:hAnsi="Cambria" w:cs="Arial"/>
          <w:spacing w:val="-3"/>
          <w:sz w:val="20"/>
          <w:szCs w:val="20"/>
        </w:rPr>
      </w:pPr>
      <w:r w:rsidRPr="00AE2985">
        <w:rPr>
          <w:rFonts w:ascii="Cambria" w:hAnsi="Cambria"/>
          <w:sz w:val="20"/>
          <w:szCs w:val="20"/>
        </w:rPr>
        <w:t xml:space="preserve">The Commission is competent </w:t>
      </w:r>
      <w:proofErr w:type="spellStart"/>
      <w:r w:rsidRPr="00AE2985">
        <w:rPr>
          <w:rFonts w:ascii="Cambria" w:hAnsi="Cambria"/>
          <w:i/>
          <w:sz w:val="20"/>
          <w:szCs w:val="20"/>
        </w:rPr>
        <w:t>ratione</w:t>
      </w:r>
      <w:proofErr w:type="spellEnd"/>
      <w:r w:rsidRPr="00AE2985">
        <w:rPr>
          <w:rFonts w:ascii="Cambria" w:hAnsi="Cambria"/>
          <w:i/>
          <w:sz w:val="20"/>
          <w:szCs w:val="20"/>
        </w:rPr>
        <w:t xml:space="preserve"> loci</w:t>
      </w:r>
      <w:r w:rsidRPr="00AE2985">
        <w:rPr>
          <w:rFonts w:ascii="Cambria" w:hAnsi="Cambria"/>
          <w:sz w:val="20"/>
          <w:szCs w:val="20"/>
        </w:rPr>
        <w:t xml:space="preserve"> to consider the petition, inasmuch as it alleges violations of rights protected under the American Convention that occurred in the territory of a State party to the same. The IACHR is competent </w:t>
      </w:r>
      <w:proofErr w:type="spellStart"/>
      <w:r w:rsidRPr="00AE2985">
        <w:rPr>
          <w:rFonts w:ascii="Cambria" w:hAnsi="Cambria"/>
          <w:i/>
          <w:sz w:val="20"/>
          <w:szCs w:val="20"/>
        </w:rPr>
        <w:t>ratione</w:t>
      </w:r>
      <w:proofErr w:type="spellEnd"/>
      <w:r w:rsidRPr="00AE2985">
        <w:rPr>
          <w:rFonts w:ascii="Cambria" w:hAnsi="Cambria"/>
          <w:i/>
          <w:sz w:val="20"/>
          <w:szCs w:val="20"/>
        </w:rPr>
        <w:t xml:space="preserve"> </w:t>
      </w:r>
      <w:proofErr w:type="spellStart"/>
      <w:r w:rsidRPr="00AE2985">
        <w:rPr>
          <w:rFonts w:ascii="Cambria" w:hAnsi="Cambria"/>
          <w:i/>
          <w:sz w:val="20"/>
          <w:szCs w:val="20"/>
        </w:rPr>
        <w:t>temporis</w:t>
      </w:r>
      <w:proofErr w:type="spellEnd"/>
      <w:r w:rsidRPr="00AE2985">
        <w:rPr>
          <w:rFonts w:ascii="Cambria" w:hAnsi="Cambria"/>
          <w:sz w:val="20"/>
          <w:szCs w:val="20"/>
        </w:rPr>
        <w:t xml:space="preserve"> given that the obligation to respect and ensure the rights protected under the American Convention governed for the State on the date it is alleged that the violations of rights described in the petition occurred. </w:t>
      </w:r>
    </w:p>
    <w:p w:rsidR="00D00F6E" w:rsidRPr="00AE2985" w:rsidRDefault="00D00F6E" w:rsidP="00D00F6E">
      <w:pPr>
        <w:ind w:firstLine="720"/>
        <w:jc w:val="both"/>
        <w:rPr>
          <w:rFonts w:ascii="Cambria" w:hAnsi="Cambria"/>
          <w:sz w:val="20"/>
          <w:szCs w:val="20"/>
        </w:rPr>
      </w:pPr>
    </w:p>
    <w:p w:rsidR="00D00F6E" w:rsidRPr="00AE2985" w:rsidRDefault="00D00F6E" w:rsidP="00D00F6E">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napToGrid w:val="0"/>
        <w:ind w:left="0" w:firstLine="720"/>
        <w:jc w:val="both"/>
        <w:rPr>
          <w:rFonts w:ascii="Cambria" w:hAnsi="Cambria" w:cs="Arial"/>
          <w:spacing w:val="-3"/>
          <w:sz w:val="20"/>
          <w:szCs w:val="20"/>
        </w:rPr>
      </w:pPr>
      <w:r w:rsidRPr="00AE2985">
        <w:rPr>
          <w:rFonts w:ascii="Cambria" w:hAnsi="Cambria"/>
          <w:sz w:val="20"/>
          <w:szCs w:val="20"/>
        </w:rPr>
        <w:t xml:space="preserve">Finally, the Commission is competent </w:t>
      </w:r>
      <w:proofErr w:type="spellStart"/>
      <w:r w:rsidRPr="00AE2985">
        <w:rPr>
          <w:rFonts w:ascii="Cambria" w:hAnsi="Cambria"/>
          <w:i/>
          <w:sz w:val="20"/>
          <w:szCs w:val="20"/>
        </w:rPr>
        <w:t>ratione</w:t>
      </w:r>
      <w:proofErr w:type="spellEnd"/>
      <w:r w:rsidRPr="00AE2985">
        <w:rPr>
          <w:rFonts w:ascii="Cambria" w:hAnsi="Cambria"/>
          <w:i/>
          <w:sz w:val="20"/>
          <w:szCs w:val="20"/>
        </w:rPr>
        <w:t xml:space="preserve"> </w:t>
      </w:r>
      <w:proofErr w:type="spellStart"/>
      <w:r w:rsidRPr="00AE2985">
        <w:rPr>
          <w:rFonts w:ascii="Cambria" w:hAnsi="Cambria"/>
          <w:i/>
          <w:sz w:val="20"/>
          <w:szCs w:val="20"/>
        </w:rPr>
        <w:t>materiae</w:t>
      </w:r>
      <w:proofErr w:type="spellEnd"/>
      <w:r w:rsidRPr="00AE2985">
        <w:rPr>
          <w:rFonts w:ascii="Cambria" w:hAnsi="Cambria"/>
          <w:i/>
          <w:sz w:val="20"/>
          <w:szCs w:val="20"/>
        </w:rPr>
        <w:t xml:space="preserve"> </w:t>
      </w:r>
      <w:r w:rsidRPr="00AE2985">
        <w:rPr>
          <w:rFonts w:ascii="Cambria" w:hAnsi="Cambria"/>
          <w:sz w:val="20"/>
          <w:szCs w:val="20"/>
        </w:rPr>
        <w:t xml:space="preserve">as the petition adduces violations of human rights protected under the American Convention. However, the IACHR underscores that it is not competent </w:t>
      </w:r>
      <w:proofErr w:type="spellStart"/>
      <w:r w:rsidRPr="00AE2985">
        <w:rPr>
          <w:rFonts w:ascii="Cambria" w:hAnsi="Cambria"/>
          <w:i/>
          <w:sz w:val="20"/>
          <w:szCs w:val="20"/>
        </w:rPr>
        <w:t>ratione</w:t>
      </w:r>
      <w:proofErr w:type="spellEnd"/>
      <w:r w:rsidRPr="00AE2985">
        <w:rPr>
          <w:rFonts w:ascii="Cambria" w:hAnsi="Cambria"/>
          <w:i/>
          <w:sz w:val="20"/>
          <w:szCs w:val="20"/>
        </w:rPr>
        <w:t xml:space="preserve"> </w:t>
      </w:r>
      <w:proofErr w:type="spellStart"/>
      <w:r w:rsidRPr="00AE2985">
        <w:rPr>
          <w:rFonts w:ascii="Cambria" w:hAnsi="Cambria"/>
          <w:i/>
          <w:sz w:val="20"/>
          <w:szCs w:val="20"/>
        </w:rPr>
        <w:t>materiae</w:t>
      </w:r>
      <w:proofErr w:type="spellEnd"/>
      <w:r w:rsidRPr="00AE2985">
        <w:rPr>
          <w:rFonts w:ascii="Cambria" w:hAnsi="Cambria"/>
          <w:i/>
          <w:sz w:val="20"/>
          <w:szCs w:val="20"/>
        </w:rPr>
        <w:t xml:space="preserve"> </w:t>
      </w:r>
      <w:r w:rsidRPr="00AE2985">
        <w:rPr>
          <w:rFonts w:ascii="Cambria" w:hAnsi="Cambria"/>
          <w:sz w:val="20"/>
          <w:szCs w:val="20"/>
        </w:rPr>
        <w:t>to establish—in an independent manner—violations of Article 10 of the Protocol of San Salvador through the individual petitions system; however, it may use said Protocol to interpret other applicable provisions, in light of what is set forth in Article 29 of the American Convention</w:t>
      </w:r>
      <w:r w:rsidRPr="00AE2985">
        <w:rPr>
          <w:rStyle w:val="FootnoteReference"/>
          <w:rFonts w:ascii="Cambria" w:hAnsi="Cambria"/>
          <w:spacing w:val="-1"/>
          <w:sz w:val="20"/>
          <w:szCs w:val="20"/>
        </w:rPr>
        <w:footnoteReference w:id="3"/>
      </w:r>
      <w:r w:rsidRPr="00AE2985">
        <w:rPr>
          <w:rFonts w:ascii="Cambria" w:hAnsi="Cambria"/>
          <w:spacing w:val="-1"/>
          <w:sz w:val="20"/>
          <w:szCs w:val="20"/>
        </w:rPr>
        <w:t>.</w:t>
      </w:r>
    </w:p>
    <w:p w:rsidR="00D00F6E" w:rsidRPr="00AE2985" w:rsidRDefault="00D00F6E" w:rsidP="00D00F6E">
      <w:pPr>
        <w:ind w:firstLine="720"/>
        <w:jc w:val="both"/>
        <w:rPr>
          <w:rFonts w:ascii="Cambria" w:hAnsi="Cambria" w:cs="Arial"/>
          <w:spacing w:val="-3"/>
          <w:sz w:val="20"/>
          <w:szCs w:val="20"/>
        </w:rPr>
      </w:pPr>
    </w:p>
    <w:p w:rsidR="00D00F6E" w:rsidRPr="00AE2985" w:rsidRDefault="00D00F6E" w:rsidP="00D00F6E">
      <w:pPr>
        <w:pStyle w:val="Heading2"/>
        <w:spacing w:before="0"/>
        <w:ind w:firstLine="720"/>
        <w:rPr>
          <w:rFonts w:ascii="Cambria" w:hAnsi="Cambria"/>
          <w:bCs w:val="0"/>
          <w:snapToGrid w:val="0"/>
          <w:color w:val="auto"/>
          <w:spacing w:val="-3"/>
          <w:sz w:val="20"/>
          <w:szCs w:val="20"/>
        </w:rPr>
      </w:pPr>
      <w:r w:rsidRPr="00AE2985">
        <w:rPr>
          <w:rFonts w:ascii="Cambria" w:hAnsi="Cambria"/>
          <w:bCs w:val="0"/>
          <w:snapToGrid w:val="0"/>
          <w:color w:val="auto"/>
          <w:spacing w:val="-3"/>
          <w:sz w:val="20"/>
          <w:szCs w:val="20"/>
        </w:rPr>
        <w:t>B.</w:t>
      </w:r>
      <w:r w:rsidRPr="00AE2985">
        <w:rPr>
          <w:rFonts w:ascii="Cambria" w:hAnsi="Cambria"/>
          <w:bCs w:val="0"/>
          <w:snapToGrid w:val="0"/>
          <w:color w:val="auto"/>
          <w:spacing w:val="-3"/>
          <w:sz w:val="20"/>
          <w:szCs w:val="20"/>
        </w:rPr>
        <w:tab/>
        <w:t>Requirements for Admissibility</w:t>
      </w:r>
    </w:p>
    <w:p w:rsidR="00D00F6E" w:rsidRPr="00AE2985" w:rsidRDefault="00D00F6E" w:rsidP="00D00F6E">
      <w:pPr>
        <w:pStyle w:val="Heading3"/>
        <w:spacing w:before="0"/>
        <w:ind w:firstLine="720"/>
        <w:rPr>
          <w:rFonts w:ascii="Cambria" w:eastAsia="Times New Roman" w:hAnsi="Cambria" w:cs="Arial"/>
          <w:b w:val="0"/>
          <w:bCs w:val="0"/>
          <w:snapToGrid w:val="0"/>
          <w:color w:val="auto"/>
          <w:spacing w:val="-3"/>
          <w:sz w:val="20"/>
          <w:szCs w:val="20"/>
        </w:rPr>
      </w:pPr>
      <w:r w:rsidRPr="00AE2985">
        <w:rPr>
          <w:rFonts w:ascii="Cambria" w:eastAsia="Times New Roman" w:hAnsi="Cambria" w:cs="Arial"/>
          <w:b w:val="0"/>
          <w:bCs w:val="0"/>
          <w:snapToGrid w:val="0"/>
          <w:color w:val="auto"/>
          <w:spacing w:val="-3"/>
          <w:sz w:val="20"/>
          <w:szCs w:val="20"/>
        </w:rPr>
        <w:t> </w:t>
      </w:r>
    </w:p>
    <w:p w:rsidR="00D00F6E" w:rsidRPr="00AE2985" w:rsidRDefault="00D00F6E" w:rsidP="00D00F6E">
      <w:pPr>
        <w:pStyle w:val="Heading3"/>
        <w:spacing w:before="0"/>
        <w:ind w:firstLine="720"/>
        <w:rPr>
          <w:rFonts w:ascii="Cambria" w:eastAsia="Times New Roman" w:hAnsi="Cambria" w:cs="Arial"/>
          <w:bCs w:val="0"/>
          <w:snapToGrid w:val="0"/>
          <w:color w:val="auto"/>
          <w:spacing w:val="-3"/>
          <w:sz w:val="20"/>
          <w:szCs w:val="20"/>
        </w:rPr>
      </w:pPr>
      <w:r w:rsidRPr="00AE2985">
        <w:rPr>
          <w:rFonts w:ascii="Cambria" w:eastAsia="Times New Roman" w:hAnsi="Cambria" w:cs="Arial"/>
          <w:bCs w:val="0"/>
          <w:snapToGrid w:val="0"/>
          <w:color w:val="auto"/>
          <w:spacing w:val="-3"/>
          <w:sz w:val="20"/>
          <w:szCs w:val="20"/>
        </w:rPr>
        <w:t xml:space="preserve">1. </w:t>
      </w:r>
      <w:r w:rsidRPr="00AE2985">
        <w:rPr>
          <w:rFonts w:ascii="Cambria" w:eastAsia="Times New Roman" w:hAnsi="Cambria" w:cs="Arial"/>
          <w:bCs w:val="0"/>
          <w:snapToGrid w:val="0"/>
          <w:color w:val="auto"/>
          <w:spacing w:val="-3"/>
          <w:sz w:val="20"/>
          <w:szCs w:val="20"/>
        </w:rPr>
        <w:tab/>
        <w:t>Exhaustion of Domestic Remedies</w:t>
      </w:r>
    </w:p>
    <w:p w:rsidR="00D00F6E" w:rsidRPr="00AE2985" w:rsidRDefault="00D00F6E" w:rsidP="00D00F6E">
      <w:pPr>
        <w:ind w:firstLine="720"/>
        <w:jc w:val="both"/>
        <w:rPr>
          <w:rFonts w:ascii="Cambria" w:hAnsi="Cambria"/>
          <w:sz w:val="20"/>
          <w:szCs w:val="20"/>
        </w:rPr>
      </w:pPr>
    </w:p>
    <w:p w:rsidR="00D00F6E" w:rsidRPr="00AE2985" w:rsidRDefault="00D00F6E" w:rsidP="00D00F6E">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napToGrid w:val="0"/>
        <w:ind w:left="0" w:firstLine="720"/>
        <w:jc w:val="both"/>
        <w:rPr>
          <w:rFonts w:ascii="Cambria" w:hAnsi="Cambria" w:cs="Arial"/>
          <w:spacing w:val="-3"/>
          <w:sz w:val="20"/>
          <w:szCs w:val="20"/>
        </w:rPr>
      </w:pPr>
      <w:r w:rsidRPr="00AE2985">
        <w:rPr>
          <w:rFonts w:ascii="Cambria" w:hAnsi="Cambria"/>
          <w:sz w:val="20"/>
          <w:szCs w:val="20"/>
        </w:rPr>
        <w:t>In keeping with the generally recognized principles of international law, Article 46(1</w:t>
      </w:r>
      <w:proofErr w:type="gramStart"/>
      <w:r w:rsidRPr="00AE2985">
        <w:rPr>
          <w:rFonts w:ascii="Cambria" w:hAnsi="Cambria"/>
          <w:sz w:val="20"/>
          <w:szCs w:val="20"/>
        </w:rPr>
        <w:t>)(</w:t>
      </w:r>
      <w:proofErr w:type="gramEnd"/>
      <w:r w:rsidRPr="00AE2985">
        <w:rPr>
          <w:rFonts w:ascii="Cambria" w:hAnsi="Cambria"/>
          <w:sz w:val="20"/>
          <w:szCs w:val="20"/>
        </w:rPr>
        <w:t>a) of the American Convention requires prior exhaustion of available domestic remedies in order to admit a claim alleging violations thereof. For its part, Article 46(2) of the Convention provides that said requirement to have previously exhausted all domestic remedies is not applicable when (</w:t>
      </w:r>
      <w:proofErr w:type="spellStart"/>
      <w:r w:rsidRPr="00AE2985">
        <w:rPr>
          <w:rFonts w:ascii="Cambria" w:hAnsi="Cambria"/>
          <w:sz w:val="20"/>
          <w:szCs w:val="20"/>
        </w:rPr>
        <w:t>i</w:t>
      </w:r>
      <w:proofErr w:type="spellEnd"/>
      <w:r w:rsidRPr="00AE2985">
        <w:rPr>
          <w:rFonts w:ascii="Cambria" w:hAnsi="Cambria"/>
          <w:sz w:val="20"/>
          <w:szCs w:val="20"/>
        </w:rPr>
        <w:t>)</w:t>
      </w:r>
      <w:r w:rsidRPr="00AE2985">
        <w:rPr>
          <w:rFonts w:ascii="Cambria" w:hAnsi="Cambria" w:cs="Tahoma"/>
          <w:sz w:val="20"/>
          <w:szCs w:val="20"/>
        </w:rPr>
        <w:t xml:space="preserve"> the domestic legislation of the state concerned does not afford due process of law for the protection of the right or rights that have allegedly been violated; (ii) the party alleging violation of his rights has been denied access to the remedies under domestic law or has been prevented from exhausting them; or (iii) there has been unwarranted delay in rendering a final judgment under the aforementioned remedies.</w:t>
      </w:r>
      <w:r w:rsidRPr="00AE2985">
        <w:rPr>
          <w:rFonts w:ascii="Cambria" w:hAnsi="Cambria" w:cs="Arial"/>
          <w:spacing w:val="-3"/>
          <w:sz w:val="20"/>
          <w:szCs w:val="20"/>
        </w:rPr>
        <w:t xml:space="preserve"> </w:t>
      </w:r>
    </w:p>
    <w:p w:rsidR="00D00F6E" w:rsidRPr="00AE2985" w:rsidRDefault="00D00F6E" w:rsidP="00D00F6E">
      <w:pPr>
        <w:ind w:left="720"/>
        <w:jc w:val="both"/>
        <w:rPr>
          <w:rFonts w:ascii="Cambria" w:hAnsi="Cambria" w:cs="Arial"/>
          <w:spacing w:val="-3"/>
          <w:sz w:val="20"/>
          <w:szCs w:val="20"/>
        </w:rPr>
      </w:pPr>
    </w:p>
    <w:p w:rsidR="00D00F6E" w:rsidRPr="00AE2985" w:rsidRDefault="00D00F6E" w:rsidP="00D00F6E">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napToGrid w:val="0"/>
        <w:ind w:left="0" w:firstLine="720"/>
        <w:jc w:val="both"/>
        <w:rPr>
          <w:rFonts w:ascii="Cambria" w:hAnsi="Cambria" w:cs="Arial"/>
          <w:spacing w:val="-3"/>
          <w:sz w:val="20"/>
          <w:szCs w:val="20"/>
        </w:rPr>
      </w:pPr>
      <w:r w:rsidRPr="00AE2985">
        <w:rPr>
          <w:rFonts w:ascii="Cambria" w:hAnsi="Cambria"/>
          <w:sz w:val="20"/>
          <w:szCs w:val="20"/>
        </w:rPr>
        <w:lastRenderedPageBreak/>
        <w:t>As provided for in the Commission’s Rules of Procedure and upheld by the Inter-American Court of Human Rights, whenever a State alleges that the petitioner has failed to exhaust domestic remedies, it has the burden of demonstrating that the remedies that have not been exhausted are “adequate” for remedying the alleged violation, which means that the function of such remedies under the domestic legal system is suitable for protecting the legal right that has been infringed</w:t>
      </w:r>
      <w:r w:rsidRPr="00AE2985">
        <w:rPr>
          <w:rStyle w:val="FootnoteReference"/>
          <w:rFonts w:ascii="Cambria" w:hAnsi="Cambria"/>
          <w:sz w:val="20"/>
          <w:szCs w:val="20"/>
        </w:rPr>
        <w:footnoteReference w:id="4"/>
      </w:r>
      <w:r w:rsidRPr="00AE2985">
        <w:rPr>
          <w:rFonts w:ascii="Cambria" w:hAnsi="Cambria"/>
          <w:sz w:val="20"/>
          <w:szCs w:val="20"/>
        </w:rPr>
        <w:t xml:space="preserve">. </w:t>
      </w:r>
    </w:p>
    <w:p w:rsidR="00D00F6E" w:rsidRPr="00AE2985" w:rsidRDefault="00D00F6E" w:rsidP="00D00F6E">
      <w:pPr>
        <w:ind w:firstLine="720"/>
        <w:jc w:val="both"/>
        <w:rPr>
          <w:rFonts w:ascii="Cambria" w:hAnsi="Cambria"/>
          <w:sz w:val="20"/>
          <w:szCs w:val="20"/>
        </w:rPr>
      </w:pPr>
    </w:p>
    <w:p w:rsidR="00D00F6E" w:rsidRPr="00AE2985" w:rsidRDefault="00D00F6E" w:rsidP="00D00F6E">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napToGrid w:val="0"/>
        <w:ind w:left="0" w:firstLine="720"/>
        <w:jc w:val="both"/>
        <w:rPr>
          <w:rFonts w:ascii="Cambria" w:hAnsi="Cambria" w:cs="Arial"/>
          <w:spacing w:val="-3"/>
          <w:sz w:val="20"/>
          <w:szCs w:val="20"/>
        </w:rPr>
      </w:pPr>
      <w:r w:rsidRPr="00AE2985">
        <w:rPr>
          <w:rFonts w:ascii="Cambria" w:hAnsi="Cambria"/>
          <w:sz w:val="20"/>
          <w:szCs w:val="20"/>
        </w:rPr>
        <w:t>The Court, as well as the Commission, has held on repeated occasions that “[...] the rule which requires the prior exhaustion of domestic remedies is designed for the benefit of the State, for that rule seeks to excuse the State from having to respond to charges before an international body for acts imputed to it before it has had the opportunity to remedy them by internal means</w:t>
      </w:r>
      <w:r w:rsidRPr="00AE2985">
        <w:rPr>
          <w:rStyle w:val="FootnoteReference"/>
          <w:rFonts w:ascii="Cambria" w:hAnsi="Cambria"/>
          <w:sz w:val="20"/>
          <w:szCs w:val="20"/>
        </w:rPr>
        <w:footnoteReference w:id="5"/>
      </w:r>
      <w:r w:rsidRPr="00AE2985">
        <w:rPr>
          <w:rFonts w:ascii="Cambria" w:hAnsi="Cambria"/>
          <w:sz w:val="20"/>
          <w:szCs w:val="20"/>
        </w:rPr>
        <w:t>. Therefore, if the alleged victim raised the issue by any lawful and appropriate alternative under the domestic juridical system and the State had the opportunity to remedy the matter within its jurisdiction, then the purpose of the international rule has thus been served</w:t>
      </w:r>
      <w:r w:rsidRPr="00AE2985">
        <w:rPr>
          <w:rStyle w:val="FootnoteReference"/>
          <w:rFonts w:ascii="Cambria" w:hAnsi="Cambria"/>
          <w:sz w:val="20"/>
          <w:szCs w:val="20"/>
        </w:rPr>
        <w:footnoteReference w:id="6"/>
      </w:r>
      <w:r w:rsidRPr="00AE2985">
        <w:rPr>
          <w:rFonts w:ascii="Cambria" w:hAnsi="Cambria"/>
          <w:sz w:val="20"/>
          <w:szCs w:val="20"/>
        </w:rPr>
        <w:t>.</w:t>
      </w:r>
    </w:p>
    <w:p w:rsidR="00D00F6E" w:rsidRPr="00AE2985" w:rsidRDefault="00D00F6E" w:rsidP="00D00F6E">
      <w:pPr>
        <w:ind w:firstLine="720"/>
        <w:jc w:val="both"/>
        <w:rPr>
          <w:rFonts w:ascii="Cambria" w:hAnsi="Cambria" w:cs="Arial"/>
          <w:spacing w:val="-3"/>
          <w:sz w:val="20"/>
          <w:szCs w:val="20"/>
        </w:rPr>
      </w:pPr>
    </w:p>
    <w:p w:rsidR="00D00F6E" w:rsidRPr="00AE2985" w:rsidRDefault="00D00F6E" w:rsidP="00D00F6E">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napToGrid w:val="0"/>
        <w:ind w:left="0" w:firstLine="720"/>
        <w:jc w:val="both"/>
        <w:rPr>
          <w:rFonts w:ascii="Cambria" w:hAnsi="Cambria" w:cs="Arial"/>
          <w:spacing w:val="-3"/>
          <w:sz w:val="20"/>
          <w:szCs w:val="20"/>
        </w:rPr>
      </w:pPr>
      <w:r w:rsidRPr="00AE2985">
        <w:rPr>
          <w:rFonts w:ascii="Cambria" w:hAnsi="Cambria"/>
          <w:sz w:val="20"/>
          <w:szCs w:val="20"/>
        </w:rPr>
        <w:t>The petitioner’s plea falls within the exception to prior exhaustion of domestic remedies provided for under Article 46(2)(a) of the Convention, which provides that said exception shall apply when “</w:t>
      </w:r>
      <w:r w:rsidRPr="00AE2985">
        <w:rPr>
          <w:rFonts w:ascii="Cambria" w:hAnsi="Cambria" w:cs="Tahoma"/>
          <w:sz w:val="20"/>
          <w:szCs w:val="20"/>
        </w:rPr>
        <w:t>the domestic legislation of the State concerned does not afford due process of law for the protection of the right or rights that have allegedly been violated.”  The Commission notes that the merits of the petitioner’s claim are grounded in an alleged failure to ensure legal due process through access to effective and prompt remedies to the actions or omissions of public officials and the grave consequences their conduct has had for the child and his mother, leading to a situation of ongoing suffering for more than ten years.</w:t>
      </w:r>
      <w:r w:rsidRPr="00AE2985">
        <w:rPr>
          <w:rFonts w:ascii="Cambria" w:hAnsi="Cambria"/>
          <w:sz w:val="20"/>
          <w:szCs w:val="20"/>
        </w:rPr>
        <w:t xml:space="preserve"> </w:t>
      </w:r>
    </w:p>
    <w:p w:rsidR="00D00F6E" w:rsidRPr="00AE2985" w:rsidRDefault="00D00F6E" w:rsidP="00D00F6E">
      <w:pPr>
        <w:ind w:firstLine="720"/>
        <w:jc w:val="both"/>
        <w:rPr>
          <w:rFonts w:ascii="Cambria" w:hAnsi="Cambria" w:cs="Arial"/>
          <w:spacing w:val="-3"/>
          <w:sz w:val="20"/>
          <w:szCs w:val="20"/>
        </w:rPr>
      </w:pPr>
    </w:p>
    <w:p w:rsidR="00D00F6E" w:rsidRPr="00AE2985" w:rsidRDefault="00D00F6E" w:rsidP="00D00F6E">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napToGrid w:val="0"/>
        <w:ind w:left="0" w:firstLine="720"/>
        <w:jc w:val="both"/>
        <w:rPr>
          <w:rFonts w:ascii="Cambria" w:hAnsi="Cambria" w:cs="Arial"/>
          <w:spacing w:val="-3"/>
          <w:sz w:val="20"/>
          <w:szCs w:val="20"/>
        </w:rPr>
      </w:pPr>
      <w:r w:rsidRPr="00AE2985">
        <w:rPr>
          <w:rFonts w:ascii="Cambria" w:hAnsi="Cambria" w:cs="Arial"/>
          <w:spacing w:val="-3"/>
          <w:sz w:val="20"/>
          <w:szCs w:val="20"/>
        </w:rPr>
        <w:t xml:space="preserve">The State for its part alleges that the petition has not met the requirement set forth in Article 46(1) of American Convention to have exhausted domestic legal remedies, as the petitioners did not seek to file a civil suit for compensation of damages. </w:t>
      </w:r>
    </w:p>
    <w:p w:rsidR="00D00F6E" w:rsidRPr="00AE2985" w:rsidRDefault="00D00F6E" w:rsidP="00D00F6E">
      <w:pPr>
        <w:ind w:firstLine="720"/>
        <w:jc w:val="both"/>
        <w:rPr>
          <w:rFonts w:ascii="Cambria" w:hAnsi="Cambria"/>
          <w:sz w:val="20"/>
          <w:szCs w:val="20"/>
        </w:rPr>
      </w:pPr>
    </w:p>
    <w:p w:rsidR="00D00F6E" w:rsidRPr="00AE2985" w:rsidRDefault="00D00F6E" w:rsidP="00D00F6E">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napToGrid w:val="0"/>
        <w:ind w:left="0" w:firstLine="720"/>
        <w:jc w:val="both"/>
        <w:rPr>
          <w:rFonts w:ascii="Cambria" w:hAnsi="Cambria" w:cs="Arial"/>
          <w:spacing w:val="-3"/>
          <w:sz w:val="20"/>
          <w:szCs w:val="20"/>
        </w:rPr>
      </w:pPr>
      <w:r w:rsidRPr="00AE2985">
        <w:rPr>
          <w:rFonts w:ascii="Cambria" w:hAnsi="Cambria"/>
          <w:sz w:val="20"/>
          <w:szCs w:val="20"/>
        </w:rPr>
        <w:t>For purposes of the admissibility of the instant case, the Commission notes that in keeping with the circumstances of the cases and differing domestic laws, persons may in these types of cases use two court proceedings: civil proceedings or criminal proceedings, if both are feasible. Pursuant to the principles of applicable international law regarding exhaustion of domestic remedies, out of the multiple remedies that the legal system may offer, it is sufficient to have exhausted [the remedies of] one of the suitable types of proceedings available.</w:t>
      </w:r>
    </w:p>
    <w:p w:rsidR="00D00F6E" w:rsidRPr="00AE2985" w:rsidRDefault="00D00F6E" w:rsidP="00D00F6E">
      <w:pPr>
        <w:jc w:val="both"/>
        <w:rPr>
          <w:rFonts w:ascii="Cambria" w:hAnsi="Cambria" w:cs="Arial"/>
          <w:spacing w:val="-3"/>
          <w:sz w:val="20"/>
          <w:szCs w:val="20"/>
        </w:rPr>
      </w:pPr>
    </w:p>
    <w:p w:rsidR="00D00F6E" w:rsidRPr="00AE2985" w:rsidRDefault="00D00F6E" w:rsidP="00D00F6E">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napToGrid w:val="0"/>
        <w:ind w:left="0" w:firstLine="720"/>
        <w:jc w:val="both"/>
        <w:rPr>
          <w:rFonts w:ascii="Cambria" w:hAnsi="Cambria" w:cs="Arial"/>
          <w:spacing w:val="-3"/>
          <w:sz w:val="20"/>
          <w:szCs w:val="20"/>
        </w:rPr>
      </w:pPr>
      <w:r w:rsidRPr="00AE2985">
        <w:rPr>
          <w:rFonts w:ascii="Cambria" w:hAnsi="Cambria" w:cs="Arial"/>
          <w:spacing w:val="-3"/>
          <w:sz w:val="20"/>
          <w:szCs w:val="20"/>
        </w:rPr>
        <w:t>In relation to the State’s assertion that it was necessary to have filed a civil action for damages, the IACHR has provided that</w:t>
      </w:r>
      <w:r w:rsidRPr="00AE2985">
        <w:rPr>
          <w:rFonts w:ascii="Cambria" w:hAnsi="Cambria"/>
          <w:snapToGrid w:val="0"/>
          <w:sz w:val="20"/>
          <w:szCs w:val="20"/>
        </w:rPr>
        <w:t>:</w:t>
      </w:r>
    </w:p>
    <w:p w:rsidR="00D00F6E" w:rsidRPr="00AE2985" w:rsidRDefault="00D00F6E" w:rsidP="00D00F6E">
      <w:pPr>
        <w:jc w:val="both"/>
        <w:rPr>
          <w:rFonts w:ascii="Cambria" w:hAnsi="Cambria" w:cs="Arial"/>
          <w:spacing w:val="-3"/>
          <w:sz w:val="20"/>
          <w:szCs w:val="20"/>
        </w:rPr>
      </w:pPr>
    </w:p>
    <w:p w:rsidR="00D00F6E" w:rsidRPr="00AE2985" w:rsidRDefault="00D00F6E" w:rsidP="00D00F6E">
      <w:pPr>
        <w:ind w:left="720" w:right="720"/>
        <w:jc w:val="both"/>
        <w:rPr>
          <w:rFonts w:ascii="Cambria" w:hAnsi="Cambria"/>
          <w:sz w:val="20"/>
          <w:szCs w:val="20"/>
        </w:rPr>
      </w:pPr>
      <w:r w:rsidRPr="00AE2985">
        <w:rPr>
          <w:rFonts w:ascii="Cambria" w:hAnsi="Cambria"/>
          <w:sz w:val="20"/>
          <w:szCs w:val="20"/>
        </w:rPr>
        <w:t>The requirement to exhaust domestic resources does not mean that the alleged victims are required to exhaust all remedies available to them.</w:t>
      </w:r>
      <w:r w:rsidRPr="00AE2985">
        <w:rPr>
          <w:rStyle w:val="FootnoteReference"/>
          <w:rFonts w:ascii="Cambria" w:hAnsi="Cambria"/>
          <w:sz w:val="20"/>
          <w:szCs w:val="20"/>
        </w:rPr>
        <w:footnoteReference w:id="7"/>
      </w:r>
    </w:p>
    <w:p w:rsidR="00D00F6E" w:rsidRPr="00AE2985" w:rsidRDefault="00D00F6E" w:rsidP="00D00F6E">
      <w:pPr>
        <w:ind w:left="720" w:right="720"/>
        <w:jc w:val="both"/>
        <w:rPr>
          <w:rFonts w:ascii="Cambria" w:hAnsi="Cambria"/>
          <w:sz w:val="20"/>
          <w:szCs w:val="20"/>
        </w:rPr>
      </w:pPr>
    </w:p>
    <w:p w:rsidR="00D00F6E" w:rsidRPr="00AE2985" w:rsidRDefault="00D00F6E" w:rsidP="00D00F6E">
      <w:pPr>
        <w:ind w:left="720" w:right="720"/>
        <w:jc w:val="both"/>
        <w:rPr>
          <w:rFonts w:ascii="Cambria" w:hAnsi="Cambria"/>
          <w:sz w:val="20"/>
          <w:szCs w:val="20"/>
        </w:rPr>
      </w:pPr>
      <w:r w:rsidRPr="00AE2985">
        <w:rPr>
          <w:rFonts w:ascii="Cambria" w:hAnsi="Cambria"/>
          <w:sz w:val="20"/>
          <w:szCs w:val="20"/>
        </w:rPr>
        <w:t>If the alleged victim raised the issue by any lawful and appropriate alternative under the domestic juridical system and the State had the opportunity to remedy the matter within its jurisdiction, then the purpose of the international rule has thus been served</w:t>
      </w:r>
      <w:r w:rsidRPr="00AE2985">
        <w:rPr>
          <w:rStyle w:val="FootnoteReference"/>
          <w:rFonts w:ascii="Cambria" w:hAnsi="Cambria"/>
          <w:sz w:val="20"/>
          <w:szCs w:val="20"/>
        </w:rPr>
        <w:footnoteReference w:id="8"/>
      </w:r>
      <w:r w:rsidRPr="00AE2985">
        <w:rPr>
          <w:rFonts w:ascii="Cambria" w:hAnsi="Cambria"/>
          <w:sz w:val="20"/>
          <w:szCs w:val="20"/>
        </w:rPr>
        <w:t>.</w:t>
      </w:r>
    </w:p>
    <w:p w:rsidR="00D00F6E" w:rsidRPr="00AE2985" w:rsidRDefault="00D00F6E" w:rsidP="00D00F6E">
      <w:pPr>
        <w:ind w:left="720" w:right="720"/>
        <w:jc w:val="both"/>
        <w:rPr>
          <w:rFonts w:ascii="Cambria" w:hAnsi="Cambria"/>
          <w:sz w:val="20"/>
          <w:szCs w:val="20"/>
        </w:rPr>
      </w:pPr>
    </w:p>
    <w:p w:rsidR="00D00F6E" w:rsidRPr="00AE2985" w:rsidRDefault="00D00F6E" w:rsidP="00D00F6E">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napToGrid w:val="0"/>
        <w:ind w:left="0" w:firstLine="720"/>
        <w:jc w:val="both"/>
        <w:rPr>
          <w:rFonts w:ascii="Cambria" w:hAnsi="Cambria" w:cs="Arial"/>
          <w:spacing w:val="-3"/>
          <w:sz w:val="20"/>
          <w:szCs w:val="20"/>
        </w:rPr>
      </w:pPr>
      <w:r w:rsidRPr="00AE2985">
        <w:rPr>
          <w:rFonts w:ascii="Cambria" w:hAnsi="Cambria" w:cs="Arial"/>
          <w:spacing w:val="-3"/>
          <w:sz w:val="20"/>
          <w:szCs w:val="20"/>
        </w:rPr>
        <w:t>In the instant case, the petitioners opted for criminal proceedings. Under these proceedings, the last decision was notified on May 8, 2009, pursuant to which the acquittal of the defendants was made final. In keeping with the foregoing, the Commission considers that the domestic remedies in this case have been exhausted.</w:t>
      </w:r>
    </w:p>
    <w:p w:rsidR="00D00F6E" w:rsidRPr="00AE2985" w:rsidRDefault="00D00F6E" w:rsidP="00D00F6E">
      <w:pPr>
        <w:ind w:firstLine="720"/>
        <w:jc w:val="both"/>
        <w:rPr>
          <w:rFonts w:ascii="Cambria" w:hAnsi="Cambria"/>
          <w:sz w:val="20"/>
          <w:szCs w:val="20"/>
        </w:rPr>
      </w:pPr>
    </w:p>
    <w:p w:rsidR="00D00F6E" w:rsidRPr="00AE2985" w:rsidRDefault="00D00F6E" w:rsidP="00D00F6E">
      <w:pPr>
        <w:pStyle w:val="Heading3"/>
        <w:spacing w:before="0"/>
        <w:ind w:firstLine="720"/>
        <w:rPr>
          <w:rFonts w:ascii="Cambria" w:eastAsia="Times New Roman" w:hAnsi="Cambria" w:cs="Arial"/>
          <w:bCs w:val="0"/>
          <w:snapToGrid w:val="0"/>
          <w:color w:val="auto"/>
          <w:spacing w:val="-3"/>
          <w:sz w:val="20"/>
          <w:szCs w:val="20"/>
        </w:rPr>
      </w:pPr>
      <w:r w:rsidRPr="00AE2985">
        <w:rPr>
          <w:rFonts w:ascii="Cambria" w:eastAsia="Times New Roman" w:hAnsi="Cambria" w:cs="Arial"/>
          <w:bCs w:val="0"/>
          <w:snapToGrid w:val="0"/>
          <w:color w:val="auto"/>
          <w:spacing w:val="-3"/>
          <w:sz w:val="20"/>
          <w:szCs w:val="20"/>
        </w:rPr>
        <w:t>2.</w:t>
      </w:r>
      <w:r w:rsidRPr="00AE2985">
        <w:rPr>
          <w:rFonts w:ascii="Cambria" w:eastAsia="Times New Roman" w:hAnsi="Cambria" w:cs="Arial"/>
          <w:bCs w:val="0"/>
          <w:snapToGrid w:val="0"/>
          <w:color w:val="auto"/>
          <w:spacing w:val="-3"/>
          <w:sz w:val="20"/>
          <w:szCs w:val="20"/>
        </w:rPr>
        <w:tab/>
        <w:t>Deadline for Submitting the Petition</w:t>
      </w:r>
    </w:p>
    <w:p w:rsidR="00D00F6E" w:rsidRPr="00AE2985" w:rsidRDefault="00D00F6E" w:rsidP="00D00F6E">
      <w:pPr>
        <w:ind w:firstLine="720"/>
        <w:jc w:val="both"/>
        <w:rPr>
          <w:rFonts w:ascii="Cambria" w:hAnsi="Cambria"/>
          <w:sz w:val="20"/>
          <w:szCs w:val="20"/>
        </w:rPr>
      </w:pPr>
    </w:p>
    <w:p w:rsidR="00D00F6E" w:rsidRPr="00AE2985" w:rsidRDefault="00D00F6E" w:rsidP="00D00F6E">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napToGrid w:val="0"/>
        <w:ind w:left="0" w:firstLine="720"/>
        <w:jc w:val="both"/>
        <w:rPr>
          <w:rFonts w:ascii="Cambria" w:hAnsi="Cambria" w:cs="Arial"/>
          <w:spacing w:val="-3"/>
          <w:sz w:val="20"/>
          <w:szCs w:val="20"/>
        </w:rPr>
      </w:pPr>
      <w:r w:rsidRPr="00AE2985">
        <w:rPr>
          <w:rFonts w:ascii="Cambria" w:hAnsi="Cambria"/>
          <w:sz w:val="20"/>
          <w:szCs w:val="20"/>
        </w:rPr>
        <w:t>Article 46(1</w:t>
      </w:r>
      <w:proofErr w:type="gramStart"/>
      <w:r w:rsidRPr="00AE2985">
        <w:rPr>
          <w:rFonts w:ascii="Cambria" w:hAnsi="Cambria"/>
          <w:sz w:val="20"/>
          <w:szCs w:val="20"/>
        </w:rPr>
        <w:t>)(</w:t>
      </w:r>
      <w:proofErr w:type="gramEnd"/>
      <w:r w:rsidRPr="00AE2985">
        <w:rPr>
          <w:rFonts w:ascii="Cambria" w:hAnsi="Cambria"/>
          <w:sz w:val="20"/>
          <w:szCs w:val="20"/>
        </w:rPr>
        <w:t>b) of the American Convention stipulates that for a petition to be admissible before the Commission, it must be lodged within a period of six months from the date on which the party alleging violation of his rights was notified of the final decision. In the instant case, the petition was received on October 27, 2009, and the last ruling issued by domestic courts was notified on May 8, 2009. Therefore, the Commission considers that the admissibility requirement has been met with regard to the deadline for submission.</w:t>
      </w:r>
    </w:p>
    <w:p w:rsidR="00D00F6E" w:rsidRPr="00AE2985" w:rsidRDefault="00D00F6E" w:rsidP="00D00F6E">
      <w:pPr>
        <w:ind w:firstLine="720"/>
        <w:jc w:val="both"/>
        <w:rPr>
          <w:rFonts w:ascii="Cambria" w:hAnsi="Cambria"/>
          <w:sz w:val="20"/>
          <w:szCs w:val="20"/>
        </w:rPr>
      </w:pPr>
    </w:p>
    <w:p w:rsidR="00D00F6E" w:rsidRPr="00AE2985" w:rsidRDefault="00D00F6E" w:rsidP="00D00F6E">
      <w:pPr>
        <w:pStyle w:val="Heading3"/>
        <w:spacing w:before="0"/>
        <w:ind w:firstLine="720"/>
        <w:jc w:val="both"/>
        <w:rPr>
          <w:rFonts w:ascii="Cambria" w:eastAsia="Times New Roman" w:hAnsi="Cambria" w:cs="Arial"/>
          <w:bCs w:val="0"/>
          <w:snapToGrid w:val="0"/>
          <w:color w:val="auto"/>
          <w:spacing w:val="-3"/>
          <w:sz w:val="20"/>
          <w:szCs w:val="20"/>
        </w:rPr>
      </w:pPr>
      <w:r w:rsidRPr="00AE2985">
        <w:rPr>
          <w:rFonts w:ascii="Cambria" w:eastAsia="Times New Roman" w:hAnsi="Cambria" w:cs="Arial"/>
          <w:bCs w:val="0"/>
          <w:snapToGrid w:val="0"/>
          <w:color w:val="auto"/>
          <w:spacing w:val="-3"/>
          <w:sz w:val="20"/>
          <w:szCs w:val="20"/>
        </w:rPr>
        <w:t>3.</w:t>
      </w:r>
      <w:r w:rsidRPr="00AE2985">
        <w:rPr>
          <w:rFonts w:ascii="Cambria" w:eastAsia="Times New Roman" w:hAnsi="Cambria" w:cs="Arial"/>
          <w:bCs w:val="0"/>
          <w:snapToGrid w:val="0"/>
          <w:color w:val="auto"/>
          <w:spacing w:val="-3"/>
          <w:sz w:val="20"/>
          <w:szCs w:val="20"/>
        </w:rPr>
        <w:tab/>
        <w:t>Duplication [of Proceedings] and Res Judicata</w:t>
      </w:r>
    </w:p>
    <w:p w:rsidR="00D00F6E" w:rsidRPr="00AE2985" w:rsidRDefault="00D00F6E" w:rsidP="00D00F6E">
      <w:pPr>
        <w:ind w:firstLine="720"/>
        <w:jc w:val="both"/>
        <w:rPr>
          <w:rFonts w:ascii="Cambria" w:hAnsi="Cambria" w:cs="Arial"/>
          <w:spacing w:val="-3"/>
          <w:sz w:val="20"/>
          <w:szCs w:val="20"/>
        </w:rPr>
      </w:pPr>
    </w:p>
    <w:p w:rsidR="00D00F6E" w:rsidRPr="00AE2985" w:rsidRDefault="00D00F6E" w:rsidP="00D00F6E">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napToGrid w:val="0"/>
        <w:ind w:left="0" w:firstLine="720"/>
        <w:jc w:val="both"/>
        <w:rPr>
          <w:rFonts w:ascii="Cambria" w:hAnsi="Cambria" w:cs="Arial"/>
          <w:spacing w:val="-3"/>
          <w:sz w:val="20"/>
          <w:szCs w:val="20"/>
        </w:rPr>
      </w:pPr>
      <w:r w:rsidRPr="00AE2985">
        <w:rPr>
          <w:rFonts w:ascii="Cambria" w:hAnsi="Cambria"/>
          <w:snapToGrid w:val="0"/>
          <w:sz w:val="20"/>
          <w:szCs w:val="20"/>
        </w:rPr>
        <w:t>The case file does not reveal that the matter addressed in the petition is pending in any other international settlement proceedings, nor that it reproduces a petition that has already been reviewed by this or any other international body. Therefore, the requirements provided for under Articles 46(1</w:t>
      </w:r>
      <w:proofErr w:type="gramStart"/>
      <w:r w:rsidRPr="00AE2985">
        <w:rPr>
          <w:rFonts w:ascii="Cambria" w:hAnsi="Cambria"/>
          <w:snapToGrid w:val="0"/>
          <w:sz w:val="20"/>
          <w:szCs w:val="20"/>
        </w:rPr>
        <w:t>)(</w:t>
      </w:r>
      <w:proofErr w:type="gramEnd"/>
      <w:r w:rsidRPr="00AE2985">
        <w:rPr>
          <w:rFonts w:ascii="Cambria" w:hAnsi="Cambria"/>
          <w:snapToGrid w:val="0"/>
          <w:sz w:val="20"/>
          <w:szCs w:val="20"/>
        </w:rPr>
        <w:t>c) y 47(d) of the Convention are considered to have been met.</w:t>
      </w:r>
    </w:p>
    <w:p w:rsidR="00D00F6E" w:rsidRPr="00AE2985" w:rsidRDefault="00D00F6E" w:rsidP="00D00F6E">
      <w:pPr>
        <w:ind w:firstLine="720"/>
        <w:jc w:val="both"/>
        <w:rPr>
          <w:rFonts w:ascii="Cambria" w:hAnsi="Cambria" w:cs="Arial"/>
          <w:spacing w:val="-3"/>
          <w:sz w:val="20"/>
          <w:szCs w:val="20"/>
        </w:rPr>
      </w:pPr>
    </w:p>
    <w:p w:rsidR="00D00F6E" w:rsidRPr="00AE2985" w:rsidRDefault="00D00F6E" w:rsidP="00D00F6E">
      <w:pPr>
        <w:pStyle w:val="Heading3"/>
        <w:spacing w:before="0"/>
        <w:ind w:firstLine="720"/>
        <w:jc w:val="both"/>
        <w:rPr>
          <w:rFonts w:ascii="Cambria" w:eastAsia="Times New Roman" w:hAnsi="Cambria" w:cs="Arial"/>
          <w:bCs w:val="0"/>
          <w:snapToGrid w:val="0"/>
          <w:color w:val="auto"/>
          <w:spacing w:val="-3"/>
          <w:sz w:val="20"/>
          <w:szCs w:val="20"/>
        </w:rPr>
      </w:pPr>
      <w:r w:rsidRPr="00AE2985">
        <w:rPr>
          <w:rFonts w:ascii="Cambria" w:eastAsia="Times New Roman" w:hAnsi="Cambria" w:cs="Arial"/>
          <w:bCs w:val="0"/>
          <w:snapToGrid w:val="0"/>
          <w:color w:val="auto"/>
          <w:spacing w:val="-3"/>
          <w:sz w:val="20"/>
          <w:szCs w:val="20"/>
        </w:rPr>
        <w:t>4.</w:t>
      </w:r>
      <w:r w:rsidRPr="00AE2985">
        <w:rPr>
          <w:rFonts w:ascii="Cambria" w:eastAsia="Times New Roman" w:hAnsi="Cambria" w:cs="Arial"/>
          <w:bCs w:val="0"/>
          <w:snapToGrid w:val="0"/>
          <w:color w:val="auto"/>
          <w:spacing w:val="-3"/>
          <w:sz w:val="20"/>
          <w:szCs w:val="20"/>
        </w:rPr>
        <w:tab/>
        <w:t>Characterization of the Facts Alleged</w:t>
      </w:r>
    </w:p>
    <w:p w:rsidR="00D00F6E" w:rsidRPr="00AE2985" w:rsidRDefault="00D00F6E" w:rsidP="00D00F6E">
      <w:pPr>
        <w:ind w:firstLine="720"/>
        <w:jc w:val="both"/>
        <w:rPr>
          <w:rFonts w:ascii="Cambria" w:hAnsi="Cambria" w:cs="Arial"/>
          <w:spacing w:val="-3"/>
          <w:sz w:val="20"/>
          <w:szCs w:val="20"/>
        </w:rPr>
      </w:pPr>
    </w:p>
    <w:p w:rsidR="00D00F6E" w:rsidRPr="00AE2985" w:rsidRDefault="00D00F6E" w:rsidP="00D00F6E">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napToGrid w:val="0"/>
        <w:ind w:left="0" w:firstLine="720"/>
        <w:jc w:val="both"/>
        <w:rPr>
          <w:rFonts w:ascii="Cambria" w:hAnsi="Cambria" w:cs="Arial"/>
          <w:spacing w:val="-3"/>
          <w:sz w:val="20"/>
          <w:szCs w:val="20"/>
        </w:rPr>
      </w:pPr>
      <w:r w:rsidRPr="00AE2985">
        <w:rPr>
          <w:rFonts w:ascii="Cambria" w:hAnsi="Cambria"/>
          <w:sz w:val="20"/>
          <w:szCs w:val="20"/>
        </w:rPr>
        <w:t xml:space="preserve">For purposes of admissibility, it is incumbent upon the Commission to decide whether the petition describes facts that may characterize a violation, pursuant to the provisions of Article 47(b) of the Convention, or whether, in keeping with subparagraph (c) of said Article, the petition is “manifestly groundless” or “obviously out of order.” At this procedural stage, the Commission is to conduct a </w:t>
      </w:r>
      <w:r w:rsidRPr="00AE2985">
        <w:rPr>
          <w:rFonts w:ascii="Cambria" w:hAnsi="Cambria"/>
          <w:i/>
          <w:sz w:val="20"/>
          <w:szCs w:val="20"/>
        </w:rPr>
        <w:t>prima facie</w:t>
      </w:r>
      <w:r w:rsidRPr="00AE2985">
        <w:rPr>
          <w:rFonts w:ascii="Cambria" w:hAnsi="Cambria"/>
          <w:sz w:val="20"/>
          <w:szCs w:val="20"/>
        </w:rPr>
        <w:t xml:space="preserve"> evaluation, not for purposes of establishing the existence of violations of the American Convention as alleged, rather of reviewing the petition to ascertain whether it reports facts that may potentially constitute violations of rights ensured under said instrument. This review does not imply any prejudgment of or preliminary opinion on the merits of the case.</w:t>
      </w:r>
      <w:r w:rsidRPr="00AE2985">
        <w:rPr>
          <w:rStyle w:val="FootnoteReference"/>
          <w:rFonts w:ascii="Cambria" w:hAnsi="Cambria"/>
          <w:sz w:val="20"/>
          <w:szCs w:val="20"/>
        </w:rPr>
        <w:footnoteReference w:id="9"/>
      </w:r>
    </w:p>
    <w:p w:rsidR="00D00F6E" w:rsidRPr="00AE2985" w:rsidRDefault="00D00F6E" w:rsidP="00D00F6E">
      <w:pPr>
        <w:ind w:firstLine="720"/>
        <w:jc w:val="both"/>
        <w:rPr>
          <w:rFonts w:ascii="Cambria" w:hAnsi="Cambria" w:cs="Arial"/>
          <w:spacing w:val="-3"/>
          <w:sz w:val="20"/>
          <w:szCs w:val="20"/>
        </w:rPr>
      </w:pPr>
    </w:p>
    <w:p w:rsidR="00D00F6E" w:rsidRPr="00AE2985" w:rsidRDefault="00D00F6E" w:rsidP="00D00F6E">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napToGrid w:val="0"/>
        <w:ind w:left="0" w:firstLine="720"/>
        <w:jc w:val="both"/>
        <w:rPr>
          <w:rFonts w:ascii="Cambria" w:hAnsi="Cambria" w:cs="Arial"/>
          <w:spacing w:val="-3"/>
          <w:sz w:val="20"/>
          <w:szCs w:val="20"/>
        </w:rPr>
      </w:pPr>
      <w:r w:rsidRPr="00AE2985">
        <w:rPr>
          <w:rFonts w:ascii="Cambria" w:hAnsi="Cambria"/>
          <w:sz w:val="20"/>
          <w:szCs w:val="20"/>
        </w:rPr>
        <w:t>Furthermore, neither the American Convention nor the IACHR’s Rules of Procedure require the petitioner to identify the specific rights that have allegedly been violated by the State in the matter brought before the Commission, although petitioners may do so. It is incumbent on the Commission, in keeping with the system’s case law, to determine in its admissibility reports which provisions of the relevant Inter-American instruments are applicable and may have been violated if the alleged facts were proven based on sufficient evidence.</w:t>
      </w:r>
    </w:p>
    <w:p w:rsidR="00D00F6E" w:rsidRPr="00AE2985" w:rsidRDefault="00D00F6E" w:rsidP="00D00F6E">
      <w:pPr>
        <w:ind w:firstLine="720"/>
        <w:jc w:val="both"/>
        <w:rPr>
          <w:rFonts w:ascii="Cambria" w:hAnsi="Cambria"/>
          <w:b/>
          <w:i/>
          <w:snapToGrid w:val="0"/>
          <w:sz w:val="20"/>
          <w:szCs w:val="20"/>
        </w:rPr>
      </w:pPr>
    </w:p>
    <w:p w:rsidR="00D00F6E" w:rsidRPr="00AE2985" w:rsidRDefault="00D00F6E" w:rsidP="00D00F6E">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napToGrid w:val="0"/>
        <w:ind w:left="0" w:firstLine="720"/>
        <w:jc w:val="both"/>
        <w:rPr>
          <w:rFonts w:ascii="Cambria" w:hAnsi="Cambria" w:cs="Arial"/>
          <w:spacing w:val="-3"/>
          <w:sz w:val="20"/>
          <w:szCs w:val="20"/>
        </w:rPr>
      </w:pPr>
      <w:r w:rsidRPr="00AE2985">
        <w:rPr>
          <w:rFonts w:ascii="Cambria" w:hAnsi="Cambria"/>
          <w:snapToGrid w:val="0"/>
          <w:sz w:val="20"/>
          <w:szCs w:val="20"/>
        </w:rPr>
        <w:t xml:space="preserve">The Commission observes that the petitioners have claimed an alleged violation of guarantees of judicial protection provided for in Article 25 of the American Convention for failure to provide judicial protection in the purported facts described in the instant case. The petitioners have further claimed violation of the right to health set forth in Article 10 of the Additional Protocol to the American Convention in the Area of Economic, Social and Cultural Rights. </w:t>
      </w:r>
    </w:p>
    <w:p w:rsidR="00D00F6E" w:rsidRPr="00AE2985" w:rsidRDefault="00D00F6E" w:rsidP="00D00F6E">
      <w:pPr>
        <w:ind w:firstLine="720"/>
        <w:jc w:val="both"/>
        <w:rPr>
          <w:rFonts w:ascii="Cambria" w:hAnsi="Cambria"/>
          <w:snapToGrid w:val="0"/>
          <w:sz w:val="20"/>
          <w:szCs w:val="20"/>
        </w:rPr>
      </w:pPr>
    </w:p>
    <w:p w:rsidR="00D00F6E" w:rsidRPr="00AE2985" w:rsidRDefault="00D00F6E" w:rsidP="00D00F6E">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autoSpaceDE w:val="0"/>
        <w:autoSpaceDN w:val="0"/>
        <w:adjustRightInd w:val="0"/>
        <w:ind w:left="0" w:firstLine="720"/>
        <w:jc w:val="both"/>
        <w:rPr>
          <w:rFonts w:ascii="Cambria" w:hAnsi="Cambria" w:cs="Arial"/>
          <w:spacing w:val="-3"/>
          <w:sz w:val="20"/>
          <w:szCs w:val="20"/>
        </w:rPr>
      </w:pPr>
      <w:r w:rsidRPr="00AE2985">
        <w:rPr>
          <w:rFonts w:ascii="Cambria" w:hAnsi="Cambria"/>
          <w:snapToGrid w:val="0"/>
          <w:sz w:val="20"/>
          <w:szCs w:val="20"/>
        </w:rPr>
        <w:t xml:space="preserve">The State has alleged that the facts outlined in the petition do not constitute a violation of the rights enshrined in the American Convention, inasmuch as the State conducted a criminal investigation, which </w:t>
      </w:r>
      <w:r w:rsidRPr="00AE2985">
        <w:rPr>
          <w:rFonts w:ascii="Cambria" w:hAnsi="Cambria"/>
          <w:snapToGrid w:val="0"/>
          <w:sz w:val="20"/>
          <w:szCs w:val="20"/>
        </w:rPr>
        <w:lastRenderedPageBreak/>
        <w:t xml:space="preserve">complied with the guarantees of due process. The State has further alleged that [admitting] the case would be tantamount to fourth instance [review]. </w:t>
      </w:r>
    </w:p>
    <w:p w:rsidR="00D00F6E" w:rsidRPr="00AE2985" w:rsidRDefault="00D00F6E" w:rsidP="00D00F6E">
      <w:pPr>
        <w:pStyle w:val="ListParagraph"/>
        <w:rPr>
          <w:bCs/>
          <w:iCs/>
          <w:snapToGrid w:val="0"/>
          <w:color w:val="auto"/>
          <w:spacing w:val="-3"/>
          <w:sz w:val="20"/>
          <w:szCs w:val="20"/>
        </w:rPr>
      </w:pPr>
    </w:p>
    <w:p w:rsidR="00D00F6E" w:rsidRPr="00AE2985" w:rsidRDefault="00D00F6E" w:rsidP="00D00F6E">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autoSpaceDE w:val="0"/>
        <w:autoSpaceDN w:val="0"/>
        <w:adjustRightInd w:val="0"/>
        <w:ind w:left="0" w:firstLine="720"/>
        <w:jc w:val="both"/>
        <w:rPr>
          <w:rFonts w:ascii="Cambria" w:hAnsi="Cambria" w:cs="Arial"/>
          <w:spacing w:val="-3"/>
          <w:sz w:val="20"/>
          <w:szCs w:val="20"/>
        </w:rPr>
      </w:pPr>
      <w:r w:rsidRPr="00AE2985">
        <w:rPr>
          <w:rFonts w:ascii="Cambria" w:hAnsi="Cambria"/>
          <w:bCs/>
          <w:iCs/>
          <w:snapToGrid w:val="0"/>
          <w:spacing w:val="-3"/>
          <w:sz w:val="20"/>
          <w:szCs w:val="20"/>
        </w:rPr>
        <w:t>As concerns this argument of the Peruvian State with regard to a fourth instance [review], the Inter-American Court has provided that in order to conclude that a case is of this kind, “the applicant would need to apply to the Court to review the decision of the domestic court, […] without, in turn, alleging that such decision was a violation of international treaties over which the Court has jurisdiction.</w:t>
      </w:r>
      <w:r w:rsidRPr="00AE2985">
        <w:rPr>
          <w:rFonts w:ascii="Cambria" w:hAnsi="Cambria" w:cs="Calibri"/>
          <w:sz w:val="20"/>
          <w:szCs w:val="20"/>
        </w:rPr>
        <w:t>”</w:t>
      </w:r>
      <w:r w:rsidRPr="00AE2985">
        <w:rPr>
          <w:rStyle w:val="FootnoteReference"/>
          <w:rFonts w:ascii="Cambria" w:hAnsi="Cambria" w:cs="Calibri"/>
          <w:b/>
          <w:i/>
          <w:sz w:val="20"/>
          <w:szCs w:val="20"/>
        </w:rPr>
        <w:footnoteReference w:id="10"/>
      </w:r>
      <w:r w:rsidRPr="00AE2985">
        <w:rPr>
          <w:rFonts w:ascii="Cambria" w:hAnsi="Cambria" w:cs="Calibri"/>
          <w:sz w:val="20"/>
          <w:szCs w:val="20"/>
        </w:rPr>
        <w:t xml:space="preserve"> </w:t>
      </w:r>
      <w:r w:rsidRPr="00AE2985">
        <w:rPr>
          <w:rFonts w:ascii="Cambria" w:hAnsi="Cambria" w:cs="Arial"/>
          <w:spacing w:val="-3"/>
          <w:sz w:val="20"/>
          <w:szCs w:val="20"/>
        </w:rPr>
        <w:t xml:space="preserve">In this case, the petitioners have not requested review of the acquittal arising from the criminal proceedings, rather that a decision be made as to whether the entire proceedings were in keeping with the obligation to adequately investigate and punish the acts that allegedly violated the human rights of </w:t>
      </w:r>
      <w:r w:rsidRPr="00AE2985">
        <w:rPr>
          <w:rFonts w:ascii="Cambria" w:hAnsi="Cambria"/>
          <w:sz w:val="20"/>
          <w:szCs w:val="20"/>
        </w:rPr>
        <w:t xml:space="preserve">Sergio </w:t>
      </w:r>
      <w:proofErr w:type="spellStart"/>
      <w:r w:rsidRPr="00AE2985">
        <w:rPr>
          <w:rFonts w:ascii="Cambria" w:hAnsi="Cambria"/>
          <w:sz w:val="20"/>
          <w:szCs w:val="20"/>
        </w:rPr>
        <w:t>Jesús</w:t>
      </w:r>
      <w:proofErr w:type="spellEnd"/>
      <w:r w:rsidRPr="00AE2985">
        <w:rPr>
          <w:rFonts w:ascii="Cambria" w:hAnsi="Cambria"/>
          <w:sz w:val="20"/>
          <w:szCs w:val="20"/>
        </w:rPr>
        <w:t>, Mrs. Eulogia, and their family</w:t>
      </w:r>
      <w:r w:rsidRPr="00AE2985">
        <w:rPr>
          <w:rFonts w:ascii="Cambria" w:hAnsi="Cambria"/>
          <w:spacing w:val="-3"/>
          <w:sz w:val="20"/>
          <w:szCs w:val="20"/>
        </w:rPr>
        <w:t>.</w:t>
      </w:r>
      <w:r w:rsidRPr="00AE2985">
        <w:rPr>
          <w:rFonts w:ascii="Cambria" w:hAnsi="Cambria" w:cs="Arial"/>
          <w:spacing w:val="-3"/>
          <w:sz w:val="20"/>
          <w:szCs w:val="20"/>
        </w:rPr>
        <w:t xml:space="preserve"> </w:t>
      </w:r>
    </w:p>
    <w:p w:rsidR="00D00F6E" w:rsidRPr="00AE2985" w:rsidRDefault="00D00F6E" w:rsidP="00D00F6E">
      <w:pPr>
        <w:pStyle w:val="ListParagraph"/>
        <w:rPr>
          <w:rFonts w:cs="Arial"/>
          <w:color w:val="auto"/>
          <w:spacing w:val="-3"/>
          <w:sz w:val="20"/>
          <w:szCs w:val="20"/>
        </w:rPr>
      </w:pPr>
    </w:p>
    <w:p w:rsidR="00D00F6E" w:rsidRPr="00AE2985" w:rsidRDefault="00D00F6E" w:rsidP="00D00F6E">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autoSpaceDE w:val="0"/>
        <w:autoSpaceDN w:val="0"/>
        <w:adjustRightInd w:val="0"/>
        <w:ind w:left="0" w:firstLine="720"/>
        <w:jc w:val="both"/>
        <w:rPr>
          <w:rFonts w:ascii="Cambria" w:hAnsi="Cambria" w:cs="Arial"/>
          <w:spacing w:val="-3"/>
          <w:sz w:val="20"/>
          <w:szCs w:val="20"/>
        </w:rPr>
      </w:pPr>
      <w:r w:rsidRPr="00AE2985">
        <w:rPr>
          <w:rFonts w:ascii="Cambria" w:hAnsi="Cambria"/>
          <w:sz w:val="20"/>
          <w:szCs w:val="20"/>
        </w:rPr>
        <w:t>The Commission notes that the alleged facts that occurred before, during and after Sergio’s birth may constitute a violation of the right to a dignified life, humane treatment, and special protection by the State, in keeping with the provisions of Articles 4, 5, and 19 of the American Convention.</w:t>
      </w:r>
      <w:r w:rsidRPr="00AE2985">
        <w:rPr>
          <w:rFonts w:ascii="Cambria" w:hAnsi="Cambria"/>
          <w:b/>
          <w:i/>
          <w:sz w:val="20"/>
          <w:szCs w:val="20"/>
        </w:rPr>
        <w:t xml:space="preserve"> </w:t>
      </w:r>
    </w:p>
    <w:p w:rsidR="00D00F6E" w:rsidRPr="00AE2985" w:rsidRDefault="00D00F6E" w:rsidP="00D00F6E">
      <w:pPr>
        <w:autoSpaceDE w:val="0"/>
        <w:autoSpaceDN w:val="0"/>
        <w:adjustRightInd w:val="0"/>
        <w:ind w:left="720"/>
        <w:jc w:val="both"/>
        <w:rPr>
          <w:rFonts w:ascii="Cambria" w:hAnsi="Cambria" w:cs="Arial"/>
          <w:spacing w:val="-3"/>
          <w:sz w:val="20"/>
          <w:szCs w:val="20"/>
        </w:rPr>
      </w:pPr>
    </w:p>
    <w:p w:rsidR="00D00F6E" w:rsidRPr="00AE2985" w:rsidRDefault="00D00F6E" w:rsidP="00D00F6E">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autoSpaceDE w:val="0"/>
        <w:autoSpaceDN w:val="0"/>
        <w:adjustRightInd w:val="0"/>
        <w:ind w:left="0" w:firstLine="720"/>
        <w:jc w:val="both"/>
        <w:rPr>
          <w:rFonts w:ascii="Cambria" w:hAnsi="Cambria" w:cs="Arial"/>
          <w:spacing w:val="-3"/>
          <w:sz w:val="20"/>
          <w:szCs w:val="20"/>
        </w:rPr>
      </w:pPr>
      <w:r w:rsidRPr="00AE2985">
        <w:rPr>
          <w:rFonts w:ascii="Cambria" w:hAnsi="Cambria"/>
          <w:snapToGrid w:val="0"/>
          <w:sz w:val="20"/>
          <w:szCs w:val="20"/>
        </w:rPr>
        <w:t>The Commission furthermore considers that the alleged facts occurring before, during and after Mrs. Eulogia’s delivery may constitute a violation of the right to humane treatment, recognized under Article 5 of the American Convention, as well as a violation of Article 7 of the Inter-American Convention on the Prevention, Punishment and Eradication of Violence Against Women, in relation to Article 24 of the American Convention.</w:t>
      </w:r>
      <w:r w:rsidRPr="00AE2985">
        <w:rPr>
          <w:rFonts w:ascii="Cambria" w:hAnsi="Cambria" w:cs="Arial"/>
          <w:spacing w:val="-3"/>
          <w:sz w:val="20"/>
          <w:szCs w:val="20"/>
        </w:rPr>
        <w:t xml:space="preserve"> </w:t>
      </w:r>
    </w:p>
    <w:p w:rsidR="00D00F6E" w:rsidRPr="00AE2985" w:rsidRDefault="00D00F6E" w:rsidP="00D00F6E">
      <w:pPr>
        <w:autoSpaceDE w:val="0"/>
        <w:autoSpaceDN w:val="0"/>
        <w:adjustRightInd w:val="0"/>
        <w:ind w:left="720"/>
        <w:jc w:val="both"/>
        <w:rPr>
          <w:rFonts w:ascii="Cambria" w:hAnsi="Cambria" w:cs="Arial"/>
          <w:spacing w:val="-3"/>
          <w:sz w:val="20"/>
          <w:szCs w:val="20"/>
        </w:rPr>
      </w:pPr>
    </w:p>
    <w:p w:rsidR="00D00F6E" w:rsidRPr="00AE2985" w:rsidRDefault="00D00F6E" w:rsidP="00D00F6E">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autoSpaceDE w:val="0"/>
        <w:autoSpaceDN w:val="0"/>
        <w:adjustRightInd w:val="0"/>
        <w:ind w:left="0" w:firstLine="720"/>
        <w:jc w:val="both"/>
        <w:rPr>
          <w:rFonts w:ascii="Cambria" w:hAnsi="Cambria" w:cs="Arial"/>
          <w:spacing w:val="-3"/>
          <w:sz w:val="20"/>
          <w:szCs w:val="20"/>
        </w:rPr>
      </w:pPr>
      <w:r w:rsidRPr="00AE2985">
        <w:rPr>
          <w:rFonts w:ascii="Cambria" w:hAnsi="Cambria"/>
          <w:sz w:val="20"/>
          <w:szCs w:val="20"/>
        </w:rPr>
        <w:t xml:space="preserve">The IACHR has also concluded that the facts recounted may characterize violations of the right to humane treatment, judicial guarantees and judicial protection pursuant to the provisions of Articles 5, 8, and 25 of the American Convention to the detriment of the family; this, in relation to Article 1(1) of said Convention. </w:t>
      </w:r>
    </w:p>
    <w:p w:rsidR="00D00F6E" w:rsidRPr="00AE2985" w:rsidRDefault="00D00F6E" w:rsidP="00D00F6E">
      <w:pPr>
        <w:autoSpaceDE w:val="0"/>
        <w:autoSpaceDN w:val="0"/>
        <w:adjustRightInd w:val="0"/>
        <w:ind w:left="720"/>
        <w:jc w:val="both"/>
        <w:rPr>
          <w:rFonts w:ascii="Cambria" w:hAnsi="Cambria" w:cs="Arial"/>
          <w:spacing w:val="-3"/>
          <w:sz w:val="20"/>
          <w:szCs w:val="20"/>
        </w:rPr>
      </w:pPr>
    </w:p>
    <w:p w:rsidR="00D00F6E" w:rsidRPr="00AE2985" w:rsidRDefault="00D00F6E" w:rsidP="00D00F6E">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autoSpaceDE w:val="0"/>
        <w:autoSpaceDN w:val="0"/>
        <w:adjustRightInd w:val="0"/>
        <w:ind w:left="0" w:firstLine="720"/>
        <w:jc w:val="both"/>
        <w:rPr>
          <w:rFonts w:ascii="Cambria" w:hAnsi="Cambria" w:cs="Arial"/>
          <w:spacing w:val="-3"/>
          <w:sz w:val="20"/>
          <w:szCs w:val="20"/>
        </w:rPr>
      </w:pPr>
      <w:r w:rsidRPr="00AE2985">
        <w:rPr>
          <w:rFonts w:ascii="Cambria" w:hAnsi="Cambria"/>
          <w:sz w:val="20"/>
          <w:szCs w:val="20"/>
        </w:rPr>
        <w:t xml:space="preserve">Finally, in the merits stage, the Commission shall analyze the possible application of the State’s obligation to adopt measures to achieve the full observance of economic, social and cultural rights, to the extent allowed by available resources. </w:t>
      </w:r>
    </w:p>
    <w:p w:rsidR="00D00F6E" w:rsidRPr="00AE2985" w:rsidRDefault="00D00F6E" w:rsidP="00D00F6E">
      <w:pPr>
        <w:ind w:left="720"/>
        <w:jc w:val="both"/>
        <w:rPr>
          <w:rFonts w:ascii="Cambria" w:hAnsi="Cambria"/>
          <w:bCs/>
          <w:iCs/>
          <w:snapToGrid w:val="0"/>
          <w:spacing w:val="-3"/>
          <w:sz w:val="20"/>
          <w:szCs w:val="20"/>
        </w:rPr>
      </w:pPr>
    </w:p>
    <w:p w:rsidR="00D00F6E" w:rsidRPr="00AE2985" w:rsidRDefault="00D00F6E" w:rsidP="00D00F6E">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autoSpaceDE w:val="0"/>
        <w:autoSpaceDN w:val="0"/>
        <w:adjustRightInd w:val="0"/>
        <w:ind w:left="0" w:firstLine="720"/>
        <w:jc w:val="both"/>
        <w:rPr>
          <w:rFonts w:ascii="Cambria" w:hAnsi="Cambria" w:cs="Arial"/>
          <w:spacing w:val="-3"/>
          <w:sz w:val="20"/>
          <w:szCs w:val="20"/>
        </w:rPr>
      </w:pPr>
      <w:r w:rsidRPr="00AE2985">
        <w:rPr>
          <w:rFonts w:ascii="Cambria" w:hAnsi="Cambria"/>
          <w:snapToGrid w:val="0"/>
          <w:sz w:val="20"/>
          <w:szCs w:val="20"/>
        </w:rPr>
        <w:t>For the reasons provided for above, and given that the petition is not obviously groundless or out of order, the Commission deems that the requirements set forth in Articles 47(b) and (c) of the American Convention have been fulfilled.</w:t>
      </w:r>
      <w:r w:rsidRPr="00AE2985">
        <w:rPr>
          <w:rFonts w:ascii="Cambria" w:hAnsi="Cambria" w:cs="Arial"/>
          <w:spacing w:val="-3"/>
          <w:sz w:val="20"/>
          <w:szCs w:val="20"/>
        </w:rPr>
        <w:t xml:space="preserve"> </w:t>
      </w:r>
    </w:p>
    <w:p w:rsidR="00D00F6E" w:rsidRPr="00AE2985" w:rsidRDefault="00D00F6E" w:rsidP="00D00F6E">
      <w:pPr>
        <w:ind w:left="720"/>
        <w:jc w:val="both"/>
        <w:rPr>
          <w:rFonts w:ascii="Cambria" w:hAnsi="Cambria"/>
          <w:snapToGrid w:val="0"/>
          <w:spacing w:val="-3"/>
          <w:sz w:val="20"/>
          <w:szCs w:val="20"/>
        </w:rPr>
      </w:pPr>
    </w:p>
    <w:p w:rsidR="00D00F6E" w:rsidRPr="00AE2985" w:rsidRDefault="00D00F6E" w:rsidP="004861F1">
      <w:pPr>
        <w:pStyle w:val="Heading1"/>
        <w:rPr>
          <w:snapToGrid w:val="0"/>
        </w:rPr>
      </w:pPr>
      <w:r w:rsidRPr="00AE2985">
        <w:rPr>
          <w:snapToGrid w:val="0"/>
        </w:rPr>
        <w:t>V.</w:t>
      </w:r>
      <w:r w:rsidRPr="00AE2985">
        <w:rPr>
          <w:snapToGrid w:val="0"/>
        </w:rPr>
        <w:tab/>
        <w:t>CONCLUSIONS</w:t>
      </w:r>
    </w:p>
    <w:p w:rsidR="00D00F6E" w:rsidRPr="00AE2985" w:rsidRDefault="00D00F6E" w:rsidP="00D00F6E">
      <w:pPr>
        <w:pStyle w:val="BodyText"/>
        <w:spacing w:after="0"/>
        <w:ind w:firstLine="720"/>
        <w:jc w:val="both"/>
        <w:rPr>
          <w:rFonts w:ascii="Cambria" w:hAnsi="Cambria" w:cs="Arial"/>
          <w:snapToGrid w:val="0"/>
          <w:spacing w:val="-3"/>
          <w:sz w:val="20"/>
          <w:szCs w:val="20"/>
        </w:rPr>
      </w:pPr>
      <w:r w:rsidRPr="00AE2985">
        <w:rPr>
          <w:rFonts w:ascii="Cambria" w:hAnsi="Cambria" w:cs="Arial"/>
          <w:snapToGrid w:val="0"/>
          <w:spacing w:val="-3"/>
          <w:sz w:val="20"/>
          <w:szCs w:val="20"/>
        </w:rPr>
        <w:t> </w:t>
      </w:r>
    </w:p>
    <w:p w:rsidR="00D00F6E" w:rsidRPr="00AE2985" w:rsidRDefault="00D00F6E" w:rsidP="00D00F6E">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autoSpaceDE w:val="0"/>
        <w:autoSpaceDN w:val="0"/>
        <w:adjustRightInd w:val="0"/>
        <w:ind w:left="0" w:firstLine="720"/>
        <w:jc w:val="both"/>
        <w:rPr>
          <w:rFonts w:ascii="Cambria" w:hAnsi="Cambria" w:cs="Arial"/>
          <w:snapToGrid w:val="0"/>
          <w:spacing w:val="-3"/>
          <w:sz w:val="20"/>
          <w:szCs w:val="20"/>
        </w:rPr>
      </w:pPr>
      <w:r w:rsidRPr="00AE2985">
        <w:rPr>
          <w:rFonts w:ascii="Cambria" w:hAnsi="Cambria"/>
          <w:sz w:val="20"/>
          <w:szCs w:val="20"/>
        </w:rPr>
        <w:t xml:space="preserve">The Commission concludes that it is competent to review the claims lodged by the petitioner regarding alleged violation of Articles 4, 5, 8, 19, 25 and 26 in relation to Article 1(1) of the American Convention and Article 7 </w:t>
      </w:r>
      <w:r w:rsidRPr="00AE2985">
        <w:rPr>
          <w:rFonts w:ascii="Cambria" w:hAnsi="Cambria"/>
          <w:snapToGrid w:val="0"/>
          <w:sz w:val="20"/>
          <w:szCs w:val="20"/>
        </w:rPr>
        <w:t>Inter-American Convention on the Prevention, Punishment and Eradication of Violence Against Women</w:t>
      </w:r>
      <w:r w:rsidRPr="00AE2985">
        <w:rPr>
          <w:rFonts w:ascii="Cambria" w:hAnsi="Cambria"/>
          <w:sz w:val="20"/>
          <w:szCs w:val="20"/>
        </w:rPr>
        <w:t xml:space="preserve"> in relation to </w:t>
      </w:r>
      <w:bookmarkStart w:id="0" w:name="_GoBack"/>
      <w:bookmarkEnd w:id="0"/>
      <w:r w:rsidRPr="00AE2985">
        <w:rPr>
          <w:rFonts w:ascii="Cambria" w:hAnsi="Cambria"/>
          <w:sz w:val="20"/>
          <w:szCs w:val="20"/>
        </w:rPr>
        <w:t>Article 24 of the American Convention, and that such claims are admissible, in keeping with the requirements set forth in Articles 46 and 47 of the Convention.</w:t>
      </w:r>
      <w:r w:rsidRPr="00AE2985">
        <w:rPr>
          <w:rFonts w:ascii="Cambria" w:hAnsi="Cambria" w:cs="Arial"/>
          <w:spacing w:val="-3"/>
          <w:sz w:val="20"/>
          <w:szCs w:val="20"/>
        </w:rPr>
        <w:t xml:space="preserve"> </w:t>
      </w:r>
    </w:p>
    <w:p w:rsidR="00D00F6E" w:rsidRPr="00AE2985" w:rsidRDefault="00D00F6E" w:rsidP="00D00F6E">
      <w:pPr>
        <w:autoSpaceDE w:val="0"/>
        <w:autoSpaceDN w:val="0"/>
        <w:adjustRightInd w:val="0"/>
        <w:jc w:val="both"/>
        <w:rPr>
          <w:rFonts w:ascii="Cambria" w:hAnsi="Cambria" w:cs="Arial"/>
          <w:snapToGrid w:val="0"/>
          <w:spacing w:val="-3"/>
          <w:sz w:val="20"/>
          <w:szCs w:val="20"/>
        </w:rPr>
      </w:pPr>
    </w:p>
    <w:p w:rsidR="00D00F6E" w:rsidRPr="00AE2985" w:rsidRDefault="00D00F6E" w:rsidP="00D00F6E">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autoSpaceDE w:val="0"/>
        <w:autoSpaceDN w:val="0"/>
        <w:adjustRightInd w:val="0"/>
        <w:ind w:left="0" w:firstLine="720"/>
        <w:jc w:val="both"/>
        <w:rPr>
          <w:rFonts w:ascii="Cambria" w:hAnsi="Cambria" w:cs="Arial"/>
          <w:spacing w:val="-3"/>
          <w:sz w:val="20"/>
          <w:szCs w:val="20"/>
        </w:rPr>
      </w:pPr>
      <w:r w:rsidRPr="00AE2985">
        <w:rPr>
          <w:rFonts w:ascii="Cambria" w:hAnsi="Cambria" w:cs="Arial"/>
          <w:snapToGrid w:val="0"/>
          <w:spacing w:val="-3"/>
          <w:sz w:val="20"/>
          <w:szCs w:val="20"/>
        </w:rPr>
        <w:t xml:space="preserve">Based on the factual and legal arguments stated above, </w:t>
      </w:r>
    </w:p>
    <w:p w:rsidR="00D00F6E" w:rsidRPr="00AE2985" w:rsidRDefault="00D00F6E" w:rsidP="00D00F6E">
      <w:pPr>
        <w:pStyle w:val="BodyText"/>
        <w:spacing w:after="0"/>
        <w:ind w:left="720"/>
        <w:jc w:val="both"/>
        <w:rPr>
          <w:rFonts w:ascii="Cambria" w:hAnsi="Cambria" w:cs="Arial"/>
          <w:snapToGrid w:val="0"/>
          <w:spacing w:val="-3"/>
          <w:sz w:val="20"/>
          <w:szCs w:val="20"/>
        </w:rPr>
      </w:pPr>
    </w:p>
    <w:p w:rsidR="00D00F6E" w:rsidRPr="00AE2985" w:rsidRDefault="00D00F6E" w:rsidP="00D00F6E">
      <w:pPr>
        <w:pStyle w:val="BodyText"/>
        <w:spacing w:after="0"/>
        <w:jc w:val="center"/>
        <w:rPr>
          <w:rFonts w:ascii="Cambria" w:hAnsi="Cambria" w:cs="Arial"/>
          <w:b/>
          <w:snapToGrid w:val="0"/>
          <w:spacing w:val="-3"/>
          <w:sz w:val="20"/>
          <w:szCs w:val="20"/>
        </w:rPr>
      </w:pPr>
      <w:r w:rsidRPr="00AE2985">
        <w:rPr>
          <w:rFonts w:ascii="Cambria" w:hAnsi="Cambria" w:cs="Arial"/>
          <w:b/>
          <w:snapToGrid w:val="0"/>
          <w:spacing w:val="-3"/>
          <w:sz w:val="20"/>
          <w:szCs w:val="20"/>
        </w:rPr>
        <w:t>THE INTER-AMERICAN COMMISSION ON HUMAN RIGHTS HEREBY DECIDES TO:</w:t>
      </w:r>
    </w:p>
    <w:p w:rsidR="00D00F6E" w:rsidRPr="00AE2985" w:rsidRDefault="00D00F6E" w:rsidP="00D00F6E">
      <w:pPr>
        <w:pStyle w:val="BodyText"/>
        <w:spacing w:after="0"/>
        <w:jc w:val="both"/>
        <w:rPr>
          <w:rFonts w:ascii="Cambria" w:hAnsi="Cambria" w:cs="Arial"/>
          <w:i/>
          <w:snapToGrid w:val="0"/>
          <w:spacing w:val="-3"/>
          <w:sz w:val="20"/>
          <w:szCs w:val="20"/>
        </w:rPr>
      </w:pPr>
      <w:r w:rsidRPr="00AE2985">
        <w:rPr>
          <w:rFonts w:ascii="Cambria" w:hAnsi="Cambria" w:cs="Arial"/>
          <w:b/>
          <w:snapToGrid w:val="0"/>
          <w:spacing w:val="-3"/>
          <w:sz w:val="20"/>
          <w:szCs w:val="20"/>
        </w:rPr>
        <w:t> </w:t>
      </w:r>
    </w:p>
    <w:p w:rsidR="00D00F6E" w:rsidRPr="00AE2985" w:rsidRDefault="00D00F6E" w:rsidP="00D00F6E">
      <w:pPr>
        <w:pStyle w:val="BodyText"/>
        <w:numPr>
          <w:ilvl w:val="1"/>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0"/>
        </w:tabs>
        <w:spacing w:after="0"/>
        <w:ind w:left="0" w:firstLine="720"/>
        <w:jc w:val="both"/>
        <w:rPr>
          <w:rFonts w:ascii="Cambria" w:hAnsi="Cambria"/>
          <w:sz w:val="20"/>
          <w:szCs w:val="20"/>
        </w:rPr>
      </w:pPr>
      <w:r w:rsidRPr="00AE2985">
        <w:rPr>
          <w:rFonts w:ascii="Cambria" w:hAnsi="Cambria"/>
          <w:snapToGrid w:val="0"/>
          <w:spacing w:val="-3"/>
          <w:sz w:val="20"/>
          <w:szCs w:val="20"/>
        </w:rPr>
        <w:t xml:space="preserve">Declare the instant case admissible with regard to Articles </w:t>
      </w:r>
      <w:r w:rsidRPr="00AE2985">
        <w:rPr>
          <w:rFonts w:ascii="Cambria" w:hAnsi="Cambria" w:cs="Arial"/>
          <w:spacing w:val="-3"/>
          <w:sz w:val="20"/>
          <w:szCs w:val="20"/>
        </w:rPr>
        <w:t xml:space="preserve">4, 5, 8, 19, 25, and 26 of the American Convention and Article 7 of the </w:t>
      </w:r>
      <w:r w:rsidRPr="00AE2985">
        <w:rPr>
          <w:rFonts w:ascii="Cambria" w:hAnsi="Cambria"/>
          <w:snapToGrid w:val="0"/>
          <w:sz w:val="20"/>
          <w:szCs w:val="20"/>
        </w:rPr>
        <w:t xml:space="preserve">Inter-American Convention on the Prevention, Punishment and Eradication of Violence Against Women, in relation to Article 24 of the American Convention; all of the foregoing in relation to Article </w:t>
      </w:r>
      <w:r w:rsidRPr="00AE2985">
        <w:rPr>
          <w:rFonts w:ascii="Cambria" w:hAnsi="Cambria"/>
          <w:sz w:val="20"/>
          <w:szCs w:val="20"/>
        </w:rPr>
        <w:t xml:space="preserve">1(1) of the American Convention on Human Rights. </w:t>
      </w:r>
    </w:p>
    <w:p w:rsidR="00D00F6E" w:rsidRPr="00AE2985" w:rsidRDefault="00D00F6E" w:rsidP="00D00F6E">
      <w:pPr>
        <w:pStyle w:val="BodyText"/>
        <w:tabs>
          <w:tab w:val="num" w:pos="0"/>
        </w:tabs>
        <w:spacing w:after="0"/>
        <w:ind w:firstLine="720"/>
        <w:jc w:val="both"/>
        <w:rPr>
          <w:rFonts w:ascii="Cambria" w:hAnsi="Cambria" w:cs="Arial"/>
          <w:snapToGrid w:val="0"/>
          <w:spacing w:val="-3"/>
          <w:sz w:val="20"/>
          <w:szCs w:val="20"/>
        </w:rPr>
      </w:pPr>
    </w:p>
    <w:p w:rsidR="00D00F6E" w:rsidRPr="00AE2985" w:rsidRDefault="00D00F6E" w:rsidP="00D00F6E">
      <w:pPr>
        <w:pStyle w:val="BodyText"/>
        <w:numPr>
          <w:ilvl w:val="1"/>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0"/>
        </w:tabs>
        <w:spacing w:after="0"/>
        <w:ind w:left="0" w:firstLine="720"/>
        <w:jc w:val="both"/>
        <w:rPr>
          <w:rFonts w:ascii="Cambria" w:hAnsi="Cambria" w:cs="Arial"/>
          <w:snapToGrid w:val="0"/>
          <w:spacing w:val="-3"/>
          <w:sz w:val="20"/>
          <w:szCs w:val="20"/>
        </w:rPr>
      </w:pPr>
      <w:r w:rsidRPr="00AE2985">
        <w:rPr>
          <w:rFonts w:ascii="Cambria" w:hAnsi="Cambria" w:cs="Arial"/>
          <w:snapToGrid w:val="0"/>
          <w:spacing w:val="-3"/>
          <w:sz w:val="20"/>
          <w:szCs w:val="20"/>
        </w:rPr>
        <w:lastRenderedPageBreak/>
        <w:t>Notify the Peruvian State and the petitioner of this decision.</w:t>
      </w:r>
    </w:p>
    <w:p w:rsidR="00D00F6E" w:rsidRPr="00AE2985" w:rsidRDefault="00D00F6E" w:rsidP="00D00F6E">
      <w:pPr>
        <w:pStyle w:val="BodyText"/>
        <w:tabs>
          <w:tab w:val="num" w:pos="0"/>
        </w:tabs>
        <w:spacing w:after="0"/>
        <w:ind w:firstLine="720"/>
        <w:jc w:val="both"/>
        <w:rPr>
          <w:rFonts w:ascii="Cambria" w:hAnsi="Cambria" w:cs="Arial"/>
          <w:snapToGrid w:val="0"/>
          <w:spacing w:val="-3"/>
          <w:sz w:val="20"/>
          <w:szCs w:val="20"/>
        </w:rPr>
      </w:pPr>
    </w:p>
    <w:p w:rsidR="00D00F6E" w:rsidRPr="00AE2985" w:rsidRDefault="00D00F6E" w:rsidP="00D00F6E">
      <w:pPr>
        <w:pStyle w:val="BodyText"/>
        <w:numPr>
          <w:ilvl w:val="1"/>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0"/>
        </w:tabs>
        <w:spacing w:after="0"/>
        <w:ind w:left="0" w:firstLine="720"/>
        <w:jc w:val="both"/>
        <w:rPr>
          <w:rFonts w:ascii="Cambria" w:hAnsi="Cambria" w:cs="Arial"/>
          <w:snapToGrid w:val="0"/>
          <w:spacing w:val="-3"/>
          <w:sz w:val="20"/>
          <w:szCs w:val="20"/>
        </w:rPr>
      </w:pPr>
      <w:r w:rsidRPr="00AE2985">
        <w:rPr>
          <w:rFonts w:ascii="Cambria" w:hAnsi="Cambria" w:cs="Arial"/>
          <w:snapToGrid w:val="0"/>
          <w:spacing w:val="-3"/>
          <w:sz w:val="20"/>
          <w:szCs w:val="20"/>
        </w:rPr>
        <w:t>Continue with the review of the merits of the case.</w:t>
      </w:r>
    </w:p>
    <w:p w:rsidR="00D00F6E" w:rsidRPr="00AE2985" w:rsidRDefault="00D00F6E" w:rsidP="00D00F6E">
      <w:pPr>
        <w:pStyle w:val="BodyText"/>
        <w:tabs>
          <w:tab w:val="num" w:pos="0"/>
        </w:tabs>
        <w:spacing w:after="0"/>
        <w:ind w:firstLine="720"/>
        <w:jc w:val="both"/>
        <w:rPr>
          <w:rFonts w:ascii="Cambria" w:hAnsi="Cambria" w:cs="Arial"/>
          <w:snapToGrid w:val="0"/>
          <w:spacing w:val="-3"/>
          <w:sz w:val="20"/>
          <w:szCs w:val="20"/>
        </w:rPr>
      </w:pPr>
    </w:p>
    <w:p w:rsidR="00D00F6E" w:rsidRPr="00AE2985" w:rsidRDefault="00D00F6E" w:rsidP="00D00F6E">
      <w:pPr>
        <w:pStyle w:val="BodyText"/>
        <w:numPr>
          <w:ilvl w:val="1"/>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0"/>
        </w:tabs>
        <w:spacing w:after="0"/>
        <w:ind w:left="0" w:firstLine="720"/>
        <w:jc w:val="both"/>
        <w:rPr>
          <w:rFonts w:ascii="Cambria" w:hAnsi="Cambria" w:cs="Arial"/>
          <w:snapToGrid w:val="0"/>
          <w:spacing w:val="-3"/>
          <w:sz w:val="20"/>
          <w:szCs w:val="20"/>
        </w:rPr>
      </w:pPr>
      <w:r w:rsidRPr="00AE2985">
        <w:rPr>
          <w:rFonts w:ascii="Cambria" w:hAnsi="Cambria" w:cs="Arial"/>
          <w:snapToGrid w:val="0"/>
          <w:spacing w:val="-3"/>
          <w:sz w:val="20"/>
          <w:szCs w:val="20"/>
        </w:rPr>
        <w:t>Publish this decision and include it in its Annual Report to the OAS General Assembly.</w:t>
      </w:r>
    </w:p>
    <w:p w:rsidR="00D00F6E" w:rsidRPr="00AE2985" w:rsidRDefault="00D00F6E" w:rsidP="00D00F6E">
      <w:pPr>
        <w:pStyle w:val="ListParagraph"/>
        <w:rPr>
          <w:rFonts w:cs="Arial"/>
          <w:snapToGrid w:val="0"/>
          <w:color w:val="auto"/>
          <w:spacing w:val="-3"/>
          <w:sz w:val="20"/>
          <w:szCs w:val="20"/>
        </w:rPr>
      </w:pPr>
    </w:p>
    <w:p w:rsidR="00D00F6E" w:rsidRPr="00AE2985" w:rsidRDefault="00D00F6E" w:rsidP="00D00F6E">
      <w:pPr>
        <w:suppressAutoHyphens/>
        <w:ind w:firstLine="720"/>
        <w:jc w:val="both"/>
        <w:rPr>
          <w:rFonts w:ascii="Cambria" w:eastAsia="Times New Roman" w:hAnsi="Cambria"/>
          <w:snapToGrid w:val="0"/>
          <w:spacing w:val="-2"/>
          <w:sz w:val="20"/>
          <w:szCs w:val="20"/>
        </w:rPr>
      </w:pPr>
      <w:r w:rsidRPr="00AE2985">
        <w:rPr>
          <w:rFonts w:ascii="Cambria" w:eastAsia="Times New Roman" w:hAnsi="Cambria"/>
          <w:snapToGrid w:val="0"/>
          <w:spacing w:val="-2"/>
          <w:sz w:val="20"/>
          <w:szCs w:val="20"/>
        </w:rPr>
        <w:t>Done and signed in the city of Washington, D.C., on the 4</w:t>
      </w:r>
      <w:r w:rsidRPr="00AE2985">
        <w:rPr>
          <w:rFonts w:ascii="Cambria" w:eastAsia="Times New Roman" w:hAnsi="Cambria"/>
          <w:snapToGrid w:val="0"/>
          <w:spacing w:val="-2"/>
          <w:sz w:val="20"/>
          <w:szCs w:val="20"/>
          <w:vertAlign w:val="superscript"/>
        </w:rPr>
        <w:t>th</w:t>
      </w:r>
      <w:r w:rsidRPr="00AE2985">
        <w:rPr>
          <w:rFonts w:ascii="Cambria" w:eastAsia="Times New Roman" w:hAnsi="Cambria"/>
          <w:snapToGrid w:val="0"/>
          <w:spacing w:val="-2"/>
          <w:sz w:val="20"/>
          <w:szCs w:val="20"/>
        </w:rPr>
        <w:t xml:space="preserve"> day of the month of April, 2014. </w:t>
      </w:r>
      <w:proofErr w:type="gramStart"/>
      <w:r w:rsidRPr="00AE2985">
        <w:rPr>
          <w:rFonts w:ascii="Cambria" w:eastAsia="Times New Roman" w:hAnsi="Cambria"/>
          <w:snapToGrid w:val="0"/>
          <w:spacing w:val="-2"/>
          <w:sz w:val="20"/>
          <w:szCs w:val="20"/>
        </w:rPr>
        <w:t xml:space="preserve">(Signed): </w:t>
      </w:r>
      <w:r w:rsidRPr="00AE2985">
        <w:rPr>
          <w:rFonts w:ascii="Cambria" w:eastAsia="Times New Roman" w:hAnsi="Cambria"/>
          <w:snapToGrid w:val="0"/>
          <w:sz w:val="20"/>
          <w:szCs w:val="20"/>
        </w:rPr>
        <w:t xml:space="preserve">Tracy Robinson, President; </w:t>
      </w:r>
      <w:r w:rsidRPr="00AE2985">
        <w:rPr>
          <w:rFonts w:ascii="Cambria" w:eastAsia="Times New Roman" w:hAnsi="Cambria" w:cs="Arial"/>
          <w:noProof/>
          <w:snapToGrid w:val="0"/>
          <w:spacing w:val="-2"/>
          <w:sz w:val="20"/>
          <w:szCs w:val="20"/>
        </w:rPr>
        <w:t>Rose-Marie Belle Antoine</w:t>
      </w:r>
      <w:r w:rsidRPr="00AE2985">
        <w:rPr>
          <w:rFonts w:ascii="Cambria" w:eastAsia="Times New Roman" w:hAnsi="Cambria"/>
          <w:snapToGrid w:val="0"/>
          <w:sz w:val="20"/>
          <w:szCs w:val="20"/>
        </w:rPr>
        <w:t xml:space="preserve">, </w:t>
      </w:r>
      <w:r w:rsidRPr="00AE2985">
        <w:rPr>
          <w:rFonts w:ascii="Cambria" w:eastAsia="Times New Roman" w:hAnsi="Cambria"/>
          <w:snapToGrid w:val="0"/>
          <w:spacing w:val="-2"/>
          <w:sz w:val="20"/>
          <w:szCs w:val="20"/>
        </w:rPr>
        <w:t xml:space="preserve">First Vice President; José de </w:t>
      </w:r>
      <w:proofErr w:type="spellStart"/>
      <w:r w:rsidRPr="00AE2985">
        <w:rPr>
          <w:rFonts w:ascii="Cambria" w:eastAsia="Times New Roman" w:hAnsi="Cambria"/>
          <w:snapToGrid w:val="0"/>
          <w:spacing w:val="-2"/>
          <w:sz w:val="20"/>
          <w:szCs w:val="20"/>
        </w:rPr>
        <w:t>Jesús</w:t>
      </w:r>
      <w:proofErr w:type="spellEnd"/>
      <w:r w:rsidRPr="00AE2985">
        <w:rPr>
          <w:rFonts w:ascii="Cambria" w:eastAsia="Times New Roman" w:hAnsi="Cambria"/>
          <w:snapToGrid w:val="0"/>
          <w:spacing w:val="-2"/>
          <w:sz w:val="20"/>
          <w:szCs w:val="20"/>
        </w:rPr>
        <w:t xml:space="preserve"> Orozco </w:t>
      </w:r>
      <w:proofErr w:type="spellStart"/>
      <w:r w:rsidRPr="00AE2985">
        <w:rPr>
          <w:rFonts w:ascii="Cambria" w:eastAsia="Times New Roman" w:hAnsi="Cambria"/>
          <w:snapToGrid w:val="0"/>
          <w:spacing w:val="-2"/>
          <w:sz w:val="20"/>
          <w:szCs w:val="20"/>
        </w:rPr>
        <w:t>Henríquez</w:t>
      </w:r>
      <w:proofErr w:type="spellEnd"/>
      <w:r w:rsidRPr="00AE2985">
        <w:rPr>
          <w:rFonts w:ascii="Cambria" w:eastAsia="Times New Roman" w:hAnsi="Cambria"/>
          <w:snapToGrid w:val="0"/>
          <w:spacing w:val="-2"/>
          <w:sz w:val="20"/>
          <w:szCs w:val="20"/>
        </w:rPr>
        <w:t xml:space="preserve">, Rosa María Ortiz, and James L. </w:t>
      </w:r>
      <w:proofErr w:type="spellStart"/>
      <w:r w:rsidRPr="00AE2985">
        <w:rPr>
          <w:rFonts w:ascii="Cambria" w:eastAsia="Times New Roman" w:hAnsi="Cambria"/>
          <w:snapToGrid w:val="0"/>
          <w:spacing w:val="-2"/>
          <w:sz w:val="20"/>
          <w:szCs w:val="20"/>
        </w:rPr>
        <w:t>Cavallaro</w:t>
      </w:r>
      <w:proofErr w:type="spellEnd"/>
      <w:r w:rsidRPr="00AE2985">
        <w:rPr>
          <w:rFonts w:ascii="Cambria" w:eastAsia="Times New Roman" w:hAnsi="Cambria"/>
          <w:snapToGrid w:val="0"/>
          <w:spacing w:val="-2"/>
          <w:sz w:val="20"/>
          <w:szCs w:val="20"/>
        </w:rPr>
        <w:t>, Commissioners.</w:t>
      </w:r>
      <w:proofErr w:type="gramEnd"/>
    </w:p>
    <w:p w:rsidR="00D00F6E" w:rsidRPr="00AE2985" w:rsidRDefault="00D00F6E" w:rsidP="00D00F6E">
      <w:pPr>
        <w:tabs>
          <w:tab w:val="left" w:pos="2820"/>
        </w:tabs>
        <w:suppressAutoHyphens/>
        <w:ind w:firstLine="720"/>
        <w:jc w:val="both"/>
        <w:rPr>
          <w:rFonts w:ascii="Cambria" w:eastAsia="Times New Roman" w:hAnsi="Cambria"/>
          <w:snapToGrid w:val="0"/>
          <w:spacing w:val="-2"/>
          <w:sz w:val="20"/>
          <w:szCs w:val="20"/>
        </w:rPr>
      </w:pPr>
    </w:p>
    <w:p w:rsidR="0093163F" w:rsidRPr="00AE2985" w:rsidRDefault="0093163F" w:rsidP="00D00F6E">
      <w:pPr>
        <w:tabs>
          <w:tab w:val="center" w:pos="5400"/>
        </w:tabs>
        <w:suppressAutoHyphens/>
        <w:spacing w:line="276" w:lineRule="auto"/>
        <w:jc w:val="center"/>
        <w:rPr>
          <w:rFonts w:asciiTheme="majorHAnsi" w:eastAsia="Times New Roman" w:hAnsiTheme="majorHAnsi"/>
          <w:spacing w:val="-2"/>
          <w:sz w:val="20"/>
          <w:szCs w:val="20"/>
          <w:bdr w:val="none" w:sz="0" w:space="0" w:color="auto"/>
        </w:rPr>
      </w:pPr>
    </w:p>
    <w:sectPr w:rsidR="0093163F" w:rsidRPr="00AE2985" w:rsidSect="00C3271E">
      <w:footerReference w:type="even" r:id="rId17"/>
      <w:footerReference w:type="defaul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B9C" w:rsidRDefault="00E04B9C" w:rsidP="00036A8A">
      <w:r>
        <w:separator/>
      </w:r>
    </w:p>
  </w:endnote>
  <w:endnote w:type="continuationSeparator" w:id="0">
    <w:p w:rsidR="00E04B9C" w:rsidRDefault="00E04B9C"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D00F6E">
          <w:rPr>
            <w:noProof/>
            <w:sz w:val="16"/>
          </w:rPr>
          <w:t>6</w:t>
        </w:r>
        <w:r w:rsidRPr="006311DA">
          <w:rPr>
            <w:noProof/>
            <w:sz w:val="16"/>
          </w:rPr>
          <w:fldChar w:fldCharType="end"/>
        </w:r>
      </w:p>
    </w:sdtContent>
  </w:sdt>
  <w:p w:rsidR="00F1380F" w:rsidRDefault="00F138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C4" w:rsidRDefault="007607C4">
    <w:pPr>
      <w:pStyle w:val="Footer"/>
      <w:jc w:val="center"/>
    </w:pPr>
  </w:p>
  <w:p w:rsidR="007607C4" w:rsidRDefault="007607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371" w:rsidRDefault="00F74E76" w:rsidP="00B66D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15371" w:rsidRDefault="00E04B9C" w:rsidP="00C3271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371" w:rsidRPr="00B278F5" w:rsidRDefault="00F74E76" w:rsidP="00B278F5">
    <w:pPr>
      <w:pStyle w:val="Footer"/>
      <w:jc w:val="center"/>
      <w:rPr>
        <w:sz w:val="16"/>
        <w:szCs w:val="16"/>
      </w:rPr>
    </w:pPr>
    <w:r w:rsidRPr="00B278F5">
      <w:rPr>
        <w:sz w:val="16"/>
        <w:szCs w:val="16"/>
      </w:rPr>
      <w:fldChar w:fldCharType="begin"/>
    </w:r>
    <w:r w:rsidRPr="00B278F5">
      <w:rPr>
        <w:sz w:val="16"/>
        <w:szCs w:val="16"/>
      </w:rPr>
      <w:instrText xml:space="preserve"> PAGE   \* MERGEFORMAT </w:instrText>
    </w:r>
    <w:r w:rsidRPr="00B278F5">
      <w:rPr>
        <w:sz w:val="16"/>
        <w:szCs w:val="16"/>
      </w:rPr>
      <w:fldChar w:fldCharType="separate"/>
    </w:r>
    <w:r w:rsidR="00AE2985">
      <w:rPr>
        <w:noProof/>
        <w:sz w:val="16"/>
        <w:szCs w:val="16"/>
      </w:rPr>
      <w:t>10</w:t>
    </w:r>
    <w:r w:rsidRPr="00B278F5">
      <w:rPr>
        <w:noProof/>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8F5" w:rsidRPr="00B278F5" w:rsidRDefault="00F74E76" w:rsidP="00B278F5">
    <w:pPr>
      <w:pStyle w:val="Footer"/>
      <w:jc w:val="center"/>
      <w:rPr>
        <w:sz w:val="16"/>
        <w:szCs w:val="16"/>
      </w:rPr>
    </w:pPr>
    <w:r w:rsidRPr="00B278F5">
      <w:rPr>
        <w:sz w:val="16"/>
        <w:szCs w:val="16"/>
      </w:rPr>
      <w:fldChar w:fldCharType="begin"/>
    </w:r>
    <w:r w:rsidRPr="00B278F5">
      <w:rPr>
        <w:sz w:val="16"/>
        <w:szCs w:val="16"/>
      </w:rPr>
      <w:instrText xml:space="preserve"> PAGE   \* MERGEFORMAT </w:instrText>
    </w:r>
    <w:r w:rsidRPr="00B278F5">
      <w:rPr>
        <w:sz w:val="16"/>
        <w:szCs w:val="16"/>
      </w:rPr>
      <w:fldChar w:fldCharType="separate"/>
    </w:r>
    <w:r w:rsidR="00AE2985">
      <w:rPr>
        <w:noProof/>
        <w:sz w:val="16"/>
        <w:szCs w:val="16"/>
      </w:rPr>
      <w:t>2</w:t>
    </w:r>
    <w:r w:rsidRPr="00B278F5">
      <w:rPr>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B9C" w:rsidRPr="00036A8A" w:rsidRDefault="00E04B9C"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E04B9C" w:rsidRPr="00036A8A" w:rsidRDefault="00E04B9C" w:rsidP="00036A8A">
      <w:pPr>
        <w:rPr>
          <w:rFonts w:asciiTheme="majorHAnsi" w:hAnsiTheme="majorHAnsi"/>
          <w:sz w:val="16"/>
          <w:szCs w:val="16"/>
        </w:rPr>
      </w:pPr>
      <w:r w:rsidRPr="00036A8A">
        <w:rPr>
          <w:rFonts w:asciiTheme="majorHAnsi" w:hAnsiTheme="majorHAnsi"/>
          <w:sz w:val="16"/>
          <w:szCs w:val="16"/>
        </w:rPr>
        <w:separator/>
      </w:r>
    </w:p>
    <w:p w:rsidR="00E04B9C" w:rsidRPr="00036A8A" w:rsidRDefault="00E04B9C"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rsidR="00E04B9C" w:rsidRPr="0093441A" w:rsidRDefault="00E04B9C"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rsidR="00D00F6E" w:rsidRPr="00F57C51" w:rsidRDefault="00D00F6E" w:rsidP="00D00F6E">
      <w:pPr>
        <w:pStyle w:val="FootnoteText"/>
        <w:spacing w:after="120"/>
        <w:ind w:firstLine="720"/>
        <w:jc w:val="both"/>
        <w:rPr>
          <w:sz w:val="18"/>
          <w:szCs w:val="18"/>
        </w:rPr>
      </w:pPr>
      <w:r w:rsidRPr="00F57C51">
        <w:rPr>
          <w:rStyle w:val="FootnoteReference"/>
          <w:sz w:val="18"/>
          <w:szCs w:val="18"/>
        </w:rPr>
        <w:footnoteRef/>
      </w:r>
      <w:r>
        <w:rPr>
          <w:sz w:val="18"/>
          <w:szCs w:val="18"/>
        </w:rPr>
        <w:t>As</w:t>
      </w:r>
      <w:r w:rsidRPr="00F57C51">
        <w:rPr>
          <w:sz w:val="18"/>
          <w:szCs w:val="18"/>
        </w:rPr>
        <w:t xml:space="preserve"> Sergio is a child, the IACHR</w:t>
      </w:r>
      <w:r>
        <w:rPr>
          <w:sz w:val="18"/>
          <w:szCs w:val="18"/>
        </w:rPr>
        <w:t xml:space="preserve"> has</w:t>
      </w:r>
      <w:r w:rsidRPr="00F57C51">
        <w:rPr>
          <w:sz w:val="18"/>
          <w:szCs w:val="18"/>
        </w:rPr>
        <w:t xml:space="preserve"> decided not to publish their names </w:t>
      </w:r>
      <w:r>
        <w:rPr>
          <w:sz w:val="18"/>
          <w:szCs w:val="18"/>
        </w:rPr>
        <w:t xml:space="preserve">in order </w:t>
      </w:r>
      <w:r w:rsidRPr="00F57C51">
        <w:rPr>
          <w:sz w:val="18"/>
          <w:szCs w:val="18"/>
        </w:rPr>
        <w:t xml:space="preserve">to protect </w:t>
      </w:r>
      <w:r>
        <w:rPr>
          <w:sz w:val="18"/>
          <w:szCs w:val="18"/>
        </w:rPr>
        <w:t>his</w:t>
      </w:r>
      <w:r w:rsidRPr="00F57C51">
        <w:rPr>
          <w:sz w:val="18"/>
          <w:szCs w:val="18"/>
        </w:rPr>
        <w:t xml:space="preserve"> identity. </w:t>
      </w:r>
    </w:p>
  </w:footnote>
  <w:footnote w:id="3">
    <w:p w:rsidR="00D00F6E" w:rsidRPr="00F57C51" w:rsidRDefault="00D00F6E" w:rsidP="00D00F6E">
      <w:pPr>
        <w:pStyle w:val="FootnoteText"/>
        <w:spacing w:after="120"/>
        <w:ind w:firstLine="720"/>
        <w:jc w:val="both"/>
        <w:rPr>
          <w:sz w:val="18"/>
          <w:szCs w:val="18"/>
        </w:rPr>
      </w:pPr>
      <w:r w:rsidRPr="00F57C51">
        <w:rPr>
          <w:rStyle w:val="FootnoteReference"/>
          <w:sz w:val="18"/>
          <w:szCs w:val="18"/>
        </w:rPr>
        <w:footnoteRef/>
      </w:r>
      <w:r w:rsidRPr="00F57C51">
        <w:rPr>
          <w:sz w:val="18"/>
          <w:szCs w:val="18"/>
        </w:rPr>
        <w:t xml:space="preserve"> </w:t>
      </w:r>
      <w:r>
        <w:rPr>
          <w:sz w:val="18"/>
          <w:szCs w:val="18"/>
        </w:rPr>
        <w:t xml:space="preserve">IACHR, admissibility report </w:t>
      </w:r>
      <w:r w:rsidRPr="00F57C51">
        <w:rPr>
          <w:sz w:val="18"/>
          <w:szCs w:val="18"/>
        </w:rPr>
        <w:t xml:space="preserve">No. 29/01 </w:t>
      </w:r>
      <w:r>
        <w:rPr>
          <w:sz w:val="18"/>
          <w:szCs w:val="18"/>
        </w:rPr>
        <w:t xml:space="preserve">of March </w:t>
      </w:r>
      <w:r w:rsidRPr="00F57C51">
        <w:rPr>
          <w:sz w:val="18"/>
          <w:szCs w:val="18"/>
        </w:rPr>
        <w:t>7</w:t>
      </w:r>
      <w:r>
        <w:rPr>
          <w:sz w:val="18"/>
          <w:szCs w:val="18"/>
        </w:rPr>
        <w:t>,</w:t>
      </w:r>
      <w:r w:rsidRPr="00F57C51">
        <w:rPr>
          <w:sz w:val="18"/>
          <w:szCs w:val="18"/>
        </w:rPr>
        <w:t xml:space="preserve"> 2001, Cas</w:t>
      </w:r>
      <w:r>
        <w:rPr>
          <w:sz w:val="18"/>
          <w:szCs w:val="18"/>
        </w:rPr>
        <w:t>e</w:t>
      </w:r>
      <w:r w:rsidRPr="00F57C51">
        <w:rPr>
          <w:sz w:val="18"/>
          <w:szCs w:val="18"/>
        </w:rPr>
        <w:t xml:space="preserve"> 12.249, Jorge </w:t>
      </w:r>
      <w:proofErr w:type="spellStart"/>
      <w:r w:rsidRPr="00F57C51">
        <w:rPr>
          <w:sz w:val="18"/>
          <w:szCs w:val="18"/>
        </w:rPr>
        <w:t>Odir</w:t>
      </w:r>
      <w:proofErr w:type="spellEnd"/>
      <w:r w:rsidRPr="00F57C51">
        <w:rPr>
          <w:sz w:val="18"/>
          <w:szCs w:val="18"/>
        </w:rPr>
        <w:t xml:space="preserve"> Miranda Cortez </w:t>
      </w:r>
      <w:r>
        <w:rPr>
          <w:sz w:val="18"/>
          <w:szCs w:val="18"/>
        </w:rPr>
        <w:t>et al.</w:t>
      </w:r>
      <w:r w:rsidRPr="00F57C51">
        <w:rPr>
          <w:sz w:val="18"/>
          <w:szCs w:val="18"/>
        </w:rPr>
        <w:t xml:space="preserve">, </w:t>
      </w:r>
      <w:smartTag w:uri="urn:schemas-microsoft-com:office:smarttags" w:element="place">
        <w:smartTag w:uri="urn:schemas-microsoft-com:office:smarttags" w:element="country-region">
          <w:r w:rsidRPr="00F57C51">
            <w:rPr>
              <w:sz w:val="18"/>
              <w:szCs w:val="18"/>
            </w:rPr>
            <w:t>El Salvador</w:t>
          </w:r>
        </w:smartTag>
      </w:smartTag>
      <w:r w:rsidRPr="00F57C51">
        <w:rPr>
          <w:sz w:val="18"/>
          <w:szCs w:val="18"/>
        </w:rPr>
        <w:t>,</w:t>
      </w:r>
      <w:r>
        <w:rPr>
          <w:sz w:val="18"/>
          <w:szCs w:val="18"/>
        </w:rPr>
        <w:t xml:space="preserve"> paragraph</w:t>
      </w:r>
      <w:r w:rsidRPr="00F57C51">
        <w:rPr>
          <w:sz w:val="18"/>
          <w:szCs w:val="18"/>
        </w:rPr>
        <w:t xml:space="preserve"> 36</w:t>
      </w:r>
      <w:proofErr w:type="gramStart"/>
      <w:r>
        <w:rPr>
          <w:sz w:val="18"/>
          <w:szCs w:val="18"/>
        </w:rPr>
        <w:t>.</w:t>
      </w:r>
      <w:r w:rsidRPr="00F57C51">
        <w:rPr>
          <w:sz w:val="18"/>
          <w:szCs w:val="18"/>
        </w:rPr>
        <w:t>.</w:t>
      </w:r>
      <w:proofErr w:type="gramEnd"/>
    </w:p>
  </w:footnote>
  <w:footnote w:id="4">
    <w:p w:rsidR="00D00F6E" w:rsidRPr="00F57C51" w:rsidRDefault="00D00F6E" w:rsidP="00D00F6E">
      <w:pPr>
        <w:spacing w:after="120"/>
        <w:ind w:firstLine="720"/>
        <w:jc w:val="both"/>
        <w:rPr>
          <w:rFonts w:ascii="Calibri" w:hAnsi="Calibri"/>
          <w:sz w:val="18"/>
          <w:szCs w:val="18"/>
        </w:rPr>
      </w:pPr>
      <w:r w:rsidRPr="00F57C51">
        <w:rPr>
          <w:rStyle w:val="FootnoteReference"/>
          <w:rFonts w:ascii="Calibri" w:hAnsi="Calibri"/>
          <w:sz w:val="18"/>
          <w:szCs w:val="18"/>
        </w:rPr>
        <w:footnoteRef/>
      </w:r>
      <w:r w:rsidRPr="00F57C51">
        <w:rPr>
          <w:rFonts w:ascii="Calibri" w:hAnsi="Calibri"/>
          <w:sz w:val="18"/>
          <w:szCs w:val="18"/>
        </w:rPr>
        <w:t xml:space="preserve"> </w:t>
      </w:r>
      <w:r>
        <w:rPr>
          <w:rFonts w:ascii="Calibri" w:hAnsi="Calibri"/>
          <w:sz w:val="18"/>
          <w:szCs w:val="18"/>
        </w:rPr>
        <w:t>IACHR</w:t>
      </w:r>
      <w:r w:rsidRPr="00F57C51">
        <w:rPr>
          <w:rFonts w:ascii="Calibri" w:hAnsi="Calibri"/>
          <w:sz w:val="18"/>
          <w:szCs w:val="18"/>
        </w:rPr>
        <w:t xml:space="preserve">, </w:t>
      </w:r>
      <w:r>
        <w:rPr>
          <w:rFonts w:ascii="Calibri" w:hAnsi="Calibri"/>
          <w:sz w:val="18"/>
          <w:szCs w:val="18"/>
        </w:rPr>
        <w:t xml:space="preserve">Report </w:t>
      </w:r>
      <w:r w:rsidRPr="00F57C51">
        <w:rPr>
          <w:rFonts w:ascii="Calibri" w:hAnsi="Calibri"/>
          <w:sz w:val="18"/>
          <w:szCs w:val="18"/>
        </w:rPr>
        <w:t>No. 85/08 (Ad</w:t>
      </w:r>
      <w:r>
        <w:rPr>
          <w:rFonts w:ascii="Calibri" w:hAnsi="Calibri"/>
          <w:sz w:val="18"/>
          <w:szCs w:val="18"/>
        </w:rPr>
        <w:t>missibility</w:t>
      </w:r>
      <w:r w:rsidRPr="00F57C51">
        <w:rPr>
          <w:rFonts w:ascii="Calibri" w:hAnsi="Calibri"/>
          <w:sz w:val="18"/>
          <w:szCs w:val="18"/>
        </w:rPr>
        <w:t>), Peti</w:t>
      </w:r>
      <w:r>
        <w:rPr>
          <w:rFonts w:ascii="Calibri" w:hAnsi="Calibri"/>
          <w:sz w:val="18"/>
          <w:szCs w:val="18"/>
        </w:rPr>
        <w:t>tion</w:t>
      </w:r>
      <w:r w:rsidRPr="00F57C51">
        <w:rPr>
          <w:rFonts w:ascii="Calibri" w:hAnsi="Calibri"/>
          <w:sz w:val="18"/>
          <w:szCs w:val="18"/>
        </w:rPr>
        <w:t xml:space="preserve"> 162-06, Melba </w:t>
      </w:r>
      <w:proofErr w:type="gramStart"/>
      <w:r w:rsidRPr="00F57C51">
        <w:rPr>
          <w:rFonts w:ascii="Calibri" w:hAnsi="Calibri"/>
          <w:sz w:val="18"/>
          <w:szCs w:val="18"/>
        </w:rPr>
        <w:t>del</w:t>
      </w:r>
      <w:proofErr w:type="gramEnd"/>
      <w:r w:rsidRPr="00F57C51">
        <w:rPr>
          <w:rFonts w:ascii="Calibri" w:hAnsi="Calibri"/>
          <w:sz w:val="18"/>
          <w:szCs w:val="18"/>
        </w:rPr>
        <w:t xml:space="preserve"> Carmen Suarez Peralta (</w:t>
      </w:r>
      <w:smartTag w:uri="urn:schemas-microsoft-com:office:smarttags" w:element="country-region">
        <w:r w:rsidRPr="00F57C51">
          <w:rPr>
            <w:rFonts w:ascii="Calibri" w:hAnsi="Calibri"/>
            <w:sz w:val="18"/>
            <w:szCs w:val="18"/>
          </w:rPr>
          <w:t>Ecuador</w:t>
        </w:r>
      </w:smartTag>
      <w:r w:rsidRPr="00F57C51">
        <w:rPr>
          <w:rFonts w:ascii="Calibri" w:hAnsi="Calibri"/>
          <w:sz w:val="18"/>
          <w:szCs w:val="18"/>
        </w:rPr>
        <w:t xml:space="preserve">), </w:t>
      </w:r>
      <w:r>
        <w:rPr>
          <w:rFonts w:ascii="Calibri" w:hAnsi="Calibri"/>
          <w:sz w:val="18"/>
          <w:szCs w:val="18"/>
        </w:rPr>
        <w:t xml:space="preserve">October </w:t>
      </w:r>
      <w:r w:rsidRPr="00F57C51">
        <w:rPr>
          <w:rFonts w:ascii="Calibri" w:hAnsi="Calibri"/>
          <w:sz w:val="18"/>
          <w:szCs w:val="18"/>
        </w:rPr>
        <w:t>30</w:t>
      </w:r>
      <w:r>
        <w:rPr>
          <w:rFonts w:ascii="Calibri" w:hAnsi="Calibri"/>
          <w:sz w:val="18"/>
          <w:szCs w:val="18"/>
        </w:rPr>
        <w:t xml:space="preserve">, </w:t>
      </w:r>
      <w:r w:rsidRPr="00F57C51">
        <w:rPr>
          <w:rFonts w:ascii="Calibri" w:hAnsi="Calibri"/>
          <w:sz w:val="18"/>
          <w:szCs w:val="18"/>
        </w:rPr>
        <w:t xml:space="preserve">2008, </w:t>
      </w:r>
      <w:r>
        <w:rPr>
          <w:rFonts w:ascii="Calibri" w:hAnsi="Calibri"/>
          <w:sz w:val="18"/>
          <w:szCs w:val="18"/>
        </w:rPr>
        <w:t>paragraph 33, and Inter-American Court of Human Rights,</w:t>
      </w:r>
      <w:r w:rsidRPr="00F57C51">
        <w:rPr>
          <w:rFonts w:ascii="Calibri" w:hAnsi="Calibri"/>
          <w:sz w:val="18"/>
          <w:szCs w:val="18"/>
        </w:rPr>
        <w:t xml:space="preserve"> </w:t>
      </w:r>
      <w:r>
        <w:rPr>
          <w:rFonts w:ascii="Calibri" w:hAnsi="Calibri"/>
          <w:sz w:val="18"/>
          <w:szCs w:val="18"/>
        </w:rPr>
        <w:t>in the c</w:t>
      </w:r>
      <w:r w:rsidRPr="00F57C51">
        <w:rPr>
          <w:rFonts w:ascii="Calibri" w:hAnsi="Calibri"/>
          <w:iCs/>
          <w:sz w:val="18"/>
          <w:szCs w:val="18"/>
        </w:rPr>
        <w:t>as</w:t>
      </w:r>
      <w:r>
        <w:rPr>
          <w:rFonts w:ascii="Calibri" w:hAnsi="Calibri"/>
          <w:iCs/>
          <w:sz w:val="18"/>
          <w:szCs w:val="18"/>
        </w:rPr>
        <w:t>e</w:t>
      </w:r>
      <w:r w:rsidRPr="00F57C51">
        <w:rPr>
          <w:rFonts w:ascii="Calibri" w:hAnsi="Calibri"/>
          <w:iCs/>
          <w:sz w:val="18"/>
          <w:szCs w:val="18"/>
        </w:rPr>
        <w:t xml:space="preserve"> </w:t>
      </w:r>
      <w:proofErr w:type="spellStart"/>
      <w:r w:rsidRPr="00F57C51">
        <w:rPr>
          <w:rFonts w:ascii="Calibri" w:hAnsi="Calibri"/>
          <w:iCs/>
          <w:sz w:val="18"/>
          <w:szCs w:val="18"/>
        </w:rPr>
        <w:t>Velásquez</w:t>
      </w:r>
      <w:proofErr w:type="spellEnd"/>
      <w:r w:rsidRPr="00F57C51">
        <w:rPr>
          <w:rFonts w:ascii="Calibri" w:hAnsi="Calibri"/>
          <w:iCs/>
          <w:sz w:val="18"/>
          <w:szCs w:val="18"/>
        </w:rPr>
        <w:t xml:space="preserve"> Rodríguez </w:t>
      </w:r>
      <w:r>
        <w:rPr>
          <w:rFonts w:ascii="Calibri" w:hAnsi="Calibri"/>
          <w:iCs/>
          <w:sz w:val="18"/>
          <w:szCs w:val="18"/>
        </w:rPr>
        <w:t>v.</w:t>
      </w:r>
      <w:r w:rsidRPr="00F57C51">
        <w:rPr>
          <w:rFonts w:ascii="Calibri" w:hAnsi="Calibri"/>
          <w:iCs/>
          <w:sz w:val="18"/>
          <w:szCs w:val="18"/>
        </w:rPr>
        <w:t xml:space="preserve"> </w:t>
      </w:r>
      <w:smartTag w:uri="urn:schemas-microsoft-com:office:smarttags" w:element="place">
        <w:smartTag w:uri="urn:schemas-microsoft-com:office:smarttags" w:element="country-region">
          <w:r w:rsidRPr="00F57C51">
            <w:rPr>
              <w:rFonts w:ascii="Calibri" w:hAnsi="Calibri"/>
              <w:iCs/>
              <w:sz w:val="18"/>
              <w:szCs w:val="18"/>
            </w:rPr>
            <w:t>Honduras</w:t>
          </w:r>
        </w:smartTag>
      </w:smartTag>
      <w:r>
        <w:rPr>
          <w:rFonts w:ascii="Calibri" w:hAnsi="Calibri"/>
          <w:sz w:val="18"/>
          <w:szCs w:val="18"/>
        </w:rPr>
        <w:t xml:space="preserve">, Judgment of July </w:t>
      </w:r>
      <w:r w:rsidRPr="00F57C51">
        <w:rPr>
          <w:rFonts w:ascii="Calibri" w:hAnsi="Calibri"/>
          <w:sz w:val="18"/>
          <w:szCs w:val="18"/>
        </w:rPr>
        <w:t>29</w:t>
      </w:r>
      <w:r>
        <w:rPr>
          <w:rFonts w:ascii="Calibri" w:hAnsi="Calibri"/>
          <w:sz w:val="18"/>
          <w:szCs w:val="18"/>
        </w:rPr>
        <w:t>,</w:t>
      </w:r>
      <w:r w:rsidRPr="00F57C51">
        <w:rPr>
          <w:rFonts w:ascii="Calibri" w:hAnsi="Calibri"/>
          <w:sz w:val="18"/>
          <w:szCs w:val="18"/>
        </w:rPr>
        <w:t xml:space="preserve"> 1988</w:t>
      </w:r>
      <w:r>
        <w:rPr>
          <w:rFonts w:ascii="Calibri" w:hAnsi="Calibri"/>
          <w:sz w:val="18"/>
          <w:szCs w:val="18"/>
        </w:rPr>
        <w:t>.</w:t>
      </w:r>
      <w:r w:rsidRPr="00F57C51">
        <w:rPr>
          <w:rFonts w:ascii="Calibri" w:hAnsi="Calibri"/>
          <w:sz w:val="18"/>
          <w:szCs w:val="18"/>
        </w:rPr>
        <w:t xml:space="preserve"> Serie</w:t>
      </w:r>
      <w:r>
        <w:rPr>
          <w:rFonts w:ascii="Calibri" w:hAnsi="Calibri"/>
          <w:sz w:val="18"/>
          <w:szCs w:val="18"/>
        </w:rPr>
        <w:t>s</w:t>
      </w:r>
      <w:r w:rsidRPr="00F57C51">
        <w:rPr>
          <w:rFonts w:ascii="Calibri" w:hAnsi="Calibri"/>
          <w:sz w:val="18"/>
          <w:szCs w:val="18"/>
        </w:rPr>
        <w:t xml:space="preserve"> C No. 4, </w:t>
      </w:r>
      <w:r>
        <w:rPr>
          <w:rFonts w:ascii="Calibri" w:hAnsi="Calibri"/>
          <w:sz w:val="18"/>
          <w:szCs w:val="18"/>
        </w:rPr>
        <w:t>paragraphs</w:t>
      </w:r>
      <w:r w:rsidRPr="00F57C51">
        <w:rPr>
          <w:rFonts w:ascii="Calibri" w:hAnsi="Calibri"/>
          <w:sz w:val="18"/>
          <w:szCs w:val="18"/>
        </w:rPr>
        <w:t xml:space="preserve"> 64 </w:t>
      </w:r>
      <w:r>
        <w:rPr>
          <w:rFonts w:ascii="Calibri" w:hAnsi="Calibri"/>
          <w:sz w:val="18"/>
          <w:szCs w:val="18"/>
        </w:rPr>
        <w:t>and</w:t>
      </w:r>
      <w:r w:rsidRPr="00F57C51">
        <w:rPr>
          <w:rFonts w:ascii="Calibri" w:hAnsi="Calibri"/>
          <w:sz w:val="18"/>
          <w:szCs w:val="18"/>
        </w:rPr>
        <w:t xml:space="preserve"> 66; </w:t>
      </w:r>
      <w:r>
        <w:rPr>
          <w:rFonts w:ascii="Calibri" w:hAnsi="Calibri"/>
          <w:sz w:val="18"/>
          <w:szCs w:val="18"/>
        </w:rPr>
        <w:t xml:space="preserve">See also, </w:t>
      </w:r>
      <w:proofErr w:type="spellStart"/>
      <w:r w:rsidRPr="00F57C51">
        <w:rPr>
          <w:rFonts w:ascii="Calibri" w:hAnsi="Calibri"/>
          <w:iCs/>
          <w:sz w:val="18"/>
          <w:szCs w:val="18"/>
        </w:rPr>
        <w:t>Mayagna</w:t>
      </w:r>
      <w:proofErr w:type="spellEnd"/>
      <w:r w:rsidRPr="00F57C51">
        <w:rPr>
          <w:rFonts w:ascii="Calibri" w:hAnsi="Calibri"/>
          <w:iCs/>
          <w:sz w:val="18"/>
          <w:szCs w:val="18"/>
        </w:rPr>
        <w:t xml:space="preserve"> (Sumo) </w:t>
      </w:r>
      <w:proofErr w:type="spellStart"/>
      <w:r w:rsidRPr="00F57C51">
        <w:rPr>
          <w:rFonts w:ascii="Calibri" w:hAnsi="Calibri"/>
          <w:iCs/>
          <w:sz w:val="18"/>
          <w:szCs w:val="18"/>
        </w:rPr>
        <w:t>Awas</w:t>
      </w:r>
      <w:proofErr w:type="spellEnd"/>
      <w:r w:rsidRPr="00F57C51">
        <w:rPr>
          <w:rFonts w:ascii="Calibri" w:hAnsi="Calibri"/>
          <w:iCs/>
          <w:sz w:val="18"/>
          <w:szCs w:val="18"/>
        </w:rPr>
        <w:t xml:space="preserve"> </w:t>
      </w:r>
      <w:proofErr w:type="spellStart"/>
      <w:r w:rsidRPr="00F57C51">
        <w:rPr>
          <w:rFonts w:ascii="Calibri" w:hAnsi="Calibri"/>
          <w:iCs/>
          <w:sz w:val="18"/>
          <w:szCs w:val="18"/>
        </w:rPr>
        <w:t>Tingni</w:t>
      </w:r>
      <w:proofErr w:type="spellEnd"/>
      <w:r w:rsidRPr="00F57C51">
        <w:rPr>
          <w:rFonts w:ascii="Calibri" w:hAnsi="Calibri"/>
          <w:iCs/>
          <w:sz w:val="18"/>
          <w:szCs w:val="18"/>
        </w:rPr>
        <w:t xml:space="preserve"> </w:t>
      </w:r>
      <w:r>
        <w:rPr>
          <w:rFonts w:ascii="Calibri" w:hAnsi="Calibri"/>
          <w:iCs/>
          <w:sz w:val="18"/>
          <w:szCs w:val="18"/>
        </w:rPr>
        <w:t>Community v.</w:t>
      </w:r>
      <w:r w:rsidRPr="00F57C51">
        <w:rPr>
          <w:rFonts w:ascii="Calibri" w:hAnsi="Calibri"/>
          <w:iCs/>
          <w:sz w:val="18"/>
          <w:szCs w:val="18"/>
        </w:rPr>
        <w:t xml:space="preserve"> </w:t>
      </w:r>
      <w:smartTag w:uri="urn:schemas-microsoft-com:office:smarttags" w:element="place">
        <w:smartTag w:uri="urn:schemas-microsoft-com:office:smarttags" w:element="country-region">
          <w:r w:rsidRPr="00F57C51">
            <w:rPr>
              <w:rFonts w:ascii="Calibri" w:hAnsi="Calibri"/>
              <w:iCs/>
              <w:sz w:val="18"/>
              <w:szCs w:val="18"/>
            </w:rPr>
            <w:t>Nicaragua</w:t>
          </w:r>
        </w:smartTag>
      </w:smartTag>
      <w:r w:rsidRPr="00F57C51">
        <w:rPr>
          <w:rFonts w:ascii="Calibri" w:hAnsi="Calibri"/>
          <w:iCs/>
          <w:sz w:val="18"/>
          <w:szCs w:val="18"/>
        </w:rPr>
        <w:t>.</w:t>
      </w:r>
      <w:r w:rsidRPr="00F57C51">
        <w:rPr>
          <w:rFonts w:ascii="Calibri" w:hAnsi="Calibri"/>
          <w:sz w:val="18"/>
          <w:szCs w:val="18"/>
        </w:rPr>
        <w:t xml:space="preserve"> </w:t>
      </w:r>
      <w:r>
        <w:rPr>
          <w:rFonts w:ascii="Calibri" w:hAnsi="Calibri"/>
          <w:sz w:val="18"/>
          <w:szCs w:val="18"/>
        </w:rPr>
        <w:t xml:space="preserve">Judgment of August </w:t>
      </w:r>
      <w:r w:rsidRPr="00F57C51">
        <w:rPr>
          <w:rFonts w:ascii="Calibri" w:hAnsi="Calibri"/>
          <w:sz w:val="18"/>
          <w:szCs w:val="18"/>
        </w:rPr>
        <w:t>31</w:t>
      </w:r>
      <w:r>
        <w:rPr>
          <w:rFonts w:ascii="Calibri" w:hAnsi="Calibri"/>
          <w:sz w:val="18"/>
          <w:szCs w:val="18"/>
        </w:rPr>
        <w:t>,</w:t>
      </w:r>
      <w:r w:rsidRPr="00F57C51">
        <w:rPr>
          <w:rFonts w:ascii="Calibri" w:hAnsi="Calibri"/>
          <w:sz w:val="18"/>
          <w:szCs w:val="18"/>
        </w:rPr>
        <w:t xml:space="preserve"> 2001. </w:t>
      </w:r>
      <w:proofErr w:type="gramStart"/>
      <w:r w:rsidRPr="00F57C51">
        <w:rPr>
          <w:rFonts w:ascii="Calibri" w:hAnsi="Calibri"/>
          <w:sz w:val="18"/>
          <w:szCs w:val="18"/>
        </w:rPr>
        <w:t>Serie</w:t>
      </w:r>
      <w:r>
        <w:rPr>
          <w:rFonts w:ascii="Calibri" w:hAnsi="Calibri"/>
          <w:sz w:val="18"/>
          <w:szCs w:val="18"/>
        </w:rPr>
        <w:t>s</w:t>
      </w:r>
      <w:r w:rsidRPr="00F57C51">
        <w:rPr>
          <w:rFonts w:ascii="Calibri" w:hAnsi="Calibri"/>
          <w:sz w:val="18"/>
          <w:szCs w:val="18"/>
        </w:rPr>
        <w:t xml:space="preserve"> C No. 79, </w:t>
      </w:r>
      <w:r>
        <w:rPr>
          <w:rFonts w:ascii="Calibri" w:hAnsi="Calibri"/>
          <w:sz w:val="18"/>
          <w:szCs w:val="18"/>
        </w:rPr>
        <w:t>paragraph</w:t>
      </w:r>
      <w:r w:rsidRPr="00F57C51">
        <w:rPr>
          <w:rFonts w:ascii="Calibri" w:hAnsi="Calibri"/>
          <w:sz w:val="18"/>
          <w:szCs w:val="18"/>
        </w:rPr>
        <w:t xml:space="preserve"> 111; </w:t>
      </w:r>
      <w:r>
        <w:rPr>
          <w:rFonts w:ascii="Calibri" w:hAnsi="Calibri"/>
          <w:sz w:val="18"/>
          <w:szCs w:val="18"/>
        </w:rPr>
        <w:t>and</w:t>
      </w:r>
      <w:r w:rsidRPr="00F57C51">
        <w:rPr>
          <w:rFonts w:ascii="Calibri" w:hAnsi="Calibri"/>
          <w:sz w:val="18"/>
          <w:szCs w:val="18"/>
        </w:rPr>
        <w:t xml:space="preserve">, </w:t>
      </w:r>
      <w:r w:rsidRPr="00F57C51">
        <w:rPr>
          <w:rFonts w:ascii="Calibri" w:hAnsi="Calibri"/>
          <w:iCs/>
          <w:sz w:val="18"/>
          <w:szCs w:val="18"/>
        </w:rPr>
        <w:t xml:space="preserve">Maritza </w:t>
      </w:r>
      <w:proofErr w:type="spellStart"/>
      <w:r w:rsidRPr="00F57C51">
        <w:rPr>
          <w:rFonts w:ascii="Calibri" w:hAnsi="Calibri"/>
          <w:iCs/>
          <w:sz w:val="18"/>
          <w:szCs w:val="18"/>
        </w:rPr>
        <w:t>Urrutia</w:t>
      </w:r>
      <w:proofErr w:type="spellEnd"/>
      <w:r w:rsidRPr="00F57C51">
        <w:rPr>
          <w:rFonts w:ascii="Calibri" w:hAnsi="Calibri"/>
          <w:iCs/>
          <w:sz w:val="18"/>
          <w:szCs w:val="18"/>
        </w:rPr>
        <w:t xml:space="preserve"> </w:t>
      </w:r>
      <w:r>
        <w:rPr>
          <w:rFonts w:ascii="Calibri" w:hAnsi="Calibri"/>
          <w:iCs/>
          <w:sz w:val="18"/>
          <w:szCs w:val="18"/>
        </w:rPr>
        <w:t>v.</w:t>
      </w:r>
      <w:r w:rsidRPr="00F57C51">
        <w:rPr>
          <w:rFonts w:ascii="Calibri" w:hAnsi="Calibri"/>
          <w:iCs/>
          <w:sz w:val="18"/>
          <w:szCs w:val="18"/>
        </w:rPr>
        <w:t xml:space="preserve"> Guatemala</w:t>
      </w:r>
      <w:r>
        <w:rPr>
          <w:rFonts w:ascii="Calibri" w:hAnsi="Calibri"/>
          <w:iCs/>
          <w:sz w:val="18"/>
          <w:szCs w:val="18"/>
        </w:rPr>
        <w:t>,</w:t>
      </w:r>
      <w:r w:rsidRPr="00F57C51">
        <w:rPr>
          <w:rFonts w:ascii="Calibri" w:hAnsi="Calibri"/>
          <w:sz w:val="18"/>
          <w:szCs w:val="18"/>
        </w:rPr>
        <w:t xml:space="preserve"> </w:t>
      </w:r>
      <w:r>
        <w:rPr>
          <w:rFonts w:ascii="Calibri" w:hAnsi="Calibri"/>
          <w:sz w:val="18"/>
          <w:szCs w:val="18"/>
        </w:rPr>
        <w:t>Judgment of November</w:t>
      </w:r>
      <w:r w:rsidRPr="00F57C51">
        <w:rPr>
          <w:rFonts w:ascii="Calibri" w:hAnsi="Calibri"/>
          <w:sz w:val="18"/>
          <w:szCs w:val="18"/>
        </w:rPr>
        <w:t xml:space="preserve"> 27</w:t>
      </w:r>
      <w:r>
        <w:rPr>
          <w:rFonts w:ascii="Calibri" w:hAnsi="Calibri"/>
          <w:sz w:val="18"/>
          <w:szCs w:val="18"/>
        </w:rPr>
        <w:t>,</w:t>
      </w:r>
      <w:r w:rsidRPr="00F57C51">
        <w:rPr>
          <w:rFonts w:ascii="Calibri" w:hAnsi="Calibri"/>
          <w:sz w:val="18"/>
          <w:szCs w:val="18"/>
        </w:rPr>
        <w:t xml:space="preserve"> 2003.</w:t>
      </w:r>
      <w:proofErr w:type="gramEnd"/>
      <w:r w:rsidRPr="00F57C51">
        <w:rPr>
          <w:rFonts w:ascii="Calibri" w:hAnsi="Calibri"/>
          <w:sz w:val="18"/>
          <w:szCs w:val="18"/>
        </w:rPr>
        <w:t xml:space="preserve"> Serie</w:t>
      </w:r>
      <w:r>
        <w:rPr>
          <w:rFonts w:ascii="Calibri" w:hAnsi="Calibri"/>
          <w:sz w:val="18"/>
          <w:szCs w:val="18"/>
        </w:rPr>
        <w:t>s</w:t>
      </w:r>
      <w:r w:rsidRPr="00F57C51">
        <w:rPr>
          <w:rFonts w:ascii="Calibri" w:hAnsi="Calibri"/>
          <w:sz w:val="18"/>
          <w:szCs w:val="18"/>
        </w:rPr>
        <w:t xml:space="preserve"> C No. 103, p</w:t>
      </w:r>
      <w:r>
        <w:rPr>
          <w:rFonts w:ascii="Calibri" w:hAnsi="Calibri"/>
          <w:sz w:val="18"/>
          <w:szCs w:val="18"/>
        </w:rPr>
        <w:t>aragraph</w:t>
      </w:r>
      <w:r w:rsidRPr="00F57C51">
        <w:rPr>
          <w:rFonts w:ascii="Calibri" w:hAnsi="Calibri"/>
          <w:sz w:val="18"/>
          <w:szCs w:val="18"/>
        </w:rPr>
        <w:t xml:space="preserve"> 117.</w:t>
      </w:r>
    </w:p>
  </w:footnote>
  <w:footnote w:id="5">
    <w:p w:rsidR="00D00F6E" w:rsidRPr="00F57C51" w:rsidRDefault="00D00F6E" w:rsidP="00D00F6E">
      <w:pPr>
        <w:pStyle w:val="FootnoteText"/>
        <w:spacing w:after="120"/>
        <w:ind w:firstLine="720"/>
        <w:jc w:val="both"/>
        <w:rPr>
          <w:sz w:val="18"/>
          <w:szCs w:val="18"/>
        </w:rPr>
      </w:pPr>
      <w:r w:rsidRPr="00F57C51">
        <w:rPr>
          <w:rStyle w:val="FootnoteReference"/>
          <w:sz w:val="18"/>
          <w:szCs w:val="18"/>
        </w:rPr>
        <w:footnoteRef/>
      </w:r>
      <w:r w:rsidRPr="00F57C51">
        <w:rPr>
          <w:sz w:val="18"/>
          <w:szCs w:val="18"/>
        </w:rPr>
        <w:t xml:space="preserve">  </w:t>
      </w:r>
      <w:proofErr w:type="gramStart"/>
      <w:r w:rsidRPr="00343D96">
        <w:rPr>
          <w:sz w:val="18"/>
          <w:szCs w:val="18"/>
        </w:rPr>
        <w:t>Inter-American Court of Human Rights</w:t>
      </w:r>
      <w:r w:rsidRPr="00F57C51">
        <w:rPr>
          <w:sz w:val="18"/>
          <w:szCs w:val="18"/>
        </w:rPr>
        <w:t>.</w:t>
      </w:r>
      <w:proofErr w:type="gramEnd"/>
      <w:r w:rsidRPr="00F57C51">
        <w:rPr>
          <w:sz w:val="18"/>
          <w:szCs w:val="18"/>
        </w:rPr>
        <w:t xml:space="preserve"> </w:t>
      </w:r>
      <w:r>
        <w:rPr>
          <w:sz w:val="18"/>
          <w:szCs w:val="18"/>
        </w:rPr>
        <w:t xml:space="preserve">Matter of </w:t>
      </w:r>
      <w:r w:rsidRPr="00F57C51">
        <w:rPr>
          <w:iCs/>
          <w:sz w:val="18"/>
          <w:szCs w:val="18"/>
        </w:rPr>
        <w:t xml:space="preserve">Viviana Gallardo </w:t>
      </w:r>
      <w:r>
        <w:rPr>
          <w:iCs/>
          <w:sz w:val="18"/>
          <w:szCs w:val="18"/>
        </w:rPr>
        <w:t>et al.</w:t>
      </w:r>
      <w:r w:rsidRPr="00F57C51">
        <w:rPr>
          <w:sz w:val="18"/>
          <w:szCs w:val="18"/>
        </w:rPr>
        <w:t xml:space="preserve"> Serie</w:t>
      </w:r>
      <w:r>
        <w:rPr>
          <w:sz w:val="18"/>
          <w:szCs w:val="18"/>
        </w:rPr>
        <w:t>s</w:t>
      </w:r>
      <w:r w:rsidRPr="00F57C51">
        <w:rPr>
          <w:sz w:val="18"/>
          <w:szCs w:val="18"/>
        </w:rPr>
        <w:t xml:space="preserve"> A No. G 101/81, p</w:t>
      </w:r>
      <w:r>
        <w:rPr>
          <w:sz w:val="18"/>
          <w:szCs w:val="18"/>
        </w:rPr>
        <w:t>aragraph</w:t>
      </w:r>
      <w:r w:rsidRPr="00F57C51">
        <w:rPr>
          <w:sz w:val="18"/>
          <w:szCs w:val="18"/>
        </w:rPr>
        <w:t xml:space="preserve"> 26.</w:t>
      </w:r>
    </w:p>
  </w:footnote>
  <w:footnote w:id="6">
    <w:p w:rsidR="00D00F6E" w:rsidRPr="00F57C51" w:rsidRDefault="00D00F6E" w:rsidP="00D00F6E">
      <w:pPr>
        <w:pStyle w:val="FootnoteText"/>
        <w:spacing w:after="120"/>
        <w:ind w:firstLine="720"/>
        <w:jc w:val="both"/>
        <w:rPr>
          <w:sz w:val="18"/>
          <w:szCs w:val="18"/>
        </w:rPr>
      </w:pPr>
      <w:r w:rsidRPr="00F57C51">
        <w:rPr>
          <w:rStyle w:val="FootnoteReference"/>
          <w:sz w:val="18"/>
          <w:szCs w:val="18"/>
        </w:rPr>
        <w:footnoteRef/>
      </w:r>
      <w:r w:rsidRPr="00F57C51">
        <w:rPr>
          <w:sz w:val="18"/>
          <w:szCs w:val="18"/>
        </w:rPr>
        <w:t xml:space="preserve"> I</w:t>
      </w:r>
      <w:r>
        <w:rPr>
          <w:sz w:val="18"/>
          <w:szCs w:val="18"/>
        </w:rPr>
        <w:t>ACHR, Report</w:t>
      </w:r>
      <w:r w:rsidRPr="00F57C51">
        <w:rPr>
          <w:sz w:val="18"/>
          <w:szCs w:val="18"/>
        </w:rPr>
        <w:t xml:space="preserve"> N° 57/03 (Adm</w:t>
      </w:r>
      <w:r>
        <w:rPr>
          <w:sz w:val="18"/>
          <w:szCs w:val="18"/>
        </w:rPr>
        <w:t>issibility</w:t>
      </w:r>
      <w:r w:rsidRPr="00F57C51">
        <w:rPr>
          <w:sz w:val="18"/>
          <w:szCs w:val="18"/>
        </w:rPr>
        <w:t>), Peti</w:t>
      </w:r>
      <w:r>
        <w:rPr>
          <w:sz w:val="18"/>
          <w:szCs w:val="18"/>
        </w:rPr>
        <w:t>tion</w:t>
      </w:r>
      <w:r w:rsidRPr="00F57C51">
        <w:rPr>
          <w:sz w:val="18"/>
          <w:szCs w:val="18"/>
        </w:rPr>
        <w:t xml:space="preserve"> 12.337, Marcela Andrea Valdés Díaz (Chile), </w:t>
      </w:r>
      <w:r>
        <w:rPr>
          <w:sz w:val="18"/>
          <w:szCs w:val="18"/>
        </w:rPr>
        <w:t xml:space="preserve">October </w:t>
      </w:r>
      <w:r w:rsidRPr="00F57C51">
        <w:rPr>
          <w:sz w:val="18"/>
          <w:szCs w:val="18"/>
        </w:rPr>
        <w:t>10</w:t>
      </w:r>
      <w:r>
        <w:rPr>
          <w:sz w:val="18"/>
          <w:szCs w:val="18"/>
        </w:rPr>
        <w:t>,</w:t>
      </w:r>
      <w:r w:rsidRPr="00F57C51">
        <w:rPr>
          <w:sz w:val="18"/>
          <w:szCs w:val="18"/>
        </w:rPr>
        <w:t xml:space="preserve"> 2003, p</w:t>
      </w:r>
      <w:r>
        <w:rPr>
          <w:sz w:val="18"/>
          <w:szCs w:val="18"/>
        </w:rPr>
        <w:t>aragraph</w:t>
      </w:r>
      <w:r w:rsidRPr="00F57C51">
        <w:rPr>
          <w:sz w:val="18"/>
          <w:szCs w:val="18"/>
        </w:rPr>
        <w:t xml:space="preserve"> 40; </w:t>
      </w:r>
      <w:r>
        <w:rPr>
          <w:sz w:val="18"/>
          <w:szCs w:val="18"/>
        </w:rPr>
        <w:t xml:space="preserve">and IACHR, Report </w:t>
      </w:r>
      <w:r w:rsidRPr="00F57C51">
        <w:rPr>
          <w:sz w:val="18"/>
          <w:szCs w:val="18"/>
        </w:rPr>
        <w:t>No. 67/12, Peti</w:t>
      </w:r>
      <w:r>
        <w:rPr>
          <w:sz w:val="18"/>
          <w:szCs w:val="18"/>
        </w:rPr>
        <w:t>tion</w:t>
      </w:r>
      <w:r w:rsidRPr="00F57C51">
        <w:rPr>
          <w:sz w:val="18"/>
          <w:szCs w:val="18"/>
        </w:rPr>
        <w:t xml:space="preserve"> 728-</w:t>
      </w:r>
      <w:r>
        <w:rPr>
          <w:sz w:val="18"/>
          <w:szCs w:val="18"/>
        </w:rPr>
        <w:t xml:space="preserve">04, Rogelio Morales </w:t>
      </w:r>
      <w:proofErr w:type="spellStart"/>
      <w:r>
        <w:rPr>
          <w:sz w:val="18"/>
          <w:szCs w:val="18"/>
        </w:rPr>
        <w:t>Martínez</w:t>
      </w:r>
      <w:proofErr w:type="spellEnd"/>
      <w:r>
        <w:rPr>
          <w:sz w:val="18"/>
          <w:szCs w:val="18"/>
        </w:rPr>
        <w:t xml:space="preserve"> (Me</w:t>
      </w:r>
      <w:r w:rsidRPr="00F57C51">
        <w:rPr>
          <w:sz w:val="18"/>
          <w:szCs w:val="18"/>
        </w:rPr>
        <w:t xml:space="preserve">xico), </w:t>
      </w:r>
      <w:r>
        <w:rPr>
          <w:sz w:val="18"/>
          <w:szCs w:val="18"/>
        </w:rPr>
        <w:t xml:space="preserve">July </w:t>
      </w:r>
      <w:r w:rsidRPr="00F57C51">
        <w:rPr>
          <w:sz w:val="18"/>
          <w:szCs w:val="18"/>
        </w:rPr>
        <w:t>17</w:t>
      </w:r>
      <w:r>
        <w:rPr>
          <w:sz w:val="18"/>
          <w:szCs w:val="18"/>
        </w:rPr>
        <w:t>,</w:t>
      </w:r>
      <w:r w:rsidRPr="00F57C51">
        <w:rPr>
          <w:sz w:val="18"/>
          <w:szCs w:val="18"/>
        </w:rPr>
        <w:t xml:space="preserve"> 2012, p</w:t>
      </w:r>
      <w:r>
        <w:rPr>
          <w:sz w:val="18"/>
          <w:szCs w:val="18"/>
        </w:rPr>
        <w:t>aragraph</w:t>
      </w:r>
      <w:r w:rsidRPr="00F57C51">
        <w:rPr>
          <w:sz w:val="18"/>
          <w:szCs w:val="18"/>
        </w:rPr>
        <w:t xml:space="preserve"> 34.</w:t>
      </w:r>
    </w:p>
  </w:footnote>
  <w:footnote w:id="7">
    <w:p w:rsidR="00D00F6E" w:rsidRPr="00F57C51" w:rsidRDefault="00D00F6E" w:rsidP="00D00F6E">
      <w:pPr>
        <w:pStyle w:val="FootnoteText"/>
        <w:spacing w:before="120"/>
        <w:ind w:firstLine="720"/>
        <w:jc w:val="both"/>
        <w:rPr>
          <w:sz w:val="18"/>
          <w:szCs w:val="18"/>
        </w:rPr>
      </w:pPr>
      <w:r w:rsidRPr="00F57C51">
        <w:rPr>
          <w:rStyle w:val="FootnoteReference"/>
          <w:sz w:val="18"/>
          <w:szCs w:val="18"/>
        </w:rPr>
        <w:footnoteRef/>
      </w:r>
      <w:r w:rsidRPr="00F57C51">
        <w:rPr>
          <w:sz w:val="18"/>
          <w:szCs w:val="18"/>
        </w:rPr>
        <w:t xml:space="preserve"> </w:t>
      </w:r>
      <w:proofErr w:type="gramStart"/>
      <w:r>
        <w:rPr>
          <w:sz w:val="18"/>
          <w:szCs w:val="18"/>
        </w:rPr>
        <w:t>IACHR, Report No. 40/08, Petition</w:t>
      </w:r>
      <w:r w:rsidRPr="00F57C51">
        <w:rPr>
          <w:sz w:val="18"/>
          <w:szCs w:val="18"/>
        </w:rPr>
        <w:t xml:space="preserve"> 270-07, Adm</w:t>
      </w:r>
      <w:r>
        <w:rPr>
          <w:sz w:val="18"/>
          <w:szCs w:val="18"/>
        </w:rPr>
        <w:t>issibility</w:t>
      </w:r>
      <w:r w:rsidRPr="00F57C51">
        <w:rPr>
          <w:sz w:val="18"/>
          <w:szCs w:val="18"/>
        </w:rPr>
        <w:t xml:space="preserve">, I.V., Bolivia, </w:t>
      </w:r>
      <w:r>
        <w:rPr>
          <w:sz w:val="18"/>
          <w:szCs w:val="18"/>
        </w:rPr>
        <w:t xml:space="preserve">July </w:t>
      </w:r>
      <w:r w:rsidRPr="00F57C51">
        <w:rPr>
          <w:sz w:val="18"/>
          <w:szCs w:val="18"/>
        </w:rPr>
        <w:t>23</w:t>
      </w:r>
      <w:r>
        <w:rPr>
          <w:sz w:val="18"/>
          <w:szCs w:val="18"/>
        </w:rPr>
        <w:t>,</w:t>
      </w:r>
      <w:r w:rsidRPr="00F57C51">
        <w:rPr>
          <w:sz w:val="18"/>
          <w:szCs w:val="18"/>
        </w:rPr>
        <w:t xml:space="preserve"> 2008, p</w:t>
      </w:r>
      <w:r>
        <w:rPr>
          <w:sz w:val="18"/>
          <w:szCs w:val="18"/>
        </w:rPr>
        <w:t>aragraph</w:t>
      </w:r>
      <w:r w:rsidRPr="00F57C51">
        <w:rPr>
          <w:sz w:val="18"/>
          <w:szCs w:val="18"/>
        </w:rPr>
        <w:t xml:space="preserve"> 70.</w:t>
      </w:r>
      <w:proofErr w:type="gramEnd"/>
    </w:p>
  </w:footnote>
  <w:footnote w:id="8">
    <w:p w:rsidR="00D00F6E" w:rsidRPr="00F57C51" w:rsidRDefault="00D00F6E" w:rsidP="00D00F6E">
      <w:pPr>
        <w:pStyle w:val="FootnoteText"/>
        <w:spacing w:before="120"/>
        <w:ind w:firstLine="720"/>
        <w:jc w:val="both"/>
        <w:rPr>
          <w:sz w:val="18"/>
          <w:szCs w:val="18"/>
        </w:rPr>
      </w:pPr>
      <w:r w:rsidRPr="00F57C51">
        <w:rPr>
          <w:rStyle w:val="FootnoteReference"/>
          <w:sz w:val="18"/>
          <w:szCs w:val="18"/>
        </w:rPr>
        <w:footnoteRef/>
      </w:r>
      <w:r w:rsidRPr="00F57C51">
        <w:rPr>
          <w:sz w:val="18"/>
          <w:szCs w:val="18"/>
        </w:rPr>
        <w:t xml:space="preserve"> </w:t>
      </w:r>
      <w:proofErr w:type="gramStart"/>
      <w:r>
        <w:rPr>
          <w:sz w:val="18"/>
          <w:szCs w:val="18"/>
        </w:rPr>
        <w:t>IACHR, Report No. 40/08, Petition</w:t>
      </w:r>
      <w:r w:rsidRPr="00F57C51">
        <w:rPr>
          <w:sz w:val="18"/>
          <w:szCs w:val="18"/>
        </w:rPr>
        <w:t xml:space="preserve"> 270-07, Adm</w:t>
      </w:r>
      <w:r>
        <w:rPr>
          <w:sz w:val="18"/>
          <w:szCs w:val="18"/>
        </w:rPr>
        <w:t>issibility</w:t>
      </w:r>
      <w:r w:rsidRPr="00F57C51">
        <w:rPr>
          <w:sz w:val="18"/>
          <w:szCs w:val="18"/>
        </w:rPr>
        <w:t xml:space="preserve">, I.V., Bolivia, </w:t>
      </w:r>
      <w:r>
        <w:rPr>
          <w:sz w:val="18"/>
          <w:szCs w:val="18"/>
        </w:rPr>
        <w:t xml:space="preserve">July </w:t>
      </w:r>
      <w:r w:rsidRPr="00F57C51">
        <w:rPr>
          <w:sz w:val="18"/>
          <w:szCs w:val="18"/>
        </w:rPr>
        <w:t>23</w:t>
      </w:r>
      <w:r>
        <w:rPr>
          <w:sz w:val="18"/>
          <w:szCs w:val="18"/>
        </w:rPr>
        <w:t>,</w:t>
      </w:r>
      <w:r w:rsidRPr="00F57C51">
        <w:rPr>
          <w:sz w:val="18"/>
          <w:szCs w:val="18"/>
        </w:rPr>
        <w:t xml:space="preserve"> 2008, p</w:t>
      </w:r>
      <w:r>
        <w:rPr>
          <w:sz w:val="18"/>
          <w:szCs w:val="18"/>
        </w:rPr>
        <w:t>aragraph</w:t>
      </w:r>
      <w:r w:rsidRPr="00F57C51">
        <w:rPr>
          <w:sz w:val="18"/>
          <w:szCs w:val="18"/>
        </w:rPr>
        <w:t xml:space="preserve"> 70; </w:t>
      </w:r>
      <w:r>
        <w:rPr>
          <w:sz w:val="18"/>
          <w:szCs w:val="18"/>
        </w:rPr>
        <w:t>Report No. 57/03, Case</w:t>
      </w:r>
      <w:r w:rsidRPr="00F57C51">
        <w:rPr>
          <w:sz w:val="18"/>
          <w:szCs w:val="18"/>
        </w:rPr>
        <w:t xml:space="preserve"> 12.337, Admis</w:t>
      </w:r>
      <w:r>
        <w:rPr>
          <w:sz w:val="18"/>
          <w:szCs w:val="18"/>
        </w:rPr>
        <w:t>sibility</w:t>
      </w:r>
      <w:r w:rsidRPr="00F57C51">
        <w:rPr>
          <w:sz w:val="18"/>
          <w:szCs w:val="18"/>
        </w:rPr>
        <w:t xml:space="preserve">, Marcela Andrea Valdés Díaz, Chile, </w:t>
      </w:r>
      <w:r>
        <w:rPr>
          <w:sz w:val="18"/>
          <w:szCs w:val="18"/>
        </w:rPr>
        <w:t>October 10,</w:t>
      </w:r>
      <w:r w:rsidRPr="00F57C51">
        <w:rPr>
          <w:sz w:val="18"/>
          <w:szCs w:val="18"/>
        </w:rPr>
        <w:t xml:space="preserve"> 2003, p</w:t>
      </w:r>
      <w:r>
        <w:rPr>
          <w:sz w:val="18"/>
          <w:szCs w:val="18"/>
        </w:rPr>
        <w:t>aragraph</w:t>
      </w:r>
      <w:r w:rsidRPr="00F57C51">
        <w:rPr>
          <w:sz w:val="18"/>
          <w:szCs w:val="18"/>
        </w:rPr>
        <w:t xml:space="preserve"> 40.</w:t>
      </w:r>
      <w:proofErr w:type="gramEnd"/>
    </w:p>
  </w:footnote>
  <w:footnote w:id="9">
    <w:p w:rsidR="00D00F6E" w:rsidRPr="00F57C51" w:rsidRDefault="00D00F6E" w:rsidP="00D00F6E">
      <w:pPr>
        <w:tabs>
          <w:tab w:val="left" w:pos="720"/>
          <w:tab w:val="left" w:pos="900"/>
        </w:tabs>
        <w:spacing w:after="120"/>
        <w:ind w:firstLine="720"/>
        <w:jc w:val="both"/>
        <w:rPr>
          <w:rFonts w:ascii="Calibri" w:hAnsi="Calibri"/>
          <w:sz w:val="18"/>
          <w:szCs w:val="18"/>
        </w:rPr>
      </w:pPr>
      <w:r w:rsidRPr="00F57C51">
        <w:rPr>
          <w:rFonts w:ascii="Calibri" w:hAnsi="Calibri"/>
          <w:sz w:val="18"/>
          <w:szCs w:val="18"/>
          <w:vertAlign w:val="superscript"/>
        </w:rPr>
        <w:footnoteRef/>
      </w:r>
      <w:r w:rsidRPr="00F57C51">
        <w:rPr>
          <w:rFonts w:ascii="Calibri" w:hAnsi="Calibri"/>
          <w:sz w:val="18"/>
          <w:szCs w:val="18"/>
        </w:rPr>
        <w:t xml:space="preserve"> </w:t>
      </w:r>
      <w:r>
        <w:rPr>
          <w:rFonts w:ascii="Calibri" w:hAnsi="Calibri"/>
          <w:sz w:val="18"/>
          <w:szCs w:val="18"/>
        </w:rPr>
        <w:t>See, IACHR, Report</w:t>
      </w:r>
      <w:r w:rsidRPr="00F57C51">
        <w:rPr>
          <w:rFonts w:ascii="Calibri" w:hAnsi="Calibri"/>
          <w:sz w:val="18"/>
          <w:szCs w:val="18"/>
        </w:rPr>
        <w:t xml:space="preserve"> N° 21/04, Peti</w:t>
      </w:r>
      <w:r>
        <w:rPr>
          <w:rFonts w:ascii="Calibri" w:hAnsi="Calibri"/>
          <w:sz w:val="18"/>
          <w:szCs w:val="18"/>
        </w:rPr>
        <w:t>tion</w:t>
      </w:r>
      <w:r w:rsidRPr="00F57C51">
        <w:rPr>
          <w:rFonts w:ascii="Calibri" w:hAnsi="Calibri"/>
          <w:sz w:val="18"/>
          <w:szCs w:val="18"/>
        </w:rPr>
        <w:t xml:space="preserve"> 12.190, José </w:t>
      </w:r>
      <w:proofErr w:type="spellStart"/>
      <w:r w:rsidRPr="00F57C51">
        <w:rPr>
          <w:rFonts w:ascii="Calibri" w:hAnsi="Calibri"/>
          <w:sz w:val="18"/>
          <w:szCs w:val="18"/>
        </w:rPr>
        <w:t>Luís</w:t>
      </w:r>
      <w:proofErr w:type="spellEnd"/>
      <w:r w:rsidRPr="00F57C51">
        <w:rPr>
          <w:rFonts w:ascii="Calibri" w:hAnsi="Calibri"/>
          <w:sz w:val="18"/>
          <w:szCs w:val="18"/>
        </w:rPr>
        <w:t xml:space="preserve"> Tapia González </w:t>
      </w:r>
      <w:r>
        <w:rPr>
          <w:rFonts w:ascii="Calibri" w:hAnsi="Calibri"/>
          <w:sz w:val="18"/>
          <w:szCs w:val="18"/>
        </w:rPr>
        <w:t>et al.</w:t>
      </w:r>
      <w:r w:rsidRPr="00F57C51">
        <w:rPr>
          <w:rFonts w:ascii="Calibri" w:hAnsi="Calibri"/>
          <w:sz w:val="18"/>
          <w:szCs w:val="18"/>
        </w:rPr>
        <w:t>, (</w:t>
      </w:r>
      <w:smartTag w:uri="urn:schemas-microsoft-com:office:smarttags" w:element="place">
        <w:smartTag w:uri="urn:schemas-microsoft-com:office:smarttags" w:element="country-region">
          <w:r w:rsidRPr="00F57C51">
            <w:rPr>
              <w:rFonts w:ascii="Calibri" w:hAnsi="Calibri"/>
              <w:sz w:val="18"/>
              <w:szCs w:val="18"/>
            </w:rPr>
            <w:t>Chile</w:t>
          </w:r>
        </w:smartTag>
      </w:smartTag>
      <w:r w:rsidRPr="00F57C51">
        <w:rPr>
          <w:rFonts w:ascii="Calibri" w:hAnsi="Calibri"/>
          <w:sz w:val="18"/>
          <w:szCs w:val="18"/>
        </w:rPr>
        <w:t xml:space="preserve">), </w:t>
      </w:r>
      <w:r>
        <w:rPr>
          <w:rFonts w:ascii="Calibri" w:hAnsi="Calibri"/>
          <w:sz w:val="18"/>
          <w:szCs w:val="18"/>
        </w:rPr>
        <w:t xml:space="preserve">February </w:t>
      </w:r>
      <w:r w:rsidRPr="00F57C51">
        <w:rPr>
          <w:rFonts w:ascii="Calibri" w:hAnsi="Calibri"/>
          <w:sz w:val="18"/>
          <w:szCs w:val="18"/>
        </w:rPr>
        <w:t>24</w:t>
      </w:r>
      <w:r>
        <w:rPr>
          <w:rFonts w:ascii="Calibri" w:hAnsi="Calibri"/>
          <w:sz w:val="18"/>
          <w:szCs w:val="18"/>
        </w:rPr>
        <w:t xml:space="preserve">, </w:t>
      </w:r>
      <w:r w:rsidRPr="00F57C51">
        <w:rPr>
          <w:rFonts w:ascii="Calibri" w:hAnsi="Calibri"/>
          <w:sz w:val="18"/>
          <w:szCs w:val="18"/>
        </w:rPr>
        <w:t>2004, p</w:t>
      </w:r>
      <w:r>
        <w:rPr>
          <w:rFonts w:ascii="Calibri" w:hAnsi="Calibri"/>
          <w:sz w:val="18"/>
          <w:szCs w:val="18"/>
        </w:rPr>
        <w:t>aragraph</w:t>
      </w:r>
      <w:r w:rsidRPr="00F57C51">
        <w:rPr>
          <w:rFonts w:ascii="Calibri" w:hAnsi="Calibri"/>
          <w:sz w:val="18"/>
          <w:szCs w:val="18"/>
        </w:rPr>
        <w:t xml:space="preserve"> 33.</w:t>
      </w:r>
    </w:p>
  </w:footnote>
  <w:footnote w:id="10">
    <w:p w:rsidR="00D00F6E" w:rsidRPr="00F57C51" w:rsidRDefault="00D00F6E" w:rsidP="00D00F6E">
      <w:pPr>
        <w:spacing w:after="120"/>
        <w:ind w:firstLine="720"/>
        <w:jc w:val="both"/>
        <w:rPr>
          <w:rFonts w:ascii="Calibri" w:hAnsi="Calibri"/>
          <w:sz w:val="18"/>
          <w:szCs w:val="18"/>
        </w:rPr>
      </w:pPr>
      <w:r w:rsidRPr="00F57C51">
        <w:rPr>
          <w:rStyle w:val="FootnoteReference"/>
          <w:rFonts w:ascii="Calibri" w:hAnsi="Calibri"/>
          <w:sz w:val="18"/>
          <w:szCs w:val="18"/>
        </w:rPr>
        <w:footnoteRef/>
      </w:r>
      <w:r w:rsidRPr="00F57C51">
        <w:rPr>
          <w:rFonts w:ascii="Calibri" w:hAnsi="Calibri"/>
          <w:sz w:val="18"/>
          <w:szCs w:val="18"/>
        </w:rPr>
        <w:t xml:space="preserve"> </w:t>
      </w:r>
      <w:proofErr w:type="gramStart"/>
      <w:r>
        <w:rPr>
          <w:rFonts w:ascii="Calibri" w:hAnsi="Calibri"/>
          <w:sz w:val="18"/>
          <w:szCs w:val="18"/>
        </w:rPr>
        <w:t>Inter-American Court of Human Rights</w:t>
      </w:r>
      <w:r w:rsidRPr="00F57C51">
        <w:rPr>
          <w:rFonts w:ascii="Calibri" w:hAnsi="Calibri"/>
          <w:sz w:val="18"/>
          <w:szCs w:val="18"/>
        </w:rPr>
        <w:t xml:space="preserve">, </w:t>
      </w:r>
      <w:r w:rsidRPr="00F57C51">
        <w:rPr>
          <w:rFonts w:ascii="Calibri" w:hAnsi="Calibri"/>
          <w:bCs/>
          <w:sz w:val="18"/>
          <w:szCs w:val="18"/>
        </w:rPr>
        <w:t xml:space="preserve">Cabrera </w:t>
      </w:r>
      <w:proofErr w:type="spellStart"/>
      <w:r w:rsidRPr="00F57C51">
        <w:rPr>
          <w:rFonts w:ascii="Calibri" w:hAnsi="Calibri"/>
          <w:bCs/>
          <w:sz w:val="18"/>
          <w:szCs w:val="18"/>
        </w:rPr>
        <w:t>García</w:t>
      </w:r>
      <w:proofErr w:type="spellEnd"/>
      <w:r w:rsidRPr="00F57C51">
        <w:rPr>
          <w:rFonts w:ascii="Calibri" w:hAnsi="Calibri"/>
          <w:bCs/>
          <w:sz w:val="18"/>
          <w:szCs w:val="18"/>
        </w:rPr>
        <w:t xml:space="preserve"> </w:t>
      </w:r>
      <w:r>
        <w:rPr>
          <w:rFonts w:ascii="Calibri" w:hAnsi="Calibri"/>
          <w:bCs/>
          <w:sz w:val="18"/>
          <w:szCs w:val="18"/>
        </w:rPr>
        <w:t>and</w:t>
      </w:r>
      <w:r w:rsidRPr="00F57C51">
        <w:rPr>
          <w:rFonts w:ascii="Calibri" w:hAnsi="Calibri"/>
          <w:bCs/>
          <w:sz w:val="18"/>
          <w:szCs w:val="18"/>
        </w:rPr>
        <w:t xml:space="preserve"> Montiel Flores </w:t>
      </w:r>
      <w:r>
        <w:rPr>
          <w:rFonts w:ascii="Calibri" w:hAnsi="Calibri"/>
          <w:bCs/>
          <w:sz w:val="18"/>
          <w:szCs w:val="18"/>
        </w:rPr>
        <w:t>v</w:t>
      </w:r>
      <w:r w:rsidRPr="00F57C51">
        <w:rPr>
          <w:rFonts w:ascii="Calibri" w:hAnsi="Calibri"/>
          <w:bCs/>
          <w:sz w:val="18"/>
          <w:szCs w:val="18"/>
        </w:rPr>
        <w:t>. M</w:t>
      </w:r>
      <w:r>
        <w:rPr>
          <w:rFonts w:ascii="Calibri" w:hAnsi="Calibri"/>
          <w:bCs/>
          <w:sz w:val="18"/>
          <w:szCs w:val="18"/>
        </w:rPr>
        <w:t>e</w:t>
      </w:r>
      <w:r w:rsidRPr="00F57C51">
        <w:rPr>
          <w:rFonts w:ascii="Calibri" w:hAnsi="Calibri"/>
          <w:bCs/>
          <w:sz w:val="18"/>
          <w:szCs w:val="18"/>
        </w:rPr>
        <w:t>xico</w:t>
      </w:r>
      <w:r w:rsidRPr="00C115FC">
        <w:rPr>
          <w:rFonts w:ascii="Calibri" w:hAnsi="Calibri"/>
          <w:bCs/>
          <w:sz w:val="18"/>
          <w:szCs w:val="18"/>
        </w:rPr>
        <w:t>.</w:t>
      </w:r>
      <w:proofErr w:type="gramEnd"/>
      <w:r w:rsidRPr="00C115FC">
        <w:rPr>
          <w:rFonts w:ascii="Calibri" w:hAnsi="Calibri"/>
          <w:bCs/>
          <w:sz w:val="18"/>
          <w:szCs w:val="18"/>
        </w:rPr>
        <w:t xml:space="preserve"> </w:t>
      </w:r>
      <w:proofErr w:type="gramStart"/>
      <w:r w:rsidRPr="00C115FC">
        <w:rPr>
          <w:rFonts w:ascii="Calibri" w:hAnsi="Calibri"/>
          <w:bCs/>
          <w:sz w:val="18"/>
          <w:szCs w:val="18"/>
        </w:rPr>
        <w:t>Preliminary Exception</w:t>
      </w:r>
      <w:r w:rsidRPr="00C115FC">
        <w:rPr>
          <w:rFonts w:ascii="Calibri" w:hAnsi="Calibri"/>
          <w:sz w:val="18"/>
          <w:szCs w:val="18"/>
        </w:rPr>
        <w:t>, Merits, Reparations and Costs.</w:t>
      </w:r>
      <w:proofErr w:type="gramEnd"/>
      <w:r w:rsidRPr="00C115FC">
        <w:rPr>
          <w:rFonts w:ascii="Calibri" w:hAnsi="Calibri"/>
          <w:sz w:val="18"/>
          <w:szCs w:val="18"/>
        </w:rPr>
        <w:t xml:space="preserve"> Judgment of November 26, 2010. Series C No. 220, paragraph 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59A7C8C7" wp14:editId="14CE5FAD">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E04B9C"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3481"/>
    <w:multiLevelType w:val="hybridMultilevel"/>
    <w:tmpl w:val="78363F6C"/>
    <w:lvl w:ilvl="0" w:tplc="BCFA5BCE">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0E1D2261"/>
    <w:multiLevelType w:val="hybridMultilevel"/>
    <w:tmpl w:val="65E22192"/>
    <w:lvl w:ilvl="0" w:tplc="382C605A">
      <w:start w:val="4"/>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nsid w:val="19E10117"/>
    <w:multiLevelType w:val="hybridMultilevel"/>
    <w:tmpl w:val="34BA49C6"/>
    <w:lvl w:ilvl="0" w:tplc="4F8C469E">
      <w:start w:val="2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9A157A4"/>
    <w:multiLevelType w:val="hybridMultilevel"/>
    <w:tmpl w:val="9F1C7F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6763F0D"/>
    <w:multiLevelType w:val="hybridMultilevel"/>
    <w:tmpl w:val="34BA49C6"/>
    <w:lvl w:ilvl="0" w:tplc="4F8C469E">
      <w:start w:val="2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7215D77"/>
    <w:multiLevelType w:val="hybridMultilevel"/>
    <w:tmpl w:val="9062938C"/>
    <w:lvl w:ilvl="0" w:tplc="C58E5BE8">
      <w:start w:val="1"/>
      <w:numFmt w:val="upperLetter"/>
      <w:lvlText w:val="%1."/>
      <w:lvlJc w:val="left"/>
      <w:pPr>
        <w:tabs>
          <w:tab w:val="num" w:pos="1440"/>
        </w:tabs>
        <w:ind w:left="1440" w:hanging="720"/>
      </w:pPr>
    </w:lvl>
    <w:lvl w:ilvl="1" w:tplc="E71E0D6E">
      <w:start w:val="1"/>
      <w:numFmt w:val="decimal"/>
      <w:lvlText w:val="%2."/>
      <w:lvlJc w:val="left"/>
      <w:pPr>
        <w:tabs>
          <w:tab w:val="num" w:pos="1440"/>
        </w:tabs>
        <w:ind w:left="1440" w:hanging="360"/>
      </w:pPr>
      <w:rPr>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8">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654E22C1"/>
    <w:multiLevelType w:val="hybridMultilevel"/>
    <w:tmpl w:val="E8221F7E"/>
    <w:lvl w:ilvl="0" w:tplc="CB7CD826">
      <w:start w:val="7"/>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5">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6">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0786ED7"/>
    <w:multiLevelType w:val="hybridMultilevel"/>
    <w:tmpl w:val="0004DB54"/>
    <w:lvl w:ilvl="0" w:tplc="69020C3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3"/>
  </w:num>
  <w:num w:numId="9">
    <w:abstractNumId w:val="53"/>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9"/>
  </w:num>
  <w:num w:numId="13">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10"/>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3"/>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9"/>
  </w:num>
  <w:num w:numId="21">
    <w:abstractNumId w:val="3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2"/>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1"/>
  </w:num>
  <w:num w:numId="54">
    <w:abstractNumId w:val="40"/>
  </w:num>
  <w:num w:numId="55">
    <w:abstractNumId w:val="41"/>
  </w:num>
  <w:num w:numId="56">
    <w:abstractNumId w:val="48"/>
  </w:num>
  <w:num w:numId="57">
    <w:abstractNumId w:val="2"/>
  </w:num>
  <w:num w:numId="58">
    <w:abstractNumId w:val="3"/>
  </w:num>
  <w:num w:numId="59">
    <w:abstractNumId w:val="10"/>
  </w:num>
  <w:num w:numId="60">
    <w:abstractNumId w:val="11"/>
  </w:num>
  <w:num w:numId="61">
    <w:abstractNumId w:val="12"/>
  </w:num>
  <w:num w:numId="62">
    <w:abstractNumId w:val="13"/>
  </w:num>
  <w:num w:numId="63">
    <w:abstractNumId w:val="14"/>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1"/>
  </w:num>
  <w:num w:numId="76">
    <w:abstractNumId w:val="32"/>
  </w:num>
  <w:num w:numId="77">
    <w:abstractNumId w:val="33"/>
  </w:num>
  <w:num w:numId="78">
    <w:abstractNumId w:val="34"/>
  </w:num>
  <w:num w:numId="79">
    <w:abstractNumId w:val="35"/>
  </w:num>
  <w:num w:numId="80">
    <w:abstractNumId w:val="36"/>
  </w:num>
  <w:num w:numId="81">
    <w:abstractNumId w:val="37"/>
  </w:num>
  <w:num w:numId="82">
    <w:abstractNumId w:val="42"/>
  </w:num>
  <w:num w:numId="83">
    <w:abstractNumId w:val="43"/>
  </w:num>
  <w:num w:numId="84">
    <w:abstractNumId w:val="50"/>
  </w:num>
  <w:num w:numId="85">
    <w:abstractNumId w:val="54"/>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6"/>
  </w:num>
  <w:num w:numId="94">
    <w:abstractNumId w:val="22"/>
  </w:num>
  <w:num w:numId="95">
    <w:abstractNumId w:val="44"/>
  </w:num>
  <w:num w:numId="96">
    <w:abstractNumId w:val="57"/>
  </w:num>
  <w:num w:numId="97">
    <w:abstractNumId w:val="55"/>
  </w:num>
  <w:num w:numId="98">
    <w:abstractNumId w:val="49"/>
  </w:num>
  <w:num w:numId="99">
    <w:abstractNumId w:val="39"/>
  </w:num>
  <w:num w:numId="100">
    <w:abstractNumId w:val="4"/>
  </w:num>
  <w:num w:numId="101">
    <w:abstractNumId w:val="27"/>
  </w:num>
  <w:num w:numId="102">
    <w:abstractNumId w:val="51"/>
  </w:num>
  <w:num w:numId="103">
    <w:abstractNumId w:val="6"/>
  </w:num>
  <w:num w:numId="104">
    <w:abstractNumId w:val="0"/>
  </w:num>
  <w:num w:numId="10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8"/>
  </w:num>
  <w:num w:numId="107">
    <w:abstractNumId w:val="52"/>
  </w:num>
  <w:num w:numId="108">
    <w:abstractNumId w:val="46"/>
  </w:num>
  <w:num w:numId="109">
    <w:abstractNumId w:val="8"/>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70D7"/>
    <w:rsid w:val="000111A8"/>
    <w:rsid w:val="0001788C"/>
    <w:rsid w:val="0002783D"/>
    <w:rsid w:val="00036A8A"/>
    <w:rsid w:val="00040C3A"/>
    <w:rsid w:val="000639C0"/>
    <w:rsid w:val="00070F3A"/>
    <w:rsid w:val="000716C5"/>
    <w:rsid w:val="00075E23"/>
    <w:rsid w:val="00092F32"/>
    <w:rsid w:val="0009344A"/>
    <w:rsid w:val="000A575F"/>
    <w:rsid w:val="000D10DB"/>
    <w:rsid w:val="00115919"/>
    <w:rsid w:val="0013104F"/>
    <w:rsid w:val="00137EBA"/>
    <w:rsid w:val="00145EDC"/>
    <w:rsid w:val="00150209"/>
    <w:rsid w:val="00167A34"/>
    <w:rsid w:val="0018037F"/>
    <w:rsid w:val="001A5F27"/>
    <w:rsid w:val="001A7870"/>
    <w:rsid w:val="001C1B41"/>
    <w:rsid w:val="00210E0E"/>
    <w:rsid w:val="00221D30"/>
    <w:rsid w:val="00247403"/>
    <w:rsid w:val="00247542"/>
    <w:rsid w:val="00257893"/>
    <w:rsid w:val="00262F9B"/>
    <w:rsid w:val="00266092"/>
    <w:rsid w:val="00266B61"/>
    <w:rsid w:val="0026712A"/>
    <w:rsid w:val="002704DB"/>
    <w:rsid w:val="002C1641"/>
    <w:rsid w:val="002D7EA2"/>
    <w:rsid w:val="002E15DF"/>
    <w:rsid w:val="002E187C"/>
    <w:rsid w:val="002E6E57"/>
    <w:rsid w:val="00301075"/>
    <w:rsid w:val="00302733"/>
    <w:rsid w:val="00311A4F"/>
    <w:rsid w:val="00314078"/>
    <w:rsid w:val="00322450"/>
    <w:rsid w:val="003246B5"/>
    <w:rsid w:val="0033169F"/>
    <w:rsid w:val="003414AC"/>
    <w:rsid w:val="00356185"/>
    <w:rsid w:val="00360380"/>
    <w:rsid w:val="00377147"/>
    <w:rsid w:val="00386CF0"/>
    <w:rsid w:val="003C32BC"/>
    <w:rsid w:val="003C64C4"/>
    <w:rsid w:val="003E119C"/>
    <w:rsid w:val="003F1BBF"/>
    <w:rsid w:val="003F6F3E"/>
    <w:rsid w:val="004165C2"/>
    <w:rsid w:val="004326CC"/>
    <w:rsid w:val="00450A4A"/>
    <w:rsid w:val="004666FB"/>
    <w:rsid w:val="00467B7E"/>
    <w:rsid w:val="004861F1"/>
    <w:rsid w:val="0049419D"/>
    <w:rsid w:val="0049624C"/>
    <w:rsid w:val="004B2762"/>
    <w:rsid w:val="004B7EB6"/>
    <w:rsid w:val="004C4B62"/>
    <w:rsid w:val="004D2092"/>
    <w:rsid w:val="004D6025"/>
    <w:rsid w:val="004D72BC"/>
    <w:rsid w:val="00501399"/>
    <w:rsid w:val="00507BC4"/>
    <w:rsid w:val="005128E4"/>
    <w:rsid w:val="00525560"/>
    <w:rsid w:val="005357A6"/>
    <w:rsid w:val="00544C49"/>
    <w:rsid w:val="0057402A"/>
    <w:rsid w:val="005771D0"/>
    <w:rsid w:val="00585F5D"/>
    <w:rsid w:val="0059191A"/>
    <w:rsid w:val="005921FF"/>
    <w:rsid w:val="005A6D0E"/>
    <w:rsid w:val="005B222D"/>
    <w:rsid w:val="005B52B0"/>
    <w:rsid w:val="005B6806"/>
    <w:rsid w:val="005C00F9"/>
    <w:rsid w:val="005C4225"/>
    <w:rsid w:val="005F0F33"/>
    <w:rsid w:val="00600DEB"/>
    <w:rsid w:val="00613027"/>
    <w:rsid w:val="00627C9F"/>
    <w:rsid w:val="006311DA"/>
    <w:rsid w:val="006311E9"/>
    <w:rsid w:val="00632354"/>
    <w:rsid w:val="00641D89"/>
    <w:rsid w:val="00642810"/>
    <w:rsid w:val="00652333"/>
    <w:rsid w:val="00655E76"/>
    <w:rsid w:val="00665158"/>
    <w:rsid w:val="0068009E"/>
    <w:rsid w:val="0068628B"/>
    <w:rsid w:val="0069343F"/>
    <w:rsid w:val="006A17D2"/>
    <w:rsid w:val="006A73E6"/>
    <w:rsid w:val="006B1786"/>
    <w:rsid w:val="006B2D5C"/>
    <w:rsid w:val="006C4EB1"/>
    <w:rsid w:val="006E0166"/>
    <w:rsid w:val="006E0ECC"/>
    <w:rsid w:val="006E7B34"/>
    <w:rsid w:val="00701A86"/>
    <w:rsid w:val="00701B24"/>
    <w:rsid w:val="00726942"/>
    <w:rsid w:val="00745899"/>
    <w:rsid w:val="007607C4"/>
    <w:rsid w:val="0076643F"/>
    <w:rsid w:val="007A2F70"/>
    <w:rsid w:val="007C3334"/>
    <w:rsid w:val="007C52BB"/>
    <w:rsid w:val="007D2B98"/>
    <w:rsid w:val="00803F1C"/>
    <w:rsid w:val="0080600E"/>
    <w:rsid w:val="00811509"/>
    <w:rsid w:val="00817612"/>
    <w:rsid w:val="00837C45"/>
    <w:rsid w:val="00853419"/>
    <w:rsid w:val="00896577"/>
    <w:rsid w:val="00897E12"/>
    <w:rsid w:val="008D43BA"/>
    <w:rsid w:val="008E3759"/>
    <w:rsid w:val="009041DC"/>
    <w:rsid w:val="009104B4"/>
    <w:rsid w:val="00925FCD"/>
    <w:rsid w:val="0093163F"/>
    <w:rsid w:val="0093441A"/>
    <w:rsid w:val="00954BF7"/>
    <w:rsid w:val="00956067"/>
    <w:rsid w:val="0096706E"/>
    <w:rsid w:val="00981FBA"/>
    <w:rsid w:val="00991411"/>
    <w:rsid w:val="009B381B"/>
    <w:rsid w:val="009C39DE"/>
    <w:rsid w:val="009D7611"/>
    <w:rsid w:val="009E53DE"/>
    <w:rsid w:val="00A43458"/>
    <w:rsid w:val="00A528D1"/>
    <w:rsid w:val="00A66BE5"/>
    <w:rsid w:val="00AD37C1"/>
    <w:rsid w:val="00AE2985"/>
    <w:rsid w:val="00AE66EC"/>
    <w:rsid w:val="00AE6F91"/>
    <w:rsid w:val="00AF5571"/>
    <w:rsid w:val="00B167E9"/>
    <w:rsid w:val="00B314DB"/>
    <w:rsid w:val="00B31EBE"/>
    <w:rsid w:val="00B3718B"/>
    <w:rsid w:val="00B4632A"/>
    <w:rsid w:val="00BA276C"/>
    <w:rsid w:val="00BB306F"/>
    <w:rsid w:val="00BC437B"/>
    <w:rsid w:val="00BD232B"/>
    <w:rsid w:val="00BD4B89"/>
    <w:rsid w:val="00C21762"/>
    <w:rsid w:val="00C24543"/>
    <w:rsid w:val="00C256A2"/>
    <w:rsid w:val="00C3492D"/>
    <w:rsid w:val="00C408E6"/>
    <w:rsid w:val="00C55560"/>
    <w:rsid w:val="00C66B72"/>
    <w:rsid w:val="00C9567A"/>
    <w:rsid w:val="00CB2660"/>
    <w:rsid w:val="00CB4871"/>
    <w:rsid w:val="00CC5E90"/>
    <w:rsid w:val="00CD046C"/>
    <w:rsid w:val="00CE5199"/>
    <w:rsid w:val="00CE66D5"/>
    <w:rsid w:val="00D00F6E"/>
    <w:rsid w:val="00D14723"/>
    <w:rsid w:val="00D34786"/>
    <w:rsid w:val="00D40A1E"/>
    <w:rsid w:val="00D712D3"/>
    <w:rsid w:val="00D71422"/>
    <w:rsid w:val="00D7145E"/>
    <w:rsid w:val="00D7558D"/>
    <w:rsid w:val="00D81D92"/>
    <w:rsid w:val="00D84460"/>
    <w:rsid w:val="00D93446"/>
    <w:rsid w:val="00DA7B5F"/>
    <w:rsid w:val="00DE2350"/>
    <w:rsid w:val="00DE6898"/>
    <w:rsid w:val="00E04B9C"/>
    <w:rsid w:val="00E43157"/>
    <w:rsid w:val="00E47DA2"/>
    <w:rsid w:val="00E533FF"/>
    <w:rsid w:val="00E709B3"/>
    <w:rsid w:val="00E8789F"/>
    <w:rsid w:val="00E97B71"/>
    <w:rsid w:val="00EA05E3"/>
    <w:rsid w:val="00EB454D"/>
    <w:rsid w:val="00EC2EF7"/>
    <w:rsid w:val="00EE15CF"/>
    <w:rsid w:val="00EE3522"/>
    <w:rsid w:val="00EF619B"/>
    <w:rsid w:val="00F00B55"/>
    <w:rsid w:val="00F1380F"/>
    <w:rsid w:val="00F14F0E"/>
    <w:rsid w:val="00F24C29"/>
    <w:rsid w:val="00F253CC"/>
    <w:rsid w:val="00F433CD"/>
    <w:rsid w:val="00F56BA5"/>
    <w:rsid w:val="00F644E6"/>
    <w:rsid w:val="00F74E76"/>
    <w:rsid w:val="00F9653B"/>
    <w:rsid w:val="00FB62CF"/>
    <w:rsid w:val="00FC3EB4"/>
    <w:rsid w:val="00FC6C58"/>
    <w:rsid w:val="00FD6FFD"/>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qFormat/>
    <w:rsid w:val="004861F1"/>
    <w:pPr>
      <w:keepNext/>
      <w:ind w:firstLine="720"/>
      <w:outlineLvl w:val="0"/>
    </w:pPr>
    <w:rPr>
      <w:rFonts w:ascii="Cambria" w:hAnsi="Cambria" w:cs="Arial"/>
      <w:b/>
      <w:spacing w:val="-3"/>
      <w:sz w:val="20"/>
      <w:szCs w:val="20"/>
    </w:rPr>
  </w:style>
  <w:style w:type="paragraph" w:styleId="Heading2">
    <w:name w:val="heading 2"/>
    <w:basedOn w:val="Normal"/>
    <w:next w:val="Normal"/>
    <w:link w:val="Heading2Char"/>
    <w:unhideWhenUsed/>
    <w:qFormat/>
    <w:rsid w:val="00D00F6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D00F6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rsid w:val="004861F1"/>
    <w:rPr>
      <w:rFonts w:ascii="Cambria" w:hAnsi="Cambria" w:cs="Arial"/>
      <w:b/>
      <w:spacing w:val="-3"/>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nhideWhenUsed/>
    <w:rsid w:val="00036A8A"/>
    <w:pPr>
      <w:spacing w:after="120"/>
    </w:pPr>
  </w:style>
  <w:style w:type="character" w:customStyle="1" w:styleId="BodyTextChar">
    <w:name w:val="Body Text Char"/>
    <w:basedOn w:val="DefaultParagraphFont"/>
    <w:link w:val="BodyText"/>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4_G,16 Point,Superscript 6 Point,Footnote symbol,Footnote,Texto nota al pie,Footnote Reference Char3"/>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paragraph" w:styleId="NormalWeb">
    <w:name w:val="Normal (Web)"/>
    <w:basedOn w:val="Normal"/>
    <w:uiPriority w:val="99"/>
    <w:rsid w:val="00D1472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Heading2Char">
    <w:name w:val="Heading 2 Char"/>
    <w:basedOn w:val="DefaultParagraphFont"/>
    <w:link w:val="Heading2"/>
    <w:uiPriority w:val="9"/>
    <w:semiHidden/>
    <w:rsid w:val="00D00F6E"/>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semiHidden/>
    <w:rsid w:val="00D00F6E"/>
    <w:rPr>
      <w:rFonts w:asciiTheme="majorHAnsi" w:eastAsiaTheme="majorEastAsia" w:hAnsiTheme="majorHAnsi" w:cstheme="majorBidi"/>
      <w:b/>
      <w:bCs/>
      <w:color w:val="4F81BD" w:themeColor="accent1"/>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qFormat/>
    <w:rsid w:val="004861F1"/>
    <w:pPr>
      <w:keepNext/>
      <w:ind w:firstLine="720"/>
      <w:outlineLvl w:val="0"/>
    </w:pPr>
    <w:rPr>
      <w:rFonts w:ascii="Cambria" w:hAnsi="Cambria" w:cs="Arial"/>
      <w:b/>
      <w:spacing w:val="-3"/>
      <w:sz w:val="20"/>
      <w:szCs w:val="20"/>
    </w:rPr>
  </w:style>
  <w:style w:type="paragraph" w:styleId="Heading2">
    <w:name w:val="heading 2"/>
    <w:basedOn w:val="Normal"/>
    <w:next w:val="Normal"/>
    <w:link w:val="Heading2Char"/>
    <w:unhideWhenUsed/>
    <w:qFormat/>
    <w:rsid w:val="00D00F6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D00F6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rsid w:val="004861F1"/>
    <w:rPr>
      <w:rFonts w:ascii="Cambria" w:hAnsi="Cambria" w:cs="Arial"/>
      <w:b/>
      <w:spacing w:val="-3"/>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nhideWhenUsed/>
    <w:rsid w:val="00036A8A"/>
    <w:pPr>
      <w:spacing w:after="120"/>
    </w:pPr>
  </w:style>
  <w:style w:type="character" w:customStyle="1" w:styleId="BodyTextChar">
    <w:name w:val="Body Text Char"/>
    <w:basedOn w:val="DefaultParagraphFont"/>
    <w:link w:val="BodyText"/>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4_G,16 Point,Superscript 6 Point,Footnote symbol,Footnote,Texto nota al pie,Footnote Reference Char3"/>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paragraph" w:styleId="NormalWeb">
    <w:name w:val="Normal (Web)"/>
    <w:basedOn w:val="Normal"/>
    <w:uiPriority w:val="99"/>
    <w:rsid w:val="00D1472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Heading2Char">
    <w:name w:val="Heading 2 Char"/>
    <w:basedOn w:val="DefaultParagraphFont"/>
    <w:link w:val="Heading2"/>
    <w:uiPriority w:val="9"/>
    <w:semiHidden/>
    <w:rsid w:val="00D00F6E"/>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semiHidden/>
    <w:rsid w:val="00D00F6E"/>
    <w:rPr>
      <w:rFonts w:asciiTheme="majorHAnsi" w:eastAsiaTheme="majorEastAsia" w:hAnsiTheme="majorHAnsi" w:cstheme="majorBidi"/>
      <w:b/>
      <w:bCs/>
      <w:color w:val="4F81BD" w:themeColor="accent1"/>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F673F-DB7A-49F3-A387-7561BA32F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5090</Words>
  <Characters>26573</Characters>
  <Application>Microsoft Office Word</Application>
  <DocSecurity>0</DocSecurity>
  <Lines>474</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IACHR</dc:creator>
  <cp:lastModifiedBy>%OAS%</cp:lastModifiedBy>
  <cp:revision>3</cp:revision>
  <cp:lastPrinted>2014-11-18T15:56:00Z</cp:lastPrinted>
  <dcterms:created xsi:type="dcterms:W3CDTF">2015-03-01T16:37:00Z</dcterms:created>
  <dcterms:modified xsi:type="dcterms:W3CDTF">2015-03-03T19:59:00Z</dcterms:modified>
</cp:coreProperties>
</file>