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4D6" w:rsidRPr="005D75F9" w:rsidRDefault="005E04D6" w:rsidP="005E04D6">
      <w:pPr>
        <w:spacing w:after="0"/>
        <w:jc w:val="center"/>
        <w:rPr>
          <w:rFonts w:ascii="Cambria" w:hAnsi="Cambria"/>
          <w:b/>
          <w:sz w:val="20"/>
          <w:szCs w:val="20"/>
          <w:lang w:val="en-US"/>
        </w:rPr>
      </w:pPr>
    </w:p>
    <w:p w:rsidR="00D70EA9" w:rsidRPr="005D75F9" w:rsidRDefault="000E24C6" w:rsidP="00D47B39">
      <w:pPr>
        <w:spacing w:after="0" w:line="240" w:lineRule="auto"/>
        <w:jc w:val="center"/>
        <w:rPr>
          <w:rFonts w:ascii="Cambria" w:hAnsi="Cambria" w:cs="Calibri"/>
          <w:b/>
          <w:bCs/>
          <w:sz w:val="20"/>
          <w:szCs w:val="20"/>
          <w:lang w:val="en-US"/>
        </w:rPr>
      </w:pPr>
      <w:r w:rsidRPr="005D75F9">
        <w:rPr>
          <w:rFonts w:ascii="Cambria" w:hAnsi="Cambria"/>
          <w:b/>
          <w:bCs/>
          <w:sz w:val="20"/>
          <w:szCs w:val="20"/>
          <w:lang w:val="en-US"/>
        </w:rPr>
        <w:t>FOLLOW-UP FACTSHEET OF REPORT No</w:t>
      </w:r>
      <w:r w:rsidR="005E04D6" w:rsidRPr="005D75F9">
        <w:rPr>
          <w:rFonts w:ascii="Cambria" w:hAnsi="Cambria"/>
          <w:b/>
          <w:sz w:val="20"/>
          <w:szCs w:val="20"/>
          <w:lang w:val="en-US"/>
        </w:rPr>
        <w:t xml:space="preserve">. </w:t>
      </w:r>
      <w:r w:rsidR="004A352F" w:rsidRPr="005D75F9">
        <w:rPr>
          <w:rFonts w:ascii="Cambria" w:hAnsi="Cambria" w:cs="Calibri"/>
          <w:b/>
          <w:bCs/>
          <w:sz w:val="20"/>
          <w:szCs w:val="20"/>
          <w:lang w:val="en-US"/>
        </w:rPr>
        <w:t>90/05</w:t>
      </w:r>
    </w:p>
    <w:p w:rsidR="00D70EA9" w:rsidRPr="005D75F9" w:rsidRDefault="004A352F" w:rsidP="00D47B39">
      <w:pPr>
        <w:spacing w:after="0" w:line="240" w:lineRule="auto"/>
        <w:jc w:val="center"/>
        <w:rPr>
          <w:rFonts w:ascii="Cambria" w:hAnsi="Cambria"/>
          <w:b/>
          <w:sz w:val="20"/>
          <w:szCs w:val="20"/>
          <w:lang w:val="en-US"/>
        </w:rPr>
      </w:pPr>
      <w:r w:rsidRPr="005D75F9">
        <w:rPr>
          <w:rFonts w:ascii="Cambria" w:hAnsi="Cambria"/>
          <w:b/>
          <w:sz w:val="20"/>
          <w:szCs w:val="20"/>
          <w:lang w:val="en-US"/>
        </w:rPr>
        <w:t>CASE 12</w:t>
      </w:r>
      <w:r w:rsidR="005E04D6" w:rsidRPr="005D75F9">
        <w:rPr>
          <w:rFonts w:ascii="Cambria" w:hAnsi="Cambria"/>
          <w:b/>
          <w:sz w:val="20"/>
          <w:szCs w:val="20"/>
          <w:lang w:val="en-US"/>
        </w:rPr>
        <w:t>.</w:t>
      </w:r>
      <w:r w:rsidRPr="005D75F9">
        <w:rPr>
          <w:rFonts w:ascii="Cambria" w:hAnsi="Cambria"/>
          <w:b/>
          <w:sz w:val="20"/>
          <w:szCs w:val="20"/>
          <w:lang w:val="en-US"/>
        </w:rPr>
        <w:t>142</w:t>
      </w:r>
    </w:p>
    <w:p w:rsidR="00D70EA9" w:rsidRPr="005D75F9" w:rsidRDefault="001F1702" w:rsidP="00D47B39">
      <w:pPr>
        <w:spacing w:after="0" w:line="240" w:lineRule="auto"/>
        <w:jc w:val="center"/>
        <w:rPr>
          <w:rFonts w:ascii="Cambria" w:hAnsi="Cambria"/>
          <w:b/>
          <w:sz w:val="20"/>
          <w:szCs w:val="20"/>
          <w:lang w:val="en-US"/>
        </w:rPr>
      </w:pPr>
      <w:r w:rsidRPr="005D75F9">
        <w:rPr>
          <w:rFonts w:ascii="Cambria" w:hAnsi="Cambria"/>
          <w:b/>
          <w:sz w:val="20"/>
          <w:szCs w:val="20"/>
          <w:lang w:val="en-US"/>
        </w:rPr>
        <w:t>ALEJANDRA MARCELA MATUS ACUÑ</w:t>
      </w:r>
      <w:r w:rsidR="004A352F" w:rsidRPr="005D75F9">
        <w:rPr>
          <w:rFonts w:ascii="Cambria" w:hAnsi="Cambria"/>
          <w:b/>
          <w:sz w:val="20"/>
          <w:szCs w:val="20"/>
          <w:lang w:val="en-US"/>
        </w:rPr>
        <w:t xml:space="preserve">A </w:t>
      </w:r>
      <w:r w:rsidR="00897D0E" w:rsidRPr="005D75F9">
        <w:rPr>
          <w:rFonts w:ascii="Cambria" w:hAnsi="Cambria"/>
          <w:b/>
          <w:sz w:val="20"/>
          <w:szCs w:val="20"/>
          <w:lang w:val="en-US"/>
        </w:rPr>
        <w:t>AND OTHERS</w:t>
      </w:r>
    </w:p>
    <w:p w:rsidR="00D70EA9" w:rsidRPr="005D75F9" w:rsidRDefault="00D70EA9" w:rsidP="00D47B39">
      <w:pPr>
        <w:spacing w:after="0" w:line="240" w:lineRule="auto"/>
        <w:jc w:val="center"/>
        <w:rPr>
          <w:rFonts w:ascii="Cambria" w:hAnsi="Cambria"/>
          <w:b/>
          <w:sz w:val="20"/>
          <w:szCs w:val="20"/>
          <w:lang w:val="en-US"/>
        </w:rPr>
      </w:pPr>
      <w:r w:rsidRPr="005D75F9">
        <w:rPr>
          <w:rFonts w:ascii="Cambria" w:hAnsi="Cambria"/>
          <w:b/>
          <w:sz w:val="20"/>
          <w:szCs w:val="20"/>
          <w:lang w:val="en-US"/>
        </w:rPr>
        <w:t>(Chile)</w:t>
      </w:r>
    </w:p>
    <w:p w:rsidR="000E24C6" w:rsidRPr="005D75F9" w:rsidRDefault="000E24C6" w:rsidP="000E24C6">
      <w:pPr>
        <w:spacing w:after="0" w:line="240" w:lineRule="auto"/>
        <w:ind w:left="1440"/>
        <w:rPr>
          <w:rFonts w:ascii="Cambria" w:hAnsi="Cambria" w:cs="Calibri Light"/>
          <w:sz w:val="20"/>
          <w:szCs w:val="20"/>
          <w:lang w:val="en-US"/>
        </w:rPr>
      </w:pPr>
    </w:p>
    <w:p w:rsidR="00D70EA9" w:rsidRPr="005D75F9" w:rsidRDefault="00C16D39" w:rsidP="00BD2642">
      <w:pPr>
        <w:numPr>
          <w:ilvl w:val="0"/>
          <w:numId w:val="1"/>
        </w:numPr>
        <w:spacing w:after="0" w:line="240" w:lineRule="auto"/>
        <w:ind w:left="1440"/>
        <w:rPr>
          <w:rFonts w:ascii="Cambria" w:hAnsi="Cambria" w:cs="Calibri Light"/>
          <w:b/>
          <w:sz w:val="20"/>
          <w:szCs w:val="20"/>
          <w:lang w:val="en-US"/>
        </w:rPr>
      </w:pPr>
      <w:r w:rsidRPr="005D75F9">
        <w:rPr>
          <w:rFonts w:ascii="Cambria" w:hAnsi="Cambria" w:cs="Calibri Light"/>
          <w:b/>
          <w:sz w:val="20"/>
          <w:szCs w:val="20"/>
          <w:lang w:val="en-US"/>
        </w:rPr>
        <w:t xml:space="preserve">Summary of </w:t>
      </w:r>
      <w:r w:rsidR="001B07C1" w:rsidRPr="005D75F9">
        <w:rPr>
          <w:rFonts w:ascii="Cambria" w:hAnsi="Cambria" w:cs="Calibri Light"/>
          <w:b/>
          <w:sz w:val="20"/>
          <w:szCs w:val="20"/>
          <w:lang w:val="en-US"/>
        </w:rPr>
        <w:t>C</w:t>
      </w:r>
      <w:r w:rsidRPr="005D75F9">
        <w:rPr>
          <w:rFonts w:ascii="Cambria" w:hAnsi="Cambria" w:cs="Calibri Light"/>
          <w:b/>
          <w:sz w:val="20"/>
          <w:szCs w:val="20"/>
          <w:lang w:val="en-US"/>
        </w:rPr>
        <w:t>ase</w:t>
      </w:r>
    </w:p>
    <w:p w:rsidR="00D70EA9" w:rsidRPr="005D75F9" w:rsidRDefault="00D70EA9" w:rsidP="00D70EA9">
      <w:pPr>
        <w:spacing w:after="0" w:line="240" w:lineRule="auto"/>
        <w:ind w:left="1080"/>
        <w:rPr>
          <w:rFonts w:ascii="Cambria" w:hAnsi="Cambria" w:cs="Calibri Light"/>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576"/>
      </w:tblGrid>
      <w:tr w:rsidR="00D70EA9" w:rsidRPr="0023045A" w:rsidTr="00CB3AFA">
        <w:tc>
          <w:tcPr>
            <w:tcW w:w="9576" w:type="dxa"/>
            <w:shd w:val="clear" w:color="auto" w:fill="F2F2F2"/>
          </w:tcPr>
          <w:p w:rsidR="00D70EA9" w:rsidRPr="00AC73A7" w:rsidRDefault="00C16D39" w:rsidP="00C16D39">
            <w:pPr>
              <w:spacing w:before="120" w:after="0" w:line="240" w:lineRule="auto"/>
              <w:jc w:val="both"/>
              <w:rPr>
                <w:rFonts w:ascii="Cambria" w:hAnsi="Cambria"/>
                <w:sz w:val="20"/>
                <w:szCs w:val="20"/>
                <w:lang w:val="es-CO"/>
              </w:rPr>
            </w:pPr>
            <w:r w:rsidRPr="00AC73A7">
              <w:rPr>
                <w:rFonts w:ascii="Cambria" w:hAnsi="Cambria"/>
                <w:b/>
                <w:sz w:val="20"/>
                <w:szCs w:val="20"/>
                <w:lang w:val="es-CO"/>
              </w:rPr>
              <w:t>Victim</w:t>
            </w:r>
            <w:r w:rsidR="00D70EA9" w:rsidRPr="00AC73A7">
              <w:rPr>
                <w:rFonts w:ascii="Cambria" w:hAnsi="Cambria"/>
                <w:b/>
                <w:sz w:val="20"/>
                <w:szCs w:val="20"/>
                <w:lang w:val="es-CO"/>
              </w:rPr>
              <w:t xml:space="preserve"> (s):</w:t>
            </w:r>
            <w:r w:rsidR="00D70EA9" w:rsidRPr="00AC73A7">
              <w:rPr>
                <w:rFonts w:ascii="Cambria" w:hAnsi="Cambria"/>
                <w:sz w:val="20"/>
                <w:szCs w:val="20"/>
                <w:lang w:val="es-CO"/>
              </w:rPr>
              <w:t xml:space="preserve"> </w:t>
            </w:r>
            <w:r w:rsidR="004A352F" w:rsidRPr="00AC73A7">
              <w:rPr>
                <w:rFonts w:ascii="Cambria" w:hAnsi="Cambria"/>
                <w:sz w:val="20"/>
                <w:szCs w:val="20"/>
                <w:lang w:val="es-CO"/>
              </w:rPr>
              <w:t xml:space="preserve">Alejandra Marcela Matus </w:t>
            </w:r>
            <w:r w:rsidR="001F1702" w:rsidRPr="00AC73A7">
              <w:rPr>
                <w:rFonts w:ascii="Cambria" w:hAnsi="Cambria"/>
                <w:sz w:val="20"/>
                <w:szCs w:val="20"/>
                <w:lang w:val="es-CO"/>
              </w:rPr>
              <w:t>Acuña</w:t>
            </w:r>
            <w:r w:rsidR="004A352F" w:rsidRPr="00AC73A7">
              <w:rPr>
                <w:rFonts w:ascii="Cambria" w:hAnsi="Cambria"/>
                <w:sz w:val="20"/>
                <w:szCs w:val="20"/>
                <w:lang w:val="es-CO"/>
              </w:rPr>
              <w:t xml:space="preserve"> </w:t>
            </w:r>
            <w:r w:rsidR="006D65C1" w:rsidRPr="00AC73A7">
              <w:rPr>
                <w:rFonts w:ascii="Cambria" w:hAnsi="Cambria"/>
                <w:sz w:val="20"/>
                <w:szCs w:val="20"/>
                <w:lang w:val="es-CO"/>
              </w:rPr>
              <w:t>et al.</w:t>
            </w:r>
          </w:p>
          <w:p w:rsidR="00D70EA9" w:rsidRPr="005D75F9" w:rsidRDefault="00C16D39" w:rsidP="00C16D39">
            <w:pPr>
              <w:spacing w:after="0" w:line="240" w:lineRule="auto"/>
              <w:jc w:val="both"/>
              <w:rPr>
                <w:rFonts w:ascii="Cambria" w:hAnsi="Cambria"/>
                <w:sz w:val="20"/>
                <w:szCs w:val="20"/>
                <w:lang w:val="en-US"/>
              </w:rPr>
            </w:pPr>
            <w:r w:rsidRPr="005D75F9">
              <w:rPr>
                <w:rFonts w:ascii="Cambria" w:hAnsi="Cambria"/>
                <w:b/>
                <w:sz w:val="20"/>
                <w:szCs w:val="20"/>
                <w:lang w:val="en-US"/>
              </w:rPr>
              <w:t>Petitioner</w:t>
            </w:r>
            <w:r w:rsidR="00D70EA9" w:rsidRPr="005D75F9">
              <w:rPr>
                <w:rFonts w:ascii="Cambria" w:hAnsi="Cambria"/>
                <w:b/>
                <w:sz w:val="20"/>
                <w:szCs w:val="20"/>
                <w:lang w:val="en-US"/>
              </w:rPr>
              <w:t xml:space="preserve"> (s):</w:t>
            </w:r>
            <w:r w:rsidR="00D70EA9" w:rsidRPr="005D75F9">
              <w:rPr>
                <w:rFonts w:ascii="Cambria" w:hAnsi="Cambria"/>
                <w:sz w:val="20"/>
                <w:szCs w:val="20"/>
                <w:lang w:val="en-US"/>
              </w:rPr>
              <w:t xml:space="preserve"> </w:t>
            </w:r>
            <w:r w:rsidR="001B3D97" w:rsidRPr="005D75F9">
              <w:rPr>
                <w:rFonts w:ascii="Cambria" w:hAnsi="Cambria"/>
                <w:sz w:val="20"/>
                <w:szCs w:val="20"/>
                <w:lang w:val="en-US"/>
              </w:rPr>
              <w:t>Center for Justice and International Law (CEJIL)</w:t>
            </w:r>
            <w:r w:rsidR="005C2923" w:rsidRPr="005D75F9">
              <w:rPr>
                <w:rFonts w:ascii="Cambria" w:hAnsi="Cambria"/>
                <w:sz w:val="20"/>
                <w:szCs w:val="20"/>
                <w:lang w:val="en-US"/>
              </w:rPr>
              <w:t>,</w:t>
            </w:r>
            <w:r w:rsidR="001B3D97" w:rsidRPr="005D75F9">
              <w:rPr>
                <w:rFonts w:ascii="Cambria" w:hAnsi="Cambria"/>
                <w:sz w:val="20"/>
                <w:szCs w:val="20"/>
                <w:lang w:val="en-US"/>
              </w:rPr>
              <w:t xml:space="preserve"> </w:t>
            </w:r>
            <w:r w:rsidR="005C2923" w:rsidRPr="005D75F9">
              <w:rPr>
                <w:rFonts w:ascii="Cambria" w:hAnsi="Cambria"/>
                <w:sz w:val="20"/>
                <w:szCs w:val="20"/>
                <w:lang w:val="en-US"/>
              </w:rPr>
              <w:t>Jean Pierre Matus Acuña</w:t>
            </w:r>
            <w:r w:rsidR="008F4BDE" w:rsidRPr="005D75F9">
              <w:rPr>
                <w:rFonts w:ascii="Cambria" w:hAnsi="Cambria"/>
                <w:sz w:val="20"/>
                <w:szCs w:val="20"/>
                <w:lang w:val="en-US"/>
              </w:rPr>
              <w:t xml:space="preserve">, Adil Brkovic </w:t>
            </w:r>
          </w:p>
          <w:p w:rsidR="00D70EA9" w:rsidRPr="005D75F9" w:rsidRDefault="00C16D39" w:rsidP="00C16D39">
            <w:pPr>
              <w:spacing w:after="0" w:line="240" w:lineRule="auto"/>
              <w:jc w:val="both"/>
              <w:rPr>
                <w:rFonts w:ascii="Cambria" w:hAnsi="Cambria"/>
                <w:sz w:val="20"/>
                <w:szCs w:val="20"/>
                <w:lang w:val="en-US"/>
              </w:rPr>
            </w:pPr>
            <w:r w:rsidRPr="005D75F9">
              <w:rPr>
                <w:rFonts w:ascii="Cambria" w:hAnsi="Cambria"/>
                <w:b/>
                <w:sz w:val="20"/>
                <w:szCs w:val="20"/>
                <w:lang w:val="en-US"/>
              </w:rPr>
              <w:t>State</w:t>
            </w:r>
            <w:r w:rsidR="00D70EA9" w:rsidRPr="005D75F9">
              <w:rPr>
                <w:rFonts w:ascii="Cambria" w:hAnsi="Cambria"/>
                <w:b/>
                <w:sz w:val="20"/>
                <w:szCs w:val="20"/>
                <w:lang w:val="en-US"/>
              </w:rPr>
              <w:t>:</w:t>
            </w:r>
            <w:r w:rsidR="00D70EA9" w:rsidRPr="005D75F9">
              <w:rPr>
                <w:rFonts w:ascii="Cambria" w:hAnsi="Cambria"/>
                <w:sz w:val="20"/>
                <w:szCs w:val="20"/>
                <w:lang w:val="en-US"/>
              </w:rPr>
              <w:t xml:space="preserve"> Chile</w:t>
            </w:r>
          </w:p>
          <w:p w:rsidR="00D70EA9" w:rsidRPr="005D75F9" w:rsidRDefault="00C16D39" w:rsidP="00C16D39">
            <w:pPr>
              <w:spacing w:after="0" w:line="240" w:lineRule="auto"/>
              <w:jc w:val="both"/>
              <w:rPr>
                <w:rFonts w:ascii="Cambria" w:hAnsi="Cambria"/>
                <w:sz w:val="20"/>
                <w:szCs w:val="20"/>
                <w:lang w:val="en-US"/>
              </w:rPr>
            </w:pPr>
            <w:r w:rsidRPr="005D75F9">
              <w:rPr>
                <w:rFonts w:ascii="Cambria" w:hAnsi="Cambria"/>
                <w:b/>
                <w:sz w:val="20"/>
                <w:szCs w:val="20"/>
                <w:lang w:val="en-US"/>
              </w:rPr>
              <w:t>Merits Report No</w:t>
            </w:r>
            <w:r w:rsidR="00D70EA9" w:rsidRPr="005D75F9">
              <w:rPr>
                <w:rFonts w:ascii="Cambria" w:hAnsi="Cambria"/>
                <w:b/>
                <w:sz w:val="20"/>
                <w:szCs w:val="20"/>
                <w:lang w:val="en-US"/>
              </w:rPr>
              <w:t xml:space="preserve">.: </w:t>
            </w:r>
            <w:hyperlink r:id="rId8" w:history="1">
              <w:r w:rsidR="001B3D97" w:rsidRPr="005D75F9">
                <w:rPr>
                  <w:rStyle w:val="Hyperlink"/>
                  <w:rFonts w:ascii="Cambria" w:hAnsi="Cambria"/>
                  <w:color w:val="auto"/>
                  <w:sz w:val="20"/>
                  <w:szCs w:val="20"/>
                  <w:lang w:val="en-US"/>
                </w:rPr>
                <w:t>90/05</w:t>
              </w:r>
            </w:hyperlink>
            <w:r w:rsidR="001B3D97" w:rsidRPr="005D75F9">
              <w:rPr>
                <w:rFonts w:ascii="Cambria" w:hAnsi="Cambria"/>
                <w:sz w:val="20"/>
                <w:szCs w:val="20"/>
                <w:lang w:val="en-US"/>
              </w:rPr>
              <w:t>, published on October 24, 2005</w:t>
            </w:r>
          </w:p>
          <w:p w:rsidR="00D70EA9" w:rsidRPr="005D75F9" w:rsidRDefault="00C16D39" w:rsidP="00C16D39">
            <w:pPr>
              <w:spacing w:after="0" w:line="240" w:lineRule="auto"/>
              <w:jc w:val="both"/>
              <w:rPr>
                <w:rFonts w:ascii="Cambria" w:hAnsi="Cambria"/>
                <w:sz w:val="20"/>
                <w:szCs w:val="20"/>
                <w:lang w:val="en-US"/>
              </w:rPr>
            </w:pPr>
            <w:r w:rsidRPr="005D75F9">
              <w:rPr>
                <w:rFonts w:ascii="Cambria" w:hAnsi="Cambria"/>
                <w:b/>
                <w:sz w:val="20"/>
                <w:szCs w:val="20"/>
                <w:lang w:val="en-US"/>
              </w:rPr>
              <w:t>Admissibility Report</w:t>
            </w:r>
            <w:r w:rsidR="000D23FC" w:rsidRPr="005D75F9">
              <w:rPr>
                <w:rFonts w:ascii="Cambria" w:hAnsi="Cambria"/>
                <w:b/>
                <w:sz w:val="20"/>
                <w:szCs w:val="20"/>
                <w:lang w:val="en-US"/>
              </w:rPr>
              <w:t xml:space="preserve"> No.</w:t>
            </w:r>
            <w:r w:rsidR="00D70EA9" w:rsidRPr="005D75F9">
              <w:rPr>
                <w:rFonts w:ascii="Cambria" w:hAnsi="Cambria"/>
                <w:b/>
                <w:sz w:val="20"/>
                <w:szCs w:val="20"/>
                <w:lang w:val="en-US"/>
              </w:rPr>
              <w:t>:</w:t>
            </w:r>
            <w:r w:rsidR="00D70EA9" w:rsidRPr="005D75F9">
              <w:rPr>
                <w:rFonts w:ascii="Cambria" w:hAnsi="Cambria"/>
                <w:sz w:val="20"/>
                <w:szCs w:val="20"/>
                <w:lang w:val="en-US"/>
              </w:rPr>
              <w:t xml:space="preserve"> </w:t>
            </w:r>
            <w:hyperlink r:id="rId9" w:history="1">
              <w:r w:rsidR="001B3D97" w:rsidRPr="005D75F9">
                <w:rPr>
                  <w:rStyle w:val="Hyperlink"/>
                  <w:rFonts w:ascii="Cambria" w:hAnsi="Cambria"/>
                  <w:color w:val="auto"/>
                  <w:sz w:val="20"/>
                  <w:szCs w:val="20"/>
                  <w:lang w:val="en-US"/>
                </w:rPr>
                <w:t>55/00</w:t>
              </w:r>
            </w:hyperlink>
            <w:r w:rsidR="001B3D97" w:rsidRPr="005D75F9">
              <w:rPr>
                <w:rFonts w:ascii="Cambria" w:hAnsi="Cambria"/>
                <w:sz w:val="20"/>
                <w:szCs w:val="20"/>
                <w:lang w:val="en-US"/>
              </w:rPr>
              <w:t>, published on October 2, 2000</w:t>
            </w:r>
          </w:p>
          <w:p w:rsidR="001551A8" w:rsidRPr="005D75F9" w:rsidRDefault="00EF14E5" w:rsidP="00C16D39">
            <w:pPr>
              <w:spacing w:after="0" w:line="240" w:lineRule="auto"/>
              <w:jc w:val="both"/>
              <w:rPr>
                <w:rFonts w:ascii="Cambria" w:hAnsi="Cambria"/>
                <w:sz w:val="20"/>
                <w:szCs w:val="20"/>
                <w:lang w:val="en-US"/>
              </w:rPr>
            </w:pPr>
            <w:r w:rsidRPr="005D75F9">
              <w:rPr>
                <w:rFonts w:ascii="Cambria" w:hAnsi="Cambria"/>
                <w:b/>
                <w:sz w:val="20"/>
                <w:szCs w:val="20"/>
                <w:lang w:val="en-US"/>
              </w:rPr>
              <w:t>Precautionary Measure</w:t>
            </w:r>
            <w:r w:rsidR="00E4419F" w:rsidRPr="005D75F9">
              <w:rPr>
                <w:rFonts w:ascii="Cambria" w:hAnsi="Cambria"/>
                <w:b/>
                <w:sz w:val="20"/>
                <w:szCs w:val="20"/>
                <w:lang w:val="en-US"/>
              </w:rPr>
              <w:t>s</w:t>
            </w:r>
            <w:r w:rsidR="00D70EA9" w:rsidRPr="005D75F9">
              <w:rPr>
                <w:rFonts w:ascii="Cambria" w:hAnsi="Cambria"/>
                <w:b/>
                <w:sz w:val="20"/>
                <w:szCs w:val="20"/>
                <w:lang w:val="en-US"/>
              </w:rPr>
              <w:t xml:space="preserve">: </w:t>
            </w:r>
            <w:hyperlink r:id="rId10" w:history="1">
              <w:r w:rsidR="005C2923" w:rsidRPr="005D75F9">
                <w:rPr>
                  <w:rStyle w:val="Hyperlink"/>
                  <w:rFonts w:ascii="Cambria" w:hAnsi="Cambria"/>
                  <w:color w:val="auto"/>
                  <w:sz w:val="20"/>
                  <w:szCs w:val="20"/>
                  <w:lang w:val="en-US"/>
                </w:rPr>
                <w:t>Granted on June 18 and July 19, 1999</w:t>
              </w:r>
            </w:hyperlink>
            <w:r w:rsidR="005C2923" w:rsidRPr="005D75F9">
              <w:rPr>
                <w:rFonts w:ascii="Cambria" w:hAnsi="Cambria"/>
                <w:sz w:val="20"/>
                <w:szCs w:val="20"/>
                <w:lang w:val="en-US"/>
              </w:rPr>
              <w:t xml:space="preserve"> </w:t>
            </w:r>
          </w:p>
          <w:p w:rsidR="00D64F50" w:rsidRPr="005D75F9" w:rsidRDefault="00C16D39" w:rsidP="001523D5">
            <w:pPr>
              <w:spacing w:after="120" w:line="240" w:lineRule="auto"/>
              <w:jc w:val="both"/>
              <w:rPr>
                <w:rFonts w:ascii="Cambria" w:hAnsi="Cambria"/>
                <w:strike/>
                <w:color w:val="FF0000"/>
                <w:sz w:val="20"/>
                <w:szCs w:val="20"/>
                <w:lang w:val="en-US"/>
              </w:rPr>
            </w:pPr>
            <w:r w:rsidRPr="005D75F9">
              <w:rPr>
                <w:rFonts w:ascii="Cambria" w:hAnsi="Cambria"/>
                <w:b/>
                <w:sz w:val="20"/>
                <w:szCs w:val="20"/>
                <w:lang w:val="en-US"/>
              </w:rPr>
              <w:t>Themes</w:t>
            </w:r>
            <w:r w:rsidR="00536593" w:rsidRPr="005D75F9">
              <w:rPr>
                <w:rFonts w:ascii="Cambria" w:hAnsi="Cambria"/>
                <w:b/>
                <w:sz w:val="20"/>
                <w:szCs w:val="20"/>
                <w:lang w:val="en-US"/>
              </w:rPr>
              <w:t xml:space="preserve">: </w:t>
            </w:r>
            <w:r w:rsidR="00976053" w:rsidRPr="005D75F9">
              <w:rPr>
                <w:rFonts w:ascii="Cambria" w:hAnsi="Cambria"/>
                <w:sz w:val="20"/>
                <w:szCs w:val="20"/>
                <w:lang w:val="en-US"/>
              </w:rPr>
              <w:t>Access to public information /</w:t>
            </w:r>
            <w:r w:rsidR="00976053" w:rsidRPr="005D75F9">
              <w:rPr>
                <w:rFonts w:ascii="Cambria" w:hAnsi="Cambria"/>
                <w:b/>
                <w:sz w:val="20"/>
                <w:szCs w:val="20"/>
                <w:lang w:val="en-US"/>
              </w:rPr>
              <w:t xml:space="preserve"> </w:t>
            </w:r>
            <w:r w:rsidR="00D15A49" w:rsidRPr="005D75F9">
              <w:rPr>
                <w:rFonts w:ascii="Cambria" w:hAnsi="Cambria"/>
                <w:sz w:val="20"/>
                <w:szCs w:val="20"/>
                <w:lang w:val="en-US"/>
              </w:rPr>
              <w:t xml:space="preserve">Adopt provisions of domestic law / </w:t>
            </w:r>
            <w:r w:rsidR="00853221" w:rsidRPr="005D75F9">
              <w:rPr>
                <w:rFonts w:ascii="Cambria" w:hAnsi="Cambria"/>
                <w:sz w:val="20"/>
                <w:szCs w:val="20"/>
                <w:lang w:val="en-US"/>
              </w:rPr>
              <w:t xml:space="preserve">Defamation law / </w:t>
            </w:r>
            <w:r w:rsidR="00D64F50" w:rsidRPr="005D75F9">
              <w:rPr>
                <w:rFonts w:ascii="Cambria" w:hAnsi="Cambria"/>
                <w:sz w:val="20"/>
                <w:szCs w:val="20"/>
                <w:lang w:val="en-US"/>
              </w:rPr>
              <w:t xml:space="preserve">Freedom of expression / </w:t>
            </w:r>
            <w:r w:rsidR="00174675" w:rsidRPr="00174675">
              <w:rPr>
                <w:rFonts w:ascii="Cambria" w:hAnsi="Cambria"/>
                <w:sz w:val="20"/>
                <w:szCs w:val="20"/>
                <w:lang w:val="en-US"/>
              </w:rPr>
              <w:t xml:space="preserve">Journalists and the media </w:t>
            </w:r>
            <w:r w:rsidR="00174675">
              <w:rPr>
                <w:rFonts w:ascii="Cambria" w:hAnsi="Cambria"/>
                <w:sz w:val="20"/>
                <w:szCs w:val="20"/>
                <w:lang w:val="en-US"/>
              </w:rPr>
              <w:t>/</w:t>
            </w:r>
            <w:r w:rsidR="00174675" w:rsidRPr="00174675">
              <w:rPr>
                <w:rFonts w:ascii="Cambria" w:hAnsi="Cambria"/>
                <w:sz w:val="20"/>
                <w:szCs w:val="20"/>
                <w:lang w:val="en-US"/>
              </w:rPr>
              <w:t xml:space="preserve"> </w:t>
            </w:r>
            <w:r w:rsidR="00D15A49" w:rsidRPr="005D75F9">
              <w:rPr>
                <w:rFonts w:ascii="Cambria" w:hAnsi="Cambria"/>
                <w:sz w:val="20"/>
                <w:szCs w:val="20"/>
                <w:lang w:val="en-US"/>
              </w:rPr>
              <w:t>Obligation to respect rights</w:t>
            </w:r>
            <w:r w:rsidR="00FA51BD" w:rsidRPr="005D75F9">
              <w:rPr>
                <w:rFonts w:ascii="Cambria" w:hAnsi="Cambria"/>
                <w:sz w:val="20"/>
                <w:szCs w:val="20"/>
                <w:lang w:val="en-US"/>
              </w:rPr>
              <w:t xml:space="preserve"> / Private property </w:t>
            </w:r>
            <w:r w:rsidR="0023045A">
              <w:rPr>
                <w:rFonts w:ascii="Cambria" w:hAnsi="Cambria"/>
                <w:sz w:val="20"/>
                <w:szCs w:val="20"/>
                <w:lang w:val="en-US"/>
              </w:rPr>
              <w:t>/ Women</w:t>
            </w:r>
          </w:p>
          <w:p w:rsidR="00D70EA9" w:rsidRPr="005D75F9" w:rsidRDefault="00C16D39" w:rsidP="00090042">
            <w:pPr>
              <w:spacing w:after="120" w:line="240" w:lineRule="auto"/>
              <w:jc w:val="both"/>
              <w:rPr>
                <w:rFonts w:ascii="Cambria" w:hAnsi="Cambria"/>
                <w:sz w:val="20"/>
                <w:szCs w:val="20"/>
                <w:lang w:val="en-US"/>
              </w:rPr>
            </w:pPr>
            <w:r w:rsidRPr="005D75F9">
              <w:rPr>
                <w:rFonts w:ascii="Cambria" w:hAnsi="Cambria"/>
                <w:b/>
                <w:sz w:val="20"/>
                <w:szCs w:val="20"/>
                <w:lang w:val="en-US"/>
              </w:rPr>
              <w:t>Facts</w:t>
            </w:r>
            <w:r w:rsidR="00D70EA9" w:rsidRPr="005D75F9">
              <w:rPr>
                <w:rFonts w:ascii="Cambria" w:hAnsi="Cambria"/>
                <w:b/>
                <w:sz w:val="20"/>
                <w:szCs w:val="20"/>
                <w:lang w:val="en-US"/>
              </w:rPr>
              <w:t xml:space="preserve">: </w:t>
            </w:r>
            <w:r w:rsidR="00EF14E5" w:rsidRPr="005D75F9">
              <w:rPr>
                <w:rFonts w:ascii="Cambria" w:hAnsi="Cambria"/>
                <w:sz w:val="20"/>
                <w:szCs w:val="20"/>
                <w:lang w:val="en-US"/>
              </w:rPr>
              <w:t xml:space="preserve">On April 13, 1999, the book titled “The Black Book of Chilean Justice” </w:t>
            </w:r>
            <w:r w:rsidR="00B871EA" w:rsidRPr="005D75F9">
              <w:rPr>
                <w:rFonts w:ascii="Cambria" w:hAnsi="Cambria"/>
                <w:sz w:val="20"/>
                <w:szCs w:val="20"/>
                <w:lang w:val="en-US"/>
              </w:rPr>
              <w:t>(</w:t>
            </w:r>
            <w:r w:rsidR="00B871EA" w:rsidRPr="005D75F9">
              <w:rPr>
                <w:rFonts w:ascii="Cambria" w:hAnsi="Cambria"/>
                <w:i/>
                <w:sz w:val="20"/>
                <w:szCs w:val="20"/>
                <w:lang w:val="en-US"/>
              </w:rPr>
              <w:t>El Libro Negro de la Justicia Chilena</w:t>
            </w:r>
            <w:r w:rsidR="00B871EA" w:rsidRPr="005D75F9">
              <w:rPr>
                <w:rFonts w:ascii="Cambria" w:hAnsi="Cambria"/>
                <w:sz w:val="20"/>
                <w:szCs w:val="20"/>
                <w:lang w:val="en-US"/>
              </w:rPr>
              <w:t xml:space="preserve">) </w:t>
            </w:r>
            <w:r w:rsidR="00EF14E5" w:rsidRPr="005D75F9">
              <w:rPr>
                <w:rFonts w:ascii="Cambria" w:hAnsi="Cambria"/>
                <w:sz w:val="20"/>
                <w:szCs w:val="20"/>
                <w:lang w:val="en-US"/>
              </w:rPr>
              <w:t xml:space="preserve">was released in Chile, written by journalist Alejandra Matus Acuña and published by the Chilean publishing company, Editorial Planeta. </w:t>
            </w:r>
            <w:r w:rsidR="009640FC" w:rsidRPr="005D75F9">
              <w:rPr>
                <w:rFonts w:ascii="Cambria" w:hAnsi="Cambria"/>
                <w:sz w:val="20"/>
                <w:szCs w:val="20"/>
                <w:lang w:val="en-US"/>
              </w:rPr>
              <w:t xml:space="preserve">That </w:t>
            </w:r>
            <w:r w:rsidR="00EF14E5" w:rsidRPr="005D75F9">
              <w:rPr>
                <w:rFonts w:ascii="Cambria" w:hAnsi="Cambria"/>
                <w:sz w:val="20"/>
                <w:szCs w:val="20"/>
                <w:lang w:val="en-US"/>
              </w:rPr>
              <w:t xml:space="preserve">same day, </w:t>
            </w:r>
            <w:r w:rsidR="00F5288E" w:rsidRPr="005D75F9">
              <w:rPr>
                <w:rFonts w:ascii="Cambria" w:hAnsi="Cambria"/>
                <w:sz w:val="20"/>
                <w:szCs w:val="20"/>
                <w:lang w:val="en-US"/>
              </w:rPr>
              <w:t xml:space="preserve">a judge </w:t>
            </w:r>
            <w:r w:rsidR="00F37252" w:rsidRPr="005D75F9">
              <w:rPr>
                <w:rFonts w:ascii="Cambria" w:hAnsi="Cambria"/>
                <w:sz w:val="20"/>
                <w:szCs w:val="20"/>
                <w:lang w:val="en-US"/>
              </w:rPr>
              <w:t>of t</w:t>
            </w:r>
            <w:r w:rsidR="00EF14E5" w:rsidRPr="005D75F9">
              <w:rPr>
                <w:rFonts w:ascii="Cambria" w:hAnsi="Cambria"/>
                <w:sz w:val="20"/>
                <w:szCs w:val="20"/>
                <w:lang w:val="en-US"/>
              </w:rPr>
              <w:t>he Supreme Court brought proceedings against the author and the publishing house before the Court of Appeal in Santiago</w:t>
            </w:r>
            <w:r w:rsidR="00CC0BD8" w:rsidRPr="005D75F9">
              <w:rPr>
                <w:rFonts w:ascii="Cambria" w:hAnsi="Cambria"/>
                <w:sz w:val="20"/>
                <w:szCs w:val="20"/>
                <w:lang w:val="en-US"/>
              </w:rPr>
              <w:t xml:space="preserve"> for contravention of Article 6(b)</w:t>
            </w:r>
            <w:r w:rsidR="00EF14E5" w:rsidRPr="005D75F9">
              <w:rPr>
                <w:rFonts w:ascii="Cambria" w:hAnsi="Cambria"/>
                <w:sz w:val="20"/>
                <w:szCs w:val="20"/>
                <w:lang w:val="en-US"/>
              </w:rPr>
              <w:t xml:space="preserve"> of </w:t>
            </w:r>
            <w:r w:rsidR="002E54C6" w:rsidRPr="005D75F9">
              <w:rPr>
                <w:rFonts w:ascii="Cambria" w:hAnsi="Cambria"/>
                <w:sz w:val="20"/>
                <w:szCs w:val="20"/>
                <w:lang w:val="en-US"/>
              </w:rPr>
              <w:t>L</w:t>
            </w:r>
            <w:r w:rsidR="00EF14E5" w:rsidRPr="005D75F9">
              <w:rPr>
                <w:rFonts w:ascii="Cambria" w:hAnsi="Cambria"/>
                <w:sz w:val="20"/>
                <w:szCs w:val="20"/>
                <w:lang w:val="en-US"/>
              </w:rPr>
              <w:t xml:space="preserve">aw </w:t>
            </w:r>
            <w:r w:rsidR="0022044A" w:rsidRPr="005D75F9">
              <w:rPr>
                <w:rFonts w:ascii="Cambria" w:hAnsi="Cambria"/>
                <w:sz w:val="20"/>
                <w:szCs w:val="20"/>
                <w:lang w:val="en-US"/>
              </w:rPr>
              <w:t xml:space="preserve">No. 12.927 </w:t>
            </w:r>
            <w:r w:rsidR="00EF14E5" w:rsidRPr="005D75F9">
              <w:rPr>
                <w:rFonts w:ascii="Cambria" w:hAnsi="Cambria"/>
                <w:sz w:val="20"/>
                <w:szCs w:val="20"/>
                <w:lang w:val="en-US"/>
              </w:rPr>
              <w:t>of State Security.</w:t>
            </w:r>
            <w:r w:rsidR="009640FC" w:rsidRPr="005D75F9">
              <w:rPr>
                <w:rFonts w:ascii="Cambria" w:hAnsi="Cambria"/>
                <w:sz w:val="20"/>
                <w:szCs w:val="20"/>
                <w:lang w:val="en-US"/>
              </w:rPr>
              <w:t xml:space="preserve"> Additionally, another judge of the Supreme Court ordered the seizure of all of the existing copies of the book and banned its republishing, in accordance with </w:t>
            </w:r>
            <w:r w:rsidR="004F17DD" w:rsidRPr="005D75F9">
              <w:rPr>
                <w:rFonts w:ascii="Cambria" w:hAnsi="Cambria"/>
                <w:sz w:val="20"/>
                <w:szCs w:val="20"/>
                <w:lang w:val="en-US"/>
              </w:rPr>
              <w:t xml:space="preserve">the </w:t>
            </w:r>
            <w:r w:rsidR="009640FC" w:rsidRPr="005D75F9">
              <w:rPr>
                <w:rFonts w:ascii="Cambria" w:hAnsi="Cambria"/>
                <w:sz w:val="20"/>
                <w:szCs w:val="20"/>
                <w:lang w:val="en-US"/>
              </w:rPr>
              <w:t xml:space="preserve">provisions of </w:t>
            </w:r>
            <w:r w:rsidR="00710151" w:rsidRPr="005D75F9">
              <w:rPr>
                <w:rFonts w:ascii="Cambria" w:hAnsi="Cambria"/>
                <w:sz w:val="20"/>
                <w:szCs w:val="20"/>
                <w:lang w:val="en-US"/>
              </w:rPr>
              <w:t xml:space="preserve">Articles 16(1) and 30 of </w:t>
            </w:r>
            <w:r w:rsidR="009640FC" w:rsidRPr="005D75F9">
              <w:rPr>
                <w:rFonts w:ascii="Cambria" w:hAnsi="Cambria"/>
                <w:sz w:val="20"/>
                <w:szCs w:val="20"/>
                <w:lang w:val="en-US"/>
              </w:rPr>
              <w:t xml:space="preserve">the Law of State Security. </w:t>
            </w:r>
            <w:r w:rsidR="00D42153" w:rsidRPr="005D75F9">
              <w:rPr>
                <w:rFonts w:ascii="Cambria" w:hAnsi="Cambria"/>
                <w:sz w:val="20"/>
                <w:szCs w:val="20"/>
                <w:lang w:val="en-US"/>
              </w:rPr>
              <w:t xml:space="preserve">On June 16, 1999, as part of the same proceedings, Messrs. Bartolo Ortiz and Carlos Orellana, directors of the publishing company Editorial Planeta de Chile, were arrested. They were both released two days later and their case </w:t>
            </w:r>
            <w:r w:rsidR="00814838" w:rsidRPr="005D75F9">
              <w:rPr>
                <w:rFonts w:ascii="Cambria" w:hAnsi="Cambria"/>
                <w:sz w:val="20"/>
                <w:szCs w:val="20"/>
                <w:lang w:val="en-US"/>
              </w:rPr>
              <w:t xml:space="preserve">was </w:t>
            </w:r>
            <w:r w:rsidR="00D42153" w:rsidRPr="005D75F9">
              <w:rPr>
                <w:rFonts w:ascii="Cambria" w:hAnsi="Cambria"/>
                <w:sz w:val="20"/>
                <w:szCs w:val="20"/>
                <w:lang w:val="en-US"/>
              </w:rPr>
              <w:t>dismissed on July 29, 1999.</w:t>
            </w:r>
            <w:r w:rsidR="00D42153" w:rsidRPr="005D75F9">
              <w:rPr>
                <w:rFonts w:ascii="Verdana" w:hAnsi="Verdana"/>
                <w:sz w:val="20"/>
                <w:szCs w:val="20"/>
                <w:lang w:val="en-US"/>
              </w:rPr>
              <w:t xml:space="preserve"> </w:t>
            </w:r>
            <w:r w:rsidR="009640FC" w:rsidRPr="005D75F9">
              <w:rPr>
                <w:rFonts w:ascii="Cambria" w:hAnsi="Cambria"/>
                <w:sz w:val="20"/>
                <w:szCs w:val="20"/>
                <w:lang w:val="en-US"/>
              </w:rPr>
              <w:t>Ms.</w:t>
            </w:r>
            <w:r w:rsidR="00EF14E5" w:rsidRPr="005D75F9">
              <w:rPr>
                <w:rFonts w:ascii="Cambria" w:hAnsi="Cambria"/>
                <w:sz w:val="20"/>
                <w:szCs w:val="20"/>
                <w:lang w:val="en-US"/>
              </w:rPr>
              <w:t xml:space="preserve"> Matus Acuña left Chile </w:t>
            </w:r>
            <w:r w:rsidR="009640FC" w:rsidRPr="005D75F9">
              <w:rPr>
                <w:rFonts w:ascii="Cambria" w:hAnsi="Cambria"/>
                <w:sz w:val="20"/>
                <w:szCs w:val="20"/>
                <w:lang w:val="en-US"/>
              </w:rPr>
              <w:t>on April 13, 1999</w:t>
            </w:r>
            <w:r w:rsidR="00EF14E5" w:rsidRPr="005D75F9">
              <w:rPr>
                <w:rFonts w:ascii="Cambria" w:hAnsi="Cambria"/>
                <w:sz w:val="20"/>
                <w:szCs w:val="20"/>
                <w:lang w:val="en-US"/>
              </w:rPr>
              <w:t xml:space="preserve"> for fear of arrest. On November 10, 2000, as part of the proceedings opened following the publication of the “Black Book”, an order was issued for the apprehension of </w:t>
            </w:r>
            <w:r w:rsidR="009640FC" w:rsidRPr="005D75F9">
              <w:rPr>
                <w:rFonts w:ascii="Cambria" w:hAnsi="Cambria"/>
                <w:sz w:val="20"/>
                <w:szCs w:val="20"/>
                <w:lang w:val="en-US"/>
              </w:rPr>
              <w:t>Ms.</w:t>
            </w:r>
            <w:r w:rsidR="00EF14E5" w:rsidRPr="005D75F9">
              <w:rPr>
                <w:rFonts w:ascii="Cambria" w:hAnsi="Cambria"/>
                <w:sz w:val="20"/>
                <w:szCs w:val="20"/>
                <w:lang w:val="en-US"/>
              </w:rPr>
              <w:t xml:space="preserve"> Matus Acuña.</w:t>
            </w:r>
          </w:p>
          <w:p w:rsidR="00D70EA9" w:rsidRPr="005D75F9" w:rsidRDefault="00C16D39" w:rsidP="002E54C6">
            <w:pPr>
              <w:spacing w:after="120" w:line="240" w:lineRule="auto"/>
              <w:jc w:val="both"/>
              <w:rPr>
                <w:rFonts w:ascii="Cambria" w:hAnsi="Cambria"/>
                <w:sz w:val="20"/>
                <w:szCs w:val="20"/>
                <w:lang w:val="en-US"/>
              </w:rPr>
            </w:pPr>
            <w:r w:rsidRPr="005D75F9">
              <w:rPr>
                <w:rFonts w:ascii="Cambria" w:hAnsi="Cambria"/>
                <w:b/>
                <w:sz w:val="20"/>
                <w:szCs w:val="20"/>
                <w:lang w:val="en-US"/>
              </w:rPr>
              <w:t>Rights violated</w:t>
            </w:r>
            <w:r w:rsidR="00D70EA9" w:rsidRPr="005D75F9">
              <w:rPr>
                <w:rFonts w:ascii="Cambria" w:hAnsi="Cambria"/>
                <w:b/>
                <w:sz w:val="20"/>
                <w:szCs w:val="20"/>
                <w:lang w:val="en-US"/>
              </w:rPr>
              <w:t>:</w:t>
            </w:r>
            <w:r w:rsidR="00F97F45" w:rsidRPr="005D75F9">
              <w:rPr>
                <w:rFonts w:ascii="Cambria" w:hAnsi="Cambria"/>
                <w:sz w:val="20"/>
                <w:szCs w:val="20"/>
                <w:lang w:val="en-US"/>
              </w:rPr>
              <w:t xml:space="preserve"> </w:t>
            </w:r>
            <w:r w:rsidR="00411A34" w:rsidRPr="005D75F9">
              <w:rPr>
                <w:rFonts w:ascii="Cambria" w:hAnsi="Cambria"/>
                <w:sz w:val="20"/>
                <w:szCs w:val="20"/>
                <w:lang w:val="en-US"/>
              </w:rPr>
              <w:t>The IACHR conclude</w:t>
            </w:r>
            <w:r w:rsidR="00CA486F" w:rsidRPr="005D75F9">
              <w:rPr>
                <w:rFonts w:ascii="Cambria" w:hAnsi="Cambria"/>
                <w:sz w:val="20"/>
                <w:szCs w:val="20"/>
                <w:lang w:val="en-US"/>
              </w:rPr>
              <w:t>d</w:t>
            </w:r>
            <w:r w:rsidR="00411A34" w:rsidRPr="005D75F9">
              <w:rPr>
                <w:rFonts w:ascii="Cambria" w:hAnsi="Cambria"/>
                <w:sz w:val="20"/>
                <w:szCs w:val="20"/>
                <w:lang w:val="en-US"/>
              </w:rPr>
              <w:t xml:space="preserve"> that the “Black Book of Chilean Justice”, written by Mrs. Alejandra Marcela Matus Acuña, was impounded by judicial order and its circulation prohibited for more than two years. </w:t>
            </w:r>
            <w:r w:rsidR="00CA486F" w:rsidRPr="005D75F9">
              <w:rPr>
                <w:rFonts w:ascii="Cambria" w:hAnsi="Cambria"/>
                <w:sz w:val="20"/>
                <w:szCs w:val="20"/>
                <w:lang w:val="en-US"/>
              </w:rPr>
              <w:t>Further, i</w:t>
            </w:r>
            <w:r w:rsidR="00411A34" w:rsidRPr="005D75F9">
              <w:rPr>
                <w:rFonts w:ascii="Cambria" w:hAnsi="Cambria"/>
                <w:sz w:val="20"/>
                <w:szCs w:val="20"/>
                <w:lang w:val="en-US"/>
              </w:rPr>
              <w:t>t conclude</w:t>
            </w:r>
            <w:r w:rsidR="00CA486F" w:rsidRPr="005D75F9">
              <w:rPr>
                <w:rFonts w:ascii="Cambria" w:hAnsi="Cambria"/>
                <w:sz w:val="20"/>
                <w:szCs w:val="20"/>
                <w:lang w:val="en-US"/>
              </w:rPr>
              <w:t>d</w:t>
            </w:r>
            <w:r w:rsidR="00411A34" w:rsidRPr="005D75F9">
              <w:rPr>
                <w:rFonts w:ascii="Cambria" w:hAnsi="Cambria"/>
                <w:sz w:val="20"/>
                <w:szCs w:val="20"/>
                <w:lang w:val="en-US"/>
              </w:rPr>
              <w:t xml:space="preserve"> </w:t>
            </w:r>
            <w:r w:rsidR="00CA486F" w:rsidRPr="005D75F9">
              <w:rPr>
                <w:rFonts w:ascii="Cambria" w:hAnsi="Cambria"/>
                <w:sz w:val="20"/>
                <w:szCs w:val="20"/>
                <w:lang w:val="en-US"/>
              </w:rPr>
              <w:t>t</w:t>
            </w:r>
            <w:r w:rsidR="00411A34" w:rsidRPr="005D75F9">
              <w:rPr>
                <w:rFonts w:ascii="Cambria" w:hAnsi="Cambria"/>
                <w:sz w:val="20"/>
                <w:szCs w:val="20"/>
                <w:lang w:val="en-US"/>
              </w:rPr>
              <w:t xml:space="preserve">hat Mrs. Matus Acuña was subjected to a judicial process that forced her to leave her country in order to avoid </w:t>
            </w:r>
            <w:r w:rsidR="00CA486F" w:rsidRPr="005D75F9">
              <w:rPr>
                <w:rFonts w:ascii="Cambria" w:hAnsi="Cambria"/>
                <w:sz w:val="20"/>
                <w:szCs w:val="20"/>
                <w:lang w:val="en-US"/>
              </w:rPr>
              <w:t>being imprisoned. It also stated</w:t>
            </w:r>
            <w:r w:rsidR="00411A34" w:rsidRPr="005D75F9">
              <w:rPr>
                <w:rFonts w:ascii="Cambria" w:hAnsi="Cambria"/>
                <w:sz w:val="20"/>
                <w:szCs w:val="20"/>
                <w:lang w:val="en-US"/>
              </w:rPr>
              <w:t xml:space="preserve"> that Chilean society was deprived of its right to information. The Commission conclude</w:t>
            </w:r>
            <w:r w:rsidR="00CA486F" w:rsidRPr="005D75F9">
              <w:rPr>
                <w:rFonts w:ascii="Cambria" w:hAnsi="Cambria"/>
                <w:sz w:val="20"/>
                <w:szCs w:val="20"/>
                <w:lang w:val="en-US"/>
              </w:rPr>
              <w:t>d</w:t>
            </w:r>
            <w:r w:rsidR="00411A34" w:rsidRPr="005D75F9">
              <w:rPr>
                <w:rFonts w:ascii="Cambria" w:hAnsi="Cambria"/>
                <w:sz w:val="20"/>
                <w:szCs w:val="20"/>
                <w:lang w:val="en-US"/>
              </w:rPr>
              <w:t xml:space="preserve"> that the right to freedom of expression and the right to property were not respected. The facts established in the present report constitute</w:t>
            </w:r>
            <w:r w:rsidR="00CA486F" w:rsidRPr="005D75F9">
              <w:rPr>
                <w:rFonts w:ascii="Cambria" w:hAnsi="Cambria"/>
                <w:sz w:val="20"/>
                <w:szCs w:val="20"/>
                <w:lang w:val="en-US"/>
              </w:rPr>
              <w:t>d</w:t>
            </w:r>
            <w:r w:rsidR="00411A34" w:rsidRPr="005D75F9">
              <w:rPr>
                <w:rFonts w:ascii="Cambria" w:hAnsi="Cambria"/>
                <w:sz w:val="20"/>
                <w:szCs w:val="20"/>
                <w:lang w:val="en-US"/>
              </w:rPr>
              <w:t xml:space="preserve"> violations of Articles 13 and 21 of the American Convention, all of which is in violation of the duty to respect and protect rights enshrined in Article 1(1) and the duty to give effect in domestic law to the same Convention (Article 2).</w:t>
            </w:r>
          </w:p>
          <w:p w:rsidR="001A4D35" w:rsidRDefault="001A4D35" w:rsidP="00874FC2">
            <w:pPr>
              <w:spacing w:after="0" w:line="240" w:lineRule="auto"/>
              <w:jc w:val="both"/>
              <w:rPr>
                <w:rFonts w:ascii="Cambria" w:hAnsi="Cambria"/>
                <w:sz w:val="20"/>
                <w:szCs w:val="20"/>
                <w:lang w:val="en-US"/>
              </w:rPr>
            </w:pPr>
            <w:r w:rsidRPr="005D75F9">
              <w:rPr>
                <w:rFonts w:ascii="Cambria" w:hAnsi="Cambria"/>
                <w:b/>
                <w:sz w:val="20"/>
                <w:szCs w:val="20"/>
                <w:lang w:val="en-US"/>
              </w:rPr>
              <w:t>Level of compliance of the case:</w:t>
            </w:r>
            <w:r w:rsidRPr="005D75F9">
              <w:rPr>
                <w:rFonts w:ascii="Cambria" w:hAnsi="Cambria"/>
                <w:sz w:val="20"/>
                <w:szCs w:val="20"/>
                <w:lang w:val="en-US"/>
              </w:rPr>
              <w:t xml:space="preserve"> Total compliance (</w:t>
            </w:r>
            <w:hyperlink r:id="rId11" w:history="1">
              <w:r w:rsidRPr="005D75F9">
                <w:rPr>
                  <w:rStyle w:val="Hyperlink"/>
                  <w:rFonts w:ascii="Cambria" w:hAnsi="Cambria"/>
                  <w:color w:val="auto"/>
                  <w:sz w:val="20"/>
                  <w:szCs w:val="20"/>
                  <w:lang w:val="en-US"/>
                </w:rPr>
                <w:t>2008 Annual Report</w:t>
              </w:r>
            </w:hyperlink>
            <w:r w:rsidRPr="005D75F9">
              <w:rPr>
                <w:rFonts w:ascii="Cambria" w:hAnsi="Cambria"/>
                <w:sz w:val="20"/>
                <w:szCs w:val="20"/>
                <w:lang w:val="en-US"/>
              </w:rPr>
              <w:t>)</w:t>
            </w:r>
          </w:p>
          <w:p w:rsidR="00874FC2" w:rsidRPr="005D75F9" w:rsidRDefault="00874FC2" w:rsidP="00874FC2">
            <w:pPr>
              <w:spacing w:after="0" w:line="240" w:lineRule="auto"/>
              <w:jc w:val="both"/>
              <w:rPr>
                <w:rFonts w:ascii="Cambria" w:hAnsi="Cambria"/>
                <w:sz w:val="20"/>
                <w:szCs w:val="20"/>
                <w:lang w:val="en-US"/>
              </w:rPr>
            </w:pPr>
            <w:bookmarkStart w:id="0" w:name="_GoBack"/>
            <w:bookmarkEnd w:id="0"/>
          </w:p>
        </w:tc>
      </w:tr>
    </w:tbl>
    <w:p w:rsidR="00D70EA9" w:rsidRPr="005D75F9" w:rsidRDefault="00D70EA9" w:rsidP="00D70EA9">
      <w:pPr>
        <w:spacing w:after="0" w:line="240" w:lineRule="auto"/>
        <w:ind w:left="180"/>
        <w:rPr>
          <w:rFonts w:ascii="Cambria" w:hAnsi="Cambria"/>
          <w:sz w:val="20"/>
          <w:szCs w:val="20"/>
          <w:lang w:val="en-US"/>
        </w:rPr>
      </w:pPr>
    </w:p>
    <w:p w:rsidR="00D70EA9" w:rsidRPr="005D75F9" w:rsidRDefault="00BD2642" w:rsidP="00BD2642">
      <w:pPr>
        <w:numPr>
          <w:ilvl w:val="0"/>
          <w:numId w:val="1"/>
        </w:numPr>
        <w:spacing w:after="0" w:line="240" w:lineRule="auto"/>
        <w:ind w:left="1440"/>
        <w:jc w:val="both"/>
        <w:rPr>
          <w:rFonts w:ascii="Cambria" w:hAnsi="Cambria" w:cs="Calibri Light"/>
          <w:b/>
          <w:sz w:val="20"/>
          <w:szCs w:val="20"/>
          <w:lang w:val="en-US"/>
        </w:rPr>
      </w:pPr>
      <w:r w:rsidRPr="005D75F9">
        <w:rPr>
          <w:rFonts w:ascii="Cambria" w:hAnsi="Cambria" w:cs="Calibri Light"/>
          <w:b/>
          <w:sz w:val="20"/>
          <w:szCs w:val="20"/>
          <w:lang w:val="en-US"/>
        </w:rPr>
        <w:t>Recommendation</w:t>
      </w:r>
      <w:r w:rsidR="00D70EA9" w:rsidRPr="005D75F9">
        <w:rPr>
          <w:rFonts w:ascii="Cambria" w:hAnsi="Cambria" w:cs="Calibri Light"/>
          <w:b/>
          <w:sz w:val="20"/>
          <w:szCs w:val="20"/>
          <w:lang w:val="en-US"/>
        </w:rPr>
        <w:t xml:space="preserve">s </w:t>
      </w:r>
    </w:p>
    <w:p w:rsidR="00D70EA9" w:rsidRPr="005D75F9" w:rsidRDefault="00D70EA9" w:rsidP="00D70EA9">
      <w:pPr>
        <w:spacing w:after="0" w:line="240" w:lineRule="auto"/>
        <w:ind w:left="1080"/>
        <w:jc w:val="both"/>
        <w:rPr>
          <w:rFonts w:ascii="Cambria" w:hAnsi="Cambria" w:cs="Calibri Light"/>
          <w:sz w:val="20"/>
          <w:szCs w:val="20"/>
          <w:lang w:val="en-US"/>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1890"/>
      </w:tblGrid>
      <w:tr w:rsidR="00D70EA9" w:rsidRPr="005D75F9" w:rsidTr="00034E03">
        <w:tc>
          <w:tcPr>
            <w:tcW w:w="7650" w:type="dxa"/>
            <w:shd w:val="clear" w:color="auto" w:fill="auto"/>
            <w:vAlign w:val="center"/>
          </w:tcPr>
          <w:p w:rsidR="00D70EA9" w:rsidRPr="005D75F9" w:rsidRDefault="00D70EA9" w:rsidP="00CB3AFA">
            <w:pPr>
              <w:spacing w:after="0" w:line="240" w:lineRule="auto"/>
              <w:jc w:val="center"/>
              <w:rPr>
                <w:rFonts w:ascii="Cambria" w:hAnsi="Cambria" w:cs="Calibri Light"/>
                <w:b/>
                <w:sz w:val="18"/>
                <w:szCs w:val="18"/>
                <w:lang w:val="en-US"/>
              </w:rPr>
            </w:pPr>
            <w:r w:rsidRPr="005D75F9">
              <w:rPr>
                <w:rFonts w:ascii="Cambria" w:hAnsi="Cambria" w:cs="Calibri Light"/>
                <w:b/>
                <w:sz w:val="18"/>
                <w:szCs w:val="18"/>
                <w:lang w:val="en-US"/>
              </w:rPr>
              <w:t>Recom</w:t>
            </w:r>
            <w:r w:rsidR="00BD2642" w:rsidRPr="005D75F9">
              <w:rPr>
                <w:rFonts w:ascii="Cambria" w:hAnsi="Cambria" w:cs="Calibri Light"/>
                <w:b/>
                <w:sz w:val="18"/>
                <w:szCs w:val="18"/>
                <w:lang w:val="en-US"/>
              </w:rPr>
              <w:t>mendation</w:t>
            </w:r>
            <w:r w:rsidRPr="005D75F9">
              <w:rPr>
                <w:rFonts w:ascii="Cambria" w:hAnsi="Cambria" w:cs="Calibri Light"/>
                <w:b/>
                <w:sz w:val="18"/>
                <w:szCs w:val="18"/>
                <w:lang w:val="en-US"/>
              </w:rPr>
              <w:t>s</w:t>
            </w:r>
          </w:p>
        </w:tc>
        <w:tc>
          <w:tcPr>
            <w:tcW w:w="1890" w:type="dxa"/>
            <w:shd w:val="clear" w:color="auto" w:fill="auto"/>
            <w:vAlign w:val="center"/>
          </w:tcPr>
          <w:p w:rsidR="00D70EA9" w:rsidRPr="005D75F9" w:rsidRDefault="00BD2642" w:rsidP="00BF36E8">
            <w:pPr>
              <w:spacing w:after="0" w:line="240" w:lineRule="auto"/>
              <w:jc w:val="center"/>
              <w:rPr>
                <w:rFonts w:ascii="Cambria" w:hAnsi="Cambria" w:cs="Calibri Light"/>
                <w:b/>
                <w:sz w:val="18"/>
                <w:szCs w:val="18"/>
                <w:lang w:val="en-US"/>
              </w:rPr>
            </w:pPr>
            <w:r w:rsidRPr="005D75F9">
              <w:rPr>
                <w:rFonts w:ascii="Cambria" w:hAnsi="Cambria" w:cs="Calibri Light"/>
                <w:b/>
                <w:sz w:val="18"/>
                <w:szCs w:val="18"/>
                <w:lang w:val="en-US"/>
              </w:rPr>
              <w:t xml:space="preserve">State of compliance </w:t>
            </w:r>
          </w:p>
        </w:tc>
      </w:tr>
      <w:tr w:rsidR="00D70EA9" w:rsidRPr="005D75F9" w:rsidTr="00034E03">
        <w:tc>
          <w:tcPr>
            <w:tcW w:w="7650" w:type="dxa"/>
            <w:shd w:val="clear" w:color="auto" w:fill="auto"/>
          </w:tcPr>
          <w:p w:rsidR="00D70EA9" w:rsidRPr="005D75F9" w:rsidRDefault="009127E6" w:rsidP="00CB3AFA">
            <w:pPr>
              <w:spacing w:after="0" w:line="240" w:lineRule="auto"/>
              <w:jc w:val="both"/>
              <w:rPr>
                <w:rFonts w:ascii="Cambria" w:hAnsi="Cambria" w:cs="Calibri"/>
                <w:sz w:val="18"/>
                <w:szCs w:val="18"/>
                <w:lang w:val="en-US"/>
              </w:rPr>
            </w:pPr>
            <w:r w:rsidRPr="005D75F9">
              <w:rPr>
                <w:rFonts w:ascii="Cambria" w:hAnsi="Cambria" w:cs="Calibri"/>
                <w:sz w:val="18"/>
                <w:szCs w:val="18"/>
                <w:lang w:val="en-US"/>
              </w:rPr>
              <w:t>1.</w:t>
            </w:r>
            <w:r w:rsidR="000D2C99" w:rsidRPr="005D75F9">
              <w:rPr>
                <w:rFonts w:ascii="Cambria" w:hAnsi="Cambria"/>
                <w:color w:val="000000"/>
                <w:sz w:val="18"/>
                <w:szCs w:val="18"/>
                <w:lang w:val="en-US"/>
              </w:rPr>
              <w:t> </w:t>
            </w:r>
            <w:r w:rsidR="0029757C" w:rsidRPr="005D75F9">
              <w:rPr>
                <w:rFonts w:ascii="Cambria" w:hAnsi="Cambria"/>
                <w:sz w:val="18"/>
                <w:szCs w:val="18"/>
                <w:lang w:val="en-US"/>
              </w:rPr>
              <w:t>To make adequate compensation to Alejandra Matus Acuña for the consequences of the violations of the rights to freedom of expression and to property, to the prejudice of journalist Alejandra Matus Acuña</w:t>
            </w:r>
            <w:r w:rsidR="00F97A4E" w:rsidRPr="005D75F9">
              <w:rPr>
                <w:rFonts w:ascii="Cambria" w:hAnsi="Cambria"/>
                <w:sz w:val="18"/>
                <w:szCs w:val="18"/>
                <w:lang w:val="en-US"/>
              </w:rPr>
              <w:t>.</w:t>
            </w:r>
          </w:p>
        </w:tc>
        <w:tc>
          <w:tcPr>
            <w:tcW w:w="1890" w:type="dxa"/>
            <w:shd w:val="clear" w:color="auto" w:fill="auto"/>
            <w:vAlign w:val="center"/>
          </w:tcPr>
          <w:p w:rsidR="00D70EA9" w:rsidRPr="005D75F9" w:rsidRDefault="005D4DDD" w:rsidP="00F33AB6">
            <w:pPr>
              <w:spacing w:after="0" w:line="240" w:lineRule="auto"/>
              <w:jc w:val="center"/>
              <w:rPr>
                <w:rFonts w:ascii="Cambria" w:hAnsi="Cambria" w:cs="Calibri"/>
                <w:sz w:val="18"/>
                <w:szCs w:val="18"/>
                <w:lang w:val="en-US"/>
              </w:rPr>
            </w:pPr>
            <w:r w:rsidRPr="005D75F9">
              <w:rPr>
                <w:rFonts w:ascii="Cambria" w:hAnsi="Cambria" w:cs="Calibri"/>
                <w:sz w:val="18"/>
                <w:szCs w:val="18"/>
                <w:lang w:val="en-US"/>
              </w:rPr>
              <w:t>Total c</w:t>
            </w:r>
            <w:r w:rsidR="00BD2642" w:rsidRPr="005D75F9">
              <w:rPr>
                <w:rFonts w:ascii="Cambria" w:hAnsi="Cambria" w:cs="Calibri"/>
                <w:sz w:val="18"/>
                <w:szCs w:val="18"/>
                <w:lang w:val="en-US"/>
              </w:rPr>
              <w:t>ompliance</w:t>
            </w:r>
            <w:r w:rsidR="00AC73A7">
              <w:rPr>
                <w:rStyle w:val="FootnoteReference"/>
                <w:rFonts w:ascii="Cambria" w:hAnsi="Cambria" w:cs="Calibri"/>
                <w:sz w:val="18"/>
                <w:szCs w:val="18"/>
                <w:lang w:val="en-US"/>
              </w:rPr>
              <w:footnoteReference w:id="1"/>
            </w:r>
          </w:p>
        </w:tc>
      </w:tr>
    </w:tbl>
    <w:p w:rsidR="001551A8" w:rsidRDefault="001551A8" w:rsidP="001551A8">
      <w:pPr>
        <w:pStyle w:val="ListParagraph"/>
        <w:spacing w:after="0" w:line="240" w:lineRule="auto"/>
        <w:ind w:left="1440"/>
        <w:jc w:val="both"/>
        <w:rPr>
          <w:rFonts w:ascii="Cambria" w:hAnsi="Cambria" w:cs="Calibri Light"/>
          <w:sz w:val="20"/>
          <w:szCs w:val="20"/>
        </w:rPr>
      </w:pPr>
    </w:p>
    <w:p w:rsidR="005572BA" w:rsidRPr="005D75F9" w:rsidRDefault="005572BA" w:rsidP="001551A8">
      <w:pPr>
        <w:pStyle w:val="ListParagraph"/>
        <w:spacing w:after="0" w:line="240" w:lineRule="auto"/>
        <w:ind w:left="1440"/>
        <w:jc w:val="both"/>
        <w:rPr>
          <w:rFonts w:ascii="Cambria" w:hAnsi="Cambria" w:cs="Calibri Light"/>
          <w:sz w:val="20"/>
          <w:szCs w:val="20"/>
        </w:rPr>
      </w:pPr>
    </w:p>
    <w:p w:rsidR="00D70EA9" w:rsidRPr="005D75F9" w:rsidRDefault="00BD2642" w:rsidP="001924E0">
      <w:pPr>
        <w:pStyle w:val="ListParagraph"/>
        <w:numPr>
          <w:ilvl w:val="0"/>
          <w:numId w:val="1"/>
        </w:numPr>
        <w:spacing w:after="0" w:line="240" w:lineRule="auto"/>
        <w:ind w:left="1440"/>
        <w:jc w:val="both"/>
        <w:rPr>
          <w:rFonts w:ascii="Cambria" w:hAnsi="Cambria" w:cs="Calibri Light"/>
          <w:b/>
          <w:sz w:val="20"/>
          <w:szCs w:val="20"/>
        </w:rPr>
      </w:pPr>
      <w:r w:rsidRPr="005D75F9">
        <w:rPr>
          <w:rFonts w:ascii="Cambria" w:hAnsi="Cambria"/>
          <w:b/>
          <w:sz w:val="20"/>
          <w:szCs w:val="20"/>
        </w:rPr>
        <w:t>Procedural Activity</w:t>
      </w:r>
    </w:p>
    <w:p w:rsidR="006C657F" w:rsidRPr="005D75F9" w:rsidRDefault="006C657F" w:rsidP="006C657F">
      <w:pPr>
        <w:spacing w:after="0" w:line="240" w:lineRule="auto"/>
        <w:ind w:left="720"/>
        <w:jc w:val="both"/>
        <w:rPr>
          <w:rFonts w:ascii="Cambria" w:hAnsi="Cambria" w:cs="Calibri Light"/>
          <w:sz w:val="20"/>
          <w:szCs w:val="20"/>
          <w:lang w:val="en-US"/>
        </w:rPr>
      </w:pPr>
    </w:p>
    <w:p w:rsidR="00FE3C5F" w:rsidRPr="005D75F9" w:rsidRDefault="00136A42" w:rsidP="00447159">
      <w:pPr>
        <w:numPr>
          <w:ilvl w:val="0"/>
          <w:numId w:val="3"/>
        </w:numPr>
        <w:spacing w:after="0" w:line="240" w:lineRule="auto"/>
        <w:ind w:left="0" w:firstLine="720"/>
        <w:jc w:val="both"/>
        <w:rPr>
          <w:rFonts w:ascii="Cambria" w:hAnsi="Cambria" w:cs="Calibri Light"/>
          <w:sz w:val="20"/>
          <w:szCs w:val="20"/>
          <w:lang w:val="en-US"/>
        </w:rPr>
      </w:pPr>
      <w:r w:rsidRPr="005D75F9">
        <w:rPr>
          <w:rFonts w:ascii="Cambria" w:hAnsi="Cambria" w:cs="Calibri Light"/>
          <w:sz w:val="20"/>
          <w:szCs w:val="20"/>
          <w:lang w:val="en-US"/>
        </w:rPr>
        <w:lastRenderedPageBreak/>
        <w:t xml:space="preserve">The IACHR </w:t>
      </w:r>
      <w:r w:rsidR="00FE3C5F" w:rsidRPr="005D75F9">
        <w:rPr>
          <w:rFonts w:ascii="Cambria" w:hAnsi="Cambria" w:cs="Calibri Light"/>
          <w:sz w:val="20"/>
          <w:szCs w:val="20"/>
          <w:lang w:val="en-US"/>
        </w:rPr>
        <w:t xml:space="preserve">requested updated information on compliance from the parties in 2006, on </w:t>
      </w:r>
      <w:r w:rsidRPr="005D75F9">
        <w:rPr>
          <w:rFonts w:ascii="Cambria" w:hAnsi="Cambria" w:cs="Calibri Light"/>
          <w:sz w:val="20"/>
          <w:szCs w:val="20"/>
          <w:lang w:val="en-US"/>
        </w:rPr>
        <w:t xml:space="preserve">November 6, 2007 and </w:t>
      </w:r>
      <w:r w:rsidR="00FE3C5F" w:rsidRPr="005D75F9">
        <w:rPr>
          <w:rFonts w:ascii="Cambria" w:hAnsi="Cambria" w:cs="Calibri Light"/>
          <w:sz w:val="20"/>
          <w:szCs w:val="20"/>
          <w:lang w:val="en-US"/>
        </w:rPr>
        <w:t xml:space="preserve">on </w:t>
      </w:r>
      <w:r w:rsidRPr="005D75F9">
        <w:rPr>
          <w:rFonts w:ascii="Cambria" w:hAnsi="Cambria" w:cs="Calibri Light"/>
          <w:sz w:val="20"/>
          <w:szCs w:val="20"/>
          <w:lang w:val="en-US"/>
        </w:rPr>
        <w:t xml:space="preserve">November 10, 2008. The State presented </w:t>
      </w:r>
      <w:r w:rsidR="00FE3C5F" w:rsidRPr="005D75F9">
        <w:rPr>
          <w:rFonts w:ascii="Cambria" w:hAnsi="Cambria" w:cs="Calibri Light"/>
          <w:sz w:val="20"/>
          <w:szCs w:val="20"/>
          <w:lang w:val="en-US"/>
        </w:rPr>
        <w:t xml:space="preserve">said </w:t>
      </w:r>
      <w:r w:rsidRPr="005D75F9">
        <w:rPr>
          <w:rFonts w:ascii="Cambria" w:hAnsi="Cambria" w:cs="Calibri Light"/>
          <w:sz w:val="20"/>
          <w:szCs w:val="20"/>
          <w:lang w:val="en-US"/>
        </w:rPr>
        <w:t xml:space="preserve">information on December 19, 2007 and October 8, 2008. </w:t>
      </w:r>
    </w:p>
    <w:p w:rsidR="00FE3C5F" w:rsidRPr="005D75F9" w:rsidRDefault="00FE3C5F" w:rsidP="00FE3C5F">
      <w:pPr>
        <w:spacing w:after="0" w:line="240" w:lineRule="auto"/>
        <w:ind w:left="720"/>
        <w:jc w:val="both"/>
        <w:rPr>
          <w:rFonts w:ascii="Cambria" w:hAnsi="Cambria" w:cs="Calibri Light"/>
          <w:sz w:val="20"/>
          <w:szCs w:val="20"/>
          <w:lang w:val="en-US"/>
        </w:rPr>
      </w:pPr>
    </w:p>
    <w:p w:rsidR="00447159" w:rsidRPr="005D75F9" w:rsidRDefault="00136A42" w:rsidP="00447159">
      <w:pPr>
        <w:numPr>
          <w:ilvl w:val="0"/>
          <w:numId w:val="3"/>
        </w:numPr>
        <w:spacing w:after="0" w:line="240" w:lineRule="auto"/>
        <w:ind w:left="0" w:firstLine="720"/>
        <w:jc w:val="both"/>
        <w:rPr>
          <w:rFonts w:ascii="Cambria" w:hAnsi="Cambria" w:cs="Calibri Light"/>
          <w:sz w:val="20"/>
          <w:szCs w:val="20"/>
          <w:lang w:val="en-US"/>
        </w:rPr>
      </w:pPr>
      <w:r w:rsidRPr="005D75F9">
        <w:rPr>
          <w:rFonts w:ascii="Cambria" w:hAnsi="Cambria" w:cs="Calibri Light"/>
          <w:sz w:val="20"/>
          <w:szCs w:val="20"/>
          <w:lang w:val="en-US"/>
        </w:rPr>
        <w:t>The petitioners presented th</w:t>
      </w:r>
      <w:r w:rsidR="00FE3C5F" w:rsidRPr="005D75F9">
        <w:rPr>
          <w:rFonts w:ascii="Cambria" w:hAnsi="Cambria" w:cs="Calibri Light"/>
          <w:sz w:val="20"/>
          <w:szCs w:val="20"/>
          <w:lang w:val="en-US"/>
        </w:rPr>
        <w:t xml:space="preserve">e </w:t>
      </w:r>
      <w:r w:rsidRPr="005D75F9">
        <w:rPr>
          <w:rFonts w:ascii="Cambria" w:hAnsi="Cambria" w:cs="Calibri Light"/>
          <w:sz w:val="20"/>
          <w:szCs w:val="20"/>
          <w:lang w:val="en-US"/>
        </w:rPr>
        <w:t>information</w:t>
      </w:r>
      <w:r w:rsidR="00FE3C5F" w:rsidRPr="005D75F9">
        <w:rPr>
          <w:rFonts w:ascii="Cambria" w:hAnsi="Cambria" w:cs="Calibri Light"/>
          <w:sz w:val="20"/>
          <w:szCs w:val="20"/>
          <w:lang w:val="en-US"/>
        </w:rPr>
        <w:t xml:space="preserve"> requested by the Commission</w:t>
      </w:r>
      <w:r w:rsidRPr="005D75F9">
        <w:rPr>
          <w:rFonts w:ascii="Cambria" w:hAnsi="Cambria" w:cs="Calibri Light"/>
          <w:sz w:val="20"/>
          <w:szCs w:val="20"/>
          <w:lang w:val="en-US"/>
        </w:rPr>
        <w:t xml:space="preserve"> on May 5, 2008 and January 7, 2009</w:t>
      </w:r>
      <w:r w:rsidR="00447159" w:rsidRPr="005D75F9">
        <w:rPr>
          <w:rFonts w:ascii="Cambria" w:hAnsi="Cambria" w:cs="Calibri Light"/>
          <w:sz w:val="20"/>
          <w:szCs w:val="20"/>
          <w:lang w:val="en-US"/>
        </w:rPr>
        <w:t>.</w:t>
      </w:r>
    </w:p>
    <w:p w:rsidR="008324B2" w:rsidRPr="005D75F9" w:rsidRDefault="008324B2" w:rsidP="008324B2">
      <w:pPr>
        <w:spacing w:after="0" w:line="240" w:lineRule="auto"/>
        <w:ind w:left="720"/>
        <w:jc w:val="both"/>
        <w:rPr>
          <w:rFonts w:ascii="Cambria" w:hAnsi="Cambria" w:cs="Calibri Light"/>
          <w:sz w:val="20"/>
          <w:szCs w:val="20"/>
          <w:lang w:val="en-US"/>
        </w:rPr>
      </w:pPr>
    </w:p>
    <w:p w:rsidR="00FE3C5F" w:rsidRPr="005D75F9" w:rsidRDefault="00FE3C5F" w:rsidP="00447159">
      <w:pPr>
        <w:numPr>
          <w:ilvl w:val="0"/>
          <w:numId w:val="3"/>
        </w:numPr>
        <w:spacing w:after="0" w:line="240" w:lineRule="auto"/>
        <w:ind w:left="0" w:firstLine="720"/>
        <w:jc w:val="both"/>
        <w:rPr>
          <w:rFonts w:ascii="Cambria" w:hAnsi="Cambria" w:cs="Calibri Light"/>
          <w:sz w:val="20"/>
          <w:szCs w:val="20"/>
          <w:lang w:val="en-US"/>
        </w:rPr>
      </w:pPr>
      <w:r w:rsidRPr="005D75F9">
        <w:rPr>
          <w:rFonts w:ascii="Cambria" w:hAnsi="Cambria" w:cs="Calibri Light"/>
          <w:sz w:val="20"/>
          <w:szCs w:val="20"/>
          <w:lang w:val="en-US"/>
        </w:rPr>
        <w:t xml:space="preserve">The case was in the follow-up of recommendations stage for 3 years. </w:t>
      </w:r>
    </w:p>
    <w:p w:rsidR="00D70EA9" w:rsidRPr="005D75F9" w:rsidRDefault="00D70EA9" w:rsidP="00D70EA9">
      <w:pPr>
        <w:spacing w:after="0" w:line="240" w:lineRule="auto"/>
        <w:rPr>
          <w:rFonts w:ascii="Cambria" w:hAnsi="Cambria"/>
          <w:color w:val="7030A0"/>
          <w:sz w:val="20"/>
          <w:szCs w:val="20"/>
          <w:lang w:val="en-US"/>
        </w:rPr>
      </w:pPr>
    </w:p>
    <w:p w:rsidR="00BD2642" w:rsidRPr="005D75F9" w:rsidRDefault="00BD2642" w:rsidP="00BD2642">
      <w:pPr>
        <w:numPr>
          <w:ilvl w:val="0"/>
          <w:numId w:val="1"/>
        </w:numPr>
        <w:spacing w:after="0" w:line="240" w:lineRule="auto"/>
        <w:ind w:left="1440"/>
        <w:contextualSpacing/>
        <w:jc w:val="both"/>
        <w:rPr>
          <w:rFonts w:ascii="Cambria" w:hAnsi="Cambria" w:cs="Calibri Light"/>
          <w:b/>
          <w:sz w:val="20"/>
          <w:szCs w:val="20"/>
          <w:lang w:val="en-US"/>
        </w:rPr>
      </w:pPr>
      <w:r w:rsidRPr="005D75F9">
        <w:rPr>
          <w:rFonts w:ascii="Cambria" w:hAnsi="Cambria" w:cs="Calibri Light"/>
          <w:b/>
          <w:sz w:val="20"/>
          <w:szCs w:val="20"/>
          <w:lang w:val="en-US"/>
        </w:rPr>
        <w:t>Level of compliance of the case</w:t>
      </w:r>
    </w:p>
    <w:p w:rsidR="008B5BD7" w:rsidRPr="005D75F9" w:rsidRDefault="008B5BD7" w:rsidP="008B5BD7">
      <w:pPr>
        <w:spacing w:after="0" w:line="240" w:lineRule="auto"/>
        <w:jc w:val="both"/>
        <w:rPr>
          <w:rFonts w:ascii="Cambria" w:hAnsi="Cambria" w:cs="Calibri Light"/>
          <w:sz w:val="20"/>
          <w:szCs w:val="20"/>
          <w:lang w:val="en-US"/>
        </w:rPr>
      </w:pPr>
    </w:p>
    <w:p w:rsidR="00E41D90" w:rsidRPr="005D75F9" w:rsidRDefault="00067F70" w:rsidP="002377B1">
      <w:pPr>
        <w:numPr>
          <w:ilvl w:val="0"/>
          <w:numId w:val="3"/>
        </w:numPr>
        <w:spacing w:after="0" w:line="240" w:lineRule="auto"/>
        <w:ind w:left="0" w:firstLine="720"/>
        <w:jc w:val="both"/>
        <w:rPr>
          <w:rFonts w:ascii="Cambria" w:hAnsi="Cambria"/>
          <w:sz w:val="20"/>
          <w:szCs w:val="20"/>
          <w:lang w:val="en-US"/>
        </w:rPr>
      </w:pPr>
      <w:r w:rsidRPr="005D75F9">
        <w:rPr>
          <w:rFonts w:ascii="Cambria" w:hAnsi="Cambria" w:cs="Calibri Light"/>
          <w:sz w:val="20"/>
          <w:szCs w:val="20"/>
          <w:lang w:val="en-US"/>
        </w:rPr>
        <w:t xml:space="preserve">The Commission declared </w:t>
      </w:r>
      <w:r w:rsidR="00E41D90" w:rsidRPr="005D75F9">
        <w:rPr>
          <w:rFonts w:ascii="Cambria" w:hAnsi="Cambria" w:cs="Calibri Light"/>
          <w:sz w:val="20"/>
          <w:szCs w:val="20"/>
          <w:lang w:val="en-US"/>
        </w:rPr>
        <w:t xml:space="preserve">the total compliance of the case and ceased its monitoring of compliance with the recommendation issued in Merits Report </w:t>
      </w:r>
      <w:r w:rsidR="00211EAA" w:rsidRPr="005D75F9">
        <w:rPr>
          <w:rFonts w:ascii="Cambria" w:hAnsi="Cambria" w:cs="Calibri Light"/>
          <w:sz w:val="20"/>
          <w:szCs w:val="20"/>
          <w:lang w:val="en-US"/>
        </w:rPr>
        <w:t xml:space="preserve">No. </w:t>
      </w:r>
      <w:r w:rsidR="00E41D90" w:rsidRPr="005D75F9">
        <w:rPr>
          <w:rFonts w:ascii="Cambria" w:hAnsi="Cambria" w:cs="Calibri Light"/>
          <w:sz w:val="20"/>
          <w:szCs w:val="20"/>
          <w:lang w:val="en-US"/>
        </w:rPr>
        <w:t>90/05</w:t>
      </w:r>
      <w:r w:rsidR="005D5BCD" w:rsidRPr="005D75F9">
        <w:rPr>
          <w:rFonts w:ascii="Cambria" w:hAnsi="Cambria" w:cs="Calibri Light"/>
          <w:sz w:val="20"/>
          <w:szCs w:val="20"/>
          <w:lang w:val="en-US"/>
        </w:rPr>
        <w:t xml:space="preserve"> in the 2008 Annual Report.</w:t>
      </w:r>
      <w:r w:rsidR="00E41D90" w:rsidRPr="005D75F9">
        <w:rPr>
          <w:rStyle w:val="FootnoteReference"/>
          <w:rFonts w:ascii="Cambria" w:hAnsi="Cambria" w:cs="Calibri Light"/>
          <w:sz w:val="20"/>
          <w:szCs w:val="20"/>
          <w:lang w:val="en-US"/>
        </w:rPr>
        <w:footnoteReference w:id="2"/>
      </w:r>
    </w:p>
    <w:p w:rsidR="002377B1" w:rsidRPr="005D75F9" w:rsidRDefault="002377B1" w:rsidP="002377B1">
      <w:pPr>
        <w:spacing w:after="0" w:line="240" w:lineRule="auto"/>
        <w:ind w:left="720"/>
        <w:jc w:val="both"/>
        <w:rPr>
          <w:rFonts w:ascii="Cambria" w:hAnsi="Cambria"/>
          <w:color w:val="7030A0"/>
          <w:sz w:val="20"/>
          <w:szCs w:val="20"/>
          <w:lang w:val="en-US"/>
        </w:rPr>
      </w:pPr>
    </w:p>
    <w:p w:rsidR="00D70EA9" w:rsidRPr="005D75F9" w:rsidRDefault="00BD2642" w:rsidP="0092660C">
      <w:pPr>
        <w:numPr>
          <w:ilvl w:val="0"/>
          <w:numId w:val="1"/>
        </w:numPr>
        <w:spacing w:after="0" w:line="240" w:lineRule="auto"/>
        <w:ind w:left="1440"/>
        <w:contextualSpacing/>
        <w:jc w:val="both"/>
        <w:rPr>
          <w:rFonts w:ascii="Cambria" w:hAnsi="Cambria" w:cs="Calibri Light"/>
          <w:b/>
          <w:sz w:val="20"/>
          <w:szCs w:val="20"/>
          <w:lang w:val="en-US"/>
        </w:rPr>
      </w:pPr>
      <w:r w:rsidRPr="005D75F9">
        <w:rPr>
          <w:rFonts w:ascii="Cambria" w:hAnsi="Cambria" w:cs="Calibri Light"/>
          <w:b/>
          <w:sz w:val="20"/>
          <w:szCs w:val="20"/>
          <w:lang w:val="en-US"/>
        </w:rPr>
        <w:t>Individual and structural results of the case</w:t>
      </w:r>
      <w:r w:rsidR="00D70EA9" w:rsidRPr="005D75F9">
        <w:rPr>
          <w:rFonts w:ascii="Cambria" w:hAnsi="Cambria" w:cs="Calibri Light"/>
          <w:b/>
          <w:sz w:val="20"/>
          <w:szCs w:val="20"/>
          <w:lang w:val="en-US"/>
        </w:rPr>
        <w:t xml:space="preserve"> </w:t>
      </w:r>
    </w:p>
    <w:p w:rsidR="00BD2642" w:rsidRPr="005D75F9" w:rsidRDefault="00BD2642" w:rsidP="00BD2642">
      <w:pPr>
        <w:spacing w:after="0" w:line="240" w:lineRule="auto"/>
        <w:contextualSpacing/>
        <w:jc w:val="both"/>
        <w:rPr>
          <w:rFonts w:ascii="Cambria" w:hAnsi="Cambria" w:cs="Calibri Light"/>
          <w:color w:val="7030A0"/>
          <w:sz w:val="20"/>
          <w:szCs w:val="20"/>
          <w:lang w:val="en-US"/>
        </w:rPr>
      </w:pPr>
    </w:p>
    <w:p w:rsidR="00BD2642" w:rsidRPr="005D75F9" w:rsidRDefault="00BD2642" w:rsidP="00BD2642">
      <w:pPr>
        <w:numPr>
          <w:ilvl w:val="0"/>
          <w:numId w:val="13"/>
        </w:numPr>
        <w:spacing w:after="0" w:line="240" w:lineRule="auto"/>
        <w:jc w:val="both"/>
        <w:rPr>
          <w:rFonts w:ascii="Cambria" w:hAnsi="Cambria" w:cs="Calibri Light"/>
          <w:sz w:val="20"/>
          <w:szCs w:val="20"/>
          <w:lang w:val="en-US"/>
        </w:rPr>
      </w:pPr>
      <w:r w:rsidRPr="005D75F9">
        <w:rPr>
          <w:rFonts w:ascii="Cambria" w:hAnsi="Cambria" w:cs="Calibri Light"/>
          <w:sz w:val="20"/>
          <w:szCs w:val="20"/>
          <w:lang w:val="en-US"/>
        </w:rPr>
        <w:t>This section highlights the individual and structural results of the case, as informed by the parties.</w:t>
      </w:r>
    </w:p>
    <w:p w:rsidR="00D70EA9" w:rsidRPr="005D75F9" w:rsidRDefault="00D70EA9" w:rsidP="00D70EA9">
      <w:pPr>
        <w:spacing w:after="0" w:line="240" w:lineRule="auto"/>
        <w:jc w:val="both"/>
        <w:rPr>
          <w:rFonts w:ascii="Cambria" w:hAnsi="Cambria" w:cs="Calibri Light"/>
          <w:sz w:val="20"/>
          <w:szCs w:val="20"/>
          <w:lang w:val="en-US"/>
        </w:rPr>
      </w:pPr>
    </w:p>
    <w:p w:rsidR="00BD2642" w:rsidRPr="005D75F9" w:rsidRDefault="00BD2642" w:rsidP="00BD2642">
      <w:pPr>
        <w:numPr>
          <w:ilvl w:val="0"/>
          <w:numId w:val="2"/>
        </w:numPr>
        <w:spacing w:after="0" w:line="240" w:lineRule="auto"/>
        <w:ind w:left="1440" w:hanging="720"/>
        <w:contextualSpacing/>
        <w:jc w:val="both"/>
        <w:rPr>
          <w:rFonts w:ascii="Cambria" w:hAnsi="Cambria" w:cs="Calibri Light"/>
          <w:b/>
          <w:sz w:val="20"/>
          <w:szCs w:val="20"/>
          <w:lang w:val="en-US"/>
        </w:rPr>
      </w:pPr>
      <w:r w:rsidRPr="005D75F9">
        <w:rPr>
          <w:rFonts w:ascii="Cambria" w:hAnsi="Cambria" w:cs="Calibri Light"/>
          <w:b/>
          <w:sz w:val="20"/>
          <w:szCs w:val="20"/>
          <w:lang w:val="en-US"/>
        </w:rPr>
        <w:t>Individual results of the case</w:t>
      </w:r>
    </w:p>
    <w:p w:rsidR="00D70EA9" w:rsidRPr="005D75F9" w:rsidRDefault="00D70EA9" w:rsidP="00D70EA9">
      <w:pPr>
        <w:spacing w:after="0" w:line="240" w:lineRule="auto"/>
        <w:jc w:val="both"/>
        <w:rPr>
          <w:rFonts w:ascii="Cambria" w:hAnsi="Cambria" w:cs="Calibri Light"/>
          <w:sz w:val="20"/>
          <w:szCs w:val="20"/>
          <w:lang w:val="en-US"/>
        </w:rPr>
      </w:pPr>
    </w:p>
    <w:p w:rsidR="00642976" w:rsidRPr="005D75F9" w:rsidRDefault="00642976" w:rsidP="00BD2642">
      <w:pPr>
        <w:spacing w:after="0" w:line="240" w:lineRule="auto"/>
        <w:jc w:val="both"/>
        <w:rPr>
          <w:rFonts w:ascii="Cambria" w:hAnsi="Cambria"/>
          <w:i/>
          <w:sz w:val="20"/>
          <w:szCs w:val="20"/>
          <w:lang w:val="en-US"/>
        </w:rPr>
      </w:pPr>
      <w:r w:rsidRPr="005D75F9">
        <w:rPr>
          <w:rFonts w:ascii="Cambria" w:hAnsi="Cambria"/>
          <w:i/>
          <w:sz w:val="20"/>
          <w:szCs w:val="20"/>
          <w:lang w:val="en-US"/>
        </w:rPr>
        <w:t>Restoration of the infringed right measures</w:t>
      </w:r>
    </w:p>
    <w:p w:rsidR="00642976" w:rsidRPr="005D75F9" w:rsidRDefault="00642976" w:rsidP="00423BAA">
      <w:pPr>
        <w:pStyle w:val="ListParagraph"/>
        <w:numPr>
          <w:ilvl w:val="0"/>
          <w:numId w:val="16"/>
        </w:numPr>
        <w:spacing w:after="0" w:line="240" w:lineRule="auto"/>
        <w:jc w:val="both"/>
        <w:rPr>
          <w:rFonts w:ascii="Cambria" w:hAnsi="Cambria"/>
          <w:sz w:val="20"/>
          <w:szCs w:val="20"/>
        </w:rPr>
      </w:pPr>
      <w:r w:rsidRPr="005D75F9">
        <w:rPr>
          <w:rFonts w:ascii="Cambria" w:hAnsi="Cambria"/>
          <w:sz w:val="20"/>
          <w:szCs w:val="20"/>
        </w:rPr>
        <w:t xml:space="preserve">The State promulgated Law No. 19.733, </w:t>
      </w:r>
      <w:r w:rsidR="008A63E0" w:rsidRPr="005D75F9">
        <w:rPr>
          <w:rFonts w:ascii="Cambria" w:hAnsi="Cambria"/>
          <w:sz w:val="20"/>
          <w:szCs w:val="20"/>
        </w:rPr>
        <w:t xml:space="preserve">which repealed </w:t>
      </w:r>
      <w:r w:rsidRPr="005D75F9">
        <w:rPr>
          <w:rFonts w:ascii="Cambria" w:hAnsi="Cambria"/>
          <w:sz w:val="20"/>
          <w:szCs w:val="20"/>
        </w:rPr>
        <w:t xml:space="preserve">the crime </w:t>
      </w:r>
      <w:r w:rsidR="00BC49FD">
        <w:rPr>
          <w:rFonts w:ascii="Cambria" w:hAnsi="Cambria"/>
          <w:sz w:val="20"/>
          <w:szCs w:val="20"/>
        </w:rPr>
        <w:t xml:space="preserve">codified </w:t>
      </w:r>
      <w:r w:rsidRPr="005D75F9">
        <w:rPr>
          <w:rFonts w:ascii="Cambria" w:hAnsi="Cambria"/>
          <w:sz w:val="20"/>
          <w:szCs w:val="20"/>
        </w:rPr>
        <w:t xml:space="preserve">in Article 6(b) and the measures </w:t>
      </w:r>
      <w:r w:rsidR="00BC49FD">
        <w:rPr>
          <w:rFonts w:ascii="Cambria" w:hAnsi="Cambria"/>
          <w:sz w:val="20"/>
          <w:szCs w:val="20"/>
        </w:rPr>
        <w:t xml:space="preserve">established </w:t>
      </w:r>
      <w:r w:rsidRPr="005D75F9">
        <w:rPr>
          <w:rFonts w:ascii="Cambria" w:hAnsi="Cambria"/>
          <w:sz w:val="20"/>
          <w:szCs w:val="20"/>
        </w:rPr>
        <w:t xml:space="preserve">in Article 16 of Law </w:t>
      </w:r>
      <w:r w:rsidR="00482A2C" w:rsidRPr="005D75F9">
        <w:rPr>
          <w:rFonts w:ascii="Cambria" w:hAnsi="Cambria"/>
          <w:sz w:val="20"/>
          <w:szCs w:val="20"/>
        </w:rPr>
        <w:t xml:space="preserve">No. 12.927 </w:t>
      </w:r>
      <w:r w:rsidRPr="005D75F9">
        <w:rPr>
          <w:rFonts w:ascii="Cambria" w:hAnsi="Cambria"/>
          <w:sz w:val="20"/>
          <w:szCs w:val="20"/>
        </w:rPr>
        <w:t>of State Security and Article 41 of Law No</w:t>
      </w:r>
      <w:r w:rsidR="00BC49FD">
        <w:rPr>
          <w:rFonts w:ascii="Cambria" w:hAnsi="Cambria"/>
          <w:sz w:val="20"/>
          <w:szCs w:val="20"/>
        </w:rPr>
        <w:t xml:space="preserve">. 16.643 on Abusive Advertising. This </w:t>
      </w:r>
      <w:r w:rsidR="008A63E0" w:rsidRPr="005D75F9">
        <w:rPr>
          <w:rFonts w:ascii="Cambria" w:hAnsi="Cambria"/>
          <w:sz w:val="20"/>
          <w:szCs w:val="20"/>
        </w:rPr>
        <w:t xml:space="preserve">made it possible </w:t>
      </w:r>
      <w:r w:rsidRPr="005D75F9">
        <w:rPr>
          <w:rFonts w:ascii="Cambria" w:hAnsi="Cambria"/>
          <w:sz w:val="20"/>
          <w:szCs w:val="20"/>
        </w:rPr>
        <w:t>to dismiss the criminal case against Alejandra Marcela Matus</w:t>
      </w:r>
      <w:r w:rsidR="008A63E0" w:rsidRPr="005D75F9">
        <w:rPr>
          <w:rFonts w:ascii="Cambria" w:hAnsi="Cambria"/>
          <w:sz w:val="20"/>
          <w:szCs w:val="20"/>
        </w:rPr>
        <w:t xml:space="preserve"> </w:t>
      </w:r>
      <w:r w:rsidR="00A56B44" w:rsidRPr="005D75F9">
        <w:rPr>
          <w:rFonts w:ascii="Cambria" w:hAnsi="Cambria"/>
          <w:sz w:val="20"/>
          <w:szCs w:val="20"/>
        </w:rPr>
        <w:t xml:space="preserve">Acuña </w:t>
      </w:r>
      <w:r w:rsidR="008A63E0" w:rsidRPr="005D75F9">
        <w:rPr>
          <w:rFonts w:ascii="Cambria" w:hAnsi="Cambria"/>
          <w:sz w:val="20"/>
          <w:szCs w:val="20"/>
        </w:rPr>
        <w:t>and to lift the confiscatory measures and prohibition that affected “The Black Book of Chilean Justice”.</w:t>
      </w:r>
    </w:p>
    <w:p w:rsidR="00BD2642" w:rsidRPr="005D75F9" w:rsidRDefault="00BD2642" w:rsidP="00BD2642">
      <w:pPr>
        <w:spacing w:after="0" w:line="240" w:lineRule="auto"/>
        <w:jc w:val="both"/>
        <w:rPr>
          <w:rFonts w:ascii="Cambria" w:hAnsi="Cambria" w:cs="Calibri Light"/>
          <w:i/>
          <w:sz w:val="20"/>
          <w:szCs w:val="20"/>
          <w:lang w:val="en-US"/>
        </w:rPr>
      </w:pPr>
    </w:p>
    <w:p w:rsidR="00BD2642" w:rsidRPr="005D75F9" w:rsidRDefault="00BD2642" w:rsidP="00BD2642">
      <w:pPr>
        <w:spacing w:after="0" w:line="240" w:lineRule="auto"/>
        <w:jc w:val="both"/>
        <w:rPr>
          <w:rFonts w:ascii="Cambria" w:hAnsi="Cambria"/>
          <w:i/>
          <w:sz w:val="20"/>
          <w:szCs w:val="20"/>
          <w:lang w:val="en-US"/>
        </w:rPr>
      </w:pPr>
      <w:r w:rsidRPr="005D75F9">
        <w:rPr>
          <w:rFonts w:ascii="Cambria" w:hAnsi="Cambria"/>
          <w:i/>
          <w:sz w:val="20"/>
          <w:szCs w:val="20"/>
          <w:lang w:val="en-US"/>
        </w:rPr>
        <w:t xml:space="preserve">Pecuniary compensation measures </w:t>
      </w:r>
    </w:p>
    <w:p w:rsidR="002D5153" w:rsidRPr="005D75F9" w:rsidRDefault="002B598F" w:rsidP="002D5153">
      <w:pPr>
        <w:numPr>
          <w:ilvl w:val="0"/>
          <w:numId w:val="5"/>
        </w:numPr>
        <w:spacing w:after="0" w:line="240" w:lineRule="auto"/>
        <w:jc w:val="both"/>
        <w:rPr>
          <w:rFonts w:ascii="Cambria" w:hAnsi="Cambria"/>
          <w:sz w:val="20"/>
          <w:szCs w:val="20"/>
          <w:lang w:val="en-US"/>
        </w:rPr>
      </w:pPr>
      <w:r w:rsidRPr="005D75F9">
        <w:rPr>
          <w:rFonts w:ascii="Cambria" w:hAnsi="Cambria"/>
          <w:sz w:val="20"/>
          <w:szCs w:val="20"/>
          <w:lang w:val="en-US"/>
        </w:rPr>
        <w:t xml:space="preserve">Pursuant to </w:t>
      </w:r>
      <w:r w:rsidR="00200CF2" w:rsidRPr="005D75F9">
        <w:rPr>
          <w:rFonts w:ascii="Cambria" w:hAnsi="Cambria"/>
          <w:sz w:val="20"/>
          <w:szCs w:val="20"/>
          <w:lang w:val="en-US"/>
        </w:rPr>
        <w:t xml:space="preserve">Resolution No. 3849 of December 31, 2008, </w:t>
      </w:r>
      <w:r w:rsidR="00F733F6" w:rsidRPr="005D75F9">
        <w:rPr>
          <w:rFonts w:ascii="Cambria" w:hAnsi="Cambria"/>
          <w:sz w:val="20"/>
          <w:szCs w:val="20"/>
          <w:lang w:val="en-US"/>
        </w:rPr>
        <w:t xml:space="preserve">Alejandra Marcela Matus </w:t>
      </w:r>
      <w:r w:rsidR="001F1702" w:rsidRPr="005D75F9">
        <w:rPr>
          <w:rFonts w:ascii="Cambria" w:hAnsi="Cambria"/>
          <w:sz w:val="20"/>
          <w:szCs w:val="20"/>
          <w:lang w:val="en-US"/>
        </w:rPr>
        <w:t>Acuña</w:t>
      </w:r>
      <w:r w:rsidR="00200CF2" w:rsidRPr="005D75F9">
        <w:rPr>
          <w:rFonts w:ascii="Cambria" w:hAnsi="Cambria"/>
          <w:sz w:val="20"/>
          <w:szCs w:val="20"/>
          <w:lang w:val="en-US"/>
        </w:rPr>
        <w:t xml:space="preserve"> was granted</w:t>
      </w:r>
      <w:r w:rsidR="00211EAA" w:rsidRPr="005D75F9">
        <w:rPr>
          <w:rFonts w:ascii="Cambria" w:hAnsi="Cambria"/>
          <w:sz w:val="20"/>
          <w:szCs w:val="20"/>
          <w:lang w:val="en-US"/>
        </w:rPr>
        <w:t xml:space="preserve"> </w:t>
      </w:r>
      <w:r w:rsidR="002D5153" w:rsidRPr="005D75F9">
        <w:rPr>
          <w:rFonts w:ascii="Cambria" w:hAnsi="Cambria"/>
          <w:sz w:val="20"/>
          <w:szCs w:val="20"/>
          <w:lang w:val="en-US"/>
        </w:rPr>
        <w:t>30 million Chilean pesos</w:t>
      </w:r>
      <w:r w:rsidR="00F733F6" w:rsidRPr="005D75F9">
        <w:rPr>
          <w:rFonts w:ascii="Cambria" w:hAnsi="Cambria"/>
          <w:sz w:val="20"/>
          <w:szCs w:val="20"/>
          <w:lang w:val="en-US"/>
        </w:rPr>
        <w:t xml:space="preserve"> </w:t>
      </w:r>
      <w:r w:rsidR="001850CD" w:rsidRPr="005D75F9">
        <w:rPr>
          <w:rFonts w:ascii="Cambria" w:hAnsi="Cambria"/>
          <w:sz w:val="20"/>
          <w:szCs w:val="20"/>
          <w:lang w:val="en-US"/>
        </w:rPr>
        <w:t>in</w:t>
      </w:r>
      <w:r w:rsidR="00F733F6" w:rsidRPr="005D75F9">
        <w:rPr>
          <w:rFonts w:ascii="Cambria" w:hAnsi="Cambria"/>
          <w:sz w:val="20"/>
          <w:szCs w:val="20"/>
          <w:lang w:val="en-US"/>
        </w:rPr>
        <w:t xml:space="preserve"> compensation</w:t>
      </w:r>
      <w:r w:rsidR="002D5153" w:rsidRPr="005D75F9">
        <w:rPr>
          <w:rFonts w:ascii="Cambria" w:hAnsi="Cambria"/>
          <w:sz w:val="20"/>
          <w:szCs w:val="20"/>
          <w:lang w:val="en-US"/>
        </w:rPr>
        <w:t>.</w:t>
      </w:r>
    </w:p>
    <w:p w:rsidR="00486EDF" w:rsidRPr="005D75F9" w:rsidRDefault="00486EDF" w:rsidP="002D5153">
      <w:pPr>
        <w:spacing w:after="0" w:line="240" w:lineRule="auto"/>
        <w:jc w:val="both"/>
        <w:rPr>
          <w:rFonts w:ascii="Cambria" w:hAnsi="Cambria" w:cs="Calibri Light"/>
          <w:sz w:val="20"/>
          <w:szCs w:val="20"/>
          <w:lang w:val="en-US"/>
        </w:rPr>
      </w:pPr>
    </w:p>
    <w:p w:rsidR="00BD2642" w:rsidRPr="005D75F9" w:rsidRDefault="00BD2642" w:rsidP="00BD2642">
      <w:pPr>
        <w:numPr>
          <w:ilvl w:val="0"/>
          <w:numId w:val="2"/>
        </w:numPr>
        <w:spacing w:after="0" w:line="240" w:lineRule="auto"/>
        <w:contextualSpacing/>
        <w:jc w:val="both"/>
        <w:rPr>
          <w:rFonts w:ascii="Cambria" w:hAnsi="Cambria" w:cs="Calibri Light"/>
          <w:b/>
          <w:sz w:val="20"/>
          <w:szCs w:val="20"/>
          <w:lang w:val="en-US"/>
        </w:rPr>
      </w:pPr>
      <w:r w:rsidRPr="005D75F9">
        <w:rPr>
          <w:rFonts w:ascii="Cambria" w:hAnsi="Cambria" w:cs="Calibri Light"/>
          <w:b/>
          <w:sz w:val="20"/>
          <w:szCs w:val="20"/>
          <w:lang w:val="en-US"/>
        </w:rPr>
        <w:t xml:space="preserve">Structural </w:t>
      </w:r>
      <w:r w:rsidR="000D2C99" w:rsidRPr="005D75F9">
        <w:rPr>
          <w:rFonts w:ascii="Cambria" w:hAnsi="Cambria" w:cs="Calibri Light"/>
          <w:b/>
          <w:sz w:val="20"/>
          <w:szCs w:val="20"/>
          <w:lang w:val="en-US"/>
        </w:rPr>
        <w:t>results</w:t>
      </w:r>
      <w:r w:rsidRPr="005D75F9">
        <w:rPr>
          <w:rFonts w:ascii="Cambria" w:hAnsi="Cambria" w:cs="Calibri Light"/>
          <w:b/>
          <w:sz w:val="20"/>
          <w:szCs w:val="20"/>
          <w:lang w:val="en-US"/>
        </w:rPr>
        <w:t xml:space="preserve"> of the case</w:t>
      </w:r>
    </w:p>
    <w:p w:rsidR="00F733F6" w:rsidRPr="005D75F9" w:rsidRDefault="00F733F6" w:rsidP="00423BAA">
      <w:pPr>
        <w:spacing w:after="0" w:line="240" w:lineRule="auto"/>
        <w:contextualSpacing/>
        <w:jc w:val="both"/>
        <w:rPr>
          <w:rFonts w:ascii="Cambria" w:hAnsi="Cambria"/>
          <w:sz w:val="20"/>
          <w:szCs w:val="20"/>
          <w:lang w:val="en-US"/>
        </w:rPr>
      </w:pPr>
    </w:p>
    <w:p w:rsidR="00F733F6" w:rsidRPr="005D75F9" w:rsidRDefault="00F733F6" w:rsidP="00F733F6">
      <w:pPr>
        <w:spacing w:after="0" w:line="240" w:lineRule="auto"/>
        <w:contextualSpacing/>
        <w:jc w:val="both"/>
        <w:rPr>
          <w:rFonts w:ascii="Cambria" w:hAnsi="Cambria"/>
          <w:i/>
          <w:sz w:val="20"/>
          <w:szCs w:val="20"/>
          <w:lang w:val="en-US"/>
        </w:rPr>
      </w:pPr>
      <w:r w:rsidRPr="005D75F9">
        <w:rPr>
          <w:rFonts w:ascii="Cambria" w:hAnsi="Cambria"/>
          <w:sz w:val="20"/>
          <w:szCs w:val="20"/>
          <w:lang w:val="en-US"/>
        </w:rPr>
        <w:t>Legislation</w:t>
      </w:r>
      <w:r w:rsidRPr="005D75F9">
        <w:rPr>
          <w:rFonts w:ascii="Cambria" w:hAnsi="Cambria"/>
          <w:i/>
          <w:sz w:val="20"/>
          <w:szCs w:val="20"/>
          <w:lang w:val="en-US"/>
        </w:rPr>
        <w:t>/Regulations</w:t>
      </w:r>
    </w:p>
    <w:p w:rsidR="00F733F6" w:rsidRPr="005D75F9" w:rsidRDefault="00F733F6" w:rsidP="00423BAA">
      <w:pPr>
        <w:pStyle w:val="ListParagraph"/>
        <w:numPr>
          <w:ilvl w:val="0"/>
          <w:numId w:val="10"/>
        </w:numPr>
        <w:spacing w:after="0" w:line="240" w:lineRule="auto"/>
        <w:jc w:val="both"/>
        <w:rPr>
          <w:rFonts w:ascii="Cambria" w:hAnsi="Cambria"/>
          <w:b/>
          <w:sz w:val="20"/>
          <w:szCs w:val="20"/>
        </w:rPr>
      </w:pPr>
      <w:r w:rsidRPr="005D75F9">
        <w:rPr>
          <w:rFonts w:ascii="Cambria" w:hAnsi="Cambria"/>
          <w:sz w:val="20"/>
          <w:szCs w:val="20"/>
        </w:rPr>
        <w:t xml:space="preserve">The State promulgated Law No. 19.733, </w:t>
      </w:r>
      <w:r w:rsidR="001A058A" w:rsidRPr="005D75F9">
        <w:rPr>
          <w:rFonts w:ascii="Cambria" w:hAnsi="Cambria"/>
          <w:sz w:val="20"/>
          <w:szCs w:val="20"/>
        </w:rPr>
        <w:t xml:space="preserve">which </w:t>
      </w:r>
      <w:r w:rsidRPr="005D75F9">
        <w:rPr>
          <w:rFonts w:ascii="Cambria" w:hAnsi="Cambria"/>
          <w:sz w:val="20"/>
          <w:szCs w:val="20"/>
        </w:rPr>
        <w:t>repeal</w:t>
      </w:r>
      <w:r w:rsidR="001A058A" w:rsidRPr="005D75F9">
        <w:rPr>
          <w:rFonts w:ascii="Cambria" w:hAnsi="Cambria"/>
          <w:sz w:val="20"/>
          <w:szCs w:val="20"/>
        </w:rPr>
        <w:t>ed</w:t>
      </w:r>
      <w:r w:rsidRPr="005D75F9">
        <w:rPr>
          <w:rFonts w:ascii="Cambria" w:hAnsi="Cambria"/>
          <w:sz w:val="20"/>
          <w:szCs w:val="20"/>
        </w:rPr>
        <w:t xml:space="preserve"> the crime </w:t>
      </w:r>
      <w:r w:rsidR="00BC49FD">
        <w:rPr>
          <w:rFonts w:ascii="Cambria" w:hAnsi="Cambria"/>
          <w:sz w:val="20"/>
          <w:szCs w:val="20"/>
        </w:rPr>
        <w:t xml:space="preserve">codified </w:t>
      </w:r>
      <w:r w:rsidR="003B2F71" w:rsidRPr="005D75F9">
        <w:rPr>
          <w:rFonts w:ascii="Cambria" w:hAnsi="Cambria"/>
          <w:sz w:val="20"/>
          <w:szCs w:val="20"/>
        </w:rPr>
        <w:t xml:space="preserve">in </w:t>
      </w:r>
      <w:r w:rsidRPr="005D75F9">
        <w:rPr>
          <w:rFonts w:ascii="Cambria" w:hAnsi="Cambria"/>
          <w:sz w:val="20"/>
          <w:szCs w:val="20"/>
        </w:rPr>
        <w:t>Article 6(b)</w:t>
      </w:r>
      <w:r w:rsidR="002B598F" w:rsidRPr="005D75F9">
        <w:rPr>
          <w:rStyle w:val="FootnoteReference"/>
          <w:rFonts w:ascii="Cambria" w:hAnsi="Cambria"/>
          <w:sz w:val="20"/>
          <w:szCs w:val="20"/>
        </w:rPr>
        <w:footnoteReference w:id="3"/>
      </w:r>
      <w:r w:rsidRPr="005D75F9">
        <w:rPr>
          <w:rFonts w:ascii="Cambria" w:hAnsi="Cambria"/>
          <w:sz w:val="20"/>
          <w:szCs w:val="20"/>
        </w:rPr>
        <w:t xml:space="preserve"> and the measures</w:t>
      </w:r>
      <w:r w:rsidR="003B2F71" w:rsidRPr="005D75F9">
        <w:rPr>
          <w:rFonts w:ascii="Cambria" w:hAnsi="Cambria"/>
          <w:sz w:val="20"/>
          <w:szCs w:val="20"/>
        </w:rPr>
        <w:t xml:space="preserve"> </w:t>
      </w:r>
      <w:r w:rsidR="00BC49FD">
        <w:rPr>
          <w:rFonts w:ascii="Cambria" w:hAnsi="Cambria"/>
          <w:sz w:val="20"/>
          <w:szCs w:val="20"/>
        </w:rPr>
        <w:t xml:space="preserve">established </w:t>
      </w:r>
      <w:r w:rsidR="003B2F71" w:rsidRPr="005D75F9">
        <w:rPr>
          <w:rFonts w:ascii="Cambria" w:hAnsi="Cambria"/>
          <w:sz w:val="20"/>
          <w:szCs w:val="20"/>
        </w:rPr>
        <w:t>in</w:t>
      </w:r>
      <w:r w:rsidRPr="005D75F9">
        <w:rPr>
          <w:rFonts w:ascii="Cambria" w:hAnsi="Cambria"/>
          <w:sz w:val="20"/>
          <w:szCs w:val="20"/>
        </w:rPr>
        <w:t xml:space="preserve"> Article 16 of Law o</w:t>
      </w:r>
      <w:r w:rsidR="003B2F71" w:rsidRPr="005D75F9">
        <w:rPr>
          <w:rFonts w:ascii="Cambria" w:hAnsi="Cambria"/>
          <w:sz w:val="20"/>
          <w:szCs w:val="20"/>
        </w:rPr>
        <w:t>f</w:t>
      </w:r>
      <w:r w:rsidRPr="005D75F9">
        <w:rPr>
          <w:rFonts w:ascii="Cambria" w:hAnsi="Cambria"/>
          <w:sz w:val="20"/>
          <w:szCs w:val="20"/>
        </w:rPr>
        <w:t xml:space="preserve"> State Security No. 12</w:t>
      </w:r>
      <w:r w:rsidR="003B2F71" w:rsidRPr="005D75F9">
        <w:rPr>
          <w:rFonts w:ascii="Cambria" w:hAnsi="Cambria"/>
          <w:sz w:val="20"/>
          <w:szCs w:val="20"/>
        </w:rPr>
        <w:t>.</w:t>
      </w:r>
      <w:r w:rsidRPr="005D75F9">
        <w:rPr>
          <w:rFonts w:ascii="Cambria" w:hAnsi="Cambria"/>
          <w:sz w:val="20"/>
          <w:szCs w:val="20"/>
        </w:rPr>
        <w:t>927</w:t>
      </w:r>
      <w:r w:rsidR="002B598F" w:rsidRPr="005D75F9">
        <w:rPr>
          <w:rStyle w:val="FootnoteReference"/>
          <w:rFonts w:ascii="Cambria" w:hAnsi="Cambria"/>
          <w:sz w:val="20"/>
          <w:szCs w:val="20"/>
        </w:rPr>
        <w:footnoteReference w:id="4"/>
      </w:r>
      <w:r w:rsidRPr="005D75F9">
        <w:rPr>
          <w:rFonts w:ascii="Cambria" w:hAnsi="Cambria"/>
          <w:sz w:val="20"/>
          <w:szCs w:val="20"/>
        </w:rPr>
        <w:t xml:space="preserve"> and Article 41 of Law No. 16</w:t>
      </w:r>
      <w:r w:rsidR="003B2F71" w:rsidRPr="005D75F9">
        <w:rPr>
          <w:rFonts w:ascii="Cambria" w:hAnsi="Cambria"/>
          <w:sz w:val="20"/>
          <w:szCs w:val="20"/>
        </w:rPr>
        <w:t>.</w:t>
      </w:r>
      <w:r w:rsidR="008A63E0" w:rsidRPr="005D75F9">
        <w:rPr>
          <w:rFonts w:ascii="Cambria" w:hAnsi="Cambria"/>
          <w:sz w:val="20"/>
          <w:szCs w:val="20"/>
        </w:rPr>
        <w:t>643 on Abusive Advertising</w:t>
      </w:r>
      <w:r w:rsidR="00200CF2" w:rsidRPr="005D75F9">
        <w:rPr>
          <w:rFonts w:ascii="Cambria" w:hAnsi="Cambria"/>
          <w:sz w:val="20"/>
          <w:szCs w:val="20"/>
        </w:rPr>
        <w:t xml:space="preserve">, bringing the State’s domestic legislation into line with the American Convention on Human Rights </w:t>
      </w:r>
      <w:r w:rsidR="00482A2C" w:rsidRPr="005D75F9">
        <w:rPr>
          <w:rFonts w:ascii="Cambria" w:hAnsi="Cambria"/>
          <w:sz w:val="20"/>
          <w:szCs w:val="20"/>
        </w:rPr>
        <w:t xml:space="preserve">regarding </w:t>
      </w:r>
      <w:r w:rsidR="00200CF2" w:rsidRPr="005D75F9">
        <w:rPr>
          <w:rFonts w:ascii="Cambria" w:hAnsi="Cambria"/>
          <w:sz w:val="20"/>
          <w:szCs w:val="20"/>
        </w:rPr>
        <w:t xml:space="preserve">freedom of expression. </w:t>
      </w:r>
    </w:p>
    <w:sectPr w:rsidR="00F733F6" w:rsidRPr="005D75F9" w:rsidSect="00156256">
      <w:headerReference w:type="default" r:id="rId12"/>
      <w:footerReference w:type="default" r:id="rId13"/>
      <w:headerReference w:type="first" r:id="rId14"/>
      <w:pgSz w:w="12240" w:h="15840" w:code="1"/>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907" w:rsidRDefault="00334907" w:rsidP="00D70EA9">
      <w:pPr>
        <w:spacing w:after="0" w:line="240" w:lineRule="auto"/>
      </w:pPr>
      <w:r>
        <w:separator/>
      </w:r>
    </w:p>
  </w:endnote>
  <w:endnote w:type="continuationSeparator" w:id="0">
    <w:p w:rsidR="00334907" w:rsidRDefault="00334907" w:rsidP="00D70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841" w:rsidRPr="0028191C" w:rsidRDefault="009C6AF2" w:rsidP="0028191C">
    <w:pPr>
      <w:pStyle w:val="Footer"/>
      <w:spacing w:after="0" w:line="240" w:lineRule="auto"/>
      <w:jc w:val="center"/>
      <w:rPr>
        <w:sz w:val="16"/>
        <w:szCs w:val="16"/>
      </w:rPr>
    </w:pPr>
    <w:r w:rsidRPr="0028191C">
      <w:rPr>
        <w:sz w:val="16"/>
        <w:szCs w:val="16"/>
      </w:rPr>
      <w:fldChar w:fldCharType="begin"/>
    </w:r>
    <w:r w:rsidRPr="0028191C">
      <w:rPr>
        <w:sz w:val="16"/>
        <w:szCs w:val="16"/>
      </w:rPr>
      <w:instrText xml:space="preserve"> PAGE   \* MERGEFORMAT </w:instrText>
    </w:r>
    <w:r w:rsidRPr="0028191C">
      <w:rPr>
        <w:sz w:val="16"/>
        <w:szCs w:val="16"/>
      </w:rPr>
      <w:fldChar w:fldCharType="separate"/>
    </w:r>
    <w:r w:rsidR="00874FC2">
      <w:rPr>
        <w:noProof/>
        <w:sz w:val="16"/>
        <w:szCs w:val="16"/>
      </w:rPr>
      <w:t>2</w:t>
    </w:r>
    <w:r w:rsidRPr="0028191C">
      <w:rPr>
        <w:noProof/>
        <w:sz w:val="16"/>
        <w:szCs w:val="16"/>
      </w:rPr>
      <w:fldChar w:fldCharType="end"/>
    </w:r>
  </w:p>
  <w:p w:rsidR="00B15841" w:rsidRDefault="00874FC2" w:rsidP="00A2459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907" w:rsidRDefault="00334907" w:rsidP="00D70EA9">
      <w:pPr>
        <w:spacing w:after="0" w:line="240" w:lineRule="auto"/>
      </w:pPr>
      <w:r>
        <w:separator/>
      </w:r>
    </w:p>
  </w:footnote>
  <w:footnote w:type="continuationSeparator" w:id="0">
    <w:p w:rsidR="00334907" w:rsidRDefault="00334907" w:rsidP="00D70EA9">
      <w:pPr>
        <w:spacing w:after="0" w:line="240" w:lineRule="auto"/>
      </w:pPr>
      <w:r>
        <w:continuationSeparator/>
      </w:r>
    </w:p>
  </w:footnote>
  <w:footnote w:id="1">
    <w:p w:rsidR="00AC73A7" w:rsidRPr="00AC73A7" w:rsidRDefault="00AC73A7" w:rsidP="000A3965">
      <w:pPr>
        <w:pStyle w:val="FootnoteText"/>
        <w:spacing w:after="120"/>
        <w:ind w:firstLine="720"/>
        <w:jc w:val="both"/>
        <w:rPr>
          <w:rFonts w:ascii="Cambria" w:hAnsi="Cambria"/>
          <w:sz w:val="16"/>
          <w:szCs w:val="16"/>
        </w:rPr>
      </w:pPr>
      <w:r w:rsidRPr="00FA510A">
        <w:rPr>
          <w:rStyle w:val="FootnoteReference"/>
          <w:rFonts w:ascii="Cambria" w:hAnsi="Cambria"/>
          <w:sz w:val="16"/>
          <w:szCs w:val="16"/>
        </w:rPr>
        <w:footnoteRef/>
      </w:r>
      <w:r w:rsidRPr="00FA510A">
        <w:rPr>
          <w:rFonts w:ascii="Cambria" w:hAnsi="Cambria"/>
          <w:sz w:val="16"/>
          <w:szCs w:val="16"/>
        </w:rPr>
        <w:t xml:space="preserve"> IACHR, 2008 Annual Report, </w:t>
      </w:r>
      <w:hyperlink r:id="rId1" w:history="1">
        <w:r w:rsidRPr="00FA510A">
          <w:rPr>
            <w:rStyle w:val="Hyperlink"/>
            <w:rFonts w:ascii="Cambria" w:hAnsi="Cambria"/>
            <w:color w:val="auto"/>
            <w:sz w:val="16"/>
            <w:szCs w:val="16"/>
          </w:rPr>
          <w:t>Chapter III, Section D: Status of compliance with the recommendations of the IACHR</w:t>
        </w:r>
      </w:hyperlink>
      <w:r w:rsidRPr="00FA510A">
        <w:rPr>
          <w:rFonts w:ascii="Cambria" w:hAnsi="Cambria"/>
          <w:sz w:val="16"/>
          <w:szCs w:val="16"/>
        </w:rPr>
        <w:t>, para. 223.</w:t>
      </w:r>
    </w:p>
  </w:footnote>
  <w:footnote w:id="2">
    <w:p w:rsidR="00E41D90" w:rsidRPr="00FA510A" w:rsidRDefault="00E41D90" w:rsidP="00423BAA">
      <w:pPr>
        <w:pStyle w:val="FootnoteText"/>
        <w:spacing w:after="120"/>
        <w:ind w:firstLine="720"/>
        <w:jc w:val="both"/>
        <w:rPr>
          <w:rFonts w:ascii="Cambria" w:hAnsi="Cambria"/>
          <w:sz w:val="16"/>
          <w:szCs w:val="16"/>
        </w:rPr>
      </w:pPr>
      <w:r w:rsidRPr="00FA510A">
        <w:rPr>
          <w:rStyle w:val="FootnoteReference"/>
          <w:rFonts w:ascii="Cambria" w:hAnsi="Cambria"/>
          <w:sz w:val="16"/>
          <w:szCs w:val="16"/>
        </w:rPr>
        <w:footnoteRef/>
      </w:r>
      <w:r w:rsidRPr="00FA510A">
        <w:rPr>
          <w:rFonts w:ascii="Cambria" w:hAnsi="Cambria"/>
          <w:sz w:val="16"/>
          <w:szCs w:val="16"/>
        </w:rPr>
        <w:t xml:space="preserve"> IACHR, </w:t>
      </w:r>
      <w:r w:rsidR="00D94D23" w:rsidRPr="00FA510A">
        <w:rPr>
          <w:rFonts w:ascii="Cambria" w:hAnsi="Cambria"/>
          <w:sz w:val="16"/>
          <w:szCs w:val="16"/>
        </w:rPr>
        <w:t xml:space="preserve">2008 </w:t>
      </w:r>
      <w:r w:rsidRPr="00FA510A">
        <w:rPr>
          <w:rFonts w:ascii="Cambria" w:hAnsi="Cambria"/>
          <w:sz w:val="16"/>
          <w:szCs w:val="16"/>
        </w:rPr>
        <w:t xml:space="preserve">Annual Report, </w:t>
      </w:r>
      <w:hyperlink r:id="rId2" w:history="1">
        <w:r w:rsidRPr="00FA510A">
          <w:rPr>
            <w:rStyle w:val="Hyperlink"/>
            <w:rFonts w:ascii="Cambria" w:hAnsi="Cambria"/>
            <w:color w:val="auto"/>
            <w:sz w:val="16"/>
            <w:szCs w:val="16"/>
          </w:rPr>
          <w:t>Chapter III, Section D: Status of compliance with the recommendations of the IACHR</w:t>
        </w:r>
      </w:hyperlink>
      <w:r w:rsidRPr="00FA510A">
        <w:rPr>
          <w:rFonts w:ascii="Cambria" w:hAnsi="Cambria"/>
          <w:sz w:val="16"/>
          <w:szCs w:val="16"/>
        </w:rPr>
        <w:t>, para. 223.</w:t>
      </w:r>
    </w:p>
  </w:footnote>
  <w:footnote w:id="3">
    <w:p w:rsidR="002B598F" w:rsidRPr="00FA510A" w:rsidRDefault="002B598F" w:rsidP="002B598F">
      <w:pPr>
        <w:pStyle w:val="FootnoteText"/>
        <w:spacing w:after="120"/>
        <w:ind w:firstLine="720"/>
        <w:jc w:val="both"/>
        <w:rPr>
          <w:rFonts w:ascii="Cambria" w:hAnsi="Cambria"/>
          <w:sz w:val="16"/>
          <w:szCs w:val="16"/>
        </w:rPr>
      </w:pPr>
      <w:r w:rsidRPr="00FA510A">
        <w:rPr>
          <w:rStyle w:val="FootnoteReference"/>
          <w:rFonts w:ascii="Cambria" w:hAnsi="Cambria"/>
          <w:sz w:val="16"/>
          <w:szCs w:val="16"/>
        </w:rPr>
        <w:footnoteRef/>
      </w:r>
      <w:r w:rsidRPr="00FA510A">
        <w:rPr>
          <w:rFonts w:ascii="Cambria" w:hAnsi="Cambria"/>
          <w:sz w:val="16"/>
          <w:szCs w:val="16"/>
        </w:rPr>
        <w:t xml:space="preserve"> Article 6 of the Law of State Security stated: Any person who publicly offends the flag, the coat of arms, the name of the mother country, or the national anthem and any person who defames, insults, or slanders the President of the Republic, Ministers of State, Senators, or Deputies, members of the High Courts of Justice, the Treasury Inspector of the Republic, Commanders-in-Chief of the Armed Forces, or Director General of the Police, whether or not the defamation, insult, or slander is committed in connection with the offended party’s official function. </w:t>
      </w:r>
      <w:r w:rsidRPr="00AC73A7">
        <w:rPr>
          <w:rFonts w:ascii="Cambria" w:hAnsi="Cambria"/>
          <w:sz w:val="16"/>
          <w:szCs w:val="16"/>
          <w:lang w:val="es-CO"/>
        </w:rPr>
        <w:t xml:space="preserve">IACHR, </w:t>
      </w:r>
      <w:hyperlink r:id="rId3" w:anchor="_ftn4" w:history="1">
        <w:r w:rsidRPr="00AC73A7">
          <w:rPr>
            <w:rStyle w:val="Hyperlink"/>
            <w:rFonts w:ascii="Cambria" w:hAnsi="Cambria"/>
            <w:color w:val="auto"/>
            <w:sz w:val="16"/>
            <w:szCs w:val="16"/>
            <w:lang w:val="es-CO"/>
          </w:rPr>
          <w:t xml:space="preserve">Case 12.142, Merits Report No. 90/05, Alejandra Marcela Matus Acuña et al. </w:t>
        </w:r>
        <w:r w:rsidRPr="00FA510A">
          <w:rPr>
            <w:rStyle w:val="Hyperlink"/>
            <w:rFonts w:ascii="Cambria" w:hAnsi="Cambria"/>
            <w:color w:val="auto"/>
            <w:sz w:val="16"/>
            <w:szCs w:val="16"/>
          </w:rPr>
          <w:t>(Chile)</w:t>
        </w:r>
      </w:hyperlink>
      <w:r w:rsidR="003C1140" w:rsidRPr="00FA510A">
        <w:rPr>
          <w:rFonts w:ascii="Cambria" w:hAnsi="Cambria"/>
          <w:sz w:val="16"/>
          <w:szCs w:val="16"/>
        </w:rPr>
        <w:t>, f</w:t>
      </w:r>
      <w:r w:rsidRPr="00FA510A">
        <w:rPr>
          <w:rFonts w:ascii="Cambria" w:hAnsi="Cambria"/>
          <w:sz w:val="16"/>
          <w:szCs w:val="16"/>
        </w:rPr>
        <w:t xml:space="preserve">ootnote </w:t>
      </w:r>
      <w:r w:rsidR="00340A25" w:rsidRPr="00FA510A">
        <w:rPr>
          <w:rFonts w:ascii="Cambria" w:hAnsi="Cambria"/>
          <w:sz w:val="16"/>
          <w:szCs w:val="16"/>
        </w:rPr>
        <w:t xml:space="preserve">No. </w:t>
      </w:r>
      <w:r w:rsidRPr="00FA510A">
        <w:rPr>
          <w:rFonts w:ascii="Cambria" w:hAnsi="Cambria"/>
          <w:sz w:val="16"/>
          <w:szCs w:val="16"/>
        </w:rPr>
        <w:t xml:space="preserve">4.  </w:t>
      </w:r>
    </w:p>
  </w:footnote>
  <w:footnote w:id="4">
    <w:p w:rsidR="002B598F" w:rsidRPr="002B598F" w:rsidRDefault="002B598F" w:rsidP="002B598F">
      <w:pPr>
        <w:pStyle w:val="FootnoteText"/>
        <w:spacing w:after="120"/>
        <w:ind w:firstLine="720"/>
        <w:jc w:val="both"/>
        <w:rPr>
          <w:rFonts w:ascii="Cambria" w:hAnsi="Cambria"/>
          <w:sz w:val="16"/>
          <w:szCs w:val="16"/>
        </w:rPr>
      </w:pPr>
      <w:r w:rsidRPr="00FA510A">
        <w:rPr>
          <w:rStyle w:val="FootnoteReference"/>
          <w:rFonts w:ascii="Cambria" w:hAnsi="Cambria"/>
          <w:sz w:val="16"/>
          <w:szCs w:val="16"/>
        </w:rPr>
        <w:footnoteRef/>
      </w:r>
      <w:r w:rsidRPr="00FA510A">
        <w:rPr>
          <w:rFonts w:ascii="Cambria" w:hAnsi="Cambria"/>
          <w:sz w:val="16"/>
          <w:szCs w:val="16"/>
        </w:rPr>
        <w:t xml:space="preserve"> Article 16 of the Law of State Security stated: 1) If an offense against the security of the State is committed in print, on the radio, or on the television, the competent court can suspend publication of up to ten editions of a guilty newspaper or magazine and up to ten days’ transmissions of the offending radio or television channel. In serious cases, the Court without prejudice may order the immediate seizure of any broadcast that contains any public offense that is punishable under this law. The court may exercise similar powers with regard to any another edition that may appear to have been produced in order to replace the one sanctioned under the terms of this provision. </w:t>
      </w:r>
      <w:r w:rsidRPr="00FA510A">
        <w:rPr>
          <w:rFonts w:ascii="Cambria" w:hAnsi="Cambria"/>
          <w:sz w:val="16"/>
          <w:szCs w:val="16"/>
          <w:lang w:val="es-CO"/>
        </w:rPr>
        <w:t xml:space="preserve">IACHR, </w:t>
      </w:r>
      <w:hyperlink r:id="rId4" w:anchor="_ftn4" w:history="1">
        <w:r w:rsidRPr="00FA510A">
          <w:rPr>
            <w:rStyle w:val="Hyperlink"/>
            <w:rFonts w:ascii="Cambria" w:hAnsi="Cambria"/>
            <w:color w:val="auto"/>
            <w:sz w:val="16"/>
            <w:szCs w:val="16"/>
            <w:lang w:val="es-CO"/>
          </w:rPr>
          <w:t xml:space="preserve">Case 12.142, Merits Report No. 90/05, Alejandra Marcela Matus Acuña et al. </w:t>
        </w:r>
        <w:r w:rsidRPr="00FA510A">
          <w:rPr>
            <w:rStyle w:val="Hyperlink"/>
            <w:rFonts w:ascii="Cambria" w:hAnsi="Cambria"/>
            <w:color w:val="auto"/>
            <w:sz w:val="16"/>
            <w:szCs w:val="16"/>
          </w:rPr>
          <w:t>(Chile)</w:t>
        </w:r>
      </w:hyperlink>
      <w:r w:rsidR="003C1140" w:rsidRPr="00FA510A">
        <w:rPr>
          <w:rFonts w:ascii="Cambria" w:hAnsi="Cambria"/>
          <w:sz w:val="16"/>
          <w:szCs w:val="16"/>
        </w:rPr>
        <w:t>, f</w:t>
      </w:r>
      <w:r w:rsidRPr="00FA510A">
        <w:rPr>
          <w:rFonts w:ascii="Cambria" w:hAnsi="Cambria"/>
          <w:sz w:val="16"/>
          <w:szCs w:val="16"/>
        </w:rPr>
        <w:t xml:space="preserve">ootnote </w:t>
      </w:r>
      <w:r w:rsidR="00340A25" w:rsidRPr="00FA510A">
        <w:rPr>
          <w:rFonts w:ascii="Cambria" w:hAnsi="Cambria"/>
          <w:sz w:val="16"/>
          <w:szCs w:val="16"/>
        </w:rPr>
        <w:t xml:space="preserve">No. </w:t>
      </w:r>
      <w:r w:rsidRPr="00FA510A">
        <w:rPr>
          <w:rFonts w:ascii="Cambria" w:hAnsi="Cambria"/>
          <w:sz w:val="16"/>
          <w:szCs w:val="16"/>
        </w:rPr>
        <w:t xml:space="preserve">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841" w:rsidRDefault="00312E9E" w:rsidP="00A2459E">
    <w:pPr>
      <w:pStyle w:val="Header"/>
    </w:pPr>
    <w:r>
      <w:rPr>
        <w:noProof/>
        <w:lang w:val="en-US"/>
      </w:rPr>
      <w:drawing>
        <wp:anchor distT="0" distB="0" distL="114300" distR="114300" simplePos="0" relativeHeight="251665408" behindDoc="0" locked="0" layoutInCell="1" allowOverlap="1">
          <wp:simplePos x="0" y="0"/>
          <wp:positionH relativeFrom="margin">
            <wp:align>center</wp:align>
          </wp:positionH>
          <wp:positionV relativeFrom="paragraph">
            <wp:posOffset>277805</wp:posOffset>
          </wp:positionV>
          <wp:extent cx="2275205" cy="116840"/>
          <wp:effectExtent l="0" t="0" r="0" b="0"/>
          <wp:wrapNone/>
          <wp:docPr id="6" name="Picture 6"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5205" cy="116840"/>
                  </a:xfrm>
                  <a:prstGeom prst="rect">
                    <a:avLst/>
                  </a:prstGeom>
                  <a:noFill/>
                  <a:ln>
                    <a:noFill/>
                  </a:ln>
                </pic:spPr>
              </pic:pic>
            </a:graphicData>
          </a:graphic>
          <wp14:sizeRelH relativeFrom="page">
            <wp14:pctWidth>0</wp14:pctWidth>
          </wp14:sizeRelH>
          <wp14:sizeRelV relativeFrom="page">
            <wp14:pctHeight>0</wp14:pctHeight>
          </wp14:sizeRelV>
        </wp:anchor>
      </w:drawing>
    </w:r>
    <w:r w:rsidR="009C6AF2">
      <w:tab/>
    </w:r>
  </w:p>
  <w:p w:rsidR="00B15841" w:rsidRDefault="00874FC2" w:rsidP="00A2459E">
    <w:pPr>
      <w:pStyle w:val="Header"/>
    </w:pPr>
    <w:r>
      <w:pict>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B2F" w:rsidRDefault="00F10F51" w:rsidP="00854B2F">
    <w:pPr>
      <w:pStyle w:val="NoSpacing"/>
    </w:pPr>
    <w:r>
      <w:rPr>
        <w:noProof/>
        <w:lang w:val="en-US"/>
      </w:rPr>
      <w:drawing>
        <wp:anchor distT="0" distB="0" distL="114300" distR="114300" simplePos="0" relativeHeight="251659264" behindDoc="1" locked="0" layoutInCell="1" allowOverlap="1">
          <wp:simplePos x="0" y="0"/>
          <wp:positionH relativeFrom="column">
            <wp:posOffset>4019550</wp:posOffset>
          </wp:positionH>
          <wp:positionV relativeFrom="paragraph">
            <wp:posOffset>9525</wp:posOffset>
          </wp:positionV>
          <wp:extent cx="1924050" cy="499110"/>
          <wp:effectExtent l="0" t="0" r="0" b="0"/>
          <wp:wrapThrough wrapText="bothSides">
            <wp:wrapPolygon edited="0">
              <wp:start x="1283" y="0"/>
              <wp:lineTo x="0" y="3298"/>
              <wp:lineTo x="0" y="17313"/>
              <wp:lineTo x="1283" y="20611"/>
              <wp:lineTo x="4063" y="20611"/>
              <wp:lineTo x="21386" y="18137"/>
              <wp:lineTo x="21386" y="4122"/>
              <wp:lineTo x="4063" y="0"/>
              <wp:lineTo x="1283" y="0"/>
            </wp:wrapPolygon>
          </wp:wrapThrough>
          <wp:docPr id="1" name="Picture 1"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AS_Seal_ENG_Principal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854B2F">
      <w:rPr>
        <w:noProof/>
        <w:lang w:val="en-US"/>
      </w:rPr>
      <w:drawing>
        <wp:anchor distT="0" distB="0" distL="114300" distR="114300" simplePos="0" relativeHeight="251657216" behindDoc="1" locked="0" layoutInCell="1" allowOverlap="1">
          <wp:simplePos x="0" y="0"/>
          <wp:positionH relativeFrom="column">
            <wp:posOffset>0</wp:posOffset>
          </wp:positionH>
          <wp:positionV relativeFrom="paragraph">
            <wp:posOffset>-28575</wp:posOffset>
          </wp:positionV>
          <wp:extent cx="2381250" cy="459105"/>
          <wp:effectExtent l="0" t="0" r="0" b="0"/>
          <wp:wrapThrough wrapText="bothSides">
            <wp:wrapPolygon edited="0">
              <wp:start x="0" y="0"/>
              <wp:lineTo x="0" y="20614"/>
              <wp:lineTo x="21427" y="20614"/>
              <wp:lineTo x="21427" y="0"/>
              <wp:lineTo x="0" y="0"/>
            </wp:wrapPolygon>
          </wp:wrapThrough>
          <wp:docPr id="2" name="Picture 2"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h-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1250" cy="459105"/>
                  </a:xfrm>
                  <a:prstGeom prst="rect">
                    <a:avLst/>
                  </a:prstGeom>
                  <a:noFill/>
                  <a:ln>
                    <a:noFill/>
                  </a:ln>
                </pic:spPr>
              </pic:pic>
            </a:graphicData>
          </a:graphic>
          <wp14:sizeRelH relativeFrom="page">
            <wp14:pctWidth>0</wp14:pctWidth>
          </wp14:sizeRelH>
          <wp14:sizeRelV relativeFrom="page">
            <wp14:pctHeight>0</wp14:pctHeight>
          </wp14:sizeRelV>
        </wp:anchor>
      </w:drawing>
    </w:r>
    <w:r w:rsidR="00854B2F">
      <w:tab/>
    </w:r>
    <w:r w:rsidR="00854B2F">
      <w:tab/>
    </w:r>
  </w:p>
  <w:p w:rsidR="00854B2F" w:rsidRDefault="00854B2F" w:rsidP="00854B2F">
    <w:pPr>
      <w:pStyle w:val="Header"/>
    </w:pPr>
  </w:p>
  <w:p w:rsidR="00854B2F" w:rsidRPr="00854B2F" w:rsidRDefault="00874FC2" w:rsidP="00854B2F">
    <w:pPr>
      <w:pStyle w:val="Header"/>
      <w:spacing w:after="0" w:line="240" w:lineRule="auto"/>
    </w:pPr>
    <w: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C3E11"/>
    <w:multiLevelType w:val="hybridMultilevel"/>
    <w:tmpl w:val="938AB30C"/>
    <w:lvl w:ilvl="0" w:tplc="511E6C8C">
      <w:start w:val="1"/>
      <w:numFmt w:val="decimal"/>
      <w:lvlText w:val="%1."/>
      <w:lvlJc w:val="left"/>
      <w:pPr>
        <w:ind w:left="900" w:hanging="360"/>
      </w:pPr>
      <w:rPr>
        <w:rFonts w:asciiTheme="minorHAnsi" w:hAnsiTheme="minorHAnsi" w:hint="default"/>
        <w:sz w:val="20"/>
        <w:szCs w:val="2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255F586B"/>
    <w:multiLevelType w:val="hybridMultilevel"/>
    <w:tmpl w:val="EF58BB18"/>
    <w:lvl w:ilvl="0" w:tplc="31BE9A18">
      <w:start w:val="1"/>
      <w:numFmt w:val="decimal"/>
      <w:lvlText w:val="%1."/>
      <w:lvlJc w:val="left"/>
      <w:pPr>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E60B5"/>
    <w:multiLevelType w:val="hybridMultilevel"/>
    <w:tmpl w:val="1C9857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B3D75D5"/>
    <w:multiLevelType w:val="hybridMultilevel"/>
    <w:tmpl w:val="7CD8E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87E74"/>
    <w:multiLevelType w:val="hybridMultilevel"/>
    <w:tmpl w:val="D834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17DAD"/>
    <w:multiLevelType w:val="hybridMultilevel"/>
    <w:tmpl w:val="36BC44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354333"/>
    <w:multiLevelType w:val="hybridMultilevel"/>
    <w:tmpl w:val="ED6E4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581D7C"/>
    <w:multiLevelType w:val="hybridMultilevel"/>
    <w:tmpl w:val="046E70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530D6A"/>
    <w:multiLevelType w:val="hybridMultilevel"/>
    <w:tmpl w:val="7D90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A07D1"/>
    <w:multiLevelType w:val="hybridMultilevel"/>
    <w:tmpl w:val="337C975E"/>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575E59"/>
    <w:multiLevelType w:val="hybridMultilevel"/>
    <w:tmpl w:val="B0401F8E"/>
    <w:lvl w:ilvl="0" w:tplc="015EC7AE">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493988"/>
    <w:multiLevelType w:val="hybridMultilevel"/>
    <w:tmpl w:val="B412C5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4B7C6B"/>
    <w:multiLevelType w:val="hybridMultilevel"/>
    <w:tmpl w:val="24DEC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A0B6A2B"/>
    <w:multiLevelType w:val="hybridMultilevel"/>
    <w:tmpl w:val="A76087D8"/>
    <w:lvl w:ilvl="0" w:tplc="6BF056EA">
      <w:start w:val="1"/>
      <w:numFmt w:val="decimal"/>
      <w:lvlText w:val="%1."/>
      <w:lvlJc w:val="left"/>
      <w:pPr>
        <w:ind w:left="0" w:firstLine="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CB5259C"/>
    <w:multiLevelType w:val="hybridMultilevel"/>
    <w:tmpl w:val="B52627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2A62BA2"/>
    <w:multiLevelType w:val="hybridMultilevel"/>
    <w:tmpl w:val="4FE6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12"/>
  </w:num>
  <w:num w:numId="5">
    <w:abstractNumId w:val="4"/>
  </w:num>
  <w:num w:numId="6">
    <w:abstractNumId w:val="15"/>
  </w:num>
  <w:num w:numId="7">
    <w:abstractNumId w:val="0"/>
  </w:num>
  <w:num w:numId="8">
    <w:abstractNumId w:val="2"/>
  </w:num>
  <w:num w:numId="9">
    <w:abstractNumId w:val="14"/>
  </w:num>
  <w:num w:numId="10">
    <w:abstractNumId w:val="12"/>
  </w:num>
  <w:num w:numId="11">
    <w:abstractNumId w:val="10"/>
  </w:num>
  <w:num w:numId="12">
    <w:abstractNumId w:val="6"/>
  </w:num>
  <w:num w:numId="13">
    <w:abstractNumId w:val="1"/>
    <w:lvlOverride w:ilvl="0">
      <w:lvl w:ilvl="0" w:tplc="31BE9A18">
        <w:start w:val="1"/>
        <w:numFmt w:val="decimal"/>
        <w:lvlText w:val="%1."/>
        <w:lvlJc w:val="left"/>
        <w:pPr>
          <w:ind w:left="0" w:firstLine="72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4">
    <w:abstractNumId w:val="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hyphenationZone w:val="425"/>
  <w:characterSpacingControl w:val="doNotCompress"/>
  <w:hdrShapeDefaults>
    <o:shapedefaults v:ext="edit" spidmax="3277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EA9"/>
    <w:rsid w:val="0000384E"/>
    <w:rsid w:val="0002212E"/>
    <w:rsid w:val="00027554"/>
    <w:rsid w:val="00031C03"/>
    <w:rsid w:val="00034E03"/>
    <w:rsid w:val="00050E02"/>
    <w:rsid w:val="00067E71"/>
    <w:rsid w:val="00067F70"/>
    <w:rsid w:val="00071128"/>
    <w:rsid w:val="00090042"/>
    <w:rsid w:val="000960E0"/>
    <w:rsid w:val="000A30C8"/>
    <w:rsid w:val="000A3965"/>
    <w:rsid w:val="000C1B1C"/>
    <w:rsid w:val="000C7237"/>
    <w:rsid w:val="000D23FC"/>
    <w:rsid w:val="000D2C99"/>
    <w:rsid w:val="000D6A4D"/>
    <w:rsid w:val="000E1520"/>
    <w:rsid w:val="000E24C6"/>
    <w:rsid w:val="000F05D9"/>
    <w:rsid w:val="001136FD"/>
    <w:rsid w:val="00136A42"/>
    <w:rsid w:val="00137AA9"/>
    <w:rsid w:val="001523D5"/>
    <w:rsid w:val="001551A8"/>
    <w:rsid w:val="00166A0F"/>
    <w:rsid w:val="00174675"/>
    <w:rsid w:val="001850CD"/>
    <w:rsid w:val="001924E0"/>
    <w:rsid w:val="001A058A"/>
    <w:rsid w:val="001A4D35"/>
    <w:rsid w:val="001B07C1"/>
    <w:rsid w:val="001B3D97"/>
    <w:rsid w:val="001F1702"/>
    <w:rsid w:val="00200CF2"/>
    <w:rsid w:val="00211EAA"/>
    <w:rsid w:val="0022044A"/>
    <w:rsid w:val="0023045A"/>
    <w:rsid w:val="002377B1"/>
    <w:rsid w:val="002922DE"/>
    <w:rsid w:val="0029500C"/>
    <w:rsid w:val="0029757C"/>
    <w:rsid w:val="002A711F"/>
    <w:rsid w:val="002B2581"/>
    <w:rsid w:val="002B598F"/>
    <w:rsid w:val="002C4198"/>
    <w:rsid w:val="002D5153"/>
    <w:rsid w:val="002E54C6"/>
    <w:rsid w:val="00312E9E"/>
    <w:rsid w:val="00334907"/>
    <w:rsid w:val="00336CDA"/>
    <w:rsid w:val="00340A25"/>
    <w:rsid w:val="003826C3"/>
    <w:rsid w:val="003A06A3"/>
    <w:rsid w:val="003B2F71"/>
    <w:rsid w:val="003C1140"/>
    <w:rsid w:val="00411A34"/>
    <w:rsid w:val="00421F0D"/>
    <w:rsid w:val="00423BAA"/>
    <w:rsid w:val="00435ABF"/>
    <w:rsid w:val="00447159"/>
    <w:rsid w:val="00475F1E"/>
    <w:rsid w:val="00482A2C"/>
    <w:rsid w:val="00486EDF"/>
    <w:rsid w:val="004A352F"/>
    <w:rsid w:val="004C377A"/>
    <w:rsid w:val="004D3F10"/>
    <w:rsid w:val="004F125E"/>
    <w:rsid w:val="004F17DD"/>
    <w:rsid w:val="004F2906"/>
    <w:rsid w:val="00503E93"/>
    <w:rsid w:val="00536593"/>
    <w:rsid w:val="00550841"/>
    <w:rsid w:val="005572BA"/>
    <w:rsid w:val="00557618"/>
    <w:rsid w:val="0056224B"/>
    <w:rsid w:val="005B78B7"/>
    <w:rsid w:val="005C2923"/>
    <w:rsid w:val="005C3941"/>
    <w:rsid w:val="005D4047"/>
    <w:rsid w:val="005D4DDD"/>
    <w:rsid w:val="005D5BCD"/>
    <w:rsid w:val="005D75F9"/>
    <w:rsid w:val="005E04D6"/>
    <w:rsid w:val="00611ECD"/>
    <w:rsid w:val="00642976"/>
    <w:rsid w:val="006A20A9"/>
    <w:rsid w:val="006C657F"/>
    <w:rsid w:val="006D65C1"/>
    <w:rsid w:val="00710151"/>
    <w:rsid w:val="007A6375"/>
    <w:rsid w:val="007D7976"/>
    <w:rsid w:val="00804A63"/>
    <w:rsid w:val="00814838"/>
    <w:rsid w:val="008324B2"/>
    <w:rsid w:val="00853221"/>
    <w:rsid w:val="00854B2F"/>
    <w:rsid w:val="00874FC2"/>
    <w:rsid w:val="00897D0E"/>
    <w:rsid w:val="008A0CD6"/>
    <w:rsid w:val="008A63E0"/>
    <w:rsid w:val="008A7495"/>
    <w:rsid w:val="008B5880"/>
    <w:rsid w:val="008B5BD7"/>
    <w:rsid w:val="008D5638"/>
    <w:rsid w:val="008E6D09"/>
    <w:rsid w:val="008F4BDE"/>
    <w:rsid w:val="009127E6"/>
    <w:rsid w:val="0091365A"/>
    <w:rsid w:val="0092660C"/>
    <w:rsid w:val="00934680"/>
    <w:rsid w:val="009438B7"/>
    <w:rsid w:val="009640FC"/>
    <w:rsid w:val="00976053"/>
    <w:rsid w:val="009831DA"/>
    <w:rsid w:val="009A6722"/>
    <w:rsid w:val="009C6AF2"/>
    <w:rsid w:val="009C74EE"/>
    <w:rsid w:val="009E7502"/>
    <w:rsid w:val="00A10285"/>
    <w:rsid w:val="00A11849"/>
    <w:rsid w:val="00A1347B"/>
    <w:rsid w:val="00A36C10"/>
    <w:rsid w:val="00A56B44"/>
    <w:rsid w:val="00A5757C"/>
    <w:rsid w:val="00A728E1"/>
    <w:rsid w:val="00AA681F"/>
    <w:rsid w:val="00AC126A"/>
    <w:rsid w:val="00AC73A7"/>
    <w:rsid w:val="00AE515A"/>
    <w:rsid w:val="00AE68AF"/>
    <w:rsid w:val="00AF08C7"/>
    <w:rsid w:val="00B4099F"/>
    <w:rsid w:val="00B871EA"/>
    <w:rsid w:val="00B91FBB"/>
    <w:rsid w:val="00BA17EC"/>
    <w:rsid w:val="00BC49FD"/>
    <w:rsid w:val="00BD232D"/>
    <w:rsid w:val="00BD2642"/>
    <w:rsid w:val="00BD3BD3"/>
    <w:rsid w:val="00BE01C5"/>
    <w:rsid w:val="00BE4EFC"/>
    <w:rsid w:val="00BF36E8"/>
    <w:rsid w:val="00BF62B4"/>
    <w:rsid w:val="00C16D39"/>
    <w:rsid w:val="00C27CCC"/>
    <w:rsid w:val="00C9355B"/>
    <w:rsid w:val="00C93CB2"/>
    <w:rsid w:val="00CA486F"/>
    <w:rsid w:val="00CC0BD8"/>
    <w:rsid w:val="00D15A49"/>
    <w:rsid w:val="00D42153"/>
    <w:rsid w:val="00D47B39"/>
    <w:rsid w:val="00D51F18"/>
    <w:rsid w:val="00D64F50"/>
    <w:rsid w:val="00D70EA9"/>
    <w:rsid w:val="00D8442E"/>
    <w:rsid w:val="00D92F83"/>
    <w:rsid w:val="00D92FFD"/>
    <w:rsid w:val="00D94D23"/>
    <w:rsid w:val="00DA04BC"/>
    <w:rsid w:val="00DA4FAE"/>
    <w:rsid w:val="00DA6C4A"/>
    <w:rsid w:val="00DE0BDE"/>
    <w:rsid w:val="00E41D90"/>
    <w:rsid w:val="00E4419F"/>
    <w:rsid w:val="00E57E52"/>
    <w:rsid w:val="00EB2FBA"/>
    <w:rsid w:val="00EB70CE"/>
    <w:rsid w:val="00ED2B02"/>
    <w:rsid w:val="00EF14E5"/>
    <w:rsid w:val="00F10F51"/>
    <w:rsid w:val="00F33AB6"/>
    <w:rsid w:val="00F37252"/>
    <w:rsid w:val="00F44BBC"/>
    <w:rsid w:val="00F5288E"/>
    <w:rsid w:val="00F5584F"/>
    <w:rsid w:val="00F733F6"/>
    <w:rsid w:val="00F85BE5"/>
    <w:rsid w:val="00F97A4E"/>
    <w:rsid w:val="00F97F45"/>
    <w:rsid w:val="00FA510A"/>
    <w:rsid w:val="00FA51BD"/>
    <w:rsid w:val="00FD29A3"/>
    <w:rsid w:val="00FE1C87"/>
    <w:rsid w:val="00FE3C5F"/>
    <w:rsid w:val="00FF04EF"/>
    <w:rsid w:val="00FF20C4"/>
    <w:rsid w:val="00FF4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1"/>
    <o:shapelayout v:ext="edit">
      <o:idmap v:ext="edit" data="1"/>
    </o:shapelayout>
  </w:shapeDefaults>
  <w:decimalSymbol w:val="."/>
  <w:listSeparator w:val=","/>
  <w14:docId w14:val="4BC9409E"/>
  <w15:docId w15:val="{C4B5BB0B-D23A-4890-A9F8-5CE7A30F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EA9"/>
    <w:pPr>
      <w:spacing w:after="200" w:line="276" w:lineRule="auto"/>
    </w:pPr>
    <w:rPr>
      <w:rFonts w:ascii="Calibri" w:eastAsia="Calibri" w:hAnsi="Calibri" w:cs="Times New Roman"/>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D70EA9"/>
    <w:pPr>
      <w:spacing w:after="0" w:line="240" w:lineRule="auto"/>
    </w:pPr>
    <w:rPr>
      <w:rFonts w:ascii="Times New Roman" w:hAnsi="Times New Roman"/>
      <w:sz w:val="20"/>
      <w:szCs w:val="20"/>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D70EA9"/>
    <w:rPr>
      <w:rFonts w:ascii="Times New Roman" w:eastAsia="Calibri" w:hAnsi="Times New Roman" w:cs="Times New Roman"/>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D70EA9"/>
    <w:rPr>
      <w:vertAlign w:val="superscript"/>
    </w:rPr>
  </w:style>
  <w:style w:type="paragraph" w:customStyle="1" w:styleId="Appelnotedebasde">
    <w:name w:val="Appel note de bas de..."/>
    <w:basedOn w:val="Normal"/>
    <w:link w:val="FootnoteReference"/>
    <w:uiPriority w:val="99"/>
    <w:rsid w:val="00D70EA9"/>
    <w:pPr>
      <w:spacing w:after="160" w:line="240" w:lineRule="exact"/>
    </w:pPr>
    <w:rPr>
      <w:rFonts w:asciiTheme="minorHAnsi" w:eastAsiaTheme="minorHAnsi" w:hAnsiTheme="minorHAnsi" w:cstheme="minorBidi"/>
      <w:vertAlign w:val="superscript"/>
      <w:lang w:val="en-US"/>
    </w:rPr>
  </w:style>
  <w:style w:type="character" w:styleId="Hyperlink">
    <w:name w:val="Hyperlink"/>
    <w:uiPriority w:val="99"/>
    <w:unhideWhenUsed/>
    <w:rsid w:val="00D70EA9"/>
    <w:rPr>
      <w:color w:val="0000FF"/>
      <w:u w:val="single"/>
    </w:rPr>
  </w:style>
  <w:style w:type="paragraph" w:styleId="Header">
    <w:name w:val="header"/>
    <w:basedOn w:val="Normal"/>
    <w:link w:val="HeaderChar"/>
    <w:uiPriority w:val="99"/>
    <w:unhideWhenUsed/>
    <w:rsid w:val="00D70EA9"/>
    <w:pPr>
      <w:tabs>
        <w:tab w:val="center" w:pos="4513"/>
        <w:tab w:val="right" w:pos="9026"/>
      </w:tabs>
    </w:pPr>
  </w:style>
  <w:style w:type="character" w:customStyle="1" w:styleId="HeaderChar">
    <w:name w:val="Header Char"/>
    <w:basedOn w:val="DefaultParagraphFont"/>
    <w:link w:val="Header"/>
    <w:uiPriority w:val="99"/>
    <w:rsid w:val="00D70EA9"/>
    <w:rPr>
      <w:rFonts w:ascii="Calibri" w:eastAsia="Calibri" w:hAnsi="Calibri" w:cs="Times New Roman"/>
      <w:lang w:val="pt-BR"/>
    </w:rPr>
  </w:style>
  <w:style w:type="paragraph" w:styleId="Footer">
    <w:name w:val="footer"/>
    <w:basedOn w:val="Normal"/>
    <w:link w:val="FooterChar"/>
    <w:uiPriority w:val="99"/>
    <w:unhideWhenUsed/>
    <w:rsid w:val="00D70EA9"/>
    <w:pPr>
      <w:tabs>
        <w:tab w:val="center" w:pos="4513"/>
        <w:tab w:val="right" w:pos="9026"/>
      </w:tabs>
    </w:pPr>
  </w:style>
  <w:style w:type="character" w:customStyle="1" w:styleId="FooterChar">
    <w:name w:val="Footer Char"/>
    <w:basedOn w:val="DefaultParagraphFont"/>
    <w:link w:val="Footer"/>
    <w:uiPriority w:val="99"/>
    <w:rsid w:val="00D70EA9"/>
    <w:rPr>
      <w:rFonts w:ascii="Calibri" w:eastAsia="Calibri" w:hAnsi="Calibri" w:cs="Times New Roman"/>
      <w:lang w:val="pt-BR"/>
    </w:rPr>
  </w:style>
  <w:style w:type="character" w:styleId="FollowedHyperlink">
    <w:name w:val="FollowedHyperlink"/>
    <w:basedOn w:val="DefaultParagraphFont"/>
    <w:uiPriority w:val="99"/>
    <w:semiHidden/>
    <w:unhideWhenUsed/>
    <w:rsid w:val="00C16D39"/>
    <w:rPr>
      <w:color w:val="954F72" w:themeColor="followedHyperlink"/>
      <w:u w:val="single"/>
    </w:rPr>
  </w:style>
  <w:style w:type="paragraph" w:styleId="ListParagraph">
    <w:name w:val="List Paragraph"/>
    <w:aliases w:val="Párrafo de lista1,List Paragraph1,Colorful List - Accent 11,List Paragraph11"/>
    <w:basedOn w:val="Normal"/>
    <w:link w:val="ListParagraphChar"/>
    <w:uiPriority w:val="34"/>
    <w:qFormat/>
    <w:rsid w:val="00C16D39"/>
    <w:pPr>
      <w:spacing w:after="160" w:line="259" w:lineRule="auto"/>
      <w:ind w:left="720"/>
      <w:contextualSpacing/>
    </w:pPr>
    <w:rPr>
      <w:rFonts w:asciiTheme="minorHAnsi" w:eastAsiaTheme="minorHAnsi" w:hAnsiTheme="minorHAnsi" w:cstheme="minorBidi"/>
      <w:lang w:val="en-US"/>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336CDA"/>
  </w:style>
  <w:style w:type="character" w:styleId="CommentReference">
    <w:name w:val="annotation reference"/>
    <w:basedOn w:val="DefaultParagraphFont"/>
    <w:uiPriority w:val="99"/>
    <w:semiHidden/>
    <w:unhideWhenUsed/>
    <w:rsid w:val="005C2923"/>
    <w:rPr>
      <w:sz w:val="16"/>
      <w:szCs w:val="16"/>
    </w:rPr>
  </w:style>
  <w:style w:type="paragraph" w:styleId="CommentText">
    <w:name w:val="annotation text"/>
    <w:basedOn w:val="Normal"/>
    <w:link w:val="CommentTextChar"/>
    <w:uiPriority w:val="99"/>
    <w:semiHidden/>
    <w:unhideWhenUsed/>
    <w:rsid w:val="005C2923"/>
    <w:pPr>
      <w:spacing w:line="240" w:lineRule="auto"/>
    </w:pPr>
    <w:rPr>
      <w:sz w:val="20"/>
      <w:szCs w:val="20"/>
    </w:rPr>
  </w:style>
  <w:style w:type="character" w:customStyle="1" w:styleId="CommentTextChar">
    <w:name w:val="Comment Text Char"/>
    <w:basedOn w:val="DefaultParagraphFont"/>
    <w:link w:val="CommentText"/>
    <w:uiPriority w:val="99"/>
    <w:semiHidden/>
    <w:rsid w:val="005C2923"/>
    <w:rPr>
      <w:rFonts w:ascii="Calibri" w:eastAsia="Calibri" w:hAnsi="Calibri" w:cs="Times New Roman"/>
      <w:sz w:val="20"/>
      <w:szCs w:val="20"/>
      <w:lang w:val="pt-BR"/>
    </w:rPr>
  </w:style>
  <w:style w:type="paragraph" w:styleId="CommentSubject">
    <w:name w:val="annotation subject"/>
    <w:basedOn w:val="CommentText"/>
    <w:next w:val="CommentText"/>
    <w:link w:val="CommentSubjectChar"/>
    <w:uiPriority w:val="99"/>
    <w:semiHidden/>
    <w:unhideWhenUsed/>
    <w:rsid w:val="005C2923"/>
    <w:rPr>
      <w:b/>
      <w:bCs/>
    </w:rPr>
  </w:style>
  <w:style w:type="character" w:customStyle="1" w:styleId="CommentSubjectChar">
    <w:name w:val="Comment Subject Char"/>
    <w:basedOn w:val="CommentTextChar"/>
    <w:link w:val="CommentSubject"/>
    <w:uiPriority w:val="99"/>
    <w:semiHidden/>
    <w:rsid w:val="005C2923"/>
    <w:rPr>
      <w:rFonts w:ascii="Calibri" w:eastAsia="Calibri" w:hAnsi="Calibri" w:cs="Times New Roman"/>
      <w:b/>
      <w:bCs/>
      <w:sz w:val="20"/>
      <w:szCs w:val="20"/>
      <w:lang w:val="pt-BR"/>
    </w:rPr>
  </w:style>
  <w:style w:type="paragraph" w:styleId="BalloonText">
    <w:name w:val="Balloon Text"/>
    <w:basedOn w:val="Normal"/>
    <w:link w:val="BalloonTextChar"/>
    <w:uiPriority w:val="99"/>
    <w:semiHidden/>
    <w:unhideWhenUsed/>
    <w:rsid w:val="005C2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923"/>
    <w:rPr>
      <w:rFonts w:ascii="Tahoma" w:eastAsia="Calibri" w:hAnsi="Tahoma" w:cs="Tahoma"/>
      <w:sz w:val="16"/>
      <w:szCs w:val="16"/>
      <w:lang w:val="pt-BR"/>
    </w:rPr>
  </w:style>
  <w:style w:type="paragraph" w:styleId="NoSpacing">
    <w:name w:val="No Spacing"/>
    <w:uiPriority w:val="1"/>
    <w:qFormat/>
    <w:rsid w:val="00854B2F"/>
    <w:pPr>
      <w:spacing w:after="0" w:line="240" w:lineRule="auto"/>
    </w:pPr>
    <w:rPr>
      <w:rFonts w:ascii="Calibri" w:eastAsia="Calibri" w:hAnsi="Calibri" w:cs="Times New Roman"/>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2387">
      <w:bodyDiv w:val="1"/>
      <w:marLeft w:val="0"/>
      <w:marRight w:val="0"/>
      <w:marTop w:val="0"/>
      <w:marBottom w:val="0"/>
      <w:divBdr>
        <w:top w:val="none" w:sz="0" w:space="0" w:color="auto"/>
        <w:left w:val="none" w:sz="0" w:space="0" w:color="auto"/>
        <w:bottom w:val="none" w:sz="0" w:space="0" w:color="auto"/>
        <w:right w:val="none" w:sz="0" w:space="0" w:color="auto"/>
      </w:divBdr>
    </w:div>
    <w:div w:id="584803665">
      <w:bodyDiv w:val="1"/>
      <w:marLeft w:val="0"/>
      <w:marRight w:val="0"/>
      <w:marTop w:val="0"/>
      <w:marBottom w:val="0"/>
      <w:divBdr>
        <w:top w:val="none" w:sz="0" w:space="0" w:color="auto"/>
        <w:left w:val="none" w:sz="0" w:space="0" w:color="auto"/>
        <w:bottom w:val="none" w:sz="0" w:space="0" w:color="auto"/>
        <w:right w:val="none" w:sz="0" w:space="0" w:color="auto"/>
      </w:divBdr>
    </w:div>
    <w:div w:id="160858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dh.org/annualrep/2005eng/Chile12142eng.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dh.org/annualrep/2008eng/Chap3.h.eng.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idh.org/medidas/1999.eng.htm" TargetMode="External"/><Relationship Id="rId4" Type="http://schemas.openxmlformats.org/officeDocument/2006/relationships/settings" Target="settings.xml"/><Relationship Id="rId9" Type="http://schemas.openxmlformats.org/officeDocument/2006/relationships/hyperlink" Target="http://cidh.org/annualrep/2000eng/ChapterIII/Admissible/Chile12.142.htm"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cidh.org/annualrep/2005eng/Chile12142eng.htm" TargetMode="External"/><Relationship Id="rId2" Type="http://schemas.openxmlformats.org/officeDocument/2006/relationships/hyperlink" Target="http://www.cidh.org/annualrep/2008eng/Chap3.h.eng.htm" TargetMode="External"/><Relationship Id="rId1" Type="http://schemas.openxmlformats.org/officeDocument/2006/relationships/hyperlink" Target="http://www.cidh.org/annualrep/2008eng/Chap3.h.eng.htm" TargetMode="External"/><Relationship Id="rId4" Type="http://schemas.openxmlformats.org/officeDocument/2006/relationships/hyperlink" Target="http://cidh.org/annualrep/2005eng/Chile12142eng.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CB5E7-A7C3-4FD4-BC1B-D0A0A4BFF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2</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 Intern 17 (Gourier, Madeleine)</dc:creator>
  <cp:lastModifiedBy>CIDH Becario 16 (Paez, Catalina)</cp:lastModifiedBy>
  <cp:revision>174</cp:revision>
  <dcterms:created xsi:type="dcterms:W3CDTF">2019-03-20T19:40:00Z</dcterms:created>
  <dcterms:modified xsi:type="dcterms:W3CDTF">2019-07-30T14:50:00Z</dcterms:modified>
</cp:coreProperties>
</file>