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706691" w14:textId="77777777" w:rsidR="00040C3A" w:rsidRPr="00547797" w:rsidRDefault="00D306D1" w:rsidP="00627C9F">
      <w:pPr>
        <w:jc w:val="both"/>
        <w:rPr>
          <w:rFonts w:asciiTheme="majorHAnsi" w:hAnsiTheme="majorHAnsi" w:cs="Univers"/>
          <w:b/>
          <w:bCs/>
          <w:sz w:val="22"/>
          <w:szCs w:val="22"/>
          <w:lang w:val="es-ES_tradnl"/>
        </w:rPr>
      </w:pPr>
      <w:r w:rsidRPr="00547797">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0A6BA128" wp14:editId="5E122E98">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4CF0E7"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" fillcolor="#4a7194" stroked="f" strokeweight="2pt"/>
            </w:pict>
          </mc:Fallback>
        </mc:AlternateContent>
      </w:r>
      <w:r w:rsidR="003E6CA1" w:rsidRPr="00547797">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7A92621B" wp14:editId="5CCAA915">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0DF01B7" w14:textId="1933DF74" w:rsidR="00CB2660" w:rsidRDefault="00AE5488" w:rsidP="00AE5488">
                            <w:r>
                              <w:rPr>
                                <w:noProof/>
                              </w:rPr>
                              <w:drawing>
                                <wp:inline distT="0" distB="0" distL="0" distR="0" wp14:anchorId="3E4ABCF6" wp14:editId="54400441">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92621B"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" filled="f" stroked="f" strokeweight=".5pt">
                <v:textbox>
                  <w:txbxContent>
                    <w:p w14:paraId="00DF01B7" w14:textId="1933DF74" w:rsidR="00CB2660" w:rsidRDefault="00AE5488" w:rsidP="00AE5488">
                      <w:r>
                        <w:rPr>
                          <w:noProof/>
                        </w:rPr>
                        <w:drawing>
                          <wp:inline distT="0" distB="0" distL="0" distR="0" wp14:anchorId="3E4ABCF6" wp14:editId="54400441">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p>
                  </w:txbxContent>
                </v:textbox>
              </v:shape>
            </w:pict>
          </mc:Fallback>
        </mc:AlternateContent>
      </w:r>
      <w:r w:rsidR="00071174" w:rsidRPr="00547797">
        <w:rPr>
          <w:rFonts w:asciiTheme="majorHAnsi" w:hAnsiTheme="majorHAnsi" w:cs="Univers"/>
          <w:b/>
          <w:bCs/>
          <w:sz w:val="22"/>
          <w:szCs w:val="22"/>
          <w:lang w:val="es-ES_tradnl"/>
        </w:rPr>
        <w:t xml:space="preserve"> </w:t>
      </w:r>
    </w:p>
    <w:p w14:paraId="751BC92D" w14:textId="77777777" w:rsidR="00040C3A" w:rsidRPr="00547797" w:rsidRDefault="00040C3A" w:rsidP="00040C3A">
      <w:pPr>
        <w:tabs>
          <w:tab w:val="center" w:pos="5400"/>
        </w:tabs>
        <w:suppressAutoHyphens/>
        <w:jc w:val="both"/>
        <w:rPr>
          <w:rFonts w:asciiTheme="majorHAnsi" w:hAnsiTheme="majorHAnsi"/>
          <w:sz w:val="22"/>
          <w:szCs w:val="22"/>
          <w:lang w:val="es-ES"/>
        </w:rPr>
      </w:pPr>
    </w:p>
    <w:p w14:paraId="4601B0E5" w14:textId="77777777" w:rsidR="00040C3A" w:rsidRPr="00547797" w:rsidRDefault="00040C3A" w:rsidP="00040C3A">
      <w:pPr>
        <w:tabs>
          <w:tab w:val="center" w:pos="5400"/>
        </w:tabs>
        <w:suppressAutoHyphens/>
        <w:jc w:val="both"/>
        <w:rPr>
          <w:rFonts w:asciiTheme="majorHAnsi" w:hAnsiTheme="majorHAnsi"/>
          <w:sz w:val="22"/>
          <w:szCs w:val="22"/>
          <w:lang w:val="es-ES"/>
        </w:rPr>
      </w:pPr>
    </w:p>
    <w:p w14:paraId="49EC0A3F" w14:textId="77777777" w:rsidR="005128E4" w:rsidRPr="00547797" w:rsidRDefault="005128E4" w:rsidP="00040C3A">
      <w:pPr>
        <w:tabs>
          <w:tab w:val="center" w:pos="5400"/>
        </w:tabs>
        <w:suppressAutoHyphens/>
        <w:rPr>
          <w:rFonts w:asciiTheme="majorHAnsi" w:hAnsiTheme="majorHAnsi"/>
          <w:sz w:val="22"/>
          <w:szCs w:val="22"/>
          <w:lang w:val="es-ES_tradnl"/>
        </w:rPr>
      </w:pPr>
    </w:p>
    <w:p w14:paraId="7F51F08B" w14:textId="77777777" w:rsidR="005128E4" w:rsidRPr="00547797" w:rsidRDefault="005128E4" w:rsidP="00040C3A">
      <w:pPr>
        <w:tabs>
          <w:tab w:val="center" w:pos="5400"/>
        </w:tabs>
        <w:suppressAutoHyphens/>
        <w:rPr>
          <w:rFonts w:asciiTheme="majorHAnsi" w:hAnsiTheme="majorHAnsi"/>
          <w:sz w:val="22"/>
          <w:szCs w:val="22"/>
          <w:lang w:val="es-ES_tradnl"/>
        </w:rPr>
      </w:pPr>
    </w:p>
    <w:p w14:paraId="058606A7" w14:textId="77777777" w:rsidR="005128E4" w:rsidRPr="00547797" w:rsidRDefault="005128E4" w:rsidP="00040C3A">
      <w:pPr>
        <w:tabs>
          <w:tab w:val="center" w:pos="5400"/>
        </w:tabs>
        <w:suppressAutoHyphens/>
        <w:rPr>
          <w:rFonts w:asciiTheme="majorHAnsi" w:hAnsiTheme="majorHAnsi"/>
          <w:sz w:val="22"/>
          <w:szCs w:val="22"/>
          <w:lang w:val="es-ES_tradnl"/>
        </w:rPr>
      </w:pPr>
    </w:p>
    <w:p w14:paraId="01B9D56A" w14:textId="77777777" w:rsidR="00040C3A" w:rsidRPr="00547797" w:rsidRDefault="00040C3A" w:rsidP="005128E4">
      <w:pPr>
        <w:tabs>
          <w:tab w:val="center" w:pos="5400"/>
        </w:tabs>
        <w:suppressAutoHyphens/>
        <w:jc w:val="center"/>
        <w:rPr>
          <w:rFonts w:asciiTheme="majorHAnsi" w:hAnsiTheme="majorHAnsi"/>
          <w:sz w:val="22"/>
          <w:szCs w:val="22"/>
          <w:lang w:val="es-ES_tradnl"/>
        </w:rPr>
      </w:pPr>
    </w:p>
    <w:p w14:paraId="513D0572" w14:textId="77777777" w:rsidR="00040C3A" w:rsidRPr="00547797" w:rsidRDefault="00040C3A" w:rsidP="005128E4">
      <w:pPr>
        <w:tabs>
          <w:tab w:val="center" w:pos="5400"/>
        </w:tabs>
        <w:suppressAutoHyphens/>
        <w:jc w:val="center"/>
        <w:rPr>
          <w:rFonts w:asciiTheme="majorHAnsi" w:hAnsiTheme="majorHAnsi"/>
          <w:sz w:val="22"/>
          <w:szCs w:val="22"/>
          <w:lang w:val="es-ES_tradnl"/>
        </w:rPr>
      </w:pPr>
    </w:p>
    <w:p w14:paraId="2D06BA43" w14:textId="77777777" w:rsidR="005B52B0" w:rsidRPr="00547797" w:rsidRDefault="005B52B0" w:rsidP="005128E4">
      <w:pPr>
        <w:tabs>
          <w:tab w:val="center" w:pos="5400"/>
        </w:tabs>
        <w:suppressAutoHyphens/>
        <w:jc w:val="center"/>
        <w:rPr>
          <w:rFonts w:asciiTheme="majorHAnsi" w:hAnsiTheme="majorHAnsi"/>
          <w:sz w:val="22"/>
          <w:szCs w:val="22"/>
          <w:lang w:val="es-ES_tradnl"/>
        </w:rPr>
      </w:pPr>
    </w:p>
    <w:p w14:paraId="762470A2" w14:textId="77777777" w:rsidR="005B52B0" w:rsidRPr="00547797" w:rsidRDefault="005B52B0" w:rsidP="005128E4">
      <w:pPr>
        <w:tabs>
          <w:tab w:val="center" w:pos="5400"/>
        </w:tabs>
        <w:suppressAutoHyphens/>
        <w:jc w:val="center"/>
        <w:rPr>
          <w:rFonts w:asciiTheme="majorHAnsi" w:hAnsiTheme="majorHAnsi"/>
          <w:sz w:val="22"/>
          <w:szCs w:val="22"/>
          <w:lang w:val="es-ES_tradnl"/>
        </w:rPr>
      </w:pPr>
    </w:p>
    <w:p w14:paraId="6F01DDF3" w14:textId="77777777" w:rsidR="005B52B0" w:rsidRPr="00547797" w:rsidRDefault="005B52B0" w:rsidP="005128E4">
      <w:pPr>
        <w:tabs>
          <w:tab w:val="center" w:pos="5400"/>
        </w:tabs>
        <w:suppressAutoHyphens/>
        <w:jc w:val="center"/>
        <w:rPr>
          <w:rFonts w:asciiTheme="majorHAnsi" w:hAnsiTheme="majorHAnsi"/>
          <w:sz w:val="22"/>
          <w:szCs w:val="22"/>
          <w:lang w:val="es-ES_tradnl"/>
        </w:rPr>
      </w:pPr>
    </w:p>
    <w:p w14:paraId="35ACB115" w14:textId="77777777" w:rsidR="00040C3A" w:rsidRPr="00547797" w:rsidRDefault="00040C3A" w:rsidP="00040C3A">
      <w:pPr>
        <w:tabs>
          <w:tab w:val="center" w:pos="5400"/>
        </w:tabs>
        <w:suppressAutoHyphens/>
        <w:jc w:val="center"/>
        <w:rPr>
          <w:rFonts w:asciiTheme="majorHAnsi" w:hAnsiTheme="majorHAnsi"/>
          <w:sz w:val="22"/>
          <w:szCs w:val="22"/>
          <w:lang w:val="es-ES_tradnl"/>
        </w:rPr>
      </w:pPr>
    </w:p>
    <w:p w14:paraId="3D124B92" w14:textId="77777777" w:rsidR="00040C3A" w:rsidRPr="00547797" w:rsidRDefault="00040C3A" w:rsidP="00040C3A">
      <w:pPr>
        <w:tabs>
          <w:tab w:val="center" w:pos="5400"/>
        </w:tabs>
        <w:suppressAutoHyphens/>
        <w:jc w:val="center"/>
        <w:rPr>
          <w:rFonts w:asciiTheme="majorHAnsi" w:hAnsiTheme="majorHAnsi"/>
          <w:sz w:val="22"/>
          <w:szCs w:val="22"/>
          <w:lang w:val="es-ES_tradnl"/>
        </w:rPr>
      </w:pPr>
    </w:p>
    <w:p w14:paraId="01E9EAD2" w14:textId="77777777" w:rsidR="00040C3A" w:rsidRPr="00547797" w:rsidRDefault="003D3BC2" w:rsidP="00040C3A">
      <w:pPr>
        <w:tabs>
          <w:tab w:val="center" w:pos="5400"/>
        </w:tabs>
        <w:suppressAutoHyphens/>
        <w:jc w:val="center"/>
        <w:rPr>
          <w:rFonts w:asciiTheme="majorHAnsi" w:hAnsiTheme="majorHAnsi"/>
          <w:sz w:val="22"/>
          <w:szCs w:val="22"/>
          <w:lang w:val="es-ES_tradnl"/>
        </w:rPr>
      </w:pPr>
      <w:r w:rsidRPr="00547797">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65C56D75" wp14:editId="620511BF">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D7328D9" w14:textId="60119782"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FF6C05">
                              <w:rPr>
                                <w:rFonts w:asciiTheme="majorHAnsi" w:hAnsiTheme="majorHAnsi" w:cs="Arial"/>
                                <w:b/>
                                <w:bCs/>
                                <w:color w:val="0D0D0D" w:themeColor="text1" w:themeTint="F2"/>
                                <w:sz w:val="36"/>
                                <w:szCs w:val="22"/>
                                <w:lang w:val="es-ES_tradnl"/>
                              </w:rPr>
                              <w:t>99</w:t>
                            </w:r>
                            <w:r w:rsidR="007B05C4">
                              <w:rPr>
                                <w:rFonts w:asciiTheme="majorHAnsi" w:hAnsiTheme="majorHAnsi" w:cs="Arial"/>
                                <w:b/>
                                <w:bCs/>
                                <w:color w:val="0D0D0D" w:themeColor="text1" w:themeTint="F2"/>
                                <w:sz w:val="36"/>
                                <w:szCs w:val="22"/>
                                <w:lang w:val="es-ES_tradnl"/>
                              </w:rPr>
                              <w:t>/</w:t>
                            </w:r>
                            <w:r w:rsidR="00890EF3">
                              <w:rPr>
                                <w:rFonts w:asciiTheme="majorHAnsi" w:hAnsiTheme="majorHAnsi" w:cs="Arial"/>
                                <w:b/>
                                <w:bCs/>
                                <w:color w:val="0D0D0D" w:themeColor="text1" w:themeTint="F2"/>
                                <w:sz w:val="36"/>
                                <w:szCs w:val="22"/>
                                <w:lang w:val="es-ES_tradnl"/>
                              </w:rPr>
                              <w:t>23</w:t>
                            </w:r>
                          </w:p>
                          <w:p w14:paraId="45F30ECA" w14:textId="0244F0F3"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890EF3">
                              <w:rPr>
                                <w:rFonts w:asciiTheme="majorHAnsi" w:hAnsiTheme="majorHAnsi" w:cs="Arial"/>
                                <w:b/>
                                <w:color w:val="0D0D0D" w:themeColor="text1" w:themeTint="F2"/>
                                <w:sz w:val="36"/>
                                <w:szCs w:val="22"/>
                                <w:lang w:val="es-ES_tradnl"/>
                              </w:rPr>
                              <w:t>1580</w:t>
                            </w:r>
                            <w:r w:rsidR="00246D1F" w:rsidRPr="004E2649">
                              <w:rPr>
                                <w:rFonts w:asciiTheme="majorHAnsi" w:hAnsiTheme="majorHAnsi" w:cs="Arial"/>
                                <w:b/>
                                <w:color w:val="0D0D0D" w:themeColor="text1" w:themeTint="F2"/>
                                <w:sz w:val="36"/>
                                <w:szCs w:val="22"/>
                                <w:lang w:val="es-ES_tradnl"/>
                              </w:rPr>
                              <w:t>-</w:t>
                            </w:r>
                            <w:r w:rsidR="00890EF3">
                              <w:rPr>
                                <w:rFonts w:asciiTheme="majorHAnsi" w:hAnsiTheme="majorHAnsi" w:cs="Arial"/>
                                <w:b/>
                                <w:color w:val="0D0D0D" w:themeColor="text1" w:themeTint="F2"/>
                                <w:sz w:val="36"/>
                                <w:szCs w:val="22"/>
                                <w:lang w:val="es-ES_tradnl"/>
                              </w:rPr>
                              <w:t>12</w:t>
                            </w:r>
                            <w:r w:rsidR="00246D1F" w:rsidRPr="004E2649">
                              <w:rPr>
                                <w:rFonts w:asciiTheme="majorHAnsi" w:hAnsiTheme="majorHAnsi" w:cs="Arial"/>
                                <w:b/>
                                <w:color w:val="0D0D0D" w:themeColor="text1" w:themeTint="F2"/>
                                <w:sz w:val="36"/>
                                <w:szCs w:val="22"/>
                                <w:lang w:val="es-ES_tradnl"/>
                              </w:rPr>
                              <w:t xml:space="preserve"> </w:t>
                            </w:r>
                          </w:p>
                          <w:p w14:paraId="188B4303" w14:textId="5F24507B"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INFORME DE </w:t>
                            </w:r>
                            <w:r w:rsidR="00A540FB">
                              <w:rPr>
                                <w:rFonts w:asciiTheme="majorHAnsi" w:hAnsiTheme="majorHAnsi" w:cs="Arial"/>
                                <w:color w:val="0D0D0D" w:themeColor="text1" w:themeTint="F2"/>
                                <w:szCs w:val="22"/>
                                <w:lang w:val="es-ES_tradnl"/>
                              </w:rPr>
                              <w:t>IN</w:t>
                            </w:r>
                            <w:r w:rsidRPr="0010736F">
                              <w:rPr>
                                <w:rFonts w:asciiTheme="majorHAnsi" w:hAnsiTheme="majorHAnsi" w:cs="Arial"/>
                                <w:color w:val="0D0D0D" w:themeColor="text1" w:themeTint="F2"/>
                                <w:szCs w:val="22"/>
                                <w:lang w:val="es-ES_tradnl"/>
                              </w:rPr>
                              <w:t>ADMISIBILIDAD</w:t>
                            </w:r>
                          </w:p>
                          <w:p w14:paraId="31968596"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0" w:name="_ftnref1"/>
                          </w:p>
                          <w:p w14:paraId="768F8782" w14:textId="4F94A871" w:rsidR="005B52B0" w:rsidRPr="0010736F" w:rsidRDefault="008F40B2"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ARNEDYS JOSÉ PAYARES</w:t>
                            </w:r>
                            <w:r w:rsidR="00665F0A">
                              <w:rPr>
                                <w:rFonts w:asciiTheme="majorHAnsi" w:hAnsiTheme="majorHAnsi" w:cs="Arial"/>
                                <w:color w:val="0D0D0D" w:themeColor="text1" w:themeTint="F2"/>
                                <w:szCs w:val="22"/>
                                <w:lang w:val="es-ES_tradnl"/>
                              </w:rPr>
                              <w:t xml:space="preserve"> PÉREZ</w:t>
                            </w:r>
                          </w:p>
                          <w:bookmarkEnd w:id="0"/>
                          <w:p w14:paraId="0B9F7D22" w14:textId="199D76FE" w:rsidR="005B52B0" w:rsidRPr="00F56ECB" w:rsidRDefault="00665F0A" w:rsidP="00F56ECB">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COLOMBIA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C56D75"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" filled="f" stroked="f" strokeweight=".5pt">
                <v:textbox>
                  <w:txbxContent>
                    <w:p w14:paraId="7D7328D9" w14:textId="60119782"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FF6C05">
                        <w:rPr>
                          <w:rFonts w:asciiTheme="majorHAnsi" w:hAnsiTheme="majorHAnsi" w:cs="Arial"/>
                          <w:b/>
                          <w:bCs/>
                          <w:color w:val="0D0D0D" w:themeColor="text1" w:themeTint="F2"/>
                          <w:sz w:val="36"/>
                          <w:szCs w:val="22"/>
                          <w:lang w:val="es-ES_tradnl"/>
                        </w:rPr>
                        <w:t>99</w:t>
                      </w:r>
                      <w:r w:rsidR="007B05C4">
                        <w:rPr>
                          <w:rFonts w:asciiTheme="majorHAnsi" w:hAnsiTheme="majorHAnsi" w:cs="Arial"/>
                          <w:b/>
                          <w:bCs/>
                          <w:color w:val="0D0D0D" w:themeColor="text1" w:themeTint="F2"/>
                          <w:sz w:val="36"/>
                          <w:szCs w:val="22"/>
                          <w:lang w:val="es-ES_tradnl"/>
                        </w:rPr>
                        <w:t>/</w:t>
                      </w:r>
                      <w:r w:rsidR="00890EF3">
                        <w:rPr>
                          <w:rFonts w:asciiTheme="majorHAnsi" w:hAnsiTheme="majorHAnsi" w:cs="Arial"/>
                          <w:b/>
                          <w:bCs/>
                          <w:color w:val="0D0D0D" w:themeColor="text1" w:themeTint="F2"/>
                          <w:sz w:val="36"/>
                          <w:szCs w:val="22"/>
                          <w:lang w:val="es-ES_tradnl"/>
                        </w:rPr>
                        <w:t>23</w:t>
                      </w:r>
                    </w:p>
                    <w:p w14:paraId="45F30ECA" w14:textId="0244F0F3"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890EF3">
                        <w:rPr>
                          <w:rFonts w:asciiTheme="majorHAnsi" w:hAnsiTheme="majorHAnsi" w:cs="Arial"/>
                          <w:b/>
                          <w:color w:val="0D0D0D" w:themeColor="text1" w:themeTint="F2"/>
                          <w:sz w:val="36"/>
                          <w:szCs w:val="22"/>
                          <w:lang w:val="es-ES_tradnl"/>
                        </w:rPr>
                        <w:t>1580</w:t>
                      </w:r>
                      <w:r w:rsidR="00246D1F" w:rsidRPr="004E2649">
                        <w:rPr>
                          <w:rFonts w:asciiTheme="majorHAnsi" w:hAnsiTheme="majorHAnsi" w:cs="Arial"/>
                          <w:b/>
                          <w:color w:val="0D0D0D" w:themeColor="text1" w:themeTint="F2"/>
                          <w:sz w:val="36"/>
                          <w:szCs w:val="22"/>
                          <w:lang w:val="es-ES_tradnl"/>
                        </w:rPr>
                        <w:t>-</w:t>
                      </w:r>
                      <w:r w:rsidR="00890EF3">
                        <w:rPr>
                          <w:rFonts w:asciiTheme="majorHAnsi" w:hAnsiTheme="majorHAnsi" w:cs="Arial"/>
                          <w:b/>
                          <w:color w:val="0D0D0D" w:themeColor="text1" w:themeTint="F2"/>
                          <w:sz w:val="36"/>
                          <w:szCs w:val="22"/>
                          <w:lang w:val="es-ES_tradnl"/>
                        </w:rPr>
                        <w:t>12</w:t>
                      </w:r>
                      <w:r w:rsidR="00246D1F" w:rsidRPr="004E2649">
                        <w:rPr>
                          <w:rFonts w:asciiTheme="majorHAnsi" w:hAnsiTheme="majorHAnsi" w:cs="Arial"/>
                          <w:b/>
                          <w:color w:val="0D0D0D" w:themeColor="text1" w:themeTint="F2"/>
                          <w:sz w:val="36"/>
                          <w:szCs w:val="22"/>
                          <w:lang w:val="es-ES_tradnl"/>
                        </w:rPr>
                        <w:t xml:space="preserve"> </w:t>
                      </w:r>
                    </w:p>
                    <w:p w14:paraId="188B4303" w14:textId="5F24507B"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INFORME DE </w:t>
                      </w:r>
                      <w:r w:rsidR="00A540FB">
                        <w:rPr>
                          <w:rFonts w:asciiTheme="majorHAnsi" w:hAnsiTheme="majorHAnsi" w:cs="Arial"/>
                          <w:color w:val="0D0D0D" w:themeColor="text1" w:themeTint="F2"/>
                          <w:szCs w:val="22"/>
                          <w:lang w:val="es-ES_tradnl"/>
                        </w:rPr>
                        <w:t>IN</w:t>
                      </w:r>
                      <w:r w:rsidRPr="0010736F">
                        <w:rPr>
                          <w:rFonts w:asciiTheme="majorHAnsi" w:hAnsiTheme="majorHAnsi" w:cs="Arial"/>
                          <w:color w:val="0D0D0D" w:themeColor="text1" w:themeTint="F2"/>
                          <w:szCs w:val="22"/>
                          <w:lang w:val="es-ES_tradnl"/>
                        </w:rPr>
                        <w:t>ADMISIBILIDAD</w:t>
                      </w:r>
                    </w:p>
                    <w:p w14:paraId="31968596"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p w14:paraId="768F8782" w14:textId="4F94A871" w:rsidR="005B52B0" w:rsidRPr="0010736F" w:rsidRDefault="008F40B2"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ARNEDYS JOSÉ PAYARES</w:t>
                      </w:r>
                      <w:r w:rsidR="00665F0A">
                        <w:rPr>
                          <w:rFonts w:asciiTheme="majorHAnsi" w:hAnsiTheme="majorHAnsi" w:cs="Arial"/>
                          <w:color w:val="0D0D0D" w:themeColor="text1" w:themeTint="F2"/>
                          <w:szCs w:val="22"/>
                          <w:lang w:val="es-ES_tradnl"/>
                        </w:rPr>
                        <w:t xml:space="preserve"> PÉREZ</w:t>
                      </w:r>
                    </w:p>
                    <w:bookmarkEnd w:id="1"/>
                    <w:p w14:paraId="0B9F7D22" w14:textId="199D76FE" w:rsidR="005B52B0" w:rsidRPr="00F56ECB" w:rsidRDefault="00665F0A" w:rsidP="00F56ECB">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COLOMBIA</w:t>
                      </w:r>
                    </w:p>
                  </w:txbxContent>
                </v:textbox>
              </v:shape>
            </w:pict>
          </mc:Fallback>
        </mc:AlternateContent>
      </w:r>
      <w:r w:rsidR="004E2649" w:rsidRPr="00547797">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7786A9F8" wp14:editId="48050047">
                <wp:simplePos x="0" y="0"/>
                <wp:positionH relativeFrom="column">
                  <wp:posOffset>-345440</wp:posOffset>
                </wp:positionH>
                <wp:positionV relativeFrom="paragraph">
                  <wp:posOffset>165100</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633871B" w14:textId="1DEE3829" w:rsidR="00627C9F" w:rsidRPr="00300FCF" w:rsidRDefault="00834D49" w:rsidP="007A5817">
                            <w:pPr>
                              <w:spacing w:line="276" w:lineRule="auto"/>
                              <w:jc w:val="right"/>
                              <w:rPr>
                                <w:rFonts w:asciiTheme="minorHAnsi" w:hAnsiTheme="minorHAnsi"/>
                                <w:color w:val="FFFFFF" w:themeColor="background1"/>
                                <w:sz w:val="22"/>
                                <w:lang w:val="es-AR"/>
                              </w:rPr>
                            </w:pPr>
                            <w:r w:rsidRPr="00300FCF">
                              <w:rPr>
                                <w:rFonts w:asciiTheme="minorHAnsi" w:hAnsiTheme="minorHAnsi"/>
                                <w:color w:val="FFFFFF" w:themeColor="background1"/>
                                <w:sz w:val="22"/>
                                <w:lang w:val="es-AR"/>
                              </w:rPr>
                              <w:t>OEA/Ser.L/V/II</w:t>
                            </w:r>
                          </w:p>
                          <w:p w14:paraId="71D2D5D2" w14:textId="05DD2AA4" w:rsidR="00627C9F" w:rsidRPr="00300FCF" w:rsidRDefault="00627C9F" w:rsidP="007A5817">
                            <w:pPr>
                              <w:spacing w:line="276" w:lineRule="auto"/>
                              <w:jc w:val="right"/>
                              <w:rPr>
                                <w:rFonts w:asciiTheme="minorHAnsi" w:hAnsiTheme="minorHAnsi"/>
                                <w:color w:val="FFFFFF" w:themeColor="background1"/>
                                <w:sz w:val="22"/>
                                <w:lang w:val="es-AR"/>
                              </w:rPr>
                            </w:pPr>
                            <w:r w:rsidRPr="00300FCF">
                              <w:rPr>
                                <w:rFonts w:asciiTheme="minorHAnsi" w:hAnsiTheme="minorHAnsi"/>
                                <w:color w:val="FFFFFF" w:themeColor="background1"/>
                                <w:sz w:val="22"/>
                                <w:lang w:val="es-AR"/>
                              </w:rPr>
                              <w:t xml:space="preserve">Doc. </w:t>
                            </w:r>
                            <w:r w:rsidR="00FF6C05" w:rsidRPr="00300FCF">
                              <w:rPr>
                                <w:rFonts w:asciiTheme="minorHAnsi" w:hAnsiTheme="minorHAnsi"/>
                                <w:color w:val="FFFFFF" w:themeColor="background1"/>
                                <w:sz w:val="22"/>
                                <w:lang w:val="es-AR"/>
                              </w:rPr>
                              <w:t>109</w:t>
                            </w:r>
                          </w:p>
                          <w:p w14:paraId="4061DBBD" w14:textId="1B28B2CB" w:rsidR="00627C9F" w:rsidRPr="00C25ADB" w:rsidRDefault="00FF6C05"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26 junio</w:t>
                            </w:r>
                            <w:r w:rsidR="00627C9F" w:rsidRPr="00C25ADB">
                              <w:rPr>
                                <w:rFonts w:asciiTheme="minorHAnsi" w:hAnsiTheme="minorHAnsi"/>
                                <w:color w:val="FFFFFF" w:themeColor="background1"/>
                                <w:sz w:val="22"/>
                                <w:lang w:val="es-PA"/>
                              </w:rPr>
                              <w:t xml:space="preserve"> 20</w:t>
                            </w:r>
                            <w:r w:rsidR="00C23BA4" w:rsidRPr="00C25ADB">
                              <w:rPr>
                                <w:rFonts w:asciiTheme="minorHAnsi" w:hAnsiTheme="minorHAnsi"/>
                                <w:color w:val="FFFFFF" w:themeColor="background1"/>
                                <w:sz w:val="22"/>
                                <w:lang w:val="es-PA"/>
                              </w:rPr>
                              <w:t>2</w:t>
                            </w:r>
                            <w:r w:rsidR="006F106D">
                              <w:rPr>
                                <w:rFonts w:asciiTheme="minorHAnsi" w:hAnsiTheme="minorHAnsi"/>
                                <w:color w:val="FFFFFF" w:themeColor="background1"/>
                                <w:sz w:val="22"/>
                                <w:lang w:val="es-PA"/>
                              </w:rPr>
                              <w:t>3</w:t>
                            </w:r>
                          </w:p>
                          <w:p w14:paraId="0537C4A5"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86A9F8" id="Text Box 8" o:spid="_x0000_s1028" type="#_x0000_t202" style="position:absolute;left:0;text-align:left;margin-left:-27.2pt;margin-top:13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" filled="f" stroked="f" strokeweight=".5pt">
                <v:textbox>
                  <w:txbxContent>
                    <w:p w14:paraId="3633871B" w14:textId="1DEE3829" w:rsidR="00627C9F" w:rsidRPr="00300FCF" w:rsidRDefault="00834D49" w:rsidP="007A5817">
                      <w:pPr>
                        <w:spacing w:line="276" w:lineRule="auto"/>
                        <w:jc w:val="right"/>
                        <w:rPr>
                          <w:rFonts w:asciiTheme="minorHAnsi" w:hAnsiTheme="minorHAnsi"/>
                          <w:color w:val="FFFFFF" w:themeColor="background1"/>
                          <w:sz w:val="22"/>
                          <w:lang w:val="es-AR"/>
                        </w:rPr>
                      </w:pPr>
                      <w:r w:rsidRPr="00300FCF">
                        <w:rPr>
                          <w:rFonts w:asciiTheme="minorHAnsi" w:hAnsiTheme="minorHAnsi"/>
                          <w:color w:val="FFFFFF" w:themeColor="background1"/>
                          <w:sz w:val="22"/>
                          <w:lang w:val="es-AR"/>
                        </w:rPr>
                        <w:t>OEA/Ser.L/V/II</w:t>
                      </w:r>
                    </w:p>
                    <w:p w14:paraId="71D2D5D2" w14:textId="05DD2AA4" w:rsidR="00627C9F" w:rsidRPr="00300FCF" w:rsidRDefault="00627C9F" w:rsidP="007A5817">
                      <w:pPr>
                        <w:spacing w:line="276" w:lineRule="auto"/>
                        <w:jc w:val="right"/>
                        <w:rPr>
                          <w:rFonts w:asciiTheme="minorHAnsi" w:hAnsiTheme="minorHAnsi"/>
                          <w:color w:val="FFFFFF" w:themeColor="background1"/>
                          <w:sz w:val="22"/>
                          <w:lang w:val="es-AR"/>
                        </w:rPr>
                      </w:pPr>
                      <w:r w:rsidRPr="00300FCF">
                        <w:rPr>
                          <w:rFonts w:asciiTheme="minorHAnsi" w:hAnsiTheme="minorHAnsi"/>
                          <w:color w:val="FFFFFF" w:themeColor="background1"/>
                          <w:sz w:val="22"/>
                          <w:lang w:val="es-AR"/>
                        </w:rPr>
                        <w:t xml:space="preserve">Doc. </w:t>
                      </w:r>
                      <w:r w:rsidR="00FF6C05" w:rsidRPr="00300FCF">
                        <w:rPr>
                          <w:rFonts w:asciiTheme="minorHAnsi" w:hAnsiTheme="minorHAnsi"/>
                          <w:color w:val="FFFFFF" w:themeColor="background1"/>
                          <w:sz w:val="22"/>
                          <w:lang w:val="es-AR"/>
                        </w:rPr>
                        <w:t>109</w:t>
                      </w:r>
                    </w:p>
                    <w:p w14:paraId="4061DBBD" w14:textId="1B28B2CB" w:rsidR="00627C9F" w:rsidRPr="00C25ADB" w:rsidRDefault="00FF6C05"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26 junio</w:t>
                      </w:r>
                      <w:r w:rsidR="00627C9F" w:rsidRPr="00C25ADB">
                        <w:rPr>
                          <w:rFonts w:asciiTheme="minorHAnsi" w:hAnsiTheme="minorHAnsi"/>
                          <w:color w:val="FFFFFF" w:themeColor="background1"/>
                          <w:sz w:val="22"/>
                          <w:lang w:val="es-PA"/>
                        </w:rPr>
                        <w:t xml:space="preserve"> 20</w:t>
                      </w:r>
                      <w:r w:rsidR="00C23BA4" w:rsidRPr="00C25ADB">
                        <w:rPr>
                          <w:rFonts w:asciiTheme="minorHAnsi" w:hAnsiTheme="minorHAnsi"/>
                          <w:color w:val="FFFFFF" w:themeColor="background1"/>
                          <w:sz w:val="22"/>
                          <w:lang w:val="es-PA"/>
                        </w:rPr>
                        <w:t>2</w:t>
                      </w:r>
                      <w:r w:rsidR="006F106D">
                        <w:rPr>
                          <w:rFonts w:asciiTheme="minorHAnsi" w:hAnsiTheme="minorHAnsi"/>
                          <w:color w:val="FFFFFF" w:themeColor="background1"/>
                          <w:sz w:val="22"/>
                          <w:lang w:val="es-PA"/>
                        </w:rPr>
                        <w:t>3</w:t>
                      </w:r>
                    </w:p>
                    <w:p w14:paraId="0537C4A5"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v:textbox>
              </v:shape>
            </w:pict>
          </mc:Fallback>
        </mc:AlternateContent>
      </w:r>
    </w:p>
    <w:p w14:paraId="05E23869" w14:textId="77777777" w:rsidR="00040C3A" w:rsidRPr="00547797" w:rsidRDefault="00040C3A" w:rsidP="00040C3A">
      <w:pPr>
        <w:tabs>
          <w:tab w:val="center" w:pos="5400"/>
        </w:tabs>
        <w:suppressAutoHyphens/>
        <w:jc w:val="center"/>
        <w:rPr>
          <w:rFonts w:asciiTheme="majorHAnsi" w:hAnsiTheme="majorHAnsi"/>
          <w:sz w:val="22"/>
          <w:szCs w:val="22"/>
          <w:lang w:val="es-ES_tradnl"/>
        </w:rPr>
      </w:pPr>
    </w:p>
    <w:p w14:paraId="529AB783" w14:textId="77777777" w:rsidR="00040C3A" w:rsidRPr="00547797" w:rsidRDefault="00040C3A" w:rsidP="00040C3A">
      <w:pPr>
        <w:tabs>
          <w:tab w:val="center" w:pos="5400"/>
        </w:tabs>
        <w:suppressAutoHyphens/>
        <w:jc w:val="center"/>
        <w:rPr>
          <w:rFonts w:asciiTheme="majorHAnsi" w:hAnsiTheme="majorHAnsi"/>
          <w:sz w:val="22"/>
          <w:szCs w:val="22"/>
          <w:lang w:val="es-ES_tradnl"/>
        </w:rPr>
      </w:pPr>
    </w:p>
    <w:p w14:paraId="147F033C" w14:textId="77777777" w:rsidR="00040C3A" w:rsidRPr="00547797" w:rsidRDefault="00040C3A" w:rsidP="00040C3A">
      <w:pPr>
        <w:tabs>
          <w:tab w:val="center" w:pos="5400"/>
        </w:tabs>
        <w:suppressAutoHyphens/>
        <w:jc w:val="center"/>
        <w:rPr>
          <w:rFonts w:asciiTheme="majorHAnsi" w:hAnsiTheme="majorHAnsi" w:cs="Arial"/>
          <w:sz w:val="22"/>
          <w:szCs w:val="22"/>
          <w:lang w:val="es-ES_tradnl"/>
        </w:rPr>
      </w:pPr>
    </w:p>
    <w:p w14:paraId="67ABD981" w14:textId="77777777" w:rsidR="00040C3A" w:rsidRPr="00547797" w:rsidRDefault="00040C3A" w:rsidP="00040C3A">
      <w:pPr>
        <w:tabs>
          <w:tab w:val="center" w:pos="5400"/>
        </w:tabs>
        <w:suppressAutoHyphens/>
        <w:jc w:val="center"/>
        <w:rPr>
          <w:rFonts w:asciiTheme="majorHAnsi" w:hAnsiTheme="majorHAnsi"/>
          <w:sz w:val="22"/>
          <w:szCs w:val="22"/>
          <w:lang w:val="es-ES_tradnl"/>
        </w:rPr>
      </w:pPr>
    </w:p>
    <w:p w14:paraId="46C4195B" w14:textId="77777777" w:rsidR="00040C3A" w:rsidRPr="00547797" w:rsidRDefault="00040C3A" w:rsidP="00040C3A">
      <w:pPr>
        <w:tabs>
          <w:tab w:val="center" w:pos="5400"/>
        </w:tabs>
        <w:suppressAutoHyphens/>
        <w:jc w:val="center"/>
        <w:rPr>
          <w:rFonts w:asciiTheme="majorHAnsi" w:hAnsiTheme="majorHAnsi"/>
          <w:sz w:val="22"/>
          <w:szCs w:val="22"/>
          <w:lang w:val="es-ES_tradnl"/>
        </w:rPr>
      </w:pPr>
    </w:p>
    <w:p w14:paraId="6C0D9CAF" w14:textId="77777777" w:rsidR="00040C3A" w:rsidRPr="00547797" w:rsidRDefault="00040C3A" w:rsidP="00040C3A">
      <w:pPr>
        <w:tabs>
          <w:tab w:val="center" w:pos="5400"/>
        </w:tabs>
        <w:suppressAutoHyphens/>
        <w:jc w:val="center"/>
        <w:rPr>
          <w:rFonts w:asciiTheme="majorHAnsi" w:hAnsiTheme="majorHAnsi"/>
          <w:sz w:val="22"/>
          <w:szCs w:val="22"/>
          <w:lang w:val="es-ES_tradnl"/>
        </w:rPr>
      </w:pPr>
    </w:p>
    <w:p w14:paraId="6140E39A" w14:textId="77777777" w:rsidR="00040C3A" w:rsidRPr="00547797" w:rsidRDefault="00040C3A" w:rsidP="00040C3A">
      <w:pPr>
        <w:tabs>
          <w:tab w:val="center" w:pos="5400"/>
        </w:tabs>
        <w:suppressAutoHyphens/>
        <w:jc w:val="center"/>
        <w:rPr>
          <w:rFonts w:asciiTheme="majorHAnsi" w:hAnsiTheme="majorHAnsi"/>
          <w:sz w:val="22"/>
          <w:szCs w:val="22"/>
          <w:lang w:val="es-ES_tradnl"/>
        </w:rPr>
      </w:pPr>
    </w:p>
    <w:p w14:paraId="116878DE" w14:textId="77777777" w:rsidR="005128E4" w:rsidRPr="00547797" w:rsidRDefault="005128E4" w:rsidP="00040C3A">
      <w:pPr>
        <w:tabs>
          <w:tab w:val="center" w:pos="5400"/>
        </w:tabs>
        <w:suppressAutoHyphens/>
        <w:jc w:val="center"/>
        <w:rPr>
          <w:rFonts w:asciiTheme="majorHAnsi" w:hAnsiTheme="majorHAnsi"/>
          <w:sz w:val="22"/>
          <w:szCs w:val="22"/>
          <w:lang w:val="es-ES_tradnl"/>
        </w:rPr>
      </w:pPr>
    </w:p>
    <w:p w14:paraId="6FF1A208" w14:textId="77777777" w:rsidR="00040C3A" w:rsidRPr="00547797" w:rsidRDefault="00040C3A" w:rsidP="00040C3A">
      <w:pPr>
        <w:tabs>
          <w:tab w:val="center" w:pos="5400"/>
        </w:tabs>
        <w:suppressAutoHyphens/>
        <w:jc w:val="center"/>
        <w:rPr>
          <w:rFonts w:asciiTheme="majorHAnsi" w:hAnsiTheme="majorHAnsi"/>
          <w:sz w:val="22"/>
          <w:szCs w:val="22"/>
          <w:lang w:val="es-ES_tradnl"/>
        </w:rPr>
      </w:pPr>
    </w:p>
    <w:p w14:paraId="23E1EE64" w14:textId="77777777" w:rsidR="005128E4" w:rsidRPr="00547797" w:rsidRDefault="005128E4" w:rsidP="00040C3A">
      <w:pPr>
        <w:tabs>
          <w:tab w:val="center" w:pos="5400"/>
        </w:tabs>
        <w:suppressAutoHyphens/>
        <w:jc w:val="center"/>
        <w:rPr>
          <w:rFonts w:asciiTheme="majorHAnsi" w:hAnsiTheme="majorHAnsi"/>
          <w:sz w:val="22"/>
          <w:szCs w:val="22"/>
          <w:lang w:val="es-ES_tradnl"/>
        </w:rPr>
      </w:pPr>
    </w:p>
    <w:p w14:paraId="2D8331F2" w14:textId="77777777" w:rsidR="005128E4" w:rsidRPr="00547797" w:rsidRDefault="005128E4" w:rsidP="00040C3A">
      <w:pPr>
        <w:tabs>
          <w:tab w:val="center" w:pos="5400"/>
        </w:tabs>
        <w:suppressAutoHyphens/>
        <w:jc w:val="center"/>
        <w:rPr>
          <w:rFonts w:asciiTheme="majorHAnsi" w:hAnsiTheme="majorHAnsi"/>
          <w:sz w:val="22"/>
          <w:szCs w:val="22"/>
          <w:lang w:val="es-ES_tradnl"/>
        </w:rPr>
      </w:pPr>
    </w:p>
    <w:p w14:paraId="1D1FCC8F" w14:textId="77777777" w:rsidR="005128E4" w:rsidRPr="00547797" w:rsidRDefault="005128E4" w:rsidP="00040C3A">
      <w:pPr>
        <w:tabs>
          <w:tab w:val="center" w:pos="5400"/>
        </w:tabs>
        <w:suppressAutoHyphens/>
        <w:jc w:val="center"/>
        <w:rPr>
          <w:rFonts w:asciiTheme="majorHAnsi" w:hAnsiTheme="majorHAnsi"/>
          <w:sz w:val="22"/>
          <w:szCs w:val="22"/>
          <w:lang w:val="es-ES_tradnl"/>
        </w:rPr>
      </w:pPr>
    </w:p>
    <w:p w14:paraId="67F753E7" w14:textId="77777777" w:rsidR="00040C3A" w:rsidRPr="00547797" w:rsidRDefault="00040C3A" w:rsidP="00040C3A">
      <w:pPr>
        <w:tabs>
          <w:tab w:val="center" w:pos="5400"/>
        </w:tabs>
        <w:suppressAutoHyphens/>
        <w:jc w:val="center"/>
        <w:rPr>
          <w:rFonts w:asciiTheme="majorHAnsi" w:hAnsiTheme="majorHAnsi"/>
          <w:sz w:val="22"/>
          <w:szCs w:val="22"/>
          <w:lang w:val="es-ES_tradnl"/>
        </w:rPr>
      </w:pPr>
    </w:p>
    <w:p w14:paraId="165AA979" w14:textId="77777777" w:rsidR="00040C3A" w:rsidRPr="00547797" w:rsidRDefault="00040C3A" w:rsidP="00040C3A">
      <w:pPr>
        <w:tabs>
          <w:tab w:val="center" w:pos="5400"/>
        </w:tabs>
        <w:suppressAutoHyphens/>
        <w:jc w:val="center"/>
        <w:rPr>
          <w:rFonts w:asciiTheme="majorHAnsi" w:hAnsiTheme="majorHAnsi"/>
          <w:sz w:val="22"/>
          <w:szCs w:val="22"/>
          <w:lang w:val="es-ES_tradnl"/>
        </w:rPr>
      </w:pPr>
    </w:p>
    <w:p w14:paraId="2F2457A8" w14:textId="77777777" w:rsidR="00A50FCF" w:rsidRPr="00547797" w:rsidRDefault="00A50FCF" w:rsidP="00040C3A">
      <w:pPr>
        <w:tabs>
          <w:tab w:val="center" w:pos="5400"/>
        </w:tabs>
        <w:suppressAutoHyphens/>
        <w:jc w:val="center"/>
        <w:rPr>
          <w:rFonts w:asciiTheme="majorHAnsi" w:hAnsiTheme="majorHAnsi"/>
          <w:sz w:val="18"/>
          <w:szCs w:val="22"/>
          <w:lang w:val="es-ES_tradnl"/>
        </w:rPr>
      </w:pPr>
    </w:p>
    <w:p w14:paraId="20439390" w14:textId="77777777" w:rsidR="00A50FCF" w:rsidRPr="00547797" w:rsidRDefault="00A50FCF" w:rsidP="00040C3A">
      <w:pPr>
        <w:tabs>
          <w:tab w:val="center" w:pos="5400"/>
        </w:tabs>
        <w:suppressAutoHyphens/>
        <w:jc w:val="center"/>
        <w:rPr>
          <w:rFonts w:asciiTheme="majorHAnsi" w:hAnsiTheme="majorHAnsi"/>
          <w:sz w:val="18"/>
          <w:szCs w:val="22"/>
          <w:lang w:val="es-ES_tradnl"/>
        </w:rPr>
      </w:pPr>
    </w:p>
    <w:p w14:paraId="5B80B262" w14:textId="77777777" w:rsidR="00A50FCF" w:rsidRPr="00547797" w:rsidRDefault="00A50FCF" w:rsidP="00040C3A">
      <w:pPr>
        <w:tabs>
          <w:tab w:val="center" w:pos="5400"/>
        </w:tabs>
        <w:suppressAutoHyphens/>
        <w:jc w:val="center"/>
        <w:rPr>
          <w:rFonts w:asciiTheme="majorHAnsi" w:hAnsiTheme="majorHAnsi"/>
          <w:sz w:val="18"/>
          <w:szCs w:val="22"/>
          <w:lang w:val="es-ES_tradnl"/>
        </w:rPr>
      </w:pPr>
    </w:p>
    <w:p w14:paraId="734846D8" w14:textId="77777777" w:rsidR="00A50FCF" w:rsidRPr="00547797" w:rsidRDefault="00A50FCF" w:rsidP="00040C3A">
      <w:pPr>
        <w:tabs>
          <w:tab w:val="center" w:pos="5400"/>
        </w:tabs>
        <w:suppressAutoHyphens/>
        <w:jc w:val="center"/>
        <w:rPr>
          <w:rFonts w:asciiTheme="majorHAnsi" w:hAnsiTheme="majorHAnsi"/>
          <w:sz w:val="18"/>
          <w:szCs w:val="22"/>
          <w:lang w:val="es-ES_tradnl"/>
        </w:rPr>
      </w:pPr>
    </w:p>
    <w:p w14:paraId="36D2C63A" w14:textId="77777777" w:rsidR="00A50FCF" w:rsidRPr="00547797" w:rsidRDefault="00A50FCF" w:rsidP="00040C3A">
      <w:pPr>
        <w:tabs>
          <w:tab w:val="center" w:pos="5400"/>
        </w:tabs>
        <w:suppressAutoHyphens/>
        <w:jc w:val="center"/>
        <w:rPr>
          <w:rFonts w:asciiTheme="majorHAnsi" w:hAnsiTheme="majorHAnsi"/>
          <w:sz w:val="18"/>
          <w:szCs w:val="22"/>
          <w:lang w:val="es-ES_tradnl"/>
        </w:rPr>
      </w:pPr>
    </w:p>
    <w:p w14:paraId="4F0B7F5A" w14:textId="77777777" w:rsidR="00A50FCF" w:rsidRPr="00547797" w:rsidRDefault="00A50FCF" w:rsidP="00040C3A">
      <w:pPr>
        <w:tabs>
          <w:tab w:val="center" w:pos="5400"/>
        </w:tabs>
        <w:suppressAutoHyphens/>
        <w:jc w:val="center"/>
        <w:rPr>
          <w:rFonts w:asciiTheme="majorHAnsi" w:hAnsiTheme="majorHAnsi"/>
          <w:sz w:val="18"/>
          <w:szCs w:val="22"/>
          <w:lang w:val="es-ES_tradnl"/>
        </w:rPr>
      </w:pPr>
    </w:p>
    <w:p w14:paraId="07218933" w14:textId="77777777" w:rsidR="00A50FCF" w:rsidRPr="00547797" w:rsidRDefault="00A50FCF" w:rsidP="00040C3A">
      <w:pPr>
        <w:tabs>
          <w:tab w:val="center" w:pos="5400"/>
        </w:tabs>
        <w:suppressAutoHyphens/>
        <w:jc w:val="center"/>
        <w:rPr>
          <w:rFonts w:asciiTheme="majorHAnsi" w:hAnsiTheme="majorHAnsi"/>
          <w:sz w:val="18"/>
          <w:szCs w:val="22"/>
          <w:lang w:val="es-ES_tradnl"/>
        </w:rPr>
      </w:pPr>
    </w:p>
    <w:p w14:paraId="2C99136A" w14:textId="77777777" w:rsidR="00A50FCF" w:rsidRPr="00547797" w:rsidRDefault="00A50FCF" w:rsidP="00040C3A">
      <w:pPr>
        <w:tabs>
          <w:tab w:val="center" w:pos="5400"/>
        </w:tabs>
        <w:suppressAutoHyphens/>
        <w:jc w:val="center"/>
        <w:rPr>
          <w:rFonts w:asciiTheme="majorHAnsi" w:hAnsiTheme="majorHAnsi"/>
          <w:sz w:val="18"/>
          <w:szCs w:val="22"/>
          <w:lang w:val="es-ES_tradnl"/>
        </w:rPr>
      </w:pPr>
    </w:p>
    <w:p w14:paraId="078A9198" w14:textId="77777777" w:rsidR="00A50FCF" w:rsidRPr="00547797" w:rsidRDefault="00A50FCF" w:rsidP="00040C3A">
      <w:pPr>
        <w:tabs>
          <w:tab w:val="center" w:pos="5400"/>
        </w:tabs>
        <w:suppressAutoHyphens/>
        <w:jc w:val="center"/>
        <w:rPr>
          <w:rFonts w:asciiTheme="majorHAnsi" w:hAnsiTheme="majorHAnsi"/>
          <w:sz w:val="18"/>
          <w:szCs w:val="22"/>
          <w:lang w:val="es-ES_tradnl"/>
        </w:rPr>
      </w:pPr>
    </w:p>
    <w:p w14:paraId="6A001DA7" w14:textId="77777777" w:rsidR="00A50FCF" w:rsidRPr="00547797" w:rsidRDefault="00A50FCF" w:rsidP="00040C3A">
      <w:pPr>
        <w:tabs>
          <w:tab w:val="center" w:pos="5400"/>
        </w:tabs>
        <w:suppressAutoHyphens/>
        <w:jc w:val="center"/>
        <w:rPr>
          <w:rFonts w:asciiTheme="majorHAnsi" w:hAnsiTheme="majorHAnsi"/>
          <w:sz w:val="18"/>
          <w:szCs w:val="22"/>
          <w:lang w:val="es-ES_tradnl"/>
        </w:rPr>
      </w:pPr>
    </w:p>
    <w:p w14:paraId="217E7AAB" w14:textId="77777777" w:rsidR="00A50FCF" w:rsidRPr="00547797" w:rsidRDefault="00A50FCF" w:rsidP="00040C3A">
      <w:pPr>
        <w:tabs>
          <w:tab w:val="center" w:pos="5400"/>
        </w:tabs>
        <w:suppressAutoHyphens/>
        <w:jc w:val="center"/>
        <w:rPr>
          <w:rFonts w:asciiTheme="majorHAnsi" w:hAnsiTheme="majorHAnsi"/>
          <w:sz w:val="18"/>
          <w:szCs w:val="22"/>
          <w:lang w:val="es-ES_tradnl"/>
        </w:rPr>
      </w:pPr>
    </w:p>
    <w:p w14:paraId="0C34B449" w14:textId="77777777" w:rsidR="00A50FCF" w:rsidRPr="00547797" w:rsidRDefault="00A50FCF" w:rsidP="00040C3A">
      <w:pPr>
        <w:tabs>
          <w:tab w:val="center" w:pos="5400"/>
        </w:tabs>
        <w:suppressAutoHyphens/>
        <w:jc w:val="center"/>
        <w:rPr>
          <w:rFonts w:asciiTheme="majorHAnsi" w:hAnsiTheme="majorHAnsi"/>
          <w:sz w:val="18"/>
          <w:szCs w:val="22"/>
          <w:lang w:val="es-ES_tradnl"/>
        </w:rPr>
      </w:pPr>
    </w:p>
    <w:p w14:paraId="5CF516E8" w14:textId="77777777" w:rsidR="00A50FCF" w:rsidRPr="00547797" w:rsidRDefault="00A50FCF" w:rsidP="00040C3A">
      <w:pPr>
        <w:tabs>
          <w:tab w:val="center" w:pos="5400"/>
        </w:tabs>
        <w:suppressAutoHyphens/>
        <w:jc w:val="center"/>
        <w:rPr>
          <w:rFonts w:asciiTheme="majorHAnsi" w:hAnsiTheme="majorHAnsi"/>
          <w:sz w:val="18"/>
          <w:szCs w:val="22"/>
          <w:lang w:val="es-ES_tradnl"/>
        </w:rPr>
      </w:pPr>
    </w:p>
    <w:p w14:paraId="417C9993" w14:textId="77777777" w:rsidR="00A50FCF" w:rsidRPr="00547797" w:rsidRDefault="00A50FCF" w:rsidP="00040C3A">
      <w:pPr>
        <w:tabs>
          <w:tab w:val="center" w:pos="5400"/>
        </w:tabs>
        <w:suppressAutoHyphens/>
        <w:jc w:val="center"/>
        <w:rPr>
          <w:rFonts w:asciiTheme="majorHAnsi" w:hAnsiTheme="majorHAnsi"/>
          <w:sz w:val="18"/>
          <w:szCs w:val="22"/>
          <w:lang w:val="es-ES_tradnl"/>
        </w:rPr>
      </w:pPr>
    </w:p>
    <w:p w14:paraId="641C6754" w14:textId="77777777" w:rsidR="00A50FCF" w:rsidRPr="00547797" w:rsidRDefault="0090270B" w:rsidP="00040C3A">
      <w:pPr>
        <w:tabs>
          <w:tab w:val="center" w:pos="5400"/>
        </w:tabs>
        <w:suppressAutoHyphens/>
        <w:jc w:val="center"/>
        <w:rPr>
          <w:rFonts w:asciiTheme="majorHAnsi" w:hAnsiTheme="majorHAnsi"/>
          <w:sz w:val="18"/>
          <w:szCs w:val="22"/>
          <w:lang w:val="es-ES_tradnl"/>
        </w:rPr>
      </w:pPr>
      <w:r w:rsidRPr="00547797">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484C90F2" wp14:editId="3C6174DF">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79E1DD7" w14:textId="1C88C894"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Aprobado electr</w:t>
                            </w:r>
                            <w:r w:rsidRPr="00890650">
                              <w:rPr>
                                <w:rFonts w:asciiTheme="majorHAnsi" w:hAnsiTheme="majorHAnsi"/>
                                <w:color w:val="0D0D0D" w:themeColor="text1" w:themeTint="F2"/>
                                <w:sz w:val="18"/>
                                <w:szCs w:val="22"/>
                                <w:lang w:val="es-ES_tradnl"/>
                              </w:rPr>
                              <w:t>ónicamente</w:t>
                            </w:r>
                            <w:r w:rsidRPr="00890650">
                              <w:rPr>
                                <w:rFonts w:asciiTheme="majorHAnsi" w:hAnsiTheme="majorHAnsi"/>
                                <w:color w:val="0D0D0D" w:themeColor="text1" w:themeTint="F2"/>
                                <w:sz w:val="18"/>
                                <w:szCs w:val="22"/>
                                <w:lang w:val="es-ES"/>
                              </w:rPr>
                              <w:t xml:space="preserve"> por la Comisión el </w:t>
                            </w:r>
                            <w:r w:rsidR="005976FE">
                              <w:rPr>
                                <w:rFonts w:asciiTheme="majorHAnsi" w:hAnsiTheme="majorHAnsi"/>
                                <w:color w:val="0D0D0D" w:themeColor="text1" w:themeTint="F2"/>
                                <w:sz w:val="18"/>
                                <w:szCs w:val="22"/>
                                <w:lang w:val="es-ES"/>
                              </w:rPr>
                              <w:t>26</w:t>
                            </w:r>
                            <w:r w:rsidRPr="00890650">
                              <w:rPr>
                                <w:rFonts w:asciiTheme="majorHAnsi" w:hAnsiTheme="majorHAnsi"/>
                                <w:color w:val="0D0D0D" w:themeColor="text1" w:themeTint="F2"/>
                                <w:sz w:val="18"/>
                                <w:szCs w:val="22"/>
                                <w:lang w:val="es-ES"/>
                              </w:rPr>
                              <w:t xml:space="preserve"> de </w:t>
                            </w:r>
                            <w:r w:rsidR="005976FE">
                              <w:rPr>
                                <w:rFonts w:asciiTheme="majorHAnsi" w:hAnsiTheme="majorHAnsi"/>
                                <w:color w:val="0D0D0D" w:themeColor="text1" w:themeTint="F2"/>
                                <w:sz w:val="18"/>
                                <w:szCs w:val="22"/>
                                <w:lang w:val="es-ES"/>
                              </w:rPr>
                              <w:t>junio</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C23BA4">
                              <w:rPr>
                                <w:rFonts w:asciiTheme="majorHAnsi" w:hAnsiTheme="majorHAnsi"/>
                                <w:color w:val="0D0D0D" w:themeColor="text1" w:themeTint="F2"/>
                                <w:sz w:val="18"/>
                                <w:szCs w:val="22"/>
                                <w:lang w:val="es-ES"/>
                              </w:rPr>
                              <w:t>2</w:t>
                            </w:r>
                            <w:r w:rsidR="0070526B">
                              <w:rPr>
                                <w:rFonts w:asciiTheme="majorHAnsi" w:hAnsiTheme="majorHAnsi"/>
                                <w:color w:val="0D0D0D" w:themeColor="text1" w:themeTint="F2"/>
                                <w:sz w:val="18"/>
                                <w:szCs w:val="22"/>
                                <w:lang w:val="es-ES"/>
                              </w:rPr>
                              <w:t>3</w:t>
                            </w:r>
                            <w:r w:rsidR="005976FE">
                              <w:rPr>
                                <w:rFonts w:asciiTheme="majorHAnsi" w:hAnsiTheme="majorHAnsi"/>
                                <w:color w:val="0D0D0D" w:themeColor="text1" w:themeTint="F2"/>
                                <w:sz w:val="18"/>
                                <w:szCs w:val="22"/>
                                <w:lang w:val="es-ES"/>
                              </w:rPr>
                              <w:t>.</w:t>
                            </w:r>
                          </w:p>
                          <w:p w14:paraId="27EB8538"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11626D1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4C90F2"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" filled="f" stroked="f" strokeweight=".5pt">
                <v:textbox>
                  <w:txbxContent>
                    <w:p w14:paraId="179E1DD7" w14:textId="1C88C894"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Aprobado electr</w:t>
                      </w:r>
                      <w:r w:rsidRPr="00890650">
                        <w:rPr>
                          <w:rFonts w:asciiTheme="majorHAnsi" w:hAnsiTheme="majorHAnsi"/>
                          <w:color w:val="0D0D0D" w:themeColor="text1" w:themeTint="F2"/>
                          <w:sz w:val="18"/>
                          <w:szCs w:val="22"/>
                          <w:lang w:val="es-ES_tradnl"/>
                        </w:rPr>
                        <w:t>ónicamente</w:t>
                      </w:r>
                      <w:r w:rsidRPr="00890650">
                        <w:rPr>
                          <w:rFonts w:asciiTheme="majorHAnsi" w:hAnsiTheme="majorHAnsi"/>
                          <w:color w:val="0D0D0D" w:themeColor="text1" w:themeTint="F2"/>
                          <w:sz w:val="18"/>
                          <w:szCs w:val="22"/>
                          <w:lang w:val="es-ES"/>
                        </w:rPr>
                        <w:t xml:space="preserve"> por la Comisión el </w:t>
                      </w:r>
                      <w:r w:rsidR="005976FE">
                        <w:rPr>
                          <w:rFonts w:asciiTheme="majorHAnsi" w:hAnsiTheme="majorHAnsi"/>
                          <w:color w:val="0D0D0D" w:themeColor="text1" w:themeTint="F2"/>
                          <w:sz w:val="18"/>
                          <w:szCs w:val="22"/>
                          <w:lang w:val="es-ES"/>
                        </w:rPr>
                        <w:t>26</w:t>
                      </w:r>
                      <w:r w:rsidRPr="00890650">
                        <w:rPr>
                          <w:rFonts w:asciiTheme="majorHAnsi" w:hAnsiTheme="majorHAnsi"/>
                          <w:color w:val="0D0D0D" w:themeColor="text1" w:themeTint="F2"/>
                          <w:sz w:val="18"/>
                          <w:szCs w:val="22"/>
                          <w:lang w:val="es-ES"/>
                        </w:rPr>
                        <w:t xml:space="preserve"> de </w:t>
                      </w:r>
                      <w:r w:rsidR="005976FE">
                        <w:rPr>
                          <w:rFonts w:asciiTheme="majorHAnsi" w:hAnsiTheme="majorHAnsi"/>
                          <w:color w:val="0D0D0D" w:themeColor="text1" w:themeTint="F2"/>
                          <w:sz w:val="18"/>
                          <w:szCs w:val="22"/>
                          <w:lang w:val="es-ES"/>
                        </w:rPr>
                        <w:t>junio</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C23BA4">
                        <w:rPr>
                          <w:rFonts w:asciiTheme="majorHAnsi" w:hAnsiTheme="majorHAnsi"/>
                          <w:color w:val="0D0D0D" w:themeColor="text1" w:themeTint="F2"/>
                          <w:sz w:val="18"/>
                          <w:szCs w:val="22"/>
                          <w:lang w:val="es-ES"/>
                        </w:rPr>
                        <w:t>2</w:t>
                      </w:r>
                      <w:r w:rsidR="0070526B">
                        <w:rPr>
                          <w:rFonts w:asciiTheme="majorHAnsi" w:hAnsiTheme="majorHAnsi"/>
                          <w:color w:val="0D0D0D" w:themeColor="text1" w:themeTint="F2"/>
                          <w:sz w:val="18"/>
                          <w:szCs w:val="22"/>
                          <w:lang w:val="es-ES"/>
                        </w:rPr>
                        <w:t>3</w:t>
                      </w:r>
                      <w:r w:rsidR="005976FE">
                        <w:rPr>
                          <w:rFonts w:asciiTheme="majorHAnsi" w:hAnsiTheme="majorHAnsi"/>
                          <w:color w:val="0D0D0D" w:themeColor="text1" w:themeTint="F2"/>
                          <w:sz w:val="18"/>
                          <w:szCs w:val="22"/>
                          <w:lang w:val="es-ES"/>
                        </w:rPr>
                        <w:t>.</w:t>
                      </w:r>
                    </w:p>
                    <w:p w14:paraId="27EB8538"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11626D1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30B4F3EF" w14:textId="77777777" w:rsidR="00A50FCF" w:rsidRPr="00547797" w:rsidRDefault="00A50FCF" w:rsidP="00040C3A">
      <w:pPr>
        <w:tabs>
          <w:tab w:val="center" w:pos="5400"/>
        </w:tabs>
        <w:suppressAutoHyphens/>
        <w:jc w:val="center"/>
        <w:rPr>
          <w:rFonts w:asciiTheme="majorHAnsi" w:hAnsiTheme="majorHAnsi"/>
          <w:sz w:val="18"/>
          <w:szCs w:val="22"/>
          <w:lang w:val="es-ES_tradnl"/>
        </w:rPr>
      </w:pPr>
    </w:p>
    <w:p w14:paraId="28FED950" w14:textId="77777777" w:rsidR="00A50FCF" w:rsidRPr="00547797" w:rsidRDefault="00A50FCF" w:rsidP="00040C3A">
      <w:pPr>
        <w:tabs>
          <w:tab w:val="center" w:pos="5400"/>
        </w:tabs>
        <w:suppressAutoHyphens/>
        <w:jc w:val="center"/>
        <w:rPr>
          <w:rFonts w:asciiTheme="majorHAnsi" w:hAnsiTheme="majorHAnsi"/>
          <w:sz w:val="18"/>
          <w:szCs w:val="22"/>
          <w:lang w:val="es-ES_tradnl"/>
        </w:rPr>
      </w:pPr>
    </w:p>
    <w:p w14:paraId="53E3A276" w14:textId="77777777" w:rsidR="00A50FCF" w:rsidRPr="00547797" w:rsidRDefault="00A50FCF" w:rsidP="00040C3A">
      <w:pPr>
        <w:tabs>
          <w:tab w:val="center" w:pos="5400"/>
        </w:tabs>
        <w:suppressAutoHyphens/>
        <w:jc w:val="center"/>
        <w:rPr>
          <w:rFonts w:asciiTheme="majorHAnsi" w:hAnsiTheme="majorHAnsi"/>
          <w:sz w:val="18"/>
          <w:szCs w:val="22"/>
          <w:lang w:val="es-ES_tradnl"/>
        </w:rPr>
      </w:pPr>
    </w:p>
    <w:p w14:paraId="5EDC5EE2" w14:textId="77777777" w:rsidR="00A50FCF" w:rsidRPr="00547797" w:rsidRDefault="00A50FCF" w:rsidP="00040C3A">
      <w:pPr>
        <w:tabs>
          <w:tab w:val="center" w:pos="5400"/>
        </w:tabs>
        <w:suppressAutoHyphens/>
        <w:jc w:val="center"/>
        <w:rPr>
          <w:rFonts w:asciiTheme="majorHAnsi" w:hAnsiTheme="majorHAnsi"/>
          <w:sz w:val="18"/>
          <w:szCs w:val="22"/>
          <w:lang w:val="es-ES_tradnl"/>
        </w:rPr>
      </w:pPr>
    </w:p>
    <w:p w14:paraId="4730F205" w14:textId="77777777" w:rsidR="00A50FCF" w:rsidRPr="00547797" w:rsidRDefault="0090270B" w:rsidP="00040C3A">
      <w:pPr>
        <w:tabs>
          <w:tab w:val="center" w:pos="5400"/>
        </w:tabs>
        <w:suppressAutoHyphens/>
        <w:jc w:val="center"/>
        <w:rPr>
          <w:rFonts w:asciiTheme="majorHAnsi" w:hAnsiTheme="majorHAnsi"/>
          <w:sz w:val="18"/>
          <w:szCs w:val="22"/>
          <w:lang w:val="es-ES_tradnl"/>
        </w:rPr>
      </w:pPr>
      <w:r w:rsidRPr="00547797">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01CD6A81" wp14:editId="407B8206">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2C1B046" w14:textId="77777777" w:rsidR="005976FE" w:rsidRDefault="00113F73" w:rsidP="00113F73">
                            <w:pPr>
                              <w:spacing w:line="276" w:lineRule="auto"/>
                              <w:rPr>
                                <w:rFonts w:asciiTheme="majorHAnsi" w:hAnsiTheme="majorHAnsi"/>
                                <w:color w:val="595959" w:themeColor="text1" w:themeTint="A6"/>
                                <w:sz w:val="18"/>
                                <w:szCs w:val="18"/>
                                <w:lang w:val="es-ES_tradnl"/>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5976FE" w:rsidRPr="005976FE">
                              <w:rPr>
                                <w:rFonts w:asciiTheme="majorHAnsi" w:hAnsiTheme="majorHAnsi"/>
                                <w:color w:val="595959" w:themeColor="text1" w:themeTint="A6"/>
                                <w:sz w:val="18"/>
                                <w:szCs w:val="18"/>
                                <w:lang w:val="pt-BR"/>
                              </w:rPr>
                              <w:t>99</w:t>
                            </w:r>
                            <w:r w:rsidR="007B05C4" w:rsidRPr="005976FE">
                              <w:rPr>
                                <w:rFonts w:asciiTheme="majorHAnsi" w:hAnsiTheme="majorHAnsi"/>
                                <w:color w:val="595959" w:themeColor="text1" w:themeTint="A6"/>
                                <w:sz w:val="18"/>
                                <w:szCs w:val="18"/>
                                <w:lang w:val="pt-BR"/>
                              </w:rPr>
                              <w:t>/</w:t>
                            </w:r>
                            <w:r w:rsidR="005976FE" w:rsidRPr="005976FE">
                              <w:rPr>
                                <w:rFonts w:asciiTheme="majorHAnsi" w:hAnsiTheme="majorHAnsi"/>
                                <w:color w:val="595959" w:themeColor="text1" w:themeTint="A6"/>
                                <w:sz w:val="18"/>
                                <w:szCs w:val="18"/>
                                <w:lang w:val="pt-BR"/>
                              </w:rPr>
                              <w:t>23</w:t>
                            </w:r>
                            <w:r w:rsidRPr="005976FE">
                              <w:rPr>
                                <w:rFonts w:asciiTheme="majorHAnsi" w:hAnsiTheme="majorHAnsi"/>
                                <w:color w:val="595959" w:themeColor="text1" w:themeTint="A6"/>
                                <w:sz w:val="18"/>
                                <w:szCs w:val="18"/>
                                <w:lang w:val="pt-BR"/>
                              </w:rPr>
                              <w:t xml:space="preserve">. </w:t>
                            </w:r>
                            <w:r w:rsidR="000433C9">
                              <w:rPr>
                                <w:rFonts w:asciiTheme="majorHAnsi" w:hAnsiTheme="majorHAnsi"/>
                                <w:color w:val="595959" w:themeColor="text1" w:themeTint="A6"/>
                                <w:sz w:val="18"/>
                                <w:szCs w:val="18"/>
                                <w:lang w:val="es-ES_tradnl"/>
                              </w:rPr>
                              <w:t>Petici</w:t>
                            </w:r>
                            <w:r w:rsidR="000433C9">
                              <w:rPr>
                                <w:rFonts w:asciiTheme="majorHAnsi" w:hAnsiTheme="majorHAnsi"/>
                                <w:color w:val="595959" w:themeColor="text1" w:themeTint="A6"/>
                                <w:sz w:val="18"/>
                                <w:szCs w:val="18"/>
                                <w:lang w:val="es-ES"/>
                              </w:rPr>
                              <w:t xml:space="preserve">ón </w:t>
                            </w:r>
                            <w:r w:rsidR="00596DB6">
                              <w:rPr>
                                <w:rFonts w:asciiTheme="majorHAnsi" w:hAnsiTheme="majorHAnsi"/>
                                <w:color w:val="595959" w:themeColor="text1" w:themeTint="A6"/>
                                <w:sz w:val="18"/>
                                <w:szCs w:val="18"/>
                                <w:lang w:val="es-ES"/>
                              </w:rPr>
                              <w:t>1580</w:t>
                            </w:r>
                            <w:r w:rsidR="000433C9">
                              <w:rPr>
                                <w:rFonts w:asciiTheme="majorHAnsi" w:hAnsiTheme="majorHAnsi"/>
                                <w:color w:val="595959" w:themeColor="text1" w:themeTint="A6"/>
                                <w:sz w:val="18"/>
                                <w:szCs w:val="18"/>
                                <w:lang w:val="es-ES"/>
                              </w:rPr>
                              <w:t>-</w:t>
                            </w:r>
                            <w:r w:rsidR="00596DB6">
                              <w:rPr>
                                <w:rFonts w:asciiTheme="majorHAnsi" w:hAnsiTheme="majorHAnsi"/>
                                <w:color w:val="595959" w:themeColor="text1" w:themeTint="A6"/>
                                <w:sz w:val="18"/>
                                <w:szCs w:val="18"/>
                                <w:lang w:val="es-ES"/>
                              </w:rPr>
                              <w:t>12</w:t>
                            </w:r>
                            <w:r w:rsidR="000433C9">
                              <w:rPr>
                                <w:rFonts w:asciiTheme="majorHAnsi" w:hAnsiTheme="majorHAnsi"/>
                                <w:color w:val="595959" w:themeColor="text1" w:themeTint="A6"/>
                                <w:sz w:val="18"/>
                                <w:szCs w:val="18"/>
                                <w:lang w:val="es-ES"/>
                              </w:rPr>
                              <w:t xml:space="preserve">. </w:t>
                            </w:r>
                            <w:r w:rsidR="00A540FB">
                              <w:rPr>
                                <w:rFonts w:asciiTheme="majorHAnsi" w:hAnsiTheme="majorHAnsi"/>
                                <w:color w:val="595959" w:themeColor="text1" w:themeTint="A6"/>
                                <w:sz w:val="18"/>
                                <w:szCs w:val="18"/>
                                <w:lang w:val="es-ES_tradnl"/>
                              </w:rPr>
                              <w:t>Ina</w:t>
                            </w:r>
                            <w:r w:rsidRPr="00890650">
                              <w:rPr>
                                <w:rFonts w:asciiTheme="majorHAnsi" w:hAnsiTheme="majorHAnsi"/>
                                <w:color w:val="595959" w:themeColor="text1" w:themeTint="A6"/>
                                <w:sz w:val="18"/>
                                <w:szCs w:val="18"/>
                                <w:lang w:val="es-ES_tradnl"/>
                              </w:rPr>
                              <w:t xml:space="preserve">dmisibilidad. </w:t>
                            </w:r>
                          </w:p>
                          <w:p w14:paraId="7FD77785" w14:textId="14C5B749" w:rsidR="00113F73" w:rsidRPr="007B05C4" w:rsidRDefault="00596DB6" w:rsidP="00113F73">
                            <w:pPr>
                              <w:spacing w:line="276" w:lineRule="auto"/>
                              <w:rPr>
                                <w:rFonts w:asciiTheme="majorHAnsi" w:hAnsiTheme="majorHAnsi"/>
                                <w:color w:val="595959" w:themeColor="text1" w:themeTint="A6"/>
                                <w:sz w:val="18"/>
                                <w:szCs w:val="18"/>
                                <w:lang w:val="es-ES"/>
                              </w:rPr>
                            </w:pPr>
                            <w:r>
                              <w:rPr>
                                <w:rFonts w:asciiTheme="majorHAnsi" w:hAnsiTheme="majorHAnsi"/>
                                <w:color w:val="595959" w:themeColor="text1" w:themeTint="A6"/>
                                <w:sz w:val="18"/>
                                <w:szCs w:val="18"/>
                                <w:lang w:val="es-ES_tradnl"/>
                              </w:rPr>
                              <w:t>Arnedys José Pa</w:t>
                            </w:r>
                            <w:r w:rsidR="002C31FF">
                              <w:rPr>
                                <w:rFonts w:asciiTheme="majorHAnsi" w:hAnsiTheme="majorHAnsi"/>
                                <w:color w:val="595959" w:themeColor="text1" w:themeTint="A6"/>
                                <w:sz w:val="18"/>
                                <w:szCs w:val="18"/>
                                <w:lang w:val="es-ES_tradnl"/>
                              </w:rPr>
                              <w:t>y</w:t>
                            </w:r>
                            <w:r>
                              <w:rPr>
                                <w:rFonts w:asciiTheme="majorHAnsi" w:hAnsiTheme="majorHAnsi"/>
                                <w:color w:val="595959" w:themeColor="text1" w:themeTint="A6"/>
                                <w:sz w:val="18"/>
                                <w:szCs w:val="18"/>
                                <w:lang w:val="es-ES_tradnl"/>
                              </w:rPr>
                              <w:t>ares Pérez</w:t>
                            </w:r>
                            <w:r w:rsidR="00113F73" w:rsidRPr="00890650">
                              <w:rPr>
                                <w:rFonts w:asciiTheme="majorHAnsi" w:hAnsiTheme="majorHAnsi"/>
                                <w:color w:val="595959" w:themeColor="text1" w:themeTint="A6"/>
                                <w:sz w:val="18"/>
                                <w:szCs w:val="18"/>
                                <w:lang w:val="es-ES_tradnl"/>
                              </w:rPr>
                              <w:t xml:space="preserve">. </w:t>
                            </w:r>
                            <w:r>
                              <w:rPr>
                                <w:rFonts w:asciiTheme="majorHAnsi" w:hAnsiTheme="majorHAnsi"/>
                                <w:color w:val="595959" w:themeColor="text1" w:themeTint="A6"/>
                                <w:sz w:val="18"/>
                                <w:szCs w:val="18"/>
                                <w:lang w:val="es-ES_tradnl"/>
                              </w:rPr>
                              <w:t>Colombia</w:t>
                            </w:r>
                            <w:r w:rsidR="00113F73" w:rsidRPr="00890650">
                              <w:rPr>
                                <w:rFonts w:asciiTheme="majorHAnsi" w:hAnsiTheme="majorHAnsi"/>
                                <w:color w:val="595959" w:themeColor="text1" w:themeTint="A6"/>
                                <w:sz w:val="18"/>
                                <w:szCs w:val="18"/>
                                <w:lang w:val="es-ES_tradnl"/>
                              </w:rPr>
                              <w:t xml:space="preserve">. </w:t>
                            </w:r>
                            <w:r w:rsidR="005976FE">
                              <w:rPr>
                                <w:rFonts w:asciiTheme="majorHAnsi" w:hAnsiTheme="majorHAnsi"/>
                                <w:color w:val="595959" w:themeColor="text1" w:themeTint="A6"/>
                                <w:sz w:val="18"/>
                                <w:szCs w:val="18"/>
                                <w:lang w:val="es-ES"/>
                              </w:rPr>
                              <w:t>26 de junio de 2023</w:t>
                            </w:r>
                            <w:r w:rsidR="00113F73" w:rsidRPr="007B05C4">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CD6A81"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" filled="f" stroked="f" strokeweight=".5pt">
                <v:textbox>
                  <w:txbxContent>
                    <w:p w14:paraId="12C1B046" w14:textId="77777777" w:rsidR="005976FE" w:rsidRDefault="00113F73" w:rsidP="00113F73">
                      <w:pPr>
                        <w:spacing w:line="276" w:lineRule="auto"/>
                        <w:rPr>
                          <w:rFonts w:asciiTheme="majorHAnsi" w:hAnsiTheme="majorHAnsi"/>
                          <w:color w:val="595959" w:themeColor="text1" w:themeTint="A6"/>
                          <w:sz w:val="18"/>
                          <w:szCs w:val="18"/>
                          <w:lang w:val="es-ES_tradnl"/>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5976FE" w:rsidRPr="005976FE">
                        <w:rPr>
                          <w:rFonts w:asciiTheme="majorHAnsi" w:hAnsiTheme="majorHAnsi"/>
                          <w:color w:val="595959" w:themeColor="text1" w:themeTint="A6"/>
                          <w:sz w:val="18"/>
                          <w:szCs w:val="18"/>
                          <w:lang w:val="pt-BR"/>
                        </w:rPr>
                        <w:t>99</w:t>
                      </w:r>
                      <w:r w:rsidR="007B05C4" w:rsidRPr="005976FE">
                        <w:rPr>
                          <w:rFonts w:asciiTheme="majorHAnsi" w:hAnsiTheme="majorHAnsi"/>
                          <w:color w:val="595959" w:themeColor="text1" w:themeTint="A6"/>
                          <w:sz w:val="18"/>
                          <w:szCs w:val="18"/>
                          <w:lang w:val="pt-BR"/>
                        </w:rPr>
                        <w:t>/</w:t>
                      </w:r>
                      <w:r w:rsidR="005976FE" w:rsidRPr="005976FE">
                        <w:rPr>
                          <w:rFonts w:asciiTheme="majorHAnsi" w:hAnsiTheme="majorHAnsi"/>
                          <w:color w:val="595959" w:themeColor="text1" w:themeTint="A6"/>
                          <w:sz w:val="18"/>
                          <w:szCs w:val="18"/>
                          <w:lang w:val="pt-BR"/>
                        </w:rPr>
                        <w:t>23</w:t>
                      </w:r>
                      <w:r w:rsidRPr="005976FE">
                        <w:rPr>
                          <w:rFonts w:asciiTheme="majorHAnsi" w:hAnsiTheme="majorHAnsi"/>
                          <w:color w:val="595959" w:themeColor="text1" w:themeTint="A6"/>
                          <w:sz w:val="18"/>
                          <w:szCs w:val="18"/>
                          <w:lang w:val="pt-BR"/>
                        </w:rPr>
                        <w:t xml:space="preserve">. </w:t>
                      </w:r>
                      <w:r w:rsidR="000433C9">
                        <w:rPr>
                          <w:rFonts w:asciiTheme="majorHAnsi" w:hAnsiTheme="majorHAnsi"/>
                          <w:color w:val="595959" w:themeColor="text1" w:themeTint="A6"/>
                          <w:sz w:val="18"/>
                          <w:szCs w:val="18"/>
                          <w:lang w:val="es-ES_tradnl"/>
                        </w:rPr>
                        <w:t>Petici</w:t>
                      </w:r>
                      <w:r w:rsidR="000433C9">
                        <w:rPr>
                          <w:rFonts w:asciiTheme="majorHAnsi" w:hAnsiTheme="majorHAnsi"/>
                          <w:color w:val="595959" w:themeColor="text1" w:themeTint="A6"/>
                          <w:sz w:val="18"/>
                          <w:szCs w:val="18"/>
                          <w:lang w:val="es-ES"/>
                        </w:rPr>
                        <w:t xml:space="preserve">ón </w:t>
                      </w:r>
                      <w:r w:rsidR="00596DB6">
                        <w:rPr>
                          <w:rFonts w:asciiTheme="majorHAnsi" w:hAnsiTheme="majorHAnsi"/>
                          <w:color w:val="595959" w:themeColor="text1" w:themeTint="A6"/>
                          <w:sz w:val="18"/>
                          <w:szCs w:val="18"/>
                          <w:lang w:val="es-ES"/>
                        </w:rPr>
                        <w:t>1580</w:t>
                      </w:r>
                      <w:r w:rsidR="000433C9">
                        <w:rPr>
                          <w:rFonts w:asciiTheme="majorHAnsi" w:hAnsiTheme="majorHAnsi"/>
                          <w:color w:val="595959" w:themeColor="text1" w:themeTint="A6"/>
                          <w:sz w:val="18"/>
                          <w:szCs w:val="18"/>
                          <w:lang w:val="es-ES"/>
                        </w:rPr>
                        <w:t>-</w:t>
                      </w:r>
                      <w:r w:rsidR="00596DB6">
                        <w:rPr>
                          <w:rFonts w:asciiTheme="majorHAnsi" w:hAnsiTheme="majorHAnsi"/>
                          <w:color w:val="595959" w:themeColor="text1" w:themeTint="A6"/>
                          <w:sz w:val="18"/>
                          <w:szCs w:val="18"/>
                          <w:lang w:val="es-ES"/>
                        </w:rPr>
                        <w:t>12</w:t>
                      </w:r>
                      <w:r w:rsidR="000433C9">
                        <w:rPr>
                          <w:rFonts w:asciiTheme="majorHAnsi" w:hAnsiTheme="majorHAnsi"/>
                          <w:color w:val="595959" w:themeColor="text1" w:themeTint="A6"/>
                          <w:sz w:val="18"/>
                          <w:szCs w:val="18"/>
                          <w:lang w:val="es-ES"/>
                        </w:rPr>
                        <w:t xml:space="preserve">. </w:t>
                      </w:r>
                      <w:r w:rsidR="00A540FB">
                        <w:rPr>
                          <w:rFonts w:asciiTheme="majorHAnsi" w:hAnsiTheme="majorHAnsi"/>
                          <w:color w:val="595959" w:themeColor="text1" w:themeTint="A6"/>
                          <w:sz w:val="18"/>
                          <w:szCs w:val="18"/>
                          <w:lang w:val="es-ES_tradnl"/>
                        </w:rPr>
                        <w:t>Ina</w:t>
                      </w:r>
                      <w:r w:rsidRPr="00890650">
                        <w:rPr>
                          <w:rFonts w:asciiTheme="majorHAnsi" w:hAnsiTheme="majorHAnsi"/>
                          <w:color w:val="595959" w:themeColor="text1" w:themeTint="A6"/>
                          <w:sz w:val="18"/>
                          <w:szCs w:val="18"/>
                          <w:lang w:val="es-ES_tradnl"/>
                        </w:rPr>
                        <w:t xml:space="preserve">dmisibilidad. </w:t>
                      </w:r>
                    </w:p>
                    <w:p w14:paraId="7FD77785" w14:textId="14C5B749" w:rsidR="00113F73" w:rsidRPr="007B05C4" w:rsidRDefault="00596DB6" w:rsidP="00113F73">
                      <w:pPr>
                        <w:spacing w:line="276" w:lineRule="auto"/>
                        <w:rPr>
                          <w:rFonts w:asciiTheme="majorHAnsi" w:hAnsiTheme="majorHAnsi"/>
                          <w:color w:val="595959" w:themeColor="text1" w:themeTint="A6"/>
                          <w:sz w:val="18"/>
                          <w:szCs w:val="18"/>
                          <w:lang w:val="es-ES"/>
                        </w:rPr>
                      </w:pPr>
                      <w:r>
                        <w:rPr>
                          <w:rFonts w:asciiTheme="majorHAnsi" w:hAnsiTheme="majorHAnsi"/>
                          <w:color w:val="595959" w:themeColor="text1" w:themeTint="A6"/>
                          <w:sz w:val="18"/>
                          <w:szCs w:val="18"/>
                          <w:lang w:val="es-ES_tradnl"/>
                        </w:rPr>
                        <w:t>Arnedys José Pa</w:t>
                      </w:r>
                      <w:r w:rsidR="002C31FF">
                        <w:rPr>
                          <w:rFonts w:asciiTheme="majorHAnsi" w:hAnsiTheme="majorHAnsi"/>
                          <w:color w:val="595959" w:themeColor="text1" w:themeTint="A6"/>
                          <w:sz w:val="18"/>
                          <w:szCs w:val="18"/>
                          <w:lang w:val="es-ES_tradnl"/>
                        </w:rPr>
                        <w:t>y</w:t>
                      </w:r>
                      <w:r>
                        <w:rPr>
                          <w:rFonts w:asciiTheme="majorHAnsi" w:hAnsiTheme="majorHAnsi"/>
                          <w:color w:val="595959" w:themeColor="text1" w:themeTint="A6"/>
                          <w:sz w:val="18"/>
                          <w:szCs w:val="18"/>
                          <w:lang w:val="es-ES_tradnl"/>
                        </w:rPr>
                        <w:t>ares Pérez</w:t>
                      </w:r>
                      <w:r w:rsidR="00113F73" w:rsidRPr="00890650">
                        <w:rPr>
                          <w:rFonts w:asciiTheme="majorHAnsi" w:hAnsiTheme="majorHAnsi"/>
                          <w:color w:val="595959" w:themeColor="text1" w:themeTint="A6"/>
                          <w:sz w:val="18"/>
                          <w:szCs w:val="18"/>
                          <w:lang w:val="es-ES_tradnl"/>
                        </w:rPr>
                        <w:t xml:space="preserve">. </w:t>
                      </w:r>
                      <w:r>
                        <w:rPr>
                          <w:rFonts w:asciiTheme="majorHAnsi" w:hAnsiTheme="majorHAnsi"/>
                          <w:color w:val="595959" w:themeColor="text1" w:themeTint="A6"/>
                          <w:sz w:val="18"/>
                          <w:szCs w:val="18"/>
                          <w:lang w:val="es-ES_tradnl"/>
                        </w:rPr>
                        <w:t>Colombia</w:t>
                      </w:r>
                      <w:r w:rsidR="00113F73" w:rsidRPr="00890650">
                        <w:rPr>
                          <w:rFonts w:asciiTheme="majorHAnsi" w:hAnsiTheme="majorHAnsi"/>
                          <w:color w:val="595959" w:themeColor="text1" w:themeTint="A6"/>
                          <w:sz w:val="18"/>
                          <w:szCs w:val="18"/>
                          <w:lang w:val="es-ES_tradnl"/>
                        </w:rPr>
                        <w:t xml:space="preserve">. </w:t>
                      </w:r>
                      <w:r w:rsidR="005976FE">
                        <w:rPr>
                          <w:rFonts w:asciiTheme="majorHAnsi" w:hAnsiTheme="majorHAnsi"/>
                          <w:color w:val="595959" w:themeColor="text1" w:themeTint="A6"/>
                          <w:sz w:val="18"/>
                          <w:szCs w:val="18"/>
                          <w:lang w:val="es-ES"/>
                        </w:rPr>
                        <w:t>26 de junio de 2023</w:t>
                      </w:r>
                      <w:r w:rsidR="00113F73" w:rsidRPr="007B05C4">
                        <w:rPr>
                          <w:rFonts w:asciiTheme="majorHAnsi" w:hAnsiTheme="majorHAnsi"/>
                          <w:color w:val="595959" w:themeColor="text1" w:themeTint="A6"/>
                          <w:sz w:val="18"/>
                          <w:szCs w:val="18"/>
                          <w:lang w:val="es-ES"/>
                        </w:rPr>
                        <w:t>.</w:t>
                      </w:r>
                    </w:p>
                  </w:txbxContent>
                </v:textbox>
              </v:shape>
            </w:pict>
          </mc:Fallback>
        </mc:AlternateContent>
      </w:r>
    </w:p>
    <w:p w14:paraId="3BC19590" w14:textId="77777777" w:rsidR="00A50FCF" w:rsidRPr="00547797" w:rsidRDefault="00A50FCF" w:rsidP="00040C3A">
      <w:pPr>
        <w:tabs>
          <w:tab w:val="center" w:pos="5400"/>
        </w:tabs>
        <w:suppressAutoHyphens/>
        <w:jc w:val="center"/>
        <w:rPr>
          <w:rFonts w:asciiTheme="majorHAnsi" w:hAnsiTheme="majorHAnsi"/>
          <w:sz w:val="18"/>
          <w:szCs w:val="22"/>
          <w:lang w:val="es-ES_tradnl"/>
        </w:rPr>
      </w:pPr>
    </w:p>
    <w:p w14:paraId="0C9396CC" w14:textId="77777777" w:rsidR="0090270B" w:rsidRPr="00547797" w:rsidRDefault="00D306D1" w:rsidP="005516A1">
      <w:pPr>
        <w:tabs>
          <w:tab w:val="center" w:pos="5400"/>
        </w:tabs>
        <w:suppressAutoHyphens/>
        <w:jc w:val="center"/>
        <w:rPr>
          <w:rFonts w:asciiTheme="majorHAnsi" w:hAnsiTheme="majorHAnsi"/>
          <w:b/>
          <w:sz w:val="20"/>
          <w:lang w:val="es-ES_tradnl"/>
        </w:rPr>
      </w:pPr>
      <w:r w:rsidRPr="00547797">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5D37EBA2" wp14:editId="16A8CB0E">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6E85441" w14:textId="36B2F143" w:rsidR="00D72DC6" w:rsidRPr="00D72DC6" w:rsidRDefault="001004FE" w:rsidP="00F02AD1">
                            <w:pPr>
                              <w:rPr>
                                <w:color w:val="FFFFFF" w:themeColor="background1"/>
                                <w14:textFill>
                                  <w14:noFill/>
                                </w14:textFill>
                              </w:rPr>
                            </w:pPr>
                            <w:r>
                              <w:rPr>
                                <w:noProof/>
                                <w:color w:val="FFFFFF" w:themeColor="background1"/>
                              </w:rPr>
                              <w:drawing>
                                <wp:inline distT="0" distB="0" distL="0" distR="0" wp14:anchorId="09DE6F16" wp14:editId="0B7D3337">
                                  <wp:extent cx="1824355" cy="469265"/>
                                  <wp:effectExtent l="0" t="0" r="4445" b="6985"/>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9"/>
                                          <a:stretch>
                                            <a:fillRect/>
                                          </a:stretch>
                                        </pic:blipFill>
                                        <pic:spPr>
                                          <a:xfrm>
                                            <a:off x="0" y="0"/>
                                            <a:ext cx="1824355" cy="4692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37EBA2"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" fillcolor="white [3201]" stroked="f" strokeweight=".5pt">
                <v:textbox>
                  <w:txbxContent>
                    <w:p w14:paraId="16E85441" w14:textId="36B2F143" w:rsidR="00D72DC6" w:rsidRPr="00D72DC6" w:rsidRDefault="001004FE" w:rsidP="00F02AD1">
                      <w:pPr>
                        <w:rPr>
                          <w:color w:val="FFFFFF" w:themeColor="background1"/>
                          <w14:textFill>
                            <w14:noFill/>
                          </w14:textFill>
                        </w:rPr>
                      </w:pPr>
                      <w:r>
                        <w:rPr>
                          <w:noProof/>
                          <w:color w:val="FFFFFF" w:themeColor="background1"/>
                        </w:rPr>
                        <w:drawing>
                          <wp:inline distT="0" distB="0" distL="0" distR="0" wp14:anchorId="09DE6F16" wp14:editId="0B7D3337">
                            <wp:extent cx="1824355" cy="469265"/>
                            <wp:effectExtent l="0" t="0" r="4445" b="6985"/>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9"/>
                                    <a:stretch>
                                      <a:fillRect/>
                                    </a:stretch>
                                  </pic:blipFill>
                                  <pic:spPr>
                                    <a:xfrm>
                                      <a:off x="0" y="0"/>
                                      <a:ext cx="1824355" cy="469265"/>
                                    </a:xfrm>
                                    <a:prstGeom prst="rect">
                                      <a:avLst/>
                                    </a:prstGeom>
                                  </pic:spPr>
                                </pic:pic>
                              </a:graphicData>
                            </a:graphic>
                          </wp:inline>
                        </w:drawing>
                      </w:r>
                    </w:p>
                  </w:txbxContent>
                </v:textbox>
              </v:shape>
            </w:pict>
          </mc:Fallback>
        </mc:AlternateContent>
      </w:r>
      <w:r w:rsidRPr="00547797">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4BBB9917" wp14:editId="76ECDB32">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6991772"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BB9917"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" filled="f" stroked="f" strokeweight=".5pt">
                <v:textbox>
                  <w:txbxContent>
                    <w:p w14:paraId="76991772"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150CCFA7" w14:textId="77777777" w:rsidR="0070697F" w:rsidRPr="00547797" w:rsidRDefault="004A6A54" w:rsidP="005516A1">
      <w:pPr>
        <w:tabs>
          <w:tab w:val="center" w:pos="5400"/>
        </w:tabs>
        <w:suppressAutoHyphens/>
        <w:jc w:val="center"/>
        <w:rPr>
          <w:rFonts w:asciiTheme="majorHAnsi" w:hAnsiTheme="majorHAnsi"/>
          <w:b/>
          <w:sz w:val="20"/>
          <w:lang w:val="es-ES_tradnl"/>
        </w:rPr>
        <w:sectPr w:rsidR="0070697F" w:rsidRPr="00547797" w:rsidSect="00C054DF">
          <w:headerReference w:type="even" r:id="rId10"/>
          <w:headerReference w:type="default" r:id="rId11"/>
          <w:footerReference w:type="default" r:id="rId12"/>
          <w:footerReference w:type="first" r:id="rId13"/>
          <w:type w:val="oddPage"/>
          <w:pgSz w:w="12240" w:h="15840"/>
          <w:pgMar w:top="1440" w:right="1440" w:bottom="1440" w:left="1440" w:header="720" w:footer="720" w:gutter="0"/>
          <w:pgNumType w:start="0"/>
          <w:cols w:space="720"/>
          <w:titlePg/>
          <w:docGrid w:linePitch="326"/>
        </w:sectPr>
      </w:pPr>
      <w:r w:rsidRPr="00547797">
        <w:rPr>
          <w:rFonts w:asciiTheme="majorHAnsi" w:hAnsiTheme="majorHAnsi"/>
          <w:b/>
          <w:sz w:val="20"/>
          <w:lang w:val="es-ES_tradnl"/>
        </w:rPr>
        <w:tab/>
      </w:r>
    </w:p>
    <w:p w14:paraId="2786EE58" w14:textId="77777777" w:rsidR="003239B8" w:rsidRPr="00547797" w:rsidRDefault="003239B8" w:rsidP="004A6A54">
      <w:pPr>
        <w:spacing w:after="240"/>
        <w:ind w:firstLine="720"/>
        <w:jc w:val="both"/>
        <w:rPr>
          <w:rFonts w:asciiTheme="majorHAnsi" w:hAnsiTheme="majorHAnsi"/>
          <w:b/>
          <w:bCs/>
          <w:sz w:val="20"/>
          <w:szCs w:val="20"/>
          <w:lang w:val="es-ES"/>
        </w:rPr>
      </w:pPr>
      <w:r w:rsidRPr="00547797">
        <w:rPr>
          <w:rFonts w:asciiTheme="majorHAnsi" w:hAnsiTheme="majorHAnsi"/>
          <w:b/>
          <w:bCs/>
          <w:sz w:val="20"/>
          <w:szCs w:val="20"/>
          <w:lang w:val="es-ES"/>
        </w:rPr>
        <w:lastRenderedPageBreak/>
        <w:t>I.</w:t>
      </w:r>
      <w:r w:rsidRPr="00547797">
        <w:rPr>
          <w:rFonts w:asciiTheme="majorHAnsi" w:hAnsiTheme="majorHAnsi"/>
          <w:b/>
          <w:bCs/>
          <w:sz w:val="20"/>
          <w:szCs w:val="20"/>
          <w:lang w:val="es-ES"/>
        </w:rPr>
        <w:tab/>
        <w:t xml:space="preserve">DATOS DE LA PETICIÓN </w:t>
      </w:r>
    </w:p>
    <w:tbl>
      <w:tblPr>
        <w:tblStyle w:val="TableGrid"/>
        <w:tblW w:w="9247" w:type="dxa"/>
        <w:tblInd w:w="108" w:type="dxa"/>
        <w:tblBorders>
          <w:insideH w:val="single" w:sz="6" w:space="0" w:color="auto"/>
          <w:insideV w:val="single" w:sz="6" w:space="0" w:color="auto"/>
        </w:tblBorders>
        <w:tblLook w:val="04A0" w:firstRow="1" w:lastRow="0" w:firstColumn="1" w:lastColumn="0" w:noHBand="0" w:noVBand="1"/>
      </w:tblPr>
      <w:tblGrid>
        <w:gridCol w:w="3600"/>
        <w:gridCol w:w="5647"/>
      </w:tblGrid>
      <w:tr w:rsidR="003239B8" w:rsidRPr="00547797" w14:paraId="6B58C8A4" w14:textId="77777777" w:rsidTr="00394073">
        <w:tc>
          <w:tcPr>
            <w:tcW w:w="3600" w:type="dxa"/>
            <w:tcBorders>
              <w:top w:val="single" w:sz="4" w:space="0" w:color="auto"/>
              <w:bottom w:val="single" w:sz="6" w:space="0" w:color="auto"/>
            </w:tcBorders>
            <w:shd w:val="clear" w:color="auto" w:fill="386294"/>
            <w:vAlign w:val="center"/>
          </w:tcPr>
          <w:p w14:paraId="7E72740A" w14:textId="77777777" w:rsidR="003239B8" w:rsidRPr="00547797" w:rsidRDefault="003239B8" w:rsidP="008D2290">
            <w:pPr>
              <w:jc w:val="center"/>
              <w:rPr>
                <w:rFonts w:asciiTheme="majorHAnsi" w:hAnsiTheme="majorHAnsi"/>
                <w:b/>
                <w:bCs/>
                <w:color w:val="FFFFFF" w:themeColor="background1"/>
                <w:sz w:val="20"/>
                <w:szCs w:val="20"/>
              </w:rPr>
            </w:pPr>
            <w:r w:rsidRPr="00547797">
              <w:rPr>
                <w:rFonts w:asciiTheme="majorHAnsi" w:hAnsiTheme="majorHAnsi"/>
                <w:b/>
                <w:bCs/>
                <w:color w:val="FFFFFF" w:themeColor="background1"/>
                <w:sz w:val="20"/>
                <w:szCs w:val="20"/>
              </w:rPr>
              <w:t>Parte peticionaria:</w:t>
            </w:r>
          </w:p>
        </w:tc>
        <w:tc>
          <w:tcPr>
            <w:tcW w:w="5647" w:type="dxa"/>
            <w:vAlign w:val="center"/>
          </w:tcPr>
          <w:p w14:paraId="07DAAE2E" w14:textId="5523CFAF" w:rsidR="003239B8" w:rsidRPr="00547797" w:rsidRDefault="004D4FF1" w:rsidP="008D2290">
            <w:pPr>
              <w:jc w:val="both"/>
              <w:rPr>
                <w:rFonts w:asciiTheme="majorHAnsi" w:hAnsiTheme="majorHAnsi"/>
                <w:bCs/>
                <w:sz w:val="20"/>
                <w:szCs w:val="20"/>
              </w:rPr>
            </w:pPr>
            <w:r>
              <w:rPr>
                <w:rFonts w:asciiTheme="majorHAnsi" w:hAnsiTheme="majorHAnsi"/>
                <w:bCs/>
                <w:sz w:val="20"/>
                <w:szCs w:val="20"/>
              </w:rPr>
              <w:t xml:space="preserve">Arnedys José </w:t>
            </w:r>
            <w:r w:rsidR="00C623E9">
              <w:rPr>
                <w:rFonts w:asciiTheme="majorHAnsi" w:hAnsiTheme="majorHAnsi"/>
                <w:bCs/>
                <w:sz w:val="20"/>
                <w:szCs w:val="20"/>
              </w:rPr>
              <w:t>Pa</w:t>
            </w:r>
            <w:r w:rsidR="00191FFF">
              <w:rPr>
                <w:rFonts w:asciiTheme="majorHAnsi" w:hAnsiTheme="majorHAnsi"/>
                <w:bCs/>
                <w:sz w:val="20"/>
                <w:szCs w:val="20"/>
              </w:rPr>
              <w:t>ya</w:t>
            </w:r>
            <w:r w:rsidR="00C623E9">
              <w:rPr>
                <w:rFonts w:asciiTheme="majorHAnsi" w:hAnsiTheme="majorHAnsi"/>
                <w:bCs/>
                <w:sz w:val="20"/>
                <w:szCs w:val="20"/>
              </w:rPr>
              <w:t>res Pérez</w:t>
            </w:r>
          </w:p>
        </w:tc>
      </w:tr>
      <w:tr w:rsidR="003239B8" w:rsidRPr="00547797" w14:paraId="0D7F9389" w14:textId="77777777" w:rsidTr="00394073">
        <w:tc>
          <w:tcPr>
            <w:tcW w:w="3600" w:type="dxa"/>
            <w:tcBorders>
              <w:top w:val="single" w:sz="6" w:space="0" w:color="auto"/>
              <w:bottom w:val="single" w:sz="6" w:space="0" w:color="auto"/>
            </w:tcBorders>
            <w:shd w:val="clear" w:color="auto" w:fill="386294"/>
            <w:vAlign w:val="center"/>
          </w:tcPr>
          <w:p w14:paraId="481622AE" w14:textId="77777777" w:rsidR="003239B8" w:rsidRPr="00547797" w:rsidRDefault="00441D21" w:rsidP="008D2290">
            <w:pPr>
              <w:jc w:val="center"/>
              <w:rPr>
                <w:rFonts w:asciiTheme="majorHAnsi" w:hAnsiTheme="majorHAnsi"/>
                <w:b/>
                <w:bCs/>
                <w:color w:val="FFFFFF" w:themeColor="background1"/>
                <w:sz w:val="20"/>
                <w:szCs w:val="20"/>
              </w:rPr>
            </w:pPr>
            <w:sdt>
              <w:sdtPr>
                <w:rPr>
                  <w:rFonts w:asciiTheme="majorHAnsi" w:hAnsiTheme="majorHAnsi"/>
                  <w:b/>
                  <w:bCs/>
                  <w:color w:val="FFFFFF" w:themeColor="background1"/>
                  <w:sz w:val="20"/>
                  <w:szCs w:val="20"/>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3239B8" w:rsidRPr="00547797">
                  <w:rPr>
                    <w:rFonts w:asciiTheme="majorHAnsi" w:hAnsiTheme="majorHAnsi"/>
                    <w:b/>
                    <w:bCs/>
                    <w:color w:val="FFFFFF" w:themeColor="background1"/>
                    <w:sz w:val="20"/>
                    <w:szCs w:val="20"/>
                  </w:rPr>
                  <w:t>Presunta víctima</w:t>
                </w:r>
              </w:sdtContent>
            </w:sdt>
            <w:r w:rsidR="003239B8" w:rsidRPr="00547797">
              <w:rPr>
                <w:rFonts w:asciiTheme="majorHAnsi" w:hAnsiTheme="majorHAnsi"/>
                <w:b/>
                <w:bCs/>
                <w:color w:val="FFFFFF" w:themeColor="background1"/>
                <w:sz w:val="20"/>
                <w:szCs w:val="20"/>
              </w:rPr>
              <w:t>:</w:t>
            </w:r>
          </w:p>
        </w:tc>
        <w:tc>
          <w:tcPr>
            <w:tcW w:w="5647" w:type="dxa"/>
            <w:vAlign w:val="center"/>
          </w:tcPr>
          <w:p w14:paraId="143D44A8" w14:textId="1D9CC695" w:rsidR="003239B8" w:rsidRPr="00547797" w:rsidRDefault="00D05BE6" w:rsidP="008D2290">
            <w:pPr>
              <w:jc w:val="both"/>
              <w:rPr>
                <w:rFonts w:asciiTheme="majorHAnsi" w:hAnsiTheme="majorHAnsi"/>
                <w:bCs/>
                <w:sz w:val="20"/>
                <w:szCs w:val="20"/>
                <w:lang w:val="es-ES"/>
              </w:rPr>
            </w:pPr>
            <w:r>
              <w:rPr>
                <w:rFonts w:asciiTheme="majorHAnsi" w:hAnsiTheme="majorHAnsi"/>
                <w:bCs/>
                <w:sz w:val="20"/>
                <w:szCs w:val="20"/>
                <w:lang w:val="es-ES"/>
              </w:rPr>
              <w:t>Arnedys José Pa</w:t>
            </w:r>
            <w:r w:rsidR="00191FFF">
              <w:rPr>
                <w:rFonts w:asciiTheme="majorHAnsi" w:hAnsiTheme="majorHAnsi"/>
                <w:bCs/>
                <w:sz w:val="20"/>
                <w:szCs w:val="20"/>
                <w:lang w:val="es-ES"/>
              </w:rPr>
              <w:t>y</w:t>
            </w:r>
            <w:r>
              <w:rPr>
                <w:rFonts w:asciiTheme="majorHAnsi" w:hAnsiTheme="majorHAnsi"/>
                <w:bCs/>
                <w:sz w:val="20"/>
                <w:szCs w:val="20"/>
                <w:lang w:val="es-ES"/>
              </w:rPr>
              <w:t>ares Pérez</w:t>
            </w:r>
          </w:p>
        </w:tc>
      </w:tr>
      <w:tr w:rsidR="003239B8" w:rsidRPr="00547797" w14:paraId="19F69F82" w14:textId="77777777" w:rsidTr="00394073">
        <w:tc>
          <w:tcPr>
            <w:tcW w:w="3600" w:type="dxa"/>
            <w:tcBorders>
              <w:top w:val="single" w:sz="6" w:space="0" w:color="auto"/>
              <w:bottom w:val="single" w:sz="6" w:space="0" w:color="auto"/>
            </w:tcBorders>
            <w:shd w:val="clear" w:color="auto" w:fill="386294"/>
            <w:vAlign w:val="center"/>
          </w:tcPr>
          <w:p w14:paraId="724BB294" w14:textId="77777777" w:rsidR="003239B8" w:rsidRPr="00547797" w:rsidRDefault="003239B8" w:rsidP="008D2290">
            <w:pPr>
              <w:jc w:val="center"/>
              <w:rPr>
                <w:rFonts w:asciiTheme="majorHAnsi" w:hAnsiTheme="majorHAnsi"/>
                <w:b/>
                <w:bCs/>
                <w:color w:val="FFFFFF" w:themeColor="background1"/>
                <w:sz w:val="20"/>
                <w:szCs w:val="20"/>
              </w:rPr>
            </w:pPr>
            <w:r w:rsidRPr="00547797">
              <w:rPr>
                <w:rFonts w:asciiTheme="majorHAnsi" w:hAnsiTheme="majorHAnsi"/>
                <w:b/>
                <w:bCs/>
                <w:color w:val="FFFFFF" w:themeColor="background1"/>
                <w:sz w:val="20"/>
                <w:szCs w:val="20"/>
              </w:rPr>
              <w:t>Estado denunciado:</w:t>
            </w:r>
          </w:p>
        </w:tc>
        <w:tc>
          <w:tcPr>
            <w:tcW w:w="5647" w:type="dxa"/>
            <w:vAlign w:val="center"/>
          </w:tcPr>
          <w:p w14:paraId="5D0EC05D" w14:textId="7EC43C1E" w:rsidR="003239B8" w:rsidRPr="00547797" w:rsidRDefault="00D05BE6" w:rsidP="008D2290">
            <w:pPr>
              <w:jc w:val="both"/>
              <w:rPr>
                <w:rFonts w:asciiTheme="majorHAnsi" w:hAnsiTheme="majorHAnsi"/>
                <w:bCs/>
                <w:sz w:val="20"/>
                <w:szCs w:val="20"/>
              </w:rPr>
            </w:pPr>
            <w:r>
              <w:rPr>
                <w:rFonts w:asciiTheme="majorHAnsi" w:hAnsiTheme="majorHAnsi"/>
                <w:bCs/>
                <w:sz w:val="20"/>
                <w:szCs w:val="20"/>
              </w:rPr>
              <w:t>Colombia</w:t>
            </w:r>
            <w:r w:rsidR="004A6A54" w:rsidRPr="00547797">
              <w:rPr>
                <w:rStyle w:val="FootnoteReference"/>
                <w:rFonts w:asciiTheme="majorHAnsi" w:hAnsiTheme="majorHAnsi"/>
                <w:bCs/>
                <w:sz w:val="20"/>
                <w:szCs w:val="20"/>
              </w:rPr>
              <w:footnoteReference w:id="2"/>
            </w:r>
          </w:p>
        </w:tc>
      </w:tr>
      <w:tr w:rsidR="00223A29" w:rsidRPr="00300FCF" w14:paraId="256E66EF" w14:textId="77777777" w:rsidTr="00394073">
        <w:tc>
          <w:tcPr>
            <w:tcW w:w="3600" w:type="dxa"/>
            <w:tcBorders>
              <w:top w:val="single" w:sz="6" w:space="0" w:color="auto"/>
              <w:bottom w:val="single" w:sz="6" w:space="0" w:color="auto"/>
            </w:tcBorders>
            <w:shd w:val="clear" w:color="auto" w:fill="386294"/>
            <w:vAlign w:val="center"/>
          </w:tcPr>
          <w:p w14:paraId="2551EB09" w14:textId="77777777" w:rsidR="00223A29" w:rsidRPr="00547797" w:rsidRDefault="001B3A00" w:rsidP="00E4118C">
            <w:pPr>
              <w:jc w:val="center"/>
              <w:rPr>
                <w:rFonts w:asciiTheme="majorHAnsi" w:hAnsiTheme="majorHAnsi"/>
                <w:b/>
                <w:bCs/>
                <w:color w:val="FFFFFF" w:themeColor="background1"/>
                <w:sz w:val="20"/>
                <w:szCs w:val="20"/>
              </w:rPr>
            </w:pPr>
            <w:r w:rsidRPr="00547797">
              <w:rPr>
                <w:rFonts w:asciiTheme="majorHAnsi" w:hAnsiTheme="majorHAnsi"/>
                <w:b/>
                <w:bCs/>
                <w:color w:val="FFFFFF" w:themeColor="background1"/>
                <w:sz w:val="20"/>
                <w:szCs w:val="20"/>
              </w:rPr>
              <w:t xml:space="preserve">Derechos </w:t>
            </w:r>
            <w:r w:rsidR="00E4118C" w:rsidRPr="00547797">
              <w:rPr>
                <w:rFonts w:asciiTheme="majorHAnsi" w:hAnsiTheme="majorHAnsi"/>
                <w:b/>
                <w:bCs/>
                <w:color w:val="FFFFFF" w:themeColor="background1"/>
                <w:sz w:val="20"/>
                <w:szCs w:val="20"/>
              </w:rPr>
              <w:t>invocados</w:t>
            </w:r>
            <w:r w:rsidRPr="00547797">
              <w:rPr>
                <w:rFonts w:asciiTheme="majorHAnsi" w:hAnsiTheme="majorHAnsi"/>
                <w:b/>
                <w:bCs/>
                <w:color w:val="FFFFFF" w:themeColor="background1"/>
                <w:sz w:val="20"/>
                <w:szCs w:val="20"/>
              </w:rPr>
              <w:t>:</w:t>
            </w:r>
          </w:p>
        </w:tc>
        <w:tc>
          <w:tcPr>
            <w:tcW w:w="5647" w:type="dxa"/>
            <w:vAlign w:val="center"/>
          </w:tcPr>
          <w:p w14:paraId="52B28392" w14:textId="3F1FD6B6" w:rsidR="00223A29" w:rsidRPr="007E4D75" w:rsidRDefault="007E4D75" w:rsidP="008D2290">
            <w:pPr>
              <w:jc w:val="both"/>
              <w:rPr>
                <w:rFonts w:asciiTheme="majorHAnsi" w:hAnsiTheme="majorHAnsi"/>
                <w:bCs/>
                <w:sz w:val="20"/>
                <w:szCs w:val="20"/>
                <w:lang w:val="es-CO"/>
              </w:rPr>
            </w:pPr>
            <w:r w:rsidRPr="007E4D75">
              <w:rPr>
                <w:rFonts w:asciiTheme="majorHAnsi" w:hAnsiTheme="majorHAnsi"/>
                <w:bCs/>
                <w:sz w:val="20"/>
                <w:szCs w:val="20"/>
                <w:lang w:val="es-CO"/>
              </w:rPr>
              <w:t>Artículo</w:t>
            </w:r>
            <w:r w:rsidR="006C3633">
              <w:rPr>
                <w:rFonts w:asciiTheme="majorHAnsi" w:hAnsiTheme="majorHAnsi"/>
                <w:bCs/>
                <w:sz w:val="20"/>
                <w:szCs w:val="20"/>
                <w:lang w:val="es-CO"/>
              </w:rPr>
              <w:t>s</w:t>
            </w:r>
            <w:r w:rsidRPr="007E4D75">
              <w:rPr>
                <w:rFonts w:asciiTheme="majorHAnsi" w:hAnsiTheme="majorHAnsi"/>
                <w:bCs/>
                <w:sz w:val="20"/>
                <w:szCs w:val="20"/>
                <w:lang w:val="es-CO"/>
              </w:rPr>
              <w:t xml:space="preserve"> 8 (garantías judiciales) </w:t>
            </w:r>
            <w:r w:rsidR="006C3633">
              <w:rPr>
                <w:rFonts w:asciiTheme="majorHAnsi" w:hAnsiTheme="majorHAnsi"/>
                <w:bCs/>
                <w:sz w:val="20"/>
                <w:szCs w:val="20"/>
                <w:lang w:val="es-CO"/>
              </w:rPr>
              <w:t xml:space="preserve">y 24 (igualdad ante la ley) </w:t>
            </w:r>
            <w:r w:rsidRPr="007E4D75">
              <w:rPr>
                <w:rFonts w:asciiTheme="majorHAnsi" w:hAnsiTheme="majorHAnsi"/>
                <w:bCs/>
                <w:sz w:val="20"/>
                <w:szCs w:val="20"/>
                <w:lang w:val="es-CO"/>
              </w:rPr>
              <w:t>de l</w:t>
            </w:r>
            <w:r>
              <w:rPr>
                <w:rFonts w:asciiTheme="majorHAnsi" w:hAnsiTheme="majorHAnsi"/>
                <w:bCs/>
                <w:sz w:val="20"/>
                <w:szCs w:val="20"/>
                <w:lang w:val="es-CO"/>
              </w:rPr>
              <w:t>a Convención Americana sobre Derechos Humanos</w:t>
            </w:r>
            <w:r>
              <w:rPr>
                <w:rStyle w:val="FootnoteReference"/>
                <w:rFonts w:asciiTheme="majorHAnsi" w:hAnsiTheme="majorHAnsi"/>
                <w:bCs/>
                <w:sz w:val="20"/>
                <w:szCs w:val="20"/>
                <w:lang w:val="es-CO"/>
              </w:rPr>
              <w:footnoteReference w:id="3"/>
            </w:r>
          </w:p>
        </w:tc>
      </w:tr>
    </w:tbl>
    <w:p w14:paraId="176FB213" w14:textId="77777777" w:rsidR="003239B8" w:rsidRPr="00547797" w:rsidRDefault="003239B8" w:rsidP="003239B8">
      <w:pPr>
        <w:spacing w:before="240" w:after="240"/>
        <w:ind w:firstLine="720"/>
        <w:jc w:val="both"/>
        <w:rPr>
          <w:rFonts w:asciiTheme="majorHAnsi" w:hAnsiTheme="majorHAnsi"/>
          <w:b/>
          <w:bCs/>
          <w:sz w:val="20"/>
          <w:szCs w:val="20"/>
          <w:lang w:val="es-ES"/>
        </w:rPr>
      </w:pPr>
      <w:r w:rsidRPr="00547797">
        <w:rPr>
          <w:rFonts w:asciiTheme="majorHAnsi" w:hAnsiTheme="majorHAnsi"/>
          <w:b/>
          <w:bCs/>
          <w:sz w:val="20"/>
          <w:szCs w:val="20"/>
          <w:lang w:val="es-ES"/>
        </w:rPr>
        <w:t>II.</w:t>
      </w:r>
      <w:r w:rsidRPr="00547797">
        <w:rPr>
          <w:rFonts w:asciiTheme="majorHAnsi" w:hAnsiTheme="majorHAnsi"/>
          <w:b/>
          <w:bCs/>
          <w:sz w:val="20"/>
          <w:szCs w:val="20"/>
          <w:lang w:val="es-ES"/>
        </w:rPr>
        <w:tab/>
        <w:t>TRÁMITE ANTE LA CIDH</w:t>
      </w:r>
      <w:r w:rsidR="008E3BFE" w:rsidRPr="00547797">
        <w:rPr>
          <w:rStyle w:val="FootnoteReference"/>
          <w:rFonts w:asciiTheme="majorHAnsi" w:hAnsiTheme="majorHAnsi"/>
          <w:b/>
          <w:sz w:val="20"/>
          <w:szCs w:val="20"/>
        </w:rPr>
        <w:footnoteReference w:id="4"/>
      </w:r>
    </w:p>
    <w:tbl>
      <w:tblPr>
        <w:tblStyle w:val="TableGrid"/>
        <w:tblW w:w="9247" w:type="dxa"/>
        <w:tblInd w:w="108" w:type="dxa"/>
        <w:tblBorders>
          <w:insideH w:val="single" w:sz="6" w:space="0" w:color="auto"/>
          <w:insideV w:val="single" w:sz="6" w:space="0" w:color="auto"/>
        </w:tblBorders>
        <w:tblLook w:val="04A0" w:firstRow="1" w:lastRow="0" w:firstColumn="1" w:lastColumn="0" w:noHBand="0" w:noVBand="1"/>
      </w:tblPr>
      <w:tblGrid>
        <w:gridCol w:w="3600"/>
        <w:gridCol w:w="5647"/>
      </w:tblGrid>
      <w:tr w:rsidR="004C2312" w:rsidRPr="00547797" w14:paraId="1D831514" w14:textId="77777777" w:rsidTr="00394073">
        <w:tc>
          <w:tcPr>
            <w:tcW w:w="3600" w:type="dxa"/>
            <w:tcBorders>
              <w:top w:val="single" w:sz="6" w:space="0" w:color="auto"/>
              <w:bottom w:val="single" w:sz="6" w:space="0" w:color="auto"/>
            </w:tcBorders>
            <w:shd w:val="clear" w:color="auto" w:fill="386294"/>
            <w:vAlign w:val="center"/>
          </w:tcPr>
          <w:p w14:paraId="330F2ED0" w14:textId="77777777" w:rsidR="004C2312" w:rsidRPr="00547797" w:rsidRDefault="004A6A54" w:rsidP="004A6A54">
            <w:pPr>
              <w:jc w:val="center"/>
              <w:rPr>
                <w:rFonts w:asciiTheme="majorHAnsi" w:hAnsiTheme="majorHAnsi"/>
                <w:b/>
                <w:bCs/>
                <w:color w:val="FFFFFF" w:themeColor="background1"/>
                <w:sz w:val="20"/>
                <w:szCs w:val="20"/>
                <w:lang w:val="es-ES"/>
              </w:rPr>
            </w:pPr>
            <w:r w:rsidRPr="00547797">
              <w:rPr>
                <w:rFonts w:asciiTheme="majorHAnsi" w:hAnsiTheme="majorHAnsi"/>
                <w:b/>
                <w:bCs/>
                <w:color w:val="FFFFFF" w:themeColor="background1"/>
                <w:sz w:val="20"/>
                <w:szCs w:val="20"/>
                <w:lang w:val="es-ES"/>
              </w:rPr>
              <w:t>P</w:t>
            </w:r>
            <w:r w:rsidR="004C2312" w:rsidRPr="00547797">
              <w:rPr>
                <w:rFonts w:asciiTheme="majorHAnsi" w:hAnsiTheme="majorHAnsi"/>
                <w:b/>
                <w:bCs/>
                <w:color w:val="FFFFFF" w:themeColor="background1"/>
                <w:sz w:val="20"/>
                <w:szCs w:val="20"/>
                <w:lang w:val="es-ES"/>
              </w:rPr>
              <w:t>resentación de la petición:</w:t>
            </w:r>
          </w:p>
        </w:tc>
        <w:tc>
          <w:tcPr>
            <w:tcW w:w="5647" w:type="dxa"/>
            <w:vAlign w:val="center"/>
          </w:tcPr>
          <w:p w14:paraId="6883A5F8" w14:textId="031F01C7" w:rsidR="004C2312" w:rsidRPr="00547797" w:rsidRDefault="00C623E9" w:rsidP="002625EA">
            <w:pPr>
              <w:jc w:val="both"/>
              <w:rPr>
                <w:rFonts w:asciiTheme="majorHAnsi" w:hAnsiTheme="majorHAnsi"/>
                <w:bCs/>
                <w:sz w:val="20"/>
                <w:szCs w:val="20"/>
                <w:lang w:val="es-ES"/>
              </w:rPr>
            </w:pPr>
            <w:r>
              <w:rPr>
                <w:rFonts w:asciiTheme="majorHAnsi" w:hAnsiTheme="majorHAnsi"/>
                <w:bCs/>
                <w:sz w:val="20"/>
                <w:szCs w:val="20"/>
                <w:lang w:val="es-ES"/>
              </w:rPr>
              <w:t>30 de agosto de 2012</w:t>
            </w:r>
          </w:p>
        </w:tc>
      </w:tr>
      <w:tr w:rsidR="00131425" w:rsidRPr="00300FCF" w14:paraId="54F62341" w14:textId="77777777" w:rsidTr="00394073">
        <w:tc>
          <w:tcPr>
            <w:tcW w:w="3600" w:type="dxa"/>
            <w:tcBorders>
              <w:top w:val="single" w:sz="6" w:space="0" w:color="auto"/>
              <w:bottom w:val="single" w:sz="6" w:space="0" w:color="auto"/>
            </w:tcBorders>
            <w:shd w:val="clear" w:color="auto" w:fill="386294"/>
            <w:vAlign w:val="center"/>
          </w:tcPr>
          <w:p w14:paraId="48CC6F04" w14:textId="77777777" w:rsidR="00131425" w:rsidRPr="00547797" w:rsidRDefault="00131425" w:rsidP="004A6A54">
            <w:pPr>
              <w:jc w:val="center"/>
              <w:rPr>
                <w:rFonts w:asciiTheme="majorHAnsi" w:hAnsiTheme="majorHAnsi"/>
                <w:b/>
                <w:bCs/>
                <w:color w:val="FFFFFF" w:themeColor="background1"/>
                <w:sz w:val="20"/>
                <w:szCs w:val="20"/>
                <w:lang w:val="es-ES"/>
              </w:rPr>
            </w:pPr>
            <w:r w:rsidRPr="00547797">
              <w:rPr>
                <w:rFonts w:asciiTheme="majorHAnsi" w:hAnsiTheme="majorHAnsi"/>
                <w:b/>
                <w:bCs/>
                <w:color w:val="FFFFFF" w:themeColor="background1"/>
                <w:sz w:val="20"/>
                <w:szCs w:val="20"/>
                <w:lang w:val="es-ES"/>
              </w:rPr>
              <w:t>Información adicional recibida durante la etapa de estudio:</w:t>
            </w:r>
          </w:p>
        </w:tc>
        <w:tc>
          <w:tcPr>
            <w:tcW w:w="5647" w:type="dxa"/>
            <w:vAlign w:val="center"/>
          </w:tcPr>
          <w:p w14:paraId="65CBC29E" w14:textId="1DB103A8" w:rsidR="00FE057E" w:rsidRPr="00547797" w:rsidRDefault="00795010" w:rsidP="00741EEB">
            <w:pPr>
              <w:jc w:val="both"/>
              <w:rPr>
                <w:rFonts w:asciiTheme="majorHAnsi" w:hAnsiTheme="majorHAnsi"/>
                <w:bCs/>
                <w:sz w:val="20"/>
                <w:szCs w:val="20"/>
                <w:lang w:val="es-ES"/>
              </w:rPr>
            </w:pPr>
            <w:r>
              <w:rPr>
                <w:rFonts w:asciiTheme="majorHAnsi" w:hAnsiTheme="majorHAnsi"/>
                <w:bCs/>
                <w:sz w:val="20"/>
                <w:szCs w:val="20"/>
                <w:lang w:val="es-ES"/>
              </w:rPr>
              <w:t xml:space="preserve">15 de octubre de 2012, 23 de noviembre de 2012, </w:t>
            </w:r>
            <w:r w:rsidR="00C5706C">
              <w:rPr>
                <w:rFonts w:asciiTheme="majorHAnsi" w:hAnsiTheme="majorHAnsi"/>
                <w:bCs/>
                <w:sz w:val="20"/>
                <w:szCs w:val="20"/>
                <w:lang w:val="es-ES"/>
              </w:rPr>
              <w:t xml:space="preserve">26 de noviembre de 2012, 12 de marzo de 2013, </w:t>
            </w:r>
            <w:r w:rsidR="005063C1">
              <w:rPr>
                <w:rFonts w:asciiTheme="majorHAnsi" w:hAnsiTheme="majorHAnsi"/>
                <w:bCs/>
                <w:sz w:val="20"/>
                <w:szCs w:val="20"/>
                <w:lang w:val="es-ES"/>
              </w:rPr>
              <w:t xml:space="preserve">23 de abril de 2013, 30 de mayo de 2013, </w:t>
            </w:r>
            <w:r w:rsidR="00FE7AB0">
              <w:rPr>
                <w:rFonts w:asciiTheme="majorHAnsi" w:hAnsiTheme="majorHAnsi"/>
                <w:bCs/>
                <w:sz w:val="20"/>
                <w:szCs w:val="20"/>
                <w:lang w:val="es-ES"/>
              </w:rPr>
              <w:t xml:space="preserve">30 de mayo de 2013, </w:t>
            </w:r>
            <w:r w:rsidR="00857508">
              <w:rPr>
                <w:rFonts w:asciiTheme="majorHAnsi" w:hAnsiTheme="majorHAnsi"/>
                <w:bCs/>
                <w:sz w:val="20"/>
                <w:szCs w:val="20"/>
                <w:lang w:val="es-ES"/>
              </w:rPr>
              <w:t xml:space="preserve">1 de julio de 2013, 30 de julio de 2013, </w:t>
            </w:r>
            <w:r w:rsidR="00E62FB3">
              <w:rPr>
                <w:rFonts w:asciiTheme="majorHAnsi" w:hAnsiTheme="majorHAnsi"/>
                <w:bCs/>
                <w:sz w:val="20"/>
                <w:szCs w:val="20"/>
                <w:lang w:val="es-ES"/>
              </w:rPr>
              <w:t xml:space="preserve">27 de septiembre de 2013, </w:t>
            </w:r>
            <w:r w:rsidR="0082346A">
              <w:rPr>
                <w:rFonts w:asciiTheme="majorHAnsi" w:hAnsiTheme="majorHAnsi"/>
                <w:bCs/>
                <w:sz w:val="20"/>
                <w:szCs w:val="20"/>
                <w:lang w:val="es-ES"/>
              </w:rPr>
              <w:t xml:space="preserve">3 de diciembre de 2013, 12 de diciembre de 2013, </w:t>
            </w:r>
            <w:r w:rsidR="00350512">
              <w:rPr>
                <w:rFonts w:asciiTheme="majorHAnsi" w:hAnsiTheme="majorHAnsi"/>
                <w:bCs/>
                <w:sz w:val="20"/>
                <w:szCs w:val="20"/>
                <w:lang w:val="es-ES"/>
              </w:rPr>
              <w:t xml:space="preserve">21 de mayo de 2014, 30 de mayo de 2014, </w:t>
            </w:r>
            <w:r w:rsidR="00DC525B">
              <w:rPr>
                <w:rFonts w:asciiTheme="majorHAnsi" w:hAnsiTheme="majorHAnsi"/>
                <w:bCs/>
                <w:sz w:val="20"/>
                <w:szCs w:val="20"/>
                <w:lang w:val="es-ES"/>
              </w:rPr>
              <w:t xml:space="preserve">23 de septiembre de 2014, </w:t>
            </w:r>
            <w:r w:rsidR="00FA7743">
              <w:rPr>
                <w:rFonts w:asciiTheme="majorHAnsi" w:hAnsiTheme="majorHAnsi"/>
                <w:bCs/>
                <w:sz w:val="20"/>
                <w:szCs w:val="20"/>
                <w:lang w:val="es-ES"/>
              </w:rPr>
              <w:t xml:space="preserve">15 de diciembre de 2014, </w:t>
            </w:r>
            <w:r w:rsidR="00C05247">
              <w:rPr>
                <w:rFonts w:asciiTheme="majorHAnsi" w:hAnsiTheme="majorHAnsi"/>
                <w:bCs/>
                <w:sz w:val="20"/>
                <w:szCs w:val="20"/>
                <w:lang w:val="es-ES"/>
              </w:rPr>
              <w:t>5 de mayo de 201</w:t>
            </w:r>
            <w:r w:rsidR="005931B4">
              <w:rPr>
                <w:rFonts w:asciiTheme="majorHAnsi" w:hAnsiTheme="majorHAnsi"/>
                <w:bCs/>
                <w:sz w:val="20"/>
                <w:szCs w:val="20"/>
                <w:lang w:val="es-ES"/>
              </w:rPr>
              <w:t>5</w:t>
            </w:r>
            <w:r w:rsidR="00781D71">
              <w:rPr>
                <w:rFonts w:asciiTheme="majorHAnsi" w:hAnsiTheme="majorHAnsi"/>
                <w:bCs/>
                <w:sz w:val="20"/>
                <w:szCs w:val="20"/>
                <w:lang w:val="es-ES"/>
              </w:rPr>
              <w:t xml:space="preserve">, </w:t>
            </w:r>
            <w:r w:rsidR="005931B4">
              <w:rPr>
                <w:rFonts w:asciiTheme="majorHAnsi" w:hAnsiTheme="majorHAnsi"/>
                <w:bCs/>
                <w:sz w:val="20"/>
                <w:szCs w:val="20"/>
                <w:lang w:val="es-ES"/>
              </w:rPr>
              <w:t xml:space="preserve">7 de octubre de 2015, </w:t>
            </w:r>
            <w:r w:rsidR="00741EEB">
              <w:rPr>
                <w:rFonts w:asciiTheme="majorHAnsi" w:hAnsiTheme="majorHAnsi"/>
                <w:bCs/>
                <w:sz w:val="20"/>
                <w:szCs w:val="20"/>
                <w:lang w:val="es-ES"/>
              </w:rPr>
              <w:t xml:space="preserve">1 de diciembre de 2015, 8 de diciembre de 2015, </w:t>
            </w:r>
            <w:r w:rsidR="004B3059">
              <w:rPr>
                <w:rFonts w:asciiTheme="majorHAnsi" w:hAnsiTheme="majorHAnsi"/>
                <w:bCs/>
                <w:sz w:val="20"/>
                <w:szCs w:val="20"/>
                <w:lang w:val="es-ES"/>
              </w:rPr>
              <w:t xml:space="preserve">22 de diciembre de 2015, </w:t>
            </w:r>
            <w:r w:rsidR="00927ACD">
              <w:rPr>
                <w:rFonts w:asciiTheme="majorHAnsi" w:hAnsiTheme="majorHAnsi"/>
                <w:bCs/>
                <w:sz w:val="20"/>
                <w:szCs w:val="20"/>
                <w:lang w:val="es-ES"/>
              </w:rPr>
              <w:t xml:space="preserve">24 de diciembre de 2015, </w:t>
            </w:r>
            <w:r w:rsidR="00B31BFA">
              <w:rPr>
                <w:rFonts w:asciiTheme="majorHAnsi" w:hAnsiTheme="majorHAnsi"/>
                <w:bCs/>
                <w:sz w:val="20"/>
                <w:szCs w:val="20"/>
                <w:lang w:val="es-ES"/>
              </w:rPr>
              <w:t xml:space="preserve">21 de marzo de 2016, </w:t>
            </w:r>
            <w:r w:rsidR="00B202EA">
              <w:rPr>
                <w:rFonts w:asciiTheme="majorHAnsi" w:hAnsiTheme="majorHAnsi"/>
                <w:bCs/>
                <w:sz w:val="20"/>
                <w:szCs w:val="20"/>
                <w:lang w:val="es-ES"/>
              </w:rPr>
              <w:t xml:space="preserve">24 de mayo de 2016, 28 de septiembre de 2016, </w:t>
            </w:r>
            <w:r w:rsidR="00AC0773">
              <w:rPr>
                <w:rFonts w:asciiTheme="majorHAnsi" w:hAnsiTheme="majorHAnsi"/>
                <w:bCs/>
                <w:sz w:val="20"/>
                <w:szCs w:val="20"/>
                <w:lang w:val="es-ES"/>
              </w:rPr>
              <w:t xml:space="preserve">27 de octubre de 2016, 6 de diciembre de 2016, 22 de febrero de 2017, </w:t>
            </w:r>
            <w:r w:rsidR="003D79BC">
              <w:rPr>
                <w:rFonts w:asciiTheme="majorHAnsi" w:hAnsiTheme="majorHAnsi"/>
                <w:bCs/>
                <w:sz w:val="20"/>
                <w:szCs w:val="20"/>
                <w:lang w:val="es-ES"/>
              </w:rPr>
              <w:t xml:space="preserve">27 de abril de 2017, </w:t>
            </w:r>
            <w:r w:rsidR="00A25214">
              <w:rPr>
                <w:rFonts w:asciiTheme="majorHAnsi" w:hAnsiTheme="majorHAnsi"/>
                <w:bCs/>
                <w:sz w:val="20"/>
                <w:szCs w:val="20"/>
                <w:lang w:val="es-ES"/>
              </w:rPr>
              <w:t xml:space="preserve">1 de mayo de 2017, </w:t>
            </w:r>
            <w:r w:rsidR="00B90F7D">
              <w:rPr>
                <w:rFonts w:asciiTheme="majorHAnsi" w:hAnsiTheme="majorHAnsi"/>
                <w:bCs/>
                <w:sz w:val="20"/>
                <w:szCs w:val="20"/>
                <w:lang w:val="es-ES"/>
              </w:rPr>
              <w:t>19 de mayo de 2017</w:t>
            </w:r>
            <w:r w:rsidR="00582C54">
              <w:rPr>
                <w:rFonts w:asciiTheme="majorHAnsi" w:hAnsiTheme="majorHAnsi"/>
                <w:bCs/>
                <w:sz w:val="20"/>
                <w:szCs w:val="20"/>
                <w:lang w:val="es-ES"/>
              </w:rPr>
              <w:t xml:space="preserve">, </w:t>
            </w:r>
            <w:r w:rsidR="000E2DDF">
              <w:rPr>
                <w:rFonts w:asciiTheme="majorHAnsi" w:hAnsiTheme="majorHAnsi"/>
                <w:bCs/>
                <w:sz w:val="20"/>
                <w:szCs w:val="20"/>
                <w:lang w:val="es-ES"/>
              </w:rPr>
              <w:t>2</w:t>
            </w:r>
            <w:r w:rsidR="00745BDC">
              <w:rPr>
                <w:rFonts w:asciiTheme="majorHAnsi" w:hAnsiTheme="majorHAnsi"/>
                <w:bCs/>
                <w:sz w:val="20"/>
                <w:szCs w:val="20"/>
                <w:lang w:val="es-ES"/>
              </w:rPr>
              <w:t>1</w:t>
            </w:r>
            <w:r w:rsidR="000E2DDF">
              <w:rPr>
                <w:rFonts w:asciiTheme="majorHAnsi" w:hAnsiTheme="majorHAnsi"/>
                <w:bCs/>
                <w:sz w:val="20"/>
                <w:szCs w:val="20"/>
                <w:lang w:val="es-ES"/>
              </w:rPr>
              <w:t xml:space="preserve"> de diciembre de 2017, </w:t>
            </w:r>
            <w:r w:rsidR="00FD3882">
              <w:rPr>
                <w:rFonts w:asciiTheme="majorHAnsi" w:hAnsiTheme="majorHAnsi"/>
                <w:bCs/>
                <w:sz w:val="20"/>
                <w:szCs w:val="20"/>
                <w:lang w:val="es-ES"/>
              </w:rPr>
              <w:t xml:space="preserve">19 de abril de 2018, </w:t>
            </w:r>
            <w:r w:rsidR="00784100">
              <w:rPr>
                <w:rFonts w:asciiTheme="majorHAnsi" w:hAnsiTheme="majorHAnsi"/>
                <w:bCs/>
                <w:sz w:val="20"/>
                <w:szCs w:val="20"/>
                <w:lang w:val="es-ES"/>
              </w:rPr>
              <w:t>14 de septiembre de 20</w:t>
            </w:r>
            <w:r w:rsidR="00FD3882">
              <w:rPr>
                <w:rFonts w:asciiTheme="majorHAnsi" w:hAnsiTheme="majorHAnsi"/>
                <w:bCs/>
                <w:sz w:val="20"/>
                <w:szCs w:val="20"/>
                <w:lang w:val="es-ES"/>
              </w:rPr>
              <w:t>2</w:t>
            </w:r>
            <w:r w:rsidR="00784100">
              <w:rPr>
                <w:rFonts w:asciiTheme="majorHAnsi" w:hAnsiTheme="majorHAnsi"/>
                <w:bCs/>
                <w:sz w:val="20"/>
                <w:szCs w:val="20"/>
                <w:lang w:val="es-ES"/>
              </w:rPr>
              <w:t xml:space="preserve">1, </w:t>
            </w:r>
            <w:r w:rsidR="0052662D">
              <w:rPr>
                <w:rFonts w:asciiTheme="majorHAnsi" w:hAnsiTheme="majorHAnsi"/>
                <w:bCs/>
                <w:sz w:val="20"/>
                <w:szCs w:val="20"/>
                <w:lang w:val="es-ES"/>
              </w:rPr>
              <w:t>6 de diciembre de 2021</w:t>
            </w:r>
            <w:r w:rsidR="000C5B72">
              <w:rPr>
                <w:rFonts w:asciiTheme="majorHAnsi" w:hAnsiTheme="majorHAnsi"/>
                <w:bCs/>
                <w:sz w:val="20"/>
                <w:szCs w:val="20"/>
                <w:lang w:val="es-ES"/>
              </w:rPr>
              <w:t xml:space="preserve"> y 18 de abril de 2022</w:t>
            </w:r>
          </w:p>
        </w:tc>
      </w:tr>
      <w:tr w:rsidR="004C2312" w:rsidRPr="006F106D" w14:paraId="6A9025D9" w14:textId="77777777" w:rsidTr="00394073">
        <w:tc>
          <w:tcPr>
            <w:tcW w:w="3600" w:type="dxa"/>
            <w:tcBorders>
              <w:top w:val="single" w:sz="6" w:space="0" w:color="auto"/>
              <w:bottom w:val="single" w:sz="6" w:space="0" w:color="auto"/>
            </w:tcBorders>
            <w:shd w:val="clear" w:color="auto" w:fill="386294"/>
            <w:vAlign w:val="center"/>
          </w:tcPr>
          <w:p w14:paraId="01B3581F" w14:textId="77777777" w:rsidR="004C2312" w:rsidRPr="00547797" w:rsidRDefault="004A6A54" w:rsidP="004A6A54">
            <w:pPr>
              <w:jc w:val="center"/>
              <w:rPr>
                <w:rFonts w:asciiTheme="majorHAnsi" w:hAnsiTheme="majorHAnsi"/>
                <w:b/>
                <w:bCs/>
                <w:color w:val="FFFFFF" w:themeColor="background1"/>
                <w:sz w:val="20"/>
                <w:szCs w:val="20"/>
                <w:lang w:val="es-ES"/>
              </w:rPr>
            </w:pPr>
            <w:r w:rsidRPr="00547797">
              <w:rPr>
                <w:rFonts w:asciiTheme="majorHAnsi" w:hAnsiTheme="majorHAnsi"/>
                <w:b/>
                <w:color w:val="FFFFFF" w:themeColor="background1"/>
                <w:sz w:val="20"/>
                <w:szCs w:val="20"/>
                <w:lang w:val="es-ES"/>
              </w:rPr>
              <w:t>N</w:t>
            </w:r>
            <w:r w:rsidR="004C2312" w:rsidRPr="00547797">
              <w:rPr>
                <w:rFonts w:asciiTheme="majorHAnsi" w:hAnsiTheme="majorHAnsi"/>
                <w:b/>
                <w:color w:val="FFFFFF" w:themeColor="background1"/>
                <w:sz w:val="20"/>
                <w:szCs w:val="20"/>
                <w:lang w:val="es-ES"/>
              </w:rPr>
              <w:t>otificación de la petición al Estado:</w:t>
            </w:r>
          </w:p>
        </w:tc>
        <w:tc>
          <w:tcPr>
            <w:tcW w:w="5647" w:type="dxa"/>
            <w:vAlign w:val="center"/>
          </w:tcPr>
          <w:p w14:paraId="58485921" w14:textId="34D43B8A" w:rsidR="004C2312" w:rsidRPr="00547797" w:rsidRDefault="000C5B72" w:rsidP="008D2290">
            <w:pPr>
              <w:jc w:val="both"/>
              <w:rPr>
                <w:rFonts w:asciiTheme="majorHAnsi" w:hAnsiTheme="majorHAnsi"/>
                <w:bCs/>
                <w:sz w:val="20"/>
                <w:szCs w:val="20"/>
                <w:lang w:val="es-ES"/>
              </w:rPr>
            </w:pPr>
            <w:r>
              <w:rPr>
                <w:rFonts w:asciiTheme="majorHAnsi" w:hAnsiTheme="majorHAnsi"/>
                <w:bCs/>
                <w:sz w:val="20"/>
                <w:szCs w:val="20"/>
                <w:lang w:val="es-ES"/>
              </w:rPr>
              <w:t>26 de abril de 2022</w:t>
            </w:r>
          </w:p>
        </w:tc>
      </w:tr>
      <w:tr w:rsidR="004C2312" w:rsidRPr="00547797" w14:paraId="1EC979C3" w14:textId="77777777" w:rsidTr="00394073">
        <w:tc>
          <w:tcPr>
            <w:tcW w:w="3600" w:type="dxa"/>
            <w:tcBorders>
              <w:top w:val="single" w:sz="6" w:space="0" w:color="auto"/>
              <w:bottom w:val="single" w:sz="6" w:space="0" w:color="auto"/>
            </w:tcBorders>
            <w:shd w:val="clear" w:color="auto" w:fill="386294"/>
            <w:vAlign w:val="center"/>
          </w:tcPr>
          <w:p w14:paraId="3708E507" w14:textId="77777777" w:rsidR="004C2312" w:rsidRPr="00547797" w:rsidRDefault="004A6A54" w:rsidP="004A6A54">
            <w:pPr>
              <w:jc w:val="center"/>
              <w:rPr>
                <w:rFonts w:asciiTheme="majorHAnsi" w:hAnsiTheme="majorHAnsi"/>
                <w:b/>
                <w:bCs/>
                <w:color w:val="FFFFFF" w:themeColor="background1"/>
                <w:sz w:val="20"/>
                <w:szCs w:val="20"/>
                <w:lang w:val="es-ES"/>
              </w:rPr>
            </w:pPr>
            <w:r w:rsidRPr="00547797">
              <w:rPr>
                <w:rFonts w:asciiTheme="majorHAnsi" w:hAnsiTheme="majorHAnsi"/>
                <w:b/>
                <w:color w:val="FFFFFF" w:themeColor="background1"/>
                <w:sz w:val="20"/>
                <w:szCs w:val="20"/>
                <w:lang w:val="es-ES"/>
              </w:rPr>
              <w:t>P</w:t>
            </w:r>
            <w:r w:rsidR="004C2312" w:rsidRPr="00547797">
              <w:rPr>
                <w:rFonts w:asciiTheme="majorHAnsi" w:hAnsiTheme="majorHAnsi"/>
                <w:b/>
                <w:color w:val="FFFFFF" w:themeColor="background1"/>
                <w:sz w:val="20"/>
                <w:szCs w:val="20"/>
                <w:lang w:val="es-ES"/>
              </w:rPr>
              <w:t>rimera respuesta del Estado:</w:t>
            </w:r>
          </w:p>
        </w:tc>
        <w:tc>
          <w:tcPr>
            <w:tcW w:w="5647" w:type="dxa"/>
            <w:vAlign w:val="center"/>
          </w:tcPr>
          <w:p w14:paraId="6B47064C" w14:textId="7F3E62E4" w:rsidR="004C2312" w:rsidRPr="00547797" w:rsidRDefault="00571ECF" w:rsidP="008D2290">
            <w:pPr>
              <w:jc w:val="both"/>
              <w:rPr>
                <w:rFonts w:asciiTheme="majorHAnsi" w:hAnsiTheme="majorHAnsi"/>
                <w:bCs/>
                <w:sz w:val="20"/>
                <w:szCs w:val="20"/>
                <w:lang w:val="es-ES"/>
              </w:rPr>
            </w:pPr>
            <w:r>
              <w:rPr>
                <w:rFonts w:asciiTheme="majorHAnsi" w:hAnsiTheme="majorHAnsi"/>
                <w:bCs/>
                <w:sz w:val="20"/>
                <w:szCs w:val="20"/>
                <w:lang w:val="es-ES"/>
              </w:rPr>
              <w:t>29 de agosto de 2022</w:t>
            </w:r>
          </w:p>
        </w:tc>
      </w:tr>
      <w:tr w:rsidR="005D598D" w:rsidRPr="00547797" w14:paraId="73EB9125" w14:textId="77777777" w:rsidTr="00394073">
        <w:tc>
          <w:tcPr>
            <w:tcW w:w="3600" w:type="dxa"/>
            <w:tcBorders>
              <w:top w:val="single" w:sz="6" w:space="0" w:color="auto"/>
              <w:bottom w:val="single" w:sz="6" w:space="0" w:color="auto"/>
            </w:tcBorders>
            <w:shd w:val="clear" w:color="auto" w:fill="386294"/>
            <w:vAlign w:val="center"/>
          </w:tcPr>
          <w:p w14:paraId="60D1AA41" w14:textId="3B5AB3FE" w:rsidR="005D598D" w:rsidRPr="00547797" w:rsidRDefault="005D598D" w:rsidP="004A6A54">
            <w:pPr>
              <w:jc w:val="center"/>
              <w:rPr>
                <w:rFonts w:asciiTheme="majorHAnsi" w:hAnsiTheme="majorHAnsi"/>
                <w:b/>
                <w:color w:val="FFFFFF" w:themeColor="background1"/>
                <w:sz w:val="20"/>
                <w:szCs w:val="20"/>
                <w:lang w:val="es-ES"/>
              </w:rPr>
            </w:pPr>
            <w:r>
              <w:rPr>
                <w:rFonts w:asciiTheme="majorHAnsi" w:hAnsiTheme="majorHAnsi"/>
                <w:b/>
                <w:color w:val="FFFFFF" w:themeColor="background1"/>
                <w:sz w:val="20"/>
                <w:szCs w:val="20"/>
                <w:lang w:val="es-ES"/>
              </w:rPr>
              <w:t>Información adicional del peticionario</w:t>
            </w:r>
          </w:p>
        </w:tc>
        <w:tc>
          <w:tcPr>
            <w:tcW w:w="5647" w:type="dxa"/>
            <w:vAlign w:val="center"/>
          </w:tcPr>
          <w:p w14:paraId="667D672A" w14:textId="1952C3A8" w:rsidR="005D598D" w:rsidRDefault="005D598D" w:rsidP="008D2290">
            <w:pPr>
              <w:jc w:val="both"/>
              <w:rPr>
                <w:rFonts w:asciiTheme="majorHAnsi" w:hAnsiTheme="majorHAnsi"/>
                <w:bCs/>
                <w:sz w:val="20"/>
                <w:szCs w:val="20"/>
                <w:lang w:val="es-ES"/>
              </w:rPr>
            </w:pPr>
            <w:r>
              <w:rPr>
                <w:rFonts w:asciiTheme="majorHAnsi" w:hAnsiTheme="majorHAnsi"/>
                <w:bCs/>
                <w:sz w:val="20"/>
                <w:szCs w:val="20"/>
                <w:lang w:val="es-ES"/>
              </w:rPr>
              <w:t>7 de marzo de 2023</w:t>
            </w:r>
          </w:p>
        </w:tc>
      </w:tr>
    </w:tbl>
    <w:p w14:paraId="0FC6E9E8" w14:textId="77777777" w:rsidR="003239B8" w:rsidRPr="00547797" w:rsidRDefault="003239B8" w:rsidP="003239B8">
      <w:pPr>
        <w:spacing w:before="240" w:after="240"/>
        <w:ind w:firstLine="720"/>
        <w:jc w:val="both"/>
        <w:rPr>
          <w:rFonts w:asciiTheme="majorHAnsi" w:hAnsiTheme="majorHAnsi"/>
          <w:b/>
          <w:bCs/>
          <w:sz w:val="20"/>
          <w:szCs w:val="20"/>
          <w:lang w:val="es-ES"/>
        </w:rPr>
      </w:pPr>
      <w:r w:rsidRPr="00547797">
        <w:rPr>
          <w:rFonts w:asciiTheme="majorHAnsi" w:hAnsiTheme="majorHAnsi"/>
          <w:b/>
          <w:bCs/>
          <w:sz w:val="20"/>
          <w:szCs w:val="20"/>
          <w:lang w:val="es-ES"/>
        </w:rPr>
        <w:t xml:space="preserve">III. </w:t>
      </w:r>
      <w:r w:rsidRPr="00547797">
        <w:rPr>
          <w:rFonts w:asciiTheme="majorHAnsi" w:hAnsiTheme="majorHAnsi"/>
          <w:b/>
          <w:bCs/>
          <w:sz w:val="20"/>
          <w:szCs w:val="20"/>
          <w:lang w:val="es-ES"/>
        </w:rPr>
        <w:tab/>
        <w:t>COMPETENCIA</w:t>
      </w:r>
      <w:r w:rsidR="00EE00E9" w:rsidRPr="00547797">
        <w:rPr>
          <w:rFonts w:asciiTheme="majorHAnsi" w:hAnsiTheme="majorHAnsi"/>
          <w:b/>
          <w:bCs/>
          <w:sz w:val="20"/>
          <w:szCs w:val="20"/>
          <w:lang w:val="es-ES"/>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1"/>
        <w:gridCol w:w="5681"/>
      </w:tblGrid>
      <w:tr w:rsidR="003239B8" w:rsidRPr="00547797" w14:paraId="7D299FC7" w14:textId="77777777" w:rsidTr="004A6A54">
        <w:trPr>
          <w:cantSplit/>
        </w:trPr>
        <w:tc>
          <w:tcPr>
            <w:tcW w:w="3600" w:type="dxa"/>
            <w:tcBorders>
              <w:top w:val="single" w:sz="4" w:space="0" w:color="auto"/>
              <w:bottom w:val="single" w:sz="6" w:space="0" w:color="auto"/>
            </w:tcBorders>
            <w:shd w:val="clear" w:color="auto" w:fill="386294"/>
            <w:vAlign w:val="center"/>
          </w:tcPr>
          <w:p w14:paraId="5D0830E9" w14:textId="77777777" w:rsidR="003239B8" w:rsidRPr="00547797" w:rsidRDefault="003239B8" w:rsidP="008D2290">
            <w:pPr>
              <w:jc w:val="center"/>
              <w:rPr>
                <w:rFonts w:asciiTheme="majorHAnsi" w:hAnsiTheme="majorHAnsi"/>
                <w:b/>
                <w:bCs/>
                <w:i/>
                <w:color w:val="FFFFFF" w:themeColor="background1"/>
                <w:sz w:val="20"/>
                <w:szCs w:val="20"/>
              </w:rPr>
            </w:pPr>
            <w:r w:rsidRPr="00547797">
              <w:rPr>
                <w:rFonts w:asciiTheme="majorHAnsi" w:hAnsiTheme="majorHAnsi"/>
                <w:b/>
                <w:bCs/>
                <w:color w:val="FFFFFF" w:themeColor="background1"/>
                <w:sz w:val="20"/>
                <w:szCs w:val="20"/>
              </w:rPr>
              <w:t>Competencia</w:t>
            </w:r>
            <w:r w:rsidRPr="00547797">
              <w:rPr>
                <w:rFonts w:asciiTheme="majorHAnsi" w:hAnsiTheme="majorHAnsi"/>
                <w:b/>
                <w:bCs/>
                <w:i/>
                <w:color w:val="FFFFFF" w:themeColor="background1"/>
                <w:sz w:val="20"/>
                <w:szCs w:val="20"/>
              </w:rPr>
              <w:t xml:space="preserve"> Ratione personae:</w:t>
            </w:r>
          </w:p>
        </w:tc>
        <w:tc>
          <w:tcPr>
            <w:tcW w:w="5760" w:type="dxa"/>
            <w:vAlign w:val="center"/>
          </w:tcPr>
          <w:p w14:paraId="1E494D5D" w14:textId="56B7F351" w:rsidR="003239B8" w:rsidRPr="00547797" w:rsidRDefault="0075459E" w:rsidP="0075459E">
            <w:pPr>
              <w:rPr>
                <w:rFonts w:asciiTheme="majorHAnsi" w:hAnsiTheme="majorHAnsi"/>
                <w:bCs/>
                <w:sz w:val="20"/>
                <w:szCs w:val="20"/>
              </w:rPr>
            </w:pPr>
            <w:r w:rsidRPr="0075459E">
              <w:rPr>
                <w:rFonts w:asciiTheme="majorHAnsi" w:hAnsiTheme="majorHAnsi"/>
                <w:bCs/>
                <w:sz w:val="20"/>
                <w:szCs w:val="20"/>
              </w:rPr>
              <w:t>Sí</w:t>
            </w:r>
          </w:p>
        </w:tc>
      </w:tr>
      <w:tr w:rsidR="003239B8" w:rsidRPr="00547797" w14:paraId="54503A4F" w14:textId="77777777" w:rsidTr="004A6A54">
        <w:trPr>
          <w:cantSplit/>
        </w:trPr>
        <w:tc>
          <w:tcPr>
            <w:tcW w:w="3600" w:type="dxa"/>
            <w:tcBorders>
              <w:top w:val="single" w:sz="6" w:space="0" w:color="auto"/>
              <w:bottom w:val="single" w:sz="6" w:space="0" w:color="auto"/>
            </w:tcBorders>
            <w:shd w:val="clear" w:color="auto" w:fill="386294"/>
            <w:vAlign w:val="center"/>
          </w:tcPr>
          <w:p w14:paraId="40E3A1EF" w14:textId="77777777" w:rsidR="003239B8" w:rsidRPr="00547797" w:rsidRDefault="003239B8" w:rsidP="008D2290">
            <w:pPr>
              <w:jc w:val="center"/>
              <w:rPr>
                <w:rFonts w:asciiTheme="majorHAnsi" w:hAnsiTheme="majorHAnsi"/>
                <w:b/>
                <w:bCs/>
                <w:color w:val="FFFFFF" w:themeColor="background1"/>
                <w:sz w:val="20"/>
                <w:szCs w:val="20"/>
              </w:rPr>
            </w:pPr>
            <w:r w:rsidRPr="00547797">
              <w:rPr>
                <w:rFonts w:asciiTheme="majorHAnsi" w:hAnsiTheme="majorHAnsi"/>
                <w:b/>
                <w:bCs/>
                <w:color w:val="FFFFFF" w:themeColor="background1"/>
                <w:sz w:val="20"/>
                <w:szCs w:val="20"/>
              </w:rPr>
              <w:t>Competencia</w:t>
            </w:r>
            <w:r w:rsidRPr="00547797">
              <w:rPr>
                <w:rFonts w:asciiTheme="majorHAnsi" w:hAnsiTheme="majorHAnsi"/>
                <w:b/>
                <w:bCs/>
                <w:i/>
                <w:color w:val="FFFFFF" w:themeColor="background1"/>
                <w:sz w:val="20"/>
                <w:szCs w:val="20"/>
              </w:rPr>
              <w:t xml:space="preserve"> Ratione loci</w:t>
            </w:r>
            <w:r w:rsidRPr="00547797">
              <w:rPr>
                <w:rFonts w:asciiTheme="majorHAnsi" w:hAnsiTheme="majorHAnsi"/>
                <w:b/>
                <w:bCs/>
                <w:color w:val="FFFFFF" w:themeColor="background1"/>
                <w:sz w:val="20"/>
                <w:szCs w:val="20"/>
              </w:rPr>
              <w:t>:</w:t>
            </w:r>
          </w:p>
        </w:tc>
        <w:tc>
          <w:tcPr>
            <w:tcW w:w="5760" w:type="dxa"/>
            <w:vAlign w:val="center"/>
          </w:tcPr>
          <w:p w14:paraId="77C8256A" w14:textId="69FE55A5" w:rsidR="003239B8" w:rsidRPr="00547797" w:rsidRDefault="0075459E" w:rsidP="008D2290">
            <w:pPr>
              <w:rPr>
                <w:rFonts w:asciiTheme="majorHAnsi" w:hAnsiTheme="majorHAnsi"/>
                <w:bCs/>
                <w:sz w:val="20"/>
                <w:szCs w:val="20"/>
              </w:rPr>
            </w:pPr>
            <w:r w:rsidRPr="0075459E">
              <w:rPr>
                <w:rFonts w:asciiTheme="majorHAnsi" w:hAnsiTheme="majorHAnsi"/>
                <w:bCs/>
                <w:sz w:val="20"/>
                <w:szCs w:val="20"/>
              </w:rPr>
              <w:t>Sí</w:t>
            </w:r>
          </w:p>
        </w:tc>
      </w:tr>
      <w:tr w:rsidR="003239B8" w:rsidRPr="00547797" w14:paraId="6618D96A" w14:textId="77777777" w:rsidTr="004A6A54">
        <w:trPr>
          <w:cantSplit/>
        </w:trPr>
        <w:tc>
          <w:tcPr>
            <w:tcW w:w="3600" w:type="dxa"/>
            <w:tcBorders>
              <w:top w:val="single" w:sz="6" w:space="0" w:color="auto"/>
              <w:bottom w:val="single" w:sz="6" w:space="0" w:color="auto"/>
            </w:tcBorders>
            <w:shd w:val="clear" w:color="auto" w:fill="386294"/>
            <w:vAlign w:val="center"/>
          </w:tcPr>
          <w:p w14:paraId="24D9CAA2" w14:textId="77777777" w:rsidR="003239B8" w:rsidRPr="00547797" w:rsidRDefault="003239B8" w:rsidP="008D2290">
            <w:pPr>
              <w:jc w:val="center"/>
              <w:rPr>
                <w:rFonts w:asciiTheme="majorHAnsi" w:hAnsiTheme="majorHAnsi"/>
                <w:b/>
                <w:bCs/>
                <w:color w:val="FFFFFF" w:themeColor="background1"/>
                <w:sz w:val="20"/>
                <w:szCs w:val="20"/>
              </w:rPr>
            </w:pPr>
            <w:r w:rsidRPr="00547797">
              <w:rPr>
                <w:rFonts w:asciiTheme="majorHAnsi" w:hAnsiTheme="majorHAnsi"/>
                <w:b/>
                <w:bCs/>
                <w:color w:val="FFFFFF" w:themeColor="background1"/>
                <w:sz w:val="20"/>
                <w:szCs w:val="20"/>
              </w:rPr>
              <w:t>Competencia</w:t>
            </w:r>
            <w:r w:rsidRPr="00547797">
              <w:rPr>
                <w:rFonts w:asciiTheme="majorHAnsi" w:hAnsiTheme="majorHAnsi"/>
                <w:b/>
                <w:bCs/>
                <w:i/>
                <w:color w:val="FFFFFF" w:themeColor="background1"/>
                <w:sz w:val="20"/>
                <w:szCs w:val="20"/>
              </w:rPr>
              <w:t xml:space="preserve"> Ratione temporis</w:t>
            </w:r>
            <w:r w:rsidRPr="00547797">
              <w:rPr>
                <w:rFonts w:asciiTheme="majorHAnsi" w:hAnsiTheme="majorHAnsi"/>
                <w:b/>
                <w:bCs/>
                <w:color w:val="FFFFFF" w:themeColor="background1"/>
                <w:sz w:val="20"/>
                <w:szCs w:val="20"/>
              </w:rPr>
              <w:t>:</w:t>
            </w:r>
          </w:p>
        </w:tc>
        <w:tc>
          <w:tcPr>
            <w:tcW w:w="5760" w:type="dxa"/>
            <w:vAlign w:val="center"/>
          </w:tcPr>
          <w:p w14:paraId="523F6BD6" w14:textId="7EAE5FF7" w:rsidR="003239B8" w:rsidRPr="00547797" w:rsidRDefault="0075459E" w:rsidP="008D2290">
            <w:pPr>
              <w:rPr>
                <w:rFonts w:asciiTheme="majorHAnsi" w:hAnsiTheme="majorHAnsi"/>
                <w:bCs/>
                <w:sz w:val="20"/>
                <w:szCs w:val="20"/>
              </w:rPr>
            </w:pPr>
            <w:r w:rsidRPr="0075459E">
              <w:rPr>
                <w:rFonts w:asciiTheme="majorHAnsi" w:hAnsiTheme="majorHAnsi"/>
                <w:bCs/>
                <w:sz w:val="20"/>
                <w:szCs w:val="20"/>
              </w:rPr>
              <w:t>Sí</w:t>
            </w:r>
          </w:p>
        </w:tc>
      </w:tr>
      <w:tr w:rsidR="003239B8" w:rsidRPr="00300FCF" w14:paraId="34C2A0A9" w14:textId="77777777" w:rsidTr="004A6A54">
        <w:trPr>
          <w:cantSplit/>
        </w:trPr>
        <w:tc>
          <w:tcPr>
            <w:tcW w:w="3600" w:type="dxa"/>
            <w:tcBorders>
              <w:top w:val="single" w:sz="6" w:space="0" w:color="auto"/>
              <w:bottom w:val="single" w:sz="6" w:space="0" w:color="auto"/>
            </w:tcBorders>
            <w:shd w:val="clear" w:color="auto" w:fill="386294"/>
            <w:vAlign w:val="center"/>
          </w:tcPr>
          <w:p w14:paraId="6259AE31" w14:textId="77777777" w:rsidR="003239B8" w:rsidRPr="00547797" w:rsidRDefault="003239B8" w:rsidP="008D2290">
            <w:pPr>
              <w:jc w:val="center"/>
              <w:rPr>
                <w:rFonts w:asciiTheme="majorHAnsi" w:hAnsiTheme="majorHAnsi"/>
                <w:b/>
                <w:bCs/>
                <w:color w:val="FFFFFF" w:themeColor="background1"/>
                <w:sz w:val="20"/>
                <w:szCs w:val="20"/>
              </w:rPr>
            </w:pPr>
            <w:r w:rsidRPr="00547797">
              <w:rPr>
                <w:rFonts w:asciiTheme="majorHAnsi" w:hAnsiTheme="majorHAnsi"/>
                <w:b/>
                <w:bCs/>
                <w:color w:val="FFFFFF" w:themeColor="background1"/>
                <w:sz w:val="20"/>
                <w:szCs w:val="20"/>
              </w:rPr>
              <w:t>Competencia</w:t>
            </w:r>
            <w:r w:rsidRPr="00547797">
              <w:rPr>
                <w:rFonts w:asciiTheme="majorHAnsi" w:hAnsiTheme="majorHAnsi"/>
                <w:b/>
                <w:bCs/>
                <w:i/>
                <w:color w:val="FFFFFF" w:themeColor="background1"/>
                <w:sz w:val="20"/>
                <w:szCs w:val="20"/>
              </w:rPr>
              <w:t xml:space="preserve"> Ratione materia</w:t>
            </w:r>
            <w:r w:rsidR="00EE00E9" w:rsidRPr="00547797">
              <w:rPr>
                <w:rFonts w:asciiTheme="majorHAnsi" w:hAnsiTheme="majorHAnsi"/>
                <w:b/>
                <w:bCs/>
                <w:i/>
                <w:color w:val="FFFFFF" w:themeColor="background1"/>
                <w:sz w:val="20"/>
                <w:szCs w:val="20"/>
              </w:rPr>
              <w:t>e</w:t>
            </w:r>
            <w:r w:rsidRPr="00547797">
              <w:rPr>
                <w:rFonts w:asciiTheme="majorHAnsi" w:hAnsiTheme="majorHAnsi"/>
                <w:b/>
                <w:bCs/>
                <w:color w:val="FFFFFF" w:themeColor="background1"/>
                <w:sz w:val="20"/>
                <w:szCs w:val="20"/>
              </w:rPr>
              <w:t>:</w:t>
            </w:r>
          </w:p>
        </w:tc>
        <w:tc>
          <w:tcPr>
            <w:tcW w:w="5760" w:type="dxa"/>
            <w:vAlign w:val="center"/>
          </w:tcPr>
          <w:p w14:paraId="257C8337" w14:textId="4C519D37" w:rsidR="003239B8" w:rsidRPr="00547797" w:rsidRDefault="0075459E" w:rsidP="008D2290">
            <w:pPr>
              <w:jc w:val="both"/>
              <w:rPr>
                <w:rFonts w:asciiTheme="majorHAnsi" w:hAnsiTheme="majorHAnsi"/>
                <w:bCs/>
                <w:sz w:val="20"/>
                <w:szCs w:val="20"/>
                <w:lang w:val="es-ES"/>
              </w:rPr>
            </w:pPr>
            <w:r w:rsidRPr="0075459E">
              <w:rPr>
                <w:rFonts w:asciiTheme="majorHAnsi" w:hAnsiTheme="majorHAnsi"/>
                <w:bCs/>
                <w:sz w:val="20"/>
                <w:szCs w:val="20"/>
                <w:lang w:val="es-CO"/>
              </w:rPr>
              <w:t>Sí, (depósito del instrumento de ratificación realizado el 31 de julio de 1973)</w:t>
            </w:r>
          </w:p>
        </w:tc>
      </w:tr>
    </w:tbl>
    <w:p w14:paraId="299A3868" w14:textId="76102B32" w:rsidR="003239B8" w:rsidRPr="00547797" w:rsidRDefault="003239B8" w:rsidP="003239B8">
      <w:pPr>
        <w:spacing w:before="240" w:after="240"/>
        <w:ind w:firstLine="720"/>
        <w:jc w:val="both"/>
        <w:rPr>
          <w:rFonts w:asciiTheme="majorHAnsi" w:hAnsiTheme="majorHAnsi"/>
          <w:b/>
          <w:bCs/>
          <w:sz w:val="20"/>
          <w:szCs w:val="20"/>
          <w:lang w:val="es-ES"/>
        </w:rPr>
      </w:pPr>
      <w:r w:rsidRPr="00547797">
        <w:rPr>
          <w:rFonts w:asciiTheme="majorHAnsi" w:hAnsiTheme="majorHAnsi"/>
          <w:b/>
          <w:bCs/>
          <w:sz w:val="20"/>
          <w:szCs w:val="20"/>
          <w:lang w:val="es-ES"/>
        </w:rPr>
        <w:t xml:space="preserve">IV. </w:t>
      </w:r>
      <w:r w:rsidRPr="00547797">
        <w:rPr>
          <w:rFonts w:asciiTheme="majorHAnsi" w:hAnsiTheme="majorHAnsi"/>
          <w:b/>
          <w:bCs/>
          <w:sz w:val="20"/>
          <w:szCs w:val="20"/>
          <w:lang w:val="es-ES"/>
        </w:rPr>
        <w:tab/>
      </w:r>
      <w:r w:rsidR="00EE00E9" w:rsidRPr="00547797">
        <w:rPr>
          <w:rFonts w:asciiTheme="majorHAnsi" w:hAnsiTheme="majorHAnsi"/>
          <w:b/>
          <w:bCs/>
          <w:sz w:val="20"/>
          <w:szCs w:val="20"/>
          <w:lang w:val="es-ES"/>
        </w:rPr>
        <w:t>DUPLICACIÓN</w:t>
      </w:r>
      <w:r w:rsidR="00EE00E9" w:rsidRPr="00547797">
        <w:rPr>
          <w:rFonts w:asciiTheme="majorHAnsi" w:hAnsiTheme="majorHAnsi"/>
          <w:b/>
          <w:bCs/>
          <w:color w:val="FFFFFF" w:themeColor="background1"/>
          <w:sz w:val="20"/>
          <w:szCs w:val="20"/>
          <w:lang w:val="es-ES"/>
        </w:rPr>
        <w:t xml:space="preserve"> </w:t>
      </w:r>
      <w:r w:rsidR="00EE00E9" w:rsidRPr="00547797">
        <w:rPr>
          <w:rFonts w:asciiTheme="majorHAnsi" w:hAnsiTheme="majorHAnsi"/>
          <w:b/>
          <w:bCs/>
          <w:sz w:val="20"/>
          <w:szCs w:val="20"/>
          <w:lang w:val="es-ES"/>
        </w:rPr>
        <w:t>DE PROCEDIMIENTOS Y COSA JUZGADA</w:t>
      </w:r>
      <w:r w:rsidR="00EE00E9" w:rsidRPr="00547797">
        <w:rPr>
          <w:rFonts w:asciiTheme="majorHAnsi" w:hAnsiTheme="majorHAnsi"/>
          <w:b/>
          <w:bCs/>
          <w:i/>
          <w:sz w:val="20"/>
          <w:szCs w:val="20"/>
          <w:lang w:val="es-ES"/>
        </w:rPr>
        <w:t xml:space="preserve"> </w:t>
      </w:r>
      <w:r w:rsidR="00EE00E9" w:rsidRPr="00547797">
        <w:rPr>
          <w:rFonts w:asciiTheme="majorHAnsi" w:hAnsiTheme="majorHAnsi"/>
          <w:b/>
          <w:bCs/>
          <w:sz w:val="20"/>
          <w:szCs w:val="20"/>
          <w:lang w:val="es-ES"/>
        </w:rPr>
        <w:t xml:space="preserve">INTERNACIONAL, </w:t>
      </w:r>
      <w:r w:rsidRPr="00547797">
        <w:rPr>
          <w:rFonts w:asciiTheme="majorHAnsi" w:hAnsiTheme="majorHAnsi"/>
          <w:b/>
          <w:bCs/>
          <w:sz w:val="20"/>
          <w:szCs w:val="20"/>
          <w:lang w:val="es-ES"/>
        </w:rPr>
        <w:t xml:space="preserve">CARACTERIZACIÓN, </w:t>
      </w:r>
      <w:r w:rsidRPr="00547797">
        <w:rPr>
          <w:rFonts w:asciiTheme="majorHAnsi" w:hAnsiTheme="majorHAnsi"/>
          <w:b/>
          <w:sz w:val="20"/>
          <w:szCs w:val="20"/>
          <w:lang w:val="es-ES"/>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4"/>
        <w:gridCol w:w="5678"/>
      </w:tblGrid>
      <w:tr w:rsidR="00EE00E9" w:rsidRPr="006F106D" w14:paraId="161C8568" w14:textId="77777777" w:rsidTr="004A6A54">
        <w:trPr>
          <w:cantSplit/>
        </w:trPr>
        <w:tc>
          <w:tcPr>
            <w:tcW w:w="3600" w:type="dxa"/>
            <w:tcBorders>
              <w:top w:val="single" w:sz="4" w:space="0" w:color="auto"/>
              <w:bottom w:val="single" w:sz="6" w:space="0" w:color="auto"/>
            </w:tcBorders>
            <w:shd w:val="clear" w:color="auto" w:fill="386294"/>
            <w:vAlign w:val="center"/>
          </w:tcPr>
          <w:p w14:paraId="1C72AC6C" w14:textId="77777777" w:rsidR="00EE00E9" w:rsidRPr="00547797" w:rsidRDefault="00EE00E9" w:rsidP="008D2290">
            <w:pPr>
              <w:jc w:val="center"/>
              <w:rPr>
                <w:rFonts w:asciiTheme="majorHAnsi" w:hAnsiTheme="majorHAnsi"/>
                <w:b/>
                <w:bCs/>
                <w:color w:val="FFFFFF" w:themeColor="background1"/>
                <w:sz w:val="20"/>
                <w:szCs w:val="20"/>
                <w:lang w:val="es-ES"/>
              </w:rPr>
            </w:pPr>
            <w:r w:rsidRPr="00547797">
              <w:rPr>
                <w:rFonts w:asciiTheme="majorHAnsi" w:hAnsiTheme="majorHAnsi"/>
                <w:b/>
                <w:bCs/>
                <w:color w:val="FFFFFF" w:themeColor="background1"/>
                <w:sz w:val="20"/>
                <w:szCs w:val="20"/>
                <w:lang w:val="es-ES"/>
              </w:rPr>
              <w:t>Duplicación de procedimientos y cosa juzgada internacional:</w:t>
            </w:r>
          </w:p>
        </w:tc>
        <w:tc>
          <w:tcPr>
            <w:tcW w:w="5760" w:type="dxa"/>
            <w:vAlign w:val="center"/>
          </w:tcPr>
          <w:p w14:paraId="764D7F60" w14:textId="161C839F" w:rsidR="00EE00E9" w:rsidRPr="00547797" w:rsidRDefault="00D96C92" w:rsidP="008D2290">
            <w:pPr>
              <w:jc w:val="both"/>
              <w:rPr>
                <w:rFonts w:asciiTheme="majorHAnsi" w:hAnsiTheme="majorHAnsi"/>
                <w:bCs/>
                <w:sz w:val="20"/>
                <w:szCs w:val="20"/>
                <w:lang w:val="es-ES"/>
              </w:rPr>
            </w:pPr>
            <w:r>
              <w:rPr>
                <w:rFonts w:asciiTheme="majorHAnsi" w:hAnsiTheme="majorHAnsi"/>
                <w:bCs/>
                <w:sz w:val="20"/>
                <w:szCs w:val="20"/>
                <w:lang w:val="es-ES"/>
              </w:rPr>
              <w:t>No</w:t>
            </w:r>
          </w:p>
        </w:tc>
      </w:tr>
      <w:tr w:rsidR="003239B8" w:rsidRPr="00547797" w14:paraId="3ED57BF3" w14:textId="77777777" w:rsidTr="004A6A54">
        <w:trPr>
          <w:cantSplit/>
        </w:trPr>
        <w:tc>
          <w:tcPr>
            <w:tcW w:w="3600" w:type="dxa"/>
            <w:tcBorders>
              <w:top w:val="single" w:sz="4" w:space="0" w:color="auto"/>
              <w:bottom w:val="single" w:sz="6" w:space="0" w:color="auto"/>
            </w:tcBorders>
            <w:shd w:val="clear" w:color="auto" w:fill="386294"/>
            <w:vAlign w:val="center"/>
          </w:tcPr>
          <w:p w14:paraId="5F36A040" w14:textId="77777777" w:rsidR="003239B8" w:rsidRPr="00547797" w:rsidRDefault="003239B8" w:rsidP="008D2290">
            <w:pPr>
              <w:jc w:val="center"/>
              <w:rPr>
                <w:rFonts w:asciiTheme="majorHAnsi" w:hAnsiTheme="majorHAnsi"/>
                <w:b/>
                <w:bCs/>
                <w:i/>
                <w:color w:val="FFFFFF" w:themeColor="background1"/>
                <w:sz w:val="20"/>
                <w:szCs w:val="20"/>
              </w:rPr>
            </w:pPr>
            <w:r w:rsidRPr="00547797">
              <w:rPr>
                <w:rFonts w:asciiTheme="majorHAnsi" w:hAnsiTheme="majorHAnsi"/>
                <w:b/>
                <w:bCs/>
                <w:color w:val="FFFFFF" w:themeColor="background1"/>
                <w:sz w:val="20"/>
                <w:szCs w:val="20"/>
              </w:rPr>
              <w:t>Derechos declarados admisibles</w:t>
            </w:r>
            <w:r w:rsidRPr="00547797">
              <w:rPr>
                <w:rFonts w:asciiTheme="majorHAnsi" w:hAnsiTheme="majorHAnsi"/>
                <w:b/>
                <w:bCs/>
                <w:i/>
                <w:color w:val="FFFFFF" w:themeColor="background1"/>
                <w:sz w:val="20"/>
                <w:szCs w:val="20"/>
              </w:rPr>
              <w:t>:</w:t>
            </w:r>
          </w:p>
        </w:tc>
        <w:tc>
          <w:tcPr>
            <w:tcW w:w="5760" w:type="dxa"/>
            <w:vAlign w:val="center"/>
          </w:tcPr>
          <w:p w14:paraId="4DAE9D4D" w14:textId="74F0C7A4" w:rsidR="003239B8" w:rsidRPr="00547797" w:rsidRDefault="006C3633" w:rsidP="008D2290">
            <w:pPr>
              <w:jc w:val="both"/>
              <w:rPr>
                <w:rFonts w:asciiTheme="majorHAnsi" w:hAnsiTheme="majorHAnsi"/>
                <w:bCs/>
                <w:sz w:val="20"/>
                <w:szCs w:val="20"/>
              </w:rPr>
            </w:pPr>
            <w:r>
              <w:rPr>
                <w:rFonts w:asciiTheme="majorHAnsi" w:hAnsiTheme="majorHAnsi"/>
                <w:bCs/>
                <w:sz w:val="20"/>
                <w:szCs w:val="20"/>
              </w:rPr>
              <w:t>Ninguno</w:t>
            </w:r>
          </w:p>
        </w:tc>
      </w:tr>
      <w:tr w:rsidR="003239B8" w:rsidRPr="00300FCF" w14:paraId="5702249F" w14:textId="77777777" w:rsidTr="004A6A54">
        <w:trPr>
          <w:cantSplit/>
        </w:trPr>
        <w:tc>
          <w:tcPr>
            <w:tcW w:w="3600" w:type="dxa"/>
            <w:tcBorders>
              <w:top w:val="single" w:sz="6" w:space="0" w:color="auto"/>
              <w:bottom w:val="single" w:sz="6" w:space="0" w:color="auto"/>
            </w:tcBorders>
            <w:shd w:val="clear" w:color="auto" w:fill="386294"/>
            <w:vAlign w:val="center"/>
          </w:tcPr>
          <w:p w14:paraId="1F00DF1D" w14:textId="77777777" w:rsidR="003239B8" w:rsidRPr="00547797" w:rsidRDefault="003239B8" w:rsidP="008D2290">
            <w:pPr>
              <w:jc w:val="center"/>
              <w:rPr>
                <w:rFonts w:asciiTheme="majorHAnsi" w:hAnsiTheme="majorHAnsi"/>
                <w:b/>
                <w:bCs/>
                <w:color w:val="FFFFFF" w:themeColor="background1"/>
                <w:sz w:val="20"/>
                <w:szCs w:val="20"/>
                <w:lang w:val="es-ES"/>
              </w:rPr>
            </w:pPr>
            <w:r w:rsidRPr="00547797">
              <w:rPr>
                <w:rFonts w:asciiTheme="majorHAnsi" w:hAnsiTheme="majorHAnsi"/>
                <w:b/>
                <w:bCs/>
                <w:color w:val="FFFFFF" w:themeColor="background1"/>
                <w:sz w:val="20"/>
                <w:szCs w:val="20"/>
                <w:lang w:val="es-ES"/>
              </w:rPr>
              <w:t>Agotamiento de recursos internos</w:t>
            </w:r>
            <w:r w:rsidR="00EE00E9" w:rsidRPr="00547797">
              <w:rPr>
                <w:rFonts w:asciiTheme="majorHAnsi" w:hAnsiTheme="majorHAnsi"/>
                <w:b/>
                <w:bCs/>
                <w:color w:val="FFFFFF" w:themeColor="background1"/>
                <w:sz w:val="20"/>
                <w:szCs w:val="20"/>
                <w:lang w:val="es-ES"/>
              </w:rPr>
              <w:t xml:space="preserve"> o procedencia de una excepción</w:t>
            </w:r>
            <w:r w:rsidRPr="00547797">
              <w:rPr>
                <w:rFonts w:asciiTheme="majorHAnsi" w:hAnsiTheme="majorHAnsi"/>
                <w:b/>
                <w:bCs/>
                <w:color w:val="FFFFFF" w:themeColor="background1"/>
                <w:sz w:val="20"/>
                <w:szCs w:val="20"/>
                <w:lang w:val="es-ES"/>
              </w:rPr>
              <w:t>:</w:t>
            </w:r>
          </w:p>
        </w:tc>
        <w:tc>
          <w:tcPr>
            <w:tcW w:w="5760" w:type="dxa"/>
            <w:vAlign w:val="center"/>
          </w:tcPr>
          <w:p w14:paraId="7F7C1A19" w14:textId="4F19F64F" w:rsidR="003239B8" w:rsidRPr="00547797" w:rsidRDefault="006C3633" w:rsidP="008D2290">
            <w:pPr>
              <w:rPr>
                <w:rFonts w:asciiTheme="majorHAnsi" w:hAnsiTheme="majorHAnsi"/>
                <w:bCs/>
                <w:sz w:val="20"/>
                <w:szCs w:val="20"/>
                <w:lang w:val="es-ES"/>
              </w:rPr>
            </w:pPr>
            <w:r>
              <w:rPr>
                <w:rFonts w:asciiTheme="majorHAnsi" w:hAnsiTheme="majorHAnsi"/>
                <w:bCs/>
                <w:sz w:val="20"/>
                <w:szCs w:val="20"/>
                <w:lang w:val="es-ES"/>
              </w:rPr>
              <w:t>Sí</w:t>
            </w:r>
            <w:r w:rsidR="00C712DD">
              <w:rPr>
                <w:rFonts w:asciiTheme="majorHAnsi" w:hAnsiTheme="majorHAnsi"/>
                <w:bCs/>
                <w:sz w:val="20"/>
                <w:szCs w:val="20"/>
                <w:lang w:val="es-ES"/>
              </w:rPr>
              <w:t>, parcialmente en los términos de la Sección VI</w:t>
            </w:r>
          </w:p>
        </w:tc>
      </w:tr>
      <w:tr w:rsidR="003239B8" w:rsidRPr="00547797" w14:paraId="7A101B89" w14:textId="77777777" w:rsidTr="004A6A54">
        <w:trPr>
          <w:cantSplit/>
        </w:trPr>
        <w:tc>
          <w:tcPr>
            <w:tcW w:w="3600" w:type="dxa"/>
            <w:tcBorders>
              <w:top w:val="single" w:sz="6" w:space="0" w:color="auto"/>
              <w:bottom w:val="single" w:sz="6" w:space="0" w:color="auto"/>
            </w:tcBorders>
            <w:shd w:val="clear" w:color="auto" w:fill="386294"/>
            <w:vAlign w:val="center"/>
          </w:tcPr>
          <w:p w14:paraId="0843C533" w14:textId="77777777" w:rsidR="003239B8" w:rsidRPr="00547797" w:rsidRDefault="003239B8" w:rsidP="008D2290">
            <w:pPr>
              <w:jc w:val="center"/>
              <w:rPr>
                <w:rFonts w:asciiTheme="majorHAnsi" w:hAnsiTheme="majorHAnsi"/>
                <w:b/>
                <w:bCs/>
                <w:color w:val="FFFFFF" w:themeColor="background1"/>
                <w:sz w:val="20"/>
                <w:szCs w:val="20"/>
              </w:rPr>
            </w:pPr>
            <w:r w:rsidRPr="00547797">
              <w:rPr>
                <w:rFonts w:asciiTheme="majorHAnsi" w:hAnsiTheme="majorHAnsi"/>
                <w:b/>
                <w:bCs/>
                <w:color w:val="FFFFFF" w:themeColor="background1"/>
                <w:sz w:val="20"/>
                <w:szCs w:val="20"/>
              </w:rPr>
              <w:t>Presentación dentro de plazo:</w:t>
            </w:r>
          </w:p>
        </w:tc>
        <w:tc>
          <w:tcPr>
            <w:tcW w:w="5760" w:type="dxa"/>
            <w:vAlign w:val="center"/>
          </w:tcPr>
          <w:p w14:paraId="2AF0FC69" w14:textId="7137736C" w:rsidR="003239B8" w:rsidRPr="00547797" w:rsidRDefault="006C3633" w:rsidP="008D2290">
            <w:pPr>
              <w:rPr>
                <w:rFonts w:asciiTheme="majorHAnsi" w:hAnsiTheme="majorHAnsi"/>
                <w:bCs/>
                <w:sz w:val="20"/>
                <w:szCs w:val="20"/>
              </w:rPr>
            </w:pPr>
            <w:r>
              <w:rPr>
                <w:rFonts w:asciiTheme="majorHAnsi" w:hAnsiTheme="majorHAnsi"/>
                <w:bCs/>
                <w:sz w:val="20"/>
                <w:szCs w:val="20"/>
              </w:rPr>
              <w:t>Sí</w:t>
            </w:r>
          </w:p>
        </w:tc>
      </w:tr>
    </w:tbl>
    <w:p w14:paraId="77156FA0" w14:textId="77777777" w:rsidR="002D5EBC" w:rsidRDefault="002D5EBC" w:rsidP="003239B8">
      <w:pPr>
        <w:spacing w:before="240" w:after="240"/>
        <w:ind w:firstLine="720"/>
        <w:jc w:val="both"/>
        <w:rPr>
          <w:rFonts w:asciiTheme="majorHAnsi" w:hAnsiTheme="majorHAnsi"/>
          <w:b/>
          <w:sz w:val="20"/>
          <w:szCs w:val="20"/>
          <w:lang w:val="es-UY"/>
        </w:rPr>
      </w:pPr>
    </w:p>
    <w:p w14:paraId="47E38DB8" w14:textId="77777777" w:rsidR="00223D53" w:rsidRDefault="00223A29" w:rsidP="003239B8">
      <w:pPr>
        <w:spacing w:before="240" w:after="240"/>
        <w:ind w:firstLine="720"/>
        <w:jc w:val="both"/>
        <w:rPr>
          <w:rFonts w:asciiTheme="majorHAnsi" w:hAnsiTheme="majorHAnsi"/>
          <w:b/>
          <w:sz w:val="20"/>
          <w:szCs w:val="20"/>
          <w:lang w:val="es-UY"/>
        </w:rPr>
      </w:pPr>
      <w:r w:rsidRPr="00547797">
        <w:rPr>
          <w:rFonts w:asciiTheme="majorHAnsi" w:hAnsiTheme="majorHAnsi"/>
          <w:b/>
          <w:sz w:val="20"/>
          <w:szCs w:val="20"/>
          <w:lang w:val="es-UY"/>
        </w:rPr>
        <w:t xml:space="preserve">V. </w:t>
      </w:r>
      <w:r w:rsidRPr="00547797">
        <w:rPr>
          <w:rFonts w:asciiTheme="majorHAnsi" w:hAnsiTheme="majorHAnsi"/>
          <w:b/>
          <w:sz w:val="20"/>
          <w:szCs w:val="20"/>
          <w:lang w:val="es-UY"/>
        </w:rPr>
        <w:tab/>
      </w:r>
      <w:r w:rsidR="004241A0" w:rsidRPr="00547797">
        <w:rPr>
          <w:rFonts w:asciiTheme="majorHAnsi" w:hAnsiTheme="majorHAnsi"/>
          <w:b/>
          <w:sz w:val="20"/>
          <w:szCs w:val="20"/>
          <w:lang w:val="es-UY"/>
        </w:rPr>
        <w:t>POSICIÓN DE LAS PARTES</w:t>
      </w:r>
    </w:p>
    <w:p w14:paraId="56FD5D57" w14:textId="57CAA51B" w:rsidR="003239B8" w:rsidRPr="00223D53" w:rsidRDefault="00223D53" w:rsidP="003239B8">
      <w:pPr>
        <w:spacing w:before="240" w:after="240"/>
        <w:ind w:firstLine="720"/>
        <w:jc w:val="both"/>
        <w:rPr>
          <w:rFonts w:asciiTheme="majorHAnsi" w:hAnsiTheme="majorHAnsi"/>
          <w:bCs/>
          <w:i/>
          <w:iCs/>
          <w:sz w:val="20"/>
          <w:szCs w:val="20"/>
          <w:lang w:val="es-UY"/>
        </w:rPr>
      </w:pPr>
      <w:r w:rsidRPr="00223D53">
        <w:rPr>
          <w:rFonts w:asciiTheme="majorHAnsi" w:hAnsiTheme="majorHAnsi"/>
          <w:bCs/>
          <w:i/>
          <w:iCs/>
          <w:sz w:val="20"/>
          <w:szCs w:val="20"/>
          <w:lang w:val="es-UY"/>
        </w:rPr>
        <w:t>Alegatos del peticionario</w:t>
      </w:r>
      <w:r w:rsidR="003239B8" w:rsidRPr="00223D53">
        <w:rPr>
          <w:rFonts w:asciiTheme="majorHAnsi" w:hAnsiTheme="majorHAnsi"/>
          <w:bCs/>
          <w:i/>
          <w:iCs/>
          <w:sz w:val="20"/>
          <w:szCs w:val="20"/>
          <w:lang w:val="es-UY"/>
        </w:rPr>
        <w:t xml:space="preserve"> </w:t>
      </w:r>
    </w:p>
    <w:p w14:paraId="56F97321" w14:textId="079C2C45" w:rsidR="00444269" w:rsidRDefault="002C31FF" w:rsidP="00444269">
      <w:pPr>
        <w:pStyle w:val="ListParagraph"/>
        <w:numPr>
          <w:ilvl w:val="0"/>
          <w:numId w:val="60"/>
        </w:numPr>
        <w:spacing w:before="240" w:after="240"/>
        <w:ind w:left="0" w:firstLine="720"/>
        <w:jc w:val="both"/>
        <w:rPr>
          <w:rFonts w:asciiTheme="majorHAnsi" w:hAnsiTheme="majorHAnsi"/>
          <w:bCs/>
          <w:sz w:val="20"/>
          <w:szCs w:val="20"/>
          <w:lang w:val="es-UY"/>
        </w:rPr>
      </w:pPr>
      <w:r>
        <w:rPr>
          <w:rFonts w:asciiTheme="majorHAnsi" w:hAnsiTheme="majorHAnsi"/>
          <w:bCs/>
          <w:sz w:val="20"/>
          <w:szCs w:val="20"/>
          <w:lang w:val="es-UY"/>
        </w:rPr>
        <w:t xml:space="preserve">El peticionario </w:t>
      </w:r>
      <w:r w:rsidR="00223D53">
        <w:rPr>
          <w:rFonts w:asciiTheme="majorHAnsi" w:hAnsiTheme="majorHAnsi"/>
          <w:bCs/>
          <w:sz w:val="20"/>
          <w:szCs w:val="20"/>
          <w:lang w:val="es-UY"/>
        </w:rPr>
        <w:t xml:space="preserve">y presunta víctima </w:t>
      </w:r>
      <w:r>
        <w:rPr>
          <w:rFonts w:asciiTheme="majorHAnsi" w:hAnsiTheme="majorHAnsi"/>
          <w:bCs/>
          <w:sz w:val="20"/>
          <w:szCs w:val="20"/>
          <w:lang w:val="es-UY"/>
        </w:rPr>
        <w:t>alega la violación de su derecho a las garantías judiciales del debido proceso por</w:t>
      </w:r>
      <w:r w:rsidR="00240253">
        <w:rPr>
          <w:rFonts w:asciiTheme="majorHAnsi" w:hAnsiTheme="majorHAnsi"/>
          <w:bCs/>
          <w:sz w:val="20"/>
          <w:szCs w:val="20"/>
          <w:lang w:val="es-UY"/>
        </w:rPr>
        <w:t xml:space="preserve"> su destitución del cargo de juez civil </w:t>
      </w:r>
      <w:r w:rsidR="00B92B98">
        <w:rPr>
          <w:rFonts w:asciiTheme="majorHAnsi" w:hAnsiTheme="majorHAnsi"/>
          <w:bCs/>
          <w:sz w:val="20"/>
          <w:szCs w:val="20"/>
          <w:lang w:val="es-UY"/>
        </w:rPr>
        <w:t xml:space="preserve">y su condena penal </w:t>
      </w:r>
      <w:r w:rsidR="002E63E5">
        <w:rPr>
          <w:rFonts w:asciiTheme="majorHAnsi" w:hAnsiTheme="majorHAnsi"/>
          <w:bCs/>
          <w:sz w:val="20"/>
          <w:szCs w:val="20"/>
          <w:lang w:val="es-UY"/>
        </w:rPr>
        <w:t>tras</w:t>
      </w:r>
      <w:r w:rsidR="00240253">
        <w:rPr>
          <w:rFonts w:asciiTheme="majorHAnsi" w:hAnsiTheme="majorHAnsi"/>
          <w:bCs/>
          <w:sz w:val="20"/>
          <w:szCs w:val="20"/>
          <w:lang w:val="es-UY"/>
        </w:rPr>
        <w:t xml:space="preserve"> </w:t>
      </w:r>
      <w:r w:rsidR="000E07EB">
        <w:rPr>
          <w:rFonts w:asciiTheme="majorHAnsi" w:hAnsiTheme="majorHAnsi"/>
          <w:bCs/>
          <w:sz w:val="20"/>
          <w:szCs w:val="20"/>
          <w:lang w:val="es-UY"/>
        </w:rPr>
        <w:t>dos</w:t>
      </w:r>
      <w:r w:rsidR="00240253">
        <w:rPr>
          <w:rFonts w:asciiTheme="majorHAnsi" w:hAnsiTheme="majorHAnsi"/>
          <w:bCs/>
          <w:sz w:val="20"/>
          <w:szCs w:val="20"/>
          <w:lang w:val="es-UY"/>
        </w:rPr>
        <w:t xml:space="preserve"> proceso</w:t>
      </w:r>
      <w:r w:rsidR="000E07EB">
        <w:rPr>
          <w:rFonts w:asciiTheme="majorHAnsi" w:hAnsiTheme="majorHAnsi"/>
          <w:bCs/>
          <w:sz w:val="20"/>
          <w:szCs w:val="20"/>
          <w:lang w:val="es-UY"/>
        </w:rPr>
        <w:t>s</w:t>
      </w:r>
      <w:r w:rsidR="00240253">
        <w:rPr>
          <w:rFonts w:asciiTheme="majorHAnsi" w:hAnsiTheme="majorHAnsi"/>
          <w:bCs/>
          <w:sz w:val="20"/>
          <w:szCs w:val="20"/>
          <w:lang w:val="es-UY"/>
        </w:rPr>
        <w:t xml:space="preserve"> disciplinario</w:t>
      </w:r>
      <w:r w:rsidR="000E07EB">
        <w:rPr>
          <w:rFonts w:asciiTheme="majorHAnsi" w:hAnsiTheme="majorHAnsi"/>
          <w:bCs/>
          <w:sz w:val="20"/>
          <w:szCs w:val="20"/>
          <w:lang w:val="es-UY"/>
        </w:rPr>
        <w:t>s y dos procesos penales</w:t>
      </w:r>
      <w:r w:rsidR="00240253">
        <w:rPr>
          <w:rFonts w:asciiTheme="majorHAnsi" w:hAnsiTheme="majorHAnsi"/>
          <w:bCs/>
          <w:sz w:val="20"/>
          <w:szCs w:val="20"/>
          <w:lang w:val="es-UY"/>
        </w:rPr>
        <w:t xml:space="preserve"> iniciado</w:t>
      </w:r>
      <w:r w:rsidR="000E07EB">
        <w:rPr>
          <w:rFonts w:asciiTheme="majorHAnsi" w:hAnsiTheme="majorHAnsi"/>
          <w:bCs/>
          <w:sz w:val="20"/>
          <w:szCs w:val="20"/>
          <w:lang w:val="es-UY"/>
        </w:rPr>
        <w:t>s</w:t>
      </w:r>
      <w:r w:rsidR="00240253">
        <w:rPr>
          <w:rFonts w:asciiTheme="majorHAnsi" w:hAnsiTheme="majorHAnsi"/>
          <w:bCs/>
          <w:sz w:val="20"/>
          <w:szCs w:val="20"/>
          <w:lang w:val="es-UY"/>
        </w:rPr>
        <w:t xml:space="preserve"> </w:t>
      </w:r>
      <w:r w:rsidR="002276D4">
        <w:rPr>
          <w:rFonts w:asciiTheme="majorHAnsi" w:hAnsiTheme="majorHAnsi"/>
          <w:bCs/>
          <w:sz w:val="20"/>
          <w:szCs w:val="20"/>
          <w:lang w:val="es-UY"/>
        </w:rPr>
        <w:t xml:space="preserve">a raíz </w:t>
      </w:r>
      <w:r w:rsidR="00240253">
        <w:rPr>
          <w:rFonts w:asciiTheme="majorHAnsi" w:hAnsiTheme="majorHAnsi"/>
          <w:bCs/>
          <w:sz w:val="20"/>
          <w:szCs w:val="20"/>
          <w:lang w:val="es-UY"/>
        </w:rPr>
        <w:t xml:space="preserve">de una decisión </w:t>
      </w:r>
      <w:r w:rsidR="002276D4">
        <w:rPr>
          <w:rFonts w:asciiTheme="majorHAnsi" w:hAnsiTheme="majorHAnsi"/>
          <w:bCs/>
          <w:sz w:val="20"/>
          <w:szCs w:val="20"/>
          <w:lang w:val="es-UY"/>
        </w:rPr>
        <w:t>judicial</w:t>
      </w:r>
      <w:r w:rsidR="0040141A">
        <w:rPr>
          <w:rFonts w:asciiTheme="majorHAnsi" w:hAnsiTheme="majorHAnsi"/>
          <w:bCs/>
          <w:sz w:val="20"/>
          <w:szCs w:val="20"/>
          <w:lang w:val="es-UY"/>
        </w:rPr>
        <w:t xml:space="preserve"> que profirió</w:t>
      </w:r>
      <w:r w:rsidR="00B833D6">
        <w:rPr>
          <w:rFonts w:asciiTheme="majorHAnsi" w:hAnsiTheme="majorHAnsi"/>
          <w:bCs/>
          <w:sz w:val="20"/>
          <w:szCs w:val="20"/>
          <w:lang w:val="es-UY"/>
        </w:rPr>
        <w:t xml:space="preserve"> en un proceso de tutela</w:t>
      </w:r>
      <w:r w:rsidR="00240253">
        <w:rPr>
          <w:rFonts w:asciiTheme="majorHAnsi" w:hAnsiTheme="majorHAnsi"/>
          <w:bCs/>
          <w:sz w:val="20"/>
          <w:szCs w:val="20"/>
          <w:lang w:val="es-UY"/>
        </w:rPr>
        <w:t>.</w:t>
      </w:r>
    </w:p>
    <w:p w14:paraId="2EFC9806" w14:textId="1790F991" w:rsidR="004B3C4E" w:rsidRPr="0094779D" w:rsidRDefault="00865567" w:rsidP="004B3C4E">
      <w:pPr>
        <w:pStyle w:val="ListParagraph"/>
        <w:numPr>
          <w:ilvl w:val="0"/>
          <w:numId w:val="60"/>
        </w:numPr>
        <w:spacing w:before="240" w:after="240"/>
        <w:ind w:left="0" w:firstLine="720"/>
        <w:jc w:val="both"/>
        <w:rPr>
          <w:rFonts w:asciiTheme="majorHAnsi" w:hAnsiTheme="majorHAnsi"/>
          <w:bCs/>
          <w:sz w:val="20"/>
          <w:szCs w:val="20"/>
          <w:lang w:val="es-ES"/>
        </w:rPr>
      </w:pPr>
      <w:r w:rsidRPr="00BB5330">
        <w:rPr>
          <w:rFonts w:asciiTheme="majorHAnsi" w:hAnsiTheme="majorHAnsi"/>
          <w:sz w:val="20"/>
          <w:szCs w:val="20"/>
          <w:lang w:val="es-CO"/>
        </w:rPr>
        <w:t xml:space="preserve">El Sr. Arnelys José Payares Pérez </w:t>
      </w:r>
      <w:r w:rsidR="00BB5330" w:rsidRPr="00BB5330">
        <w:rPr>
          <w:rFonts w:asciiTheme="majorHAnsi" w:hAnsiTheme="majorHAnsi"/>
          <w:sz w:val="20"/>
          <w:szCs w:val="20"/>
          <w:lang w:val="es-CO"/>
        </w:rPr>
        <w:t xml:space="preserve">relata que </w:t>
      </w:r>
      <w:r w:rsidR="00BB5330">
        <w:rPr>
          <w:rFonts w:asciiTheme="majorHAnsi" w:hAnsiTheme="majorHAnsi"/>
          <w:sz w:val="20"/>
          <w:szCs w:val="20"/>
          <w:lang w:val="es-CO"/>
        </w:rPr>
        <w:t xml:space="preserve">se vinculó </w:t>
      </w:r>
      <w:r w:rsidR="005A75CB">
        <w:rPr>
          <w:rFonts w:asciiTheme="majorHAnsi" w:hAnsiTheme="majorHAnsi"/>
          <w:sz w:val="20"/>
          <w:szCs w:val="20"/>
          <w:lang w:val="es-CO"/>
        </w:rPr>
        <w:t>como funcionario de</w:t>
      </w:r>
      <w:r w:rsidR="00BB5330">
        <w:rPr>
          <w:rFonts w:asciiTheme="majorHAnsi" w:hAnsiTheme="majorHAnsi"/>
          <w:sz w:val="20"/>
          <w:szCs w:val="20"/>
          <w:lang w:val="es-CO"/>
        </w:rPr>
        <w:t>l Poder Judicial el 6 de mayo de 1991 mediante un concurso de méritos</w:t>
      </w:r>
      <w:r w:rsidR="00AA07DF">
        <w:rPr>
          <w:rFonts w:asciiTheme="majorHAnsi" w:hAnsiTheme="majorHAnsi"/>
          <w:sz w:val="20"/>
          <w:szCs w:val="20"/>
          <w:lang w:val="es-CO"/>
        </w:rPr>
        <w:t>;</w:t>
      </w:r>
      <w:r w:rsidR="00BB5330">
        <w:rPr>
          <w:rFonts w:asciiTheme="majorHAnsi" w:hAnsiTheme="majorHAnsi"/>
          <w:sz w:val="20"/>
          <w:szCs w:val="20"/>
          <w:lang w:val="es-CO"/>
        </w:rPr>
        <w:t xml:space="preserve"> </w:t>
      </w:r>
      <w:r w:rsidR="00AA07DF">
        <w:rPr>
          <w:rFonts w:asciiTheme="majorHAnsi" w:hAnsiTheme="majorHAnsi"/>
          <w:sz w:val="20"/>
          <w:szCs w:val="20"/>
          <w:lang w:val="es-CO"/>
        </w:rPr>
        <w:t>y e</w:t>
      </w:r>
      <w:r w:rsidR="00661792">
        <w:rPr>
          <w:rFonts w:asciiTheme="majorHAnsi" w:hAnsiTheme="majorHAnsi"/>
          <w:sz w:val="20"/>
          <w:szCs w:val="20"/>
          <w:lang w:val="es-CO"/>
        </w:rPr>
        <w:t>ventualmente fue nombrado Juez Se</w:t>
      </w:r>
      <w:r w:rsidR="00524ACD">
        <w:rPr>
          <w:rFonts w:asciiTheme="majorHAnsi" w:hAnsiTheme="majorHAnsi"/>
          <w:sz w:val="20"/>
          <w:szCs w:val="20"/>
          <w:lang w:val="es-CO"/>
        </w:rPr>
        <w:t xml:space="preserve">gundo </w:t>
      </w:r>
      <w:r w:rsidR="00DA3C0F">
        <w:rPr>
          <w:rFonts w:asciiTheme="majorHAnsi" w:hAnsiTheme="majorHAnsi"/>
          <w:sz w:val="20"/>
          <w:szCs w:val="20"/>
          <w:lang w:val="es-CO"/>
        </w:rPr>
        <w:t xml:space="preserve">Civil del </w:t>
      </w:r>
      <w:r w:rsidR="00347CD0">
        <w:rPr>
          <w:rFonts w:asciiTheme="majorHAnsi" w:hAnsiTheme="majorHAnsi"/>
          <w:sz w:val="20"/>
          <w:szCs w:val="20"/>
          <w:lang w:val="es-CO"/>
        </w:rPr>
        <w:t>c</w:t>
      </w:r>
      <w:r w:rsidR="00DA3C0F">
        <w:rPr>
          <w:rFonts w:asciiTheme="majorHAnsi" w:hAnsiTheme="majorHAnsi"/>
          <w:sz w:val="20"/>
          <w:szCs w:val="20"/>
          <w:lang w:val="es-CO"/>
        </w:rPr>
        <w:t>ircuito del municipio de Magangué, departamento de Bolívar.</w:t>
      </w:r>
      <w:r w:rsidR="004B3C4E">
        <w:rPr>
          <w:rFonts w:asciiTheme="majorHAnsi" w:hAnsiTheme="majorHAnsi"/>
          <w:sz w:val="20"/>
          <w:szCs w:val="20"/>
          <w:lang w:val="es-CO"/>
        </w:rPr>
        <w:t xml:space="preserve"> </w:t>
      </w:r>
      <w:r w:rsidR="004B3C4E" w:rsidRPr="0094779D">
        <w:rPr>
          <w:rFonts w:asciiTheme="majorHAnsi" w:hAnsiTheme="majorHAnsi"/>
          <w:bCs/>
          <w:sz w:val="20"/>
          <w:szCs w:val="20"/>
          <w:lang w:val="es-ES"/>
        </w:rPr>
        <w:t xml:space="preserve">En el presente asunto, la Comisión observa que el señor </w:t>
      </w:r>
      <w:r w:rsidR="005B38A7" w:rsidRPr="0094779D">
        <w:rPr>
          <w:rFonts w:asciiTheme="majorHAnsi" w:hAnsiTheme="majorHAnsi"/>
          <w:bCs/>
          <w:sz w:val="20"/>
          <w:szCs w:val="20"/>
          <w:lang w:val="es-ES"/>
        </w:rPr>
        <w:t>Payares</w:t>
      </w:r>
      <w:r w:rsidR="004B3C4E" w:rsidRPr="0094779D">
        <w:rPr>
          <w:rFonts w:asciiTheme="majorHAnsi" w:hAnsiTheme="majorHAnsi"/>
          <w:bCs/>
          <w:sz w:val="20"/>
          <w:szCs w:val="20"/>
          <w:lang w:val="es-ES"/>
        </w:rPr>
        <w:t xml:space="preserve"> Pérez ha aportado abundante </w:t>
      </w:r>
      <w:r w:rsidR="004B3C4E" w:rsidRPr="0094779D">
        <w:rPr>
          <w:rFonts w:asciiTheme="majorHAnsi" w:hAnsiTheme="majorHAnsi"/>
          <w:sz w:val="20"/>
          <w:szCs w:val="20"/>
          <w:lang w:val="es-ES"/>
        </w:rPr>
        <w:t>información</w:t>
      </w:r>
      <w:r w:rsidR="004B3C4E" w:rsidRPr="0094779D">
        <w:rPr>
          <w:rFonts w:asciiTheme="majorHAnsi" w:hAnsiTheme="majorHAnsi"/>
          <w:bCs/>
          <w:sz w:val="20"/>
          <w:szCs w:val="20"/>
          <w:lang w:val="es-ES"/>
        </w:rPr>
        <w:t xml:space="preserve"> en su escrito de petición inicial</w:t>
      </w:r>
      <w:r w:rsidR="005B38A7" w:rsidRPr="0094779D">
        <w:rPr>
          <w:rFonts w:asciiTheme="majorHAnsi" w:hAnsiTheme="majorHAnsi"/>
          <w:bCs/>
          <w:sz w:val="20"/>
          <w:szCs w:val="20"/>
          <w:lang w:val="es-ES"/>
        </w:rPr>
        <w:t xml:space="preserve"> y </w:t>
      </w:r>
      <w:r w:rsidR="004B3C4E" w:rsidRPr="0094779D">
        <w:rPr>
          <w:rFonts w:asciiTheme="majorHAnsi" w:hAnsiTheme="majorHAnsi"/>
          <w:bCs/>
          <w:sz w:val="20"/>
          <w:szCs w:val="20"/>
          <w:lang w:val="es-ES"/>
        </w:rPr>
        <w:t xml:space="preserve">comunicaciones subsecuentes, información que es confusa e imprecisa respecto a la cronología de los procedimientos </w:t>
      </w:r>
      <w:r w:rsidR="00CA438B" w:rsidRPr="0094779D">
        <w:rPr>
          <w:rFonts w:asciiTheme="majorHAnsi" w:hAnsiTheme="majorHAnsi"/>
          <w:bCs/>
          <w:sz w:val="20"/>
          <w:szCs w:val="20"/>
          <w:lang w:val="es-ES"/>
        </w:rPr>
        <w:t xml:space="preserve">disciplinarios y penales </w:t>
      </w:r>
      <w:r w:rsidR="004B3C4E" w:rsidRPr="0094779D">
        <w:rPr>
          <w:rFonts w:asciiTheme="majorHAnsi" w:hAnsiTheme="majorHAnsi"/>
          <w:bCs/>
          <w:sz w:val="20"/>
          <w:szCs w:val="20"/>
          <w:lang w:val="es-ES"/>
        </w:rPr>
        <w:t>seguidos en su contra. No obstante, del análisis cauteloso de dicha información</w:t>
      </w:r>
      <w:r w:rsidR="004B3C4E" w:rsidRPr="0094779D">
        <w:rPr>
          <w:rFonts w:asciiTheme="majorHAnsi" w:hAnsiTheme="majorHAnsi"/>
          <w:bCs/>
          <w:sz w:val="20"/>
          <w:szCs w:val="20"/>
          <w:vertAlign w:val="superscript"/>
          <w:lang w:val="es-ES"/>
        </w:rPr>
        <w:footnoteReference w:id="5"/>
      </w:r>
      <w:r w:rsidR="004B3C4E" w:rsidRPr="0094779D">
        <w:rPr>
          <w:rFonts w:asciiTheme="majorHAnsi" w:hAnsiTheme="majorHAnsi"/>
          <w:bCs/>
          <w:sz w:val="20"/>
          <w:szCs w:val="20"/>
          <w:lang w:val="es-ES"/>
        </w:rPr>
        <w:t xml:space="preserve">, la CIDH </w:t>
      </w:r>
      <w:r w:rsidR="00CD13F4" w:rsidRPr="0094779D">
        <w:rPr>
          <w:rFonts w:asciiTheme="majorHAnsi" w:hAnsiTheme="majorHAnsi"/>
          <w:bCs/>
          <w:sz w:val="20"/>
          <w:szCs w:val="20"/>
          <w:lang w:val="es-ES"/>
        </w:rPr>
        <w:t>extrae</w:t>
      </w:r>
      <w:r w:rsidR="004B3C4E" w:rsidRPr="0094779D">
        <w:rPr>
          <w:rFonts w:asciiTheme="majorHAnsi" w:hAnsiTheme="majorHAnsi"/>
          <w:bCs/>
          <w:sz w:val="20"/>
          <w:szCs w:val="20"/>
          <w:lang w:val="es-ES"/>
        </w:rPr>
        <w:t xml:space="preserve"> lo siguiente:</w:t>
      </w:r>
    </w:p>
    <w:p w14:paraId="725B49EE" w14:textId="125811B1" w:rsidR="000F6C14" w:rsidRPr="009B7AD3" w:rsidRDefault="00DE13B3" w:rsidP="004B3C4E">
      <w:pPr>
        <w:pStyle w:val="ListParagraph"/>
        <w:numPr>
          <w:ilvl w:val="0"/>
          <w:numId w:val="60"/>
        </w:numPr>
        <w:spacing w:before="240" w:after="240"/>
        <w:ind w:left="0" w:firstLine="720"/>
        <w:jc w:val="both"/>
        <w:rPr>
          <w:rFonts w:asciiTheme="majorHAnsi" w:hAnsiTheme="majorHAnsi"/>
          <w:bCs/>
          <w:sz w:val="20"/>
          <w:szCs w:val="20"/>
          <w:lang w:val="es-CO"/>
        </w:rPr>
      </w:pPr>
      <w:r>
        <w:rPr>
          <w:rFonts w:asciiTheme="majorHAnsi" w:hAnsiTheme="majorHAnsi"/>
          <w:sz w:val="20"/>
          <w:szCs w:val="20"/>
          <w:lang w:val="es-CO"/>
        </w:rPr>
        <w:t xml:space="preserve">En </w:t>
      </w:r>
      <w:r w:rsidR="00F5087E">
        <w:rPr>
          <w:rFonts w:asciiTheme="majorHAnsi" w:hAnsiTheme="majorHAnsi"/>
          <w:sz w:val="20"/>
          <w:szCs w:val="20"/>
          <w:lang w:val="es-CO"/>
        </w:rPr>
        <w:t xml:space="preserve">su </w:t>
      </w:r>
      <w:r w:rsidR="00240D4D">
        <w:rPr>
          <w:rFonts w:asciiTheme="majorHAnsi" w:hAnsiTheme="majorHAnsi"/>
          <w:sz w:val="20"/>
          <w:szCs w:val="20"/>
          <w:lang w:val="es-CO"/>
        </w:rPr>
        <w:t>carácter</w:t>
      </w:r>
      <w:r w:rsidR="005D5364">
        <w:rPr>
          <w:rFonts w:asciiTheme="majorHAnsi" w:hAnsiTheme="majorHAnsi"/>
          <w:sz w:val="20"/>
          <w:szCs w:val="20"/>
          <w:lang w:val="es-CO"/>
        </w:rPr>
        <w:t xml:space="preserve"> </w:t>
      </w:r>
      <w:r w:rsidR="00F5087E">
        <w:rPr>
          <w:rFonts w:asciiTheme="majorHAnsi" w:hAnsiTheme="majorHAnsi"/>
          <w:sz w:val="20"/>
          <w:szCs w:val="20"/>
          <w:lang w:val="es-CO"/>
        </w:rPr>
        <w:t xml:space="preserve">de juez civil de Magangué </w:t>
      </w:r>
      <w:r>
        <w:rPr>
          <w:rFonts w:asciiTheme="majorHAnsi" w:hAnsiTheme="majorHAnsi"/>
          <w:sz w:val="20"/>
          <w:szCs w:val="20"/>
          <w:lang w:val="es-CO"/>
        </w:rPr>
        <w:t xml:space="preserve">le </w:t>
      </w:r>
      <w:r w:rsidR="007170DD">
        <w:rPr>
          <w:rFonts w:asciiTheme="majorHAnsi" w:hAnsiTheme="majorHAnsi"/>
          <w:sz w:val="20"/>
          <w:szCs w:val="20"/>
          <w:lang w:val="es-CO"/>
        </w:rPr>
        <w:t>tocaron</w:t>
      </w:r>
      <w:r>
        <w:rPr>
          <w:rFonts w:asciiTheme="majorHAnsi" w:hAnsiTheme="majorHAnsi"/>
          <w:sz w:val="20"/>
          <w:szCs w:val="20"/>
          <w:lang w:val="es-CO"/>
        </w:rPr>
        <w:t xml:space="preserve"> dos acciones de tutela</w:t>
      </w:r>
      <w:r w:rsidR="005D5364">
        <w:rPr>
          <w:rFonts w:asciiTheme="majorHAnsi" w:hAnsiTheme="majorHAnsi"/>
          <w:sz w:val="20"/>
          <w:szCs w:val="20"/>
          <w:lang w:val="es-CO"/>
        </w:rPr>
        <w:t xml:space="preserve"> </w:t>
      </w:r>
      <w:r w:rsidR="00F5087E">
        <w:rPr>
          <w:rFonts w:asciiTheme="majorHAnsi" w:hAnsiTheme="majorHAnsi"/>
          <w:sz w:val="20"/>
          <w:szCs w:val="20"/>
          <w:lang w:val="es-CO"/>
        </w:rPr>
        <w:t xml:space="preserve">en 2006 </w:t>
      </w:r>
      <w:r w:rsidR="005D5364">
        <w:rPr>
          <w:rFonts w:asciiTheme="majorHAnsi" w:hAnsiTheme="majorHAnsi"/>
          <w:sz w:val="20"/>
          <w:szCs w:val="20"/>
          <w:lang w:val="es-CO"/>
        </w:rPr>
        <w:t>instauradas por dos grupos de docentes contra</w:t>
      </w:r>
      <w:r w:rsidR="00F319F6">
        <w:rPr>
          <w:rFonts w:asciiTheme="majorHAnsi" w:hAnsiTheme="majorHAnsi"/>
          <w:sz w:val="20"/>
          <w:szCs w:val="20"/>
          <w:lang w:val="es-CO"/>
        </w:rPr>
        <w:t xml:space="preserve"> </w:t>
      </w:r>
      <w:r w:rsidR="00C97F69">
        <w:rPr>
          <w:rFonts w:asciiTheme="majorHAnsi" w:hAnsiTheme="majorHAnsi"/>
          <w:sz w:val="20"/>
          <w:szCs w:val="20"/>
          <w:lang w:val="es-CO"/>
        </w:rPr>
        <w:t xml:space="preserve">la Caja </w:t>
      </w:r>
      <w:r w:rsidR="00B32862">
        <w:rPr>
          <w:rFonts w:asciiTheme="majorHAnsi" w:hAnsiTheme="majorHAnsi"/>
          <w:sz w:val="20"/>
          <w:szCs w:val="20"/>
          <w:lang w:val="es-CO"/>
        </w:rPr>
        <w:t xml:space="preserve">Nacional </w:t>
      </w:r>
      <w:r w:rsidR="00C97F69">
        <w:rPr>
          <w:rFonts w:asciiTheme="majorHAnsi" w:hAnsiTheme="majorHAnsi"/>
          <w:sz w:val="20"/>
          <w:szCs w:val="20"/>
          <w:lang w:val="es-CO"/>
        </w:rPr>
        <w:t xml:space="preserve">de Previsión Social </w:t>
      </w:r>
      <w:r w:rsidR="00B32862">
        <w:rPr>
          <w:rFonts w:asciiTheme="majorHAnsi" w:hAnsiTheme="majorHAnsi"/>
          <w:sz w:val="20"/>
          <w:szCs w:val="20"/>
          <w:lang w:val="es-CO"/>
        </w:rPr>
        <w:t>(en adelante “CAJANAL”)</w:t>
      </w:r>
      <w:r w:rsidR="00C73446">
        <w:rPr>
          <w:rFonts w:asciiTheme="majorHAnsi" w:hAnsiTheme="majorHAnsi"/>
          <w:sz w:val="20"/>
          <w:szCs w:val="20"/>
          <w:lang w:val="es-CO"/>
        </w:rPr>
        <w:t xml:space="preserve"> para </w:t>
      </w:r>
      <w:r w:rsidR="009D5B8A">
        <w:rPr>
          <w:rFonts w:asciiTheme="majorHAnsi" w:hAnsiTheme="majorHAnsi"/>
          <w:sz w:val="20"/>
          <w:szCs w:val="20"/>
          <w:lang w:val="es-CO"/>
        </w:rPr>
        <w:t xml:space="preserve">lograr </w:t>
      </w:r>
      <w:r w:rsidR="00C73446">
        <w:rPr>
          <w:rFonts w:asciiTheme="majorHAnsi" w:hAnsiTheme="majorHAnsi"/>
          <w:sz w:val="20"/>
          <w:szCs w:val="20"/>
          <w:lang w:val="es-CO"/>
        </w:rPr>
        <w:t>el otorgamiento de una pensión de gracia</w:t>
      </w:r>
      <w:r w:rsidR="00C76DA5">
        <w:rPr>
          <w:rFonts w:asciiTheme="majorHAnsi" w:hAnsiTheme="majorHAnsi"/>
          <w:sz w:val="20"/>
          <w:szCs w:val="20"/>
          <w:lang w:val="es-CO"/>
        </w:rPr>
        <w:t>.</w:t>
      </w:r>
      <w:r w:rsidR="0061610A">
        <w:rPr>
          <w:rFonts w:asciiTheme="majorHAnsi" w:hAnsiTheme="majorHAnsi"/>
          <w:sz w:val="20"/>
          <w:szCs w:val="20"/>
          <w:lang w:val="es-CO"/>
        </w:rPr>
        <w:t xml:space="preserve"> El peticionario explica que</w:t>
      </w:r>
      <w:r w:rsidR="00C76DA5">
        <w:rPr>
          <w:rFonts w:asciiTheme="majorHAnsi" w:hAnsiTheme="majorHAnsi"/>
          <w:sz w:val="20"/>
          <w:szCs w:val="20"/>
          <w:lang w:val="es-CO"/>
        </w:rPr>
        <w:t xml:space="preserve"> </w:t>
      </w:r>
      <w:r w:rsidR="007830FE">
        <w:rPr>
          <w:rFonts w:asciiTheme="majorHAnsi" w:hAnsiTheme="majorHAnsi"/>
          <w:sz w:val="20"/>
          <w:szCs w:val="20"/>
          <w:lang w:val="es-CO"/>
        </w:rPr>
        <w:t xml:space="preserve">el gerente de CAJANAL omitió dar respuesta a las acciones de tutela, por lo cual </w:t>
      </w:r>
      <w:r w:rsidR="00EB318E">
        <w:rPr>
          <w:rFonts w:asciiTheme="majorHAnsi" w:hAnsiTheme="majorHAnsi"/>
          <w:sz w:val="20"/>
          <w:szCs w:val="20"/>
          <w:lang w:val="es-CO"/>
        </w:rPr>
        <w:t>falló a favor de los accionantes mediante sentencias proferidas el 6 de octubre de 2006 y el 11 de diciembre de 2006.</w:t>
      </w:r>
      <w:r w:rsidR="00B414E6">
        <w:rPr>
          <w:rFonts w:asciiTheme="majorHAnsi" w:hAnsiTheme="majorHAnsi"/>
          <w:sz w:val="20"/>
          <w:szCs w:val="20"/>
          <w:lang w:val="es-CO"/>
        </w:rPr>
        <w:t xml:space="preserve"> Señala que</w:t>
      </w:r>
      <w:r w:rsidR="00DB0E3B">
        <w:rPr>
          <w:rFonts w:asciiTheme="majorHAnsi" w:hAnsiTheme="majorHAnsi"/>
          <w:sz w:val="20"/>
          <w:szCs w:val="20"/>
          <w:lang w:val="es-CO"/>
        </w:rPr>
        <w:t xml:space="preserve"> notificadas las decisiones</w:t>
      </w:r>
      <w:r w:rsidR="00B414E6">
        <w:rPr>
          <w:rFonts w:asciiTheme="majorHAnsi" w:hAnsiTheme="majorHAnsi"/>
          <w:sz w:val="20"/>
          <w:szCs w:val="20"/>
          <w:lang w:val="es-CO"/>
        </w:rPr>
        <w:t xml:space="preserve"> CAJANAL no impugnó </w:t>
      </w:r>
      <w:r w:rsidR="00DB0E3B">
        <w:rPr>
          <w:rFonts w:asciiTheme="majorHAnsi" w:hAnsiTheme="majorHAnsi"/>
          <w:sz w:val="20"/>
          <w:szCs w:val="20"/>
          <w:lang w:val="es-CO"/>
        </w:rPr>
        <w:t>ninguna de las dos sentencias</w:t>
      </w:r>
      <w:r w:rsidR="00E45ABF">
        <w:rPr>
          <w:rFonts w:asciiTheme="majorHAnsi" w:hAnsiTheme="majorHAnsi"/>
          <w:sz w:val="20"/>
          <w:szCs w:val="20"/>
          <w:lang w:val="es-CO"/>
        </w:rPr>
        <w:t>,</w:t>
      </w:r>
      <w:r w:rsidR="00F62E2A">
        <w:rPr>
          <w:rFonts w:asciiTheme="majorHAnsi" w:hAnsiTheme="majorHAnsi"/>
          <w:sz w:val="20"/>
          <w:szCs w:val="20"/>
          <w:lang w:val="es-CO"/>
        </w:rPr>
        <w:t xml:space="preserve"> y la Corte Constitucional no las seleccionó </w:t>
      </w:r>
      <w:r w:rsidR="00EA51DC">
        <w:rPr>
          <w:rFonts w:asciiTheme="majorHAnsi" w:hAnsiTheme="majorHAnsi"/>
          <w:sz w:val="20"/>
          <w:szCs w:val="20"/>
          <w:lang w:val="es-CO"/>
        </w:rPr>
        <w:t>para su eventual revisión, con lo que hicieron tránsito a cosa juzgada constitucional</w:t>
      </w:r>
      <w:r w:rsidR="00B414E6">
        <w:rPr>
          <w:rFonts w:asciiTheme="majorHAnsi" w:hAnsiTheme="majorHAnsi"/>
          <w:sz w:val="20"/>
          <w:szCs w:val="20"/>
          <w:lang w:val="es-CO"/>
        </w:rPr>
        <w:t>.</w:t>
      </w:r>
    </w:p>
    <w:p w14:paraId="535955BC" w14:textId="3E00E5DC" w:rsidR="009B7AD3" w:rsidRDefault="00EA51DC" w:rsidP="000F6C14">
      <w:pPr>
        <w:pStyle w:val="ListParagraph"/>
        <w:numPr>
          <w:ilvl w:val="0"/>
          <w:numId w:val="60"/>
        </w:numPr>
        <w:spacing w:before="240" w:after="240"/>
        <w:ind w:left="0" w:firstLine="720"/>
        <w:jc w:val="both"/>
        <w:rPr>
          <w:rFonts w:asciiTheme="majorHAnsi" w:hAnsiTheme="majorHAnsi"/>
          <w:bCs/>
          <w:sz w:val="20"/>
          <w:szCs w:val="20"/>
          <w:lang w:val="es-CO"/>
        </w:rPr>
      </w:pPr>
      <w:r>
        <w:rPr>
          <w:rFonts w:asciiTheme="majorHAnsi" w:hAnsiTheme="majorHAnsi"/>
          <w:bCs/>
          <w:sz w:val="20"/>
          <w:szCs w:val="20"/>
          <w:lang w:val="es-CO"/>
        </w:rPr>
        <w:t xml:space="preserve">El peticionario </w:t>
      </w:r>
      <w:r w:rsidR="00A72B82">
        <w:rPr>
          <w:rFonts w:asciiTheme="majorHAnsi" w:hAnsiTheme="majorHAnsi"/>
          <w:bCs/>
          <w:sz w:val="20"/>
          <w:szCs w:val="20"/>
          <w:lang w:val="es-CO"/>
        </w:rPr>
        <w:t>indica</w:t>
      </w:r>
      <w:r>
        <w:rPr>
          <w:rFonts w:asciiTheme="majorHAnsi" w:hAnsiTheme="majorHAnsi"/>
          <w:bCs/>
          <w:sz w:val="20"/>
          <w:szCs w:val="20"/>
          <w:lang w:val="es-CO"/>
        </w:rPr>
        <w:t xml:space="preserve"> </w:t>
      </w:r>
      <w:r w:rsidR="00300FCF">
        <w:rPr>
          <w:rFonts w:asciiTheme="majorHAnsi" w:hAnsiTheme="majorHAnsi"/>
          <w:bCs/>
          <w:sz w:val="20"/>
          <w:szCs w:val="20"/>
          <w:lang w:val="es-CO"/>
        </w:rPr>
        <w:t>que,</w:t>
      </w:r>
      <w:r>
        <w:rPr>
          <w:rFonts w:asciiTheme="majorHAnsi" w:hAnsiTheme="majorHAnsi"/>
          <w:bCs/>
          <w:sz w:val="20"/>
          <w:szCs w:val="20"/>
          <w:lang w:val="es-CO"/>
        </w:rPr>
        <w:t xml:space="preserve"> pasados </w:t>
      </w:r>
      <w:r w:rsidR="00E308D8">
        <w:rPr>
          <w:rFonts w:asciiTheme="majorHAnsi" w:hAnsiTheme="majorHAnsi"/>
          <w:bCs/>
          <w:sz w:val="20"/>
          <w:szCs w:val="20"/>
          <w:lang w:val="es-CO"/>
        </w:rPr>
        <w:t>los primeros seis meses del 2007, la entidad continuaba sin contestar ni dar cumplimiento a los fallos</w:t>
      </w:r>
      <w:r w:rsidR="006162C2">
        <w:rPr>
          <w:rFonts w:asciiTheme="majorHAnsi" w:hAnsiTheme="majorHAnsi"/>
          <w:bCs/>
          <w:sz w:val="20"/>
          <w:szCs w:val="20"/>
          <w:lang w:val="es-CO"/>
        </w:rPr>
        <w:t xml:space="preserve"> proferidos</w:t>
      </w:r>
      <w:r w:rsidR="00E308D8">
        <w:rPr>
          <w:rFonts w:asciiTheme="majorHAnsi" w:hAnsiTheme="majorHAnsi"/>
          <w:bCs/>
          <w:sz w:val="20"/>
          <w:szCs w:val="20"/>
          <w:lang w:val="es-CO"/>
        </w:rPr>
        <w:t xml:space="preserve">, </w:t>
      </w:r>
      <w:r w:rsidR="00A72B82">
        <w:rPr>
          <w:rFonts w:asciiTheme="majorHAnsi" w:hAnsiTheme="majorHAnsi"/>
          <w:bCs/>
          <w:sz w:val="20"/>
          <w:szCs w:val="20"/>
          <w:lang w:val="es-CO"/>
        </w:rPr>
        <w:t>por lo que</w:t>
      </w:r>
      <w:r w:rsidR="006162C2">
        <w:rPr>
          <w:rFonts w:asciiTheme="majorHAnsi" w:hAnsiTheme="majorHAnsi"/>
          <w:bCs/>
          <w:sz w:val="20"/>
          <w:szCs w:val="20"/>
          <w:lang w:val="es-CO"/>
        </w:rPr>
        <w:t xml:space="preserve"> los accionantes </w:t>
      </w:r>
      <w:r w:rsidR="008E5081">
        <w:rPr>
          <w:rFonts w:asciiTheme="majorHAnsi" w:hAnsiTheme="majorHAnsi"/>
          <w:bCs/>
          <w:sz w:val="20"/>
          <w:szCs w:val="20"/>
          <w:lang w:val="es-CO"/>
        </w:rPr>
        <w:t>promovieron un incidente de desacato</w:t>
      </w:r>
      <w:r w:rsidR="001A0E1C" w:rsidRPr="001A0E1C">
        <w:rPr>
          <w:rFonts w:asciiTheme="majorHAnsi" w:hAnsiTheme="majorHAnsi"/>
          <w:bCs/>
          <w:sz w:val="20"/>
          <w:szCs w:val="20"/>
          <w:lang w:val="es-CO"/>
        </w:rPr>
        <w:t xml:space="preserve"> </w:t>
      </w:r>
      <w:r w:rsidR="001A0E1C">
        <w:rPr>
          <w:rFonts w:asciiTheme="majorHAnsi" w:hAnsiTheme="majorHAnsi"/>
          <w:bCs/>
          <w:sz w:val="20"/>
          <w:szCs w:val="20"/>
          <w:lang w:val="es-CO"/>
        </w:rPr>
        <w:t>contra el gerente de CAJANAL</w:t>
      </w:r>
      <w:r w:rsidR="008E5081">
        <w:rPr>
          <w:rFonts w:asciiTheme="majorHAnsi" w:hAnsiTheme="majorHAnsi"/>
          <w:bCs/>
          <w:sz w:val="20"/>
          <w:szCs w:val="20"/>
          <w:lang w:val="es-CO"/>
        </w:rPr>
        <w:t xml:space="preserve"> previsto en la legislación interna para los procesos de tutela</w:t>
      </w:r>
      <w:r w:rsidR="00A92073">
        <w:rPr>
          <w:rFonts w:asciiTheme="majorHAnsi" w:hAnsiTheme="majorHAnsi"/>
          <w:bCs/>
          <w:sz w:val="20"/>
          <w:szCs w:val="20"/>
          <w:lang w:val="es-CO"/>
        </w:rPr>
        <w:t>.</w:t>
      </w:r>
      <w:r w:rsidR="00100819">
        <w:rPr>
          <w:rFonts w:asciiTheme="majorHAnsi" w:hAnsiTheme="majorHAnsi"/>
          <w:bCs/>
          <w:sz w:val="20"/>
          <w:szCs w:val="20"/>
          <w:lang w:val="es-CO"/>
        </w:rPr>
        <w:t xml:space="preserve"> </w:t>
      </w:r>
      <w:r w:rsidR="00543869">
        <w:rPr>
          <w:rFonts w:asciiTheme="majorHAnsi" w:hAnsiTheme="majorHAnsi"/>
          <w:bCs/>
          <w:sz w:val="20"/>
          <w:szCs w:val="20"/>
          <w:lang w:val="es-CO"/>
        </w:rPr>
        <w:t xml:space="preserve">El Sr. Payares Pérez refiere que impuso </w:t>
      </w:r>
      <w:r w:rsidR="008D6440">
        <w:rPr>
          <w:rFonts w:asciiTheme="majorHAnsi" w:hAnsiTheme="majorHAnsi"/>
          <w:bCs/>
          <w:sz w:val="20"/>
          <w:szCs w:val="20"/>
          <w:lang w:val="es-CO"/>
        </w:rPr>
        <w:t xml:space="preserve">al gerente de CAJANAL una </w:t>
      </w:r>
      <w:r w:rsidR="00543869">
        <w:rPr>
          <w:rFonts w:asciiTheme="majorHAnsi" w:hAnsiTheme="majorHAnsi"/>
          <w:bCs/>
          <w:sz w:val="20"/>
          <w:szCs w:val="20"/>
          <w:lang w:val="es-CO"/>
        </w:rPr>
        <w:t>pena</w:t>
      </w:r>
      <w:r w:rsidR="008D6440">
        <w:rPr>
          <w:rFonts w:asciiTheme="majorHAnsi" w:hAnsiTheme="majorHAnsi"/>
          <w:bCs/>
          <w:sz w:val="20"/>
          <w:szCs w:val="20"/>
          <w:lang w:val="es-CO"/>
        </w:rPr>
        <w:t xml:space="preserve"> de arresto de ocho días por el desacato a la sentencia de tutela, sanción que fue elevada a consulta ante </w:t>
      </w:r>
      <w:r w:rsidR="00DF078C">
        <w:rPr>
          <w:rFonts w:asciiTheme="majorHAnsi" w:hAnsiTheme="majorHAnsi"/>
          <w:bCs/>
          <w:sz w:val="20"/>
          <w:szCs w:val="20"/>
          <w:lang w:val="es-CO"/>
        </w:rPr>
        <w:t xml:space="preserve">el Tribunal Superior de Cartagena, </w:t>
      </w:r>
      <w:r w:rsidR="00001766">
        <w:rPr>
          <w:rFonts w:asciiTheme="majorHAnsi" w:hAnsiTheme="majorHAnsi"/>
          <w:bCs/>
          <w:sz w:val="20"/>
          <w:szCs w:val="20"/>
          <w:lang w:val="es-CO"/>
        </w:rPr>
        <w:t>el cual</w:t>
      </w:r>
      <w:r w:rsidR="00DF078C">
        <w:rPr>
          <w:rFonts w:asciiTheme="majorHAnsi" w:hAnsiTheme="majorHAnsi"/>
          <w:bCs/>
          <w:sz w:val="20"/>
          <w:szCs w:val="20"/>
          <w:lang w:val="es-CO"/>
        </w:rPr>
        <w:t xml:space="preserve"> confirmó la decisión.</w:t>
      </w:r>
      <w:r w:rsidR="00300449">
        <w:rPr>
          <w:rFonts w:asciiTheme="majorHAnsi" w:hAnsiTheme="majorHAnsi"/>
          <w:bCs/>
          <w:sz w:val="20"/>
          <w:szCs w:val="20"/>
          <w:lang w:val="es-CO"/>
        </w:rPr>
        <w:t xml:space="preserve"> En vista de la orden de arresto, el peticionario afirma que el gerente de CAJANAL lo denunció penal y disciplinariamente al considerar que las acciones de tutela eran improcedentes.</w:t>
      </w:r>
    </w:p>
    <w:p w14:paraId="69778AA9" w14:textId="5AB38646" w:rsidR="006829F6" w:rsidRDefault="00926128" w:rsidP="0097396E">
      <w:pPr>
        <w:pStyle w:val="ListParagraph"/>
        <w:numPr>
          <w:ilvl w:val="0"/>
          <w:numId w:val="60"/>
        </w:numPr>
        <w:spacing w:before="240" w:after="240"/>
        <w:ind w:left="0" w:firstLine="720"/>
        <w:jc w:val="both"/>
        <w:rPr>
          <w:rFonts w:asciiTheme="majorHAnsi" w:hAnsiTheme="majorHAnsi"/>
          <w:bCs/>
          <w:sz w:val="20"/>
          <w:szCs w:val="20"/>
          <w:lang w:val="es-CO"/>
        </w:rPr>
      </w:pPr>
      <w:r w:rsidRPr="008C23AD">
        <w:rPr>
          <w:rFonts w:asciiTheme="majorHAnsi" w:hAnsiTheme="majorHAnsi"/>
          <w:bCs/>
          <w:sz w:val="20"/>
          <w:szCs w:val="20"/>
          <w:lang w:val="es-CO"/>
        </w:rPr>
        <w:t xml:space="preserve">El peticionario </w:t>
      </w:r>
      <w:r w:rsidR="00E9144E" w:rsidRPr="008C23AD">
        <w:rPr>
          <w:rFonts w:asciiTheme="majorHAnsi" w:hAnsiTheme="majorHAnsi"/>
          <w:bCs/>
          <w:sz w:val="20"/>
          <w:szCs w:val="20"/>
          <w:lang w:val="es-CO"/>
        </w:rPr>
        <w:t xml:space="preserve">manifiesta </w:t>
      </w:r>
      <w:r w:rsidR="00300FCF" w:rsidRPr="008C23AD">
        <w:rPr>
          <w:rFonts w:asciiTheme="majorHAnsi" w:hAnsiTheme="majorHAnsi"/>
          <w:bCs/>
          <w:sz w:val="20"/>
          <w:szCs w:val="20"/>
          <w:lang w:val="es-CO"/>
        </w:rPr>
        <w:t>que,</w:t>
      </w:r>
      <w:r w:rsidR="00E9144E" w:rsidRPr="008C23AD">
        <w:rPr>
          <w:rFonts w:asciiTheme="majorHAnsi" w:hAnsiTheme="majorHAnsi"/>
          <w:bCs/>
          <w:sz w:val="20"/>
          <w:szCs w:val="20"/>
          <w:lang w:val="es-CO"/>
        </w:rPr>
        <w:t xml:space="preserve"> ante el temor de las denuncias presentadas en su contra, paralizó el trámite del </w:t>
      </w:r>
      <w:r w:rsidR="00C75998" w:rsidRPr="008C23AD">
        <w:rPr>
          <w:rFonts w:asciiTheme="majorHAnsi" w:hAnsiTheme="majorHAnsi"/>
          <w:bCs/>
          <w:sz w:val="20"/>
          <w:szCs w:val="20"/>
          <w:lang w:val="es-CO"/>
        </w:rPr>
        <w:t xml:space="preserve">cumplimiento de los fallos de tutela a la espera de los resultados de las investigaciones en su contra. </w:t>
      </w:r>
      <w:r w:rsidR="005F3023" w:rsidRPr="008C23AD">
        <w:rPr>
          <w:rFonts w:asciiTheme="majorHAnsi" w:hAnsiTheme="majorHAnsi"/>
          <w:bCs/>
          <w:sz w:val="20"/>
          <w:szCs w:val="20"/>
          <w:lang w:val="es-CO"/>
        </w:rPr>
        <w:t xml:space="preserve">Por esta razón, </w:t>
      </w:r>
      <w:r w:rsidR="00372D80">
        <w:rPr>
          <w:rFonts w:asciiTheme="majorHAnsi" w:hAnsiTheme="majorHAnsi"/>
          <w:bCs/>
          <w:sz w:val="20"/>
          <w:szCs w:val="20"/>
          <w:lang w:val="es-CO"/>
        </w:rPr>
        <w:t xml:space="preserve">refiere que un </w:t>
      </w:r>
      <w:r w:rsidR="00986C7A">
        <w:rPr>
          <w:rFonts w:asciiTheme="majorHAnsi" w:hAnsiTheme="majorHAnsi"/>
          <w:bCs/>
          <w:sz w:val="20"/>
          <w:szCs w:val="20"/>
          <w:lang w:val="es-CO"/>
        </w:rPr>
        <w:t>grupo de docentes beneficiados con los fallos presentaron una nueva queja disci</w:t>
      </w:r>
      <w:r w:rsidR="00BA04F3">
        <w:rPr>
          <w:rFonts w:asciiTheme="majorHAnsi" w:hAnsiTheme="majorHAnsi"/>
          <w:bCs/>
          <w:sz w:val="20"/>
          <w:szCs w:val="20"/>
          <w:lang w:val="es-CO"/>
        </w:rPr>
        <w:t>plinaria en su contra</w:t>
      </w:r>
      <w:r w:rsidR="00021810">
        <w:rPr>
          <w:rFonts w:asciiTheme="majorHAnsi" w:hAnsiTheme="majorHAnsi"/>
          <w:bCs/>
          <w:sz w:val="20"/>
          <w:szCs w:val="20"/>
          <w:lang w:val="es-CO"/>
        </w:rPr>
        <w:t>;</w:t>
      </w:r>
      <w:r w:rsidR="004127E5">
        <w:rPr>
          <w:rFonts w:asciiTheme="majorHAnsi" w:hAnsiTheme="majorHAnsi"/>
          <w:bCs/>
          <w:sz w:val="20"/>
          <w:szCs w:val="20"/>
          <w:lang w:val="es-CO"/>
        </w:rPr>
        <w:t xml:space="preserve"> </w:t>
      </w:r>
      <w:r w:rsidR="00300FCF">
        <w:rPr>
          <w:rFonts w:asciiTheme="majorHAnsi" w:hAnsiTheme="majorHAnsi"/>
          <w:bCs/>
          <w:sz w:val="20"/>
          <w:szCs w:val="20"/>
          <w:lang w:val="es-CO"/>
        </w:rPr>
        <w:t>y,</w:t>
      </w:r>
      <w:r w:rsidR="004127E5">
        <w:rPr>
          <w:rFonts w:asciiTheme="majorHAnsi" w:hAnsiTheme="majorHAnsi"/>
          <w:bCs/>
          <w:sz w:val="20"/>
          <w:szCs w:val="20"/>
          <w:lang w:val="es-CO"/>
        </w:rPr>
        <w:t xml:space="preserve"> además, una nueva acción de tutela ante el Consejo Superior de la Judicatura</w:t>
      </w:r>
      <w:r w:rsidR="00C324E0">
        <w:rPr>
          <w:rFonts w:asciiTheme="majorHAnsi" w:hAnsiTheme="majorHAnsi"/>
          <w:bCs/>
          <w:sz w:val="20"/>
          <w:szCs w:val="20"/>
          <w:lang w:val="es-CO"/>
        </w:rPr>
        <w:t xml:space="preserve"> por el incumplimiento de CAJANAL a los fallos de tutela</w:t>
      </w:r>
      <w:r w:rsidR="004127E5">
        <w:rPr>
          <w:rFonts w:asciiTheme="majorHAnsi" w:hAnsiTheme="majorHAnsi"/>
          <w:bCs/>
          <w:sz w:val="20"/>
          <w:szCs w:val="20"/>
          <w:lang w:val="es-CO"/>
        </w:rPr>
        <w:t>.</w:t>
      </w:r>
      <w:r w:rsidR="009C628A">
        <w:rPr>
          <w:rFonts w:asciiTheme="majorHAnsi" w:hAnsiTheme="majorHAnsi"/>
          <w:bCs/>
          <w:sz w:val="20"/>
          <w:szCs w:val="20"/>
          <w:lang w:val="es-CO"/>
        </w:rPr>
        <w:t xml:space="preserve"> A este respecto, el peticionario enfatiza que el gerente de CAJANAL tenía vari</w:t>
      </w:r>
      <w:r w:rsidR="00E068A2">
        <w:rPr>
          <w:rFonts w:asciiTheme="majorHAnsi" w:hAnsiTheme="majorHAnsi"/>
          <w:bCs/>
          <w:sz w:val="20"/>
          <w:szCs w:val="20"/>
          <w:lang w:val="es-CO"/>
        </w:rPr>
        <w:t>a</w:t>
      </w:r>
      <w:r w:rsidR="009C628A">
        <w:rPr>
          <w:rFonts w:asciiTheme="majorHAnsi" w:hAnsiTheme="majorHAnsi"/>
          <w:bCs/>
          <w:sz w:val="20"/>
          <w:szCs w:val="20"/>
          <w:lang w:val="es-CO"/>
        </w:rPr>
        <w:t xml:space="preserve">s órdenes de arresto </w:t>
      </w:r>
      <w:r w:rsidR="00E068A2">
        <w:rPr>
          <w:rFonts w:asciiTheme="majorHAnsi" w:hAnsiTheme="majorHAnsi"/>
          <w:bCs/>
          <w:sz w:val="20"/>
          <w:szCs w:val="20"/>
          <w:lang w:val="es-CO"/>
        </w:rPr>
        <w:t xml:space="preserve">que no habían sido ejecutadas, </w:t>
      </w:r>
      <w:r w:rsidR="009C628A">
        <w:rPr>
          <w:rFonts w:asciiTheme="majorHAnsi" w:hAnsiTheme="majorHAnsi"/>
          <w:bCs/>
          <w:sz w:val="20"/>
          <w:szCs w:val="20"/>
          <w:lang w:val="es-CO"/>
        </w:rPr>
        <w:t xml:space="preserve">por incumplimiento </w:t>
      </w:r>
      <w:r w:rsidR="00C64456">
        <w:rPr>
          <w:rFonts w:asciiTheme="majorHAnsi" w:hAnsiTheme="majorHAnsi"/>
          <w:bCs/>
          <w:sz w:val="20"/>
          <w:szCs w:val="20"/>
          <w:lang w:val="es-CO"/>
        </w:rPr>
        <w:t>de</w:t>
      </w:r>
      <w:r w:rsidR="009C628A">
        <w:rPr>
          <w:rFonts w:asciiTheme="majorHAnsi" w:hAnsiTheme="majorHAnsi"/>
          <w:bCs/>
          <w:sz w:val="20"/>
          <w:szCs w:val="20"/>
          <w:lang w:val="es-CO"/>
        </w:rPr>
        <w:t xml:space="preserve"> </w:t>
      </w:r>
      <w:r w:rsidR="00E068A2">
        <w:rPr>
          <w:rFonts w:asciiTheme="majorHAnsi" w:hAnsiTheme="majorHAnsi"/>
          <w:bCs/>
          <w:sz w:val="20"/>
          <w:szCs w:val="20"/>
          <w:lang w:val="es-CO"/>
        </w:rPr>
        <w:t xml:space="preserve">otras </w:t>
      </w:r>
      <w:r w:rsidR="009C628A">
        <w:rPr>
          <w:rFonts w:asciiTheme="majorHAnsi" w:hAnsiTheme="majorHAnsi"/>
          <w:bCs/>
          <w:sz w:val="20"/>
          <w:szCs w:val="20"/>
          <w:lang w:val="es-CO"/>
        </w:rPr>
        <w:t>sentencia</w:t>
      </w:r>
      <w:r w:rsidR="00E068A2">
        <w:rPr>
          <w:rFonts w:asciiTheme="majorHAnsi" w:hAnsiTheme="majorHAnsi"/>
          <w:bCs/>
          <w:sz w:val="20"/>
          <w:szCs w:val="20"/>
          <w:lang w:val="es-CO"/>
        </w:rPr>
        <w:t>s</w:t>
      </w:r>
      <w:r w:rsidR="009C628A">
        <w:rPr>
          <w:rFonts w:asciiTheme="majorHAnsi" w:hAnsiTheme="majorHAnsi"/>
          <w:bCs/>
          <w:sz w:val="20"/>
          <w:szCs w:val="20"/>
          <w:lang w:val="es-CO"/>
        </w:rPr>
        <w:t xml:space="preserve"> de tutela.</w:t>
      </w:r>
      <w:r w:rsidR="00E068A2">
        <w:rPr>
          <w:rFonts w:asciiTheme="majorHAnsi" w:hAnsiTheme="majorHAnsi"/>
          <w:bCs/>
          <w:sz w:val="20"/>
          <w:szCs w:val="20"/>
          <w:lang w:val="es-CO"/>
        </w:rPr>
        <w:t xml:space="preserve"> El peticionario </w:t>
      </w:r>
      <w:r w:rsidR="00D329AC">
        <w:rPr>
          <w:rFonts w:asciiTheme="majorHAnsi" w:hAnsiTheme="majorHAnsi"/>
          <w:bCs/>
          <w:sz w:val="20"/>
          <w:szCs w:val="20"/>
          <w:lang w:val="es-CO"/>
        </w:rPr>
        <w:t xml:space="preserve">indica que </w:t>
      </w:r>
      <w:r w:rsidR="00E749A8">
        <w:rPr>
          <w:rFonts w:asciiTheme="majorHAnsi" w:hAnsiTheme="majorHAnsi"/>
          <w:bCs/>
          <w:sz w:val="20"/>
          <w:szCs w:val="20"/>
          <w:lang w:val="es-CO"/>
        </w:rPr>
        <w:t xml:space="preserve">el </w:t>
      </w:r>
      <w:r w:rsidR="00D329AC">
        <w:rPr>
          <w:rFonts w:asciiTheme="majorHAnsi" w:hAnsiTheme="majorHAnsi"/>
          <w:bCs/>
          <w:sz w:val="20"/>
          <w:szCs w:val="20"/>
          <w:lang w:val="es-CO"/>
        </w:rPr>
        <w:t xml:space="preserve">Consejo Superior de la Judicatura </w:t>
      </w:r>
      <w:r w:rsidR="00A372F0">
        <w:rPr>
          <w:rFonts w:asciiTheme="majorHAnsi" w:hAnsiTheme="majorHAnsi"/>
          <w:bCs/>
          <w:sz w:val="20"/>
          <w:szCs w:val="20"/>
          <w:lang w:val="es-CO"/>
        </w:rPr>
        <w:t>concedió la acción de tutela y ordenó el cumplimiento del fallo proferido por su juzgado</w:t>
      </w:r>
      <w:r w:rsidR="00C64456">
        <w:rPr>
          <w:rFonts w:asciiTheme="majorHAnsi" w:hAnsiTheme="majorHAnsi"/>
          <w:bCs/>
          <w:sz w:val="20"/>
          <w:szCs w:val="20"/>
          <w:lang w:val="es-CO"/>
        </w:rPr>
        <w:t>;</w:t>
      </w:r>
      <w:r w:rsidR="00A372F0">
        <w:rPr>
          <w:rFonts w:asciiTheme="majorHAnsi" w:hAnsiTheme="majorHAnsi"/>
          <w:bCs/>
          <w:sz w:val="20"/>
          <w:szCs w:val="20"/>
          <w:lang w:val="es-CO"/>
        </w:rPr>
        <w:t xml:space="preserve"> y el 3 de marzo de 2010 </w:t>
      </w:r>
      <w:r w:rsidR="00E749A8">
        <w:rPr>
          <w:rFonts w:asciiTheme="majorHAnsi" w:hAnsiTheme="majorHAnsi"/>
          <w:bCs/>
          <w:sz w:val="20"/>
          <w:szCs w:val="20"/>
          <w:lang w:val="es-CO"/>
        </w:rPr>
        <w:t xml:space="preserve">aclaró mediante auto que el competente para dar impulso </w:t>
      </w:r>
      <w:r w:rsidR="006E3A97">
        <w:rPr>
          <w:rFonts w:asciiTheme="majorHAnsi" w:hAnsiTheme="majorHAnsi"/>
          <w:bCs/>
          <w:sz w:val="20"/>
          <w:szCs w:val="20"/>
          <w:lang w:val="es-CO"/>
        </w:rPr>
        <w:t xml:space="preserve">a la orden de cumplimiento del fallo era el </w:t>
      </w:r>
      <w:r w:rsidR="00A372F0">
        <w:rPr>
          <w:rFonts w:asciiTheme="majorHAnsi" w:hAnsiTheme="majorHAnsi"/>
          <w:bCs/>
          <w:sz w:val="20"/>
          <w:szCs w:val="20"/>
          <w:lang w:val="es-CO"/>
        </w:rPr>
        <w:t xml:space="preserve">propio </w:t>
      </w:r>
      <w:r w:rsidR="006E3A97">
        <w:rPr>
          <w:rFonts w:asciiTheme="majorHAnsi" w:hAnsiTheme="majorHAnsi"/>
          <w:bCs/>
          <w:sz w:val="20"/>
          <w:szCs w:val="20"/>
          <w:lang w:val="es-CO"/>
        </w:rPr>
        <w:t>Juzgado Segundo Civil de Magangué a su cargo.</w:t>
      </w:r>
    </w:p>
    <w:p w14:paraId="0360087B" w14:textId="0C36F883" w:rsidR="00EA17D8" w:rsidRDefault="00EA17D8" w:rsidP="0097396E">
      <w:pPr>
        <w:pStyle w:val="ListParagraph"/>
        <w:numPr>
          <w:ilvl w:val="0"/>
          <w:numId w:val="60"/>
        </w:numPr>
        <w:spacing w:before="240" w:after="240"/>
        <w:ind w:left="0" w:firstLine="720"/>
        <w:jc w:val="both"/>
        <w:rPr>
          <w:rFonts w:asciiTheme="majorHAnsi" w:hAnsiTheme="majorHAnsi"/>
          <w:bCs/>
          <w:sz w:val="20"/>
          <w:szCs w:val="20"/>
          <w:lang w:val="es-CO"/>
        </w:rPr>
      </w:pPr>
      <w:r>
        <w:rPr>
          <w:rFonts w:asciiTheme="majorHAnsi" w:hAnsiTheme="majorHAnsi"/>
          <w:bCs/>
          <w:sz w:val="20"/>
          <w:szCs w:val="20"/>
          <w:lang w:val="es-CO"/>
        </w:rPr>
        <w:t xml:space="preserve">El Sr. Payares Pérez </w:t>
      </w:r>
      <w:r w:rsidR="005E1AD2">
        <w:rPr>
          <w:rFonts w:asciiTheme="majorHAnsi" w:hAnsiTheme="majorHAnsi"/>
          <w:bCs/>
          <w:sz w:val="20"/>
          <w:szCs w:val="20"/>
          <w:lang w:val="es-CO"/>
        </w:rPr>
        <w:t>narra que</w:t>
      </w:r>
      <w:r w:rsidR="00684D8F">
        <w:rPr>
          <w:rFonts w:asciiTheme="majorHAnsi" w:hAnsiTheme="majorHAnsi"/>
          <w:bCs/>
          <w:sz w:val="20"/>
          <w:szCs w:val="20"/>
          <w:lang w:val="es-CO"/>
        </w:rPr>
        <w:t xml:space="preserve"> el 5 de marzo de 2010 ordenó el embargo provisional de las cuentas bancarias de CAJANAL con el fin de cumplir la sentencia dictada por el Consejo Superior de la Judicatura.</w:t>
      </w:r>
      <w:r w:rsidR="00A84EBE">
        <w:rPr>
          <w:rFonts w:asciiTheme="majorHAnsi" w:hAnsiTheme="majorHAnsi"/>
          <w:bCs/>
          <w:sz w:val="20"/>
          <w:szCs w:val="20"/>
          <w:lang w:val="es-CO"/>
        </w:rPr>
        <w:t xml:space="preserve"> </w:t>
      </w:r>
      <w:r w:rsidR="00AC6686">
        <w:rPr>
          <w:rFonts w:asciiTheme="majorHAnsi" w:hAnsiTheme="majorHAnsi"/>
          <w:bCs/>
          <w:sz w:val="20"/>
          <w:szCs w:val="20"/>
          <w:lang w:val="es-CO"/>
        </w:rPr>
        <w:t>R</w:t>
      </w:r>
      <w:r w:rsidR="00794509">
        <w:rPr>
          <w:rFonts w:asciiTheme="majorHAnsi" w:hAnsiTheme="majorHAnsi"/>
          <w:bCs/>
          <w:sz w:val="20"/>
          <w:szCs w:val="20"/>
          <w:lang w:val="es-CO"/>
        </w:rPr>
        <w:t>efiere que</w:t>
      </w:r>
      <w:r w:rsidR="003B44BF">
        <w:rPr>
          <w:rFonts w:asciiTheme="majorHAnsi" w:hAnsiTheme="majorHAnsi"/>
          <w:bCs/>
          <w:sz w:val="20"/>
          <w:szCs w:val="20"/>
          <w:lang w:val="es-CO"/>
        </w:rPr>
        <w:t xml:space="preserve"> esta decisión fue publicada en los medios de comunicación, y ello llevó a que el Consejo Superior de la Judicatura </w:t>
      </w:r>
      <w:r w:rsidR="00F61566">
        <w:rPr>
          <w:rFonts w:asciiTheme="majorHAnsi" w:hAnsiTheme="majorHAnsi"/>
          <w:bCs/>
          <w:sz w:val="20"/>
          <w:szCs w:val="20"/>
          <w:lang w:val="es-CO"/>
        </w:rPr>
        <w:t xml:space="preserve">cambiara de posición y </w:t>
      </w:r>
      <w:r w:rsidR="003B44BF">
        <w:rPr>
          <w:rFonts w:asciiTheme="majorHAnsi" w:hAnsiTheme="majorHAnsi"/>
          <w:bCs/>
          <w:sz w:val="20"/>
          <w:szCs w:val="20"/>
          <w:lang w:val="es-CO"/>
        </w:rPr>
        <w:t xml:space="preserve">cuestionara </w:t>
      </w:r>
      <w:r w:rsidR="004E2E1E">
        <w:rPr>
          <w:rFonts w:asciiTheme="majorHAnsi" w:hAnsiTheme="majorHAnsi"/>
          <w:bCs/>
          <w:sz w:val="20"/>
          <w:szCs w:val="20"/>
          <w:lang w:val="es-CO"/>
        </w:rPr>
        <w:t>el procedimiento, pese a que ya lo había avalado mediante tutela</w:t>
      </w:r>
      <w:r w:rsidR="002A4835">
        <w:rPr>
          <w:rFonts w:asciiTheme="majorHAnsi" w:hAnsiTheme="majorHAnsi"/>
          <w:bCs/>
          <w:sz w:val="20"/>
          <w:szCs w:val="20"/>
          <w:lang w:val="es-CO"/>
        </w:rPr>
        <w:t>.</w:t>
      </w:r>
      <w:r w:rsidR="004E2E1E">
        <w:rPr>
          <w:rFonts w:asciiTheme="majorHAnsi" w:hAnsiTheme="majorHAnsi"/>
          <w:bCs/>
          <w:sz w:val="20"/>
          <w:szCs w:val="20"/>
          <w:lang w:val="es-CO"/>
        </w:rPr>
        <w:t xml:space="preserve"> </w:t>
      </w:r>
      <w:r w:rsidR="002A4835">
        <w:rPr>
          <w:rFonts w:asciiTheme="majorHAnsi" w:hAnsiTheme="majorHAnsi"/>
          <w:bCs/>
          <w:sz w:val="20"/>
          <w:szCs w:val="20"/>
          <w:lang w:val="es-CO"/>
        </w:rPr>
        <w:t>A</w:t>
      </w:r>
      <w:r w:rsidR="001331C2">
        <w:rPr>
          <w:rFonts w:asciiTheme="majorHAnsi" w:hAnsiTheme="majorHAnsi"/>
          <w:bCs/>
          <w:sz w:val="20"/>
          <w:szCs w:val="20"/>
          <w:lang w:val="es-CO"/>
        </w:rPr>
        <w:t xml:space="preserve">firma que </w:t>
      </w:r>
      <w:r w:rsidR="002A4835">
        <w:rPr>
          <w:rFonts w:asciiTheme="majorHAnsi" w:hAnsiTheme="majorHAnsi"/>
          <w:bCs/>
          <w:sz w:val="20"/>
          <w:szCs w:val="20"/>
          <w:lang w:val="es-CO"/>
        </w:rPr>
        <w:t xml:space="preserve">el Consejo Superior de la Judicatura </w:t>
      </w:r>
      <w:r w:rsidR="001331C2">
        <w:rPr>
          <w:rFonts w:asciiTheme="majorHAnsi" w:hAnsiTheme="majorHAnsi"/>
          <w:bCs/>
          <w:sz w:val="20"/>
          <w:szCs w:val="20"/>
          <w:lang w:val="es-CO"/>
        </w:rPr>
        <w:t xml:space="preserve">ordenó </w:t>
      </w:r>
      <w:r w:rsidR="00B17093">
        <w:rPr>
          <w:rFonts w:asciiTheme="majorHAnsi" w:hAnsiTheme="majorHAnsi"/>
          <w:bCs/>
          <w:sz w:val="20"/>
          <w:szCs w:val="20"/>
          <w:lang w:val="es-CO"/>
        </w:rPr>
        <w:t>su</w:t>
      </w:r>
      <w:r w:rsidR="001331C2">
        <w:rPr>
          <w:rFonts w:asciiTheme="majorHAnsi" w:hAnsiTheme="majorHAnsi"/>
          <w:bCs/>
          <w:sz w:val="20"/>
          <w:szCs w:val="20"/>
          <w:lang w:val="es-CO"/>
        </w:rPr>
        <w:t xml:space="preserve"> investigación disciplinaria tanto por haber dictado los fallos del 2006 como por haber ordenado la medida de embargo.</w:t>
      </w:r>
      <w:r w:rsidR="00E03223">
        <w:rPr>
          <w:rFonts w:asciiTheme="majorHAnsi" w:hAnsiTheme="majorHAnsi"/>
          <w:bCs/>
          <w:sz w:val="20"/>
          <w:szCs w:val="20"/>
          <w:lang w:val="es-CO"/>
        </w:rPr>
        <w:t xml:space="preserve"> Asegura que en </w:t>
      </w:r>
      <w:r w:rsidR="00DF0A32">
        <w:rPr>
          <w:rFonts w:asciiTheme="majorHAnsi" w:hAnsiTheme="majorHAnsi"/>
          <w:bCs/>
          <w:sz w:val="20"/>
          <w:szCs w:val="20"/>
          <w:lang w:val="es-CO"/>
        </w:rPr>
        <w:t xml:space="preserve">el marco de </w:t>
      </w:r>
      <w:r w:rsidR="00DF0A32">
        <w:rPr>
          <w:rFonts w:asciiTheme="majorHAnsi" w:hAnsiTheme="majorHAnsi"/>
          <w:bCs/>
          <w:sz w:val="20"/>
          <w:szCs w:val="20"/>
          <w:lang w:val="es-CO"/>
        </w:rPr>
        <w:lastRenderedPageBreak/>
        <w:t xml:space="preserve">este nuevo proceso disciplinario, </w:t>
      </w:r>
      <w:r w:rsidR="00757480">
        <w:rPr>
          <w:rFonts w:asciiTheme="majorHAnsi" w:hAnsiTheme="majorHAnsi"/>
          <w:bCs/>
          <w:sz w:val="20"/>
          <w:szCs w:val="20"/>
          <w:lang w:val="es-CO"/>
        </w:rPr>
        <w:t xml:space="preserve">presentó </w:t>
      </w:r>
      <w:r w:rsidR="002A4835">
        <w:rPr>
          <w:rFonts w:asciiTheme="majorHAnsi" w:hAnsiTheme="majorHAnsi"/>
          <w:bCs/>
          <w:sz w:val="20"/>
          <w:szCs w:val="20"/>
          <w:lang w:val="es-CO"/>
        </w:rPr>
        <w:t>una recusación</w:t>
      </w:r>
      <w:r w:rsidR="000F4927">
        <w:rPr>
          <w:rFonts w:asciiTheme="majorHAnsi" w:hAnsiTheme="majorHAnsi"/>
          <w:bCs/>
          <w:sz w:val="20"/>
          <w:szCs w:val="20"/>
          <w:lang w:val="es-CO"/>
        </w:rPr>
        <w:t xml:space="preserve"> contra los magistrados que conocieron la acción de tutela de los docentes, y una nueva acción de tutela por falta de competencia, pero ambas fueron rechazadas.</w:t>
      </w:r>
    </w:p>
    <w:p w14:paraId="78052396" w14:textId="1F9D324C" w:rsidR="00037360" w:rsidRPr="00281660" w:rsidRDefault="00D10170" w:rsidP="00704395">
      <w:pPr>
        <w:pStyle w:val="ListParagraph"/>
        <w:numPr>
          <w:ilvl w:val="0"/>
          <w:numId w:val="60"/>
        </w:numPr>
        <w:spacing w:before="240" w:after="240"/>
        <w:ind w:left="0" w:firstLine="720"/>
        <w:jc w:val="both"/>
        <w:rPr>
          <w:rFonts w:asciiTheme="majorHAnsi" w:hAnsiTheme="majorHAnsi"/>
          <w:bCs/>
          <w:sz w:val="20"/>
          <w:szCs w:val="20"/>
          <w:lang w:val="es-CO"/>
        </w:rPr>
      </w:pPr>
      <w:r w:rsidRPr="005354E4">
        <w:rPr>
          <w:rFonts w:asciiTheme="majorHAnsi" w:hAnsiTheme="majorHAnsi"/>
          <w:bCs/>
          <w:sz w:val="20"/>
          <w:szCs w:val="20"/>
          <w:lang w:val="es-CO"/>
        </w:rPr>
        <w:t>Sostiene que la Corte Constitucional seleccionó para revisión la sentencia proferida por el Consejo Superior de la Judicatura por la cual ordenaba el cumplimiento del fallo dictado por su juzgado, y la revoc</w:t>
      </w:r>
      <w:r w:rsidR="0058224D" w:rsidRPr="005354E4">
        <w:rPr>
          <w:rFonts w:asciiTheme="majorHAnsi" w:hAnsiTheme="majorHAnsi"/>
          <w:bCs/>
          <w:sz w:val="20"/>
          <w:szCs w:val="20"/>
          <w:lang w:val="es-CO"/>
        </w:rPr>
        <w:t>ó</w:t>
      </w:r>
      <w:r w:rsidRPr="005354E4">
        <w:rPr>
          <w:rFonts w:asciiTheme="majorHAnsi" w:hAnsiTheme="majorHAnsi"/>
          <w:bCs/>
          <w:sz w:val="20"/>
          <w:szCs w:val="20"/>
          <w:lang w:val="es-CO"/>
        </w:rPr>
        <w:t>, cambiando su propia jurisprudencia, y ordenando a la fiscalía investigarlo penalmente por el delito de prevaricato, puesto que</w:t>
      </w:r>
      <w:r w:rsidR="00DD1275" w:rsidRPr="005354E4">
        <w:rPr>
          <w:rFonts w:asciiTheme="majorHAnsi" w:hAnsiTheme="majorHAnsi"/>
          <w:bCs/>
          <w:sz w:val="20"/>
          <w:szCs w:val="20"/>
          <w:lang w:val="es-CO"/>
        </w:rPr>
        <w:t xml:space="preserve"> la Corte entendió que</w:t>
      </w:r>
      <w:r w:rsidRPr="005354E4">
        <w:rPr>
          <w:rFonts w:asciiTheme="majorHAnsi" w:hAnsiTheme="majorHAnsi"/>
          <w:bCs/>
          <w:sz w:val="20"/>
          <w:szCs w:val="20"/>
          <w:lang w:val="es-CO"/>
        </w:rPr>
        <w:t xml:space="preserve">, con sus fallos proferidos en 2006 buscaba defraudar a CAJANAL. El peticionario alega la violación de su derecho a la igualdad, en tanto la Corte Constitucional consideró que la sentencia proferida por el Consejo Superior de la Judicatura había obedecido a “una simple equivocación”, mientras que la </w:t>
      </w:r>
      <w:r w:rsidRPr="00281660">
        <w:rPr>
          <w:rFonts w:asciiTheme="majorHAnsi" w:hAnsiTheme="majorHAnsi"/>
          <w:bCs/>
          <w:sz w:val="20"/>
          <w:szCs w:val="20"/>
          <w:lang w:val="es-CO"/>
        </w:rPr>
        <w:t>sentencia emitida por el Juzgado Segundo Civil de Magangué, su despacho, sí fue considerada como constitutiva de delito.</w:t>
      </w:r>
      <w:r w:rsidR="005354E4" w:rsidRPr="00281660">
        <w:rPr>
          <w:rFonts w:asciiTheme="majorHAnsi" w:hAnsiTheme="majorHAnsi"/>
          <w:bCs/>
          <w:sz w:val="20"/>
          <w:szCs w:val="20"/>
          <w:lang w:val="es-CO"/>
        </w:rPr>
        <w:t xml:space="preserve"> </w:t>
      </w:r>
      <w:r w:rsidR="00037360" w:rsidRPr="00281660">
        <w:rPr>
          <w:rFonts w:asciiTheme="majorHAnsi" w:hAnsiTheme="majorHAnsi"/>
          <w:bCs/>
          <w:sz w:val="20"/>
          <w:szCs w:val="20"/>
          <w:lang w:val="es-CO"/>
        </w:rPr>
        <w:t>Enfatiza que el cambio de postura de la Corte Constitucional configuró una forma de criminalización de una decisión judicial tomada dentro del marco de la autonomía que le asistía como funcionario para interpretar y aplicar la ley.</w:t>
      </w:r>
    </w:p>
    <w:p w14:paraId="49E3081F" w14:textId="723613A5" w:rsidR="00DF40A1" w:rsidRPr="00281660" w:rsidRDefault="00A55B52" w:rsidP="0097396E">
      <w:pPr>
        <w:pStyle w:val="ListParagraph"/>
        <w:numPr>
          <w:ilvl w:val="0"/>
          <w:numId w:val="60"/>
        </w:numPr>
        <w:spacing w:before="240" w:after="240"/>
        <w:ind w:left="0" w:firstLine="720"/>
        <w:jc w:val="both"/>
        <w:rPr>
          <w:rFonts w:asciiTheme="majorHAnsi" w:hAnsiTheme="majorHAnsi"/>
          <w:bCs/>
          <w:sz w:val="20"/>
          <w:szCs w:val="20"/>
          <w:lang w:val="es-CO"/>
        </w:rPr>
      </w:pPr>
      <w:r w:rsidRPr="00281660">
        <w:rPr>
          <w:rFonts w:asciiTheme="majorHAnsi" w:hAnsiTheme="majorHAnsi"/>
          <w:bCs/>
          <w:sz w:val="20"/>
          <w:szCs w:val="20"/>
          <w:lang w:val="es-CO"/>
        </w:rPr>
        <w:t>E</w:t>
      </w:r>
      <w:r w:rsidR="00957648" w:rsidRPr="00281660">
        <w:rPr>
          <w:rFonts w:asciiTheme="majorHAnsi" w:hAnsiTheme="majorHAnsi"/>
          <w:bCs/>
          <w:sz w:val="20"/>
          <w:szCs w:val="20"/>
          <w:lang w:val="es-CO"/>
        </w:rPr>
        <w:t>l</w:t>
      </w:r>
      <w:r w:rsidR="0093231C" w:rsidRPr="00281660">
        <w:rPr>
          <w:rFonts w:asciiTheme="majorHAnsi" w:hAnsiTheme="majorHAnsi"/>
          <w:bCs/>
          <w:sz w:val="20"/>
          <w:szCs w:val="20"/>
          <w:lang w:val="es-CO"/>
        </w:rPr>
        <w:t xml:space="preserve"> </w:t>
      </w:r>
      <w:r w:rsidR="0048609D" w:rsidRPr="00281660">
        <w:rPr>
          <w:rFonts w:asciiTheme="majorHAnsi" w:hAnsiTheme="majorHAnsi"/>
          <w:bCs/>
          <w:sz w:val="20"/>
          <w:szCs w:val="20"/>
          <w:lang w:val="es-CO"/>
        </w:rPr>
        <w:t>Estado explica, posteriormente, que se siguieron dos procesos disciplinarios en contra del Sr. Payares Pérez</w:t>
      </w:r>
      <w:r w:rsidR="00473A77" w:rsidRPr="00281660">
        <w:rPr>
          <w:rFonts w:asciiTheme="majorHAnsi" w:hAnsiTheme="majorHAnsi"/>
          <w:bCs/>
          <w:sz w:val="20"/>
          <w:szCs w:val="20"/>
          <w:lang w:val="es-CO"/>
        </w:rPr>
        <w:t xml:space="preserve">: uno por la emisión de las sentencias de tutela, y otro por el embargo a las cuentas de CAJANAL. En el primero, según describe el peticionario, </w:t>
      </w:r>
      <w:r w:rsidR="009F6140" w:rsidRPr="00281660">
        <w:rPr>
          <w:rFonts w:asciiTheme="majorHAnsi" w:hAnsiTheme="majorHAnsi"/>
          <w:bCs/>
          <w:sz w:val="20"/>
          <w:szCs w:val="20"/>
          <w:lang w:val="es-CO"/>
        </w:rPr>
        <w:t xml:space="preserve">el </w:t>
      </w:r>
      <w:r w:rsidR="0093231C" w:rsidRPr="00281660">
        <w:rPr>
          <w:rFonts w:asciiTheme="majorHAnsi" w:hAnsiTheme="majorHAnsi"/>
          <w:bCs/>
          <w:sz w:val="20"/>
          <w:szCs w:val="20"/>
          <w:lang w:val="es-CO"/>
        </w:rPr>
        <w:t xml:space="preserve">9 de febrero de 2011 </w:t>
      </w:r>
      <w:r w:rsidR="000F5038" w:rsidRPr="00281660">
        <w:rPr>
          <w:rFonts w:asciiTheme="majorHAnsi" w:hAnsiTheme="majorHAnsi"/>
          <w:bCs/>
          <w:sz w:val="20"/>
          <w:szCs w:val="20"/>
          <w:lang w:val="es-CO"/>
        </w:rPr>
        <w:t xml:space="preserve">la Seccional del departamento de Bolívar del Consejo Superior de la Judicatura </w:t>
      </w:r>
      <w:r w:rsidR="0093231C" w:rsidRPr="00281660">
        <w:rPr>
          <w:rFonts w:asciiTheme="majorHAnsi" w:hAnsiTheme="majorHAnsi"/>
          <w:bCs/>
          <w:sz w:val="20"/>
          <w:szCs w:val="20"/>
          <w:lang w:val="es-CO"/>
        </w:rPr>
        <w:t>orden</w:t>
      </w:r>
      <w:r w:rsidR="00F7770F" w:rsidRPr="00281660">
        <w:rPr>
          <w:rFonts w:asciiTheme="majorHAnsi" w:hAnsiTheme="majorHAnsi"/>
          <w:bCs/>
          <w:sz w:val="20"/>
          <w:szCs w:val="20"/>
          <w:lang w:val="es-CO"/>
        </w:rPr>
        <w:t>ó</w:t>
      </w:r>
      <w:r w:rsidR="0093231C" w:rsidRPr="00281660">
        <w:rPr>
          <w:rFonts w:asciiTheme="majorHAnsi" w:hAnsiTheme="majorHAnsi"/>
          <w:bCs/>
          <w:sz w:val="20"/>
          <w:szCs w:val="20"/>
          <w:lang w:val="es-CO"/>
        </w:rPr>
        <w:t xml:space="preserve"> </w:t>
      </w:r>
      <w:r w:rsidR="00666840" w:rsidRPr="00281660">
        <w:rPr>
          <w:rFonts w:asciiTheme="majorHAnsi" w:hAnsiTheme="majorHAnsi"/>
          <w:bCs/>
          <w:sz w:val="20"/>
          <w:szCs w:val="20"/>
          <w:lang w:val="es-CO"/>
        </w:rPr>
        <w:t>su</w:t>
      </w:r>
      <w:r w:rsidR="0093231C" w:rsidRPr="00281660">
        <w:rPr>
          <w:rFonts w:asciiTheme="majorHAnsi" w:hAnsiTheme="majorHAnsi"/>
          <w:bCs/>
          <w:sz w:val="20"/>
          <w:szCs w:val="20"/>
          <w:lang w:val="es-CO"/>
        </w:rPr>
        <w:t xml:space="preserve"> suspensión de funciones como juez civil</w:t>
      </w:r>
      <w:r w:rsidR="00EB359C" w:rsidRPr="00281660">
        <w:rPr>
          <w:rFonts w:asciiTheme="majorHAnsi" w:hAnsiTheme="majorHAnsi"/>
          <w:bCs/>
          <w:sz w:val="20"/>
          <w:szCs w:val="20"/>
          <w:lang w:val="es-CO"/>
        </w:rPr>
        <w:t>,</w:t>
      </w:r>
      <w:r w:rsidR="0093231C" w:rsidRPr="00281660">
        <w:rPr>
          <w:rFonts w:asciiTheme="majorHAnsi" w:hAnsiTheme="majorHAnsi"/>
          <w:bCs/>
          <w:sz w:val="20"/>
          <w:szCs w:val="20"/>
          <w:lang w:val="es-CO"/>
        </w:rPr>
        <w:t xml:space="preserve"> y</w:t>
      </w:r>
      <w:r w:rsidR="00666840" w:rsidRPr="00281660">
        <w:rPr>
          <w:rFonts w:asciiTheme="majorHAnsi" w:hAnsiTheme="majorHAnsi"/>
          <w:bCs/>
          <w:sz w:val="20"/>
          <w:szCs w:val="20"/>
          <w:lang w:val="es-CO"/>
        </w:rPr>
        <w:t>, en el segundo,</w:t>
      </w:r>
      <w:r w:rsidR="0093231C" w:rsidRPr="00281660">
        <w:rPr>
          <w:rFonts w:asciiTheme="majorHAnsi" w:hAnsiTheme="majorHAnsi"/>
          <w:bCs/>
          <w:sz w:val="20"/>
          <w:szCs w:val="20"/>
          <w:lang w:val="es-CO"/>
        </w:rPr>
        <w:t xml:space="preserve"> el</w:t>
      </w:r>
      <w:r w:rsidR="00DE2140" w:rsidRPr="00281660">
        <w:rPr>
          <w:rFonts w:asciiTheme="majorHAnsi" w:hAnsiTheme="majorHAnsi"/>
          <w:bCs/>
          <w:sz w:val="20"/>
          <w:szCs w:val="20"/>
          <w:lang w:val="es-CO"/>
        </w:rPr>
        <w:t xml:space="preserve"> 16 del mismo mes</w:t>
      </w:r>
      <w:r w:rsidR="000F5038" w:rsidRPr="00281660">
        <w:rPr>
          <w:rFonts w:asciiTheme="majorHAnsi" w:hAnsiTheme="majorHAnsi"/>
          <w:bCs/>
          <w:sz w:val="20"/>
          <w:szCs w:val="20"/>
          <w:lang w:val="es-CO"/>
        </w:rPr>
        <w:t xml:space="preserve"> habría decretado su destitución</w:t>
      </w:r>
      <w:r w:rsidR="00AE2B79" w:rsidRPr="00281660">
        <w:rPr>
          <w:rFonts w:asciiTheme="majorHAnsi" w:hAnsiTheme="majorHAnsi"/>
          <w:bCs/>
          <w:sz w:val="20"/>
          <w:szCs w:val="20"/>
          <w:lang w:val="es-CO"/>
        </w:rPr>
        <w:t xml:space="preserve"> del cargo</w:t>
      </w:r>
      <w:r w:rsidR="000F5038" w:rsidRPr="00281660">
        <w:rPr>
          <w:rFonts w:asciiTheme="majorHAnsi" w:hAnsiTheme="majorHAnsi"/>
          <w:bCs/>
          <w:sz w:val="20"/>
          <w:szCs w:val="20"/>
          <w:lang w:val="es-CO"/>
        </w:rPr>
        <w:t>.</w:t>
      </w:r>
      <w:r w:rsidR="004631E4" w:rsidRPr="00281660">
        <w:rPr>
          <w:rFonts w:asciiTheme="majorHAnsi" w:hAnsiTheme="majorHAnsi"/>
          <w:bCs/>
          <w:sz w:val="20"/>
          <w:szCs w:val="20"/>
          <w:lang w:val="es-CO"/>
        </w:rPr>
        <w:t xml:space="preserve"> El peticionario indica que interpuso una acción de tutela contra </w:t>
      </w:r>
      <w:r w:rsidR="00666840" w:rsidRPr="00281660">
        <w:rPr>
          <w:rFonts w:asciiTheme="majorHAnsi" w:hAnsiTheme="majorHAnsi"/>
          <w:bCs/>
          <w:sz w:val="20"/>
          <w:szCs w:val="20"/>
          <w:lang w:val="es-CO"/>
        </w:rPr>
        <w:t>la decisión de destitución</w:t>
      </w:r>
      <w:r w:rsidR="004631E4" w:rsidRPr="00281660">
        <w:rPr>
          <w:rFonts w:asciiTheme="majorHAnsi" w:hAnsiTheme="majorHAnsi"/>
          <w:bCs/>
          <w:sz w:val="20"/>
          <w:szCs w:val="20"/>
          <w:lang w:val="es-CO"/>
        </w:rPr>
        <w:t>, que correspondió a la propia Sala Disciplinaria</w:t>
      </w:r>
      <w:r w:rsidR="00CB3516" w:rsidRPr="00281660">
        <w:rPr>
          <w:rFonts w:asciiTheme="majorHAnsi" w:hAnsiTheme="majorHAnsi"/>
          <w:bCs/>
          <w:sz w:val="20"/>
          <w:szCs w:val="20"/>
          <w:lang w:val="es-CO"/>
        </w:rPr>
        <w:t xml:space="preserve"> del Consejo Superior de la Judicatura de Bolívar, </w:t>
      </w:r>
      <w:r w:rsidR="00EE2E30" w:rsidRPr="00281660">
        <w:rPr>
          <w:rFonts w:asciiTheme="majorHAnsi" w:hAnsiTheme="majorHAnsi"/>
          <w:bCs/>
          <w:sz w:val="20"/>
          <w:szCs w:val="20"/>
          <w:lang w:val="es-CO"/>
        </w:rPr>
        <w:t xml:space="preserve">por lo cual </w:t>
      </w:r>
      <w:r w:rsidR="00841BCC" w:rsidRPr="00281660">
        <w:rPr>
          <w:rFonts w:asciiTheme="majorHAnsi" w:hAnsiTheme="majorHAnsi"/>
          <w:bCs/>
          <w:sz w:val="20"/>
          <w:szCs w:val="20"/>
          <w:lang w:val="es-CO"/>
        </w:rPr>
        <w:t>solicitó a dos de los magistrados que se declararan impedidos. No obstante, dicha solicitud habría sido denegada y la acción de tutela habría sido rechazada el 13 de junio de 2011.</w:t>
      </w:r>
    </w:p>
    <w:p w14:paraId="65BA8BA4" w14:textId="0200DFA0" w:rsidR="0051270A" w:rsidRPr="00281660" w:rsidRDefault="00360E82" w:rsidP="0097396E">
      <w:pPr>
        <w:pStyle w:val="ListParagraph"/>
        <w:numPr>
          <w:ilvl w:val="0"/>
          <w:numId w:val="60"/>
        </w:numPr>
        <w:spacing w:before="240" w:after="240"/>
        <w:ind w:left="0" w:firstLine="720"/>
        <w:jc w:val="both"/>
        <w:rPr>
          <w:rFonts w:asciiTheme="majorHAnsi" w:hAnsiTheme="majorHAnsi"/>
          <w:bCs/>
          <w:sz w:val="20"/>
          <w:szCs w:val="20"/>
          <w:lang w:val="es-CO"/>
        </w:rPr>
      </w:pPr>
      <w:r w:rsidRPr="00281660">
        <w:rPr>
          <w:rFonts w:asciiTheme="majorHAnsi" w:hAnsiTheme="majorHAnsi"/>
          <w:bCs/>
          <w:sz w:val="20"/>
          <w:szCs w:val="20"/>
          <w:lang w:val="es-CO"/>
        </w:rPr>
        <w:t xml:space="preserve">El peticionario refiere que impugnó la sentencia de tutela </w:t>
      </w:r>
      <w:r w:rsidR="007037B2" w:rsidRPr="00281660">
        <w:rPr>
          <w:rFonts w:asciiTheme="majorHAnsi" w:hAnsiTheme="majorHAnsi"/>
          <w:bCs/>
          <w:sz w:val="20"/>
          <w:szCs w:val="20"/>
          <w:lang w:val="es-CO"/>
        </w:rPr>
        <w:t xml:space="preserve">en su contra, pero ésta fue denegada </w:t>
      </w:r>
      <w:r w:rsidR="00732B13" w:rsidRPr="00281660">
        <w:rPr>
          <w:rFonts w:asciiTheme="majorHAnsi" w:hAnsiTheme="majorHAnsi"/>
          <w:bCs/>
          <w:sz w:val="20"/>
          <w:szCs w:val="20"/>
          <w:lang w:val="es-CO"/>
        </w:rPr>
        <w:t xml:space="preserve">nuevamente </w:t>
      </w:r>
      <w:r w:rsidR="007037B2" w:rsidRPr="00281660">
        <w:rPr>
          <w:rFonts w:asciiTheme="majorHAnsi" w:hAnsiTheme="majorHAnsi"/>
          <w:bCs/>
          <w:sz w:val="20"/>
          <w:szCs w:val="20"/>
          <w:lang w:val="es-CO"/>
        </w:rPr>
        <w:t xml:space="preserve">el </w:t>
      </w:r>
      <w:r w:rsidR="00CD468E" w:rsidRPr="00281660">
        <w:rPr>
          <w:rFonts w:asciiTheme="majorHAnsi" w:hAnsiTheme="majorHAnsi"/>
          <w:bCs/>
          <w:sz w:val="20"/>
          <w:szCs w:val="20"/>
          <w:lang w:val="es-CO"/>
        </w:rPr>
        <w:t xml:space="preserve">15 de noviembre de 2011. </w:t>
      </w:r>
      <w:r w:rsidR="00085E68" w:rsidRPr="00281660">
        <w:rPr>
          <w:rFonts w:asciiTheme="majorHAnsi" w:hAnsiTheme="majorHAnsi"/>
          <w:bCs/>
          <w:sz w:val="20"/>
          <w:szCs w:val="20"/>
          <w:lang w:val="es-CO"/>
        </w:rPr>
        <w:t>A</w:t>
      </w:r>
      <w:r w:rsidR="00CD468E" w:rsidRPr="00281660">
        <w:rPr>
          <w:rFonts w:asciiTheme="majorHAnsi" w:hAnsiTheme="majorHAnsi"/>
          <w:bCs/>
          <w:sz w:val="20"/>
          <w:szCs w:val="20"/>
          <w:lang w:val="es-CO"/>
        </w:rPr>
        <w:t>clara que, en esta oportunidad</w:t>
      </w:r>
      <w:r w:rsidR="00824CEF" w:rsidRPr="00281660">
        <w:rPr>
          <w:rFonts w:asciiTheme="majorHAnsi" w:hAnsiTheme="majorHAnsi"/>
          <w:bCs/>
          <w:sz w:val="20"/>
          <w:szCs w:val="20"/>
          <w:lang w:val="es-CO"/>
        </w:rPr>
        <w:t xml:space="preserve"> los magistrados del Consejo Superior de la Judicatura se declararon impedido</w:t>
      </w:r>
      <w:r w:rsidR="00C32E87" w:rsidRPr="00281660">
        <w:rPr>
          <w:rFonts w:asciiTheme="majorHAnsi" w:hAnsiTheme="majorHAnsi"/>
          <w:bCs/>
          <w:sz w:val="20"/>
          <w:szCs w:val="20"/>
          <w:lang w:val="es-CO"/>
        </w:rPr>
        <w:t>s</w:t>
      </w:r>
      <w:r w:rsidR="00085E68" w:rsidRPr="00281660">
        <w:rPr>
          <w:rFonts w:asciiTheme="majorHAnsi" w:hAnsiTheme="majorHAnsi"/>
          <w:bCs/>
          <w:sz w:val="20"/>
          <w:szCs w:val="20"/>
          <w:lang w:val="es-CO"/>
        </w:rPr>
        <w:t>, pero nombraron a “conjueces de bolsillo”, según alega.</w:t>
      </w:r>
      <w:r w:rsidR="00977BC2" w:rsidRPr="00281660">
        <w:rPr>
          <w:rFonts w:asciiTheme="majorHAnsi" w:hAnsiTheme="majorHAnsi"/>
          <w:bCs/>
          <w:sz w:val="20"/>
          <w:szCs w:val="20"/>
          <w:lang w:val="es-CO"/>
        </w:rPr>
        <w:t xml:space="preserve"> Relata que presentó un memorial </w:t>
      </w:r>
      <w:r w:rsidR="00D33CCD" w:rsidRPr="00281660">
        <w:rPr>
          <w:rFonts w:asciiTheme="majorHAnsi" w:hAnsiTheme="majorHAnsi"/>
          <w:bCs/>
          <w:sz w:val="20"/>
          <w:szCs w:val="20"/>
          <w:lang w:val="es-CO"/>
        </w:rPr>
        <w:t xml:space="preserve">ante la Corte Constitucional el 6 de </w:t>
      </w:r>
      <w:r w:rsidR="00450A67" w:rsidRPr="00281660">
        <w:rPr>
          <w:rFonts w:asciiTheme="majorHAnsi" w:hAnsiTheme="majorHAnsi"/>
          <w:bCs/>
          <w:sz w:val="20"/>
          <w:szCs w:val="20"/>
          <w:lang w:val="es-CO"/>
        </w:rPr>
        <w:t>diciembre</w:t>
      </w:r>
      <w:r w:rsidR="00D33CCD" w:rsidRPr="00281660">
        <w:rPr>
          <w:rFonts w:asciiTheme="majorHAnsi" w:hAnsiTheme="majorHAnsi"/>
          <w:bCs/>
          <w:sz w:val="20"/>
          <w:szCs w:val="20"/>
          <w:lang w:val="es-CO"/>
        </w:rPr>
        <w:t xml:space="preserve"> de 2011 a fin de que dicho tribunal revisara los fallos de tutela proferidos en su contra.</w:t>
      </w:r>
      <w:r w:rsidR="00EA29AF" w:rsidRPr="00281660">
        <w:rPr>
          <w:rFonts w:asciiTheme="majorHAnsi" w:hAnsiTheme="majorHAnsi"/>
          <w:bCs/>
          <w:sz w:val="20"/>
          <w:szCs w:val="20"/>
          <w:lang w:val="es-CO"/>
        </w:rPr>
        <w:t xml:space="preserve"> La Corte Constitucional </w:t>
      </w:r>
      <w:r w:rsidR="00BF1988" w:rsidRPr="00281660">
        <w:rPr>
          <w:rFonts w:asciiTheme="majorHAnsi" w:hAnsiTheme="majorHAnsi"/>
          <w:bCs/>
          <w:sz w:val="20"/>
          <w:szCs w:val="20"/>
          <w:lang w:val="es-CO"/>
        </w:rPr>
        <w:t>seleccionó</w:t>
      </w:r>
      <w:r w:rsidR="00EA29AF" w:rsidRPr="00281660">
        <w:rPr>
          <w:rFonts w:asciiTheme="majorHAnsi" w:hAnsiTheme="majorHAnsi"/>
          <w:bCs/>
          <w:sz w:val="20"/>
          <w:szCs w:val="20"/>
          <w:lang w:val="es-CO"/>
        </w:rPr>
        <w:t xml:space="preserve"> su acción de tutela para revisión</w:t>
      </w:r>
      <w:r w:rsidR="00BF1988" w:rsidRPr="00281660">
        <w:rPr>
          <w:rFonts w:asciiTheme="majorHAnsi" w:hAnsiTheme="majorHAnsi"/>
          <w:bCs/>
          <w:sz w:val="20"/>
          <w:szCs w:val="20"/>
          <w:lang w:val="es-CO"/>
        </w:rPr>
        <w:t>,</w:t>
      </w:r>
      <w:r w:rsidR="00EA29AF" w:rsidRPr="00281660">
        <w:rPr>
          <w:rFonts w:asciiTheme="majorHAnsi" w:hAnsiTheme="majorHAnsi"/>
          <w:bCs/>
          <w:sz w:val="20"/>
          <w:szCs w:val="20"/>
          <w:lang w:val="es-CO"/>
        </w:rPr>
        <w:t xml:space="preserve"> y mediante sentencia del 3 de mayo de 2012 </w:t>
      </w:r>
      <w:r w:rsidR="00BF1988" w:rsidRPr="00281660">
        <w:rPr>
          <w:rFonts w:asciiTheme="majorHAnsi" w:hAnsiTheme="majorHAnsi"/>
          <w:bCs/>
          <w:sz w:val="20"/>
          <w:szCs w:val="20"/>
          <w:lang w:val="es-CO"/>
        </w:rPr>
        <w:t>declaró</w:t>
      </w:r>
      <w:r w:rsidR="00EA29AF" w:rsidRPr="00281660">
        <w:rPr>
          <w:rFonts w:asciiTheme="majorHAnsi" w:hAnsiTheme="majorHAnsi"/>
          <w:bCs/>
          <w:sz w:val="20"/>
          <w:szCs w:val="20"/>
          <w:lang w:val="es-CO"/>
        </w:rPr>
        <w:t xml:space="preserve"> que no exist</w:t>
      </w:r>
      <w:r w:rsidR="00BF1988" w:rsidRPr="00281660">
        <w:rPr>
          <w:rFonts w:asciiTheme="majorHAnsi" w:hAnsiTheme="majorHAnsi"/>
          <w:bCs/>
          <w:sz w:val="20"/>
          <w:szCs w:val="20"/>
          <w:lang w:val="es-CO"/>
        </w:rPr>
        <w:t>ió</w:t>
      </w:r>
      <w:r w:rsidR="00EA29AF" w:rsidRPr="00281660">
        <w:rPr>
          <w:rFonts w:asciiTheme="majorHAnsi" w:hAnsiTheme="majorHAnsi"/>
          <w:bCs/>
          <w:sz w:val="20"/>
          <w:szCs w:val="20"/>
          <w:lang w:val="es-CO"/>
        </w:rPr>
        <w:t xml:space="preserve"> violación alguna a los derechos del peticionario en el proceso disciplinario que culminó en su destitución.</w:t>
      </w:r>
    </w:p>
    <w:p w14:paraId="38506591" w14:textId="77777777" w:rsidR="005354E4" w:rsidRPr="00281660" w:rsidRDefault="005354E4" w:rsidP="00170E71">
      <w:pPr>
        <w:pStyle w:val="ListParagraph"/>
        <w:numPr>
          <w:ilvl w:val="0"/>
          <w:numId w:val="60"/>
        </w:numPr>
        <w:spacing w:before="240" w:after="240"/>
        <w:ind w:left="0" w:firstLine="720"/>
        <w:jc w:val="both"/>
        <w:rPr>
          <w:rFonts w:asciiTheme="majorHAnsi" w:hAnsiTheme="majorHAnsi"/>
          <w:bCs/>
          <w:sz w:val="20"/>
          <w:szCs w:val="20"/>
          <w:lang w:val="es-CO"/>
        </w:rPr>
      </w:pPr>
      <w:r w:rsidRPr="00281660">
        <w:rPr>
          <w:rFonts w:asciiTheme="majorHAnsi" w:hAnsiTheme="majorHAnsi"/>
          <w:bCs/>
          <w:sz w:val="20"/>
          <w:szCs w:val="20"/>
          <w:lang w:val="es-CO"/>
        </w:rPr>
        <w:t>Adicionalmente, en sus comunicaciones posteriores, el peticionario informa a la CIDH que, a raíz de la queja disciplinaria presentada en su contra por los accionantes de la tutela que los favoreció, el Consejo Superior de la Judicatura le impuso una nueva sanción disciplinaria el 21 de octubre de 2013 por no hacer cumplir sus fallos del 2006, consistente en multa por la suma de cerca de $10.556 dólares estadounidenses para la época de los hechos.</w:t>
      </w:r>
    </w:p>
    <w:p w14:paraId="48B24B20" w14:textId="56E6F38B" w:rsidR="00930CC1" w:rsidRPr="00281660" w:rsidRDefault="00B91786" w:rsidP="00170E71">
      <w:pPr>
        <w:pStyle w:val="ListParagraph"/>
        <w:numPr>
          <w:ilvl w:val="0"/>
          <w:numId w:val="60"/>
        </w:numPr>
        <w:spacing w:before="240" w:after="240"/>
        <w:ind w:left="0" w:firstLine="720"/>
        <w:jc w:val="both"/>
        <w:rPr>
          <w:rFonts w:asciiTheme="majorHAnsi" w:hAnsiTheme="majorHAnsi"/>
          <w:bCs/>
          <w:sz w:val="20"/>
          <w:szCs w:val="20"/>
          <w:lang w:val="es-CO"/>
        </w:rPr>
      </w:pPr>
      <w:r w:rsidRPr="00281660">
        <w:rPr>
          <w:rFonts w:asciiTheme="majorHAnsi" w:hAnsiTheme="majorHAnsi"/>
          <w:bCs/>
          <w:sz w:val="20"/>
          <w:szCs w:val="20"/>
          <w:lang w:val="es-CO"/>
        </w:rPr>
        <w:t>En cuanto a</w:t>
      </w:r>
      <w:r w:rsidR="005354E4" w:rsidRPr="00281660">
        <w:rPr>
          <w:rFonts w:asciiTheme="majorHAnsi" w:hAnsiTheme="majorHAnsi"/>
          <w:bCs/>
          <w:sz w:val="20"/>
          <w:szCs w:val="20"/>
          <w:lang w:val="es-CO"/>
        </w:rPr>
        <w:t xml:space="preserve"> su</w:t>
      </w:r>
      <w:r w:rsidRPr="00281660">
        <w:rPr>
          <w:rFonts w:asciiTheme="majorHAnsi" w:hAnsiTheme="majorHAnsi"/>
          <w:bCs/>
          <w:sz w:val="20"/>
          <w:szCs w:val="20"/>
          <w:lang w:val="es-CO"/>
        </w:rPr>
        <w:t xml:space="preserve"> proces</w:t>
      </w:r>
      <w:r w:rsidR="005354E4" w:rsidRPr="00281660">
        <w:rPr>
          <w:rFonts w:asciiTheme="majorHAnsi" w:hAnsiTheme="majorHAnsi"/>
          <w:bCs/>
          <w:sz w:val="20"/>
          <w:szCs w:val="20"/>
          <w:lang w:val="es-CO"/>
        </w:rPr>
        <w:t>amiento</w:t>
      </w:r>
      <w:r w:rsidRPr="00281660">
        <w:rPr>
          <w:rFonts w:asciiTheme="majorHAnsi" w:hAnsiTheme="majorHAnsi"/>
          <w:bCs/>
          <w:sz w:val="20"/>
          <w:szCs w:val="20"/>
          <w:lang w:val="es-CO"/>
        </w:rPr>
        <w:t xml:space="preserve"> penal, </w:t>
      </w:r>
      <w:r w:rsidR="005354E4" w:rsidRPr="00281660">
        <w:rPr>
          <w:rFonts w:asciiTheme="majorHAnsi" w:hAnsiTheme="majorHAnsi"/>
          <w:bCs/>
          <w:sz w:val="20"/>
          <w:szCs w:val="20"/>
          <w:lang w:val="es-CO"/>
        </w:rPr>
        <w:t xml:space="preserve">el Estado aclara que se siguieron dos procesos penales contra </w:t>
      </w:r>
      <w:r w:rsidR="005B3391" w:rsidRPr="00281660">
        <w:rPr>
          <w:rFonts w:asciiTheme="majorHAnsi" w:hAnsiTheme="majorHAnsi"/>
          <w:bCs/>
          <w:sz w:val="20"/>
          <w:szCs w:val="20"/>
          <w:lang w:val="es-CO"/>
        </w:rPr>
        <w:t>el peticionario</w:t>
      </w:r>
      <w:r w:rsidR="005354E4" w:rsidRPr="00281660">
        <w:rPr>
          <w:rFonts w:asciiTheme="majorHAnsi" w:hAnsiTheme="majorHAnsi"/>
          <w:bCs/>
          <w:sz w:val="20"/>
          <w:szCs w:val="20"/>
          <w:lang w:val="es-CO"/>
        </w:rPr>
        <w:t>.</w:t>
      </w:r>
      <w:r w:rsidR="005B3391" w:rsidRPr="00281660">
        <w:rPr>
          <w:rFonts w:asciiTheme="majorHAnsi" w:hAnsiTheme="majorHAnsi"/>
          <w:bCs/>
          <w:sz w:val="20"/>
          <w:szCs w:val="20"/>
          <w:lang w:val="es-CO"/>
        </w:rPr>
        <w:t xml:space="preserve"> </w:t>
      </w:r>
      <w:r w:rsidR="005354E4" w:rsidRPr="00281660">
        <w:rPr>
          <w:rFonts w:asciiTheme="majorHAnsi" w:hAnsiTheme="majorHAnsi"/>
          <w:bCs/>
          <w:sz w:val="20"/>
          <w:szCs w:val="20"/>
          <w:lang w:val="es-CO"/>
        </w:rPr>
        <w:t xml:space="preserve">Éste se limita a </w:t>
      </w:r>
      <w:r w:rsidR="008A62E5" w:rsidRPr="00281660">
        <w:rPr>
          <w:rFonts w:asciiTheme="majorHAnsi" w:hAnsiTheme="majorHAnsi"/>
          <w:bCs/>
          <w:sz w:val="20"/>
          <w:szCs w:val="20"/>
          <w:lang w:val="es-CO"/>
        </w:rPr>
        <w:t>señala</w:t>
      </w:r>
      <w:r w:rsidR="005354E4" w:rsidRPr="00281660">
        <w:rPr>
          <w:rFonts w:asciiTheme="majorHAnsi" w:hAnsiTheme="majorHAnsi"/>
          <w:bCs/>
          <w:sz w:val="20"/>
          <w:szCs w:val="20"/>
          <w:lang w:val="es-CO"/>
        </w:rPr>
        <w:t>r</w:t>
      </w:r>
      <w:r w:rsidR="008A62E5" w:rsidRPr="00281660">
        <w:rPr>
          <w:rFonts w:asciiTheme="majorHAnsi" w:hAnsiTheme="majorHAnsi"/>
          <w:bCs/>
          <w:sz w:val="20"/>
          <w:szCs w:val="20"/>
          <w:lang w:val="es-CO"/>
        </w:rPr>
        <w:t xml:space="preserve"> </w:t>
      </w:r>
      <w:r w:rsidR="005B3391" w:rsidRPr="00281660">
        <w:rPr>
          <w:rFonts w:asciiTheme="majorHAnsi" w:hAnsiTheme="majorHAnsi"/>
          <w:bCs/>
          <w:sz w:val="20"/>
          <w:szCs w:val="20"/>
          <w:lang w:val="es-CO"/>
        </w:rPr>
        <w:t xml:space="preserve">que fue condenado en </w:t>
      </w:r>
      <w:r w:rsidR="00185A14" w:rsidRPr="00281660">
        <w:rPr>
          <w:rFonts w:asciiTheme="majorHAnsi" w:hAnsiTheme="majorHAnsi"/>
          <w:bCs/>
          <w:sz w:val="20"/>
          <w:szCs w:val="20"/>
          <w:lang w:val="es-CO"/>
        </w:rPr>
        <w:t xml:space="preserve">ambos </w:t>
      </w:r>
      <w:r w:rsidR="005B3391" w:rsidRPr="00281660">
        <w:rPr>
          <w:rFonts w:asciiTheme="majorHAnsi" w:hAnsiTheme="majorHAnsi"/>
          <w:bCs/>
          <w:sz w:val="20"/>
          <w:szCs w:val="20"/>
          <w:lang w:val="es-CO"/>
        </w:rPr>
        <w:t xml:space="preserve">procesos </w:t>
      </w:r>
      <w:r w:rsidR="00185A14" w:rsidRPr="00281660">
        <w:rPr>
          <w:rFonts w:asciiTheme="majorHAnsi" w:hAnsiTheme="majorHAnsi"/>
          <w:bCs/>
          <w:sz w:val="20"/>
          <w:szCs w:val="20"/>
          <w:lang w:val="es-CO"/>
        </w:rPr>
        <w:t xml:space="preserve">con ocasión de </w:t>
      </w:r>
      <w:r w:rsidR="005B3391" w:rsidRPr="00281660">
        <w:rPr>
          <w:rFonts w:asciiTheme="majorHAnsi" w:hAnsiTheme="majorHAnsi"/>
          <w:bCs/>
          <w:sz w:val="20"/>
          <w:szCs w:val="20"/>
          <w:lang w:val="es-CO"/>
        </w:rPr>
        <w:t>la emisión de las sentencias de tutela</w:t>
      </w:r>
      <w:r w:rsidR="00C37642" w:rsidRPr="00281660">
        <w:rPr>
          <w:rFonts w:asciiTheme="majorHAnsi" w:hAnsiTheme="majorHAnsi"/>
          <w:bCs/>
          <w:sz w:val="20"/>
          <w:szCs w:val="20"/>
          <w:lang w:val="es-CO"/>
        </w:rPr>
        <w:t xml:space="preserve"> en 2006</w:t>
      </w:r>
      <w:r w:rsidR="005B3391" w:rsidRPr="00281660">
        <w:rPr>
          <w:rFonts w:asciiTheme="majorHAnsi" w:hAnsiTheme="majorHAnsi"/>
          <w:bCs/>
          <w:sz w:val="20"/>
          <w:szCs w:val="20"/>
          <w:lang w:val="es-CO"/>
        </w:rPr>
        <w:t xml:space="preserve">, y por el embargo decretado a las cuentas bancarias de CAJANAL. </w:t>
      </w:r>
      <w:r w:rsidR="008A62E5" w:rsidRPr="00281660">
        <w:rPr>
          <w:rFonts w:asciiTheme="majorHAnsi" w:hAnsiTheme="majorHAnsi"/>
          <w:bCs/>
          <w:sz w:val="20"/>
          <w:szCs w:val="20"/>
          <w:lang w:val="es-CO"/>
        </w:rPr>
        <w:t xml:space="preserve">En comunicaciones recientes, el peticionario informa que fue beneficiado con la medida de detención domiciliaria </w:t>
      </w:r>
      <w:r w:rsidR="00304278" w:rsidRPr="00281660">
        <w:rPr>
          <w:rFonts w:asciiTheme="majorHAnsi" w:hAnsiTheme="majorHAnsi"/>
          <w:bCs/>
          <w:sz w:val="20"/>
          <w:szCs w:val="20"/>
          <w:lang w:val="es-CO"/>
        </w:rPr>
        <w:t xml:space="preserve">a partir de la primera condena, pero el 22 de octubre de 2022 fue capturado con fundamento en la segunda condena proferida en su contra. </w:t>
      </w:r>
      <w:r w:rsidR="00A2674F" w:rsidRPr="00281660">
        <w:rPr>
          <w:rFonts w:asciiTheme="majorHAnsi" w:hAnsiTheme="majorHAnsi"/>
          <w:bCs/>
          <w:sz w:val="20"/>
          <w:szCs w:val="20"/>
          <w:lang w:val="es-CO"/>
        </w:rPr>
        <w:t>Relata que su abogada solicitó la concesión del beneficio de detención domiciliaria, el cual fue</w:t>
      </w:r>
      <w:r w:rsidR="00C96CB8" w:rsidRPr="00281660">
        <w:rPr>
          <w:rFonts w:asciiTheme="majorHAnsi" w:hAnsiTheme="majorHAnsi"/>
          <w:bCs/>
          <w:sz w:val="20"/>
          <w:szCs w:val="20"/>
          <w:lang w:val="es-CO"/>
        </w:rPr>
        <w:t xml:space="preserve"> nuevamente otorgado a su favor, pero alega que ambas penas fueron acumuladas </w:t>
      </w:r>
      <w:r w:rsidR="00BA0CFD" w:rsidRPr="00281660">
        <w:rPr>
          <w:rFonts w:asciiTheme="majorHAnsi" w:hAnsiTheme="majorHAnsi"/>
          <w:bCs/>
          <w:sz w:val="20"/>
          <w:szCs w:val="20"/>
          <w:lang w:val="es-CO"/>
        </w:rPr>
        <w:t>en una pena total de nueve años de prisión, y dado que ya había cumplido más de la mitad de dicha pena, se vio beneficiado con la medida de excarcelación.</w:t>
      </w:r>
      <w:r w:rsidR="0074031F" w:rsidRPr="00281660">
        <w:rPr>
          <w:rFonts w:asciiTheme="majorHAnsi" w:hAnsiTheme="majorHAnsi"/>
          <w:bCs/>
          <w:sz w:val="20"/>
          <w:szCs w:val="20"/>
          <w:lang w:val="es-CO"/>
        </w:rPr>
        <w:t xml:space="preserve"> No obstante, arguye que fue dejado en estado de indefensión frente a la acumulación de penas.</w:t>
      </w:r>
    </w:p>
    <w:p w14:paraId="5B88CBE6" w14:textId="576BE56C" w:rsidR="00360E82" w:rsidRPr="00281660" w:rsidRDefault="0074031F" w:rsidP="009A1147">
      <w:pPr>
        <w:pStyle w:val="ListParagraph"/>
        <w:numPr>
          <w:ilvl w:val="0"/>
          <w:numId w:val="60"/>
        </w:numPr>
        <w:spacing w:before="240" w:after="240"/>
        <w:ind w:left="0" w:firstLine="720"/>
        <w:jc w:val="both"/>
        <w:rPr>
          <w:rFonts w:asciiTheme="majorHAnsi" w:hAnsiTheme="majorHAnsi"/>
          <w:bCs/>
          <w:sz w:val="20"/>
          <w:szCs w:val="20"/>
          <w:lang w:val="es-CO"/>
        </w:rPr>
      </w:pPr>
      <w:r w:rsidRPr="00281660">
        <w:rPr>
          <w:rFonts w:asciiTheme="majorHAnsi" w:hAnsiTheme="majorHAnsi"/>
          <w:bCs/>
          <w:sz w:val="20"/>
          <w:szCs w:val="20"/>
          <w:lang w:val="es-CO"/>
        </w:rPr>
        <w:t xml:space="preserve">De las comunicaciones recientes del peticionario, </w:t>
      </w:r>
      <w:r w:rsidR="00F53380" w:rsidRPr="00281660">
        <w:rPr>
          <w:rFonts w:asciiTheme="majorHAnsi" w:hAnsiTheme="majorHAnsi"/>
          <w:bCs/>
          <w:sz w:val="20"/>
          <w:szCs w:val="20"/>
          <w:lang w:val="es-CO"/>
        </w:rPr>
        <w:t xml:space="preserve">éste denuncia </w:t>
      </w:r>
      <w:r w:rsidR="00582992" w:rsidRPr="00281660">
        <w:rPr>
          <w:rFonts w:asciiTheme="majorHAnsi" w:hAnsiTheme="majorHAnsi"/>
          <w:bCs/>
          <w:sz w:val="20"/>
          <w:szCs w:val="20"/>
          <w:lang w:val="es-CO"/>
        </w:rPr>
        <w:t xml:space="preserve">que su vivienda se encuentra embargada por la </w:t>
      </w:r>
      <w:r w:rsidR="00884E68" w:rsidRPr="00281660">
        <w:rPr>
          <w:rFonts w:asciiTheme="majorHAnsi" w:hAnsiTheme="majorHAnsi"/>
          <w:bCs/>
          <w:sz w:val="20"/>
          <w:szCs w:val="20"/>
          <w:lang w:val="es-CO"/>
        </w:rPr>
        <w:t>Unidad de Gestión Pensional y Parafiscales (en adelante “UGPP”)</w:t>
      </w:r>
      <w:r w:rsidR="00F53380" w:rsidRPr="00281660">
        <w:rPr>
          <w:rFonts w:asciiTheme="majorHAnsi" w:hAnsiTheme="majorHAnsi"/>
          <w:bCs/>
          <w:sz w:val="20"/>
          <w:szCs w:val="20"/>
          <w:lang w:val="es-CO"/>
        </w:rPr>
        <w:t>, entidad que reemplazó a CAJANAL</w:t>
      </w:r>
      <w:r w:rsidR="00582992" w:rsidRPr="00281660">
        <w:rPr>
          <w:rFonts w:asciiTheme="majorHAnsi" w:hAnsiTheme="majorHAnsi"/>
          <w:bCs/>
          <w:sz w:val="20"/>
          <w:szCs w:val="20"/>
          <w:lang w:val="es-CO"/>
        </w:rPr>
        <w:t>.</w:t>
      </w:r>
      <w:r w:rsidR="009A1147" w:rsidRPr="00281660">
        <w:rPr>
          <w:rFonts w:asciiTheme="majorHAnsi" w:hAnsiTheme="majorHAnsi"/>
          <w:bCs/>
          <w:sz w:val="20"/>
          <w:szCs w:val="20"/>
          <w:lang w:val="es-CO"/>
        </w:rPr>
        <w:t xml:space="preserve"> Ello, según relata de manera confusa, por cuanto </w:t>
      </w:r>
      <w:r w:rsidR="00200B95" w:rsidRPr="00281660">
        <w:rPr>
          <w:rFonts w:asciiTheme="majorHAnsi" w:hAnsiTheme="majorHAnsi"/>
          <w:bCs/>
          <w:sz w:val="20"/>
          <w:szCs w:val="20"/>
          <w:lang w:val="es-CO"/>
        </w:rPr>
        <w:t xml:space="preserve">CAJANAL se constituyó como parte civil en el proceso </w:t>
      </w:r>
      <w:r w:rsidR="00BE04F3" w:rsidRPr="00281660">
        <w:rPr>
          <w:rFonts w:asciiTheme="majorHAnsi" w:hAnsiTheme="majorHAnsi"/>
          <w:bCs/>
          <w:sz w:val="20"/>
          <w:szCs w:val="20"/>
          <w:lang w:val="es-CO"/>
        </w:rPr>
        <w:t xml:space="preserve">penal </w:t>
      </w:r>
      <w:r w:rsidR="00200B95" w:rsidRPr="00281660">
        <w:rPr>
          <w:rFonts w:asciiTheme="majorHAnsi" w:hAnsiTheme="majorHAnsi"/>
          <w:bCs/>
          <w:sz w:val="20"/>
          <w:szCs w:val="20"/>
          <w:lang w:val="es-CO"/>
        </w:rPr>
        <w:t>adelantado</w:t>
      </w:r>
      <w:r w:rsidR="00BE04F3" w:rsidRPr="00281660">
        <w:rPr>
          <w:rFonts w:asciiTheme="majorHAnsi" w:hAnsiTheme="majorHAnsi"/>
          <w:bCs/>
          <w:sz w:val="20"/>
          <w:szCs w:val="20"/>
          <w:lang w:val="es-CO"/>
        </w:rPr>
        <w:t xml:space="preserve"> </w:t>
      </w:r>
      <w:r w:rsidR="000919A3" w:rsidRPr="00281660">
        <w:rPr>
          <w:rFonts w:asciiTheme="majorHAnsi" w:hAnsiTheme="majorHAnsi"/>
          <w:bCs/>
          <w:sz w:val="20"/>
          <w:szCs w:val="20"/>
          <w:lang w:val="es-CO"/>
        </w:rPr>
        <w:t xml:space="preserve">en su </w:t>
      </w:r>
      <w:r w:rsidR="00BE04F3" w:rsidRPr="00281660">
        <w:rPr>
          <w:rFonts w:asciiTheme="majorHAnsi" w:hAnsiTheme="majorHAnsi"/>
          <w:bCs/>
          <w:sz w:val="20"/>
          <w:szCs w:val="20"/>
          <w:lang w:val="es-CO"/>
        </w:rPr>
        <w:t>contra por el delito de prevaricato</w:t>
      </w:r>
      <w:r w:rsidR="00195C29" w:rsidRPr="00281660">
        <w:rPr>
          <w:rFonts w:asciiTheme="majorHAnsi" w:hAnsiTheme="majorHAnsi"/>
          <w:bCs/>
          <w:sz w:val="20"/>
          <w:szCs w:val="20"/>
          <w:lang w:val="es-CO"/>
        </w:rPr>
        <w:t xml:space="preserve"> en razón del auto por el cual ordenó el embargo a sus cuentas bancarias.</w:t>
      </w:r>
      <w:r w:rsidR="00187CA3" w:rsidRPr="00281660">
        <w:rPr>
          <w:rFonts w:asciiTheme="majorHAnsi" w:hAnsiTheme="majorHAnsi"/>
          <w:bCs/>
          <w:sz w:val="20"/>
          <w:szCs w:val="20"/>
          <w:lang w:val="es-CO"/>
        </w:rPr>
        <w:t xml:space="preserve"> </w:t>
      </w:r>
      <w:r w:rsidR="00195C29" w:rsidRPr="00281660">
        <w:rPr>
          <w:rFonts w:asciiTheme="majorHAnsi" w:hAnsiTheme="majorHAnsi"/>
          <w:bCs/>
          <w:sz w:val="20"/>
          <w:szCs w:val="20"/>
          <w:lang w:val="es-CO"/>
        </w:rPr>
        <w:t xml:space="preserve">Aduce que CAJANAL se negó a cumplir las sentencias de tutela </w:t>
      </w:r>
      <w:r w:rsidR="00FE1535" w:rsidRPr="00281660">
        <w:rPr>
          <w:rFonts w:asciiTheme="majorHAnsi" w:hAnsiTheme="majorHAnsi"/>
          <w:bCs/>
          <w:sz w:val="20"/>
          <w:szCs w:val="20"/>
          <w:lang w:val="es-CO"/>
        </w:rPr>
        <w:t xml:space="preserve">que </w:t>
      </w:r>
      <w:r w:rsidR="00195C29" w:rsidRPr="00281660">
        <w:rPr>
          <w:rFonts w:asciiTheme="majorHAnsi" w:hAnsiTheme="majorHAnsi"/>
          <w:bCs/>
          <w:sz w:val="20"/>
          <w:szCs w:val="20"/>
          <w:lang w:val="es-CO"/>
        </w:rPr>
        <w:t>emit</w:t>
      </w:r>
      <w:r w:rsidR="00FE1535" w:rsidRPr="00281660">
        <w:rPr>
          <w:rFonts w:asciiTheme="majorHAnsi" w:hAnsiTheme="majorHAnsi"/>
          <w:bCs/>
          <w:sz w:val="20"/>
          <w:szCs w:val="20"/>
          <w:lang w:val="es-CO"/>
        </w:rPr>
        <w:t>ió</w:t>
      </w:r>
      <w:r w:rsidR="00195C29" w:rsidRPr="00281660">
        <w:rPr>
          <w:rFonts w:asciiTheme="majorHAnsi" w:hAnsiTheme="majorHAnsi"/>
          <w:bCs/>
          <w:sz w:val="20"/>
          <w:szCs w:val="20"/>
          <w:lang w:val="es-CO"/>
        </w:rPr>
        <w:t xml:space="preserve"> en 2006 por considerarlas manifiestamente ilegales</w:t>
      </w:r>
      <w:r w:rsidR="00FE1535" w:rsidRPr="00281660">
        <w:rPr>
          <w:rFonts w:asciiTheme="majorHAnsi" w:hAnsiTheme="majorHAnsi"/>
          <w:bCs/>
          <w:sz w:val="20"/>
          <w:szCs w:val="20"/>
          <w:lang w:val="es-CO"/>
        </w:rPr>
        <w:t>, por lo que la entidad declaró en el proceso penal que</w:t>
      </w:r>
      <w:r w:rsidR="00195C29" w:rsidRPr="00281660">
        <w:rPr>
          <w:rFonts w:asciiTheme="majorHAnsi" w:hAnsiTheme="majorHAnsi"/>
          <w:bCs/>
          <w:sz w:val="20"/>
          <w:szCs w:val="20"/>
          <w:lang w:val="es-CO"/>
        </w:rPr>
        <w:t xml:space="preserve"> </w:t>
      </w:r>
      <w:r w:rsidR="00187CA3" w:rsidRPr="00281660">
        <w:rPr>
          <w:rFonts w:asciiTheme="majorHAnsi" w:hAnsiTheme="majorHAnsi"/>
          <w:bCs/>
          <w:sz w:val="20"/>
          <w:szCs w:val="20"/>
          <w:lang w:val="es-CO"/>
        </w:rPr>
        <w:t xml:space="preserve">no </w:t>
      </w:r>
      <w:r w:rsidR="00187CA3" w:rsidRPr="00281660">
        <w:rPr>
          <w:rFonts w:asciiTheme="majorHAnsi" w:hAnsiTheme="majorHAnsi"/>
          <w:bCs/>
          <w:sz w:val="20"/>
          <w:szCs w:val="20"/>
          <w:lang w:val="es-CO"/>
        </w:rPr>
        <w:lastRenderedPageBreak/>
        <w:t>existían perjuicios causado</w:t>
      </w:r>
      <w:r w:rsidR="00FE1535" w:rsidRPr="00281660">
        <w:rPr>
          <w:rFonts w:asciiTheme="majorHAnsi" w:hAnsiTheme="majorHAnsi"/>
          <w:bCs/>
          <w:sz w:val="20"/>
          <w:szCs w:val="20"/>
          <w:lang w:val="es-CO"/>
        </w:rPr>
        <w:t>s con el accionar del peticionario.</w:t>
      </w:r>
      <w:r w:rsidR="00D11057" w:rsidRPr="00281660">
        <w:rPr>
          <w:rFonts w:asciiTheme="majorHAnsi" w:hAnsiTheme="majorHAnsi"/>
          <w:bCs/>
          <w:sz w:val="20"/>
          <w:szCs w:val="20"/>
          <w:lang w:val="es-CO"/>
        </w:rPr>
        <w:t xml:space="preserve"> </w:t>
      </w:r>
      <w:r w:rsidR="00187CA3" w:rsidRPr="00281660">
        <w:rPr>
          <w:rFonts w:asciiTheme="majorHAnsi" w:hAnsiTheme="majorHAnsi"/>
          <w:bCs/>
          <w:sz w:val="20"/>
          <w:szCs w:val="20"/>
          <w:lang w:val="es-CO"/>
        </w:rPr>
        <w:t xml:space="preserve">No obstante, </w:t>
      </w:r>
      <w:r w:rsidR="005213A8" w:rsidRPr="00281660">
        <w:rPr>
          <w:rFonts w:asciiTheme="majorHAnsi" w:hAnsiTheme="majorHAnsi"/>
          <w:bCs/>
          <w:sz w:val="20"/>
          <w:szCs w:val="20"/>
          <w:lang w:val="es-CO"/>
        </w:rPr>
        <w:t xml:space="preserve">el Sr. Payares Pérez </w:t>
      </w:r>
      <w:r w:rsidR="008F47D9" w:rsidRPr="00281660">
        <w:rPr>
          <w:rFonts w:asciiTheme="majorHAnsi" w:hAnsiTheme="majorHAnsi"/>
          <w:bCs/>
          <w:sz w:val="20"/>
          <w:szCs w:val="20"/>
          <w:lang w:val="es-CO"/>
        </w:rPr>
        <w:t>destaca que</w:t>
      </w:r>
      <w:r w:rsidR="005213A8" w:rsidRPr="00281660">
        <w:rPr>
          <w:rFonts w:asciiTheme="majorHAnsi" w:hAnsiTheme="majorHAnsi"/>
          <w:bCs/>
          <w:sz w:val="20"/>
          <w:szCs w:val="20"/>
          <w:lang w:val="es-CO"/>
        </w:rPr>
        <w:t>,</w:t>
      </w:r>
      <w:r w:rsidR="008F47D9" w:rsidRPr="00281660">
        <w:rPr>
          <w:rFonts w:asciiTheme="majorHAnsi" w:hAnsiTheme="majorHAnsi"/>
          <w:bCs/>
          <w:sz w:val="20"/>
          <w:szCs w:val="20"/>
          <w:lang w:val="es-CO"/>
        </w:rPr>
        <w:t xml:space="preserve"> después de la supresión de CAJANAL y su reemplazo por la </w:t>
      </w:r>
      <w:r w:rsidR="009901E4" w:rsidRPr="00281660">
        <w:rPr>
          <w:rFonts w:asciiTheme="majorHAnsi" w:hAnsiTheme="majorHAnsi"/>
          <w:bCs/>
          <w:sz w:val="20"/>
          <w:szCs w:val="20"/>
          <w:lang w:val="es-CO"/>
        </w:rPr>
        <w:t>UGPP</w:t>
      </w:r>
      <w:r w:rsidR="00447927" w:rsidRPr="00281660">
        <w:rPr>
          <w:rFonts w:asciiTheme="majorHAnsi" w:hAnsiTheme="majorHAnsi"/>
          <w:bCs/>
          <w:sz w:val="20"/>
          <w:szCs w:val="20"/>
          <w:lang w:val="es-CO"/>
        </w:rPr>
        <w:t>, la nueva entidad empezó a pagar las pensiones de gracia otorgadas mediante las sentencias de tutela hacia finales del 2013 y hasta</w:t>
      </w:r>
      <w:r w:rsidR="00771A68" w:rsidRPr="00281660">
        <w:rPr>
          <w:rFonts w:asciiTheme="majorHAnsi" w:hAnsiTheme="majorHAnsi"/>
          <w:bCs/>
          <w:sz w:val="20"/>
          <w:szCs w:val="20"/>
          <w:lang w:val="es-CO"/>
        </w:rPr>
        <w:t xml:space="preserve"> el 2014</w:t>
      </w:r>
      <w:r w:rsidR="00EE5E04" w:rsidRPr="00281660">
        <w:rPr>
          <w:rFonts w:asciiTheme="majorHAnsi" w:hAnsiTheme="majorHAnsi"/>
          <w:bCs/>
          <w:sz w:val="20"/>
          <w:szCs w:val="20"/>
          <w:lang w:val="es-CO"/>
        </w:rPr>
        <w:t>;</w:t>
      </w:r>
      <w:r w:rsidR="005213A8" w:rsidRPr="00281660">
        <w:rPr>
          <w:rFonts w:asciiTheme="majorHAnsi" w:hAnsiTheme="majorHAnsi"/>
          <w:bCs/>
          <w:sz w:val="20"/>
          <w:szCs w:val="20"/>
          <w:lang w:val="es-CO"/>
        </w:rPr>
        <w:t xml:space="preserve"> con lo cual, la UGPP reclamó </w:t>
      </w:r>
      <w:r w:rsidR="00361146" w:rsidRPr="00281660">
        <w:rPr>
          <w:rFonts w:asciiTheme="majorHAnsi" w:hAnsiTheme="majorHAnsi"/>
          <w:bCs/>
          <w:sz w:val="20"/>
          <w:szCs w:val="20"/>
          <w:lang w:val="es-CO"/>
        </w:rPr>
        <w:t>lo pagado por las pensiones de gracia como perjuicios en el proceso penal adelantado contra el peticionario.</w:t>
      </w:r>
      <w:r w:rsidR="00771A68" w:rsidRPr="00281660">
        <w:rPr>
          <w:rFonts w:asciiTheme="majorHAnsi" w:hAnsiTheme="majorHAnsi"/>
          <w:bCs/>
          <w:sz w:val="20"/>
          <w:szCs w:val="20"/>
          <w:lang w:val="es-CO"/>
        </w:rPr>
        <w:t xml:space="preserve"> </w:t>
      </w:r>
      <w:r w:rsidR="00361146" w:rsidRPr="00281660">
        <w:rPr>
          <w:rFonts w:asciiTheme="majorHAnsi" w:hAnsiTheme="majorHAnsi"/>
          <w:bCs/>
          <w:sz w:val="20"/>
          <w:szCs w:val="20"/>
          <w:lang w:val="es-CO"/>
        </w:rPr>
        <w:t xml:space="preserve">Por esta </w:t>
      </w:r>
      <w:r w:rsidR="00771A68" w:rsidRPr="00281660">
        <w:rPr>
          <w:rFonts w:asciiTheme="majorHAnsi" w:hAnsiTheme="majorHAnsi"/>
          <w:bCs/>
          <w:sz w:val="20"/>
          <w:szCs w:val="20"/>
          <w:lang w:val="es-CO"/>
        </w:rPr>
        <w:t>razón</w:t>
      </w:r>
      <w:r w:rsidR="00361146" w:rsidRPr="00281660">
        <w:rPr>
          <w:rFonts w:asciiTheme="majorHAnsi" w:hAnsiTheme="majorHAnsi"/>
          <w:bCs/>
          <w:sz w:val="20"/>
          <w:szCs w:val="20"/>
          <w:lang w:val="es-CO"/>
        </w:rPr>
        <w:t>, refiere que</w:t>
      </w:r>
      <w:r w:rsidR="00771A68" w:rsidRPr="00281660">
        <w:rPr>
          <w:rFonts w:asciiTheme="majorHAnsi" w:hAnsiTheme="majorHAnsi"/>
          <w:bCs/>
          <w:sz w:val="20"/>
          <w:szCs w:val="20"/>
          <w:lang w:val="es-CO"/>
        </w:rPr>
        <w:t xml:space="preserve"> </w:t>
      </w:r>
      <w:r w:rsidR="00361146" w:rsidRPr="00281660">
        <w:rPr>
          <w:rFonts w:asciiTheme="majorHAnsi" w:hAnsiTheme="majorHAnsi"/>
          <w:bCs/>
          <w:sz w:val="20"/>
          <w:szCs w:val="20"/>
          <w:lang w:val="es-CO"/>
        </w:rPr>
        <w:t xml:space="preserve">el </w:t>
      </w:r>
      <w:r w:rsidR="00771A68" w:rsidRPr="00281660">
        <w:rPr>
          <w:rFonts w:asciiTheme="majorHAnsi" w:hAnsiTheme="majorHAnsi"/>
          <w:bCs/>
          <w:sz w:val="20"/>
          <w:szCs w:val="20"/>
          <w:lang w:val="es-CO"/>
        </w:rPr>
        <w:t xml:space="preserve">tribunal </w:t>
      </w:r>
      <w:r w:rsidR="00361146" w:rsidRPr="00281660">
        <w:rPr>
          <w:rFonts w:asciiTheme="majorHAnsi" w:hAnsiTheme="majorHAnsi"/>
          <w:bCs/>
          <w:sz w:val="20"/>
          <w:szCs w:val="20"/>
          <w:lang w:val="es-CO"/>
        </w:rPr>
        <w:t xml:space="preserve">penal </w:t>
      </w:r>
      <w:r w:rsidR="00140739" w:rsidRPr="00281660">
        <w:rPr>
          <w:rFonts w:asciiTheme="majorHAnsi" w:hAnsiTheme="majorHAnsi"/>
          <w:bCs/>
          <w:sz w:val="20"/>
          <w:szCs w:val="20"/>
          <w:lang w:val="es-CO"/>
        </w:rPr>
        <w:t>l</w:t>
      </w:r>
      <w:r w:rsidR="00361146" w:rsidRPr="00281660">
        <w:rPr>
          <w:rFonts w:asciiTheme="majorHAnsi" w:hAnsiTheme="majorHAnsi"/>
          <w:bCs/>
          <w:sz w:val="20"/>
          <w:szCs w:val="20"/>
          <w:lang w:val="es-CO"/>
        </w:rPr>
        <w:t>o</w:t>
      </w:r>
      <w:r w:rsidR="00140739" w:rsidRPr="00281660">
        <w:rPr>
          <w:rFonts w:asciiTheme="majorHAnsi" w:hAnsiTheme="majorHAnsi"/>
          <w:bCs/>
          <w:sz w:val="20"/>
          <w:szCs w:val="20"/>
          <w:lang w:val="es-CO"/>
        </w:rPr>
        <w:t xml:space="preserve"> conden</w:t>
      </w:r>
      <w:r w:rsidR="00361146" w:rsidRPr="00281660">
        <w:rPr>
          <w:rFonts w:asciiTheme="majorHAnsi" w:hAnsiTheme="majorHAnsi"/>
          <w:bCs/>
          <w:sz w:val="20"/>
          <w:szCs w:val="20"/>
          <w:lang w:val="es-CO"/>
        </w:rPr>
        <w:t>ó</w:t>
      </w:r>
      <w:r w:rsidR="00140739" w:rsidRPr="00281660">
        <w:rPr>
          <w:rFonts w:asciiTheme="majorHAnsi" w:hAnsiTheme="majorHAnsi"/>
          <w:bCs/>
          <w:sz w:val="20"/>
          <w:szCs w:val="20"/>
          <w:lang w:val="es-CO"/>
        </w:rPr>
        <w:t xml:space="preserve"> al reembolso </w:t>
      </w:r>
      <w:r w:rsidR="00361146" w:rsidRPr="00281660">
        <w:rPr>
          <w:rFonts w:asciiTheme="majorHAnsi" w:hAnsiTheme="majorHAnsi"/>
          <w:bCs/>
          <w:sz w:val="20"/>
          <w:szCs w:val="20"/>
          <w:lang w:val="es-CO"/>
        </w:rPr>
        <w:t>de</w:t>
      </w:r>
      <w:r w:rsidR="00140739" w:rsidRPr="00281660">
        <w:rPr>
          <w:rFonts w:asciiTheme="majorHAnsi" w:hAnsiTheme="majorHAnsi"/>
          <w:bCs/>
          <w:sz w:val="20"/>
          <w:szCs w:val="20"/>
          <w:lang w:val="es-CO"/>
        </w:rPr>
        <w:t xml:space="preserve"> la</w:t>
      </w:r>
      <w:r w:rsidR="00361146" w:rsidRPr="00281660">
        <w:rPr>
          <w:rFonts w:asciiTheme="majorHAnsi" w:hAnsiTheme="majorHAnsi"/>
          <w:bCs/>
          <w:sz w:val="20"/>
          <w:szCs w:val="20"/>
          <w:lang w:val="es-CO"/>
        </w:rPr>
        <w:t>s</w:t>
      </w:r>
      <w:r w:rsidR="00140739" w:rsidRPr="00281660">
        <w:rPr>
          <w:rFonts w:asciiTheme="majorHAnsi" w:hAnsiTheme="majorHAnsi"/>
          <w:bCs/>
          <w:sz w:val="20"/>
          <w:szCs w:val="20"/>
          <w:lang w:val="es-CO"/>
        </w:rPr>
        <w:t xml:space="preserve"> suma</w:t>
      </w:r>
      <w:r w:rsidR="00361146" w:rsidRPr="00281660">
        <w:rPr>
          <w:rFonts w:asciiTheme="majorHAnsi" w:hAnsiTheme="majorHAnsi"/>
          <w:bCs/>
          <w:sz w:val="20"/>
          <w:szCs w:val="20"/>
          <w:lang w:val="es-CO"/>
        </w:rPr>
        <w:t xml:space="preserve">s pagadas por la entidad a las personas beneficiadas con las sentencias de tutela, cantidad que ascendía a </w:t>
      </w:r>
      <w:r w:rsidR="00140739" w:rsidRPr="00281660">
        <w:rPr>
          <w:rFonts w:asciiTheme="majorHAnsi" w:hAnsiTheme="majorHAnsi"/>
          <w:bCs/>
          <w:sz w:val="20"/>
          <w:szCs w:val="20"/>
          <w:lang w:val="es-CO"/>
        </w:rPr>
        <w:t xml:space="preserve">aproximadamente </w:t>
      </w:r>
      <w:r w:rsidR="00A67C4E" w:rsidRPr="00281660">
        <w:rPr>
          <w:rFonts w:asciiTheme="majorHAnsi" w:hAnsiTheme="majorHAnsi"/>
          <w:bCs/>
          <w:sz w:val="20"/>
          <w:szCs w:val="20"/>
          <w:lang w:val="es-CO"/>
        </w:rPr>
        <w:t>$8.630.049 dólares estadounidenses para la época de los hechos.</w:t>
      </w:r>
    </w:p>
    <w:p w14:paraId="75DFDDA2" w14:textId="63D880D7" w:rsidR="00223D53" w:rsidRPr="00281660" w:rsidRDefault="00223D53" w:rsidP="00223D53">
      <w:pPr>
        <w:pStyle w:val="ListParagraph"/>
        <w:spacing w:before="240" w:after="240"/>
        <w:jc w:val="both"/>
        <w:rPr>
          <w:rFonts w:asciiTheme="majorHAnsi" w:hAnsiTheme="majorHAnsi"/>
          <w:bCs/>
          <w:i/>
          <w:iCs/>
          <w:sz w:val="20"/>
          <w:szCs w:val="20"/>
          <w:lang w:val="es-CO"/>
        </w:rPr>
      </w:pPr>
      <w:r w:rsidRPr="00281660">
        <w:rPr>
          <w:rFonts w:asciiTheme="majorHAnsi" w:hAnsiTheme="majorHAnsi"/>
          <w:bCs/>
          <w:i/>
          <w:iCs/>
          <w:sz w:val="20"/>
          <w:szCs w:val="20"/>
          <w:lang w:val="es-CO"/>
        </w:rPr>
        <w:t>Posición del Estado</w:t>
      </w:r>
      <w:r w:rsidR="00CB314D" w:rsidRPr="00281660">
        <w:rPr>
          <w:rFonts w:asciiTheme="majorHAnsi" w:hAnsiTheme="majorHAnsi"/>
          <w:bCs/>
          <w:i/>
          <w:iCs/>
          <w:sz w:val="20"/>
          <w:szCs w:val="20"/>
          <w:lang w:val="es-CO"/>
        </w:rPr>
        <w:t xml:space="preserve"> colombiano</w:t>
      </w:r>
    </w:p>
    <w:p w14:paraId="7286E5FF" w14:textId="0D766E32" w:rsidR="007E1099" w:rsidRPr="00281660" w:rsidRDefault="00A6008C" w:rsidP="000F6C14">
      <w:pPr>
        <w:pStyle w:val="ListParagraph"/>
        <w:numPr>
          <w:ilvl w:val="0"/>
          <w:numId w:val="60"/>
        </w:numPr>
        <w:spacing w:before="240" w:after="240"/>
        <w:ind w:left="0" w:firstLine="720"/>
        <w:jc w:val="both"/>
        <w:rPr>
          <w:rFonts w:asciiTheme="majorHAnsi" w:hAnsiTheme="majorHAnsi"/>
          <w:bCs/>
          <w:sz w:val="20"/>
          <w:szCs w:val="20"/>
          <w:lang w:val="es-UY"/>
        </w:rPr>
      </w:pPr>
      <w:r w:rsidRPr="00281660">
        <w:rPr>
          <w:rFonts w:asciiTheme="majorHAnsi" w:hAnsiTheme="majorHAnsi"/>
          <w:sz w:val="20"/>
          <w:szCs w:val="20"/>
          <w:lang w:val="es-AR"/>
        </w:rPr>
        <w:t xml:space="preserve">Por su parte, el Estado realiza varias precisiones </w:t>
      </w:r>
      <w:r w:rsidR="00B02CA8" w:rsidRPr="00281660">
        <w:rPr>
          <w:rFonts w:asciiTheme="majorHAnsi" w:hAnsiTheme="majorHAnsi"/>
          <w:sz w:val="20"/>
          <w:szCs w:val="20"/>
          <w:lang w:val="es-AR"/>
        </w:rPr>
        <w:t xml:space="preserve">con relación a los hechos alegados y las condenas penales proferidas contra el peticionario, y </w:t>
      </w:r>
      <w:r w:rsidR="00A57FCB" w:rsidRPr="00281660">
        <w:rPr>
          <w:rFonts w:asciiTheme="majorHAnsi" w:hAnsiTheme="majorHAnsi"/>
          <w:sz w:val="20"/>
          <w:szCs w:val="20"/>
          <w:lang w:val="es-AR"/>
        </w:rPr>
        <w:t>sostiene que la presente petición es inadmisible en tanto se configura la denominada ‘fórmula de la cuarta instancia internacional’</w:t>
      </w:r>
      <w:r w:rsidR="00774E76" w:rsidRPr="00281660">
        <w:rPr>
          <w:rFonts w:asciiTheme="majorHAnsi" w:hAnsiTheme="majorHAnsi"/>
          <w:sz w:val="20"/>
          <w:szCs w:val="20"/>
          <w:lang w:val="es-AR"/>
        </w:rPr>
        <w:t>,</w:t>
      </w:r>
      <w:r w:rsidR="00A57FCB" w:rsidRPr="00281660">
        <w:rPr>
          <w:rFonts w:asciiTheme="majorHAnsi" w:hAnsiTheme="majorHAnsi"/>
          <w:sz w:val="20"/>
          <w:szCs w:val="20"/>
          <w:lang w:val="es-AR"/>
        </w:rPr>
        <w:t xml:space="preserve"> </w:t>
      </w:r>
      <w:r w:rsidR="00CB314D" w:rsidRPr="00281660">
        <w:rPr>
          <w:rFonts w:asciiTheme="majorHAnsi" w:hAnsiTheme="majorHAnsi"/>
          <w:sz w:val="20"/>
          <w:szCs w:val="20"/>
          <w:lang w:val="es-AR"/>
        </w:rPr>
        <w:t>y porque</w:t>
      </w:r>
      <w:r w:rsidR="00A57FCB" w:rsidRPr="00281660">
        <w:rPr>
          <w:rFonts w:asciiTheme="majorHAnsi" w:hAnsiTheme="majorHAnsi"/>
          <w:sz w:val="20"/>
          <w:szCs w:val="20"/>
          <w:lang w:val="es-AR"/>
        </w:rPr>
        <w:t xml:space="preserve"> no presenta hechos que </w:t>
      </w:r>
      <w:r w:rsidR="00B145BD" w:rsidRPr="00281660">
        <w:rPr>
          <w:rFonts w:asciiTheme="majorHAnsi" w:hAnsiTheme="majorHAnsi"/>
          <w:sz w:val="20"/>
          <w:szCs w:val="20"/>
          <w:lang w:val="es-AR"/>
        </w:rPr>
        <w:t>caractericen</w:t>
      </w:r>
      <w:r w:rsidR="00A57FCB" w:rsidRPr="00281660">
        <w:rPr>
          <w:rFonts w:asciiTheme="majorHAnsi" w:hAnsiTheme="majorHAnsi"/>
          <w:sz w:val="20"/>
          <w:szCs w:val="20"/>
          <w:lang w:val="es-AR"/>
        </w:rPr>
        <w:t xml:space="preserve"> una violación de los derechos protegidos por la Convención Americana.</w:t>
      </w:r>
    </w:p>
    <w:p w14:paraId="0D8E57D2" w14:textId="06EABB55" w:rsidR="009A21FC" w:rsidRPr="00281660" w:rsidRDefault="006600BB" w:rsidP="009A21FC">
      <w:pPr>
        <w:pStyle w:val="ListParagraph"/>
        <w:numPr>
          <w:ilvl w:val="0"/>
          <w:numId w:val="60"/>
        </w:numPr>
        <w:spacing w:before="240" w:after="240"/>
        <w:ind w:left="0" w:firstLine="720"/>
        <w:jc w:val="both"/>
        <w:rPr>
          <w:rFonts w:asciiTheme="majorHAnsi" w:hAnsiTheme="majorHAnsi"/>
          <w:bCs/>
          <w:sz w:val="20"/>
          <w:szCs w:val="20"/>
          <w:lang w:val="es-UY"/>
        </w:rPr>
      </w:pPr>
      <w:r w:rsidRPr="00281660">
        <w:rPr>
          <w:rFonts w:asciiTheme="majorHAnsi" w:hAnsiTheme="majorHAnsi"/>
          <w:bCs/>
          <w:sz w:val="20"/>
          <w:szCs w:val="20"/>
          <w:lang w:val="es-UY"/>
        </w:rPr>
        <w:t xml:space="preserve">En primer lugar, </w:t>
      </w:r>
      <w:r w:rsidR="009A21FC" w:rsidRPr="00281660">
        <w:rPr>
          <w:rFonts w:asciiTheme="majorHAnsi" w:hAnsiTheme="majorHAnsi"/>
          <w:bCs/>
          <w:sz w:val="20"/>
          <w:szCs w:val="20"/>
          <w:lang w:val="es-UY"/>
        </w:rPr>
        <w:t>respecto de los procesos disciplinarios Colombia aclara que el primero, tramitado bajo el número de radicado 2007-429, se siguió en contra del Sr. Payares Pérez por la falta grave de desconocimiento de la ley y la jurisprudencia, toda vez que la legislación sobre la acción de tutela establece que ésta es improcedente cuando existen otras vías legales disponibles</w:t>
      </w:r>
      <w:r w:rsidR="00376BE2" w:rsidRPr="00281660">
        <w:rPr>
          <w:rFonts w:asciiTheme="majorHAnsi" w:hAnsiTheme="majorHAnsi"/>
          <w:bCs/>
          <w:sz w:val="20"/>
          <w:szCs w:val="20"/>
          <w:lang w:val="es-UY"/>
        </w:rPr>
        <w:t>;</w:t>
      </w:r>
      <w:r w:rsidR="009A21FC" w:rsidRPr="00281660">
        <w:rPr>
          <w:rFonts w:asciiTheme="majorHAnsi" w:hAnsiTheme="majorHAnsi"/>
          <w:bCs/>
          <w:sz w:val="20"/>
          <w:szCs w:val="20"/>
          <w:lang w:val="es-UY"/>
        </w:rPr>
        <w:t xml:space="preserve"> además, por cuanto los actores no estaban domiciliados en el municipio de Magangué, es decir, que el Sr. Payares Pérez habría actuado sin competencia territorial y habría suplantado la competencia de la jurisdicción ordinaria al otorgar la pensión de gracia.</w:t>
      </w:r>
      <w:r w:rsidR="00A53609" w:rsidRPr="00281660">
        <w:rPr>
          <w:rFonts w:asciiTheme="majorHAnsi" w:hAnsiTheme="majorHAnsi"/>
          <w:bCs/>
          <w:sz w:val="20"/>
          <w:szCs w:val="20"/>
          <w:lang w:val="es-UY"/>
        </w:rPr>
        <w:t xml:space="preserve"> </w:t>
      </w:r>
      <w:r w:rsidR="00740E1A" w:rsidRPr="00281660">
        <w:rPr>
          <w:rFonts w:asciiTheme="majorHAnsi" w:hAnsiTheme="majorHAnsi"/>
          <w:bCs/>
          <w:sz w:val="20"/>
          <w:szCs w:val="20"/>
          <w:lang w:val="es-UY"/>
        </w:rPr>
        <w:t xml:space="preserve">El Estado </w:t>
      </w:r>
      <w:r w:rsidR="008030A7" w:rsidRPr="00281660">
        <w:rPr>
          <w:rFonts w:asciiTheme="majorHAnsi" w:hAnsiTheme="majorHAnsi"/>
          <w:bCs/>
          <w:sz w:val="20"/>
          <w:szCs w:val="20"/>
          <w:lang w:val="es-UY"/>
        </w:rPr>
        <w:t>indica</w:t>
      </w:r>
      <w:r w:rsidR="00740E1A" w:rsidRPr="00281660">
        <w:rPr>
          <w:rFonts w:asciiTheme="majorHAnsi" w:hAnsiTheme="majorHAnsi"/>
          <w:bCs/>
          <w:sz w:val="20"/>
          <w:szCs w:val="20"/>
          <w:lang w:val="es-UY"/>
        </w:rPr>
        <w:t xml:space="preserve"> que</w:t>
      </w:r>
      <w:r w:rsidR="00A53609" w:rsidRPr="00281660">
        <w:rPr>
          <w:rFonts w:asciiTheme="majorHAnsi" w:hAnsiTheme="majorHAnsi"/>
          <w:bCs/>
          <w:sz w:val="20"/>
          <w:szCs w:val="20"/>
          <w:lang w:val="es-UY"/>
        </w:rPr>
        <w:t xml:space="preserve"> </w:t>
      </w:r>
      <w:r w:rsidR="003D1EB2" w:rsidRPr="00281660">
        <w:rPr>
          <w:rFonts w:asciiTheme="majorHAnsi" w:hAnsiTheme="majorHAnsi"/>
          <w:bCs/>
          <w:sz w:val="20"/>
          <w:szCs w:val="20"/>
          <w:lang w:val="es-UY"/>
        </w:rPr>
        <w:t xml:space="preserve">la sentencia proferida por la presunta víctima </w:t>
      </w:r>
      <w:r w:rsidR="00196D06" w:rsidRPr="00281660">
        <w:rPr>
          <w:rFonts w:asciiTheme="majorHAnsi" w:hAnsiTheme="majorHAnsi"/>
          <w:bCs/>
          <w:sz w:val="20"/>
          <w:szCs w:val="20"/>
          <w:lang w:val="es-UY"/>
        </w:rPr>
        <w:t>declara la procedencia de la acción de tutela</w:t>
      </w:r>
      <w:r w:rsidR="003D1EB2" w:rsidRPr="00281660">
        <w:rPr>
          <w:rFonts w:asciiTheme="majorHAnsi" w:hAnsiTheme="majorHAnsi"/>
          <w:bCs/>
          <w:sz w:val="20"/>
          <w:szCs w:val="20"/>
          <w:lang w:val="es-UY"/>
        </w:rPr>
        <w:t xml:space="preserve"> por </w:t>
      </w:r>
      <w:r w:rsidR="00196D06" w:rsidRPr="00281660">
        <w:rPr>
          <w:rFonts w:asciiTheme="majorHAnsi" w:hAnsiTheme="majorHAnsi"/>
          <w:bCs/>
          <w:sz w:val="20"/>
          <w:szCs w:val="20"/>
          <w:lang w:val="es-UY"/>
        </w:rPr>
        <w:t xml:space="preserve">tratarse de </w:t>
      </w:r>
      <w:r w:rsidR="003D1EB2" w:rsidRPr="00281660">
        <w:rPr>
          <w:rFonts w:asciiTheme="majorHAnsi" w:hAnsiTheme="majorHAnsi"/>
          <w:bCs/>
          <w:sz w:val="20"/>
          <w:szCs w:val="20"/>
          <w:lang w:val="es-UY"/>
        </w:rPr>
        <w:t>personas de tercera edad</w:t>
      </w:r>
      <w:r w:rsidR="008030A7" w:rsidRPr="00281660">
        <w:rPr>
          <w:rFonts w:asciiTheme="majorHAnsi" w:hAnsiTheme="majorHAnsi"/>
          <w:bCs/>
          <w:sz w:val="20"/>
          <w:szCs w:val="20"/>
          <w:lang w:val="es-UY"/>
        </w:rPr>
        <w:t>;</w:t>
      </w:r>
      <w:r w:rsidR="003D1EB2" w:rsidRPr="00281660">
        <w:rPr>
          <w:rFonts w:asciiTheme="majorHAnsi" w:hAnsiTheme="majorHAnsi"/>
          <w:bCs/>
          <w:sz w:val="20"/>
          <w:szCs w:val="20"/>
          <w:lang w:val="es-UY"/>
        </w:rPr>
        <w:t xml:space="preserve"> </w:t>
      </w:r>
      <w:r w:rsidR="008030A7" w:rsidRPr="00281660">
        <w:rPr>
          <w:rFonts w:asciiTheme="majorHAnsi" w:hAnsiTheme="majorHAnsi"/>
          <w:bCs/>
          <w:sz w:val="20"/>
          <w:szCs w:val="20"/>
          <w:lang w:val="es-UY"/>
        </w:rPr>
        <w:t xml:space="preserve">sin embargo, </w:t>
      </w:r>
      <w:r w:rsidR="00601E46" w:rsidRPr="00281660">
        <w:rPr>
          <w:rFonts w:asciiTheme="majorHAnsi" w:hAnsiTheme="majorHAnsi"/>
          <w:bCs/>
          <w:sz w:val="20"/>
          <w:szCs w:val="20"/>
          <w:lang w:val="es-UY"/>
        </w:rPr>
        <w:t xml:space="preserve">el Consejo Superior de la Judicatura determinó que </w:t>
      </w:r>
      <w:r w:rsidR="003D1EB2" w:rsidRPr="00281660">
        <w:rPr>
          <w:rFonts w:asciiTheme="majorHAnsi" w:hAnsiTheme="majorHAnsi"/>
          <w:bCs/>
          <w:sz w:val="20"/>
          <w:szCs w:val="20"/>
          <w:lang w:val="es-UY"/>
        </w:rPr>
        <w:t xml:space="preserve">dicha argumentación </w:t>
      </w:r>
      <w:r w:rsidR="00B920C3" w:rsidRPr="00281660">
        <w:rPr>
          <w:rFonts w:asciiTheme="majorHAnsi" w:hAnsiTheme="majorHAnsi"/>
          <w:bCs/>
          <w:sz w:val="20"/>
          <w:szCs w:val="20"/>
          <w:lang w:val="es-UY"/>
        </w:rPr>
        <w:t xml:space="preserve">era </w:t>
      </w:r>
      <w:r w:rsidR="00601E46" w:rsidRPr="00281660">
        <w:rPr>
          <w:rFonts w:asciiTheme="majorHAnsi" w:hAnsiTheme="majorHAnsi"/>
          <w:bCs/>
          <w:sz w:val="20"/>
          <w:szCs w:val="20"/>
          <w:lang w:val="es-UY"/>
        </w:rPr>
        <w:t>in</w:t>
      </w:r>
      <w:r w:rsidR="00B920C3" w:rsidRPr="00281660">
        <w:rPr>
          <w:rFonts w:asciiTheme="majorHAnsi" w:hAnsiTheme="majorHAnsi"/>
          <w:bCs/>
          <w:sz w:val="20"/>
          <w:szCs w:val="20"/>
          <w:lang w:val="es-UY"/>
        </w:rPr>
        <w:t xml:space="preserve">suficiente para </w:t>
      </w:r>
      <w:r w:rsidR="00F0716F" w:rsidRPr="00281660">
        <w:rPr>
          <w:rFonts w:asciiTheme="majorHAnsi" w:hAnsiTheme="majorHAnsi"/>
          <w:bCs/>
          <w:sz w:val="20"/>
          <w:szCs w:val="20"/>
          <w:lang w:val="es-UY"/>
        </w:rPr>
        <w:t xml:space="preserve">haber </w:t>
      </w:r>
      <w:r w:rsidR="00601E46" w:rsidRPr="00281660">
        <w:rPr>
          <w:rFonts w:asciiTheme="majorHAnsi" w:hAnsiTheme="majorHAnsi"/>
          <w:bCs/>
          <w:sz w:val="20"/>
          <w:szCs w:val="20"/>
          <w:lang w:val="es-UY"/>
        </w:rPr>
        <w:t>declarado la procedencia de la acción de tutela</w:t>
      </w:r>
      <w:r w:rsidR="00F0716F" w:rsidRPr="00281660">
        <w:rPr>
          <w:rFonts w:asciiTheme="majorHAnsi" w:hAnsiTheme="majorHAnsi"/>
          <w:bCs/>
          <w:sz w:val="20"/>
          <w:szCs w:val="20"/>
          <w:lang w:val="es-UY"/>
        </w:rPr>
        <w:t>.</w:t>
      </w:r>
      <w:r w:rsidR="009A21FC" w:rsidRPr="00281660">
        <w:rPr>
          <w:rFonts w:asciiTheme="majorHAnsi" w:hAnsiTheme="majorHAnsi"/>
          <w:bCs/>
          <w:sz w:val="20"/>
          <w:szCs w:val="20"/>
          <w:lang w:val="es-UY"/>
        </w:rPr>
        <w:t xml:space="preserve"> El Estado explica que en este proceso el Sr. Payares Pérez fue sancionado con la suspensión del cargo por </w:t>
      </w:r>
      <w:r w:rsidR="00995CBB" w:rsidRPr="00281660">
        <w:rPr>
          <w:rFonts w:asciiTheme="majorHAnsi" w:hAnsiTheme="majorHAnsi"/>
          <w:bCs/>
          <w:sz w:val="20"/>
          <w:szCs w:val="20"/>
          <w:lang w:val="es-UY"/>
        </w:rPr>
        <w:t>doce</w:t>
      </w:r>
      <w:r w:rsidR="009A21FC" w:rsidRPr="00281660">
        <w:rPr>
          <w:rFonts w:asciiTheme="majorHAnsi" w:hAnsiTheme="majorHAnsi"/>
          <w:bCs/>
          <w:sz w:val="20"/>
          <w:szCs w:val="20"/>
          <w:lang w:val="es-UY"/>
        </w:rPr>
        <w:t xml:space="preserve"> meses e inhabilitación del ejercicio de cargos públicos por el mismo periodo de tiempo.</w:t>
      </w:r>
    </w:p>
    <w:p w14:paraId="28CBD00F" w14:textId="0120ED6E" w:rsidR="009A21FC" w:rsidRPr="00281660" w:rsidRDefault="009A21FC" w:rsidP="009A21FC">
      <w:pPr>
        <w:pStyle w:val="ListParagraph"/>
        <w:numPr>
          <w:ilvl w:val="0"/>
          <w:numId w:val="60"/>
        </w:numPr>
        <w:spacing w:before="240" w:after="240"/>
        <w:ind w:left="0" w:firstLine="720"/>
        <w:jc w:val="both"/>
        <w:rPr>
          <w:rFonts w:asciiTheme="majorHAnsi" w:hAnsiTheme="majorHAnsi"/>
          <w:bCs/>
          <w:sz w:val="20"/>
          <w:szCs w:val="20"/>
          <w:lang w:val="es-UY"/>
        </w:rPr>
      </w:pPr>
      <w:r w:rsidRPr="00281660">
        <w:rPr>
          <w:rFonts w:asciiTheme="majorHAnsi" w:hAnsiTheme="majorHAnsi"/>
          <w:bCs/>
          <w:sz w:val="20"/>
          <w:szCs w:val="20"/>
          <w:lang w:val="es-UY"/>
        </w:rPr>
        <w:t xml:space="preserve">En relación con el segundo proceso disciplinario, bajo el radicado número 2010-090, el Estado refiere que éste inició a partir de la remisión de la noticia del embargo ordenado a las cuentas de CAJANAL por la suma de alrededor de $11.058.452 dólares estadounidenses para la época de los hechos a raíz del fallo que había dictado al otorgar </w:t>
      </w:r>
      <w:r w:rsidR="00517E92" w:rsidRPr="00281660">
        <w:rPr>
          <w:rFonts w:asciiTheme="majorHAnsi" w:hAnsiTheme="majorHAnsi"/>
          <w:bCs/>
          <w:sz w:val="20"/>
          <w:szCs w:val="20"/>
          <w:lang w:val="es-UY"/>
        </w:rPr>
        <w:t>noventa y cinco</w:t>
      </w:r>
      <w:r w:rsidRPr="00281660">
        <w:rPr>
          <w:rFonts w:asciiTheme="majorHAnsi" w:hAnsiTheme="majorHAnsi"/>
          <w:bCs/>
          <w:sz w:val="20"/>
          <w:szCs w:val="20"/>
          <w:lang w:val="es-UY"/>
        </w:rPr>
        <w:t xml:space="preserve"> pensiones irregulares. En este caso, fue acusado de cometer las faltas disciplinarias de incumplir el deber de respetar la ley y actuar en la órbita de su competencia, así como de la falta disciplinaria de haber cometido un delito. El Estado explica que, como consecuencia de este proceso disciplinario, el 17 de noviembre de 2010 el Consejo Superior de la Judicatura sancionó a la presunta víctima con la destitución del cargo y la inhabilidad para ejercer cargos públicos durante </w:t>
      </w:r>
      <w:r w:rsidR="00580041" w:rsidRPr="00281660">
        <w:rPr>
          <w:rFonts w:asciiTheme="majorHAnsi" w:hAnsiTheme="majorHAnsi"/>
          <w:bCs/>
          <w:sz w:val="20"/>
          <w:szCs w:val="20"/>
          <w:lang w:val="es-UY"/>
        </w:rPr>
        <w:t>diez</w:t>
      </w:r>
      <w:r w:rsidRPr="00281660">
        <w:rPr>
          <w:rFonts w:asciiTheme="majorHAnsi" w:hAnsiTheme="majorHAnsi"/>
          <w:bCs/>
          <w:sz w:val="20"/>
          <w:szCs w:val="20"/>
          <w:lang w:val="es-UY"/>
        </w:rPr>
        <w:t xml:space="preserve"> años.</w:t>
      </w:r>
    </w:p>
    <w:p w14:paraId="38CD7C96" w14:textId="1AE9202D" w:rsidR="00D16213" w:rsidRPr="00281660" w:rsidRDefault="007E1DC5" w:rsidP="000F6C14">
      <w:pPr>
        <w:pStyle w:val="ListParagraph"/>
        <w:numPr>
          <w:ilvl w:val="0"/>
          <w:numId w:val="60"/>
        </w:numPr>
        <w:spacing w:before="240" w:after="240"/>
        <w:ind w:left="0" w:firstLine="720"/>
        <w:jc w:val="both"/>
        <w:rPr>
          <w:rFonts w:asciiTheme="majorHAnsi" w:hAnsiTheme="majorHAnsi"/>
          <w:bCs/>
          <w:sz w:val="20"/>
          <w:szCs w:val="20"/>
          <w:lang w:val="es-UY"/>
        </w:rPr>
      </w:pPr>
      <w:r w:rsidRPr="00281660">
        <w:rPr>
          <w:rFonts w:asciiTheme="majorHAnsi" w:hAnsiTheme="majorHAnsi"/>
          <w:bCs/>
          <w:sz w:val="20"/>
          <w:szCs w:val="20"/>
          <w:lang w:val="es-UY"/>
        </w:rPr>
        <w:t>En lo atinente a los procesos penales</w:t>
      </w:r>
      <w:r w:rsidR="0004233C" w:rsidRPr="00281660">
        <w:rPr>
          <w:rFonts w:asciiTheme="majorHAnsi" w:hAnsiTheme="majorHAnsi"/>
          <w:bCs/>
          <w:sz w:val="20"/>
          <w:szCs w:val="20"/>
          <w:lang w:val="es-UY"/>
        </w:rPr>
        <w:t>, el</w:t>
      </w:r>
      <w:r w:rsidR="006600BB" w:rsidRPr="00281660">
        <w:rPr>
          <w:rFonts w:asciiTheme="majorHAnsi" w:hAnsiTheme="majorHAnsi"/>
          <w:bCs/>
          <w:sz w:val="20"/>
          <w:szCs w:val="20"/>
          <w:lang w:val="es-UY"/>
        </w:rPr>
        <w:t xml:space="preserve"> Estado </w:t>
      </w:r>
      <w:r w:rsidRPr="00281660">
        <w:rPr>
          <w:rFonts w:asciiTheme="majorHAnsi" w:hAnsiTheme="majorHAnsi"/>
          <w:bCs/>
          <w:sz w:val="20"/>
          <w:szCs w:val="20"/>
          <w:lang w:val="es-UY"/>
        </w:rPr>
        <w:t xml:space="preserve">precisa </w:t>
      </w:r>
      <w:r w:rsidR="006600BB" w:rsidRPr="00281660">
        <w:rPr>
          <w:rFonts w:asciiTheme="majorHAnsi" w:hAnsiTheme="majorHAnsi"/>
          <w:bCs/>
          <w:sz w:val="20"/>
          <w:szCs w:val="20"/>
          <w:lang w:val="es-UY"/>
        </w:rPr>
        <w:t>que</w:t>
      </w:r>
      <w:r w:rsidR="006A10B8" w:rsidRPr="00281660">
        <w:rPr>
          <w:rFonts w:asciiTheme="majorHAnsi" w:hAnsiTheme="majorHAnsi"/>
          <w:bCs/>
          <w:sz w:val="20"/>
          <w:szCs w:val="20"/>
          <w:lang w:val="es-UY"/>
        </w:rPr>
        <w:t xml:space="preserve"> se adelantaron dos procesos penales en contra</w:t>
      </w:r>
      <w:r w:rsidR="006600BB" w:rsidRPr="00281660">
        <w:rPr>
          <w:rFonts w:asciiTheme="majorHAnsi" w:hAnsiTheme="majorHAnsi"/>
          <w:bCs/>
          <w:sz w:val="20"/>
          <w:szCs w:val="20"/>
          <w:lang w:val="es-UY"/>
        </w:rPr>
        <w:t xml:space="preserve"> </w:t>
      </w:r>
      <w:r w:rsidR="006A10B8" w:rsidRPr="00281660">
        <w:rPr>
          <w:rFonts w:asciiTheme="majorHAnsi" w:hAnsiTheme="majorHAnsi"/>
          <w:bCs/>
          <w:sz w:val="20"/>
          <w:szCs w:val="20"/>
          <w:lang w:val="es-UY"/>
        </w:rPr>
        <w:t>d</w:t>
      </w:r>
      <w:r w:rsidR="006600BB" w:rsidRPr="00281660">
        <w:rPr>
          <w:rFonts w:asciiTheme="majorHAnsi" w:hAnsiTheme="majorHAnsi"/>
          <w:bCs/>
          <w:sz w:val="20"/>
          <w:szCs w:val="20"/>
          <w:lang w:val="es-UY"/>
        </w:rPr>
        <w:t>el Sr. Payares Pérez</w:t>
      </w:r>
      <w:r w:rsidR="006D43BC" w:rsidRPr="00281660">
        <w:rPr>
          <w:rFonts w:asciiTheme="majorHAnsi" w:hAnsiTheme="majorHAnsi"/>
          <w:bCs/>
          <w:sz w:val="20"/>
          <w:szCs w:val="20"/>
          <w:lang w:val="es-UY"/>
        </w:rPr>
        <w:t>:</w:t>
      </w:r>
      <w:r w:rsidR="006A10B8" w:rsidRPr="00281660">
        <w:rPr>
          <w:rFonts w:asciiTheme="majorHAnsi" w:hAnsiTheme="majorHAnsi"/>
          <w:bCs/>
          <w:sz w:val="20"/>
          <w:szCs w:val="20"/>
          <w:lang w:val="es-UY"/>
        </w:rPr>
        <w:t xml:space="preserve"> </w:t>
      </w:r>
      <w:r w:rsidR="00860D10" w:rsidRPr="00281660">
        <w:rPr>
          <w:rFonts w:asciiTheme="majorHAnsi" w:hAnsiTheme="majorHAnsi"/>
          <w:bCs/>
          <w:sz w:val="20"/>
          <w:szCs w:val="20"/>
          <w:lang w:val="es-UY"/>
        </w:rPr>
        <w:t>uno por el delito de prevaricato por acción</w:t>
      </w:r>
      <w:r w:rsidR="00B56F06" w:rsidRPr="00281660">
        <w:rPr>
          <w:rFonts w:asciiTheme="majorHAnsi" w:hAnsiTheme="majorHAnsi"/>
          <w:bCs/>
          <w:sz w:val="20"/>
          <w:szCs w:val="20"/>
          <w:lang w:val="es-UY"/>
        </w:rPr>
        <w:t xml:space="preserve"> y omisión,</w:t>
      </w:r>
      <w:r w:rsidR="00860D10" w:rsidRPr="00281660">
        <w:rPr>
          <w:rFonts w:asciiTheme="majorHAnsi" w:hAnsiTheme="majorHAnsi"/>
          <w:bCs/>
          <w:sz w:val="20"/>
          <w:szCs w:val="20"/>
          <w:lang w:val="es-UY"/>
        </w:rPr>
        <w:t xml:space="preserve"> y otro por </w:t>
      </w:r>
      <w:r w:rsidR="00B825F6" w:rsidRPr="00281660">
        <w:rPr>
          <w:rFonts w:asciiTheme="majorHAnsi" w:hAnsiTheme="majorHAnsi"/>
          <w:bCs/>
          <w:sz w:val="20"/>
          <w:szCs w:val="20"/>
          <w:lang w:val="es-UY"/>
        </w:rPr>
        <w:t xml:space="preserve">los </w:t>
      </w:r>
      <w:r w:rsidR="00860D10" w:rsidRPr="00281660">
        <w:rPr>
          <w:rFonts w:asciiTheme="majorHAnsi" w:hAnsiTheme="majorHAnsi"/>
          <w:bCs/>
          <w:sz w:val="20"/>
          <w:szCs w:val="20"/>
          <w:lang w:val="es-UY"/>
        </w:rPr>
        <w:t>delito</w:t>
      </w:r>
      <w:r w:rsidR="00B825F6" w:rsidRPr="00281660">
        <w:rPr>
          <w:rFonts w:asciiTheme="majorHAnsi" w:hAnsiTheme="majorHAnsi"/>
          <w:bCs/>
          <w:sz w:val="20"/>
          <w:szCs w:val="20"/>
          <w:lang w:val="es-UY"/>
        </w:rPr>
        <w:t>s</w:t>
      </w:r>
      <w:r w:rsidR="00860D10" w:rsidRPr="00281660">
        <w:rPr>
          <w:rFonts w:asciiTheme="majorHAnsi" w:hAnsiTheme="majorHAnsi"/>
          <w:bCs/>
          <w:sz w:val="20"/>
          <w:szCs w:val="20"/>
          <w:lang w:val="es-UY"/>
        </w:rPr>
        <w:t xml:space="preserve"> de </w:t>
      </w:r>
      <w:r w:rsidR="00B825F6" w:rsidRPr="00281660">
        <w:rPr>
          <w:rFonts w:asciiTheme="majorHAnsi" w:hAnsiTheme="majorHAnsi"/>
          <w:bCs/>
          <w:sz w:val="20"/>
          <w:szCs w:val="20"/>
          <w:lang w:val="es-UY"/>
        </w:rPr>
        <w:t xml:space="preserve">peculado por apropiación </w:t>
      </w:r>
      <w:r w:rsidR="00B56F06" w:rsidRPr="00281660">
        <w:rPr>
          <w:rFonts w:asciiTheme="majorHAnsi" w:hAnsiTheme="majorHAnsi"/>
          <w:bCs/>
          <w:sz w:val="20"/>
          <w:szCs w:val="20"/>
          <w:lang w:val="es-UY"/>
        </w:rPr>
        <w:t>y prevaricato por acción.</w:t>
      </w:r>
      <w:r w:rsidR="006600BB" w:rsidRPr="00281660">
        <w:rPr>
          <w:rFonts w:asciiTheme="majorHAnsi" w:hAnsiTheme="majorHAnsi"/>
          <w:bCs/>
          <w:sz w:val="20"/>
          <w:szCs w:val="20"/>
          <w:lang w:val="es-UY"/>
        </w:rPr>
        <w:t xml:space="preserve"> </w:t>
      </w:r>
      <w:r w:rsidR="00B56F06" w:rsidRPr="00281660">
        <w:rPr>
          <w:rFonts w:asciiTheme="majorHAnsi" w:hAnsiTheme="majorHAnsi"/>
          <w:bCs/>
          <w:sz w:val="20"/>
          <w:szCs w:val="20"/>
          <w:lang w:val="es-UY"/>
        </w:rPr>
        <w:t xml:space="preserve">Relata que </w:t>
      </w:r>
      <w:r w:rsidR="00910085" w:rsidRPr="00281660">
        <w:rPr>
          <w:rFonts w:asciiTheme="majorHAnsi" w:hAnsiTheme="majorHAnsi"/>
          <w:bCs/>
          <w:sz w:val="20"/>
          <w:szCs w:val="20"/>
          <w:lang w:val="es-UY"/>
        </w:rPr>
        <w:t>aquel</w:t>
      </w:r>
      <w:r w:rsidR="002F6B30" w:rsidRPr="00281660">
        <w:rPr>
          <w:rFonts w:asciiTheme="majorHAnsi" w:hAnsiTheme="majorHAnsi"/>
          <w:bCs/>
          <w:sz w:val="20"/>
          <w:szCs w:val="20"/>
          <w:lang w:val="es-UY"/>
        </w:rPr>
        <w:t xml:space="preserve"> </w:t>
      </w:r>
      <w:r w:rsidR="006A10B8" w:rsidRPr="00281660">
        <w:rPr>
          <w:rFonts w:asciiTheme="majorHAnsi" w:hAnsiTheme="majorHAnsi"/>
          <w:bCs/>
          <w:sz w:val="20"/>
          <w:szCs w:val="20"/>
          <w:lang w:val="es-UY"/>
        </w:rPr>
        <w:t>fue condenad</w:t>
      </w:r>
      <w:r w:rsidR="00910085" w:rsidRPr="00281660">
        <w:rPr>
          <w:rFonts w:asciiTheme="majorHAnsi" w:hAnsiTheme="majorHAnsi"/>
          <w:bCs/>
          <w:sz w:val="20"/>
          <w:szCs w:val="20"/>
          <w:lang w:val="es-UY"/>
        </w:rPr>
        <w:t>o</w:t>
      </w:r>
      <w:r w:rsidR="002F6B30" w:rsidRPr="00281660">
        <w:rPr>
          <w:rFonts w:asciiTheme="majorHAnsi" w:hAnsiTheme="majorHAnsi"/>
          <w:bCs/>
          <w:sz w:val="20"/>
          <w:szCs w:val="20"/>
          <w:lang w:val="es-UY"/>
        </w:rPr>
        <w:t xml:space="preserve"> en ambos procesos</w:t>
      </w:r>
      <w:r w:rsidR="000F7E31" w:rsidRPr="00281660">
        <w:rPr>
          <w:rFonts w:asciiTheme="majorHAnsi" w:hAnsiTheme="majorHAnsi"/>
          <w:bCs/>
          <w:sz w:val="20"/>
          <w:szCs w:val="20"/>
          <w:lang w:val="es-UY"/>
        </w:rPr>
        <w:t>.</w:t>
      </w:r>
      <w:r w:rsidR="002F6B30" w:rsidRPr="00281660">
        <w:rPr>
          <w:rFonts w:asciiTheme="majorHAnsi" w:hAnsiTheme="majorHAnsi"/>
          <w:bCs/>
          <w:sz w:val="20"/>
          <w:szCs w:val="20"/>
          <w:lang w:val="es-UY"/>
        </w:rPr>
        <w:t xml:space="preserve"> </w:t>
      </w:r>
      <w:r w:rsidR="000F7E31" w:rsidRPr="00281660">
        <w:rPr>
          <w:rFonts w:asciiTheme="majorHAnsi" w:hAnsiTheme="majorHAnsi"/>
          <w:bCs/>
          <w:sz w:val="20"/>
          <w:szCs w:val="20"/>
          <w:lang w:val="es-UY"/>
        </w:rPr>
        <w:t>E</w:t>
      </w:r>
      <w:r w:rsidR="002F6B30" w:rsidRPr="00281660">
        <w:rPr>
          <w:rFonts w:asciiTheme="majorHAnsi" w:hAnsiTheme="majorHAnsi"/>
          <w:bCs/>
          <w:sz w:val="20"/>
          <w:szCs w:val="20"/>
          <w:lang w:val="es-UY"/>
        </w:rPr>
        <w:t xml:space="preserve">n el primero, </w:t>
      </w:r>
      <w:r w:rsidR="00C264DD" w:rsidRPr="00281660">
        <w:rPr>
          <w:rFonts w:asciiTheme="majorHAnsi" w:hAnsiTheme="majorHAnsi"/>
          <w:bCs/>
          <w:sz w:val="20"/>
          <w:szCs w:val="20"/>
          <w:lang w:val="es-UY"/>
        </w:rPr>
        <w:t xml:space="preserve">tramitado bajo el radicado número </w:t>
      </w:r>
      <w:r w:rsidR="00DB6C5C" w:rsidRPr="00281660">
        <w:rPr>
          <w:rFonts w:asciiTheme="majorHAnsi" w:hAnsiTheme="majorHAnsi"/>
          <w:bCs/>
          <w:sz w:val="20"/>
          <w:szCs w:val="20"/>
          <w:lang w:val="es-UY"/>
        </w:rPr>
        <w:t>47586</w:t>
      </w:r>
      <w:r w:rsidR="00C264DD" w:rsidRPr="00281660">
        <w:rPr>
          <w:rFonts w:asciiTheme="majorHAnsi" w:hAnsiTheme="majorHAnsi"/>
          <w:bCs/>
          <w:sz w:val="20"/>
          <w:szCs w:val="20"/>
          <w:lang w:val="es-UY"/>
        </w:rPr>
        <w:t xml:space="preserve">, </w:t>
      </w:r>
      <w:r w:rsidR="001D20AF" w:rsidRPr="00281660">
        <w:rPr>
          <w:rFonts w:asciiTheme="majorHAnsi" w:hAnsiTheme="majorHAnsi"/>
          <w:bCs/>
          <w:sz w:val="20"/>
          <w:szCs w:val="20"/>
          <w:lang w:val="es-UY"/>
        </w:rPr>
        <w:t xml:space="preserve">señala que </w:t>
      </w:r>
      <w:r w:rsidR="002F6B30" w:rsidRPr="00281660">
        <w:rPr>
          <w:rFonts w:asciiTheme="majorHAnsi" w:hAnsiTheme="majorHAnsi"/>
          <w:bCs/>
          <w:sz w:val="20"/>
          <w:szCs w:val="20"/>
          <w:lang w:val="es-UY"/>
        </w:rPr>
        <w:t>el 7 de octubre de</w:t>
      </w:r>
      <w:r w:rsidR="006D43BC" w:rsidRPr="00281660">
        <w:rPr>
          <w:rFonts w:asciiTheme="majorHAnsi" w:hAnsiTheme="majorHAnsi"/>
          <w:bCs/>
          <w:sz w:val="20"/>
          <w:szCs w:val="20"/>
          <w:lang w:val="es-UY"/>
        </w:rPr>
        <w:t xml:space="preserve"> </w:t>
      </w:r>
      <w:r w:rsidR="002F6B30" w:rsidRPr="00281660">
        <w:rPr>
          <w:rFonts w:asciiTheme="majorHAnsi" w:hAnsiTheme="majorHAnsi"/>
          <w:bCs/>
          <w:sz w:val="20"/>
          <w:szCs w:val="20"/>
          <w:lang w:val="es-UY"/>
        </w:rPr>
        <w:t>2015 mediante sentencia dictada por el Tribunal Superior de Cartagena</w:t>
      </w:r>
      <w:r w:rsidR="007F29AE" w:rsidRPr="00281660">
        <w:rPr>
          <w:rFonts w:asciiTheme="majorHAnsi" w:hAnsiTheme="majorHAnsi"/>
          <w:bCs/>
          <w:sz w:val="20"/>
          <w:szCs w:val="20"/>
          <w:lang w:val="es-UY"/>
        </w:rPr>
        <w:t xml:space="preserve"> por el delito de prevaricato por acción y por omisión, la cual fue </w:t>
      </w:r>
      <w:r w:rsidR="00071F5D" w:rsidRPr="00281660">
        <w:rPr>
          <w:rFonts w:asciiTheme="majorHAnsi" w:hAnsiTheme="majorHAnsi"/>
          <w:bCs/>
          <w:sz w:val="20"/>
          <w:szCs w:val="20"/>
          <w:lang w:val="es-UY"/>
        </w:rPr>
        <w:t xml:space="preserve">confirmada parcialmente por la Corte Suprema de Justicia en segunda instancia el 25 de enero de 2017, </w:t>
      </w:r>
      <w:r w:rsidR="00930AEF" w:rsidRPr="00281660">
        <w:rPr>
          <w:rFonts w:asciiTheme="majorHAnsi" w:hAnsiTheme="majorHAnsi"/>
          <w:bCs/>
          <w:sz w:val="20"/>
          <w:szCs w:val="20"/>
          <w:lang w:val="es-UY"/>
        </w:rPr>
        <w:t>que lo condenó por prevaricato por acción, pero lo absolvió del delito de prevaricato por omisión.</w:t>
      </w:r>
      <w:r w:rsidR="00BC7DB0" w:rsidRPr="00281660">
        <w:rPr>
          <w:rFonts w:asciiTheme="majorHAnsi" w:hAnsiTheme="majorHAnsi"/>
          <w:bCs/>
          <w:sz w:val="20"/>
          <w:szCs w:val="20"/>
          <w:lang w:val="es-UY"/>
        </w:rPr>
        <w:t xml:space="preserve"> En éste la Sala Penal de la Corte Suprema de Justicia concluyó que el peticionario no sólo incumplió la ley al entrar a analizar de fondo una acción de tutela improcedente</w:t>
      </w:r>
      <w:r w:rsidR="00DC4753" w:rsidRPr="00281660">
        <w:rPr>
          <w:rFonts w:asciiTheme="majorHAnsi" w:hAnsiTheme="majorHAnsi"/>
          <w:bCs/>
          <w:sz w:val="20"/>
          <w:szCs w:val="20"/>
          <w:lang w:val="es-UY"/>
        </w:rPr>
        <w:t>;</w:t>
      </w:r>
      <w:r w:rsidR="00BC7DB0" w:rsidRPr="00281660">
        <w:rPr>
          <w:rFonts w:asciiTheme="majorHAnsi" w:hAnsiTheme="majorHAnsi"/>
          <w:bCs/>
          <w:sz w:val="20"/>
          <w:szCs w:val="20"/>
          <w:lang w:val="es-UY"/>
        </w:rPr>
        <w:t xml:space="preserve"> sino que</w:t>
      </w:r>
      <w:r w:rsidR="00E81195" w:rsidRPr="00281660">
        <w:rPr>
          <w:rFonts w:asciiTheme="majorHAnsi" w:hAnsiTheme="majorHAnsi"/>
          <w:bCs/>
          <w:sz w:val="20"/>
          <w:szCs w:val="20"/>
          <w:lang w:val="es-UY"/>
        </w:rPr>
        <w:t>, en cuanto al derecho, no correspondía otorgar la pensión solicitada, puesto que los accionantes no cumplían con los requisitos legales para tal efecto</w:t>
      </w:r>
      <w:r w:rsidR="002645D6" w:rsidRPr="00281660">
        <w:rPr>
          <w:rFonts w:asciiTheme="majorHAnsi" w:hAnsiTheme="majorHAnsi"/>
          <w:bCs/>
          <w:sz w:val="20"/>
          <w:szCs w:val="20"/>
          <w:lang w:val="es-UY"/>
        </w:rPr>
        <w:t xml:space="preserve">, en particular, el requisito de que </w:t>
      </w:r>
      <w:r w:rsidR="00DC4753" w:rsidRPr="00281660">
        <w:rPr>
          <w:rFonts w:asciiTheme="majorHAnsi" w:hAnsiTheme="majorHAnsi"/>
          <w:bCs/>
          <w:sz w:val="20"/>
          <w:szCs w:val="20"/>
          <w:lang w:val="es-UY"/>
        </w:rPr>
        <w:t>el</w:t>
      </w:r>
      <w:r w:rsidR="00450470" w:rsidRPr="00281660">
        <w:rPr>
          <w:rFonts w:asciiTheme="majorHAnsi" w:hAnsiTheme="majorHAnsi"/>
          <w:bCs/>
          <w:sz w:val="20"/>
          <w:szCs w:val="20"/>
          <w:lang w:val="es-UY"/>
        </w:rPr>
        <w:t xml:space="preserve"> docente no hubiera recibido otra pensión</w:t>
      </w:r>
      <w:r w:rsidR="00E81195" w:rsidRPr="00281660">
        <w:rPr>
          <w:rFonts w:asciiTheme="majorHAnsi" w:hAnsiTheme="majorHAnsi"/>
          <w:bCs/>
          <w:sz w:val="20"/>
          <w:szCs w:val="20"/>
          <w:lang w:val="es-UY"/>
        </w:rPr>
        <w:t>.</w:t>
      </w:r>
      <w:r w:rsidR="00C362AF" w:rsidRPr="00281660">
        <w:rPr>
          <w:rFonts w:asciiTheme="majorHAnsi" w:hAnsiTheme="majorHAnsi"/>
          <w:bCs/>
          <w:sz w:val="20"/>
          <w:szCs w:val="20"/>
          <w:lang w:val="es-UY"/>
        </w:rPr>
        <w:t xml:space="preserve"> El Estado enfatiza que la Corte Suprema absolvió al peticionario por el delito de prevaricato por omisión por cuanto resultaba contradictorio condenarlo </w:t>
      </w:r>
      <w:r w:rsidR="00FB12A8" w:rsidRPr="00281660">
        <w:rPr>
          <w:rFonts w:asciiTheme="majorHAnsi" w:hAnsiTheme="majorHAnsi"/>
          <w:bCs/>
          <w:sz w:val="20"/>
          <w:szCs w:val="20"/>
          <w:lang w:val="es-UY"/>
        </w:rPr>
        <w:t>por haber decretado el embargo y también por no haber realizado gestiones para cumplir con el fallo de tutela</w:t>
      </w:r>
      <w:r w:rsidR="00121B29" w:rsidRPr="00281660">
        <w:rPr>
          <w:rFonts w:asciiTheme="majorHAnsi" w:hAnsiTheme="majorHAnsi"/>
          <w:bCs/>
          <w:sz w:val="20"/>
          <w:szCs w:val="20"/>
          <w:lang w:val="es-UY"/>
        </w:rPr>
        <w:t>, en consecuencia, por este último hecho no era responsable penalmente</w:t>
      </w:r>
      <w:r w:rsidR="00FB12A8" w:rsidRPr="00281660">
        <w:rPr>
          <w:rFonts w:asciiTheme="majorHAnsi" w:hAnsiTheme="majorHAnsi"/>
          <w:bCs/>
          <w:sz w:val="20"/>
          <w:szCs w:val="20"/>
          <w:lang w:val="es-UY"/>
        </w:rPr>
        <w:t>.</w:t>
      </w:r>
    </w:p>
    <w:p w14:paraId="0CFCA2E7" w14:textId="09C28CFC" w:rsidR="006D43BC" w:rsidRPr="00281660" w:rsidRDefault="00EF5BC2" w:rsidP="000F6C14">
      <w:pPr>
        <w:pStyle w:val="ListParagraph"/>
        <w:numPr>
          <w:ilvl w:val="0"/>
          <w:numId w:val="60"/>
        </w:numPr>
        <w:spacing w:before="240" w:after="240"/>
        <w:ind w:left="0" w:firstLine="720"/>
        <w:jc w:val="both"/>
        <w:rPr>
          <w:rFonts w:asciiTheme="majorHAnsi" w:hAnsiTheme="majorHAnsi"/>
          <w:bCs/>
          <w:sz w:val="20"/>
          <w:szCs w:val="20"/>
          <w:lang w:val="es-UY"/>
        </w:rPr>
      </w:pPr>
      <w:r w:rsidRPr="00281660">
        <w:rPr>
          <w:rFonts w:asciiTheme="majorHAnsi" w:hAnsiTheme="majorHAnsi"/>
          <w:bCs/>
          <w:sz w:val="20"/>
          <w:szCs w:val="20"/>
          <w:lang w:val="es-UY"/>
        </w:rPr>
        <w:t>En el segundo proceso,</w:t>
      </w:r>
      <w:r w:rsidR="00E43899" w:rsidRPr="00281660">
        <w:rPr>
          <w:rFonts w:asciiTheme="majorHAnsi" w:hAnsiTheme="majorHAnsi"/>
          <w:bCs/>
          <w:sz w:val="20"/>
          <w:szCs w:val="20"/>
          <w:lang w:val="es-UY"/>
        </w:rPr>
        <w:t xml:space="preserve"> tramitado bajo el radicado </w:t>
      </w:r>
      <w:r w:rsidR="00081460" w:rsidRPr="00281660">
        <w:rPr>
          <w:rFonts w:asciiTheme="majorHAnsi" w:hAnsiTheme="majorHAnsi"/>
          <w:bCs/>
          <w:sz w:val="20"/>
          <w:szCs w:val="20"/>
          <w:lang w:val="es-UY"/>
        </w:rPr>
        <w:t>número 52321</w:t>
      </w:r>
      <w:r w:rsidRPr="00281660">
        <w:rPr>
          <w:rFonts w:asciiTheme="majorHAnsi" w:hAnsiTheme="majorHAnsi"/>
          <w:bCs/>
          <w:sz w:val="20"/>
          <w:szCs w:val="20"/>
          <w:lang w:val="es-UY"/>
        </w:rPr>
        <w:t xml:space="preserve"> informa que</w:t>
      </w:r>
      <w:r w:rsidR="004A390C" w:rsidRPr="00281660">
        <w:rPr>
          <w:rFonts w:asciiTheme="majorHAnsi" w:hAnsiTheme="majorHAnsi"/>
          <w:bCs/>
          <w:sz w:val="20"/>
          <w:szCs w:val="20"/>
          <w:lang w:val="es-UY"/>
        </w:rPr>
        <w:t xml:space="preserve"> el</w:t>
      </w:r>
      <w:r w:rsidR="002645D6" w:rsidRPr="00281660">
        <w:rPr>
          <w:rFonts w:asciiTheme="majorHAnsi" w:hAnsiTheme="majorHAnsi"/>
          <w:bCs/>
          <w:sz w:val="20"/>
          <w:szCs w:val="20"/>
          <w:lang w:val="es-UY"/>
        </w:rPr>
        <w:t xml:space="preserve"> </w:t>
      </w:r>
      <w:r w:rsidR="004A390C" w:rsidRPr="00281660">
        <w:rPr>
          <w:rFonts w:asciiTheme="majorHAnsi" w:hAnsiTheme="majorHAnsi"/>
          <w:bCs/>
          <w:sz w:val="20"/>
          <w:szCs w:val="20"/>
          <w:lang w:val="es-UY"/>
        </w:rPr>
        <w:t>Sr. Payares Pérez</w:t>
      </w:r>
      <w:r w:rsidRPr="00281660">
        <w:rPr>
          <w:rFonts w:asciiTheme="majorHAnsi" w:hAnsiTheme="majorHAnsi"/>
          <w:bCs/>
          <w:sz w:val="20"/>
          <w:szCs w:val="20"/>
          <w:lang w:val="es-UY"/>
        </w:rPr>
        <w:t xml:space="preserve"> fue condenado en ambas instancias por los delitos de peculado por apropiación y prevaricato por acción, en</w:t>
      </w:r>
      <w:r w:rsidR="001D67B4" w:rsidRPr="00281660">
        <w:rPr>
          <w:rFonts w:asciiTheme="majorHAnsi" w:hAnsiTheme="majorHAnsi"/>
          <w:bCs/>
          <w:sz w:val="20"/>
          <w:szCs w:val="20"/>
          <w:lang w:val="es-UY"/>
        </w:rPr>
        <w:t xml:space="preserve"> segunda instancia por la Corte Suprema de Justicia mediante sentencia del 13 de junio de 2018.</w:t>
      </w:r>
      <w:r w:rsidR="00DB6C5C" w:rsidRPr="00281660">
        <w:rPr>
          <w:rFonts w:asciiTheme="majorHAnsi" w:hAnsiTheme="majorHAnsi"/>
          <w:bCs/>
          <w:sz w:val="20"/>
          <w:szCs w:val="20"/>
          <w:lang w:val="es-UY"/>
        </w:rPr>
        <w:t xml:space="preserve"> En éste, el Estado reseña que el peticionario alegó la violación del derecho al </w:t>
      </w:r>
      <w:r w:rsidR="00DB6C5C" w:rsidRPr="00281660">
        <w:rPr>
          <w:rFonts w:asciiTheme="majorHAnsi" w:hAnsiTheme="majorHAnsi"/>
          <w:bCs/>
          <w:i/>
          <w:iCs/>
          <w:sz w:val="20"/>
          <w:szCs w:val="20"/>
          <w:lang w:val="es-UY"/>
        </w:rPr>
        <w:t>non bis in ídem</w:t>
      </w:r>
      <w:r w:rsidR="00DB6C5C" w:rsidRPr="00281660">
        <w:rPr>
          <w:rFonts w:asciiTheme="majorHAnsi" w:hAnsiTheme="majorHAnsi"/>
          <w:bCs/>
          <w:sz w:val="20"/>
          <w:szCs w:val="20"/>
          <w:lang w:val="es-UY"/>
        </w:rPr>
        <w:t xml:space="preserve">, pero el alegato fue rechazado </w:t>
      </w:r>
      <w:r w:rsidR="00DB6C5C" w:rsidRPr="00281660">
        <w:rPr>
          <w:rFonts w:asciiTheme="majorHAnsi" w:hAnsiTheme="majorHAnsi"/>
          <w:bCs/>
          <w:sz w:val="20"/>
          <w:szCs w:val="20"/>
          <w:lang w:val="es-UY"/>
        </w:rPr>
        <w:lastRenderedPageBreak/>
        <w:t>por</w:t>
      </w:r>
      <w:r w:rsidR="00442917" w:rsidRPr="00281660">
        <w:rPr>
          <w:rFonts w:asciiTheme="majorHAnsi" w:hAnsiTheme="majorHAnsi"/>
          <w:bCs/>
          <w:sz w:val="20"/>
          <w:szCs w:val="20"/>
          <w:lang w:val="es-UY"/>
        </w:rPr>
        <w:t xml:space="preserve">que </w:t>
      </w:r>
      <w:r w:rsidR="00A1543B" w:rsidRPr="00281660">
        <w:rPr>
          <w:rFonts w:asciiTheme="majorHAnsi" w:hAnsiTheme="majorHAnsi"/>
          <w:bCs/>
          <w:sz w:val="20"/>
          <w:szCs w:val="20"/>
          <w:lang w:val="es-UY"/>
        </w:rPr>
        <w:t>no se l</w:t>
      </w:r>
      <w:r w:rsidR="00442917" w:rsidRPr="00281660">
        <w:rPr>
          <w:rFonts w:asciiTheme="majorHAnsi" w:hAnsiTheme="majorHAnsi"/>
          <w:bCs/>
          <w:sz w:val="20"/>
          <w:szCs w:val="20"/>
          <w:lang w:val="es-UY"/>
        </w:rPr>
        <w:t>e</w:t>
      </w:r>
      <w:r w:rsidR="00A1543B" w:rsidRPr="00281660">
        <w:rPr>
          <w:rFonts w:asciiTheme="majorHAnsi" w:hAnsiTheme="majorHAnsi"/>
          <w:bCs/>
          <w:sz w:val="20"/>
          <w:szCs w:val="20"/>
          <w:lang w:val="es-UY"/>
        </w:rPr>
        <w:t xml:space="preserve"> estaba juzgando por los mismos hechos del proceso número 47586, </w:t>
      </w:r>
      <w:r w:rsidR="00D2640C" w:rsidRPr="00281660">
        <w:rPr>
          <w:rFonts w:asciiTheme="majorHAnsi" w:hAnsiTheme="majorHAnsi"/>
          <w:bCs/>
          <w:sz w:val="20"/>
          <w:szCs w:val="20"/>
          <w:lang w:val="es-UY"/>
        </w:rPr>
        <w:t xml:space="preserve">es decir, </w:t>
      </w:r>
      <w:r w:rsidR="001304C7" w:rsidRPr="00281660">
        <w:rPr>
          <w:rFonts w:asciiTheme="majorHAnsi" w:hAnsiTheme="majorHAnsi"/>
          <w:bCs/>
          <w:sz w:val="20"/>
          <w:szCs w:val="20"/>
          <w:lang w:val="es-UY"/>
        </w:rPr>
        <w:t xml:space="preserve">por los fallos de tutela, sino por el auto mediante </w:t>
      </w:r>
      <w:r w:rsidR="00CB5A6F" w:rsidRPr="00281660">
        <w:rPr>
          <w:rFonts w:asciiTheme="majorHAnsi" w:hAnsiTheme="majorHAnsi"/>
          <w:bCs/>
          <w:sz w:val="20"/>
          <w:szCs w:val="20"/>
          <w:lang w:val="es-UY"/>
        </w:rPr>
        <w:t>el</w:t>
      </w:r>
      <w:r w:rsidR="001304C7" w:rsidRPr="00281660">
        <w:rPr>
          <w:rFonts w:asciiTheme="majorHAnsi" w:hAnsiTheme="majorHAnsi"/>
          <w:bCs/>
          <w:sz w:val="20"/>
          <w:szCs w:val="20"/>
          <w:lang w:val="es-UY"/>
        </w:rPr>
        <w:t xml:space="preserve"> cual decretó el embargo a las cuentas de CAJANAL.</w:t>
      </w:r>
      <w:r w:rsidR="008E0A72" w:rsidRPr="00281660">
        <w:rPr>
          <w:rFonts w:asciiTheme="majorHAnsi" w:hAnsiTheme="majorHAnsi"/>
          <w:bCs/>
          <w:sz w:val="20"/>
          <w:szCs w:val="20"/>
          <w:lang w:val="es-UY"/>
        </w:rPr>
        <w:t xml:space="preserve"> </w:t>
      </w:r>
      <w:r w:rsidR="00CB5A6F" w:rsidRPr="00281660">
        <w:rPr>
          <w:rFonts w:asciiTheme="majorHAnsi" w:hAnsiTheme="majorHAnsi"/>
          <w:bCs/>
          <w:sz w:val="20"/>
          <w:szCs w:val="20"/>
          <w:lang w:val="es-UY"/>
        </w:rPr>
        <w:t>F</w:t>
      </w:r>
      <w:r w:rsidR="008E0A72" w:rsidRPr="00281660">
        <w:rPr>
          <w:rFonts w:asciiTheme="majorHAnsi" w:hAnsiTheme="majorHAnsi"/>
          <w:bCs/>
          <w:sz w:val="20"/>
          <w:szCs w:val="20"/>
          <w:lang w:val="es-UY"/>
        </w:rPr>
        <w:t>rente al delito de peculado por apropiación</w:t>
      </w:r>
      <w:r w:rsidR="00B950B9" w:rsidRPr="00281660">
        <w:rPr>
          <w:rFonts w:asciiTheme="majorHAnsi" w:hAnsiTheme="majorHAnsi"/>
          <w:bCs/>
          <w:sz w:val="20"/>
          <w:szCs w:val="20"/>
          <w:lang w:val="es-UY"/>
        </w:rPr>
        <w:t xml:space="preserve"> en favor de terceros</w:t>
      </w:r>
      <w:r w:rsidR="008E0A72" w:rsidRPr="00281660">
        <w:rPr>
          <w:rFonts w:asciiTheme="majorHAnsi" w:hAnsiTheme="majorHAnsi"/>
          <w:bCs/>
          <w:sz w:val="20"/>
          <w:szCs w:val="20"/>
          <w:lang w:val="es-UY"/>
        </w:rPr>
        <w:t xml:space="preserve">, el peticionario fue condenado porque </w:t>
      </w:r>
      <w:r w:rsidR="00516943" w:rsidRPr="00281660">
        <w:rPr>
          <w:rFonts w:asciiTheme="majorHAnsi" w:hAnsiTheme="majorHAnsi"/>
          <w:bCs/>
          <w:sz w:val="20"/>
          <w:szCs w:val="20"/>
          <w:lang w:val="es-UY"/>
        </w:rPr>
        <w:t>mediante el embargo dispuso de dinero público a favor de los accionantes</w:t>
      </w:r>
      <w:r w:rsidR="00694FE4" w:rsidRPr="00281660">
        <w:rPr>
          <w:rFonts w:asciiTheme="majorHAnsi" w:hAnsiTheme="majorHAnsi"/>
          <w:bCs/>
          <w:sz w:val="20"/>
          <w:szCs w:val="20"/>
          <w:lang w:val="es-UY"/>
        </w:rPr>
        <w:t>, y si bien el daño no se concretó, éste fue imputado en grado de tentativa</w:t>
      </w:r>
      <w:r w:rsidR="00516943" w:rsidRPr="00281660">
        <w:rPr>
          <w:rFonts w:asciiTheme="majorHAnsi" w:hAnsiTheme="majorHAnsi"/>
          <w:bCs/>
          <w:sz w:val="20"/>
          <w:szCs w:val="20"/>
          <w:lang w:val="es-UY"/>
        </w:rPr>
        <w:t>.</w:t>
      </w:r>
      <w:r w:rsidR="004C6F54" w:rsidRPr="00281660">
        <w:rPr>
          <w:rFonts w:asciiTheme="majorHAnsi" w:hAnsiTheme="majorHAnsi"/>
          <w:bCs/>
          <w:sz w:val="20"/>
          <w:szCs w:val="20"/>
          <w:lang w:val="es-UY"/>
        </w:rPr>
        <w:t xml:space="preserve"> El Estado refiere que el peticionario interpuso una nueva acción de tutela contra esta última sentencia, </w:t>
      </w:r>
      <w:r w:rsidR="00481463" w:rsidRPr="00281660">
        <w:rPr>
          <w:rFonts w:asciiTheme="majorHAnsi" w:hAnsiTheme="majorHAnsi"/>
          <w:bCs/>
          <w:sz w:val="20"/>
          <w:szCs w:val="20"/>
          <w:lang w:val="es-UY"/>
        </w:rPr>
        <w:t>la cual fue rechazada de fondo el 19 de diciembre de 2018 por la Sala de Casación Civil de la Corte Suprema de Justicia</w:t>
      </w:r>
      <w:r w:rsidR="00244A5B" w:rsidRPr="00281660">
        <w:rPr>
          <w:rFonts w:asciiTheme="majorHAnsi" w:hAnsiTheme="majorHAnsi"/>
          <w:bCs/>
          <w:sz w:val="20"/>
          <w:szCs w:val="20"/>
          <w:lang w:val="es-UY"/>
        </w:rPr>
        <w:t>,</w:t>
      </w:r>
      <w:r w:rsidR="00481463" w:rsidRPr="00281660">
        <w:rPr>
          <w:rFonts w:asciiTheme="majorHAnsi" w:hAnsiTheme="majorHAnsi"/>
          <w:bCs/>
          <w:sz w:val="20"/>
          <w:szCs w:val="20"/>
          <w:lang w:val="es-UY"/>
        </w:rPr>
        <w:t xml:space="preserve"> y por una sala de conjueces de la Sala de Casación Penal </w:t>
      </w:r>
      <w:r w:rsidR="008D1BDC" w:rsidRPr="00281660">
        <w:rPr>
          <w:rFonts w:asciiTheme="majorHAnsi" w:hAnsiTheme="majorHAnsi"/>
          <w:bCs/>
          <w:sz w:val="20"/>
          <w:szCs w:val="20"/>
          <w:lang w:val="es-UY"/>
        </w:rPr>
        <w:t>de la misma Corporación</w:t>
      </w:r>
      <w:r w:rsidR="007160C3" w:rsidRPr="00281660">
        <w:rPr>
          <w:rFonts w:asciiTheme="majorHAnsi" w:hAnsiTheme="majorHAnsi"/>
          <w:bCs/>
          <w:sz w:val="20"/>
          <w:szCs w:val="20"/>
          <w:lang w:val="es-UY"/>
        </w:rPr>
        <w:t xml:space="preserve"> en segunda instancia </w:t>
      </w:r>
      <w:r w:rsidR="00D04817" w:rsidRPr="00281660">
        <w:rPr>
          <w:rFonts w:asciiTheme="majorHAnsi" w:hAnsiTheme="majorHAnsi"/>
          <w:bCs/>
          <w:sz w:val="20"/>
          <w:szCs w:val="20"/>
          <w:lang w:val="es-UY"/>
        </w:rPr>
        <w:t>–</w:t>
      </w:r>
      <w:r w:rsidR="007160C3" w:rsidRPr="00281660">
        <w:rPr>
          <w:rFonts w:asciiTheme="majorHAnsi" w:hAnsiTheme="majorHAnsi"/>
          <w:bCs/>
          <w:sz w:val="20"/>
          <w:szCs w:val="20"/>
          <w:lang w:val="es-UY"/>
        </w:rPr>
        <w:t xml:space="preserve">cuya fecha </w:t>
      </w:r>
      <w:r w:rsidR="00D04817" w:rsidRPr="00281660">
        <w:rPr>
          <w:rFonts w:asciiTheme="majorHAnsi" w:hAnsiTheme="majorHAnsi"/>
          <w:bCs/>
          <w:sz w:val="20"/>
          <w:szCs w:val="20"/>
          <w:lang w:val="es-UY"/>
        </w:rPr>
        <w:t xml:space="preserve">el Estado no </w:t>
      </w:r>
      <w:r w:rsidR="007160C3" w:rsidRPr="00281660">
        <w:rPr>
          <w:rFonts w:asciiTheme="majorHAnsi" w:hAnsiTheme="majorHAnsi"/>
          <w:bCs/>
          <w:sz w:val="20"/>
          <w:szCs w:val="20"/>
          <w:lang w:val="es-UY"/>
        </w:rPr>
        <w:t>especifica</w:t>
      </w:r>
      <w:r w:rsidR="00D04817" w:rsidRPr="00281660">
        <w:rPr>
          <w:rFonts w:asciiTheme="majorHAnsi" w:hAnsiTheme="majorHAnsi"/>
          <w:bCs/>
          <w:sz w:val="20"/>
          <w:szCs w:val="20"/>
          <w:lang w:val="es-UY"/>
        </w:rPr>
        <w:t>–</w:t>
      </w:r>
      <w:r w:rsidR="007160C3" w:rsidRPr="00281660">
        <w:rPr>
          <w:rFonts w:asciiTheme="majorHAnsi" w:hAnsiTheme="majorHAnsi"/>
          <w:bCs/>
          <w:sz w:val="20"/>
          <w:szCs w:val="20"/>
          <w:lang w:val="es-UY"/>
        </w:rPr>
        <w:t>.</w:t>
      </w:r>
    </w:p>
    <w:p w14:paraId="7CC936B3" w14:textId="798E807B" w:rsidR="00B145BD" w:rsidRPr="00281660" w:rsidRDefault="000F67B7" w:rsidP="00567AAF">
      <w:pPr>
        <w:pStyle w:val="ListParagraph"/>
        <w:numPr>
          <w:ilvl w:val="0"/>
          <w:numId w:val="60"/>
        </w:numPr>
        <w:spacing w:before="240" w:after="240"/>
        <w:ind w:left="0" w:firstLine="720"/>
        <w:jc w:val="both"/>
        <w:rPr>
          <w:rFonts w:asciiTheme="majorHAnsi" w:hAnsiTheme="majorHAnsi"/>
          <w:bCs/>
          <w:sz w:val="20"/>
          <w:szCs w:val="20"/>
          <w:lang w:val="es-UY"/>
        </w:rPr>
      </w:pPr>
      <w:r w:rsidRPr="00281660">
        <w:rPr>
          <w:rFonts w:asciiTheme="majorHAnsi" w:hAnsiTheme="majorHAnsi"/>
          <w:bCs/>
          <w:sz w:val="20"/>
          <w:szCs w:val="20"/>
          <w:lang w:val="es-UY"/>
        </w:rPr>
        <w:t>Colombia narra que el peticionario interpuso una acción de tu</w:t>
      </w:r>
      <w:r w:rsidR="00C7766B" w:rsidRPr="00281660">
        <w:rPr>
          <w:rFonts w:asciiTheme="majorHAnsi" w:hAnsiTheme="majorHAnsi"/>
          <w:bCs/>
          <w:sz w:val="20"/>
          <w:szCs w:val="20"/>
          <w:lang w:val="es-UY"/>
        </w:rPr>
        <w:t xml:space="preserve">tela contra la sentencia condenatoria de primera instancia del 7 de octubre de </w:t>
      </w:r>
      <w:r w:rsidR="00F82534" w:rsidRPr="00281660">
        <w:rPr>
          <w:rFonts w:asciiTheme="majorHAnsi" w:hAnsiTheme="majorHAnsi"/>
          <w:bCs/>
          <w:sz w:val="20"/>
          <w:szCs w:val="20"/>
          <w:lang w:val="es-UY"/>
        </w:rPr>
        <w:t>2015, cuyo amparo fue denegado por la Corte Suprema de Justicia.</w:t>
      </w:r>
      <w:r w:rsidR="00296E80" w:rsidRPr="00281660">
        <w:rPr>
          <w:rFonts w:asciiTheme="majorHAnsi" w:hAnsiTheme="majorHAnsi"/>
          <w:bCs/>
          <w:sz w:val="20"/>
          <w:szCs w:val="20"/>
          <w:lang w:val="es-UY"/>
        </w:rPr>
        <w:t xml:space="preserve"> A su vez, señala que instauró una acción de revisión ante la propia Corte Suprema </w:t>
      </w:r>
      <w:r w:rsidR="000E2A9B" w:rsidRPr="00281660">
        <w:rPr>
          <w:rFonts w:asciiTheme="majorHAnsi" w:hAnsiTheme="majorHAnsi"/>
          <w:bCs/>
          <w:sz w:val="20"/>
          <w:szCs w:val="20"/>
          <w:lang w:val="es-UY"/>
        </w:rPr>
        <w:t>alegando la existencia de una prueba nueva que demostraría su inocencia y un cambio de criterio jurídico que le resultaría favora</w:t>
      </w:r>
      <w:r w:rsidR="00E012CF" w:rsidRPr="00281660">
        <w:rPr>
          <w:rFonts w:asciiTheme="majorHAnsi" w:hAnsiTheme="majorHAnsi"/>
          <w:bCs/>
          <w:sz w:val="20"/>
          <w:szCs w:val="20"/>
          <w:lang w:val="es-UY"/>
        </w:rPr>
        <w:t>b</w:t>
      </w:r>
      <w:r w:rsidR="000E2A9B" w:rsidRPr="00281660">
        <w:rPr>
          <w:rFonts w:asciiTheme="majorHAnsi" w:hAnsiTheme="majorHAnsi"/>
          <w:bCs/>
          <w:sz w:val="20"/>
          <w:szCs w:val="20"/>
          <w:lang w:val="es-UY"/>
        </w:rPr>
        <w:t>le.</w:t>
      </w:r>
      <w:r w:rsidR="006F5FBD" w:rsidRPr="00281660">
        <w:rPr>
          <w:rFonts w:asciiTheme="majorHAnsi" w:hAnsiTheme="majorHAnsi"/>
          <w:bCs/>
          <w:sz w:val="20"/>
          <w:szCs w:val="20"/>
          <w:lang w:val="es-UY"/>
        </w:rPr>
        <w:t xml:space="preserve"> No obstante, la Corte Suprema de Justicia inadmitió la demanda mediante un auto del 11 de mayo de 2022.</w:t>
      </w:r>
      <w:r w:rsidRPr="00281660">
        <w:rPr>
          <w:rFonts w:asciiTheme="majorHAnsi" w:hAnsiTheme="majorHAnsi"/>
          <w:bCs/>
          <w:sz w:val="20"/>
          <w:szCs w:val="20"/>
          <w:lang w:val="es-UY"/>
        </w:rPr>
        <w:t xml:space="preserve"> </w:t>
      </w:r>
      <w:r w:rsidR="00567AAF" w:rsidRPr="00281660">
        <w:rPr>
          <w:rFonts w:asciiTheme="majorHAnsi" w:hAnsiTheme="majorHAnsi"/>
          <w:bCs/>
          <w:sz w:val="20"/>
          <w:szCs w:val="20"/>
          <w:lang w:val="es-UY"/>
        </w:rPr>
        <w:t xml:space="preserve">Por otro lado, el Estado también informa que el peticionario presentó </w:t>
      </w:r>
      <w:r w:rsidR="00972EE3" w:rsidRPr="00281660">
        <w:rPr>
          <w:rFonts w:asciiTheme="majorHAnsi" w:hAnsiTheme="majorHAnsi"/>
          <w:bCs/>
          <w:sz w:val="20"/>
          <w:szCs w:val="20"/>
          <w:lang w:val="es-UY"/>
        </w:rPr>
        <w:t xml:space="preserve">una segunda acción de tutela contra </w:t>
      </w:r>
      <w:r w:rsidR="00F9255E" w:rsidRPr="00281660">
        <w:rPr>
          <w:rFonts w:asciiTheme="majorHAnsi" w:hAnsiTheme="majorHAnsi"/>
          <w:bCs/>
          <w:sz w:val="20"/>
          <w:szCs w:val="20"/>
          <w:lang w:val="es-UY"/>
        </w:rPr>
        <w:t xml:space="preserve">la sanción disciplinaria impuesta por </w:t>
      </w:r>
      <w:r w:rsidR="00972EE3" w:rsidRPr="00281660">
        <w:rPr>
          <w:rFonts w:asciiTheme="majorHAnsi" w:hAnsiTheme="majorHAnsi"/>
          <w:bCs/>
          <w:sz w:val="20"/>
          <w:szCs w:val="20"/>
          <w:lang w:val="es-UY"/>
        </w:rPr>
        <w:t xml:space="preserve">el </w:t>
      </w:r>
      <w:r w:rsidR="006A10B8" w:rsidRPr="00281660">
        <w:rPr>
          <w:rFonts w:asciiTheme="majorHAnsi" w:hAnsiTheme="majorHAnsi"/>
          <w:bCs/>
          <w:sz w:val="20"/>
          <w:szCs w:val="20"/>
          <w:lang w:val="es-UY"/>
        </w:rPr>
        <w:t>Consejo Superior de la Judicatura que fue rechazada por la Sala de Casación Penal de la Corte Suprema de Justicia el 12 de noviembre de 2015.</w:t>
      </w:r>
      <w:r w:rsidR="00B563BA" w:rsidRPr="00281660">
        <w:rPr>
          <w:rFonts w:asciiTheme="majorHAnsi" w:hAnsiTheme="majorHAnsi"/>
          <w:bCs/>
          <w:sz w:val="20"/>
          <w:szCs w:val="20"/>
          <w:lang w:val="es-UY"/>
        </w:rPr>
        <w:t xml:space="preserve"> Colombia enfatiza </w:t>
      </w:r>
      <w:r w:rsidR="00300FCF" w:rsidRPr="00281660">
        <w:rPr>
          <w:rFonts w:asciiTheme="majorHAnsi" w:hAnsiTheme="majorHAnsi"/>
          <w:bCs/>
          <w:sz w:val="20"/>
          <w:szCs w:val="20"/>
          <w:lang w:val="es-UY"/>
        </w:rPr>
        <w:t>que,</w:t>
      </w:r>
      <w:r w:rsidR="00B563BA" w:rsidRPr="00281660">
        <w:rPr>
          <w:rFonts w:asciiTheme="majorHAnsi" w:hAnsiTheme="majorHAnsi"/>
          <w:bCs/>
          <w:sz w:val="20"/>
          <w:szCs w:val="20"/>
          <w:lang w:val="es-UY"/>
        </w:rPr>
        <w:t xml:space="preserve"> en todos los procedimientos, tanto penales como disciplinarios, el Sr. Payares Pérez fue debidamente escuchado, sus argumentos y pruebas fueron tomados en cuenta, y rechazados mediante decisiones motivadas.</w:t>
      </w:r>
    </w:p>
    <w:p w14:paraId="7181FEE4" w14:textId="600498E6" w:rsidR="006A100B" w:rsidRPr="00281660" w:rsidRDefault="00B00CBB" w:rsidP="00F51077">
      <w:pPr>
        <w:pStyle w:val="ListParagraph"/>
        <w:numPr>
          <w:ilvl w:val="0"/>
          <w:numId w:val="60"/>
        </w:numPr>
        <w:spacing w:before="240" w:after="240"/>
        <w:ind w:left="0" w:firstLine="720"/>
        <w:jc w:val="both"/>
        <w:rPr>
          <w:rFonts w:asciiTheme="majorHAnsi" w:hAnsiTheme="majorHAnsi"/>
          <w:bCs/>
          <w:sz w:val="20"/>
          <w:szCs w:val="20"/>
          <w:lang w:val="es-UY"/>
        </w:rPr>
      </w:pPr>
      <w:r w:rsidRPr="00281660">
        <w:rPr>
          <w:rFonts w:asciiTheme="majorHAnsi" w:hAnsiTheme="majorHAnsi"/>
          <w:sz w:val="20"/>
          <w:szCs w:val="20"/>
          <w:lang w:val="es-AR"/>
        </w:rPr>
        <w:t>Con respecto al pago de las pensiones de gracia</w:t>
      </w:r>
      <w:r w:rsidR="00F95E8F" w:rsidRPr="00281660">
        <w:rPr>
          <w:rFonts w:asciiTheme="majorHAnsi" w:hAnsiTheme="majorHAnsi"/>
          <w:sz w:val="20"/>
          <w:szCs w:val="20"/>
          <w:lang w:val="es-AR"/>
        </w:rPr>
        <w:t xml:space="preserve"> por la UGPP</w:t>
      </w:r>
      <w:r w:rsidRPr="00281660">
        <w:rPr>
          <w:rFonts w:asciiTheme="majorHAnsi" w:hAnsiTheme="majorHAnsi"/>
          <w:sz w:val="20"/>
          <w:szCs w:val="20"/>
          <w:lang w:val="es-AR"/>
        </w:rPr>
        <w:t>, el Estado arguye que la Contraloría General de la República adelantó una investigación fiscal contra los funcionarios de la UGPP que realizaron los pagos, pero la archivó al comprobar que lo hicieron en cumplimiento de una orden de tutela que estaba vigente</w:t>
      </w:r>
      <w:r w:rsidR="00224B6E" w:rsidRPr="00281660">
        <w:rPr>
          <w:rFonts w:asciiTheme="majorHAnsi" w:hAnsiTheme="majorHAnsi"/>
          <w:sz w:val="20"/>
          <w:szCs w:val="20"/>
          <w:lang w:val="es-AR"/>
        </w:rPr>
        <w:t xml:space="preserve"> (</w:t>
      </w:r>
      <w:r w:rsidRPr="00281660">
        <w:rPr>
          <w:rFonts w:asciiTheme="majorHAnsi" w:hAnsiTheme="majorHAnsi"/>
          <w:sz w:val="20"/>
          <w:szCs w:val="20"/>
          <w:lang w:val="es-AR"/>
        </w:rPr>
        <w:t>emitida por el peticionario</w:t>
      </w:r>
      <w:r w:rsidR="00224B6E" w:rsidRPr="00281660">
        <w:rPr>
          <w:rFonts w:asciiTheme="majorHAnsi" w:hAnsiTheme="majorHAnsi"/>
          <w:sz w:val="20"/>
          <w:szCs w:val="20"/>
          <w:lang w:val="es-AR"/>
        </w:rPr>
        <w:t>)</w:t>
      </w:r>
      <w:r w:rsidRPr="00281660">
        <w:rPr>
          <w:rFonts w:asciiTheme="majorHAnsi" w:hAnsiTheme="majorHAnsi"/>
          <w:sz w:val="20"/>
          <w:szCs w:val="20"/>
          <w:lang w:val="es-AR"/>
        </w:rPr>
        <w:t>.</w:t>
      </w:r>
      <w:r w:rsidR="00F95E8F" w:rsidRPr="00281660">
        <w:rPr>
          <w:rFonts w:asciiTheme="majorHAnsi" w:hAnsiTheme="majorHAnsi"/>
          <w:sz w:val="20"/>
          <w:szCs w:val="20"/>
          <w:lang w:val="es-AR"/>
        </w:rPr>
        <w:t xml:space="preserve"> </w:t>
      </w:r>
      <w:r w:rsidR="00F95E8F" w:rsidRPr="00281660">
        <w:rPr>
          <w:rFonts w:asciiTheme="majorHAnsi" w:hAnsiTheme="majorHAnsi"/>
          <w:bCs/>
          <w:sz w:val="20"/>
          <w:szCs w:val="20"/>
          <w:lang w:val="es-UY"/>
        </w:rPr>
        <w:t>A este respecto</w:t>
      </w:r>
      <w:r w:rsidR="007010C3" w:rsidRPr="00281660">
        <w:rPr>
          <w:rFonts w:asciiTheme="majorHAnsi" w:hAnsiTheme="majorHAnsi"/>
          <w:bCs/>
          <w:sz w:val="20"/>
          <w:szCs w:val="20"/>
          <w:lang w:val="es-UY"/>
        </w:rPr>
        <w:t xml:space="preserve">, el Estado </w:t>
      </w:r>
      <w:r w:rsidR="009E7D43" w:rsidRPr="00281660">
        <w:rPr>
          <w:rFonts w:asciiTheme="majorHAnsi" w:hAnsiTheme="majorHAnsi"/>
          <w:bCs/>
          <w:sz w:val="20"/>
          <w:szCs w:val="20"/>
          <w:lang w:val="es-UY"/>
        </w:rPr>
        <w:t>indica</w:t>
      </w:r>
      <w:r w:rsidR="007010C3" w:rsidRPr="00281660">
        <w:rPr>
          <w:rFonts w:asciiTheme="majorHAnsi" w:hAnsiTheme="majorHAnsi"/>
          <w:bCs/>
          <w:sz w:val="20"/>
          <w:szCs w:val="20"/>
          <w:lang w:val="es-UY"/>
        </w:rPr>
        <w:t xml:space="preserve"> </w:t>
      </w:r>
      <w:r w:rsidR="00F95E8F" w:rsidRPr="00281660">
        <w:rPr>
          <w:rFonts w:asciiTheme="majorHAnsi" w:hAnsiTheme="majorHAnsi"/>
          <w:bCs/>
          <w:sz w:val="20"/>
          <w:szCs w:val="20"/>
          <w:lang w:val="es-UY"/>
        </w:rPr>
        <w:t xml:space="preserve">por qué la UGPP embargó la vivienda del peticionario, </w:t>
      </w:r>
      <w:r w:rsidR="00BB2974" w:rsidRPr="00281660">
        <w:rPr>
          <w:rFonts w:asciiTheme="majorHAnsi" w:hAnsiTheme="majorHAnsi"/>
          <w:bCs/>
          <w:sz w:val="20"/>
          <w:szCs w:val="20"/>
          <w:lang w:val="es-UY"/>
        </w:rPr>
        <w:t xml:space="preserve">y explica que éste tiene </w:t>
      </w:r>
      <w:r w:rsidR="007010C3" w:rsidRPr="00281660">
        <w:rPr>
          <w:rFonts w:asciiTheme="majorHAnsi" w:hAnsiTheme="majorHAnsi"/>
          <w:bCs/>
          <w:sz w:val="20"/>
          <w:szCs w:val="20"/>
          <w:lang w:val="es-UY"/>
        </w:rPr>
        <w:t xml:space="preserve">siete </w:t>
      </w:r>
      <w:r w:rsidR="00D31976" w:rsidRPr="00281660">
        <w:rPr>
          <w:rFonts w:asciiTheme="majorHAnsi" w:hAnsiTheme="majorHAnsi"/>
          <w:bCs/>
          <w:sz w:val="20"/>
          <w:szCs w:val="20"/>
          <w:lang w:val="es-UY"/>
        </w:rPr>
        <w:t xml:space="preserve">procesos </w:t>
      </w:r>
      <w:r w:rsidR="00BB2974" w:rsidRPr="00281660">
        <w:rPr>
          <w:rFonts w:asciiTheme="majorHAnsi" w:hAnsiTheme="majorHAnsi"/>
          <w:bCs/>
          <w:sz w:val="20"/>
          <w:szCs w:val="20"/>
          <w:lang w:val="es-UY"/>
        </w:rPr>
        <w:t xml:space="preserve">de jurisdicción </w:t>
      </w:r>
      <w:r w:rsidR="003A1074" w:rsidRPr="00281660">
        <w:rPr>
          <w:rFonts w:asciiTheme="majorHAnsi" w:hAnsiTheme="majorHAnsi"/>
          <w:bCs/>
          <w:sz w:val="20"/>
          <w:szCs w:val="20"/>
          <w:lang w:val="es-UY"/>
        </w:rPr>
        <w:t>coactiva</w:t>
      </w:r>
      <w:r w:rsidR="00BB2974" w:rsidRPr="00281660">
        <w:rPr>
          <w:rFonts w:asciiTheme="majorHAnsi" w:hAnsiTheme="majorHAnsi"/>
          <w:bCs/>
          <w:sz w:val="20"/>
          <w:szCs w:val="20"/>
          <w:lang w:val="es-UY"/>
        </w:rPr>
        <w:t xml:space="preserve"> que se iniciaron a raíz de las multas impuestas en</w:t>
      </w:r>
      <w:r w:rsidR="00D02E13" w:rsidRPr="00281660">
        <w:rPr>
          <w:rFonts w:asciiTheme="majorHAnsi" w:hAnsiTheme="majorHAnsi"/>
          <w:bCs/>
          <w:sz w:val="20"/>
          <w:szCs w:val="20"/>
          <w:lang w:val="es-UY"/>
        </w:rPr>
        <w:t xml:space="preserve"> su</w:t>
      </w:r>
      <w:r w:rsidR="00BB2974" w:rsidRPr="00281660">
        <w:rPr>
          <w:rFonts w:asciiTheme="majorHAnsi" w:hAnsiTheme="majorHAnsi"/>
          <w:bCs/>
          <w:sz w:val="20"/>
          <w:szCs w:val="20"/>
          <w:lang w:val="es-UY"/>
        </w:rPr>
        <w:t xml:space="preserve"> contra. Aduce que estos procedimientos</w:t>
      </w:r>
      <w:r w:rsidR="005245FD" w:rsidRPr="00281660">
        <w:rPr>
          <w:rFonts w:asciiTheme="majorHAnsi" w:hAnsiTheme="majorHAnsi"/>
          <w:bCs/>
          <w:sz w:val="20"/>
          <w:szCs w:val="20"/>
          <w:lang w:val="es-UY"/>
        </w:rPr>
        <w:t xml:space="preserve"> </w:t>
      </w:r>
      <w:r w:rsidR="007010C3" w:rsidRPr="00281660">
        <w:rPr>
          <w:rFonts w:asciiTheme="majorHAnsi" w:hAnsiTheme="majorHAnsi"/>
          <w:bCs/>
          <w:sz w:val="20"/>
          <w:szCs w:val="20"/>
          <w:lang w:val="es-UY"/>
        </w:rPr>
        <w:t>se han tramitado conforme a las garantías judiciales del debido proceso.</w:t>
      </w:r>
      <w:r w:rsidR="00213133" w:rsidRPr="00281660">
        <w:rPr>
          <w:rFonts w:asciiTheme="majorHAnsi" w:hAnsiTheme="majorHAnsi"/>
          <w:bCs/>
          <w:sz w:val="20"/>
          <w:szCs w:val="20"/>
          <w:lang w:val="es-UY"/>
        </w:rPr>
        <w:t xml:space="preserve"> </w:t>
      </w:r>
      <w:r w:rsidR="00BB2974" w:rsidRPr="00281660">
        <w:rPr>
          <w:rFonts w:asciiTheme="majorHAnsi" w:hAnsiTheme="majorHAnsi"/>
          <w:bCs/>
          <w:sz w:val="20"/>
          <w:szCs w:val="20"/>
          <w:lang w:val="es-UY"/>
        </w:rPr>
        <w:t>Colombia a</w:t>
      </w:r>
      <w:r w:rsidR="007A299F" w:rsidRPr="00281660">
        <w:rPr>
          <w:rFonts w:asciiTheme="majorHAnsi" w:hAnsiTheme="majorHAnsi"/>
          <w:bCs/>
          <w:sz w:val="20"/>
          <w:szCs w:val="20"/>
          <w:lang w:val="es-UY"/>
        </w:rPr>
        <w:t xml:space="preserve">rguye que </w:t>
      </w:r>
      <w:r w:rsidR="00BB2974" w:rsidRPr="00281660">
        <w:rPr>
          <w:rFonts w:asciiTheme="majorHAnsi" w:hAnsiTheme="majorHAnsi"/>
          <w:bCs/>
          <w:sz w:val="20"/>
          <w:szCs w:val="20"/>
          <w:lang w:val="es-UY"/>
        </w:rPr>
        <w:t>la medida de embargo sobre la vivienda del Sr. Payares Pérez</w:t>
      </w:r>
      <w:r w:rsidR="007A299F" w:rsidRPr="00281660">
        <w:rPr>
          <w:rFonts w:asciiTheme="majorHAnsi" w:hAnsiTheme="majorHAnsi"/>
          <w:bCs/>
          <w:sz w:val="20"/>
          <w:szCs w:val="20"/>
          <w:lang w:val="es-UY"/>
        </w:rPr>
        <w:t xml:space="preserve"> no </w:t>
      </w:r>
      <w:r w:rsidR="00E45003" w:rsidRPr="00281660">
        <w:rPr>
          <w:rFonts w:asciiTheme="majorHAnsi" w:hAnsiTheme="majorHAnsi"/>
          <w:bCs/>
          <w:sz w:val="20"/>
          <w:szCs w:val="20"/>
          <w:lang w:val="es-UY"/>
        </w:rPr>
        <w:t>implica una vulneración de sus derechos humanos, ya que el objetivo de la medida cautelar es servir de garantía de satisfacción de las obligaciones</w:t>
      </w:r>
      <w:r w:rsidR="00BB2974" w:rsidRPr="00281660">
        <w:rPr>
          <w:rFonts w:asciiTheme="majorHAnsi" w:hAnsiTheme="majorHAnsi"/>
          <w:bCs/>
          <w:sz w:val="20"/>
          <w:szCs w:val="20"/>
          <w:lang w:val="es-UY"/>
        </w:rPr>
        <w:t xml:space="preserve"> en los procesos de jurisdicción coactiva</w:t>
      </w:r>
      <w:r w:rsidR="00E45003" w:rsidRPr="00281660">
        <w:rPr>
          <w:rFonts w:asciiTheme="majorHAnsi" w:hAnsiTheme="majorHAnsi"/>
          <w:bCs/>
          <w:sz w:val="20"/>
          <w:szCs w:val="20"/>
          <w:lang w:val="es-UY"/>
        </w:rPr>
        <w:t>.</w:t>
      </w:r>
    </w:p>
    <w:p w14:paraId="1913412C" w14:textId="0F6C0891" w:rsidR="00AC48DD" w:rsidRPr="00281660" w:rsidRDefault="00937B1F" w:rsidP="00306641">
      <w:pPr>
        <w:pStyle w:val="ListParagraph"/>
        <w:numPr>
          <w:ilvl w:val="0"/>
          <w:numId w:val="60"/>
        </w:numPr>
        <w:spacing w:before="240" w:after="240"/>
        <w:ind w:left="0" w:firstLine="720"/>
        <w:jc w:val="both"/>
        <w:rPr>
          <w:rFonts w:asciiTheme="majorHAnsi" w:hAnsiTheme="majorHAnsi"/>
          <w:bCs/>
          <w:sz w:val="20"/>
          <w:szCs w:val="20"/>
          <w:lang w:val="es-UY"/>
        </w:rPr>
      </w:pPr>
      <w:r w:rsidRPr="00281660">
        <w:rPr>
          <w:rFonts w:asciiTheme="majorHAnsi" w:hAnsiTheme="majorHAnsi"/>
          <w:bCs/>
          <w:sz w:val="20"/>
          <w:szCs w:val="20"/>
          <w:lang w:val="es-UY"/>
        </w:rPr>
        <w:t>C</w:t>
      </w:r>
      <w:r w:rsidR="007D6082" w:rsidRPr="00281660">
        <w:rPr>
          <w:rFonts w:asciiTheme="majorHAnsi" w:hAnsiTheme="majorHAnsi"/>
          <w:bCs/>
          <w:sz w:val="20"/>
          <w:szCs w:val="20"/>
          <w:lang w:val="es-UY"/>
        </w:rPr>
        <w:t xml:space="preserve">on respecto a las causales de inadmisibilidad, el Estado colombiano plantea que </w:t>
      </w:r>
      <w:r w:rsidR="004C22A7" w:rsidRPr="00281660">
        <w:rPr>
          <w:rFonts w:asciiTheme="majorHAnsi" w:hAnsiTheme="majorHAnsi"/>
          <w:bCs/>
          <w:sz w:val="20"/>
          <w:szCs w:val="20"/>
          <w:lang w:val="es-UY"/>
        </w:rPr>
        <w:t>el peticionario pretende hacer uso de la CIDH como tribunal de alzada internacional</w:t>
      </w:r>
      <w:r w:rsidR="00AD72A6" w:rsidRPr="00281660">
        <w:rPr>
          <w:rFonts w:asciiTheme="majorHAnsi" w:hAnsiTheme="majorHAnsi"/>
          <w:bCs/>
          <w:sz w:val="20"/>
          <w:szCs w:val="20"/>
          <w:lang w:val="es-UY"/>
        </w:rPr>
        <w:t>.</w:t>
      </w:r>
      <w:r w:rsidR="00772353" w:rsidRPr="00281660">
        <w:rPr>
          <w:rFonts w:asciiTheme="majorHAnsi" w:hAnsiTheme="majorHAnsi"/>
          <w:bCs/>
          <w:sz w:val="20"/>
          <w:szCs w:val="20"/>
          <w:lang w:val="es-UY"/>
        </w:rPr>
        <w:t xml:space="preserve"> </w:t>
      </w:r>
      <w:r w:rsidR="00003948" w:rsidRPr="00281660">
        <w:rPr>
          <w:rFonts w:asciiTheme="majorHAnsi" w:hAnsiTheme="majorHAnsi"/>
          <w:bCs/>
          <w:sz w:val="20"/>
          <w:szCs w:val="20"/>
          <w:lang w:val="es-AR"/>
        </w:rPr>
        <w:t>S</w:t>
      </w:r>
      <w:r w:rsidR="00772353" w:rsidRPr="00281660">
        <w:rPr>
          <w:rFonts w:asciiTheme="majorHAnsi" w:hAnsiTheme="majorHAnsi"/>
          <w:bCs/>
          <w:sz w:val="20"/>
          <w:szCs w:val="20"/>
          <w:lang w:val="es-AR"/>
        </w:rPr>
        <w:t xml:space="preserve">ostiene que, en el marco de los procesos adelantados contra el Sr. Payares Pérez, </w:t>
      </w:r>
      <w:r w:rsidR="004C0301" w:rsidRPr="00281660">
        <w:rPr>
          <w:rFonts w:asciiTheme="majorHAnsi" w:hAnsiTheme="majorHAnsi"/>
          <w:bCs/>
          <w:sz w:val="20"/>
          <w:szCs w:val="20"/>
          <w:lang w:val="es-AR"/>
        </w:rPr>
        <w:t>éste tuvo la oportunidad de ejercer su defensa, conocer los cargos en su contra, presentar pruebas y ser escuchado</w:t>
      </w:r>
      <w:r w:rsidR="00525C6B" w:rsidRPr="00281660">
        <w:rPr>
          <w:rFonts w:asciiTheme="majorHAnsi" w:hAnsiTheme="majorHAnsi"/>
          <w:bCs/>
          <w:sz w:val="20"/>
          <w:szCs w:val="20"/>
          <w:lang w:val="es-AR"/>
        </w:rPr>
        <w:t>; y que este pretende únicamente reabrir el debate jurídico en la CIDH con información y pruebas ya valoradas a nivel interno.</w:t>
      </w:r>
      <w:r w:rsidR="00772353" w:rsidRPr="00281660">
        <w:rPr>
          <w:rFonts w:asciiTheme="majorHAnsi" w:hAnsiTheme="majorHAnsi"/>
          <w:bCs/>
          <w:sz w:val="20"/>
          <w:szCs w:val="20"/>
          <w:lang w:val="es-AR"/>
        </w:rPr>
        <w:t xml:space="preserve"> </w:t>
      </w:r>
      <w:r w:rsidR="00306641" w:rsidRPr="00281660">
        <w:rPr>
          <w:rFonts w:asciiTheme="majorHAnsi" w:hAnsiTheme="majorHAnsi"/>
          <w:bCs/>
          <w:sz w:val="20"/>
          <w:szCs w:val="20"/>
          <w:lang w:val="es-AR"/>
        </w:rPr>
        <w:t>A</w:t>
      </w:r>
      <w:r w:rsidR="00F63F2D" w:rsidRPr="00281660">
        <w:rPr>
          <w:rFonts w:asciiTheme="majorHAnsi" w:hAnsiTheme="majorHAnsi"/>
          <w:bCs/>
          <w:sz w:val="20"/>
          <w:szCs w:val="20"/>
          <w:lang w:val="es-AR"/>
        </w:rPr>
        <w:t xml:space="preserve">duce que los procesos disciplinarios adelantados contra el peticionario </w:t>
      </w:r>
      <w:r w:rsidR="00B056F5" w:rsidRPr="00281660">
        <w:rPr>
          <w:rFonts w:asciiTheme="majorHAnsi" w:hAnsiTheme="majorHAnsi"/>
          <w:bCs/>
          <w:sz w:val="20"/>
          <w:szCs w:val="20"/>
          <w:lang w:val="es-AR"/>
        </w:rPr>
        <w:t xml:space="preserve">tuvieron el objeto de investigar la </w:t>
      </w:r>
      <w:r w:rsidR="00E90F57" w:rsidRPr="00281660">
        <w:rPr>
          <w:rFonts w:asciiTheme="majorHAnsi" w:hAnsiTheme="majorHAnsi"/>
          <w:bCs/>
          <w:sz w:val="20"/>
          <w:szCs w:val="20"/>
          <w:lang w:val="es-AR"/>
        </w:rPr>
        <w:t xml:space="preserve">posible </w:t>
      </w:r>
      <w:r w:rsidR="00B056F5" w:rsidRPr="00281660">
        <w:rPr>
          <w:rFonts w:asciiTheme="majorHAnsi" w:hAnsiTheme="majorHAnsi"/>
          <w:bCs/>
          <w:sz w:val="20"/>
          <w:szCs w:val="20"/>
          <w:lang w:val="es-AR"/>
        </w:rPr>
        <w:t xml:space="preserve">comisión de faltas graves </w:t>
      </w:r>
      <w:r w:rsidR="00E90F57" w:rsidRPr="00281660">
        <w:rPr>
          <w:rFonts w:asciiTheme="majorHAnsi" w:hAnsiTheme="majorHAnsi"/>
          <w:bCs/>
          <w:sz w:val="20"/>
          <w:szCs w:val="20"/>
          <w:lang w:val="es-AR"/>
        </w:rPr>
        <w:t>con ocasión de la emisión de las sentencias de tutela en 2006 y el auto de embargo en 2010</w:t>
      </w:r>
      <w:r w:rsidR="004F33D8" w:rsidRPr="00281660">
        <w:rPr>
          <w:rFonts w:asciiTheme="majorHAnsi" w:hAnsiTheme="majorHAnsi"/>
          <w:bCs/>
          <w:sz w:val="20"/>
          <w:szCs w:val="20"/>
          <w:lang w:val="es-AR"/>
        </w:rPr>
        <w:t xml:space="preserve">. </w:t>
      </w:r>
    </w:p>
    <w:p w14:paraId="51F68C92" w14:textId="77777777" w:rsidR="003239B8" w:rsidRPr="00281660" w:rsidRDefault="003239B8" w:rsidP="003239B8">
      <w:pPr>
        <w:spacing w:before="240" w:after="240"/>
        <w:ind w:firstLine="720"/>
        <w:jc w:val="both"/>
        <w:rPr>
          <w:rFonts w:asciiTheme="majorHAnsi" w:hAnsiTheme="majorHAnsi"/>
          <w:sz w:val="20"/>
          <w:szCs w:val="20"/>
          <w:lang w:val="es-UY"/>
        </w:rPr>
      </w:pPr>
      <w:r w:rsidRPr="00281660">
        <w:rPr>
          <w:rFonts w:asciiTheme="majorHAnsi" w:eastAsia="Cambria" w:hAnsiTheme="majorHAnsi" w:cs="Cambria"/>
          <w:b/>
          <w:bCs/>
          <w:color w:val="000000"/>
          <w:sz w:val="20"/>
          <w:szCs w:val="20"/>
          <w:u w:color="000000"/>
          <w:lang w:val="es-ES" w:eastAsia="es-ES"/>
        </w:rPr>
        <w:t>VI.</w:t>
      </w:r>
      <w:r w:rsidRPr="00281660">
        <w:rPr>
          <w:rFonts w:asciiTheme="majorHAnsi" w:eastAsia="Cambria" w:hAnsiTheme="majorHAnsi" w:cs="Cambria"/>
          <w:b/>
          <w:bCs/>
          <w:color w:val="000000"/>
          <w:sz w:val="20"/>
          <w:szCs w:val="20"/>
          <w:u w:color="000000"/>
          <w:lang w:val="es-ES" w:eastAsia="es-ES"/>
        </w:rPr>
        <w:tab/>
      </w:r>
      <w:r w:rsidR="004A6A54" w:rsidRPr="00281660">
        <w:rPr>
          <w:rFonts w:asciiTheme="majorHAnsi" w:hAnsiTheme="majorHAnsi"/>
          <w:b/>
          <w:bCs/>
          <w:sz w:val="20"/>
          <w:szCs w:val="20"/>
          <w:lang w:val="es-ES_tradnl"/>
        </w:rPr>
        <w:t xml:space="preserve">ANÁLISIS DE </w:t>
      </w:r>
      <w:r w:rsidR="00C21FEF" w:rsidRPr="00281660">
        <w:rPr>
          <w:rFonts w:asciiTheme="majorHAnsi" w:hAnsiTheme="majorHAnsi"/>
          <w:b/>
          <w:sz w:val="20"/>
          <w:szCs w:val="20"/>
          <w:lang w:val="es-ES"/>
        </w:rPr>
        <w:t>AGOTAMIENTO DE LOS RECURSOS INTERNOS Y PLAZO DE PRESENTACIÓN</w:t>
      </w:r>
      <w:r w:rsidR="00C21FEF" w:rsidRPr="00281660">
        <w:rPr>
          <w:rFonts w:asciiTheme="majorHAnsi" w:eastAsia="Cambria" w:hAnsiTheme="majorHAnsi" w:cs="Cambria"/>
          <w:b/>
          <w:bCs/>
          <w:color w:val="000000"/>
          <w:sz w:val="20"/>
          <w:szCs w:val="20"/>
          <w:u w:color="000000"/>
          <w:lang w:val="es-ES" w:eastAsia="es-ES"/>
        </w:rPr>
        <w:t xml:space="preserve"> </w:t>
      </w:r>
    </w:p>
    <w:p w14:paraId="2B76362A" w14:textId="56C2A516" w:rsidR="00D92E0C" w:rsidRPr="00281660" w:rsidRDefault="00075A99" w:rsidP="008B3F99">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Theme="majorHAnsi" w:hAnsiTheme="majorHAnsi"/>
          <w:sz w:val="20"/>
          <w:szCs w:val="20"/>
          <w:lang w:val="es-ES"/>
        </w:rPr>
      </w:pPr>
      <w:r w:rsidRPr="00281660">
        <w:rPr>
          <w:rFonts w:asciiTheme="majorHAnsi" w:hAnsiTheme="majorHAnsi"/>
          <w:sz w:val="20"/>
          <w:szCs w:val="20"/>
          <w:lang w:val="es-ES"/>
        </w:rPr>
        <w:t xml:space="preserve">La presente petición versa sobre la alegada violación de las garantías judiciales del Sr. Payares Pérez y del principio de independencia judicial por </w:t>
      </w:r>
      <w:r w:rsidR="0086513C" w:rsidRPr="00281660">
        <w:rPr>
          <w:rFonts w:asciiTheme="majorHAnsi" w:hAnsiTheme="majorHAnsi"/>
          <w:sz w:val="20"/>
          <w:szCs w:val="20"/>
          <w:lang w:val="es-ES"/>
        </w:rPr>
        <w:t xml:space="preserve">la imposición de dos sanciones disciplinarias y la emisión de dos condenas penales </w:t>
      </w:r>
      <w:r w:rsidR="003E4907" w:rsidRPr="00281660">
        <w:rPr>
          <w:rFonts w:asciiTheme="majorHAnsi" w:hAnsiTheme="majorHAnsi"/>
          <w:sz w:val="20"/>
          <w:szCs w:val="20"/>
          <w:lang w:val="es-ES"/>
        </w:rPr>
        <w:t xml:space="preserve">con ocasión de decisiones judiciales tomadas por el peticionario en su calidad de juez civil del municipio de Magangué. </w:t>
      </w:r>
      <w:r w:rsidR="00B04E7B" w:rsidRPr="00281660">
        <w:rPr>
          <w:rFonts w:asciiTheme="majorHAnsi" w:hAnsiTheme="majorHAnsi"/>
          <w:sz w:val="20"/>
          <w:szCs w:val="20"/>
          <w:lang w:val="es-ES"/>
        </w:rPr>
        <w:t>Ninguna de las partes presenta alegatos sobre el agotamiento de los recursos internos.</w:t>
      </w:r>
    </w:p>
    <w:p w14:paraId="54DF0D94" w14:textId="70BFD811" w:rsidR="00B65530" w:rsidRPr="00281660" w:rsidRDefault="00B65530" w:rsidP="00F83AF2">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Theme="majorHAnsi" w:hAnsiTheme="majorHAnsi"/>
          <w:sz w:val="20"/>
          <w:szCs w:val="20"/>
          <w:lang w:val="es-CO"/>
        </w:rPr>
      </w:pPr>
      <w:r w:rsidRPr="00281660">
        <w:rPr>
          <w:rFonts w:asciiTheme="majorHAnsi" w:hAnsiTheme="majorHAnsi"/>
          <w:sz w:val="20"/>
          <w:szCs w:val="20"/>
          <w:lang w:val="es-ES"/>
        </w:rPr>
        <w:t>Para el análisis del agotamiento de los recursos domésticos, la CIDH recuerda que, según su práctica consolidada y reiterada, a efectos de identificar los recursos idóneos que debieron haber sido agotados por un peticionario antes de recurrir al Sistema Interamericano, el primer paso metodológico del análisis consiste en deslindar los distintos reclamos formulados en la correspondiente petición para proceder a su examen individualizado</w:t>
      </w:r>
      <w:r w:rsidRPr="00281660">
        <w:rPr>
          <w:rStyle w:val="FootnoteReference"/>
          <w:rFonts w:asciiTheme="majorHAnsi" w:hAnsiTheme="majorHAnsi"/>
          <w:sz w:val="20"/>
          <w:szCs w:val="20"/>
          <w:lang w:val="es-ES"/>
        </w:rPr>
        <w:footnoteReference w:id="6"/>
      </w:r>
      <w:r w:rsidRPr="00281660">
        <w:rPr>
          <w:rFonts w:asciiTheme="majorHAnsi" w:hAnsiTheme="majorHAnsi"/>
          <w:sz w:val="20"/>
          <w:szCs w:val="20"/>
          <w:lang w:val="es-ES"/>
        </w:rPr>
        <w:t xml:space="preserve">. En esta línea, la CIDH identifica </w:t>
      </w:r>
      <w:r w:rsidR="007B0E58" w:rsidRPr="00281660">
        <w:rPr>
          <w:rFonts w:asciiTheme="majorHAnsi" w:hAnsiTheme="majorHAnsi"/>
          <w:sz w:val="20"/>
          <w:szCs w:val="20"/>
          <w:lang w:val="es-ES"/>
        </w:rPr>
        <w:t>tre</w:t>
      </w:r>
      <w:r w:rsidRPr="00281660">
        <w:rPr>
          <w:rFonts w:asciiTheme="majorHAnsi" w:hAnsiTheme="majorHAnsi"/>
          <w:sz w:val="20"/>
          <w:szCs w:val="20"/>
          <w:lang w:val="es-ES"/>
        </w:rPr>
        <w:t>s reclamos formulados por la parte peticionaria en el presente procedimiento</w:t>
      </w:r>
      <w:r w:rsidR="00EF72AB" w:rsidRPr="00281660">
        <w:rPr>
          <w:rFonts w:asciiTheme="majorHAnsi" w:hAnsiTheme="majorHAnsi"/>
          <w:sz w:val="20"/>
          <w:szCs w:val="20"/>
          <w:lang w:val="es-ES"/>
        </w:rPr>
        <w:t>:</w:t>
      </w:r>
      <w:r w:rsidRPr="00281660">
        <w:rPr>
          <w:rFonts w:asciiTheme="majorHAnsi" w:hAnsiTheme="majorHAnsi"/>
          <w:sz w:val="20"/>
          <w:szCs w:val="20"/>
          <w:lang w:val="es-ES"/>
        </w:rPr>
        <w:t xml:space="preserve"> (i) la</w:t>
      </w:r>
      <w:r w:rsidR="00BD7B5D" w:rsidRPr="00281660">
        <w:rPr>
          <w:rFonts w:asciiTheme="majorHAnsi" w:hAnsiTheme="majorHAnsi"/>
          <w:sz w:val="20"/>
          <w:szCs w:val="20"/>
          <w:lang w:val="es-ES"/>
        </w:rPr>
        <w:t xml:space="preserve"> alegada violación de las garantías judiciales y del principio de independencia </w:t>
      </w:r>
      <w:r w:rsidR="00BD7B5D" w:rsidRPr="00281660">
        <w:rPr>
          <w:rFonts w:asciiTheme="majorHAnsi" w:hAnsiTheme="majorHAnsi"/>
          <w:sz w:val="20"/>
          <w:szCs w:val="20"/>
          <w:lang w:val="es-ES"/>
        </w:rPr>
        <w:lastRenderedPageBreak/>
        <w:t xml:space="preserve">judicial por las sanciones disciplinarias </w:t>
      </w:r>
      <w:r w:rsidR="00341008" w:rsidRPr="00281660">
        <w:rPr>
          <w:rFonts w:asciiTheme="majorHAnsi" w:hAnsiTheme="majorHAnsi"/>
          <w:sz w:val="20"/>
          <w:szCs w:val="20"/>
          <w:lang w:val="es-ES"/>
        </w:rPr>
        <w:t>impuestas al peticionario; (ii) la alegada violación de estos derechos respecto de las</w:t>
      </w:r>
      <w:r w:rsidRPr="00281660">
        <w:rPr>
          <w:rFonts w:asciiTheme="majorHAnsi" w:hAnsiTheme="majorHAnsi"/>
          <w:sz w:val="20"/>
          <w:szCs w:val="20"/>
          <w:lang w:val="es-ES"/>
        </w:rPr>
        <w:t xml:space="preserve"> decisiones emitidas</w:t>
      </w:r>
      <w:r w:rsidR="00341008" w:rsidRPr="00281660">
        <w:rPr>
          <w:rFonts w:asciiTheme="majorHAnsi" w:hAnsiTheme="majorHAnsi"/>
          <w:sz w:val="20"/>
          <w:szCs w:val="20"/>
          <w:lang w:val="es-ES"/>
        </w:rPr>
        <w:t xml:space="preserve"> en el marco de los procesos penales adelantados contra el Sr. Payares Pérez</w:t>
      </w:r>
      <w:r w:rsidR="00486271" w:rsidRPr="00281660">
        <w:rPr>
          <w:rFonts w:asciiTheme="majorHAnsi" w:hAnsiTheme="majorHAnsi"/>
          <w:sz w:val="20"/>
          <w:szCs w:val="20"/>
          <w:lang w:val="es-ES"/>
        </w:rPr>
        <w:t>; y, (iii) la alegada violación de las garantías judiciales por la imposición de una nueva sanción económica</w:t>
      </w:r>
      <w:r w:rsidR="00293B03" w:rsidRPr="00281660">
        <w:rPr>
          <w:rFonts w:asciiTheme="majorHAnsi" w:hAnsiTheme="majorHAnsi"/>
          <w:sz w:val="20"/>
          <w:szCs w:val="20"/>
          <w:lang w:val="es-ES"/>
        </w:rPr>
        <w:t xml:space="preserve"> al reembolso del dinero pagado por las pensiones de gracia otorgadas</w:t>
      </w:r>
      <w:r w:rsidR="00486271" w:rsidRPr="00281660">
        <w:rPr>
          <w:rFonts w:asciiTheme="majorHAnsi" w:hAnsiTheme="majorHAnsi"/>
          <w:sz w:val="20"/>
          <w:szCs w:val="20"/>
          <w:lang w:val="es-ES"/>
        </w:rPr>
        <w:t>.</w:t>
      </w:r>
      <w:r w:rsidR="00A3480F" w:rsidRPr="00281660">
        <w:rPr>
          <w:rFonts w:asciiTheme="majorHAnsi" w:hAnsiTheme="majorHAnsi"/>
          <w:sz w:val="20"/>
          <w:szCs w:val="20"/>
          <w:lang w:val="es-ES"/>
        </w:rPr>
        <w:t xml:space="preserve"> A continuación, la Comisión realizará un análisis del agotamiento de los recursos internos respecto de cada reclamo individual.</w:t>
      </w:r>
    </w:p>
    <w:p w14:paraId="3070006F" w14:textId="61AF103F" w:rsidR="00F83AF2" w:rsidRPr="00281660" w:rsidRDefault="00B65530" w:rsidP="00F83AF2">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Theme="majorHAnsi" w:hAnsiTheme="majorHAnsi"/>
          <w:sz w:val="20"/>
          <w:szCs w:val="20"/>
          <w:lang w:val="es-CO"/>
        </w:rPr>
      </w:pPr>
      <w:r w:rsidRPr="00281660">
        <w:rPr>
          <w:rFonts w:asciiTheme="majorHAnsi" w:hAnsiTheme="majorHAnsi"/>
          <w:sz w:val="20"/>
          <w:szCs w:val="20"/>
          <w:lang w:val="es-ES"/>
        </w:rPr>
        <w:t>La CIDH re</w:t>
      </w:r>
      <w:r w:rsidR="00D62E16" w:rsidRPr="00281660">
        <w:rPr>
          <w:rFonts w:asciiTheme="majorHAnsi" w:hAnsiTheme="majorHAnsi"/>
          <w:sz w:val="20"/>
          <w:szCs w:val="20"/>
          <w:lang w:val="es-ES"/>
        </w:rPr>
        <w:t>iter</w:t>
      </w:r>
      <w:r w:rsidRPr="00281660">
        <w:rPr>
          <w:rFonts w:asciiTheme="majorHAnsi" w:hAnsiTheme="majorHAnsi"/>
          <w:sz w:val="20"/>
          <w:szCs w:val="20"/>
          <w:lang w:val="es-ES"/>
        </w:rPr>
        <w:t>a que los recursos idóneos a agotar en casos en que se alegan violaciones de las garantías procesales y otros derechos humanos en el curso de procesos judiciales, son por regla general aquellos medios provistos por la legislación procesal nacional que permiten atacar, en el curso del propio proceso cuestionado, las actuaciones y decisiones adoptadas en desarrollo del mismo, en particular los recursos judiciales ordinarios a los que haya lugar, o los extraordinarios si éstos fueron interpuestos por las alegadas víctimas de las violaciones de garantías procesales para hacer valer sus derechos</w:t>
      </w:r>
      <w:r w:rsidRPr="00281660">
        <w:rPr>
          <w:rFonts w:asciiTheme="majorHAnsi" w:hAnsiTheme="majorHAnsi"/>
          <w:sz w:val="20"/>
          <w:szCs w:val="20"/>
          <w:vertAlign w:val="superscript"/>
          <w:lang w:val="es-ES"/>
        </w:rPr>
        <w:footnoteReference w:id="7"/>
      </w:r>
      <w:r w:rsidRPr="00281660">
        <w:rPr>
          <w:rFonts w:asciiTheme="majorHAnsi" w:hAnsiTheme="majorHAnsi"/>
          <w:sz w:val="20"/>
          <w:szCs w:val="20"/>
          <w:lang w:val="es-ES"/>
        </w:rPr>
        <w:t>.</w:t>
      </w:r>
    </w:p>
    <w:p w14:paraId="53CD7186" w14:textId="25BEA8A1" w:rsidR="00F83AF2" w:rsidRPr="00281660" w:rsidRDefault="00CC42B2" w:rsidP="00F83AF2">
      <w:pPr>
        <w:pStyle w:val="ListParagraph"/>
        <w:numPr>
          <w:ilvl w:val="0"/>
          <w:numId w:val="60"/>
        </w:numPr>
        <w:suppressAutoHyphens/>
        <w:spacing w:after="240"/>
        <w:ind w:left="0" w:firstLine="720"/>
        <w:jc w:val="both"/>
        <w:rPr>
          <w:rFonts w:asciiTheme="majorHAnsi" w:hAnsiTheme="majorHAnsi"/>
          <w:sz w:val="20"/>
          <w:szCs w:val="20"/>
          <w:lang w:val="es-VE"/>
        </w:rPr>
      </w:pPr>
      <w:r w:rsidRPr="00281660">
        <w:rPr>
          <w:rFonts w:asciiTheme="majorHAnsi" w:hAnsiTheme="majorHAnsi"/>
          <w:sz w:val="20"/>
          <w:szCs w:val="20"/>
          <w:lang w:val="es-CO"/>
        </w:rPr>
        <w:t>Con</w:t>
      </w:r>
      <w:r w:rsidR="00F83AF2" w:rsidRPr="00281660">
        <w:rPr>
          <w:rFonts w:asciiTheme="majorHAnsi" w:hAnsiTheme="majorHAnsi"/>
          <w:sz w:val="20"/>
          <w:szCs w:val="20"/>
          <w:lang w:val="es-CO"/>
        </w:rPr>
        <w:t xml:space="preserve"> </w:t>
      </w:r>
      <w:r w:rsidR="007B0E58" w:rsidRPr="00281660">
        <w:rPr>
          <w:rFonts w:asciiTheme="majorHAnsi" w:hAnsiTheme="majorHAnsi"/>
          <w:sz w:val="20"/>
          <w:szCs w:val="20"/>
          <w:lang w:val="es-CO"/>
        </w:rPr>
        <w:t xml:space="preserve">relación </w:t>
      </w:r>
      <w:r w:rsidRPr="00281660">
        <w:rPr>
          <w:rFonts w:asciiTheme="majorHAnsi" w:hAnsiTheme="majorHAnsi"/>
          <w:sz w:val="20"/>
          <w:szCs w:val="20"/>
          <w:lang w:val="es-CO"/>
        </w:rPr>
        <w:t>al</w:t>
      </w:r>
      <w:r w:rsidR="007B0E58" w:rsidRPr="00281660">
        <w:rPr>
          <w:rFonts w:asciiTheme="majorHAnsi" w:hAnsiTheme="majorHAnsi"/>
          <w:sz w:val="20"/>
          <w:szCs w:val="20"/>
          <w:lang w:val="es-CO"/>
        </w:rPr>
        <w:t xml:space="preserve"> primer</w:t>
      </w:r>
      <w:r w:rsidR="00F83AF2" w:rsidRPr="00281660">
        <w:rPr>
          <w:rFonts w:asciiTheme="majorHAnsi" w:hAnsiTheme="majorHAnsi"/>
          <w:sz w:val="20"/>
          <w:szCs w:val="20"/>
          <w:lang w:val="es-CO"/>
        </w:rPr>
        <w:t xml:space="preserve"> </w:t>
      </w:r>
      <w:r w:rsidR="00D242DE" w:rsidRPr="00281660">
        <w:rPr>
          <w:rFonts w:asciiTheme="majorHAnsi" w:hAnsiTheme="majorHAnsi"/>
          <w:sz w:val="20"/>
          <w:szCs w:val="20"/>
          <w:lang w:val="es-CO"/>
        </w:rPr>
        <w:t xml:space="preserve">reclamo relativo a los procesos disciplinarios, </w:t>
      </w:r>
      <w:r w:rsidR="00F83AF2" w:rsidRPr="00281660">
        <w:rPr>
          <w:rFonts w:asciiTheme="majorHAnsi" w:hAnsiTheme="majorHAnsi"/>
          <w:sz w:val="20"/>
          <w:szCs w:val="20"/>
          <w:lang w:val="es-CO"/>
        </w:rPr>
        <w:t>la Comisión advierte que la decisi</w:t>
      </w:r>
      <w:r w:rsidR="00B13E9D" w:rsidRPr="00281660">
        <w:rPr>
          <w:rFonts w:asciiTheme="majorHAnsi" w:hAnsiTheme="majorHAnsi"/>
          <w:sz w:val="20"/>
          <w:szCs w:val="20"/>
          <w:lang w:val="es-CO"/>
        </w:rPr>
        <w:t>ón</w:t>
      </w:r>
      <w:r w:rsidR="00F83AF2" w:rsidRPr="00281660">
        <w:rPr>
          <w:rFonts w:asciiTheme="majorHAnsi" w:hAnsiTheme="majorHAnsi"/>
          <w:sz w:val="20"/>
          <w:szCs w:val="20"/>
          <w:lang w:val="es-CO"/>
        </w:rPr>
        <w:t xml:space="preserve"> definitiva que </w:t>
      </w:r>
      <w:r w:rsidR="00CD160D" w:rsidRPr="00281660">
        <w:rPr>
          <w:rFonts w:asciiTheme="majorHAnsi" w:hAnsiTheme="majorHAnsi"/>
          <w:sz w:val="20"/>
          <w:szCs w:val="20"/>
          <w:lang w:val="es-CO"/>
        </w:rPr>
        <w:t>ratificó la sanción de destitución del cargo</w:t>
      </w:r>
      <w:r w:rsidR="00F83AF2" w:rsidRPr="00281660">
        <w:rPr>
          <w:rFonts w:asciiTheme="majorHAnsi" w:hAnsiTheme="majorHAnsi"/>
          <w:sz w:val="20"/>
          <w:szCs w:val="20"/>
          <w:lang w:val="es-CO"/>
        </w:rPr>
        <w:t xml:space="preserve"> fue la sentencia de </w:t>
      </w:r>
      <w:r w:rsidR="00456252" w:rsidRPr="00281660">
        <w:rPr>
          <w:rFonts w:asciiTheme="majorHAnsi" w:hAnsiTheme="majorHAnsi"/>
          <w:sz w:val="20"/>
          <w:szCs w:val="20"/>
          <w:lang w:val="es-CO"/>
        </w:rPr>
        <w:t xml:space="preserve">tutela </w:t>
      </w:r>
      <w:r w:rsidR="00F83AF2" w:rsidRPr="00281660">
        <w:rPr>
          <w:rFonts w:asciiTheme="majorHAnsi" w:hAnsiTheme="majorHAnsi"/>
          <w:sz w:val="20"/>
          <w:szCs w:val="20"/>
          <w:lang w:val="es-CO"/>
        </w:rPr>
        <w:t xml:space="preserve">proferida por la Corte </w:t>
      </w:r>
      <w:r w:rsidR="00CD160D" w:rsidRPr="00281660">
        <w:rPr>
          <w:rFonts w:asciiTheme="majorHAnsi" w:hAnsiTheme="majorHAnsi"/>
          <w:sz w:val="20"/>
          <w:szCs w:val="20"/>
          <w:lang w:val="es-CO"/>
        </w:rPr>
        <w:t>Constitucional el 3 de mayo de 2012</w:t>
      </w:r>
      <w:r w:rsidR="00F83AF2" w:rsidRPr="00281660">
        <w:rPr>
          <w:rFonts w:asciiTheme="majorHAnsi" w:hAnsiTheme="majorHAnsi"/>
          <w:sz w:val="20"/>
          <w:szCs w:val="20"/>
          <w:lang w:val="es-CO"/>
        </w:rPr>
        <w:t xml:space="preserve">. En consecuencia y dado que la petición fue presentada el </w:t>
      </w:r>
      <w:r w:rsidR="008A3D16" w:rsidRPr="00281660">
        <w:rPr>
          <w:rFonts w:asciiTheme="majorHAnsi" w:hAnsiTheme="majorHAnsi"/>
          <w:bCs/>
          <w:sz w:val="20"/>
          <w:szCs w:val="20"/>
          <w:lang w:val="es-ES"/>
        </w:rPr>
        <w:t>30 de agosto de 2012</w:t>
      </w:r>
      <w:r w:rsidR="00F83AF2" w:rsidRPr="00281660">
        <w:rPr>
          <w:rFonts w:asciiTheme="majorHAnsi" w:hAnsiTheme="majorHAnsi"/>
          <w:sz w:val="20"/>
          <w:szCs w:val="20"/>
          <w:lang w:val="es-CO"/>
        </w:rPr>
        <w:t>, la Comisión concluye que la presente petición cumple con los requisitos de agotamiento de los recursos internos y de plazo de presentación, establecidos en el artículo 46.1(a) y (b) de la Convención Americana.</w:t>
      </w:r>
    </w:p>
    <w:p w14:paraId="11CF654C" w14:textId="222CF8FC" w:rsidR="008A3D16" w:rsidRPr="00281660" w:rsidRDefault="008A3D16" w:rsidP="00F83AF2">
      <w:pPr>
        <w:pStyle w:val="ListParagraph"/>
        <w:numPr>
          <w:ilvl w:val="0"/>
          <w:numId w:val="60"/>
        </w:numPr>
        <w:suppressAutoHyphens/>
        <w:spacing w:after="240"/>
        <w:ind w:left="0" w:firstLine="720"/>
        <w:jc w:val="both"/>
        <w:rPr>
          <w:rFonts w:asciiTheme="majorHAnsi" w:hAnsiTheme="majorHAnsi"/>
          <w:sz w:val="20"/>
          <w:szCs w:val="20"/>
          <w:lang w:val="es-VE"/>
        </w:rPr>
      </w:pPr>
      <w:r w:rsidRPr="00281660">
        <w:rPr>
          <w:rFonts w:asciiTheme="majorHAnsi" w:hAnsiTheme="majorHAnsi"/>
          <w:sz w:val="20"/>
          <w:szCs w:val="20"/>
          <w:lang w:val="es-VE"/>
        </w:rPr>
        <w:t xml:space="preserve">En cuanto a los procesos penales adelantados contra el Sr. Payares Pérez, la CIDH observa que </w:t>
      </w:r>
      <w:r w:rsidR="00077BA1" w:rsidRPr="00281660">
        <w:rPr>
          <w:rFonts w:asciiTheme="majorHAnsi" w:hAnsiTheme="majorHAnsi"/>
          <w:sz w:val="20"/>
          <w:szCs w:val="20"/>
          <w:lang w:val="es-VE"/>
        </w:rPr>
        <w:t xml:space="preserve">la decisión final del primer proceso bajo el radicado número 47586 fue proferida el </w:t>
      </w:r>
      <w:r w:rsidR="00486560" w:rsidRPr="00281660">
        <w:rPr>
          <w:rFonts w:asciiTheme="majorHAnsi" w:hAnsiTheme="majorHAnsi"/>
          <w:sz w:val="20"/>
          <w:szCs w:val="20"/>
          <w:lang w:val="es-VE"/>
        </w:rPr>
        <w:t>25 de enero de 2017 por la Sala Penal de la Corte Suprema de Justicia en segunda instancia</w:t>
      </w:r>
      <w:r w:rsidR="00723A15" w:rsidRPr="00281660">
        <w:rPr>
          <w:rFonts w:asciiTheme="majorHAnsi" w:hAnsiTheme="majorHAnsi"/>
          <w:sz w:val="20"/>
          <w:szCs w:val="20"/>
          <w:lang w:val="es-VE"/>
        </w:rPr>
        <w:t xml:space="preserve">. Y frente al segundo proceso penal de radicado número 52321 la decisión final fue emitida en la segunda instancia de la acción de tutela, cuya fecha no fue especificada por las partes, pero </w:t>
      </w:r>
      <w:r w:rsidR="000C46C9" w:rsidRPr="00281660">
        <w:rPr>
          <w:rFonts w:asciiTheme="majorHAnsi" w:hAnsiTheme="majorHAnsi"/>
          <w:sz w:val="20"/>
          <w:szCs w:val="20"/>
          <w:lang w:val="es-VE"/>
        </w:rPr>
        <w:t xml:space="preserve">fue posterior a la decisión </w:t>
      </w:r>
      <w:r w:rsidR="00C45919" w:rsidRPr="00281660">
        <w:rPr>
          <w:rFonts w:asciiTheme="majorHAnsi" w:hAnsiTheme="majorHAnsi"/>
          <w:sz w:val="20"/>
          <w:szCs w:val="20"/>
          <w:lang w:val="es-VE"/>
        </w:rPr>
        <w:t xml:space="preserve">de primera instancia proferida </w:t>
      </w:r>
      <w:r w:rsidR="000C46C9" w:rsidRPr="00281660">
        <w:rPr>
          <w:rFonts w:asciiTheme="majorHAnsi" w:hAnsiTheme="majorHAnsi"/>
          <w:sz w:val="20"/>
          <w:szCs w:val="20"/>
          <w:lang w:val="es-VE"/>
        </w:rPr>
        <w:t xml:space="preserve">el 19 de diciembre de 2018. </w:t>
      </w:r>
      <w:r w:rsidR="00F4457D" w:rsidRPr="00281660">
        <w:rPr>
          <w:rFonts w:asciiTheme="majorHAnsi" w:hAnsiTheme="majorHAnsi"/>
          <w:sz w:val="20"/>
          <w:szCs w:val="20"/>
          <w:lang w:val="es-VE"/>
        </w:rPr>
        <w:t xml:space="preserve">Así las cosas, </w:t>
      </w:r>
      <w:r w:rsidR="00023A82" w:rsidRPr="00281660">
        <w:rPr>
          <w:rFonts w:asciiTheme="majorHAnsi" w:hAnsiTheme="majorHAnsi"/>
          <w:sz w:val="20"/>
          <w:szCs w:val="20"/>
          <w:lang w:val="es-ES"/>
        </w:rPr>
        <w:t>considerando que la petición fue presentada el 30 de agosto de 2012</w:t>
      </w:r>
      <w:r w:rsidR="004B0475" w:rsidRPr="00281660">
        <w:rPr>
          <w:rFonts w:asciiTheme="majorHAnsi" w:hAnsiTheme="majorHAnsi"/>
          <w:sz w:val="20"/>
          <w:szCs w:val="20"/>
          <w:lang w:val="es-ES"/>
        </w:rPr>
        <w:t>,</w:t>
      </w:r>
      <w:r w:rsidR="00023A82" w:rsidRPr="00281660">
        <w:rPr>
          <w:rFonts w:asciiTheme="majorHAnsi" w:hAnsiTheme="majorHAnsi"/>
          <w:sz w:val="20"/>
          <w:szCs w:val="20"/>
          <w:lang w:val="es-ES"/>
        </w:rPr>
        <w:t xml:space="preserve"> y que las investigaciones penales iniciaron desde ese mismo año</w:t>
      </w:r>
      <w:r w:rsidR="00805A91" w:rsidRPr="00281660">
        <w:rPr>
          <w:rFonts w:asciiTheme="majorHAnsi" w:hAnsiTheme="majorHAnsi"/>
          <w:sz w:val="20"/>
          <w:szCs w:val="20"/>
          <w:lang w:val="es-ES"/>
        </w:rPr>
        <w:t xml:space="preserve"> y el agotamiento de los recursos se dio durante la etapa de admisibilidad</w:t>
      </w:r>
      <w:r w:rsidR="00023A82" w:rsidRPr="00281660">
        <w:rPr>
          <w:rFonts w:asciiTheme="majorHAnsi" w:hAnsiTheme="majorHAnsi"/>
          <w:sz w:val="20"/>
          <w:szCs w:val="20"/>
          <w:lang w:val="es-ES"/>
        </w:rPr>
        <w:t xml:space="preserve">, la Comisión considera que la misma </w:t>
      </w:r>
      <w:r w:rsidR="00805A91" w:rsidRPr="00281660">
        <w:rPr>
          <w:rFonts w:asciiTheme="majorHAnsi" w:hAnsiTheme="majorHAnsi"/>
          <w:sz w:val="20"/>
          <w:szCs w:val="20"/>
          <w:lang w:val="es-ES"/>
        </w:rPr>
        <w:t>cumple con los requisitos establecidos en el artículo 46.1(a) y (b) de la Convención Americana</w:t>
      </w:r>
      <w:r w:rsidR="00023A82" w:rsidRPr="00281660">
        <w:rPr>
          <w:rFonts w:asciiTheme="majorHAnsi" w:hAnsiTheme="majorHAnsi"/>
          <w:sz w:val="20"/>
          <w:szCs w:val="20"/>
          <w:lang w:val="es-ES"/>
        </w:rPr>
        <w:t>.</w:t>
      </w:r>
    </w:p>
    <w:p w14:paraId="41D66B4B" w14:textId="59404AA6" w:rsidR="00805A91" w:rsidRPr="00281660" w:rsidRDefault="007E3401" w:rsidP="00F83AF2">
      <w:pPr>
        <w:pStyle w:val="ListParagraph"/>
        <w:numPr>
          <w:ilvl w:val="0"/>
          <w:numId w:val="60"/>
        </w:numPr>
        <w:suppressAutoHyphens/>
        <w:spacing w:after="240"/>
        <w:ind w:left="0" w:firstLine="720"/>
        <w:jc w:val="both"/>
        <w:rPr>
          <w:rFonts w:asciiTheme="majorHAnsi" w:hAnsiTheme="majorHAnsi"/>
          <w:sz w:val="20"/>
          <w:szCs w:val="20"/>
          <w:lang w:val="es-VE"/>
        </w:rPr>
      </w:pPr>
      <w:r w:rsidRPr="00281660">
        <w:rPr>
          <w:rFonts w:asciiTheme="majorHAnsi" w:hAnsiTheme="majorHAnsi"/>
          <w:sz w:val="20"/>
          <w:szCs w:val="20"/>
          <w:lang w:val="es-VE"/>
        </w:rPr>
        <w:t xml:space="preserve">Por último, </w:t>
      </w:r>
      <w:r w:rsidR="00944F22" w:rsidRPr="00281660">
        <w:rPr>
          <w:rFonts w:asciiTheme="majorHAnsi" w:hAnsiTheme="majorHAnsi"/>
          <w:sz w:val="20"/>
          <w:szCs w:val="20"/>
          <w:lang w:val="es-VE"/>
        </w:rPr>
        <w:t xml:space="preserve">con respecto al alegado cobro indebido del pago de las pensiones de gracia, así como el de los procesos por cobro coactivo, la CIDH nota que el peticionario no ofrece información específica sobre el agotamiento de los recursos internos a este respecto. </w:t>
      </w:r>
      <w:r w:rsidR="00AA0C80" w:rsidRPr="00281660">
        <w:rPr>
          <w:rFonts w:asciiTheme="majorHAnsi" w:hAnsiTheme="majorHAnsi"/>
          <w:sz w:val="20"/>
          <w:szCs w:val="20"/>
          <w:lang w:val="es-VE"/>
        </w:rPr>
        <w:t xml:space="preserve">En tal sentido, no es claro si el peticionario agotó los recursos ordinarios contra la sanción impuesta, o de tutela, </w:t>
      </w:r>
      <w:r w:rsidR="00B13FD4" w:rsidRPr="00281660">
        <w:rPr>
          <w:rFonts w:asciiTheme="majorHAnsi" w:hAnsiTheme="majorHAnsi"/>
          <w:sz w:val="20"/>
          <w:szCs w:val="20"/>
          <w:lang w:val="es-VE"/>
        </w:rPr>
        <w:t xml:space="preserve">ni </w:t>
      </w:r>
      <w:r w:rsidR="00AA0C80" w:rsidRPr="00281660">
        <w:rPr>
          <w:rFonts w:asciiTheme="majorHAnsi" w:hAnsiTheme="majorHAnsi"/>
          <w:sz w:val="20"/>
          <w:szCs w:val="20"/>
          <w:lang w:val="es-VE"/>
        </w:rPr>
        <w:t xml:space="preserve">por el cobro </w:t>
      </w:r>
      <w:r w:rsidR="000D795E" w:rsidRPr="00281660">
        <w:rPr>
          <w:rFonts w:asciiTheme="majorHAnsi" w:hAnsiTheme="majorHAnsi"/>
          <w:sz w:val="20"/>
          <w:szCs w:val="20"/>
          <w:lang w:val="es-VE"/>
        </w:rPr>
        <w:t xml:space="preserve">del reembolso del dinero pagado por la UGPP. En consecuencia, la Comisión no puede dar por satisfecho el recurso de previo agotamiento con relación a este reclamo, </w:t>
      </w:r>
      <w:r w:rsidR="002F0D73" w:rsidRPr="00281660">
        <w:rPr>
          <w:rFonts w:asciiTheme="majorHAnsi" w:hAnsiTheme="majorHAnsi"/>
          <w:sz w:val="20"/>
          <w:szCs w:val="20"/>
          <w:lang w:val="es-VE"/>
        </w:rPr>
        <w:t>con lo que la petición se torna inadmisible en este extremo.</w:t>
      </w:r>
    </w:p>
    <w:p w14:paraId="673598AF" w14:textId="77777777" w:rsidR="003239B8" w:rsidRPr="00281660" w:rsidRDefault="003239B8" w:rsidP="003239B8">
      <w:pPr>
        <w:pStyle w:val="ListParagraph"/>
        <w:spacing w:before="240" w:after="240"/>
        <w:jc w:val="both"/>
        <w:rPr>
          <w:rFonts w:asciiTheme="majorHAnsi" w:hAnsiTheme="majorHAnsi"/>
          <w:b/>
          <w:sz w:val="20"/>
          <w:szCs w:val="20"/>
          <w:lang w:val="es-ES"/>
        </w:rPr>
      </w:pPr>
      <w:r w:rsidRPr="00281660">
        <w:rPr>
          <w:rFonts w:asciiTheme="majorHAnsi" w:hAnsiTheme="majorHAnsi"/>
          <w:b/>
          <w:bCs/>
          <w:sz w:val="20"/>
          <w:szCs w:val="20"/>
          <w:lang w:val="es-ES"/>
        </w:rPr>
        <w:t>VII.</w:t>
      </w:r>
      <w:r w:rsidRPr="00281660">
        <w:rPr>
          <w:rFonts w:asciiTheme="majorHAnsi" w:hAnsiTheme="majorHAnsi"/>
          <w:b/>
          <w:bCs/>
          <w:sz w:val="20"/>
          <w:szCs w:val="20"/>
          <w:lang w:val="es-ES"/>
        </w:rPr>
        <w:tab/>
      </w:r>
      <w:r w:rsidR="004A6A54" w:rsidRPr="00281660">
        <w:rPr>
          <w:rFonts w:asciiTheme="majorHAnsi" w:hAnsiTheme="majorHAnsi"/>
          <w:b/>
          <w:bCs/>
          <w:sz w:val="20"/>
          <w:szCs w:val="20"/>
          <w:lang w:val="es-ES_tradnl"/>
        </w:rPr>
        <w:t xml:space="preserve">ANÁLISIS DE </w:t>
      </w:r>
      <w:r w:rsidR="00C21FEF" w:rsidRPr="00281660">
        <w:rPr>
          <w:rFonts w:asciiTheme="majorHAnsi" w:hAnsiTheme="majorHAnsi"/>
          <w:b/>
          <w:bCs/>
          <w:sz w:val="20"/>
          <w:szCs w:val="20"/>
          <w:lang w:val="es-ES"/>
        </w:rPr>
        <w:t xml:space="preserve">CARACTERIZACIÓN </w:t>
      </w:r>
      <w:r w:rsidR="00C21FEF" w:rsidRPr="00281660">
        <w:rPr>
          <w:rFonts w:asciiTheme="majorHAnsi" w:hAnsiTheme="majorHAnsi"/>
          <w:b/>
          <w:bCs/>
          <w:sz w:val="20"/>
          <w:szCs w:val="20"/>
          <w:lang w:val="es-UY"/>
        </w:rPr>
        <w:t>DE LOS HECHOS ALEGADOS</w:t>
      </w:r>
    </w:p>
    <w:p w14:paraId="0BB6C0FD" w14:textId="1296EF09" w:rsidR="00D92E0C" w:rsidRPr="00281660" w:rsidRDefault="00BA4C3F" w:rsidP="007707FC">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Theme="majorHAnsi" w:hAnsiTheme="majorHAnsi"/>
          <w:sz w:val="20"/>
          <w:szCs w:val="20"/>
          <w:lang w:val="es-ES"/>
        </w:rPr>
      </w:pPr>
      <w:r w:rsidRPr="00281660">
        <w:rPr>
          <w:rFonts w:asciiTheme="majorHAnsi" w:hAnsiTheme="majorHAnsi"/>
          <w:sz w:val="20"/>
          <w:szCs w:val="20"/>
          <w:lang w:val="es-ES"/>
        </w:rPr>
        <w:t xml:space="preserve">En línea con lo decidido en la sección anterior, el presente análisis de caracterización se enfocará en </w:t>
      </w:r>
      <w:r w:rsidR="009A354C" w:rsidRPr="00281660">
        <w:rPr>
          <w:rFonts w:asciiTheme="majorHAnsi" w:hAnsiTheme="majorHAnsi"/>
          <w:sz w:val="20"/>
          <w:szCs w:val="20"/>
          <w:lang w:val="es-ES"/>
        </w:rPr>
        <w:t>la alegada violación de las garantías judiciales y del principio de independencia judicial por</w:t>
      </w:r>
      <w:r w:rsidR="00080095" w:rsidRPr="00281660">
        <w:rPr>
          <w:rFonts w:asciiTheme="majorHAnsi" w:hAnsiTheme="majorHAnsi"/>
          <w:sz w:val="20"/>
          <w:szCs w:val="20"/>
          <w:lang w:val="es-ES"/>
        </w:rPr>
        <w:t>:</w:t>
      </w:r>
      <w:r w:rsidR="009A354C" w:rsidRPr="00281660">
        <w:rPr>
          <w:rFonts w:asciiTheme="majorHAnsi" w:hAnsiTheme="majorHAnsi"/>
          <w:sz w:val="20"/>
          <w:szCs w:val="20"/>
          <w:lang w:val="es-ES"/>
        </w:rPr>
        <w:t xml:space="preserve"> (i) la imposición de la sanción de destitución del cargo e inhabilitación del ejercicio de funciones públicas durante diez años; y (ii) </w:t>
      </w:r>
      <w:r w:rsidR="0083678B" w:rsidRPr="00281660">
        <w:rPr>
          <w:rFonts w:asciiTheme="majorHAnsi" w:hAnsiTheme="majorHAnsi"/>
          <w:sz w:val="20"/>
          <w:szCs w:val="20"/>
          <w:lang w:val="es-ES"/>
        </w:rPr>
        <w:t xml:space="preserve">la emisión de dos condenas penales por los delitos de prevaricato por acción, peculado por apropiación y prevaricato </w:t>
      </w:r>
      <w:r w:rsidR="00C905E4" w:rsidRPr="00281660">
        <w:rPr>
          <w:rFonts w:asciiTheme="majorHAnsi" w:hAnsiTheme="majorHAnsi"/>
          <w:sz w:val="20"/>
          <w:szCs w:val="20"/>
          <w:lang w:val="es-ES"/>
        </w:rPr>
        <w:t>por acción y por omisión, dictadas contra el peticionario</w:t>
      </w:r>
      <w:r w:rsidR="00774132" w:rsidRPr="00281660">
        <w:rPr>
          <w:rFonts w:asciiTheme="majorHAnsi" w:hAnsiTheme="majorHAnsi"/>
          <w:sz w:val="20"/>
          <w:szCs w:val="20"/>
          <w:lang w:val="es-ES"/>
        </w:rPr>
        <w:t xml:space="preserve">, quien actualmente </w:t>
      </w:r>
      <w:r w:rsidR="00EB1C58" w:rsidRPr="00281660">
        <w:rPr>
          <w:rFonts w:asciiTheme="majorHAnsi" w:hAnsiTheme="majorHAnsi"/>
          <w:sz w:val="20"/>
          <w:szCs w:val="20"/>
          <w:lang w:val="es-ES"/>
        </w:rPr>
        <w:t>cumple con</w:t>
      </w:r>
      <w:r w:rsidR="00774132" w:rsidRPr="00281660">
        <w:rPr>
          <w:rFonts w:asciiTheme="majorHAnsi" w:hAnsiTheme="majorHAnsi"/>
          <w:sz w:val="20"/>
          <w:szCs w:val="20"/>
          <w:lang w:val="es-ES"/>
        </w:rPr>
        <w:t xml:space="preserve"> la medida de detención domiciliaria</w:t>
      </w:r>
      <w:r w:rsidR="00C905E4" w:rsidRPr="00281660">
        <w:rPr>
          <w:rFonts w:asciiTheme="majorHAnsi" w:hAnsiTheme="majorHAnsi"/>
          <w:sz w:val="20"/>
          <w:szCs w:val="20"/>
          <w:lang w:val="es-ES"/>
        </w:rPr>
        <w:t>.</w:t>
      </w:r>
    </w:p>
    <w:p w14:paraId="7910456C" w14:textId="77777777" w:rsidR="00EB35FA" w:rsidRPr="00281660" w:rsidRDefault="0038053E" w:rsidP="00EB35FA">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Theme="majorHAnsi" w:hAnsiTheme="majorHAnsi"/>
          <w:sz w:val="20"/>
          <w:szCs w:val="20"/>
          <w:lang w:val="es-ES"/>
        </w:rPr>
      </w:pPr>
      <w:r w:rsidRPr="00281660">
        <w:rPr>
          <w:rFonts w:asciiTheme="majorHAnsi" w:hAnsiTheme="majorHAnsi"/>
          <w:sz w:val="20"/>
          <w:szCs w:val="20"/>
          <w:lang w:val="es-ES_tradnl"/>
        </w:rPr>
        <w:t xml:space="preserve">La Comisión reitera que, a los efectos de la admisibilidad, ésta debe decidir si los hechos alegados pueden caracterizar una violación de derechos, según lo estipulado en el artículo 47(b) de la Convención Americana, o si la petición es ’manifiestamente infundada’ o es ‘evidente su total improcedencia’, conforme al inciso (c) de dicho artículo. El criterio de evaluación de esos requisitos difiere del que utiliza para </w:t>
      </w:r>
      <w:r w:rsidRPr="00281660">
        <w:rPr>
          <w:rFonts w:asciiTheme="majorHAnsi" w:hAnsiTheme="majorHAnsi"/>
          <w:sz w:val="20"/>
          <w:szCs w:val="20"/>
          <w:lang w:val="es-ES_tradnl"/>
        </w:rPr>
        <w:lastRenderedPageBreak/>
        <w:t>pronunciarse sobre el fondo de una petición. A este respecto, la Comisión reitera que no es competente para revisar las sentencias dictadas por tribunales nacionales que actúen en la esfera de su competencia y apliquen el debido proceso y las garantías judiciales.</w:t>
      </w:r>
    </w:p>
    <w:p w14:paraId="3A3AAEFC" w14:textId="2D71928F" w:rsidR="00EB35FA" w:rsidRPr="00281660" w:rsidRDefault="00EB35FA" w:rsidP="00EB35FA">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Theme="majorHAnsi" w:hAnsiTheme="majorHAnsi"/>
          <w:sz w:val="16"/>
          <w:szCs w:val="16"/>
          <w:lang w:val="es-ES"/>
        </w:rPr>
      </w:pPr>
      <w:r w:rsidRPr="00281660">
        <w:rPr>
          <w:bCs/>
          <w:sz w:val="20"/>
          <w:szCs w:val="20"/>
          <w:lang w:val="es-ES_tradnl"/>
        </w:rPr>
        <w:t>En ese sentido, la función de la Comisión consiste en garantizar la observancia de las obligaciones asumidas por los Estados parte de la Convención Americana, pero no puede hacer las veces de un tribunal de alzada para examinar supuestos errores de derecho o de hecho que puedan haber cometido los tribunales nacionales que hayan actuado dentro de los límites de su competencia</w:t>
      </w:r>
      <w:r w:rsidRPr="00281660">
        <w:rPr>
          <w:sz w:val="20"/>
          <w:szCs w:val="20"/>
          <w:vertAlign w:val="superscript"/>
          <w:lang w:val="es-ES_tradnl"/>
        </w:rPr>
        <w:footnoteReference w:id="8"/>
      </w:r>
      <w:r w:rsidRPr="00281660">
        <w:rPr>
          <w:bCs/>
          <w:sz w:val="20"/>
          <w:szCs w:val="20"/>
          <w:lang w:val="es-ES_tradnl"/>
        </w:rPr>
        <w:t>.</w:t>
      </w:r>
    </w:p>
    <w:p w14:paraId="08A8687D" w14:textId="5156C6F1" w:rsidR="004770D0" w:rsidRPr="00281660" w:rsidRDefault="00CA1966" w:rsidP="002E721C">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Theme="majorHAnsi" w:hAnsiTheme="majorHAnsi"/>
          <w:sz w:val="20"/>
          <w:szCs w:val="20"/>
          <w:lang w:val="es-ES"/>
        </w:rPr>
      </w:pPr>
      <w:r w:rsidRPr="00281660">
        <w:rPr>
          <w:rFonts w:asciiTheme="majorHAnsi" w:hAnsiTheme="majorHAnsi"/>
          <w:sz w:val="20"/>
          <w:szCs w:val="20"/>
          <w:lang w:val="es-ES"/>
        </w:rPr>
        <w:t>En el presente caso, la CIDH considera que</w:t>
      </w:r>
      <w:r w:rsidR="00235780" w:rsidRPr="00281660">
        <w:rPr>
          <w:rFonts w:asciiTheme="majorHAnsi" w:hAnsiTheme="majorHAnsi"/>
          <w:sz w:val="20"/>
          <w:szCs w:val="20"/>
          <w:lang w:val="es-ES"/>
        </w:rPr>
        <w:t xml:space="preserve"> </w:t>
      </w:r>
      <w:r w:rsidR="00235780" w:rsidRPr="00281660">
        <w:rPr>
          <w:rFonts w:asciiTheme="majorHAnsi" w:hAnsiTheme="majorHAnsi"/>
          <w:i/>
          <w:iCs/>
          <w:sz w:val="20"/>
          <w:szCs w:val="20"/>
          <w:lang w:val="es-ES"/>
        </w:rPr>
        <w:t>prima facie</w:t>
      </w:r>
      <w:r w:rsidRPr="00281660">
        <w:rPr>
          <w:rFonts w:asciiTheme="majorHAnsi" w:hAnsiTheme="majorHAnsi"/>
          <w:sz w:val="20"/>
          <w:szCs w:val="20"/>
          <w:lang w:val="es-ES"/>
        </w:rPr>
        <w:t xml:space="preserve"> no se </w:t>
      </w:r>
      <w:r w:rsidR="00235780" w:rsidRPr="00281660">
        <w:rPr>
          <w:rFonts w:asciiTheme="majorHAnsi" w:hAnsiTheme="majorHAnsi"/>
          <w:sz w:val="20"/>
          <w:szCs w:val="20"/>
          <w:lang w:val="es-ES"/>
        </w:rPr>
        <w:t xml:space="preserve">configura una violación de los derechos invocados, ni del principio de independencia judicial, toda vez que, si bien </w:t>
      </w:r>
      <w:r w:rsidR="007E17D7" w:rsidRPr="00281660">
        <w:rPr>
          <w:rFonts w:asciiTheme="majorHAnsi" w:hAnsiTheme="majorHAnsi"/>
          <w:sz w:val="20"/>
          <w:szCs w:val="20"/>
          <w:lang w:val="es-ES"/>
        </w:rPr>
        <w:t xml:space="preserve">las decisiones judiciales proferidas por los jueces y tribunales internos están protegidas bajo este principio; éste tiene como límite el cumplimiento </w:t>
      </w:r>
      <w:r w:rsidR="00083298" w:rsidRPr="00281660">
        <w:rPr>
          <w:rFonts w:asciiTheme="majorHAnsi" w:hAnsiTheme="majorHAnsi"/>
          <w:sz w:val="20"/>
          <w:szCs w:val="20"/>
          <w:lang w:val="es-ES"/>
        </w:rPr>
        <w:t>y apego a la</w:t>
      </w:r>
      <w:r w:rsidR="007E17D7" w:rsidRPr="00281660">
        <w:rPr>
          <w:rFonts w:asciiTheme="majorHAnsi" w:hAnsiTheme="majorHAnsi"/>
          <w:sz w:val="20"/>
          <w:szCs w:val="20"/>
          <w:lang w:val="es-ES"/>
        </w:rPr>
        <w:t xml:space="preserve"> ley.</w:t>
      </w:r>
      <w:r w:rsidR="001D069F" w:rsidRPr="00281660">
        <w:rPr>
          <w:rFonts w:asciiTheme="majorHAnsi" w:hAnsiTheme="majorHAnsi"/>
          <w:sz w:val="20"/>
          <w:szCs w:val="20"/>
          <w:lang w:val="es-ES"/>
        </w:rPr>
        <w:t xml:space="preserve"> La Corte Interamericana de </w:t>
      </w:r>
      <w:r w:rsidR="00390E23" w:rsidRPr="00281660">
        <w:rPr>
          <w:rFonts w:asciiTheme="majorHAnsi" w:hAnsiTheme="majorHAnsi"/>
          <w:sz w:val="20"/>
          <w:szCs w:val="20"/>
          <w:lang w:val="es-ES"/>
        </w:rPr>
        <w:t>D</w:t>
      </w:r>
      <w:r w:rsidR="001D069F" w:rsidRPr="00281660">
        <w:rPr>
          <w:rFonts w:asciiTheme="majorHAnsi" w:hAnsiTheme="majorHAnsi"/>
          <w:sz w:val="20"/>
          <w:szCs w:val="20"/>
          <w:lang w:val="es-ES"/>
        </w:rPr>
        <w:t xml:space="preserve">erechos </w:t>
      </w:r>
      <w:r w:rsidR="00390E23" w:rsidRPr="00281660">
        <w:rPr>
          <w:rFonts w:asciiTheme="majorHAnsi" w:hAnsiTheme="majorHAnsi"/>
          <w:sz w:val="20"/>
          <w:szCs w:val="20"/>
          <w:lang w:val="es-ES"/>
        </w:rPr>
        <w:t>H</w:t>
      </w:r>
      <w:r w:rsidR="001D069F" w:rsidRPr="00281660">
        <w:rPr>
          <w:rFonts w:asciiTheme="majorHAnsi" w:hAnsiTheme="majorHAnsi"/>
          <w:sz w:val="20"/>
          <w:szCs w:val="20"/>
          <w:lang w:val="es-ES"/>
        </w:rPr>
        <w:t xml:space="preserve">umanos </w:t>
      </w:r>
      <w:r w:rsidR="00390E23" w:rsidRPr="00281660">
        <w:rPr>
          <w:rFonts w:asciiTheme="majorHAnsi" w:hAnsiTheme="majorHAnsi"/>
          <w:sz w:val="20"/>
          <w:szCs w:val="20"/>
          <w:lang w:val="es-ES"/>
        </w:rPr>
        <w:t xml:space="preserve">(en adelante “la Corte Interamericana” o “la Corte IDH”) </w:t>
      </w:r>
      <w:r w:rsidR="001D069F" w:rsidRPr="00281660">
        <w:rPr>
          <w:rFonts w:asciiTheme="majorHAnsi" w:hAnsiTheme="majorHAnsi"/>
          <w:sz w:val="20"/>
          <w:szCs w:val="20"/>
          <w:lang w:val="es-ES"/>
        </w:rPr>
        <w:t xml:space="preserve">ha establecido las condiciones en las que la separación de jueces y fiscales de su cargo </w:t>
      </w:r>
      <w:r w:rsidR="003D1599" w:rsidRPr="00281660">
        <w:rPr>
          <w:rFonts w:asciiTheme="majorHAnsi" w:hAnsiTheme="majorHAnsi"/>
          <w:sz w:val="20"/>
          <w:szCs w:val="20"/>
          <w:lang w:val="es-ES"/>
        </w:rPr>
        <w:t xml:space="preserve">está permitida en cumplimiento de los estándares </w:t>
      </w:r>
      <w:r w:rsidR="00F61F41" w:rsidRPr="00281660">
        <w:rPr>
          <w:rFonts w:asciiTheme="majorHAnsi" w:hAnsiTheme="majorHAnsi"/>
          <w:sz w:val="20"/>
          <w:szCs w:val="20"/>
          <w:lang w:val="es-ES"/>
        </w:rPr>
        <w:t xml:space="preserve">interamericanos </w:t>
      </w:r>
      <w:r w:rsidR="003D1599" w:rsidRPr="00281660">
        <w:rPr>
          <w:rFonts w:asciiTheme="majorHAnsi" w:hAnsiTheme="majorHAnsi"/>
          <w:sz w:val="20"/>
          <w:szCs w:val="20"/>
          <w:lang w:val="es-ES"/>
        </w:rPr>
        <w:t>de derechos humanos, en los siguientes términos:</w:t>
      </w:r>
    </w:p>
    <w:p w14:paraId="7BA7789F" w14:textId="77777777" w:rsidR="003D1599" w:rsidRPr="00281660" w:rsidRDefault="003D1599" w:rsidP="003D1599">
      <w:pPr>
        <w:pStyle w:val="parrafos"/>
        <w:numPr>
          <w:ilvl w:val="0"/>
          <w:numId w:val="0"/>
        </w:numPr>
        <w:spacing w:after="240"/>
        <w:ind w:left="360" w:right="360"/>
        <w:rPr>
          <w:sz w:val="18"/>
          <w:szCs w:val="18"/>
          <w:lang w:val="es-ES_tradnl"/>
        </w:rPr>
      </w:pPr>
      <w:r w:rsidRPr="00281660">
        <w:rPr>
          <w:sz w:val="18"/>
          <w:szCs w:val="18"/>
          <w:lang w:val="es-ES_tradnl"/>
        </w:rPr>
        <w:t>[….] (i) que la separación del cargo debe obedecer exclusivamente a causales permitidas, ya sea por medio de un proceso que cumpla con las garantías judiciales o porque se ha cumplido el término o período del mandato; (ii) que las juezas y los jueces solo pueden ser destituidos por faltas de disciplina graves o incompetencia, y (iii) que todo proceso seguido contra juezas y jueces debe resolverse de acuerdo con las normas de comportamiento judicial establecidas y mediante procedimientos justos, objetivos e imparciales, según la Constitución o la ley. Ello deviene imperativo, en tanto la libre remoción de las autoridades judiciales fomenta la duda objetiva sobre la posibilidad efectiva que tienen de ejercer sus funciones sin temor a represalias</w:t>
      </w:r>
      <w:r w:rsidRPr="00281660">
        <w:rPr>
          <w:rStyle w:val="FootnoteReference"/>
          <w:sz w:val="18"/>
          <w:szCs w:val="18"/>
          <w:lang w:val="es-ES_tradnl"/>
        </w:rPr>
        <w:footnoteReference w:id="9"/>
      </w:r>
      <w:r w:rsidRPr="00281660">
        <w:rPr>
          <w:sz w:val="18"/>
          <w:szCs w:val="18"/>
          <w:lang w:val="es-ES_tradnl"/>
        </w:rPr>
        <w:t>.</w:t>
      </w:r>
    </w:p>
    <w:p w14:paraId="434B21FA" w14:textId="37FAE700" w:rsidR="00545157" w:rsidRPr="00281660" w:rsidRDefault="009C613E" w:rsidP="0079547D">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Theme="majorHAnsi" w:hAnsiTheme="majorHAnsi"/>
          <w:sz w:val="20"/>
          <w:szCs w:val="20"/>
          <w:lang w:val="es-ES"/>
        </w:rPr>
      </w:pPr>
      <w:r w:rsidRPr="00281660">
        <w:rPr>
          <w:rFonts w:asciiTheme="majorHAnsi" w:hAnsiTheme="majorHAnsi"/>
          <w:sz w:val="20"/>
          <w:szCs w:val="20"/>
          <w:lang w:val="es-ES"/>
        </w:rPr>
        <w:t>Sobre las cau</w:t>
      </w:r>
      <w:r w:rsidR="00390E23" w:rsidRPr="00281660">
        <w:rPr>
          <w:rFonts w:asciiTheme="majorHAnsi" w:hAnsiTheme="majorHAnsi"/>
          <w:sz w:val="20"/>
          <w:szCs w:val="20"/>
          <w:lang w:val="es-ES"/>
        </w:rPr>
        <w:t>sales legítimas para decretar la separación al cargo de un juez, la Corte Interamericana</w:t>
      </w:r>
      <w:r w:rsidR="00E071A8" w:rsidRPr="00281660">
        <w:rPr>
          <w:rFonts w:asciiTheme="majorHAnsi" w:hAnsiTheme="majorHAnsi"/>
          <w:sz w:val="20"/>
          <w:szCs w:val="20"/>
          <w:lang w:val="es-ES"/>
        </w:rPr>
        <w:t xml:space="preserve"> ha señalado que éstas son (i) </w:t>
      </w:r>
      <w:r w:rsidR="00453518" w:rsidRPr="00281660">
        <w:rPr>
          <w:rFonts w:asciiTheme="majorHAnsi" w:hAnsiTheme="majorHAnsi"/>
          <w:sz w:val="20"/>
          <w:szCs w:val="20"/>
          <w:lang w:val="es-CO"/>
        </w:rPr>
        <w:t xml:space="preserve">el acaecimiento de la condición resolutoria a que se sujetó la designación o nombramiento, o el cumplimiento de un plazo predeterminado para los jueces en provisionalidad; o, (ii) </w:t>
      </w:r>
      <w:r w:rsidR="008418A6" w:rsidRPr="00281660">
        <w:rPr>
          <w:rFonts w:asciiTheme="majorHAnsi" w:hAnsiTheme="majorHAnsi"/>
          <w:sz w:val="20"/>
          <w:szCs w:val="20"/>
          <w:lang w:val="es-CO"/>
        </w:rPr>
        <w:t>por faltas disciplinarias graves o comprobada incompetencia</w:t>
      </w:r>
      <w:r w:rsidR="008418A6" w:rsidRPr="00281660">
        <w:rPr>
          <w:rStyle w:val="FootnoteReference"/>
          <w:rFonts w:asciiTheme="majorHAnsi" w:hAnsiTheme="majorHAnsi"/>
          <w:sz w:val="20"/>
          <w:szCs w:val="20"/>
          <w:lang w:val="es-CO"/>
        </w:rPr>
        <w:footnoteReference w:id="10"/>
      </w:r>
      <w:r w:rsidR="008418A6" w:rsidRPr="00281660">
        <w:rPr>
          <w:rFonts w:asciiTheme="majorHAnsi" w:hAnsiTheme="majorHAnsi"/>
          <w:sz w:val="20"/>
          <w:szCs w:val="20"/>
          <w:lang w:val="es-CO"/>
        </w:rPr>
        <w:t>, para lo cual habrá de seguirse un proceso que cumpla con las debidas garantías y que asegure la objetividad e imparcialidad de la decisió</w:t>
      </w:r>
      <w:r w:rsidR="00DA193B" w:rsidRPr="00281660">
        <w:rPr>
          <w:rFonts w:asciiTheme="majorHAnsi" w:hAnsiTheme="majorHAnsi"/>
          <w:sz w:val="20"/>
          <w:szCs w:val="20"/>
          <w:lang w:val="es-CO"/>
        </w:rPr>
        <w:t>n</w:t>
      </w:r>
      <w:r w:rsidR="00DA193B" w:rsidRPr="00281660">
        <w:rPr>
          <w:rStyle w:val="FootnoteReference"/>
          <w:rFonts w:asciiTheme="majorHAnsi" w:hAnsiTheme="majorHAnsi"/>
          <w:sz w:val="20"/>
          <w:szCs w:val="20"/>
          <w:lang w:val="es-CO"/>
        </w:rPr>
        <w:footnoteReference w:id="11"/>
      </w:r>
      <w:r w:rsidR="008418A6" w:rsidRPr="00281660">
        <w:rPr>
          <w:rFonts w:asciiTheme="majorHAnsi" w:hAnsiTheme="majorHAnsi"/>
          <w:sz w:val="20"/>
          <w:szCs w:val="20"/>
          <w:lang w:val="es-CO"/>
        </w:rPr>
        <w:t>.</w:t>
      </w:r>
      <w:r w:rsidR="006B1301" w:rsidRPr="00281660">
        <w:rPr>
          <w:rFonts w:asciiTheme="majorHAnsi" w:hAnsiTheme="majorHAnsi"/>
          <w:sz w:val="20"/>
          <w:szCs w:val="20"/>
          <w:lang w:val="es-CO"/>
        </w:rPr>
        <w:t xml:space="preserve"> </w:t>
      </w:r>
      <w:r w:rsidR="00545157" w:rsidRPr="00281660">
        <w:rPr>
          <w:rFonts w:asciiTheme="majorHAnsi" w:hAnsiTheme="majorHAnsi"/>
          <w:sz w:val="20"/>
          <w:szCs w:val="20"/>
          <w:lang w:val="es-CO"/>
        </w:rPr>
        <w:t>A</w:t>
      </w:r>
      <w:r w:rsidR="006B1301" w:rsidRPr="00281660">
        <w:rPr>
          <w:rFonts w:asciiTheme="majorHAnsi" w:hAnsiTheme="majorHAnsi"/>
          <w:sz w:val="20"/>
          <w:szCs w:val="20"/>
          <w:lang w:val="es-CO"/>
        </w:rPr>
        <w:t xml:space="preserve"> su vez</w:t>
      </w:r>
      <w:r w:rsidR="00545157" w:rsidRPr="00281660">
        <w:rPr>
          <w:rFonts w:asciiTheme="majorHAnsi" w:hAnsiTheme="majorHAnsi"/>
          <w:sz w:val="20"/>
          <w:szCs w:val="20"/>
          <w:lang w:val="es-CO"/>
        </w:rPr>
        <w:t>, la Corte IDH ha precisado que</w:t>
      </w:r>
      <w:r w:rsidR="00A02BFD" w:rsidRPr="00281660">
        <w:rPr>
          <w:rFonts w:asciiTheme="majorHAnsi" w:hAnsiTheme="majorHAnsi"/>
          <w:sz w:val="20"/>
          <w:szCs w:val="20"/>
          <w:lang w:val="es-CO"/>
        </w:rPr>
        <w:t>, para analizar</w:t>
      </w:r>
      <w:r w:rsidR="00545157" w:rsidRPr="00281660">
        <w:rPr>
          <w:rFonts w:asciiTheme="majorHAnsi" w:hAnsiTheme="majorHAnsi"/>
          <w:sz w:val="20"/>
          <w:szCs w:val="20"/>
          <w:lang w:val="es-CO"/>
        </w:rPr>
        <w:t xml:space="preserve"> la</w:t>
      </w:r>
      <w:r w:rsidR="002A4387" w:rsidRPr="00281660">
        <w:rPr>
          <w:rFonts w:asciiTheme="majorHAnsi" w:hAnsiTheme="majorHAnsi"/>
          <w:sz w:val="20"/>
          <w:szCs w:val="20"/>
          <w:lang w:val="es-CO"/>
        </w:rPr>
        <w:t xml:space="preserve"> compatibilidad de las</w:t>
      </w:r>
      <w:r w:rsidR="00545157" w:rsidRPr="00281660">
        <w:rPr>
          <w:rFonts w:asciiTheme="majorHAnsi" w:hAnsiTheme="majorHAnsi"/>
          <w:sz w:val="20"/>
          <w:szCs w:val="20"/>
          <w:lang w:val="es-CO"/>
        </w:rPr>
        <w:t xml:space="preserve"> faltas disciplinarias graves </w:t>
      </w:r>
      <w:r w:rsidR="002A4387" w:rsidRPr="00281660">
        <w:rPr>
          <w:rFonts w:asciiTheme="majorHAnsi" w:hAnsiTheme="majorHAnsi"/>
          <w:sz w:val="20"/>
          <w:szCs w:val="20"/>
          <w:lang w:val="es-CO"/>
        </w:rPr>
        <w:t>con l</w:t>
      </w:r>
      <w:r w:rsidR="00C33ED6" w:rsidRPr="00281660">
        <w:rPr>
          <w:rFonts w:asciiTheme="majorHAnsi" w:hAnsiTheme="majorHAnsi"/>
          <w:sz w:val="20"/>
          <w:szCs w:val="20"/>
          <w:lang w:val="es-CO"/>
        </w:rPr>
        <w:t xml:space="preserve">os estándares del principio de independencia judicial </w:t>
      </w:r>
      <w:r w:rsidR="00E03AB3" w:rsidRPr="00281660">
        <w:rPr>
          <w:rFonts w:asciiTheme="majorHAnsi" w:hAnsiTheme="majorHAnsi"/>
          <w:sz w:val="20"/>
          <w:szCs w:val="20"/>
          <w:lang w:val="es-CO"/>
        </w:rPr>
        <w:t>es “</w:t>
      </w:r>
      <w:r w:rsidR="00E03AB3" w:rsidRPr="00281660">
        <w:rPr>
          <w:rFonts w:asciiTheme="majorHAnsi" w:hAnsiTheme="majorHAnsi"/>
          <w:i/>
          <w:iCs/>
          <w:sz w:val="20"/>
          <w:szCs w:val="20"/>
          <w:lang w:val="es-CO"/>
        </w:rPr>
        <w:t xml:space="preserve">necesario examinar la motivación de la decisión mediante la cual se impone una sanción disciplinaria </w:t>
      </w:r>
      <w:r w:rsidR="00E8120C" w:rsidRPr="00281660">
        <w:rPr>
          <w:rFonts w:asciiTheme="majorHAnsi" w:hAnsiTheme="majorHAnsi"/>
          <w:i/>
          <w:iCs/>
          <w:sz w:val="20"/>
          <w:szCs w:val="20"/>
          <w:lang w:val="es-CO"/>
        </w:rPr>
        <w:t>a un juez o una jueza</w:t>
      </w:r>
      <w:r w:rsidR="00E8120C" w:rsidRPr="00281660">
        <w:rPr>
          <w:rFonts w:asciiTheme="majorHAnsi" w:hAnsiTheme="majorHAnsi"/>
          <w:sz w:val="20"/>
          <w:szCs w:val="20"/>
          <w:lang w:val="es-CO"/>
        </w:rPr>
        <w:t>”</w:t>
      </w:r>
      <w:r w:rsidR="00E8120C" w:rsidRPr="00281660">
        <w:rPr>
          <w:rStyle w:val="FootnoteReference"/>
          <w:rFonts w:asciiTheme="majorHAnsi" w:hAnsiTheme="majorHAnsi"/>
          <w:sz w:val="20"/>
          <w:szCs w:val="20"/>
          <w:lang w:val="es-CO"/>
        </w:rPr>
        <w:footnoteReference w:id="12"/>
      </w:r>
      <w:r w:rsidR="00E8120C" w:rsidRPr="00281660">
        <w:rPr>
          <w:rFonts w:asciiTheme="majorHAnsi" w:hAnsiTheme="majorHAnsi"/>
          <w:sz w:val="20"/>
          <w:szCs w:val="20"/>
          <w:lang w:val="es-CO"/>
        </w:rPr>
        <w:t>.</w:t>
      </w:r>
    </w:p>
    <w:p w14:paraId="049FA3AD" w14:textId="5631B00B" w:rsidR="007A4FB8" w:rsidRPr="00281660" w:rsidRDefault="007A4FB8" w:rsidP="0079547D">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Theme="majorHAnsi" w:hAnsiTheme="majorHAnsi"/>
          <w:sz w:val="20"/>
          <w:szCs w:val="20"/>
          <w:lang w:val="es-ES"/>
        </w:rPr>
      </w:pPr>
      <w:r w:rsidRPr="00281660">
        <w:rPr>
          <w:rFonts w:asciiTheme="majorHAnsi" w:hAnsiTheme="majorHAnsi"/>
          <w:sz w:val="20"/>
          <w:szCs w:val="20"/>
          <w:lang w:val="es-CO"/>
        </w:rPr>
        <w:t xml:space="preserve">En el presente caso, la Comisión observa que las sentencias tanto disciplinarias como penales contaron con una debida motivación, </w:t>
      </w:r>
      <w:r w:rsidR="00F81D9C" w:rsidRPr="00281660">
        <w:rPr>
          <w:rFonts w:asciiTheme="majorHAnsi" w:hAnsiTheme="majorHAnsi"/>
          <w:sz w:val="20"/>
          <w:szCs w:val="20"/>
          <w:lang w:val="es-CO"/>
        </w:rPr>
        <w:t xml:space="preserve">que daba cuenta de las razones jurídicas por las cuales las sentencias de tutela proferidas por el peticionario así como el auto con el que decretó el embargo a CAJANAL, eran contrarias a la legislación constitucional sobre procedencia de la acción de tutela, y a </w:t>
      </w:r>
      <w:r w:rsidR="00F81D9C" w:rsidRPr="00281660">
        <w:rPr>
          <w:rFonts w:asciiTheme="majorHAnsi" w:hAnsiTheme="majorHAnsi"/>
          <w:sz w:val="20"/>
          <w:szCs w:val="20"/>
          <w:lang w:val="es-ES"/>
        </w:rPr>
        <w:t>laboral y contenciosa sobre los requisitos para el otorgamiento de pensiones de gracias a docentes, en particular, por el incumplimiento del requisito de que éstos no estuvieran beneficiados con otras modalidades de pensión.</w:t>
      </w:r>
    </w:p>
    <w:p w14:paraId="0EA8BF19" w14:textId="7FA68E35" w:rsidR="00687875" w:rsidRPr="00281660" w:rsidRDefault="003B33CB" w:rsidP="002E721C">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Theme="majorHAnsi" w:hAnsiTheme="majorHAnsi"/>
          <w:sz w:val="20"/>
          <w:szCs w:val="20"/>
          <w:lang w:val="es-ES"/>
        </w:rPr>
      </w:pPr>
      <w:r w:rsidRPr="00281660">
        <w:rPr>
          <w:rFonts w:asciiTheme="majorHAnsi" w:hAnsiTheme="majorHAnsi"/>
          <w:sz w:val="20"/>
          <w:szCs w:val="20"/>
          <w:lang w:val="es-ES"/>
        </w:rPr>
        <w:t xml:space="preserve">De esta manera, la Comisión no encuentra alegatos concretos ni elementos suficientes </w:t>
      </w:r>
      <w:r w:rsidR="000408B6" w:rsidRPr="00281660">
        <w:rPr>
          <w:rFonts w:asciiTheme="majorHAnsi" w:hAnsiTheme="majorHAnsi"/>
          <w:sz w:val="20"/>
          <w:szCs w:val="20"/>
          <w:lang w:val="es-ES"/>
        </w:rPr>
        <w:t xml:space="preserve">dentro del presente trámite que sustenten </w:t>
      </w:r>
      <w:r w:rsidR="000408B6" w:rsidRPr="00281660">
        <w:rPr>
          <w:rFonts w:asciiTheme="majorHAnsi" w:hAnsiTheme="majorHAnsi"/>
          <w:i/>
          <w:iCs/>
          <w:sz w:val="20"/>
          <w:szCs w:val="20"/>
          <w:lang w:val="es-ES"/>
        </w:rPr>
        <w:t>prima facie</w:t>
      </w:r>
      <w:r w:rsidR="000408B6" w:rsidRPr="00281660">
        <w:rPr>
          <w:rFonts w:asciiTheme="majorHAnsi" w:hAnsiTheme="majorHAnsi"/>
          <w:sz w:val="20"/>
          <w:szCs w:val="20"/>
          <w:lang w:val="es-ES"/>
        </w:rPr>
        <w:t xml:space="preserve"> que los procedimientos disciplinarios y penales adelantados contra el peticionario no respetaron sus garantías judiciales. Por el contrario, el Estado </w:t>
      </w:r>
      <w:r w:rsidR="00B20156" w:rsidRPr="00281660">
        <w:rPr>
          <w:rFonts w:asciiTheme="majorHAnsi" w:hAnsiTheme="majorHAnsi"/>
          <w:sz w:val="20"/>
          <w:szCs w:val="20"/>
          <w:lang w:val="es-ES"/>
        </w:rPr>
        <w:t>reseñó cómo las autoridades judiciales respondieron a cada alegato planteado a nivel interno</w:t>
      </w:r>
      <w:r w:rsidR="003A36E5" w:rsidRPr="00281660">
        <w:rPr>
          <w:rFonts w:asciiTheme="majorHAnsi" w:hAnsiTheme="majorHAnsi"/>
          <w:sz w:val="20"/>
          <w:szCs w:val="20"/>
          <w:lang w:val="es-ES"/>
        </w:rPr>
        <w:t>.</w:t>
      </w:r>
      <w:r w:rsidR="00FF622D" w:rsidRPr="00281660">
        <w:rPr>
          <w:rFonts w:asciiTheme="majorHAnsi" w:hAnsiTheme="majorHAnsi"/>
          <w:sz w:val="20"/>
          <w:szCs w:val="20"/>
          <w:lang w:val="es-ES"/>
        </w:rPr>
        <w:t xml:space="preserve"> </w:t>
      </w:r>
      <w:r w:rsidR="00687875" w:rsidRPr="00281660">
        <w:rPr>
          <w:rFonts w:asciiTheme="majorHAnsi" w:hAnsiTheme="majorHAnsi"/>
          <w:sz w:val="20"/>
          <w:szCs w:val="20"/>
          <w:lang w:val="es-ES"/>
        </w:rPr>
        <w:t xml:space="preserve">Contrario a lo alegado por el peticionario, </w:t>
      </w:r>
      <w:r w:rsidR="00EF49B7" w:rsidRPr="00281660">
        <w:rPr>
          <w:rFonts w:asciiTheme="majorHAnsi" w:hAnsiTheme="majorHAnsi"/>
          <w:sz w:val="20"/>
          <w:szCs w:val="20"/>
          <w:lang w:val="es-ES"/>
        </w:rPr>
        <w:t xml:space="preserve">su juzgamiento </w:t>
      </w:r>
      <w:r w:rsidR="00687875" w:rsidRPr="00281660">
        <w:rPr>
          <w:rFonts w:asciiTheme="majorHAnsi" w:hAnsiTheme="majorHAnsi"/>
          <w:sz w:val="20"/>
          <w:szCs w:val="20"/>
          <w:lang w:val="es-ES"/>
        </w:rPr>
        <w:t xml:space="preserve">no se </w:t>
      </w:r>
      <w:r w:rsidR="00EF49B7" w:rsidRPr="00281660">
        <w:rPr>
          <w:rFonts w:asciiTheme="majorHAnsi" w:hAnsiTheme="majorHAnsi"/>
          <w:sz w:val="20"/>
          <w:szCs w:val="20"/>
          <w:lang w:val="es-ES"/>
        </w:rPr>
        <w:t>bas</w:t>
      </w:r>
      <w:r w:rsidR="00687875" w:rsidRPr="00281660">
        <w:rPr>
          <w:rFonts w:asciiTheme="majorHAnsi" w:hAnsiTheme="majorHAnsi"/>
          <w:sz w:val="20"/>
          <w:szCs w:val="20"/>
          <w:lang w:val="es-ES"/>
        </w:rPr>
        <w:t xml:space="preserve">ó </w:t>
      </w:r>
      <w:r w:rsidR="00EF49B7" w:rsidRPr="00281660">
        <w:rPr>
          <w:rFonts w:asciiTheme="majorHAnsi" w:hAnsiTheme="majorHAnsi"/>
          <w:sz w:val="20"/>
          <w:szCs w:val="20"/>
          <w:lang w:val="es-ES"/>
        </w:rPr>
        <w:t xml:space="preserve">en </w:t>
      </w:r>
      <w:r w:rsidR="00687875" w:rsidRPr="00281660">
        <w:rPr>
          <w:rFonts w:asciiTheme="majorHAnsi" w:hAnsiTheme="majorHAnsi"/>
          <w:sz w:val="20"/>
          <w:szCs w:val="20"/>
          <w:lang w:val="es-ES"/>
        </w:rPr>
        <w:t xml:space="preserve">un cambio de postura de la Corte Constitucional, sino </w:t>
      </w:r>
      <w:r w:rsidR="00EF49B7" w:rsidRPr="00281660">
        <w:rPr>
          <w:rFonts w:asciiTheme="majorHAnsi" w:hAnsiTheme="majorHAnsi"/>
          <w:sz w:val="20"/>
          <w:szCs w:val="20"/>
          <w:lang w:val="es-ES"/>
        </w:rPr>
        <w:t xml:space="preserve">en </w:t>
      </w:r>
      <w:r w:rsidR="00687875" w:rsidRPr="00281660">
        <w:rPr>
          <w:rFonts w:asciiTheme="majorHAnsi" w:hAnsiTheme="majorHAnsi"/>
          <w:sz w:val="20"/>
          <w:szCs w:val="20"/>
          <w:lang w:val="es-ES"/>
        </w:rPr>
        <w:t xml:space="preserve">un </w:t>
      </w:r>
      <w:r w:rsidR="00687875" w:rsidRPr="00281660">
        <w:rPr>
          <w:rFonts w:asciiTheme="majorHAnsi" w:hAnsiTheme="majorHAnsi"/>
          <w:sz w:val="20"/>
          <w:szCs w:val="20"/>
          <w:lang w:val="es-ES"/>
        </w:rPr>
        <w:lastRenderedPageBreak/>
        <w:t>desconocimiento al precedente jurisprudencia</w:t>
      </w:r>
      <w:r w:rsidR="00EF49B7" w:rsidRPr="00281660">
        <w:rPr>
          <w:rFonts w:asciiTheme="majorHAnsi" w:hAnsiTheme="majorHAnsi"/>
          <w:sz w:val="20"/>
          <w:szCs w:val="20"/>
          <w:lang w:val="es-ES"/>
        </w:rPr>
        <w:t>l de tutela</w:t>
      </w:r>
      <w:r w:rsidR="00687875" w:rsidRPr="00281660">
        <w:rPr>
          <w:rFonts w:asciiTheme="majorHAnsi" w:hAnsiTheme="majorHAnsi"/>
          <w:sz w:val="20"/>
          <w:szCs w:val="20"/>
          <w:lang w:val="es-ES"/>
        </w:rPr>
        <w:t xml:space="preserve"> y a los requisitos legales para el otorgamiento de las pensiones de gracia.</w:t>
      </w:r>
    </w:p>
    <w:p w14:paraId="5C456A4A" w14:textId="6C642771" w:rsidR="001D069F" w:rsidRPr="00281660" w:rsidRDefault="00687875" w:rsidP="002E721C">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Theme="majorHAnsi" w:hAnsiTheme="majorHAnsi"/>
          <w:sz w:val="20"/>
          <w:szCs w:val="20"/>
          <w:lang w:val="es-ES"/>
        </w:rPr>
      </w:pPr>
      <w:r w:rsidRPr="00281660">
        <w:rPr>
          <w:rFonts w:asciiTheme="majorHAnsi" w:hAnsiTheme="majorHAnsi"/>
          <w:sz w:val="20"/>
          <w:szCs w:val="20"/>
          <w:lang w:val="es-ES_tradnl"/>
        </w:rPr>
        <w:t>En consecuencia</w:t>
      </w:r>
      <w:r w:rsidR="002F5276" w:rsidRPr="00281660">
        <w:rPr>
          <w:rFonts w:asciiTheme="majorHAnsi" w:hAnsiTheme="majorHAnsi"/>
          <w:sz w:val="20"/>
          <w:szCs w:val="20"/>
          <w:lang w:val="es-ES_tradnl"/>
        </w:rPr>
        <w:t xml:space="preserve">, la Comisión concluye que estos alegatos resultan inadmisibles con fundamento en el artículo 47 (b) de la Convención Americana, toda vez que de los hechos expuestos no se desprenden, ni siquiera </w:t>
      </w:r>
      <w:r w:rsidR="002F5276" w:rsidRPr="00281660">
        <w:rPr>
          <w:rFonts w:asciiTheme="majorHAnsi" w:hAnsiTheme="majorHAnsi"/>
          <w:i/>
          <w:iCs/>
          <w:sz w:val="20"/>
          <w:szCs w:val="20"/>
          <w:lang w:val="es-ES_tradnl"/>
        </w:rPr>
        <w:t>prima facie</w:t>
      </w:r>
      <w:r w:rsidR="002F5276" w:rsidRPr="00281660">
        <w:rPr>
          <w:rFonts w:asciiTheme="majorHAnsi" w:hAnsiTheme="majorHAnsi"/>
          <w:sz w:val="20"/>
          <w:szCs w:val="20"/>
          <w:lang w:val="es-ES_tradnl"/>
        </w:rPr>
        <w:t>, posibles violaciones a la Convención</w:t>
      </w:r>
      <w:r w:rsidR="00A52972" w:rsidRPr="00281660">
        <w:rPr>
          <w:rFonts w:asciiTheme="majorHAnsi" w:hAnsiTheme="majorHAnsi"/>
          <w:sz w:val="20"/>
          <w:szCs w:val="20"/>
          <w:lang w:val="es-ES_tradnl"/>
        </w:rPr>
        <w:t xml:space="preserve"> Americana</w:t>
      </w:r>
      <w:r w:rsidR="002F5276" w:rsidRPr="00281660">
        <w:rPr>
          <w:rFonts w:asciiTheme="majorHAnsi" w:hAnsiTheme="majorHAnsi"/>
          <w:sz w:val="20"/>
          <w:szCs w:val="20"/>
          <w:lang w:val="es-ES_tradnl"/>
        </w:rPr>
        <w:t>.</w:t>
      </w:r>
    </w:p>
    <w:p w14:paraId="445BF42E" w14:textId="77777777" w:rsidR="003239B8" w:rsidRPr="00281660" w:rsidRDefault="003239B8" w:rsidP="003239B8">
      <w:pPr>
        <w:pStyle w:val="ListParagraph"/>
        <w:spacing w:before="240" w:after="240"/>
        <w:jc w:val="both"/>
        <w:rPr>
          <w:rFonts w:asciiTheme="majorHAnsi" w:hAnsiTheme="majorHAnsi"/>
          <w:b/>
          <w:bCs/>
          <w:sz w:val="20"/>
          <w:szCs w:val="20"/>
          <w:lang w:val="es-ES"/>
        </w:rPr>
      </w:pPr>
      <w:r w:rsidRPr="00281660">
        <w:rPr>
          <w:rFonts w:asciiTheme="majorHAnsi" w:hAnsiTheme="majorHAnsi"/>
          <w:b/>
          <w:bCs/>
          <w:sz w:val="20"/>
          <w:szCs w:val="20"/>
          <w:lang w:val="es-ES"/>
        </w:rPr>
        <w:t xml:space="preserve">VIII. </w:t>
      </w:r>
      <w:r w:rsidRPr="00281660">
        <w:rPr>
          <w:rFonts w:asciiTheme="majorHAnsi" w:hAnsiTheme="majorHAnsi"/>
          <w:b/>
          <w:bCs/>
          <w:sz w:val="20"/>
          <w:szCs w:val="20"/>
          <w:lang w:val="es-ES"/>
        </w:rPr>
        <w:tab/>
        <w:t>DECISIÓN</w:t>
      </w:r>
    </w:p>
    <w:p w14:paraId="16B36F97" w14:textId="74F2B074" w:rsidR="003239B8" w:rsidRPr="00281660" w:rsidRDefault="003239B8" w:rsidP="0030583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281660">
        <w:rPr>
          <w:rFonts w:asciiTheme="majorHAnsi" w:hAnsiTheme="majorHAnsi"/>
          <w:sz w:val="20"/>
          <w:szCs w:val="20"/>
          <w:lang w:val="es-ES"/>
        </w:rPr>
        <w:t xml:space="preserve">Declarar </w:t>
      </w:r>
      <w:r w:rsidR="00F7168E" w:rsidRPr="00281660">
        <w:rPr>
          <w:rFonts w:asciiTheme="majorHAnsi" w:hAnsiTheme="majorHAnsi"/>
          <w:sz w:val="20"/>
          <w:szCs w:val="20"/>
          <w:lang w:val="es-ES"/>
        </w:rPr>
        <w:t>in</w:t>
      </w:r>
      <w:r w:rsidRPr="00281660">
        <w:rPr>
          <w:rFonts w:asciiTheme="majorHAnsi" w:hAnsiTheme="majorHAnsi"/>
          <w:sz w:val="20"/>
          <w:szCs w:val="20"/>
          <w:lang w:val="es-ES"/>
        </w:rPr>
        <w:t>admisible la presente petición</w:t>
      </w:r>
      <w:r w:rsidR="00A758AA" w:rsidRPr="00281660">
        <w:rPr>
          <w:rFonts w:asciiTheme="majorHAnsi" w:hAnsiTheme="majorHAnsi"/>
          <w:sz w:val="20"/>
          <w:szCs w:val="20"/>
          <w:lang w:val="es-ES"/>
        </w:rPr>
        <w:t>;</w:t>
      </w:r>
      <w:r w:rsidR="007B76D3" w:rsidRPr="00281660">
        <w:rPr>
          <w:rFonts w:asciiTheme="majorHAnsi" w:hAnsiTheme="majorHAnsi"/>
          <w:sz w:val="20"/>
          <w:szCs w:val="20"/>
          <w:lang w:val="es-ES"/>
        </w:rPr>
        <w:t xml:space="preserve"> y</w:t>
      </w:r>
    </w:p>
    <w:p w14:paraId="00C1D3B7" w14:textId="520BDC6C" w:rsidR="008D768D" w:rsidRDefault="004A6A54" w:rsidP="0030583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281660">
        <w:rPr>
          <w:rFonts w:asciiTheme="majorHAnsi" w:hAnsiTheme="majorHAnsi"/>
          <w:sz w:val="20"/>
          <w:szCs w:val="20"/>
          <w:lang w:val="es-ES"/>
        </w:rPr>
        <w:t>Notificar a las partes la presente decisión; y publicar esta decisión e incluirla en su Informe Anual a la Asamblea General de l</w:t>
      </w:r>
      <w:r w:rsidRPr="00547797">
        <w:rPr>
          <w:rFonts w:asciiTheme="majorHAnsi" w:hAnsiTheme="majorHAnsi"/>
          <w:sz w:val="20"/>
          <w:szCs w:val="20"/>
          <w:lang w:val="es-ES"/>
        </w:rPr>
        <w:t>a Organización de los Estados Americanos.</w:t>
      </w:r>
    </w:p>
    <w:p w14:paraId="54CFB3AB" w14:textId="46C83032" w:rsidR="005D07D2" w:rsidRPr="00300FCF" w:rsidRDefault="005D07D2" w:rsidP="00300FCF">
      <w:pPr>
        <w:pStyle w:val="paragraph"/>
        <w:spacing w:before="0" w:beforeAutospacing="0" w:after="0" w:afterAutospacing="0"/>
        <w:ind w:firstLine="720"/>
        <w:jc w:val="both"/>
        <w:textAlignment w:val="baseline"/>
        <w:rPr>
          <w:rFonts w:ascii="Segoe UI" w:hAnsi="Segoe UI" w:cs="Segoe UI"/>
          <w:sz w:val="18"/>
          <w:szCs w:val="18"/>
          <w:lang w:val="es-ES"/>
        </w:rPr>
      </w:pPr>
      <w:r>
        <w:rPr>
          <w:rStyle w:val="normaltextrun"/>
          <w:rFonts w:ascii="Cambria" w:hAnsi="Cambria" w:cs="Segoe UI"/>
          <w:sz w:val="20"/>
          <w:szCs w:val="20"/>
          <w:lang w:val="es-CL"/>
        </w:rPr>
        <w:t>Aprobado por la Comisión Interamericana de Derechos Humanos a los 26 días del mes de junio de 2023.  (Firmado): Esmeralda Arosemena de Troitiño, Primer</w:t>
      </w:r>
      <w:r w:rsidR="00300FCF">
        <w:rPr>
          <w:rStyle w:val="normaltextrun"/>
          <w:rFonts w:ascii="Cambria" w:hAnsi="Cambria" w:cs="Segoe UI"/>
          <w:sz w:val="20"/>
          <w:szCs w:val="20"/>
          <w:lang w:val="es-CL"/>
        </w:rPr>
        <w:t>a</w:t>
      </w:r>
      <w:r>
        <w:rPr>
          <w:rStyle w:val="normaltextrun"/>
          <w:rFonts w:ascii="Cambria" w:hAnsi="Cambria" w:cs="Segoe UI"/>
          <w:sz w:val="20"/>
          <w:szCs w:val="20"/>
          <w:lang w:val="es-CL"/>
        </w:rPr>
        <w:t xml:space="preserve"> Vicepresident</w:t>
      </w:r>
      <w:r w:rsidR="00300FCF">
        <w:rPr>
          <w:rStyle w:val="normaltextrun"/>
          <w:rFonts w:ascii="Cambria" w:hAnsi="Cambria" w:cs="Segoe UI"/>
          <w:sz w:val="20"/>
          <w:szCs w:val="20"/>
          <w:lang w:val="es-CL"/>
        </w:rPr>
        <w:t>a</w:t>
      </w:r>
      <w:r>
        <w:rPr>
          <w:rStyle w:val="normaltextrun"/>
          <w:rFonts w:ascii="Cambria" w:hAnsi="Cambria" w:cs="Segoe UI"/>
          <w:sz w:val="20"/>
          <w:szCs w:val="20"/>
          <w:lang w:val="es-CL"/>
        </w:rPr>
        <w:t xml:space="preserve">; Joel Hernández García, Julissa Mantilla Falcón y Stuardo Ralón Orellana, </w:t>
      </w:r>
      <w:r w:rsidR="00300FCF">
        <w:rPr>
          <w:rStyle w:val="normaltextrun"/>
          <w:rFonts w:ascii="Cambria" w:hAnsi="Cambria" w:cs="Segoe UI"/>
          <w:sz w:val="20"/>
          <w:szCs w:val="20"/>
          <w:lang w:val="es-CL"/>
        </w:rPr>
        <w:t>m</w:t>
      </w:r>
      <w:r>
        <w:rPr>
          <w:rStyle w:val="normaltextrun"/>
          <w:rFonts w:ascii="Cambria" w:hAnsi="Cambria" w:cs="Segoe UI"/>
          <w:sz w:val="20"/>
          <w:szCs w:val="20"/>
          <w:lang w:val="es-CL"/>
        </w:rPr>
        <w:t xml:space="preserve">iembros de la Comisión. </w:t>
      </w:r>
      <w:r w:rsidRPr="00407104">
        <w:rPr>
          <w:rStyle w:val="eop"/>
          <w:rFonts w:ascii="Cambria" w:hAnsi="Cambria" w:cs="Segoe UI"/>
          <w:sz w:val="20"/>
          <w:szCs w:val="20"/>
          <w:lang w:val="es-ES"/>
        </w:rPr>
        <w:t> </w:t>
      </w:r>
    </w:p>
    <w:sectPr w:rsidR="005D07D2" w:rsidRPr="00300FCF"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93F484" w14:textId="77777777" w:rsidR="00314881" w:rsidRDefault="00314881">
      <w:r>
        <w:separator/>
      </w:r>
    </w:p>
  </w:endnote>
  <w:endnote w:type="continuationSeparator" w:id="0">
    <w:p w14:paraId="375D4F66" w14:textId="77777777" w:rsidR="00314881" w:rsidRDefault="003148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2081886"/>
      <w:docPartObj>
        <w:docPartGallery w:val="Page Numbers (Bottom of Page)"/>
        <w:docPartUnique/>
      </w:docPartObj>
    </w:sdtPr>
    <w:sdtEndPr>
      <w:rPr>
        <w:noProof/>
        <w:sz w:val="16"/>
        <w:szCs w:val="22"/>
      </w:rPr>
    </w:sdtEndPr>
    <w:sdtContent>
      <w:p w14:paraId="0460E969" w14:textId="77777777"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BD0FF5">
          <w:rPr>
            <w:noProof/>
            <w:sz w:val="16"/>
            <w:szCs w:val="22"/>
          </w:rPr>
          <w:t>2</w:t>
        </w:r>
        <w:r w:rsidRPr="00934A2C">
          <w:rPr>
            <w:noProof/>
            <w:sz w:val="16"/>
            <w:szCs w:val="22"/>
          </w:rPr>
          <w:fldChar w:fldCharType="end"/>
        </w:r>
      </w:p>
    </w:sdtContent>
  </w:sdt>
  <w:p w14:paraId="14E72376" w14:textId="77777777" w:rsidR="0070697F" w:rsidRDefault="007069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40711" w14:textId="77777777" w:rsidR="0070697F" w:rsidRPr="00934A2C" w:rsidRDefault="0070697F">
    <w:pPr>
      <w:pStyle w:val="Footer"/>
      <w:jc w:val="center"/>
      <w:rPr>
        <w:sz w:val="16"/>
        <w:szCs w:val="22"/>
      </w:rPr>
    </w:pPr>
  </w:p>
  <w:p w14:paraId="46DFE2DB" w14:textId="77777777" w:rsidR="0070697F" w:rsidRDefault="007069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08F5B8" w14:textId="77777777" w:rsidR="00314881" w:rsidRPr="000F35ED" w:rsidRDefault="00314881">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4C3A9F13" w14:textId="77777777" w:rsidR="00314881" w:rsidRPr="000F35ED" w:rsidRDefault="00314881" w:rsidP="000F35ED">
      <w:pPr>
        <w:rPr>
          <w:rFonts w:asciiTheme="majorHAnsi" w:hAnsiTheme="majorHAnsi"/>
          <w:sz w:val="16"/>
          <w:szCs w:val="16"/>
        </w:rPr>
      </w:pPr>
      <w:r w:rsidRPr="000F35ED">
        <w:rPr>
          <w:rFonts w:asciiTheme="majorHAnsi" w:hAnsiTheme="majorHAnsi"/>
          <w:sz w:val="16"/>
          <w:szCs w:val="16"/>
        </w:rPr>
        <w:separator/>
      </w:r>
    </w:p>
    <w:p w14:paraId="7FF569E6" w14:textId="77777777" w:rsidR="00314881" w:rsidRPr="000F35ED" w:rsidRDefault="00314881" w:rsidP="000F35ED">
      <w:pPr>
        <w:pStyle w:val="Footer"/>
        <w:rPr>
          <w:rFonts w:asciiTheme="majorHAnsi" w:hAnsiTheme="majorHAnsi"/>
          <w:sz w:val="16"/>
          <w:szCs w:val="16"/>
        </w:rPr>
      </w:pPr>
      <w:r>
        <w:rPr>
          <w:rFonts w:asciiTheme="majorHAnsi" w:hAnsiTheme="majorHAnsi"/>
          <w:sz w:val="16"/>
          <w:szCs w:val="16"/>
        </w:rPr>
        <w:t>[… c</w:t>
      </w:r>
      <w:r w:rsidRPr="000F35ED">
        <w:rPr>
          <w:rFonts w:asciiTheme="majorHAnsi" w:hAnsiTheme="majorHAnsi"/>
          <w:sz w:val="16"/>
          <w:szCs w:val="16"/>
        </w:rPr>
        <w:t>ontinuación</w:t>
      </w:r>
      <w:r>
        <w:rPr>
          <w:rFonts w:asciiTheme="majorHAnsi" w:hAnsiTheme="majorHAnsi"/>
          <w:sz w:val="16"/>
          <w:szCs w:val="16"/>
        </w:rPr>
        <w:t>]</w:t>
      </w:r>
    </w:p>
  </w:footnote>
  <w:footnote w:type="continuationNotice" w:id="1">
    <w:p w14:paraId="04C7EA55" w14:textId="77777777" w:rsidR="00314881" w:rsidRPr="000F35ED" w:rsidRDefault="00314881"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66E930B8" w14:textId="387A7659" w:rsidR="004A6A54" w:rsidRPr="00306F33" w:rsidRDefault="004A6A54" w:rsidP="00D05BE6">
      <w:pPr>
        <w:pStyle w:val="FootnoteText"/>
        <w:ind w:firstLine="720"/>
        <w:jc w:val="both"/>
        <w:rPr>
          <w:rFonts w:asciiTheme="majorHAnsi" w:hAnsiTheme="majorHAnsi"/>
          <w:sz w:val="16"/>
          <w:szCs w:val="16"/>
          <w:lang w:val="es-ES"/>
        </w:rPr>
      </w:pPr>
      <w:r w:rsidRPr="00306F33">
        <w:rPr>
          <w:rStyle w:val="FootnoteReference"/>
          <w:rFonts w:asciiTheme="majorHAnsi" w:hAnsiTheme="majorHAnsi"/>
          <w:sz w:val="16"/>
          <w:szCs w:val="16"/>
        </w:rPr>
        <w:footnoteRef/>
      </w:r>
      <w:r w:rsidRPr="00306F33">
        <w:rPr>
          <w:rFonts w:asciiTheme="majorHAnsi" w:hAnsiTheme="majorHAnsi"/>
          <w:sz w:val="16"/>
          <w:szCs w:val="16"/>
          <w:lang w:val="es-ES"/>
        </w:rPr>
        <w:t xml:space="preserve"> Conforme a lo dispuesto en el artículo 17.2.a del Reglamento de la Comisión, el Comisionado </w:t>
      </w:r>
      <w:r w:rsidR="00D05BE6">
        <w:rPr>
          <w:rFonts w:asciiTheme="majorHAnsi" w:hAnsiTheme="majorHAnsi"/>
          <w:sz w:val="16"/>
          <w:szCs w:val="16"/>
          <w:lang w:val="es-ES"/>
        </w:rPr>
        <w:t>Carlos Bernal Pulido</w:t>
      </w:r>
      <w:r w:rsidRPr="00306F33">
        <w:rPr>
          <w:rFonts w:asciiTheme="majorHAnsi" w:hAnsiTheme="majorHAnsi"/>
          <w:sz w:val="16"/>
          <w:szCs w:val="16"/>
          <w:lang w:val="es-ES"/>
        </w:rPr>
        <w:t xml:space="preserve">, de nacionalidad </w:t>
      </w:r>
      <w:r w:rsidR="00D05BE6">
        <w:rPr>
          <w:rFonts w:asciiTheme="majorHAnsi" w:hAnsiTheme="majorHAnsi"/>
          <w:sz w:val="16"/>
          <w:szCs w:val="16"/>
          <w:lang w:val="es-ES"/>
        </w:rPr>
        <w:t>colombiana</w:t>
      </w:r>
      <w:r w:rsidRPr="00306F33">
        <w:rPr>
          <w:rFonts w:asciiTheme="majorHAnsi" w:hAnsiTheme="majorHAnsi"/>
          <w:sz w:val="16"/>
          <w:szCs w:val="16"/>
          <w:lang w:val="es-ES"/>
        </w:rPr>
        <w:t>, no participó en el debate ni en la decisión del presente asunto.</w:t>
      </w:r>
    </w:p>
  </w:footnote>
  <w:footnote w:id="3">
    <w:p w14:paraId="246F51C3" w14:textId="5B548AFB" w:rsidR="007E4D75" w:rsidRPr="007E4D75" w:rsidRDefault="007E4D75" w:rsidP="007E4D75">
      <w:pPr>
        <w:pStyle w:val="FootnoteText"/>
        <w:ind w:firstLine="720"/>
        <w:jc w:val="both"/>
        <w:rPr>
          <w:rFonts w:asciiTheme="majorHAnsi" w:hAnsiTheme="majorHAnsi"/>
          <w:sz w:val="16"/>
          <w:szCs w:val="16"/>
          <w:lang w:val="es-CO"/>
        </w:rPr>
      </w:pPr>
      <w:r w:rsidRPr="007E4D75">
        <w:rPr>
          <w:rStyle w:val="FootnoteReference"/>
          <w:rFonts w:asciiTheme="majorHAnsi" w:hAnsiTheme="majorHAnsi"/>
          <w:sz w:val="16"/>
          <w:szCs w:val="16"/>
        </w:rPr>
        <w:footnoteRef/>
      </w:r>
      <w:r w:rsidRPr="007E4D75">
        <w:rPr>
          <w:rFonts w:asciiTheme="majorHAnsi" w:hAnsiTheme="majorHAnsi"/>
          <w:sz w:val="16"/>
          <w:szCs w:val="16"/>
          <w:lang w:val="es-CO"/>
        </w:rPr>
        <w:t xml:space="preserve"> </w:t>
      </w:r>
      <w:r>
        <w:rPr>
          <w:rFonts w:asciiTheme="majorHAnsi" w:hAnsiTheme="majorHAnsi"/>
          <w:sz w:val="16"/>
          <w:szCs w:val="16"/>
          <w:lang w:val="es-CO"/>
        </w:rPr>
        <w:t>En adelante “la Convención Americana” o “la Convención”.</w:t>
      </w:r>
    </w:p>
  </w:footnote>
  <w:footnote w:id="4">
    <w:p w14:paraId="6075F332" w14:textId="16F94D1A" w:rsidR="00FE057E" w:rsidRPr="00306F33" w:rsidRDefault="008E3BFE" w:rsidP="00FE057E">
      <w:pPr>
        <w:pStyle w:val="FootnoteText"/>
        <w:ind w:firstLine="720"/>
        <w:jc w:val="both"/>
        <w:rPr>
          <w:rFonts w:asciiTheme="majorHAnsi" w:hAnsiTheme="majorHAnsi"/>
          <w:sz w:val="16"/>
          <w:szCs w:val="16"/>
          <w:lang w:val="es-ES"/>
        </w:rPr>
      </w:pPr>
      <w:r w:rsidRPr="00FE057E">
        <w:rPr>
          <w:rStyle w:val="FootnoteReference"/>
          <w:rFonts w:asciiTheme="majorHAnsi" w:hAnsiTheme="majorHAnsi"/>
          <w:sz w:val="16"/>
          <w:szCs w:val="16"/>
        </w:rPr>
        <w:footnoteRef/>
      </w:r>
      <w:r w:rsidRPr="00FE057E">
        <w:rPr>
          <w:rFonts w:asciiTheme="majorHAnsi" w:hAnsiTheme="majorHAnsi"/>
          <w:sz w:val="16"/>
          <w:szCs w:val="16"/>
          <w:lang w:val="es-ES"/>
        </w:rPr>
        <w:t xml:space="preserve"> Las observaciones de cada parte fueron debidamente trasladadas a la parte contraria.</w:t>
      </w:r>
    </w:p>
  </w:footnote>
  <w:footnote w:id="5">
    <w:p w14:paraId="4145D2EE" w14:textId="77777777" w:rsidR="004B3C4E" w:rsidRPr="00D40137" w:rsidRDefault="004B3C4E" w:rsidP="004B3C4E">
      <w:pPr>
        <w:pStyle w:val="FootnoteText"/>
        <w:ind w:firstLine="720"/>
        <w:jc w:val="both"/>
        <w:rPr>
          <w:rFonts w:asciiTheme="majorHAnsi" w:hAnsiTheme="majorHAnsi"/>
          <w:sz w:val="16"/>
          <w:szCs w:val="16"/>
          <w:lang w:val="es-ES"/>
        </w:rPr>
      </w:pPr>
      <w:r w:rsidRPr="00D40137">
        <w:rPr>
          <w:rStyle w:val="FootnoteReference"/>
          <w:rFonts w:asciiTheme="majorHAnsi" w:hAnsiTheme="majorHAnsi"/>
          <w:sz w:val="16"/>
          <w:szCs w:val="16"/>
        </w:rPr>
        <w:footnoteRef/>
      </w:r>
      <w:r w:rsidRPr="00D40137">
        <w:rPr>
          <w:rFonts w:asciiTheme="majorHAnsi" w:hAnsiTheme="majorHAnsi"/>
          <w:sz w:val="16"/>
          <w:szCs w:val="16"/>
          <w:lang w:val="es-ES"/>
        </w:rPr>
        <w:t xml:space="preserve"> Es recomendable que en el trámite ante la CIDH los peticionarios presenten información concisa respecto de sus alegatos, información que además esté organizada de manera coherente y cronológica.</w:t>
      </w:r>
    </w:p>
  </w:footnote>
  <w:footnote w:id="6">
    <w:p w14:paraId="334609DB" w14:textId="77777777" w:rsidR="00B65530" w:rsidRPr="00577508" w:rsidRDefault="00B65530" w:rsidP="00B65530">
      <w:pPr>
        <w:pStyle w:val="FootnoteText"/>
        <w:ind w:firstLine="720"/>
        <w:jc w:val="both"/>
        <w:rPr>
          <w:rFonts w:asciiTheme="majorHAnsi" w:hAnsiTheme="majorHAnsi"/>
          <w:sz w:val="16"/>
          <w:szCs w:val="16"/>
          <w:lang w:val="es-CO"/>
        </w:rPr>
      </w:pPr>
      <w:r w:rsidRPr="00577508">
        <w:rPr>
          <w:rStyle w:val="FootnoteReference"/>
          <w:rFonts w:asciiTheme="majorHAnsi" w:hAnsiTheme="majorHAnsi"/>
          <w:sz w:val="16"/>
          <w:szCs w:val="16"/>
        </w:rPr>
        <w:footnoteRef/>
      </w:r>
      <w:r w:rsidRPr="00930D2B">
        <w:rPr>
          <w:rFonts w:asciiTheme="majorHAnsi" w:hAnsiTheme="majorHAnsi"/>
          <w:sz w:val="16"/>
          <w:szCs w:val="16"/>
          <w:lang w:val="es-CO"/>
        </w:rPr>
        <w:t xml:space="preserve"> CIDH, Informe No. 228/21. Petición 1529-14. Admisibilidad. Gilberto Ávila Bottia. Colombia. </w:t>
      </w:r>
      <w:r w:rsidRPr="00B65530">
        <w:rPr>
          <w:rFonts w:asciiTheme="majorHAnsi" w:hAnsiTheme="majorHAnsi"/>
          <w:sz w:val="16"/>
          <w:szCs w:val="16"/>
          <w:lang w:val="es-CO"/>
        </w:rPr>
        <w:t xml:space="preserve">7 de septiembre de 2021, párr. </w:t>
      </w:r>
      <w:r w:rsidRPr="002D5EBC">
        <w:rPr>
          <w:rFonts w:asciiTheme="majorHAnsi" w:hAnsiTheme="majorHAnsi"/>
          <w:sz w:val="16"/>
          <w:szCs w:val="16"/>
          <w:lang w:val="es-ES"/>
        </w:rPr>
        <w:t>12.</w:t>
      </w:r>
    </w:p>
  </w:footnote>
  <w:footnote w:id="7">
    <w:p w14:paraId="46EBD0B5" w14:textId="77777777" w:rsidR="00B65530" w:rsidRPr="00E8521D" w:rsidRDefault="00B65530" w:rsidP="00E8521D">
      <w:pPr>
        <w:pStyle w:val="FootnoteText"/>
        <w:ind w:firstLine="720"/>
        <w:jc w:val="both"/>
        <w:rPr>
          <w:rFonts w:asciiTheme="majorHAnsi" w:hAnsiTheme="majorHAnsi"/>
          <w:lang w:val="es-CO"/>
        </w:rPr>
      </w:pPr>
      <w:r w:rsidRPr="00E8521D">
        <w:rPr>
          <w:rStyle w:val="FootnoteReference"/>
          <w:rFonts w:asciiTheme="majorHAnsi" w:hAnsiTheme="majorHAnsi"/>
          <w:sz w:val="16"/>
          <w:szCs w:val="16"/>
        </w:rPr>
        <w:footnoteRef/>
      </w:r>
      <w:r w:rsidRPr="00E8521D">
        <w:rPr>
          <w:rFonts w:asciiTheme="majorHAnsi" w:hAnsiTheme="majorHAnsi"/>
          <w:sz w:val="16"/>
          <w:szCs w:val="16"/>
          <w:lang w:val="es-CO"/>
        </w:rPr>
        <w:t xml:space="preserve"> </w:t>
      </w:r>
      <w:r w:rsidRPr="00E8521D">
        <w:rPr>
          <w:rFonts w:asciiTheme="majorHAnsi" w:hAnsiTheme="majorHAnsi"/>
          <w:sz w:val="16"/>
          <w:szCs w:val="16"/>
          <w:lang w:val="es-US"/>
        </w:rPr>
        <w:t> </w:t>
      </w:r>
      <w:r w:rsidRPr="00E8521D">
        <w:rPr>
          <w:rFonts w:asciiTheme="majorHAnsi" w:hAnsiTheme="majorHAnsi"/>
          <w:sz w:val="16"/>
          <w:szCs w:val="16"/>
          <w:lang w:val="es-CO"/>
        </w:rPr>
        <w:t>CIDH, Informe No. 228/21. Petición 1529-14. Admisibilidad. Gilberto Ávila Bottia. Colombia. 7 de septiembre de 2021, párr. 14;</w:t>
      </w:r>
      <w:r w:rsidRPr="00E8521D">
        <w:rPr>
          <w:rFonts w:asciiTheme="majorHAnsi" w:hAnsiTheme="majorHAnsi"/>
          <w:sz w:val="16"/>
          <w:szCs w:val="16"/>
          <w:lang w:val="es-US"/>
        </w:rPr>
        <w:t xml:space="preserve"> CIDH, Informe No. 92/14, Petición P-1196-03. Admisibilidad. Daniel Omar Camusso e hijo. Argentina. 4 de noviembre de 2014, párrs. 68 y ss; CIDH, Informe de Admisibilidad No. 104/13, Peticion 643-00. Admisibilidad. Hebe Sánchez de Améndola e hijas. Argentina. 5 de noviembre de 2013, párrs. 24 y ss; y CIDH, Informe No. 85/12, Petición 381-03. Admisibilidad. S. y otras, Ecuador. 8 de noviembre de 2012, párrs. 23 y ss.</w:t>
      </w:r>
    </w:p>
  </w:footnote>
  <w:footnote w:id="8">
    <w:p w14:paraId="7857C765" w14:textId="77777777" w:rsidR="00EB35FA" w:rsidRPr="003D1599" w:rsidRDefault="00EB35FA" w:rsidP="003D1599">
      <w:pPr>
        <w:pStyle w:val="FootnoteText"/>
        <w:ind w:firstLine="720"/>
        <w:jc w:val="both"/>
        <w:rPr>
          <w:rFonts w:asciiTheme="majorHAnsi" w:hAnsiTheme="majorHAnsi"/>
          <w:sz w:val="16"/>
          <w:szCs w:val="16"/>
          <w:lang w:val="es-US"/>
        </w:rPr>
      </w:pPr>
      <w:r w:rsidRPr="003D1599">
        <w:rPr>
          <w:rStyle w:val="FootnoteReference"/>
          <w:rFonts w:asciiTheme="majorHAnsi" w:hAnsiTheme="majorHAnsi"/>
          <w:sz w:val="16"/>
          <w:szCs w:val="16"/>
        </w:rPr>
        <w:footnoteRef/>
      </w:r>
      <w:r w:rsidRPr="003D1599">
        <w:rPr>
          <w:rFonts w:asciiTheme="majorHAnsi" w:hAnsiTheme="majorHAnsi"/>
          <w:sz w:val="16"/>
          <w:szCs w:val="16"/>
          <w:lang w:val="es-US"/>
        </w:rPr>
        <w:t xml:space="preserve"> CIDH, Informe No. 70/08, Petición 12.242, Admisibilidad, Clínica Pediátrica de la Región de los Lago, Brasil, 16 de octubre de 2008, párr. 47.</w:t>
      </w:r>
    </w:p>
  </w:footnote>
  <w:footnote w:id="9">
    <w:p w14:paraId="62CB78C6" w14:textId="77777777" w:rsidR="003D1599" w:rsidRPr="00E03817" w:rsidRDefault="003D1599" w:rsidP="003D1599">
      <w:pPr>
        <w:pStyle w:val="FootnoteText"/>
        <w:ind w:firstLine="720"/>
        <w:jc w:val="both"/>
        <w:rPr>
          <w:lang w:val="es-US"/>
        </w:rPr>
      </w:pPr>
      <w:r w:rsidRPr="003D1599">
        <w:rPr>
          <w:rStyle w:val="FootnoteReference"/>
          <w:rFonts w:asciiTheme="majorHAnsi" w:hAnsiTheme="majorHAnsi"/>
          <w:sz w:val="16"/>
          <w:szCs w:val="16"/>
        </w:rPr>
        <w:footnoteRef/>
      </w:r>
      <w:r w:rsidRPr="003D1599">
        <w:rPr>
          <w:rFonts w:asciiTheme="majorHAnsi" w:hAnsiTheme="majorHAnsi"/>
          <w:sz w:val="16"/>
          <w:szCs w:val="16"/>
          <w:lang w:val="es-US"/>
        </w:rPr>
        <w:t xml:space="preserve"> Corte IDH. Caso Ríos Avalos y otro Vs. Paraguay. Fondo, Reparaciones y Costas. Sentencia de 19 de agosto de 2021. Serie C No. 429, párr. 88; y, </w:t>
      </w:r>
      <w:r w:rsidRPr="003D1599">
        <w:rPr>
          <w:rFonts w:asciiTheme="majorHAnsi" w:hAnsiTheme="majorHAnsi"/>
          <w:i/>
          <w:iCs/>
          <w:sz w:val="16"/>
          <w:szCs w:val="16"/>
          <w:lang w:val="es-US"/>
        </w:rPr>
        <w:t>mutatis mutandis</w:t>
      </w:r>
      <w:r w:rsidRPr="003D1599">
        <w:rPr>
          <w:rFonts w:asciiTheme="majorHAnsi" w:hAnsiTheme="majorHAnsi"/>
          <w:sz w:val="16"/>
          <w:szCs w:val="16"/>
          <w:lang w:val="es-US"/>
        </w:rPr>
        <w:t xml:space="preserve">, sobre las mismas garantías aplicables a los y las fiscales, ver </w:t>
      </w:r>
      <w:r w:rsidRPr="003D1599">
        <w:rPr>
          <w:rFonts w:asciiTheme="majorHAnsi" w:hAnsiTheme="majorHAnsi"/>
          <w:sz w:val="16"/>
          <w:szCs w:val="16"/>
          <w:lang w:val="es-CO"/>
        </w:rPr>
        <w:t>Corte IDH. Caso Nissen Pessolani Vs. Paraguay. Fondo, Reparaciones y Costas. Sentencia de 21 de noviembre de 2022. Serie C No. 477, párr. 59.</w:t>
      </w:r>
      <w:r w:rsidRPr="00E03817">
        <w:rPr>
          <w:lang w:val="es-US"/>
        </w:rPr>
        <w:t xml:space="preserve"> </w:t>
      </w:r>
    </w:p>
  </w:footnote>
  <w:footnote w:id="10">
    <w:p w14:paraId="555FE2C6" w14:textId="7FCDC679" w:rsidR="008418A6" w:rsidRPr="008418A6" w:rsidRDefault="008418A6" w:rsidP="008418A6">
      <w:pPr>
        <w:pStyle w:val="FootnoteText"/>
        <w:ind w:firstLine="720"/>
        <w:jc w:val="both"/>
        <w:rPr>
          <w:rFonts w:asciiTheme="majorHAnsi" w:hAnsiTheme="majorHAnsi"/>
          <w:sz w:val="16"/>
          <w:szCs w:val="16"/>
          <w:lang w:val="es-CO"/>
        </w:rPr>
      </w:pPr>
      <w:r w:rsidRPr="008418A6">
        <w:rPr>
          <w:rStyle w:val="FootnoteReference"/>
          <w:rFonts w:asciiTheme="majorHAnsi" w:hAnsiTheme="majorHAnsi"/>
          <w:sz w:val="16"/>
          <w:szCs w:val="16"/>
        </w:rPr>
        <w:footnoteRef/>
      </w:r>
      <w:r w:rsidRPr="00300FCF">
        <w:rPr>
          <w:rFonts w:asciiTheme="majorHAnsi" w:hAnsiTheme="majorHAnsi"/>
          <w:sz w:val="16"/>
          <w:szCs w:val="16"/>
          <w:lang w:val="es-CO"/>
        </w:rPr>
        <w:t xml:space="preserve"> </w:t>
      </w:r>
      <w:r w:rsidR="00DA193B" w:rsidRPr="00300FCF">
        <w:rPr>
          <w:rFonts w:asciiTheme="majorHAnsi" w:hAnsiTheme="majorHAnsi"/>
          <w:sz w:val="16"/>
          <w:szCs w:val="16"/>
          <w:lang w:val="es-CO"/>
        </w:rPr>
        <w:t xml:space="preserve">Corte IDH. </w:t>
      </w:r>
      <w:r w:rsidR="00DA193B" w:rsidRPr="00300FCF">
        <w:rPr>
          <w:rFonts w:asciiTheme="majorHAnsi" w:hAnsiTheme="majorHAnsi"/>
          <w:sz w:val="16"/>
          <w:szCs w:val="16"/>
          <w:lang w:val="es-AR"/>
        </w:rPr>
        <w:t xml:space="preserve">Caso Cordero Bernal Vs. </w:t>
      </w:r>
      <w:r w:rsidR="00DA193B" w:rsidRPr="00DA193B">
        <w:rPr>
          <w:rFonts w:asciiTheme="majorHAnsi" w:hAnsiTheme="majorHAnsi"/>
          <w:sz w:val="16"/>
          <w:szCs w:val="16"/>
          <w:lang w:val="es-CO"/>
        </w:rPr>
        <w:t xml:space="preserve">Perú. Excepción Preliminar y Fondo. </w:t>
      </w:r>
      <w:r w:rsidR="00DA193B" w:rsidRPr="0094779D">
        <w:rPr>
          <w:rFonts w:asciiTheme="majorHAnsi" w:hAnsiTheme="majorHAnsi"/>
          <w:sz w:val="16"/>
          <w:szCs w:val="16"/>
          <w:lang w:val="es-ES"/>
        </w:rPr>
        <w:t xml:space="preserve">Sentencia de 16 de febrero de 2021. Serie C No. 421, </w:t>
      </w:r>
      <w:r w:rsidR="00E8120C" w:rsidRPr="0094779D">
        <w:rPr>
          <w:rFonts w:asciiTheme="majorHAnsi" w:hAnsiTheme="majorHAnsi"/>
          <w:sz w:val="16"/>
          <w:szCs w:val="16"/>
          <w:lang w:val="es-ES"/>
        </w:rPr>
        <w:t>párr</w:t>
      </w:r>
      <w:r w:rsidR="00DA193B" w:rsidRPr="0094779D">
        <w:rPr>
          <w:rFonts w:asciiTheme="majorHAnsi" w:hAnsiTheme="majorHAnsi"/>
          <w:sz w:val="16"/>
          <w:szCs w:val="16"/>
          <w:lang w:val="es-ES"/>
        </w:rPr>
        <w:t>. 75.</w:t>
      </w:r>
    </w:p>
  </w:footnote>
  <w:footnote w:id="11">
    <w:p w14:paraId="361921AA" w14:textId="6C393AD9" w:rsidR="00DA193B" w:rsidRPr="00DA193B" w:rsidRDefault="00DA193B" w:rsidP="00DA193B">
      <w:pPr>
        <w:pStyle w:val="FootnoteText"/>
        <w:ind w:firstLine="720"/>
        <w:jc w:val="both"/>
        <w:rPr>
          <w:rFonts w:asciiTheme="majorHAnsi" w:hAnsiTheme="majorHAnsi"/>
          <w:sz w:val="16"/>
          <w:szCs w:val="16"/>
          <w:lang w:val="es-CO"/>
        </w:rPr>
      </w:pPr>
      <w:r w:rsidRPr="00DA193B">
        <w:rPr>
          <w:rStyle w:val="FootnoteReference"/>
          <w:rFonts w:asciiTheme="majorHAnsi" w:hAnsiTheme="majorHAnsi"/>
          <w:sz w:val="16"/>
          <w:szCs w:val="16"/>
        </w:rPr>
        <w:footnoteRef/>
      </w:r>
      <w:r w:rsidRPr="00300FCF">
        <w:rPr>
          <w:rFonts w:asciiTheme="majorHAnsi" w:hAnsiTheme="majorHAnsi"/>
          <w:sz w:val="16"/>
          <w:szCs w:val="16"/>
          <w:lang w:val="es-AR"/>
        </w:rPr>
        <w:t xml:space="preserve"> </w:t>
      </w:r>
      <w:r w:rsidR="00522775" w:rsidRPr="00300FCF">
        <w:rPr>
          <w:rFonts w:asciiTheme="majorHAnsi" w:hAnsiTheme="majorHAnsi"/>
          <w:sz w:val="16"/>
          <w:szCs w:val="16"/>
          <w:lang w:val="es-AR"/>
        </w:rPr>
        <w:t xml:space="preserve">Corte IDH. Caso Casa Nina Vs. </w:t>
      </w:r>
      <w:r w:rsidR="00522775" w:rsidRPr="00522775">
        <w:rPr>
          <w:rFonts w:asciiTheme="majorHAnsi" w:hAnsiTheme="majorHAnsi"/>
          <w:sz w:val="16"/>
          <w:szCs w:val="16"/>
          <w:lang w:val="es-CO"/>
        </w:rPr>
        <w:t xml:space="preserve">Perú. Excepciones Preliminares, Fondo, Reparaciones y Costas. </w:t>
      </w:r>
      <w:r w:rsidR="00522775" w:rsidRPr="0094779D">
        <w:rPr>
          <w:rFonts w:asciiTheme="majorHAnsi" w:hAnsiTheme="majorHAnsi"/>
          <w:sz w:val="16"/>
          <w:szCs w:val="16"/>
          <w:lang w:val="es-ES"/>
        </w:rPr>
        <w:t>Sentencia de 24 de noviembre de 2020. Serie C No. 419, párr. 83.</w:t>
      </w:r>
    </w:p>
  </w:footnote>
  <w:footnote w:id="12">
    <w:p w14:paraId="2675D381" w14:textId="7D6F19C9" w:rsidR="00E8120C" w:rsidRPr="00E8120C" w:rsidRDefault="00E8120C" w:rsidP="00E8120C">
      <w:pPr>
        <w:pStyle w:val="FootnoteText"/>
        <w:ind w:firstLine="720"/>
        <w:jc w:val="both"/>
        <w:rPr>
          <w:lang w:val="es-CO"/>
        </w:rPr>
      </w:pPr>
      <w:r w:rsidRPr="00E8120C">
        <w:rPr>
          <w:rStyle w:val="FootnoteReference"/>
          <w:rFonts w:asciiTheme="majorHAnsi" w:hAnsiTheme="majorHAnsi"/>
          <w:sz w:val="16"/>
          <w:szCs w:val="16"/>
        </w:rPr>
        <w:footnoteRef/>
      </w:r>
      <w:r w:rsidRPr="00300FCF">
        <w:rPr>
          <w:lang w:val="es-AR"/>
        </w:rPr>
        <w:t xml:space="preserve"> </w:t>
      </w:r>
      <w:r w:rsidRPr="00300FCF">
        <w:rPr>
          <w:rFonts w:asciiTheme="majorHAnsi" w:hAnsiTheme="majorHAnsi"/>
          <w:sz w:val="16"/>
          <w:szCs w:val="16"/>
          <w:lang w:val="es-AR"/>
        </w:rPr>
        <w:t xml:space="preserve">Corte IDH. Caso Cordero Bernal Vs. </w:t>
      </w:r>
      <w:r w:rsidRPr="00DA193B">
        <w:rPr>
          <w:rFonts w:asciiTheme="majorHAnsi" w:hAnsiTheme="majorHAnsi"/>
          <w:sz w:val="16"/>
          <w:szCs w:val="16"/>
          <w:lang w:val="es-CO"/>
        </w:rPr>
        <w:t xml:space="preserve">Perú. Excepción Preliminar y Fondo. </w:t>
      </w:r>
      <w:r w:rsidRPr="00DA193B">
        <w:rPr>
          <w:rFonts w:asciiTheme="majorHAnsi" w:hAnsiTheme="majorHAnsi"/>
          <w:sz w:val="16"/>
          <w:szCs w:val="16"/>
        </w:rPr>
        <w:t>Sentencia de 16 de febrero de 2021. Serie C No. 421</w:t>
      </w:r>
      <w:r>
        <w:rPr>
          <w:rFonts w:asciiTheme="majorHAnsi" w:hAnsiTheme="majorHAnsi"/>
          <w:sz w:val="16"/>
          <w:szCs w:val="16"/>
        </w:rPr>
        <w:t>, párr. 78.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D4D8B"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13D4C370" w14:textId="77777777" w:rsidR="00040C3A" w:rsidRDefault="00040C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58A65" w14:textId="77777777" w:rsidR="00A50FCF" w:rsidRDefault="00A50FCF" w:rsidP="00A50FCF">
    <w:pPr>
      <w:pStyle w:val="Header"/>
      <w:tabs>
        <w:tab w:val="clear" w:pos="4320"/>
        <w:tab w:val="clear" w:pos="8640"/>
      </w:tabs>
      <w:jc w:val="center"/>
      <w:rPr>
        <w:sz w:val="22"/>
        <w:szCs w:val="22"/>
      </w:rPr>
    </w:pPr>
    <w:r>
      <w:rPr>
        <w:noProof/>
        <w:sz w:val="22"/>
        <w:szCs w:val="22"/>
      </w:rPr>
      <w:drawing>
        <wp:inline distT="0" distB="0" distL="0" distR="0" wp14:anchorId="523DD6CA" wp14:editId="2965DC79">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24BB2C52" w14:textId="77777777" w:rsidR="00040C3A" w:rsidRPr="00EC7D62" w:rsidRDefault="00441D21" w:rsidP="00A50FCF">
    <w:pPr>
      <w:pStyle w:val="Header"/>
      <w:tabs>
        <w:tab w:val="clear" w:pos="4320"/>
        <w:tab w:val="clear" w:pos="8640"/>
      </w:tabs>
      <w:jc w:val="center"/>
      <w:rPr>
        <w:sz w:val="22"/>
        <w:szCs w:val="22"/>
      </w:rPr>
    </w:pPr>
    <w:r>
      <w:rPr>
        <w:sz w:val="22"/>
        <w:szCs w:val="22"/>
      </w:rPr>
      <w:pict w14:anchorId="43C7E6AC">
        <v:rect id="_x0000_i1025"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60E71D1"/>
    <w:multiLevelType w:val="hybridMultilevel"/>
    <w:tmpl w:val="58E857C4"/>
    <w:lvl w:ilvl="0" w:tplc="1902E916">
      <w:start w:val="1"/>
      <w:numFmt w:val="decimal"/>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0F294A2F"/>
    <w:multiLevelType w:val="hybridMultilevel"/>
    <w:tmpl w:val="7046A72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2"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5" w15:restartNumberingAfterBreak="0">
    <w:nsid w:val="2458008E"/>
    <w:multiLevelType w:val="hybridMultilevel"/>
    <w:tmpl w:val="4EDCD8CC"/>
    <w:lvl w:ilvl="0" w:tplc="AC8ACBB0">
      <w:start w:val="1"/>
      <w:numFmt w:val="decimal"/>
      <w:lvlText w:val="%1."/>
      <w:lvlJc w:val="left"/>
      <w:pPr>
        <w:ind w:left="1440" w:hanging="720"/>
      </w:pPr>
      <w:rPr>
        <w:rFonts w:hint="default"/>
        <w:sz w:val="20"/>
        <w:szCs w:val="20"/>
        <w:lang w:val="es-E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A9E242E"/>
    <w:multiLevelType w:val="hybridMultilevel"/>
    <w:tmpl w:val="E90E64FA"/>
    <w:lvl w:ilvl="0" w:tplc="35BA6862">
      <w:start w:val="1"/>
      <w:numFmt w:val="decimal"/>
      <w:lvlText w:val="%1."/>
      <w:lvlJc w:val="left"/>
      <w:pPr>
        <w:ind w:left="1440" w:hanging="720"/>
      </w:pPr>
      <w:rPr>
        <w:rFonts w:hint="default"/>
        <w:b w:val="0"/>
        <w:bCs/>
        <w:i w:val="0"/>
        <w:iCs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7573314"/>
    <w:multiLevelType w:val="hybridMultilevel"/>
    <w:tmpl w:val="77022A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3986140F"/>
    <w:multiLevelType w:val="hybridMultilevel"/>
    <w:tmpl w:val="7E96C1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1"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2"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A804E46"/>
    <w:multiLevelType w:val="hybridMultilevel"/>
    <w:tmpl w:val="1E1690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1"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2"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8"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9" w15:restartNumberingAfterBreak="0">
    <w:nsid w:val="5D7D4B9D"/>
    <w:multiLevelType w:val="hybridMultilevel"/>
    <w:tmpl w:val="34C48E80"/>
    <w:lvl w:ilvl="0" w:tplc="409E4324">
      <w:start w:val="1"/>
      <w:numFmt w:val="decimal"/>
      <w:pStyle w:val="parrafos"/>
      <w:lvlText w:val="%1."/>
      <w:lvlJc w:val="left"/>
      <w:pPr>
        <w:ind w:left="360" w:hanging="360"/>
      </w:pPr>
      <w:rPr>
        <w:rFonts w:ascii="Cambria" w:hAnsi="Cambria" w:hint="default"/>
        <w:b w:val="0"/>
        <w:sz w:val="20"/>
        <w:szCs w:val="20"/>
        <w:lang w:val="es-V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0"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1"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2"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3"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8"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16cid:durableId="41903036">
    <w:abstractNumId w:val="4"/>
  </w:num>
  <w:num w:numId="2" w16cid:durableId="2119787510">
    <w:abstractNumId w:val="6"/>
  </w:num>
  <w:num w:numId="3" w16cid:durableId="1836843260">
    <w:abstractNumId w:val="57"/>
  </w:num>
  <w:num w:numId="4" w16cid:durableId="2018339747">
    <w:abstractNumId w:val="23"/>
  </w:num>
  <w:num w:numId="5" w16cid:durableId="368341374">
    <w:abstractNumId w:val="51"/>
  </w:num>
  <w:num w:numId="6" w16cid:durableId="1074009954">
    <w:abstractNumId w:val="30"/>
  </w:num>
  <w:num w:numId="7" w16cid:durableId="1545016965">
    <w:abstractNumId w:val="7"/>
  </w:num>
  <w:num w:numId="8" w16cid:durableId="1165165820">
    <w:abstractNumId w:val="19"/>
  </w:num>
  <w:num w:numId="9" w16cid:durableId="751703382">
    <w:abstractNumId w:val="45"/>
  </w:num>
  <w:num w:numId="10" w16cid:durableId="1010065578">
    <w:abstractNumId w:val="0"/>
  </w:num>
  <w:num w:numId="11" w16cid:durableId="599265313">
    <w:abstractNumId w:val="40"/>
  </w:num>
  <w:num w:numId="12" w16cid:durableId="1094203649">
    <w:abstractNumId w:val="41"/>
  </w:num>
  <w:num w:numId="13" w16cid:durableId="393090155">
    <w:abstractNumId w:val="47"/>
  </w:num>
  <w:num w:numId="14" w16cid:durableId="1198931784">
    <w:abstractNumId w:val="1"/>
  </w:num>
  <w:num w:numId="15" w16cid:durableId="2056192837">
    <w:abstractNumId w:val="3"/>
  </w:num>
  <w:num w:numId="16" w16cid:durableId="1680153077">
    <w:abstractNumId w:val="8"/>
  </w:num>
  <w:num w:numId="17" w16cid:durableId="1790273299">
    <w:abstractNumId w:val="9"/>
  </w:num>
  <w:num w:numId="18" w16cid:durableId="2128112662">
    <w:abstractNumId w:val="10"/>
  </w:num>
  <w:num w:numId="19" w16cid:durableId="7217114">
    <w:abstractNumId w:val="11"/>
  </w:num>
  <w:num w:numId="20" w16cid:durableId="1858302314">
    <w:abstractNumId w:val="12"/>
  </w:num>
  <w:num w:numId="21" w16cid:durableId="1702172520">
    <w:abstractNumId w:val="13"/>
  </w:num>
  <w:num w:numId="22" w16cid:durableId="1700861223">
    <w:abstractNumId w:val="14"/>
  </w:num>
  <w:num w:numId="23" w16cid:durableId="1025131478">
    <w:abstractNumId w:val="16"/>
  </w:num>
  <w:num w:numId="24" w16cid:durableId="477890311">
    <w:abstractNumId w:val="17"/>
  </w:num>
  <w:num w:numId="25" w16cid:durableId="1967855925">
    <w:abstractNumId w:val="20"/>
  </w:num>
  <w:num w:numId="26" w16cid:durableId="998537020">
    <w:abstractNumId w:val="21"/>
  </w:num>
  <w:num w:numId="27" w16cid:durableId="642350406">
    <w:abstractNumId w:val="24"/>
  </w:num>
  <w:num w:numId="28" w16cid:durableId="1616718871">
    <w:abstractNumId w:val="25"/>
  </w:num>
  <w:num w:numId="29" w16cid:durableId="1530486082">
    <w:abstractNumId w:val="26"/>
  </w:num>
  <w:num w:numId="30" w16cid:durableId="802582976">
    <w:abstractNumId w:val="28"/>
  </w:num>
  <w:num w:numId="31" w16cid:durableId="287396833">
    <w:abstractNumId w:val="31"/>
  </w:num>
  <w:num w:numId="32" w16cid:durableId="535119711">
    <w:abstractNumId w:val="32"/>
  </w:num>
  <w:num w:numId="33" w16cid:durableId="2078547275">
    <w:abstractNumId w:val="33"/>
  </w:num>
  <w:num w:numId="34" w16cid:durableId="1703632659">
    <w:abstractNumId w:val="34"/>
  </w:num>
  <w:num w:numId="35" w16cid:durableId="1264075887">
    <w:abstractNumId w:val="35"/>
  </w:num>
  <w:num w:numId="36" w16cid:durableId="1752315512">
    <w:abstractNumId w:val="36"/>
  </w:num>
  <w:num w:numId="37" w16cid:durableId="1536426887">
    <w:abstractNumId w:val="37"/>
  </w:num>
  <w:num w:numId="38" w16cid:durableId="949702590">
    <w:abstractNumId w:val="38"/>
  </w:num>
  <w:num w:numId="39" w16cid:durableId="115605940">
    <w:abstractNumId w:val="42"/>
  </w:num>
  <w:num w:numId="40" w16cid:durableId="2008750670">
    <w:abstractNumId w:val="43"/>
  </w:num>
  <w:num w:numId="41" w16cid:durableId="579801488">
    <w:abstractNumId w:val="50"/>
  </w:num>
  <w:num w:numId="42" w16cid:durableId="910309630">
    <w:abstractNumId w:val="52"/>
  </w:num>
  <w:num w:numId="43" w16cid:durableId="221603102">
    <w:abstractNumId w:val="53"/>
  </w:num>
  <w:num w:numId="44" w16cid:durableId="779104680">
    <w:abstractNumId w:val="55"/>
  </w:num>
  <w:num w:numId="45" w16cid:durableId="1713115894">
    <w:abstractNumId w:val="56"/>
  </w:num>
  <w:num w:numId="46" w16cid:durableId="1387951419">
    <w:abstractNumId w:val="58"/>
  </w:num>
  <w:num w:numId="47" w16cid:durableId="648510715">
    <w:abstractNumId w:val="59"/>
  </w:num>
  <w:num w:numId="48" w16cid:durableId="1806315575">
    <w:abstractNumId w:val="60"/>
  </w:num>
  <w:num w:numId="49" w16cid:durableId="1682586011">
    <w:abstractNumId w:val="61"/>
  </w:num>
  <w:num w:numId="50" w16cid:durableId="2025083079">
    <w:abstractNumId w:val="62"/>
  </w:num>
  <w:num w:numId="51" w16cid:durableId="530342504">
    <w:abstractNumId w:val="22"/>
  </w:num>
  <w:num w:numId="52" w16cid:durableId="955454438">
    <w:abstractNumId w:val="44"/>
  </w:num>
  <w:num w:numId="53" w16cid:durableId="586957926">
    <w:abstractNumId w:val="54"/>
  </w:num>
  <w:num w:numId="54" w16cid:durableId="1498381482">
    <w:abstractNumId w:val="48"/>
  </w:num>
  <w:num w:numId="55" w16cid:durableId="1930308158">
    <w:abstractNumId w:val="46"/>
  </w:num>
  <w:num w:numId="56" w16cid:durableId="71783945">
    <w:abstractNumId w:val="29"/>
  </w:num>
  <w:num w:numId="57" w16cid:durableId="327246300">
    <w:abstractNumId w:val="27"/>
  </w:num>
  <w:num w:numId="58" w16cid:durableId="823088829">
    <w:abstractNumId w:val="39"/>
  </w:num>
  <w:num w:numId="59" w16cid:durableId="178545844">
    <w:abstractNumId w:val="5"/>
  </w:num>
  <w:num w:numId="60" w16cid:durableId="166218650">
    <w:abstractNumId w:val="15"/>
  </w:num>
  <w:num w:numId="61" w16cid:durableId="2067682195">
    <w:abstractNumId w:val="2"/>
  </w:num>
  <w:num w:numId="62" w16cid:durableId="1207058644">
    <w:abstractNumId w:val="49"/>
  </w:num>
  <w:num w:numId="63" w16cid:durableId="618603960">
    <w:abstractNumId w:val="18"/>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D5C"/>
    <w:rsid w:val="0000036F"/>
    <w:rsid w:val="00000CDA"/>
    <w:rsid w:val="00001766"/>
    <w:rsid w:val="00003948"/>
    <w:rsid w:val="00006E1F"/>
    <w:rsid w:val="000070D7"/>
    <w:rsid w:val="00016255"/>
    <w:rsid w:val="0001788C"/>
    <w:rsid w:val="00021810"/>
    <w:rsid w:val="00023A82"/>
    <w:rsid w:val="00023CED"/>
    <w:rsid w:val="000245B7"/>
    <w:rsid w:val="000337EF"/>
    <w:rsid w:val="00037360"/>
    <w:rsid w:val="000408B6"/>
    <w:rsid w:val="00040C3A"/>
    <w:rsid w:val="000419AD"/>
    <w:rsid w:val="0004233C"/>
    <w:rsid w:val="000433C9"/>
    <w:rsid w:val="0006605A"/>
    <w:rsid w:val="00071174"/>
    <w:rsid w:val="000716C5"/>
    <w:rsid w:val="00071F5D"/>
    <w:rsid w:val="00075A99"/>
    <w:rsid w:val="00075E23"/>
    <w:rsid w:val="00077BA1"/>
    <w:rsid w:val="00080095"/>
    <w:rsid w:val="00081460"/>
    <w:rsid w:val="00083298"/>
    <w:rsid w:val="0008581E"/>
    <w:rsid w:val="00085E68"/>
    <w:rsid w:val="000919A3"/>
    <w:rsid w:val="0009344A"/>
    <w:rsid w:val="000A392E"/>
    <w:rsid w:val="000A575F"/>
    <w:rsid w:val="000B6F28"/>
    <w:rsid w:val="000C46C9"/>
    <w:rsid w:val="000C49E1"/>
    <w:rsid w:val="000C5B72"/>
    <w:rsid w:val="000D05CB"/>
    <w:rsid w:val="000D10DB"/>
    <w:rsid w:val="000D112E"/>
    <w:rsid w:val="000D795E"/>
    <w:rsid w:val="000E07EB"/>
    <w:rsid w:val="000E2A9B"/>
    <w:rsid w:val="000E2DDF"/>
    <w:rsid w:val="000E5EB5"/>
    <w:rsid w:val="000F35ED"/>
    <w:rsid w:val="000F4927"/>
    <w:rsid w:val="000F5038"/>
    <w:rsid w:val="000F67B7"/>
    <w:rsid w:val="000F6C14"/>
    <w:rsid w:val="000F7E31"/>
    <w:rsid w:val="000F7E6D"/>
    <w:rsid w:val="000F7E86"/>
    <w:rsid w:val="001004FE"/>
    <w:rsid w:val="00100819"/>
    <w:rsid w:val="00107131"/>
    <w:rsid w:val="0010736F"/>
    <w:rsid w:val="00113F73"/>
    <w:rsid w:val="00121B29"/>
    <w:rsid w:val="00121CC2"/>
    <w:rsid w:val="00124E9B"/>
    <w:rsid w:val="001304C7"/>
    <w:rsid w:val="00131425"/>
    <w:rsid w:val="001331C2"/>
    <w:rsid w:val="00133EE5"/>
    <w:rsid w:val="00134A8B"/>
    <w:rsid w:val="00140739"/>
    <w:rsid w:val="00142ED6"/>
    <w:rsid w:val="0016053E"/>
    <w:rsid w:val="00167A34"/>
    <w:rsid w:val="00172F9F"/>
    <w:rsid w:val="00173717"/>
    <w:rsid w:val="00185A14"/>
    <w:rsid w:val="00187CA3"/>
    <w:rsid w:val="00190AB5"/>
    <w:rsid w:val="00191FFF"/>
    <w:rsid w:val="00192B19"/>
    <w:rsid w:val="00195C29"/>
    <w:rsid w:val="00196D06"/>
    <w:rsid w:val="001A0E1C"/>
    <w:rsid w:val="001A39FD"/>
    <w:rsid w:val="001A520D"/>
    <w:rsid w:val="001A7870"/>
    <w:rsid w:val="001B3A00"/>
    <w:rsid w:val="001B478B"/>
    <w:rsid w:val="001B617D"/>
    <w:rsid w:val="001C1B41"/>
    <w:rsid w:val="001C2A71"/>
    <w:rsid w:val="001D069F"/>
    <w:rsid w:val="001D20AF"/>
    <w:rsid w:val="001D65EF"/>
    <w:rsid w:val="001D67B4"/>
    <w:rsid w:val="001D7F96"/>
    <w:rsid w:val="001E49E7"/>
    <w:rsid w:val="001F7201"/>
    <w:rsid w:val="00200B95"/>
    <w:rsid w:val="00213133"/>
    <w:rsid w:val="00223A29"/>
    <w:rsid w:val="00223D53"/>
    <w:rsid w:val="00224B6E"/>
    <w:rsid w:val="002250A3"/>
    <w:rsid w:val="002276D4"/>
    <w:rsid w:val="00235217"/>
    <w:rsid w:val="00235780"/>
    <w:rsid w:val="00240253"/>
    <w:rsid w:val="00240D4D"/>
    <w:rsid w:val="00241D58"/>
    <w:rsid w:val="00244A5B"/>
    <w:rsid w:val="00246D1F"/>
    <w:rsid w:val="00247403"/>
    <w:rsid w:val="00247542"/>
    <w:rsid w:val="00250BD5"/>
    <w:rsid w:val="002645D6"/>
    <w:rsid w:val="00266B61"/>
    <w:rsid w:val="0026712A"/>
    <w:rsid w:val="002704DB"/>
    <w:rsid w:val="0028062E"/>
    <w:rsid w:val="00280D07"/>
    <w:rsid w:val="00281660"/>
    <w:rsid w:val="00293B03"/>
    <w:rsid w:val="00296E80"/>
    <w:rsid w:val="002A0AAE"/>
    <w:rsid w:val="002A4387"/>
    <w:rsid w:val="002A4835"/>
    <w:rsid w:val="002A5820"/>
    <w:rsid w:val="002B1E13"/>
    <w:rsid w:val="002C31FF"/>
    <w:rsid w:val="002D2B26"/>
    <w:rsid w:val="002D5EBC"/>
    <w:rsid w:val="002D7EA2"/>
    <w:rsid w:val="002E187C"/>
    <w:rsid w:val="002E63E5"/>
    <w:rsid w:val="002F0D73"/>
    <w:rsid w:val="002F5276"/>
    <w:rsid w:val="002F6B30"/>
    <w:rsid w:val="00300449"/>
    <w:rsid w:val="00300FCF"/>
    <w:rsid w:val="00302733"/>
    <w:rsid w:val="00304278"/>
    <w:rsid w:val="00305835"/>
    <w:rsid w:val="00306641"/>
    <w:rsid w:val="00306F33"/>
    <w:rsid w:val="00310F5B"/>
    <w:rsid w:val="00314078"/>
    <w:rsid w:val="00314881"/>
    <w:rsid w:val="0031535D"/>
    <w:rsid w:val="00316C48"/>
    <w:rsid w:val="003239B8"/>
    <w:rsid w:val="0033169F"/>
    <w:rsid w:val="003369F3"/>
    <w:rsid w:val="00341008"/>
    <w:rsid w:val="00344977"/>
    <w:rsid w:val="00346C95"/>
    <w:rsid w:val="00347CD0"/>
    <w:rsid w:val="00350512"/>
    <w:rsid w:val="00350F41"/>
    <w:rsid w:val="00356185"/>
    <w:rsid w:val="00360380"/>
    <w:rsid w:val="00360E82"/>
    <w:rsid w:val="00361146"/>
    <w:rsid w:val="00372D80"/>
    <w:rsid w:val="0037519E"/>
    <w:rsid w:val="00376BE2"/>
    <w:rsid w:val="0038053E"/>
    <w:rsid w:val="00382765"/>
    <w:rsid w:val="00386CF0"/>
    <w:rsid w:val="003906C8"/>
    <w:rsid w:val="00390E23"/>
    <w:rsid w:val="0039216A"/>
    <w:rsid w:val="00394073"/>
    <w:rsid w:val="003A1074"/>
    <w:rsid w:val="003A36E5"/>
    <w:rsid w:val="003B33CB"/>
    <w:rsid w:val="003B44BF"/>
    <w:rsid w:val="003B70FB"/>
    <w:rsid w:val="003C676B"/>
    <w:rsid w:val="003D1599"/>
    <w:rsid w:val="003D1EB2"/>
    <w:rsid w:val="003D3BC2"/>
    <w:rsid w:val="003D79BC"/>
    <w:rsid w:val="003E4907"/>
    <w:rsid w:val="003E65E0"/>
    <w:rsid w:val="003E6CA1"/>
    <w:rsid w:val="003F5154"/>
    <w:rsid w:val="0040141A"/>
    <w:rsid w:val="00405F9C"/>
    <w:rsid w:val="004065A8"/>
    <w:rsid w:val="004127E5"/>
    <w:rsid w:val="004165C2"/>
    <w:rsid w:val="004241A0"/>
    <w:rsid w:val="00441D21"/>
    <w:rsid w:val="00441ECB"/>
    <w:rsid w:val="00442917"/>
    <w:rsid w:val="00444269"/>
    <w:rsid w:val="00445193"/>
    <w:rsid w:val="00446212"/>
    <w:rsid w:val="00447927"/>
    <w:rsid w:val="00450470"/>
    <w:rsid w:val="00450A67"/>
    <w:rsid w:val="00453518"/>
    <w:rsid w:val="00456252"/>
    <w:rsid w:val="00462C1B"/>
    <w:rsid w:val="004631E4"/>
    <w:rsid w:val="004658BB"/>
    <w:rsid w:val="00467B7E"/>
    <w:rsid w:val="00473A77"/>
    <w:rsid w:val="00473BB4"/>
    <w:rsid w:val="004770D0"/>
    <w:rsid w:val="00477592"/>
    <w:rsid w:val="00481463"/>
    <w:rsid w:val="00481558"/>
    <w:rsid w:val="0048609D"/>
    <w:rsid w:val="00486271"/>
    <w:rsid w:val="00486560"/>
    <w:rsid w:val="00486F1C"/>
    <w:rsid w:val="00490298"/>
    <w:rsid w:val="0049419D"/>
    <w:rsid w:val="004A057B"/>
    <w:rsid w:val="004A390C"/>
    <w:rsid w:val="004A6A54"/>
    <w:rsid w:val="004B0475"/>
    <w:rsid w:val="004B3059"/>
    <w:rsid w:val="004B3C4E"/>
    <w:rsid w:val="004B421C"/>
    <w:rsid w:val="004C0301"/>
    <w:rsid w:val="004C20D2"/>
    <w:rsid w:val="004C22A7"/>
    <w:rsid w:val="004C2312"/>
    <w:rsid w:val="004C4B62"/>
    <w:rsid w:val="004C54C9"/>
    <w:rsid w:val="004C6F54"/>
    <w:rsid w:val="004D4ABA"/>
    <w:rsid w:val="004D4FF1"/>
    <w:rsid w:val="004D6025"/>
    <w:rsid w:val="004E2649"/>
    <w:rsid w:val="004E2E1E"/>
    <w:rsid w:val="004E3EE9"/>
    <w:rsid w:val="004E6206"/>
    <w:rsid w:val="004E78E9"/>
    <w:rsid w:val="004F33D8"/>
    <w:rsid w:val="004F626F"/>
    <w:rsid w:val="00501399"/>
    <w:rsid w:val="005047ED"/>
    <w:rsid w:val="0050633D"/>
    <w:rsid w:val="005063C1"/>
    <w:rsid w:val="00507BC4"/>
    <w:rsid w:val="0051270A"/>
    <w:rsid w:val="005128E4"/>
    <w:rsid w:val="005133DB"/>
    <w:rsid w:val="00514504"/>
    <w:rsid w:val="00516872"/>
    <w:rsid w:val="00516943"/>
    <w:rsid w:val="00517E92"/>
    <w:rsid w:val="005213A8"/>
    <w:rsid w:val="0052183A"/>
    <w:rsid w:val="00521E1F"/>
    <w:rsid w:val="00522775"/>
    <w:rsid w:val="005245FD"/>
    <w:rsid w:val="00524ACD"/>
    <w:rsid w:val="00525560"/>
    <w:rsid w:val="00525C6B"/>
    <w:rsid w:val="0052662D"/>
    <w:rsid w:val="005354E4"/>
    <w:rsid w:val="005355DF"/>
    <w:rsid w:val="00543869"/>
    <w:rsid w:val="00544C49"/>
    <w:rsid w:val="00545157"/>
    <w:rsid w:val="00547008"/>
    <w:rsid w:val="00547797"/>
    <w:rsid w:val="005516A1"/>
    <w:rsid w:val="005559EF"/>
    <w:rsid w:val="00563557"/>
    <w:rsid w:val="00567452"/>
    <w:rsid w:val="00567AAF"/>
    <w:rsid w:val="00571ECF"/>
    <w:rsid w:val="0057402A"/>
    <w:rsid w:val="005771D0"/>
    <w:rsid w:val="00580041"/>
    <w:rsid w:val="0058224D"/>
    <w:rsid w:val="00582992"/>
    <w:rsid w:val="00582C54"/>
    <w:rsid w:val="0059191A"/>
    <w:rsid w:val="005921FF"/>
    <w:rsid w:val="005931B4"/>
    <w:rsid w:val="00596DB6"/>
    <w:rsid w:val="005976FE"/>
    <w:rsid w:val="005A24ED"/>
    <w:rsid w:val="005A6D0E"/>
    <w:rsid w:val="005A75CB"/>
    <w:rsid w:val="005B3391"/>
    <w:rsid w:val="005B38A7"/>
    <w:rsid w:val="005B52B0"/>
    <w:rsid w:val="005B6806"/>
    <w:rsid w:val="005C4225"/>
    <w:rsid w:val="005C4991"/>
    <w:rsid w:val="005D07D2"/>
    <w:rsid w:val="005D3471"/>
    <w:rsid w:val="005D5364"/>
    <w:rsid w:val="005D598D"/>
    <w:rsid w:val="005E1AD2"/>
    <w:rsid w:val="005F0DAD"/>
    <w:rsid w:val="005F0F33"/>
    <w:rsid w:val="005F3023"/>
    <w:rsid w:val="00600D7A"/>
    <w:rsid w:val="00600DEB"/>
    <w:rsid w:val="00601E46"/>
    <w:rsid w:val="00606A3F"/>
    <w:rsid w:val="0061610A"/>
    <w:rsid w:val="006162C2"/>
    <w:rsid w:val="00627C9F"/>
    <w:rsid w:val="006311E9"/>
    <w:rsid w:val="006313C1"/>
    <w:rsid w:val="00632354"/>
    <w:rsid w:val="00635421"/>
    <w:rsid w:val="00642810"/>
    <w:rsid w:val="0064337B"/>
    <w:rsid w:val="00652333"/>
    <w:rsid w:val="006600BB"/>
    <w:rsid w:val="006608C4"/>
    <w:rsid w:val="00661792"/>
    <w:rsid w:val="00665F0A"/>
    <w:rsid w:val="00666840"/>
    <w:rsid w:val="0068009E"/>
    <w:rsid w:val="006829F6"/>
    <w:rsid w:val="00684D8F"/>
    <w:rsid w:val="00687875"/>
    <w:rsid w:val="00692219"/>
    <w:rsid w:val="00694FE4"/>
    <w:rsid w:val="006A100B"/>
    <w:rsid w:val="006A10B8"/>
    <w:rsid w:val="006A17D2"/>
    <w:rsid w:val="006A73E6"/>
    <w:rsid w:val="006B1301"/>
    <w:rsid w:val="006B2D5C"/>
    <w:rsid w:val="006B5697"/>
    <w:rsid w:val="006B6A12"/>
    <w:rsid w:val="006C0ECF"/>
    <w:rsid w:val="006C3633"/>
    <w:rsid w:val="006C4EB1"/>
    <w:rsid w:val="006D43BC"/>
    <w:rsid w:val="006D7746"/>
    <w:rsid w:val="006E0166"/>
    <w:rsid w:val="006E2FFB"/>
    <w:rsid w:val="006E3A97"/>
    <w:rsid w:val="006E61C2"/>
    <w:rsid w:val="006E7B34"/>
    <w:rsid w:val="006F106D"/>
    <w:rsid w:val="006F5FBD"/>
    <w:rsid w:val="007010C3"/>
    <w:rsid w:val="007037B2"/>
    <w:rsid w:val="0070526B"/>
    <w:rsid w:val="0070697F"/>
    <w:rsid w:val="007103C4"/>
    <w:rsid w:val="00713157"/>
    <w:rsid w:val="007160C3"/>
    <w:rsid w:val="007170DD"/>
    <w:rsid w:val="0072199C"/>
    <w:rsid w:val="00722C9F"/>
    <w:rsid w:val="00723A15"/>
    <w:rsid w:val="007253B8"/>
    <w:rsid w:val="00732B13"/>
    <w:rsid w:val="00732E5A"/>
    <w:rsid w:val="00734530"/>
    <w:rsid w:val="0073741F"/>
    <w:rsid w:val="0074031F"/>
    <w:rsid w:val="00740E1A"/>
    <w:rsid w:val="00741EEB"/>
    <w:rsid w:val="00744CC7"/>
    <w:rsid w:val="00745BDC"/>
    <w:rsid w:val="00747184"/>
    <w:rsid w:val="0075459E"/>
    <w:rsid w:val="00757480"/>
    <w:rsid w:val="0076643F"/>
    <w:rsid w:val="00770585"/>
    <w:rsid w:val="00771A68"/>
    <w:rsid w:val="00772353"/>
    <w:rsid w:val="00774132"/>
    <w:rsid w:val="00774E76"/>
    <w:rsid w:val="00777F63"/>
    <w:rsid w:val="00781D71"/>
    <w:rsid w:val="007830FE"/>
    <w:rsid w:val="00784100"/>
    <w:rsid w:val="007905DA"/>
    <w:rsid w:val="00792063"/>
    <w:rsid w:val="00794509"/>
    <w:rsid w:val="00795010"/>
    <w:rsid w:val="007A299F"/>
    <w:rsid w:val="007A4FB8"/>
    <w:rsid w:val="007A5817"/>
    <w:rsid w:val="007B05C4"/>
    <w:rsid w:val="007B0E58"/>
    <w:rsid w:val="007B2016"/>
    <w:rsid w:val="007B60E9"/>
    <w:rsid w:val="007B6AA6"/>
    <w:rsid w:val="007B6CC3"/>
    <w:rsid w:val="007B76D3"/>
    <w:rsid w:val="007C0F6D"/>
    <w:rsid w:val="007C1077"/>
    <w:rsid w:val="007C3334"/>
    <w:rsid w:val="007C4B3B"/>
    <w:rsid w:val="007D2B98"/>
    <w:rsid w:val="007D6082"/>
    <w:rsid w:val="007D66DD"/>
    <w:rsid w:val="007E1099"/>
    <w:rsid w:val="007E17D7"/>
    <w:rsid w:val="007E1DC5"/>
    <w:rsid w:val="007E21BC"/>
    <w:rsid w:val="007E3401"/>
    <w:rsid w:val="007E4D75"/>
    <w:rsid w:val="007E7C82"/>
    <w:rsid w:val="007F29AE"/>
    <w:rsid w:val="007F2AA1"/>
    <w:rsid w:val="007F4D75"/>
    <w:rsid w:val="007F588D"/>
    <w:rsid w:val="008030A7"/>
    <w:rsid w:val="00803F1C"/>
    <w:rsid w:val="00805A91"/>
    <w:rsid w:val="0080600E"/>
    <w:rsid w:val="00814688"/>
    <w:rsid w:val="00817612"/>
    <w:rsid w:val="0082346A"/>
    <w:rsid w:val="00824CEF"/>
    <w:rsid w:val="008338A4"/>
    <w:rsid w:val="00833DB0"/>
    <w:rsid w:val="00834D49"/>
    <w:rsid w:val="0083678B"/>
    <w:rsid w:val="00837C45"/>
    <w:rsid w:val="008418A6"/>
    <w:rsid w:val="00841BCC"/>
    <w:rsid w:val="00844730"/>
    <w:rsid w:val="008457C2"/>
    <w:rsid w:val="008561BC"/>
    <w:rsid w:val="00857508"/>
    <w:rsid w:val="00857A82"/>
    <w:rsid w:val="00860D10"/>
    <w:rsid w:val="00864186"/>
    <w:rsid w:val="0086513C"/>
    <w:rsid w:val="00865567"/>
    <w:rsid w:val="0087364C"/>
    <w:rsid w:val="00873836"/>
    <w:rsid w:val="00874405"/>
    <w:rsid w:val="008834EB"/>
    <w:rsid w:val="00884E68"/>
    <w:rsid w:val="00885737"/>
    <w:rsid w:val="00890650"/>
    <w:rsid w:val="00890EF3"/>
    <w:rsid w:val="008944DC"/>
    <w:rsid w:val="00897E12"/>
    <w:rsid w:val="008A0A98"/>
    <w:rsid w:val="008A3D16"/>
    <w:rsid w:val="008A62E5"/>
    <w:rsid w:val="008A7E0F"/>
    <w:rsid w:val="008B12F5"/>
    <w:rsid w:val="008C23AD"/>
    <w:rsid w:val="008C5E2D"/>
    <w:rsid w:val="008D1BDC"/>
    <w:rsid w:val="008D1EAF"/>
    <w:rsid w:val="008D6440"/>
    <w:rsid w:val="008D768D"/>
    <w:rsid w:val="008E0A72"/>
    <w:rsid w:val="008E3759"/>
    <w:rsid w:val="008E3BFE"/>
    <w:rsid w:val="008E5081"/>
    <w:rsid w:val="008F1912"/>
    <w:rsid w:val="008F228A"/>
    <w:rsid w:val="008F40B2"/>
    <w:rsid w:val="008F47D9"/>
    <w:rsid w:val="0090270B"/>
    <w:rsid w:val="009041DC"/>
    <w:rsid w:val="00910085"/>
    <w:rsid w:val="009123A5"/>
    <w:rsid w:val="00917B5A"/>
    <w:rsid w:val="00920A58"/>
    <w:rsid w:val="00920A8C"/>
    <w:rsid w:val="00926128"/>
    <w:rsid w:val="00927ACD"/>
    <w:rsid w:val="00930AEF"/>
    <w:rsid w:val="00930CC1"/>
    <w:rsid w:val="0093231C"/>
    <w:rsid w:val="00934A2C"/>
    <w:rsid w:val="00937B1F"/>
    <w:rsid w:val="00944F22"/>
    <w:rsid w:val="0094779D"/>
    <w:rsid w:val="00956065"/>
    <w:rsid w:val="00957648"/>
    <w:rsid w:val="00966070"/>
    <w:rsid w:val="0096706E"/>
    <w:rsid w:val="00972EE3"/>
    <w:rsid w:val="00974491"/>
    <w:rsid w:val="00975C4E"/>
    <w:rsid w:val="00977BC2"/>
    <w:rsid w:val="00981FBA"/>
    <w:rsid w:val="0098509F"/>
    <w:rsid w:val="00986C7A"/>
    <w:rsid w:val="009901E4"/>
    <w:rsid w:val="00994934"/>
    <w:rsid w:val="00995CBB"/>
    <w:rsid w:val="00997BC5"/>
    <w:rsid w:val="009A1147"/>
    <w:rsid w:val="009A21FC"/>
    <w:rsid w:val="009A354C"/>
    <w:rsid w:val="009A4F41"/>
    <w:rsid w:val="009A56CE"/>
    <w:rsid w:val="009B381B"/>
    <w:rsid w:val="009B7AD3"/>
    <w:rsid w:val="009C613E"/>
    <w:rsid w:val="009C628A"/>
    <w:rsid w:val="009D1753"/>
    <w:rsid w:val="009D5B8A"/>
    <w:rsid w:val="009D7611"/>
    <w:rsid w:val="009E0B61"/>
    <w:rsid w:val="009E53DE"/>
    <w:rsid w:val="009E7D43"/>
    <w:rsid w:val="009F6140"/>
    <w:rsid w:val="00A02BFD"/>
    <w:rsid w:val="00A1016B"/>
    <w:rsid w:val="00A11212"/>
    <w:rsid w:val="00A11E44"/>
    <w:rsid w:val="00A1543B"/>
    <w:rsid w:val="00A15562"/>
    <w:rsid w:val="00A25214"/>
    <w:rsid w:val="00A2674F"/>
    <w:rsid w:val="00A30100"/>
    <w:rsid w:val="00A328B3"/>
    <w:rsid w:val="00A3480F"/>
    <w:rsid w:val="00A372F0"/>
    <w:rsid w:val="00A427B7"/>
    <w:rsid w:val="00A50FCF"/>
    <w:rsid w:val="00A528D1"/>
    <w:rsid w:val="00A52972"/>
    <w:rsid w:val="00A53609"/>
    <w:rsid w:val="00A540FB"/>
    <w:rsid w:val="00A55B52"/>
    <w:rsid w:val="00A57FCB"/>
    <w:rsid w:val="00A6008C"/>
    <w:rsid w:val="00A60A0E"/>
    <w:rsid w:val="00A610CD"/>
    <w:rsid w:val="00A67C4E"/>
    <w:rsid w:val="00A72B82"/>
    <w:rsid w:val="00A7418A"/>
    <w:rsid w:val="00A758AA"/>
    <w:rsid w:val="00A804C1"/>
    <w:rsid w:val="00A8251B"/>
    <w:rsid w:val="00A84EBE"/>
    <w:rsid w:val="00A92073"/>
    <w:rsid w:val="00A96A55"/>
    <w:rsid w:val="00AA07DF"/>
    <w:rsid w:val="00AA09A2"/>
    <w:rsid w:val="00AA0C80"/>
    <w:rsid w:val="00AA7996"/>
    <w:rsid w:val="00AB5AD1"/>
    <w:rsid w:val="00AC0773"/>
    <w:rsid w:val="00AC19CB"/>
    <w:rsid w:val="00AC48DD"/>
    <w:rsid w:val="00AC6686"/>
    <w:rsid w:val="00AD72A6"/>
    <w:rsid w:val="00AE2B79"/>
    <w:rsid w:val="00AE3380"/>
    <w:rsid w:val="00AE5488"/>
    <w:rsid w:val="00AE6F91"/>
    <w:rsid w:val="00AF5571"/>
    <w:rsid w:val="00B00CBB"/>
    <w:rsid w:val="00B02CA8"/>
    <w:rsid w:val="00B04818"/>
    <w:rsid w:val="00B04E7B"/>
    <w:rsid w:val="00B056F5"/>
    <w:rsid w:val="00B07341"/>
    <w:rsid w:val="00B1147E"/>
    <w:rsid w:val="00B13E9D"/>
    <w:rsid w:val="00B13FD4"/>
    <w:rsid w:val="00B145BD"/>
    <w:rsid w:val="00B17093"/>
    <w:rsid w:val="00B175DE"/>
    <w:rsid w:val="00B20156"/>
    <w:rsid w:val="00B202EA"/>
    <w:rsid w:val="00B234FF"/>
    <w:rsid w:val="00B272DE"/>
    <w:rsid w:val="00B30539"/>
    <w:rsid w:val="00B314DB"/>
    <w:rsid w:val="00B31BFA"/>
    <w:rsid w:val="00B32862"/>
    <w:rsid w:val="00B361F2"/>
    <w:rsid w:val="00B3718B"/>
    <w:rsid w:val="00B3745F"/>
    <w:rsid w:val="00B414E6"/>
    <w:rsid w:val="00B4632A"/>
    <w:rsid w:val="00B530F1"/>
    <w:rsid w:val="00B55464"/>
    <w:rsid w:val="00B563BA"/>
    <w:rsid w:val="00B56F06"/>
    <w:rsid w:val="00B63118"/>
    <w:rsid w:val="00B65530"/>
    <w:rsid w:val="00B8072C"/>
    <w:rsid w:val="00B825F6"/>
    <w:rsid w:val="00B833D6"/>
    <w:rsid w:val="00B90F7D"/>
    <w:rsid w:val="00B91786"/>
    <w:rsid w:val="00B920C3"/>
    <w:rsid w:val="00B92B98"/>
    <w:rsid w:val="00B93D7F"/>
    <w:rsid w:val="00B94BF8"/>
    <w:rsid w:val="00B950B9"/>
    <w:rsid w:val="00BA04F3"/>
    <w:rsid w:val="00BA0CFD"/>
    <w:rsid w:val="00BA276C"/>
    <w:rsid w:val="00BA4C3F"/>
    <w:rsid w:val="00BB019D"/>
    <w:rsid w:val="00BB2974"/>
    <w:rsid w:val="00BB306F"/>
    <w:rsid w:val="00BB5330"/>
    <w:rsid w:val="00BC5171"/>
    <w:rsid w:val="00BC7DB0"/>
    <w:rsid w:val="00BD0FF5"/>
    <w:rsid w:val="00BD4B89"/>
    <w:rsid w:val="00BD5922"/>
    <w:rsid w:val="00BD7B5D"/>
    <w:rsid w:val="00BE04F3"/>
    <w:rsid w:val="00BF02CB"/>
    <w:rsid w:val="00BF1988"/>
    <w:rsid w:val="00BF6FD8"/>
    <w:rsid w:val="00C03680"/>
    <w:rsid w:val="00C05247"/>
    <w:rsid w:val="00C054DF"/>
    <w:rsid w:val="00C05CE7"/>
    <w:rsid w:val="00C21762"/>
    <w:rsid w:val="00C21FEF"/>
    <w:rsid w:val="00C22209"/>
    <w:rsid w:val="00C23BA4"/>
    <w:rsid w:val="00C24543"/>
    <w:rsid w:val="00C256A2"/>
    <w:rsid w:val="00C25802"/>
    <w:rsid w:val="00C25ADB"/>
    <w:rsid w:val="00C264DD"/>
    <w:rsid w:val="00C324E0"/>
    <w:rsid w:val="00C32E87"/>
    <w:rsid w:val="00C33ED6"/>
    <w:rsid w:val="00C33F04"/>
    <w:rsid w:val="00C362AF"/>
    <w:rsid w:val="00C37642"/>
    <w:rsid w:val="00C42413"/>
    <w:rsid w:val="00C45919"/>
    <w:rsid w:val="00C45BC7"/>
    <w:rsid w:val="00C47242"/>
    <w:rsid w:val="00C50D45"/>
    <w:rsid w:val="00C51515"/>
    <w:rsid w:val="00C5660B"/>
    <w:rsid w:val="00C5706C"/>
    <w:rsid w:val="00C623E9"/>
    <w:rsid w:val="00C64456"/>
    <w:rsid w:val="00C66B72"/>
    <w:rsid w:val="00C712DD"/>
    <w:rsid w:val="00C71A84"/>
    <w:rsid w:val="00C73446"/>
    <w:rsid w:val="00C75998"/>
    <w:rsid w:val="00C76DA5"/>
    <w:rsid w:val="00C7766B"/>
    <w:rsid w:val="00C87AC4"/>
    <w:rsid w:val="00C905E4"/>
    <w:rsid w:val="00C93950"/>
    <w:rsid w:val="00C94D4A"/>
    <w:rsid w:val="00C9567A"/>
    <w:rsid w:val="00C96CB8"/>
    <w:rsid w:val="00C97F69"/>
    <w:rsid w:val="00CA1966"/>
    <w:rsid w:val="00CA438B"/>
    <w:rsid w:val="00CB212D"/>
    <w:rsid w:val="00CB2660"/>
    <w:rsid w:val="00CB314D"/>
    <w:rsid w:val="00CB3516"/>
    <w:rsid w:val="00CB5A6F"/>
    <w:rsid w:val="00CC194A"/>
    <w:rsid w:val="00CC42B2"/>
    <w:rsid w:val="00CC5E90"/>
    <w:rsid w:val="00CD046C"/>
    <w:rsid w:val="00CD13F4"/>
    <w:rsid w:val="00CD160D"/>
    <w:rsid w:val="00CD468E"/>
    <w:rsid w:val="00CD5768"/>
    <w:rsid w:val="00CE076C"/>
    <w:rsid w:val="00CE5199"/>
    <w:rsid w:val="00CE66D5"/>
    <w:rsid w:val="00CE6CB1"/>
    <w:rsid w:val="00CF637A"/>
    <w:rsid w:val="00CF7E42"/>
    <w:rsid w:val="00D02E13"/>
    <w:rsid w:val="00D04817"/>
    <w:rsid w:val="00D059DE"/>
    <w:rsid w:val="00D05ABD"/>
    <w:rsid w:val="00D05BE6"/>
    <w:rsid w:val="00D10170"/>
    <w:rsid w:val="00D11057"/>
    <w:rsid w:val="00D13FCE"/>
    <w:rsid w:val="00D16213"/>
    <w:rsid w:val="00D242DE"/>
    <w:rsid w:val="00D2640C"/>
    <w:rsid w:val="00D306D1"/>
    <w:rsid w:val="00D30800"/>
    <w:rsid w:val="00D31976"/>
    <w:rsid w:val="00D329AC"/>
    <w:rsid w:val="00D33CCD"/>
    <w:rsid w:val="00D34786"/>
    <w:rsid w:val="00D373A4"/>
    <w:rsid w:val="00D37BFC"/>
    <w:rsid w:val="00D47A8E"/>
    <w:rsid w:val="00D52D14"/>
    <w:rsid w:val="00D52F1C"/>
    <w:rsid w:val="00D62E16"/>
    <w:rsid w:val="00D6616A"/>
    <w:rsid w:val="00D712D3"/>
    <w:rsid w:val="00D71422"/>
    <w:rsid w:val="00D72DC6"/>
    <w:rsid w:val="00D7558D"/>
    <w:rsid w:val="00D76C5D"/>
    <w:rsid w:val="00D81D92"/>
    <w:rsid w:val="00D876F9"/>
    <w:rsid w:val="00D92E0C"/>
    <w:rsid w:val="00D96C92"/>
    <w:rsid w:val="00DA1562"/>
    <w:rsid w:val="00DA193B"/>
    <w:rsid w:val="00DA3C0F"/>
    <w:rsid w:val="00DA7B5F"/>
    <w:rsid w:val="00DB0E3B"/>
    <w:rsid w:val="00DB382E"/>
    <w:rsid w:val="00DB4F24"/>
    <w:rsid w:val="00DB6C5C"/>
    <w:rsid w:val="00DC11E7"/>
    <w:rsid w:val="00DC24E3"/>
    <w:rsid w:val="00DC4753"/>
    <w:rsid w:val="00DC525B"/>
    <w:rsid w:val="00DC7023"/>
    <w:rsid w:val="00DC769A"/>
    <w:rsid w:val="00DD1275"/>
    <w:rsid w:val="00DD3D86"/>
    <w:rsid w:val="00DD4AD2"/>
    <w:rsid w:val="00DD792D"/>
    <w:rsid w:val="00DD7C19"/>
    <w:rsid w:val="00DE13B3"/>
    <w:rsid w:val="00DE2140"/>
    <w:rsid w:val="00DE2862"/>
    <w:rsid w:val="00DF078C"/>
    <w:rsid w:val="00DF0A32"/>
    <w:rsid w:val="00DF1EC4"/>
    <w:rsid w:val="00DF40A1"/>
    <w:rsid w:val="00E00A7B"/>
    <w:rsid w:val="00E012CF"/>
    <w:rsid w:val="00E03223"/>
    <w:rsid w:val="00E0340B"/>
    <w:rsid w:val="00E03AB3"/>
    <w:rsid w:val="00E04A90"/>
    <w:rsid w:val="00E0551F"/>
    <w:rsid w:val="00E05CEB"/>
    <w:rsid w:val="00E068A2"/>
    <w:rsid w:val="00E071A8"/>
    <w:rsid w:val="00E17D00"/>
    <w:rsid w:val="00E219C7"/>
    <w:rsid w:val="00E308D8"/>
    <w:rsid w:val="00E32013"/>
    <w:rsid w:val="00E3253A"/>
    <w:rsid w:val="00E356A9"/>
    <w:rsid w:val="00E4118C"/>
    <w:rsid w:val="00E43157"/>
    <w:rsid w:val="00E43899"/>
    <w:rsid w:val="00E45003"/>
    <w:rsid w:val="00E45ABF"/>
    <w:rsid w:val="00E461CE"/>
    <w:rsid w:val="00E516D0"/>
    <w:rsid w:val="00E573E4"/>
    <w:rsid w:val="00E62FB3"/>
    <w:rsid w:val="00E63ED3"/>
    <w:rsid w:val="00E64C3D"/>
    <w:rsid w:val="00E720CA"/>
    <w:rsid w:val="00E749A8"/>
    <w:rsid w:val="00E76FC1"/>
    <w:rsid w:val="00E81195"/>
    <w:rsid w:val="00E8120C"/>
    <w:rsid w:val="00E8133A"/>
    <w:rsid w:val="00E822ED"/>
    <w:rsid w:val="00E84EB5"/>
    <w:rsid w:val="00E8521D"/>
    <w:rsid w:val="00E85662"/>
    <w:rsid w:val="00E8789F"/>
    <w:rsid w:val="00E90F57"/>
    <w:rsid w:val="00E9144E"/>
    <w:rsid w:val="00E97B71"/>
    <w:rsid w:val="00EA17D8"/>
    <w:rsid w:val="00EA1BFA"/>
    <w:rsid w:val="00EA29AF"/>
    <w:rsid w:val="00EA3D34"/>
    <w:rsid w:val="00EA51DC"/>
    <w:rsid w:val="00EB1C58"/>
    <w:rsid w:val="00EB318E"/>
    <w:rsid w:val="00EB359C"/>
    <w:rsid w:val="00EB35FA"/>
    <w:rsid w:val="00EB454D"/>
    <w:rsid w:val="00ED549D"/>
    <w:rsid w:val="00ED5E10"/>
    <w:rsid w:val="00ED76BE"/>
    <w:rsid w:val="00EE00E9"/>
    <w:rsid w:val="00EE2E30"/>
    <w:rsid w:val="00EE5E04"/>
    <w:rsid w:val="00EF1AAA"/>
    <w:rsid w:val="00EF49B7"/>
    <w:rsid w:val="00EF5BC2"/>
    <w:rsid w:val="00EF619B"/>
    <w:rsid w:val="00EF72AB"/>
    <w:rsid w:val="00EF7338"/>
    <w:rsid w:val="00F00B55"/>
    <w:rsid w:val="00F02AD1"/>
    <w:rsid w:val="00F033BF"/>
    <w:rsid w:val="00F0716F"/>
    <w:rsid w:val="00F253CC"/>
    <w:rsid w:val="00F319F6"/>
    <w:rsid w:val="00F37106"/>
    <w:rsid w:val="00F4457D"/>
    <w:rsid w:val="00F44E25"/>
    <w:rsid w:val="00F5087E"/>
    <w:rsid w:val="00F519CF"/>
    <w:rsid w:val="00F53380"/>
    <w:rsid w:val="00F56BA5"/>
    <w:rsid w:val="00F56ECB"/>
    <w:rsid w:val="00F579AC"/>
    <w:rsid w:val="00F60E22"/>
    <w:rsid w:val="00F61566"/>
    <w:rsid w:val="00F61F41"/>
    <w:rsid w:val="00F62E2A"/>
    <w:rsid w:val="00F63F2D"/>
    <w:rsid w:val="00F67C90"/>
    <w:rsid w:val="00F70ACD"/>
    <w:rsid w:val="00F7168E"/>
    <w:rsid w:val="00F754C9"/>
    <w:rsid w:val="00F7770F"/>
    <w:rsid w:val="00F81395"/>
    <w:rsid w:val="00F81BB8"/>
    <w:rsid w:val="00F81D9C"/>
    <w:rsid w:val="00F82534"/>
    <w:rsid w:val="00F83AF2"/>
    <w:rsid w:val="00F90C64"/>
    <w:rsid w:val="00F90F19"/>
    <w:rsid w:val="00F917D1"/>
    <w:rsid w:val="00F9255E"/>
    <w:rsid w:val="00F95E8F"/>
    <w:rsid w:val="00F9653B"/>
    <w:rsid w:val="00FA3D85"/>
    <w:rsid w:val="00FA43A2"/>
    <w:rsid w:val="00FA7743"/>
    <w:rsid w:val="00FB12A8"/>
    <w:rsid w:val="00FB62CF"/>
    <w:rsid w:val="00FD3882"/>
    <w:rsid w:val="00FD3C3B"/>
    <w:rsid w:val="00FD42E6"/>
    <w:rsid w:val="00FE057E"/>
    <w:rsid w:val="00FE07DD"/>
    <w:rsid w:val="00FE1535"/>
    <w:rsid w:val="00FE6B45"/>
    <w:rsid w:val="00FE7AB0"/>
    <w:rsid w:val="00FF55F3"/>
    <w:rsid w:val="00FF5851"/>
    <w:rsid w:val="00FF622D"/>
    <w:rsid w:val="00FF6C05"/>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FCD0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pPr>
      <w:numPr>
        <w:numId w:val="31"/>
      </w:numPr>
    </w:pPr>
  </w:style>
  <w:style w:type="paragraph" w:customStyle="1" w:styleId="paragraph">
    <w:name w:val="paragraph"/>
    <w:basedOn w:val="Normal"/>
    <w:rsid w:val="005D07D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numbering" w:customStyle="1" w:styleId="List1">
    <w:name w:val="List 1"/>
    <w:pPr>
      <w:numPr>
        <w:numId w:val="1"/>
      </w:numPr>
    </w:pPr>
  </w:style>
  <w:style w:type="character" w:customStyle="1" w:styleId="normaltextrun">
    <w:name w:val="normaltextrun"/>
    <w:basedOn w:val="DefaultParagraphFont"/>
    <w:rsid w:val="005D07D2"/>
  </w:style>
  <w:style w:type="numbering" w:customStyle="1" w:styleId="List210">
    <w:name w:val="List 21"/>
    <w:pPr>
      <w:numPr>
        <w:numId w:val="52"/>
      </w:numPr>
    </w:pPr>
  </w:style>
  <w:style w:type="character" w:customStyle="1" w:styleId="eop">
    <w:name w:val="eop"/>
    <w:basedOn w:val="DefaultParagraphFont"/>
    <w:rsid w:val="005D07D2"/>
  </w:style>
  <w:style w:type="numbering" w:customStyle="1" w:styleId="List31">
    <w:name w:val="List 31"/>
    <w:pPr>
      <w:numPr>
        <w:numId w:val="51"/>
      </w:numPr>
    </w:pPr>
  </w:style>
  <w:style w:type="numbering" w:customStyle="1" w:styleId="List41">
    <w:name w:val="List 41"/>
    <w:pPr>
      <w:numPr>
        <w:numId w:val="2"/>
      </w:numPr>
    </w:pPr>
  </w:style>
  <w:style w:type="numbering" w:customStyle="1" w:styleId="List510">
    <w:name w:val="List 51"/>
    <w:pPr>
      <w:numPr>
        <w:numId w:val="54"/>
      </w:numPr>
    </w:pPr>
  </w:style>
  <w:style w:type="numbering" w:customStyle="1" w:styleId="List6">
    <w:name w:val="List 6"/>
    <w:pPr>
      <w:numPr>
        <w:numId w:val="3"/>
      </w:numPr>
    </w:pPr>
  </w:style>
  <w:style w:type="numbering" w:customStyle="1" w:styleId="List7">
    <w:name w:val="List 7"/>
    <w:pPr>
      <w:numPr>
        <w:numId w:val="4"/>
      </w:numPr>
    </w:pPr>
  </w:style>
  <w:style w:type="numbering" w:customStyle="1" w:styleId="List8">
    <w:name w:val="List 8"/>
    <w:pPr>
      <w:numPr>
        <w:numId w:val="5"/>
      </w:numPr>
    </w:pPr>
  </w:style>
  <w:style w:type="numbering" w:customStyle="1" w:styleId="List9">
    <w:name w:val="List 9"/>
    <w:pPr>
      <w:numPr>
        <w:numId w:val="22"/>
      </w:numPr>
    </w:pPr>
  </w:style>
  <w:style w:type="numbering" w:customStyle="1" w:styleId="List10">
    <w:name w:val="List 10"/>
    <w:pPr>
      <w:numPr>
        <w:numId w:val="6"/>
      </w:numPr>
    </w:pPr>
  </w:style>
  <w:style w:type="numbering" w:customStyle="1" w:styleId="List11">
    <w:name w:val="List 11"/>
    <w:pPr>
      <w:numPr>
        <w:numId w:val="7"/>
      </w:numPr>
    </w:pPr>
  </w:style>
  <w:style w:type="numbering" w:customStyle="1" w:styleId="List12">
    <w:name w:val="List 12"/>
    <w:pPr>
      <w:numPr>
        <w:numId w:val="36"/>
      </w:numPr>
    </w:pPr>
  </w:style>
  <w:style w:type="numbering" w:customStyle="1" w:styleId="List13">
    <w:name w:val="List 13"/>
    <w:pPr>
      <w:numPr>
        <w:numId w:val="42"/>
      </w:numPr>
    </w:pPr>
  </w:style>
  <w:style w:type="numbering" w:customStyle="1" w:styleId="List14">
    <w:name w:val="List 14"/>
    <w:pPr>
      <w:numPr>
        <w:numId w:val="17"/>
      </w:numPr>
    </w:pPr>
  </w:style>
  <w:style w:type="numbering" w:customStyle="1" w:styleId="List15">
    <w:name w:val="List 15"/>
    <w:pPr>
      <w:numPr>
        <w:numId w:val="16"/>
      </w:numPr>
    </w:pPr>
  </w:style>
  <w:style w:type="numbering" w:customStyle="1" w:styleId="List16">
    <w:name w:val="List 16"/>
    <w:pPr>
      <w:numPr>
        <w:numId w:val="10"/>
      </w:numPr>
    </w:pPr>
  </w:style>
  <w:style w:type="numbering" w:customStyle="1" w:styleId="List17">
    <w:name w:val="List 17"/>
    <w:pPr>
      <w:numPr>
        <w:numId w:val="25"/>
      </w:numPr>
    </w:pPr>
  </w:style>
  <w:style w:type="numbering" w:customStyle="1" w:styleId="List18">
    <w:name w:val="List 18"/>
    <w:pPr>
      <w:numPr>
        <w:numId w:val="27"/>
      </w:numPr>
    </w:pPr>
  </w:style>
  <w:style w:type="numbering" w:customStyle="1" w:styleId="List19">
    <w:name w:val="List 19"/>
    <w:pPr>
      <w:numPr>
        <w:numId w:val="19"/>
      </w:numPr>
    </w:pPr>
  </w:style>
  <w:style w:type="numbering" w:customStyle="1" w:styleId="List20">
    <w:name w:val="List 20"/>
    <w:pPr>
      <w:numPr>
        <w:numId w:val="43"/>
      </w:numPr>
    </w:pPr>
  </w:style>
  <w:style w:type="numbering" w:customStyle="1" w:styleId="List21">
    <w:name w:val="List 21"/>
    <w:pPr>
      <w:numPr>
        <w:numId w:val="38"/>
      </w:numPr>
    </w:pPr>
  </w:style>
  <w:style w:type="numbering" w:customStyle="1" w:styleId="List22">
    <w:name w:val="List 22"/>
    <w:pPr>
      <w:numPr>
        <w:numId w:val="28"/>
      </w:numPr>
    </w:pPr>
  </w:style>
  <w:style w:type="numbering" w:customStyle="1" w:styleId="List23">
    <w:name w:val="List 23"/>
    <w:pPr>
      <w:numPr>
        <w:numId w:val="18"/>
      </w:numPr>
    </w:pPr>
  </w:style>
  <w:style w:type="numbering" w:customStyle="1" w:styleId="List24">
    <w:name w:val="List 24"/>
    <w:pPr>
      <w:numPr>
        <w:numId w:val="13"/>
      </w:numPr>
    </w:pPr>
  </w:style>
  <w:style w:type="numbering" w:customStyle="1" w:styleId="List25">
    <w:name w:val="List 25"/>
    <w:pPr>
      <w:numPr>
        <w:numId w:val="15"/>
      </w:numPr>
    </w:pPr>
  </w:style>
  <w:style w:type="numbering" w:customStyle="1" w:styleId="List26">
    <w:name w:val="List 26"/>
    <w:pPr>
      <w:numPr>
        <w:numId w:val="49"/>
      </w:numPr>
    </w:pPr>
  </w:style>
  <w:style w:type="numbering" w:customStyle="1" w:styleId="List27">
    <w:name w:val="List 27"/>
    <w:pPr>
      <w:numPr>
        <w:numId w:val="41"/>
      </w:numPr>
    </w:pPr>
  </w:style>
  <w:style w:type="numbering" w:customStyle="1" w:styleId="List28">
    <w:name w:val="List 28"/>
    <w:pPr>
      <w:numPr>
        <w:numId w:val="30"/>
      </w:numPr>
    </w:pPr>
  </w:style>
  <w:style w:type="numbering" w:customStyle="1" w:styleId="List29">
    <w:name w:val="List 29"/>
    <w:pPr>
      <w:numPr>
        <w:numId w:val="34"/>
      </w:numPr>
    </w:pPr>
  </w:style>
  <w:style w:type="numbering" w:customStyle="1" w:styleId="List30">
    <w:name w:val="List 30"/>
    <w:pPr>
      <w:numPr>
        <w:numId w:val="32"/>
      </w:numPr>
    </w:pPr>
  </w:style>
  <w:style w:type="numbering" w:customStyle="1" w:styleId="List310">
    <w:name w:val="List 31"/>
    <w:pPr>
      <w:numPr>
        <w:numId w:val="45"/>
      </w:numPr>
    </w:pPr>
  </w:style>
  <w:style w:type="numbering" w:customStyle="1" w:styleId="List32">
    <w:name w:val="List 32"/>
    <w:pPr>
      <w:numPr>
        <w:numId w:val="48"/>
      </w:numPr>
    </w:pPr>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qFormat/>
    <w:rPr>
      <w:rFonts w:ascii="Calibri" w:eastAsia="Calibri" w:hAnsi="Calibri" w:cs="Calibri"/>
      <w:color w:val="000000"/>
      <w:u w:color="000000"/>
      <w:lang w:val="en-US"/>
    </w:rPr>
  </w:style>
  <w:style w:type="numbering" w:customStyle="1" w:styleId="List33">
    <w:name w:val="List 33"/>
    <w:pPr>
      <w:numPr>
        <w:numId w:val="26"/>
      </w:numPr>
    </w:pPr>
  </w:style>
  <w:style w:type="numbering" w:customStyle="1" w:styleId="List34">
    <w:name w:val="List 34"/>
    <w:pPr>
      <w:numPr>
        <w:numId w:val="11"/>
      </w:numPr>
    </w:pPr>
  </w:style>
  <w:style w:type="numbering" w:customStyle="1" w:styleId="List35">
    <w:name w:val="List 35"/>
    <w:pPr>
      <w:numPr>
        <w:numId w:val="8"/>
      </w:numPr>
    </w:pPr>
  </w:style>
  <w:style w:type="numbering" w:customStyle="1" w:styleId="List36">
    <w:name w:val="List 36"/>
    <w:pPr>
      <w:numPr>
        <w:numId w:val="14"/>
      </w:numPr>
    </w:pPr>
  </w:style>
  <w:style w:type="numbering" w:customStyle="1" w:styleId="List37">
    <w:name w:val="List 37"/>
    <w:pPr>
      <w:numPr>
        <w:numId w:val="47"/>
      </w:numPr>
    </w:pPr>
  </w:style>
  <w:style w:type="numbering" w:customStyle="1" w:styleId="List38">
    <w:name w:val="List 38"/>
    <w:pPr>
      <w:numPr>
        <w:numId w:val="35"/>
      </w:numPr>
    </w:pPr>
  </w:style>
  <w:style w:type="numbering" w:customStyle="1" w:styleId="List39">
    <w:name w:val="List 39"/>
    <w:pPr>
      <w:numPr>
        <w:numId w:val="46"/>
      </w:numPr>
    </w:pPr>
  </w:style>
  <w:style w:type="numbering" w:customStyle="1" w:styleId="List40">
    <w:name w:val="List 40"/>
    <w:pPr>
      <w:numPr>
        <w:numId w:val="21"/>
      </w:numPr>
    </w:pPr>
  </w:style>
  <w:style w:type="numbering" w:customStyle="1" w:styleId="List410">
    <w:name w:val="List 41"/>
    <w:pPr>
      <w:numPr>
        <w:numId w:val="44"/>
      </w:numPr>
    </w:pPr>
  </w:style>
  <w:style w:type="numbering" w:customStyle="1" w:styleId="List42">
    <w:name w:val="List 42"/>
    <w:pPr>
      <w:numPr>
        <w:numId w:val="12"/>
      </w:numPr>
    </w:pPr>
  </w:style>
  <w:style w:type="numbering" w:customStyle="1" w:styleId="List43">
    <w:name w:val="List 43"/>
    <w:pPr>
      <w:numPr>
        <w:numId w:val="23"/>
      </w:numPr>
    </w:pPr>
  </w:style>
  <w:style w:type="numbering" w:customStyle="1" w:styleId="List44">
    <w:name w:val="List 44"/>
    <w:pPr>
      <w:numPr>
        <w:numId w:val="40"/>
      </w:numPr>
    </w:pPr>
  </w:style>
  <w:style w:type="numbering" w:customStyle="1" w:styleId="List45">
    <w:name w:val="List 45"/>
    <w:pPr>
      <w:numPr>
        <w:numId w:val="20"/>
      </w:numPr>
    </w:pPr>
  </w:style>
  <w:style w:type="numbering" w:customStyle="1" w:styleId="List46">
    <w:name w:val="List 46"/>
    <w:pPr>
      <w:numPr>
        <w:numId w:val="24"/>
      </w:numPr>
    </w:pPr>
  </w:style>
  <w:style w:type="numbering" w:customStyle="1" w:styleId="List47">
    <w:name w:val="List 47"/>
    <w:pPr>
      <w:numPr>
        <w:numId w:val="29"/>
      </w:numPr>
    </w:pPr>
  </w:style>
  <w:style w:type="numbering" w:customStyle="1" w:styleId="List48">
    <w:name w:val="List 48"/>
    <w:pPr>
      <w:numPr>
        <w:numId w:val="50"/>
      </w:numPr>
    </w:pPr>
  </w:style>
  <w:style w:type="numbering" w:customStyle="1" w:styleId="List49">
    <w:name w:val="List 49"/>
    <w:pPr>
      <w:numPr>
        <w:numId w:val="39"/>
      </w:numPr>
    </w:pPr>
  </w:style>
  <w:style w:type="numbering" w:customStyle="1" w:styleId="List50">
    <w:name w:val="List 50"/>
    <w:pPr>
      <w:numPr>
        <w:numId w:val="37"/>
      </w:numPr>
    </w:pPr>
  </w:style>
  <w:style w:type="numbering" w:customStyle="1" w:styleId="List51">
    <w:name w:val="List 51"/>
    <w:pPr>
      <w:numPr>
        <w:numId w:val="33"/>
      </w:numPr>
    </w:pPr>
  </w:style>
  <w:style w:type="numbering" w:customStyle="1" w:styleId="List52">
    <w:name w:val="List 52"/>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link w:val="Char2"/>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uiPriority w:val="99"/>
    <w:qForma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
    <w:name w:val="Char2"/>
    <w:basedOn w:val="Normal"/>
    <w:link w:val="FootnoteReference"/>
    <w:rsid w:val="00B65530"/>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sz w:val="20"/>
      <w:szCs w:val="20"/>
      <w:vertAlign w:val="superscript"/>
      <w:lang w:val="es-ES" w:eastAsia="es-ES"/>
    </w:rPr>
  </w:style>
  <w:style w:type="paragraph" w:customStyle="1" w:styleId="FootnotesrefssChar1Char">
    <w:name w:val="Footnotes refss Char1 Char"/>
    <w:aliases w:val="Texto de nota al pie Char1 Char,Appel note de bas de page Char1 Char,Footnote number Char1 Char,referencia nota al pie Char1 Char,BVI fnr Char1 Char,f Char1 Char,4_G Char1 Char,16 Point Char1 Char"/>
    <w:basedOn w:val="Normal"/>
    <w:qFormat/>
    <w:rsid w:val="00EB35FA"/>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sz w:val="20"/>
      <w:szCs w:val="20"/>
      <w:vertAlign w:val="superscript"/>
      <w:lang w:val="es-ES" w:eastAsia="es-ES"/>
    </w:rPr>
  </w:style>
  <w:style w:type="paragraph" w:customStyle="1" w:styleId="parrafos">
    <w:name w:val="parrafos"/>
    <w:basedOn w:val="Normal"/>
    <w:link w:val="parrafosChar"/>
    <w:qFormat/>
    <w:rsid w:val="00EB35FA"/>
    <w:pPr>
      <w:numPr>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ind w:left="0" w:firstLine="0"/>
      <w:jc w:val="both"/>
    </w:pPr>
    <w:rPr>
      <w:rFonts w:asciiTheme="majorHAnsi" w:hAnsiTheme="majorHAnsi"/>
      <w:color w:val="000000" w:themeColor="text1"/>
      <w:sz w:val="20"/>
      <w:szCs w:val="20"/>
      <w:lang w:val="es-VE"/>
    </w:rPr>
  </w:style>
  <w:style w:type="character" w:customStyle="1" w:styleId="parrafosChar">
    <w:name w:val="parrafos Char"/>
    <w:basedOn w:val="DefaultParagraphFont"/>
    <w:link w:val="parrafos"/>
    <w:rsid w:val="00EB35FA"/>
    <w:rPr>
      <w:rFonts w:asciiTheme="majorHAnsi" w:hAnsiTheme="majorHAnsi"/>
      <w:color w:val="000000" w:themeColor="text1"/>
      <w:lang w:val="es-VE" w:eastAsia="en-US"/>
    </w:rPr>
  </w:style>
  <w:style w:type="character" w:styleId="CommentReference">
    <w:name w:val="annotation reference"/>
    <w:basedOn w:val="DefaultParagraphFont"/>
    <w:uiPriority w:val="99"/>
    <w:semiHidden/>
    <w:unhideWhenUsed/>
    <w:rsid w:val="0008581E"/>
    <w:rPr>
      <w:sz w:val="16"/>
      <w:szCs w:val="16"/>
    </w:rPr>
  </w:style>
  <w:style w:type="paragraph" w:styleId="CommentText">
    <w:name w:val="annotation text"/>
    <w:basedOn w:val="Normal"/>
    <w:link w:val="CommentTextChar"/>
    <w:uiPriority w:val="99"/>
    <w:semiHidden/>
    <w:unhideWhenUsed/>
    <w:rsid w:val="0008581E"/>
    <w:rPr>
      <w:sz w:val="20"/>
      <w:szCs w:val="20"/>
    </w:rPr>
  </w:style>
  <w:style w:type="character" w:customStyle="1" w:styleId="CommentTextChar">
    <w:name w:val="Comment Text Char"/>
    <w:basedOn w:val="DefaultParagraphFont"/>
    <w:link w:val="CommentText"/>
    <w:uiPriority w:val="99"/>
    <w:semiHidden/>
    <w:rsid w:val="0008581E"/>
    <w:rPr>
      <w:lang w:val="en-US" w:eastAsia="en-US"/>
    </w:rPr>
  </w:style>
  <w:style w:type="paragraph" w:styleId="CommentSubject">
    <w:name w:val="annotation subject"/>
    <w:basedOn w:val="CommentText"/>
    <w:next w:val="CommentText"/>
    <w:link w:val="CommentSubjectChar"/>
    <w:uiPriority w:val="99"/>
    <w:semiHidden/>
    <w:unhideWhenUsed/>
    <w:rsid w:val="0008581E"/>
    <w:rPr>
      <w:b/>
      <w:bCs/>
    </w:rPr>
  </w:style>
  <w:style w:type="character" w:customStyle="1" w:styleId="CommentSubjectChar">
    <w:name w:val="Comment Subject Char"/>
    <w:basedOn w:val="CommentTextChar"/>
    <w:link w:val="CommentSubject"/>
    <w:uiPriority w:val="99"/>
    <w:semiHidden/>
    <w:rsid w:val="0008581E"/>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2959834">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4049"/>
    <w:rsid w:val="00200821"/>
    <w:rsid w:val="0025245B"/>
    <w:rsid w:val="00266557"/>
    <w:rsid w:val="002A3923"/>
    <w:rsid w:val="00394049"/>
    <w:rsid w:val="003B0C71"/>
    <w:rsid w:val="004B5BBB"/>
    <w:rsid w:val="004F2DF8"/>
    <w:rsid w:val="00517E2A"/>
    <w:rsid w:val="006D3128"/>
    <w:rsid w:val="006F24A1"/>
    <w:rsid w:val="00875B8A"/>
    <w:rsid w:val="008953BC"/>
    <w:rsid w:val="00944013"/>
    <w:rsid w:val="009A261B"/>
    <w:rsid w:val="00AA2E17"/>
    <w:rsid w:val="00AC15A4"/>
    <w:rsid w:val="00B0336C"/>
    <w:rsid w:val="00B754DD"/>
    <w:rsid w:val="00C60155"/>
    <w:rsid w:val="00D241E9"/>
    <w:rsid w:val="00D7750D"/>
    <w:rsid w:val="00E26032"/>
    <w:rsid w:val="00EC58C5"/>
    <w:rsid w:val="00F00D2F"/>
    <w:rsid w:val="00F06F23"/>
    <w:rsid w:val="00F128D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C95626-5AB0-4ADD-B919-3F5DD8142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4471</Words>
  <Characters>25490</Characters>
  <Application>Microsoft Office Word</Application>
  <DocSecurity>0</DocSecurity>
  <Lines>212</Lines>
  <Paragraphs>59</Paragraphs>
  <ScaleCrop>false</ScaleCrop>
  <Company/>
  <LinksUpToDate>false</LinksUpToDate>
  <CharactersWithSpaces>29902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2023-07-31T17:04:00Z</dcterms:created>
  <dcterms:modified xsi:type="dcterms:W3CDTF">2023-07-31T17:04:00Z</dcterms:modified>
</cp:coreProperties>
</file>