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61" w:rsidRPr="00AA613E" w:rsidRDefault="00A36C91" w:rsidP="003D5261">
      <w:pPr>
        <w:spacing w:after="0" w:line="240" w:lineRule="auto"/>
        <w:jc w:val="center"/>
        <w:rPr>
          <w:rFonts w:ascii="Cambria" w:hAnsi="Cambria"/>
          <w:b/>
          <w:color w:val="000000" w:themeColor="text1"/>
          <w:szCs w:val="21"/>
          <w:lang w:val="fr-FR"/>
        </w:rPr>
      </w:pPr>
      <w:r w:rsidRPr="00AA613E">
        <w:rPr>
          <w:rFonts w:ascii="Cambria" w:hAnsi="Cambria"/>
          <w:b/>
          <w:color w:val="000000" w:themeColor="text1"/>
          <w:szCs w:val="21"/>
          <w:lang w:val="fr-FR"/>
        </w:rPr>
        <w:t xml:space="preserve"> </w:t>
      </w:r>
      <w:r w:rsidR="003D5261" w:rsidRPr="00AA613E">
        <w:rPr>
          <w:rFonts w:ascii="Cambria" w:hAnsi="Cambria"/>
          <w:b/>
          <w:color w:val="000000" w:themeColor="text1"/>
          <w:szCs w:val="21"/>
          <w:lang w:val="fr-FR"/>
        </w:rPr>
        <w:t>COM</w:t>
      </w:r>
      <w:r w:rsidR="00F61599" w:rsidRPr="00AA613E">
        <w:rPr>
          <w:rFonts w:ascii="Cambria" w:hAnsi="Cambria"/>
          <w:b/>
          <w:color w:val="000000" w:themeColor="text1"/>
          <w:szCs w:val="21"/>
          <w:lang w:val="fr-FR"/>
        </w:rPr>
        <w:t>MISSION INTERAMÉ</w:t>
      </w:r>
      <w:r w:rsidR="003D5261" w:rsidRPr="00AA613E">
        <w:rPr>
          <w:rFonts w:ascii="Cambria" w:hAnsi="Cambria"/>
          <w:b/>
          <w:color w:val="000000" w:themeColor="text1"/>
          <w:szCs w:val="21"/>
          <w:lang w:val="fr-FR"/>
        </w:rPr>
        <w:t>RICA</w:t>
      </w:r>
      <w:r w:rsidR="00F61599" w:rsidRPr="00AA613E">
        <w:rPr>
          <w:rFonts w:ascii="Cambria" w:hAnsi="Cambria"/>
          <w:b/>
          <w:color w:val="000000" w:themeColor="text1"/>
          <w:szCs w:val="21"/>
          <w:lang w:val="fr-FR"/>
        </w:rPr>
        <w:t>INE DES DROITS DE L’HOMME</w:t>
      </w:r>
    </w:p>
    <w:p w:rsidR="003D5261" w:rsidRPr="00AA613E" w:rsidRDefault="00EC2032" w:rsidP="003D5261">
      <w:pPr>
        <w:spacing w:after="0" w:line="240" w:lineRule="auto"/>
        <w:jc w:val="center"/>
        <w:rPr>
          <w:rFonts w:ascii="Cambria" w:hAnsi="Cambria"/>
          <w:b/>
          <w:color w:val="000000" w:themeColor="text1"/>
          <w:sz w:val="21"/>
          <w:szCs w:val="21"/>
          <w:lang w:val="fr-FR"/>
        </w:rPr>
      </w:pPr>
      <w:r w:rsidRPr="00AA613E">
        <w:rPr>
          <w:rFonts w:ascii="Cambria" w:hAnsi="Cambria"/>
          <w:b/>
          <w:color w:val="000000" w:themeColor="text1"/>
          <w:szCs w:val="21"/>
          <w:lang w:val="fr-FR"/>
        </w:rPr>
        <w:t>R</w:t>
      </w:r>
      <w:r w:rsidR="00F61599" w:rsidRPr="00AA613E">
        <w:rPr>
          <w:rFonts w:ascii="Cambria" w:hAnsi="Cambria"/>
          <w:b/>
          <w:color w:val="000000" w:themeColor="text1"/>
          <w:szCs w:val="21"/>
          <w:lang w:val="fr-FR"/>
        </w:rPr>
        <w:t>ÉSOLUTION</w:t>
      </w:r>
      <w:r w:rsidRPr="00AA613E">
        <w:rPr>
          <w:rFonts w:ascii="Cambria" w:hAnsi="Cambria"/>
          <w:b/>
          <w:color w:val="000000" w:themeColor="text1"/>
          <w:szCs w:val="21"/>
          <w:lang w:val="fr-FR"/>
        </w:rPr>
        <w:t xml:space="preserve"> </w:t>
      </w:r>
      <w:r w:rsidR="008F374D" w:rsidRPr="00AA613E">
        <w:rPr>
          <w:rFonts w:ascii="Cambria" w:hAnsi="Cambria"/>
          <w:b/>
          <w:color w:val="000000" w:themeColor="text1"/>
          <w:szCs w:val="21"/>
          <w:lang w:val="fr-FR"/>
        </w:rPr>
        <w:t>13</w:t>
      </w:r>
      <w:r w:rsidRPr="00AA613E">
        <w:rPr>
          <w:rFonts w:ascii="Cambria" w:hAnsi="Cambria"/>
          <w:b/>
          <w:color w:val="000000" w:themeColor="text1"/>
          <w:szCs w:val="21"/>
          <w:lang w:val="fr-FR"/>
        </w:rPr>
        <w:t>/2017</w:t>
      </w:r>
    </w:p>
    <w:p w:rsidR="00EC2032" w:rsidRPr="00AA613E" w:rsidRDefault="00EC2032" w:rsidP="003D5261">
      <w:pPr>
        <w:spacing w:after="0" w:line="240" w:lineRule="auto"/>
        <w:jc w:val="center"/>
        <w:rPr>
          <w:rFonts w:ascii="Cambria" w:hAnsi="Cambria"/>
          <w:color w:val="000000" w:themeColor="text1"/>
          <w:sz w:val="21"/>
          <w:szCs w:val="21"/>
          <w:lang w:val="fr-FR"/>
        </w:rPr>
      </w:pPr>
    </w:p>
    <w:p w:rsidR="003D5261" w:rsidRPr="00AA613E" w:rsidRDefault="002B4AB8" w:rsidP="003D5261">
      <w:pPr>
        <w:spacing w:after="0" w:line="240" w:lineRule="auto"/>
        <w:jc w:val="center"/>
        <w:rPr>
          <w:rFonts w:ascii="Cambria" w:hAnsi="Cambria"/>
          <w:color w:val="000000" w:themeColor="text1"/>
          <w:szCs w:val="21"/>
          <w:lang w:val="fr-FR"/>
        </w:rPr>
      </w:pPr>
      <w:r w:rsidRPr="00AA613E">
        <w:rPr>
          <w:rFonts w:ascii="Cambria" w:hAnsi="Cambria"/>
          <w:color w:val="000000" w:themeColor="text1"/>
          <w:szCs w:val="21"/>
          <w:lang w:val="fr-FR"/>
        </w:rPr>
        <w:t>Mesure conservatoire</w:t>
      </w:r>
      <w:r w:rsidR="00F61599" w:rsidRPr="00AA613E">
        <w:rPr>
          <w:rFonts w:ascii="Cambria" w:hAnsi="Cambria"/>
          <w:color w:val="000000" w:themeColor="text1"/>
          <w:szCs w:val="21"/>
          <w:lang w:val="fr-FR"/>
        </w:rPr>
        <w:t xml:space="preserve"> n°</w:t>
      </w:r>
      <w:r w:rsidR="00EC2032" w:rsidRPr="00AA613E">
        <w:rPr>
          <w:rFonts w:ascii="Cambria" w:hAnsi="Cambria"/>
          <w:color w:val="000000" w:themeColor="text1"/>
          <w:szCs w:val="21"/>
          <w:lang w:val="fr-FR"/>
        </w:rPr>
        <w:t>125-17</w:t>
      </w:r>
    </w:p>
    <w:p w:rsidR="003D5261" w:rsidRPr="00AA613E" w:rsidRDefault="003D5261" w:rsidP="003D5261">
      <w:pPr>
        <w:spacing w:after="0" w:line="240" w:lineRule="auto"/>
        <w:jc w:val="both"/>
        <w:rPr>
          <w:rFonts w:ascii="Cambria" w:hAnsi="Cambria"/>
          <w:color w:val="000000" w:themeColor="text1"/>
          <w:sz w:val="21"/>
          <w:szCs w:val="21"/>
          <w:lang w:val="fr-FR"/>
        </w:rPr>
      </w:pPr>
    </w:p>
    <w:p w:rsidR="003D5261" w:rsidRPr="00AA613E" w:rsidRDefault="00F61599" w:rsidP="003D5261">
      <w:pPr>
        <w:spacing w:after="0" w:line="240" w:lineRule="auto"/>
        <w:jc w:val="center"/>
        <w:rPr>
          <w:rFonts w:ascii="Cambria" w:hAnsi="Cambria"/>
          <w:color w:val="000000" w:themeColor="text1"/>
          <w:sz w:val="26"/>
          <w:szCs w:val="26"/>
          <w:lang w:val="fr-FR"/>
        </w:rPr>
      </w:pPr>
      <w:r w:rsidRPr="00AA613E">
        <w:rPr>
          <w:rFonts w:ascii="Cambria" w:hAnsi="Cambria"/>
          <w:color w:val="000000" w:themeColor="text1"/>
          <w:sz w:val="26"/>
          <w:szCs w:val="26"/>
          <w:lang w:val="fr-FR"/>
        </w:rPr>
        <w:t xml:space="preserve">Pénitencier national et hôpital général de Port-au-Prince, Haïti </w:t>
      </w:r>
    </w:p>
    <w:p w:rsidR="003D5261" w:rsidRPr="00AA613E" w:rsidRDefault="008F374D" w:rsidP="002F4372">
      <w:pPr>
        <w:spacing w:after="0" w:line="240" w:lineRule="auto"/>
        <w:jc w:val="center"/>
        <w:rPr>
          <w:rFonts w:ascii="Cambria" w:hAnsi="Cambria"/>
          <w:color w:val="000000" w:themeColor="text1"/>
          <w:sz w:val="20"/>
          <w:szCs w:val="21"/>
          <w:lang w:val="fr-FR"/>
        </w:rPr>
      </w:pPr>
      <w:r w:rsidRPr="00AA613E">
        <w:rPr>
          <w:rFonts w:ascii="Cambria" w:hAnsi="Cambria"/>
          <w:color w:val="000000" w:themeColor="text1"/>
          <w:sz w:val="20"/>
          <w:szCs w:val="21"/>
          <w:lang w:val="fr-FR"/>
        </w:rPr>
        <w:t xml:space="preserve">26 </w:t>
      </w:r>
      <w:r w:rsidR="000B06FB">
        <w:rPr>
          <w:rFonts w:ascii="Cambria" w:hAnsi="Cambria"/>
          <w:color w:val="000000" w:themeColor="text1"/>
          <w:sz w:val="20"/>
          <w:szCs w:val="21"/>
          <w:lang w:val="fr-FR"/>
        </w:rPr>
        <w:t>M</w:t>
      </w:r>
      <w:r w:rsidR="00F61599" w:rsidRPr="00AA613E">
        <w:rPr>
          <w:rFonts w:ascii="Cambria" w:hAnsi="Cambria"/>
          <w:color w:val="000000" w:themeColor="text1"/>
          <w:sz w:val="20"/>
          <w:szCs w:val="21"/>
          <w:lang w:val="fr-FR"/>
        </w:rPr>
        <w:t>ai</w:t>
      </w:r>
      <w:r w:rsidR="00EC2032" w:rsidRPr="00AA613E">
        <w:rPr>
          <w:rFonts w:ascii="Cambria" w:hAnsi="Cambria"/>
          <w:color w:val="000000" w:themeColor="text1"/>
          <w:sz w:val="20"/>
          <w:szCs w:val="21"/>
          <w:lang w:val="fr-FR"/>
        </w:rPr>
        <w:t xml:space="preserve"> 2017</w:t>
      </w:r>
      <w:bookmarkStart w:id="0" w:name="_GoBack"/>
      <w:bookmarkEnd w:id="0"/>
    </w:p>
    <w:p w:rsidR="003D5261" w:rsidRPr="00AA613E" w:rsidRDefault="003D5261" w:rsidP="003D5261">
      <w:pPr>
        <w:spacing w:after="0" w:line="240" w:lineRule="auto"/>
        <w:jc w:val="both"/>
        <w:rPr>
          <w:rFonts w:ascii="Cambria" w:hAnsi="Cambria"/>
          <w:color w:val="000000" w:themeColor="text1"/>
          <w:sz w:val="21"/>
          <w:szCs w:val="21"/>
          <w:lang w:val="fr-FR"/>
        </w:rPr>
      </w:pPr>
    </w:p>
    <w:p w:rsidR="00C37486" w:rsidRPr="00AA613E" w:rsidRDefault="00C37486" w:rsidP="003D5261">
      <w:pPr>
        <w:spacing w:after="0" w:line="240" w:lineRule="auto"/>
        <w:jc w:val="both"/>
        <w:rPr>
          <w:rFonts w:ascii="Cambria" w:hAnsi="Cambria"/>
          <w:color w:val="000000" w:themeColor="text1"/>
          <w:sz w:val="21"/>
          <w:szCs w:val="21"/>
          <w:lang w:val="fr-FR"/>
        </w:rPr>
      </w:pPr>
    </w:p>
    <w:p w:rsidR="003D5261" w:rsidRPr="00AA613E" w:rsidRDefault="00EE38DF" w:rsidP="00EC2032">
      <w:pPr>
        <w:pStyle w:val="ListParagraph"/>
        <w:numPr>
          <w:ilvl w:val="0"/>
          <w:numId w:val="15"/>
        </w:numPr>
        <w:spacing w:after="0" w:line="240" w:lineRule="auto"/>
        <w:jc w:val="both"/>
        <w:rPr>
          <w:rFonts w:ascii="Cambria" w:hAnsi="Cambria"/>
          <w:b/>
          <w:color w:val="000000" w:themeColor="text1"/>
          <w:sz w:val="21"/>
          <w:szCs w:val="21"/>
          <w:lang w:val="fr-FR"/>
        </w:rPr>
      </w:pPr>
      <w:r w:rsidRPr="00AA613E">
        <w:rPr>
          <w:rFonts w:ascii="Cambria" w:hAnsi="Cambria"/>
          <w:b/>
          <w:color w:val="000000" w:themeColor="text1"/>
          <w:sz w:val="21"/>
          <w:szCs w:val="21"/>
          <w:lang w:val="fr-FR"/>
        </w:rPr>
        <w:t>INTRODUCTIO</w:t>
      </w:r>
      <w:r w:rsidR="003D5261" w:rsidRPr="00AA613E">
        <w:rPr>
          <w:rFonts w:ascii="Cambria" w:hAnsi="Cambria"/>
          <w:b/>
          <w:color w:val="000000" w:themeColor="text1"/>
          <w:sz w:val="21"/>
          <w:szCs w:val="21"/>
          <w:lang w:val="fr-FR"/>
        </w:rPr>
        <w:t>N</w:t>
      </w:r>
    </w:p>
    <w:p w:rsidR="00EC2032" w:rsidRPr="00AA613E" w:rsidRDefault="00EC2032" w:rsidP="003D5261">
      <w:pPr>
        <w:spacing w:after="0" w:line="240" w:lineRule="auto"/>
        <w:jc w:val="both"/>
        <w:rPr>
          <w:rFonts w:ascii="Cambria" w:hAnsi="Cambria"/>
          <w:b/>
          <w:color w:val="000000" w:themeColor="text1"/>
          <w:sz w:val="21"/>
          <w:szCs w:val="21"/>
          <w:lang w:val="fr-FR"/>
        </w:rPr>
      </w:pPr>
    </w:p>
    <w:p w:rsidR="00EC2032" w:rsidRPr="00AA613E" w:rsidRDefault="00D01040" w:rsidP="003D5261">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Le 26 février 2017, la Commission interaméricaine des droits de l’homme (ci-après « la Commission interaméricaine », « la Commission » ou « la CIDH ») a reçu une demande de </w:t>
      </w:r>
      <w:r w:rsidR="002B4AB8" w:rsidRPr="00AA613E">
        <w:rPr>
          <w:rFonts w:ascii="Cambria" w:hAnsi="Cambria"/>
          <w:color w:val="000000" w:themeColor="text1"/>
          <w:sz w:val="21"/>
          <w:szCs w:val="21"/>
          <w:lang w:val="fr-FR"/>
        </w:rPr>
        <w:t>mesures conservatoires</w:t>
      </w:r>
      <w:r w:rsidRPr="00AA613E">
        <w:rPr>
          <w:rFonts w:ascii="Cambria" w:hAnsi="Cambria"/>
          <w:color w:val="000000" w:themeColor="text1"/>
          <w:sz w:val="21"/>
          <w:szCs w:val="21"/>
          <w:lang w:val="fr-FR"/>
        </w:rPr>
        <w:t xml:space="preserve"> soumise par les organisations non gouvernementales </w:t>
      </w:r>
      <w:proofErr w:type="spellStart"/>
      <w:r w:rsidR="00FB46FC" w:rsidRPr="00AA613E">
        <w:rPr>
          <w:rFonts w:ascii="Cambria" w:hAnsi="Cambria"/>
          <w:i/>
          <w:color w:val="000000" w:themeColor="text1"/>
          <w:sz w:val="21"/>
          <w:szCs w:val="21"/>
          <w:lang w:val="fr-FR"/>
        </w:rPr>
        <w:t>Franciscans</w:t>
      </w:r>
      <w:proofErr w:type="spellEnd"/>
      <w:r w:rsidR="00FB46FC" w:rsidRPr="00AA613E">
        <w:rPr>
          <w:rFonts w:ascii="Cambria" w:hAnsi="Cambria"/>
          <w:i/>
          <w:color w:val="000000" w:themeColor="text1"/>
          <w:sz w:val="21"/>
          <w:szCs w:val="21"/>
          <w:lang w:val="fr-FR"/>
        </w:rPr>
        <w:t xml:space="preserve"> International</w:t>
      </w:r>
      <w:r w:rsidR="00FB46FC" w:rsidRPr="00AA613E">
        <w:rPr>
          <w:rFonts w:ascii="Cambria" w:hAnsi="Cambria"/>
          <w:color w:val="000000" w:themeColor="text1"/>
          <w:sz w:val="21"/>
          <w:szCs w:val="21"/>
          <w:lang w:val="fr-FR"/>
        </w:rPr>
        <w:t xml:space="preserve"> </w:t>
      </w:r>
      <w:r w:rsidRPr="00AA613E">
        <w:rPr>
          <w:rFonts w:ascii="Cambria" w:hAnsi="Cambria"/>
          <w:color w:val="000000" w:themeColor="text1"/>
          <w:sz w:val="21"/>
          <w:szCs w:val="21"/>
          <w:lang w:val="fr-FR"/>
        </w:rPr>
        <w:t xml:space="preserve">et </w:t>
      </w:r>
      <w:r w:rsidR="00AA433C" w:rsidRPr="00AA613E">
        <w:rPr>
          <w:rFonts w:ascii="Cambria" w:hAnsi="Cambria"/>
          <w:i/>
          <w:color w:val="000000" w:themeColor="text1"/>
          <w:sz w:val="21"/>
          <w:szCs w:val="21"/>
          <w:lang w:val="fr-FR"/>
        </w:rPr>
        <w:t>Commission épiscopale n</w:t>
      </w:r>
      <w:r w:rsidR="00FB46FC" w:rsidRPr="00AA613E">
        <w:rPr>
          <w:rFonts w:ascii="Cambria" w:hAnsi="Cambria"/>
          <w:i/>
          <w:color w:val="000000" w:themeColor="text1"/>
          <w:sz w:val="21"/>
          <w:szCs w:val="21"/>
          <w:lang w:val="fr-FR"/>
        </w:rPr>
        <w:t>ationale Justice et Paix</w:t>
      </w:r>
      <w:r w:rsidR="00095791" w:rsidRPr="00AA613E">
        <w:rPr>
          <w:rStyle w:val="FootnoteReference"/>
          <w:rFonts w:ascii="Cambria" w:hAnsi="Cambria"/>
          <w:color w:val="000000" w:themeColor="text1"/>
          <w:sz w:val="21"/>
          <w:szCs w:val="21"/>
          <w:lang w:val="fr-FR"/>
        </w:rPr>
        <w:footnoteReference w:id="1"/>
      </w:r>
      <w:r w:rsidR="00FB46FC" w:rsidRPr="00AA613E">
        <w:rPr>
          <w:rFonts w:ascii="Cambria" w:hAnsi="Cambria"/>
          <w:color w:val="000000" w:themeColor="text1"/>
          <w:sz w:val="21"/>
          <w:szCs w:val="21"/>
          <w:lang w:val="fr-FR"/>
        </w:rPr>
        <w:t xml:space="preserve"> </w:t>
      </w:r>
      <w:r w:rsidR="003D5261" w:rsidRPr="00AA613E">
        <w:rPr>
          <w:rFonts w:ascii="Cambria" w:hAnsi="Cambria"/>
          <w:color w:val="000000" w:themeColor="text1"/>
          <w:sz w:val="21"/>
          <w:szCs w:val="21"/>
          <w:lang w:val="fr-FR"/>
        </w:rPr>
        <w:t>(</w:t>
      </w:r>
      <w:r w:rsidRPr="00AA613E">
        <w:rPr>
          <w:rFonts w:ascii="Cambria" w:hAnsi="Cambria"/>
          <w:color w:val="000000" w:themeColor="text1"/>
          <w:sz w:val="21"/>
          <w:szCs w:val="21"/>
          <w:lang w:val="fr-FR"/>
        </w:rPr>
        <w:t xml:space="preserve">ci-après « les </w:t>
      </w:r>
      <w:r w:rsidR="004949AB" w:rsidRPr="00AA613E">
        <w:rPr>
          <w:rFonts w:ascii="Cambria" w:hAnsi="Cambria"/>
          <w:color w:val="000000" w:themeColor="text1"/>
          <w:sz w:val="21"/>
          <w:szCs w:val="21"/>
          <w:lang w:val="fr-FR"/>
        </w:rPr>
        <w:t>requérants</w:t>
      </w:r>
      <w:r w:rsidRPr="00AA613E">
        <w:rPr>
          <w:rFonts w:ascii="Cambria" w:hAnsi="Cambria"/>
          <w:color w:val="000000" w:themeColor="text1"/>
          <w:sz w:val="21"/>
          <w:szCs w:val="21"/>
          <w:lang w:val="fr-FR"/>
        </w:rPr>
        <w:t xml:space="preserve"> »), priant instamment </w:t>
      </w:r>
      <w:r w:rsidR="0050340A" w:rsidRPr="00AA613E">
        <w:rPr>
          <w:rFonts w:ascii="Cambria" w:hAnsi="Cambria"/>
          <w:color w:val="000000" w:themeColor="text1"/>
          <w:sz w:val="21"/>
          <w:szCs w:val="21"/>
          <w:lang w:val="fr-FR"/>
        </w:rPr>
        <w:t xml:space="preserve">la CIDH de demander à la République d’Haïti (ci-après « Haïti » ou « l’État ») d’adopter les mesures nécessaires pour protéger la vie et l’intégrité personnelle des personnes privées de liberté </w:t>
      </w:r>
      <w:r w:rsidR="00C044C3" w:rsidRPr="00AA613E">
        <w:rPr>
          <w:rFonts w:ascii="Cambria" w:hAnsi="Cambria"/>
          <w:color w:val="000000" w:themeColor="text1"/>
          <w:sz w:val="21"/>
          <w:szCs w:val="21"/>
          <w:lang w:val="fr-FR"/>
        </w:rPr>
        <w:t xml:space="preserve">dans le </w:t>
      </w:r>
      <w:r w:rsidR="0050340A" w:rsidRPr="00AA613E">
        <w:rPr>
          <w:rFonts w:ascii="Cambria" w:hAnsi="Cambria"/>
          <w:color w:val="000000" w:themeColor="text1"/>
          <w:sz w:val="21"/>
          <w:szCs w:val="21"/>
          <w:lang w:val="fr-FR"/>
        </w:rPr>
        <w:t>pé</w:t>
      </w:r>
      <w:r w:rsidR="00C044C3" w:rsidRPr="00AA613E">
        <w:rPr>
          <w:rFonts w:ascii="Cambria" w:hAnsi="Cambria"/>
          <w:color w:val="000000" w:themeColor="text1"/>
          <w:sz w:val="21"/>
          <w:szCs w:val="21"/>
          <w:lang w:val="fr-FR"/>
        </w:rPr>
        <w:t xml:space="preserve">nitencier national et </w:t>
      </w:r>
      <w:r w:rsidR="004F1B2A" w:rsidRPr="00AA613E">
        <w:rPr>
          <w:rFonts w:ascii="Cambria" w:hAnsi="Cambria"/>
          <w:color w:val="000000" w:themeColor="text1"/>
          <w:sz w:val="21"/>
          <w:szCs w:val="21"/>
          <w:lang w:val="fr-FR"/>
        </w:rPr>
        <w:t xml:space="preserve">l’hôpital général de Port-au-Prince. Selon la demande soumise, les droits à la vie et à l’intégrité personnelle des bénéficiaires proposés sont menacés du fait </w:t>
      </w:r>
      <w:r w:rsidR="00665B81" w:rsidRPr="00AA613E">
        <w:rPr>
          <w:rFonts w:ascii="Cambria" w:hAnsi="Cambria"/>
          <w:color w:val="000000" w:themeColor="text1"/>
          <w:sz w:val="21"/>
          <w:szCs w:val="21"/>
          <w:lang w:val="fr-FR"/>
        </w:rPr>
        <w:t xml:space="preserve">d’un environnement </w:t>
      </w:r>
      <w:r w:rsidR="00C044C3" w:rsidRPr="00AA613E">
        <w:rPr>
          <w:rFonts w:ascii="Cambria" w:hAnsi="Cambria"/>
          <w:color w:val="000000" w:themeColor="text1"/>
          <w:sz w:val="21"/>
          <w:szCs w:val="21"/>
          <w:lang w:val="fr-FR"/>
        </w:rPr>
        <w:t xml:space="preserve">présumé </w:t>
      </w:r>
      <w:r w:rsidR="00AA613E">
        <w:rPr>
          <w:rFonts w:ascii="Cambria" w:hAnsi="Cambria"/>
          <w:color w:val="000000" w:themeColor="text1"/>
          <w:sz w:val="21"/>
          <w:szCs w:val="21"/>
          <w:lang w:val="fr-FR"/>
        </w:rPr>
        <w:t>de</w:t>
      </w:r>
      <w:r w:rsidR="00C044C3" w:rsidRPr="00AA613E">
        <w:rPr>
          <w:rFonts w:ascii="Cambria" w:hAnsi="Cambria"/>
          <w:color w:val="000000" w:themeColor="text1"/>
          <w:sz w:val="21"/>
          <w:szCs w:val="21"/>
          <w:lang w:val="fr-FR"/>
        </w:rPr>
        <w:t xml:space="preserve"> </w:t>
      </w:r>
      <w:r w:rsidR="00D92445" w:rsidRPr="00AA613E">
        <w:rPr>
          <w:rFonts w:ascii="Cambria" w:hAnsi="Cambria"/>
          <w:color w:val="000000" w:themeColor="text1"/>
          <w:sz w:val="21"/>
          <w:szCs w:val="21"/>
          <w:lang w:val="fr-FR"/>
        </w:rPr>
        <w:t>surpopulation</w:t>
      </w:r>
      <w:r w:rsidR="00C044C3" w:rsidRPr="00AA613E">
        <w:rPr>
          <w:rFonts w:ascii="Cambria" w:hAnsi="Cambria"/>
          <w:color w:val="000000" w:themeColor="text1"/>
          <w:sz w:val="21"/>
          <w:szCs w:val="21"/>
          <w:lang w:val="fr-FR"/>
        </w:rPr>
        <w:t xml:space="preserve"> carcérale</w:t>
      </w:r>
      <w:r w:rsidR="00D92445" w:rsidRPr="00AA613E">
        <w:rPr>
          <w:rFonts w:ascii="Cambria" w:hAnsi="Cambria"/>
          <w:color w:val="000000" w:themeColor="text1"/>
          <w:sz w:val="21"/>
          <w:szCs w:val="21"/>
          <w:lang w:val="fr-FR"/>
        </w:rPr>
        <w:t xml:space="preserve">, de mauvaises </w:t>
      </w:r>
      <w:r w:rsidR="00665B81" w:rsidRPr="00AA613E">
        <w:rPr>
          <w:rFonts w:ascii="Cambria" w:hAnsi="Cambria"/>
          <w:color w:val="000000" w:themeColor="text1"/>
          <w:sz w:val="21"/>
          <w:szCs w:val="21"/>
          <w:lang w:val="fr-FR"/>
        </w:rPr>
        <w:t>conditions de détention et de l’absence d’accès aux traitements médicaux appropriés</w:t>
      </w:r>
      <w:r w:rsidR="00FB46FC" w:rsidRPr="00AA613E">
        <w:rPr>
          <w:rFonts w:ascii="Cambria" w:hAnsi="Cambria"/>
          <w:color w:val="000000" w:themeColor="text1"/>
          <w:sz w:val="21"/>
          <w:szCs w:val="21"/>
          <w:lang w:val="fr-FR"/>
        </w:rPr>
        <w:t>.</w:t>
      </w:r>
    </w:p>
    <w:p w:rsidR="00F53A62" w:rsidRPr="00AA613E" w:rsidRDefault="00F53A62" w:rsidP="00F53A62">
      <w:pPr>
        <w:pStyle w:val="ListParagraph"/>
        <w:spacing w:after="0" w:line="240" w:lineRule="auto"/>
        <w:ind w:left="360"/>
        <w:jc w:val="both"/>
        <w:rPr>
          <w:rFonts w:ascii="Cambria" w:hAnsi="Cambria"/>
          <w:color w:val="000000" w:themeColor="text1"/>
          <w:sz w:val="21"/>
          <w:szCs w:val="21"/>
          <w:lang w:val="fr-FR"/>
        </w:rPr>
      </w:pPr>
    </w:p>
    <w:p w:rsidR="00F53A62" w:rsidRPr="00AA613E" w:rsidRDefault="00822453" w:rsidP="003D5261">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La </w:t>
      </w:r>
      <w:r w:rsidR="00716E5A" w:rsidRPr="00AA613E">
        <w:rPr>
          <w:rFonts w:ascii="Cambria" w:hAnsi="Cambria"/>
          <w:color w:val="000000" w:themeColor="text1"/>
          <w:sz w:val="21"/>
          <w:szCs w:val="21"/>
          <w:lang w:val="fr-FR"/>
        </w:rPr>
        <w:t xml:space="preserve">Commission a demandé des informations aux deux parties le 21 mars 2017 afin qu’elles soumettent leurs observations dans un délai de 7 jours. Les </w:t>
      </w:r>
      <w:r w:rsidR="004949AB" w:rsidRPr="00AA613E">
        <w:rPr>
          <w:rFonts w:ascii="Cambria" w:hAnsi="Cambria"/>
          <w:color w:val="000000" w:themeColor="text1"/>
          <w:sz w:val="21"/>
          <w:szCs w:val="21"/>
          <w:lang w:val="fr-FR"/>
        </w:rPr>
        <w:t>requérants</w:t>
      </w:r>
      <w:r w:rsidR="00716E5A" w:rsidRPr="00AA613E">
        <w:rPr>
          <w:rFonts w:ascii="Cambria" w:hAnsi="Cambria"/>
          <w:color w:val="000000" w:themeColor="text1"/>
          <w:sz w:val="21"/>
          <w:szCs w:val="21"/>
          <w:lang w:val="fr-FR"/>
        </w:rPr>
        <w:t xml:space="preserve"> ont répondu le 28 mars 2017. Le 13 avril 2017, l’État a envoyé une communication accusant réception de la demande d’informations. Le 12 mai 2017, la Commission a renouvelé sa demande auprès de l’</w:t>
      </w:r>
      <w:r w:rsidR="00583441" w:rsidRPr="00AA613E">
        <w:rPr>
          <w:rFonts w:ascii="Cambria" w:hAnsi="Cambria"/>
          <w:color w:val="000000" w:themeColor="text1"/>
          <w:sz w:val="21"/>
          <w:szCs w:val="21"/>
          <w:lang w:val="fr-FR"/>
        </w:rPr>
        <w:t xml:space="preserve">État. Elle n’a reçu aucune réponse à ce jour. Le 15 mai 2017, les </w:t>
      </w:r>
      <w:r w:rsidR="004949AB" w:rsidRPr="00AA613E">
        <w:rPr>
          <w:rFonts w:ascii="Cambria" w:hAnsi="Cambria"/>
          <w:color w:val="000000" w:themeColor="text1"/>
          <w:sz w:val="21"/>
          <w:szCs w:val="21"/>
          <w:lang w:val="fr-FR"/>
        </w:rPr>
        <w:t>requérants</w:t>
      </w:r>
      <w:r w:rsidR="00583441" w:rsidRPr="00AA613E">
        <w:rPr>
          <w:rFonts w:ascii="Cambria" w:hAnsi="Cambria"/>
          <w:color w:val="000000" w:themeColor="text1"/>
          <w:sz w:val="21"/>
          <w:szCs w:val="21"/>
          <w:lang w:val="fr-FR"/>
        </w:rPr>
        <w:t xml:space="preserve"> ont fourni des informations supplémentaires</w:t>
      </w:r>
      <w:r w:rsidRPr="00AA613E">
        <w:rPr>
          <w:rFonts w:ascii="Cambria" w:hAnsi="Cambria"/>
          <w:color w:val="000000" w:themeColor="text1"/>
          <w:sz w:val="21"/>
          <w:szCs w:val="21"/>
          <w:lang w:val="fr-FR"/>
        </w:rPr>
        <w:t xml:space="preserve">. </w:t>
      </w:r>
    </w:p>
    <w:p w:rsidR="00EC2032" w:rsidRPr="00AA613E" w:rsidRDefault="00EC2032" w:rsidP="00EC2032">
      <w:pPr>
        <w:pStyle w:val="ListParagraph"/>
        <w:spacing w:after="0" w:line="240" w:lineRule="auto"/>
        <w:ind w:left="360"/>
        <w:jc w:val="both"/>
        <w:rPr>
          <w:rFonts w:ascii="Cambria" w:hAnsi="Cambria"/>
          <w:color w:val="000000" w:themeColor="text1"/>
          <w:sz w:val="21"/>
          <w:szCs w:val="21"/>
          <w:lang w:val="fr-FR"/>
        </w:rPr>
      </w:pPr>
    </w:p>
    <w:p w:rsidR="00C4554C" w:rsidRPr="00AA613E" w:rsidRDefault="00FC275B" w:rsidP="003F0DF6">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Après avoir examiné les arguments de fait et de droit présentés par les </w:t>
      </w:r>
      <w:r w:rsidR="004949AB" w:rsidRPr="00AA613E">
        <w:rPr>
          <w:rFonts w:ascii="Cambria" w:hAnsi="Cambria"/>
          <w:color w:val="000000" w:themeColor="text1"/>
          <w:sz w:val="21"/>
          <w:szCs w:val="21"/>
          <w:lang w:val="fr-FR"/>
        </w:rPr>
        <w:t>requérants</w:t>
      </w:r>
      <w:r w:rsidRPr="00AA613E">
        <w:rPr>
          <w:rFonts w:ascii="Cambria" w:hAnsi="Cambria"/>
          <w:color w:val="000000" w:themeColor="text1"/>
          <w:sz w:val="21"/>
          <w:szCs w:val="21"/>
          <w:lang w:val="fr-FR"/>
        </w:rPr>
        <w:t xml:space="preserve">, la Commission </w:t>
      </w:r>
      <w:r w:rsidR="00E412A4">
        <w:rPr>
          <w:rFonts w:ascii="Cambria" w:hAnsi="Cambria"/>
          <w:color w:val="000000" w:themeColor="text1"/>
          <w:sz w:val="21"/>
          <w:szCs w:val="21"/>
          <w:lang w:val="fr-FR"/>
        </w:rPr>
        <w:t>considère</w:t>
      </w:r>
      <w:r w:rsidR="00E412A4" w:rsidRPr="00AA613E">
        <w:rPr>
          <w:rFonts w:ascii="Cambria" w:hAnsi="Cambria"/>
          <w:color w:val="000000" w:themeColor="text1"/>
          <w:sz w:val="21"/>
          <w:szCs w:val="21"/>
          <w:lang w:val="fr-FR"/>
        </w:rPr>
        <w:t xml:space="preserve"> </w:t>
      </w:r>
      <w:r w:rsidRPr="00AA613E">
        <w:rPr>
          <w:rFonts w:ascii="Cambria" w:hAnsi="Cambria"/>
          <w:color w:val="000000" w:themeColor="text1"/>
          <w:sz w:val="21"/>
          <w:szCs w:val="21"/>
          <w:lang w:val="fr-FR"/>
        </w:rPr>
        <w:t xml:space="preserve">que les informations soumises démontrent </w:t>
      </w:r>
      <w:r w:rsidR="003D5261" w:rsidRPr="00AA613E">
        <w:rPr>
          <w:rFonts w:ascii="Cambria" w:hAnsi="Cambria"/>
          <w:i/>
          <w:color w:val="000000" w:themeColor="text1"/>
          <w:sz w:val="21"/>
          <w:szCs w:val="21"/>
          <w:lang w:val="fr-FR"/>
        </w:rPr>
        <w:t xml:space="preserve">prima </w:t>
      </w:r>
      <w:proofErr w:type="spellStart"/>
      <w:r w:rsidR="003D5261" w:rsidRPr="00AA613E">
        <w:rPr>
          <w:rFonts w:ascii="Cambria" w:hAnsi="Cambria"/>
          <w:i/>
          <w:color w:val="000000" w:themeColor="text1"/>
          <w:sz w:val="21"/>
          <w:szCs w:val="21"/>
          <w:lang w:val="fr-FR"/>
        </w:rPr>
        <w:t>facie</w:t>
      </w:r>
      <w:proofErr w:type="spellEnd"/>
      <w:r w:rsidR="003D5261" w:rsidRPr="00AA613E">
        <w:rPr>
          <w:rFonts w:ascii="Cambria" w:hAnsi="Cambria"/>
          <w:color w:val="000000" w:themeColor="text1"/>
          <w:sz w:val="21"/>
          <w:szCs w:val="21"/>
          <w:lang w:val="fr-FR"/>
        </w:rPr>
        <w:t xml:space="preserve"> que </w:t>
      </w:r>
      <w:r w:rsidR="00677096" w:rsidRPr="00AA613E">
        <w:rPr>
          <w:rFonts w:ascii="Cambria" w:hAnsi="Cambria"/>
          <w:color w:val="000000" w:themeColor="text1"/>
          <w:sz w:val="21"/>
          <w:szCs w:val="21"/>
          <w:lang w:val="fr-FR"/>
        </w:rPr>
        <w:t>l</w:t>
      </w:r>
      <w:r w:rsidRPr="00AA613E">
        <w:rPr>
          <w:rFonts w:ascii="Cambria" w:hAnsi="Cambria"/>
          <w:color w:val="000000" w:themeColor="text1"/>
          <w:sz w:val="21"/>
          <w:szCs w:val="21"/>
          <w:lang w:val="fr-FR"/>
        </w:rPr>
        <w:t xml:space="preserve">es personnes privées de liberté </w:t>
      </w:r>
      <w:r w:rsidR="00C044C3" w:rsidRPr="00AA613E">
        <w:rPr>
          <w:rFonts w:ascii="Cambria" w:hAnsi="Cambria"/>
          <w:color w:val="000000" w:themeColor="text1"/>
          <w:sz w:val="21"/>
          <w:szCs w:val="21"/>
          <w:lang w:val="fr-FR"/>
        </w:rPr>
        <w:t>dans le</w:t>
      </w:r>
      <w:r w:rsidRPr="00AA613E">
        <w:rPr>
          <w:rFonts w:ascii="Cambria" w:hAnsi="Cambria"/>
          <w:color w:val="000000" w:themeColor="text1"/>
          <w:sz w:val="21"/>
          <w:szCs w:val="21"/>
          <w:lang w:val="fr-FR"/>
        </w:rPr>
        <w:t xml:space="preserve"> pénitencier national de Port-au-Prince et celles transférées à l’hôpital général de la ville se trouvent dans une situation de gravité et d’urgence dans la mesure où leur vie et leur intégrité personnelle sont gravement menacées. Par conséquent, conformément à l’article 25 du Règlement de la CIDH, la Commission demande à Haïti : </w:t>
      </w:r>
      <w:r w:rsidR="003D5261" w:rsidRPr="00AA613E">
        <w:rPr>
          <w:rFonts w:ascii="Cambria" w:hAnsi="Cambria"/>
          <w:color w:val="000000" w:themeColor="text1"/>
          <w:sz w:val="21"/>
          <w:szCs w:val="21"/>
          <w:lang w:val="fr-FR"/>
        </w:rPr>
        <w:t xml:space="preserve">a) </w:t>
      </w:r>
      <w:r w:rsidR="0022496A" w:rsidRPr="0022496A">
        <w:rPr>
          <w:rFonts w:ascii="Cambria" w:hAnsi="Cambria"/>
          <w:color w:val="000000" w:themeColor="text1"/>
          <w:sz w:val="21"/>
          <w:szCs w:val="21"/>
          <w:lang w:val="fr-FR"/>
        </w:rPr>
        <w:t>d’adopter les mesures nécessaires afin de protéger la vie et l’intégrité personnelle des personnes privées de liberté dans le pénitencier national et l’hôpital général de Port-au-Prince. Par ailleurs, la Commission requiert l’adoption des mesures nécessaires pour prévenir les maladies signalées et fournir un traitement approprié ; si nécessaire, en approchant des organismes de coopération internationale afin d’obtenir leur soutien</w:t>
      </w:r>
      <w:r w:rsidR="003F0DF6" w:rsidRPr="00AA613E">
        <w:rPr>
          <w:rFonts w:ascii="Cambria" w:hAnsi="Cambria"/>
          <w:color w:val="000000" w:themeColor="text1"/>
          <w:sz w:val="21"/>
          <w:szCs w:val="21"/>
          <w:lang w:val="fr-FR"/>
        </w:rPr>
        <w:t>;</w:t>
      </w:r>
      <w:r w:rsidR="00337828" w:rsidRPr="00AA613E">
        <w:rPr>
          <w:rFonts w:ascii="Cambria" w:hAnsi="Cambria"/>
          <w:color w:val="000000" w:themeColor="text1"/>
          <w:sz w:val="21"/>
          <w:szCs w:val="21"/>
          <w:lang w:val="fr-FR"/>
        </w:rPr>
        <w:t xml:space="preserve"> </w:t>
      </w:r>
      <w:r w:rsidR="00C4554C" w:rsidRPr="00AA613E">
        <w:rPr>
          <w:rFonts w:ascii="Cambria" w:hAnsi="Cambria"/>
          <w:color w:val="000000" w:themeColor="text1"/>
          <w:sz w:val="21"/>
          <w:szCs w:val="21"/>
          <w:lang w:val="fr-FR"/>
        </w:rPr>
        <w:t xml:space="preserve">b) </w:t>
      </w:r>
      <w:r w:rsidR="006C469D" w:rsidRPr="00AA613E">
        <w:rPr>
          <w:rFonts w:ascii="Cambria" w:hAnsi="Cambria"/>
          <w:color w:val="000000" w:themeColor="text1"/>
          <w:sz w:val="21"/>
          <w:szCs w:val="21"/>
          <w:lang w:val="fr-FR"/>
        </w:rPr>
        <w:t>d’</w:t>
      </w:r>
      <w:r w:rsidR="00C4554C" w:rsidRPr="00AA613E">
        <w:rPr>
          <w:rFonts w:ascii="Cambria" w:hAnsi="Cambria"/>
          <w:color w:val="000000" w:themeColor="text1"/>
          <w:sz w:val="21"/>
          <w:szCs w:val="21"/>
          <w:lang w:val="fr-FR"/>
        </w:rPr>
        <w:t>adopte</w:t>
      </w:r>
      <w:r w:rsidR="006C469D" w:rsidRPr="00AA613E">
        <w:rPr>
          <w:rFonts w:ascii="Cambria" w:hAnsi="Cambria"/>
          <w:color w:val="000000" w:themeColor="text1"/>
          <w:sz w:val="21"/>
          <w:szCs w:val="21"/>
          <w:lang w:val="fr-FR"/>
        </w:rPr>
        <w:t>r les mesures nécessaires pour réduire progressivement la surpopulation carcérale à l’intérieur du pénitencier national de Port-au-Prince, conformément aux normes internationales </w:t>
      </w:r>
      <w:r w:rsidR="00C4554C" w:rsidRPr="00AA613E">
        <w:rPr>
          <w:rFonts w:ascii="Cambria" w:hAnsi="Cambria"/>
          <w:color w:val="000000" w:themeColor="text1"/>
          <w:sz w:val="21"/>
          <w:szCs w:val="21"/>
          <w:lang w:val="fr-FR"/>
        </w:rPr>
        <w:t xml:space="preserve">; c) </w:t>
      </w:r>
      <w:r w:rsidR="006C469D" w:rsidRPr="00AA613E">
        <w:rPr>
          <w:rFonts w:ascii="Cambria" w:hAnsi="Cambria"/>
          <w:color w:val="000000" w:themeColor="text1"/>
          <w:sz w:val="21"/>
          <w:szCs w:val="21"/>
          <w:lang w:val="fr-FR"/>
        </w:rPr>
        <w:t>d’</w:t>
      </w:r>
      <w:r w:rsidR="00C4554C" w:rsidRPr="00AA613E">
        <w:rPr>
          <w:rFonts w:ascii="Cambria" w:hAnsi="Cambria"/>
          <w:color w:val="000000" w:themeColor="text1"/>
          <w:sz w:val="21"/>
          <w:szCs w:val="21"/>
          <w:lang w:val="fr-FR"/>
        </w:rPr>
        <w:t>adopte</w:t>
      </w:r>
      <w:r w:rsidR="006C469D" w:rsidRPr="00AA613E">
        <w:rPr>
          <w:rFonts w:ascii="Cambria" w:hAnsi="Cambria"/>
          <w:color w:val="000000" w:themeColor="text1"/>
          <w:sz w:val="21"/>
          <w:szCs w:val="21"/>
          <w:lang w:val="fr-FR"/>
        </w:rPr>
        <w:t xml:space="preserve">r les mesures nécessaires pour garantir les conditions d’hygiène adéquates dans l’enceinte de l’établissement pénitentiaire et l’accès à l’eau potable et </w:t>
      </w:r>
      <w:r w:rsidR="00B24B92">
        <w:rPr>
          <w:rFonts w:ascii="Cambria" w:hAnsi="Cambria"/>
          <w:color w:val="000000" w:themeColor="text1"/>
          <w:sz w:val="21"/>
          <w:szCs w:val="21"/>
          <w:lang w:val="fr-FR"/>
        </w:rPr>
        <w:t xml:space="preserve">de </w:t>
      </w:r>
      <w:r w:rsidR="006C469D" w:rsidRPr="00AA613E">
        <w:rPr>
          <w:rFonts w:ascii="Cambria" w:hAnsi="Cambria"/>
          <w:color w:val="000000" w:themeColor="text1"/>
          <w:sz w:val="21"/>
          <w:szCs w:val="21"/>
          <w:lang w:val="fr-FR"/>
        </w:rPr>
        <w:t>fournir les traitements médicaux appropriés aux détenus en fonction des pathologies qu’ils présentent </w:t>
      </w:r>
      <w:r w:rsidR="00C4554C" w:rsidRPr="00AA613E">
        <w:rPr>
          <w:rFonts w:ascii="Cambria" w:hAnsi="Cambria"/>
          <w:color w:val="000000" w:themeColor="text1"/>
          <w:sz w:val="21"/>
          <w:szCs w:val="21"/>
          <w:lang w:val="fr-FR"/>
        </w:rPr>
        <w:t xml:space="preserve">; d) </w:t>
      </w:r>
      <w:r w:rsidR="006C469D" w:rsidRPr="00AA613E">
        <w:rPr>
          <w:rFonts w:ascii="Cambria" w:hAnsi="Cambria"/>
          <w:color w:val="000000" w:themeColor="text1"/>
          <w:sz w:val="21"/>
          <w:szCs w:val="21"/>
          <w:lang w:val="fr-FR"/>
        </w:rPr>
        <w:t>d’</w:t>
      </w:r>
      <w:r w:rsidR="00C4554C" w:rsidRPr="00AA613E">
        <w:rPr>
          <w:rFonts w:ascii="Cambria" w:hAnsi="Cambria"/>
          <w:color w:val="000000" w:themeColor="text1"/>
          <w:sz w:val="21"/>
          <w:szCs w:val="21"/>
          <w:lang w:val="fr-FR"/>
        </w:rPr>
        <w:t>adopte</w:t>
      </w:r>
      <w:r w:rsidR="006C469D" w:rsidRPr="00AA613E">
        <w:rPr>
          <w:rFonts w:ascii="Cambria" w:hAnsi="Cambria"/>
          <w:color w:val="000000" w:themeColor="text1"/>
          <w:sz w:val="21"/>
          <w:szCs w:val="21"/>
          <w:lang w:val="fr-FR"/>
        </w:rPr>
        <w:t xml:space="preserve">r les mesures nécessaires pour disposer de plans d’urgence face à </w:t>
      </w:r>
      <w:r w:rsidR="00B24B92">
        <w:rPr>
          <w:rFonts w:ascii="Cambria" w:hAnsi="Cambria"/>
          <w:color w:val="000000" w:themeColor="text1"/>
          <w:sz w:val="21"/>
          <w:szCs w:val="21"/>
          <w:lang w:val="fr-FR"/>
        </w:rPr>
        <w:t xml:space="preserve"> toute</w:t>
      </w:r>
      <w:r w:rsidR="00EA44C9" w:rsidRPr="00AA613E">
        <w:rPr>
          <w:rFonts w:ascii="Cambria" w:hAnsi="Cambria"/>
          <w:color w:val="000000" w:themeColor="text1"/>
          <w:sz w:val="21"/>
          <w:szCs w:val="21"/>
          <w:lang w:val="fr-FR"/>
        </w:rPr>
        <w:t xml:space="preserve"> éventualité </w:t>
      </w:r>
      <w:r w:rsidR="00C4554C" w:rsidRPr="00AA613E">
        <w:rPr>
          <w:rFonts w:ascii="Cambria" w:hAnsi="Cambria"/>
          <w:color w:val="000000" w:themeColor="text1"/>
          <w:sz w:val="21"/>
          <w:szCs w:val="21"/>
          <w:lang w:val="fr-FR"/>
        </w:rPr>
        <w:t xml:space="preserve">; e) </w:t>
      </w:r>
      <w:r w:rsidR="006B1F3A" w:rsidRPr="00AA613E">
        <w:rPr>
          <w:rFonts w:ascii="Cambria" w:hAnsi="Cambria"/>
          <w:color w:val="000000" w:themeColor="text1"/>
          <w:sz w:val="21"/>
          <w:szCs w:val="21"/>
          <w:lang w:val="fr-FR"/>
        </w:rPr>
        <w:t>d’</w:t>
      </w:r>
      <w:r w:rsidR="00C4554C" w:rsidRPr="00AA613E">
        <w:rPr>
          <w:rFonts w:ascii="Cambria" w:hAnsi="Cambria"/>
          <w:color w:val="000000" w:themeColor="text1"/>
          <w:sz w:val="21"/>
          <w:szCs w:val="21"/>
          <w:lang w:val="fr-FR"/>
        </w:rPr>
        <w:t>adopte</w:t>
      </w:r>
      <w:r w:rsidR="006B1F3A" w:rsidRPr="00AA613E">
        <w:rPr>
          <w:rFonts w:ascii="Cambria" w:hAnsi="Cambria"/>
          <w:color w:val="000000" w:themeColor="text1"/>
          <w:sz w:val="21"/>
          <w:szCs w:val="21"/>
          <w:lang w:val="fr-FR"/>
        </w:rPr>
        <w:t>r les mesures nécessaires pour garantir la conformité des conditions de détention au sein du pénitencier national et de l’hôpital général de Port-au-Prince aux normes internationales applicables, en s’assurant en particulier de cesser de recourir aux fers, aux chaînes ou autres méthodes de contrainte </w:t>
      </w:r>
      <w:r w:rsidR="00D43608" w:rsidRPr="00AA613E">
        <w:rPr>
          <w:rFonts w:ascii="Cambria" w:hAnsi="Cambria"/>
          <w:color w:val="000000" w:themeColor="text1"/>
          <w:sz w:val="21"/>
          <w:szCs w:val="21"/>
          <w:lang w:val="fr-FR"/>
        </w:rPr>
        <w:t>physique </w:t>
      </w:r>
      <w:r w:rsidR="00C4554C" w:rsidRPr="00AA613E">
        <w:rPr>
          <w:rFonts w:ascii="Cambria" w:hAnsi="Cambria"/>
          <w:color w:val="000000" w:themeColor="text1"/>
          <w:sz w:val="21"/>
          <w:szCs w:val="21"/>
          <w:lang w:val="fr-FR"/>
        </w:rPr>
        <w:t xml:space="preserve">; f) </w:t>
      </w:r>
      <w:r w:rsidR="006B1F3A" w:rsidRPr="00AA613E">
        <w:rPr>
          <w:rFonts w:ascii="Cambria" w:hAnsi="Cambria"/>
          <w:color w:val="000000" w:themeColor="text1"/>
          <w:sz w:val="21"/>
          <w:szCs w:val="21"/>
          <w:lang w:val="fr-FR"/>
        </w:rPr>
        <w:t xml:space="preserve">de </w:t>
      </w:r>
      <w:r w:rsidR="00893DCE" w:rsidRPr="00AA613E">
        <w:rPr>
          <w:rFonts w:ascii="Cambria" w:hAnsi="Cambria"/>
          <w:color w:val="000000" w:themeColor="text1"/>
          <w:sz w:val="21"/>
          <w:szCs w:val="21"/>
          <w:lang w:val="fr-FR"/>
        </w:rPr>
        <w:t>déterminer les mesures à adopter avec les bénéficiaires et leurs représentants </w:t>
      </w:r>
      <w:r w:rsidR="00C4554C" w:rsidRPr="00AA613E">
        <w:rPr>
          <w:rFonts w:ascii="Cambria" w:hAnsi="Cambria"/>
          <w:color w:val="000000" w:themeColor="text1"/>
          <w:sz w:val="21"/>
          <w:szCs w:val="21"/>
          <w:lang w:val="fr-FR"/>
        </w:rPr>
        <w:t>;</w:t>
      </w:r>
      <w:r w:rsidR="00893DCE" w:rsidRPr="00AA613E">
        <w:rPr>
          <w:rFonts w:ascii="Cambria" w:hAnsi="Cambria"/>
          <w:color w:val="000000" w:themeColor="text1"/>
          <w:sz w:val="21"/>
          <w:szCs w:val="21"/>
          <w:lang w:val="fr-FR"/>
        </w:rPr>
        <w:t xml:space="preserve"> et</w:t>
      </w:r>
      <w:r w:rsidR="00C4554C" w:rsidRPr="00AA613E">
        <w:rPr>
          <w:rFonts w:ascii="Cambria" w:hAnsi="Cambria"/>
          <w:color w:val="000000" w:themeColor="text1"/>
          <w:sz w:val="21"/>
          <w:szCs w:val="21"/>
          <w:lang w:val="fr-FR"/>
        </w:rPr>
        <w:t xml:space="preserve"> g) </w:t>
      </w:r>
      <w:r w:rsidR="00893DCE" w:rsidRPr="00AA613E">
        <w:rPr>
          <w:rFonts w:ascii="Cambria" w:hAnsi="Cambria"/>
          <w:color w:val="000000" w:themeColor="text1"/>
          <w:sz w:val="21"/>
          <w:szCs w:val="21"/>
          <w:lang w:val="fr-FR"/>
        </w:rPr>
        <w:t xml:space="preserve">d’informer </w:t>
      </w:r>
      <w:r w:rsidR="00B3042D" w:rsidRPr="00AA613E">
        <w:rPr>
          <w:rFonts w:ascii="Cambria" w:hAnsi="Cambria"/>
          <w:color w:val="000000" w:themeColor="text1"/>
          <w:sz w:val="21"/>
          <w:szCs w:val="21"/>
          <w:lang w:val="fr-FR"/>
        </w:rPr>
        <w:lastRenderedPageBreak/>
        <w:t xml:space="preserve">sur les actions adoptées afin d’enquêter sur les faits qui sont à l’origine de l’adoption de la présente </w:t>
      </w:r>
      <w:r w:rsidR="002B4AB8" w:rsidRPr="00AA613E">
        <w:rPr>
          <w:rFonts w:ascii="Cambria" w:hAnsi="Cambria"/>
          <w:color w:val="000000" w:themeColor="text1"/>
          <w:sz w:val="21"/>
          <w:szCs w:val="21"/>
          <w:lang w:val="fr-FR"/>
        </w:rPr>
        <w:t>mesure conservatoire</w:t>
      </w:r>
      <w:r w:rsidR="00B3042D" w:rsidRPr="00AA613E">
        <w:rPr>
          <w:rFonts w:ascii="Cambria" w:hAnsi="Cambria"/>
          <w:color w:val="000000" w:themeColor="text1"/>
          <w:sz w:val="21"/>
          <w:szCs w:val="21"/>
          <w:lang w:val="fr-FR"/>
        </w:rPr>
        <w:t xml:space="preserve"> et d’éviter ainsi qu’ils ne se reproduisent</w:t>
      </w:r>
      <w:r w:rsidR="00C4554C" w:rsidRPr="00AA613E">
        <w:rPr>
          <w:rFonts w:ascii="Cambria" w:hAnsi="Cambria"/>
          <w:color w:val="000000" w:themeColor="text1"/>
          <w:sz w:val="21"/>
          <w:szCs w:val="21"/>
          <w:lang w:val="fr-FR"/>
        </w:rPr>
        <w:t>.</w:t>
      </w:r>
    </w:p>
    <w:p w:rsidR="00B90A56" w:rsidRPr="00AA613E" w:rsidRDefault="00B90A56" w:rsidP="003D5261">
      <w:pPr>
        <w:spacing w:after="0" w:line="240" w:lineRule="auto"/>
        <w:jc w:val="both"/>
        <w:rPr>
          <w:rFonts w:ascii="Cambria" w:hAnsi="Cambria"/>
          <w:color w:val="000000" w:themeColor="text1"/>
          <w:sz w:val="21"/>
          <w:szCs w:val="21"/>
          <w:lang w:val="fr-FR"/>
        </w:rPr>
      </w:pPr>
    </w:p>
    <w:p w:rsidR="0081725E" w:rsidRPr="00AA613E" w:rsidRDefault="00B90A56" w:rsidP="00B018ED">
      <w:pPr>
        <w:pStyle w:val="ListParagraph"/>
        <w:numPr>
          <w:ilvl w:val="0"/>
          <w:numId w:val="15"/>
        </w:numPr>
        <w:spacing w:after="0" w:line="240" w:lineRule="auto"/>
        <w:jc w:val="both"/>
        <w:rPr>
          <w:rFonts w:ascii="Cambria" w:hAnsi="Cambria"/>
          <w:b/>
          <w:color w:val="000000" w:themeColor="text1"/>
          <w:sz w:val="21"/>
          <w:szCs w:val="21"/>
          <w:lang w:val="fr-FR"/>
        </w:rPr>
      </w:pPr>
      <w:r w:rsidRPr="00AA613E">
        <w:rPr>
          <w:rFonts w:ascii="Cambria" w:hAnsi="Cambria"/>
          <w:b/>
          <w:color w:val="000000" w:themeColor="text1"/>
          <w:sz w:val="21"/>
          <w:szCs w:val="21"/>
          <w:lang w:val="fr-FR"/>
        </w:rPr>
        <w:t>R</w:t>
      </w:r>
      <w:r w:rsidR="00254784" w:rsidRPr="00AA613E">
        <w:rPr>
          <w:rFonts w:ascii="Cambria" w:hAnsi="Cambria"/>
          <w:b/>
          <w:color w:val="000000" w:themeColor="text1"/>
          <w:sz w:val="21"/>
          <w:szCs w:val="21"/>
          <w:lang w:val="fr-FR"/>
        </w:rPr>
        <w:t xml:space="preserve">ÉSUMÉ DES FAITS ET ARGUMENTS AVANCÉS DANS LE CADRE DE LA PROCÉDURE </w:t>
      </w:r>
    </w:p>
    <w:p w:rsidR="00B018ED" w:rsidRPr="00AA613E" w:rsidRDefault="00B018ED" w:rsidP="00B018ED">
      <w:pPr>
        <w:spacing w:after="0" w:line="240" w:lineRule="auto"/>
        <w:ind w:left="360"/>
        <w:jc w:val="both"/>
        <w:rPr>
          <w:rFonts w:ascii="Cambria" w:hAnsi="Cambria"/>
          <w:b/>
          <w:color w:val="000000" w:themeColor="text1"/>
          <w:sz w:val="21"/>
          <w:szCs w:val="21"/>
          <w:lang w:val="fr-FR"/>
        </w:rPr>
      </w:pPr>
    </w:p>
    <w:p w:rsidR="00B018ED" w:rsidRPr="00AA613E" w:rsidRDefault="00B018ED" w:rsidP="00B018ED">
      <w:pPr>
        <w:pStyle w:val="ListParagraph"/>
        <w:numPr>
          <w:ilvl w:val="0"/>
          <w:numId w:val="26"/>
        </w:numPr>
        <w:spacing w:after="0" w:line="240" w:lineRule="auto"/>
        <w:jc w:val="both"/>
        <w:rPr>
          <w:rFonts w:ascii="Cambria" w:hAnsi="Cambria"/>
          <w:b/>
          <w:color w:val="000000" w:themeColor="text1"/>
          <w:sz w:val="21"/>
          <w:szCs w:val="21"/>
          <w:lang w:val="fr-FR"/>
        </w:rPr>
      </w:pPr>
      <w:r w:rsidRPr="00AA613E">
        <w:rPr>
          <w:rFonts w:ascii="Cambria" w:hAnsi="Cambria"/>
          <w:b/>
          <w:color w:val="000000" w:themeColor="text1"/>
          <w:sz w:val="21"/>
          <w:szCs w:val="21"/>
          <w:lang w:val="fr-FR"/>
        </w:rPr>
        <w:t>Informa</w:t>
      </w:r>
      <w:r w:rsidR="00254784" w:rsidRPr="00AA613E">
        <w:rPr>
          <w:rFonts w:ascii="Cambria" w:hAnsi="Cambria"/>
          <w:b/>
          <w:color w:val="000000" w:themeColor="text1"/>
          <w:sz w:val="21"/>
          <w:szCs w:val="21"/>
          <w:lang w:val="fr-FR"/>
        </w:rPr>
        <w:t xml:space="preserve">tions fournies par les </w:t>
      </w:r>
      <w:r w:rsidR="004949AB" w:rsidRPr="00AA613E">
        <w:rPr>
          <w:rFonts w:ascii="Cambria" w:hAnsi="Cambria"/>
          <w:b/>
          <w:color w:val="000000" w:themeColor="text1"/>
          <w:sz w:val="21"/>
          <w:szCs w:val="21"/>
          <w:lang w:val="fr-FR"/>
        </w:rPr>
        <w:t>requérants</w:t>
      </w:r>
      <w:r w:rsidR="00254784" w:rsidRPr="00AA613E">
        <w:rPr>
          <w:rFonts w:ascii="Cambria" w:hAnsi="Cambria"/>
          <w:b/>
          <w:color w:val="000000" w:themeColor="text1"/>
          <w:sz w:val="21"/>
          <w:szCs w:val="21"/>
          <w:lang w:val="fr-FR"/>
        </w:rPr>
        <w:t xml:space="preserve"> </w:t>
      </w:r>
    </w:p>
    <w:p w:rsidR="0081725E" w:rsidRPr="00AA613E" w:rsidRDefault="0081725E" w:rsidP="006856F3">
      <w:pPr>
        <w:spacing w:after="0" w:line="240" w:lineRule="auto"/>
        <w:jc w:val="both"/>
        <w:rPr>
          <w:rFonts w:ascii="Cambria" w:hAnsi="Cambria"/>
          <w:color w:val="000000" w:themeColor="text1"/>
          <w:sz w:val="21"/>
          <w:szCs w:val="21"/>
          <w:lang w:val="fr-FR"/>
        </w:rPr>
      </w:pPr>
    </w:p>
    <w:p w:rsidR="00817AD6" w:rsidRPr="00AA613E" w:rsidRDefault="00095791" w:rsidP="00095791">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S</w:t>
      </w:r>
      <w:r w:rsidR="00FA3691" w:rsidRPr="00AA613E">
        <w:rPr>
          <w:rFonts w:ascii="Cambria" w:hAnsi="Cambria"/>
          <w:color w:val="000000" w:themeColor="text1"/>
          <w:sz w:val="21"/>
          <w:szCs w:val="21"/>
          <w:lang w:val="fr-FR"/>
        </w:rPr>
        <w:t xml:space="preserve">elon la demande soumise, les bénéficiaires proposés sont des personnes </w:t>
      </w:r>
      <w:r w:rsidR="00D92445" w:rsidRPr="00AA613E">
        <w:rPr>
          <w:rFonts w:ascii="Cambria" w:hAnsi="Cambria"/>
          <w:color w:val="000000" w:themeColor="text1"/>
          <w:sz w:val="21"/>
          <w:szCs w:val="21"/>
          <w:lang w:val="fr-FR"/>
        </w:rPr>
        <w:t xml:space="preserve">privées de liberté </w:t>
      </w:r>
      <w:r w:rsidR="00FA3691" w:rsidRPr="00AA613E">
        <w:rPr>
          <w:rFonts w:ascii="Cambria" w:hAnsi="Cambria"/>
          <w:color w:val="000000" w:themeColor="text1"/>
          <w:sz w:val="21"/>
          <w:szCs w:val="21"/>
          <w:lang w:val="fr-FR"/>
        </w:rPr>
        <w:t xml:space="preserve">dans le pénitencier national de Port-au-Prince (ci-après « le pénitencier ») et l’hôpital général de Port-au-Prince (ci-après « l’hôpital »). D’après les estimations, la population carcérale du pénitencier s’élève au total à </w:t>
      </w:r>
      <w:r w:rsidR="00D5391E" w:rsidRPr="00AA613E">
        <w:rPr>
          <w:rFonts w:ascii="Cambria" w:hAnsi="Cambria"/>
          <w:color w:val="000000" w:themeColor="text1"/>
          <w:sz w:val="21"/>
          <w:szCs w:val="21"/>
          <w:lang w:val="fr-FR"/>
        </w:rPr>
        <w:t xml:space="preserve">4 151 </w:t>
      </w:r>
      <w:r w:rsidR="00FA3691" w:rsidRPr="00AA613E">
        <w:rPr>
          <w:rFonts w:ascii="Cambria" w:hAnsi="Cambria"/>
          <w:color w:val="000000" w:themeColor="text1"/>
          <w:sz w:val="21"/>
          <w:szCs w:val="21"/>
          <w:lang w:val="fr-FR"/>
        </w:rPr>
        <w:t>détenus</w:t>
      </w:r>
      <w:r w:rsidR="0057579C" w:rsidRPr="00AA613E">
        <w:rPr>
          <w:rFonts w:ascii="Cambria" w:hAnsi="Cambria"/>
          <w:color w:val="000000" w:themeColor="text1"/>
          <w:sz w:val="21"/>
          <w:szCs w:val="21"/>
          <w:lang w:val="fr-FR"/>
        </w:rPr>
        <w:t xml:space="preserve">, sans compter le nombre de </w:t>
      </w:r>
      <w:r w:rsidR="007736A5" w:rsidRPr="00AA613E">
        <w:rPr>
          <w:rFonts w:ascii="Cambria" w:hAnsi="Cambria"/>
          <w:color w:val="000000" w:themeColor="text1"/>
          <w:sz w:val="21"/>
          <w:szCs w:val="21"/>
          <w:lang w:val="fr-FR"/>
        </w:rPr>
        <w:t>détenus incarcéré</w:t>
      </w:r>
      <w:r w:rsidR="0057579C" w:rsidRPr="00AA613E">
        <w:rPr>
          <w:rFonts w:ascii="Cambria" w:hAnsi="Cambria"/>
          <w:color w:val="000000" w:themeColor="text1"/>
          <w:sz w:val="21"/>
          <w:szCs w:val="21"/>
          <w:lang w:val="fr-FR"/>
        </w:rPr>
        <w:t xml:space="preserve">s </w:t>
      </w:r>
      <w:r w:rsidR="00A01113" w:rsidRPr="00AA613E">
        <w:rPr>
          <w:rFonts w:ascii="Cambria" w:hAnsi="Cambria"/>
          <w:color w:val="000000" w:themeColor="text1"/>
          <w:sz w:val="21"/>
          <w:szCs w:val="21"/>
          <w:lang w:val="fr-FR"/>
        </w:rPr>
        <w:t>à</w:t>
      </w:r>
      <w:r w:rsidR="0057579C" w:rsidRPr="00AA613E">
        <w:rPr>
          <w:rFonts w:ascii="Cambria" w:hAnsi="Cambria"/>
          <w:color w:val="000000" w:themeColor="text1"/>
          <w:sz w:val="21"/>
          <w:szCs w:val="21"/>
          <w:lang w:val="fr-FR"/>
        </w:rPr>
        <w:t xml:space="preserve"> l’hôpital</w:t>
      </w:r>
      <w:r w:rsidRPr="00AA613E">
        <w:rPr>
          <w:rFonts w:ascii="Cambria" w:hAnsi="Cambria"/>
          <w:color w:val="000000" w:themeColor="text1"/>
          <w:sz w:val="21"/>
          <w:szCs w:val="21"/>
          <w:lang w:val="fr-FR"/>
        </w:rPr>
        <w:t xml:space="preserve">. </w:t>
      </w:r>
    </w:p>
    <w:p w:rsidR="007C0354" w:rsidRPr="00AA613E" w:rsidRDefault="007C0354" w:rsidP="007C0354">
      <w:pPr>
        <w:spacing w:after="0" w:line="240" w:lineRule="auto"/>
        <w:jc w:val="both"/>
        <w:rPr>
          <w:rFonts w:ascii="Cambria" w:hAnsi="Cambria"/>
          <w:color w:val="000000" w:themeColor="text1"/>
          <w:sz w:val="21"/>
          <w:szCs w:val="21"/>
          <w:lang w:val="fr-FR"/>
        </w:rPr>
      </w:pPr>
    </w:p>
    <w:p w:rsidR="007C0354" w:rsidRPr="00AA613E" w:rsidRDefault="004D2B4D" w:rsidP="007C0354">
      <w:pPr>
        <w:pStyle w:val="ListParagraph"/>
        <w:numPr>
          <w:ilvl w:val="0"/>
          <w:numId w:val="20"/>
        </w:numPr>
        <w:spacing w:after="0" w:line="240" w:lineRule="auto"/>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À propos du pénitencier </w:t>
      </w:r>
    </w:p>
    <w:p w:rsidR="00095791" w:rsidRPr="00AA613E" w:rsidRDefault="00095791" w:rsidP="00095791">
      <w:pPr>
        <w:spacing w:after="0" w:line="240" w:lineRule="auto"/>
        <w:jc w:val="both"/>
        <w:rPr>
          <w:rFonts w:ascii="Cambria" w:hAnsi="Cambria"/>
          <w:color w:val="000000" w:themeColor="text1"/>
          <w:sz w:val="21"/>
          <w:szCs w:val="21"/>
          <w:lang w:val="fr-FR"/>
        </w:rPr>
      </w:pPr>
    </w:p>
    <w:p w:rsidR="00095791" w:rsidRPr="00AA613E" w:rsidRDefault="004D2B4D" w:rsidP="00095791">
      <w:pPr>
        <w:pStyle w:val="ListParagraph"/>
        <w:numPr>
          <w:ilvl w:val="0"/>
          <w:numId w:val="17"/>
        </w:numPr>
        <w:spacing w:after="0" w:line="240" w:lineRule="auto"/>
        <w:jc w:val="both"/>
        <w:rPr>
          <w:rFonts w:ascii="Cambria" w:hAnsi="Cambria"/>
          <w:i/>
          <w:color w:val="000000" w:themeColor="text1"/>
          <w:sz w:val="21"/>
          <w:szCs w:val="21"/>
          <w:lang w:val="fr-FR"/>
        </w:rPr>
      </w:pPr>
      <w:r w:rsidRPr="00AA613E">
        <w:rPr>
          <w:rFonts w:ascii="Cambria" w:hAnsi="Cambria"/>
          <w:i/>
          <w:color w:val="000000" w:themeColor="text1"/>
          <w:sz w:val="21"/>
          <w:szCs w:val="21"/>
          <w:lang w:val="fr-FR"/>
        </w:rPr>
        <w:t>Surpopulation présumée</w:t>
      </w:r>
    </w:p>
    <w:p w:rsidR="00095791" w:rsidRPr="00AA613E" w:rsidRDefault="00095791" w:rsidP="00095791">
      <w:pPr>
        <w:spacing w:after="0" w:line="240" w:lineRule="auto"/>
        <w:jc w:val="both"/>
        <w:rPr>
          <w:rFonts w:ascii="Cambria" w:hAnsi="Cambria"/>
          <w:color w:val="000000" w:themeColor="text1"/>
          <w:sz w:val="21"/>
          <w:szCs w:val="21"/>
          <w:lang w:val="fr-FR"/>
        </w:rPr>
      </w:pPr>
    </w:p>
    <w:p w:rsidR="00095791" w:rsidRPr="00AA613E" w:rsidRDefault="00FA698D" w:rsidP="00095791">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Les </w:t>
      </w:r>
      <w:r w:rsidR="004949AB" w:rsidRPr="00AA613E">
        <w:rPr>
          <w:rFonts w:ascii="Cambria" w:hAnsi="Cambria"/>
          <w:color w:val="000000" w:themeColor="text1"/>
          <w:sz w:val="21"/>
          <w:szCs w:val="21"/>
          <w:lang w:val="fr-FR"/>
        </w:rPr>
        <w:t>requérants</w:t>
      </w:r>
      <w:r w:rsidRPr="00AA613E">
        <w:rPr>
          <w:rFonts w:ascii="Cambria" w:hAnsi="Cambria"/>
          <w:color w:val="000000" w:themeColor="text1"/>
          <w:sz w:val="21"/>
          <w:szCs w:val="21"/>
          <w:lang w:val="fr-FR"/>
        </w:rPr>
        <w:t xml:space="preserve"> ont signalé que le pénitencier </w:t>
      </w:r>
      <w:r w:rsidR="00EC2F96" w:rsidRPr="00AA613E">
        <w:rPr>
          <w:rFonts w:ascii="Cambria" w:hAnsi="Cambria"/>
          <w:color w:val="000000" w:themeColor="text1"/>
          <w:sz w:val="21"/>
          <w:szCs w:val="21"/>
          <w:lang w:val="fr-FR"/>
        </w:rPr>
        <w:t>était</w:t>
      </w:r>
      <w:r w:rsidRPr="00AA613E">
        <w:rPr>
          <w:rFonts w:ascii="Cambria" w:hAnsi="Cambria"/>
          <w:color w:val="000000" w:themeColor="text1"/>
          <w:sz w:val="21"/>
          <w:szCs w:val="21"/>
          <w:lang w:val="fr-FR"/>
        </w:rPr>
        <w:t xml:space="preserve"> confronté à un grave problème de surpopulation compte tenu du fait que le </w:t>
      </w:r>
      <w:r w:rsidR="00A01113" w:rsidRPr="00AA613E">
        <w:rPr>
          <w:rFonts w:ascii="Cambria" w:hAnsi="Cambria"/>
          <w:color w:val="000000" w:themeColor="text1"/>
          <w:sz w:val="21"/>
          <w:szCs w:val="21"/>
          <w:lang w:val="fr-FR"/>
        </w:rPr>
        <w:t>taux d’occupation se situait</w:t>
      </w:r>
      <w:r w:rsidRPr="00AA613E">
        <w:rPr>
          <w:rFonts w:ascii="Cambria" w:hAnsi="Cambria"/>
          <w:color w:val="000000" w:themeColor="text1"/>
          <w:sz w:val="21"/>
          <w:szCs w:val="21"/>
          <w:lang w:val="fr-FR"/>
        </w:rPr>
        <w:t xml:space="preserve"> aux alentours de 553,5 %</w:t>
      </w:r>
      <w:r w:rsidR="001B6D0F" w:rsidRPr="00AA613E">
        <w:rPr>
          <w:rStyle w:val="FootnoteReference"/>
          <w:rFonts w:ascii="Cambria" w:hAnsi="Cambria"/>
          <w:color w:val="000000" w:themeColor="text1"/>
          <w:sz w:val="21"/>
          <w:szCs w:val="21"/>
          <w:lang w:val="fr-FR"/>
        </w:rPr>
        <w:footnoteReference w:id="2"/>
      </w:r>
      <w:r w:rsidR="00095791" w:rsidRPr="00AA613E">
        <w:rPr>
          <w:rFonts w:ascii="Cambria" w:hAnsi="Cambria"/>
          <w:color w:val="000000" w:themeColor="text1"/>
          <w:sz w:val="21"/>
          <w:szCs w:val="21"/>
          <w:lang w:val="fr-FR"/>
        </w:rPr>
        <w:t xml:space="preserve">. </w:t>
      </w:r>
      <w:r w:rsidR="00EC2F96" w:rsidRPr="00AA613E">
        <w:rPr>
          <w:rFonts w:ascii="Cambria" w:hAnsi="Cambria"/>
          <w:color w:val="000000" w:themeColor="text1"/>
          <w:sz w:val="21"/>
          <w:szCs w:val="21"/>
          <w:lang w:val="fr-FR"/>
        </w:rPr>
        <w:t xml:space="preserve">Ce calcul aurait été effectué par les </w:t>
      </w:r>
      <w:r w:rsidR="004949AB" w:rsidRPr="00AA613E">
        <w:rPr>
          <w:rFonts w:ascii="Cambria" w:hAnsi="Cambria"/>
          <w:color w:val="000000" w:themeColor="text1"/>
          <w:sz w:val="21"/>
          <w:szCs w:val="21"/>
          <w:lang w:val="fr-FR"/>
        </w:rPr>
        <w:t>requérants</w:t>
      </w:r>
      <w:r w:rsidR="00EC2F96" w:rsidRPr="00AA613E">
        <w:rPr>
          <w:rFonts w:ascii="Cambria" w:hAnsi="Cambria"/>
          <w:color w:val="000000" w:themeColor="text1"/>
          <w:sz w:val="21"/>
          <w:szCs w:val="21"/>
          <w:lang w:val="fr-FR"/>
        </w:rPr>
        <w:t xml:space="preserve"> sur la base des données fournies par le Département de l’administration pénitentiaire, selon lesquelles la capacité des centres de détention en Haïti serait de 2,5m</w:t>
      </w:r>
      <w:r w:rsidR="00EC2F96" w:rsidRPr="00AA613E">
        <w:rPr>
          <w:rFonts w:ascii="Cambria" w:hAnsi="Cambria"/>
          <w:color w:val="000000" w:themeColor="text1"/>
          <w:sz w:val="21"/>
          <w:szCs w:val="21"/>
          <w:vertAlign w:val="superscript"/>
          <w:lang w:val="fr-FR"/>
        </w:rPr>
        <w:t>2</w:t>
      </w:r>
      <w:r w:rsidR="00EC2F96" w:rsidRPr="00AA613E">
        <w:rPr>
          <w:rFonts w:ascii="Cambria" w:hAnsi="Cambria"/>
          <w:color w:val="000000" w:themeColor="text1"/>
          <w:sz w:val="21"/>
          <w:szCs w:val="21"/>
          <w:lang w:val="fr-FR"/>
        </w:rPr>
        <w:t xml:space="preserve"> par détenu. Cependant,</w:t>
      </w:r>
      <w:r w:rsidR="00095791" w:rsidRPr="00AA613E">
        <w:rPr>
          <w:rFonts w:ascii="Cambria" w:hAnsi="Cambria"/>
          <w:color w:val="000000" w:themeColor="text1"/>
          <w:sz w:val="21"/>
          <w:szCs w:val="21"/>
          <w:lang w:val="fr-FR"/>
        </w:rPr>
        <w:t xml:space="preserve"> </w:t>
      </w:r>
      <w:r w:rsidR="00EC2F96" w:rsidRPr="00AA613E">
        <w:rPr>
          <w:rFonts w:ascii="Cambria" w:hAnsi="Cambria"/>
          <w:color w:val="000000" w:themeColor="text1"/>
          <w:sz w:val="21"/>
          <w:szCs w:val="21"/>
          <w:lang w:val="fr-FR"/>
        </w:rPr>
        <w:t xml:space="preserve">les </w:t>
      </w:r>
      <w:r w:rsidR="004949AB" w:rsidRPr="00AA613E">
        <w:rPr>
          <w:rFonts w:ascii="Cambria" w:hAnsi="Cambria"/>
          <w:color w:val="000000" w:themeColor="text1"/>
          <w:sz w:val="21"/>
          <w:szCs w:val="21"/>
          <w:lang w:val="fr-FR"/>
        </w:rPr>
        <w:t>requérants</w:t>
      </w:r>
      <w:r w:rsidR="00EC2F96" w:rsidRPr="00AA613E">
        <w:rPr>
          <w:rFonts w:ascii="Cambria" w:hAnsi="Cambria"/>
          <w:color w:val="000000" w:themeColor="text1"/>
          <w:sz w:val="21"/>
          <w:szCs w:val="21"/>
          <w:lang w:val="fr-FR"/>
        </w:rPr>
        <w:t xml:space="preserve"> ont estimé que ce pourcentage atteindrait 960,9 % si l’on tenait compte des normes minimales </w:t>
      </w:r>
      <w:r w:rsidR="006242B5" w:rsidRPr="00AA613E">
        <w:rPr>
          <w:rFonts w:ascii="Cambria" w:hAnsi="Cambria"/>
          <w:color w:val="000000" w:themeColor="text1"/>
          <w:sz w:val="21"/>
          <w:szCs w:val="21"/>
          <w:lang w:val="fr-FR"/>
        </w:rPr>
        <w:t>fixées par la Mission des Nations Unies en Haïti pour l’ensemble des établissements pénitentiaires du pays, à savoir 4,5m</w:t>
      </w:r>
      <w:r w:rsidR="006242B5" w:rsidRPr="00AA613E">
        <w:rPr>
          <w:rFonts w:ascii="Cambria" w:hAnsi="Cambria"/>
          <w:color w:val="000000" w:themeColor="text1"/>
          <w:sz w:val="21"/>
          <w:szCs w:val="21"/>
          <w:vertAlign w:val="superscript"/>
          <w:lang w:val="fr-FR"/>
        </w:rPr>
        <w:t>2</w:t>
      </w:r>
      <w:r w:rsidR="006242B5" w:rsidRPr="00AA613E">
        <w:rPr>
          <w:rFonts w:ascii="Cambria" w:hAnsi="Cambria"/>
          <w:color w:val="000000" w:themeColor="text1"/>
          <w:sz w:val="21"/>
          <w:szCs w:val="21"/>
          <w:lang w:val="fr-FR"/>
        </w:rPr>
        <w:t xml:space="preserve"> par détenu. De même, ils ont affirmé que </w:t>
      </w:r>
      <w:r w:rsidR="00A01113" w:rsidRPr="00AA613E">
        <w:rPr>
          <w:rFonts w:ascii="Cambria" w:hAnsi="Cambria"/>
          <w:color w:val="000000" w:themeColor="text1"/>
          <w:sz w:val="21"/>
          <w:szCs w:val="21"/>
          <w:lang w:val="fr-FR"/>
        </w:rPr>
        <w:t>les bénéficiaires proposés n’avaient</w:t>
      </w:r>
      <w:r w:rsidR="006242B5" w:rsidRPr="00AA613E">
        <w:rPr>
          <w:rFonts w:ascii="Cambria" w:hAnsi="Cambria"/>
          <w:color w:val="000000" w:themeColor="text1"/>
          <w:sz w:val="21"/>
          <w:szCs w:val="21"/>
          <w:lang w:val="fr-FR"/>
        </w:rPr>
        <w:t xml:space="preserve"> pratiquement pas  </w:t>
      </w:r>
      <w:r w:rsidR="00482C0A">
        <w:rPr>
          <w:rFonts w:ascii="Cambria" w:hAnsi="Cambria"/>
          <w:color w:val="000000" w:themeColor="text1"/>
          <w:sz w:val="21"/>
          <w:szCs w:val="21"/>
          <w:lang w:val="fr-FR"/>
        </w:rPr>
        <w:t xml:space="preserve">de </w:t>
      </w:r>
      <w:r w:rsidR="006242B5" w:rsidRPr="00AA613E">
        <w:rPr>
          <w:rFonts w:ascii="Cambria" w:hAnsi="Cambria"/>
          <w:color w:val="000000" w:themeColor="text1"/>
          <w:sz w:val="21"/>
          <w:szCs w:val="21"/>
          <w:lang w:val="fr-FR"/>
        </w:rPr>
        <w:t xml:space="preserve">place </w:t>
      </w:r>
      <w:r w:rsidR="00B24B92">
        <w:rPr>
          <w:rFonts w:ascii="Cambria" w:hAnsi="Cambria"/>
          <w:color w:val="000000" w:themeColor="text1"/>
          <w:sz w:val="21"/>
          <w:szCs w:val="21"/>
          <w:lang w:val="fr-FR"/>
        </w:rPr>
        <w:t xml:space="preserve">pour </w:t>
      </w:r>
      <w:r w:rsidR="006242B5" w:rsidRPr="00AA613E">
        <w:rPr>
          <w:rFonts w:ascii="Cambria" w:hAnsi="Cambria"/>
          <w:color w:val="000000" w:themeColor="text1"/>
          <w:sz w:val="21"/>
          <w:szCs w:val="21"/>
          <w:lang w:val="fr-FR"/>
        </w:rPr>
        <w:t xml:space="preserve"> bouger. </w:t>
      </w:r>
      <w:r w:rsidR="00B948D3" w:rsidRPr="00AA613E">
        <w:rPr>
          <w:rFonts w:ascii="Cambria" w:hAnsi="Cambria"/>
          <w:color w:val="000000" w:themeColor="text1"/>
          <w:sz w:val="21"/>
          <w:szCs w:val="21"/>
          <w:lang w:val="fr-FR"/>
        </w:rPr>
        <w:t>Selon certains éléments de la demande, cette situation de surpopulation carcérale dans les centres de détention haïtiens aurait été reconnue par divers organismes internationaux, parmi lesquels les Nations Unies</w:t>
      </w:r>
      <w:r w:rsidR="00B24B92">
        <w:rPr>
          <w:rStyle w:val="FootnoteReference"/>
          <w:rFonts w:ascii="Cambria" w:hAnsi="Cambria"/>
          <w:color w:val="000000" w:themeColor="text1"/>
          <w:sz w:val="21"/>
          <w:szCs w:val="21"/>
          <w:lang w:val="fr-FR"/>
        </w:rPr>
        <w:footnoteReference w:id="3"/>
      </w:r>
      <w:r w:rsidR="00B948D3" w:rsidRPr="00AA613E">
        <w:rPr>
          <w:rFonts w:ascii="Cambria" w:hAnsi="Cambria"/>
          <w:color w:val="000000" w:themeColor="text1"/>
          <w:sz w:val="21"/>
          <w:szCs w:val="21"/>
          <w:lang w:val="fr-FR"/>
        </w:rPr>
        <w:t xml:space="preserve"> et la Commission interaméricaine</w:t>
      </w:r>
      <w:r w:rsidR="00095791" w:rsidRPr="00AA613E">
        <w:rPr>
          <w:rFonts w:ascii="Cambria" w:hAnsi="Cambria"/>
          <w:color w:val="000000" w:themeColor="text1"/>
          <w:sz w:val="21"/>
          <w:szCs w:val="21"/>
          <w:vertAlign w:val="superscript"/>
          <w:lang w:val="fr-FR"/>
        </w:rPr>
        <w:footnoteReference w:id="4"/>
      </w:r>
      <w:r w:rsidR="00095791" w:rsidRPr="00AA613E">
        <w:rPr>
          <w:rFonts w:ascii="Cambria" w:hAnsi="Cambria"/>
          <w:color w:val="000000" w:themeColor="text1"/>
          <w:sz w:val="21"/>
          <w:szCs w:val="21"/>
          <w:lang w:val="fr-FR"/>
        </w:rPr>
        <w:t>.</w:t>
      </w:r>
      <w:r w:rsidR="001B6D0F" w:rsidRPr="00AA613E">
        <w:rPr>
          <w:rFonts w:ascii="Cambria" w:hAnsi="Cambria"/>
          <w:color w:val="000000" w:themeColor="text1"/>
          <w:sz w:val="21"/>
          <w:szCs w:val="21"/>
          <w:lang w:val="fr-FR"/>
        </w:rPr>
        <w:t xml:space="preserve"> </w:t>
      </w:r>
    </w:p>
    <w:p w:rsidR="00095791" w:rsidRPr="00AA613E" w:rsidRDefault="00095791" w:rsidP="00095791">
      <w:pPr>
        <w:spacing w:after="0" w:line="240" w:lineRule="auto"/>
        <w:jc w:val="both"/>
        <w:rPr>
          <w:rFonts w:ascii="Cambria" w:hAnsi="Cambria"/>
          <w:color w:val="000000" w:themeColor="text1"/>
          <w:sz w:val="21"/>
          <w:szCs w:val="21"/>
          <w:lang w:val="fr-FR"/>
        </w:rPr>
      </w:pPr>
    </w:p>
    <w:p w:rsidR="00095791" w:rsidRPr="00AA613E" w:rsidRDefault="007A0972" w:rsidP="00095791">
      <w:pPr>
        <w:pStyle w:val="ListParagraph"/>
        <w:numPr>
          <w:ilvl w:val="0"/>
          <w:numId w:val="17"/>
        </w:numPr>
        <w:spacing w:after="0" w:line="240" w:lineRule="auto"/>
        <w:jc w:val="both"/>
        <w:rPr>
          <w:rFonts w:ascii="Cambria" w:hAnsi="Cambria"/>
          <w:i/>
          <w:color w:val="000000" w:themeColor="text1"/>
          <w:sz w:val="21"/>
          <w:szCs w:val="21"/>
          <w:lang w:val="fr-FR"/>
        </w:rPr>
      </w:pPr>
      <w:r w:rsidRPr="00AA613E">
        <w:rPr>
          <w:rFonts w:ascii="Cambria" w:hAnsi="Cambria"/>
          <w:i/>
          <w:color w:val="000000" w:themeColor="text1"/>
          <w:sz w:val="21"/>
          <w:szCs w:val="21"/>
          <w:lang w:val="fr-FR"/>
        </w:rPr>
        <w:t>Conditions de détention</w:t>
      </w:r>
    </w:p>
    <w:p w:rsidR="00095791" w:rsidRPr="00AA613E" w:rsidRDefault="00095791" w:rsidP="00095791">
      <w:pPr>
        <w:spacing w:after="0" w:line="240" w:lineRule="auto"/>
        <w:jc w:val="both"/>
        <w:rPr>
          <w:rFonts w:ascii="Cambria" w:hAnsi="Cambria"/>
          <w:color w:val="000000" w:themeColor="text1"/>
          <w:sz w:val="21"/>
          <w:szCs w:val="21"/>
          <w:lang w:val="fr-FR"/>
        </w:rPr>
      </w:pPr>
    </w:p>
    <w:p w:rsidR="00963B81" w:rsidRPr="00AA613E" w:rsidRDefault="00963B81" w:rsidP="00963B81">
      <w:pPr>
        <w:pStyle w:val="ListParagraph"/>
        <w:numPr>
          <w:ilvl w:val="0"/>
          <w:numId w:val="16"/>
        </w:numPr>
        <w:spacing w:after="0" w:line="240" w:lineRule="auto"/>
        <w:ind w:left="0" w:firstLine="360"/>
        <w:jc w:val="both"/>
        <w:rPr>
          <w:rFonts w:ascii="Cambria" w:hAnsi="Cambria"/>
          <w:color w:val="000000"/>
          <w:sz w:val="21"/>
          <w:szCs w:val="21"/>
          <w:lang w:val="fr-FR"/>
        </w:rPr>
      </w:pPr>
      <w:r w:rsidRPr="00AA613E">
        <w:rPr>
          <w:rFonts w:ascii="Cambria" w:hAnsi="Cambria"/>
          <w:color w:val="000000"/>
          <w:sz w:val="21"/>
          <w:szCs w:val="21"/>
          <w:lang w:val="fr-FR"/>
        </w:rPr>
        <w:t>L</w:t>
      </w:r>
      <w:r w:rsidR="00D5391E" w:rsidRPr="00AA613E">
        <w:rPr>
          <w:rFonts w:ascii="Cambria" w:hAnsi="Cambria"/>
          <w:color w:val="000000"/>
          <w:sz w:val="21"/>
          <w:szCs w:val="21"/>
          <w:lang w:val="fr-FR"/>
        </w:rPr>
        <w:t xml:space="preserve">es </w:t>
      </w:r>
      <w:r w:rsidR="004949AB" w:rsidRPr="00AA613E">
        <w:rPr>
          <w:rFonts w:ascii="Cambria" w:hAnsi="Cambria"/>
          <w:color w:val="000000"/>
          <w:sz w:val="21"/>
          <w:szCs w:val="21"/>
          <w:lang w:val="fr-FR"/>
        </w:rPr>
        <w:t>requérants</w:t>
      </w:r>
      <w:r w:rsidR="00D5391E" w:rsidRPr="00AA613E">
        <w:rPr>
          <w:rFonts w:ascii="Cambria" w:hAnsi="Cambria"/>
          <w:color w:val="000000"/>
          <w:sz w:val="21"/>
          <w:szCs w:val="21"/>
          <w:lang w:val="fr-FR"/>
        </w:rPr>
        <w:t xml:space="preserve"> ont indiqué que le pénitencier comptait seulement 85 agents chargés de la sécurité</w:t>
      </w:r>
      <w:r w:rsidR="00E62114">
        <w:rPr>
          <w:rFonts w:ascii="Cambria" w:hAnsi="Cambria"/>
          <w:color w:val="000000"/>
          <w:sz w:val="21"/>
          <w:szCs w:val="21"/>
          <w:lang w:val="fr-FR"/>
        </w:rPr>
        <w:t>,</w:t>
      </w:r>
      <w:r w:rsidR="00D5391E" w:rsidRPr="00AA613E">
        <w:rPr>
          <w:rFonts w:ascii="Cambria" w:hAnsi="Cambria"/>
          <w:color w:val="000000"/>
          <w:sz w:val="21"/>
          <w:szCs w:val="21"/>
          <w:lang w:val="fr-FR"/>
        </w:rPr>
        <w:t xml:space="preserve"> </w:t>
      </w:r>
      <w:r w:rsidR="007B69DC" w:rsidRPr="00AA613E">
        <w:rPr>
          <w:rFonts w:ascii="Cambria" w:hAnsi="Cambria"/>
          <w:color w:val="000000"/>
          <w:sz w:val="21"/>
          <w:szCs w:val="21"/>
          <w:lang w:val="fr-FR"/>
        </w:rPr>
        <w:t>en moyenne 1 agent pénitentiaire pour 100 détenus. D’après les informations recueillies, les détenus auraient droit à deux repas par jour mais, parfois, ce nombre passe à un</w:t>
      </w:r>
      <w:r w:rsidRPr="00AA613E">
        <w:rPr>
          <w:rFonts w:ascii="Cambria" w:hAnsi="Cambria"/>
          <w:color w:val="000000"/>
          <w:sz w:val="21"/>
          <w:szCs w:val="21"/>
          <w:lang w:val="fr-FR"/>
        </w:rPr>
        <w:t xml:space="preserve">. </w:t>
      </w:r>
      <w:r w:rsidR="007B69DC" w:rsidRPr="00AA613E">
        <w:rPr>
          <w:rFonts w:ascii="Cambria" w:hAnsi="Cambria"/>
          <w:color w:val="000000"/>
          <w:sz w:val="21"/>
          <w:szCs w:val="21"/>
          <w:lang w:val="fr-FR"/>
        </w:rPr>
        <w:t>Ainsi, dans la semaine du 7 février 2017, les détenus n’auraient reçu qu’une seule part de nourriture en trois jours</w:t>
      </w:r>
      <w:r w:rsidRPr="00AA613E">
        <w:rPr>
          <w:rFonts w:ascii="Cambria" w:hAnsi="Cambria"/>
          <w:color w:val="000000"/>
          <w:sz w:val="21"/>
          <w:szCs w:val="21"/>
          <w:lang w:val="fr-FR"/>
        </w:rPr>
        <w:t xml:space="preserve">. </w:t>
      </w:r>
    </w:p>
    <w:p w:rsidR="00963B81" w:rsidRPr="00AA613E" w:rsidRDefault="00963B81" w:rsidP="00963B81">
      <w:pPr>
        <w:pStyle w:val="ListParagraph"/>
        <w:spacing w:after="0" w:line="240" w:lineRule="auto"/>
        <w:ind w:left="360"/>
        <w:jc w:val="both"/>
        <w:rPr>
          <w:rFonts w:ascii="Cambria" w:hAnsi="Cambria"/>
          <w:color w:val="000000"/>
          <w:sz w:val="21"/>
          <w:szCs w:val="21"/>
          <w:lang w:val="fr-FR"/>
        </w:rPr>
      </w:pPr>
    </w:p>
    <w:p w:rsidR="00963B81" w:rsidRPr="00AA613E" w:rsidRDefault="007B69DC" w:rsidP="00963B81">
      <w:pPr>
        <w:pStyle w:val="ListParagraph"/>
        <w:numPr>
          <w:ilvl w:val="0"/>
          <w:numId w:val="16"/>
        </w:numPr>
        <w:spacing w:after="0" w:line="240" w:lineRule="auto"/>
        <w:ind w:left="0" w:firstLine="360"/>
        <w:jc w:val="both"/>
        <w:rPr>
          <w:rFonts w:ascii="Cambria" w:hAnsi="Cambria"/>
          <w:color w:val="000000"/>
          <w:sz w:val="21"/>
          <w:szCs w:val="21"/>
          <w:lang w:val="fr-FR"/>
        </w:rPr>
      </w:pPr>
      <w:r w:rsidRPr="00AA613E">
        <w:rPr>
          <w:rFonts w:ascii="Cambria" w:hAnsi="Cambria"/>
          <w:color w:val="000000"/>
          <w:sz w:val="21"/>
          <w:szCs w:val="21"/>
          <w:lang w:val="fr-FR"/>
        </w:rPr>
        <w:t>L’établissement ne disposerait d’aucune ouverture laissant passer la lumière naturelle et les cellules seraient mal ventilées</w:t>
      </w:r>
      <w:r w:rsidR="00963B81" w:rsidRPr="00AA613E">
        <w:rPr>
          <w:rFonts w:ascii="Cambria" w:hAnsi="Cambria"/>
          <w:color w:val="000000"/>
          <w:sz w:val="21"/>
          <w:szCs w:val="21"/>
          <w:lang w:val="fr-FR"/>
        </w:rPr>
        <w:t xml:space="preserve">. </w:t>
      </w:r>
      <w:r w:rsidRPr="00AA613E">
        <w:rPr>
          <w:rFonts w:ascii="Cambria" w:hAnsi="Cambria"/>
          <w:color w:val="000000"/>
          <w:sz w:val="21"/>
          <w:szCs w:val="21"/>
          <w:lang w:val="fr-FR"/>
        </w:rPr>
        <w:t xml:space="preserve">Les détenus </w:t>
      </w:r>
      <w:r w:rsidR="00ED12EC" w:rsidRPr="00AA613E">
        <w:rPr>
          <w:rFonts w:ascii="Cambria" w:hAnsi="Cambria"/>
          <w:color w:val="000000"/>
          <w:sz w:val="21"/>
          <w:szCs w:val="21"/>
          <w:lang w:val="fr-FR"/>
        </w:rPr>
        <w:t>seraient confinés</w:t>
      </w:r>
      <w:r w:rsidRPr="00AA613E">
        <w:rPr>
          <w:rFonts w:ascii="Cambria" w:hAnsi="Cambria"/>
          <w:color w:val="000000"/>
          <w:sz w:val="21"/>
          <w:szCs w:val="21"/>
          <w:lang w:val="fr-FR"/>
        </w:rPr>
        <w:t xml:space="preserve"> entre 22 et 23 h par jour</w:t>
      </w:r>
      <w:r w:rsidR="00963B81" w:rsidRPr="00AA613E">
        <w:rPr>
          <w:rStyle w:val="FootnoteReference"/>
          <w:rFonts w:ascii="Cambria" w:hAnsi="Cambria"/>
          <w:color w:val="000000"/>
          <w:sz w:val="21"/>
          <w:szCs w:val="21"/>
          <w:lang w:val="fr-FR"/>
        </w:rPr>
        <w:footnoteReference w:id="5"/>
      </w:r>
      <w:r w:rsidR="00963B81" w:rsidRPr="00AA613E">
        <w:rPr>
          <w:rFonts w:ascii="Cambria" w:hAnsi="Cambria"/>
          <w:color w:val="000000"/>
          <w:sz w:val="21"/>
          <w:szCs w:val="21"/>
          <w:lang w:val="fr-FR"/>
        </w:rPr>
        <w:t xml:space="preserve"> </w:t>
      </w:r>
      <w:r w:rsidRPr="00AA613E">
        <w:rPr>
          <w:rFonts w:ascii="Cambria" w:hAnsi="Cambria"/>
          <w:color w:val="000000"/>
          <w:sz w:val="21"/>
          <w:szCs w:val="21"/>
          <w:lang w:val="fr-FR"/>
        </w:rPr>
        <w:t xml:space="preserve">et certaines cellules de 80 personnes ne contiendraient qu’un </w:t>
      </w:r>
      <w:r w:rsidR="0005720E" w:rsidRPr="00AA613E">
        <w:rPr>
          <w:rFonts w:ascii="Cambria" w:hAnsi="Cambria"/>
          <w:color w:val="000000"/>
          <w:sz w:val="21"/>
          <w:szCs w:val="21"/>
          <w:lang w:val="fr-FR"/>
        </w:rPr>
        <w:t>seul lieu d’aisance pas toujours</w:t>
      </w:r>
      <w:r w:rsidR="00946984" w:rsidRPr="00AA613E">
        <w:rPr>
          <w:rFonts w:ascii="Cambria" w:hAnsi="Cambria"/>
          <w:color w:val="000000"/>
          <w:sz w:val="21"/>
          <w:szCs w:val="21"/>
          <w:lang w:val="fr-FR"/>
        </w:rPr>
        <w:t xml:space="preserve"> fonctionnel</w:t>
      </w:r>
      <w:r w:rsidR="001B6D0F" w:rsidRPr="00AA613E">
        <w:rPr>
          <w:rStyle w:val="FootnoteReference"/>
          <w:rFonts w:ascii="Cambria" w:hAnsi="Cambria"/>
          <w:color w:val="000000"/>
          <w:sz w:val="21"/>
          <w:szCs w:val="21"/>
          <w:lang w:val="fr-FR"/>
        </w:rPr>
        <w:footnoteReference w:id="6"/>
      </w:r>
      <w:r w:rsidR="00963B81" w:rsidRPr="00AA613E">
        <w:rPr>
          <w:rFonts w:ascii="Cambria" w:hAnsi="Cambria"/>
          <w:color w:val="000000"/>
          <w:sz w:val="21"/>
          <w:szCs w:val="21"/>
          <w:lang w:val="fr-FR"/>
        </w:rPr>
        <w:t>. L</w:t>
      </w:r>
      <w:r w:rsidR="00E240AB" w:rsidRPr="00AA613E">
        <w:rPr>
          <w:rFonts w:ascii="Cambria" w:hAnsi="Cambria"/>
          <w:color w:val="000000"/>
          <w:sz w:val="21"/>
          <w:szCs w:val="21"/>
          <w:lang w:val="fr-FR"/>
        </w:rPr>
        <w:t xml:space="preserve">es </w:t>
      </w:r>
      <w:r w:rsidR="004949AB" w:rsidRPr="00AA613E">
        <w:rPr>
          <w:rFonts w:ascii="Cambria" w:hAnsi="Cambria"/>
          <w:color w:val="000000"/>
          <w:sz w:val="21"/>
          <w:szCs w:val="21"/>
          <w:lang w:val="fr-FR"/>
        </w:rPr>
        <w:lastRenderedPageBreak/>
        <w:t>requérants</w:t>
      </w:r>
      <w:r w:rsidR="00E240AB" w:rsidRPr="00AA613E">
        <w:rPr>
          <w:rFonts w:ascii="Cambria" w:hAnsi="Cambria"/>
          <w:color w:val="000000"/>
          <w:sz w:val="21"/>
          <w:szCs w:val="21"/>
          <w:lang w:val="fr-FR"/>
        </w:rPr>
        <w:t xml:space="preserve"> ont indiqué avoir observé la présence de chiens qui pourraient être à l’origine d’infections supplémentaires et, </w:t>
      </w:r>
      <w:r w:rsidR="00E62114">
        <w:rPr>
          <w:rFonts w:ascii="Cambria" w:hAnsi="Cambria"/>
          <w:color w:val="000000"/>
          <w:sz w:val="21"/>
          <w:szCs w:val="21"/>
          <w:lang w:val="fr-FR"/>
        </w:rPr>
        <w:t xml:space="preserve"> finalement</w:t>
      </w:r>
      <w:r w:rsidR="00E240AB" w:rsidRPr="00AA613E">
        <w:rPr>
          <w:rFonts w:ascii="Cambria" w:hAnsi="Cambria"/>
          <w:color w:val="000000"/>
          <w:sz w:val="21"/>
          <w:szCs w:val="21"/>
          <w:lang w:val="fr-FR"/>
        </w:rPr>
        <w:t>, ont rapporté que 42 détenus étaient décédés depuis le début de l’année 2017</w:t>
      </w:r>
      <w:r w:rsidR="00963B81" w:rsidRPr="00AA613E">
        <w:rPr>
          <w:rFonts w:ascii="Cambria" w:hAnsi="Cambria"/>
          <w:color w:val="000000"/>
          <w:sz w:val="21"/>
          <w:szCs w:val="21"/>
          <w:lang w:val="fr-FR"/>
        </w:rPr>
        <w:t xml:space="preserve"> </w:t>
      </w:r>
      <w:r w:rsidR="00E240AB" w:rsidRPr="00AA613E">
        <w:rPr>
          <w:rFonts w:ascii="Cambria" w:hAnsi="Cambria"/>
          <w:color w:val="000000"/>
          <w:sz w:val="21"/>
          <w:szCs w:val="21"/>
          <w:lang w:val="fr-FR"/>
        </w:rPr>
        <w:t xml:space="preserve">dans ce pénitencier. D’après les </w:t>
      </w:r>
      <w:r w:rsidR="004949AB" w:rsidRPr="00AA613E">
        <w:rPr>
          <w:rFonts w:ascii="Cambria" w:hAnsi="Cambria"/>
          <w:color w:val="000000"/>
          <w:sz w:val="21"/>
          <w:szCs w:val="21"/>
          <w:lang w:val="fr-FR"/>
        </w:rPr>
        <w:t>requérants</w:t>
      </w:r>
      <w:r w:rsidR="00E240AB" w:rsidRPr="00AA613E">
        <w:rPr>
          <w:rFonts w:ascii="Cambria" w:hAnsi="Cambria"/>
          <w:color w:val="000000"/>
          <w:sz w:val="21"/>
          <w:szCs w:val="21"/>
          <w:lang w:val="fr-FR"/>
        </w:rPr>
        <w:t xml:space="preserve">, ces décès sont dus à la malnutrition, aux conditions d’hygiène </w:t>
      </w:r>
      <w:r w:rsidR="00A01113" w:rsidRPr="00AA613E">
        <w:rPr>
          <w:rFonts w:ascii="Cambria" w:hAnsi="Cambria"/>
          <w:color w:val="000000"/>
          <w:sz w:val="21"/>
          <w:szCs w:val="21"/>
          <w:lang w:val="fr-FR"/>
        </w:rPr>
        <w:t xml:space="preserve">déplorables </w:t>
      </w:r>
      <w:r w:rsidR="00E240AB" w:rsidRPr="00AA613E">
        <w:rPr>
          <w:rFonts w:ascii="Cambria" w:hAnsi="Cambria"/>
          <w:color w:val="000000"/>
          <w:sz w:val="21"/>
          <w:szCs w:val="21"/>
          <w:lang w:val="fr-FR"/>
        </w:rPr>
        <w:t>et à l’absence de traitements médicaux appropriés</w:t>
      </w:r>
      <w:r w:rsidR="00963B81" w:rsidRPr="00AA613E">
        <w:rPr>
          <w:rFonts w:ascii="Cambria" w:hAnsi="Cambria"/>
          <w:color w:val="000000"/>
          <w:sz w:val="21"/>
          <w:szCs w:val="21"/>
          <w:lang w:val="fr-FR"/>
        </w:rPr>
        <w:t>.</w:t>
      </w:r>
      <w:r w:rsidR="001B6D0F" w:rsidRPr="00AA613E">
        <w:rPr>
          <w:rFonts w:ascii="Cambria" w:hAnsi="Cambria"/>
          <w:color w:val="000000"/>
          <w:sz w:val="21"/>
          <w:szCs w:val="21"/>
          <w:lang w:val="fr-FR"/>
        </w:rPr>
        <w:t xml:space="preserve"> </w:t>
      </w:r>
      <w:r w:rsidR="00E240AB" w:rsidRPr="00AA613E">
        <w:rPr>
          <w:rFonts w:ascii="Cambria" w:hAnsi="Cambria"/>
          <w:color w:val="000000"/>
          <w:sz w:val="21"/>
          <w:szCs w:val="21"/>
          <w:lang w:val="fr-FR"/>
        </w:rPr>
        <w:t>En outre, ils ont cité un rapport de l’expert indépendant de l’ONU sur la situation des droits de l’homme en Haïti déclarant que, si le rythme actuel se poursuivait au niveau national, les prévisions pour l’ensemble de l’</w:t>
      </w:r>
      <w:r w:rsidR="00EF0184" w:rsidRPr="00AA613E">
        <w:rPr>
          <w:rFonts w:ascii="Cambria" w:hAnsi="Cambria"/>
          <w:color w:val="000000"/>
          <w:sz w:val="21"/>
          <w:szCs w:val="21"/>
          <w:lang w:val="fr-FR"/>
        </w:rPr>
        <w:t>année 2017 atteindraient un total de 229 décès de détenus dans les prisons, autrement dit un taux de mortalité annuel de 21,8 pour 1 000</w:t>
      </w:r>
      <w:r w:rsidR="001E1835" w:rsidRPr="00AA613E">
        <w:rPr>
          <w:rStyle w:val="FootnoteReference"/>
          <w:rFonts w:ascii="Cambria" w:hAnsi="Cambria"/>
          <w:color w:val="000000"/>
          <w:sz w:val="21"/>
          <w:szCs w:val="21"/>
          <w:lang w:val="fr-FR"/>
        </w:rPr>
        <w:footnoteReference w:id="7"/>
      </w:r>
      <w:r w:rsidR="001E1835" w:rsidRPr="00AA613E">
        <w:rPr>
          <w:rFonts w:ascii="Cambria" w:hAnsi="Cambria"/>
          <w:color w:val="000000"/>
          <w:sz w:val="21"/>
          <w:szCs w:val="21"/>
          <w:lang w:val="fr-FR"/>
        </w:rPr>
        <w:t xml:space="preserve">. </w:t>
      </w:r>
      <w:r w:rsidR="001C2E09" w:rsidRPr="00AA613E">
        <w:rPr>
          <w:rFonts w:ascii="Cambria" w:hAnsi="Cambria"/>
          <w:color w:val="000000"/>
          <w:sz w:val="21"/>
          <w:szCs w:val="21"/>
          <w:lang w:val="fr-FR"/>
        </w:rPr>
        <w:t xml:space="preserve">De plus, </w:t>
      </w:r>
      <w:r w:rsidR="00A01113" w:rsidRPr="00AA613E">
        <w:rPr>
          <w:rFonts w:ascii="Cambria" w:hAnsi="Cambria"/>
          <w:color w:val="000000"/>
          <w:sz w:val="21"/>
          <w:szCs w:val="21"/>
          <w:lang w:val="fr-FR"/>
        </w:rPr>
        <w:t xml:space="preserve">d’après </w:t>
      </w:r>
      <w:r w:rsidR="001C2E09" w:rsidRPr="00AA613E">
        <w:rPr>
          <w:rFonts w:ascii="Cambria" w:hAnsi="Cambria"/>
          <w:color w:val="000000"/>
          <w:sz w:val="21"/>
          <w:szCs w:val="21"/>
          <w:lang w:val="fr-FR"/>
        </w:rPr>
        <w:t xml:space="preserve">les </w:t>
      </w:r>
      <w:r w:rsidR="004949AB" w:rsidRPr="00AA613E">
        <w:rPr>
          <w:rFonts w:ascii="Cambria" w:hAnsi="Cambria"/>
          <w:color w:val="000000"/>
          <w:sz w:val="21"/>
          <w:szCs w:val="21"/>
          <w:lang w:val="fr-FR"/>
        </w:rPr>
        <w:t>requérants</w:t>
      </w:r>
      <w:r w:rsidR="00A01113" w:rsidRPr="00AA613E">
        <w:rPr>
          <w:rFonts w:ascii="Cambria" w:hAnsi="Cambria"/>
          <w:color w:val="000000"/>
          <w:sz w:val="21"/>
          <w:szCs w:val="21"/>
          <w:lang w:val="fr-FR"/>
        </w:rPr>
        <w:t>,</w:t>
      </w:r>
      <w:r w:rsidR="001C2E09" w:rsidRPr="00AA613E">
        <w:rPr>
          <w:rFonts w:ascii="Cambria" w:hAnsi="Cambria"/>
          <w:color w:val="000000"/>
          <w:sz w:val="21"/>
          <w:szCs w:val="21"/>
          <w:lang w:val="fr-FR"/>
        </w:rPr>
        <w:t xml:space="preserve"> les détenus qui </w:t>
      </w:r>
      <w:r w:rsidR="00A01113" w:rsidRPr="00AA613E">
        <w:rPr>
          <w:rFonts w:ascii="Cambria" w:hAnsi="Cambria"/>
          <w:color w:val="000000"/>
          <w:sz w:val="21"/>
          <w:szCs w:val="21"/>
          <w:lang w:val="fr-FR"/>
        </w:rPr>
        <w:t xml:space="preserve">sont </w:t>
      </w:r>
      <w:r w:rsidR="001C2E09" w:rsidRPr="00AA613E">
        <w:rPr>
          <w:rFonts w:ascii="Cambria" w:hAnsi="Cambria"/>
          <w:color w:val="000000"/>
          <w:sz w:val="21"/>
          <w:szCs w:val="21"/>
          <w:lang w:val="fr-FR"/>
        </w:rPr>
        <w:t>surpris avec des téléphones portables dans le cadre des fouilles effectuées par les agents pénitentiaires feraient l’objet d’agressions à la matraque et seraient mis à l’isolement</w:t>
      </w:r>
      <w:r w:rsidR="001B6D0F" w:rsidRPr="00AA613E">
        <w:rPr>
          <w:rFonts w:ascii="Cambria" w:hAnsi="Cambria"/>
          <w:color w:val="000000"/>
          <w:sz w:val="21"/>
          <w:szCs w:val="21"/>
          <w:lang w:val="fr-FR"/>
        </w:rPr>
        <w:t xml:space="preserve">. </w:t>
      </w:r>
    </w:p>
    <w:p w:rsidR="00963B81" w:rsidRPr="00AA613E" w:rsidRDefault="00963B81" w:rsidP="00963B81">
      <w:pPr>
        <w:pStyle w:val="ListParagraph"/>
        <w:spacing w:after="0" w:line="240" w:lineRule="auto"/>
        <w:ind w:left="360"/>
        <w:jc w:val="both"/>
        <w:rPr>
          <w:rFonts w:ascii="Cambria" w:hAnsi="Cambria"/>
          <w:color w:val="000000"/>
          <w:sz w:val="21"/>
          <w:szCs w:val="21"/>
          <w:lang w:val="fr-FR"/>
        </w:rPr>
      </w:pPr>
    </w:p>
    <w:p w:rsidR="00963B81" w:rsidRPr="00AA613E" w:rsidRDefault="002E37CC" w:rsidP="00963B81">
      <w:pPr>
        <w:pStyle w:val="ListParagraph"/>
        <w:numPr>
          <w:ilvl w:val="0"/>
          <w:numId w:val="16"/>
        </w:numPr>
        <w:spacing w:after="0" w:line="240" w:lineRule="auto"/>
        <w:ind w:left="0" w:firstLine="360"/>
        <w:jc w:val="both"/>
        <w:rPr>
          <w:rFonts w:ascii="Cambria" w:hAnsi="Cambria"/>
          <w:color w:val="000000"/>
          <w:sz w:val="21"/>
          <w:szCs w:val="21"/>
          <w:lang w:val="fr-FR"/>
        </w:rPr>
      </w:pPr>
      <w:r w:rsidRPr="00AA613E">
        <w:rPr>
          <w:rFonts w:ascii="Cambria" w:hAnsi="Cambria"/>
          <w:color w:val="000000"/>
          <w:sz w:val="21"/>
          <w:szCs w:val="21"/>
          <w:lang w:val="fr-FR"/>
        </w:rPr>
        <w:t xml:space="preserve">Les </w:t>
      </w:r>
      <w:r w:rsidR="004949AB" w:rsidRPr="00AA613E">
        <w:rPr>
          <w:rFonts w:ascii="Cambria" w:hAnsi="Cambria"/>
          <w:color w:val="000000"/>
          <w:sz w:val="21"/>
          <w:szCs w:val="21"/>
          <w:lang w:val="fr-FR"/>
        </w:rPr>
        <w:t>requérants</w:t>
      </w:r>
      <w:r w:rsidRPr="00AA613E">
        <w:rPr>
          <w:rFonts w:ascii="Cambria" w:hAnsi="Cambria"/>
          <w:color w:val="000000"/>
          <w:sz w:val="21"/>
          <w:szCs w:val="21"/>
          <w:lang w:val="fr-FR"/>
        </w:rPr>
        <w:t xml:space="preserve"> ont indiqué que ces faits ont été constatés par l’Organisation des Nations Unies et par la Cour interaméricaine. En effet, le Secrétaire général des Nations Unies pour la stabilisation en Haïti aurai</w:t>
      </w:r>
      <w:r w:rsidR="003335A6" w:rsidRPr="00AA613E">
        <w:rPr>
          <w:rFonts w:ascii="Cambria" w:hAnsi="Cambria"/>
          <w:color w:val="000000"/>
          <w:sz w:val="21"/>
          <w:szCs w:val="21"/>
          <w:lang w:val="fr-FR"/>
        </w:rPr>
        <w:t>t reconnu la problématique liée</w:t>
      </w:r>
      <w:r w:rsidRPr="00AA613E">
        <w:rPr>
          <w:rFonts w:ascii="Cambria" w:hAnsi="Cambria"/>
          <w:color w:val="000000"/>
          <w:sz w:val="21"/>
          <w:szCs w:val="21"/>
          <w:lang w:val="fr-FR"/>
        </w:rPr>
        <w:t xml:space="preserve"> à la surpopulation carcérale et le manque de nourriture </w:t>
      </w:r>
      <w:r w:rsidR="009C7F75" w:rsidRPr="00AA613E">
        <w:rPr>
          <w:rFonts w:ascii="Cambria" w:hAnsi="Cambria"/>
          <w:color w:val="000000"/>
          <w:sz w:val="21"/>
          <w:szCs w:val="21"/>
          <w:lang w:val="fr-FR"/>
        </w:rPr>
        <w:t>appropriée</w:t>
      </w:r>
      <w:r w:rsidR="00963B81" w:rsidRPr="00AA613E">
        <w:rPr>
          <w:rStyle w:val="FootnoteReference"/>
          <w:rFonts w:ascii="Cambria" w:hAnsi="Cambria"/>
          <w:color w:val="000000"/>
          <w:sz w:val="21"/>
          <w:szCs w:val="21"/>
          <w:lang w:val="fr-FR"/>
        </w:rPr>
        <w:footnoteReference w:id="8"/>
      </w:r>
      <w:r w:rsidR="00963B81" w:rsidRPr="00AA613E">
        <w:rPr>
          <w:rFonts w:ascii="Cambria" w:hAnsi="Cambria"/>
          <w:color w:val="000000"/>
          <w:sz w:val="21"/>
          <w:szCs w:val="21"/>
          <w:lang w:val="fr-FR"/>
        </w:rPr>
        <w:t xml:space="preserve">, </w:t>
      </w:r>
      <w:r w:rsidR="00A01113" w:rsidRPr="00AA613E">
        <w:rPr>
          <w:rFonts w:ascii="Cambria" w:hAnsi="Cambria"/>
          <w:color w:val="000000"/>
          <w:sz w:val="21"/>
          <w:szCs w:val="21"/>
          <w:lang w:val="fr-FR"/>
        </w:rPr>
        <w:t>ainsi que</w:t>
      </w:r>
      <w:r w:rsidR="009C7F75" w:rsidRPr="00AA613E">
        <w:rPr>
          <w:rFonts w:ascii="Cambria" w:hAnsi="Cambria"/>
          <w:color w:val="000000"/>
          <w:sz w:val="21"/>
          <w:szCs w:val="21"/>
          <w:lang w:val="fr-FR"/>
        </w:rPr>
        <w:t xml:space="preserve"> le décès des 42 détenus mentionné précédemment</w:t>
      </w:r>
      <w:r w:rsidR="00963B81" w:rsidRPr="00AA613E">
        <w:rPr>
          <w:rStyle w:val="FootnoteReference"/>
          <w:rFonts w:ascii="Cambria" w:hAnsi="Cambria"/>
          <w:color w:val="000000"/>
          <w:sz w:val="21"/>
          <w:szCs w:val="21"/>
          <w:lang w:val="fr-FR"/>
        </w:rPr>
        <w:footnoteReference w:id="9"/>
      </w:r>
      <w:r w:rsidR="00963B81" w:rsidRPr="00AA613E">
        <w:rPr>
          <w:rFonts w:ascii="Cambria" w:hAnsi="Cambria"/>
          <w:color w:val="000000"/>
          <w:sz w:val="21"/>
          <w:szCs w:val="21"/>
          <w:lang w:val="fr-FR"/>
        </w:rPr>
        <w:t xml:space="preserve">. En </w:t>
      </w:r>
      <w:r w:rsidR="002B1D34" w:rsidRPr="00AA613E">
        <w:rPr>
          <w:rFonts w:ascii="Cambria" w:hAnsi="Cambria"/>
          <w:color w:val="000000"/>
          <w:sz w:val="21"/>
          <w:szCs w:val="21"/>
          <w:lang w:val="fr-FR"/>
        </w:rPr>
        <w:t xml:space="preserve">ce qui concerne la Cour interaméricaine, les </w:t>
      </w:r>
      <w:r w:rsidR="004949AB" w:rsidRPr="00AA613E">
        <w:rPr>
          <w:rFonts w:ascii="Cambria" w:hAnsi="Cambria"/>
          <w:color w:val="000000"/>
          <w:sz w:val="21"/>
          <w:szCs w:val="21"/>
          <w:lang w:val="fr-FR"/>
        </w:rPr>
        <w:t>requérants</w:t>
      </w:r>
      <w:r w:rsidR="002B1D34" w:rsidRPr="00AA613E">
        <w:rPr>
          <w:rFonts w:ascii="Cambria" w:hAnsi="Cambria"/>
          <w:color w:val="000000"/>
          <w:sz w:val="21"/>
          <w:szCs w:val="21"/>
          <w:lang w:val="fr-FR"/>
        </w:rPr>
        <w:t xml:space="preserve"> ont invoqué comme antécédent l’affaire </w:t>
      </w:r>
      <w:r w:rsidR="00963B81" w:rsidRPr="00AA613E">
        <w:rPr>
          <w:rFonts w:ascii="Cambria" w:hAnsi="Cambria"/>
          <w:i/>
          <w:color w:val="000000"/>
          <w:sz w:val="21"/>
          <w:szCs w:val="21"/>
          <w:lang w:val="fr-FR"/>
        </w:rPr>
        <w:t xml:space="preserve">Yvon Neptune </w:t>
      </w:r>
      <w:r w:rsidR="002B1D34" w:rsidRPr="00AA613E">
        <w:rPr>
          <w:rFonts w:ascii="Cambria" w:hAnsi="Cambria"/>
          <w:i/>
          <w:color w:val="000000"/>
          <w:sz w:val="21"/>
          <w:szCs w:val="21"/>
          <w:lang w:val="fr-FR"/>
        </w:rPr>
        <w:t>contre Haïti</w:t>
      </w:r>
      <w:r w:rsidR="00A205DC" w:rsidRPr="00AA613E">
        <w:rPr>
          <w:rFonts w:ascii="Cambria" w:hAnsi="Cambria"/>
          <w:i/>
          <w:color w:val="000000"/>
          <w:sz w:val="21"/>
          <w:szCs w:val="21"/>
          <w:lang w:val="fr-FR"/>
        </w:rPr>
        <w:t xml:space="preserve"> </w:t>
      </w:r>
      <w:r w:rsidR="00A205DC" w:rsidRPr="00AA613E">
        <w:rPr>
          <w:rFonts w:ascii="Cambria" w:hAnsi="Cambria"/>
          <w:color w:val="000000"/>
          <w:sz w:val="21"/>
          <w:szCs w:val="21"/>
          <w:lang w:val="fr-FR"/>
        </w:rPr>
        <w:t>(2008)</w:t>
      </w:r>
      <w:r w:rsidR="00963B81" w:rsidRPr="00AA613E">
        <w:rPr>
          <w:rFonts w:ascii="Cambria" w:hAnsi="Cambria"/>
          <w:i/>
          <w:color w:val="000000"/>
          <w:sz w:val="21"/>
          <w:szCs w:val="21"/>
          <w:lang w:val="fr-FR"/>
        </w:rPr>
        <w:t>,</w:t>
      </w:r>
      <w:r w:rsidR="00963B81" w:rsidRPr="00AA613E">
        <w:rPr>
          <w:rFonts w:ascii="Cambria" w:hAnsi="Cambria"/>
          <w:color w:val="000000"/>
          <w:sz w:val="21"/>
          <w:szCs w:val="21"/>
          <w:lang w:val="fr-FR"/>
        </w:rPr>
        <w:t xml:space="preserve"> </w:t>
      </w:r>
      <w:r w:rsidR="002B1D34" w:rsidRPr="00AA613E">
        <w:rPr>
          <w:rFonts w:ascii="Cambria" w:hAnsi="Cambria"/>
          <w:color w:val="000000"/>
          <w:sz w:val="21"/>
          <w:szCs w:val="21"/>
          <w:lang w:val="fr-FR"/>
        </w:rPr>
        <w:t>dans le cadre de laquelle l’État a été condamné pour violation des articles 5.1 et</w:t>
      </w:r>
      <w:r w:rsidR="00963B81" w:rsidRPr="00AA613E">
        <w:rPr>
          <w:rFonts w:ascii="Cambria" w:hAnsi="Cambria"/>
          <w:color w:val="000000"/>
          <w:sz w:val="21"/>
          <w:szCs w:val="21"/>
          <w:lang w:val="fr-FR"/>
        </w:rPr>
        <w:t xml:space="preserve"> 5.2 de la Conven</w:t>
      </w:r>
      <w:r w:rsidR="002B1D34" w:rsidRPr="00AA613E">
        <w:rPr>
          <w:rFonts w:ascii="Cambria" w:hAnsi="Cambria"/>
          <w:color w:val="000000"/>
          <w:sz w:val="21"/>
          <w:szCs w:val="21"/>
          <w:lang w:val="fr-FR"/>
        </w:rPr>
        <w:t>tion américaine</w:t>
      </w:r>
      <w:r w:rsidR="00963B81" w:rsidRPr="00AA613E">
        <w:rPr>
          <w:rStyle w:val="FootnoteReference"/>
          <w:rFonts w:ascii="Cambria" w:hAnsi="Cambria"/>
          <w:color w:val="000000"/>
          <w:sz w:val="21"/>
          <w:szCs w:val="21"/>
          <w:lang w:val="fr-FR"/>
        </w:rPr>
        <w:footnoteReference w:id="10"/>
      </w:r>
      <w:r w:rsidR="002B1D34" w:rsidRPr="00AA613E">
        <w:rPr>
          <w:rFonts w:ascii="Cambria" w:hAnsi="Cambria"/>
          <w:color w:val="000000"/>
          <w:sz w:val="21"/>
          <w:szCs w:val="21"/>
          <w:lang w:val="fr-FR"/>
        </w:rPr>
        <w:t xml:space="preserve"> (les victimes ont été privées de liberté dans ce même pénitencier). En 2015, la Cour a conclu, dans le cadre de ses pouvoirs de </w:t>
      </w:r>
      <w:r w:rsidR="00736EC2" w:rsidRPr="00AA613E">
        <w:rPr>
          <w:rFonts w:ascii="Cambria" w:hAnsi="Cambria"/>
          <w:color w:val="000000"/>
          <w:sz w:val="21"/>
          <w:szCs w:val="21"/>
          <w:lang w:val="fr-FR"/>
        </w:rPr>
        <w:t>contrôle</w:t>
      </w:r>
      <w:r w:rsidR="002B1D34" w:rsidRPr="00AA613E">
        <w:rPr>
          <w:rFonts w:ascii="Cambria" w:hAnsi="Cambria"/>
          <w:color w:val="000000"/>
          <w:sz w:val="21"/>
          <w:szCs w:val="21"/>
          <w:lang w:val="fr-FR"/>
        </w:rPr>
        <w:t xml:space="preserve"> </w:t>
      </w:r>
      <w:r w:rsidR="00736EC2" w:rsidRPr="00AA613E">
        <w:rPr>
          <w:rFonts w:ascii="Cambria" w:hAnsi="Cambria"/>
          <w:color w:val="000000"/>
          <w:sz w:val="21"/>
          <w:szCs w:val="21"/>
          <w:lang w:val="fr-FR"/>
        </w:rPr>
        <w:t xml:space="preserve">de la </w:t>
      </w:r>
      <w:r w:rsidR="00A01113" w:rsidRPr="00AA613E">
        <w:rPr>
          <w:rFonts w:ascii="Cambria" w:hAnsi="Cambria"/>
          <w:color w:val="000000"/>
          <w:sz w:val="21"/>
          <w:szCs w:val="21"/>
          <w:lang w:val="fr-FR"/>
        </w:rPr>
        <w:t>décision</w:t>
      </w:r>
      <w:r w:rsidR="002B1D34" w:rsidRPr="00AA613E">
        <w:rPr>
          <w:rFonts w:ascii="Cambria" w:hAnsi="Cambria"/>
          <w:color w:val="000000"/>
          <w:sz w:val="21"/>
          <w:szCs w:val="21"/>
          <w:lang w:val="fr-FR"/>
        </w:rPr>
        <w:t>, que l’État avait omis d’adopter les mesures nécessaires pour améliorer substantiellement les conditions de détention au sein de cet établissement</w:t>
      </w:r>
      <w:r w:rsidR="00963B81" w:rsidRPr="00AA613E">
        <w:rPr>
          <w:rStyle w:val="FootnoteReference"/>
          <w:rFonts w:ascii="Cambria" w:hAnsi="Cambria"/>
          <w:color w:val="000000"/>
          <w:sz w:val="21"/>
          <w:szCs w:val="21"/>
          <w:lang w:val="fr-FR"/>
        </w:rPr>
        <w:footnoteReference w:id="11"/>
      </w:r>
      <w:r w:rsidR="00963B81" w:rsidRPr="00AA613E">
        <w:rPr>
          <w:rFonts w:ascii="Cambria" w:hAnsi="Cambria"/>
          <w:color w:val="000000"/>
          <w:sz w:val="21"/>
          <w:szCs w:val="21"/>
          <w:lang w:val="fr-FR"/>
        </w:rPr>
        <w:t>.</w:t>
      </w:r>
    </w:p>
    <w:p w:rsidR="00095791" w:rsidRPr="00AA613E" w:rsidRDefault="00095791" w:rsidP="00963B81">
      <w:pPr>
        <w:pStyle w:val="ListParagraph"/>
        <w:spacing w:after="0" w:line="240" w:lineRule="auto"/>
        <w:ind w:left="360"/>
        <w:jc w:val="both"/>
        <w:rPr>
          <w:rFonts w:ascii="Cambria" w:hAnsi="Cambria"/>
          <w:color w:val="000000" w:themeColor="text1"/>
          <w:sz w:val="21"/>
          <w:szCs w:val="21"/>
          <w:lang w:val="fr-FR"/>
        </w:rPr>
      </w:pPr>
    </w:p>
    <w:p w:rsidR="00095791" w:rsidRPr="00AA613E" w:rsidRDefault="007C0354" w:rsidP="007C0354">
      <w:pPr>
        <w:pStyle w:val="ListParagraph"/>
        <w:numPr>
          <w:ilvl w:val="0"/>
          <w:numId w:val="17"/>
        </w:numPr>
        <w:spacing w:after="0" w:line="240" w:lineRule="auto"/>
        <w:jc w:val="both"/>
        <w:rPr>
          <w:rFonts w:ascii="Cambria" w:hAnsi="Cambria"/>
          <w:i/>
          <w:color w:val="000000" w:themeColor="text1"/>
          <w:sz w:val="21"/>
          <w:szCs w:val="21"/>
          <w:lang w:val="fr-FR"/>
        </w:rPr>
      </w:pPr>
      <w:r w:rsidRPr="00AA613E">
        <w:rPr>
          <w:rFonts w:ascii="Cambria" w:hAnsi="Cambria"/>
          <w:i/>
          <w:color w:val="000000" w:themeColor="text1"/>
          <w:sz w:val="21"/>
          <w:szCs w:val="21"/>
          <w:lang w:val="fr-FR"/>
        </w:rPr>
        <w:t>Situa</w:t>
      </w:r>
      <w:r w:rsidR="00A01113" w:rsidRPr="00AA613E">
        <w:rPr>
          <w:rFonts w:ascii="Cambria" w:hAnsi="Cambria"/>
          <w:i/>
          <w:color w:val="000000" w:themeColor="text1"/>
          <w:sz w:val="21"/>
          <w:szCs w:val="21"/>
          <w:lang w:val="fr-FR"/>
        </w:rPr>
        <w:t xml:space="preserve">tion en matière de santé et </w:t>
      </w:r>
      <w:r w:rsidR="002B1D34" w:rsidRPr="00AA613E">
        <w:rPr>
          <w:rFonts w:ascii="Cambria" w:hAnsi="Cambria"/>
          <w:i/>
          <w:color w:val="000000" w:themeColor="text1"/>
          <w:sz w:val="21"/>
          <w:szCs w:val="21"/>
          <w:lang w:val="fr-FR"/>
        </w:rPr>
        <w:t xml:space="preserve">soins médicaux </w:t>
      </w:r>
    </w:p>
    <w:p w:rsidR="007C0354" w:rsidRPr="00AA613E" w:rsidRDefault="007C0354" w:rsidP="007C0354">
      <w:pPr>
        <w:spacing w:after="0" w:line="240" w:lineRule="auto"/>
        <w:jc w:val="both"/>
        <w:rPr>
          <w:rFonts w:ascii="Cambria" w:hAnsi="Cambria"/>
          <w:color w:val="000000" w:themeColor="text1"/>
          <w:sz w:val="21"/>
          <w:szCs w:val="21"/>
          <w:lang w:val="fr-FR"/>
        </w:rPr>
      </w:pPr>
    </w:p>
    <w:p w:rsidR="007C0354" w:rsidRPr="00AA613E" w:rsidRDefault="003220AE" w:rsidP="007C0354">
      <w:pPr>
        <w:pStyle w:val="ListParagraph"/>
        <w:numPr>
          <w:ilvl w:val="0"/>
          <w:numId w:val="16"/>
        </w:numPr>
        <w:spacing w:after="0" w:line="240" w:lineRule="auto"/>
        <w:ind w:left="0" w:firstLine="360"/>
        <w:jc w:val="both"/>
        <w:rPr>
          <w:rFonts w:ascii="Cambria" w:hAnsi="Cambria"/>
          <w:color w:val="000000"/>
          <w:sz w:val="21"/>
          <w:szCs w:val="21"/>
          <w:lang w:val="fr-FR"/>
        </w:rPr>
      </w:pPr>
      <w:r w:rsidRPr="00AA613E">
        <w:rPr>
          <w:rFonts w:ascii="Cambria" w:hAnsi="Cambria"/>
          <w:color w:val="000000"/>
          <w:sz w:val="21"/>
          <w:szCs w:val="21"/>
          <w:lang w:val="fr-FR"/>
        </w:rPr>
        <w:t xml:space="preserve">Les </w:t>
      </w:r>
      <w:r w:rsidR="004949AB" w:rsidRPr="00AA613E">
        <w:rPr>
          <w:rFonts w:ascii="Cambria" w:hAnsi="Cambria"/>
          <w:color w:val="000000"/>
          <w:sz w:val="21"/>
          <w:szCs w:val="21"/>
          <w:lang w:val="fr-FR"/>
        </w:rPr>
        <w:t>requérants</w:t>
      </w:r>
      <w:r w:rsidRPr="00AA613E">
        <w:rPr>
          <w:rFonts w:ascii="Cambria" w:hAnsi="Cambria"/>
          <w:color w:val="000000"/>
          <w:sz w:val="21"/>
          <w:szCs w:val="21"/>
          <w:lang w:val="fr-FR"/>
        </w:rPr>
        <w:t xml:space="preserve"> ont indiqué, sans citer de chiffres, que, selon les informations recueillies auprès d’un infirmier, plusieurs cas d’anémie, de tuberculose et de VIH avaient été observés chez les personnes privées de liberté</w:t>
      </w:r>
      <w:r w:rsidR="00FB53F2" w:rsidRPr="00AA613E">
        <w:rPr>
          <w:rFonts w:ascii="Cambria" w:hAnsi="Cambria"/>
          <w:color w:val="000000"/>
          <w:sz w:val="21"/>
          <w:szCs w:val="21"/>
          <w:lang w:val="fr-FR"/>
        </w:rPr>
        <w:t xml:space="preserve">. Le pénitencier disposerait seulement de six médecins et dix infirmiers pour 4 151 détenus. De même, d’après les informations fournies par le directeur de l’établissement, les médicaments de base ne sont pas accessibles. Selon les </w:t>
      </w:r>
      <w:r w:rsidR="004949AB" w:rsidRPr="00AA613E">
        <w:rPr>
          <w:rFonts w:ascii="Cambria" w:hAnsi="Cambria"/>
          <w:color w:val="000000"/>
          <w:sz w:val="21"/>
          <w:szCs w:val="21"/>
          <w:lang w:val="fr-FR"/>
        </w:rPr>
        <w:t>requérants</w:t>
      </w:r>
      <w:r w:rsidR="00FB53F2" w:rsidRPr="00AA613E">
        <w:rPr>
          <w:rFonts w:ascii="Cambria" w:hAnsi="Cambria"/>
          <w:color w:val="000000"/>
          <w:sz w:val="21"/>
          <w:szCs w:val="21"/>
          <w:lang w:val="fr-FR"/>
        </w:rPr>
        <w:t>, ces informations ont été confirmées par les Nations Unies</w:t>
      </w:r>
      <w:r w:rsidR="007C0354" w:rsidRPr="00AA613E">
        <w:rPr>
          <w:rStyle w:val="FootnoteReference"/>
          <w:rFonts w:ascii="Cambria" w:hAnsi="Cambria"/>
          <w:color w:val="000000"/>
          <w:sz w:val="21"/>
          <w:szCs w:val="21"/>
          <w:lang w:val="fr-FR"/>
        </w:rPr>
        <w:footnoteReference w:id="12"/>
      </w:r>
      <w:r w:rsidR="007C0354" w:rsidRPr="00AA613E">
        <w:rPr>
          <w:rFonts w:ascii="Cambria" w:hAnsi="Cambria"/>
          <w:color w:val="000000"/>
          <w:sz w:val="21"/>
          <w:szCs w:val="21"/>
          <w:lang w:val="fr-FR"/>
        </w:rPr>
        <w:t>.</w:t>
      </w:r>
    </w:p>
    <w:p w:rsidR="007C0354" w:rsidRPr="00AA613E" w:rsidRDefault="007C0354" w:rsidP="007C0354">
      <w:pPr>
        <w:pStyle w:val="ListParagraph"/>
        <w:spacing w:after="0" w:line="240" w:lineRule="auto"/>
        <w:ind w:left="360"/>
        <w:jc w:val="both"/>
        <w:rPr>
          <w:rFonts w:ascii="Cambria" w:hAnsi="Cambria"/>
          <w:color w:val="000000"/>
          <w:sz w:val="21"/>
          <w:szCs w:val="21"/>
          <w:lang w:val="fr-FR"/>
        </w:rPr>
      </w:pPr>
    </w:p>
    <w:p w:rsidR="007C0354" w:rsidRPr="00AA613E" w:rsidRDefault="008A0D1D" w:rsidP="007C0354">
      <w:pPr>
        <w:pStyle w:val="ListParagraph"/>
        <w:numPr>
          <w:ilvl w:val="0"/>
          <w:numId w:val="16"/>
        </w:numPr>
        <w:spacing w:after="0" w:line="240" w:lineRule="auto"/>
        <w:ind w:left="0" w:firstLine="360"/>
        <w:jc w:val="both"/>
        <w:rPr>
          <w:rFonts w:ascii="Cambria" w:hAnsi="Cambria"/>
          <w:color w:val="000000"/>
          <w:sz w:val="21"/>
          <w:szCs w:val="21"/>
          <w:lang w:val="fr-FR"/>
        </w:rPr>
      </w:pPr>
      <w:r w:rsidRPr="00AA613E">
        <w:rPr>
          <w:rFonts w:ascii="Cambria" w:hAnsi="Cambria"/>
          <w:color w:val="000000"/>
          <w:sz w:val="21"/>
          <w:szCs w:val="21"/>
          <w:lang w:val="fr-FR"/>
        </w:rPr>
        <w:t xml:space="preserve">En particulier, les </w:t>
      </w:r>
      <w:r w:rsidR="004949AB" w:rsidRPr="00AA613E">
        <w:rPr>
          <w:rFonts w:ascii="Cambria" w:hAnsi="Cambria"/>
          <w:color w:val="000000"/>
          <w:sz w:val="21"/>
          <w:szCs w:val="21"/>
          <w:lang w:val="fr-FR"/>
        </w:rPr>
        <w:t>requérants</w:t>
      </w:r>
      <w:r w:rsidRPr="00AA613E">
        <w:rPr>
          <w:rFonts w:ascii="Cambria" w:hAnsi="Cambria"/>
          <w:color w:val="000000"/>
          <w:sz w:val="21"/>
          <w:szCs w:val="21"/>
          <w:lang w:val="fr-FR"/>
        </w:rPr>
        <w:t xml:space="preserve"> ont évoqué les conditions</w:t>
      </w:r>
      <w:r w:rsidR="00F2476E" w:rsidRPr="00AA613E">
        <w:rPr>
          <w:rFonts w:ascii="Cambria" w:hAnsi="Cambria"/>
          <w:color w:val="000000"/>
          <w:sz w:val="21"/>
          <w:szCs w:val="21"/>
          <w:lang w:val="fr-FR"/>
        </w:rPr>
        <w:t xml:space="preserve"> dans lesquelles se trouverait</w:t>
      </w:r>
      <w:r w:rsidRPr="00AA613E">
        <w:rPr>
          <w:rFonts w:ascii="Cambria" w:hAnsi="Cambria"/>
          <w:color w:val="000000"/>
          <w:sz w:val="21"/>
          <w:szCs w:val="21"/>
          <w:lang w:val="fr-FR"/>
        </w:rPr>
        <w:t xml:space="preserve"> une cellule</w:t>
      </w:r>
      <w:r w:rsidR="00F2476E" w:rsidRPr="00AA613E">
        <w:rPr>
          <w:rFonts w:ascii="Cambria" w:hAnsi="Cambria"/>
          <w:color w:val="000000"/>
          <w:sz w:val="21"/>
          <w:szCs w:val="21"/>
          <w:lang w:val="fr-FR"/>
        </w:rPr>
        <w:t xml:space="preserve"> </w:t>
      </w:r>
      <w:r w:rsidRPr="00AA613E">
        <w:rPr>
          <w:rFonts w:ascii="Cambria" w:hAnsi="Cambria"/>
          <w:color w:val="000000"/>
          <w:sz w:val="21"/>
          <w:szCs w:val="21"/>
          <w:lang w:val="fr-FR"/>
        </w:rPr>
        <w:t>dédiée</w:t>
      </w:r>
      <w:r w:rsidR="00F2476E" w:rsidRPr="00AA613E">
        <w:rPr>
          <w:rFonts w:ascii="Cambria" w:hAnsi="Cambria"/>
          <w:color w:val="000000"/>
          <w:sz w:val="21"/>
          <w:szCs w:val="21"/>
          <w:lang w:val="fr-FR"/>
        </w:rPr>
        <w:t xml:space="preserve">, au sein du pénitencier, </w:t>
      </w:r>
      <w:r w:rsidRPr="00AA613E">
        <w:rPr>
          <w:rFonts w:ascii="Cambria" w:hAnsi="Cambria"/>
          <w:color w:val="000000"/>
          <w:sz w:val="21"/>
          <w:szCs w:val="21"/>
          <w:lang w:val="fr-FR"/>
        </w:rPr>
        <w:t>au traitement des malades du choléra ainsi qu’une autre cellule dédiée au traitement de la tuberculose </w:t>
      </w:r>
      <w:r w:rsidR="007C0354" w:rsidRPr="00AA613E">
        <w:rPr>
          <w:rFonts w:ascii="Cambria" w:hAnsi="Cambria"/>
          <w:color w:val="000000"/>
          <w:sz w:val="21"/>
          <w:szCs w:val="21"/>
          <w:lang w:val="fr-FR"/>
        </w:rPr>
        <w:t>:</w:t>
      </w:r>
    </w:p>
    <w:p w:rsidR="007C0354" w:rsidRPr="00AA613E" w:rsidRDefault="007C0354" w:rsidP="007C0354">
      <w:pPr>
        <w:spacing w:after="0" w:line="240" w:lineRule="auto"/>
        <w:jc w:val="both"/>
        <w:rPr>
          <w:rFonts w:ascii="Cambria" w:hAnsi="Cambria"/>
          <w:color w:val="000000"/>
          <w:sz w:val="21"/>
          <w:szCs w:val="21"/>
          <w:lang w:val="fr-FR"/>
        </w:rPr>
      </w:pPr>
    </w:p>
    <w:p w:rsidR="007C0354" w:rsidRPr="00AA613E" w:rsidRDefault="008272FF" w:rsidP="007C0354">
      <w:pPr>
        <w:pStyle w:val="ListParagraph"/>
        <w:numPr>
          <w:ilvl w:val="0"/>
          <w:numId w:val="18"/>
        </w:numPr>
        <w:spacing w:after="0" w:line="240" w:lineRule="auto"/>
        <w:jc w:val="both"/>
        <w:rPr>
          <w:rFonts w:ascii="Cambria" w:hAnsi="Cambria"/>
          <w:color w:val="000000"/>
          <w:sz w:val="21"/>
          <w:szCs w:val="21"/>
          <w:lang w:val="fr-FR"/>
        </w:rPr>
      </w:pPr>
      <w:r w:rsidRPr="00AA613E">
        <w:rPr>
          <w:rFonts w:ascii="Cambria" w:hAnsi="Cambria"/>
          <w:color w:val="000000"/>
          <w:sz w:val="21"/>
          <w:szCs w:val="21"/>
          <w:lang w:val="fr-FR"/>
        </w:rPr>
        <w:t xml:space="preserve">En ce qui concerne les malades du choléra, 66 personnes seraient couchées à même le sol dans une seule cellule, éclairée par la lumière naturelle et relativement bien aérée mais dépourvue de toilettes. </w:t>
      </w:r>
      <w:r w:rsidR="00F95F67" w:rsidRPr="00AA613E">
        <w:rPr>
          <w:rFonts w:ascii="Cambria" w:hAnsi="Cambria"/>
          <w:color w:val="000000"/>
          <w:sz w:val="21"/>
          <w:szCs w:val="21"/>
          <w:lang w:val="fr-FR"/>
        </w:rPr>
        <w:t>De plus, il semblerait que les détenus doivent partager l’</w:t>
      </w:r>
      <w:r w:rsidR="007A471B" w:rsidRPr="00AA613E">
        <w:rPr>
          <w:rFonts w:ascii="Cambria" w:hAnsi="Cambria"/>
          <w:color w:val="000000"/>
          <w:sz w:val="21"/>
          <w:szCs w:val="21"/>
          <w:lang w:val="fr-FR"/>
        </w:rPr>
        <w:t xml:space="preserve">eau d’une grande jarre commune, s’exposant ainsi à des infections supplémentaires, avec un risque de propagation des maladies aux autres détenus. Les </w:t>
      </w:r>
      <w:r w:rsidR="004949AB" w:rsidRPr="00AA613E">
        <w:rPr>
          <w:rFonts w:ascii="Cambria" w:hAnsi="Cambria"/>
          <w:color w:val="000000"/>
          <w:sz w:val="21"/>
          <w:szCs w:val="21"/>
          <w:lang w:val="fr-FR"/>
        </w:rPr>
        <w:t>requérants</w:t>
      </w:r>
      <w:r w:rsidR="007A471B" w:rsidRPr="00AA613E">
        <w:rPr>
          <w:rFonts w:ascii="Cambria" w:hAnsi="Cambria"/>
          <w:color w:val="000000"/>
          <w:sz w:val="21"/>
          <w:szCs w:val="21"/>
          <w:lang w:val="fr-FR"/>
        </w:rPr>
        <w:t xml:space="preserve"> ont indiqué que ces personnes </w:t>
      </w:r>
      <w:r w:rsidR="00EF03E7" w:rsidRPr="00AA613E">
        <w:rPr>
          <w:rFonts w:ascii="Cambria" w:hAnsi="Cambria"/>
          <w:color w:val="000000"/>
          <w:sz w:val="21"/>
          <w:szCs w:val="21"/>
          <w:lang w:val="fr-FR"/>
        </w:rPr>
        <w:t>avaient</w:t>
      </w:r>
      <w:r w:rsidR="007A471B" w:rsidRPr="00AA613E">
        <w:rPr>
          <w:rFonts w:ascii="Cambria" w:hAnsi="Cambria"/>
          <w:color w:val="000000"/>
          <w:sz w:val="21"/>
          <w:szCs w:val="21"/>
          <w:lang w:val="fr-FR"/>
        </w:rPr>
        <w:t xml:space="preserve"> le même régime alimentaire que les autres prisonniers</w:t>
      </w:r>
      <w:r w:rsidR="007C0354" w:rsidRPr="00AA613E">
        <w:rPr>
          <w:rFonts w:ascii="Cambria" w:hAnsi="Cambria"/>
          <w:color w:val="000000"/>
          <w:sz w:val="21"/>
          <w:szCs w:val="21"/>
          <w:lang w:val="fr-FR"/>
        </w:rPr>
        <w:t>.</w:t>
      </w:r>
    </w:p>
    <w:p w:rsidR="007C0354" w:rsidRPr="00AA613E" w:rsidRDefault="007C0354" w:rsidP="007C0354">
      <w:pPr>
        <w:spacing w:after="0" w:line="240" w:lineRule="auto"/>
        <w:jc w:val="both"/>
        <w:rPr>
          <w:rFonts w:ascii="Cambria" w:hAnsi="Cambria"/>
          <w:color w:val="000000"/>
          <w:sz w:val="21"/>
          <w:szCs w:val="21"/>
          <w:lang w:val="fr-FR"/>
        </w:rPr>
      </w:pPr>
    </w:p>
    <w:p w:rsidR="007C0354" w:rsidRPr="00AA613E" w:rsidRDefault="00E242C0" w:rsidP="007C0354">
      <w:pPr>
        <w:pStyle w:val="ListParagraph"/>
        <w:numPr>
          <w:ilvl w:val="0"/>
          <w:numId w:val="18"/>
        </w:numPr>
        <w:spacing w:after="0" w:line="240" w:lineRule="auto"/>
        <w:jc w:val="both"/>
        <w:rPr>
          <w:rFonts w:ascii="Cambria" w:hAnsi="Cambria"/>
          <w:color w:val="000000"/>
          <w:sz w:val="20"/>
          <w:lang w:val="fr-FR"/>
        </w:rPr>
      </w:pPr>
      <w:r w:rsidRPr="00AA613E">
        <w:rPr>
          <w:rFonts w:ascii="Cambria" w:hAnsi="Cambria"/>
          <w:color w:val="000000"/>
          <w:sz w:val="21"/>
          <w:szCs w:val="21"/>
          <w:lang w:val="fr-FR"/>
        </w:rPr>
        <w:t>En ce qui concerne les malades de la tuberculose, la cellule contiendrait 56 personnes et disposerait de deux toilettes apparemment non fonctionnelles</w:t>
      </w:r>
      <w:r w:rsidR="007C0354" w:rsidRPr="00AA613E">
        <w:rPr>
          <w:rFonts w:ascii="Cambria" w:hAnsi="Cambria"/>
          <w:color w:val="000000"/>
          <w:sz w:val="21"/>
          <w:szCs w:val="21"/>
          <w:lang w:val="fr-FR"/>
        </w:rPr>
        <w:t xml:space="preserve">. </w:t>
      </w:r>
      <w:r w:rsidR="00A958A9" w:rsidRPr="00AA613E">
        <w:rPr>
          <w:rFonts w:ascii="Cambria" w:hAnsi="Cambria"/>
          <w:color w:val="000000"/>
          <w:sz w:val="21"/>
          <w:szCs w:val="21"/>
          <w:lang w:val="fr-FR"/>
        </w:rPr>
        <w:t xml:space="preserve">Selon les </w:t>
      </w:r>
      <w:r w:rsidR="004949AB" w:rsidRPr="00AA613E">
        <w:rPr>
          <w:rFonts w:ascii="Cambria" w:hAnsi="Cambria"/>
          <w:color w:val="000000"/>
          <w:sz w:val="21"/>
          <w:szCs w:val="21"/>
          <w:lang w:val="fr-FR"/>
        </w:rPr>
        <w:t>requérants</w:t>
      </w:r>
      <w:r w:rsidR="00A958A9" w:rsidRPr="00AA613E">
        <w:rPr>
          <w:rFonts w:ascii="Cambria" w:hAnsi="Cambria"/>
          <w:color w:val="000000"/>
          <w:sz w:val="21"/>
          <w:szCs w:val="21"/>
          <w:lang w:val="fr-FR"/>
        </w:rPr>
        <w:t xml:space="preserve">, les détenus </w:t>
      </w:r>
      <w:r w:rsidR="00ED12EC" w:rsidRPr="00AA613E">
        <w:rPr>
          <w:rFonts w:ascii="Cambria" w:hAnsi="Cambria"/>
          <w:color w:val="000000"/>
          <w:sz w:val="21"/>
          <w:szCs w:val="21"/>
          <w:lang w:val="fr-FR"/>
        </w:rPr>
        <w:t>sont confinés</w:t>
      </w:r>
      <w:r w:rsidR="00A958A9" w:rsidRPr="00AA613E">
        <w:rPr>
          <w:rFonts w:ascii="Cambria" w:hAnsi="Cambria"/>
          <w:color w:val="000000"/>
          <w:sz w:val="21"/>
          <w:szCs w:val="21"/>
          <w:lang w:val="fr-FR"/>
        </w:rPr>
        <w:t xml:space="preserve"> entre 22 et 23 h par jour dans cette cellule</w:t>
      </w:r>
      <w:r w:rsidR="007C0354" w:rsidRPr="00AA613E">
        <w:rPr>
          <w:rFonts w:ascii="Cambria" w:hAnsi="Cambria"/>
          <w:color w:val="000000"/>
          <w:sz w:val="21"/>
          <w:szCs w:val="21"/>
          <w:lang w:val="fr-FR"/>
        </w:rPr>
        <w:t>.</w:t>
      </w:r>
    </w:p>
    <w:p w:rsidR="00095791" w:rsidRPr="00AA613E" w:rsidRDefault="00095791" w:rsidP="006856F3">
      <w:pPr>
        <w:spacing w:after="0" w:line="240" w:lineRule="auto"/>
        <w:jc w:val="both"/>
        <w:rPr>
          <w:rFonts w:ascii="Cambria" w:hAnsi="Cambria"/>
          <w:color w:val="000000" w:themeColor="text1"/>
          <w:sz w:val="21"/>
          <w:szCs w:val="21"/>
          <w:lang w:val="fr-FR"/>
        </w:rPr>
      </w:pPr>
    </w:p>
    <w:p w:rsidR="007C0354" w:rsidRPr="00AA613E" w:rsidRDefault="00A958A9" w:rsidP="007C0354">
      <w:pPr>
        <w:pStyle w:val="ListParagraph"/>
        <w:numPr>
          <w:ilvl w:val="0"/>
          <w:numId w:val="20"/>
        </w:numPr>
        <w:spacing w:after="0" w:line="240" w:lineRule="auto"/>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À propos de l’hôpital</w:t>
      </w:r>
    </w:p>
    <w:p w:rsidR="007C0354" w:rsidRPr="00AA613E" w:rsidRDefault="007C0354" w:rsidP="007C0354">
      <w:pPr>
        <w:spacing w:after="0" w:line="240" w:lineRule="auto"/>
        <w:jc w:val="both"/>
        <w:rPr>
          <w:rFonts w:ascii="Cambria" w:hAnsi="Cambria"/>
          <w:color w:val="000000" w:themeColor="text1"/>
          <w:sz w:val="21"/>
          <w:szCs w:val="21"/>
          <w:lang w:val="fr-FR"/>
        </w:rPr>
      </w:pPr>
    </w:p>
    <w:p w:rsidR="006864AF" w:rsidRPr="00AA613E" w:rsidRDefault="007C0354" w:rsidP="006864AF">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L</w:t>
      </w:r>
      <w:r w:rsidR="00A958A9" w:rsidRPr="00AA613E">
        <w:rPr>
          <w:rFonts w:ascii="Cambria" w:hAnsi="Cambria"/>
          <w:color w:val="000000" w:themeColor="text1"/>
          <w:sz w:val="21"/>
          <w:szCs w:val="21"/>
          <w:lang w:val="fr-FR"/>
        </w:rPr>
        <w:t xml:space="preserve">es </w:t>
      </w:r>
      <w:r w:rsidR="004949AB" w:rsidRPr="00AA613E">
        <w:rPr>
          <w:rFonts w:ascii="Cambria" w:hAnsi="Cambria"/>
          <w:color w:val="000000" w:themeColor="text1"/>
          <w:sz w:val="21"/>
          <w:szCs w:val="21"/>
          <w:lang w:val="fr-FR"/>
        </w:rPr>
        <w:t>requérants</w:t>
      </w:r>
      <w:r w:rsidR="00A958A9" w:rsidRPr="00AA613E">
        <w:rPr>
          <w:rFonts w:ascii="Cambria" w:hAnsi="Cambria"/>
          <w:color w:val="000000" w:themeColor="text1"/>
          <w:sz w:val="21"/>
          <w:szCs w:val="21"/>
          <w:lang w:val="fr-FR"/>
        </w:rPr>
        <w:t xml:space="preserve"> ont également sollicité l’adoption de </w:t>
      </w:r>
      <w:r w:rsidR="002B4AB8" w:rsidRPr="00AA613E">
        <w:rPr>
          <w:rFonts w:ascii="Cambria" w:hAnsi="Cambria"/>
          <w:color w:val="000000" w:themeColor="text1"/>
          <w:sz w:val="21"/>
          <w:szCs w:val="21"/>
          <w:lang w:val="fr-FR"/>
        </w:rPr>
        <w:t>mesures conservatoires</w:t>
      </w:r>
      <w:r w:rsidR="00A958A9" w:rsidRPr="00AA613E">
        <w:rPr>
          <w:rFonts w:ascii="Cambria" w:hAnsi="Cambria"/>
          <w:color w:val="000000" w:themeColor="text1"/>
          <w:sz w:val="21"/>
          <w:szCs w:val="21"/>
          <w:lang w:val="fr-FR"/>
        </w:rPr>
        <w:t xml:space="preserve"> en faveur des détenus qui ont été transférés à l’hôpital, un établissement public qui recevrait les malades des centres pénitentiaires afin de bénéficier du traitement médical correspondant</w:t>
      </w:r>
      <w:r w:rsidR="006864AF" w:rsidRPr="00AA613E">
        <w:rPr>
          <w:rFonts w:ascii="Cambria" w:hAnsi="Cambria"/>
          <w:color w:val="000000" w:themeColor="text1"/>
          <w:sz w:val="21"/>
          <w:szCs w:val="21"/>
          <w:lang w:val="fr-FR"/>
        </w:rPr>
        <w:t>.</w:t>
      </w:r>
      <w:r w:rsidR="00B23FC2" w:rsidRPr="00AA613E">
        <w:rPr>
          <w:rFonts w:ascii="Cambria" w:hAnsi="Cambria"/>
          <w:color w:val="000000" w:themeColor="text1"/>
          <w:sz w:val="21"/>
          <w:szCs w:val="21"/>
          <w:lang w:val="fr-FR"/>
        </w:rPr>
        <w:t xml:space="preserve"> </w:t>
      </w:r>
      <w:r w:rsidR="00A958A9" w:rsidRPr="00AA613E">
        <w:rPr>
          <w:rFonts w:ascii="Cambria" w:hAnsi="Cambria"/>
          <w:color w:val="000000" w:themeColor="text1"/>
          <w:sz w:val="21"/>
          <w:szCs w:val="21"/>
          <w:lang w:val="fr-FR"/>
        </w:rPr>
        <w:t xml:space="preserve">En ce qui concerne ce point, le dossier ne comporte aucune information plus précise sur l’emplacement de l’hôpital </w:t>
      </w:r>
      <w:r w:rsidR="00E43CC4">
        <w:rPr>
          <w:rFonts w:ascii="Cambria" w:hAnsi="Cambria"/>
          <w:color w:val="000000" w:themeColor="text1"/>
          <w:sz w:val="21"/>
          <w:szCs w:val="21"/>
          <w:lang w:val="fr-FR"/>
        </w:rPr>
        <w:t>ou</w:t>
      </w:r>
      <w:r w:rsidR="00A958A9" w:rsidRPr="00AA613E">
        <w:rPr>
          <w:rFonts w:ascii="Cambria" w:hAnsi="Cambria"/>
          <w:color w:val="000000" w:themeColor="text1"/>
          <w:sz w:val="21"/>
          <w:szCs w:val="21"/>
          <w:lang w:val="fr-FR"/>
        </w:rPr>
        <w:t xml:space="preserve"> autres détails. Les faits rapportés par les </w:t>
      </w:r>
      <w:r w:rsidR="004949AB" w:rsidRPr="00AA613E">
        <w:rPr>
          <w:rFonts w:ascii="Cambria" w:hAnsi="Cambria"/>
          <w:color w:val="000000" w:themeColor="text1"/>
          <w:sz w:val="21"/>
          <w:szCs w:val="21"/>
          <w:lang w:val="fr-FR"/>
        </w:rPr>
        <w:t>requérants</w:t>
      </w:r>
      <w:r w:rsidR="00A958A9" w:rsidRPr="00AA613E">
        <w:rPr>
          <w:rFonts w:ascii="Cambria" w:hAnsi="Cambria"/>
          <w:color w:val="000000" w:themeColor="text1"/>
          <w:sz w:val="21"/>
          <w:szCs w:val="21"/>
          <w:lang w:val="fr-FR"/>
        </w:rPr>
        <w:t xml:space="preserve"> pour étayer la </w:t>
      </w:r>
      <w:r w:rsidR="002B4AB8" w:rsidRPr="00AA613E">
        <w:rPr>
          <w:rFonts w:ascii="Cambria" w:hAnsi="Cambria"/>
          <w:color w:val="000000" w:themeColor="text1"/>
          <w:sz w:val="21"/>
          <w:szCs w:val="21"/>
          <w:lang w:val="fr-FR"/>
        </w:rPr>
        <w:t>mesure conservatoire</w:t>
      </w:r>
      <w:r w:rsidR="00A958A9" w:rsidRPr="00AA613E">
        <w:rPr>
          <w:rFonts w:ascii="Cambria" w:hAnsi="Cambria"/>
          <w:color w:val="000000" w:themeColor="text1"/>
          <w:sz w:val="21"/>
          <w:szCs w:val="21"/>
          <w:lang w:val="fr-FR"/>
        </w:rPr>
        <w:t xml:space="preserve"> sont les suivants : </w:t>
      </w:r>
      <w:r w:rsidRPr="00AA613E">
        <w:rPr>
          <w:rFonts w:ascii="Cambria" w:hAnsi="Cambria"/>
          <w:color w:val="000000" w:themeColor="text1"/>
          <w:sz w:val="21"/>
          <w:szCs w:val="21"/>
          <w:lang w:val="fr-FR"/>
        </w:rPr>
        <w:t xml:space="preserve"> </w:t>
      </w:r>
    </w:p>
    <w:p w:rsidR="00A958A9" w:rsidRPr="00AA613E" w:rsidRDefault="00A958A9" w:rsidP="00A958A9">
      <w:pPr>
        <w:pStyle w:val="ListParagraph"/>
        <w:spacing w:after="0" w:line="240" w:lineRule="auto"/>
        <w:ind w:left="360"/>
        <w:jc w:val="both"/>
        <w:rPr>
          <w:rFonts w:ascii="Cambria" w:hAnsi="Cambria"/>
          <w:color w:val="000000" w:themeColor="text1"/>
          <w:sz w:val="21"/>
          <w:szCs w:val="21"/>
          <w:lang w:val="fr-FR"/>
        </w:rPr>
      </w:pPr>
    </w:p>
    <w:p w:rsidR="00A533CF" w:rsidRPr="00AA613E" w:rsidRDefault="00670AF8" w:rsidP="006864AF">
      <w:pPr>
        <w:pStyle w:val="ListParagraph"/>
        <w:numPr>
          <w:ilvl w:val="0"/>
          <w:numId w:val="22"/>
        </w:numPr>
        <w:spacing w:after="0" w:line="240" w:lineRule="auto"/>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Dans leur demande initiale, les </w:t>
      </w:r>
      <w:r w:rsidR="004949AB" w:rsidRPr="00AA613E">
        <w:rPr>
          <w:rFonts w:ascii="Cambria" w:hAnsi="Cambria"/>
          <w:color w:val="000000" w:themeColor="text1"/>
          <w:sz w:val="21"/>
          <w:szCs w:val="21"/>
          <w:lang w:val="fr-FR"/>
        </w:rPr>
        <w:t>requérants</w:t>
      </w:r>
      <w:r w:rsidRPr="00AA613E">
        <w:rPr>
          <w:rFonts w:ascii="Cambria" w:hAnsi="Cambria"/>
          <w:color w:val="000000" w:themeColor="text1"/>
          <w:sz w:val="21"/>
          <w:szCs w:val="21"/>
          <w:lang w:val="fr-FR"/>
        </w:rPr>
        <w:t xml:space="preserve"> ont indiqué, sans détailler les modalités et la date, que cinq détenus auraient été transférés du pénitencier à l’hôpital. Le 16 février 2017, ils auraient effectué une visite des installations de l’hôpital et constaté  la présence de deux détenus </w:t>
      </w:r>
      <w:r w:rsidR="0093709B" w:rsidRPr="00AA613E">
        <w:rPr>
          <w:rFonts w:ascii="Cambria" w:hAnsi="Cambria"/>
          <w:color w:val="000000" w:themeColor="text1"/>
          <w:sz w:val="21"/>
          <w:szCs w:val="21"/>
          <w:lang w:val="fr-FR"/>
        </w:rPr>
        <w:t>seulement</w:t>
      </w:r>
      <w:r w:rsidRPr="00AA613E">
        <w:rPr>
          <w:rFonts w:ascii="Cambria" w:hAnsi="Cambria"/>
          <w:color w:val="000000" w:themeColor="text1"/>
          <w:sz w:val="21"/>
          <w:szCs w:val="21"/>
          <w:lang w:val="fr-FR"/>
        </w:rPr>
        <w:t xml:space="preserve"> </w:t>
      </w:r>
      <w:r w:rsidR="0006473A" w:rsidRPr="00AA613E">
        <w:rPr>
          <w:rFonts w:ascii="Cambria" w:hAnsi="Cambria"/>
          <w:color w:val="000000" w:themeColor="text1"/>
          <w:sz w:val="21"/>
          <w:szCs w:val="21"/>
          <w:lang w:val="fr-FR"/>
        </w:rPr>
        <w:t>(</w:t>
      </w:r>
      <w:r w:rsidR="00F56919" w:rsidRPr="00AA613E">
        <w:rPr>
          <w:rFonts w:ascii="Cambria" w:hAnsi="Cambria"/>
          <w:color w:val="000000" w:themeColor="text1"/>
          <w:sz w:val="21"/>
          <w:szCs w:val="21"/>
          <w:lang w:val="fr-FR"/>
        </w:rPr>
        <w:t>le personnel hospitalier aurait été incapable d’expliquer où se trouvaient les trois détenus manquants</w:t>
      </w:r>
      <w:r w:rsidR="00A533CF" w:rsidRPr="00AA613E">
        <w:rPr>
          <w:rFonts w:ascii="Cambria" w:hAnsi="Cambria"/>
          <w:color w:val="000000" w:themeColor="text1"/>
          <w:sz w:val="21"/>
          <w:szCs w:val="21"/>
          <w:lang w:val="fr-FR"/>
        </w:rPr>
        <w:t>)</w:t>
      </w:r>
      <w:r w:rsidR="0006473A" w:rsidRPr="00AA613E">
        <w:rPr>
          <w:rFonts w:ascii="Cambria" w:hAnsi="Cambria"/>
          <w:color w:val="000000" w:themeColor="text1"/>
          <w:sz w:val="21"/>
          <w:szCs w:val="21"/>
          <w:lang w:val="fr-FR"/>
        </w:rPr>
        <w:t xml:space="preserve">. </w:t>
      </w:r>
    </w:p>
    <w:p w:rsidR="00A533CF" w:rsidRPr="00AA613E" w:rsidRDefault="00A533CF" w:rsidP="00186130">
      <w:pPr>
        <w:pStyle w:val="ListParagraph"/>
        <w:spacing w:after="0" w:line="240" w:lineRule="auto"/>
        <w:jc w:val="both"/>
        <w:rPr>
          <w:rFonts w:ascii="Cambria" w:hAnsi="Cambria"/>
          <w:color w:val="000000" w:themeColor="text1"/>
          <w:sz w:val="21"/>
          <w:szCs w:val="21"/>
          <w:lang w:val="fr-FR"/>
        </w:rPr>
      </w:pPr>
    </w:p>
    <w:p w:rsidR="006864AF" w:rsidRPr="00AA613E" w:rsidRDefault="00AF0DEB" w:rsidP="006864AF">
      <w:pPr>
        <w:pStyle w:val="ListParagraph"/>
        <w:numPr>
          <w:ilvl w:val="0"/>
          <w:numId w:val="22"/>
        </w:numPr>
        <w:spacing w:after="0" w:line="240" w:lineRule="auto"/>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Dans leur courrier du 28 mars 2017, les </w:t>
      </w:r>
      <w:r w:rsidR="004949AB" w:rsidRPr="00AA613E">
        <w:rPr>
          <w:rFonts w:ascii="Cambria" w:hAnsi="Cambria"/>
          <w:color w:val="000000" w:themeColor="text1"/>
          <w:sz w:val="21"/>
          <w:szCs w:val="21"/>
          <w:lang w:val="fr-FR"/>
        </w:rPr>
        <w:t>requérants</w:t>
      </w:r>
      <w:r w:rsidRPr="00AA613E">
        <w:rPr>
          <w:rFonts w:ascii="Cambria" w:hAnsi="Cambria"/>
          <w:color w:val="000000" w:themeColor="text1"/>
          <w:sz w:val="21"/>
          <w:szCs w:val="21"/>
          <w:lang w:val="fr-FR"/>
        </w:rPr>
        <w:t xml:space="preserve"> ont signalé avoir effectué une seconde visite au cours de la même semaine et précisé </w:t>
      </w:r>
      <w:r w:rsidR="00475270" w:rsidRPr="00AA613E">
        <w:rPr>
          <w:rFonts w:ascii="Cambria" w:hAnsi="Cambria"/>
          <w:color w:val="000000" w:themeColor="text1"/>
          <w:sz w:val="21"/>
          <w:szCs w:val="21"/>
          <w:lang w:val="fr-FR"/>
        </w:rPr>
        <w:t xml:space="preserve">qu’au moins six détenus avaient été transférés à l’hôpital depuis le 16 février 2017 : deux seraient décédés récemment, deux ont été renvoyés au pénitencier et les deux restants </w:t>
      </w:r>
      <w:r w:rsidR="009365E7">
        <w:rPr>
          <w:rFonts w:ascii="Cambria" w:hAnsi="Cambria"/>
          <w:color w:val="000000" w:themeColor="text1"/>
          <w:sz w:val="21"/>
          <w:szCs w:val="21"/>
          <w:lang w:val="fr-FR"/>
        </w:rPr>
        <w:t xml:space="preserve"> resteraient </w:t>
      </w:r>
      <w:r w:rsidR="00475270" w:rsidRPr="00AA613E">
        <w:rPr>
          <w:rFonts w:ascii="Cambria" w:hAnsi="Cambria"/>
          <w:color w:val="000000" w:themeColor="text1"/>
          <w:sz w:val="21"/>
          <w:szCs w:val="21"/>
          <w:lang w:val="fr-FR"/>
        </w:rPr>
        <w:t xml:space="preserve"> à l’hôpital. Cependant, face à l’impossibilité d’obtenir les noms des détenus auxquels ils ont rendu visite le 16 février 2017, les </w:t>
      </w:r>
      <w:r w:rsidR="004949AB" w:rsidRPr="00AA613E">
        <w:rPr>
          <w:rFonts w:ascii="Cambria" w:hAnsi="Cambria"/>
          <w:color w:val="000000" w:themeColor="text1"/>
          <w:sz w:val="21"/>
          <w:szCs w:val="21"/>
          <w:lang w:val="fr-FR"/>
        </w:rPr>
        <w:t>requérants</w:t>
      </w:r>
      <w:r w:rsidR="00475270" w:rsidRPr="00AA613E">
        <w:rPr>
          <w:rFonts w:ascii="Cambria" w:hAnsi="Cambria"/>
          <w:color w:val="000000" w:themeColor="text1"/>
          <w:sz w:val="21"/>
          <w:szCs w:val="21"/>
          <w:lang w:val="fr-FR"/>
        </w:rPr>
        <w:t xml:space="preserve"> ont indiqué qu’ils seraient actuellement dans l’incapacité de fournir des informations plus détaillées sur le fait de savoir si les détenus </w:t>
      </w:r>
      <w:r w:rsidR="0093709B" w:rsidRPr="00AA613E">
        <w:rPr>
          <w:rFonts w:ascii="Cambria" w:hAnsi="Cambria"/>
          <w:color w:val="000000" w:themeColor="text1"/>
          <w:sz w:val="21"/>
          <w:szCs w:val="21"/>
          <w:lang w:val="fr-FR"/>
        </w:rPr>
        <w:t>mentionnés ci-dess</w:t>
      </w:r>
      <w:r w:rsidR="00475270" w:rsidRPr="00AA613E">
        <w:rPr>
          <w:rFonts w:ascii="Cambria" w:hAnsi="Cambria"/>
          <w:color w:val="000000" w:themeColor="text1"/>
          <w:sz w:val="21"/>
          <w:szCs w:val="21"/>
          <w:lang w:val="fr-FR"/>
        </w:rPr>
        <w:t>us sont les mêmes que ceux rencontrés précédemment</w:t>
      </w:r>
      <w:r w:rsidR="00186130" w:rsidRPr="00AA613E">
        <w:rPr>
          <w:rFonts w:ascii="Cambria" w:hAnsi="Cambria"/>
          <w:color w:val="000000" w:themeColor="text1"/>
          <w:sz w:val="21"/>
          <w:szCs w:val="21"/>
          <w:lang w:val="fr-FR"/>
        </w:rPr>
        <w:t xml:space="preserve">. </w:t>
      </w:r>
    </w:p>
    <w:p w:rsidR="006864AF" w:rsidRPr="00AA613E" w:rsidRDefault="006864AF" w:rsidP="006864AF">
      <w:pPr>
        <w:pStyle w:val="ListParagraph"/>
        <w:spacing w:after="0" w:line="240" w:lineRule="auto"/>
        <w:jc w:val="both"/>
        <w:rPr>
          <w:rFonts w:ascii="Cambria" w:hAnsi="Cambria"/>
          <w:color w:val="000000" w:themeColor="text1"/>
          <w:sz w:val="21"/>
          <w:szCs w:val="21"/>
          <w:lang w:val="fr-FR"/>
        </w:rPr>
      </w:pPr>
    </w:p>
    <w:p w:rsidR="006864AF" w:rsidRPr="00AA613E" w:rsidRDefault="001070C9" w:rsidP="00D03619">
      <w:pPr>
        <w:pStyle w:val="ListParagraph"/>
        <w:numPr>
          <w:ilvl w:val="0"/>
          <w:numId w:val="22"/>
        </w:numPr>
        <w:spacing w:after="0" w:line="240" w:lineRule="auto"/>
        <w:jc w:val="both"/>
        <w:rPr>
          <w:rFonts w:ascii="Cambria" w:hAnsi="Cambria"/>
          <w:lang w:val="fr-FR"/>
        </w:rPr>
      </w:pPr>
      <w:r w:rsidRPr="00AA613E">
        <w:rPr>
          <w:rFonts w:ascii="Cambria" w:hAnsi="Cambria"/>
          <w:color w:val="000000" w:themeColor="text1"/>
          <w:sz w:val="21"/>
          <w:szCs w:val="21"/>
          <w:lang w:val="fr-FR"/>
        </w:rPr>
        <w:t>Il semblerait que l</w:t>
      </w:r>
      <w:r w:rsidR="00061A62" w:rsidRPr="00AA613E">
        <w:rPr>
          <w:rFonts w:ascii="Cambria" w:hAnsi="Cambria"/>
          <w:color w:val="000000" w:themeColor="text1"/>
          <w:sz w:val="21"/>
          <w:szCs w:val="21"/>
          <w:lang w:val="fr-FR"/>
        </w:rPr>
        <w:t>’h</w:t>
      </w:r>
      <w:r w:rsidRPr="00AA613E">
        <w:rPr>
          <w:rFonts w:ascii="Cambria" w:hAnsi="Cambria"/>
          <w:color w:val="000000" w:themeColor="text1"/>
          <w:sz w:val="21"/>
          <w:szCs w:val="21"/>
          <w:lang w:val="fr-FR"/>
        </w:rPr>
        <w:t xml:space="preserve">ôpital ne rencontre </w:t>
      </w:r>
      <w:r w:rsidR="00061A62" w:rsidRPr="00AA613E">
        <w:rPr>
          <w:rFonts w:ascii="Cambria" w:hAnsi="Cambria"/>
          <w:color w:val="000000" w:themeColor="text1"/>
          <w:sz w:val="21"/>
          <w:szCs w:val="21"/>
          <w:lang w:val="fr-FR"/>
        </w:rPr>
        <w:t xml:space="preserve">aucun problème de surpopulation. Néanmoins, les conditions de détention y seraient </w:t>
      </w:r>
      <w:r w:rsidRPr="00AA613E">
        <w:rPr>
          <w:rFonts w:ascii="Cambria" w:hAnsi="Cambria"/>
          <w:color w:val="000000" w:themeColor="text1"/>
          <w:sz w:val="21"/>
          <w:szCs w:val="21"/>
          <w:lang w:val="fr-FR"/>
        </w:rPr>
        <w:t>« </w:t>
      </w:r>
      <w:r w:rsidR="00D92445" w:rsidRPr="00AA613E">
        <w:rPr>
          <w:rFonts w:ascii="Cambria" w:hAnsi="Cambria"/>
          <w:color w:val="000000" w:themeColor="text1"/>
          <w:sz w:val="21"/>
          <w:szCs w:val="21"/>
          <w:lang w:val="fr-FR"/>
        </w:rPr>
        <w:t>déplorables</w:t>
      </w:r>
      <w:r w:rsidRPr="00AA613E">
        <w:rPr>
          <w:rFonts w:ascii="Cambria" w:hAnsi="Cambria"/>
          <w:color w:val="000000" w:themeColor="text1"/>
          <w:sz w:val="21"/>
          <w:szCs w:val="21"/>
          <w:lang w:val="fr-FR"/>
        </w:rPr>
        <w:t xml:space="preserve"> ». </w:t>
      </w:r>
      <w:r w:rsidR="006952EA" w:rsidRPr="00AA613E">
        <w:rPr>
          <w:rFonts w:ascii="Cambria" w:hAnsi="Cambria"/>
          <w:color w:val="000000" w:themeColor="text1"/>
          <w:sz w:val="21"/>
          <w:szCs w:val="21"/>
          <w:lang w:val="fr-FR"/>
        </w:rPr>
        <w:t xml:space="preserve">De plus, les </w:t>
      </w:r>
      <w:r w:rsidR="004949AB" w:rsidRPr="00AA613E">
        <w:rPr>
          <w:rFonts w:ascii="Cambria" w:hAnsi="Cambria"/>
          <w:color w:val="000000" w:themeColor="text1"/>
          <w:sz w:val="21"/>
          <w:szCs w:val="21"/>
          <w:lang w:val="fr-FR"/>
        </w:rPr>
        <w:t>requérants</w:t>
      </w:r>
      <w:r w:rsidR="006952EA" w:rsidRPr="00AA613E">
        <w:rPr>
          <w:rFonts w:ascii="Cambria" w:hAnsi="Cambria"/>
          <w:color w:val="000000" w:themeColor="text1"/>
          <w:sz w:val="21"/>
          <w:szCs w:val="21"/>
          <w:lang w:val="fr-FR"/>
        </w:rPr>
        <w:t xml:space="preserve"> ont indiqué que l’hôpital aurait cessé toute prise en charge de ses patients le 12 décembre 2016 et le 23 février 2017 en raison d’une grève générale des travailleurs qui aurait paralysé les hôpitaux publics haïtiens</w:t>
      </w:r>
      <w:r w:rsidR="00186130" w:rsidRPr="00AA613E">
        <w:rPr>
          <w:rFonts w:ascii="Cambria" w:hAnsi="Cambria"/>
          <w:color w:val="000000" w:themeColor="text1"/>
          <w:sz w:val="21"/>
          <w:szCs w:val="21"/>
          <w:lang w:val="fr-FR"/>
        </w:rPr>
        <w:t xml:space="preserve">. </w:t>
      </w:r>
      <w:r w:rsidR="006952EA" w:rsidRPr="00AA613E">
        <w:rPr>
          <w:rFonts w:ascii="Cambria" w:hAnsi="Cambria"/>
          <w:color w:val="000000" w:themeColor="text1"/>
          <w:sz w:val="21"/>
          <w:szCs w:val="21"/>
          <w:lang w:val="fr-FR"/>
        </w:rPr>
        <w:t xml:space="preserve">Ils ont précisé qu’actuellement le mouvement de grève aurait pris fin mais que les patients demeuraient sans traitements médicaux à cause d’une pénurie de matériel qui se serait produite entre le 12 décembre 2016 et le 23 février 2017. Malgré la fin de la grève, il semblerait que les bénéficiaires proposés ne reçoivent plus de médicaments </w:t>
      </w:r>
      <w:r w:rsidR="009473E7" w:rsidRPr="00AA613E">
        <w:rPr>
          <w:rFonts w:ascii="Cambria" w:hAnsi="Cambria"/>
          <w:color w:val="000000" w:themeColor="text1"/>
          <w:sz w:val="21"/>
          <w:szCs w:val="21"/>
          <w:lang w:val="fr-FR"/>
        </w:rPr>
        <w:t xml:space="preserve">en raison </w:t>
      </w:r>
      <w:r w:rsidR="00435E78" w:rsidRPr="00AA613E">
        <w:rPr>
          <w:rFonts w:ascii="Cambria" w:hAnsi="Cambria"/>
          <w:color w:val="000000" w:themeColor="text1"/>
          <w:sz w:val="21"/>
          <w:szCs w:val="21"/>
          <w:lang w:val="fr-FR"/>
        </w:rPr>
        <w:t>d’une</w:t>
      </w:r>
      <w:r w:rsidR="009473E7" w:rsidRPr="00AA613E">
        <w:rPr>
          <w:rFonts w:ascii="Cambria" w:hAnsi="Cambria"/>
          <w:color w:val="000000" w:themeColor="text1"/>
          <w:sz w:val="21"/>
          <w:szCs w:val="21"/>
          <w:lang w:val="fr-FR"/>
        </w:rPr>
        <w:t xml:space="preserve"> pénurie de matériel </w:t>
      </w:r>
      <w:r w:rsidR="00435E78" w:rsidRPr="00AA613E">
        <w:rPr>
          <w:rFonts w:ascii="Cambria" w:hAnsi="Cambria"/>
          <w:color w:val="000000" w:themeColor="text1"/>
          <w:sz w:val="21"/>
          <w:szCs w:val="21"/>
          <w:lang w:val="fr-FR"/>
        </w:rPr>
        <w:t>médical.</w:t>
      </w:r>
    </w:p>
    <w:p w:rsidR="006864AF" w:rsidRPr="00AA613E" w:rsidRDefault="006864AF" w:rsidP="006864AF">
      <w:pPr>
        <w:pStyle w:val="ListParagraph"/>
        <w:spacing w:after="0" w:line="240" w:lineRule="auto"/>
        <w:jc w:val="both"/>
        <w:rPr>
          <w:rFonts w:ascii="Cambria" w:hAnsi="Cambria"/>
          <w:color w:val="000000" w:themeColor="text1"/>
          <w:sz w:val="21"/>
          <w:szCs w:val="21"/>
          <w:lang w:val="fr-FR"/>
        </w:rPr>
      </w:pPr>
    </w:p>
    <w:p w:rsidR="006864AF" w:rsidRPr="00AA613E" w:rsidRDefault="002D39C5" w:rsidP="006864AF">
      <w:pPr>
        <w:pStyle w:val="ListParagraph"/>
        <w:numPr>
          <w:ilvl w:val="0"/>
          <w:numId w:val="22"/>
        </w:numPr>
        <w:spacing w:after="0" w:line="240" w:lineRule="auto"/>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Dans leur demande initiale, les </w:t>
      </w:r>
      <w:r w:rsidR="004949AB" w:rsidRPr="00AA613E">
        <w:rPr>
          <w:rFonts w:ascii="Cambria" w:hAnsi="Cambria"/>
          <w:color w:val="000000" w:themeColor="text1"/>
          <w:sz w:val="21"/>
          <w:szCs w:val="21"/>
          <w:lang w:val="fr-FR"/>
        </w:rPr>
        <w:t>requérants</w:t>
      </w:r>
      <w:r w:rsidRPr="00AA613E">
        <w:rPr>
          <w:rFonts w:ascii="Cambria" w:hAnsi="Cambria"/>
          <w:color w:val="000000" w:themeColor="text1"/>
          <w:sz w:val="21"/>
          <w:szCs w:val="21"/>
          <w:lang w:val="fr-FR"/>
        </w:rPr>
        <w:t xml:space="preserve"> ont indiqué que les détenus n’avaient vraisemblablement pas reçu la visite d’un médecin ou d’un infirmier depuis une à deux semaines et qu’ils devraient attendre le même laps de temps avant d’être </w:t>
      </w:r>
      <w:r w:rsidR="00837A7F" w:rsidRPr="00AA613E">
        <w:rPr>
          <w:rFonts w:ascii="Cambria" w:hAnsi="Cambria"/>
          <w:color w:val="000000" w:themeColor="text1"/>
          <w:sz w:val="21"/>
          <w:szCs w:val="21"/>
          <w:lang w:val="fr-FR"/>
        </w:rPr>
        <w:t>soignés</w:t>
      </w:r>
      <w:r w:rsidR="007C0354" w:rsidRPr="00AA613E">
        <w:rPr>
          <w:rFonts w:ascii="Cambria" w:hAnsi="Cambria"/>
          <w:color w:val="000000" w:themeColor="text1"/>
          <w:sz w:val="21"/>
          <w:szCs w:val="21"/>
          <w:lang w:val="fr-FR"/>
        </w:rPr>
        <w:t xml:space="preserve">. </w:t>
      </w:r>
    </w:p>
    <w:p w:rsidR="006864AF" w:rsidRPr="00AA613E" w:rsidRDefault="006864AF" w:rsidP="006864AF">
      <w:pPr>
        <w:pStyle w:val="ListParagraph"/>
        <w:spacing w:after="0" w:line="240" w:lineRule="auto"/>
        <w:jc w:val="both"/>
        <w:rPr>
          <w:rFonts w:ascii="Cambria" w:hAnsi="Cambria"/>
          <w:color w:val="000000" w:themeColor="text1"/>
          <w:sz w:val="21"/>
          <w:szCs w:val="21"/>
          <w:lang w:val="fr-FR"/>
        </w:rPr>
      </w:pPr>
    </w:p>
    <w:p w:rsidR="006864AF" w:rsidRPr="00AA613E" w:rsidRDefault="004E09FE" w:rsidP="006864AF">
      <w:pPr>
        <w:pStyle w:val="ListParagraph"/>
        <w:numPr>
          <w:ilvl w:val="0"/>
          <w:numId w:val="22"/>
        </w:numPr>
        <w:spacing w:after="0" w:line="240" w:lineRule="auto"/>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Compte tenu du manque de personnel, il semblerait que les personnes privées de liberté restent enchaînées à leur lit (le dossier comporte des photos montrant deux personnes avec des fers aux chevilles) mais aucune précision n’a été apportée sur les motifs pour lesquels elles se trouveraient dans cette situation</w:t>
      </w:r>
      <w:r w:rsidR="007C0354" w:rsidRPr="00AA613E">
        <w:rPr>
          <w:rFonts w:ascii="Cambria" w:hAnsi="Cambria"/>
          <w:color w:val="000000" w:themeColor="text1"/>
          <w:sz w:val="21"/>
          <w:szCs w:val="21"/>
          <w:lang w:val="fr-FR"/>
        </w:rPr>
        <w:t>.</w:t>
      </w:r>
    </w:p>
    <w:p w:rsidR="006864AF" w:rsidRPr="00AA613E" w:rsidRDefault="006864AF" w:rsidP="006864AF">
      <w:pPr>
        <w:pStyle w:val="ListParagraph"/>
        <w:spacing w:after="0" w:line="240" w:lineRule="auto"/>
        <w:jc w:val="both"/>
        <w:rPr>
          <w:rFonts w:ascii="Cambria" w:hAnsi="Cambria"/>
          <w:color w:val="000000" w:themeColor="text1"/>
          <w:sz w:val="21"/>
          <w:szCs w:val="21"/>
          <w:lang w:val="fr-FR"/>
        </w:rPr>
      </w:pPr>
    </w:p>
    <w:p w:rsidR="007C0354" w:rsidRPr="00AA613E" w:rsidRDefault="00887DF2" w:rsidP="006864AF">
      <w:pPr>
        <w:pStyle w:val="ListParagraph"/>
        <w:numPr>
          <w:ilvl w:val="0"/>
          <w:numId w:val="22"/>
        </w:numPr>
        <w:spacing w:after="0" w:line="240" w:lineRule="auto"/>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En ce qui concerne l’alimentation, les détenus dépendraient totalement du pénitencier </w:t>
      </w:r>
      <w:r w:rsidR="009F140F" w:rsidRPr="00AA613E">
        <w:rPr>
          <w:rFonts w:ascii="Cambria" w:hAnsi="Cambria"/>
          <w:color w:val="000000" w:themeColor="text1"/>
          <w:sz w:val="21"/>
          <w:szCs w:val="21"/>
          <w:lang w:val="fr-FR"/>
        </w:rPr>
        <w:t>qui</w:t>
      </w:r>
      <w:r w:rsidRPr="00AA613E">
        <w:rPr>
          <w:rFonts w:ascii="Cambria" w:hAnsi="Cambria"/>
          <w:color w:val="000000" w:themeColor="text1"/>
          <w:sz w:val="21"/>
          <w:szCs w:val="21"/>
          <w:lang w:val="fr-FR"/>
        </w:rPr>
        <w:t xml:space="preserve">, </w:t>
      </w:r>
      <w:r w:rsidR="009F140F" w:rsidRPr="00AA613E">
        <w:rPr>
          <w:rFonts w:ascii="Cambria" w:hAnsi="Cambria"/>
          <w:color w:val="000000" w:themeColor="text1"/>
          <w:sz w:val="21"/>
          <w:szCs w:val="21"/>
          <w:lang w:val="fr-FR"/>
        </w:rPr>
        <w:t xml:space="preserve">comme il a été indiqué </w:t>
      </w:r>
      <w:r w:rsidR="007C0354" w:rsidRPr="00AA613E">
        <w:rPr>
          <w:rFonts w:ascii="Cambria" w:hAnsi="Cambria"/>
          <w:i/>
          <w:color w:val="000000" w:themeColor="text1"/>
          <w:sz w:val="21"/>
          <w:szCs w:val="21"/>
          <w:lang w:val="fr-FR"/>
        </w:rPr>
        <w:t xml:space="preserve">supra, </w:t>
      </w:r>
      <w:r w:rsidR="009F140F" w:rsidRPr="00AA613E">
        <w:rPr>
          <w:rFonts w:ascii="Cambria" w:hAnsi="Cambria"/>
          <w:color w:val="000000" w:themeColor="text1"/>
          <w:sz w:val="21"/>
          <w:szCs w:val="21"/>
          <w:lang w:val="fr-FR"/>
        </w:rPr>
        <w:t xml:space="preserve">ne fournit pas </w:t>
      </w:r>
      <w:r w:rsidR="009365E7">
        <w:rPr>
          <w:rFonts w:ascii="Cambria" w:hAnsi="Cambria"/>
          <w:color w:val="000000" w:themeColor="text1"/>
          <w:sz w:val="21"/>
          <w:szCs w:val="21"/>
          <w:lang w:val="fr-FR"/>
        </w:rPr>
        <w:t xml:space="preserve">de </w:t>
      </w:r>
      <w:r w:rsidR="009F140F" w:rsidRPr="00AA613E">
        <w:rPr>
          <w:rFonts w:ascii="Cambria" w:hAnsi="Cambria"/>
          <w:color w:val="000000" w:themeColor="text1"/>
          <w:sz w:val="21"/>
          <w:szCs w:val="21"/>
          <w:lang w:val="fr-FR"/>
        </w:rPr>
        <w:t>nourriture adéquate</w:t>
      </w:r>
      <w:r w:rsidR="007C0354" w:rsidRPr="00AA613E">
        <w:rPr>
          <w:rFonts w:ascii="Cambria" w:hAnsi="Cambria"/>
          <w:color w:val="000000" w:themeColor="text1"/>
          <w:sz w:val="21"/>
          <w:szCs w:val="21"/>
          <w:lang w:val="fr-FR"/>
        </w:rPr>
        <w:t xml:space="preserve">. </w:t>
      </w:r>
    </w:p>
    <w:p w:rsidR="001E1835" w:rsidRPr="00AA613E" w:rsidRDefault="001E1835" w:rsidP="001E1835">
      <w:pPr>
        <w:spacing w:after="0" w:line="240" w:lineRule="auto"/>
        <w:jc w:val="both"/>
        <w:rPr>
          <w:rFonts w:ascii="Cambria" w:hAnsi="Cambria"/>
          <w:color w:val="000000" w:themeColor="text1"/>
          <w:sz w:val="21"/>
          <w:szCs w:val="21"/>
          <w:lang w:val="fr-FR"/>
        </w:rPr>
      </w:pPr>
    </w:p>
    <w:p w:rsidR="004E6C46" w:rsidRPr="00AA613E" w:rsidRDefault="009F140F" w:rsidP="00D03619">
      <w:pPr>
        <w:pStyle w:val="ListParagraph"/>
        <w:numPr>
          <w:ilvl w:val="0"/>
          <w:numId w:val="16"/>
        </w:numPr>
        <w:spacing w:after="0" w:line="240" w:lineRule="auto"/>
        <w:ind w:left="0" w:firstLine="360"/>
        <w:jc w:val="both"/>
        <w:rPr>
          <w:rFonts w:ascii="Cambria" w:hAnsi="Cambria"/>
          <w:lang w:val="fr-FR"/>
        </w:rPr>
      </w:pPr>
      <w:r w:rsidRPr="00AA613E">
        <w:rPr>
          <w:rFonts w:ascii="Cambria" w:hAnsi="Cambria"/>
          <w:color w:val="000000" w:themeColor="text1"/>
          <w:sz w:val="21"/>
          <w:szCs w:val="21"/>
          <w:lang w:val="fr-FR"/>
        </w:rPr>
        <w:t xml:space="preserve">Dans leur courrier du 28 mars 2017, les </w:t>
      </w:r>
      <w:r w:rsidR="004949AB" w:rsidRPr="00AA613E">
        <w:rPr>
          <w:rFonts w:ascii="Cambria" w:hAnsi="Cambria"/>
          <w:color w:val="000000" w:themeColor="text1"/>
          <w:sz w:val="21"/>
          <w:szCs w:val="21"/>
          <w:lang w:val="fr-FR"/>
        </w:rPr>
        <w:t>requérants</w:t>
      </w:r>
      <w:r w:rsidRPr="00AA613E">
        <w:rPr>
          <w:rFonts w:ascii="Cambria" w:hAnsi="Cambria"/>
          <w:color w:val="000000" w:themeColor="text1"/>
          <w:sz w:val="21"/>
          <w:szCs w:val="21"/>
          <w:lang w:val="fr-FR"/>
        </w:rPr>
        <w:t xml:space="preserve"> ont signalé que le 24 février 2017, l’État avait émis un décret </w:t>
      </w:r>
      <w:r w:rsidR="00524C72" w:rsidRPr="00AA613E">
        <w:rPr>
          <w:rFonts w:ascii="Cambria" w:hAnsi="Cambria"/>
          <w:color w:val="000000" w:themeColor="text1"/>
          <w:sz w:val="21"/>
          <w:szCs w:val="21"/>
          <w:lang w:val="fr-FR"/>
        </w:rPr>
        <w:t>par le biais</w:t>
      </w:r>
      <w:r w:rsidRPr="00AA613E">
        <w:rPr>
          <w:rFonts w:ascii="Cambria" w:hAnsi="Cambria"/>
          <w:color w:val="000000" w:themeColor="text1"/>
          <w:sz w:val="21"/>
          <w:szCs w:val="21"/>
          <w:lang w:val="fr-FR"/>
        </w:rPr>
        <w:t xml:space="preserve"> duquel une Commission a</w:t>
      </w:r>
      <w:r w:rsidR="00524C72" w:rsidRPr="00AA613E">
        <w:rPr>
          <w:rFonts w:ascii="Cambria" w:hAnsi="Cambria"/>
          <w:color w:val="000000" w:themeColor="text1"/>
          <w:sz w:val="21"/>
          <w:szCs w:val="21"/>
          <w:lang w:val="fr-FR"/>
        </w:rPr>
        <w:t>vait</w:t>
      </w:r>
      <w:r w:rsidRPr="00AA613E">
        <w:rPr>
          <w:rFonts w:ascii="Cambria" w:hAnsi="Cambria"/>
          <w:color w:val="000000" w:themeColor="text1"/>
          <w:sz w:val="21"/>
          <w:szCs w:val="21"/>
          <w:lang w:val="fr-FR"/>
        </w:rPr>
        <w:t xml:space="preserve"> été créée pour enquêter sur la </w:t>
      </w:r>
      <w:r w:rsidRPr="00AA613E">
        <w:rPr>
          <w:rFonts w:ascii="Cambria" w:hAnsi="Cambria"/>
          <w:color w:val="000000" w:themeColor="text1"/>
          <w:sz w:val="21"/>
          <w:szCs w:val="21"/>
          <w:lang w:val="fr-FR"/>
        </w:rPr>
        <w:lastRenderedPageBreak/>
        <w:t>situation actuelle dans les centres pénitentiaires ainsi que sur les causes des décès survenus ces six derniers mois et pour veiller à ce que les conditions de détention puissent s’améliorer</w:t>
      </w:r>
      <w:r w:rsidR="004E6C46" w:rsidRPr="00AA613E">
        <w:rPr>
          <w:rFonts w:ascii="Cambria" w:hAnsi="Cambria"/>
          <w:color w:val="000000" w:themeColor="text1"/>
          <w:sz w:val="21"/>
          <w:szCs w:val="21"/>
          <w:lang w:val="fr-FR"/>
        </w:rPr>
        <w:t xml:space="preserve">. </w:t>
      </w:r>
      <w:r w:rsidR="00F53A62" w:rsidRPr="00AA613E">
        <w:rPr>
          <w:rFonts w:ascii="Cambria" w:hAnsi="Cambria"/>
          <w:color w:val="000000" w:themeColor="text1"/>
          <w:sz w:val="21"/>
          <w:szCs w:val="21"/>
          <w:lang w:val="fr-FR"/>
        </w:rPr>
        <w:t xml:space="preserve"> </w:t>
      </w:r>
      <w:r w:rsidR="00545A59" w:rsidRPr="00AA613E">
        <w:rPr>
          <w:rFonts w:ascii="Cambria" w:hAnsi="Cambria"/>
          <w:color w:val="000000" w:themeColor="text1"/>
          <w:sz w:val="21"/>
          <w:szCs w:val="21"/>
          <w:lang w:val="fr-FR"/>
        </w:rPr>
        <w:t>Le mandat de cet organisme serait de trois mois reno</w:t>
      </w:r>
      <w:r w:rsidR="00C1700D" w:rsidRPr="00AA613E">
        <w:rPr>
          <w:rFonts w:ascii="Cambria" w:hAnsi="Cambria"/>
          <w:color w:val="000000" w:themeColor="text1"/>
          <w:sz w:val="21"/>
          <w:szCs w:val="21"/>
          <w:lang w:val="fr-FR"/>
        </w:rPr>
        <w:t>u</w:t>
      </w:r>
      <w:r w:rsidR="00545A59" w:rsidRPr="00AA613E">
        <w:rPr>
          <w:rFonts w:ascii="Cambria" w:hAnsi="Cambria"/>
          <w:color w:val="000000" w:themeColor="text1"/>
          <w:sz w:val="21"/>
          <w:szCs w:val="21"/>
          <w:lang w:val="fr-FR"/>
        </w:rPr>
        <w:t>velables</w:t>
      </w:r>
      <w:r w:rsidR="00C1700D" w:rsidRPr="00AA613E">
        <w:rPr>
          <w:rFonts w:ascii="Cambria" w:hAnsi="Cambria"/>
          <w:color w:val="000000" w:themeColor="text1"/>
          <w:sz w:val="21"/>
          <w:szCs w:val="21"/>
          <w:lang w:val="fr-FR"/>
        </w:rPr>
        <w:t xml:space="preserve"> au terme duquel un rapport comportant des recommandations pertinentes serait soumis</w:t>
      </w:r>
      <w:r w:rsidR="00F53A62" w:rsidRPr="00AA613E">
        <w:rPr>
          <w:rFonts w:ascii="Cambria" w:hAnsi="Cambria"/>
          <w:color w:val="000000" w:themeColor="text1"/>
          <w:sz w:val="21"/>
          <w:szCs w:val="21"/>
          <w:lang w:val="fr-FR"/>
        </w:rPr>
        <w:t xml:space="preserve">. </w:t>
      </w:r>
      <w:r w:rsidR="00411508" w:rsidRPr="00AA613E">
        <w:rPr>
          <w:rFonts w:ascii="Cambria" w:hAnsi="Cambria"/>
          <w:color w:val="000000" w:themeColor="text1"/>
          <w:sz w:val="21"/>
          <w:szCs w:val="21"/>
          <w:lang w:val="fr-FR"/>
        </w:rPr>
        <w:t xml:space="preserve">Bien que les </w:t>
      </w:r>
      <w:r w:rsidR="004949AB" w:rsidRPr="00AA613E">
        <w:rPr>
          <w:rFonts w:ascii="Cambria" w:hAnsi="Cambria"/>
          <w:color w:val="000000" w:themeColor="text1"/>
          <w:sz w:val="21"/>
          <w:szCs w:val="21"/>
          <w:lang w:val="fr-FR"/>
        </w:rPr>
        <w:t>requérants</w:t>
      </w:r>
      <w:r w:rsidR="00411508" w:rsidRPr="00AA613E">
        <w:rPr>
          <w:rFonts w:ascii="Cambria" w:hAnsi="Cambria"/>
          <w:color w:val="000000" w:themeColor="text1"/>
          <w:sz w:val="21"/>
          <w:szCs w:val="21"/>
          <w:lang w:val="fr-FR"/>
        </w:rPr>
        <w:t xml:space="preserve"> aient salué cette initiative, ils ont indiqué que la création de la Commission constituait une réponse insuffisante compte tenu de la gravité de la crise qui dominait au sein du système pénitentiaire haïtien en général et du   </w:t>
      </w:r>
      <w:r w:rsidR="00411508" w:rsidRPr="00AA613E">
        <w:rPr>
          <w:rFonts w:ascii="Cambria" w:hAnsi="Cambria"/>
          <w:lang w:val="fr-FR"/>
        </w:rPr>
        <w:t>[pénitencier national] en particulier</w:t>
      </w:r>
      <w:r w:rsidR="004E6C46" w:rsidRPr="00AA613E">
        <w:rPr>
          <w:rFonts w:ascii="Cambria" w:hAnsi="Cambria"/>
          <w:lang w:val="fr-FR"/>
        </w:rPr>
        <w:t xml:space="preserve">. </w:t>
      </w:r>
      <w:r w:rsidR="007831A8" w:rsidRPr="00AA613E">
        <w:rPr>
          <w:rFonts w:ascii="Cambria" w:hAnsi="Cambria"/>
          <w:lang w:val="fr-FR"/>
        </w:rPr>
        <w:t xml:space="preserve">En effet, ils soulignent le fait que le mandat de la Commission ne lui permet pas d’adopter des mesures immédiates pour protéger la vie et l’intégrité personnelle des personnes détenues </w:t>
      </w:r>
      <w:r w:rsidR="005A6DE2" w:rsidRPr="00AA613E">
        <w:rPr>
          <w:rFonts w:ascii="Cambria" w:hAnsi="Cambria"/>
          <w:lang w:val="fr-FR"/>
        </w:rPr>
        <w:t xml:space="preserve">dans le </w:t>
      </w:r>
      <w:r w:rsidR="007831A8" w:rsidRPr="00AA613E">
        <w:rPr>
          <w:rFonts w:ascii="Cambria" w:hAnsi="Cambria"/>
          <w:lang w:val="fr-FR"/>
        </w:rPr>
        <w:t>pénitencier et à l’hôpital</w:t>
      </w:r>
      <w:r w:rsidR="004E6C46" w:rsidRPr="00AA613E">
        <w:rPr>
          <w:rFonts w:ascii="Cambria" w:hAnsi="Cambria"/>
          <w:lang w:val="fr-FR"/>
        </w:rPr>
        <w:t xml:space="preserve">. </w:t>
      </w:r>
    </w:p>
    <w:p w:rsidR="007C0354" w:rsidRPr="00AA613E" w:rsidRDefault="007C0354" w:rsidP="006864AF">
      <w:pPr>
        <w:pStyle w:val="ListParagraph"/>
        <w:spacing w:after="0" w:line="240" w:lineRule="auto"/>
        <w:ind w:left="360"/>
        <w:jc w:val="both"/>
        <w:rPr>
          <w:rFonts w:ascii="Cambria" w:hAnsi="Cambria"/>
          <w:color w:val="000000" w:themeColor="text1"/>
          <w:sz w:val="21"/>
          <w:szCs w:val="21"/>
          <w:lang w:val="fr-FR"/>
        </w:rPr>
      </w:pPr>
    </w:p>
    <w:p w:rsidR="007C0354" w:rsidRPr="00AA613E" w:rsidRDefault="001B3CF9" w:rsidP="00B018ED">
      <w:pPr>
        <w:pStyle w:val="ListParagraph"/>
        <w:numPr>
          <w:ilvl w:val="0"/>
          <w:numId w:val="26"/>
        </w:numPr>
        <w:spacing w:after="0" w:line="240" w:lineRule="auto"/>
        <w:jc w:val="both"/>
        <w:rPr>
          <w:rFonts w:ascii="Cambria" w:hAnsi="Cambria"/>
          <w:b/>
          <w:color w:val="000000" w:themeColor="text1"/>
          <w:sz w:val="21"/>
          <w:szCs w:val="21"/>
          <w:lang w:val="fr-FR"/>
        </w:rPr>
      </w:pPr>
      <w:r w:rsidRPr="00AA613E">
        <w:rPr>
          <w:rFonts w:ascii="Cambria" w:hAnsi="Cambria"/>
          <w:b/>
          <w:color w:val="000000" w:themeColor="text1"/>
          <w:sz w:val="21"/>
          <w:szCs w:val="21"/>
          <w:lang w:val="fr-FR"/>
        </w:rPr>
        <w:t>Réponse de l’État</w:t>
      </w:r>
    </w:p>
    <w:p w:rsidR="00B018ED" w:rsidRPr="00AA613E" w:rsidRDefault="00B018ED" w:rsidP="00B018ED">
      <w:pPr>
        <w:spacing w:after="0" w:line="240" w:lineRule="auto"/>
        <w:jc w:val="both"/>
        <w:rPr>
          <w:rFonts w:ascii="Cambria" w:hAnsi="Cambria"/>
          <w:color w:val="000000" w:themeColor="text1"/>
          <w:sz w:val="21"/>
          <w:szCs w:val="21"/>
          <w:lang w:val="fr-FR"/>
        </w:rPr>
      </w:pPr>
    </w:p>
    <w:p w:rsidR="00B018ED" w:rsidRPr="00AA613E" w:rsidRDefault="00B018ED" w:rsidP="00B018ED">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L</w:t>
      </w:r>
      <w:r w:rsidR="00A36C91" w:rsidRPr="00AA613E">
        <w:rPr>
          <w:rFonts w:ascii="Cambria" w:hAnsi="Cambria"/>
          <w:color w:val="000000" w:themeColor="text1"/>
          <w:sz w:val="21"/>
          <w:szCs w:val="21"/>
          <w:lang w:val="fr-FR"/>
        </w:rPr>
        <w:t xml:space="preserve">a Commission a demandé des informations aux deux parties le 21 mars 2017 afin qu’elles soumettent leurs observations dans un délai de 7 jours. Le 13 avril 2017, l’État a envoyé une communication accusant réception de la demande d’informations. Cependant, il n’a ni répondu aux questions formulées ni </w:t>
      </w:r>
      <w:r w:rsidR="005A6DE2" w:rsidRPr="00AA613E">
        <w:rPr>
          <w:rFonts w:ascii="Cambria" w:hAnsi="Cambria"/>
          <w:color w:val="000000" w:themeColor="text1"/>
          <w:sz w:val="21"/>
          <w:szCs w:val="21"/>
          <w:lang w:val="fr-FR"/>
        </w:rPr>
        <w:t>formulé</w:t>
      </w:r>
      <w:r w:rsidR="00A36C91" w:rsidRPr="00AA613E">
        <w:rPr>
          <w:rFonts w:ascii="Cambria" w:hAnsi="Cambria"/>
          <w:color w:val="000000" w:themeColor="text1"/>
          <w:sz w:val="21"/>
          <w:szCs w:val="21"/>
          <w:lang w:val="fr-FR"/>
        </w:rPr>
        <w:t xml:space="preserve"> ses observations concernant la présente demande</w:t>
      </w:r>
      <w:r w:rsidRPr="00AA613E">
        <w:rPr>
          <w:rFonts w:ascii="Cambria" w:hAnsi="Cambria"/>
          <w:color w:val="000000" w:themeColor="text1"/>
          <w:sz w:val="21"/>
          <w:szCs w:val="21"/>
          <w:lang w:val="fr-FR"/>
        </w:rPr>
        <w:t xml:space="preserve">. </w:t>
      </w:r>
      <w:r w:rsidR="00A36C91" w:rsidRPr="00AA613E">
        <w:rPr>
          <w:rFonts w:ascii="Cambria" w:hAnsi="Cambria"/>
          <w:color w:val="000000" w:themeColor="text1"/>
          <w:sz w:val="21"/>
          <w:szCs w:val="21"/>
          <w:lang w:val="fr-FR"/>
        </w:rPr>
        <w:t xml:space="preserve">Le 12 mai 2017, la Commission a renouvelé sa demande auprès de l’État. Elle n’a reçu aucune réponse à ce jour. </w:t>
      </w:r>
    </w:p>
    <w:p w:rsidR="00252960" w:rsidRPr="00AA613E" w:rsidRDefault="00252960" w:rsidP="00252960">
      <w:pPr>
        <w:spacing w:after="0" w:line="240" w:lineRule="auto"/>
        <w:jc w:val="both"/>
        <w:rPr>
          <w:rFonts w:ascii="Cambria" w:hAnsi="Cambria"/>
          <w:color w:val="000000" w:themeColor="text1"/>
          <w:sz w:val="21"/>
          <w:szCs w:val="21"/>
          <w:lang w:val="fr-FR"/>
        </w:rPr>
      </w:pPr>
    </w:p>
    <w:p w:rsidR="00252960" w:rsidRPr="00AA613E" w:rsidRDefault="00252960" w:rsidP="00252960">
      <w:pPr>
        <w:pStyle w:val="ListParagraph"/>
        <w:numPr>
          <w:ilvl w:val="0"/>
          <w:numId w:val="26"/>
        </w:numPr>
        <w:spacing w:after="0" w:line="240" w:lineRule="auto"/>
        <w:jc w:val="both"/>
        <w:rPr>
          <w:rFonts w:ascii="Cambria" w:hAnsi="Cambria"/>
          <w:b/>
          <w:color w:val="000000" w:themeColor="text1"/>
          <w:sz w:val="21"/>
          <w:szCs w:val="21"/>
          <w:lang w:val="fr-FR"/>
        </w:rPr>
      </w:pPr>
      <w:r w:rsidRPr="00AA613E">
        <w:rPr>
          <w:rFonts w:ascii="Cambria" w:hAnsi="Cambria"/>
          <w:b/>
          <w:color w:val="000000" w:themeColor="text1"/>
          <w:sz w:val="21"/>
          <w:szCs w:val="21"/>
          <w:lang w:val="fr-FR"/>
        </w:rPr>
        <w:t>Informa</w:t>
      </w:r>
      <w:r w:rsidR="001B3CF9" w:rsidRPr="00AA613E">
        <w:rPr>
          <w:rFonts w:ascii="Cambria" w:hAnsi="Cambria"/>
          <w:b/>
          <w:color w:val="000000" w:themeColor="text1"/>
          <w:sz w:val="21"/>
          <w:szCs w:val="21"/>
          <w:lang w:val="fr-FR"/>
        </w:rPr>
        <w:t xml:space="preserve">tions récentes fournies par les </w:t>
      </w:r>
      <w:r w:rsidR="004949AB" w:rsidRPr="00AA613E">
        <w:rPr>
          <w:rFonts w:ascii="Cambria" w:hAnsi="Cambria"/>
          <w:b/>
          <w:color w:val="000000" w:themeColor="text1"/>
          <w:sz w:val="21"/>
          <w:szCs w:val="21"/>
          <w:lang w:val="fr-FR"/>
        </w:rPr>
        <w:t>requérants</w:t>
      </w:r>
    </w:p>
    <w:p w:rsidR="00252960" w:rsidRPr="00AA613E" w:rsidRDefault="00252960" w:rsidP="00252960">
      <w:pPr>
        <w:spacing w:after="0" w:line="240" w:lineRule="auto"/>
        <w:jc w:val="both"/>
        <w:rPr>
          <w:rFonts w:ascii="Cambria" w:hAnsi="Cambria"/>
          <w:color w:val="000000" w:themeColor="text1"/>
          <w:sz w:val="21"/>
          <w:szCs w:val="21"/>
          <w:lang w:val="fr-FR"/>
        </w:rPr>
      </w:pPr>
    </w:p>
    <w:p w:rsidR="00252960" w:rsidRPr="00AA613E" w:rsidRDefault="00A36C91" w:rsidP="00252960">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Le 15 mai 2017, les </w:t>
      </w:r>
      <w:r w:rsidR="004949AB" w:rsidRPr="00AA613E">
        <w:rPr>
          <w:rFonts w:ascii="Cambria" w:hAnsi="Cambria"/>
          <w:color w:val="000000" w:themeColor="text1"/>
          <w:sz w:val="21"/>
          <w:szCs w:val="21"/>
          <w:lang w:val="fr-FR"/>
        </w:rPr>
        <w:t>requérants</w:t>
      </w:r>
      <w:r w:rsidRPr="00AA613E">
        <w:rPr>
          <w:rFonts w:ascii="Cambria" w:hAnsi="Cambria"/>
          <w:color w:val="000000" w:themeColor="text1"/>
          <w:sz w:val="21"/>
          <w:szCs w:val="21"/>
          <w:lang w:val="fr-FR"/>
        </w:rPr>
        <w:t xml:space="preserve"> ont envoyé des informations supplémentaires indiquant qu’au moins 10 détenus étaient décédés entre le 1</w:t>
      </w:r>
      <w:r w:rsidRPr="00AA613E">
        <w:rPr>
          <w:rFonts w:ascii="Cambria" w:hAnsi="Cambria"/>
          <w:color w:val="000000" w:themeColor="text1"/>
          <w:sz w:val="21"/>
          <w:szCs w:val="21"/>
          <w:vertAlign w:val="superscript"/>
          <w:lang w:val="fr-FR"/>
        </w:rPr>
        <w:t>er</w:t>
      </w:r>
      <w:r w:rsidRPr="00AA613E">
        <w:rPr>
          <w:rFonts w:ascii="Cambria" w:hAnsi="Cambria"/>
          <w:color w:val="000000" w:themeColor="text1"/>
          <w:sz w:val="21"/>
          <w:szCs w:val="21"/>
          <w:lang w:val="fr-FR"/>
        </w:rPr>
        <w:t xml:space="preserve"> et le 16 avril 2017. Une liste comportant leurs noms et prénoms a été fournie mais elle ne détaille pas la cause des décès. Ces informations proviennent des données recueillies par les </w:t>
      </w:r>
      <w:r w:rsidR="004949AB" w:rsidRPr="00AA613E">
        <w:rPr>
          <w:rFonts w:ascii="Cambria" w:hAnsi="Cambria"/>
          <w:color w:val="000000" w:themeColor="text1"/>
          <w:sz w:val="21"/>
          <w:szCs w:val="21"/>
          <w:lang w:val="fr-FR"/>
        </w:rPr>
        <w:t>requérants</w:t>
      </w:r>
      <w:r w:rsidRPr="00AA613E">
        <w:rPr>
          <w:rFonts w:ascii="Cambria" w:hAnsi="Cambria"/>
          <w:color w:val="000000" w:themeColor="text1"/>
          <w:sz w:val="21"/>
          <w:szCs w:val="21"/>
          <w:lang w:val="fr-FR"/>
        </w:rPr>
        <w:t xml:space="preserve"> eux-mêmes auprès d’une entreprise privée de pompes funèbres. D’après les </w:t>
      </w:r>
      <w:r w:rsidR="004949AB" w:rsidRPr="00AA613E">
        <w:rPr>
          <w:rFonts w:ascii="Cambria" w:hAnsi="Cambria"/>
          <w:color w:val="000000" w:themeColor="text1"/>
          <w:sz w:val="21"/>
          <w:szCs w:val="21"/>
          <w:lang w:val="fr-FR"/>
        </w:rPr>
        <w:t>requérants</w:t>
      </w:r>
      <w:r w:rsidRPr="00AA613E">
        <w:rPr>
          <w:rFonts w:ascii="Cambria" w:hAnsi="Cambria"/>
          <w:color w:val="000000" w:themeColor="text1"/>
          <w:sz w:val="21"/>
          <w:szCs w:val="21"/>
          <w:lang w:val="fr-FR"/>
        </w:rPr>
        <w:t xml:space="preserve"> cependant, le nombre de décès pourrait être plus élevé dans la mesure où les corps auraient pu </w:t>
      </w:r>
      <w:r w:rsidR="00AA7623" w:rsidRPr="00AA613E">
        <w:rPr>
          <w:rFonts w:ascii="Cambria" w:hAnsi="Cambria"/>
          <w:color w:val="000000" w:themeColor="text1"/>
          <w:sz w:val="21"/>
          <w:szCs w:val="21"/>
          <w:lang w:val="fr-FR"/>
        </w:rPr>
        <w:t xml:space="preserve">être transférés dans </w:t>
      </w:r>
      <w:r w:rsidR="005A6DE2" w:rsidRPr="00AA613E">
        <w:rPr>
          <w:rFonts w:ascii="Cambria" w:hAnsi="Cambria"/>
          <w:color w:val="000000" w:themeColor="text1"/>
          <w:sz w:val="21"/>
          <w:szCs w:val="21"/>
          <w:lang w:val="fr-FR"/>
        </w:rPr>
        <w:t xml:space="preserve">les locaux </w:t>
      </w:r>
      <w:r w:rsidR="00AA7623" w:rsidRPr="00AA613E">
        <w:rPr>
          <w:rFonts w:ascii="Cambria" w:hAnsi="Cambria"/>
          <w:color w:val="000000" w:themeColor="text1"/>
          <w:sz w:val="21"/>
          <w:szCs w:val="21"/>
          <w:lang w:val="fr-FR"/>
        </w:rPr>
        <w:t>d’autres entreprises de pompes funèbres</w:t>
      </w:r>
      <w:r w:rsidR="00252960" w:rsidRPr="00AA613E">
        <w:rPr>
          <w:rFonts w:ascii="Cambria" w:hAnsi="Cambria"/>
          <w:color w:val="000000" w:themeColor="text1"/>
          <w:sz w:val="21"/>
          <w:szCs w:val="21"/>
          <w:lang w:val="fr-FR"/>
        </w:rPr>
        <w:t xml:space="preserve">. </w:t>
      </w:r>
    </w:p>
    <w:p w:rsidR="007C0354" w:rsidRPr="00AA613E" w:rsidRDefault="007C0354" w:rsidP="006856F3">
      <w:pPr>
        <w:spacing w:after="0" w:line="240" w:lineRule="auto"/>
        <w:jc w:val="both"/>
        <w:rPr>
          <w:rFonts w:ascii="Cambria" w:hAnsi="Cambria"/>
          <w:color w:val="000000" w:themeColor="text1"/>
          <w:sz w:val="21"/>
          <w:szCs w:val="21"/>
          <w:lang w:val="fr-FR"/>
        </w:rPr>
      </w:pPr>
    </w:p>
    <w:p w:rsidR="009D2768" w:rsidRPr="00AA613E" w:rsidRDefault="009D2768" w:rsidP="00A47CE1">
      <w:pPr>
        <w:pStyle w:val="ListParagraph"/>
        <w:numPr>
          <w:ilvl w:val="0"/>
          <w:numId w:val="15"/>
        </w:numPr>
        <w:spacing w:after="0" w:line="240" w:lineRule="auto"/>
        <w:jc w:val="both"/>
        <w:rPr>
          <w:rFonts w:ascii="Cambria" w:hAnsi="Cambria"/>
          <w:b/>
          <w:color w:val="000000" w:themeColor="text1"/>
          <w:sz w:val="21"/>
          <w:szCs w:val="21"/>
          <w:lang w:val="fr-FR"/>
        </w:rPr>
      </w:pPr>
      <w:r w:rsidRPr="00AA613E">
        <w:rPr>
          <w:rFonts w:ascii="Cambria" w:hAnsi="Cambria"/>
          <w:b/>
          <w:color w:val="000000" w:themeColor="text1"/>
          <w:sz w:val="21"/>
          <w:szCs w:val="21"/>
          <w:lang w:val="fr-FR"/>
        </w:rPr>
        <w:t>ANAL</w:t>
      </w:r>
      <w:r w:rsidR="00AA7623" w:rsidRPr="00AA613E">
        <w:rPr>
          <w:rFonts w:ascii="Cambria" w:hAnsi="Cambria"/>
          <w:b/>
          <w:color w:val="000000" w:themeColor="text1"/>
          <w:sz w:val="21"/>
          <w:szCs w:val="21"/>
          <w:lang w:val="fr-FR"/>
        </w:rPr>
        <w:t>YSE SUR LES ÉL</w:t>
      </w:r>
      <w:r w:rsidR="00AA7623" w:rsidRPr="00AA613E">
        <w:rPr>
          <w:rFonts w:ascii="Times New Roman" w:hAnsi="Times New Roman"/>
          <w:b/>
          <w:color w:val="000000" w:themeColor="text1"/>
          <w:sz w:val="21"/>
          <w:szCs w:val="21"/>
          <w:lang w:val="fr-FR"/>
        </w:rPr>
        <w:t xml:space="preserve">ÉMENTS DE GRAVITÉ, D’URGENCE ET </w:t>
      </w:r>
      <w:r w:rsidR="002B4AB8" w:rsidRPr="00AA613E">
        <w:rPr>
          <w:rFonts w:ascii="Times New Roman" w:hAnsi="Times New Roman"/>
          <w:b/>
          <w:color w:val="000000" w:themeColor="text1"/>
          <w:sz w:val="21"/>
          <w:szCs w:val="21"/>
          <w:lang w:val="fr-FR"/>
        </w:rPr>
        <w:t>DE DOMMAGE IRRÉPARABLE</w:t>
      </w:r>
    </w:p>
    <w:p w:rsidR="0081725E" w:rsidRPr="00AA613E" w:rsidRDefault="0081725E" w:rsidP="009D2768">
      <w:pPr>
        <w:spacing w:after="0" w:line="240" w:lineRule="auto"/>
        <w:jc w:val="both"/>
        <w:rPr>
          <w:rFonts w:ascii="Cambria" w:hAnsi="Cambria"/>
          <w:b/>
          <w:color w:val="000000" w:themeColor="text1"/>
          <w:sz w:val="21"/>
          <w:szCs w:val="21"/>
          <w:lang w:val="fr-FR"/>
        </w:rPr>
      </w:pPr>
    </w:p>
    <w:p w:rsidR="009D2768" w:rsidRPr="00AA613E" w:rsidRDefault="002B4AB8" w:rsidP="0081725E">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Le mécanisme de mesures conservatoires fait partie </w:t>
      </w:r>
      <w:r w:rsidR="00C1365F" w:rsidRPr="00AA613E">
        <w:rPr>
          <w:rFonts w:ascii="Cambria" w:hAnsi="Cambria"/>
          <w:color w:val="000000" w:themeColor="text1"/>
          <w:sz w:val="21"/>
          <w:szCs w:val="21"/>
          <w:lang w:val="fr-FR"/>
        </w:rPr>
        <w:t>des</w:t>
      </w:r>
      <w:r w:rsidRPr="00AA613E">
        <w:rPr>
          <w:rFonts w:ascii="Cambria" w:hAnsi="Cambria"/>
          <w:color w:val="000000" w:themeColor="text1"/>
          <w:sz w:val="21"/>
          <w:szCs w:val="21"/>
          <w:lang w:val="fr-FR"/>
        </w:rPr>
        <w:t xml:space="preserve"> fonction</w:t>
      </w:r>
      <w:r w:rsidR="00C1365F" w:rsidRPr="00AA613E">
        <w:rPr>
          <w:rFonts w:ascii="Cambria" w:hAnsi="Cambria"/>
          <w:color w:val="000000" w:themeColor="text1"/>
          <w:sz w:val="21"/>
          <w:szCs w:val="21"/>
          <w:lang w:val="fr-FR"/>
        </w:rPr>
        <w:t>s</w:t>
      </w:r>
      <w:r w:rsidRPr="00AA613E">
        <w:rPr>
          <w:rFonts w:ascii="Cambria" w:hAnsi="Cambria"/>
          <w:color w:val="000000" w:themeColor="text1"/>
          <w:sz w:val="21"/>
          <w:szCs w:val="21"/>
          <w:lang w:val="fr-FR"/>
        </w:rPr>
        <w:t xml:space="preserve"> de la Commission consistant à contrôler le respect des obligations en matière de droits </w:t>
      </w:r>
      <w:r w:rsidR="005A6DE2" w:rsidRPr="00AA613E">
        <w:rPr>
          <w:rFonts w:ascii="Cambria" w:hAnsi="Cambria"/>
          <w:color w:val="000000" w:themeColor="text1"/>
          <w:sz w:val="21"/>
          <w:szCs w:val="21"/>
          <w:lang w:val="fr-FR"/>
        </w:rPr>
        <w:t>de l’homme établies à l’article </w:t>
      </w:r>
      <w:r w:rsidRPr="00AA613E">
        <w:rPr>
          <w:rFonts w:ascii="Cambria" w:hAnsi="Cambria"/>
          <w:color w:val="000000" w:themeColor="text1"/>
          <w:sz w:val="21"/>
          <w:szCs w:val="21"/>
          <w:lang w:val="fr-FR"/>
        </w:rPr>
        <w:t>106 de la Charte de l’Organisation des États Américains</w:t>
      </w:r>
      <w:r w:rsidR="009D2768" w:rsidRPr="00AA613E">
        <w:rPr>
          <w:rFonts w:ascii="Cambria" w:hAnsi="Cambria"/>
          <w:color w:val="000000" w:themeColor="text1"/>
          <w:sz w:val="21"/>
          <w:szCs w:val="21"/>
          <w:lang w:val="fr-FR"/>
        </w:rPr>
        <w:t xml:space="preserve">. </w:t>
      </w:r>
      <w:r w:rsidR="00C1365F" w:rsidRPr="00AA613E">
        <w:rPr>
          <w:rFonts w:ascii="Cambria" w:hAnsi="Cambria"/>
          <w:color w:val="000000" w:themeColor="text1"/>
          <w:sz w:val="21"/>
          <w:szCs w:val="21"/>
          <w:lang w:val="fr-FR"/>
        </w:rPr>
        <w:t>C</w:t>
      </w:r>
      <w:r w:rsidRPr="00AA613E">
        <w:rPr>
          <w:rFonts w:ascii="Cambria" w:hAnsi="Cambria"/>
          <w:color w:val="000000" w:themeColor="text1"/>
          <w:sz w:val="21"/>
          <w:szCs w:val="21"/>
          <w:lang w:val="fr-FR"/>
        </w:rPr>
        <w:t xml:space="preserve">es fonctions générales de contrôle sont </w:t>
      </w:r>
      <w:r w:rsidR="00C1365F" w:rsidRPr="00AA613E">
        <w:rPr>
          <w:rFonts w:ascii="Cambria" w:hAnsi="Cambria"/>
          <w:color w:val="000000" w:themeColor="text1"/>
          <w:sz w:val="21"/>
          <w:szCs w:val="21"/>
          <w:lang w:val="fr-FR"/>
        </w:rPr>
        <w:t>établies</w:t>
      </w:r>
      <w:r w:rsidRPr="00AA613E">
        <w:rPr>
          <w:rFonts w:ascii="Cambria" w:hAnsi="Cambria"/>
          <w:color w:val="000000" w:themeColor="text1"/>
          <w:sz w:val="21"/>
          <w:szCs w:val="21"/>
          <w:lang w:val="fr-FR"/>
        </w:rPr>
        <w:t xml:space="preserve"> à l’article 41 (b) de la Convention américaine relative aux droits de l’homme, repris également à l’article 18 (b) du Statut de la CIDH, tandis que le mécanisme de mesures conservatoires est décrit à l’article 25 du Règlement de la Commission. </w:t>
      </w:r>
      <w:r w:rsidR="00C1365F" w:rsidRPr="00AA613E">
        <w:rPr>
          <w:rFonts w:ascii="Cambria" w:hAnsi="Cambria"/>
          <w:color w:val="000000" w:themeColor="text1"/>
          <w:sz w:val="21"/>
          <w:szCs w:val="21"/>
          <w:lang w:val="fr-FR"/>
        </w:rPr>
        <w:t>Conformément audit</w:t>
      </w:r>
      <w:r w:rsidRPr="00AA613E">
        <w:rPr>
          <w:rFonts w:ascii="Cambria" w:hAnsi="Cambria"/>
          <w:color w:val="000000" w:themeColor="text1"/>
          <w:sz w:val="21"/>
          <w:szCs w:val="21"/>
          <w:lang w:val="fr-FR"/>
        </w:rPr>
        <w:t xml:space="preserve"> article, la Commission </w:t>
      </w:r>
      <w:r w:rsidR="00E705CF" w:rsidRPr="00AA613E">
        <w:rPr>
          <w:rFonts w:ascii="Cambria" w:hAnsi="Cambria"/>
          <w:color w:val="000000" w:themeColor="text1"/>
          <w:sz w:val="21"/>
          <w:szCs w:val="21"/>
          <w:lang w:val="fr-FR"/>
        </w:rPr>
        <w:t xml:space="preserve">octroie des mesures conservatoires dans les situations </w:t>
      </w:r>
      <w:r w:rsidR="00C1365F" w:rsidRPr="00AA613E">
        <w:rPr>
          <w:rFonts w:ascii="Cambria" w:hAnsi="Cambria"/>
          <w:color w:val="000000" w:themeColor="text1"/>
          <w:sz w:val="21"/>
          <w:szCs w:val="21"/>
          <w:lang w:val="fr-FR"/>
        </w:rPr>
        <w:t xml:space="preserve">qui s’avèrent </w:t>
      </w:r>
      <w:r w:rsidR="00E705CF" w:rsidRPr="00AA613E">
        <w:rPr>
          <w:rFonts w:ascii="Cambria" w:hAnsi="Cambria"/>
          <w:color w:val="000000" w:themeColor="text1"/>
          <w:sz w:val="21"/>
          <w:szCs w:val="21"/>
          <w:lang w:val="fr-FR"/>
        </w:rPr>
        <w:t xml:space="preserve">graves et urgentes et dans </w:t>
      </w:r>
      <w:r w:rsidR="00C1365F" w:rsidRPr="00AA613E">
        <w:rPr>
          <w:rFonts w:ascii="Cambria" w:hAnsi="Cambria"/>
          <w:color w:val="000000" w:themeColor="text1"/>
          <w:sz w:val="21"/>
          <w:szCs w:val="21"/>
          <w:lang w:val="fr-FR"/>
        </w:rPr>
        <w:t>lesquelles</w:t>
      </w:r>
      <w:r w:rsidR="00E705CF" w:rsidRPr="00AA613E">
        <w:rPr>
          <w:rFonts w:ascii="Cambria" w:hAnsi="Cambria"/>
          <w:color w:val="000000" w:themeColor="text1"/>
          <w:sz w:val="21"/>
          <w:szCs w:val="21"/>
          <w:lang w:val="fr-FR"/>
        </w:rPr>
        <w:t xml:space="preserve"> </w:t>
      </w:r>
      <w:r w:rsidR="00C1365F" w:rsidRPr="00AA613E">
        <w:rPr>
          <w:rFonts w:ascii="Cambria" w:hAnsi="Cambria"/>
          <w:color w:val="000000" w:themeColor="text1"/>
          <w:sz w:val="21"/>
          <w:szCs w:val="21"/>
          <w:lang w:val="fr-FR"/>
        </w:rPr>
        <w:t>c</w:t>
      </w:r>
      <w:r w:rsidR="00E705CF" w:rsidRPr="00AA613E">
        <w:rPr>
          <w:rFonts w:ascii="Cambria" w:hAnsi="Cambria"/>
          <w:color w:val="000000" w:themeColor="text1"/>
          <w:sz w:val="21"/>
          <w:szCs w:val="21"/>
          <w:lang w:val="fr-FR"/>
        </w:rPr>
        <w:t xml:space="preserve">es mesures sont nécessaires pour prévenir </w:t>
      </w:r>
      <w:r w:rsidR="00C1365F" w:rsidRPr="00AA613E">
        <w:rPr>
          <w:rFonts w:ascii="Cambria" w:hAnsi="Cambria"/>
          <w:color w:val="000000" w:themeColor="text1"/>
          <w:sz w:val="21"/>
          <w:szCs w:val="21"/>
          <w:lang w:val="fr-FR"/>
        </w:rPr>
        <w:t>un</w:t>
      </w:r>
      <w:r w:rsidR="00E705CF" w:rsidRPr="00AA613E">
        <w:rPr>
          <w:rFonts w:ascii="Cambria" w:hAnsi="Cambria"/>
          <w:color w:val="000000" w:themeColor="text1"/>
          <w:sz w:val="21"/>
          <w:szCs w:val="21"/>
          <w:lang w:val="fr-FR"/>
        </w:rPr>
        <w:t xml:space="preserve"> dommage irréparable </w:t>
      </w:r>
      <w:r w:rsidR="00C1365F" w:rsidRPr="00AA613E">
        <w:rPr>
          <w:rFonts w:ascii="Cambria" w:hAnsi="Cambria"/>
          <w:color w:val="000000" w:themeColor="text1"/>
          <w:sz w:val="21"/>
          <w:szCs w:val="21"/>
          <w:lang w:val="fr-FR"/>
        </w:rPr>
        <w:t xml:space="preserve">aux </w:t>
      </w:r>
      <w:r w:rsidR="00E705CF" w:rsidRPr="00AA613E">
        <w:rPr>
          <w:rFonts w:ascii="Cambria" w:hAnsi="Cambria"/>
          <w:color w:val="000000" w:themeColor="text1"/>
          <w:sz w:val="21"/>
          <w:szCs w:val="21"/>
          <w:lang w:val="fr-FR"/>
        </w:rPr>
        <w:t>personnes</w:t>
      </w:r>
      <w:r w:rsidR="009D2768" w:rsidRPr="00AA613E">
        <w:rPr>
          <w:rFonts w:ascii="Cambria" w:hAnsi="Cambria"/>
          <w:color w:val="000000" w:themeColor="text1"/>
          <w:sz w:val="21"/>
          <w:szCs w:val="21"/>
          <w:lang w:val="fr-FR"/>
        </w:rPr>
        <w:t xml:space="preserve">. </w:t>
      </w:r>
    </w:p>
    <w:p w:rsidR="009D2768" w:rsidRPr="00AA613E" w:rsidRDefault="009D2768" w:rsidP="009D2768">
      <w:pPr>
        <w:spacing w:after="0" w:line="240" w:lineRule="auto"/>
        <w:jc w:val="both"/>
        <w:rPr>
          <w:rFonts w:ascii="Cambria" w:hAnsi="Cambria"/>
          <w:color w:val="000000" w:themeColor="text1"/>
          <w:sz w:val="21"/>
          <w:szCs w:val="21"/>
          <w:lang w:val="fr-FR"/>
        </w:rPr>
      </w:pPr>
    </w:p>
    <w:p w:rsidR="009D2768" w:rsidRPr="00AA613E" w:rsidRDefault="009D2768" w:rsidP="0081725E">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La </w:t>
      </w:r>
      <w:r w:rsidR="00BE6160" w:rsidRPr="00AA613E">
        <w:rPr>
          <w:rFonts w:ascii="Cambria" w:hAnsi="Cambria"/>
          <w:color w:val="000000" w:themeColor="text1"/>
          <w:sz w:val="21"/>
          <w:szCs w:val="21"/>
          <w:lang w:val="fr-FR"/>
        </w:rPr>
        <w:t>Commission interaméricaine et la Cour interaméricaine des droits de l’homme (ci-après « la Cour interaméricaine » ou</w:t>
      </w:r>
      <w:r w:rsidR="002E5482" w:rsidRPr="00AA613E">
        <w:rPr>
          <w:rFonts w:ascii="Cambria" w:hAnsi="Cambria"/>
          <w:color w:val="000000" w:themeColor="text1"/>
          <w:sz w:val="21"/>
          <w:szCs w:val="21"/>
          <w:lang w:val="fr-FR"/>
        </w:rPr>
        <w:t xml:space="preserve"> « la CIDH ») ont établi </w:t>
      </w:r>
      <w:r w:rsidR="00C1365F" w:rsidRPr="00AA613E">
        <w:rPr>
          <w:rFonts w:ascii="Cambria" w:hAnsi="Cambria"/>
          <w:color w:val="000000" w:themeColor="text1"/>
          <w:sz w:val="21"/>
          <w:szCs w:val="21"/>
          <w:lang w:val="fr-FR"/>
        </w:rPr>
        <w:t>de manière réitérée</w:t>
      </w:r>
      <w:r w:rsidR="002E5482" w:rsidRPr="00AA613E">
        <w:rPr>
          <w:rFonts w:ascii="Cambria" w:hAnsi="Cambria"/>
          <w:color w:val="000000" w:themeColor="text1"/>
          <w:sz w:val="21"/>
          <w:szCs w:val="21"/>
          <w:lang w:val="fr-FR"/>
        </w:rPr>
        <w:t xml:space="preserve"> que les mesures conservatoires et provisoires présentaient un double</w:t>
      </w:r>
      <w:r w:rsidR="00C1365F" w:rsidRPr="00AA613E">
        <w:rPr>
          <w:rFonts w:ascii="Cambria" w:hAnsi="Cambria"/>
          <w:color w:val="000000" w:themeColor="text1"/>
          <w:sz w:val="21"/>
          <w:szCs w:val="21"/>
          <w:lang w:val="fr-FR"/>
        </w:rPr>
        <w:t xml:space="preserve"> caractère : un caractère de précaution et un caractère de protection</w:t>
      </w:r>
      <w:r w:rsidRPr="00AA613E">
        <w:rPr>
          <w:rFonts w:ascii="Cambria" w:hAnsi="Cambria"/>
          <w:color w:val="000000" w:themeColor="text1"/>
          <w:sz w:val="21"/>
          <w:szCs w:val="21"/>
          <w:lang w:val="fr-FR"/>
        </w:rPr>
        <w:t>.</w:t>
      </w:r>
      <w:r w:rsidR="002E5482" w:rsidRPr="00AA613E">
        <w:rPr>
          <w:rFonts w:ascii="Cambria" w:hAnsi="Cambria"/>
          <w:color w:val="000000" w:themeColor="text1"/>
          <w:sz w:val="21"/>
          <w:szCs w:val="21"/>
          <w:lang w:val="fr-FR"/>
        </w:rPr>
        <w:t xml:space="preserve"> En ce qui concerne le caractère </w:t>
      </w:r>
      <w:r w:rsidR="00BD001A" w:rsidRPr="00AA613E">
        <w:rPr>
          <w:rFonts w:ascii="Cambria" w:hAnsi="Cambria"/>
          <w:color w:val="000000" w:themeColor="text1"/>
          <w:sz w:val="21"/>
          <w:szCs w:val="21"/>
          <w:lang w:val="fr-FR"/>
        </w:rPr>
        <w:t>de protection</w:t>
      </w:r>
      <w:r w:rsidR="002E5482" w:rsidRPr="00AA613E">
        <w:rPr>
          <w:rFonts w:ascii="Cambria" w:hAnsi="Cambria"/>
          <w:color w:val="000000" w:themeColor="text1"/>
          <w:sz w:val="21"/>
          <w:szCs w:val="21"/>
          <w:lang w:val="fr-FR"/>
        </w:rPr>
        <w:t xml:space="preserve">, </w:t>
      </w:r>
      <w:r w:rsidR="0056757A" w:rsidRPr="00AA613E">
        <w:rPr>
          <w:rFonts w:ascii="Cambria" w:hAnsi="Cambria"/>
          <w:color w:val="000000" w:themeColor="text1"/>
          <w:sz w:val="21"/>
          <w:szCs w:val="21"/>
          <w:lang w:val="fr-FR"/>
        </w:rPr>
        <w:t xml:space="preserve">les mesures </w:t>
      </w:r>
      <w:r w:rsidR="00BD001A" w:rsidRPr="00AA613E">
        <w:rPr>
          <w:rFonts w:ascii="Cambria" w:hAnsi="Cambria"/>
          <w:color w:val="000000" w:themeColor="text1"/>
          <w:sz w:val="21"/>
          <w:szCs w:val="21"/>
          <w:lang w:val="fr-FR"/>
        </w:rPr>
        <w:t>cherchent à prévenir</w:t>
      </w:r>
      <w:r w:rsidR="0056757A" w:rsidRPr="00AA613E">
        <w:rPr>
          <w:rFonts w:ascii="Cambria" w:hAnsi="Cambria"/>
          <w:color w:val="000000" w:themeColor="text1"/>
          <w:sz w:val="21"/>
          <w:szCs w:val="21"/>
          <w:lang w:val="fr-FR"/>
        </w:rPr>
        <w:t xml:space="preserve"> un dommage irréparable et à </w:t>
      </w:r>
      <w:r w:rsidR="00BD001A" w:rsidRPr="00AA613E">
        <w:rPr>
          <w:rFonts w:ascii="Cambria" w:hAnsi="Cambria"/>
          <w:color w:val="000000" w:themeColor="text1"/>
          <w:sz w:val="21"/>
          <w:szCs w:val="21"/>
          <w:lang w:val="fr-FR"/>
        </w:rPr>
        <w:t>protéger</w:t>
      </w:r>
      <w:r w:rsidR="0056757A" w:rsidRPr="00AA613E">
        <w:rPr>
          <w:rFonts w:ascii="Cambria" w:hAnsi="Cambria"/>
          <w:color w:val="000000" w:themeColor="text1"/>
          <w:sz w:val="21"/>
          <w:szCs w:val="21"/>
          <w:lang w:val="fr-FR"/>
        </w:rPr>
        <w:t xml:space="preserve"> </w:t>
      </w:r>
      <w:r w:rsidR="005A6DE2" w:rsidRPr="00AA613E">
        <w:rPr>
          <w:rFonts w:ascii="Cambria" w:hAnsi="Cambria"/>
          <w:color w:val="000000" w:themeColor="text1"/>
          <w:sz w:val="21"/>
          <w:szCs w:val="21"/>
          <w:lang w:val="fr-FR"/>
        </w:rPr>
        <w:t>l’exercice</w:t>
      </w:r>
      <w:r w:rsidR="0056757A" w:rsidRPr="00AA613E">
        <w:rPr>
          <w:rFonts w:ascii="Cambria" w:hAnsi="Cambria"/>
          <w:color w:val="000000" w:themeColor="text1"/>
          <w:sz w:val="21"/>
          <w:szCs w:val="21"/>
          <w:lang w:val="fr-FR"/>
        </w:rPr>
        <w:t xml:space="preserve"> des droits de l’homme</w:t>
      </w:r>
      <w:r w:rsidRPr="00AA613E">
        <w:rPr>
          <w:rFonts w:ascii="Cambria" w:hAnsi="Cambria"/>
          <w:color w:val="000000" w:themeColor="text1"/>
          <w:sz w:val="21"/>
          <w:szCs w:val="21"/>
          <w:lang w:val="fr-FR"/>
        </w:rPr>
        <w:t xml:space="preserve">. </w:t>
      </w:r>
      <w:r w:rsidR="0056757A" w:rsidRPr="00AA613E">
        <w:rPr>
          <w:rFonts w:ascii="Cambria" w:hAnsi="Cambria"/>
          <w:color w:val="000000" w:themeColor="text1"/>
          <w:sz w:val="21"/>
          <w:szCs w:val="21"/>
          <w:lang w:val="fr-FR"/>
        </w:rPr>
        <w:t xml:space="preserve">En ce qui concerne le caractère </w:t>
      </w:r>
      <w:r w:rsidR="00BD001A" w:rsidRPr="00AA613E">
        <w:rPr>
          <w:rFonts w:ascii="Cambria" w:hAnsi="Cambria"/>
          <w:color w:val="000000" w:themeColor="text1"/>
          <w:sz w:val="21"/>
          <w:szCs w:val="21"/>
          <w:lang w:val="fr-FR"/>
        </w:rPr>
        <w:t>de précaution</w:t>
      </w:r>
      <w:r w:rsidR="0056757A" w:rsidRPr="00AA613E">
        <w:rPr>
          <w:rFonts w:ascii="Cambria" w:hAnsi="Cambria"/>
          <w:color w:val="000000" w:themeColor="text1"/>
          <w:sz w:val="21"/>
          <w:szCs w:val="21"/>
          <w:lang w:val="fr-FR"/>
        </w:rPr>
        <w:t xml:space="preserve">, les mesures conservatoires </w:t>
      </w:r>
      <w:r w:rsidR="00BD001A" w:rsidRPr="00AA613E">
        <w:rPr>
          <w:rFonts w:ascii="Cambria" w:hAnsi="Cambria"/>
          <w:color w:val="000000" w:themeColor="text1"/>
          <w:sz w:val="21"/>
          <w:szCs w:val="21"/>
          <w:lang w:val="fr-FR"/>
        </w:rPr>
        <w:t>visent à</w:t>
      </w:r>
      <w:r w:rsidR="0056757A" w:rsidRPr="00AA613E">
        <w:rPr>
          <w:rFonts w:ascii="Cambria" w:hAnsi="Cambria"/>
          <w:color w:val="000000" w:themeColor="text1"/>
          <w:sz w:val="21"/>
          <w:szCs w:val="21"/>
          <w:lang w:val="fr-FR"/>
        </w:rPr>
        <w:t xml:space="preserve"> préserver une situation juridique pendant qu’elle est examinée par la CIDH. Le caractère </w:t>
      </w:r>
      <w:r w:rsidR="00BD001A" w:rsidRPr="00AA613E">
        <w:rPr>
          <w:rFonts w:ascii="Cambria" w:hAnsi="Cambria"/>
          <w:color w:val="000000" w:themeColor="text1"/>
          <w:sz w:val="21"/>
          <w:szCs w:val="21"/>
          <w:lang w:val="fr-FR"/>
        </w:rPr>
        <w:t>de précaution</w:t>
      </w:r>
      <w:r w:rsidR="0056757A" w:rsidRPr="00AA613E">
        <w:rPr>
          <w:rFonts w:ascii="Cambria" w:hAnsi="Cambria"/>
          <w:color w:val="000000" w:themeColor="text1"/>
          <w:sz w:val="21"/>
          <w:szCs w:val="21"/>
          <w:lang w:val="fr-FR"/>
        </w:rPr>
        <w:t xml:space="preserve"> </w:t>
      </w:r>
      <w:r w:rsidR="00BD001A" w:rsidRPr="00AA613E">
        <w:rPr>
          <w:rFonts w:ascii="Cambria" w:hAnsi="Cambria"/>
          <w:color w:val="000000" w:themeColor="text1"/>
          <w:sz w:val="21"/>
          <w:szCs w:val="21"/>
          <w:lang w:val="fr-FR"/>
        </w:rPr>
        <w:t xml:space="preserve">a pour objectif et finalité de protéger </w:t>
      </w:r>
      <w:r w:rsidR="0056757A" w:rsidRPr="00AA613E">
        <w:rPr>
          <w:rFonts w:ascii="Cambria" w:hAnsi="Cambria"/>
          <w:color w:val="000000" w:themeColor="text1"/>
          <w:sz w:val="21"/>
          <w:szCs w:val="21"/>
          <w:lang w:val="fr-FR"/>
        </w:rPr>
        <w:t xml:space="preserve">les droits susceptibles d’être menacés </w:t>
      </w:r>
      <w:r w:rsidR="00BD001A" w:rsidRPr="00AA613E">
        <w:rPr>
          <w:rFonts w:ascii="Cambria" w:hAnsi="Cambria"/>
          <w:color w:val="000000" w:themeColor="text1"/>
          <w:sz w:val="21"/>
          <w:szCs w:val="21"/>
          <w:lang w:val="fr-FR"/>
        </w:rPr>
        <w:t xml:space="preserve">et ce, </w:t>
      </w:r>
      <w:r w:rsidR="0056757A" w:rsidRPr="00AA613E">
        <w:rPr>
          <w:rFonts w:ascii="Cambria" w:hAnsi="Cambria"/>
          <w:color w:val="000000" w:themeColor="text1"/>
          <w:sz w:val="21"/>
          <w:szCs w:val="21"/>
          <w:lang w:val="fr-FR"/>
        </w:rPr>
        <w:t xml:space="preserve">jusqu’à la </w:t>
      </w:r>
      <w:r w:rsidR="00BD001A" w:rsidRPr="00AA613E">
        <w:rPr>
          <w:rFonts w:ascii="Cambria" w:hAnsi="Cambria"/>
          <w:color w:val="000000" w:themeColor="text1"/>
          <w:sz w:val="21"/>
          <w:szCs w:val="21"/>
          <w:lang w:val="fr-FR"/>
        </w:rPr>
        <w:t>résolution de la pétition qui fait l’objet d’un examen au sein du Système interaméricain</w:t>
      </w:r>
      <w:r w:rsidRPr="00AA613E">
        <w:rPr>
          <w:rFonts w:ascii="Cambria" w:hAnsi="Cambria"/>
          <w:color w:val="000000" w:themeColor="text1"/>
          <w:sz w:val="21"/>
          <w:szCs w:val="21"/>
          <w:lang w:val="fr-FR"/>
        </w:rPr>
        <w:t xml:space="preserve">. </w:t>
      </w:r>
      <w:r w:rsidR="00BD001A" w:rsidRPr="00AA613E">
        <w:rPr>
          <w:rFonts w:ascii="Cambria" w:hAnsi="Cambria"/>
          <w:color w:val="000000" w:themeColor="text1"/>
          <w:sz w:val="21"/>
          <w:szCs w:val="21"/>
          <w:lang w:val="fr-FR"/>
        </w:rPr>
        <w:t>Son objectif et sa finalité consistent à garantir l’intégrité et l’effectivité de l</w:t>
      </w:r>
      <w:r w:rsidR="007109BA" w:rsidRPr="00AA613E">
        <w:rPr>
          <w:rFonts w:ascii="Cambria" w:hAnsi="Cambria"/>
          <w:color w:val="000000" w:themeColor="text1"/>
          <w:sz w:val="21"/>
          <w:szCs w:val="21"/>
          <w:lang w:val="fr-FR"/>
        </w:rPr>
        <w:t xml:space="preserve">a décision de fond et, ainsi, </w:t>
      </w:r>
      <w:r w:rsidR="00BD001A" w:rsidRPr="00AA613E">
        <w:rPr>
          <w:rFonts w:ascii="Cambria" w:hAnsi="Cambria"/>
          <w:color w:val="000000" w:themeColor="text1"/>
          <w:sz w:val="21"/>
          <w:szCs w:val="21"/>
          <w:lang w:val="fr-FR"/>
        </w:rPr>
        <w:t xml:space="preserve">éviter de porter atteinte aux droits exercés, situation qui pourrait rendre sans effet la décision finale ou en dénaturer </w:t>
      </w:r>
      <w:r w:rsidR="009C1037" w:rsidRPr="00AA613E">
        <w:rPr>
          <w:rFonts w:ascii="Cambria" w:hAnsi="Cambria"/>
          <w:color w:val="000000" w:themeColor="text1"/>
          <w:sz w:val="21"/>
          <w:szCs w:val="21"/>
          <w:lang w:val="fr-FR"/>
        </w:rPr>
        <w:t>l’effet utile</w:t>
      </w:r>
      <w:r w:rsidRPr="00AA613E">
        <w:rPr>
          <w:rFonts w:ascii="Cambria" w:hAnsi="Cambria"/>
          <w:color w:val="000000" w:themeColor="text1"/>
          <w:sz w:val="21"/>
          <w:szCs w:val="21"/>
          <w:lang w:val="fr-FR"/>
        </w:rPr>
        <w:t xml:space="preserve">. </w:t>
      </w:r>
      <w:r w:rsidR="009C1037" w:rsidRPr="00AA613E">
        <w:rPr>
          <w:rFonts w:ascii="Cambria" w:hAnsi="Cambria"/>
          <w:color w:val="000000" w:themeColor="text1"/>
          <w:sz w:val="21"/>
          <w:szCs w:val="21"/>
          <w:lang w:val="fr-FR"/>
        </w:rPr>
        <w:t xml:space="preserve">Dans ce sens, les mesures conservatoires ou provisoires permettent à l’État concerné d’exécuter la </w:t>
      </w:r>
      <w:r w:rsidR="009C1037" w:rsidRPr="00AA613E">
        <w:rPr>
          <w:rFonts w:ascii="Cambria" w:hAnsi="Cambria"/>
          <w:color w:val="000000" w:themeColor="text1"/>
          <w:sz w:val="21"/>
          <w:szCs w:val="21"/>
          <w:lang w:val="fr-FR"/>
        </w:rPr>
        <w:lastRenderedPageBreak/>
        <w:t>décision finale et, en cas de nécessité, de s’acquitter des réparations exigées</w:t>
      </w:r>
      <w:r w:rsidRPr="00AA613E">
        <w:rPr>
          <w:rFonts w:ascii="Cambria" w:hAnsi="Cambria"/>
          <w:color w:val="000000" w:themeColor="text1"/>
          <w:sz w:val="21"/>
          <w:szCs w:val="21"/>
          <w:lang w:val="fr-FR"/>
        </w:rPr>
        <w:t xml:space="preserve">. </w:t>
      </w:r>
      <w:r w:rsidR="009C1037" w:rsidRPr="00AA613E">
        <w:rPr>
          <w:rFonts w:ascii="Cambria" w:hAnsi="Cambria"/>
          <w:color w:val="000000" w:themeColor="text1"/>
          <w:sz w:val="21"/>
          <w:szCs w:val="21"/>
          <w:lang w:val="fr-FR"/>
        </w:rPr>
        <w:t>Aux effets de prendre une décision, et conformément à l’article 25.2 de son Règlement, la Commission estime que </w:t>
      </w:r>
      <w:r w:rsidRPr="00AA613E">
        <w:rPr>
          <w:rFonts w:ascii="Cambria" w:hAnsi="Cambria"/>
          <w:color w:val="000000" w:themeColor="text1"/>
          <w:sz w:val="21"/>
          <w:szCs w:val="21"/>
          <w:lang w:val="fr-FR"/>
        </w:rPr>
        <w:t xml:space="preserve">: </w:t>
      </w:r>
    </w:p>
    <w:p w:rsidR="009D2768" w:rsidRPr="00AA613E" w:rsidRDefault="009D2768" w:rsidP="009D2768">
      <w:pPr>
        <w:spacing w:after="0" w:line="240" w:lineRule="auto"/>
        <w:jc w:val="both"/>
        <w:rPr>
          <w:rFonts w:ascii="Cambria" w:hAnsi="Cambria"/>
          <w:color w:val="000000" w:themeColor="text1"/>
          <w:sz w:val="21"/>
          <w:szCs w:val="21"/>
          <w:lang w:val="fr-FR"/>
        </w:rPr>
      </w:pPr>
    </w:p>
    <w:p w:rsidR="0081725E" w:rsidRPr="00AA613E" w:rsidRDefault="009C1037" w:rsidP="0081725E">
      <w:pPr>
        <w:numPr>
          <w:ilvl w:val="0"/>
          <w:numId w:val="3"/>
        </w:numPr>
        <w:spacing w:after="0" w:line="240" w:lineRule="auto"/>
        <w:jc w:val="both"/>
        <w:rPr>
          <w:rFonts w:ascii="Cambria" w:hAnsi="Cambria"/>
          <w:color w:val="000000" w:themeColor="text1"/>
          <w:sz w:val="16"/>
          <w:szCs w:val="21"/>
          <w:lang w:val="fr-FR"/>
        </w:rPr>
      </w:pPr>
      <w:r w:rsidRPr="00AA613E">
        <w:rPr>
          <w:rFonts w:ascii="Cambria" w:hAnsi="Cambria"/>
          <w:color w:val="000000" w:themeColor="text1"/>
          <w:sz w:val="16"/>
          <w:szCs w:val="21"/>
          <w:lang w:val="fr-FR"/>
        </w:rPr>
        <w:t xml:space="preserve">La « gravité de la situation » signifie l’impact sérieux qu’une action ou omission peut avoir sur un droit protégé ou sur l’effet éventuel d’une décision pendante dans une affaire ou pétition devant les organes du Système interaméricain ; </w:t>
      </w:r>
    </w:p>
    <w:p w:rsidR="0081725E" w:rsidRPr="00AA613E" w:rsidRDefault="009D2768" w:rsidP="003B5DDE">
      <w:pPr>
        <w:numPr>
          <w:ilvl w:val="0"/>
          <w:numId w:val="3"/>
        </w:numPr>
        <w:spacing w:after="0" w:line="240" w:lineRule="auto"/>
        <w:jc w:val="both"/>
        <w:rPr>
          <w:rFonts w:ascii="Cambria" w:hAnsi="Cambria"/>
          <w:color w:val="000000" w:themeColor="text1"/>
          <w:sz w:val="16"/>
          <w:szCs w:val="21"/>
          <w:lang w:val="fr-FR"/>
        </w:rPr>
      </w:pPr>
      <w:r w:rsidRPr="00AA613E">
        <w:rPr>
          <w:rFonts w:ascii="Cambria" w:hAnsi="Cambria"/>
          <w:color w:val="000000" w:themeColor="text1"/>
          <w:sz w:val="16"/>
          <w:szCs w:val="21"/>
          <w:lang w:val="fr-FR"/>
        </w:rPr>
        <w:t>L</w:t>
      </w:r>
      <w:r w:rsidR="007109BA" w:rsidRPr="00AA613E">
        <w:rPr>
          <w:rFonts w:ascii="Cambria" w:hAnsi="Cambria"/>
          <w:color w:val="000000" w:themeColor="text1"/>
          <w:sz w:val="16"/>
          <w:szCs w:val="21"/>
          <w:lang w:val="fr-FR"/>
        </w:rPr>
        <w:t>’</w:t>
      </w:r>
      <w:r w:rsidR="003B5DDE" w:rsidRPr="00AA613E">
        <w:rPr>
          <w:rFonts w:ascii="Cambria" w:hAnsi="Cambria"/>
          <w:color w:val="000000" w:themeColor="text1"/>
          <w:sz w:val="16"/>
          <w:szCs w:val="21"/>
          <w:lang w:val="fr-FR"/>
        </w:rPr>
        <w:t xml:space="preserve">« urgence de la situation » est déterminée par l’information indiquant que le risque ou la menace sont imminents et peuvent se matérialiser, ce qui exige une action préventive ou conservatoire ; et </w:t>
      </w:r>
    </w:p>
    <w:p w:rsidR="009D2768" w:rsidRPr="00AA613E" w:rsidRDefault="00FE4679" w:rsidP="009D2768">
      <w:pPr>
        <w:numPr>
          <w:ilvl w:val="0"/>
          <w:numId w:val="3"/>
        </w:numPr>
        <w:spacing w:after="0" w:line="240" w:lineRule="auto"/>
        <w:jc w:val="both"/>
        <w:rPr>
          <w:rFonts w:ascii="Cambria" w:hAnsi="Cambria"/>
          <w:color w:val="000000" w:themeColor="text1"/>
          <w:sz w:val="16"/>
          <w:szCs w:val="21"/>
          <w:lang w:val="fr-FR"/>
        </w:rPr>
      </w:pPr>
      <w:r w:rsidRPr="00AA613E">
        <w:rPr>
          <w:rFonts w:ascii="Cambria" w:hAnsi="Cambria"/>
          <w:color w:val="000000" w:themeColor="text1"/>
          <w:sz w:val="16"/>
          <w:szCs w:val="21"/>
          <w:lang w:val="fr-FR"/>
        </w:rPr>
        <w:t>Le « dommage irréparable » signifie l'effet adverse sur les droits qui, en raison de sa nature, ne sont pas susceptibles de réparation, de restauration ou d’être indemnisés de manière adéquate</w:t>
      </w:r>
      <w:r w:rsidR="009D2768" w:rsidRPr="00AA613E">
        <w:rPr>
          <w:rFonts w:ascii="Cambria" w:hAnsi="Cambria"/>
          <w:color w:val="000000" w:themeColor="text1"/>
          <w:sz w:val="16"/>
          <w:szCs w:val="21"/>
          <w:lang w:val="fr-FR"/>
        </w:rPr>
        <w:t>.</w:t>
      </w:r>
    </w:p>
    <w:p w:rsidR="0081725E" w:rsidRPr="00AA613E" w:rsidRDefault="0081725E" w:rsidP="0081725E">
      <w:pPr>
        <w:spacing w:after="0" w:line="240" w:lineRule="auto"/>
        <w:jc w:val="both"/>
        <w:rPr>
          <w:rFonts w:ascii="Cambria" w:hAnsi="Cambria"/>
          <w:color w:val="000000" w:themeColor="text1"/>
          <w:sz w:val="21"/>
          <w:szCs w:val="21"/>
          <w:lang w:val="fr-FR"/>
        </w:rPr>
      </w:pPr>
    </w:p>
    <w:p w:rsidR="0081725E" w:rsidRPr="00AA613E" w:rsidRDefault="004949AB" w:rsidP="0081725E">
      <w:pPr>
        <w:pStyle w:val="ListParagraph"/>
        <w:numPr>
          <w:ilvl w:val="0"/>
          <w:numId w:val="16"/>
        </w:numPr>
        <w:spacing w:after="0" w:line="240" w:lineRule="auto"/>
        <w:ind w:left="0" w:firstLine="360"/>
        <w:jc w:val="both"/>
        <w:rPr>
          <w:rFonts w:ascii="Cambria" w:hAnsi="Cambria"/>
          <w:sz w:val="21"/>
          <w:szCs w:val="21"/>
          <w:lang w:val="fr-FR"/>
        </w:rPr>
      </w:pPr>
      <w:r w:rsidRPr="00AA613E">
        <w:rPr>
          <w:rFonts w:ascii="Cambria" w:hAnsi="Cambria"/>
          <w:sz w:val="21"/>
          <w:szCs w:val="21"/>
          <w:lang w:val="fr-FR"/>
        </w:rPr>
        <w:t xml:space="preserve">Dans l’analyse de ces conditions, la Commission réaffirme </w:t>
      </w:r>
      <w:r w:rsidR="00811AF6" w:rsidRPr="00AA613E">
        <w:rPr>
          <w:rFonts w:ascii="Cambria" w:hAnsi="Cambria"/>
          <w:sz w:val="21"/>
          <w:szCs w:val="21"/>
          <w:lang w:val="fr-FR"/>
        </w:rPr>
        <w:t xml:space="preserve">que les faits motivant une demande de mesures conservatoires ne nécessitent pas une vérification complète mais que les informations fournies doivent être appréciées dans une perspective </w:t>
      </w:r>
      <w:r w:rsidR="0081725E" w:rsidRPr="00AA613E">
        <w:rPr>
          <w:rFonts w:ascii="Cambria" w:hAnsi="Cambria"/>
          <w:i/>
          <w:sz w:val="21"/>
          <w:szCs w:val="21"/>
          <w:lang w:val="fr-FR"/>
        </w:rPr>
        <w:t xml:space="preserve">prima </w:t>
      </w:r>
      <w:proofErr w:type="spellStart"/>
      <w:r w:rsidR="0081725E" w:rsidRPr="00AA613E">
        <w:rPr>
          <w:rFonts w:ascii="Cambria" w:hAnsi="Cambria"/>
          <w:i/>
          <w:sz w:val="21"/>
          <w:szCs w:val="21"/>
          <w:lang w:val="fr-FR"/>
        </w:rPr>
        <w:t>facie</w:t>
      </w:r>
      <w:proofErr w:type="spellEnd"/>
      <w:r w:rsidR="0081725E" w:rsidRPr="00AA613E">
        <w:rPr>
          <w:rFonts w:ascii="Cambria" w:hAnsi="Cambria"/>
          <w:sz w:val="21"/>
          <w:szCs w:val="21"/>
          <w:lang w:val="fr-FR"/>
        </w:rPr>
        <w:t xml:space="preserve"> </w:t>
      </w:r>
      <w:r w:rsidR="00811AF6" w:rsidRPr="00AA613E">
        <w:rPr>
          <w:rFonts w:ascii="Cambria" w:hAnsi="Cambria"/>
          <w:sz w:val="21"/>
          <w:szCs w:val="21"/>
          <w:lang w:val="fr-FR"/>
        </w:rPr>
        <w:t>permettant d’identifier une situation grave et urgente</w:t>
      </w:r>
      <w:r w:rsidR="0081725E" w:rsidRPr="00AA613E">
        <w:rPr>
          <w:rFonts w:ascii="Cambria" w:hAnsi="Cambria"/>
          <w:sz w:val="21"/>
          <w:szCs w:val="21"/>
          <w:vertAlign w:val="superscript"/>
          <w:lang w:val="fr-FR"/>
        </w:rPr>
        <w:footnoteReference w:id="13"/>
      </w:r>
      <w:r w:rsidR="0081725E" w:rsidRPr="00AA613E">
        <w:rPr>
          <w:rFonts w:ascii="Cambria" w:hAnsi="Cambria"/>
          <w:sz w:val="21"/>
          <w:szCs w:val="21"/>
          <w:lang w:val="fr-FR"/>
        </w:rPr>
        <w:t>.</w:t>
      </w:r>
    </w:p>
    <w:p w:rsidR="0081725E" w:rsidRPr="00AA613E" w:rsidRDefault="0081725E" w:rsidP="0081725E">
      <w:pPr>
        <w:pStyle w:val="ListParagraph"/>
        <w:spacing w:after="0" w:line="240" w:lineRule="auto"/>
        <w:ind w:left="360"/>
        <w:jc w:val="both"/>
        <w:rPr>
          <w:rFonts w:ascii="Cambria" w:hAnsi="Cambria"/>
          <w:color w:val="000000" w:themeColor="text1"/>
          <w:sz w:val="21"/>
          <w:szCs w:val="21"/>
          <w:lang w:val="fr-FR"/>
        </w:rPr>
      </w:pPr>
    </w:p>
    <w:p w:rsidR="009D2768" w:rsidRPr="00AA613E" w:rsidRDefault="004949AB" w:rsidP="003246D4">
      <w:pPr>
        <w:pStyle w:val="ListParagraph"/>
        <w:numPr>
          <w:ilvl w:val="0"/>
          <w:numId w:val="30"/>
        </w:numPr>
        <w:spacing w:after="0" w:line="240" w:lineRule="auto"/>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À propos du pénitencier national de Port-au-Prince</w:t>
      </w:r>
    </w:p>
    <w:p w:rsidR="003246D4" w:rsidRPr="00AA613E" w:rsidRDefault="003246D4" w:rsidP="003246D4">
      <w:pPr>
        <w:spacing w:after="0" w:line="240" w:lineRule="auto"/>
        <w:jc w:val="both"/>
        <w:rPr>
          <w:rFonts w:ascii="Cambria" w:hAnsi="Cambria"/>
          <w:color w:val="000000" w:themeColor="text1"/>
          <w:sz w:val="21"/>
          <w:szCs w:val="21"/>
          <w:lang w:val="fr-FR"/>
        </w:rPr>
      </w:pPr>
    </w:p>
    <w:p w:rsidR="00146CFB" w:rsidRPr="00AA613E" w:rsidRDefault="00256911" w:rsidP="00E44F92">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En ce qui concerne l’analyse de la condition de gravité, la Commission estime que cette condition est remplie </w:t>
      </w:r>
      <w:r w:rsidR="003246D4" w:rsidRPr="00AA613E">
        <w:rPr>
          <w:rFonts w:ascii="Cambria" w:hAnsi="Cambria"/>
          <w:i/>
          <w:color w:val="000000" w:themeColor="text1"/>
          <w:sz w:val="21"/>
          <w:szCs w:val="21"/>
          <w:lang w:val="fr-FR"/>
        </w:rPr>
        <w:t xml:space="preserve">prima </w:t>
      </w:r>
      <w:proofErr w:type="spellStart"/>
      <w:r w:rsidR="003246D4" w:rsidRPr="00AA613E">
        <w:rPr>
          <w:rFonts w:ascii="Cambria" w:hAnsi="Cambria"/>
          <w:i/>
          <w:color w:val="000000" w:themeColor="text1"/>
          <w:sz w:val="21"/>
          <w:szCs w:val="21"/>
          <w:lang w:val="fr-FR"/>
        </w:rPr>
        <w:t>facie</w:t>
      </w:r>
      <w:proofErr w:type="spellEnd"/>
      <w:r w:rsidRPr="00AA613E">
        <w:rPr>
          <w:rFonts w:ascii="Cambria" w:hAnsi="Cambria"/>
          <w:color w:val="000000" w:themeColor="text1"/>
          <w:sz w:val="21"/>
          <w:szCs w:val="21"/>
          <w:lang w:val="fr-FR"/>
        </w:rPr>
        <w:t xml:space="preserve"> au vu des conditions présumées de détention auxquelles sont confrontés les bénéficiaires proposés </w:t>
      </w:r>
      <w:r w:rsidR="000A24A6" w:rsidRPr="00AA613E">
        <w:rPr>
          <w:rFonts w:ascii="Cambria" w:hAnsi="Cambria"/>
          <w:color w:val="000000" w:themeColor="text1"/>
          <w:sz w:val="21"/>
          <w:szCs w:val="21"/>
          <w:lang w:val="fr-FR"/>
        </w:rPr>
        <w:t>et des possibles atteintes à leurs droits à la vie et à l’intégrité personnelle que cela implique</w:t>
      </w:r>
      <w:r w:rsidR="00526DE1" w:rsidRPr="00AA613E">
        <w:rPr>
          <w:rFonts w:ascii="Cambria" w:hAnsi="Cambria"/>
          <w:color w:val="000000" w:themeColor="text1"/>
          <w:sz w:val="21"/>
          <w:szCs w:val="21"/>
          <w:lang w:val="fr-FR"/>
        </w:rPr>
        <w:t xml:space="preserve">. </w:t>
      </w:r>
      <w:r w:rsidR="000A24A6" w:rsidRPr="00AA613E">
        <w:rPr>
          <w:rFonts w:ascii="Cambria" w:hAnsi="Cambria"/>
          <w:color w:val="000000" w:themeColor="text1"/>
          <w:sz w:val="21"/>
          <w:szCs w:val="21"/>
          <w:lang w:val="fr-FR"/>
        </w:rPr>
        <w:t>La Commission observe, en particulie</w:t>
      </w:r>
      <w:r w:rsidR="00526DE1" w:rsidRPr="00AA613E">
        <w:rPr>
          <w:rFonts w:ascii="Cambria" w:hAnsi="Cambria"/>
          <w:color w:val="000000" w:themeColor="text1"/>
          <w:sz w:val="21"/>
          <w:szCs w:val="21"/>
          <w:lang w:val="fr-FR"/>
        </w:rPr>
        <w:t>r,</w:t>
      </w:r>
      <w:r w:rsidR="000A24A6" w:rsidRPr="00AA613E">
        <w:rPr>
          <w:rFonts w:ascii="Cambria" w:hAnsi="Cambria"/>
          <w:color w:val="000000" w:themeColor="text1"/>
          <w:sz w:val="21"/>
          <w:szCs w:val="21"/>
          <w:lang w:val="fr-FR"/>
        </w:rPr>
        <w:t xml:space="preserve"> que les bénéficiaires proposés sont exposés à de multiples facteurs de risque susceptibles de s’accentuer en raison des </w:t>
      </w:r>
      <w:r w:rsidR="00F238A1" w:rsidRPr="00AA613E">
        <w:rPr>
          <w:rFonts w:ascii="Cambria" w:hAnsi="Cambria"/>
          <w:color w:val="000000" w:themeColor="text1"/>
          <w:sz w:val="21"/>
          <w:szCs w:val="21"/>
          <w:lang w:val="fr-FR"/>
        </w:rPr>
        <w:t>défaillances structurelles qui ont été constatées par divers organismes de défense des droits de l’homme, notamment l’Organisation des Nations Unies et la Cour interaméricaine des droits de l’homme</w:t>
      </w:r>
      <w:r w:rsidR="00146CFB" w:rsidRPr="00AA613E">
        <w:rPr>
          <w:rFonts w:ascii="Cambria" w:hAnsi="Cambria"/>
          <w:color w:val="000000" w:themeColor="text1"/>
          <w:sz w:val="21"/>
          <w:szCs w:val="21"/>
          <w:lang w:val="fr-FR"/>
        </w:rPr>
        <w:t>.</w:t>
      </w:r>
    </w:p>
    <w:p w:rsidR="00EE78CF" w:rsidRPr="00AA613E" w:rsidRDefault="00EE78CF" w:rsidP="007B5173">
      <w:pPr>
        <w:pStyle w:val="ListParagraph"/>
        <w:spacing w:after="0" w:line="240" w:lineRule="auto"/>
        <w:ind w:left="360"/>
        <w:jc w:val="both"/>
        <w:rPr>
          <w:rFonts w:ascii="Cambria" w:hAnsi="Cambria"/>
          <w:color w:val="000000" w:themeColor="text1"/>
          <w:sz w:val="21"/>
          <w:szCs w:val="21"/>
          <w:lang w:val="fr-FR"/>
        </w:rPr>
      </w:pPr>
    </w:p>
    <w:p w:rsidR="003D3986" w:rsidRPr="00AA613E" w:rsidRDefault="007032CE" w:rsidP="00E44F92">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En effet, comme il a été indiqué précédemment, le Comité des droits de l’homme de l’ONU a indiqué, dans le cadre du Second examen périodique universel, que </w:t>
      </w:r>
      <w:r w:rsidR="00B9172D" w:rsidRPr="00AA613E">
        <w:rPr>
          <w:rFonts w:ascii="Cambria" w:hAnsi="Cambria"/>
          <w:color w:val="000000" w:themeColor="text1"/>
          <w:sz w:val="21"/>
          <w:szCs w:val="21"/>
          <w:lang w:val="fr-FR"/>
        </w:rPr>
        <w:t xml:space="preserve">: </w:t>
      </w:r>
      <w:r w:rsidRPr="00AA613E">
        <w:rPr>
          <w:rFonts w:ascii="Cambria" w:hAnsi="Cambria"/>
          <w:color w:val="000000" w:themeColor="text1"/>
          <w:sz w:val="21"/>
          <w:szCs w:val="21"/>
          <w:lang w:val="fr-FR"/>
        </w:rPr>
        <w:t>« [l]es cas de mauvais traitements (traitements cruels, inhumains ou dégradants) - contrairement au cas de torture - restent une préoccupation majeure dans le pays. Bien qu’ils soient attribuables, pour une bonne partie, aux age</w:t>
      </w:r>
      <w:r w:rsidR="00834516" w:rsidRPr="00AA613E">
        <w:rPr>
          <w:rFonts w:ascii="Cambria" w:hAnsi="Cambria"/>
          <w:color w:val="000000" w:themeColor="text1"/>
          <w:sz w:val="21"/>
          <w:szCs w:val="21"/>
          <w:lang w:val="fr-FR"/>
        </w:rPr>
        <w:t>nts de la Police nationale d’Haï</w:t>
      </w:r>
      <w:r w:rsidRPr="00AA613E">
        <w:rPr>
          <w:rFonts w:ascii="Cambria" w:hAnsi="Cambria"/>
          <w:color w:val="000000" w:themeColor="text1"/>
          <w:sz w:val="21"/>
          <w:szCs w:val="21"/>
          <w:lang w:val="fr-FR"/>
        </w:rPr>
        <w:t>ti</w:t>
      </w:r>
      <w:r w:rsidR="00B9172D" w:rsidRPr="00AA613E">
        <w:rPr>
          <w:rFonts w:ascii="Cambria" w:hAnsi="Cambria"/>
          <w:color w:val="000000" w:themeColor="text1"/>
          <w:sz w:val="21"/>
          <w:szCs w:val="21"/>
          <w:lang w:val="fr-FR"/>
        </w:rPr>
        <w:t xml:space="preserve"> […],</w:t>
      </w:r>
      <w:r w:rsidRPr="00AA613E">
        <w:rPr>
          <w:rFonts w:ascii="Cambria" w:hAnsi="Cambria"/>
          <w:color w:val="000000" w:themeColor="text1"/>
          <w:sz w:val="21"/>
          <w:szCs w:val="21"/>
          <w:lang w:val="fr-FR"/>
        </w:rPr>
        <w:t xml:space="preserve"> ils sont également perceptibles dans les divers lieux de détention. À plusieurs reprises, les autorités haïtiennes et celles de la MINUSTAH ainsi que l’Expert indépendant sur la situation des droits de l’homme en Haïti ont déclaré que toute détention en Haïti constitue un traitement cruel, inhumain et dégradant </w:t>
      </w:r>
      <w:r w:rsidR="00837A53" w:rsidRPr="00AA613E">
        <w:rPr>
          <w:rFonts w:ascii="Cambria" w:hAnsi="Cambria"/>
          <w:color w:val="000000" w:themeColor="text1"/>
          <w:sz w:val="21"/>
          <w:szCs w:val="21"/>
          <w:lang w:val="fr-FR"/>
        </w:rPr>
        <w:t>[…] »</w:t>
      </w:r>
      <w:r w:rsidR="007B5173" w:rsidRPr="00AA613E">
        <w:rPr>
          <w:rStyle w:val="FootnoteReference"/>
          <w:rFonts w:ascii="Cambria" w:hAnsi="Cambria"/>
          <w:color w:val="000000" w:themeColor="text1"/>
          <w:sz w:val="21"/>
          <w:szCs w:val="21"/>
          <w:lang w:val="fr-FR"/>
        </w:rPr>
        <w:footnoteReference w:id="14"/>
      </w:r>
      <w:r w:rsidR="003D3986" w:rsidRPr="00AA613E">
        <w:rPr>
          <w:rFonts w:ascii="Cambria" w:hAnsi="Cambria"/>
          <w:color w:val="000000" w:themeColor="text1"/>
          <w:sz w:val="21"/>
          <w:szCs w:val="21"/>
          <w:lang w:val="fr-FR"/>
        </w:rPr>
        <w:t>.</w:t>
      </w:r>
    </w:p>
    <w:p w:rsidR="003D3986" w:rsidRPr="00AA613E" w:rsidRDefault="003D3986" w:rsidP="003D3986">
      <w:pPr>
        <w:pStyle w:val="ListParagraph"/>
        <w:spacing w:after="0" w:line="240" w:lineRule="auto"/>
        <w:ind w:left="360"/>
        <w:jc w:val="both"/>
        <w:rPr>
          <w:rFonts w:ascii="Cambria" w:hAnsi="Cambria"/>
          <w:color w:val="000000" w:themeColor="text1"/>
          <w:sz w:val="21"/>
          <w:szCs w:val="21"/>
          <w:lang w:val="fr-FR"/>
        </w:rPr>
      </w:pPr>
    </w:p>
    <w:p w:rsidR="00EE78CF" w:rsidRPr="00AA613E" w:rsidRDefault="007B5173" w:rsidP="00E44F92">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 </w:t>
      </w:r>
      <w:r w:rsidR="00834516" w:rsidRPr="00AA613E">
        <w:rPr>
          <w:rFonts w:ascii="Cambria" w:hAnsi="Cambria"/>
          <w:color w:val="000000" w:themeColor="text1"/>
          <w:sz w:val="21"/>
          <w:szCs w:val="21"/>
          <w:lang w:val="fr-FR"/>
        </w:rPr>
        <w:t xml:space="preserve">De son côté, la Cour interaméricaine des droits de l’homme a déclaré, </w:t>
      </w:r>
      <w:r w:rsidR="006E07C6" w:rsidRPr="00AA613E">
        <w:rPr>
          <w:rFonts w:ascii="Cambria" w:hAnsi="Cambria"/>
          <w:color w:val="000000" w:themeColor="text1"/>
          <w:sz w:val="21"/>
          <w:szCs w:val="21"/>
          <w:lang w:val="fr-FR"/>
        </w:rPr>
        <w:t xml:space="preserve">le 20 novembre 2015 </w:t>
      </w:r>
      <w:r w:rsidR="00834516" w:rsidRPr="00AA613E">
        <w:rPr>
          <w:rFonts w:ascii="Cambria" w:hAnsi="Cambria"/>
          <w:color w:val="000000" w:themeColor="text1"/>
          <w:sz w:val="21"/>
          <w:szCs w:val="21"/>
          <w:lang w:val="fr-FR"/>
        </w:rPr>
        <w:t xml:space="preserve">dans le cadre du contrôle de l’exécution de </w:t>
      </w:r>
      <w:r w:rsidR="007109BA" w:rsidRPr="00AA613E">
        <w:rPr>
          <w:rFonts w:ascii="Cambria" w:hAnsi="Cambria"/>
          <w:color w:val="000000" w:themeColor="text1"/>
          <w:sz w:val="21"/>
          <w:szCs w:val="21"/>
          <w:lang w:val="fr-FR"/>
        </w:rPr>
        <w:t>la décision</w:t>
      </w:r>
      <w:r w:rsidR="006E07C6" w:rsidRPr="00AA613E">
        <w:rPr>
          <w:rFonts w:ascii="Cambria" w:hAnsi="Cambria"/>
          <w:color w:val="000000" w:themeColor="text1"/>
          <w:sz w:val="21"/>
          <w:szCs w:val="21"/>
          <w:lang w:val="fr-FR"/>
        </w:rPr>
        <w:t xml:space="preserve"> </w:t>
      </w:r>
      <w:r w:rsidR="006E07C6" w:rsidRPr="00AA613E">
        <w:rPr>
          <w:rFonts w:ascii="Cambria" w:hAnsi="Cambria"/>
          <w:i/>
          <w:color w:val="000000" w:themeColor="text1"/>
          <w:sz w:val="21"/>
          <w:szCs w:val="21"/>
          <w:lang w:val="fr-FR"/>
        </w:rPr>
        <w:t>Yvon Neptune contre Haïti</w:t>
      </w:r>
      <w:r w:rsidR="00A205DC" w:rsidRPr="00AA613E">
        <w:rPr>
          <w:rFonts w:ascii="Cambria" w:hAnsi="Cambria"/>
          <w:i/>
          <w:color w:val="000000" w:themeColor="text1"/>
          <w:sz w:val="21"/>
          <w:szCs w:val="21"/>
          <w:lang w:val="fr-FR"/>
        </w:rPr>
        <w:t xml:space="preserve"> </w:t>
      </w:r>
      <w:r w:rsidR="006E07C6" w:rsidRPr="00AA613E">
        <w:rPr>
          <w:rFonts w:ascii="Cambria" w:hAnsi="Cambria"/>
          <w:color w:val="000000" w:themeColor="text1"/>
          <w:sz w:val="21"/>
          <w:szCs w:val="21"/>
          <w:lang w:val="fr-FR"/>
        </w:rPr>
        <w:t xml:space="preserve">prononcée le 6 mai </w:t>
      </w:r>
      <w:r w:rsidR="003D3986" w:rsidRPr="00AA613E">
        <w:rPr>
          <w:rFonts w:ascii="Cambria" w:hAnsi="Cambria"/>
          <w:color w:val="000000" w:themeColor="text1"/>
          <w:sz w:val="21"/>
          <w:szCs w:val="21"/>
          <w:lang w:val="fr-FR"/>
        </w:rPr>
        <w:t>2008</w:t>
      </w:r>
      <w:r w:rsidR="003D3986" w:rsidRPr="00AA613E">
        <w:rPr>
          <w:rStyle w:val="FootnoteReference"/>
          <w:rFonts w:ascii="Cambria" w:hAnsi="Cambria"/>
          <w:color w:val="000000" w:themeColor="text1"/>
          <w:sz w:val="21"/>
          <w:szCs w:val="21"/>
          <w:lang w:val="fr-FR"/>
        </w:rPr>
        <w:footnoteReference w:id="15"/>
      </w:r>
      <w:r w:rsidR="003D3986" w:rsidRPr="00AA613E">
        <w:rPr>
          <w:rFonts w:ascii="Cambria" w:hAnsi="Cambria"/>
          <w:color w:val="000000" w:themeColor="text1"/>
          <w:sz w:val="21"/>
          <w:szCs w:val="21"/>
          <w:lang w:val="fr-FR"/>
        </w:rPr>
        <w:t xml:space="preserve">, que </w:t>
      </w:r>
      <w:r w:rsidR="006E07C6" w:rsidRPr="00AA613E">
        <w:rPr>
          <w:rFonts w:ascii="Cambria" w:hAnsi="Cambria"/>
          <w:color w:val="000000" w:themeColor="text1"/>
          <w:sz w:val="21"/>
          <w:szCs w:val="21"/>
          <w:lang w:val="fr-FR"/>
        </w:rPr>
        <w:t xml:space="preserve">l’État […] avait manqué à son devoir </w:t>
      </w:r>
      <w:r w:rsidR="007109BA" w:rsidRPr="00AA613E">
        <w:rPr>
          <w:rFonts w:ascii="Cambria" w:hAnsi="Cambria"/>
          <w:color w:val="000000" w:themeColor="text1"/>
          <w:sz w:val="21"/>
          <w:szCs w:val="21"/>
          <w:lang w:val="fr-FR"/>
        </w:rPr>
        <w:t xml:space="preserve">d’exécution de la décision </w:t>
      </w:r>
      <w:r w:rsidR="006E07C6" w:rsidRPr="00AA613E">
        <w:rPr>
          <w:rFonts w:ascii="Cambria" w:hAnsi="Cambria"/>
          <w:color w:val="000000" w:themeColor="text1"/>
          <w:sz w:val="21"/>
          <w:szCs w:val="21"/>
          <w:lang w:val="fr-FR"/>
        </w:rPr>
        <w:t>pendant six ans et cinq mois […]</w:t>
      </w:r>
      <w:r w:rsidR="007109BA" w:rsidRPr="00AA613E">
        <w:rPr>
          <w:rFonts w:ascii="Cambria" w:hAnsi="Cambria"/>
          <w:color w:val="000000" w:themeColor="text1"/>
          <w:sz w:val="21"/>
          <w:szCs w:val="21"/>
          <w:lang w:val="fr-FR"/>
        </w:rPr>
        <w:t>,</w:t>
      </w:r>
      <w:r w:rsidR="006E07C6" w:rsidRPr="00AA613E">
        <w:rPr>
          <w:rFonts w:ascii="Cambria" w:hAnsi="Cambria"/>
          <w:color w:val="000000" w:themeColor="text1"/>
          <w:sz w:val="21"/>
          <w:szCs w:val="21"/>
          <w:lang w:val="fr-FR"/>
        </w:rPr>
        <w:t xml:space="preserve"> en particulier en ce qui a trait à la mesure de réparation</w:t>
      </w:r>
      <w:r w:rsidR="00143A12" w:rsidRPr="00AA613E">
        <w:rPr>
          <w:rFonts w:ascii="Cambria" w:hAnsi="Cambria"/>
          <w:color w:val="000000" w:themeColor="text1"/>
          <w:sz w:val="21"/>
          <w:szCs w:val="21"/>
          <w:lang w:val="fr-FR"/>
        </w:rPr>
        <w:t xml:space="preserve"> consistant à</w:t>
      </w:r>
      <w:r w:rsidR="006E07C6" w:rsidRPr="00AA613E">
        <w:rPr>
          <w:rFonts w:ascii="Cambria" w:hAnsi="Cambria"/>
          <w:color w:val="000000" w:themeColor="text1"/>
          <w:sz w:val="21"/>
          <w:szCs w:val="21"/>
          <w:lang w:val="fr-FR"/>
        </w:rPr>
        <w:t xml:space="preserve"> </w:t>
      </w:r>
      <w:r w:rsidR="003D3986" w:rsidRPr="00AA613E">
        <w:rPr>
          <w:rFonts w:ascii="Cambria" w:hAnsi="Cambria"/>
          <w:color w:val="000000" w:themeColor="text1"/>
          <w:sz w:val="21"/>
          <w:szCs w:val="21"/>
          <w:lang w:val="fr-FR"/>
        </w:rPr>
        <w:t xml:space="preserve">[…] </w:t>
      </w:r>
      <w:r w:rsidR="00143A12" w:rsidRPr="00AA613E">
        <w:rPr>
          <w:rFonts w:ascii="Cambria" w:hAnsi="Cambria"/>
          <w:color w:val="000000" w:themeColor="text1"/>
          <w:sz w:val="21"/>
          <w:szCs w:val="21"/>
          <w:lang w:val="fr-FR"/>
        </w:rPr>
        <w:t>adopte</w:t>
      </w:r>
      <w:r w:rsidR="003D3986" w:rsidRPr="00AA613E">
        <w:rPr>
          <w:rFonts w:ascii="Cambria" w:hAnsi="Cambria"/>
          <w:color w:val="000000" w:themeColor="text1"/>
          <w:sz w:val="21"/>
          <w:szCs w:val="21"/>
          <w:lang w:val="fr-FR"/>
        </w:rPr>
        <w:t xml:space="preserve">r, </w:t>
      </w:r>
      <w:r w:rsidR="00143A12" w:rsidRPr="00AA613E">
        <w:rPr>
          <w:rFonts w:ascii="Cambria" w:hAnsi="Cambria"/>
          <w:color w:val="000000" w:themeColor="text1"/>
          <w:sz w:val="21"/>
          <w:szCs w:val="21"/>
          <w:lang w:val="fr-FR"/>
        </w:rPr>
        <w:t xml:space="preserve">dans un délai raisonnable, les mesures législatives, administratives et de toute autre nature nécessaires à l’amélioration substantielle des conditions de détention dans les prisons haïtiennes, en les adaptant aux normes internationales des droits de l’homme </w:t>
      </w:r>
      <w:r w:rsidR="008B3E56" w:rsidRPr="00AA613E">
        <w:rPr>
          <w:rFonts w:ascii="Cambria" w:hAnsi="Cambria"/>
          <w:color w:val="000000" w:themeColor="text1"/>
          <w:sz w:val="21"/>
          <w:szCs w:val="21"/>
          <w:lang w:val="fr-FR"/>
        </w:rPr>
        <w:t>[…]</w:t>
      </w:r>
      <w:r w:rsidR="00287C5F" w:rsidRPr="00AA613E">
        <w:rPr>
          <w:rStyle w:val="FootnoteReference"/>
          <w:rFonts w:ascii="Cambria" w:hAnsi="Cambria"/>
          <w:color w:val="000000" w:themeColor="text1"/>
          <w:sz w:val="21"/>
          <w:szCs w:val="21"/>
          <w:lang w:val="fr-FR"/>
        </w:rPr>
        <w:footnoteReference w:id="16"/>
      </w:r>
      <w:r w:rsidR="003D3986" w:rsidRPr="00AA613E">
        <w:rPr>
          <w:rFonts w:ascii="Cambria" w:hAnsi="Cambria"/>
          <w:color w:val="000000" w:themeColor="text1"/>
          <w:sz w:val="21"/>
          <w:szCs w:val="21"/>
          <w:lang w:val="fr-FR"/>
        </w:rPr>
        <w:t>.</w:t>
      </w:r>
    </w:p>
    <w:p w:rsidR="007A6C70" w:rsidRPr="00AA613E" w:rsidRDefault="007A6C70" w:rsidP="007A6C70">
      <w:pPr>
        <w:pStyle w:val="ListParagraph"/>
        <w:spacing w:after="0" w:line="240" w:lineRule="auto"/>
        <w:ind w:left="360"/>
        <w:jc w:val="both"/>
        <w:rPr>
          <w:rFonts w:ascii="Cambria" w:hAnsi="Cambria"/>
          <w:color w:val="000000" w:themeColor="text1"/>
          <w:sz w:val="21"/>
          <w:szCs w:val="21"/>
          <w:lang w:val="fr-FR"/>
        </w:rPr>
      </w:pPr>
    </w:p>
    <w:p w:rsidR="00EF03E7" w:rsidRPr="00AA613E" w:rsidRDefault="001E03F1" w:rsidP="00EF03E7">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Dans ce contexte, les requérants ont indiqué que ces défaillances persistaient aujourd’hui. Ils ont, en particulie</w:t>
      </w:r>
      <w:r w:rsidR="00D03619" w:rsidRPr="00AA613E">
        <w:rPr>
          <w:rFonts w:ascii="Cambria" w:hAnsi="Cambria"/>
          <w:color w:val="000000" w:themeColor="text1"/>
          <w:sz w:val="21"/>
          <w:szCs w:val="21"/>
          <w:lang w:val="fr-FR"/>
        </w:rPr>
        <w:t xml:space="preserve">r, </w:t>
      </w:r>
      <w:r w:rsidRPr="00AA613E">
        <w:rPr>
          <w:rFonts w:ascii="Cambria" w:hAnsi="Cambria"/>
          <w:color w:val="000000" w:themeColor="text1"/>
          <w:sz w:val="21"/>
          <w:szCs w:val="21"/>
          <w:lang w:val="fr-FR"/>
        </w:rPr>
        <w:t xml:space="preserve">signalé que le taux actuel </w:t>
      </w:r>
      <w:r w:rsidR="00D92445" w:rsidRPr="00AA613E">
        <w:rPr>
          <w:rFonts w:ascii="Cambria" w:hAnsi="Cambria"/>
          <w:color w:val="000000" w:themeColor="text1"/>
          <w:sz w:val="21"/>
          <w:szCs w:val="21"/>
          <w:lang w:val="fr-FR"/>
        </w:rPr>
        <w:t>d’occupation</w:t>
      </w:r>
      <w:r w:rsidRPr="00AA613E">
        <w:rPr>
          <w:rFonts w:ascii="Cambria" w:hAnsi="Cambria"/>
          <w:color w:val="000000" w:themeColor="text1"/>
          <w:sz w:val="21"/>
          <w:szCs w:val="21"/>
          <w:lang w:val="fr-FR"/>
        </w:rPr>
        <w:t xml:space="preserve"> avoisinait, en tenant compte des normes </w:t>
      </w:r>
      <w:r w:rsidRPr="00AA613E">
        <w:rPr>
          <w:rFonts w:ascii="Cambria" w:hAnsi="Cambria"/>
          <w:color w:val="000000" w:themeColor="text1"/>
          <w:sz w:val="21"/>
          <w:szCs w:val="21"/>
          <w:lang w:val="fr-FR"/>
        </w:rPr>
        <w:lastRenderedPageBreak/>
        <w:t xml:space="preserve">fixées </w:t>
      </w:r>
      <w:r w:rsidR="0030054E" w:rsidRPr="00AA613E">
        <w:rPr>
          <w:rFonts w:ascii="Cambria" w:hAnsi="Cambria"/>
          <w:color w:val="000000" w:themeColor="text1"/>
          <w:sz w:val="21"/>
          <w:szCs w:val="21"/>
          <w:lang w:val="fr-FR"/>
        </w:rPr>
        <w:t>par l’Organisation des Nations Unies, notamment concernant Haïti, 960 %, plaçant ainsi le pénitencier dans une situation critique</w:t>
      </w:r>
      <w:r w:rsidR="00526DE1" w:rsidRPr="00AA613E">
        <w:rPr>
          <w:rFonts w:ascii="Cambria" w:hAnsi="Cambria"/>
          <w:color w:val="000000" w:themeColor="text1"/>
          <w:sz w:val="21"/>
          <w:szCs w:val="21"/>
          <w:lang w:val="fr-FR"/>
        </w:rPr>
        <w:t xml:space="preserve">. </w:t>
      </w:r>
      <w:r w:rsidR="0030054E" w:rsidRPr="00AA613E">
        <w:rPr>
          <w:rFonts w:ascii="Cambria" w:hAnsi="Cambria"/>
          <w:color w:val="000000" w:themeColor="text1"/>
          <w:sz w:val="21"/>
          <w:szCs w:val="21"/>
          <w:lang w:val="fr-FR"/>
        </w:rPr>
        <w:t xml:space="preserve">De plus, il semblerait que les personnes privées de liberté </w:t>
      </w:r>
      <w:r w:rsidR="007109BA" w:rsidRPr="00AA613E">
        <w:rPr>
          <w:rFonts w:ascii="Cambria" w:hAnsi="Cambria"/>
          <w:color w:val="000000" w:themeColor="text1"/>
          <w:sz w:val="21"/>
          <w:szCs w:val="21"/>
          <w:lang w:val="fr-FR"/>
        </w:rPr>
        <w:t>seraient confinées</w:t>
      </w:r>
      <w:r w:rsidR="0030054E" w:rsidRPr="00AA613E">
        <w:rPr>
          <w:rFonts w:ascii="Cambria" w:hAnsi="Cambria"/>
          <w:color w:val="000000" w:themeColor="text1"/>
          <w:sz w:val="21"/>
          <w:szCs w:val="21"/>
          <w:lang w:val="fr-FR"/>
        </w:rPr>
        <w:t xml:space="preserve"> entre 22 et 23 h </w:t>
      </w:r>
      <w:r w:rsidR="002804AD" w:rsidRPr="00AA613E">
        <w:rPr>
          <w:rFonts w:ascii="Cambria" w:hAnsi="Cambria"/>
          <w:color w:val="000000" w:themeColor="text1"/>
          <w:sz w:val="21"/>
          <w:szCs w:val="21"/>
          <w:lang w:val="fr-FR"/>
        </w:rPr>
        <w:t xml:space="preserve">par jour </w:t>
      </w:r>
      <w:r w:rsidR="0030054E" w:rsidRPr="00AA613E">
        <w:rPr>
          <w:rFonts w:ascii="Cambria" w:hAnsi="Cambria"/>
          <w:color w:val="000000" w:themeColor="text1"/>
          <w:sz w:val="21"/>
          <w:szCs w:val="21"/>
          <w:lang w:val="fr-FR"/>
        </w:rPr>
        <w:t>dans des cellules sans ventilation et sans éclairage adéquat</w:t>
      </w:r>
      <w:r w:rsidR="00146CFB" w:rsidRPr="00AA613E">
        <w:rPr>
          <w:rFonts w:ascii="Cambria" w:hAnsi="Cambria"/>
          <w:color w:val="000000" w:themeColor="text1"/>
          <w:sz w:val="21"/>
          <w:szCs w:val="21"/>
          <w:lang w:val="fr-FR"/>
        </w:rPr>
        <w:t xml:space="preserve">, </w:t>
      </w:r>
      <w:r w:rsidR="0030054E" w:rsidRPr="00AA613E">
        <w:rPr>
          <w:rFonts w:ascii="Cambria" w:hAnsi="Cambria"/>
          <w:color w:val="000000" w:themeColor="text1"/>
          <w:sz w:val="21"/>
          <w:szCs w:val="21"/>
          <w:lang w:val="fr-FR"/>
        </w:rPr>
        <w:t xml:space="preserve">dans des conditions d’insalubrité qui pourraient affecter gravement leur santé. À ce sujet, une attention spéciale doit être accordée aux faits allégués concernant les conditions de détention des prisonniers souffrant de la tuberculose, du VIH et du choléra, </w:t>
      </w:r>
      <w:r w:rsidR="00EF03E7" w:rsidRPr="00AA613E">
        <w:rPr>
          <w:rFonts w:ascii="Cambria" w:hAnsi="Cambria"/>
          <w:color w:val="000000" w:themeColor="text1"/>
          <w:sz w:val="21"/>
          <w:szCs w:val="21"/>
          <w:lang w:val="fr-FR"/>
        </w:rPr>
        <w:t xml:space="preserve">tels que rapportés par les requérants, </w:t>
      </w:r>
      <w:r w:rsidR="00E86013" w:rsidRPr="00AA613E">
        <w:rPr>
          <w:rFonts w:ascii="Cambria" w:hAnsi="Cambria"/>
          <w:color w:val="000000" w:themeColor="text1"/>
          <w:sz w:val="21"/>
          <w:szCs w:val="21"/>
          <w:lang w:val="fr-FR"/>
        </w:rPr>
        <w:t>s’accompagnant d’une pénurie supposée de ressources médicales et d’un accès insuffisant aux traitements appropriés </w:t>
      </w:r>
      <w:r w:rsidR="00146CFB" w:rsidRPr="00AA613E">
        <w:rPr>
          <w:rFonts w:ascii="Cambria" w:hAnsi="Cambria"/>
          <w:color w:val="000000" w:themeColor="text1"/>
          <w:sz w:val="21"/>
          <w:szCs w:val="21"/>
          <w:lang w:val="fr-FR"/>
        </w:rPr>
        <w:t>:</w:t>
      </w:r>
    </w:p>
    <w:p w:rsidR="00EF03E7" w:rsidRPr="00AA613E" w:rsidRDefault="00EF03E7" w:rsidP="00EF03E7">
      <w:pPr>
        <w:pStyle w:val="ListParagraph"/>
        <w:spacing w:after="0" w:line="240" w:lineRule="auto"/>
        <w:ind w:left="360"/>
        <w:jc w:val="both"/>
        <w:rPr>
          <w:rFonts w:ascii="Cambria" w:hAnsi="Cambria"/>
          <w:color w:val="000000" w:themeColor="text1"/>
          <w:sz w:val="21"/>
          <w:szCs w:val="21"/>
          <w:lang w:val="fr-FR"/>
        </w:rPr>
      </w:pPr>
    </w:p>
    <w:p w:rsidR="00EF03E7" w:rsidRPr="00AA613E" w:rsidRDefault="00EF03E7" w:rsidP="00EF03E7">
      <w:pPr>
        <w:pStyle w:val="ListParagraph"/>
        <w:numPr>
          <w:ilvl w:val="0"/>
          <w:numId w:val="18"/>
        </w:numPr>
        <w:spacing w:after="0" w:line="240" w:lineRule="auto"/>
        <w:jc w:val="both"/>
        <w:rPr>
          <w:rFonts w:ascii="Cambria" w:hAnsi="Cambria"/>
          <w:color w:val="000000"/>
          <w:sz w:val="21"/>
          <w:szCs w:val="21"/>
          <w:lang w:val="fr-FR"/>
        </w:rPr>
      </w:pPr>
      <w:r w:rsidRPr="00AA613E">
        <w:rPr>
          <w:rFonts w:ascii="Cambria" w:hAnsi="Cambria"/>
          <w:color w:val="000000"/>
          <w:sz w:val="21"/>
          <w:szCs w:val="21"/>
          <w:lang w:val="fr-FR"/>
        </w:rPr>
        <w:t>En ce qui concerne les malades du choléra, 66 personnes seraient couchées à même le sol dans une seule cellule, éclairée par la lumière naturelle et relativement bien aérée mais dépourvue de toilettes. De plus, il semblerait que les détenus doivent partager l’eau d’une grande jarre commune, s’exposant ainsi à des infections supplémentaires, avec un risque de propagation des maladies aux autres détenus. Les requérants ont indiqué que ces personnes avaient le même régime alimentaire que les autres prisonniers.</w:t>
      </w:r>
    </w:p>
    <w:p w:rsidR="00EF03E7" w:rsidRPr="00AA613E" w:rsidRDefault="00EF03E7" w:rsidP="00EF03E7">
      <w:pPr>
        <w:spacing w:after="0" w:line="240" w:lineRule="auto"/>
        <w:jc w:val="both"/>
        <w:rPr>
          <w:rFonts w:ascii="Cambria" w:hAnsi="Cambria"/>
          <w:color w:val="000000"/>
          <w:sz w:val="21"/>
          <w:szCs w:val="21"/>
          <w:lang w:val="fr-FR"/>
        </w:rPr>
      </w:pPr>
    </w:p>
    <w:p w:rsidR="00EF03E7" w:rsidRPr="00AA613E" w:rsidRDefault="00EF03E7" w:rsidP="00EF03E7">
      <w:pPr>
        <w:pStyle w:val="ListParagraph"/>
        <w:numPr>
          <w:ilvl w:val="0"/>
          <w:numId w:val="18"/>
        </w:numPr>
        <w:spacing w:after="0" w:line="240" w:lineRule="auto"/>
        <w:jc w:val="both"/>
        <w:rPr>
          <w:rFonts w:ascii="Cambria" w:hAnsi="Cambria"/>
          <w:color w:val="000000"/>
          <w:sz w:val="20"/>
          <w:lang w:val="fr-FR"/>
        </w:rPr>
      </w:pPr>
      <w:r w:rsidRPr="00AA613E">
        <w:rPr>
          <w:rFonts w:ascii="Cambria" w:hAnsi="Cambria"/>
          <w:color w:val="000000"/>
          <w:sz w:val="21"/>
          <w:szCs w:val="21"/>
          <w:lang w:val="fr-FR"/>
        </w:rPr>
        <w:t xml:space="preserve">En ce qui concerne les malades de la tuberculose, la cellule contiendrait 56 personnes et disposerait de deux toilettes apparemment non fonctionnelles. Selon les requérants, les détenus </w:t>
      </w:r>
      <w:r w:rsidR="002804AD" w:rsidRPr="00AA613E">
        <w:rPr>
          <w:rFonts w:ascii="Cambria" w:hAnsi="Cambria"/>
          <w:color w:val="000000"/>
          <w:sz w:val="21"/>
          <w:szCs w:val="21"/>
          <w:lang w:val="fr-FR"/>
        </w:rPr>
        <w:t xml:space="preserve">sont confinés </w:t>
      </w:r>
      <w:r w:rsidRPr="00AA613E">
        <w:rPr>
          <w:rFonts w:ascii="Cambria" w:hAnsi="Cambria"/>
          <w:color w:val="000000"/>
          <w:sz w:val="21"/>
          <w:szCs w:val="21"/>
          <w:lang w:val="fr-FR"/>
        </w:rPr>
        <w:t>entre 22 et 23 h par jour dans cette cellule.</w:t>
      </w:r>
    </w:p>
    <w:p w:rsidR="00EF03E7" w:rsidRPr="00AA613E" w:rsidRDefault="00EF03E7" w:rsidP="00EF03E7">
      <w:pPr>
        <w:spacing w:after="0" w:line="240" w:lineRule="auto"/>
        <w:jc w:val="both"/>
        <w:rPr>
          <w:rFonts w:ascii="Cambria" w:hAnsi="Cambria"/>
          <w:color w:val="000000" w:themeColor="text1"/>
          <w:sz w:val="21"/>
          <w:szCs w:val="21"/>
          <w:lang w:val="fr-FR"/>
        </w:rPr>
      </w:pPr>
    </w:p>
    <w:p w:rsidR="003246D4" w:rsidRPr="00AA613E" w:rsidRDefault="003246D4" w:rsidP="00146CFB">
      <w:pPr>
        <w:spacing w:after="0" w:line="240" w:lineRule="auto"/>
        <w:jc w:val="both"/>
        <w:rPr>
          <w:rFonts w:ascii="Cambria" w:hAnsi="Cambria"/>
          <w:color w:val="000000" w:themeColor="text1"/>
          <w:sz w:val="21"/>
          <w:szCs w:val="21"/>
          <w:lang w:val="fr-FR"/>
        </w:rPr>
      </w:pPr>
    </w:p>
    <w:p w:rsidR="0081725E" w:rsidRPr="00AA613E" w:rsidRDefault="00D12C18" w:rsidP="00557C47">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Dans ce contexte, la Commission signale que, selon les données fournies par les requérants, plus de 40 détenus sont décédés depuis le début de l’année 2017, sans que l’État n’ait adopté les mesures visant à garantir leurs droits</w:t>
      </w:r>
      <w:r w:rsidR="00557C47" w:rsidRPr="00AA613E">
        <w:rPr>
          <w:rFonts w:ascii="Cambria" w:hAnsi="Cambria"/>
          <w:color w:val="000000" w:themeColor="text1"/>
          <w:sz w:val="21"/>
          <w:szCs w:val="21"/>
          <w:lang w:val="fr-FR"/>
        </w:rPr>
        <w:t xml:space="preserve">. </w:t>
      </w:r>
      <w:r w:rsidRPr="00AA613E">
        <w:rPr>
          <w:rFonts w:ascii="Cambria" w:hAnsi="Cambria"/>
          <w:color w:val="000000" w:themeColor="text1"/>
          <w:sz w:val="21"/>
          <w:szCs w:val="21"/>
          <w:lang w:val="fr-FR"/>
        </w:rPr>
        <w:t xml:space="preserve">À ce sujet, </w:t>
      </w:r>
      <w:r w:rsidR="00557C47" w:rsidRPr="00AA613E">
        <w:rPr>
          <w:rFonts w:ascii="Cambria" w:hAnsi="Cambria"/>
          <w:color w:val="000000" w:themeColor="text1"/>
          <w:sz w:val="21"/>
          <w:szCs w:val="21"/>
          <w:lang w:val="fr-FR"/>
        </w:rPr>
        <w:t>la Com</w:t>
      </w:r>
      <w:r w:rsidRPr="00AA613E">
        <w:rPr>
          <w:rFonts w:ascii="Cambria" w:hAnsi="Cambria"/>
          <w:color w:val="000000" w:themeColor="text1"/>
          <w:sz w:val="21"/>
          <w:szCs w:val="21"/>
          <w:lang w:val="fr-FR"/>
        </w:rPr>
        <w:t>m</w:t>
      </w:r>
      <w:r w:rsidR="00557C47" w:rsidRPr="00AA613E">
        <w:rPr>
          <w:rFonts w:ascii="Cambria" w:hAnsi="Cambria"/>
          <w:color w:val="000000" w:themeColor="text1"/>
          <w:sz w:val="21"/>
          <w:szCs w:val="21"/>
          <w:lang w:val="fr-FR"/>
        </w:rPr>
        <w:t>is</w:t>
      </w:r>
      <w:r w:rsidRPr="00AA613E">
        <w:rPr>
          <w:rFonts w:ascii="Cambria" w:hAnsi="Cambria"/>
          <w:color w:val="000000" w:themeColor="text1"/>
          <w:sz w:val="21"/>
          <w:szCs w:val="21"/>
          <w:lang w:val="fr-FR"/>
        </w:rPr>
        <w:t>sion prend note des informations communiquées par les requérants concernant la création d’une « Commission présidentielle</w:t>
      </w:r>
      <w:r w:rsidR="000E1A92" w:rsidRPr="00AA613E">
        <w:rPr>
          <w:rFonts w:ascii="Cambria" w:hAnsi="Cambria"/>
          <w:color w:val="000000" w:themeColor="text1"/>
          <w:sz w:val="21"/>
          <w:szCs w:val="21"/>
          <w:lang w:val="fr-FR"/>
        </w:rPr>
        <w:t xml:space="preserve"> </w:t>
      </w:r>
      <w:r w:rsidR="002A55A0">
        <w:rPr>
          <w:rFonts w:ascii="Cambria" w:hAnsi="Cambria"/>
          <w:color w:val="000000" w:themeColor="text1"/>
          <w:sz w:val="21"/>
          <w:szCs w:val="21"/>
          <w:lang w:val="fr-FR"/>
        </w:rPr>
        <w:t xml:space="preserve">pour l’enquête </w:t>
      </w:r>
      <w:r w:rsidR="000E1A92" w:rsidRPr="00AA613E">
        <w:rPr>
          <w:rFonts w:ascii="Cambria" w:hAnsi="Cambria"/>
          <w:color w:val="000000" w:themeColor="text1"/>
          <w:sz w:val="21"/>
          <w:szCs w:val="21"/>
          <w:lang w:val="fr-FR"/>
        </w:rPr>
        <w:t>sur la situation carcérale ». Sans préjudice de ce qui précède</w:t>
      </w:r>
      <w:r w:rsidR="00557C47" w:rsidRPr="00AA613E">
        <w:rPr>
          <w:rFonts w:ascii="Cambria" w:hAnsi="Cambria"/>
          <w:color w:val="000000" w:themeColor="text1"/>
          <w:sz w:val="21"/>
          <w:szCs w:val="21"/>
          <w:lang w:val="fr-FR"/>
        </w:rPr>
        <w:t xml:space="preserve">, </w:t>
      </w:r>
      <w:r w:rsidR="000E1A92" w:rsidRPr="00AA613E">
        <w:rPr>
          <w:rFonts w:ascii="Cambria" w:hAnsi="Cambria"/>
          <w:color w:val="000000" w:themeColor="text1"/>
          <w:sz w:val="21"/>
          <w:szCs w:val="21"/>
          <w:lang w:val="fr-FR"/>
        </w:rPr>
        <w:t xml:space="preserve">l’État n’a, à ce jour, pas répondu à la demande d’informations effectuée le 21 mars 2017 et réitérée le 12 mai 2017. La CIDH ne dispose donc d’aucun élément supplémentaire lui permettant de constater l’efficacité des actions entreprises par ladite </w:t>
      </w:r>
      <w:r w:rsidR="002804AD" w:rsidRPr="00AA613E">
        <w:rPr>
          <w:rFonts w:ascii="Cambria" w:hAnsi="Cambria"/>
          <w:color w:val="000000" w:themeColor="text1"/>
          <w:sz w:val="21"/>
          <w:szCs w:val="21"/>
          <w:lang w:val="fr-FR"/>
        </w:rPr>
        <w:t xml:space="preserve">Commission </w:t>
      </w:r>
      <w:r w:rsidR="000E1A92" w:rsidRPr="00AA613E">
        <w:rPr>
          <w:rFonts w:ascii="Cambria" w:hAnsi="Cambria"/>
          <w:color w:val="000000" w:themeColor="text1"/>
          <w:sz w:val="21"/>
          <w:szCs w:val="21"/>
          <w:lang w:val="fr-FR"/>
        </w:rPr>
        <w:t>présidentielle</w:t>
      </w:r>
      <w:r w:rsidR="00557C47" w:rsidRPr="00AA613E">
        <w:rPr>
          <w:rFonts w:ascii="Cambria" w:hAnsi="Cambria"/>
          <w:color w:val="000000" w:themeColor="text1"/>
          <w:sz w:val="21"/>
          <w:szCs w:val="21"/>
          <w:lang w:val="fr-FR"/>
        </w:rPr>
        <w:t xml:space="preserve">. </w:t>
      </w:r>
      <w:r w:rsidR="000E1A92" w:rsidRPr="00AA613E">
        <w:rPr>
          <w:rFonts w:ascii="Cambria" w:hAnsi="Cambria"/>
          <w:color w:val="000000" w:themeColor="text1"/>
          <w:sz w:val="21"/>
          <w:szCs w:val="21"/>
          <w:lang w:val="fr-FR"/>
        </w:rPr>
        <w:t xml:space="preserve">Sur ce point, bien que l’absence de réponse de la part d’un État ne constitue pas un motif suffisant pour l’octroi d’une mesure conservatoire, elle représente en revanche un obstacle lors </w:t>
      </w:r>
      <w:r w:rsidR="00E161B6" w:rsidRPr="00AA613E">
        <w:rPr>
          <w:rFonts w:ascii="Cambria" w:hAnsi="Cambria"/>
          <w:color w:val="000000" w:themeColor="text1"/>
          <w:sz w:val="21"/>
          <w:szCs w:val="21"/>
          <w:lang w:val="fr-FR"/>
        </w:rPr>
        <w:t>de l’évaluation de la rapidité d’intervention des autorités compétentes et des modalités d’adoption des mesures pertinentes visant à tenir compte de la situation des bénéficiaires proposés</w:t>
      </w:r>
      <w:r w:rsidR="007A6C70" w:rsidRPr="00AA613E">
        <w:rPr>
          <w:rFonts w:ascii="Cambria" w:hAnsi="Cambria"/>
          <w:color w:val="000000" w:themeColor="text1"/>
          <w:sz w:val="21"/>
          <w:szCs w:val="21"/>
          <w:lang w:val="fr-FR"/>
        </w:rPr>
        <w:t>.</w:t>
      </w:r>
    </w:p>
    <w:p w:rsidR="007A6C70" w:rsidRPr="00AA613E" w:rsidRDefault="007A6C70" w:rsidP="007A6C70">
      <w:pPr>
        <w:pStyle w:val="ListParagraph"/>
        <w:spacing w:after="0" w:line="240" w:lineRule="auto"/>
        <w:ind w:left="360"/>
        <w:jc w:val="both"/>
        <w:rPr>
          <w:rFonts w:ascii="Cambria" w:hAnsi="Cambria"/>
          <w:color w:val="000000" w:themeColor="text1"/>
          <w:sz w:val="21"/>
          <w:szCs w:val="21"/>
          <w:lang w:val="fr-FR"/>
        </w:rPr>
      </w:pPr>
    </w:p>
    <w:p w:rsidR="007A6C70" w:rsidRPr="00AA613E" w:rsidRDefault="007A6C70" w:rsidP="00557C47">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La</w:t>
      </w:r>
      <w:r w:rsidR="00CE2C80" w:rsidRPr="00AA613E">
        <w:rPr>
          <w:rFonts w:ascii="Cambria" w:hAnsi="Cambria"/>
          <w:color w:val="000000" w:themeColor="text1"/>
          <w:sz w:val="21"/>
          <w:szCs w:val="21"/>
          <w:lang w:val="fr-FR"/>
        </w:rPr>
        <w:t xml:space="preserve"> Commission rappelle que les États se trouvent dans une position spéciale de garant</w:t>
      </w:r>
      <w:r w:rsidR="00CE4B7C" w:rsidRPr="00AA613E">
        <w:rPr>
          <w:rFonts w:ascii="Cambria" w:hAnsi="Cambria"/>
          <w:color w:val="000000" w:themeColor="text1"/>
          <w:sz w:val="21"/>
          <w:szCs w:val="21"/>
          <w:lang w:val="fr-FR"/>
        </w:rPr>
        <w:t>s</w:t>
      </w:r>
      <w:r w:rsidRPr="00AA613E">
        <w:rPr>
          <w:rFonts w:ascii="Cambria" w:hAnsi="Cambria"/>
          <w:color w:val="000000" w:themeColor="text1"/>
          <w:sz w:val="21"/>
          <w:szCs w:val="21"/>
          <w:lang w:val="fr-FR"/>
        </w:rPr>
        <w:t xml:space="preserve"> </w:t>
      </w:r>
      <w:r w:rsidR="00CE2C80" w:rsidRPr="00AA613E">
        <w:rPr>
          <w:rFonts w:ascii="Cambria" w:hAnsi="Cambria"/>
          <w:color w:val="000000" w:themeColor="text1"/>
          <w:sz w:val="21"/>
          <w:szCs w:val="21"/>
          <w:lang w:val="fr-FR"/>
        </w:rPr>
        <w:t xml:space="preserve">dans </w:t>
      </w:r>
      <w:r w:rsidR="003E7AD0" w:rsidRPr="00AA613E">
        <w:rPr>
          <w:rFonts w:ascii="Cambria" w:hAnsi="Cambria"/>
          <w:color w:val="000000" w:themeColor="text1"/>
          <w:sz w:val="21"/>
          <w:szCs w:val="21"/>
          <w:lang w:val="fr-FR"/>
        </w:rPr>
        <w:t xml:space="preserve">la mesure où les autorités pénitentiaires exercent un fort contrôle ou pouvoir sur les personnes qui sont </w:t>
      </w:r>
      <w:r w:rsidR="00FF47E9" w:rsidRPr="00AA613E">
        <w:rPr>
          <w:rFonts w:ascii="Cambria" w:hAnsi="Cambria"/>
          <w:color w:val="000000" w:themeColor="text1"/>
          <w:sz w:val="21"/>
          <w:szCs w:val="21"/>
          <w:lang w:val="fr-FR"/>
        </w:rPr>
        <w:t xml:space="preserve">placées sous </w:t>
      </w:r>
      <w:r w:rsidR="003E7AD0" w:rsidRPr="00AA613E">
        <w:rPr>
          <w:rFonts w:ascii="Cambria" w:hAnsi="Cambria"/>
          <w:color w:val="000000" w:themeColor="text1"/>
          <w:sz w:val="21"/>
          <w:szCs w:val="21"/>
          <w:lang w:val="fr-FR"/>
        </w:rPr>
        <w:t>leur garde</w:t>
      </w:r>
      <w:r w:rsidRPr="00AA613E">
        <w:rPr>
          <w:rFonts w:ascii="Cambria" w:hAnsi="Cambria"/>
          <w:color w:val="000000" w:themeColor="text1"/>
          <w:sz w:val="21"/>
          <w:szCs w:val="21"/>
          <w:lang w:val="fr-FR"/>
        </w:rPr>
        <w:t xml:space="preserve">. </w:t>
      </w:r>
      <w:r w:rsidR="00F15EF9" w:rsidRPr="00AA613E">
        <w:rPr>
          <w:rFonts w:ascii="Cambria" w:hAnsi="Cambria"/>
          <w:color w:val="000000" w:themeColor="text1"/>
          <w:sz w:val="21"/>
          <w:szCs w:val="21"/>
          <w:lang w:val="fr-FR"/>
        </w:rPr>
        <w:t>Cela s’explique par</w:t>
      </w:r>
      <w:r w:rsidR="00CE4B7C" w:rsidRPr="00AA613E">
        <w:rPr>
          <w:rFonts w:ascii="Cambria" w:hAnsi="Cambria"/>
          <w:color w:val="000000" w:themeColor="text1"/>
          <w:sz w:val="21"/>
          <w:szCs w:val="21"/>
          <w:lang w:val="fr-FR"/>
        </w:rPr>
        <w:t xml:space="preserve"> la relation </w:t>
      </w:r>
      <w:r w:rsidR="00F15EF9" w:rsidRPr="00AA613E">
        <w:rPr>
          <w:rFonts w:ascii="Cambria" w:hAnsi="Cambria"/>
          <w:color w:val="000000" w:themeColor="text1"/>
          <w:sz w:val="21"/>
          <w:szCs w:val="21"/>
          <w:lang w:val="fr-FR"/>
        </w:rPr>
        <w:t>d’assujettissement et</w:t>
      </w:r>
      <w:r w:rsidR="00CE4B7C" w:rsidRPr="00AA613E">
        <w:rPr>
          <w:rFonts w:ascii="Cambria" w:hAnsi="Cambria"/>
          <w:color w:val="000000" w:themeColor="text1"/>
          <w:sz w:val="21"/>
          <w:szCs w:val="21"/>
          <w:lang w:val="fr-FR"/>
        </w:rPr>
        <w:t xml:space="preserve"> l’interaction </w:t>
      </w:r>
      <w:r w:rsidR="00F15EF9" w:rsidRPr="00AA613E">
        <w:rPr>
          <w:rFonts w:ascii="Cambria" w:hAnsi="Cambria"/>
          <w:color w:val="000000" w:themeColor="text1"/>
          <w:sz w:val="21"/>
          <w:szCs w:val="21"/>
          <w:lang w:val="fr-FR"/>
        </w:rPr>
        <w:t>spéciale entre la personne privée de liberté et l’État,</w:t>
      </w:r>
      <w:r w:rsidR="00CE4B7C" w:rsidRPr="00AA613E">
        <w:rPr>
          <w:rFonts w:ascii="Cambria" w:hAnsi="Cambria"/>
          <w:color w:val="000000" w:themeColor="text1"/>
          <w:sz w:val="21"/>
          <w:szCs w:val="21"/>
          <w:lang w:val="fr-FR"/>
        </w:rPr>
        <w:t xml:space="preserve"> </w:t>
      </w:r>
      <w:r w:rsidR="00F15EF9" w:rsidRPr="00AA613E">
        <w:rPr>
          <w:rFonts w:ascii="Cambria" w:hAnsi="Cambria"/>
          <w:color w:val="000000" w:themeColor="text1"/>
          <w:sz w:val="21"/>
          <w:szCs w:val="21"/>
          <w:lang w:val="fr-FR"/>
        </w:rPr>
        <w:t xml:space="preserve">se caractérisant par l’intensité particulière avec laquelle l’État peut contrôler ses droits et obligations </w:t>
      </w:r>
      <w:r w:rsidRPr="00AA613E">
        <w:rPr>
          <w:rFonts w:ascii="Cambria" w:hAnsi="Cambria"/>
          <w:color w:val="000000" w:themeColor="text1"/>
          <w:sz w:val="21"/>
          <w:szCs w:val="21"/>
          <w:lang w:val="fr-FR"/>
        </w:rPr>
        <w:t>[…]</w:t>
      </w:r>
      <w:r w:rsidR="00F15EF9" w:rsidRPr="00AA613E">
        <w:rPr>
          <w:rFonts w:ascii="Cambria" w:hAnsi="Cambria"/>
          <w:color w:val="000000" w:themeColor="text1"/>
          <w:sz w:val="21"/>
          <w:szCs w:val="21"/>
          <w:lang w:val="fr-FR"/>
        </w:rPr>
        <w:t xml:space="preserve">, par les conditions de réclusion, dans le cadre desquelles le détenu est empêché de satisfaire </w:t>
      </w:r>
      <w:r w:rsidR="00C044C3" w:rsidRPr="00AA613E">
        <w:rPr>
          <w:rFonts w:ascii="Cambria" w:hAnsi="Cambria"/>
          <w:color w:val="000000" w:themeColor="text1"/>
          <w:sz w:val="21"/>
          <w:szCs w:val="21"/>
          <w:lang w:val="fr-FR"/>
        </w:rPr>
        <w:t>par lui-m</w:t>
      </w:r>
      <w:r w:rsidR="00890C79" w:rsidRPr="00AA613E">
        <w:rPr>
          <w:rFonts w:ascii="Cambria" w:hAnsi="Cambria"/>
          <w:color w:val="000000" w:themeColor="text1"/>
          <w:sz w:val="21"/>
          <w:szCs w:val="21"/>
          <w:lang w:val="fr-FR"/>
        </w:rPr>
        <w:t xml:space="preserve">ême </w:t>
      </w:r>
      <w:r w:rsidR="00C044C3" w:rsidRPr="00AA613E">
        <w:rPr>
          <w:rFonts w:ascii="Cambria" w:hAnsi="Cambria"/>
          <w:color w:val="000000" w:themeColor="text1"/>
          <w:sz w:val="21"/>
          <w:szCs w:val="21"/>
          <w:lang w:val="fr-FR"/>
        </w:rPr>
        <w:t>une série de besoins fondamentaux, essentiels au déroulement d’une vie digne</w:t>
      </w:r>
      <w:r w:rsidRPr="00AA613E">
        <w:rPr>
          <w:rFonts w:ascii="Cambria" w:hAnsi="Cambria"/>
          <w:color w:val="000000" w:themeColor="text1"/>
          <w:sz w:val="21"/>
          <w:szCs w:val="21"/>
          <w:vertAlign w:val="superscript"/>
          <w:lang w:val="fr-FR"/>
        </w:rPr>
        <w:footnoteReference w:id="17"/>
      </w:r>
      <w:r w:rsidR="00D75C0C" w:rsidRPr="00AA613E">
        <w:rPr>
          <w:rFonts w:ascii="Cambria" w:hAnsi="Cambria"/>
          <w:color w:val="000000" w:themeColor="text1"/>
          <w:sz w:val="21"/>
          <w:szCs w:val="21"/>
          <w:lang w:val="fr-FR"/>
        </w:rPr>
        <w:t>.</w:t>
      </w:r>
    </w:p>
    <w:p w:rsidR="007A6C70" w:rsidRPr="00AA613E" w:rsidRDefault="007A6C70" w:rsidP="007A6C70">
      <w:pPr>
        <w:pStyle w:val="ListParagraph"/>
        <w:spacing w:after="0" w:line="240" w:lineRule="auto"/>
        <w:ind w:left="360"/>
        <w:jc w:val="both"/>
        <w:rPr>
          <w:rFonts w:ascii="Cambria" w:hAnsi="Cambria"/>
          <w:color w:val="000000" w:themeColor="text1"/>
          <w:sz w:val="21"/>
          <w:szCs w:val="21"/>
          <w:lang w:val="fr-FR"/>
        </w:rPr>
      </w:pPr>
    </w:p>
    <w:p w:rsidR="00557C47" w:rsidRPr="00AA613E" w:rsidRDefault="003E7AD0" w:rsidP="007A6C70">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Prenant en compte les caractéristiques de la présente affaire et le contexte particulier dans lequel elle se déroule, la CIDH estime qu’il a été établi </w:t>
      </w:r>
      <w:r w:rsidR="007A6C70" w:rsidRPr="00AA613E">
        <w:rPr>
          <w:rFonts w:ascii="Cambria" w:hAnsi="Cambria"/>
          <w:i/>
          <w:color w:val="000000" w:themeColor="text1"/>
          <w:sz w:val="21"/>
          <w:szCs w:val="21"/>
          <w:lang w:val="fr-FR"/>
        </w:rPr>
        <w:t xml:space="preserve">prima </w:t>
      </w:r>
      <w:proofErr w:type="spellStart"/>
      <w:r w:rsidR="007A6C70" w:rsidRPr="00AA613E">
        <w:rPr>
          <w:rFonts w:ascii="Cambria" w:hAnsi="Cambria"/>
          <w:i/>
          <w:color w:val="000000" w:themeColor="text1"/>
          <w:sz w:val="21"/>
          <w:szCs w:val="21"/>
          <w:lang w:val="fr-FR"/>
        </w:rPr>
        <w:t>facie</w:t>
      </w:r>
      <w:proofErr w:type="spellEnd"/>
      <w:r w:rsidR="007A6C70" w:rsidRPr="00AA613E">
        <w:rPr>
          <w:rFonts w:ascii="Cambria" w:hAnsi="Cambria"/>
          <w:color w:val="000000" w:themeColor="text1"/>
          <w:sz w:val="21"/>
          <w:szCs w:val="21"/>
          <w:lang w:val="fr-FR"/>
        </w:rPr>
        <w:t xml:space="preserve"> </w:t>
      </w:r>
      <w:r w:rsidRPr="00AA613E">
        <w:rPr>
          <w:rFonts w:ascii="Cambria" w:hAnsi="Cambria"/>
          <w:color w:val="000000" w:themeColor="text1"/>
          <w:sz w:val="21"/>
          <w:szCs w:val="21"/>
          <w:lang w:val="fr-FR"/>
        </w:rPr>
        <w:t xml:space="preserve">que les droits à la vie et à l’intégrité personnelle des personnes privées de liberté </w:t>
      </w:r>
      <w:r w:rsidR="00780A34" w:rsidRPr="00AA613E">
        <w:rPr>
          <w:rFonts w:ascii="Cambria" w:hAnsi="Cambria"/>
          <w:color w:val="000000" w:themeColor="text1"/>
          <w:sz w:val="21"/>
          <w:szCs w:val="21"/>
          <w:lang w:val="fr-FR"/>
        </w:rPr>
        <w:t>dans le</w:t>
      </w:r>
      <w:r w:rsidRPr="00AA613E">
        <w:rPr>
          <w:rFonts w:ascii="Cambria" w:hAnsi="Cambria"/>
          <w:color w:val="000000" w:themeColor="text1"/>
          <w:sz w:val="21"/>
          <w:szCs w:val="21"/>
          <w:lang w:val="fr-FR"/>
        </w:rPr>
        <w:t xml:space="preserve"> pénitencier national de Port-au-Prince sont gravement menacés</w:t>
      </w:r>
      <w:r w:rsidR="007A6C70" w:rsidRPr="00AA613E">
        <w:rPr>
          <w:rFonts w:ascii="Cambria" w:hAnsi="Cambria"/>
          <w:color w:val="000000" w:themeColor="text1"/>
          <w:sz w:val="21"/>
          <w:szCs w:val="21"/>
          <w:lang w:val="fr-FR"/>
        </w:rPr>
        <w:t>.</w:t>
      </w:r>
    </w:p>
    <w:p w:rsidR="007A6C70" w:rsidRPr="00AA613E" w:rsidRDefault="007A6C70" w:rsidP="007A6C70">
      <w:pPr>
        <w:pStyle w:val="ListParagraph"/>
        <w:spacing w:after="0" w:line="240" w:lineRule="auto"/>
        <w:ind w:left="360"/>
        <w:jc w:val="both"/>
        <w:rPr>
          <w:rFonts w:ascii="Cambria" w:hAnsi="Cambria"/>
          <w:color w:val="000000" w:themeColor="text1"/>
          <w:sz w:val="21"/>
          <w:szCs w:val="21"/>
          <w:lang w:val="fr-FR"/>
        </w:rPr>
      </w:pPr>
    </w:p>
    <w:p w:rsidR="007A6C70" w:rsidRPr="00AA613E" w:rsidRDefault="003E7AD0" w:rsidP="007A6C70">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La Commission estime que la condition d’urgence est remplie dans la mesure où</w:t>
      </w:r>
      <w:r w:rsidR="008938D9" w:rsidRPr="00AA613E">
        <w:rPr>
          <w:rFonts w:ascii="Cambria" w:hAnsi="Cambria"/>
          <w:color w:val="000000" w:themeColor="text1"/>
          <w:sz w:val="21"/>
          <w:szCs w:val="21"/>
          <w:lang w:val="fr-FR"/>
        </w:rPr>
        <w:t>, d’une part,</w:t>
      </w:r>
      <w:r w:rsidRPr="00AA613E">
        <w:rPr>
          <w:rFonts w:ascii="Cambria" w:hAnsi="Cambria"/>
          <w:color w:val="000000" w:themeColor="text1"/>
          <w:sz w:val="21"/>
          <w:szCs w:val="21"/>
          <w:lang w:val="fr-FR"/>
        </w:rPr>
        <w:t xml:space="preserve"> </w:t>
      </w:r>
      <w:r w:rsidR="008938D9" w:rsidRPr="00AA613E">
        <w:rPr>
          <w:rFonts w:ascii="Cambria" w:hAnsi="Cambria"/>
          <w:color w:val="000000" w:themeColor="text1"/>
          <w:sz w:val="21"/>
          <w:szCs w:val="21"/>
          <w:lang w:val="fr-FR"/>
        </w:rPr>
        <w:t>les informations fournies dans le ca</w:t>
      </w:r>
      <w:r w:rsidR="00895B8C" w:rsidRPr="00AA613E">
        <w:rPr>
          <w:rFonts w:ascii="Cambria" w:hAnsi="Cambria"/>
          <w:color w:val="000000" w:themeColor="text1"/>
          <w:sz w:val="21"/>
          <w:szCs w:val="21"/>
          <w:lang w:val="fr-FR"/>
        </w:rPr>
        <w:t>dre de la procédure permettent de déterminer que</w:t>
      </w:r>
      <w:r w:rsidR="008938D9" w:rsidRPr="00AA613E">
        <w:rPr>
          <w:rFonts w:ascii="Cambria" w:hAnsi="Cambria"/>
          <w:color w:val="000000" w:themeColor="text1"/>
          <w:sz w:val="21"/>
          <w:szCs w:val="21"/>
          <w:lang w:val="fr-FR"/>
        </w:rPr>
        <w:t xml:space="preserve"> la situation de risque </w:t>
      </w:r>
      <w:r w:rsidR="00895B8C" w:rsidRPr="00AA613E">
        <w:rPr>
          <w:rFonts w:ascii="Cambria" w:hAnsi="Cambria"/>
          <w:color w:val="000000" w:themeColor="text1"/>
          <w:sz w:val="21"/>
          <w:szCs w:val="21"/>
          <w:lang w:val="fr-FR"/>
        </w:rPr>
        <w:t xml:space="preserve">se poursuit aujourd’hui dans ses manifestations les plus </w:t>
      </w:r>
      <w:r w:rsidR="00DB0041" w:rsidRPr="00AA613E">
        <w:rPr>
          <w:rFonts w:ascii="Cambria" w:hAnsi="Cambria"/>
          <w:color w:val="000000" w:themeColor="text1"/>
          <w:sz w:val="21"/>
          <w:szCs w:val="21"/>
          <w:lang w:val="fr-FR"/>
        </w:rPr>
        <w:t xml:space="preserve">diverses et où, d’autre part, l’absence présumée de mesures de protection de la part des autorités compétences, laquelle placerait les </w:t>
      </w:r>
      <w:r w:rsidR="00DB0041" w:rsidRPr="00AA613E">
        <w:rPr>
          <w:rFonts w:ascii="Cambria" w:hAnsi="Cambria"/>
          <w:color w:val="000000" w:themeColor="text1"/>
          <w:sz w:val="21"/>
          <w:szCs w:val="21"/>
          <w:lang w:val="fr-FR"/>
        </w:rPr>
        <w:lastRenderedPageBreak/>
        <w:t>bénéficiaires proposés dans une situation de plus grande vulnérabilité,</w:t>
      </w:r>
      <w:r w:rsidR="004D3ADE" w:rsidRPr="00AA613E">
        <w:rPr>
          <w:rFonts w:ascii="Cambria" w:hAnsi="Cambria"/>
          <w:color w:val="000000" w:themeColor="text1"/>
          <w:sz w:val="21"/>
          <w:szCs w:val="21"/>
          <w:lang w:val="fr-FR"/>
        </w:rPr>
        <w:t xml:space="preserve"> nécessite de toute urgence l’adoption de</w:t>
      </w:r>
      <w:r w:rsidR="00780A34" w:rsidRPr="00AA613E">
        <w:rPr>
          <w:rFonts w:ascii="Cambria" w:hAnsi="Cambria"/>
          <w:color w:val="000000" w:themeColor="text1"/>
          <w:sz w:val="21"/>
          <w:szCs w:val="21"/>
          <w:lang w:val="fr-FR"/>
        </w:rPr>
        <w:t xml:space="preserve"> telles</w:t>
      </w:r>
      <w:r w:rsidR="004D3ADE" w:rsidRPr="00AA613E">
        <w:rPr>
          <w:rFonts w:ascii="Cambria" w:hAnsi="Cambria"/>
          <w:color w:val="000000" w:themeColor="text1"/>
          <w:sz w:val="21"/>
          <w:szCs w:val="21"/>
          <w:lang w:val="fr-FR"/>
        </w:rPr>
        <w:t xml:space="preserve"> mesures</w:t>
      </w:r>
      <w:r w:rsidR="00F04469" w:rsidRPr="00AA613E">
        <w:rPr>
          <w:rFonts w:ascii="Cambria" w:hAnsi="Cambria"/>
          <w:color w:val="000000" w:themeColor="text1"/>
          <w:sz w:val="21"/>
          <w:szCs w:val="21"/>
          <w:lang w:val="fr-FR"/>
        </w:rPr>
        <w:t xml:space="preserve">. </w:t>
      </w:r>
      <w:r w:rsidR="00A205DC" w:rsidRPr="00AA613E">
        <w:rPr>
          <w:rFonts w:ascii="Cambria" w:hAnsi="Cambria"/>
          <w:color w:val="000000" w:themeColor="text1"/>
          <w:sz w:val="21"/>
          <w:szCs w:val="21"/>
          <w:lang w:val="fr-FR"/>
        </w:rPr>
        <w:t>L</w:t>
      </w:r>
      <w:r w:rsidR="00F04469" w:rsidRPr="00AA613E">
        <w:rPr>
          <w:rFonts w:ascii="Cambria" w:hAnsi="Cambria"/>
          <w:color w:val="000000" w:themeColor="text1"/>
          <w:sz w:val="21"/>
          <w:szCs w:val="21"/>
          <w:lang w:val="fr-FR"/>
        </w:rPr>
        <w:t xml:space="preserve">a </w:t>
      </w:r>
      <w:r w:rsidR="008938D9" w:rsidRPr="00AA613E">
        <w:rPr>
          <w:rFonts w:ascii="Cambria" w:hAnsi="Cambria"/>
          <w:color w:val="000000" w:themeColor="text1"/>
          <w:sz w:val="21"/>
          <w:szCs w:val="21"/>
          <w:lang w:val="fr-FR"/>
        </w:rPr>
        <w:t xml:space="preserve">Commission ne dispose pas d’informations sur les actions qui auraient été mises en œuvre afin de prévenir toute atteinte </w:t>
      </w:r>
      <w:r w:rsidR="00895B8C" w:rsidRPr="00AA613E">
        <w:rPr>
          <w:rFonts w:ascii="Cambria" w:hAnsi="Cambria"/>
          <w:color w:val="000000" w:themeColor="text1"/>
          <w:sz w:val="21"/>
          <w:szCs w:val="21"/>
          <w:lang w:val="fr-FR"/>
        </w:rPr>
        <w:t xml:space="preserve">irréparable aux droits à la vie et à l’intégrité personnelle, compte tenu en particulier du dernier rapport des requérants, selon lequel de nouveaux décès se seraient </w:t>
      </w:r>
      <w:r w:rsidR="004D3ADE" w:rsidRPr="00AA613E">
        <w:rPr>
          <w:rFonts w:ascii="Cambria" w:hAnsi="Cambria"/>
          <w:color w:val="000000" w:themeColor="text1"/>
          <w:sz w:val="21"/>
          <w:szCs w:val="21"/>
          <w:lang w:val="fr-FR"/>
        </w:rPr>
        <w:t>produits ces dernières semaines</w:t>
      </w:r>
      <w:r w:rsidR="00895B8C" w:rsidRPr="00AA613E">
        <w:rPr>
          <w:rFonts w:ascii="Cambria" w:hAnsi="Cambria"/>
          <w:color w:val="000000" w:themeColor="text1"/>
          <w:sz w:val="21"/>
          <w:szCs w:val="21"/>
          <w:lang w:val="fr-FR"/>
        </w:rPr>
        <w:t>.</w:t>
      </w:r>
    </w:p>
    <w:p w:rsidR="00F04469" w:rsidRPr="00AA613E" w:rsidRDefault="00F04469" w:rsidP="00F04469">
      <w:pPr>
        <w:pStyle w:val="ListParagraph"/>
        <w:spacing w:after="0" w:line="240" w:lineRule="auto"/>
        <w:ind w:left="360"/>
        <w:jc w:val="both"/>
        <w:rPr>
          <w:rFonts w:ascii="Cambria" w:hAnsi="Cambria"/>
          <w:color w:val="000000" w:themeColor="text1"/>
          <w:sz w:val="21"/>
          <w:szCs w:val="21"/>
          <w:lang w:val="fr-FR"/>
        </w:rPr>
      </w:pPr>
    </w:p>
    <w:p w:rsidR="00F04469" w:rsidRPr="00AA613E" w:rsidRDefault="003E7AD0" w:rsidP="007A6C70">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La Commission estime que la condition de dommage irréparable est remplie dans la mesure où la possible violation du droit à la vie et à l’intégrité personnelle constitue la situation extrême en la matière</w:t>
      </w:r>
      <w:r w:rsidR="00A47CE1" w:rsidRPr="00AA613E">
        <w:rPr>
          <w:rFonts w:ascii="Cambria" w:hAnsi="Cambria"/>
          <w:color w:val="000000" w:themeColor="text1"/>
          <w:sz w:val="21"/>
          <w:szCs w:val="21"/>
          <w:lang w:val="fr-FR"/>
        </w:rPr>
        <w:t>.</w:t>
      </w:r>
    </w:p>
    <w:p w:rsidR="00557C47" w:rsidRPr="00AA613E" w:rsidRDefault="00557C47" w:rsidP="009D2768">
      <w:pPr>
        <w:spacing w:after="0" w:line="240" w:lineRule="auto"/>
        <w:jc w:val="both"/>
        <w:rPr>
          <w:rFonts w:ascii="Cambria" w:hAnsi="Cambria"/>
          <w:color w:val="000000" w:themeColor="text1"/>
          <w:sz w:val="21"/>
          <w:szCs w:val="21"/>
          <w:lang w:val="fr-FR"/>
        </w:rPr>
      </w:pPr>
    </w:p>
    <w:p w:rsidR="0081725E" w:rsidRPr="00AA613E" w:rsidRDefault="003E7AD0" w:rsidP="003246D4">
      <w:pPr>
        <w:pStyle w:val="ListParagraph"/>
        <w:numPr>
          <w:ilvl w:val="0"/>
          <w:numId w:val="30"/>
        </w:numPr>
        <w:spacing w:after="0" w:line="240" w:lineRule="auto"/>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À propos de l’hôpital général de Port-au-Prince</w:t>
      </w:r>
    </w:p>
    <w:p w:rsidR="00A47CE1" w:rsidRPr="00AA613E" w:rsidRDefault="00A47CE1" w:rsidP="00A47CE1">
      <w:pPr>
        <w:spacing w:after="0" w:line="240" w:lineRule="auto"/>
        <w:jc w:val="both"/>
        <w:rPr>
          <w:rFonts w:ascii="Cambria" w:hAnsi="Cambria"/>
          <w:color w:val="000000" w:themeColor="text1"/>
          <w:sz w:val="21"/>
          <w:szCs w:val="21"/>
          <w:lang w:val="fr-FR"/>
        </w:rPr>
      </w:pPr>
    </w:p>
    <w:p w:rsidR="00A30509" w:rsidRPr="00AA613E" w:rsidRDefault="00780A34" w:rsidP="00A47CE1">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Les requérants ont demandé l’adoption de mesures conservatoires en faveur des personnes privées de liberté dans </w:t>
      </w:r>
      <w:r w:rsidR="00BD1824" w:rsidRPr="00AA613E">
        <w:rPr>
          <w:rFonts w:ascii="Cambria" w:hAnsi="Cambria"/>
          <w:color w:val="000000" w:themeColor="text1"/>
          <w:sz w:val="21"/>
          <w:szCs w:val="21"/>
          <w:lang w:val="fr-FR"/>
        </w:rPr>
        <w:t>l’hôpital général de Port-au-Prince, compte tenu des défaillances alléguées en matière de soins de santé et des conditions présumées de détention</w:t>
      </w:r>
      <w:r w:rsidR="00A47CE1" w:rsidRPr="00AA613E">
        <w:rPr>
          <w:rFonts w:ascii="Cambria" w:hAnsi="Cambria"/>
          <w:color w:val="000000" w:themeColor="text1"/>
          <w:sz w:val="21"/>
          <w:szCs w:val="21"/>
          <w:lang w:val="fr-FR"/>
        </w:rPr>
        <w:t xml:space="preserve">. </w:t>
      </w:r>
      <w:r w:rsidR="00A30509" w:rsidRPr="00AA613E">
        <w:rPr>
          <w:rFonts w:ascii="Cambria" w:hAnsi="Cambria"/>
          <w:color w:val="000000" w:themeColor="text1"/>
          <w:sz w:val="21"/>
          <w:szCs w:val="21"/>
          <w:lang w:val="fr-FR"/>
        </w:rPr>
        <w:t xml:space="preserve">La </w:t>
      </w:r>
      <w:r w:rsidR="00FD75DC" w:rsidRPr="00AA613E">
        <w:rPr>
          <w:rFonts w:ascii="Cambria" w:hAnsi="Cambria"/>
          <w:color w:val="000000" w:themeColor="text1"/>
          <w:sz w:val="21"/>
          <w:szCs w:val="21"/>
          <w:lang w:val="fr-FR"/>
        </w:rPr>
        <w:t xml:space="preserve">Commission analysera </w:t>
      </w:r>
      <w:r w:rsidR="003B6D2A" w:rsidRPr="00AA613E">
        <w:rPr>
          <w:rFonts w:ascii="Cambria" w:hAnsi="Cambria"/>
          <w:color w:val="000000" w:themeColor="text1"/>
          <w:sz w:val="21"/>
          <w:szCs w:val="21"/>
          <w:lang w:val="fr-FR"/>
        </w:rPr>
        <w:t>ensuite</w:t>
      </w:r>
      <w:r w:rsidR="00FD75DC" w:rsidRPr="00AA613E">
        <w:rPr>
          <w:rFonts w:ascii="Cambria" w:hAnsi="Cambria"/>
          <w:color w:val="000000" w:themeColor="text1"/>
          <w:sz w:val="21"/>
          <w:szCs w:val="21"/>
          <w:lang w:val="fr-FR"/>
        </w:rPr>
        <w:t xml:space="preserve"> les faits </w:t>
      </w:r>
      <w:r w:rsidR="003B6D2A" w:rsidRPr="00AA613E">
        <w:rPr>
          <w:rFonts w:ascii="Cambria" w:hAnsi="Cambria"/>
          <w:color w:val="000000" w:themeColor="text1"/>
          <w:sz w:val="21"/>
          <w:szCs w:val="21"/>
          <w:lang w:val="fr-FR"/>
        </w:rPr>
        <w:t>présumés, générateurs de risques, communiqués par les requérants</w:t>
      </w:r>
      <w:r w:rsidR="00A30509" w:rsidRPr="00AA613E">
        <w:rPr>
          <w:rFonts w:ascii="Cambria" w:hAnsi="Cambria"/>
          <w:color w:val="000000" w:themeColor="text1"/>
          <w:sz w:val="21"/>
          <w:szCs w:val="21"/>
          <w:lang w:val="fr-FR"/>
        </w:rPr>
        <w:t>.</w:t>
      </w:r>
    </w:p>
    <w:p w:rsidR="00A30509" w:rsidRPr="00AA613E" w:rsidRDefault="00A30509" w:rsidP="004262C7">
      <w:pPr>
        <w:pStyle w:val="ListParagraph"/>
        <w:spacing w:after="0" w:line="240" w:lineRule="auto"/>
        <w:ind w:left="360"/>
        <w:jc w:val="both"/>
        <w:rPr>
          <w:rFonts w:ascii="Cambria" w:hAnsi="Cambria"/>
          <w:color w:val="000000" w:themeColor="text1"/>
          <w:sz w:val="21"/>
          <w:szCs w:val="21"/>
          <w:lang w:val="fr-FR"/>
        </w:rPr>
      </w:pPr>
    </w:p>
    <w:p w:rsidR="00A30509" w:rsidRPr="00AA613E" w:rsidRDefault="00060886" w:rsidP="00A30509">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Tout d’abord, en ce qui concerne les cinq détenus qui auraient été transférés à l’hôpital à une date indéterminée, la Commission note que les requérants ont initialement indiqué avoir constaté la présence de deux détenus seulement lors d’une visite effectuée en février 2017. P</w:t>
      </w:r>
      <w:r w:rsidR="00C02C6C" w:rsidRPr="00AA613E">
        <w:rPr>
          <w:rFonts w:ascii="Cambria" w:hAnsi="Cambria"/>
          <w:color w:val="000000" w:themeColor="text1"/>
          <w:sz w:val="21"/>
          <w:szCs w:val="21"/>
          <w:lang w:val="fr-FR"/>
        </w:rPr>
        <w:t>ar la suite, ils ont signalé qu’ils avaient été informés</w:t>
      </w:r>
      <w:r w:rsidRPr="00AA613E">
        <w:rPr>
          <w:rFonts w:ascii="Cambria" w:hAnsi="Cambria"/>
          <w:color w:val="000000" w:themeColor="text1"/>
          <w:sz w:val="21"/>
          <w:szCs w:val="21"/>
          <w:lang w:val="fr-FR"/>
        </w:rPr>
        <w:t>, lors d’une seconde visite</w:t>
      </w:r>
      <w:r w:rsidR="00C02C6C" w:rsidRPr="00AA613E">
        <w:rPr>
          <w:rFonts w:ascii="Cambria" w:hAnsi="Cambria"/>
          <w:color w:val="000000" w:themeColor="text1"/>
          <w:sz w:val="21"/>
          <w:szCs w:val="21"/>
          <w:lang w:val="fr-FR"/>
        </w:rPr>
        <w:t xml:space="preserve"> effectuée en mars 2017, du transfert d’au moins six détenus depuis février 2017 </w:t>
      </w:r>
      <w:r w:rsidR="00C85C56" w:rsidRPr="00AA613E">
        <w:rPr>
          <w:rFonts w:ascii="Cambria" w:hAnsi="Cambria"/>
          <w:color w:val="000000" w:themeColor="text1"/>
          <w:sz w:val="21"/>
          <w:szCs w:val="21"/>
          <w:lang w:val="fr-FR"/>
        </w:rPr>
        <w:t>et qu’ils avaient constaté que deux d’entre eux seraient décédés, deux auraient été transférés de nouveau au pénitencier et deux seraient restés à l’hôpital</w:t>
      </w:r>
      <w:r w:rsidR="00A30509" w:rsidRPr="00AA613E">
        <w:rPr>
          <w:rFonts w:ascii="Cambria" w:hAnsi="Cambria"/>
          <w:color w:val="000000" w:themeColor="text1"/>
          <w:sz w:val="21"/>
          <w:szCs w:val="21"/>
          <w:lang w:val="fr-FR"/>
        </w:rPr>
        <w:t>.</w:t>
      </w:r>
      <w:r w:rsidR="00C85C56" w:rsidRPr="00AA613E">
        <w:rPr>
          <w:rFonts w:ascii="Cambria" w:hAnsi="Cambria"/>
          <w:color w:val="000000" w:themeColor="text1"/>
          <w:sz w:val="21"/>
          <w:szCs w:val="21"/>
          <w:lang w:val="fr-FR"/>
        </w:rPr>
        <w:t xml:space="preserve"> Dans ce contexte, la Commission note que les requérants ont déterminé</w:t>
      </w:r>
      <w:r w:rsidR="00783DE9" w:rsidRPr="00AA613E">
        <w:rPr>
          <w:rFonts w:ascii="Cambria" w:hAnsi="Cambria"/>
          <w:color w:val="000000" w:themeColor="text1"/>
          <w:sz w:val="21"/>
          <w:szCs w:val="21"/>
          <w:lang w:val="fr-FR"/>
        </w:rPr>
        <w:t>,</w:t>
      </w:r>
      <w:r w:rsidR="00C85C56" w:rsidRPr="00AA613E">
        <w:rPr>
          <w:rFonts w:ascii="Cambria" w:hAnsi="Cambria"/>
          <w:color w:val="000000" w:themeColor="text1"/>
          <w:sz w:val="21"/>
          <w:szCs w:val="21"/>
          <w:lang w:val="fr-FR"/>
        </w:rPr>
        <w:t xml:space="preserve"> lors de la seconde visite</w:t>
      </w:r>
      <w:r w:rsidR="00783DE9" w:rsidRPr="00AA613E">
        <w:rPr>
          <w:rFonts w:ascii="Cambria" w:hAnsi="Cambria"/>
          <w:color w:val="000000" w:themeColor="text1"/>
          <w:sz w:val="21"/>
          <w:szCs w:val="21"/>
          <w:lang w:val="fr-FR"/>
        </w:rPr>
        <w:t>,</w:t>
      </w:r>
      <w:r w:rsidR="00C85C56" w:rsidRPr="00AA613E">
        <w:rPr>
          <w:rFonts w:ascii="Cambria" w:hAnsi="Cambria"/>
          <w:color w:val="000000" w:themeColor="text1"/>
          <w:sz w:val="21"/>
          <w:szCs w:val="21"/>
          <w:lang w:val="fr-FR"/>
        </w:rPr>
        <w:t xml:space="preserve"> ce qui serait arrivé à au moins six personnes, sans pouvoir préciser si les cinq détenus rencontrés en premier lieu en faisaient partie</w:t>
      </w:r>
      <w:r w:rsidR="00A30509" w:rsidRPr="00AA613E">
        <w:rPr>
          <w:rFonts w:ascii="Cambria" w:hAnsi="Cambria"/>
          <w:color w:val="000000" w:themeColor="text1"/>
          <w:sz w:val="21"/>
          <w:szCs w:val="21"/>
          <w:lang w:val="fr-FR"/>
        </w:rPr>
        <w:t xml:space="preserve">. </w:t>
      </w:r>
      <w:r w:rsidR="00C85C56" w:rsidRPr="00AA613E">
        <w:rPr>
          <w:rFonts w:ascii="Cambria" w:hAnsi="Cambria"/>
          <w:color w:val="000000" w:themeColor="text1"/>
          <w:sz w:val="21"/>
          <w:szCs w:val="21"/>
          <w:lang w:val="fr-FR"/>
        </w:rPr>
        <w:t xml:space="preserve">La Commission estime que la réponse de l’État est nécessaire pour </w:t>
      </w:r>
      <w:r w:rsidR="007C4E06" w:rsidRPr="00AA613E">
        <w:rPr>
          <w:rFonts w:ascii="Cambria" w:hAnsi="Cambria"/>
          <w:color w:val="000000" w:themeColor="text1"/>
          <w:sz w:val="21"/>
          <w:szCs w:val="21"/>
          <w:lang w:val="fr-FR"/>
        </w:rPr>
        <w:t xml:space="preserve">établir avec précision l’identité des détenus qui se trouvent à l’hôpital et ce, d’autant plus que ces personnes sont placées sous sa garde </w:t>
      </w:r>
      <w:r w:rsidR="009B35C3" w:rsidRPr="00AA613E">
        <w:rPr>
          <w:rFonts w:ascii="Cambria" w:hAnsi="Cambria"/>
          <w:color w:val="000000" w:themeColor="text1"/>
          <w:sz w:val="21"/>
          <w:szCs w:val="21"/>
          <w:lang w:val="fr-FR"/>
        </w:rPr>
        <w:t>et qu’il agit en qualité de garant de leurs droits</w:t>
      </w:r>
      <w:r w:rsidR="00A30509" w:rsidRPr="00AA613E">
        <w:rPr>
          <w:rFonts w:ascii="Cambria" w:hAnsi="Cambria"/>
          <w:color w:val="000000" w:themeColor="text1"/>
          <w:sz w:val="21"/>
          <w:szCs w:val="21"/>
          <w:lang w:val="fr-FR"/>
        </w:rPr>
        <w:t xml:space="preserve">. </w:t>
      </w:r>
      <w:r w:rsidR="009B35C3" w:rsidRPr="00AA613E">
        <w:rPr>
          <w:rFonts w:ascii="Cambria" w:hAnsi="Cambria"/>
          <w:color w:val="000000" w:themeColor="text1"/>
          <w:sz w:val="21"/>
          <w:szCs w:val="21"/>
          <w:lang w:val="fr-FR"/>
        </w:rPr>
        <w:t>Sans préjudice de ce qui précède</w:t>
      </w:r>
      <w:r w:rsidR="00A30509" w:rsidRPr="00AA613E">
        <w:rPr>
          <w:rFonts w:ascii="Cambria" w:hAnsi="Cambria"/>
          <w:color w:val="000000" w:themeColor="text1"/>
          <w:sz w:val="21"/>
          <w:szCs w:val="21"/>
          <w:lang w:val="fr-FR"/>
        </w:rPr>
        <w:t xml:space="preserve">, la </w:t>
      </w:r>
      <w:r w:rsidR="00D13A5D" w:rsidRPr="00AA613E">
        <w:rPr>
          <w:rFonts w:ascii="Cambria" w:hAnsi="Cambria"/>
          <w:color w:val="000000" w:themeColor="text1"/>
          <w:sz w:val="21"/>
          <w:szCs w:val="21"/>
          <w:lang w:val="fr-FR"/>
        </w:rPr>
        <w:t xml:space="preserve">Commission signale que, selon les requérants eux-mêmes, les informations disponibles ne permettent pas de déterminer le nombre de </w:t>
      </w:r>
      <w:r w:rsidR="00667456" w:rsidRPr="00AA613E">
        <w:rPr>
          <w:rFonts w:ascii="Cambria" w:hAnsi="Cambria"/>
          <w:color w:val="000000" w:themeColor="text1"/>
          <w:sz w:val="21"/>
          <w:szCs w:val="21"/>
          <w:lang w:val="fr-FR"/>
        </w:rPr>
        <w:t xml:space="preserve">personnes </w:t>
      </w:r>
      <w:r w:rsidR="00D13A5D" w:rsidRPr="00AA613E">
        <w:rPr>
          <w:rFonts w:ascii="Cambria" w:hAnsi="Cambria"/>
          <w:color w:val="000000" w:themeColor="text1"/>
          <w:sz w:val="21"/>
          <w:szCs w:val="21"/>
          <w:lang w:val="fr-FR"/>
        </w:rPr>
        <w:t>détenu</w:t>
      </w:r>
      <w:r w:rsidR="00667456" w:rsidRPr="00AA613E">
        <w:rPr>
          <w:rFonts w:ascii="Cambria" w:hAnsi="Cambria"/>
          <w:color w:val="000000" w:themeColor="text1"/>
          <w:sz w:val="21"/>
          <w:szCs w:val="21"/>
          <w:lang w:val="fr-FR"/>
        </w:rPr>
        <w:t>e</w:t>
      </w:r>
      <w:r w:rsidR="00D13A5D" w:rsidRPr="00AA613E">
        <w:rPr>
          <w:rFonts w:ascii="Cambria" w:hAnsi="Cambria"/>
          <w:color w:val="000000" w:themeColor="text1"/>
          <w:sz w:val="21"/>
          <w:szCs w:val="21"/>
          <w:lang w:val="fr-FR"/>
        </w:rPr>
        <w:t>s à l’hôpital et d’établir avec précision si c</w:t>
      </w:r>
      <w:r w:rsidR="00667456" w:rsidRPr="00AA613E">
        <w:rPr>
          <w:rFonts w:ascii="Cambria" w:hAnsi="Cambria"/>
          <w:color w:val="000000" w:themeColor="text1"/>
          <w:sz w:val="21"/>
          <w:szCs w:val="21"/>
          <w:lang w:val="fr-FR"/>
        </w:rPr>
        <w:t>elles</w:t>
      </w:r>
      <w:r w:rsidR="00D13A5D" w:rsidRPr="00AA613E">
        <w:rPr>
          <w:rFonts w:ascii="Cambria" w:hAnsi="Cambria"/>
          <w:color w:val="000000" w:themeColor="text1"/>
          <w:sz w:val="21"/>
          <w:szCs w:val="21"/>
          <w:lang w:val="fr-FR"/>
        </w:rPr>
        <w:t xml:space="preserve"> qui y ont été transféré</w:t>
      </w:r>
      <w:r w:rsidR="00667456" w:rsidRPr="00AA613E">
        <w:rPr>
          <w:rFonts w:ascii="Cambria" w:hAnsi="Cambria"/>
          <w:color w:val="000000" w:themeColor="text1"/>
          <w:sz w:val="21"/>
          <w:szCs w:val="21"/>
          <w:lang w:val="fr-FR"/>
        </w:rPr>
        <w:t>e</w:t>
      </w:r>
      <w:r w:rsidR="00D13A5D" w:rsidRPr="00AA613E">
        <w:rPr>
          <w:rFonts w:ascii="Cambria" w:hAnsi="Cambria"/>
          <w:color w:val="000000" w:themeColor="text1"/>
          <w:sz w:val="21"/>
          <w:szCs w:val="21"/>
          <w:lang w:val="fr-FR"/>
        </w:rPr>
        <w:t>s en sont sorti</w:t>
      </w:r>
      <w:r w:rsidR="00667456" w:rsidRPr="00AA613E">
        <w:rPr>
          <w:rFonts w:ascii="Cambria" w:hAnsi="Cambria"/>
          <w:color w:val="000000" w:themeColor="text1"/>
          <w:sz w:val="21"/>
          <w:szCs w:val="21"/>
          <w:lang w:val="fr-FR"/>
        </w:rPr>
        <w:t>e</w:t>
      </w:r>
      <w:r w:rsidR="00D13A5D" w:rsidRPr="00AA613E">
        <w:rPr>
          <w:rFonts w:ascii="Cambria" w:hAnsi="Cambria"/>
          <w:color w:val="000000" w:themeColor="text1"/>
          <w:sz w:val="21"/>
          <w:szCs w:val="21"/>
          <w:lang w:val="fr-FR"/>
        </w:rPr>
        <w:t>s ou non</w:t>
      </w:r>
      <w:r w:rsidR="00A30509" w:rsidRPr="00AA613E">
        <w:rPr>
          <w:rFonts w:ascii="Cambria" w:hAnsi="Cambria"/>
          <w:color w:val="000000" w:themeColor="text1"/>
          <w:sz w:val="21"/>
          <w:szCs w:val="21"/>
          <w:lang w:val="fr-FR"/>
        </w:rPr>
        <w:t>.</w:t>
      </w:r>
    </w:p>
    <w:p w:rsidR="00287C5F" w:rsidRPr="00AA613E" w:rsidRDefault="00287C5F" w:rsidP="00287C5F">
      <w:pPr>
        <w:pStyle w:val="ListParagraph"/>
        <w:spacing w:after="0" w:line="240" w:lineRule="auto"/>
        <w:ind w:left="360"/>
        <w:jc w:val="both"/>
        <w:rPr>
          <w:rFonts w:ascii="Cambria" w:hAnsi="Cambria"/>
          <w:color w:val="000000" w:themeColor="text1"/>
          <w:sz w:val="21"/>
          <w:szCs w:val="21"/>
          <w:lang w:val="fr-FR"/>
        </w:rPr>
      </w:pPr>
    </w:p>
    <w:p w:rsidR="00A47CE1" w:rsidRPr="00AA613E" w:rsidRDefault="00783DE9" w:rsidP="00A30509">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Ensuite</w:t>
      </w:r>
      <w:r w:rsidR="00A30509" w:rsidRPr="00AA613E">
        <w:rPr>
          <w:rFonts w:ascii="Cambria" w:hAnsi="Cambria"/>
          <w:color w:val="000000" w:themeColor="text1"/>
          <w:sz w:val="21"/>
          <w:szCs w:val="21"/>
          <w:lang w:val="fr-FR"/>
        </w:rPr>
        <w:t xml:space="preserve">, </w:t>
      </w:r>
      <w:r w:rsidR="00667456" w:rsidRPr="00AA613E">
        <w:rPr>
          <w:rFonts w:ascii="Cambria" w:hAnsi="Cambria"/>
          <w:color w:val="000000" w:themeColor="text1"/>
          <w:sz w:val="21"/>
          <w:szCs w:val="21"/>
          <w:lang w:val="fr-FR"/>
        </w:rPr>
        <w:t>en ce qui concerne l’état de santé des bénéficiaires proposés, les informations soumises à la Commission indiquent que l’hôpital ne dispose pas suffisamment de médicaments pour soigner de manière appropriée les malades</w:t>
      </w:r>
      <w:r w:rsidR="00A30509" w:rsidRPr="00AA613E">
        <w:rPr>
          <w:rFonts w:ascii="Cambria" w:hAnsi="Cambria"/>
          <w:color w:val="000000" w:themeColor="text1"/>
          <w:sz w:val="21"/>
          <w:szCs w:val="21"/>
          <w:lang w:val="fr-FR"/>
        </w:rPr>
        <w:t xml:space="preserve">. </w:t>
      </w:r>
      <w:r w:rsidR="00667456" w:rsidRPr="00AA613E">
        <w:rPr>
          <w:rFonts w:ascii="Cambria" w:hAnsi="Cambria"/>
          <w:color w:val="000000" w:themeColor="text1"/>
          <w:sz w:val="21"/>
          <w:szCs w:val="21"/>
          <w:lang w:val="fr-FR"/>
        </w:rPr>
        <w:t xml:space="preserve">Il semblerait que l’insuffisance des soins médicaux se soit accentuée </w:t>
      </w:r>
      <w:r w:rsidR="00706A2F" w:rsidRPr="00AA613E">
        <w:rPr>
          <w:rFonts w:ascii="Cambria" w:hAnsi="Cambria"/>
          <w:color w:val="000000" w:themeColor="text1"/>
          <w:sz w:val="21"/>
          <w:szCs w:val="21"/>
          <w:lang w:val="fr-FR"/>
        </w:rPr>
        <w:t xml:space="preserve">à </w:t>
      </w:r>
      <w:r w:rsidR="00706A2F">
        <w:rPr>
          <w:rFonts w:ascii="Cambria" w:hAnsi="Cambria"/>
          <w:color w:val="000000" w:themeColor="text1"/>
          <w:sz w:val="21"/>
          <w:szCs w:val="21"/>
          <w:lang w:val="fr-FR"/>
        </w:rPr>
        <w:t xml:space="preserve">la </w:t>
      </w:r>
      <w:r w:rsidR="00667456" w:rsidRPr="00AA613E">
        <w:rPr>
          <w:rFonts w:ascii="Cambria" w:hAnsi="Cambria"/>
          <w:color w:val="000000" w:themeColor="text1"/>
          <w:sz w:val="21"/>
          <w:szCs w:val="21"/>
          <w:lang w:val="fr-FR"/>
        </w:rPr>
        <w:t xml:space="preserve">suite </w:t>
      </w:r>
      <w:proofErr w:type="gramStart"/>
      <w:r w:rsidR="00706A2F">
        <w:rPr>
          <w:rFonts w:ascii="Cambria" w:hAnsi="Cambria"/>
          <w:color w:val="000000" w:themeColor="text1"/>
          <w:sz w:val="21"/>
          <w:szCs w:val="21"/>
          <w:lang w:val="fr-FR"/>
        </w:rPr>
        <w:t xml:space="preserve">d’ </w:t>
      </w:r>
      <w:r w:rsidR="00667456" w:rsidRPr="00AA613E">
        <w:rPr>
          <w:rFonts w:ascii="Cambria" w:hAnsi="Cambria"/>
          <w:color w:val="000000" w:themeColor="text1"/>
          <w:sz w:val="21"/>
          <w:szCs w:val="21"/>
          <w:lang w:val="fr-FR"/>
        </w:rPr>
        <w:t>un</w:t>
      </w:r>
      <w:proofErr w:type="gramEnd"/>
      <w:r w:rsidR="00667456" w:rsidRPr="00AA613E">
        <w:rPr>
          <w:rFonts w:ascii="Cambria" w:hAnsi="Cambria"/>
          <w:color w:val="000000" w:themeColor="text1"/>
          <w:sz w:val="21"/>
          <w:szCs w:val="21"/>
          <w:lang w:val="fr-FR"/>
        </w:rPr>
        <w:t xml:space="preserve"> mouvement de grève qui a cessé par la suite. La Commission fait remarquer que les requérants ont signalé deux décès et que les faits communiqués pourraient se traduire par une situation de risque</w:t>
      </w:r>
      <w:r w:rsidR="00C4554C" w:rsidRPr="00AA613E">
        <w:rPr>
          <w:rFonts w:ascii="Cambria" w:hAnsi="Cambria"/>
          <w:color w:val="000000" w:themeColor="text1"/>
          <w:sz w:val="21"/>
          <w:szCs w:val="21"/>
          <w:lang w:val="fr-FR"/>
        </w:rPr>
        <w:t xml:space="preserve">. </w:t>
      </w:r>
      <w:r w:rsidR="00DA5F01" w:rsidRPr="00AA613E">
        <w:rPr>
          <w:rFonts w:ascii="Cambria" w:hAnsi="Cambria"/>
          <w:color w:val="000000" w:themeColor="text1"/>
          <w:sz w:val="21"/>
          <w:szCs w:val="21"/>
          <w:lang w:val="fr-FR"/>
        </w:rPr>
        <w:t>L</w:t>
      </w:r>
      <w:r w:rsidR="00667456" w:rsidRPr="00AA613E">
        <w:rPr>
          <w:rFonts w:ascii="Cambria" w:hAnsi="Cambria"/>
          <w:color w:val="000000" w:themeColor="text1"/>
          <w:sz w:val="21"/>
          <w:szCs w:val="21"/>
          <w:lang w:val="fr-FR"/>
        </w:rPr>
        <w:t>es requérants n’</w:t>
      </w:r>
      <w:r w:rsidR="00DA5F01" w:rsidRPr="00AA613E">
        <w:rPr>
          <w:rFonts w:ascii="Cambria" w:hAnsi="Cambria"/>
          <w:color w:val="000000" w:themeColor="text1"/>
          <w:sz w:val="21"/>
          <w:szCs w:val="21"/>
          <w:lang w:val="fr-FR"/>
        </w:rPr>
        <w:t>on</w:t>
      </w:r>
      <w:r w:rsidR="00667456" w:rsidRPr="00AA613E">
        <w:rPr>
          <w:rFonts w:ascii="Cambria" w:hAnsi="Cambria"/>
          <w:color w:val="000000" w:themeColor="text1"/>
          <w:sz w:val="21"/>
          <w:szCs w:val="21"/>
          <w:lang w:val="fr-FR"/>
        </w:rPr>
        <w:t xml:space="preserve">t pas fourni d’informations complémentaires sur la nature des maladies </w:t>
      </w:r>
      <w:r w:rsidR="00DA5F01" w:rsidRPr="00AA613E">
        <w:rPr>
          <w:rFonts w:ascii="Cambria" w:hAnsi="Cambria"/>
          <w:color w:val="000000" w:themeColor="text1"/>
          <w:sz w:val="21"/>
          <w:szCs w:val="21"/>
          <w:lang w:val="fr-FR"/>
        </w:rPr>
        <w:t>et des souffrances qu’endur</w:t>
      </w:r>
      <w:r w:rsidRPr="00AA613E">
        <w:rPr>
          <w:rFonts w:ascii="Cambria" w:hAnsi="Cambria"/>
          <w:color w:val="000000" w:themeColor="text1"/>
          <w:sz w:val="21"/>
          <w:szCs w:val="21"/>
          <w:lang w:val="fr-FR"/>
        </w:rPr>
        <w:t>ai</w:t>
      </w:r>
      <w:r w:rsidR="00DA5F01" w:rsidRPr="00AA613E">
        <w:rPr>
          <w:rFonts w:ascii="Cambria" w:hAnsi="Cambria"/>
          <w:color w:val="000000" w:themeColor="text1"/>
          <w:sz w:val="21"/>
          <w:szCs w:val="21"/>
          <w:lang w:val="fr-FR"/>
        </w:rPr>
        <w:t>ent les détenus ainsi que des besoins en matière de traitement médical, traitement dont ils ne bénéficieraient actuellement pas. Dans ce contexte, face à l’absence de réponse de la part de l’État, la Commission estime qu’elle ne dispose pas à ce jour des éléments suffisants permettant d’évaluer</w:t>
      </w:r>
      <w:r w:rsidRPr="00AA613E">
        <w:rPr>
          <w:rFonts w:ascii="Cambria" w:hAnsi="Cambria"/>
          <w:color w:val="000000" w:themeColor="text1"/>
          <w:sz w:val="21"/>
          <w:szCs w:val="21"/>
          <w:lang w:val="fr-FR"/>
        </w:rPr>
        <w:t>,</w:t>
      </w:r>
      <w:r w:rsidR="00DA5F01" w:rsidRPr="00AA613E">
        <w:rPr>
          <w:rFonts w:ascii="Cambria" w:hAnsi="Cambria"/>
          <w:color w:val="000000" w:themeColor="text1"/>
          <w:sz w:val="21"/>
          <w:szCs w:val="21"/>
          <w:lang w:val="fr-FR"/>
        </w:rPr>
        <w:t xml:space="preserve"> de manière plus </w:t>
      </w:r>
      <w:r w:rsidR="008F7EDD" w:rsidRPr="00AA613E">
        <w:rPr>
          <w:rFonts w:ascii="Cambria" w:hAnsi="Cambria"/>
          <w:color w:val="000000" w:themeColor="text1"/>
          <w:sz w:val="21"/>
          <w:szCs w:val="21"/>
          <w:lang w:val="fr-FR"/>
        </w:rPr>
        <w:t>globale</w:t>
      </w:r>
      <w:r w:rsidRPr="00AA613E">
        <w:rPr>
          <w:rFonts w:ascii="Cambria" w:hAnsi="Cambria"/>
          <w:color w:val="000000" w:themeColor="text1"/>
          <w:sz w:val="21"/>
          <w:szCs w:val="21"/>
          <w:lang w:val="fr-FR"/>
        </w:rPr>
        <w:t>,</w:t>
      </w:r>
      <w:r w:rsidR="008F7EDD" w:rsidRPr="00AA613E">
        <w:rPr>
          <w:rFonts w:ascii="Cambria" w:hAnsi="Cambria"/>
          <w:color w:val="000000" w:themeColor="text1"/>
          <w:sz w:val="21"/>
          <w:szCs w:val="21"/>
          <w:lang w:val="fr-FR"/>
        </w:rPr>
        <w:t xml:space="preserve"> </w:t>
      </w:r>
      <w:r w:rsidRPr="00AA613E">
        <w:rPr>
          <w:rFonts w:ascii="Cambria" w:hAnsi="Cambria"/>
          <w:color w:val="000000" w:themeColor="text1"/>
          <w:sz w:val="21"/>
          <w:szCs w:val="21"/>
          <w:lang w:val="fr-FR"/>
        </w:rPr>
        <w:t xml:space="preserve">la situation relative à </w:t>
      </w:r>
      <w:r w:rsidR="008F7EDD" w:rsidRPr="00AA613E">
        <w:rPr>
          <w:rFonts w:ascii="Cambria" w:hAnsi="Cambria"/>
          <w:color w:val="000000" w:themeColor="text1"/>
          <w:sz w:val="21"/>
          <w:szCs w:val="21"/>
          <w:lang w:val="fr-FR"/>
        </w:rPr>
        <w:t xml:space="preserve">l’impact </w:t>
      </w:r>
      <w:r w:rsidR="00ED4F87" w:rsidRPr="00AA613E">
        <w:rPr>
          <w:rFonts w:ascii="Cambria" w:hAnsi="Cambria"/>
          <w:color w:val="000000" w:themeColor="text1"/>
          <w:sz w:val="21"/>
          <w:szCs w:val="21"/>
          <w:lang w:val="fr-FR"/>
        </w:rPr>
        <w:t>de l’insuffisance des soins médicaux sur les droits à la vie et à l’intégrité personnelle des bénéficiaires proposés</w:t>
      </w:r>
      <w:r w:rsidR="00A205DC" w:rsidRPr="00AA613E">
        <w:rPr>
          <w:rFonts w:ascii="Cambria" w:hAnsi="Cambria"/>
          <w:color w:val="000000" w:themeColor="text1"/>
          <w:sz w:val="21"/>
          <w:szCs w:val="21"/>
          <w:lang w:val="fr-FR"/>
        </w:rPr>
        <w:t>.</w:t>
      </w:r>
      <w:r w:rsidR="00A30509" w:rsidRPr="00AA613E">
        <w:rPr>
          <w:rFonts w:ascii="Cambria" w:hAnsi="Cambria"/>
          <w:color w:val="000000" w:themeColor="text1"/>
          <w:sz w:val="21"/>
          <w:szCs w:val="21"/>
          <w:lang w:val="fr-FR"/>
        </w:rPr>
        <w:t xml:space="preserve"> </w:t>
      </w:r>
    </w:p>
    <w:p w:rsidR="00A205DC" w:rsidRPr="00AA613E" w:rsidRDefault="00A205DC" w:rsidP="00A205DC">
      <w:pPr>
        <w:pStyle w:val="ListParagraph"/>
        <w:spacing w:after="0" w:line="240" w:lineRule="auto"/>
        <w:ind w:left="360"/>
        <w:jc w:val="both"/>
        <w:rPr>
          <w:rFonts w:ascii="Cambria" w:hAnsi="Cambria"/>
          <w:color w:val="000000" w:themeColor="text1"/>
          <w:sz w:val="21"/>
          <w:szCs w:val="21"/>
          <w:lang w:val="fr-FR"/>
        </w:rPr>
      </w:pPr>
    </w:p>
    <w:p w:rsidR="00A205DC" w:rsidRPr="00AA613E" w:rsidRDefault="002A55A0" w:rsidP="00A205DC">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Pr>
          <w:rFonts w:ascii="Cambria" w:hAnsi="Cambria"/>
          <w:color w:val="000000" w:themeColor="text1"/>
          <w:sz w:val="21"/>
          <w:szCs w:val="21"/>
          <w:lang w:val="fr-FR"/>
        </w:rPr>
        <w:t>Finalement</w:t>
      </w:r>
      <w:r w:rsidR="00A205DC" w:rsidRPr="00AA613E">
        <w:rPr>
          <w:rFonts w:ascii="Cambria" w:hAnsi="Cambria"/>
          <w:color w:val="000000" w:themeColor="text1"/>
          <w:sz w:val="21"/>
          <w:szCs w:val="21"/>
          <w:lang w:val="fr-FR"/>
        </w:rPr>
        <w:t xml:space="preserve">, en </w:t>
      </w:r>
      <w:r w:rsidR="005002CB" w:rsidRPr="00AA613E">
        <w:rPr>
          <w:rFonts w:ascii="Cambria" w:hAnsi="Cambria"/>
          <w:color w:val="000000" w:themeColor="text1"/>
          <w:sz w:val="21"/>
          <w:szCs w:val="21"/>
          <w:lang w:val="fr-FR"/>
        </w:rPr>
        <w:t>dernier lieu</w:t>
      </w:r>
      <w:r w:rsidR="00A205DC" w:rsidRPr="00AA613E">
        <w:rPr>
          <w:rFonts w:ascii="Cambria" w:hAnsi="Cambria"/>
          <w:color w:val="000000" w:themeColor="text1"/>
          <w:sz w:val="21"/>
          <w:szCs w:val="21"/>
          <w:lang w:val="fr-FR"/>
        </w:rPr>
        <w:t xml:space="preserve">, la </w:t>
      </w:r>
      <w:r w:rsidR="005002CB" w:rsidRPr="00AA613E">
        <w:rPr>
          <w:rFonts w:ascii="Cambria" w:hAnsi="Cambria"/>
          <w:color w:val="000000" w:themeColor="text1"/>
          <w:sz w:val="21"/>
          <w:szCs w:val="21"/>
          <w:lang w:val="fr-FR"/>
        </w:rPr>
        <w:t xml:space="preserve">Commission a pris connaissance des informations fournies par les requérants concernant le recours aux fers sur les personnes détenues à l’hôpital. À ce sujet, la Commission signale que cette pratique pourrait constituer une grave violation du droit à l’intégrité personnelle, en particulier lorsqu’il en découle une immobilisation prolongée. Dans ce sens, le </w:t>
      </w:r>
      <w:r w:rsidR="00A205DC" w:rsidRPr="00AA613E">
        <w:rPr>
          <w:rFonts w:ascii="Cambria" w:hAnsi="Cambria"/>
          <w:i/>
          <w:color w:val="000000" w:themeColor="text1"/>
          <w:sz w:val="21"/>
          <w:szCs w:val="21"/>
          <w:lang w:val="fr-FR"/>
        </w:rPr>
        <w:t>R</w:t>
      </w:r>
      <w:r w:rsidR="005002CB" w:rsidRPr="00AA613E">
        <w:rPr>
          <w:rFonts w:ascii="Cambria" w:hAnsi="Cambria"/>
          <w:i/>
          <w:color w:val="000000" w:themeColor="text1"/>
          <w:sz w:val="21"/>
          <w:szCs w:val="21"/>
          <w:lang w:val="fr-FR"/>
        </w:rPr>
        <w:t>apporteur spécial sur la torture et autres peines ou traitements cruels, inhumains ou dégradants</w:t>
      </w:r>
      <w:r w:rsidR="00A205DC" w:rsidRPr="00AA613E">
        <w:rPr>
          <w:rFonts w:ascii="Cambria" w:hAnsi="Cambria"/>
          <w:i/>
          <w:color w:val="000000" w:themeColor="text1"/>
          <w:sz w:val="21"/>
          <w:szCs w:val="21"/>
          <w:lang w:val="fr-FR"/>
        </w:rPr>
        <w:t>,</w:t>
      </w:r>
      <w:r w:rsidR="00A205DC" w:rsidRPr="00AA613E">
        <w:rPr>
          <w:rFonts w:ascii="Cambria" w:hAnsi="Cambria"/>
          <w:color w:val="000000" w:themeColor="text1"/>
          <w:sz w:val="21"/>
          <w:szCs w:val="21"/>
          <w:lang w:val="fr-FR"/>
        </w:rPr>
        <w:t xml:space="preserve"> M</w:t>
      </w:r>
      <w:r w:rsidR="005002CB" w:rsidRPr="00AA613E">
        <w:rPr>
          <w:rFonts w:ascii="Cambria" w:hAnsi="Cambria"/>
          <w:color w:val="000000" w:themeColor="text1"/>
          <w:sz w:val="21"/>
          <w:szCs w:val="21"/>
          <w:lang w:val="fr-FR"/>
        </w:rPr>
        <w:t>. M</w:t>
      </w:r>
      <w:r w:rsidR="00A205DC" w:rsidRPr="00AA613E">
        <w:rPr>
          <w:rFonts w:ascii="Cambria" w:hAnsi="Cambria"/>
          <w:color w:val="000000" w:themeColor="text1"/>
          <w:sz w:val="21"/>
          <w:szCs w:val="21"/>
          <w:lang w:val="fr-FR"/>
        </w:rPr>
        <w:t xml:space="preserve">anfred </w:t>
      </w:r>
      <w:proofErr w:type="spellStart"/>
      <w:r w:rsidR="00A205DC" w:rsidRPr="00AA613E">
        <w:rPr>
          <w:rFonts w:ascii="Cambria" w:hAnsi="Cambria"/>
          <w:color w:val="000000" w:themeColor="text1"/>
          <w:sz w:val="21"/>
          <w:szCs w:val="21"/>
          <w:lang w:val="fr-FR"/>
        </w:rPr>
        <w:t>Nowak</w:t>
      </w:r>
      <w:proofErr w:type="spellEnd"/>
      <w:r w:rsidR="00A205DC" w:rsidRPr="00AA613E">
        <w:rPr>
          <w:rFonts w:ascii="Cambria" w:hAnsi="Cambria"/>
          <w:color w:val="000000" w:themeColor="text1"/>
          <w:sz w:val="21"/>
          <w:szCs w:val="21"/>
          <w:lang w:val="fr-FR"/>
        </w:rPr>
        <w:t xml:space="preserve">, </w:t>
      </w:r>
      <w:r w:rsidR="00CB3384" w:rsidRPr="00AA613E">
        <w:rPr>
          <w:rFonts w:ascii="Cambria" w:hAnsi="Cambria"/>
          <w:color w:val="000000" w:themeColor="text1"/>
          <w:sz w:val="21"/>
          <w:szCs w:val="21"/>
          <w:lang w:val="fr-FR"/>
        </w:rPr>
        <w:t>a indiqué que l’immobilisation physique prolongé</w:t>
      </w:r>
      <w:r w:rsidR="00DB591C" w:rsidRPr="00AA613E">
        <w:rPr>
          <w:rFonts w:ascii="Cambria" w:hAnsi="Cambria"/>
          <w:color w:val="000000" w:themeColor="text1"/>
          <w:sz w:val="21"/>
          <w:szCs w:val="21"/>
          <w:lang w:val="fr-FR"/>
        </w:rPr>
        <w:t>e</w:t>
      </w:r>
      <w:r w:rsidR="00CB3384" w:rsidRPr="00AA613E">
        <w:rPr>
          <w:rFonts w:ascii="Cambria" w:hAnsi="Cambria"/>
          <w:color w:val="000000" w:themeColor="text1"/>
          <w:sz w:val="21"/>
          <w:szCs w:val="21"/>
          <w:lang w:val="fr-FR"/>
        </w:rPr>
        <w:t xml:space="preserve"> pouvait provoquer une atrophie musculaire</w:t>
      </w:r>
      <w:r w:rsidR="00A205DC" w:rsidRPr="00AA613E">
        <w:rPr>
          <w:rFonts w:ascii="Cambria" w:hAnsi="Cambria"/>
          <w:color w:val="000000" w:themeColor="text1"/>
          <w:sz w:val="21"/>
          <w:szCs w:val="21"/>
          <w:lang w:val="fr-FR"/>
        </w:rPr>
        <w:t xml:space="preserve">, </w:t>
      </w:r>
      <w:r w:rsidR="00CB3384" w:rsidRPr="00AA613E">
        <w:rPr>
          <w:rFonts w:ascii="Cambria" w:hAnsi="Cambria"/>
          <w:color w:val="000000" w:themeColor="text1"/>
          <w:sz w:val="21"/>
          <w:szCs w:val="21"/>
          <w:lang w:val="fr-FR"/>
        </w:rPr>
        <w:t xml:space="preserve">des déformations très graves et même l’insuffisance d’un organe vital et </w:t>
      </w:r>
      <w:r w:rsidR="00CB3384" w:rsidRPr="00AA613E">
        <w:rPr>
          <w:rFonts w:ascii="Cambria" w:hAnsi="Cambria"/>
          <w:color w:val="000000" w:themeColor="text1"/>
          <w:sz w:val="21"/>
          <w:szCs w:val="21"/>
          <w:lang w:val="fr-FR"/>
        </w:rPr>
        <w:lastRenderedPageBreak/>
        <w:t>aggraver le dommage psychologique</w:t>
      </w:r>
      <w:r w:rsidR="00A205DC" w:rsidRPr="00AA613E">
        <w:rPr>
          <w:rStyle w:val="FootnoteReference"/>
          <w:rFonts w:ascii="Cambria" w:hAnsi="Cambria"/>
          <w:color w:val="000000" w:themeColor="text1"/>
          <w:sz w:val="21"/>
          <w:szCs w:val="21"/>
          <w:lang w:val="fr-FR"/>
        </w:rPr>
        <w:footnoteReference w:id="18"/>
      </w:r>
      <w:r w:rsidR="00A205DC" w:rsidRPr="00AA613E">
        <w:rPr>
          <w:rFonts w:ascii="Cambria" w:hAnsi="Cambria"/>
          <w:color w:val="000000" w:themeColor="text1"/>
          <w:sz w:val="21"/>
          <w:szCs w:val="21"/>
          <w:lang w:val="fr-FR"/>
        </w:rPr>
        <w:t xml:space="preserve">. </w:t>
      </w:r>
      <w:r w:rsidR="00CB3384" w:rsidRPr="00AA613E">
        <w:rPr>
          <w:rFonts w:ascii="Cambria" w:hAnsi="Cambria"/>
          <w:color w:val="000000" w:themeColor="text1"/>
          <w:sz w:val="21"/>
          <w:szCs w:val="21"/>
          <w:lang w:val="fr-FR"/>
        </w:rPr>
        <w:t>Il a également indiqué que l’immobilisation prolongée peut constituer une torture ou un mauvais traitement. Par ailleurs, en ce qui concerne particulièrement le recours aux fers, la Commission signale que l’</w:t>
      </w:r>
      <w:r w:rsidR="00CB3384" w:rsidRPr="00AA613E">
        <w:rPr>
          <w:rFonts w:ascii="Cambria" w:hAnsi="Cambria"/>
          <w:i/>
          <w:color w:val="000000" w:themeColor="text1"/>
          <w:sz w:val="21"/>
          <w:szCs w:val="21"/>
          <w:lang w:val="fr-FR"/>
        </w:rPr>
        <w:t xml:space="preserve">Ensemble de règles minima des Nations Unies pour le traitement des détenus (Règles </w:t>
      </w:r>
      <w:r w:rsidR="00A205DC" w:rsidRPr="00AA613E">
        <w:rPr>
          <w:rFonts w:ascii="Cambria" w:hAnsi="Cambria"/>
          <w:i/>
          <w:color w:val="000000" w:themeColor="text1"/>
          <w:sz w:val="21"/>
          <w:szCs w:val="21"/>
          <w:lang w:val="fr-FR"/>
        </w:rPr>
        <w:t>Nelson Mandela)</w:t>
      </w:r>
      <w:r w:rsidR="00A205DC" w:rsidRPr="00AA613E">
        <w:rPr>
          <w:rFonts w:ascii="Cambria" w:hAnsi="Cambria"/>
          <w:color w:val="000000" w:themeColor="text1"/>
          <w:sz w:val="21"/>
          <w:szCs w:val="21"/>
          <w:lang w:val="fr-FR"/>
        </w:rPr>
        <w:t xml:space="preserve"> </w:t>
      </w:r>
      <w:r w:rsidR="00CB3384" w:rsidRPr="00AA613E">
        <w:rPr>
          <w:rFonts w:ascii="Cambria" w:hAnsi="Cambria"/>
          <w:color w:val="000000" w:themeColor="text1"/>
          <w:sz w:val="21"/>
          <w:szCs w:val="21"/>
          <w:lang w:val="fr-FR"/>
        </w:rPr>
        <w:t xml:space="preserve">établit que </w:t>
      </w:r>
      <w:r w:rsidR="00770CAB" w:rsidRPr="00AA613E">
        <w:rPr>
          <w:rFonts w:ascii="Cambria" w:hAnsi="Cambria"/>
          <w:color w:val="000000" w:themeColor="text1"/>
          <w:sz w:val="21"/>
          <w:szCs w:val="21"/>
          <w:lang w:val="fr-FR"/>
        </w:rPr>
        <w:t>« L’usage de chaînes, fers et autres instruments intrinsèquement dégradants ou douloureux est interdit. »</w:t>
      </w:r>
      <w:r w:rsidR="00A205DC" w:rsidRPr="00AA613E">
        <w:rPr>
          <w:rStyle w:val="FootnoteReference"/>
          <w:rFonts w:ascii="Cambria" w:hAnsi="Cambria"/>
          <w:color w:val="000000" w:themeColor="text1"/>
          <w:sz w:val="21"/>
          <w:szCs w:val="21"/>
          <w:lang w:val="fr-FR"/>
        </w:rPr>
        <w:footnoteReference w:id="19"/>
      </w:r>
    </w:p>
    <w:p w:rsidR="00A205DC" w:rsidRPr="00AA613E" w:rsidRDefault="00A205DC" w:rsidP="00A205DC">
      <w:pPr>
        <w:pStyle w:val="ListParagraph"/>
        <w:spacing w:after="0" w:line="240" w:lineRule="auto"/>
        <w:ind w:left="360"/>
        <w:jc w:val="both"/>
        <w:rPr>
          <w:rFonts w:ascii="Cambria" w:hAnsi="Cambria"/>
          <w:color w:val="000000" w:themeColor="text1"/>
          <w:sz w:val="21"/>
          <w:szCs w:val="21"/>
          <w:lang w:val="fr-FR"/>
        </w:rPr>
      </w:pPr>
    </w:p>
    <w:p w:rsidR="00A205DC" w:rsidRPr="00AA613E" w:rsidRDefault="00A205DC" w:rsidP="00A205DC">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La </w:t>
      </w:r>
      <w:r w:rsidR="00754E00" w:rsidRPr="00AA613E">
        <w:rPr>
          <w:rFonts w:ascii="Cambria" w:hAnsi="Cambria"/>
          <w:color w:val="000000" w:themeColor="text1"/>
          <w:sz w:val="21"/>
          <w:szCs w:val="21"/>
          <w:lang w:val="fr-FR"/>
        </w:rPr>
        <w:t>Commission signale que les requérants ont présenté deux photos, dont une montrait une personne qui semblait attachée avec des fers à un brancard</w:t>
      </w:r>
      <w:r w:rsidRPr="00AA613E">
        <w:rPr>
          <w:rFonts w:ascii="Cambria" w:hAnsi="Cambria"/>
          <w:color w:val="000000" w:themeColor="text1"/>
          <w:sz w:val="21"/>
          <w:szCs w:val="21"/>
          <w:lang w:val="fr-FR"/>
        </w:rPr>
        <w:t xml:space="preserve">. </w:t>
      </w:r>
      <w:r w:rsidR="00754E00" w:rsidRPr="00AA613E">
        <w:rPr>
          <w:rFonts w:ascii="Cambria" w:hAnsi="Cambria"/>
          <w:color w:val="000000" w:themeColor="text1"/>
          <w:sz w:val="21"/>
          <w:szCs w:val="21"/>
          <w:lang w:val="fr-FR"/>
        </w:rPr>
        <w:t xml:space="preserve">Selon les requérants, ce </w:t>
      </w:r>
      <w:r w:rsidR="00793D2B" w:rsidRPr="00AA613E">
        <w:rPr>
          <w:rFonts w:ascii="Cambria" w:hAnsi="Cambria"/>
          <w:color w:val="000000" w:themeColor="text1"/>
          <w:sz w:val="21"/>
          <w:szCs w:val="21"/>
          <w:lang w:val="fr-FR"/>
        </w:rPr>
        <w:t>genre</w:t>
      </w:r>
      <w:r w:rsidR="00754E00" w:rsidRPr="00AA613E">
        <w:rPr>
          <w:rFonts w:ascii="Cambria" w:hAnsi="Cambria"/>
          <w:color w:val="000000" w:themeColor="text1"/>
          <w:sz w:val="21"/>
          <w:szCs w:val="21"/>
          <w:lang w:val="fr-FR"/>
        </w:rPr>
        <w:t xml:space="preserve"> de situation survient en raison d’un manque de personnel médical pour surveiller les personnes détenues à l’hôpital</w:t>
      </w:r>
      <w:r w:rsidRPr="00AA613E">
        <w:rPr>
          <w:rFonts w:ascii="Cambria" w:hAnsi="Cambria"/>
          <w:color w:val="000000" w:themeColor="text1"/>
          <w:sz w:val="21"/>
          <w:szCs w:val="21"/>
          <w:lang w:val="fr-FR"/>
        </w:rPr>
        <w:t xml:space="preserve">. </w:t>
      </w:r>
      <w:r w:rsidR="00754E00" w:rsidRPr="00AA613E">
        <w:rPr>
          <w:rFonts w:ascii="Cambria" w:hAnsi="Cambria"/>
          <w:color w:val="000000" w:themeColor="text1"/>
          <w:sz w:val="21"/>
          <w:szCs w:val="21"/>
          <w:lang w:val="fr-FR"/>
        </w:rPr>
        <w:t>Dans un courrier en date du 20 mars 2017, l</w:t>
      </w:r>
      <w:r w:rsidRPr="00AA613E">
        <w:rPr>
          <w:rFonts w:ascii="Cambria" w:hAnsi="Cambria"/>
          <w:color w:val="000000" w:themeColor="text1"/>
          <w:sz w:val="21"/>
          <w:szCs w:val="21"/>
          <w:lang w:val="fr-FR"/>
        </w:rPr>
        <w:t xml:space="preserve">a </w:t>
      </w:r>
      <w:r w:rsidR="00754E00" w:rsidRPr="00AA613E">
        <w:rPr>
          <w:rFonts w:ascii="Cambria" w:hAnsi="Cambria"/>
          <w:color w:val="000000" w:themeColor="text1"/>
          <w:sz w:val="21"/>
          <w:szCs w:val="21"/>
          <w:lang w:val="fr-FR"/>
        </w:rPr>
        <w:t>Commission a demandé des informations supplémentaires aux requérants sur les conditions de détention au sein de cet établissement</w:t>
      </w:r>
      <w:r w:rsidRPr="00AA613E">
        <w:rPr>
          <w:rFonts w:ascii="Cambria" w:hAnsi="Cambria"/>
          <w:color w:val="000000" w:themeColor="text1"/>
          <w:sz w:val="21"/>
          <w:szCs w:val="21"/>
          <w:lang w:val="fr-FR"/>
        </w:rPr>
        <w:t xml:space="preserve">. </w:t>
      </w:r>
      <w:r w:rsidR="009333A0" w:rsidRPr="00AA613E">
        <w:rPr>
          <w:rFonts w:ascii="Cambria" w:hAnsi="Cambria"/>
          <w:color w:val="000000" w:themeColor="text1"/>
          <w:sz w:val="21"/>
          <w:szCs w:val="21"/>
          <w:lang w:val="fr-FR"/>
        </w:rPr>
        <w:t>Dans leur réponse à</w:t>
      </w:r>
      <w:r w:rsidR="00793D2B" w:rsidRPr="00AA613E">
        <w:rPr>
          <w:rFonts w:ascii="Cambria" w:hAnsi="Cambria"/>
          <w:color w:val="000000" w:themeColor="text1"/>
          <w:sz w:val="21"/>
          <w:szCs w:val="21"/>
          <w:lang w:val="fr-FR"/>
        </w:rPr>
        <w:t xml:space="preserve"> la requête de la Commission</w:t>
      </w:r>
      <w:r w:rsidR="009333A0" w:rsidRPr="00AA613E">
        <w:rPr>
          <w:rFonts w:ascii="Cambria" w:hAnsi="Cambria"/>
          <w:color w:val="000000" w:themeColor="text1"/>
          <w:sz w:val="21"/>
          <w:szCs w:val="21"/>
          <w:lang w:val="fr-FR"/>
        </w:rPr>
        <w:t>, les requérants ont indiqué que les détenus étaient enchaînés à leur lit et ont cité la photo présentée dans leur demande initiale</w:t>
      </w:r>
      <w:r w:rsidRPr="00AA613E">
        <w:rPr>
          <w:rFonts w:ascii="Cambria" w:hAnsi="Cambria"/>
          <w:color w:val="000000" w:themeColor="text1"/>
          <w:sz w:val="21"/>
          <w:szCs w:val="21"/>
          <w:lang w:val="fr-FR"/>
        </w:rPr>
        <w:t xml:space="preserve">. </w:t>
      </w:r>
      <w:r w:rsidR="00793D2B" w:rsidRPr="00AA613E">
        <w:rPr>
          <w:rFonts w:ascii="Cambria" w:hAnsi="Cambria"/>
          <w:color w:val="000000" w:themeColor="text1"/>
          <w:sz w:val="21"/>
          <w:szCs w:val="21"/>
          <w:lang w:val="fr-FR"/>
        </w:rPr>
        <w:t>La Commission signale que les requérants n’ont fourni aucune information spécifique concernant la temporalité de cette pratique, les circonstances dans lesquelles ladite pratique aurait été vérifiée, les détenus qui en auraient été victimes et le possible impact de cette immobilisation sur les blessures et lésions de tout type</w:t>
      </w:r>
      <w:r w:rsidRPr="00AA613E">
        <w:rPr>
          <w:rFonts w:ascii="Cambria" w:hAnsi="Cambria"/>
          <w:color w:val="000000" w:themeColor="text1"/>
          <w:sz w:val="21"/>
          <w:szCs w:val="21"/>
          <w:lang w:val="fr-FR"/>
        </w:rPr>
        <w:t xml:space="preserve">. </w:t>
      </w:r>
      <w:r w:rsidR="003A580C" w:rsidRPr="00AA613E">
        <w:rPr>
          <w:rFonts w:ascii="Cambria" w:hAnsi="Cambria"/>
          <w:color w:val="000000" w:themeColor="text1"/>
          <w:sz w:val="21"/>
          <w:szCs w:val="21"/>
          <w:lang w:val="fr-FR"/>
        </w:rPr>
        <w:t>En dépit de ce qui précède, les informations disponibles lors du suivi de la présente demande indiquent une cont</w:t>
      </w:r>
      <w:r w:rsidR="00AA226F" w:rsidRPr="00AA613E">
        <w:rPr>
          <w:rFonts w:ascii="Cambria" w:hAnsi="Cambria"/>
          <w:color w:val="000000" w:themeColor="text1"/>
          <w:sz w:val="21"/>
          <w:szCs w:val="21"/>
          <w:lang w:val="fr-FR"/>
        </w:rPr>
        <w:t>inuité dans l’usage des fers et l</w:t>
      </w:r>
      <w:r w:rsidR="003A580C" w:rsidRPr="00AA613E">
        <w:rPr>
          <w:rFonts w:ascii="Cambria" w:hAnsi="Cambria"/>
          <w:color w:val="000000" w:themeColor="text1"/>
          <w:sz w:val="21"/>
          <w:szCs w:val="21"/>
          <w:lang w:val="fr-FR"/>
        </w:rPr>
        <w:t xml:space="preserve">a Commission n’a reçu </w:t>
      </w:r>
      <w:r w:rsidR="00C963D3" w:rsidRPr="00AA613E">
        <w:rPr>
          <w:rFonts w:ascii="Cambria" w:hAnsi="Cambria"/>
          <w:color w:val="000000" w:themeColor="text1"/>
          <w:sz w:val="21"/>
          <w:szCs w:val="21"/>
          <w:lang w:val="fr-FR"/>
        </w:rPr>
        <w:t xml:space="preserve">aucune </w:t>
      </w:r>
      <w:r w:rsidR="003A580C" w:rsidRPr="00AA613E">
        <w:rPr>
          <w:rFonts w:ascii="Cambria" w:hAnsi="Cambria"/>
          <w:color w:val="000000" w:themeColor="text1"/>
          <w:sz w:val="21"/>
          <w:szCs w:val="21"/>
          <w:lang w:val="fr-FR"/>
        </w:rPr>
        <w:t xml:space="preserve">réponse de l’État </w:t>
      </w:r>
      <w:r w:rsidR="00C963D3" w:rsidRPr="00AA613E">
        <w:rPr>
          <w:rFonts w:ascii="Cambria" w:hAnsi="Cambria"/>
          <w:color w:val="000000" w:themeColor="text1"/>
          <w:sz w:val="21"/>
          <w:szCs w:val="21"/>
          <w:lang w:val="fr-FR"/>
        </w:rPr>
        <w:t xml:space="preserve">réfutant cette affirmation </w:t>
      </w:r>
      <w:r w:rsidR="00AA613E" w:rsidRPr="00AA613E">
        <w:rPr>
          <w:rFonts w:ascii="Cambria" w:hAnsi="Cambria"/>
          <w:color w:val="000000" w:themeColor="text1"/>
          <w:sz w:val="21"/>
          <w:szCs w:val="21"/>
          <w:lang w:val="fr-FR"/>
        </w:rPr>
        <w:t>ou</w:t>
      </w:r>
      <w:r w:rsidR="00C963D3" w:rsidRPr="00AA613E">
        <w:rPr>
          <w:rFonts w:ascii="Cambria" w:hAnsi="Cambria"/>
          <w:color w:val="000000" w:themeColor="text1"/>
          <w:sz w:val="21"/>
          <w:szCs w:val="21"/>
          <w:lang w:val="fr-FR"/>
        </w:rPr>
        <w:t xml:space="preserve"> la preuve photographique présentée par les requérants</w:t>
      </w:r>
      <w:r w:rsidRPr="00AA613E">
        <w:rPr>
          <w:rFonts w:ascii="Cambria" w:hAnsi="Cambria"/>
          <w:color w:val="000000" w:themeColor="text1"/>
          <w:sz w:val="21"/>
          <w:szCs w:val="21"/>
          <w:lang w:val="fr-FR"/>
        </w:rPr>
        <w:t>.</w:t>
      </w:r>
    </w:p>
    <w:p w:rsidR="00A205DC" w:rsidRPr="00AA613E" w:rsidRDefault="00A205DC" w:rsidP="00A205DC">
      <w:pPr>
        <w:pStyle w:val="ListParagraph"/>
        <w:spacing w:after="0" w:line="240" w:lineRule="auto"/>
        <w:ind w:left="360"/>
        <w:jc w:val="both"/>
        <w:rPr>
          <w:rFonts w:ascii="Cambria" w:hAnsi="Cambria"/>
          <w:color w:val="000000" w:themeColor="text1"/>
          <w:sz w:val="21"/>
          <w:szCs w:val="21"/>
          <w:lang w:val="fr-FR"/>
        </w:rPr>
      </w:pPr>
    </w:p>
    <w:p w:rsidR="00A205DC" w:rsidRPr="00AA613E" w:rsidRDefault="00A26C1F" w:rsidP="00A205DC">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Compte tenu de ce qui précède</w:t>
      </w:r>
      <w:r w:rsidR="00A205DC" w:rsidRPr="00AA613E">
        <w:rPr>
          <w:rFonts w:ascii="Cambria" w:hAnsi="Cambria"/>
          <w:color w:val="000000" w:themeColor="text1"/>
          <w:sz w:val="21"/>
          <w:szCs w:val="21"/>
          <w:lang w:val="fr-FR"/>
        </w:rPr>
        <w:t xml:space="preserve">, </w:t>
      </w:r>
      <w:r w:rsidRPr="00AA613E">
        <w:rPr>
          <w:rFonts w:ascii="Cambria" w:hAnsi="Cambria"/>
          <w:color w:val="000000" w:themeColor="text1"/>
          <w:sz w:val="21"/>
          <w:szCs w:val="21"/>
          <w:lang w:val="fr-FR"/>
        </w:rPr>
        <w:t xml:space="preserve">et en raison de la norme </w:t>
      </w:r>
      <w:r w:rsidR="00A205DC" w:rsidRPr="00AA613E">
        <w:rPr>
          <w:rFonts w:ascii="Cambria" w:hAnsi="Cambria"/>
          <w:i/>
          <w:color w:val="000000" w:themeColor="text1"/>
          <w:sz w:val="21"/>
          <w:szCs w:val="21"/>
          <w:lang w:val="fr-FR"/>
        </w:rPr>
        <w:t xml:space="preserve">prima </w:t>
      </w:r>
      <w:proofErr w:type="spellStart"/>
      <w:r w:rsidR="00A205DC" w:rsidRPr="00AA613E">
        <w:rPr>
          <w:rFonts w:ascii="Cambria" w:hAnsi="Cambria"/>
          <w:i/>
          <w:color w:val="000000" w:themeColor="text1"/>
          <w:sz w:val="21"/>
          <w:szCs w:val="21"/>
          <w:lang w:val="fr-FR"/>
        </w:rPr>
        <w:t>facie</w:t>
      </w:r>
      <w:proofErr w:type="spellEnd"/>
      <w:r w:rsidR="00A205DC" w:rsidRPr="00AA613E">
        <w:rPr>
          <w:rFonts w:ascii="Cambria" w:hAnsi="Cambria"/>
          <w:color w:val="000000" w:themeColor="text1"/>
          <w:sz w:val="21"/>
          <w:szCs w:val="21"/>
          <w:lang w:val="fr-FR"/>
        </w:rPr>
        <w:t xml:space="preserve"> ap</w:t>
      </w:r>
      <w:r w:rsidRPr="00AA613E">
        <w:rPr>
          <w:rFonts w:ascii="Cambria" w:hAnsi="Cambria"/>
          <w:color w:val="000000" w:themeColor="text1"/>
          <w:sz w:val="21"/>
          <w:szCs w:val="21"/>
          <w:lang w:val="fr-FR"/>
        </w:rPr>
        <w:t>p</w:t>
      </w:r>
      <w:r w:rsidR="00A205DC" w:rsidRPr="00AA613E">
        <w:rPr>
          <w:rFonts w:ascii="Cambria" w:hAnsi="Cambria"/>
          <w:color w:val="000000" w:themeColor="text1"/>
          <w:sz w:val="21"/>
          <w:szCs w:val="21"/>
          <w:lang w:val="fr-FR"/>
        </w:rPr>
        <w:t xml:space="preserve">licable </w:t>
      </w:r>
      <w:r w:rsidRPr="00AA613E">
        <w:rPr>
          <w:rFonts w:ascii="Cambria" w:hAnsi="Cambria"/>
          <w:color w:val="000000" w:themeColor="text1"/>
          <w:sz w:val="21"/>
          <w:szCs w:val="21"/>
          <w:lang w:val="fr-FR"/>
        </w:rPr>
        <w:t>à l’an</w:t>
      </w:r>
      <w:r w:rsidR="00AF0D00" w:rsidRPr="00AA613E">
        <w:rPr>
          <w:rFonts w:ascii="Cambria" w:hAnsi="Cambria"/>
          <w:color w:val="000000" w:themeColor="text1"/>
          <w:sz w:val="21"/>
          <w:szCs w:val="21"/>
          <w:lang w:val="fr-FR"/>
        </w:rPr>
        <w:t>a</w:t>
      </w:r>
      <w:r w:rsidRPr="00AA613E">
        <w:rPr>
          <w:rFonts w:ascii="Cambria" w:hAnsi="Cambria"/>
          <w:color w:val="000000" w:themeColor="text1"/>
          <w:sz w:val="21"/>
          <w:szCs w:val="21"/>
          <w:lang w:val="fr-FR"/>
        </w:rPr>
        <w:t>lyse des mesures conservatoires</w:t>
      </w:r>
      <w:r w:rsidR="00A205DC" w:rsidRPr="00AA613E">
        <w:rPr>
          <w:rFonts w:ascii="Cambria" w:hAnsi="Cambria"/>
          <w:color w:val="000000" w:themeColor="text1"/>
          <w:sz w:val="21"/>
          <w:szCs w:val="21"/>
          <w:lang w:val="fr-FR"/>
        </w:rPr>
        <w:t xml:space="preserve">, la </w:t>
      </w:r>
      <w:r w:rsidR="001110F3" w:rsidRPr="00AA613E">
        <w:rPr>
          <w:rFonts w:ascii="Cambria" w:hAnsi="Cambria"/>
          <w:color w:val="000000" w:themeColor="text1"/>
          <w:sz w:val="21"/>
          <w:szCs w:val="21"/>
          <w:lang w:val="fr-FR"/>
        </w:rPr>
        <w:t xml:space="preserve">Commission signale que la situation décrite remplit la condition de gravité </w:t>
      </w:r>
      <w:r w:rsidR="00AA613E" w:rsidRPr="00AA613E">
        <w:rPr>
          <w:rFonts w:ascii="Cambria" w:hAnsi="Cambria"/>
          <w:color w:val="000000" w:themeColor="text1"/>
          <w:sz w:val="21"/>
          <w:szCs w:val="21"/>
          <w:lang w:val="fr-FR"/>
        </w:rPr>
        <w:t>en raison</w:t>
      </w:r>
      <w:r w:rsidR="00AF0D00" w:rsidRPr="00AA613E">
        <w:rPr>
          <w:rFonts w:ascii="Cambria" w:hAnsi="Cambria"/>
          <w:color w:val="000000" w:themeColor="text1"/>
          <w:sz w:val="21"/>
          <w:szCs w:val="21"/>
          <w:lang w:val="fr-FR"/>
        </w:rPr>
        <w:t xml:space="preserve"> du </w:t>
      </w:r>
      <w:r w:rsidR="001110F3" w:rsidRPr="00AA613E">
        <w:rPr>
          <w:rFonts w:ascii="Cambria" w:hAnsi="Cambria"/>
          <w:color w:val="000000" w:themeColor="text1"/>
          <w:sz w:val="21"/>
          <w:szCs w:val="21"/>
          <w:lang w:val="fr-FR"/>
        </w:rPr>
        <w:t>grave impact que pourrait avoir l’usage des fers sur les personnes détenues à l’hôpital, aggravant ainsi la situation de ces personnes qui sont hospitalisées pour des raisons liées à des maladies ou des souffrances</w:t>
      </w:r>
      <w:r w:rsidR="00A205DC" w:rsidRPr="00AA613E">
        <w:rPr>
          <w:rFonts w:ascii="Cambria" w:hAnsi="Cambria"/>
          <w:color w:val="000000" w:themeColor="text1"/>
          <w:sz w:val="21"/>
          <w:szCs w:val="21"/>
          <w:lang w:val="fr-FR"/>
        </w:rPr>
        <w:t xml:space="preserve">. </w:t>
      </w:r>
      <w:r w:rsidR="00AF0D00" w:rsidRPr="00AA613E">
        <w:rPr>
          <w:rFonts w:ascii="Cambria" w:hAnsi="Cambria"/>
          <w:color w:val="000000" w:themeColor="text1"/>
          <w:sz w:val="21"/>
          <w:szCs w:val="21"/>
          <w:lang w:val="fr-FR"/>
        </w:rPr>
        <w:t xml:space="preserve">De même, en ce qui concerne la condition d’urgence, la Commission </w:t>
      </w:r>
      <w:r w:rsidR="00D1064C">
        <w:rPr>
          <w:rFonts w:ascii="Cambria" w:hAnsi="Cambria"/>
          <w:color w:val="000000" w:themeColor="text1"/>
          <w:sz w:val="21"/>
          <w:szCs w:val="21"/>
          <w:lang w:val="fr-FR"/>
        </w:rPr>
        <w:t xml:space="preserve">considère </w:t>
      </w:r>
      <w:r w:rsidR="00AF0D00" w:rsidRPr="00AA613E">
        <w:rPr>
          <w:rFonts w:ascii="Cambria" w:hAnsi="Cambria"/>
          <w:color w:val="000000" w:themeColor="text1"/>
          <w:sz w:val="21"/>
          <w:szCs w:val="21"/>
          <w:lang w:val="fr-FR"/>
        </w:rPr>
        <w:t>que la situation nécessite l’adoption de mesures immédiates pour assurer la protection des détenus et mettre un terme aux conditions de détention décrites</w:t>
      </w:r>
      <w:r w:rsidR="00A205DC" w:rsidRPr="00AA613E">
        <w:rPr>
          <w:rFonts w:ascii="Cambria" w:hAnsi="Cambria"/>
          <w:color w:val="000000" w:themeColor="text1"/>
          <w:sz w:val="21"/>
          <w:szCs w:val="21"/>
          <w:lang w:val="fr-FR"/>
        </w:rPr>
        <w:t xml:space="preserve">. </w:t>
      </w:r>
      <w:r w:rsidR="00AF0D00" w:rsidRPr="00AA613E">
        <w:rPr>
          <w:rFonts w:ascii="Cambria" w:hAnsi="Cambria"/>
          <w:color w:val="000000" w:themeColor="text1"/>
          <w:sz w:val="21"/>
          <w:szCs w:val="21"/>
          <w:lang w:val="fr-FR"/>
        </w:rPr>
        <w:t>Enfin, en ce qui concerne la condition de dommage irréparable, la Commission estime que l’atteinte à l’intégrité personnelle, en particulier en raison de l’impact de la possible immobilisation physi</w:t>
      </w:r>
      <w:r w:rsidR="00C7643E" w:rsidRPr="00AA613E">
        <w:rPr>
          <w:rFonts w:ascii="Cambria" w:hAnsi="Cambria"/>
          <w:color w:val="000000" w:themeColor="text1"/>
          <w:sz w:val="21"/>
          <w:szCs w:val="21"/>
          <w:lang w:val="fr-FR"/>
        </w:rPr>
        <w:t>que prolongée sur les éventuel</w:t>
      </w:r>
      <w:r w:rsidR="00AF0D00" w:rsidRPr="00AA613E">
        <w:rPr>
          <w:rFonts w:ascii="Cambria" w:hAnsi="Cambria"/>
          <w:color w:val="000000" w:themeColor="text1"/>
          <w:sz w:val="21"/>
          <w:szCs w:val="21"/>
          <w:lang w:val="fr-FR"/>
        </w:rPr>
        <w:t>s</w:t>
      </w:r>
      <w:r w:rsidR="00C7643E" w:rsidRPr="00AA613E">
        <w:rPr>
          <w:rFonts w:ascii="Cambria" w:hAnsi="Cambria"/>
          <w:color w:val="000000" w:themeColor="text1"/>
          <w:sz w:val="21"/>
          <w:szCs w:val="21"/>
          <w:lang w:val="fr-FR"/>
        </w:rPr>
        <w:t xml:space="preserve"> </w:t>
      </w:r>
      <w:r w:rsidR="00AA613E" w:rsidRPr="00AA613E">
        <w:rPr>
          <w:rFonts w:ascii="Cambria" w:hAnsi="Cambria"/>
          <w:color w:val="000000" w:themeColor="text1"/>
          <w:sz w:val="21"/>
          <w:szCs w:val="21"/>
          <w:lang w:val="fr-FR"/>
        </w:rPr>
        <w:t>éléments</w:t>
      </w:r>
      <w:r w:rsidR="00C7643E" w:rsidRPr="00AA613E">
        <w:rPr>
          <w:rFonts w:ascii="Cambria" w:hAnsi="Cambria"/>
          <w:color w:val="000000" w:themeColor="text1"/>
          <w:sz w:val="21"/>
          <w:szCs w:val="21"/>
          <w:lang w:val="fr-FR"/>
        </w:rPr>
        <w:t xml:space="preserve"> décrits précédemment </w:t>
      </w:r>
      <w:r w:rsidR="00A205DC" w:rsidRPr="00AA613E">
        <w:rPr>
          <w:rFonts w:ascii="Cambria" w:hAnsi="Cambria"/>
          <w:color w:val="000000" w:themeColor="text1"/>
          <w:sz w:val="21"/>
          <w:szCs w:val="21"/>
          <w:lang w:val="fr-FR"/>
        </w:rPr>
        <w:t>(</w:t>
      </w:r>
      <w:r w:rsidR="00AF0D00" w:rsidRPr="00AA613E">
        <w:rPr>
          <w:rFonts w:ascii="Cambria" w:hAnsi="Cambria"/>
          <w:color w:val="000000" w:themeColor="text1"/>
          <w:sz w:val="21"/>
          <w:szCs w:val="21"/>
          <w:lang w:val="fr-FR"/>
        </w:rPr>
        <w:t>paragraphe</w:t>
      </w:r>
      <w:r w:rsidR="00A205DC" w:rsidRPr="00AA613E">
        <w:rPr>
          <w:rFonts w:ascii="Cambria" w:hAnsi="Cambria"/>
          <w:color w:val="000000" w:themeColor="text1"/>
          <w:sz w:val="21"/>
          <w:szCs w:val="21"/>
          <w:lang w:val="fr-FR"/>
        </w:rPr>
        <w:t xml:space="preserve"> 29</w:t>
      </w:r>
      <w:r w:rsidR="00AF0D00" w:rsidRPr="00AA613E">
        <w:rPr>
          <w:rFonts w:ascii="Cambria" w:hAnsi="Cambria"/>
          <w:color w:val="000000" w:themeColor="text1"/>
          <w:sz w:val="21"/>
          <w:szCs w:val="21"/>
          <w:lang w:val="fr-FR"/>
        </w:rPr>
        <w:t xml:space="preserve"> ci-dessus</w:t>
      </w:r>
      <w:r w:rsidR="00A205DC" w:rsidRPr="00AA613E">
        <w:rPr>
          <w:rFonts w:ascii="Cambria" w:hAnsi="Cambria"/>
          <w:color w:val="000000" w:themeColor="text1"/>
          <w:sz w:val="21"/>
          <w:szCs w:val="21"/>
          <w:lang w:val="fr-FR"/>
        </w:rPr>
        <w:t xml:space="preserve">), </w:t>
      </w:r>
      <w:r w:rsidR="00AF0D00" w:rsidRPr="00AA613E">
        <w:rPr>
          <w:rFonts w:ascii="Cambria" w:hAnsi="Cambria"/>
          <w:color w:val="000000" w:themeColor="text1"/>
          <w:sz w:val="21"/>
          <w:szCs w:val="21"/>
          <w:lang w:val="fr-FR"/>
        </w:rPr>
        <w:t>remplit cette condition</w:t>
      </w:r>
      <w:r w:rsidR="00A205DC" w:rsidRPr="00AA613E">
        <w:rPr>
          <w:rFonts w:ascii="Cambria" w:hAnsi="Cambria"/>
          <w:color w:val="000000" w:themeColor="text1"/>
          <w:sz w:val="21"/>
          <w:szCs w:val="21"/>
          <w:lang w:val="fr-FR"/>
        </w:rPr>
        <w:t xml:space="preserve">. </w:t>
      </w:r>
    </w:p>
    <w:p w:rsidR="009A7179" w:rsidRPr="00AA613E" w:rsidRDefault="009A7179" w:rsidP="008677AF">
      <w:pPr>
        <w:spacing w:after="0" w:line="240" w:lineRule="auto"/>
        <w:jc w:val="both"/>
        <w:rPr>
          <w:rFonts w:ascii="Cambria" w:hAnsi="Cambria"/>
          <w:color w:val="000000" w:themeColor="text1"/>
          <w:sz w:val="21"/>
          <w:szCs w:val="21"/>
          <w:lang w:val="fr-FR"/>
        </w:rPr>
      </w:pPr>
    </w:p>
    <w:p w:rsidR="004A7406" w:rsidRPr="00AA613E" w:rsidRDefault="00CF521D" w:rsidP="00A47CE1">
      <w:pPr>
        <w:pStyle w:val="ListParagraph"/>
        <w:numPr>
          <w:ilvl w:val="0"/>
          <w:numId w:val="15"/>
        </w:numPr>
        <w:spacing w:after="0" w:line="240" w:lineRule="auto"/>
        <w:jc w:val="both"/>
        <w:rPr>
          <w:rFonts w:ascii="Cambria" w:hAnsi="Cambria"/>
          <w:b/>
          <w:color w:val="000000" w:themeColor="text1"/>
          <w:sz w:val="21"/>
          <w:szCs w:val="21"/>
          <w:lang w:val="fr-FR"/>
        </w:rPr>
      </w:pPr>
      <w:r w:rsidRPr="00AA613E">
        <w:rPr>
          <w:rFonts w:ascii="Cambria" w:hAnsi="Cambria"/>
          <w:b/>
          <w:color w:val="000000" w:themeColor="text1"/>
          <w:sz w:val="21"/>
          <w:szCs w:val="21"/>
          <w:lang w:val="fr-FR"/>
        </w:rPr>
        <w:t>BÉNÉFICIAIRES</w:t>
      </w:r>
    </w:p>
    <w:p w:rsidR="00A47CE1" w:rsidRPr="00AA613E" w:rsidRDefault="00A47CE1" w:rsidP="00A47CE1">
      <w:pPr>
        <w:pStyle w:val="ListParagraph"/>
        <w:spacing w:after="0" w:line="240" w:lineRule="auto"/>
        <w:jc w:val="both"/>
        <w:rPr>
          <w:rFonts w:ascii="Cambria" w:hAnsi="Cambria"/>
          <w:b/>
          <w:color w:val="000000" w:themeColor="text1"/>
          <w:sz w:val="21"/>
          <w:szCs w:val="21"/>
          <w:lang w:val="fr-FR"/>
        </w:rPr>
      </w:pPr>
    </w:p>
    <w:p w:rsidR="004A7406" w:rsidRPr="00AA613E" w:rsidRDefault="004A7406" w:rsidP="00A47CE1">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La </w:t>
      </w:r>
      <w:r w:rsidR="00BF50B0" w:rsidRPr="00AA613E">
        <w:rPr>
          <w:rFonts w:ascii="Cambria" w:hAnsi="Cambria"/>
          <w:color w:val="000000" w:themeColor="text1"/>
          <w:sz w:val="21"/>
          <w:szCs w:val="21"/>
          <w:lang w:val="fr-FR"/>
        </w:rPr>
        <w:t>Com</w:t>
      </w:r>
      <w:r w:rsidR="00CF521D" w:rsidRPr="00AA613E">
        <w:rPr>
          <w:rFonts w:ascii="Cambria" w:hAnsi="Cambria"/>
          <w:color w:val="000000" w:themeColor="text1"/>
          <w:sz w:val="21"/>
          <w:szCs w:val="21"/>
          <w:lang w:val="fr-FR"/>
        </w:rPr>
        <w:t xml:space="preserve">mission considère </w:t>
      </w:r>
      <w:r w:rsidR="001E17C6" w:rsidRPr="00AA613E">
        <w:rPr>
          <w:rFonts w:ascii="Cambria" w:hAnsi="Cambria"/>
          <w:color w:val="000000" w:themeColor="text1"/>
          <w:sz w:val="21"/>
          <w:szCs w:val="21"/>
          <w:lang w:val="fr-FR"/>
        </w:rPr>
        <w:t xml:space="preserve">comme bénéficiaires de la présente mesure conservatoire les personnes privées de liberté </w:t>
      </w:r>
      <w:r w:rsidR="004E6764" w:rsidRPr="00AA613E">
        <w:rPr>
          <w:rFonts w:ascii="Cambria" w:hAnsi="Cambria"/>
          <w:color w:val="000000" w:themeColor="text1"/>
          <w:sz w:val="21"/>
          <w:szCs w:val="21"/>
          <w:lang w:val="fr-FR"/>
        </w:rPr>
        <w:t>dans le</w:t>
      </w:r>
      <w:r w:rsidR="001E17C6" w:rsidRPr="00AA613E">
        <w:rPr>
          <w:rFonts w:ascii="Cambria" w:hAnsi="Cambria"/>
          <w:color w:val="000000" w:themeColor="text1"/>
          <w:sz w:val="21"/>
          <w:szCs w:val="21"/>
          <w:lang w:val="fr-FR"/>
        </w:rPr>
        <w:t xml:space="preserve"> pénitencier national </w:t>
      </w:r>
      <w:r w:rsidR="00A85B22">
        <w:rPr>
          <w:rFonts w:ascii="Cambria" w:hAnsi="Cambria"/>
          <w:color w:val="000000" w:themeColor="text1"/>
          <w:sz w:val="21"/>
          <w:szCs w:val="21"/>
          <w:lang w:val="fr-FR"/>
        </w:rPr>
        <w:t>et l’hôpital général</w:t>
      </w:r>
      <w:r w:rsidR="00A85B22" w:rsidRPr="00AA613E">
        <w:rPr>
          <w:rFonts w:ascii="Cambria" w:hAnsi="Cambria"/>
          <w:color w:val="000000" w:themeColor="text1"/>
          <w:sz w:val="21"/>
          <w:szCs w:val="21"/>
          <w:lang w:val="fr-FR"/>
        </w:rPr>
        <w:t xml:space="preserve"> </w:t>
      </w:r>
      <w:r w:rsidR="001E17C6" w:rsidRPr="00AA613E">
        <w:rPr>
          <w:rFonts w:ascii="Cambria" w:hAnsi="Cambria"/>
          <w:color w:val="000000" w:themeColor="text1"/>
          <w:sz w:val="21"/>
          <w:szCs w:val="21"/>
          <w:lang w:val="fr-FR"/>
        </w:rPr>
        <w:t>de Port-au-Prince</w:t>
      </w:r>
      <w:r w:rsidR="008F3777" w:rsidRPr="00AA613E">
        <w:rPr>
          <w:rFonts w:ascii="Cambria" w:hAnsi="Cambria"/>
          <w:color w:val="000000" w:themeColor="text1"/>
          <w:sz w:val="21"/>
          <w:szCs w:val="21"/>
          <w:lang w:val="fr-FR"/>
        </w:rPr>
        <w:t>,</w:t>
      </w:r>
      <w:r w:rsidR="003F5FCF" w:rsidRPr="00AA613E">
        <w:rPr>
          <w:rFonts w:ascii="Cambria" w:hAnsi="Cambria"/>
          <w:color w:val="000000" w:themeColor="text1"/>
          <w:sz w:val="21"/>
          <w:szCs w:val="21"/>
          <w:lang w:val="fr-FR"/>
        </w:rPr>
        <w:t xml:space="preserve"> qui sont déterminables selon les dispositions de l’article </w:t>
      </w:r>
      <w:r w:rsidR="00A17ECE" w:rsidRPr="00AA613E">
        <w:rPr>
          <w:rFonts w:ascii="Cambria" w:hAnsi="Cambria"/>
          <w:color w:val="000000" w:themeColor="text1"/>
          <w:sz w:val="21"/>
          <w:szCs w:val="21"/>
          <w:lang w:val="fr-FR"/>
        </w:rPr>
        <w:t xml:space="preserve">25.6.b </w:t>
      </w:r>
      <w:r w:rsidR="003F5FCF" w:rsidRPr="00AA613E">
        <w:rPr>
          <w:rFonts w:ascii="Cambria" w:hAnsi="Cambria"/>
          <w:color w:val="000000" w:themeColor="text1"/>
          <w:sz w:val="21"/>
          <w:szCs w:val="21"/>
          <w:lang w:val="fr-FR"/>
        </w:rPr>
        <w:t>du Règlement</w:t>
      </w:r>
      <w:r w:rsidR="00A17ECE" w:rsidRPr="00AA613E">
        <w:rPr>
          <w:rFonts w:ascii="Cambria" w:hAnsi="Cambria"/>
          <w:color w:val="000000" w:themeColor="text1"/>
          <w:sz w:val="21"/>
          <w:szCs w:val="21"/>
          <w:lang w:val="fr-FR"/>
        </w:rPr>
        <w:t xml:space="preserve"> de la CIDH.</w:t>
      </w:r>
    </w:p>
    <w:p w:rsidR="00F567B9" w:rsidRPr="00AA613E" w:rsidRDefault="00F567B9" w:rsidP="008677AF">
      <w:pPr>
        <w:spacing w:after="0" w:line="240" w:lineRule="auto"/>
        <w:jc w:val="both"/>
        <w:rPr>
          <w:rFonts w:ascii="Cambria" w:hAnsi="Cambria"/>
          <w:color w:val="000000" w:themeColor="text1"/>
          <w:sz w:val="21"/>
          <w:szCs w:val="21"/>
          <w:lang w:val="fr-FR"/>
        </w:rPr>
      </w:pPr>
    </w:p>
    <w:p w:rsidR="004A7406" w:rsidRPr="00AA613E" w:rsidRDefault="00EF03E7" w:rsidP="00A47CE1">
      <w:pPr>
        <w:pStyle w:val="ListParagraph"/>
        <w:numPr>
          <w:ilvl w:val="0"/>
          <w:numId w:val="15"/>
        </w:numPr>
        <w:spacing w:after="0" w:line="240" w:lineRule="auto"/>
        <w:jc w:val="both"/>
        <w:rPr>
          <w:rFonts w:ascii="Cambria" w:hAnsi="Cambria"/>
          <w:b/>
          <w:color w:val="000000" w:themeColor="text1"/>
          <w:sz w:val="21"/>
          <w:szCs w:val="21"/>
          <w:lang w:val="fr-FR"/>
        </w:rPr>
      </w:pPr>
      <w:r w:rsidRPr="00AA613E">
        <w:rPr>
          <w:rFonts w:ascii="Cambria" w:hAnsi="Cambria"/>
          <w:b/>
          <w:color w:val="000000" w:themeColor="text1"/>
          <w:sz w:val="21"/>
          <w:szCs w:val="21"/>
          <w:lang w:val="fr-FR"/>
        </w:rPr>
        <w:t>DÉCISIO</w:t>
      </w:r>
      <w:r w:rsidR="004A7406" w:rsidRPr="00AA613E">
        <w:rPr>
          <w:rFonts w:ascii="Cambria" w:hAnsi="Cambria"/>
          <w:b/>
          <w:color w:val="000000" w:themeColor="text1"/>
          <w:sz w:val="21"/>
          <w:szCs w:val="21"/>
          <w:lang w:val="fr-FR"/>
        </w:rPr>
        <w:t xml:space="preserve">N </w:t>
      </w:r>
    </w:p>
    <w:p w:rsidR="00A47CE1" w:rsidRPr="00AA613E" w:rsidRDefault="00A47CE1" w:rsidP="00A47CE1">
      <w:pPr>
        <w:pStyle w:val="ListParagraph"/>
        <w:spacing w:after="0" w:line="240" w:lineRule="auto"/>
        <w:jc w:val="both"/>
        <w:rPr>
          <w:rFonts w:ascii="Cambria" w:hAnsi="Cambria"/>
          <w:b/>
          <w:color w:val="000000" w:themeColor="text1"/>
          <w:sz w:val="21"/>
          <w:szCs w:val="21"/>
          <w:lang w:val="fr-FR"/>
        </w:rPr>
      </w:pPr>
    </w:p>
    <w:p w:rsidR="004A7406" w:rsidRPr="00AA613E" w:rsidRDefault="008F3777" w:rsidP="00A47CE1">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Au vu des antécédents signalés</w:t>
      </w:r>
      <w:r w:rsidR="004A7406" w:rsidRPr="00AA613E">
        <w:rPr>
          <w:rFonts w:ascii="Cambria" w:hAnsi="Cambria"/>
          <w:color w:val="000000" w:themeColor="text1"/>
          <w:sz w:val="21"/>
          <w:szCs w:val="21"/>
          <w:lang w:val="fr-FR"/>
        </w:rPr>
        <w:t xml:space="preserve">, la CIDH </w:t>
      </w:r>
      <w:r w:rsidRPr="00AA613E">
        <w:rPr>
          <w:rFonts w:ascii="Cambria" w:hAnsi="Cambria"/>
          <w:color w:val="000000" w:themeColor="text1"/>
          <w:sz w:val="21"/>
          <w:szCs w:val="21"/>
          <w:lang w:val="fr-FR"/>
        </w:rPr>
        <w:t xml:space="preserve">estime que la présente affaire réunit </w:t>
      </w:r>
      <w:r w:rsidR="004A7406" w:rsidRPr="00AA613E">
        <w:rPr>
          <w:rFonts w:ascii="Cambria" w:hAnsi="Cambria"/>
          <w:i/>
          <w:color w:val="000000" w:themeColor="text1"/>
          <w:sz w:val="21"/>
          <w:szCs w:val="21"/>
          <w:lang w:val="fr-FR"/>
        </w:rPr>
        <w:t xml:space="preserve">prima </w:t>
      </w:r>
      <w:proofErr w:type="spellStart"/>
      <w:r w:rsidR="004A7406" w:rsidRPr="00AA613E">
        <w:rPr>
          <w:rFonts w:ascii="Cambria" w:hAnsi="Cambria"/>
          <w:i/>
          <w:color w:val="000000" w:themeColor="text1"/>
          <w:sz w:val="21"/>
          <w:szCs w:val="21"/>
          <w:lang w:val="fr-FR"/>
        </w:rPr>
        <w:t>facie</w:t>
      </w:r>
      <w:proofErr w:type="spellEnd"/>
      <w:r w:rsidRPr="00AA613E">
        <w:rPr>
          <w:rFonts w:ascii="Cambria" w:hAnsi="Cambria"/>
          <w:color w:val="000000" w:themeColor="text1"/>
          <w:sz w:val="21"/>
          <w:szCs w:val="21"/>
          <w:lang w:val="fr-FR"/>
        </w:rPr>
        <w:t xml:space="preserve"> le</w:t>
      </w:r>
      <w:r w:rsidR="004A7406" w:rsidRPr="00AA613E">
        <w:rPr>
          <w:rFonts w:ascii="Cambria" w:hAnsi="Cambria"/>
          <w:color w:val="000000" w:themeColor="text1"/>
          <w:sz w:val="21"/>
          <w:szCs w:val="21"/>
          <w:lang w:val="fr-FR"/>
        </w:rPr>
        <w:t>s</w:t>
      </w:r>
      <w:r w:rsidRPr="00AA613E">
        <w:rPr>
          <w:rFonts w:ascii="Cambria" w:hAnsi="Cambria"/>
          <w:color w:val="000000" w:themeColor="text1"/>
          <w:sz w:val="21"/>
          <w:szCs w:val="21"/>
          <w:lang w:val="fr-FR"/>
        </w:rPr>
        <w:t xml:space="preserve"> conditions de gravité, d’urgence et de dommage irréparable contenues à l’article </w:t>
      </w:r>
      <w:r w:rsidR="004A7406" w:rsidRPr="00AA613E">
        <w:rPr>
          <w:rFonts w:ascii="Cambria" w:hAnsi="Cambria"/>
          <w:color w:val="000000" w:themeColor="text1"/>
          <w:sz w:val="21"/>
          <w:szCs w:val="21"/>
          <w:lang w:val="fr-FR"/>
        </w:rPr>
        <w:t>25 de s</w:t>
      </w:r>
      <w:r w:rsidRPr="00AA613E">
        <w:rPr>
          <w:rFonts w:ascii="Cambria" w:hAnsi="Cambria"/>
          <w:color w:val="000000" w:themeColor="text1"/>
          <w:sz w:val="21"/>
          <w:szCs w:val="21"/>
          <w:lang w:val="fr-FR"/>
        </w:rPr>
        <w:t>on</w:t>
      </w:r>
      <w:r w:rsidR="004A7406" w:rsidRPr="00AA613E">
        <w:rPr>
          <w:rFonts w:ascii="Cambria" w:hAnsi="Cambria"/>
          <w:color w:val="000000" w:themeColor="text1"/>
          <w:sz w:val="21"/>
          <w:szCs w:val="21"/>
          <w:lang w:val="fr-FR"/>
        </w:rPr>
        <w:t xml:space="preserve"> R</w:t>
      </w:r>
      <w:r w:rsidRPr="00AA613E">
        <w:rPr>
          <w:rFonts w:ascii="Cambria" w:hAnsi="Cambria"/>
          <w:color w:val="000000" w:themeColor="text1"/>
          <w:sz w:val="21"/>
          <w:szCs w:val="21"/>
          <w:lang w:val="fr-FR"/>
        </w:rPr>
        <w:t>èglement</w:t>
      </w:r>
      <w:r w:rsidR="004A7406" w:rsidRPr="00AA613E">
        <w:rPr>
          <w:rFonts w:ascii="Cambria" w:hAnsi="Cambria"/>
          <w:color w:val="000000" w:themeColor="text1"/>
          <w:sz w:val="21"/>
          <w:szCs w:val="21"/>
          <w:lang w:val="fr-FR"/>
        </w:rPr>
        <w:t xml:space="preserve">. </w:t>
      </w:r>
      <w:r w:rsidRPr="00AA613E">
        <w:rPr>
          <w:rFonts w:ascii="Cambria" w:hAnsi="Cambria"/>
          <w:color w:val="000000" w:themeColor="text1"/>
          <w:sz w:val="21"/>
          <w:szCs w:val="21"/>
          <w:lang w:val="fr-FR"/>
        </w:rPr>
        <w:t>Par conséquent, la Commission demande à l’État haïtien </w:t>
      </w:r>
      <w:r w:rsidR="004A7406" w:rsidRPr="00AA613E">
        <w:rPr>
          <w:rFonts w:ascii="Cambria" w:hAnsi="Cambria"/>
          <w:color w:val="000000" w:themeColor="text1"/>
          <w:sz w:val="21"/>
          <w:szCs w:val="21"/>
          <w:lang w:val="fr-FR"/>
        </w:rPr>
        <w:t>:</w:t>
      </w:r>
    </w:p>
    <w:p w:rsidR="00A17ECE" w:rsidRPr="00AA613E" w:rsidRDefault="00A17ECE" w:rsidP="004A7406">
      <w:pPr>
        <w:spacing w:after="0" w:line="240" w:lineRule="auto"/>
        <w:jc w:val="both"/>
        <w:rPr>
          <w:rFonts w:ascii="Cambria" w:hAnsi="Cambria"/>
          <w:color w:val="000000" w:themeColor="text1"/>
          <w:sz w:val="21"/>
          <w:szCs w:val="21"/>
          <w:lang w:val="fr-FR"/>
        </w:rPr>
      </w:pPr>
    </w:p>
    <w:p w:rsidR="00A17ECE" w:rsidRPr="00AA613E" w:rsidRDefault="00121B3B" w:rsidP="00A17ECE">
      <w:pPr>
        <w:pStyle w:val="ListParagraph"/>
        <w:numPr>
          <w:ilvl w:val="0"/>
          <w:numId w:val="11"/>
        </w:numPr>
        <w:spacing w:after="0" w:line="240" w:lineRule="auto"/>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d’adopter les mesures nécessaires afin de protéger la vie et l’intégrité personnelle des personnes privées de liberté dans le pénitencier national et l’hôpital général de Port-au-Prince. </w:t>
      </w:r>
      <w:r w:rsidR="0022496A">
        <w:rPr>
          <w:rFonts w:ascii="Cambria" w:hAnsi="Cambria"/>
          <w:color w:val="000000" w:themeColor="text1"/>
          <w:sz w:val="21"/>
          <w:szCs w:val="21"/>
          <w:lang w:val="fr-FR"/>
        </w:rPr>
        <w:t xml:space="preserve">Par ailleurs, la Commission requiert l’adoption des </w:t>
      </w:r>
      <w:r w:rsidRPr="00AA613E">
        <w:rPr>
          <w:rFonts w:ascii="Cambria" w:hAnsi="Cambria"/>
          <w:color w:val="000000" w:themeColor="text1"/>
          <w:sz w:val="21"/>
          <w:szCs w:val="21"/>
          <w:lang w:val="fr-FR"/>
        </w:rPr>
        <w:t xml:space="preserve">mesures nécessaires pour </w:t>
      </w:r>
      <w:r w:rsidRPr="00AA613E">
        <w:rPr>
          <w:rFonts w:ascii="Cambria" w:hAnsi="Cambria"/>
          <w:color w:val="000000" w:themeColor="text1"/>
          <w:sz w:val="21"/>
          <w:szCs w:val="21"/>
          <w:lang w:val="fr-FR"/>
        </w:rPr>
        <w:lastRenderedPageBreak/>
        <w:t xml:space="preserve">prévenir les maladies </w:t>
      </w:r>
      <w:r w:rsidR="0022496A">
        <w:rPr>
          <w:rFonts w:ascii="Cambria" w:hAnsi="Cambria"/>
          <w:color w:val="000000" w:themeColor="text1"/>
          <w:sz w:val="21"/>
          <w:szCs w:val="21"/>
          <w:lang w:val="fr-FR"/>
        </w:rPr>
        <w:t>signalées</w:t>
      </w:r>
      <w:r w:rsidRPr="00AA613E">
        <w:rPr>
          <w:rFonts w:ascii="Cambria" w:hAnsi="Cambria"/>
          <w:color w:val="000000" w:themeColor="text1"/>
          <w:sz w:val="21"/>
          <w:szCs w:val="21"/>
          <w:lang w:val="fr-FR"/>
        </w:rPr>
        <w:t xml:space="preserve"> et fournir un traitement approprié</w:t>
      </w:r>
      <w:r w:rsidR="0022496A">
        <w:rPr>
          <w:rFonts w:ascii="Cambria" w:hAnsi="Cambria"/>
          <w:color w:val="000000" w:themeColor="text1"/>
          <w:sz w:val="21"/>
          <w:szCs w:val="21"/>
          <w:lang w:val="fr-FR"/>
        </w:rPr>
        <w:t> ; si nécessaire</w:t>
      </w:r>
      <w:r w:rsidRPr="00AA613E">
        <w:rPr>
          <w:rFonts w:ascii="Cambria" w:hAnsi="Cambria"/>
          <w:color w:val="000000" w:themeColor="text1"/>
          <w:sz w:val="21"/>
          <w:szCs w:val="21"/>
          <w:lang w:val="fr-FR"/>
        </w:rPr>
        <w:t xml:space="preserve">, </w:t>
      </w:r>
      <w:r w:rsidR="0022496A">
        <w:rPr>
          <w:rFonts w:ascii="Cambria" w:hAnsi="Cambria"/>
          <w:color w:val="000000" w:themeColor="text1"/>
          <w:sz w:val="21"/>
          <w:szCs w:val="21"/>
          <w:lang w:val="fr-FR"/>
        </w:rPr>
        <w:t>en approchant des</w:t>
      </w:r>
      <w:r w:rsidRPr="00AA613E">
        <w:rPr>
          <w:rFonts w:ascii="Cambria" w:hAnsi="Cambria"/>
          <w:color w:val="000000" w:themeColor="text1"/>
          <w:sz w:val="21"/>
          <w:szCs w:val="21"/>
          <w:lang w:val="fr-FR"/>
        </w:rPr>
        <w:t xml:space="preserve"> organismes de coopération internationale </w:t>
      </w:r>
      <w:r w:rsidR="0022496A">
        <w:rPr>
          <w:rFonts w:ascii="Cambria" w:hAnsi="Cambria"/>
          <w:color w:val="000000" w:themeColor="text1"/>
          <w:sz w:val="21"/>
          <w:szCs w:val="21"/>
          <w:lang w:val="fr-FR"/>
        </w:rPr>
        <w:t>afin d’obtenir leur soutien</w:t>
      </w:r>
      <w:r w:rsidR="003F0DF6" w:rsidRPr="00AA613E">
        <w:rPr>
          <w:rFonts w:ascii="Cambria" w:hAnsi="Cambria"/>
          <w:color w:val="000000" w:themeColor="text1"/>
          <w:sz w:val="21"/>
          <w:szCs w:val="21"/>
          <w:lang w:val="fr-FR"/>
        </w:rPr>
        <w:t xml:space="preserve">; </w:t>
      </w:r>
    </w:p>
    <w:p w:rsidR="00A17ECE" w:rsidRPr="00AA613E" w:rsidRDefault="00A17ECE" w:rsidP="00A17ECE">
      <w:pPr>
        <w:pStyle w:val="ListParagraph"/>
        <w:spacing w:after="0" w:line="240" w:lineRule="auto"/>
        <w:jc w:val="both"/>
        <w:rPr>
          <w:rFonts w:ascii="Cambria" w:hAnsi="Cambria"/>
          <w:color w:val="000000" w:themeColor="text1"/>
          <w:sz w:val="21"/>
          <w:szCs w:val="21"/>
          <w:lang w:val="fr-FR"/>
        </w:rPr>
      </w:pPr>
    </w:p>
    <w:p w:rsidR="00A17ECE" w:rsidRPr="00AA613E" w:rsidRDefault="00035656" w:rsidP="00A17ECE">
      <w:pPr>
        <w:pStyle w:val="ListParagraph"/>
        <w:numPr>
          <w:ilvl w:val="0"/>
          <w:numId w:val="11"/>
        </w:numPr>
        <w:spacing w:after="0" w:line="240" w:lineRule="auto"/>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d’</w:t>
      </w:r>
      <w:r w:rsidR="00386D2D" w:rsidRPr="00AA613E">
        <w:rPr>
          <w:rFonts w:ascii="Cambria" w:hAnsi="Cambria"/>
          <w:color w:val="000000" w:themeColor="text1"/>
          <w:sz w:val="21"/>
          <w:szCs w:val="21"/>
          <w:lang w:val="fr-FR"/>
        </w:rPr>
        <w:t>adopte</w:t>
      </w:r>
      <w:r w:rsidRPr="00AA613E">
        <w:rPr>
          <w:rFonts w:ascii="Cambria" w:hAnsi="Cambria"/>
          <w:color w:val="000000" w:themeColor="text1"/>
          <w:sz w:val="21"/>
          <w:szCs w:val="21"/>
          <w:lang w:val="fr-FR"/>
        </w:rPr>
        <w:t>r les mesures nécessaires pour réduire progressivement la surpopulation carcérale au sein du pénitencier national de Port-au-Prince, conformément aux normes internationales </w:t>
      </w:r>
      <w:r w:rsidR="00A17ECE" w:rsidRPr="00AA613E">
        <w:rPr>
          <w:rFonts w:ascii="Cambria" w:hAnsi="Cambria"/>
          <w:color w:val="000000" w:themeColor="text1"/>
          <w:sz w:val="21"/>
          <w:szCs w:val="21"/>
          <w:lang w:val="fr-FR"/>
        </w:rPr>
        <w:t>;</w:t>
      </w:r>
    </w:p>
    <w:p w:rsidR="00A17ECE" w:rsidRPr="00AA613E" w:rsidRDefault="00A17ECE" w:rsidP="00A17ECE">
      <w:pPr>
        <w:pStyle w:val="ListParagraph"/>
        <w:spacing w:after="0" w:line="240" w:lineRule="auto"/>
        <w:jc w:val="both"/>
        <w:rPr>
          <w:rFonts w:ascii="Cambria" w:hAnsi="Cambria"/>
          <w:color w:val="000000" w:themeColor="text1"/>
          <w:sz w:val="21"/>
          <w:szCs w:val="21"/>
          <w:lang w:val="fr-FR"/>
        </w:rPr>
      </w:pPr>
    </w:p>
    <w:p w:rsidR="00A17ECE" w:rsidRPr="00AA613E" w:rsidRDefault="00D43608" w:rsidP="00A17ECE">
      <w:pPr>
        <w:pStyle w:val="ListParagraph"/>
        <w:numPr>
          <w:ilvl w:val="0"/>
          <w:numId w:val="11"/>
        </w:numPr>
        <w:spacing w:after="0" w:line="240" w:lineRule="auto"/>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d’</w:t>
      </w:r>
      <w:r w:rsidR="00386D2D" w:rsidRPr="00AA613E">
        <w:rPr>
          <w:rFonts w:ascii="Cambria" w:hAnsi="Cambria"/>
          <w:color w:val="000000" w:themeColor="text1"/>
          <w:sz w:val="21"/>
          <w:szCs w:val="21"/>
          <w:lang w:val="fr-FR"/>
        </w:rPr>
        <w:t>adopte</w:t>
      </w:r>
      <w:r w:rsidRPr="00AA613E">
        <w:rPr>
          <w:rFonts w:ascii="Cambria" w:hAnsi="Cambria"/>
          <w:color w:val="000000" w:themeColor="text1"/>
          <w:sz w:val="21"/>
          <w:szCs w:val="21"/>
          <w:lang w:val="fr-FR"/>
        </w:rPr>
        <w:t xml:space="preserve">r les mesures nécessaires pour garantir les conditions d’hygiène adéquates dans l’enceinte de l’établissement pénitentiaire et l’accès à l’eau potable et fournir les traitements médicaux appropriés aux détenus en fonction des pathologies qu’ils présentent ; </w:t>
      </w:r>
    </w:p>
    <w:p w:rsidR="00D43608" w:rsidRPr="00AA613E" w:rsidRDefault="00D43608" w:rsidP="00D43608">
      <w:pPr>
        <w:spacing w:after="0" w:line="240" w:lineRule="auto"/>
        <w:jc w:val="both"/>
        <w:rPr>
          <w:rFonts w:ascii="Cambria" w:hAnsi="Cambria"/>
          <w:color w:val="000000" w:themeColor="text1"/>
          <w:sz w:val="21"/>
          <w:szCs w:val="21"/>
          <w:lang w:val="fr-FR"/>
        </w:rPr>
      </w:pPr>
    </w:p>
    <w:p w:rsidR="009B3214" w:rsidRPr="00AA613E" w:rsidRDefault="00D43608" w:rsidP="009B3214">
      <w:pPr>
        <w:pStyle w:val="ListParagraph"/>
        <w:numPr>
          <w:ilvl w:val="0"/>
          <w:numId w:val="11"/>
        </w:numPr>
        <w:spacing w:after="0" w:line="240" w:lineRule="auto"/>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d’adopter les mesures nécessaires pour disposer de plans d’urgence face à </w:t>
      </w:r>
      <w:r w:rsidR="00D1064C">
        <w:rPr>
          <w:rFonts w:ascii="Cambria" w:hAnsi="Cambria"/>
          <w:color w:val="000000" w:themeColor="text1"/>
          <w:sz w:val="21"/>
          <w:szCs w:val="21"/>
          <w:lang w:val="fr-FR"/>
        </w:rPr>
        <w:t>toute</w:t>
      </w:r>
      <w:r w:rsidRPr="00AA613E">
        <w:rPr>
          <w:rFonts w:ascii="Cambria" w:hAnsi="Cambria"/>
          <w:color w:val="000000" w:themeColor="text1"/>
          <w:sz w:val="21"/>
          <w:szCs w:val="21"/>
          <w:lang w:val="fr-FR"/>
        </w:rPr>
        <w:t xml:space="preserve"> éventualité </w:t>
      </w:r>
      <w:r w:rsidR="00A17ECE" w:rsidRPr="00AA613E">
        <w:rPr>
          <w:rFonts w:ascii="Cambria" w:hAnsi="Cambria"/>
          <w:color w:val="000000" w:themeColor="text1"/>
          <w:sz w:val="21"/>
          <w:szCs w:val="21"/>
          <w:lang w:val="fr-FR"/>
        </w:rPr>
        <w:t>;</w:t>
      </w:r>
    </w:p>
    <w:p w:rsidR="009B3214" w:rsidRPr="00AA613E" w:rsidRDefault="009B3214" w:rsidP="009B3214">
      <w:pPr>
        <w:pStyle w:val="ListParagraph"/>
        <w:spacing w:after="0" w:line="240" w:lineRule="auto"/>
        <w:jc w:val="both"/>
        <w:rPr>
          <w:rFonts w:ascii="Cambria" w:hAnsi="Cambria"/>
          <w:color w:val="000000" w:themeColor="text1"/>
          <w:sz w:val="21"/>
          <w:szCs w:val="21"/>
          <w:lang w:val="fr-FR"/>
        </w:rPr>
      </w:pPr>
    </w:p>
    <w:p w:rsidR="009B3214" w:rsidRPr="00AA613E" w:rsidRDefault="00F5701B" w:rsidP="009B3214">
      <w:pPr>
        <w:pStyle w:val="ListParagraph"/>
        <w:numPr>
          <w:ilvl w:val="0"/>
          <w:numId w:val="11"/>
        </w:numPr>
        <w:spacing w:after="0" w:line="240" w:lineRule="auto"/>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d’adopter les mesures nécessaires pour garantir la conformité des conditions de détention au sein du pénitencier national et de l’hôpital général de Port-au-Prince aux normes internationales applicables, en s’assurant en particulier de cesser de recourir aux fers, aux chaînes ou autres méthodes de contrainte physique </w:t>
      </w:r>
      <w:r w:rsidR="00A205DC" w:rsidRPr="00AA613E">
        <w:rPr>
          <w:rFonts w:ascii="Cambria" w:hAnsi="Cambria"/>
          <w:color w:val="000000" w:themeColor="text1"/>
          <w:sz w:val="21"/>
          <w:szCs w:val="21"/>
          <w:lang w:val="fr-FR"/>
        </w:rPr>
        <w:t>;</w:t>
      </w:r>
    </w:p>
    <w:p w:rsidR="00A17ECE" w:rsidRPr="00AA613E" w:rsidRDefault="00A17ECE" w:rsidP="00A17ECE">
      <w:pPr>
        <w:pStyle w:val="ListParagraph"/>
        <w:spacing w:after="0" w:line="240" w:lineRule="auto"/>
        <w:jc w:val="both"/>
        <w:rPr>
          <w:rFonts w:ascii="Cambria" w:hAnsi="Cambria"/>
          <w:color w:val="000000" w:themeColor="text1"/>
          <w:sz w:val="21"/>
          <w:szCs w:val="21"/>
          <w:lang w:val="fr-FR"/>
        </w:rPr>
      </w:pPr>
    </w:p>
    <w:p w:rsidR="009B3214" w:rsidRPr="00AA613E" w:rsidRDefault="00C50CA9" w:rsidP="009B3214">
      <w:pPr>
        <w:pStyle w:val="ListParagraph"/>
        <w:numPr>
          <w:ilvl w:val="0"/>
          <w:numId w:val="11"/>
        </w:numPr>
        <w:spacing w:after="0" w:line="240" w:lineRule="auto"/>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de déterminer les mesures à adopter avec les bénéficiaires et leurs représentants </w:t>
      </w:r>
      <w:r w:rsidR="00A17ECE" w:rsidRPr="00AA613E">
        <w:rPr>
          <w:rFonts w:ascii="Cambria" w:hAnsi="Cambria"/>
          <w:color w:val="000000" w:themeColor="text1"/>
          <w:sz w:val="21"/>
          <w:szCs w:val="21"/>
          <w:lang w:val="fr-FR"/>
        </w:rPr>
        <w:t xml:space="preserve">; </w:t>
      </w:r>
      <w:r w:rsidRPr="00AA613E">
        <w:rPr>
          <w:rFonts w:ascii="Cambria" w:hAnsi="Cambria"/>
          <w:color w:val="000000" w:themeColor="text1"/>
          <w:sz w:val="21"/>
          <w:szCs w:val="21"/>
          <w:lang w:val="fr-FR"/>
        </w:rPr>
        <w:t>et</w:t>
      </w:r>
    </w:p>
    <w:p w:rsidR="009B3214" w:rsidRPr="00AA613E" w:rsidRDefault="009B3214" w:rsidP="009B3214">
      <w:pPr>
        <w:pStyle w:val="ListParagraph"/>
        <w:spacing w:after="0" w:line="240" w:lineRule="auto"/>
        <w:jc w:val="both"/>
        <w:rPr>
          <w:rFonts w:ascii="Cambria" w:hAnsi="Cambria"/>
          <w:color w:val="000000" w:themeColor="text1"/>
          <w:sz w:val="21"/>
          <w:szCs w:val="21"/>
          <w:lang w:val="fr-FR"/>
        </w:rPr>
      </w:pPr>
    </w:p>
    <w:p w:rsidR="00A17ECE" w:rsidRPr="00AA613E" w:rsidRDefault="00C50CA9" w:rsidP="009B3214">
      <w:pPr>
        <w:pStyle w:val="ListParagraph"/>
        <w:numPr>
          <w:ilvl w:val="0"/>
          <w:numId w:val="11"/>
        </w:numPr>
        <w:spacing w:after="0" w:line="240" w:lineRule="auto"/>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d’informer sur les actions adoptées afin d’enquêter sur les faits qui sont à l’origine de l’adoption de la présente mesure conservatoire et d’éviter ainsi qu’ils ne se reproduisent</w:t>
      </w:r>
      <w:r w:rsidR="00A17ECE" w:rsidRPr="00AA613E">
        <w:rPr>
          <w:rFonts w:ascii="Cambria" w:hAnsi="Cambria"/>
          <w:color w:val="000000" w:themeColor="text1"/>
          <w:sz w:val="21"/>
          <w:szCs w:val="21"/>
          <w:lang w:val="fr-FR"/>
        </w:rPr>
        <w:t>.</w:t>
      </w:r>
    </w:p>
    <w:p w:rsidR="005C65C6" w:rsidRPr="00AA613E" w:rsidRDefault="005C65C6" w:rsidP="00386D2D">
      <w:pPr>
        <w:pStyle w:val="ListParagraph"/>
        <w:spacing w:after="0" w:line="240" w:lineRule="auto"/>
        <w:ind w:left="360"/>
        <w:jc w:val="both"/>
        <w:rPr>
          <w:rFonts w:ascii="Cambria" w:hAnsi="Cambria"/>
          <w:color w:val="000000" w:themeColor="text1"/>
          <w:sz w:val="21"/>
          <w:szCs w:val="21"/>
          <w:lang w:val="fr-FR"/>
        </w:rPr>
      </w:pPr>
    </w:p>
    <w:p w:rsidR="004A7406" w:rsidRPr="00AA613E" w:rsidRDefault="004A7406" w:rsidP="00A47CE1">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La </w:t>
      </w:r>
      <w:r w:rsidR="00C50CA9" w:rsidRPr="00AA613E">
        <w:rPr>
          <w:rFonts w:ascii="Cambria" w:hAnsi="Cambria"/>
          <w:color w:val="000000" w:themeColor="text1"/>
          <w:sz w:val="21"/>
          <w:szCs w:val="21"/>
          <w:lang w:val="fr-FR"/>
        </w:rPr>
        <w:t xml:space="preserve">Commission demande également au gouvernement haïtien de bien vouloir l’informer, dans un délai de 20 jours à compter de la date de la présente communication, </w:t>
      </w:r>
      <w:r w:rsidR="00D1064C">
        <w:rPr>
          <w:rFonts w:ascii="Cambria" w:hAnsi="Cambria"/>
          <w:color w:val="000000" w:themeColor="text1"/>
          <w:sz w:val="21"/>
          <w:szCs w:val="21"/>
          <w:lang w:val="fr-FR"/>
        </w:rPr>
        <w:t>sur</w:t>
      </w:r>
      <w:r w:rsidR="00C50CA9" w:rsidRPr="00AA613E">
        <w:rPr>
          <w:rFonts w:ascii="Cambria" w:hAnsi="Cambria"/>
          <w:color w:val="000000" w:themeColor="text1"/>
          <w:sz w:val="21"/>
          <w:szCs w:val="21"/>
          <w:lang w:val="fr-FR"/>
        </w:rPr>
        <w:t xml:space="preserve"> l’adoption des mesures conservatoires octroyées et d’actualiser régulièrement les informations à ce sujet</w:t>
      </w:r>
      <w:r w:rsidRPr="00AA613E">
        <w:rPr>
          <w:rFonts w:ascii="Cambria" w:hAnsi="Cambria"/>
          <w:color w:val="000000" w:themeColor="text1"/>
          <w:sz w:val="21"/>
          <w:szCs w:val="21"/>
          <w:lang w:val="fr-FR"/>
        </w:rPr>
        <w:t xml:space="preserve">.  </w:t>
      </w:r>
    </w:p>
    <w:p w:rsidR="004A7406" w:rsidRPr="00AA613E" w:rsidRDefault="004A7406" w:rsidP="004A7406">
      <w:pPr>
        <w:spacing w:after="0" w:line="240" w:lineRule="auto"/>
        <w:jc w:val="both"/>
        <w:rPr>
          <w:rFonts w:ascii="Cambria" w:hAnsi="Cambria"/>
          <w:color w:val="000000" w:themeColor="text1"/>
          <w:sz w:val="21"/>
          <w:szCs w:val="21"/>
          <w:lang w:val="fr-FR"/>
        </w:rPr>
      </w:pPr>
    </w:p>
    <w:p w:rsidR="004A7406" w:rsidRPr="00AA613E" w:rsidRDefault="004A7406" w:rsidP="00A47CE1">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La </w:t>
      </w:r>
      <w:r w:rsidR="00336275" w:rsidRPr="00AA613E">
        <w:rPr>
          <w:rFonts w:ascii="Cambria" w:hAnsi="Cambria"/>
          <w:color w:val="000000" w:themeColor="text1"/>
          <w:sz w:val="21"/>
          <w:szCs w:val="21"/>
          <w:lang w:val="fr-FR"/>
        </w:rPr>
        <w:t xml:space="preserve">Commission souligne que, conformément à l’article </w:t>
      </w:r>
      <w:r w:rsidRPr="00AA613E">
        <w:rPr>
          <w:rFonts w:ascii="Cambria" w:hAnsi="Cambria"/>
          <w:color w:val="000000" w:themeColor="text1"/>
          <w:sz w:val="21"/>
          <w:szCs w:val="21"/>
          <w:lang w:val="fr-FR"/>
        </w:rPr>
        <w:t xml:space="preserve">25(8) </w:t>
      </w:r>
      <w:r w:rsidR="00336275" w:rsidRPr="00AA613E">
        <w:rPr>
          <w:rFonts w:ascii="Cambria" w:hAnsi="Cambria"/>
          <w:color w:val="000000" w:themeColor="text1"/>
          <w:sz w:val="21"/>
          <w:szCs w:val="21"/>
          <w:lang w:val="fr-FR"/>
        </w:rPr>
        <w:t xml:space="preserve">de son Règlement, l’octroi des mesures conservatoires et leur adoption par l’État ne préjuge en rien </w:t>
      </w:r>
      <w:r w:rsidR="003450CC" w:rsidRPr="00AA613E">
        <w:rPr>
          <w:rFonts w:ascii="Cambria" w:hAnsi="Cambria"/>
          <w:color w:val="000000" w:themeColor="text1"/>
          <w:sz w:val="21"/>
          <w:szCs w:val="21"/>
          <w:lang w:val="fr-FR"/>
        </w:rPr>
        <w:t xml:space="preserve">de la violation des droits protégés par la </w:t>
      </w:r>
      <w:r w:rsidR="001F23B5" w:rsidRPr="00AA613E">
        <w:rPr>
          <w:rFonts w:ascii="Cambria" w:hAnsi="Cambria"/>
          <w:color w:val="000000" w:themeColor="text1"/>
          <w:sz w:val="21"/>
          <w:szCs w:val="21"/>
          <w:lang w:val="fr-FR"/>
        </w:rPr>
        <w:t>Convention américaine et les autres instruments applicables</w:t>
      </w:r>
      <w:r w:rsidRPr="00AA613E">
        <w:rPr>
          <w:rFonts w:ascii="Cambria" w:hAnsi="Cambria"/>
          <w:color w:val="000000" w:themeColor="text1"/>
          <w:sz w:val="21"/>
          <w:szCs w:val="21"/>
          <w:lang w:val="fr-FR"/>
        </w:rPr>
        <w:t>.</w:t>
      </w:r>
    </w:p>
    <w:p w:rsidR="004A7406" w:rsidRPr="00AA613E" w:rsidRDefault="004A7406" w:rsidP="004A7406">
      <w:pPr>
        <w:spacing w:after="0" w:line="240" w:lineRule="auto"/>
        <w:jc w:val="both"/>
        <w:rPr>
          <w:rFonts w:ascii="Cambria" w:hAnsi="Cambria"/>
          <w:color w:val="000000" w:themeColor="text1"/>
          <w:sz w:val="21"/>
          <w:szCs w:val="21"/>
          <w:lang w:val="fr-FR"/>
        </w:rPr>
      </w:pPr>
    </w:p>
    <w:p w:rsidR="004A7406" w:rsidRPr="00AA613E" w:rsidRDefault="004A7406" w:rsidP="00A47CE1">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La </w:t>
      </w:r>
      <w:r w:rsidR="00F56B6E" w:rsidRPr="00AA613E">
        <w:rPr>
          <w:rFonts w:ascii="Cambria" w:hAnsi="Cambria"/>
          <w:color w:val="000000" w:themeColor="text1"/>
          <w:sz w:val="21"/>
          <w:szCs w:val="21"/>
          <w:lang w:val="fr-FR"/>
        </w:rPr>
        <w:t>Commission demande au Secrétariat de la Commission interaméricaine de notifier la présente résolution à l’État haïtien et aux requérants</w:t>
      </w:r>
      <w:r w:rsidRPr="00AA613E">
        <w:rPr>
          <w:rFonts w:ascii="Cambria" w:hAnsi="Cambria"/>
          <w:color w:val="000000" w:themeColor="text1"/>
          <w:sz w:val="21"/>
          <w:szCs w:val="21"/>
          <w:lang w:val="fr-FR"/>
        </w:rPr>
        <w:t>.</w:t>
      </w:r>
    </w:p>
    <w:p w:rsidR="004A7406" w:rsidRPr="00AA613E" w:rsidRDefault="004A7406" w:rsidP="004A7406">
      <w:pPr>
        <w:spacing w:after="0" w:line="240" w:lineRule="auto"/>
        <w:jc w:val="both"/>
        <w:rPr>
          <w:rFonts w:ascii="Cambria" w:hAnsi="Cambria"/>
          <w:color w:val="000000" w:themeColor="text1"/>
          <w:sz w:val="21"/>
          <w:szCs w:val="21"/>
          <w:lang w:val="fr-FR"/>
        </w:rPr>
      </w:pPr>
    </w:p>
    <w:p w:rsidR="002F4372" w:rsidRDefault="00F56B6E" w:rsidP="00A47CE1">
      <w:pPr>
        <w:pStyle w:val="ListParagraph"/>
        <w:numPr>
          <w:ilvl w:val="0"/>
          <w:numId w:val="16"/>
        </w:numPr>
        <w:spacing w:after="0" w:line="240" w:lineRule="auto"/>
        <w:ind w:left="0" w:firstLine="360"/>
        <w:jc w:val="both"/>
        <w:rPr>
          <w:rFonts w:ascii="Cambria" w:hAnsi="Cambria"/>
          <w:color w:val="000000" w:themeColor="text1"/>
          <w:sz w:val="21"/>
          <w:szCs w:val="21"/>
          <w:lang w:val="fr-FR"/>
        </w:rPr>
      </w:pPr>
      <w:r w:rsidRPr="00AA613E">
        <w:rPr>
          <w:rFonts w:ascii="Cambria" w:hAnsi="Cambria"/>
          <w:color w:val="000000" w:themeColor="text1"/>
          <w:sz w:val="21"/>
          <w:szCs w:val="21"/>
          <w:lang w:val="fr-FR"/>
        </w:rPr>
        <w:t xml:space="preserve">La présente résolution a été approuvée le </w:t>
      </w:r>
      <w:r w:rsidR="0015585C" w:rsidRPr="00AA613E">
        <w:rPr>
          <w:rFonts w:ascii="Cambria" w:hAnsi="Cambria"/>
          <w:color w:val="000000" w:themeColor="text1"/>
          <w:sz w:val="21"/>
          <w:szCs w:val="21"/>
          <w:lang w:val="fr-FR"/>
        </w:rPr>
        <w:t xml:space="preserve">26 </w:t>
      </w:r>
      <w:r w:rsidR="000B06FB">
        <w:rPr>
          <w:rFonts w:ascii="Cambria" w:hAnsi="Cambria"/>
          <w:color w:val="000000" w:themeColor="text1"/>
          <w:sz w:val="21"/>
          <w:szCs w:val="21"/>
          <w:lang w:val="fr-FR"/>
        </w:rPr>
        <w:t>M</w:t>
      </w:r>
      <w:r w:rsidRPr="00AA613E">
        <w:rPr>
          <w:rFonts w:ascii="Cambria" w:hAnsi="Cambria"/>
          <w:color w:val="000000" w:themeColor="text1"/>
          <w:sz w:val="21"/>
          <w:szCs w:val="21"/>
          <w:lang w:val="fr-FR"/>
        </w:rPr>
        <w:t>ai</w:t>
      </w:r>
      <w:r w:rsidR="004A7406" w:rsidRPr="00AA613E">
        <w:rPr>
          <w:rFonts w:ascii="Cambria" w:hAnsi="Cambria"/>
          <w:color w:val="000000" w:themeColor="text1"/>
          <w:sz w:val="21"/>
          <w:szCs w:val="21"/>
          <w:lang w:val="fr-FR"/>
        </w:rPr>
        <w:t xml:space="preserve"> 201</w:t>
      </w:r>
      <w:r w:rsidR="00A47CE1" w:rsidRPr="00AA613E">
        <w:rPr>
          <w:rFonts w:ascii="Cambria" w:hAnsi="Cambria"/>
          <w:color w:val="000000" w:themeColor="text1"/>
          <w:sz w:val="21"/>
          <w:szCs w:val="21"/>
          <w:lang w:val="fr-FR"/>
        </w:rPr>
        <w:t>7</w:t>
      </w:r>
      <w:r w:rsidR="00E448EE">
        <w:rPr>
          <w:rFonts w:ascii="Cambria" w:hAnsi="Cambria"/>
          <w:color w:val="000000" w:themeColor="text1"/>
          <w:sz w:val="21"/>
          <w:szCs w:val="21"/>
          <w:lang w:val="fr-FR"/>
        </w:rPr>
        <w:t xml:space="preserve"> </w:t>
      </w:r>
      <w:r w:rsidR="00D1064C">
        <w:rPr>
          <w:rFonts w:ascii="Cambria" w:hAnsi="Cambria"/>
          <w:color w:val="000000" w:themeColor="text1"/>
          <w:sz w:val="21"/>
          <w:szCs w:val="21"/>
          <w:lang w:val="fr-FR"/>
        </w:rPr>
        <w:t>par :</w:t>
      </w:r>
      <w:r w:rsidR="00E275B9">
        <w:rPr>
          <w:rFonts w:ascii="Cambria" w:hAnsi="Cambria"/>
          <w:color w:val="000000" w:themeColor="text1"/>
          <w:sz w:val="21"/>
          <w:szCs w:val="21"/>
          <w:lang w:val="fr-FR"/>
        </w:rPr>
        <w:t xml:space="preserve"> Francisco Eguiguren Praeli, Président ; Margarette May Macaulay, Première Vice-président ; </w:t>
      </w:r>
      <w:proofErr w:type="spellStart"/>
      <w:r w:rsidR="00E275B9">
        <w:rPr>
          <w:rFonts w:ascii="Cambria" w:hAnsi="Cambria"/>
          <w:color w:val="000000" w:themeColor="text1"/>
          <w:sz w:val="21"/>
          <w:szCs w:val="21"/>
          <w:lang w:val="fr-FR"/>
        </w:rPr>
        <w:t>Esmeralda</w:t>
      </w:r>
      <w:proofErr w:type="spellEnd"/>
      <w:r w:rsidR="00E275B9">
        <w:rPr>
          <w:rFonts w:ascii="Cambria" w:hAnsi="Cambria"/>
          <w:color w:val="000000" w:themeColor="text1"/>
          <w:sz w:val="21"/>
          <w:szCs w:val="21"/>
          <w:lang w:val="fr-FR"/>
        </w:rPr>
        <w:t xml:space="preserve"> Arosemena de Troitiño, Seconde Vice-président ; José de </w:t>
      </w:r>
      <w:proofErr w:type="spellStart"/>
      <w:r w:rsidR="00E275B9">
        <w:rPr>
          <w:rFonts w:ascii="Cambria" w:hAnsi="Cambria"/>
          <w:color w:val="000000" w:themeColor="text1"/>
          <w:sz w:val="21"/>
          <w:szCs w:val="21"/>
          <w:lang w:val="fr-FR"/>
        </w:rPr>
        <w:t>Jesús</w:t>
      </w:r>
      <w:proofErr w:type="spellEnd"/>
      <w:r w:rsidR="00E275B9">
        <w:rPr>
          <w:rFonts w:ascii="Cambria" w:hAnsi="Cambria"/>
          <w:color w:val="000000" w:themeColor="text1"/>
          <w:sz w:val="21"/>
          <w:szCs w:val="21"/>
          <w:lang w:val="fr-FR"/>
        </w:rPr>
        <w:t xml:space="preserve"> Orozco </w:t>
      </w:r>
      <w:proofErr w:type="spellStart"/>
      <w:r w:rsidR="00E275B9">
        <w:rPr>
          <w:rFonts w:ascii="Cambria" w:hAnsi="Cambria"/>
          <w:color w:val="000000" w:themeColor="text1"/>
          <w:sz w:val="21"/>
          <w:szCs w:val="21"/>
          <w:lang w:val="fr-FR"/>
        </w:rPr>
        <w:t>Henríquez</w:t>
      </w:r>
      <w:proofErr w:type="spellEnd"/>
      <w:r w:rsidR="00E275B9">
        <w:rPr>
          <w:rFonts w:ascii="Cambria" w:hAnsi="Cambria"/>
          <w:color w:val="000000" w:themeColor="text1"/>
          <w:sz w:val="21"/>
          <w:szCs w:val="21"/>
          <w:lang w:val="fr-FR"/>
        </w:rPr>
        <w:t> ; Paulo Vannuchi ; James Cavallaro ; Luis Ernesto Vargas Silva, membres de la CIDH.</w:t>
      </w:r>
    </w:p>
    <w:p w:rsidR="00E275B9" w:rsidRDefault="00E275B9" w:rsidP="00E275B9">
      <w:pPr>
        <w:spacing w:after="0" w:line="240" w:lineRule="auto"/>
        <w:jc w:val="both"/>
        <w:rPr>
          <w:rFonts w:ascii="Cambria" w:hAnsi="Cambria"/>
          <w:color w:val="000000" w:themeColor="text1"/>
          <w:sz w:val="21"/>
          <w:szCs w:val="21"/>
          <w:lang w:val="fr-FR"/>
        </w:rPr>
      </w:pPr>
    </w:p>
    <w:p w:rsidR="00E275B9" w:rsidRDefault="00E275B9" w:rsidP="00E275B9">
      <w:pPr>
        <w:spacing w:after="0" w:line="240" w:lineRule="auto"/>
        <w:jc w:val="both"/>
        <w:rPr>
          <w:rFonts w:ascii="Cambria" w:hAnsi="Cambria"/>
          <w:color w:val="000000" w:themeColor="text1"/>
          <w:sz w:val="21"/>
          <w:szCs w:val="21"/>
          <w:lang w:val="fr-FR"/>
        </w:rPr>
      </w:pPr>
    </w:p>
    <w:p w:rsidR="00E275B9" w:rsidRDefault="00E275B9" w:rsidP="00E275B9">
      <w:pPr>
        <w:spacing w:after="0" w:line="240" w:lineRule="auto"/>
        <w:jc w:val="both"/>
        <w:rPr>
          <w:rFonts w:ascii="Cambria" w:hAnsi="Cambria"/>
          <w:color w:val="000000" w:themeColor="text1"/>
          <w:sz w:val="21"/>
          <w:szCs w:val="21"/>
          <w:lang w:val="fr-FR"/>
        </w:rPr>
      </w:pPr>
    </w:p>
    <w:p w:rsidR="00E275B9" w:rsidRDefault="00E275B9" w:rsidP="00E275B9">
      <w:pPr>
        <w:spacing w:after="0" w:line="240" w:lineRule="auto"/>
        <w:jc w:val="both"/>
        <w:rPr>
          <w:rFonts w:ascii="Cambria" w:hAnsi="Cambria"/>
          <w:color w:val="000000" w:themeColor="text1"/>
          <w:sz w:val="21"/>
          <w:szCs w:val="21"/>
          <w:lang w:val="fr-FR"/>
        </w:rPr>
      </w:pPr>
    </w:p>
    <w:p w:rsidR="00E275B9" w:rsidRDefault="00E275B9" w:rsidP="00E275B9">
      <w:pPr>
        <w:spacing w:after="0" w:line="240" w:lineRule="auto"/>
        <w:jc w:val="both"/>
        <w:rPr>
          <w:rFonts w:ascii="Cambria" w:hAnsi="Cambria"/>
          <w:color w:val="000000" w:themeColor="text1"/>
          <w:sz w:val="21"/>
          <w:szCs w:val="21"/>
          <w:lang w:val="fr-FR"/>
        </w:rPr>
      </w:pPr>
    </w:p>
    <w:p w:rsidR="00E275B9" w:rsidRDefault="00E275B9" w:rsidP="00E275B9">
      <w:pPr>
        <w:spacing w:after="0" w:line="240" w:lineRule="auto"/>
        <w:jc w:val="both"/>
        <w:rPr>
          <w:rFonts w:ascii="Cambria" w:hAnsi="Cambria"/>
          <w:color w:val="000000" w:themeColor="text1"/>
          <w:sz w:val="21"/>
          <w:szCs w:val="21"/>
          <w:lang w:val="fr-FR"/>
        </w:rPr>
      </w:pPr>
    </w:p>
    <w:p w:rsidR="00E275B9" w:rsidRDefault="00E275B9" w:rsidP="00E275B9">
      <w:pPr>
        <w:spacing w:after="0" w:line="240" w:lineRule="auto"/>
        <w:jc w:val="center"/>
        <w:rPr>
          <w:rFonts w:ascii="Cambria" w:hAnsi="Cambria"/>
          <w:color w:val="000000" w:themeColor="text1"/>
          <w:sz w:val="21"/>
          <w:szCs w:val="21"/>
          <w:lang w:val="fr-FR"/>
        </w:rPr>
      </w:pPr>
      <w:r>
        <w:rPr>
          <w:rFonts w:ascii="Cambria" w:hAnsi="Cambria"/>
          <w:color w:val="000000" w:themeColor="text1"/>
          <w:sz w:val="21"/>
          <w:szCs w:val="21"/>
          <w:lang w:val="fr-FR"/>
        </w:rPr>
        <w:t>Elizabeth Abi-Mershed</w:t>
      </w:r>
    </w:p>
    <w:p w:rsidR="00E275B9" w:rsidRPr="00E275B9" w:rsidRDefault="00E275B9" w:rsidP="00E275B9">
      <w:pPr>
        <w:spacing w:after="0" w:line="240" w:lineRule="auto"/>
        <w:jc w:val="center"/>
        <w:rPr>
          <w:rFonts w:ascii="Cambria" w:hAnsi="Cambria"/>
          <w:color w:val="000000" w:themeColor="text1"/>
          <w:sz w:val="21"/>
          <w:szCs w:val="21"/>
          <w:lang w:val="fr-FR"/>
        </w:rPr>
      </w:pPr>
      <w:r>
        <w:rPr>
          <w:rFonts w:ascii="Cambria" w:hAnsi="Cambria"/>
          <w:color w:val="000000" w:themeColor="text1"/>
          <w:sz w:val="21"/>
          <w:szCs w:val="21"/>
          <w:lang w:val="fr-FR"/>
        </w:rPr>
        <w:t>Secrétaire exécutive adjointe</w:t>
      </w:r>
    </w:p>
    <w:p w:rsidR="00B225AE" w:rsidRDefault="00B225AE" w:rsidP="00B225AE">
      <w:pPr>
        <w:pStyle w:val="ListParagraph"/>
        <w:spacing w:after="0" w:line="240" w:lineRule="auto"/>
        <w:ind w:left="360"/>
        <w:jc w:val="both"/>
        <w:rPr>
          <w:rFonts w:ascii="Cambria" w:hAnsi="Cambria"/>
          <w:color w:val="000000" w:themeColor="text1"/>
          <w:sz w:val="21"/>
          <w:szCs w:val="21"/>
          <w:lang w:val="fr-FR"/>
        </w:rPr>
      </w:pPr>
    </w:p>
    <w:p w:rsidR="00B225AE" w:rsidRDefault="00B225AE" w:rsidP="00B225AE">
      <w:pPr>
        <w:pStyle w:val="ListParagraph"/>
        <w:spacing w:after="0" w:line="240" w:lineRule="auto"/>
        <w:ind w:left="360"/>
        <w:jc w:val="both"/>
        <w:rPr>
          <w:rFonts w:ascii="Cambria" w:hAnsi="Cambria"/>
          <w:color w:val="000000" w:themeColor="text1"/>
          <w:sz w:val="21"/>
          <w:szCs w:val="21"/>
          <w:lang w:val="fr-FR"/>
        </w:rPr>
      </w:pPr>
    </w:p>
    <w:p w:rsidR="00B225AE" w:rsidRDefault="00B225AE" w:rsidP="00B225AE">
      <w:pPr>
        <w:pStyle w:val="ListParagraph"/>
        <w:spacing w:after="0" w:line="240" w:lineRule="auto"/>
        <w:ind w:left="360"/>
        <w:jc w:val="both"/>
        <w:rPr>
          <w:rFonts w:ascii="Cambria" w:hAnsi="Cambria"/>
          <w:color w:val="000000" w:themeColor="text1"/>
          <w:sz w:val="21"/>
          <w:szCs w:val="21"/>
          <w:lang w:val="fr-FR"/>
        </w:rPr>
      </w:pPr>
    </w:p>
    <w:p w:rsidR="00B225AE" w:rsidRDefault="00B225AE" w:rsidP="00B225AE">
      <w:pPr>
        <w:pStyle w:val="ListParagraph"/>
        <w:spacing w:after="0" w:line="240" w:lineRule="auto"/>
        <w:ind w:left="360"/>
        <w:jc w:val="both"/>
        <w:rPr>
          <w:rFonts w:ascii="Cambria" w:hAnsi="Cambria"/>
          <w:color w:val="000000" w:themeColor="text1"/>
          <w:sz w:val="21"/>
          <w:szCs w:val="21"/>
          <w:lang w:val="fr-FR"/>
        </w:rPr>
      </w:pPr>
    </w:p>
    <w:p w:rsidR="00B225AE" w:rsidRDefault="00B225AE" w:rsidP="00D1064C">
      <w:pPr>
        <w:pStyle w:val="ListParagraph"/>
        <w:spacing w:after="0" w:line="240" w:lineRule="auto"/>
        <w:ind w:left="360"/>
        <w:jc w:val="both"/>
        <w:rPr>
          <w:rFonts w:ascii="Cambria" w:hAnsi="Cambria"/>
          <w:color w:val="000000" w:themeColor="text1"/>
          <w:sz w:val="21"/>
          <w:szCs w:val="21"/>
          <w:lang w:val="fr-FR"/>
        </w:rPr>
      </w:pPr>
    </w:p>
    <w:p w:rsidR="004A7406" w:rsidRPr="00AA613E" w:rsidRDefault="004A7406" w:rsidP="00D1064C">
      <w:pPr>
        <w:pStyle w:val="ListParagraph"/>
        <w:spacing w:after="0" w:line="240" w:lineRule="auto"/>
        <w:ind w:left="360"/>
        <w:jc w:val="center"/>
        <w:rPr>
          <w:rFonts w:ascii="Cambria" w:hAnsi="Cambria"/>
          <w:sz w:val="21"/>
          <w:szCs w:val="21"/>
          <w:lang w:val="fr-FR"/>
        </w:rPr>
      </w:pPr>
    </w:p>
    <w:sectPr w:rsidR="004A7406" w:rsidRPr="00AA613E" w:rsidSect="00252960">
      <w:headerReference w:type="default" r:id="rId9"/>
      <w:footerReference w:type="default" r:id="rId10"/>
      <w:pgSz w:w="11906" w:h="16838"/>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F6B" w:rsidRDefault="00F73F6B" w:rsidP="00666672">
      <w:pPr>
        <w:spacing w:after="0" w:line="240" w:lineRule="auto"/>
      </w:pPr>
      <w:r>
        <w:separator/>
      </w:r>
    </w:p>
  </w:endnote>
  <w:endnote w:type="continuationSeparator" w:id="0">
    <w:p w:rsidR="00F73F6B" w:rsidRDefault="00F73F6B" w:rsidP="0066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224292"/>
      <w:docPartObj>
        <w:docPartGallery w:val="Page Numbers (Bottom of Page)"/>
        <w:docPartUnique/>
      </w:docPartObj>
    </w:sdtPr>
    <w:sdtEndPr>
      <w:rPr>
        <w:noProof/>
      </w:rPr>
    </w:sdtEndPr>
    <w:sdtContent>
      <w:p w:rsidR="00044892" w:rsidRDefault="00044892">
        <w:pPr>
          <w:pStyle w:val="Footer"/>
          <w:jc w:val="center"/>
        </w:pPr>
        <w:r w:rsidRPr="00252960">
          <w:rPr>
            <w:rFonts w:ascii="Calibri Light" w:hAnsi="Calibri Light"/>
            <w:sz w:val="16"/>
          </w:rPr>
          <w:fldChar w:fldCharType="begin"/>
        </w:r>
        <w:r w:rsidRPr="00252960">
          <w:rPr>
            <w:rFonts w:ascii="Calibri Light" w:hAnsi="Calibri Light"/>
            <w:sz w:val="16"/>
          </w:rPr>
          <w:instrText xml:space="preserve"> PAGE   \* MERGEFORMAT </w:instrText>
        </w:r>
        <w:r w:rsidRPr="00252960">
          <w:rPr>
            <w:rFonts w:ascii="Calibri Light" w:hAnsi="Calibri Light"/>
            <w:sz w:val="16"/>
          </w:rPr>
          <w:fldChar w:fldCharType="separate"/>
        </w:r>
        <w:r w:rsidR="000A0508">
          <w:rPr>
            <w:rFonts w:ascii="Calibri Light" w:hAnsi="Calibri Light"/>
            <w:noProof/>
            <w:sz w:val="16"/>
          </w:rPr>
          <w:t>- 1 -</w:t>
        </w:r>
        <w:r w:rsidRPr="00252960">
          <w:rPr>
            <w:rFonts w:ascii="Calibri Light" w:hAnsi="Calibri Light"/>
            <w:noProof/>
            <w:sz w:val="16"/>
          </w:rPr>
          <w:fldChar w:fldCharType="end"/>
        </w:r>
      </w:p>
    </w:sdtContent>
  </w:sdt>
  <w:p w:rsidR="00044892" w:rsidRDefault="00044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F6B" w:rsidRDefault="00F73F6B" w:rsidP="00666672">
      <w:pPr>
        <w:spacing w:after="0" w:line="240" w:lineRule="auto"/>
      </w:pPr>
      <w:r>
        <w:separator/>
      </w:r>
    </w:p>
  </w:footnote>
  <w:footnote w:type="continuationSeparator" w:id="0">
    <w:p w:rsidR="00F73F6B" w:rsidRDefault="00F73F6B" w:rsidP="00666672">
      <w:pPr>
        <w:spacing w:after="0" w:line="240" w:lineRule="auto"/>
      </w:pPr>
      <w:r>
        <w:continuationSeparator/>
      </w:r>
    </w:p>
  </w:footnote>
  <w:footnote w:id="1">
    <w:p w:rsidR="00044892" w:rsidRPr="00482C0A" w:rsidRDefault="00044892" w:rsidP="00482C0A">
      <w:pPr>
        <w:pStyle w:val="FootnoteText"/>
        <w:spacing w:after="0" w:line="240" w:lineRule="auto"/>
        <w:rPr>
          <w:rFonts w:ascii="Calibri Light" w:hAnsi="Calibri Light"/>
          <w:sz w:val="16"/>
          <w:szCs w:val="16"/>
          <w:lang w:val="fr-FR"/>
        </w:rPr>
      </w:pPr>
      <w:r w:rsidRPr="00482C0A">
        <w:rPr>
          <w:rStyle w:val="FootnoteReference"/>
          <w:rFonts w:ascii="Calibri Light" w:hAnsi="Calibri Light"/>
          <w:sz w:val="16"/>
          <w:szCs w:val="16"/>
        </w:rPr>
        <w:footnoteRef/>
      </w:r>
      <w:r w:rsidRPr="00482C0A">
        <w:rPr>
          <w:rFonts w:ascii="Calibri Light" w:hAnsi="Calibri Light"/>
          <w:sz w:val="16"/>
          <w:szCs w:val="16"/>
          <w:lang w:val="fr-FR"/>
        </w:rPr>
        <w:t xml:space="preserve"> Les requérants sont deux organisations non gouvernementales : la première est sise à Port-au-Prince et la seconde à Genève en Suisse. Les deux organisations indiquent que les informations recueillies proviennent principalement d’inspections effectuées par</w:t>
      </w:r>
      <w:r w:rsidR="00B24B92" w:rsidRPr="00482C0A">
        <w:rPr>
          <w:rFonts w:ascii="Calibri Light" w:hAnsi="Calibri Light"/>
          <w:sz w:val="16"/>
          <w:szCs w:val="16"/>
          <w:lang w:val="fr-FR"/>
        </w:rPr>
        <w:t xml:space="preserve"> eux</w:t>
      </w:r>
      <w:r w:rsidR="00482C0A" w:rsidRPr="00482C0A">
        <w:rPr>
          <w:rFonts w:ascii="Calibri Light" w:hAnsi="Calibri Light"/>
          <w:sz w:val="16"/>
          <w:szCs w:val="16"/>
          <w:lang w:val="fr-FR"/>
        </w:rPr>
        <w:t>-</w:t>
      </w:r>
      <w:r w:rsidR="00B24B92" w:rsidRPr="00482C0A">
        <w:rPr>
          <w:rFonts w:ascii="Calibri Light" w:hAnsi="Calibri Light"/>
          <w:sz w:val="16"/>
          <w:szCs w:val="16"/>
          <w:lang w:val="fr-FR"/>
        </w:rPr>
        <w:t>mêmes</w:t>
      </w:r>
      <w:r w:rsidRPr="00482C0A">
        <w:rPr>
          <w:rFonts w:ascii="Calibri Light" w:hAnsi="Calibri Light"/>
          <w:sz w:val="16"/>
          <w:szCs w:val="16"/>
          <w:lang w:val="fr-FR"/>
        </w:rPr>
        <w:t xml:space="preserve"> au pénitencier national et à l’hôpital général de Port-au-Prince (la dernière inspection a eu lieu le 16 février 2017).</w:t>
      </w:r>
    </w:p>
  </w:footnote>
  <w:footnote w:id="2">
    <w:p w:rsidR="00044892" w:rsidRPr="00482C0A" w:rsidRDefault="00044892" w:rsidP="00482C0A">
      <w:pPr>
        <w:pStyle w:val="FootnoteText"/>
        <w:spacing w:after="0" w:line="240" w:lineRule="auto"/>
        <w:rPr>
          <w:rFonts w:ascii="Calibri Light" w:hAnsi="Calibri Light"/>
          <w:sz w:val="16"/>
          <w:szCs w:val="16"/>
          <w:lang w:val="fr-FR"/>
        </w:rPr>
      </w:pPr>
      <w:r w:rsidRPr="00482C0A">
        <w:rPr>
          <w:rStyle w:val="FootnoteReference"/>
          <w:rFonts w:ascii="Calibri Light" w:hAnsi="Calibri Light"/>
          <w:sz w:val="16"/>
          <w:szCs w:val="16"/>
        </w:rPr>
        <w:footnoteRef/>
      </w:r>
      <w:r w:rsidRPr="00482C0A">
        <w:rPr>
          <w:rFonts w:ascii="Calibri Light" w:hAnsi="Calibri Light"/>
          <w:sz w:val="16"/>
          <w:szCs w:val="16"/>
          <w:lang w:val="fr-FR"/>
        </w:rPr>
        <w:t xml:space="preserve"> En compara</w:t>
      </w:r>
      <w:r w:rsidR="00973FA1" w:rsidRPr="00482C0A">
        <w:rPr>
          <w:rFonts w:ascii="Calibri Light" w:hAnsi="Calibri Light"/>
          <w:sz w:val="16"/>
          <w:szCs w:val="16"/>
          <w:lang w:val="fr-FR"/>
        </w:rPr>
        <w:t xml:space="preserve">ison, d’après les documents cités, le taux </w:t>
      </w:r>
      <w:r w:rsidR="00D92445" w:rsidRPr="00482C0A">
        <w:rPr>
          <w:rFonts w:ascii="Calibri Light" w:hAnsi="Calibri Light"/>
          <w:sz w:val="16"/>
          <w:szCs w:val="16"/>
          <w:lang w:val="fr-FR"/>
        </w:rPr>
        <w:t>d’occupation</w:t>
      </w:r>
      <w:r w:rsidR="00973FA1" w:rsidRPr="00482C0A">
        <w:rPr>
          <w:rFonts w:ascii="Calibri Light" w:hAnsi="Calibri Light"/>
          <w:sz w:val="16"/>
          <w:szCs w:val="16"/>
          <w:lang w:val="fr-FR"/>
        </w:rPr>
        <w:t xml:space="preserve"> moyen en Haïti est de 359 %</w:t>
      </w:r>
      <w:r w:rsidRPr="00482C0A">
        <w:rPr>
          <w:rFonts w:ascii="Calibri Light" w:hAnsi="Calibri Light"/>
          <w:sz w:val="16"/>
          <w:szCs w:val="16"/>
          <w:lang w:val="fr-FR"/>
        </w:rPr>
        <w:t>.</w:t>
      </w:r>
    </w:p>
  </w:footnote>
  <w:footnote w:id="3">
    <w:p w:rsidR="00B24B92" w:rsidRPr="00482C0A" w:rsidRDefault="00B24B92" w:rsidP="00482C0A">
      <w:pPr>
        <w:pStyle w:val="FootnoteText"/>
        <w:spacing w:after="0" w:line="240" w:lineRule="auto"/>
        <w:rPr>
          <w:rFonts w:ascii="Calibri Light" w:hAnsi="Calibri Light"/>
          <w:sz w:val="16"/>
          <w:szCs w:val="16"/>
          <w:lang w:val="fr-FR"/>
        </w:rPr>
      </w:pPr>
      <w:r w:rsidRPr="00482C0A">
        <w:rPr>
          <w:rStyle w:val="FootnoteReference"/>
          <w:rFonts w:ascii="Calibri Light" w:hAnsi="Calibri Light"/>
          <w:sz w:val="16"/>
          <w:szCs w:val="16"/>
        </w:rPr>
        <w:footnoteRef/>
      </w:r>
      <w:r w:rsidRPr="00482C0A">
        <w:rPr>
          <w:rFonts w:ascii="Calibri Light" w:hAnsi="Calibri Light"/>
          <w:sz w:val="16"/>
          <w:szCs w:val="16"/>
          <w:lang w:val="fr-CA"/>
        </w:rPr>
        <w:t xml:space="preserve"> </w:t>
      </w:r>
      <w:r w:rsidRPr="00482C0A">
        <w:rPr>
          <w:rFonts w:ascii="Calibri Light" w:hAnsi="Calibri Light"/>
          <w:sz w:val="16"/>
          <w:szCs w:val="16"/>
          <w:lang w:val="fr-FR"/>
        </w:rPr>
        <w:t xml:space="preserve">L’équipe du Pays de Nations Unies en Haïti, Compilation d’informations des Nations Unies en vue du second Examen périodique universel de la République d’Haïti, mars 2016, paragraphe 29. Disponible </w:t>
      </w:r>
      <w:r w:rsidR="00E62114" w:rsidRPr="00482C0A">
        <w:rPr>
          <w:rFonts w:ascii="Calibri Light" w:hAnsi="Calibri Light"/>
          <w:sz w:val="16"/>
          <w:szCs w:val="16"/>
          <w:lang w:val="fr-FR"/>
        </w:rPr>
        <w:t>à l’adresse suivante</w:t>
      </w:r>
      <w:r w:rsidRPr="00482C0A">
        <w:rPr>
          <w:rFonts w:ascii="Calibri Light" w:hAnsi="Calibri Light"/>
          <w:sz w:val="16"/>
          <w:szCs w:val="16"/>
          <w:lang w:val="fr-FR"/>
        </w:rPr>
        <w:t>: https://uprdoc.ohchr.org/uprweb/downloadfile.aspx?filename=2757&amp;file=FrenchTranslation.</w:t>
      </w:r>
    </w:p>
  </w:footnote>
  <w:footnote w:id="4">
    <w:p w:rsidR="00044892" w:rsidRPr="00482C0A" w:rsidRDefault="00044892" w:rsidP="00482C0A">
      <w:pPr>
        <w:pStyle w:val="FootnoteText"/>
        <w:spacing w:after="0" w:line="240" w:lineRule="auto"/>
        <w:rPr>
          <w:rFonts w:ascii="Calibri Light" w:hAnsi="Calibri Light"/>
          <w:sz w:val="16"/>
          <w:szCs w:val="16"/>
          <w:lang w:val="fr-FR"/>
        </w:rPr>
      </w:pPr>
      <w:r w:rsidRPr="00482C0A">
        <w:rPr>
          <w:rStyle w:val="FootnoteReference"/>
          <w:rFonts w:ascii="Calibri Light" w:hAnsi="Calibri Light"/>
          <w:sz w:val="16"/>
          <w:szCs w:val="16"/>
          <w:lang w:val="fr-FR"/>
        </w:rPr>
        <w:footnoteRef/>
      </w:r>
      <w:r w:rsidRPr="00482C0A">
        <w:rPr>
          <w:rFonts w:ascii="Calibri Light" w:hAnsi="Calibri Light"/>
          <w:sz w:val="16"/>
          <w:szCs w:val="16"/>
          <w:lang w:val="en-US"/>
        </w:rPr>
        <w:t xml:space="preserve"> </w:t>
      </w:r>
      <w:proofErr w:type="gramStart"/>
      <w:r w:rsidRPr="00482C0A">
        <w:rPr>
          <w:rFonts w:ascii="Calibri Light" w:hAnsi="Calibri Light"/>
          <w:sz w:val="16"/>
          <w:szCs w:val="16"/>
          <w:lang w:val="en-US"/>
        </w:rPr>
        <w:t>CIDH.</w:t>
      </w:r>
      <w:proofErr w:type="gramEnd"/>
      <w:r w:rsidRPr="00482C0A">
        <w:rPr>
          <w:rFonts w:ascii="Calibri Light" w:hAnsi="Calibri Light"/>
          <w:sz w:val="16"/>
          <w:szCs w:val="16"/>
          <w:lang w:val="en-US"/>
        </w:rPr>
        <w:t xml:space="preserve"> </w:t>
      </w:r>
      <w:r w:rsidRPr="00482C0A">
        <w:rPr>
          <w:rFonts w:ascii="Calibri Light" w:hAnsi="Calibri Light"/>
          <w:i/>
          <w:sz w:val="16"/>
          <w:szCs w:val="16"/>
          <w:lang w:val="en-US"/>
        </w:rPr>
        <w:t xml:space="preserve">Gary </w:t>
      </w:r>
      <w:proofErr w:type="spellStart"/>
      <w:r w:rsidRPr="00482C0A">
        <w:rPr>
          <w:rFonts w:ascii="Calibri Light" w:hAnsi="Calibri Light"/>
          <w:i/>
          <w:sz w:val="16"/>
          <w:szCs w:val="16"/>
          <w:lang w:val="en-US"/>
        </w:rPr>
        <w:t>Resil</w:t>
      </w:r>
      <w:proofErr w:type="spellEnd"/>
      <w:r w:rsidRPr="00482C0A">
        <w:rPr>
          <w:rFonts w:ascii="Calibri Light" w:hAnsi="Calibri Light"/>
          <w:i/>
          <w:sz w:val="16"/>
          <w:szCs w:val="16"/>
          <w:lang w:val="en-US"/>
        </w:rPr>
        <w:t xml:space="preserve"> </w:t>
      </w:r>
      <w:proofErr w:type="gramStart"/>
      <w:r w:rsidRPr="00482C0A">
        <w:rPr>
          <w:rFonts w:ascii="Calibri Light" w:hAnsi="Calibri Light"/>
          <w:i/>
          <w:sz w:val="16"/>
          <w:szCs w:val="16"/>
          <w:lang w:val="en-US"/>
        </w:rPr>
        <w:t>et</w:t>
      </w:r>
      <w:proofErr w:type="gramEnd"/>
      <w:r w:rsidRPr="00482C0A">
        <w:rPr>
          <w:rFonts w:ascii="Calibri Light" w:hAnsi="Calibri Light"/>
          <w:i/>
          <w:sz w:val="16"/>
          <w:szCs w:val="16"/>
          <w:lang w:val="en-US"/>
        </w:rPr>
        <w:t xml:space="preserve"> alt. </w:t>
      </w:r>
      <w:r w:rsidR="00973FA1" w:rsidRPr="00482C0A">
        <w:rPr>
          <w:rFonts w:ascii="Calibri Light" w:hAnsi="Calibri Light"/>
          <w:i/>
          <w:sz w:val="16"/>
          <w:szCs w:val="16"/>
          <w:lang w:val="en-US"/>
        </w:rPr>
        <w:t>Regarding the United States of America</w:t>
      </w:r>
      <w:r w:rsidRPr="00482C0A">
        <w:rPr>
          <w:rFonts w:ascii="Calibri Light" w:hAnsi="Calibri Light"/>
          <w:sz w:val="16"/>
          <w:szCs w:val="16"/>
          <w:lang w:val="en-US"/>
        </w:rPr>
        <w:t xml:space="preserve"> (MC-5-11), </w:t>
      </w:r>
      <w:proofErr w:type="spellStart"/>
      <w:r w:rsidR="00973FA1" w:rsidRPr="00482C0A">
        <w:rPr>
          <w:rFonts w:ascii="Calibri Light" w:hAnsi="Calibri Light"/>
          <w:sz w:val="16"/>
          <w:szCs w:val="16"/>
          <w:lang w:val="en-US"/>
        </w:rPr>
        <w:t>Résolution</w:t>
      </w:r>
      <w:proofErr w:type="spellEnd"/>
      <w:r w:rsidR="00E62114" w:rsidRPr="00482C0A">
        <w:rPr>
          <w:rFonts w:ascii="Calibri Light" w:hAnsi="Calibri Light"/>
          <w:sz w:val="16"/>
          <w:szCs w:val="16"/>
          <w:lang w:val="en-US"/>
        </w:rPr>
        <w:t xml:space="preserve"> </w:t>
      </w:r>
      <w:proofErr w:type="spellStart"/>
      <w:r w:rsidR="00E62114" w:rsidRPr="00482C0A">
        <w:rPr>
          <w:rFonts w:ascii="Calibri Light" w:hAnsi="Calibri Light"/>
          <w:sz w:val="16"/>
          <w:szCs w:val="16"/>
          <w:lang w:val="en-US"/>
        </w:rPr>
        <w:t>d’extension</w:t>
      </w:r>
      <w:proofErr w:type="spellEnd"/>
      <w:r w:rsidR="00973FA1" w:rsidRPr="00482C0A">
        <w:rPr>
          <w:rFonts w:ascii="Calibri Light" w:hAnsi="Calibri Light"/>
          <w:sz w:val="16"/>
          <w:szCs w:val="16"/>
          <w:lang w:val="en-US"/>
        </w:rPr>
        <w:t xml:space="preserve"> 6/2016, </w:t>
      </w:r>
      <w:proofErr w:type="spellStart"/>
      <w:r w:rsidR="00973FA1" w:rsidRPr="00482C0A">
        <w:rPr>
          <w:rFonts w:ascii="Calibri Light" w:hAnsi="Calibri Light"/>
          <w:sz w:val="16"/>
          <w:szCs w:val="16"/>
          <w:lang w:val="en-US"/>
        </w:rPr>
        <w:t>paragraphe</w:t>
      </w:r>
      <w:proofErr w:type="spellEnd"/>
      <w:r w:rsidRPr="00482C0A">
        <w:rPr>
          <w:rFonts w:ascii="Calibri Light" w:hAnsi="Calibri Light"/>
          <w:sz w:val="16"/>
          <w:szCs w:val="16"/>
          <w:lang w:val="en-US"/>
        </w:rPr>
        <w:t xml:space="preserve"> 11. </w:t>
      </w:r>
      <w:r w:rsidRPr="00482C0A">
        <w:rPr>
          <w:rFonts w:ascii="Calibri Light" w:hAnsi="Calibri Light"/>
          <w:sz w:val="16"/>
          <w:szCs w:val="16"/>
          <w:lang w:val="fr-FR"/>
        </w:rPr>
        <w:t xml:space="preserve">Disponible </w:t>
      </w:r>
      <w:r w:rsidR="00973FA1" w:rsidRPr="00482C0A">
        <w:rPr>
          <w:rFonts w:ascii="Calibri Light" w:hAnsi="Calibri Light"/>
          <w:sz w:val="16"/>
          <w:szCs w:val="16"/>
          <w:lang w:val="fr-FR"/>
        </w:rPr>
        <w:t>à l’adresse suivante </w:t>
      </w:r>
      <w:r w:rsidRPr="00482C0A">
        <w:rPr>
          <w:rFonts w:ascii="Calibri Light" w:hAnsi="Calibri Light"/>
          <w:sz w:val="16"/>
          <w:szCs w:val="16"/>
          <w:lang w:val="fr-FR"/>
        </w:rPr>
        <w:t xml:space="preserve">: </w:t>
      </w:r>
      <w:hyperlink r:id="rId1" w:history="1">
        <w:r w:rsidR="00973FA1" w:rsidRPr="00482C0A">
          <w:rPr>
            <w:rStyle w:val="Hyperlink"/>
            <w:rFonts w:ascii="Calibri Light" w:hAnsi="Calibri Light"/>
            <w:color w:val="auto"/>
            <w:sz w:val="16"/>
            <w:szCs w:val="16"/>
            <w:u w:val="none"/>
            <w:lang w:val="fr-FR"/>
          </w:rPr>
          <w:t>http://www.oas.org/en/iachr/decisions/pdf/2016/MC5-11-En.pdf</w:t>
        </w:r>
      </w:hyperlink>
      <w:r w:rsidR="00973FA1" w:rsidRPr="00482C0A">
        <w:rPr>
          <w:rFonts w:ascii="Calibri Light" w:hAnsi="Calibri Light"/>
          <w:sz w:val="16"/>
          <w:szCs w:val="16"/>
          <w:lang w:val="fr-FR"/>
        </w:rPr>
        <w:t xml:space="preserve"> (en anglais seulement).</w:t>
      </w:r>
    </w:p>
    <w:p w:rsidR="00044892" w:rsidRPr="00482C0A" w:rsidRDefault="00044892" w:rsidP="00482C0A">
      <w:pPr>
        <w:pStyle w:val="FootnoteText"/>
        <w:spacing w:after="0" w:line="240" w:lineRule="auto"/>
        <w:rPr>
          <w:rStyle w:val="Hyperlink"/>
          <w:rFonts w:ascii="Calibri Light" w:hAnsi="Calibri Light"/>
          <w:color w:val="auto"/>
          <w:sz w:val="16"/>
          <w:szCs w:val="16"/>
          <w:u w:val="none"/>
          <w:lang w:val="fr-FR"/>
        </w:rPr>
      </w:pPr>
      <w:r w:rsidRPr="00482C0A">
        <w:rPr>
          <w:rFonts w:ascii="Calibri Light" w:hAnsi="Calibri Light"/>
          <w:sz w:val="16"/>
          <w:szCs w:val="16"/>
          <w:lang w:val="fr-FR"/>
        </w:rPr>
        <w:t xml:space="preserve">Comité </w:t>
      </w:r>
      <w:r w:rsidR="0070118F" w:rsidRPr="00482C0A">
        <w:rPr>
          <w:rFonts w:ascii="Calibri Light" w:hAnsi="Calibri Light"/>
          <w:sz w:val="16"/>
          <w:szCs w:val="16"/>
          <w:lang w:val="fr-FR"/>
        </w:rPr>
        <w:t>des droits de l’homme de l’</w:t>
      </w:r>
      <w:r w:rsidRPr="00482C0A">
        <w:rPr>
          <w:rFonts w:ascii="Calibri Light" w:hAnsi="Calibri Light"/>
          <w:sz w:val="16"/>
          <w:szCs w:val="16"/>
          <w:lang w:val="fr-FR"/>
        </w:rPr>
        <w:t xml:space="preserve">ONU, </w:t>
      </w:r>
      <w:r w:rsidRPr="00482C0A">
        <w:rPr>
          <w:rFonts w:ascii="Calibri Light" w:hAnsi="Calibri Light"/>
          <w:i/>
          <w:sz w:val="16"/>
          <w:szCs w:val="16"/>
          <w:lang w:val="fr-FR"/>
        </w:rPr>
        <w:t>Observa</w:t>
      </w:r>
      <w:r w:rsidR="0070118F" w:rsidRPr="00482C0A">
        <w:rPr>
          <w:rFonts w:ascii="Calibri Light" w:hAnsi="Calibri Light"/>
          <w:i/>
          <w:sz w:val="16"/>
          <w:szCs w:val="16"/>
          <w:lang w:val="fr-FR"/>
        </w:rPr>
        <w:t xml:space="preserve">tions finales concernant le rapport initial d’Haïti, </w:t>
      </w:r>
      <w:r w:rsidRPr="00482C0A">
        <w:rPr>
          <w:rFonts w:ascii="Calibri Light" w:hAnsi="Calibri Light"/>
          <w:sz w:val="16"/>
          <w:szCs w:val="16"/>
          <w:lang w:val="fr-FR"/>
        </w:rPr>
        <w:t>2014</w:t>
      </w:r>
      <w:r w:rsidR="0070118F" w:rsidRPr="00482C0A">
        <w:rPr>
          <w:rFonts w:ascii="Calibri Light" w:hAnsi="Calibri Light"/>
          <w:sz w:val="16"/>
          <w:szCs w:val="16"/>
          <w:lang w:val="fr-FR"/>
        </w:rPr>
        <w:t> </w:t>
      </w:r>
      <w:r w:rsidRPr="00482C0A">
        <w:rPr>
          <w:rFonts w:ascii="Calibri Light" w:hAnsi="Calibri Light"/>
          <w:sz w:val="16"/>
          <w:szCs w:val="16"/>
          <w:lang w:val="fr-FR"/>
        </w:rPr>
        <w:t xml:space="preserve">: </w:t>
      </w:r>
      <w:r w:rsidR="0070118F" w:rsidRPr="00482C0A">
        <w:rPr>
          <w:rFonts w:ascii="Calibri Light" w:hAnsi="Calibri Light"/>
          <w:sz w:val="16"/>
          <w:szCs w:val="16"/>
          <w:lang w:val="fr-FR"/>
        </w:rPr>
        <w:t xml:space="preserve">la surpopulation carcérale </w:t>
      </w:r>
      <w:r w:rsidR="00E62114" w:rsidRPr="00482C0A">
        <w:rPr>
          <w:rFonts w:ascii="Calibri Light" w:hAnsi="Calibri Light"/>
          <w:sz w:val="16"/>
          <w:szCs w:val="16"/>
          <w:lang w:val="fr-FR"/>
        </w:rPr>
        <w:t>« </w:t>
      </w:r>
      <w:r w:rsidR="0070118F" w:rsidRPr="00482C0A">
        <w:rPr>
          <w:rFonts w:ascii="Calibri Light" w:hAnsi="Calibri Light"/>
          <w:sz w:val="16"/>
          <w:szCs w:val="16"/>
          <w:lang w:val="fr-FR"/>
        </w:rPr>
        <w:t xml:space="preserve">a atteint un niveau critique </w:t>
      </w:r>
      <w:r w:rsidR="006E0EA0" w:rsidRPr="00482C0A">
        <w:rPr>
          <w:rFonts w:ascii="Calibri Light" w:hAnsi="Calibri Light"/>
          <w:sz w:val="16"/>
          <w:szCs w:val="16"/>
          <w:lang w:val="fr-FR"/>
        </w:rPr>
        <w:t>pouvant être qualifié</w:t>
      </w:r>
      <w:r w:rsidR="0070118F" w:rsidRPr="00482C0A">
        <w:rPr>
          <w:rFonts w:ascii="Calibri Light" w:hAnsi="Calibri Light"/>
          <w:sz w:val="16"/>
          <w:szCs w:val="16"/>
          <w:lang w:val="fr-FR"/>
        </w:rPr>
        <w:t xml:space="preserve"> de traitement inhumain et dégradant</w:t>
      </w:r>
      <w:r w:rsidR="00E62114" w:rsidRPr="00482C0A">
        <w:rPr>
          <w:rFonts w:ascii="Calibri Light" w:hAnsi="Calibri Light"/>
          <w:sz w:val="16"/>
          <w:szCs w:val="16"/>
          <w:lang w:val="fr-FR"/>
        </w:rPr>
        <w:t> »</w:t>
      </w:r>
      <w:r w:rsidRPr="00482C0A">
        <w:rPr>
          <w:rFonts w:ascii="Calibri Light" w:hAnsi="Calibri Light"/>
          <w:sz w:val="16"/>
          <w:szCs w:val="16"/>
          <w:lang w:val="fr-FR"/>
        </w:rPr>
        <w:t xml:space="preserve">. Disponible </w:t>
      </w:r>
      <w:r w:rsidR="0070118F" w:rsidRPr="00482C0A">
        <w:rPr>
          <w:rFonts w:ascii="Calibri Light" w:hAnsi="Calibri Light"/>
          <w:sz w:val="16"/>
          <w:szCs w:val="16"/>
          <w:lang w:val="fr-FR"/>
        </w:rPr>
        <w:t>à l’adresse suivante </w:t>
      </w:r>
      <w:r w:rsidRPr="00482C0A">
        <w:rPr>
          <w:rFonts w:ascii="Calibri Light" w:hAnsi="Calibri Light"/>
          <w:sz w:val="16"/>
          <w:szCs w:val="16"/>
          <w:lang w:val="fr-FR"/>
        </w:rPr>
        <w:t xml:space="preserve">: </w:t>
      </w:r>
      <w:r w:rsidRPr="00482C0A">
        <w:rPr>
          <w:rStyle w:val="Hyperlink"/>
          <w:rFonts w:ascii="Calibri Light" w:hAnsi="Calibri Light"/>
          <w:color w:val="auto"/>
          <w:sz w:val="16"/>
          <w:szCs w:val="16"/>
          <w:u w:val="none"/>
          <w:lang w:val="fr-FR"/>
        </w:rPr>
        <w:t>http://tbinternet.ohchr.org/_layouts/treatybodyexternal/Download.aspx?symbolno=CCPR/C/HTI/CO/1&amp;Lang=</w:t>
      </w:r>
    </w:p>
    <w:p w:rsidR="00044892" w:rsidRPr="00482C0A" w:rsidRDefault="0070118F" w:rsidP="00482C0A">
      <w:pPr>
        <w:pStyle w:val="FootnoteText"/>
        <w:spacing w:after="0" w:line="240" w:lineRule="auto"/>
        <w:rPr>
          <w:rStyle w:val="Hyperlink"/>
          <w:rFonts w:ascii="Calibri Light" w:hAnsi="Calibri Light"/>
          <w:color w:val="auto"/>
          <w:sz w:val="16"/>
          <w:szCs w:val="16"/>
          <w:u w:val="none"/>
          <w:lang w:val="fr-FR"/>
        </w:rPr>
      </w:pPr>
      <w:r w:rsidRPr="00482C0A">
        <w:rPr>
          <w:rStyle w:val="Hyperlink"/>
          <w:rFonts w:ascii="Calibri Light" w:hAnsi="Calibri Light"/>
          <w:color w:val="auto"/>
          <w:sz w:val="16"/>
          <w:szCs w:val="16"/>
          <w:u w:val="none"/>
          <w:lang w:val="fr-FR"/>
        </w:rPr>
        <w:t>En.</w:t>
      </w:r>
    </w:p>
    <w:p w:rsidR="00044892" w:rsidRPr="00482C0A" w:rsidRDefault="00E809F4" w:rsidP="00482C0A">
      <w:pPr>
        <w:pStyle w:val="FootnoteText"/>
        <w:spacing w:after="0" w:line="240" w:lineRule="auto"/>
        <w:rPr>
          <w:rFonts w:ascii="Calibri Light" w:hAnsi="Calibri Light"/>
          <w:sz w:val="16"/>
          <w:szCs w:val="16"/>
          <w:lang w:val="fr-FR"/>
        </w:rPr>
      </w:pPr>
      <w:r w:rsidRPr="00482C0A">
        <w:rPr>
          <w:rFonts w:ascii="Calibri Light" w:hAnsi="Calibri Light"/>
          <w:i/>
          <w:sz w:val="16"/>
          <w:szCs w:val="16"/>
          <w:lang w:val="fr-FR"/>
        </w:rPr>
        <w:t>Rapport de l’expert indépendant sur la situation des droits de l’homme en Haïti</w:t>
      </w:r>
      <w:r w:rsidR="00044892" w:rsidRPr="00482C0A">
        <w:rPr>
          <w:rFonts w:ascii="Calibri Light" w:hAnsi="Calibri Light"/>
          <w:sz w:val="16"/>
          <w:szCs w:val="16"/>
          <w:lang w:val="fr-FR"/>
        </w:rPr>
        <w:t xml:space="preserve">, </w:t>
      </w:r>
      <w:r w:rsidRPr="00482C0A">
        <w:rPr>
          <w:rFonts w:ascii="Calibri Light" w:hAnsi="Calibri Light"/>
          <w:sz w:val="16"/>
          <w:szCs w:val="16"/>
          <w:lang w:val="fr-FR"/>
        </w:rPr>
        <w:t>du 9 février</w:t>
      </w:r>
      <w:r w:rsidR="00044892" w:rsidRPr="00482C0A">
        <w:rPr>
          <w:rFonts w:ascii="Calibri Light" w:hAnsi="Calibri Light"/>
          <w:sz w:val="16"/>
          <w:szCs w:val="16"/>
          <w:lang w:val="fr-FR"/>
        </w:rPr>
        <w:t xml:space="preserve"> 20</w:t>
      </w:r>
      <w:r w:rsidRPr="00482C0A">
        <w:rPr>
          <w:rFonts w:ascii="Calibri Light" w:hAnsi="Calibri Light"/>
          <w:sz w:val="16"/>
          <w:szCs w:val="16"/>
          <w:lang w:val="fr-FR"/>
        </w:rPr>
        <w:t xml:space="preserve">15, </w:t>
      </w:r>
      <w:r w:rsidR="00E62114" w:rsidRPr="00482C0A">
        <w:rPr>
          <w:rFonts w:ascii="Calibri Light" w:hAnsi="Calibri Light"/>
          <w:sz w:val="16"/>
          <w:szCs w:val="16"/>
          <w:lang w:val="fr-FR"/>
        </w:rPr>
        <w:t>paragraphe</w:t>
      </w:r>
      <w:r w:rsidR="00044892" w:rsidRPr="00482C0A">
        <w:rPr>
          <w:rFonts w:ascii="Calibri Light" w:hAnsi="Calibri Light"/>
          <w:sz w:val="16"/>
          <w:szCs w:val="16"/>
          <w:lang w:val="fr-FR"/>
        </w:rPr>
        <w:t xml:space="preserve"> 48, disponible </w:t>
      </w:r>
      <w:r w:rsidR="0070118F" w:rsidRPr="00482C0A">
        <w:rPr>
          <w:rFonts w:ascii="Calibri Light" w:hAnsi="Calibri Light"/>
          <w:sz w:val="16"/>
          <w:szCs w:val="16"/>
          <w:lang w:val="fr-FR"/>
        </w:rPr>
        <w:t>à l’adresse suivante </w:t>
      </w:r>
      <w:r w:rsidR="00044892" w:rsidRPr="00482C0A">
        <w:rPr>
          <w:rFonts w:ascii="Calibri Light" w:hAnsi="Calibri Light"/>
          <w:sz w:val="16"/>
          <w:szCs w:val="16"/>
          <w:lang w:val="fr-FR"/>
        </w:rPr>
        <w:t xml:space="preserve">: </w:t>
      </w:r>
      <w:hyperlink r:id="rId2" w:history="1">
        <w:r w:rsidRPr="00482C0A">
          <w:rPr>
            <w:rStyle w:val="Hyperlink"/>
            <w:rFonts w:ascii="Calibri Light" w:hAnsi="Calibri Light"/>
            <w:color w:val="auto"/>
            <w:sz w:val="16"/>
            <w:szCs w:val="16"/>
            <w:u w:val="none"/>
            <w:lang w:val="fr-FR"/>
          </w:rPr>
          <w:t>http://ht.one.un.org/content/dam/unct/haiti/docs/Rapport%20expert%20independent%20sur%20DDHH%20en%20Haiti%202015.pdf</w:t>
        </w:r>
      </w:hyperlink>
      <w:r w:rsidRPr="00482C0A">
        <w:rPr>
          <w:rFonts w:ascii="Calibri Light" w:hAnsi="Calibri Light"/>
          <w:sz w:val="16"/>
          <w:szCs w:val="16"/>
          <w:lang w:val="fr-FR"/>
        </w:rPr>
        <w:t>.</w:t>
      </w:r>
    </w:p>
    <w:p w:rsidR="00044892" w:rsidRPr="00482C0A" w:rsidRDefault="00DB4945" w:rsidP="00482C0A">
      <w:pPr>
        <w:pStyle w:val="FootnoteText"/>
        <w:spacing w:after="0" w:line="240" w:lineRule="auto"/>
        <w:rPr>
          <w:rFonts w:ascii="Calibri Light" w:hAnsi="Calibri Light"/>
          <w:sz w:val="16"/>
          <w:szCs w:val="16"/>
          <w:lang w:val="fr-FR"/>
        </w:rPr>
      </w:pPr>
      <w:r w:rsidRPr="00482C0A">
        <w:rPr>
          <w:rFonts w:ascii="Calibri Light" w:hAnsi="Calibri Light"/>
          <w:sz w:val="16"/>
          <w:szCs w:val="16"/>
          <w:lang w:val="fr-FR"/>
        </w:rPr>
        <w:t>Secrétaire général</w:t>
      </w:r>
      <w:r w:rsidRPr="00482C0A">
        <w:rPr>
          <w:rFonts w:ascii="Calibri Light" w:hAnsi="Calibri Light"/>
          <w:i/>
          <w:sz w:val="16"/>
          <w:szCs w:val="16"/>
          <w:lang w:val="fr-FR"/>
        </w:rPr>
        <w:t xml:space="preserve"> </w:t>
      </w:r>
      <w:r w:rsidRPr="00482C0A">
        <w:rPr>
          <w:rFonts w:ascii="Calibri Light" w:hAnsi="Calibri Light"/>
          <w:sz w:val="16"/>
          <w:szCs w:val="16"/>
          <w:lang w:val="fr-FR"/>
        </w:rPr>
        <w:t>des Nations Unies</w:t>
      </w:r>
      <w:r w:rsidR="00044892" w:rsidRPr="00482C0A">
        <w:rPr>
          <w:rFonts w:ascii="Calibri Light" w:hAnsi="Calibri Light"/>
          <w:sz w:val="16"/>
          <w:szCs w:val="16"/>
          <w:lang w:val="fr-FR"/>
        </w:rPr>
        <w:t xml:space="preserve">, </w:t>
      </w:r>
      <w:r w:rsidRPr="00482C0A">
        <w:rPr>
          <w:rFonts w:ascii="Calibri Light" w:hAnsi="Calibri Light"/>
          <w:i/>
          <w:sz w:val="16"/>
          <w:szCs w:val="16"/>
          <w:lang w:val="fr-FR"/>
        </w:rPr>
        <w:t>Rapport du Secrétaire général sur la Mission des Nations Unies pour la stabilisation en Haïti</w:t>
      </w:r>
      <w:r w:rsidR="00044892" w:rsidRPr="00482C0A">
        <w:rPr>
          <w:rFonts w:ascii="Calibri Light" w:hAnsi="Calibri Light"/>
          <w:sz w:val="16"/>
          <w:szCs w:val="16"/>
          <w:lang w:val="fr-FR"/>
        </w:rPr>
        <w:t xml:space="preserve">, S/2016/753 </w:t>
      </w:r>
      <w:r w:rsidRPr="00482C0A">
        <w:rPr>
          <w:rFonts w:ascii="Calibri Light" w:hAnsi="Calibri Light"/>
          <w:sz w:val="16"/>
          <w:szCs w:val="16"/>
          <w:lang w:val="fr-FR"/>
        </w:rPr>
        <w:t xml:space="preserve">du 31 août 2016, </w:t>
      </w:r>
      <w:r w:rsidR="00E62114" w:rsidRPr="00482C0A">
        <w:rPr>
          <w:rFonts w:ascii="Calibri Light" w:hAnsi="Calibri Light"/>
          <w:sz w:val="16"/>
          <w:szCs w:val="16"/>
          <w:lang w:val="fr-FR"/>
        </w:rPr>
        <w:t>paragraphe</w:t>
      </w:r>
      <w:r w:rsidR="00044892" w:rsidRPr="00482C0A">
        <w:rPr>
          <w:rFonts w:ascii="Calibri Light" w:hAnsi="Calibri Light"/>
          <w:sz w:val="16"/>
          <w:szCs w:val="16"/>
          <w:lang w:val="fr-FR"/>
        </w:rPr>
        <w:t xml:space="preserve"> 23. Disponible </w:t>
      </w:r>
      <w:r w:rsidR="0070118F" w:rsidRPr="00482C0A">
        <w:rPr>
          <w:rFonts w:ascii="Calibri Light" w:hAnsi="Calibri Light"/>
          <w:sz w:val="16"/>
          <w:szCs w:val="16"/>
          <w:lang w:val="fr-FR"/>
        </w:rPr>
        <w:t>à l’adresse suivante </w:t>
      </w:r>
      <w:r w:rsidR="00044892" w:rsidRPr="00482C0A">
        <w:rPr>
          <w:rFonts w:ascii="Calibri Light" w:hAnsi="Calibri Light"/>
          <w:sz w:val="16"/>
          <w:szCs w:val="16"/>
          <w:lang w:val="fr-FR"/>
        </w:rPr>
        <w:t xml:space="preserve">: </w:t>
      </w:r>
      <w:hyperlink r:id="rId3" w:history="1">
        <w:r w:rsidR="002C1BB5" w:rsidRPr="00482C0A">
          <w:rPr>
            <w:rStyle w:val="Hyperlink"/>
            <w:rFonts w:ascii="Calibri Light" w:hAnsi="Calibri Light"/>
            <w:color w:val="auto"/>
            <w:sz w:val="16"/>
            <w:szCs w:val="16"/>
            <w:u w:val="none"/>
            <w:lang w:val="fr-FR"/>
          </w:rPr>
          <w:t>https://minustah.unmissions.org/sites/default/files/s2016753_fr.pdf</w:t>
        </w:r>
      </w:hyperlink>
      <w:r w:rsidR="002C1BB5" w:rsidRPr="00482C0A">
        <w:rPr>
          <w:rFonts w:ascii="Calibri Light" w:hAnsi="Calibri Light"/>
          <w:sz w:val="16"/>
          <w:szCs w:val="16"/>
          <w:lang w:val="fr-FR"/>
        </w:rPr>
        <w:t>.</w:t>
      </w:r>
    </w:p>
  </w:footnote>
  <w:footnote w:id="5">
    <w:p w:rsidR="00044892" w:rsidRPr="00482C0A" w:rsidRDefault="00044892" w:rsidP="00482C0A">
      <w:pPr>
        <w:pStyle w:val="FootnoteText"/>
        <w:spacing w:after="0" w:line="240" w:lineRule="auto"/>
        <w:rPr>
          <w:rFonts w:ascii="Calibri Light" w:hAnsi="Calibri Light"/>
          <w:sz w:val="16"/>
          <w:szCs w:val="16"/>
          <w:lang w:val="fr-FR"/>
        </w:rPr>
      </w:pPr>
      <w:r w:rsidRPr="00482C0A">
        <w:rPr>
          <w:rStyle w:val="FootnoteReference"/>
          <w:rFonts w:ascii="Calibri Light" w:hAnsi="Calibri Light"/>
          <w:sz w:val="16"/>
          <w:szCs w:val="16"/>
          <w:lang w:val="fr-FR"/>
        </w:rPr>
        <w:footnoteRef/>
      </w:r>
      <w:r w:rsidRPr="00482C0A">
        <w:rPr>
          <w:rFonts w:ascii="Calibri Light" w:hAnsi="Calibri Light"/>
          <w:sz w:val="16"/>
          <w:szCs w:val="16"/>
          <w:lang w:val="fr-FR"/>
        </w:rPr>
        <w:t xml:space="preserve"> </w:t>
      </w:r>
      <w:r w:rsidR="00D92445" w:rsidRPr="00482C0A">
        <w:rPr>
          <w:rFonts w:ascii="Calibri Light" w:hAnsi="Calibri Light"/>
          <w:i/>
          <w:sz w:val="16"/>
          <w:szCs w:val="16"/>
          <w:lang w:val="fr-FR"/>
        </w:rPr>
        <w:t>Rapport du Secrétaire général sur la Mission des Nations Unies pour la stabilisation en Haïti</w:t>
      </w:r>
      <w:r w:rsidR="00D92445" w:rsidRPr="00482C0A">
        <w:rPr>
          <w:rFonts w:ascii="Calibri Light" w:hAnsi="Calibri Light"/>
          <w:sz w:val="16"/>
          <w:szCs w:val="16"/>
          <w:lang w:val="fr-FR"/>
        </w:rPr>
        <w:t>, paragraphe</w:t>
      </w:r>
      <w:r w:rsidRPr="00482C0A">
        <w:rPr>
          <w:rFonts w:ascii="Calibri Light" w:hAnsi="Calibri Light"/>
          <w:sz w:val="16"/>
          <w:szCs w:val="16"/>
          <w:lang w:val="fr-FR"/>
        </w:rPr>
        <w:t xml:space="preserve"> 32.</w:t>
      </w:r>
    </w:p>
  </w:footnote>
  <w:footnote w:id="6">
    <w:p w:rsidR="00044892" w:rsidRPr="00482C0A" w:rsidRDefault="00044892" w:rsidP="00482C0A">
      <w:pPr>
        <w:pStyle w:val="FootnoteText"/>
        <w:spacing w:after="0" w:line="240" w:lineRule="auto"/>
        <w:rPr>
          <w:rFonts w:ascii="Calibri Light" w:hAnsi="Calibri Light"/>
          <w:sz w:val="16"/>
          <w:szCs w:val="16"/>
          <w:lang w:val="fr-FR"/>
        </w:rPr>
      </w:pPr>
      <w:r w:rsidRPr="00482C0A">
        <w:rPr>
          <w:rStyle w:val="FootnoteReference"/>
          <w:rFonts w:ascii="Calibri Light" w:hAnsi="Calibri Light"/>
          <w:sz w:val="16"/>
          <w:szCs w:val="16"/>
          <w:lang w:val="fr-FR"/>
        </w:rPr>
        <w:footnoteRef/>
      </w:r>
      <w:r w:rsidRPr="00482C0A">
        <w:rPr>
          <w:rFonts w:ascii="Calibri Light" w:hAnsi="Calibri Light"/>
          <w:sz w:val="16"/>
          <w:szCs w:val="16"/>
          <w:lang w:val="fr-FR"/>
        </w:rPr>
        <w:t xml:space="preserve"> </w:t>
      </w:r>
      <w:r w:rsidR="00FF5150" w:rsidRPr="00482C0A">
        <w:rPr>
          <w:rFonts w:ascii="Calibri Light" w:hAnsi="Calibri Light"/>
          <w:sz w:val="16"/>
          <w:szCs w:val="16"/>
          <w:lang w:val="fr-FR"/>
        </w:rPr>
        <w:t>Il semblerait que les détenus doivent uriner et déféquer dans des sacs plastiques en l’absence de toilettes appropriées</w:t>
      </w:r>
      <w:r w:rsidRPr="00482C0A">
        <w:rPr>
          <w:rFonts w:ascii="Calibri Light" w:hAnsi="Calibri Light"/>
          <w:sz w:val="16"/>
          <w:szCs w:val="16"/>
          <w:lang w:val="fr-FR"/>
        </w:rPr>
        <w:t xml:space="preserve">. </w:t>
      </w:r>
    </w:p>
  </w:footnote>
  <w:footnote w:id="7">
    <w:p w:rsidR="00044892" w:rsidRPr="00482C0A" w:rsidRDefault="00044892" w:rsidP="00482C0A">
      <w:pPr>
        <w:pStyle w:val="FootnoteText"/>
        <w:spacing w:after="0" w:line="240" w:lineRule="auto"/>
        <w:rPr>
          <w:rFonts w:ascii="Calibri Light" w:hAnsi="Calibri Light"/>
          <w:sz w:val="16"/>
          <w:szCs w:val="16"/>
          <w:lang w:val="fr-FR"/>
        </w:rPr>
      </w:pPr>
      <w:r w:rsidRPr="00482C0A">
        <w:rPr>
          <w:rStyle w:val="FootnoteReference"/>
          <w:rFonts w:ascii="Calibri Light" w:hAnsi="Calibri Light"/>
          <w:sz w:val="16"/>
          <w:szCs w:val="16"/>
        </w:rPr>
        <w:footnoteRef/>
      </w:r>
      <w:r w:rsidRPr="00482C0A">
        <w:rPr>
          <w:rFonts w:ascii="Calibri Light" w:hAnsi="Calibri Light"/>
          <w:sz w:val="16"/>
          <w:szCs w:val="16"/>
          <w:lang w:val="fr-FR"/>
        </w:rPr>
        <w:t xml:space="preserve"> Gustavo </w:t>
      </w:r>
      <w:proofErr w:type="spellStart"/>
      <w:r w:rsidRPr="00482C0A">
        <w:rPr>
          <w:rFonts w:ascii="Calibri Light" w:hAnsi="Calibri Light"/>
          <w:sz w:val="16"/>
          <w:szCs w:val="16"/>
          <w:lang w:val="fr-FR"/>
        </w:rPr>
        <w:t>Gallón</w:t>
      </w:r>
      <w:proofErr w:type="spellEnd"/>
      <w:r w:rsidRPr="00482C0A">
        <w:rPr>
          <w:rFonts w:ascii="Calibri Light" w:hAnsi="Calibri Light"/>
          <w:sz w:val="16"/>
          <w:szCs w:val="16"/>
          <w:lang w:val="fr-FR"/>
        </w:rPr>
        <w:t xml:space="preserve">, </w:t>
      </w:r>
      <w:r w:rsidRPr="00482C0A">
        <w:rPr>
          <w:rFonts w:ascii="Calibri Light" w:hAnsi="Calibri Light"/>
          <w:i/>
          <w:sz w:val="16"/>
          <w:szCs w:val="16"/>
          <w:lang w:val="fr-FR"/>
        </w:rPr>
        <w:t>Conf</w:t>
      </w:r>
      <w:r w:rsidR="004D3E8A" w:rsidRPr="00482C0A">
        <w:rPr>
          <w:rFonts w:ascii="Calibri Light" w:hAnsi="Calibri Light"/>
          <w:i/>
          <w:sz w:val="16"/>
          <w:szCs w:val="16"/>
          <w:lang w:val="fr-FR"/>
        </w:rPr>
        <w:t xml:space="preserve">érence de presse de fin de mission, 9 mars 2017, </w:t>
      </w:r>
      <w:r w:rsidR="004D3E8A" w:rsidRPr="00482C0A">
        <w:rPr>
          <w:rFonts w:ascii="Calibri Light" w:hAnsi="Calibri Light"/>
          <w:sz w:val="16"/>
          <w:szCs w:val="16"/>
          <w:lang w:val="fr-FR"/>
        </w:rPr>
        <w:t>disponible à l’adresse suivante </w:t>
      </w:r>
      <w:r w:rsidRPr="00482C0A">
        <w:rPr>
          <w:rFonts w:ascii="Calibri Light" w:hAnsi="Calibri Light"/>
          <w:sz w:val="16"/>
          <w:szCs w:val="16"/>
          <w:lang w:val="fr-FR"/>
        </w:rPr>
        <w:t xml:space="preserve">: </w:t>
      </w:r>
      <w:hyperlink r:id="rId4" w:history="1">
        <w:r w:rsidR="004D3E8A" w:rsidRPr="00482C0A">
          <w:rPr>
            <w:rStyle w:val="Hyperlink"/>
            <w:rFonts w:ascii="Calibri Light" w:hAnsi="Calibri Light"/>
            <w:color w:val="auto"/>
            <w:sz w:val="16"/>
            <w:szCs w:val="16"/>
            <w:u w:val="none"/>
            <w:lang w:val="fr-FR"/>
          </w:rPr>
          <w:t>http://www.ohchr.org/FR/NewsEvents/Pages/DisplayNews.aspx?NewsID=21341&amp;LangID=F</w:t>
        </w:r>
      </w:hyperlink>
      <w:r w:rsidR="004D3E8A" w:rsidRPr="00482C0A">
        <w:rPr>
          <w:rFonts w:ascii="Calibri Light" w:hAnsi="Calibri Light"/>
          <w:sz w:val="16"/>
          <w:szCs w:val="16"/>
          <w:lang w:val="fr-FR"/>
        </w:rPr>
        <w:t>.</w:t>
      </w:r>
    </w:p>
  </w:footnote>
  <w:footnote w:id="8">
    <w:p w:rsidR="00044892" w:rsidRPr="00482C0A" w:rsidRDefault="00044892" w:rsidP="00482C0A">
      <w:pPr>
        <w:pStyle w:val="FootnoteText"/>
        <w:spacing w:after="0" w:line="240" w:lineRule="auto"/>
        <w:rPr>
          <w:rFonts w:ascii="Calibri Light" w:hAnsi="Calibri Light"/>
          <w:sz w:val="16"/>
          <w:szCs w:val="16"/>
          <w:lang w:val="fr-FR"/>
        </w:rPr>
      </w:pPr>
      <w:r w:rsidRPr="00482C0A">
        <w:rPr>
          <w:rStyle w:val="FootnoteReference"/>
          <w:rFonts w:ascii="Calibri Light" w:hAnsi="Calibri Light"/>
          <w:sz w:val="16"/>
          <w:szCs w:val="16"/>
          <w:lang w:val="fr-FR"/>
        </w:rPr>
        <w:footnoteRef/>
      </w:r>
      <w:r w:rsidRPr="00482C0A">
        <w:rPr>
          <w:rFonts w:ascii="Calibri Light" w:hAnsi="Calibri Light"/>
          <w:sz w:val="16"/>
          <w:szCs w:val="16"/>
          <w:lang w:val="fr-FR"/>
        </w:rPr>
        <w:t xml:space="preserve"> </w:t>
      </w:r>
      <w:r w:rsidR="00177173" w:rsidRPr="00482C0A">
        <w:rPr>
          <w:rFonts w:ascii="Calibri Light" w:hAnsi="Calibri Light"/>
          <w:i/>
          <w:sz w:val="16"/>
          <w:szCs w:val="16"/>
          <w:lang w:val="fr-FR"/>
        </w:rPr>
        <w:t>Rapport de l’expert indépendant sur la situation des droits de l’homme en Haïti, du 12 février 2016, paragraphe 49</w:t>
      </w:r>
      <w:r w:rsidRPr="00482C0A">
        <w:rPr>
          <w:rFonts w:ascii="Calibri Light" w:hAnsi="Calibri Light"/>
          <w:sz w:val="16"/>
          <w:szCs w:val="16"/>
          <w:lang w:val="fr-FR"/>
        </w:rPr>
        <w:t>.</w:t>
      </w:r>
    </w:p>
  </w:footnote>
  <w:footnote w:id="9">
    <w:p w:rsidR="00044892" w:rsidRPr="00482C0A" w:rsidRDefault="00044892" w:rsidP="00482C0A">
      <w:pPr>
        <w:pStyle w:val="FootnoteText"/>
        <w:spacing w:after="0" w:line="240" w:lineRule="auto"/>
        <w:rPr>
          <w:rFonts w:ascii="Calibri Light" w:hAnsi="Calibri Light"/>
          <w:sz w:val="16"/>
          <w:szCs w:val="16"/>
          <w:lang w:val="fr-FR"/>
        </w:rPr>
      </w:pPr>
      <w:r w:rsidRPr="00482C0A">
        <w:rPr>
          <w:rStyle w:val="FootnoteReference"/>
          <w:rFonts w:ascii="Calibri Light" w:hAnsi="Calibri Light"/>
          <w:sz w:val="16"/>
          <w:szCs w:val="16"/>
          <w:lang w:val="fr-FR"/>
        </w:rPr>
        <w:footnoteRef/>
      </w:r>
      <w:r w:rsidRPr="00482C0A">
        <w:rPr>
          <w:rFonts w:ascii="Calibri Light" w:hAnsi="Calibri Light"/>
          <w:sz w:val="16"/>
          <w:szCs w:val="16"/>
          <w:lang w:val="fr-FR"/>
        </w:rPr>
        <w:t xml:space="preserve"> MINUSTAH, com</w:t>
      </w:r>
      <w:r w:rsidR="00177173" w:rsidRPr="00482C0A">
        <w:rPr>
          <w:rFonts w:ascii="Calibri Light" w:hAnsi="Calibri Light"/>
          <w:sz w:val="16"/>
          <w:szCs w:val="16"/>
          <w:lang w:val="fr-FR"/>
        </w:rPr>
        <w:t>muniqué de presse du 21 février 2017, disponible à l’adresse suivante </w:t>
      </w:r>
      <w:r w:rsidRPr="00482C0A">
        <w:rPr>
          <w:rFonts w:ascii="Calibri Light" w:hAnsi="Calibri Light"/>
          <w:sz w:val="16"/>
          <w:szCs w:val="16"/>
          <w:lang w:val="fr-FR"/>
        </w:rPr>
        <w:t xml:space="preserve">: </w:t>
      </w:r>
      <w:hyperlink r:id="rId5" w:history="1">
        <w:r w:rsidR="000213CC" w:rsidRPr="00482C0A">
          <w:rPr>
            <w:rStyle w:val="Hyperlink"/>
            <w:rFonts w:ascii="Calibri Light" w:hAnsi="Calibri Light"/>
            <w:color w:val="auto"/>
            <w:sz w:val="16"/>
            <w:szCs w:val="16"/>
            <w:u w:val="none"/>
            <w:lang w:val="fr-FR"/>
          </w:rPr>
          <w:t>https://minustah.unmissions.org/la-minustah-r%C3%A9it%C3%A8re-son-appel-aux-autorit%C3%A9s-nationales-de-prendre-les-mesures-urgentes-pour-faire</w:t>
        </w:r>
      </w:hyperlink>
      <w:r w:rsidR="000213CC" w:rsidRPr="00482C0A">
        <w:rPr>
          <w:rFonts w:ascii="Calibri Light" w:hAnsi="Calibri Light"/>
          <w:sz w:val="16"/>
          <w:szCs w:val="16"/>
          <w:lang w:val="fr-FR"/>
        </w:rPr>
        <w:t xml:space="preserve">. </w:t>
      </w:r>
    </w:p>
  </w:footnote>
  <w:footnote w:id="10">
    <w:p w:rsidR="00044892" w:rsidRPr="00482C0A" w:rsidRDefault="00044892" w:rsidP="00482C0A">
      <w:pPr>
        <w:pStyle w:val="FootnoteText"/>
        <w:spacing w:after="0" w:line="240" w:lineRule="auto"/>
        <w:rPr>
          <w:rFonts w:ascii="Calibri Light" w:hAnsi="Calibri Light"/>
          <w:sz w:val="16"/>
          <w:szCs w:val="16"/>
          <w:lang w:val="fr-FR"/>
        </w:rPr>
      </w:pPr>
      <w:r w:rsidRPr="00482C0A">
        <w:rPr>
          <w:rStyle w:val="FootnoteReference"/>
          <w:rFonts w:ascii="Calibri Light" w:hAnsi="Calibri Light"/>
          <w:sz w:val="16"/>
          <w:szCs w:val="16"/>
          <w:lang w:val="fr-FR"/>
        </w:rPr>
        <w:footnoteRef/>
      </w:r>
      <w:r w:rsidR="000213CC" w:rsidRPr="00482C0A">
        <w:rPr>
          <w:rFonts w:ascii="Calibri Light" w:hAnsi="Calibri Light"/>
          <w:sz w:val="16"/>
          <w:szCs w:val="16"/>
          <w:lang w:val="fr-FR"/>
        </w:rPr>
        <w:t xml:space="preserve"> C</w:t>
      </w:r>
      <w:r w:rsidRPr="00482C0A">
        <w:rPr>
          <w:rFonts w:ascii="Calibri Light" w:hAnsi="Calibri Light"/>
          <w:sz w:val="16"/>
          <w:szCs w:val="16"/>
          <w:lang w:val="fr-FR"/>
        </w:rPr>
        <w:t xml:space="preserve">IDH. </w:t>
      </w:r>
      <w:r w:rsidR="007F3814" w:rsidRPr="00482C0A">
        <w:rPr>
          <w:rFonts w:ascii="Calibri Light" w:hAnsi="Calibri Light"/>
          <w:i/>
          <w:sz w:val="16"/>
          <w:szCs w:val="16"/>
          <w:lang w:val="fr-FR"/>
        </w:rPr>
        <w:t xml:space="preserve">Affaire </w:t>
      </w:r>
      <w:r w:rsidRPr="00482C0A">
        <w:rPr>
          <w:rFonts w:ascii="Calibri Light" w:hAnsi="Calibri Light"/>
          <w:i/>
          <w:sz w:val="16"/>
          <w:szCs w:val="16"/>
          <w:lang w:val="fr-FR"/>
        </w:rPr>
        <w:t xml:space="preserve">Yvon Neptune vs. </w:t>
      </w:r>
      <w:proofErr w:type="spellStart"/>
      <w:r w:rsidRPr="00482C0A">
        <w:rPr>
          <w:rFonts w:ascii="Calibri Light" w:hAnsi="Calibri Light"/>
          <w:i/>
          <w:sz w:val="16"/>
          <w:szCs w:val="16"/>
          <w:lang w:val="fr-FR"/>
        </w:rPr>
        <w:t>Haití</w:t>
      </w:r>
      <w:proofErr w:type="spellEnd"/>
      <w:r w:rsidRPr="00482C0A">
        <w:rPr>
          <w:rFonts w:ascii="Calibri Light" w:hAnsi="Calibri Light"/>
          <w:sz w:val="16"/>
          <w:szCs w:val="16"/>
          <w:lang w:val="fr-FR"/>
        </w:rPr>
        <w:t xml:space="preserve">. </w:t>
      </w:r>
      <w:r w:rsidR="007F3814" w:rsidRPr="00482C0A">
        <w:rPr>
          <w:rFonts w:ascii="Calibri Light" w:hAnsi="Calibri Light"/>
          <w:sz w:val="16"/>
          <w:szCs w:val="16"/>
          <w:lang w:val="fr-FR"/>
        </w:rPr>
        <w:t>F</w:t>
      </w:r>
      <w:proofErr w:type="spellStart"/>
      <w:r w:rsidR="007F3814" w:rsidRPr="00482C0A">
        <w:rPr>
          <w:rFonts w:ascii="Calibri Light" w:hAnsi="Calibri Light"/>
          <w:sz w:val="16"/>
          <w:szCs w:val="16"/>
          <w:lang w:val="fr-CA"/>
        </w:rPr>
        <w:t>ond</w:t>
      </w:r>
      <w:proofErr w:type="spellEnd"/>
      <w:r w:rsidR="007F3814" w:rsidRPr="00482C0A">
        <w:rPr>
          <w:rFonts w:ascii="Calibri Light" w:hAnsi="Calibri Light"/>
          <w:sz w:val="16"/>
          <w:szCs w:val="16"/>
          <w:lang w:val="fr-CA"/>
        </w:rPr>
        <w:t>, Réparations et Frais</w:t>
      </w:r>
      <w:r w:rsidRPr="00482C0A">
        <w:rPr>
          <w:rFonts w:ascii="Calibri Light" w:hAnsi="Calibri Light"/>
          <w:sz w:val="16"/>
          <w:szCs w:val="16"/>
          <w:lang w:val="fr-CA"/>
        </w:rPr>
        <w:t xml:space="preserve">. </w:t>
      </w:r>
      <w:r w:rsidR="007F3814" w:rsidRPr="00482C0A">
        <w:rPr>
          <w:rFonts w:ascii="Calibri Light" w:hAnsi="Calibri Light"/>
          <w:sz w:val="16"/>
          <w:szCs w:val="16"/>
          <w:lang w:val="fr-CA"/>
        </w:rPr>
        <w:t xml:space="preserve">Série </w:t>
      </w:r>
      <w:r w:rsidRPr="00482C0A">
        <w:rPr>
          <w:rFonts w:ascii="Calibri Light" w:hAnsi="Calibri Light"/>
          <w:sz w:val="16"/>
          <w:szCs w:val="16"/>
          <w:lang w:val="fr-CA"/>
        </w:rPr>
        <w:t xml:space="preserve"> C n. 180, 6 </w:t>
      </w:r>
      <w:r w:rsidR="000213CC" w:rsidRPr="00482C0A">
        <w:rPr>
          <w:rFonts w:ascii="Calibri Light" w:hAnsi="Calibri Light"/>
          <w:sz w:val="16"/>
          <w:szCs w:val="16"/>
          <w:lang w:val="fr-CA"/>
        </w:rPr>
        <w:t xml:space="preserve">mai 2008, paragraphe </w:t>
      </w:r>
      <w:r w:rsidRPr="00482C0A">
        <w:rPr>
          <w:rFonts w:ascii="Calibri Light" w:hAnsi="Calibri Light"/>
          <w:sz w:val="16"/>
          <w:szCs w:val="16"/>
          <w:lang w:val="fr-CA"/>
        </w:rPr>
        <w:t xml:space="preserve">139. </w:t>
      </w:r>
      <w:r w:rsidR="000213CC" w:rsidRPr="00482C0A">
        <w:rPr>
          <w:rFonts w:ascii="Calibri Light" w:hAnsi="Calibri Light"/>
          <w:sz w:val="16"/>
          <w:szCs w:val="16"/>
          <w:lang w:val="fr-FR"/>
        </w:rPr>
        <w:t>Disponible à l’adresse suivante </w:t>
      </w:r>
      <w:r w:rsidRPr="00482C0A">
        <w:rPr>
          <w:rFonts w:ascii="Calibri Light" w:hAnsi="Calibri Light"/>
          <w:sz w:val="16"/>
          <w:szCs w:val="16"/>
          <w:lang w:val="fr-FR"/>
        </w:rPr>
        <w:t xml:space="preserve">: </w:t>
      </w:r>
      <w:hyperlink r:id="rId6" w:history="1">
        <w:r w:rsidR="000213CC" w:rsidRPr="00482C0A">
          <w:rPr>
            <w:rStyle w:val="Hyperlink"/>
            <w:rFonts w:ascii="Calibri Light" w:hAnsi="Calibri Light"/>
            <w:color w:val="auto"/>
            <w:sz w:val="16"/>
            <w:szCs w:val="16"/>
            <w:u w:val="none"/>
            <w:lang w:val="fr-FR"/>
          </w:rPr>
          <w:t>http://www.corteidh.or.cr/docs/casos/articulos/seriec_180_esp1.pdf</w:t>
        </w:r>
      </w:hyperlink>
      <w:r w:rsidR="000213CC" w:rsidRPr="00482C0A">
        <w:rPr>
          <w:rFonts w:ascii="Calibri Light" w:hAnsi="Calibri Light"/>
          <w:sz w:val="16"/>
          <w:szCs w:val="16"/>
          <w:lang w:val="fr-FR"/>
        </w:rPr>
        <w:t xml:space="preserve"> (en espagnol seulement).</w:t>
      </w:r>
    </w:p>
  </w:footnote>
  <w:footnote w:id="11">
    <w:p w:rsidR="00044892" w:rsidRPr="00482C0A" w:rsidRDefault="00044892" w:rsidP="00482C0A">
      <w:pPr>
        <w:pStyle w:val="FootnoteText"/>
        <w:spacing w:after="0" w:line="240" w:lineRule="auto"/>
        <w:rPr>
          <w:rFonts w:ascii="Calibri Light" w:hAnsi="Calibri Light"/>
          <w:sz w:val="16"/>
          <w:szCs w:val="16"/>
          <w:lang w:val="fr-FR"/>
        </w:rPr>
      </w:pPr>
      <w:r w:rsidRPr="00482C0A">
        <w:rPr>
          <w:rStyle w:val="FootnoteReference"/>
          <w:rFonts w:ascii="Calibri Light" w:hAnsi="Calibri Light"/>
          <w:sz w:val="16"/>
          <w:szCs w:val="16"/>
          <w:lang w:val="fr-FR"/>
        </w:rPr>
        <w:footnoteRef/>
      </w:r>
      <w:r w:rsidR="000213CC" w:rsidRPr="00482C0A">
        <w:rPr>
          <w:rFonts w:ascii="Calibri Light" w:hAnsi="Calibri Light"/>
          <w:sz w:val="16"/>
          <w:szCs w:val="16"/>
          <w:lang w:val="fr-FR"/>
        </w:rPr>
        <w:t xml:space="preserve"> C</w:t>
      </w:r>
      <w:r w:rsidRPr="00482C0A">
        <w:rPr>
          <w:rFonts w:ascii="Calibri Light" w:hAnsi="Calibri Light"/>
          <w:sz w:val="16"/>
          <w:szCs w:val="16"/>
          <w:lang w:val="fr-FR"/>
        </w:rPr>
        <w:t xml:space="preserve">IDH. </w:t>
      </w:r>
      <w:r w:rsidR="007F3814" w:rsidRPr="00482C0A">
        <w:rPr>
          <w:rFonts w:ascii="Calibri Light" w:hAnsi="Calibri Light"/>
          <w:i/>
          <w:sz w:val="16"/>
          <w:szCs w:val="16"/>
          <w:lang w:val="fr-FR"/>
        </w:rPr>
        <w:t xml:space="preserve">Affaire </w:t>
      </w:r>
      <w:r w:rsidRPr="00482C0A">
        <w:rPr>
          <w:rFonts w:ascii="Calibri Light" w:hAnsi="Calibri Light"/>
          <w:i/>
          <w:sz w:val="16"/>
          <w:szCs w:val="16"/>
          <w:lang w:val="fr-FR"/>
        </w:rPr>
        <w:t xml:space="preserve">Yvon Neptune vs. </w:t>
      </w:r>
      <w:proofErr w:type="spellStart"/>
      <w:r w:rsidRPr="00482C0A">
        <w:rPr>
          <w:rFonts w:ascii="Calibri Light" w:hAnsi="Calibri Light"/>
          <w:i/>
          <w:sz w:val="16"/>
          <w:szCs w:val="16"/>
          <w:lang w:val="fr-FR"/>
        </w:rPr>
        <w:t>Haití</w:t>
      </w:r>
      <w:proofErr w:type="spellEnd"/>
      <w:r w:rsidRPr="00482C0A">
        <w:rPr>
          <w:rFonts w:ascii="Calibri Light" w:hAnsi="Calibri Light"/>
          <w:sz w:val="16"/>
          <w:szCs w:val="16"/>
          <w:lang w:val="fr-FR"/>
        </w:rPr>
        <w:t xml:space="preserve">. </w:t>
      </w:r>
      <w:r w:rsidR="00E32819" w:rsidRPr="00482C0A">
        <w:rPr>
          <w:rFonts w:ascii="Calibri Light" w:hAnsi="Calibri Light"/>
          <w:sz w:val="16"/>
          <w:szCs w:val="16"/>
          <w:lang w:val="fr-CA"/>
        </w:rPr>
        <w:t xml:space="preserve"> </w:t>
      </w:r>
      <w:r w:rsidR="007F3814" w:rsidRPr="00482C0A">
        <w:rPr>
          <w:rFonts w:ascii="Calibri Light" w:hAnsi="Calibri Light"/>
          <w:sz w:val="16"/>
          <w:szCs w:val="16"/>
          <w:lang w:val="fr-FR"/>
        </w:rPr>
        <w:t>Surveillance d’exécution</w:t>
      </w:r>
      <w:r w:rsidR="00E32819" w:rsidRPr="00482C0A">
        <w:rPr>
          <w:rFonts w:ascii="Calibri Light" w:hAnsi="Calibri Light"/>
          <w:sz w:val="16"/>
          <w:szCs w:val="16"/>
          <w:lang w:val="fr-FR"/>
        </w:rPr>
        <w:t xml:space="preserve"> de ju</w:t>
      </w:r>
      <w:r w:rsidR="007F3814" w:rsidRPr="00482C0A">
        <w:rPr>
          <w:rFonts w:ascii="Calibri Light" w:hAnsi="Calibri Light"/>
          <w:sz w:val="16"/>
          <w:szCs w:val="16"/>
          <w:lang w:val="fr-FR"/>
        </w:rPr>
        <w:t>gements</w:t>
      </w:r>
      <w:r w:rsidRPr="00482C0A">
        <w:rPr>
          <w:rFonts w:ascii="Calibri Light" w:hAnsi="Calibri Light"/>
          <w:sz w:val="16"/>
          <w:szCs w:val="16"/>
          <w:lang w:val="fr-FR"/>
        </w:rPr>
        <w:t xml:space="preserve">, 20 </w:t>
      </w:r>
      <w:r w:rsidR="000213CC" w:rsidRPr="00482C0A">
        <w:rPr>
          <w:rFonts w:ascii="Calibri Light" w:hAnsi="Calibri Light"/>
          <w:sz w:val="16"/>
          <w:szCs w:val="16"/>
          <w:lang w:val="fr-FR"/>
        </w:rPr>
        <w:t>novembre 2015, paragraphe</w:t>
      </w:r>
      <w:r w:rsidRPr="00482C0A">
        <w:rPr>
          <w:rFonts w:ascii="Calibri Light" w:hAnsi="Calibri Light"/>
          <w:sz w:val="16"/>
          <w:szCs w:val="16"/>
          <w:lang w:val="fr-FR"/>
        </w:rPr>
        <w:t xml:space="preserve"> 2. </w:t>
      </w:r>
      <w:r w:rsidR="000213CC" w:rsidRPr="00482C0A">
        <w:rPr>
          <w:rFonts w:ascii="Calibri Light" w:hAnsi="Calibri Light"/>
          <w:sz w:val="16"/>
          <w:szCs w:val="16"/>
          <w:lang w:val="fr-FR"/>
        </w:rPr>
        <w:t>Disponible à l’adresse suivante : htt</w:t>
      </w:r>
      <w:r w:rsidRPr="00482C0A">
        <w:rPr>
          <w:rFonts w:ascii="Calibri Light" w:hAnsi="Calibri Light"/>
          <w:sz w:val="16"/>
          <w:szCs w:val="16"/>
          <w:lang w:val="fr-FR"/>
        </w:rPr>
        <w:t>://www.corteidh.or.cr/docs/supervisiones/yvon_20_11_15_esp.pdf</w:t>
      </w:r>
      <w:r w:rsidR="000213CC" w:rsidRPr="00482C0A">
        <w:rPr>
          <w:rFonts w:ascii="Calibri Light" w:hAnsi="Calibri Light"/>
          <w:sz w:val="16"/>
          <w:szCs w:val="16"/>
          <w:lang w:val="fr-FR"/>
        </w:rPr>
        <w:t xml:space="preserve"> (en espagnol seulement).</w:t>
      </w:r>
    </w:p>
  </w:footnote>
  <w:footnote w:id="12">
    <w:p w:rsidR="00044892" w:rsidRPr="00482C0A" w:rsidRDefault="00044892" w:rsidP="00482C0A">
      <w:pPr>
        <w:pStyle w:val="FootnoteText"/>
        <w:spacing w:after="0" w:line="240" w:lineRule="auto"/>
        <w:rPr>
          <w:rFonts w:ascii="Calibri Light" w:hAnsi="Calibri Light"/>
          <w:sz w:val="16"/>
          <w:szCs w:val="16"/>
          <w:lang w:val="fr-FR"/>
        </w:rPr>
      </w:pPr>
      <w:r w:rsidRPr="00482C0A">
        <w:rPr>
          <w:rStyle w:val="FootnoteReference"/>
          <w:rFonts w:ascii="Calibri Light" w:hAnsi="Calibri Light"/>
          <w:sz w:val="16"/>
          <w:szCs w:val="16"/>
          <w:lang w:val="fr-FR"/>
        </w:rPr>
        <w:footnoteRef/>
      </w:r>
      <w:r w:rsidRPr="00482C0A">
        <w:rPr>
          <w:rFonts w:ascii="Calibri Light" w:hAnsi="Calibri Light"/>
          <w:sz w:val="16"/>
          <w:szCs w:val="16"/>
          <w:lang w:val="fr-FR"/>
        </w:rPr>
        <w:t xml:space="preserve"> </w:t>
      </w:r>
      <w:r w:rsidR="000213CC" w:rsidRPr="00482C0A">
        <w:rPr>
          <w:rFonts w:ascii="Calibri Light" w:hAnsi="Calibri Light"/>
          <w:i/>
          <w:sz w:val="16"/>
          <w:szCs w:val="16"/>
          <w:lang w:val="fr-FR"/>
        </w:rPr>
        <w:t>Rapport de l’expert indépendant sur la situation des droits de l’homme en Haïti, du 12 février 2016, paragraphe</w:t>
      </w:r>
      <w:r w:rsidR="00B94070" w:rsidRPr="00482C0A">
        <w:rPr>
          <w:rFonts w:ascii="Calibri Light" w:hAnsi="Calibri Light"/>
          <w:i/>
          <w:sz w:val="16"/>
          <w:szCs w:val="16"/>
          <w:lang w:val="fr-FR"/>
        </w:rPr>
        <w:t xml:space="preserve"> 51</w:t>
      </w:r>
      <w:r w:rsidRPr="00482C0A">
        <w:rPr>
          <w:rFonts w:ascii="Calibri Light" w:hAnsi="Calibri Light"/>
          <w:sz w:val="16"/>
          <w:szCs w:val="16"/>
          <w:lang w:val="fr-FR"/>
        </w:rPr>
        <w:t>.</w:t>
      </w:r>
    </w:p>
    <w:p w:rsidR="00044892" w:rsidRPr="00482C0A" w:rsidRDefault="00B94070" w:rsidP="00482C0A">
      <w:pPr>
        <w:pStyle w:val="FootnoteText"/>
        <w:spacing w:after="0" w:line="240" w:lineRule="auto"/>
        <w:rPr>
          <w:rFonts w:ascii="Calibri Light" w:hAnsi="Calibri Light"/>
          <w:sz w:val="16"/>
          <w:szCs w:val="16"/>
          <w:lang w:val="fr-FR"/>
        </w:rPr>
      </w:pPr>
      <w:r w:rsidRPr="00482C0A">
        <w:rPr>
          <w:rFonts w:ascii="Calibri Light" w:hAnsi="Calibri Light"/>
          <w:sz w:val="16"/>
          <w:szCs w:val="16"/>
          <w:lang w:val="fr-FR"/>
        </w:rPr>
        <w:t xml:space="preserve">Équipe de pays des Nations Unies en Haïti, </w:t>
      </w:r>
      <w:r w:rsidRPr="00482C0A">
        <w:rPr>
          <w:rFonts w:ascii="Calibri Light" w:hAnsi="Calibri Light"/>
          <w:i/>
          <w:sz w:val="16"/>
          <w:szCs w:val="16"/>
          <w:lang w:val="fr-FR"/>
        </w:rPr>
        <w:t>Compilation d’informations des Nations Unies en vue du second Examen périodique universel de la République d’Haïti</w:t>
      </w:r>
      <w:r w:rsidRPr="00482C0A">
        <w:rPr>
          <w:rFonts w:ascii="Calibri Light" w:hAnsi="Calibri Light"/>
          <w:sz w:val="16"/>
          <w:szCs w:val="16"/>
          <w:lang w:val="fr-FR"/>
        </w:rPr>
        <w:t>, mars</w:t>
      </w:r>
      <w:r w:rsidR="00044892" w:rsidRPr="00482C0A">
        <w:rPr>
          <w:rFonts w:ascii="Calibri Light" w:hAnsi="Calibri Light"/>
          <w:sz w:val="16"/>
          <w:szCs w:val="16"/>
          <w:lang w:val="fr-FR"/>
        </w:rPr>
        <w:t xml:space="preserve"> 2016, </w:t>
      </w:r>
      <w:r w:rsidRPr="00482C0A">
        <w:rPr>
          <w:rFonts w:ascii="Calibri Light" w:hAnsi="Calibri Light"/>
          <w:i/>
          <w:sz w:val="16"/>
          <w:szCs w:val="16"/>
          <w:lang w:val="fr-FR"/>
        </w:rPr>
        <w:t>paragraphe</w:t>
      </w:r>
      <w:r w:rsidR="00044892" w:rsidRPr="00482C0A">
        <w:rPr>
          <w:rFonts w:ascii="Calibri Light" w:hAnsi="Calibri Light"/>
          <w:sz w:val="16"/>
          <w:szCs w:val="16"/>
          <w:lang w:val="fr-FR"/>
        </w:rPr>
        <w:t xml:space="preserve"> 30. </w:t>
      </w:r>
      <w:r w:rsidR="000213CC" w:rsidRPr="00482C0A">
        <w:rPr>
          <w:rFonts w:ascii="Calibri Light" w:hAnsi="Calibri Light"/>
          <w:sz w:val="16"/>
          <w:szCs w:val="16"/>
          <w:lang w:val="fr-FR"/>
        </w:rPr>
        <w:t>Disponible à l’adresse suivante </w:t>
      </w:r>
      <w:r w:rsidR="00044892" w:rsidRPr="00482C0A">
        <w:rPr>
          <w:rFonts w:ascii="Calibri Light" w:hAnsi="Calibri Light"/>
          <w:sz w:val="16"/>
          <w:szCs w:val="16"/>
          <w:lang w:val="fr-FR"/>
        </w:rPr>
        <w:t xml:space="preserve">: </w:t>
      </w:r>
      <w:hyperlink r:id="rId7" w:history="1">
        <w:r w:rsidR="000213CC" w:rsidRPr="00482C0A">
          <w:rPr>
            <w:rStyle w:val="Hyperlink"/>
            <w:rFonts w:ascii="Calibri Light" w:hAnsi="Calibri Light"/>
            <w:color w:val="auto"/>
            <w:sz w:val="16"/>
            <w:szCs w:val="16"/>
            <w:u w:val="none"/>
            <w:lang w:val="fr-FR"/>
          </w:rPr>
          <w:t>https://uprdoc.ohchr.org/uprweb/downloadfile.aspx?filename=2757&amp;file=FrenchTranslation</w:t>
        </w:r>
      </w:hyperlink>
      <w:r w:rsidR="000213CC" w:rsidRPr="00482C0A">
        <w:rPr>
          <w:rFonts w:ascii="Calibri Light" w:hAnsi="Calibri Light"/>
          <w:sz w:val="16"/>
          <w:szCs w:val="16"/>
          <w:lang w:val="fr-FR"/>
        </w:rPr>
        <w:t>.</w:t>
      </w:r>
    </w:p>
  </w:footnote>
  <w:footnote w:id="13">
    <w:p w:rsidR="00044892" w:rsidRPr="00482C0A" w:rsidRDefault="00044892" w:rsidP="00482C0A">
      <w:pPr>
        <w:pStyle w:val="FootnoteText"/>
        <w:spacing w:after="0" w:line="240" w:lineRule="auto"/>
        <w:rPr>
          <w:rFonts w:ascii="Calibri Light" w:hAnsi="Calibri Light"/>
          <w:sz w:val="16"/>
          <w:szCs w:val="16"/>
          <w:lang w:val="fr-FR"/>
        </w:rPr>
      </w:pPr>
      <w:r w:rsidRPr="00482C0A">
        <w:rPr>
          <w:rStyle w:val="FootnoteReference"/>
          <w:rFonts w:ascii="Calibri Light" w:hAnsi="Calibri Light"/>
          <w:sz w:val="16"/>
          <w:szCs w:val="16"/>
        </w:rPr>
        <w:footnoteRef/>
      </w:r>
      <w:r w:rsidRPr="00482C0A">
        <w:rPr>
          <w:rFonts w:ascii="Calibri Light" w:hAnsi="Calibri Light"/>
          <w:sz w:val="16"/>
          <w:szCs w:val="16"/>
          <w:lang w:val="fr-FR"/>
        </w:rPr>
        <w:t xml:space="preserve"> À ce sujet par exemple, la Cour interaméricaine a indiqué, en se référant aux mesures provisoires, qu’un minimum de détails et d’informations est exigé pour évaluer </w:t>
      </w:r>
      <w:r w:rsidRPr="00482C0A">
        <w:rPr>
          <w:rFonts w:ascii="Calibri Light" w:hAnsi="Calibri Light"/>
          <w:i/>
          <w:sz w:val="16"/>
          <w:szCs w:val="16"/>
          <w:lang w:val="fr-FR"/>
        </w:rPr>
        <w:t xml:space="preserve">prima </w:t>
      </w:r>
      <w:proofErr w:type="spellStart"/>
      <w:r w:rsidRPr="00482C0A">
        <w:rPr>
          <w:rFonts w:ascii="Calibri Light" w:hAnsi="Calibri Light"/>
          <w:i/>
          <w:sz w:val="16"/>
          <w:szCs w:val="16"/>
          <w:lang w:val="fr-FR"/>
        </w:rPr>
        <w:t>facie</w:t>
      </w:r>
      <w:proofErr w:type="spellEnd"/>
      <w:r w:rsidRPr="00482C0A">
        <w:rPr>
          <w:rFonts w:ascii="Calibri Light" w:hAnsi="Calibri Light"/>
          <w:sz w:val="16"/>
          <w:szCs w:val="16"/>
          <w:lang w:val="fr-FR"/>
        </w:rPr>
        <w:t xml:space="preserve"> une situation d’extrême gravité et urgence. CIDH, </w:t>
      </w:r>
      <w:r w:rsidRPr="00482C0A">
        <w:rPr>
          <w:rFonts w:ascii="Calibri Light" w:hAnsi="Calibri Light"/>
          <w:i/>
          <w:sz w:val="16"/>
          <w:szCs w:val="16"/>
          <w:lang w:val="fr-FR"/>
        </w:rPr>
        <w:t xml:space="preserve">Affaire des enfants et adolescents privés de liberté dans le complexe de </w:t>
      </w:r>
      <w:proofErr w:type="spellStart"/>
      <w:r w:rsidRPr="00482C0A">
        <w:rPr>
          <w:rFonts w:ascii="Calibri Light" w:hAnsi="Calibri Light"/>
          <w:i/>
          <w:sz w:val="16"/>
          <w:szCs w:val="16"/>
          <w:lang w:val="fr-FR"/>
        </w:rPr>
        <w:t>Tatuapé</w:t>
      </w:r>
      <w:proofErr w:type="spellEnd"/>
      <w:r w:rsidRPr="00482C0A">
        <w:rPr>
          <w:rFonts w:ascii="Calibri Light" w:hAnsi="Calibri Light"/>
          <w:i/>
          <w:sz w:val="16"/>
          <w:szCs w:val="16"/>
          <w:lang w:val="fr-FR"/>
        </w:rPr>
        <w:t xml:space="preserve"> (</w:t>
      </w:r>
      <w:proofErr w:type="spellStart"/>
      <w:r w:rsidRPr="00482C0A">
        <w:rPr>
          <w:rFonts w:ascii="Calibri Light" w:hAnsi="Calibri Light"/>
          <w:i/>
          <w:sz w:val="16"/>
          <w:szCs w:val="16"/>
          <w:lang w:val="fr-FR"/>
        </w:rPr>
        <w:t>Complexo</w:t>
      </w:r>
      <w:proofErr w:type="spellEnd"/>
      <w:r w:rsidRPr="00482C0A">
        <w:rPr>
          <w:rFonts w:ascii="Calibri Light" w:hAnsi="Calibri Light"/>
          <w:i/>
          <w:sz w:val="16"/>
          <w:szCs w:val="16"/>
          <w:lang w:val="fr-FR"/>
        </w:rPr>
        <w:t xml:space="preserve"> do </w:t>
      </w:r>
      <w:proofErr w:type="spellStart"/>
      <w:r w:rsidRPr="00482C0A">
        <w:rPr>
          <w:rFonts w:ascii="Calibri Light" w:hAnsi="Calibri Light"/>
          <w:i/>
          <w:sz w:val="16"/>
          <w:szCs w:val="16"/>
          <w:lang w:val="fr-FR"/>
        </w:rPr>
        <w:t>Tatuapé</w:t>
      </w:r>
      <w:proofErr w:type="spellEnd"/>
      <w:r w:rsidRPr="00482C0A">
        <w:rPr>
          <w:rFonts w:ascii="Calibri Light" w:hAnsi="Calibri Light"/>
          <w:i/>
          <w:sz w:val="16"/>
          <w:szCs w:val="16"/>
          <w:lang w:val="fr-FR"/>
        </w:rPr>
        <w:t>) de la fondation CASA (</w:t>
      </w:r>
      <w:proofErr w:type="spellStart"/>
      <w:r w:rsidRPr="00482C0A">
        <w:rPr>
          <w:rFonts w:ascii="Calibri Light" w:hAnsi="Calibri Light"/>
          <w:i/>
          <w:sz w:val="16"/>
          <w:szCs w:val="16"/>
          <w:lang w:val="fr-FR"/>
        </w:rPr>
        <w:t>Fundação</w:t>
      </w:r>
      <w:proofErr w:type="spellEnd"/>
      <w:r w:rsidRPr="00482C0A">
        <w:rPr>
          <w:rFonts w:ascii="Calibri Light" w:hAnsi="Calibri Light"/>
          <w:i/>
          <w:sz w:val="16"/>
          <w:szCs w:val="16"/>
          <w:lang w:val="fr-FR"/>
        </w:rPr>
        <w:t xml:space="preserve"> CASA)</w:t>
      </w:r>
      <w:r w:rsidRPr="00482C0A">
        <w:rPr>
          <w:rFonts w:ascii="Calibri Light" w:hAnsi="Calibri Light"/>
          <w:sz w:val="16"/>
          <w:szCs w:val="16"/>
          <w:lang w:val="fr-FR"/>
        </w:rPr>
        <w:t>. Demande d</w:t>
      </w:r>
      <w:r w:rsidR="0070118F" w:rsidRPr="00482C0A">
        <w:rPr>
          <w:rFonts w:ascii="Calibri Light" w:hAnsi="Calibri Light"/>
          <w:sz w:val="16"/>
          <w:szCs w:val="16"/>
          <w:lang w:val="fr-FR"/>
        </w:rPr>
        <w:t>’extension</w:t>
      </w:r>
      <w:r w:rsidRPr="00482C0A">
        <w:rPr>
          <w:rFonts w:ascii="Calibri Light" w:hAnsi="Calibri Light"/>
          <w:sz w:val="16"/>
          <w:szCs w:val="16"/>
          <w:lang w:val="fr-FR"/>
        </w:rPr>
        <w:t xml:space="preserve"> des mesures provisoires. Mesures provisoires relatives au Brésil. Résolution de la Cour interaméricaine des droits de l’homme du 4 juillet 2006. </w:t>
      </w:r>
      <w:r w:rsidR="00973FA1" w:rsidRPr="00482C0A">
        <w:rPr>
          <w:rFonts w:ascii="Calibri Light" w:hAnsi="Calibri Light"/>
          <w:sz w:val="16"/>
          <w:szCs w:val="16"/>
          <w:lang w:val="fr-FR"/>
        </w:rPr>
        <w:t>Attendu</w:t>
      </w:r>
      <w:r w:rsidRPr="00482C0A">
        <w:rPr>
          <w:rFonts w:ascii="Calibri Light" w:hAnsi="Calibri Light"/>
          <w:sz w:val="16"/>
          <w:szCs w:val="16"/>
          <w:lang w:val="fr-FR"/>
        </w:rPr>
        <w:t xml:space="preserve"> 23.</w:t>
      </w:r>
    </w:p>
  </w:footnote>
  <w:footnote w:id="14">
    <w:p w:rsidR="00044892" w:rsidRPr="00482C0A" w:rsidRDefault="00044892" w:rsidP="00482C0A">
      <w:pPr>
        <w:pStyle w:val="FootnoteText"/>
        <w:spacing w:after="0" w:line="240" w:lineRule="auto"/>
        <w:rPr>
          <w:rFonts w:ascii="Calibri Light" w:hAnsi="Calibri Light"/>
          <w:sz w:val="16"/>
          <w:szCs w:val="16"/>
          <w:lang w:val="fr-FR"/>
        </w:rPr>
      </w:pPr>
      <w:r w:rsidRPr="00482C0A">
        <w:rPr>
          <w:rStyle w:val="FootnoteReference"/>
          <w:rFonts w:ascii="Calibri Light" w:hAnsi="Calibri Light"/>
          <w:sz w:val="16"/>
          <w:szCs w:val="16"/>
          <w:lang w:val="fr-FR"/>
        </w:rPr>
        <w:footnoteRef/>
      </w:r>
      <w:r w:rsidRPr="00482C0A">
        <w:rPr>
          <w:rFonts w:ascii="Calibri Light" w:hAnsi="Calibri Light"/>
          <w:sz w:val="16"/>
          <w:szCs w:val="16"/>
          <w:lang w:val="fr-FR"/>
        </w:rPr>
        <w:t xml:space="preserve"> Équipe de pays des Nations Unies en Haïti, </w:t>
      </w:r>
      <w:r w:rsidRPr="00482C0A">
        <w:rPr>
          <w:rFonts w:ascii="Calibri Light" w:hAnsi="Calibri Light"/>
          <w:i/>
          <w:sz w:val="16"/>
          <w:szCs w:val="16"/>
          <w:lang w:val="fr-FR"/>
        </w:rPr>
        <w:t>Compilation d’informations des Nations Unies en vue du second Examen périodique universel de la République d’Haïti</w:t>
      </w:r>
      <w:r w:rsidRPr="00482C0A">
        <w:rPr>
          <w:rFonts w:ascii="Calibri Light" w:hAnsi="Calibri Light"/>
          <w:sz w:val="16"/>
          <w:szCs w:val="16"/>
          <w:lang w:val="fr-FR"/>
        </w:rPr>
        <w:t xml:space="preserve">, mars 2016, paragraphe 29. Disponible à l’adresse suivante : </w:t>
      </w:r>
      <w:hyperlink r:id="rId8" w:history="1">
        <w:r w:rsidRPr="00482C0A">
          <w:rPr>
            <w:rStyle w:val="Hyperlink"/>
            <w:rFonts w:ascii="Calibri Light" w:hAnsi="Calibri Light"/>
            <w:color w:val="auto"/>
            <w:sz w:val="16"/>
            <w:szCs w:val="16"/>
            <w:u w:val="none"/>
            <w:lang w:val="fr-FR"/>
          </w:rPr>
          <w:t>https://uprdoc.ohchr.org/uprweb/downloadfile.aspx?filename=2757&amp;file=FrenchTranslation</w:t>
        </w:r>
      </w:hyperlink>
      <w:r w:rsidRPr="00482C0A">
        <w:rPr>
          <w:rFonts w:ascii="Calibri Light" w:hAnsi="Calibri Light"/>
          <w:sz w:val="16"/>
          <w:szCs w:val="16"/>
          <w:lang w:val="fr-FR"/>
        </w:rPr>
        <w:t xml:space="preserve">. </w:t>
      </w:r>
    </w:p>
  </w:footnote>
  <w:footnote w:id="15">
    <w:p w:rsidR="00044892" w:rsidRPr="00482C0A" w:rsidRDefault="00044892" w:rsidP="00482C0A">
      <w:pPr>
        <w:pStyle w:val="FootnoteText"/>
        <w:spacing w:after="0" w:line="240" w:lineRule="auto"/>
        <w:rPr>
          <w:rFonts w:ascii="Calibri Light" w:hAnsi="Calibri Light"/>
          <w:sz w:val="16"/>
          <w:szCs w:val="16"/>
          <w:lang w:val="fr-FR"/>
        </w:rPr>
      </w:pPr>
      <w:r w:rsidRPr="00482C0A">
        <w:rPr>
          <w:rStyle w:val="FootnoteReference"/>
          <w:rFonts w:ascii="Calibri Light" w:hAnsi="Calibri Light"/>
          <w:sz w:val="16"/>
          <w:szCs w:val="16"/>
          <w:lang w:val="fr-FR"/>
        </w:rPr>
        <w:footnoteRef/>
      </w:r>
      <w:r w:rsidRPr="00482C0A">
        <w:rPr>
          <w:rFonts w:ascii="Calibri Light" w:hAnsi="Calibri Light"/>
          <w:sz w:val="16"/>
          <w:szCs w:val="16"/>
          <w:lang w:val="fr-FR"/>
        </w:rPr>
        <w:t xml:space="preserve"> CIDH. </w:t>
      </w:r>
      <w:proofErr w:type="spellStart"/>
      <w:r w:rsidRPr="00482C0A">
        <w:rPr>
          <w:rFonts w:ascii="Calibri Light" w:hAnsi="Calibri Light"/>
          <w:i/>
          <w:sz w:val="16"/>
          <w:szCs w:val="16"/>
          <w:lang w:val="fr-FR"/>
        </w:rPr>
        <w:t>Caso</w:t>
      </w:r>
      <w:proofErr w:type="spellEnd"/>
      <w:r w:rsidRPr="00482C0A">
        <w:rPr>
          <w:rFonts w:ascii="Calibri Light" w:hAnsi="Calibri Light"/>
          <w:i/>
          <w:sz w:val="16"/>
          <w:szCs w:val="16"/>
          <w:lang w:val="fr-FR"/>
        </w:rPr>
        <w:t xml:space="preserve"> Yvon Neptune vs. </w:t>
      </w:r>
      <w:proofErr w:type="spellStart"/>
      <w:r w:rsidRPr="00482C0A">
        <w:rPr>
          <w:rFonts w:ascii="Calibri Light" w:hAnsi="Calibri Light"/>
          <w:i/>
          <w:sz w:val="16"/>
          <w:szCs w:val="16"/>
          <w:lang w:val="fr-FR"/>
        </w:rPr>
        <w:t>Haití</w:t>
      </w:r>
      <w:proofErr w:type="spellEnd"/>
      <w:r w:rsidRPr="00482C0A">
        <w:rPr>
          <w:rFonts w:ascii="Calibri Light" w:hAnsi="Calibri Light"/>
          <w:sz w:val="16"/>
          <w:szCs w:val="16"/>
          <w:lang w:val="fr-FR"/>
        </w:rPr>
        <w:t xml:space="preserve">. </w:t>
      </w:r>
      <w:r w:rsidR="00E32819" w:rsidRPr="00482C0A">
        <w:rPr>
          <w:rFonts w:ascii="Calibri Light" w:hAnsi="Calibri Light"/>
          <w:sz w:val="16"/>
          <w:szCs w:val="16"/>
          <w:lang w:val="fr-FR"/>
        </w:rPr>
        <w:t>F</w:t>
      </w:r>
      <w:proofErr w:type="spellStart"/>
      <w:r w:rsidR="00E32819" w:rsidRPr="00482C0A">
        <w:rPr>
          <w:rFonts w:ascii="Calibri Light" w:hAnsi="Calibri Light"/>
          <w:sz w:val="16"/>
          <w:szCs w:val="16"/>
          <w:lang w:val="fr-CA"/>
        </w:rPr>
        <w:t>ond</w:t>
      </w:r>
      <w:proofErr w:type="spellEnd"/>
      <w:r w:rsidR="00E32819" w:rsidRPr="00482C0A">
        <w:rPr>
          <w:rFonts w:ascii="Calibri Light" w:hAnsi="Calibri Light"/>
          <w:sz w:val="16"/>
          <w:szCs w:val="16"/>
          <w:lang w:val="fr-CA"/>
        </w:rPr>
        <w:t xml:space="preserve">, Réparations et </w:t>
      </w:r>
      <w:proofErr w:type="gramStart"/>
      <w:r w:rsidR="00E32819" w:rsidRPr="00482C0A">
        <w:rPr>
          <w:rFonts w:ascii="Calibri Light" w:hAnsi="Calibri Light"/>
          <w:sz w:val="16"/>
          <w:szCs w:val="16"/>
          <w:lang w:val="fr-CA"/>
        </w:rPr>
        <w:t xml:space="preserve">Frais </w:t>
      </w:r>
      <w:r w:rsidRPr="00482C0A">
        <w:rPr>
          <w:rFonts w:ascii="Calibri Light" w:hAnsi="Calibri Light"/>
          <w:sz w:val="16"/>
          <w:szCs w:val="16"/>
          <w:lang w:val="fr-CA"/>
        </w:rPr>
        <w:t>.</w:t>
      </w:r>
      <w:proofErr w:type="gramEnd"/>
      <w:r w:rsidR="00E32819" w:rsidRPr="00482C0A">
        <w:rPr>
          <w:rFonts w:ascii="Calibri Light" w:hAnsi="Calibri Light"/>
          <w:sz w:val="16"/>
          <w:szCs w:val="16"/>
          <w:lang w:val="fr-CA"/>
        </w:rPr>
        <w:t xml:space="preserve"> Série </w:t>
      </w:r>
      <w:r w:rsidRPr="00482C0A">
        <w:rPr>
          <w:rFonts w:ascii="Calibri Light" w:hAnsi="Calibri Light"/>
          <w:sz w:val="16"/>
          <w:szCs w:val="16"/>
          <w:lang w:val="fr-CA"/>
        </w:rPr>
        <w:t xml:space="preserve"> C n. 180, 6 mai 2008. </w:t>
      </w:r>
      <w:r w:rsidRPr="00482C0A">
        <w:rPr>
          <w:rFonts w:ascii="Calibri Light" w:hAnsi="Calibri Light"/>
          <w:sz w:val="16"/>
          <w:szCs w:val="16"/>
          <w:lang w:val="fr-FR"/>
        </w:rPr>
        <w:t xml:space="preserve">Disponible à l’adresse suivante : </w:t>
      </w:r>
      <w:hyperlink r:id="rId9" w:history="1">
        <w:r w:rsidRPr="00482C0A">
          <w:rPr>
            <w:rStyle w:val="Hyperlink"/>
            <w:rFonts w:ascii="Calibri Light" w:hAnsi="Calibri Light"/>
            <w:color w:val="auto"/>
            <w:sz w:val="16"/>
            <w:szCs w:val="16"/>
            <w:u w:val="none"/>
            <w:lang w:val="fr-FR"/>
          </w:rPr>
          <w:t>http://www.corteidh.or.cr/docs/casos/articulos/seriec_180_esp1.pdf</w:t>
        </w:r>
      </w:hyperlink>
      <w:r w:rsidRPr="00482C0A">
        <w:rPr>
          <w:rFonts w:ascii="Calibri Light" w:hAnsi="Calibri Light"/>
          <w:sz w:val="16"/>
          <w:szCs w:val="16"/>
          <w:lang w:val="fr-FR"/>
        </w:rPr>
        <w:t xml:space="preserve"> (en espagnol seulement).</w:t>
      </w:r>
    </w:p>
  </w:footnote>
  <w:footnote w:id="16">
    <w:p w:rsidR="00044892" w:rsidRPr="00482C0A" w:rsidRDefault="00044892" w:rsidP="00482C0A">
      <w:pPr>
        <w:pStyle w:val="FootnoteText"/>
        <w:spacing w:after="0" w:line="240" w:lineRule="auto"/>
        <w:rPr>
          <w:rFonts w:ascii="Calibri Light" w:hAnsi="Calibri Light"/>
          <w:sz w:val="16"/>
          <w:szCs w:val="16"/>
          <w:lang w:val="fr-FR"/>
        </w:rPr>
      </w:pPr>
      <w:r w:rsidRPr="00482C0A">
        <w:rPr>
          <w:rStyle w:val="FootnoteReference"/>
          <w:rFonts w:ascii="Calibri Light" w:hAnsi="Calibri Light"/>
          <w:sz w:val="16"/>
          <w:szCs w:val="16"/>
          <w:lang w:val="fr-FR"/>
        </w:rPr>
        <w:footnoteRef/>
      </w:r>
      <w:r w:rsidRPr="00482C0A">
        <w:rPr>
          <w:rFonts w:ascii="Calibri Light" w:hAnsi="Calibri Light"/>
          <w:sz w:val="16"/>
          <w:szCs w:val="16"/>
          <w:lang w:val="fr-FR"/>
        </w:rPr>
        <w:t xml:space="preserve"> CIDH. </w:t>
      </w:r>
      <w:proofErr w:type="spellStart"/>
      <w:r w:rsidRPr="00482C0A">
        <w:rPr>
          <w:rFonts w:ascii="Calibri Light" w:hAnsi="Calibri Light"/>
          <w:i/>
          <w:sz w:val="16"/>
          <w:szCs w:val="16"/>
          <w:lang w:val="fr-FR"/>
        </w:rPr>
        <w:t>Caso</w:t>
      </w:r>
      <w:proofErr w:type="spellEnd"/>
      <w:r w:rsidRPr="00482C0A">
        <w:rPr>
          <w:rFonts w:ascii="Calibri Light" w:hAnsi="Calibri Light"/>
          <w:i/>
          <w:sz w:val="16"/>
          <w:szCs w:val="16"/>
          <w:lang w:val="fr-FR"/>
        </w:rPr>
        <w:t xml:space="preserve"> Yvon Neptune vs. </w:t>
      </w:r>
      <w:proofErr w:type="spellStart"/>
      <w:r w:rsidRPr="00482C0A">
        <w:rPr>
          <w:rFonts w:ascii="Calibri Light" w:hAnsi="Calibri Light"/>
          <w:i/>
          <w:sz w:val="16"/>
          <w:szCs w:val="16"/>
          <w:lang w:val="fr-FR"/>
        </w:rPr>
        <w:t>Haití</w:t>
      </w:r>
      <w:proofErr w:type="spellEnd"/>
      <w:r w:rsidRPr="00482C0A">
        <w:rPr>
          <w:rFonts w:ascii="Calibri Light" w:hAnsi="Calibri Light"/>
          <w:sz w:val="16"/>
          <w:szCs w:val="16"/>
          <w:lang w:val="fr-FR"/>
        </w:rPr>
        <w:t xml:space="preserve">. </w:t>
      </w:r>
      <w:r w:rsidR="00E32819" w:rsidRPr="00482C0A">
        <w:rPr>
          <w:rFonts w:ascii="Calibri Light" w:hAnsi="Calibri Light"/>
          <w:sz w:val="16"/>
          <w:szCs w:val="16"/>
          <w:lang w:val="fr-FR"/>
        </w:rPr>
        <w:t>Surveillance d’exécution de jugements</w:t>
      </w:r>
      <w:r w:rsidRPr="00482C0A">
        <w:rPr>
          <w:rFonts w:ascii="Calibri Light" w:hAnsi="Calibri Light"/>
          <w:sz w:val="16"/>
          <w:szCs w:val="16"/>
          <w:lang w:val="fr-CA"/>
        </w:rPr>
        <w:t xml:space="preserve">, 20 novembre 2015. </w:t>
      </w:r>
      <w:r w:rsidRPr="00482C0A">
        <w:rPr>
          <w:rFonts w:ascii="Calibri Light" w:hAnsi="Calibri Light"/>
          <w:sz w:val="16"/>
          <w:szCs w:val="16"/>
          <w:lang w:val="fr-FR"/>
        </w:rPr>
        <w:t xml:space="preserve">Disponible à l’adresse suivante : </w:t>
      </w:r>
      <w:hyperlink r:id="rId10" w:history="1">
        <w:r w:rsidRPr="00482C0A">
          <w:rPr>
            <w:rStyle w:val="Hyperlink"/>
            <w:rFonts w:ascii="Calibri Light" w:hAnsi="Calibri Light"/>
            <w:color w:val="auto"/>
            <w:sz w:val="16"/>
            <w:szCs w:val="16"/>
            <w:u w:val="none"/>
            <w:lang w:val="fr-FR"/>
          </w:rPr>
          <w:t>http://www.corteidh.or.cr/docs/supervisiones/yvon_20_11_15_esp.pdf</w:t>
        </w:r>
      </w:hyperlink>
      <w:r w:rsidRPr="00482C0A">
        <w:rPr>
          <w:rFonts w:ascii="Calibri Light" w:hAnsi="Calibri Light"/>
          <w:sz w:val="16"/>
          <w:szCs w:val="16"/>
          <w:lang w:val="fr-FR"/>
        </w:rPr>
        <w:t xml:space="preserve"> (en espagnol seulement).</w:t>
      </w:r>
    </w:p>
  </w:footnote>
  <w:footnote w:id="17">
    <w:p w:rsidR="00044892" w:rsidRPr="00482C0A" w:rsidRDefault="00044892" w:rsidP="00482C0A">
      <w:pPr>
        <w:pStyle w:val="FootnoteText"/>
        <w:spacing w:after="0" w:line="240" w:lineRule="auto"/>
        <w:rPr>
          <w:rFonts w:ascii="Calibri Light" w:hAnsi="Calibri Light"/>
          <w:sz w:val="16"/>
          <w:szCs w:val="16"/>
          <w:lang w:val="fr-FR"/>
        </w:rPr>
      </w:pPr>
      <w:r w:rsidRPr="00482C0A">
        <w:rPr>
          <w:rStyle w:val="FootnoteReference"/>
          <w:rFonts w:ascii="Calibri Light" w:hAnsi="Calibri Light"/>
          <w:sz w:val="16"/>
          <w:szCs w:val="16"/>
        </w:rPr>
        <w:footnoteRef/>
      </w:r>
      <w:r w:rsidRPr="00482C0A">
        <w:rPr>
          <w:rFonts w:ascii="Calibri Light" w:hAnsi="Calibri Light"/>
          <w:sz w:val="16"/>
          <w:szCs w:val="16"/>
          <w:lang w:val="fr-FR"/>
        </w:rPr>
        <w:t xml:space="preserve"> CIDH. Affaire « Institut de rééducation des mineurs contre Paraguay », décision prononcée le 2 septembre 2004, paragraphe 152. Disponible à l’adresse suivante : </w:t>
      </w:r>
      <w:hyperlink r:id="rId11" w:history="1">
        <w:r w:rsidRPr="00482C0A">
          <w:rPr>
            <w:rStyle w:val="Hyperlink"/>
            <w:rFonts w:ascii="Calibri Light" w:hAnsi="Calibri Light"/>
            <w:color w:val="auto"/>
            <w:sz w:val="16"/>
            <w:szCs w:val="16"/>
            <w:u w:val="none"/>
            <w:lang w:val="fr-FR"/>
          </w:rPr>
          <w:t>http://www.corteidh.or.cr/docs/casos/articulos/seriec_112_esp.pdf</w:t>
        </w:r>
      </w:hyperlink>
      <w:r w:rsidRPr="00482C0A">
        <w:rPr>
          <w:rFonts w:ascii="Calibri Light" w:hAnsi="Calibri Light"/>
          <w:sz w:val="16"/>
          <w:szCs w:val="16"/>
          <w:lang w:val="fr-FR"/>
        </w:rPr>
        <w:t xml:space="preserve"> (en espagnol seulement).</w:t>
      </w:r>
    </w:p>
  </w:footnote>
  <w:footnote w:id="18">
    <w:p w:rsidR="00044892" w:rsidRPr="00482C0A" w:rsidRDefault="00044892" w:rsidP="00482C0A">
      <w:pPr>
        <w:pStyle w:val="FootnoteText"/>
        <w:spacing w:after="0" w:line="240" w:lineRule="auto"/>
        <w:rPr>
          <w:rFonts w:ascii="Calibri Light" w:hAnsi="Calibri Light"/>
          <w:sz w:val="16"/>
          <w:szCs w:val="16"/>
          <w:lang w:val="fr-FR"/>
        </w:rPr>
      </w:pPr>
      <w:r w:rsidRPr="00482C0A">
        <w:rPr>
          <w:rStyle w:val="FootnoteReference"/>
          <w:rFonts w:ascii="Calibri Light" w:hAnsi="Calibri Light"/>
          <w:sz w:val="16"/>
          <w:szCs w:val="16"/>
        </w:rPr>
        <w:footnoteRef/>
      </w:r>
      <w:r w:rsidRPr="00482C0A">
        <w:rPr>
          <w:rFonts w:ascii="Calibri Light" w:hAnsi="Calibri Light"/>
          <w:sz w:val="16"/>
          <w:szCs w:val="16"/>
          <w:lang w:val="fr-FR"/>
        </w:rPr>
        <w:t xml:space="preserve"> Rapport du rapporteur spécial du Conseil des droits de l’homme sur la torture et autres peines ou traitements cruels, inhumains ou dégradants </w:t>
      </w:r>
      <w:r w:rsidR="00D1064C" w:rsidRPr="00482C0A">
        <w:rPr>
          <w:rFonts w:ascii="Calibri Light" w:hAnsi="Calibri Light"/>
          <w:sz w:val="16"/>
          <w:szCs w:val="16"/>
          <w:lang w:val="fr-FR"/>
        </w:rPr>
        <w:t>M.</w:t>
      </w:r>
      <w:r w:rsidRPr="00482C0A">
        <w:rPr>
          <w:rFonts w:ascii="Calibri Light" w:hAnsi="Calibri Light"/>
          <w:sz w:val="16"/>
          <w:szCs w:val="16"/>
          <w:lang w:val="fr-FR"/>
        </w:rPr>
        <w:t xml:space="preserve"> </w:t>
      </w:r>
      <w:proofErr w:type="spellStart"/>
      <w:r w:rsidRPr="00482C0A">
        <w:rPr>
          <w:rFonts w:ascii="Calibri Light" w:hAnsi="Calibri Light"/>
          <w:sz w:val="16"/>
          <w:szCs w:val="16"/>
          <w:lang w:val="fr-FR"/>
        </w:rPr>
        <w:t>Mandred</w:t>
      </w:r>
      <w:proofErr w:type="spellEnd"/>
      <w:r w:rsidRPr="00482C0A">
        <w:rPr>
          <w:rFonts w:ascii="Calibri Light" w:hAnsi="Calibri Light"/>
          <w:sz w:val="16"/>
          <w:szCs w:val="16"/>
          <w:lang w:val="fr-FR"/>
        </w:rPr>
        <w:t xml:space="preserve"> </w:t>
      </w:r>
      <w:proofErr w:type="spellStart"/>
      <w:r w:rsidRPr="00482C0A">
        <w:rPr>
          <w:rFonts w:ascii="Calibri Light" w:hAnsi="Calibri Light"/>
          <w:sz w:val="16"/>
          <w:szCs w:val="16"/>
          <w:lang w:val="fr-FR"/>
        </w:rPr>
        <w:t>Nowak</w:t>
      </w:r>
      <w:proofErr w:type="spellEnd"/>
      <w:r w:rsidRPr="00482C0A">
        <w:rPr>
          <w:rFonts w:ascii="Calibri Light" w:hAnsi="Calibri Light"/>
          <w:sz w:val="16"/>
          <w:szCs w:val="16"/>
          <w:lang w:val="fr-FR"/>
        </w:rPr>
        <w:t xml:space="preserve">. A/36/175 28 juillet 2008, paragraphe. 35. Disponible à l’adresse suivante : </w:t>
      </w:r>
      <w:hyperlink r:id="rId12" w:history="1">
        <w:r w:rsidRPr="00482C0A">
          <w:rPr>
            <w:rStyle w:val="Hyperlink"/>
            <w:rFonts w:ascii="Calibri Light" w:hAnsi="Calibri Light"/>
            <w:color w:val="auto"/>
            <w:sz w:val="16"/>
            <w:szCs w:val="16"/>
            <w:u w:val="none"/>
            <w:lang w:val="fr-FR"/>
          </w:rPr>
          <w:t>http://www.refworld.org/cgi-bin/texis/vtx/rwmain/opendocpdf.pdf?reldoc=y&amp;docid=48db9a1c2</w:t>
        </w:r>
      </w:hyperlink>
      <w:r w:rsidRPr="00482C0A">
        <w:rPr>
          <w:rFonts w:ascii="Calibri Light" w:hAnsi="Calibri Light"/>
          <w:sz w:val="16"/>
          <w:szCs w:val="16"/>
          <w:lang w:val="fr-FR"/>
        </w:rPr>
        <w:t xml:space="preserve"> (en espagnol seulement).</w:t>
      </w:r>
    </w:p>
  </w:footnote>
  <w:footnote w:id="19">
    <w:p w:rsidR="00044892" w:rsidRPr="00482C0A" w:rsidRDefault="00044892" w:rsidP="00482C0A">
      <w:pPr>
        <w:pStyle w:val="FootnoteText"/>
        <w:spacing w:after="0" w:line="240" w:lineRule="auto"/>
        <w:rPr>
          <w:rFonts w:ascii="Calibri Light" w:hAnsi="Calibri Light"/>
          <w:sz w:val="16"/>
          <w:szCs w:val="16"/>
          <w:lang w:val="fr-FR"/>
        </w:rPr>
      </w:pPr>
      <w:r w:rsidRPr="00482C0A">
        <w:rPr>
          <w:rStyle w:val="FootnoteReference"/>
          <w:rFonts w:ascii="Calibri Light" w:hAnsi="Calibri Light"/>
          <w:sz w:val="16"/>
          <w:szCs w:val="16"/>
        </w:rPr>
        <w:footnoteRef/>
      </w:r>
      <w:r w:rsidRPr="00482C0A">
        <w:rPr>
          <w:rFonts w:ascii="Calibri Light" w:hAnsi="Calibri Light"/>
          <w:sz w:val="16"/>
          <w:szCs w:val="16"/>
          <w:lang w:val="fr-FR"/>
        </w:rPr>
        <w:t xml:space="preserve"> Ensemble de règles minima des Nations Unies pour le traitement des détenus (Règles Nelson Mandela), Règle 47. Disponible à l’adresse suivante : </w:t>
      </w:r>
      <w:hyperlink r:id="rId13" w:history="1">
        <w:r w:rsidRPr="00482C0A">
          <w:rPr>
            <w:rStyle w:val="Hyperlink"/>
            <w:rFonts w:ascii="Calibri Light" w:hAnsi="Calibri Light"/>
            <w:color w:val="auto"/>
            <w:sz w:val="16"/>
            <w:szCs w:val="16"/>
            <w:u w:val="none"/>
            <w:lang w:val="fr-FR"/>
          </w:rPr>
          <w:t>https://www.unodc.org/documents/justice-and-prison-reform/GA-RESOLUTION/F-book.pdf</w:t>
        </w:r>
      </w:hyperlink>
      <w:r w:rsidRPr="00482C0A">
        <w:rPr>
          <w:rFonts w:ascii="Calibri Light" w:hAnsi="Calibri Light"/>
          <w:sz w:val="16"/>
          <w:szCs w:val="16"/>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92" w:rsidRPr="00117C14" w:rsidRDefault="000A0508" w:rsidP="003246D4">
    <w:pPr>
      <w:tabs>
        <w:tab w:val="left" w:pos="4040"/>
        <w:tab w:val="left" w:pos="4333"/>
        <w:tab w:val="center" w:pos="4680"/>
        <w:tab w:val="right" w:pos="9360"/>
      </w:tabs>
      <w:spacing w:after="0" w:line="240" w:lineRule="auto"/>
      <w:jc w:val="both"/>
      <w:rPr>
        <w:rFonts w:eastAsia="Calibri"/>
        <w:lang w:val="en-US"/>
      </w:rPr>
    </w:pPr>
    <w:r>
      <w:rPr>
        <w:rFonts w:eastAsia="Calibri"/>
        <w:noProof/>
        <w:lang w:val="en-US"/>
      </w:rPr>
      <w:drawing>
        <wp:inline distT="0" distB="0" distL="0" distR="0" wp14:anchorId="41EDDE44" wp14:editId="5D74A8BC">
          <wp:extent cx="2103120" cy="496330"/>
          <wp:effectExtent l="0" t="0" r="0" b="0"/>
          <wp:docPr id="1" name="Picture 1" descr="I:\Prensa y Difusión\Templates\Logo CIDH\Alta-Calidad\alta-cidh-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ensa y Difusión\Templates\Logo CIDH\Alta-Calidad\alta-cidh-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96330"/>
                  </a:xfrm>
                  <a:prstGeom prst="rect">
                    <a:avLst/>
                  </a:prstGeom>
                  <a:noFill/>
                  <a:ln>
                    <a:noFill/>
                  </a:ln>
                </pic:spPr>
              </pic:pic>
            </a:graphicData>
          </a:graphic>
        </wp:inline>
      </w:drawing>
    </w:r>
    <w:r w:rsidR="00044892" w:rsidRPr="00117C14">
      <w:rPr>
        <w:rFonts w:eastAsia="Calibri"/>
        <w:lang w:val="en-US"/>
      </w:rPr>
      <w:tab/>
    </w:r>
    <w:r w:rsidR="00044892" w:rsidRPr="00117C14">
      <w:rPr>
        <w:rFonts w:eastAsia="Calibri"/>
        <w:lang w:val="en-US"/>
      </w:rPr>
      <w:tab/>
    </w:r>
    <w:r w:rsidR="00044892" w:rsidRPr="00117C14">
      <w:rPr>
        <w:rFonts w:eastAsia="Calibri"/>
        <w:lang w:val="en-US"/>
      </w:rPr>
      <w:tab/>
    </w:r>
    <w:r w:rsidR="00044892" w:rsidRPr="00117C14">
      <w:rPr>
        <w:rFonts w:eastAsia="Calibri"/>
        <w:lang w:val="en-US"/>
      </w:rPr>
      <w:tab/>
    </w:r>
    <w:r>
      <w:rPr>
        <w:noProof/>
        <w:lang w:val="en-US"/>
      </w:rPr>
      <w:drawing>
        <wp:inline distT="0" distB="0" distL="0" distR="0" wp14:anchorId="5F7A2523" wp14:editId="6BEF9EAE">
          <wp:extent cx="2011680" cy="508695"/>
          <wp:effectExtent l="0" t="0" r="7620" b="5715"/>
          <wp:docPr id="4" name="Picture 4" descr="I:\Prensa y Difusión\Templates\LogosNuevosOEA\principal\OAS_Seal_FRE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rensa y Difusión\Templates\LogosNuevosOEA\principal\OAS_Seal_FRE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508695"/>
                  </a:xfrm>
                  <a:prstGeom prst="rect">
                    <a:avLst/>
                  </a:prstGeom>
                  <a:noFill/>
                  <a:ln>
                    <a:noFill/>
                  </a:ln>
                </pic:spPr>
              </pic:pic>
            </a:graphicData>
          </a:graphic>
        </wp:inline>
      </w:drawing>
    </w:r>
  </w:p>
  <w:p w:rsidR="00044892" w:rsidRDefault="00044892">
    <w:pPr>
      <w:pStyle w:val="Header"/>
      <w:pBdr>
        <w:bottom w:val="single" w:sz="6" w:space="1" w:color="auto"/>
      </w:pBdr>
    </w:pPr>
  </w:p>
  <w:p w:rsidR="00044892" w:rsidRDefault="00044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81D"/>
    <w:multiLevelType w:val="hybridMultilevel"/>
    <w:tmpl w:val="E40069A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A3BB5"/>
    <w:multiLevelType w:val="hybridMultilevel"/>
    <w:tmpl w:val="67E648EE"/>
    <w:lvl w:ilvl="0" w:tplc="64743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2E67"/>
    <w:multiLevelType w:val="hybridMultilevel"/>
    <w:tmpl w:val="652A8670"/>
    <w:lvl w:ilvl="0" w:tplc="33046F8A">
      <w:start w:val="1"/>
      <w:numFmt w:val="decimal"/>
      <w:lvlText w:val="%1."/>
      <w:lvlJc w:val="center"/>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46D6A"/>
    <w:multiLevelType w:val="hybridMultilevel"/>
    <w:tmpl w:val="AAE4616E"/>
    <w:lvl w:ilvl="0" w:tplc="82C06D2C">
      <w:numFmt w:val="bullet"/>
      <w:lvlText w:val="-"/>
      <w:lvlJc w:val="left"/>
      <w:pPr>
        <w:ind w:left="720" w:hanging="360"/>
      </w:pPr>
      <w:rPr>
        <w:rFonts w:ascii="Cambria" w:eastAsia="Batang"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B2073"/>
    <w:multiLevelType w:val="hybridMultilevel"/>
    <w:tmpl w:val="055010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BE2189"/>
    <w:multiLevelType w:val="hybridMultilevel"/>
    <w:tmpl w:val="6B4CD8E2"/>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09C173A1"/>
    <w:multiLevelType w:val="hybridMultilevel"/>
    <w:tmpl w:val="8A008C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469BF"/>
    <w:multiLevelType w:val="hybridMultilevel"/>
    <w:tmpl w:val="C3623A4E"/>
    <w:lvl w:ilvl="0" w:tplc="66761E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C774C1"/>
    <w:multiLevelType w:val="hybridMultilevel"/>
    <w:tmpl w:val="AA201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F345E9"/>
    <w:multiLevelType w:val="hybridMultilevel"/>
    <w:tmpl w:val="C6AC4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B24BF"/>
    <w:multiLevelType w:val="hybridMultilevel"/>
    <w:tmpl w:val="8A008C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33832"/>
    <w:multiLevelType w:val="hybridMultilevel"/>
    <w:tmpl w:val="4D60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A11D0"/>
    <w:multiLevelType w:val="hybridMultilevel"/>
    <w:tmpl w:val="31725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E2EAA"/>
    <w:multiLevelType w:val="hybridMultilevel"/>
    <w:tmpl w:val="D63E8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A5C5C"/>
    <w:multiLevelType w:val="hybridMultilevel"/>
    <w:tmpl w:val="118EEE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F2D45"/>
    <w:multiLevelType w:val="hybridMultilevel"/>
    <w:tmpl w:val="DC2AE4E8"/>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44763"/>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CA300B6"/>
    <w:multiLevelType w:val="hybridMultilevel"/>
    <w:tmpl w:val="C3285F9C"/>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692FD7"/>
    <w:multiLevelType w:val="hybridMultilevel"/>
    <w:tmpl w:val="0EAC63A2"/>
    <w:lvl w:ilvl="0" w:tplc="77D4781A">
      <w:start w:val="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DE4370"/>
    <w:multiLevelType w:val="hybridMultilevel"/>
    <w:tmpl w:val="E8A251D4"/>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53C42"/>
    <w:multiLevelType w:val="hybridMultilevel"/>
    <w:tmpl w:val="F586A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2325FF"/>
    <w:multiLevelType w:val="hybridMultilevel"/>
    <w:tmpl w:val="7BFE24F8"/>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261E5"/>
    <w:multiLevelType w:val="hybridMultilevel"/>
    <w:tmpl w:val="9D901538"/>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7E0D7F"/>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8D4183A"/>
    <w:multiLevelType w:val="hybridMultilevel"/>
    <w:tmpl w:val="3F3A0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EC7B67"/>
    <w:multiLevelType w:val="hybridMultilevel"/>
    <w:tmpl w:val="CC349D66"/>
    <w:lvl w:ilvl="0" w:tplc="33046F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2981BD3"/>
    <w:multiLevelType w:val="hybridMultilevel"/>
    <w:tmpl w:val="413056D6"/>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93B57B8"/>
    <w:multiLevelType w:val="hybridMultilevel"/>
    <w:tmpl w:val="F2DCA10E"/>
    <w:lvl w:ilvl="0" w:tplc="F87E9AA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2771D39"/>
    <w:multiLevelType w:val="hybridMultilevel"/>
    <w:tmpl w:val="AB60EBD2"/>
    <w:lvl w:ilvl="0" w:tplc="58FE74A0">
      <w:start w:val="3"/>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9"/>
  </w:num>
  <w:num w:numId="4">
    <w:abstractNumId w:val="0"/>
  </w:num>
  <w:num w:numId="5">
    <w:abstractNumId w:val="25"/>
  </w:num>
  <w:num w:numId="6">
    <w:abstractNumId w:val="10"/>
  </w:num>
  <w:num w:numId="7">
    <w:abstractNumId w:val="27"/>
  </w:num>
  <w:num w:numId="8">
    <w:abstractNumId w:val="18"/>
  </w:num>
  <w:num w:numId="9">
    <w:abstractNumId w:val="21"/>
  </w:num>
  <w:num w:numId="10">
    <w:abstractNumId w:val="5"/>
  </w:num>
  <w:num w:numId="11">
    <w:abstractNumId w:val="14"/>
  </w:num>
  <w:num w:numId="12">
    <w:abstractNumId w:val="1"/>
  </w:num>
  <w:num w:numId="13">
    <w:abstractNumId w:val="7"/>
  </w:num>
  <w:num w:numId="14">
    <w:abstractNumId w:val="28"/>
  </w:num>
  <w:num w:numId="15">
    <w:abstractNumId w:val="4"/>
  </w:num>
  <w:num w:numId="16">
    <w:abstractNumId w:val="2"/>
  </w:num>
  <w:num w:numId="17">
    <w:abstractNumId w:val="13"/>
  </w:num>
  <w:num w:numId="18">
    <w:abstractNumId w:val="3"/>
  </w:num>
  <w:num w:numId="19">
    <w:abstractNumId w:val="15"/>
  </w:num>
  <w:num w:numId="20">
    <w:abstractNumId w:val="6"/>
  </w:num>
  <w:num w:numId="21">
    <w:abstractNumId w:val="19"/>
  </w:num>
  <w:num w:numId="22">
    <w:abstractNumId w:val="8"/>
  </w:num>
  <w:num w:numId="23">
    <w:abstractNumId w:val="12"/>
  </w:num>
  <w:num w:numId="24">
    <w:abstractNumId w:val="23"/>
  </w:num>
  <w:num w:numId="25">
    <w:abstractNumId w:val="26"/>
  </w:num>
  <w:num w:numId="26">
    <w:abstractNumId w:val="22"/>
  </w:num>
  <w:num w:numId="27">
    <w:abstractNumId w:val="20"/>
  </w:num>
  <w:num w:numId="28">
    <w:abstractNumId w:val="16"/>
  </w:num>
  <w:num w:numId="29">
    <w:abstractNumId w:val="29"/>
  </w:num>
  <w:num w:numId="3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DH Intern 31 (Ivars, Agustina)">
    <w15:presenceInfo w15:providerId="AD" w15:userId="S-1-5-21-1698982329-591668044-1116685130-28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61"/>
    <w:rsid w:val="00010A07"/>
    <w:rsid w:val="00010B50"/>
    <w:rsid w:val="000213CC"/>
    <w:rsid w:val="000255E7"/>
    <w:rsid w:val="000345A4"/>
    <w:rsid w:val="00035656"/>
    <w:rsid w:val="0003711E"/>
    <w:rsid w:val="00044892"/>
    <w:rsid w:val="000448DB"/>
    <w:rsid w:val="00051550"/>
    <w:rsid w:val="00057176"/>
    <w:rsid w:val="0005720E"/>
    <w:rsid w:val="00060886"/>
    <w:rsid w:val="00061A62"/>
    <w:rsid w:val="0006473A"/>
    <w:rsid w:val="00074408"/>
    <w:rsid w:val="000772EB"/>
    <w:rsid w:val="0009054F"/>
    <w:rsid w:val="00092480"/>
    <w:rsid w:val="00092AEC"/>
    <w:rsid w:val="00095791"/>
    <w:rsid w:val="00095B63"/>
    <w:rsid w:val="000A0508"/>
    <w:rsid w:val="000A24A6"/>
    <w:rsid w:val="000A441D"/>
    <w:rsid w:val="000A735C"/>
    <w:rsid w:val="000B06FB"/>
    <w:rsid w:val="000C2615"/>
    <w:rsid w:val="000C29E8"/>
    <w:rsid w:val="000C3FFC"/>
    <w:rsid w:val="000C51B0"/>
    <w:rsid w:val="000D3F97"/>
    <w:rsid w:val="000D434D"/>
    <w:rsid w:val="000D7511"/>
    <w:rsid w:val="000E1A92"/>
    <w:rsid w:val="000F0742"/>
    <w:rsid w:val="000F4E32"/>
    <w:rsid w:val="000F6E3B"/>
    <w:rsid w:val="001070C9"/>
    <w:rsid w:val="001110F3"/>
    <w:rsid w:val="00114773"/>
    <w:rsid w:val="00117C14"/>
    <w:rsid w:val="00121AF2"/>
    <w:rsid w:val="00121B3B"/>
    <w:rsid w:val="0012788F"/>
    <w:rsid w:val="00132A50"/>
    <w:rsid w:val="0013589E"/>
    <w:rsid w:val="00136AF2"/>
    <w:rsid w:val="00137ED3"/>
    <w:rsid w:val="001434CC"/>
    <w:rsid w:val="00143A12"/>
    <w:rsid w:val="0014451C"/>
    <w:rsid w:val="00146CFB"/>
    <w:rsid w:val="00153585"/>
    <w:rsid w:val="0015443C"/>
    <w:rsid w:val="001544D4"/>
    <w:rsid w:val="0015585C"/>
    <w:rsid w:val="00170820"/>
    <w:rsid w:val="0017361C"/>
    <w:rsid w:val="001736D3"/>
    <w:rsid w:val="00177173"/>
    <w:rsid w:val="0018027F"/>
    <w:rsid w:val="00181B74"/>
    <w:rsid w:val="00183766"/>
    <w:rsid w:val="00186130"/>
    <w:rsid w:val="00190BC1"/>
    <w:rsid w:val="001A595B"/>
    <w:rsid w:val="001B0225"/>
    <w:rsid w:val="001B3CF9"/>
    <w:rsid w:val="001B6D0F"/>
    <w:rsid w:val="001C2E09"/>
    <w:rsid w:val="001C5E47"/>
    <w:rsid w:val="001D1F98"/>
    <w:rsid w:val="001D4475"/>
    <w:rsid w:val="001E03F1"/>
    <w:rsid w:val="001E0FF2"/>
    <w:rsid w:val="001E17C6"/>
    <w:rsid w:val="001E1835"/>
    <w:rsid w:val="001E2FCD"/>
    <w:rsid w:val="001F13ED"/>
    <w:rsid w:val="001F23B5"/>
    <w:rsid w:val="001F45E8"/>
    <w:rsid w:val="001F67D2"/>
    <w:rsid w:val="001F7F5E"/>
    <w:rsid w:val="00203F12"/>
    <w:rsid w:val="00212973"/>
    <w:rsid w:val="00215C99"/>
    <w:rsid w:val="0022496A"/>
    <w:rsid w:val="00225A88"/>
    <w:rsid w:val="002262D6"/>
    <w:rsid w:val="00227FA6"/>
    <w:rsid w:val="00230157"/>
    <w:rsid w:val="00233DFE"/>
    <w:rsid w:val="00233EAF"/>
    <w:rsid w:val="00234DD0"/>
    <w:rsid w:val="00251CD7"/>
    <w:rsid w:val="00252960"/>
    <w:rsid w:val="00253E63"/>
    <w:rsid w:val="00254784"/>
    <w:rsid w:val="00255C76"/>
    <w:rsid w:val="00256911"/>
    <w:rsid w:val="00276C3A"/>
    <w:rsid w:val="002775C9"/>
    <w:rsid w:val="002804AD"/>
    <w:rsid w:val="00287C5F"/>
    <w:rsid w:val="002A23D2"/>
    <w:rsid w:val="002A55A0"/>
    <w:rsid w:val="002B1D34"/>
    <w:rsid w:val="002B2F10"/>
    <w:rsid w:val="002B4AB8"/>
    <w:rsid w:val="002C0C5D"/>
    <w:rsid w:val="002C1BB5"/>
    <w:rsid w:val="002D39C5"/>
    <w:rsid w:val="002E37CC"/>
    <w:rsid w:val="002E48B6"/>
    <w:rsid w:val="002E4E8A"/>
    <w:rsid w:val="002E5482"/>
    <w:rsid w:val="002E5F4A"/>
    <w:rsid w:val="002E718B"/>
    <w:rsid w:val="002F0C38"/>
    <w:rsid w:val="002F2267"/>
    <w:rsid w:val="002F4372"/>
    <w:rsid w:val="0030054E"/>
    <w:rsid w:val="003050C8"/>
    <w:rsid w:val="003068D4"/>
    <w:rsid w:val="00307556"/>
    <w:rsid w:val="00310CA6"/>
    <w:rsid w:val="0031709F"/>
    <w:rsid w:val="00320EB4"/>
    <w:rsid w:val="003220AE"/>
    <w:rsid w:val="00323231"/>
    <w:rsid w:val="003246D4"/>
    <w:rsid w:val="003308F3"/>
    <w:rsid w:val="003335A6"/>
    <w:rsid w:val="00336275"/>
    <w:rsid w:val="00337828"/>
    <w:rsid w:val="00340BB1"/>
    <w:rsid w:val="003450CC"/>
    <w:rsid w:val="003475E3"/>
    <w:rsid w:val="00354C9D"/>
    <w:rsid w:val="003574FD"/>
    <w:rsid w:val="00364EC8"/>
    <w:rsid w:val="00371579"/>
    <w:rsid w:val="00372F71"/>
    <w:rsid w:val="00380ED1"/>
    <w:rsid w:val="00386D2D"/>
    <w:rsid w:val="00397848"/>
    <w:rsid w:val="003A580C"/>
    <w:rsid w:val="003B5DDE"/>
    <w:rsid w:val="003B6D2A"/>
    <w:rsid w:val="003B7465"/>
    <w:rsid w:val="003D24FF"/>
    <w:rsid w:val="003D3986"/>
    <w:rsid w:val="003D5261"/>
    <w:rsid w:val="003E7AD0"/>
    <w:rsid w:val="003F0DF6"/>
    <w:rsid w:val="003F5FCF"/>
    <w:rsid w:val="00404F08"/>
    <w:rsid w:val="00405903"/>
    <w:rsid w:val="00405944"/>
    <w:rsid w:val="00406F3F"/>
    <w:rsid w:val="00410D85"/>
    <w:rsid w:val="00411508"/>
    <w:rsid w:val="00413713"/>
    <w:rsid w:val="0042424E"/>
    <w:rsid w:val="004262C7"/>
    <w:rsid w:val="00434948"/>
    <w:rsid w:val="00435E78"/>
    <w:rsid w:val="00436FC1"/>
    <w:rsid w:val="004526CF"/>
    <w:rsid w:val="00454425"/>
    <w:rsid w:val="0046299D"/>
    <w:rsid w:val="00475270"/>
    <w:rsid w:val="00482C0A"/>
    <w:rsid w:val="0048799E"/>
    <w:rsid w:val="004931B0"/>
    <w:rsid w:val="004949AB"/>
    <w:rsid w:val="00494AA7"/>
    <w:rsid w:val="004A6E0B"/>
    <w:rsid w:val="004A7406"/>
    <w:rsid w:val="004B4A5E"/>
    <w:rsid w:val="004C1249"/>
    <w:rsid w:val="004C46E7"/>
    <w:rsid w:val="004C554D"/>
    <w:rsid w:val="004D20E7"/>
    <w:rsid w:val="004D2B4D"/>
    <w:rsid w:val="004D3ADE"/>
    <w:rsid w:val="004D3E8A"/>
    <w:rsid w:val="004E09FE"/>
    <w:rsid w:val="004E2A89"/>
    <w:rsid w:val="004E349E"/>
    <w:rsid w:val="004E4DF3"/>
    <w:rsid w:val="004E5071"/>
    <w:rsid w:val="004E6764"/>
    <w:rsid w:val="004E6C46"/>
    <w:rsid w:val="004F1B2A"/>
    <w:rsid w:val="004F1B4A"/>
    <w:rsid w:val="005002CB"/>
    <w:rsid w:val="00502C9E"/>
    <w:rsid w:val="0050340A"/>
    <w:rsid w:val="00516F2C"/>
    <w:rsid w:val="00520786"/>
    <w:rsid w:val="005222F9"/>
    <w:rsid w:val="00524C72"/>
    <w:rsid w:val="00525C0C"/>
    <w:rsid w:val="00526DE1"/>
    <w:rsid w:val="00527145"/>
    <w:rsid w:val="00530C35"/>
    <w:rsid w:val="00532AE8"/>
    <w:rsid w:val="00534A45"/>
    <w:rsid w:val="005411E4"/>
    <w:rsid w:val="00545A59"/>
    <w:rsid w:val="00553D76"/>
    <w:rsid w:val="00556F36"/>
    <w:rsid w:val="00557C47"/>
    <w:rsid w:val="0056032C"/>
    <w:rsid w:val="00561279"/>
    <w:rsid w:val="0056757A"/>
    <w:rsid w:val="0057579C"/>
    <w:rsid w:val="00581CB9"/>
    <w:rsid w:val="00583441"/>
    <w:rsid w:val="005849B2"/>
    <w:rsid w:val="005849C7"/>
    <w:rsid w:val="00586B5F"/>
    <w:rsid w:val="00595875"/>
    <w:rsid w:val="005A125C"/>
    <w:rsid w:val="005A2FDB"/>
    <w:rsid w:val="005A6DE2"/>
    <w:rsid w:val="005C5ECF"/>
    <w:rsid w:val="005C65C6"/>
    <w:rsid w:val="005E0C93"/>
    <w:rsid w:val="005E4CFC"/>
    <w:rsid w:val="005F2858"/>
    <w:rsid w:val="005F44D5"/>
    <w:rsid w:val="005F62A4"/>
    <w:rsid w:val="005F6A3A"/>
    <w:rsid w:val="00600198"/>
    <w:rsid w:val="00603250"/>
    <w:rsid w:val="0061275C"/>
    <w:rsid w:val="00617FE1"/>
    <w:rsid w:val="006231AE"/>
    <w:rsid w:val="006242B5"/>
    <w:rsid w:val="00633789"/>
    <w:rsid w:val="00640E03"/>
    <w:rsid w:val="0064423B"/>
    <w:rsid w:val="00657D4D"/>
    <w:rsid w:val="00665B81"/>
    <w:rsid w:val="00666672"/>
    <w:rsid w:val="00667456"/>
    <w:rsid w:val="00670AF8"/>
    <w:rsid w:val="00671D02"/>
    <w:rsid w:val="00677096"/>
    <w:rsid w:val="006856F3"/>
    <w:rsid w:val="006864AF"/>
    <w:rsid w:val="006952EA"/>
    <w:rsid w:val="006A3448"/>
    <w:rsid w:val="006B1F3A"/>
    <w:rsid w:val="006C29C9"/>
    <w:rsid w:val="006C469D"/>
    <w:rsid w:val="006D5778"/>
    <w:rsid w:val="006E07C6"/>
    <w:rsid w:val="006E0EA0"/>
    <w:rsid w:val="006E1A94"/>
    <w:rsid w:val="006E5A87"/>
    <w:rsid w:val="006F162C"/>
    <w:rsid w:val="006F3414"/>
    <w:rsid w:val="006F4475"/>
    <w:rsid w:val="0070118F"/>
    <w:rsid w:val="007032CE"/>
    <w:rsid w:val="00706A2F"/>
    <w:rsid w:val="007109BA"/>
    <w:rsid w:val="0071273C"/>
    <w:rsid w:val="00716E5A"/>
    <w:rsid w:val="00720BD3"/>
    <w:rsid w:val="00727596"/>
    <w:rsid w:val="00731715"/>
    <w:rsid w:val="00733A74"/>
    <w:rsid w:val="00736EC2"/>
    <w:rsid w:val="00742987"/>
    <w:rsid w:val="00742F9A"/>
    <w:rsid w:val="00746517"/>
    <w:rsid w:val="00753B02"/>
    <w:rsid w:val="00754920"/>
    <w:rsid w:val="00754E00"/>
    <w:rsid w:val="00756C38"/>
    <w:rsid w:val="00756FAF"/>
    <w:rsid w:val="00757D41"/>
    <w:rsid w:val="00770CAB"/>
    <w:rsid w:val="00771B07"/>
    <w:rsid w:val="007736A5"/>
    <w:rsid w:val="00780A34"/>
    <w:rsid w:val="007831A8"/>
    <w:rsid w:val="00783DE9"/>
    <w:rsid w:val="0079127D"/>
    <w:rsid w:val="007933F0"/>
    <w:rsid w:val="00793D2B"/>
    <w:rsid w:val="007A0972"/>
    <w:rsid w:val="007A471B"/>
    <w:rsid w:val="007A6C70"/>
    <w:rsid w:val="007B0FCB"/>
    <w:rsid w:val="007B162D"/>
    <w:rsid w:val="007B5173"/>
    <w:rsid w:val="007B69DC"/>
    <w:rsid w:val="007C0354"/>
    <w:rsid w:val="007C33AE"/>
    <w:rsid w:val="007C4E06"/>
    <w:rsid w:val="007C50D5"/>
    <w:rsid w:val="007C6B3C"/>
    <w:rsid w:val="007C7241"/>
    <w:rsid w:val="007E31BE"/>
    <w:rsid w:val="007E445B"/>
    <w:rsid w:val="007F3814"/>
    <w:rsid w:val="008007D9"/>
    <w:rsid w:val="008013A0"/>
    <w:rsid w:val="008025AB"/>
    <w:rsid w:val="00803FC0"/>
    <w:rsid w:val="00811AF6"/>
    <w:rsid w:val="00812AD1"/>
    <w:rsid w:val="00813FCE"/>
    <w:rsid w:val="0081725E"/>
    <w:rsid w:val="00817AD6"/>
    <w:rsid w:val="00822453"/>
    <w:rsid w:val="008272FF"/>
    <w:rsid w:val="0083410D"/>
    <w:rsid w:val="00834516"/>
    <w:rsid w:val="008359F8"/>
    <w:rsid w:val="00835E0C"/>
    <w:rsid w:val="00837A53"/>
    <w:rsid w:val="00837A7F"/>
    <w:rsid w:val="00842D17"/>
    <w:rsid w:val="00855522"/>
    <w:rsid w:val="00861369"/>
    <w:rsid w:val="00866086"/>
    <w:rsid w:val="008677AF"/>
    <w:rsid w:val="00871856"/>
    <w:rsid w:val="00880D91"/>
    <w:rsid w:val="00881ED0"/>
    <w:rsid w:val="00887DF2"/>
    <w:rsid w:val="00890C79"/>
    <w:rsid w:val="00892844"/>
    <w:rsid w:val="008938D9"/>
    <w:rsid w:val="00893DCE"/>
    <w:rsid w:val="00894904"/>
    <w:rsid w:val="00895B8C"/>
    <w:rsid w:val="008A0BA2"/>
    <w:rsid w:val="008A0D1D"/>
    <w:rsid w:val="008A1A52"/>
    <w:rsid w:val="008A448D"/>
    <w:rsid w:val="008B3E56"/>
    <w:rsid w:val="008C307C"/>
    <w:rsid w:val="008C5CF7"/>
    <w:rsid w:val="008D4D34"/>
    <w:rsid w:val="008D5117"/>
    <w:rsid w:val="008D59CE"/>
    <w:rsid w:val="008D6311"/>
    <w:rsid w:val="008E4CB5"/>
    <w:rsid w:val="008E4E4C"/>
    <w:rsid w:val="008F374D"/>
    <w:rsid w:val="008F3777"/>
    <w:rsid w:val="008F6EEF"/>
    <w:rsid w:val="008F7EDD"/>
    <w:rsid w:val="00911B8E"/>
    <w:rsid w:val="00912132"/>
    <w:rsid w:val="00925952"/>
    <w:rsid w:val="00930CE2"/>
    <w:rsid w:val="00931393"/>
    <w:rsid w:val="009333A0"/>
    <w:rsid w:val="009365E7"/>
    <w:rsid w:val="0093709B"/>
    <w:rsid w:val="00942E13"/>
    <w:rsid w:val="00946984"/>
    <w:rsid w:val="009473E7"/>
    <w:rsid w:val="00954314"/>
    <w:rsid w:val="00963B81"/>
    <w:rsid w:val="00964CC1"/>
    <w:rsid w:val="0096727B"/>
    <w:rsid w:val="00971BCB"/>
    <w:rsid w:val="00973430"/>
    <w:rsid w:val="00973FA1"/>
    <w:rsid w:val="00977CD7"/>
    <w:rsid w:val="00980121"/>
    <w:rsid w:val="009853C1"/>
    <w:rsid w:val="0099607E"/>
    <w:rsid w:val="009A14C2"/>
    <w:rsid w:val="009A1CC4"/>
    <w:rsid w:val="009A2362"/>
    <w:rsid w:val="009A7179"/>
    <w:rsid w:val="009B126F"/>
    <w:rsid w:val="009B16C1"/>
    <w:rsid w:val="009B3214"/>
    <w:rsid w:val="009B35C3"/>
    <w:rsid w:val="009B4D48"/>
    <w:rsid w:val="009C1037"/>
    <w:rsid w:val="009C5415"/>
    <w:rsid w:val="009C6606"/>
    <w:rsid w:val="009C7F75"/>
    <w:rsid w:val="009D2768"/>
    <w:rsid w:val="009D650A"/>
    <w:rsid w:val="009F140F"/>
    <w:rsid w:val="009F4415"/>
    <w:rsid w:val="00A01113"/>
    <w:rsid w:val="00A03A95"/>
    <w:rsid w:val="00A0410B"/>
    <w:rsid w:val="00A05368"/>
    <w:rsid w:val="00A106D9"/>
    <w:rsid w:val="00A1600D"/>
    <w:rsid w:val="00A17ECE"/>
    <w:rsid w:val="00A205DC"/>
    <w:rsid w:val="00A251E6"/>
    <w:rsid w:val="00A26C1F"/>
    <w:rsid w:val="00A26EA5"/>
    <w:rsid w:val="00A30509"/>
    <w:rsid w:val="00A32EC1"/>
    <w:rsid w:val="00A36C91"/>
    <w:rsid w:val="00A37350"/>
    <w:rsid w:val="00A46909"/>
    <w:rsid w:val="00A47CE1"/>
    <w:rsid w:val="00A533CF"/>
    <w:rsid w:val="00A555CE"/>
    <w:rsid w:val="00A60DE5"/>
    <w:rsid w:val="00A631F3"/>
    <w:rsid w:val="00A701EA"/>
    <w:rsid w:val="00A74EB9"/>
    <w:rsid w:val="00A8087E"/>
    <w:rsid w:val="00A809A4"/>
    <w:rsid w:val="00A85B22"/>
    <w:rsid w:val="00A8710A"/>
    <w:rsid w:val="00A905B6"/>
    <w:rsid w:val="00A90711"/>
    <w:rsid w:val="00A94774"/>
    <w:rsid w:val="00A958A9"/>
    <w:rsid w:val="00AA226F"/>
    <w:rsid w:val="00AA2910"/>
    <w:rsid w:val="00AA433C"/>
    <w:rsid w:val="00AA613E"/>
    <w:rsid w:val="00AA7623"/>
    <w:rsid w:val="00AB6E15"/>
    <w:rsid w:val="00AC7F75"/>
    <w:rsid w:val="00AD0D7E"/>
    <w:rsid w:val="00AD7A0D"/>
    <w:rsid w:val="00AE0AE5"/>
    <w:rsid w:val="00AF0D00"/>
    <w:rsid w:val="00AF0DEB"/>
    <w:rsid w:val="00B018ED"/>
    <w:rsid w:val="00B0353B"/>
    <w:rsid w:val="00B065C9"/>
    <w:rsid w:val="00B13416"/>
    <w:rsid w:val="00B17DE0"/>
    <w:rsid w:val="00B225AE"/>
    <w:rsid w:val="00B23FC2"/>
    <w:rsid w:val="00B24B92"/>
    <w:rsid w:val="00B3042D"/>
    <w:rsid w:val="00B36963"/>
    <w:rsid w:val="00B473E6"/>
    <w:rsid w:val="00B65436"/>
    <w:rsid w:val="00B65D79"/>
    <w:rsid w:val="00B67987"/>
    <w:rsid w:val="00B71B9A"/>
    <w:rsid w:val="00B72651"/>
    <w:rsid w:val="00B72935"/>
    <w:rsid w:val="00B81DB4"/>
    <w:rsid w:val="00B82FE9"/>
    <w:rsid w:val="00B835FA"/>
    <w:rsid w:val="00B90A56"/>
    <w:rsid w:val="00B9172D"/>
    <w:rsid w:val="00B94070"/>
    <w:rsid w:val="00B948D3"/>
    <w:rsid w:val="00BA1368"/>
    <w:rsid w:val="00BA40AB"/>
    <w:rsid w:val="00BB16C0"/>
    <w:rsid w:val="00BB22B8"/>
    <w:rsid w:val="00BC11B6"/>
    <w:rsid w:val="00BD001A"/>
    <w:rsid w:val="00BD1824"/>
    <w:rsid w:val="00BD6787"/>
    <w:rsid w:val="00BE6160"/>
    <w:rsid w:val="00BF50B0"/>
    <w:rsid w:val="00BF68BE"/>
    <w:rsid w:val="00BF7DE5"/>
    <w:rsid w:val="00C025C5"/>
    <w:rsid w:val="00C02C6C"/>
    <w:rsid w:val="00C044C3"/>
    <w:rsid w:val="00C1365F"/>
    <w:rsid w:val="00C1700D"/>
    <w:rsid w:val="00C21548"/>
    <w:rsid w:val="00C239A8"/>
    <w:rsid w:val="00C32BBE"/>
    <w:rsid w:val="00C37486"/>
    <w:rsid w:val="00C41689"/>
    <w:rsid w:val="00C4554C"/>
    <w:rsid w:val="00C45BC8"/>
    <w:rsid w:val="00C46DA5"/>
    <w:rsid w:val="00C50CA9"/>
    <w:rsid w:val="00C5278A"/>
    <w:rsid w:val="00C5751F"/>
    <w:rsid w:val="00C61DBC"/>
    <w:rsid w:val="00C66568"/>
    <w:rsid w:val="00C714C8"/>
    <w:rsid w:val="00C748A7"/>
    <w:rsid w:val="00C7643E"/>
    <w:rsid w:val="00C7645D"/>
    <w:rsid w:val="00C773B0"/>
    <w:rsid w:val="00C82C79"/>
    <w:rsid w:val="00C85C56"/>
    <w:rsid w:val="00C903C4"/>
    <w:rsid w:val="00C963D3"/>
    <w:rsid w:val="00CA1216"/>
    <w:rsid w:val="00CA4312"/>
    <w:rsid w:val="00CA4D6B"/>
    <w:rsid w:val="00CA7983"/>
    <w:rsid w:val="00CB241A"/>
    <w:rsid w:val="00CB3384"/>
    <w:rsid w:val="00CC3BDE"/>
    <w:rsid w:val="00CC7F3F"/>
    <w:rsid w:val="00CD48EE"/>
    <w:rsid w:val="00CD4BBB"/>
    <w:rsid w:val="00CE1AA0"/>
    <w:rsid w:val="00CE2C80"/>
    <w:rsid w:val="00CE4B7C"/>
    <w:rsid w:val="00CE7602"/>
    <w:rsid w:val="00CE7D27"/>
    <w:rsid w:val="00CF1972"/>
    <w:rsid w:val="00CF4E96"/>
    <w:rsid w:val="00CF521D"/>
    <w:rsid w:val="00D01040"/>
    <w:rsid w:val="00D027C3"/>
    <w:rsid w:val="00D03619"/>
    <w:rsid w:val="00D057A9"/>
    <w:rsid w:val="00D1064C"/>
    <w:rsid w:val="00D12C18"/>
    <w:rsid w:val="00D13A5D"/>
    <w:rsid w:val="00D1497C"/>
    <w:rsid w:val="00D21251"/>
    <w:rsid w:val="00D21B3B"/>
    <w:rsid w:val="00D25D3A"/>
    <w:rsid w:val="00D34F85"/>
    <w:rsid w:val="00D43608"/>
    <w:rsid w:val="00D5391E"/>
    <w:rsid w:val="00D57BC9"/>
    <w:rsid w:val="00D62853"/>
    <w:rsid w:val="00D75C0C"/>
    <w:rsid w:val="00D8079A"/>
    <w:rsid w:val="00D91D29"/>
    <w:rsid w:val="00D92445"/>
    <w:rsid w:val="00DA0B1C"/>
    <w:rsid w:val="00DA5F01"/>
    <w:rsid w:val="00DB0041"/>
    <w:rsid w:val="00DB4945"/>
    <w:rsid w:val="00DB591C"/>
    <w:rsid w:val="00DB74F6"/>
    <w:rsid w:val="00DC2093"/>
    <w:rsid w:val="00DC3C0B"/>
    <w:rsid w:val="00DD4087"/>
    <w:rsid w:val="00DE015A"/>
    <w:rsid w:val="00DE100F"/>
    <w:rsid w:val="00DF012B"/>
    <w:rsid w:val="00DF32B5"/>
    <w:rsid w:val="00DF4FA1"/>
    <w:rsid w:val="00DF66B3"/>
    <w:rsid w:val="00E0612B"/>
    <w:rsid w:val="00E06382"/>
    <w:rsid w:val="00E06EC3"/>
    <w:rsid w:val="00E161B6"/>
    <w:rsid w:val="00E209ED"/>
    <w:rsid w:val="00E211F7"/>
    <w:rsid w:val="00E240AB"/>
    <w:rsid w:val="00E242C0"/>
    <w:rsid w:val="00E24805"/>
    <w:rsid w:val="00E275B9"/>
    <w:rsid w:val="00E32819"/>
    <w:rsid w:val="00E412A4"/>
    <w:rsid w:val="00E4309E"/>
    <w:rsid w:val="00E4373B"/>
    <w:rsid w:val="00E43CC4"/>
    <w:rsid w:val="00E448EE"/>
    <w:rsid w:val="00E44F92"/>
    <w:rsid w:val="00E61790"/>
    <w:rsid w:val="00E61832"/>
    <w:rsid w:val="00E62114"/>
    <w:rsid w:val="00E625B8"/>
    <w:rsid w:val="00E64241"/>
    <w:rsid w:val="00E66689"/>
    <w:rsid w:val="00E674E1"/>
    <w:rsid w:val="00E677EF"/>
    <w:rsid w:val="00E705CF"/>
    <w:rsid w:val="00E73E95"/>
    <w:rsid w:val="00E76167"/>
    <w:rsid w:val="00E809F4"/>
    <w:rsid w:val="00E82F80"/>
    <w:rsid w:val="00E85BEF"/>
    <w:rsid w:val="00E86013"/>
    <w:rsid w:val="00E93625"/>
    <w:rsid w:val="00E95E39"/>
    <w:rsid w:val="00EA0154"/>
    <w:rsid w:val="00EA10DE"/>
    <w:rsid w:val="00EA44C9"/>
    <w:rsid w:val="00EA59A1"/>
    <w:rsid w:val="00EB7A7E"/>
    <w:rsid w:val="00EC1086"/>
    <w:rsid w:val="00EC138A"/>
    <w:rsid w:val="00EC2032"/>
    <w:rsid w:val="00EC2F96"/>
    <w:rsid w:val="00EC5454"/>
    <w:rsid w:val="00EC6731"/>
    <w:rsid w:val="00EC7F7A"/>
    <w:rsid w:val="00ED12EC"/>
    <w:rsid w:val="00ED4F87"/>
    <w:rsid w:val="00EE38DF"/>
    <w:rsid w:val="00EE4333"/>
    <w:rsid w:val="00EE78CF"/>
    <w:rsid w:val="00EF0184"/>
    <w:rsid w:val="00EF03E7"/>
    <w:rsid w:val="00EF1156"/>
    <w:rsid w:val="00F02E61"/>
    <w:rsid w:val="00F04312"/>
    <w:rsid w:val="00F04469"/>
    <w:rsid w:val="00F04E70"/>
    <w:rsid w:val="00F14C84"/>
    <w:rsid w:val="00F15EF9"/>
    <w:rsid w:val="00F17A23"/>
    <w:rsid w:val="00F238A1"/>
    <w:rsid w:val="00F2476E"/>
    <w:rsid w:val="00F27F32"/>
    <w:rsid w:val="00F30174"/>
    <w:rsid w:val="00F51429"/>
    <w:rsid w:val="00F53487"/>
    <w:rsid w:val="00F53A62"/>
    <w:rsid w:val="00F549AD"/>
    <w:rsid w:val="00F54FB7"/>
    <w:rsid w:val="00F567B9"/>
    <w:rsid w:val="00F56919"/>
    <w:rsid w:val="00F56B6E"/>
    <w:rsid w:val="00F5701B"/>
    <w:rsid w:val="00F61599"/>
    <w:rsid w:val="00F73F6B"/>
    <w:rsid w:val="00F742F7"/>
    <w:rsid w:val="00F77726"/>
    <w:rsid w:val="00F835CB"/>
    <w:rsid w:val="00F856CE"/>
    <w:rsid w:val="00F86E8C"/>
    <w:rsid w:val="00F9383E"/>
    <w:rsid w:val="00F95F67"/>
    <w:rsid w:val="00FA21C6"/>
    <w:rsid w:val="00FA3691"/>
    <w:rsid w:val="00FA698D"/>
    <w:rsid w:val="00FA75C8"/>
    <w:rsid w:val="00FB46FC"/>
    <w:rsid w:val="00FB53F2"/>
    <w:rsid w:val="00FC275B"/>
    <w:rsid w:val="00FD148B"/>
    <w:rsid w:val="00FD5C13"/>
    <w:rsid w:val="00FD75DC"/>
    <w:rsid w:val="00FD76B5"/>
    <w:rsid w:val="00FE4679"/>
    <w:rsid w:val="00FF0F66"/>
    <w:rsid w:val="00FF47E9"/>
    <w:rsid w:val="00FF5138"/>
    <w:rsid w:val="00FF5150"/>
    <w:rsid w:val="00FF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
    <w:basedOn w:val="Normal"/>
    <w:link w:val="FootnoteTextChar"/>
    <w:uiPriority w:val="99"/>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666672"/>
    <w:rPr>
      <w:lang w:eastAsia="en-U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
    <w:unhideWhenUsed/>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117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C14"/>
    <w:rPr>
      <w:sz w:val="22"/>
      <w:szCs w:val="22"/>
      <w:lang w:val="es-ES"/>
    </w:rPr>
  </w:style>
  <w:style w:type="paragraph" w:styleId="Footer">
    <w:name w:val="footer"/>
    <w:basedOn w:val="Normal"/>
    <w:link w:val="FooterChar"/>
    <w:uiPriority w:val="99"/>
    <w:unhideWhenUsed/>
    <w:rsid w:val="00117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C14"/>
    <w:rPr>
      <w:sz w:val="22"/>
      <w:szCs w:val="22"/>
      <w:lang w:val="es-ES"/>
    </w:rPr>
  </w:style>
  <w:style w:type="character" w:styleId="CommentReference">
    <w:name w:val="annotation reference"/>
    <w:basedOn w:val="DefaultParagraphFont"/>
    <w:uiPriority w:val="99"/>
    <w:semiHidden/>
    <w:unhideWhenUsed/>
    <w:rsid w:val="00F53A62"/>
    <w:rPr>
      <w:sz w:val="18"/>
      <w:szCs w:val="18"/>
    </w:rPr>
  </w:style>
  <w:style w:type="paragraph" w:styleId="CommentText">
    <w:name w:val="annotation text"/>
    <w:basedOn w:val="Normal"/>
    <w:link w:val="CommentTextChar"/>
    <w:uiPriority w:val="99"/>
    <w:semiHidden/>
    <w:unhideWhenUsed/>
    <w:rsid w:val="00F53A62"/>
    <w:pPr>
      <w:spacing w:line="240" w:lineRule="auto"/>
    </w:pPr>
    <w:rPr>
      <w:sz w:val="24"/>
      <w:szCs w:val="24"/>
    </w:rPr>
  </w:style>
  <w:style w:type="character" w:customStyle="1" w:styleId="CommentTextChar">
    <w:name w:val="Comment Text Char"/>
    <w:basedOn w:val="DefaultParagraphFont"/>
    <w:link w:val="CommentText"/>
    <w:uiPriority w:val="99"/>
    <w:semiHidden/>
    <w:rsid w:val="00F53A62"/>
    <w:rPr>
      <w:sz w:val="24"/>
      <w:szCs w:val="24"/>
      <w:lang w:val="es-ES"/>
    </w:rPr>
  </w:style>
  <w:style w:type="paragraph" w:styleId="CommentSubject">
    <w:name w:val="annotation subject"/>
    <w:basedOn w:val="CommentText"/>
    <w:next w:val="CommentText"/>
    <w:link w:val="CommentSubjectChar"/>
    <w:uiPriority w:val="99"/>
    <w:semiHidden/>
    <w:unhideWhenUsed/>
    <w:rsid w:val="00F53A62"/>
    <w:rPr>
      <w:b/>
      <w:bCs/>
      <w:sz w:val="20"/>
      <w:szCs w:val="20"/>
    </w:rPr>
  </w:style>
  <w:style w:type="character" w:customStyle="1" w:styleId="CommentSubjectChar">
    <w:name w:val="Comment Subject Char"/>
    <w:basedOn w:val="CommentTextChar"/>
    <w:link w:val="CommentSubject"/>
    <w:uiPriority w:val="99"/>
    <w:semiHidden/>
    <w:rsid w:val="00F53A62"/>
    <w:rPr>
      <w:b/>
      <w:bCs/>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
    <w:basedOn w:val="Normal"/>
    <w:link w:val="FootnoteTextChar"/>
    <w:uiPriority w:val="99"/>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666672"/>
    <w:rPr>
      <w:lang w:eastAsia="en-U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
    <w:unhideWhenUsed/>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117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C14"/>
    <w:rPr>
      <w:sz w:val="22"/>
      <w:szCs w:val="22"/>
      <w:lang w:val="es-ES"/>
    </w:rPr>
  </w:style>
  <w:style w:type="paragraph" w:styleId="Footer">
    <w:name w:val="footer"/>
    <w:basedOn w:val="Normal"/>
    <w:link w:val="FooterChar"/>
    <w:uiPriority w:val="99"/>
    <w:unhideWhenUsed/>
    <w:rsid w:val="00117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C14"/>
    <w:rPr>
      <w:sz w:val="22"/>
      <w:szCs w:val="22"/>
      <w:lang w:val="es-ES"/>
    </w:rPr>
  </w:style>
  <w:style w:type="character" w:styleId="CommentReference">
    <w:name w:val="annotation reference"/>
    <w:basedOn w:val="DefaultParagraphFont"/>
    <w:uiPriority w:val="99"/>
    <w:semiHidden/>
    <w:unhideWhenUsed/>
    <w:rsid w:val="00F53A62"/>
    <w:rPr>
      <w:sz w:val="18"/>
      <w:szCs w:val="18"/>
    </w:rPr>
  </w:style>
  <w:style w:type="paragraph" w:styleId="CommentText">
    <w:name w:val="annotation text"/>
    <w:basedOn w:val="Normal"/>
    <w:link w:val="CommentTextChar"/>
    <w:uiPriority w:val="99"/>
    <w:semiHidden/>
    <w:unhideWhenUsed/>
    <w:rsid w:val="00F53A62"/>
    <w:pPr>
      <w:spacing w:line="240" w:lineRule="auto"/>
    </w:pPr>
    <w:rPr>
      <w:sz w:val="24"/>
      <w:szCs w:val="24"/>
    </w:rPr>
  </w:style>
  <w:style w:type="character" w:customStyle="1" w:styleId="CommentTextChar">
    <w:name w:val="Comment Text Char"/>
    <w:basedOn w:val="DefaultParagraphFont"/>
    <w:link w:val="CommentText"/>
    <w:uiPriority w:val="99"/>
    <w:semiHidden/>
    <w:rsid w:val="00F53A62"/>
    <w:rPr>
      <w:sz w:val="24"/>
      <w:szCs w:val="24"/>
      <w:lang w:val="es-ES"/>
    </w:rPr>
  </w:style>
  <w:style w:type="paragraph" w:styleId="CommentSubject">
    <w:name w:val="annotation subject"/>
    <w:basedOn w:val="CommentText"/>
    <w:next w:val="CommentText"/>
    <w:link w:val="CommentSubjectChar"/>
    <w:uiPriority w:val="99"/>
    <w:semiHidden/>
    <w:unhideWhenUsed/>
    <w:rsid w:val="00F53A62"/>
    <w:rPr>
      <w:b/>
      <w:bCs/>
      <w:sz w:val="20"/>
      <w:szCs w:val="20"/>
    </w:rPr>
  </w:style>
  <w:style w:type="character" w:customStyle="1" w:styleId="CommentSubjectChar">
    <w:name w:val="Comment Subject Char"/>
    <w:basedOn w:val="CommentTextChar"/>
    <w:link w:val="CommentSubject"/>
    <w:uiPriority w:val="99"/>
    <w:semiHidden/>
    <w:rsid w:val="00F53A62"/>
    <w:rPr>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4445">
      <w:bodyDiv w:val="1"/>
      <w:marLeft w:val="0"/>
      <w:marRight w:val="0"/>
      <w:marTop w:val="0"/>
      <w:marBottom w:val="0"/>
      <w:divBdr>
        <w:top w:val="none" w:sz="0" w:space="0" w:color="auto"/>
        <w:left w:val="none" w:sz="0" w:space="0" w:color="auto"/>
        <w:bottom w:val="none" w:sz="0" w:space="0" w:color="auto"/>
        <w:right w:val="none" w:sz="0" w:space="0" w:color="auto"/>
      </w:divBdr>
      <w:divsChild>
        <w:div w:id="256332949">
          <w:marLeft w:val="0"/>
          <w:marRight w:val="0"/>
          <w:marTop w:val="0"/>
          <w:marBottom w:val="0"/>
          <w:divBdr>
            <w:top w:val="none" w:sz="0" w:space="0" w:color="auto"/>
            <w:left w:val="none" w:sz="0" w:space="0" w:color="auto"/>
            <w:bottom w:val="none" w:sz="0" w:space="0" w:color="auto"/>
            <w:right w:val="none" w:sz="0" w:space="0" w:color="auto"/>
          </w:divBdr>
          <w:divsChild>
            <w:div w:id="2094157203">
              <w:marLeft w:val="0"/>
              <w:marRight w:val="0"/>
              <w:marTop w:val="0"/>
              <w:marBottom w:val="0"/>
              <w:divBdr>
                <w:top w:val="none" w:sz="0" w:space="0" w:color="auto"/>
                <w:left w:val="none" w:sz="0" w:space="0" w:color="auto"/>
                <w:bottom w:val="none" w:sz="0" w:space="0" w:color="auto"/>
                <w:right w:val="none" w:sz="0" w:space="0" w:color="auto"/>
              </w:divBdr>
              <w:divsChild>
                <w:div w:id="344863651">
                  <w:marLeft w:val="0"/>
                  <w:marRight w:val="0"/>
                  <w:marTop w:val="0"/>
                  <w:marBottom w:val="0"/>
                  <w:divBdr>
                    <w:top w:val="none" w:sz="0" w:space="0" w:color="auto"/>
                    <w:left w:val="none" w:sz="0" w:space="0" w:color="auto"/>
                    <w:bottom w:val="none" w:sz="0" w:space="0" w:color="auto"/>
                    <w:right w:val="none" w:sz="0" w:space="0" w:color="auto"/>
                  </w:divBdr>
                  <w:divsChild>
                    <w:div w:id="2042322838">
                      <w:marLeft w:val="0"/>
                      <w:marRight w:val="0"/>
                      <w:marTop w:val="45"/>
                      <w:marBottom w:val="0"/>
                      <w:divBdr>
                        <w:top w:val="none" w:sz="0" w:space="0" w:color="auto"/>
                        <w:left w:val="none" w:sz="0" w:space="0" w:color="auto"/>
                        <w:bottom w:val="none" w:sz="0" w:space="0" w:color="auto"/>
                        <w:right w:val="none" w:sz="0" w:space="0" w:color="auto"/>
                      </w:divBdr>
                      <w:divsChild>
                        <w:div w:id="1172720708">
                          <w:marLeft w:val="0"/>
                          <w:marRight w:val="0"/>
                          <w:marTop w:val="0"/>
                          <w:marBottom w:val="0"/>
                          <w:divBdr>
                            <w:top w:val="none" w:sz="0" w:space="0" w:color="auto"/>
                            <w:left w:val="none" w:sz="0" w:space="0" w:color="auto"/>
                            <w:bottom w:val="none" w:sz="0" w:space="0" w:color="auto"/>
                            <w:right w:val="none" w:sz="0" w:space="0" w:color="auto"/>
                          </w:divBdr>
                          <w:divsChild>
                            <w:div w:id="1016687302">
                              <w:marLeft w:val="2070"/>
                              <w:marRight w:val="3960"/>
                              <w:marTop w:val="0"/>
                              <w:marBottom w:val="0"/>
                              <w:divBdr>
                                <w:top w:val="none" w:sz="0" w:space="0" w:color="auto"/>
                                <w:left w:val="none" w:sz="0" w:space="0" w:color="auto"/>
                                <w:bottom w:val="none" w:sz="0" w:space="0" w:color="auto"/>
                                <w:right w:val="none" w:sz="0" w:space="0" w:color="auto"/>
                              </w:divBdr>
                              <w:divsChild>
                                <w:div w:id="1337346178">
                                  <w:marLeft w:val="0"/>
                                  <w:marRight w:val="0"/>
                                  <w:marTop w:val="0"/>
                                  <w:marBottom w:val="0"/>
                                  <w:divBdr>
                                    <w:top w:val="none" w:sz="0" w:space="0" w:color="auto"/>
                                    <w:left w:val="none" w:sz="0" w:space="0" w:color="auto"/>
                                    <w:bottom w:val="none" w:sz="0" w:space="0" w:color="auto"/>
                                    <w:right w:val="none" w:sz="0" w:space="0" w:color="auto"/>
                                  </w:divBdr>
                                  <w:divsChild>
                                    <w:div w:id="728263179">
                                      <w:marLeft w:val="0"/>
                                      <w:marRight w:val="0"/>
                                      <w:marTop w:val="0"/>
                                      <w:marBottom w:val="0"/>
                                      <w:divBdr>
                                        <w:top w:val="none" w:sz="0" w:space="0" w:color="auto"/>
                                        <w:left w:val="none" w:sz="0" w:space="0" w:color="auto"/>
                                        <w:bottom w:val="none" w:sz="0" w:space="0" w:color="auto"/>
                                        <w:right w:val="none" w:sz="0" w:space="0" w:color="auto"/>
                                      </w:divBdr>
                                      <w:divsChild>
                                        <w:div w:id="1040325999">
                                          <w:marLeft w:val="0"/>
                                          <w:marRight w:val="0"/>
                                          <w:marTop w:val="0"/>
                                          <w:marBottom w:val="0"/>
                                          <w:divBdr>
                                            <w:top w:val="none" w:sz="0" w:space="0" w:color="auto"/>
                                            <w:left w:val="none" w:sz="0" w:space="0" w:color="auto"/>
                                            <w:bottom w:val="none" w:sz="0" w:space="0" w:color="auto"/>
                                            <w:right w:val="none" w:sz="0" w:space="0" w:color="auto"/>
                                          </w:divBdr>
                                          <w:divsChild>
                                            <w:div w:id="326134933">
                                              <w:marLeft w:val="0"/>
                                              <w:marRight w:val="0"/>
                                              <w:marTop w:val="0"/>
                                              <w:marBottom w:val="0"/>
                                              <w:divBdr>
                                                <w:top w:val="none" w:sz="0" w:space="0" w:color="auto"/>
                                                <w:left w:val="none" w:sz="0" w:space="0" w:color="auto"/>
                                                <w:bottom w:val="none" w:sz="0" w:space="0" w:color="auto"/>
                                                <w:right w:val="none" w:sz="0" w:space="0" w:color="auto"/>
                                              </w:divBdr>
                                              <w:divsChild>
                                                <w:div w:id="1315988878">
                                                  <w:marLeft w:val="0"/>
                                                  <w:marRight w:val="0"/>
                                                  <w:marTop w:val="0"/>
                                                  <w:marBottom w:val="0"/>
                                                  <w:divBdr>
                                                    <w:top w:val="none" w:sz="0" w:space="0" w:color="auto"/>
                                                    <w:left w:val="none" w:sz="0" w:space="0" w:color="auto"/>
                                                    <w:bottom w:val="none" w:sz="0" w:space="0" w:color="auto"/>
                                                    <w:right w:val="none" w:sz="0" w:space="0" w:color="auto"/>
                                                  </w:divBdr>
                                                  <w:divsChild>
                                                    <w:div w:id="596211929">
                                                      <w:marLeft w:val="0"/>
                                                      <w:marRight w:val="0"/>
                                                      <w:marTop w:val="0"/>
                                                      <w:marBottom w:val="345"/>
                                                      <w:divBdr>
                                                        <w:top w:val="none" w:sz="0" w:space="0" w:color="auto"/>
                                                        <w:left w:val="none" w:sz="0" w:space="0" w:color="auto"/>
                                                        <w:bottom w:val="none" w:sz="0" w:space="0" w:color="auto"/>
                                                        <w:right w:val="none" w:sz="0" w:space="0" w:color="auto"/>
                                                      </w:divBdr>
                                                      <w:divsChild>
                                                        <w:div w:id="1125926327">
                                                          <w:marLeft w:val="0"/>
                                                          <w:marRight w:val="0"/>
                                                          <w:marTop w:val="0"/>
                                                          <w:marBottom w:val="0"/>
                                                          <w:divBdr>
                                                            <w:top w:val="none" w:sz="0" w:space="0" w:color="auto"/>
                                                            <w:left w:val="none" w:sz="0" w:space="0" w:color="auto"/>
                                                            <w:bottom w:val="none" w:sz="0" w:space="0" w:color="auto"/>
                                                            <w:right w:val="none" w:sz="0" w:space="0" w:color="auto"/>
                                                          </w:divBdr>
                                                          <w:divsChild>
                                                            <w:div w:id="1447118958">
                                                              <w:marLeft w:val="0"/>
                                                              <w:marRight w:val="0"/>
                                                              <w:marTop w:val="0"/>
                                                              <w:marBottom w:val="0"/>
                                                              <w:divBdr>
                                                                <w:top w:val="none" w:sz="0" w:space="0" w:color="auto"/>
                                                                <w:left w:val="none" w:sz="0" w:space="0" w:color="auto"/>
                                                                <w:bottom w:val="none" w:sz="0" w:space="0" w:color="auto"/>
                                                                <w:right w:val="none" w:sz="0" w:space="0" w:color="auto"/>
                                                              </w:divBdr>
                                                              <w:divsChild>
                                                                <w:div w:id="1654407625">
                                                                  <w:marLeft w:val="0"/>
                                                                  <w:marRight w:val="0"/>
                                                                  <w:marTop w:val="0"/>
                                                                  <w:marBottom w:val="0"/>
                                                                  <w:divBdr>
                                                                    <w:top w:val="none" w:sz="0" w:space="0" w:color="auto"/>
                                                                    <w:left w:val="none" w:sz="0" w:space="0" w:color="auto"/>
                                                                    <w:bottom w:val="none" w:sz="0" w:space="0" w:color="auto"/>
                                                                    <w:right w:val="none" w:sz="0" w:space="0" w:color="auto"/>
                                                                  </w:divBdr>
                                                                  <w:divsChild>
                                                                    <w:div w:id="1604141677">
                                                                      <w:marLeft w:val="0"/>
                                                                      <w:marRight w:val="0"/>
                                                                      <w:marTop w:val="0"/>
                                                                      <w:marBottom w:val="0"/>
                                                                      <w:divBdr>
                                                                        <w:top w:val="none" w:sz="0" w:space="0" w:color="auto"/>
                                                                        <w:left w:val="none" w:sz="0" w:space="0" w:color="auto"/>
                                                                        <w:bottom w:val="none" w:sz="0" w:space="0" w:color="auto"/>
                                                                        <w:right w:val="none" w:sz="0" w:space="0" w:color="auto"/>
                                                                      </w:divBdr>
                                                                      <w:divsChild>
                                                                        <w:div w:id="2115780158">
                                                                          <w:marLeft w:val="0"/>
                                                                          <w:marRight w:val="0"/>
                                                                          <w:marTop w:val="0"/>
                                                                          <w:marBottom w:val="0"/>
                                                                          <w:divBdr>
                                                                            <w:top w:val="none" w:sz="0" w:space="0" w:color="auto"/>
                                                                            <w:left w:val="none" w:sz="0" w:space="0" w:color="auto"/>
                                                                            <w:bottom w:val="none" w:sz="0" w:space="0" w:color="auto"/>
                                                                            <w:right w:val="none" w:sz="0" w:space="0" w:color="auto"/>
                                                                          </w:divBdr>
                                                                          <w:divsChild>
                                                                            <w:div w:id="1252468965">
                                                                              <w:marLeft w:val="0"/>
                                                                              <w:marRight w:val="0"/>
                                                                              <w:marTop w:val="0"/>
                                                                              <w:marBottom w:val="0"/>
                                                                              <w:divBdr>
                                                                                <w:top w:val="none" w:sz="0" w:space="0" w:color="auto"/>
                                                                                <w:left w:val="none" w:sz="0" w:space="0" w:color="auto"/>
                                                                                <w:bottom w:val="none" w:sz="0" w:space="0" w:color="auto"/>
                                                                                <w:right w:val="none" w:sz="0" w:space="0" w:color="auto"/>
                                                                              </w:divBdr>
                                                                              <w:divsChild>
                                                                                <w:div w:id="1703239332">
                                                                                  <w:marLeft w:val="0"/>
                                                                                  <w:marRight w:val="0"/>
                                                                                  <w:marTop w:val="0"/>
                                                                                  <w:marBottom w:val="0"/>
                                                                                  <w:divBdr>
                                                                                    <w:top w:val="none" w:sz="0" w:space="0" w:color="auto"/>
                                                                                    <w:left w:val="none" w:sz="0" w:space="0" w:color="auto"/>
                                                                                    <w:bottom w:val="none" w:sz="0" w:space="0" w:color="auto"/>
                                                                                    <w:right w:val="none" w:sz="0" w:space="0" w:color="auto"/>
                                                                                  </w:divBdr>
                                                                                  <w:divsChild>
                                                                                    <w:div w:id="10358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4081">
      <w:bodyDiv w:val="1"/>
      <w:marLeft w:val="0"/>
      <w:marRight w:val="0"/>
      <w:marTop w:val="0"/>
      <w:marBottom w:val="0"/>
      <w:divBdr>
        <w:top w:val="none" w:sz="0" w:space="0" w:color="auto"/>
        <w:left w:val="none" w:sz="0" w:space="0" w:color="auto"/>
        <w:bottom w:val="none" w:sz="0" w:space="0" w:color="auto"/>
        <w:right w:val="none" w:sz="0" w:space="0" w:color="auto"/>
      </w:divBdr>
      <w:divsChild>
        <w:div w:id="243488902">
          <w:marLeft w:val="0"/>
          <w:marRight w:val="0"/>
          <w:marTop w:val="0"/>
          <w:marBottom w:val="0"/>
          <w:divBdr>
            <w:top w:val="none" w:sz="0" w:space="0" w:color="auto"/>
            <w:left w:val="none" w:sz="0" w:space="0" w:color="auto"/>
            <w:bottom w:val="none" w:sz="0" w:space="0" w:color="auto"/>
            <w:right w:val="none" w:sz="0" w:space="0" w:color="auto"/>
          </w:divBdr>
          <w:divsChild>
            <w:div w:id="1258558709">
              <w:marLeft w:val="0"/>
              <w:marRight w:val="0"/>
              <w:marTop w:val="0"/>
              <w:marBottom w:val="0"/>
              <w:divBdr>
                <w:top w:val="none" w:sz="0" w:space="0" w:color="auto"/>
                <w:left w:val="none" w:sz="0" w:space="0" w:color="auto"/>
                <w:bottom w:val="none" w:sz="0" w:space="0" w:color="auto"/>
                <w:right w:val="none" w:sz="0" w:space="0" w:color="auto"/>
              </w:divBdr>
              <w:divsChild>
                <w:div w:id="437991246">
                  <w:marLeft w:val="0"/>
                  <w:marRight w:val="0"/>
                  <w:marTop w:val="0"/>
                  <w:marBottom w:val="0"/>
                  <w:divBdr>
                    <w:top w:val="none" w:sz="0" w:space="0" w:color="auto"/>
                    <w:left w:val="none" w:sz="0" w:space="0" w:color="auto"/>
                    <w:bottom w:val="none" w:sz="0" w:space="0" w:color="auto"/>
                    <w:right w:val="none" w:sz="0" w:space="0" w:color="auto"/>
                  </w:divBdr>
                  <w:divsChild>
                    <w:div w:id="1512525580">
                      <w:marLeft w:val="0"/>
                      <w:marRight w:val="0"/>
                      <w:marTop w:val="45"/>
                      <w:marBottom w:val="0"/>
                      <w:divBdr>
                        <w:top w:val="none" w:sz="0" w:space="0" w:color="auto"/>
                        <w:left w:val="none" w:sz="0" w:space="0" w:color="auto"/>
                        <w:bottom w:val="none" w:sz="0" w:space="0" w:color="auto"/>
                        <w:right w:val="none" w:sz="0" w:space="0" w:color="auto"/>
                      </w:divBdr>
                      <w:divsChild>
                        <w:div w:id="2027905430">
                          <w:marLeft w:val="0"/>
                          <w:marRight w:val="0"/>
                          <w:marTop w:val="0"/>
                          <w:marBottom w:val="0"/>
                          <w:divBdr>
                            <w:top w:val="none" w:sz="0" w:space="0" w:color="auto"/>
                            <w:left w:val="none" w:sz="0" w:space="0" w:color="auto"/>
                            <w:bottom w:val="none" w:sz="0" w:space="0" w:color="auto"/>
                            <w:right w:val="none" w:sz="0" w:space="0" w:color="auto"/>
                          </w:divBdr>
                          <w:divsChild>
                            <w:div w:id="1183278120">
                              <w:marLeft w:val="2070"/>
                              <w:marRight w:val="3960"/>
                              <w:marTop w:val="0"/>
                              <w:marBottom w:val="0"/>
                              <w:divBdr>
                                <w:top w:val="none" w:sz="0" w:space="0" w:color="auto"/>
                                <w:left w:val="none" w:sz="0" w:space="0" w:color="auto"/>
                                <w:bottom w:val="none" w:sz="0" w:space="0" w:color="auto"/>
                                <w:right w:val="none" w:sz="0" w:space="0" w:color="auto"/>
                              </w:divBdr>
                              <w:divsChild>
                                <w:div w:id="1748645467">
                                  <w:marLeft w:val="0"/>
                                  <w:marRight w:val="0"/>
                                  <w:marTop w:val="0"/>
                                  <w:marBottom w:val="0"/>
                                  <w:divBdr>
                                    <w:top w:val="none" w:sz="0" w:space="0" w:color="auto"/>
                                    <w:left w:val="none" w:sz="0" w:space="0" w:color="auto"/>
                                    <w:bottom w:val="none" w:sz="0" w:space="0" w:color="auto"/>
                                    <w:right w:val="none" w:sz="0" w:space="0" w:color="auto"/>
                                  </w:divBdr>
                                  <w:divsChild>
                                    <w:div w:id="1512639818">
                                      <w:marLeft w:val="0"/>
                                      <w:marRight w:val="0"/>
                                      <w:marTop w:val="0"/>
                                      <w:marBottom w:val="0"/>
                                      <w:divBdr>
                                        <w:top w:val="none" w:sz="0" w:space="0" w:color="auto"/>
                                        <w:left w:val="none" w:sz="0" w:space="0" w:color="auto"/>
                                        <w:bottom w:val="none" w:sz="0" w:space="0" w:color="auto"/>
                                        <w:right w:val="none" w:sz="0" w:space="0" w:color="auto"/>
                                      </w:divBdr>
                                      <w:divsChild>
                                        <w:div w:id="1072390013">
                                          <w:marLeft w:val="0"/>
                                          <w:marRight w:val="0"/>
                                          <w:marTop w:val="0"/>
                                          <w:marBottom w:val="0"/>
                                          <w:divBdr>
                                            <w:top w:val="none" w:sz="0" w:space="0" w:color="auto"/>
                                            <w:left w:val="none" w:sz="0" w:space="0" w:color="auto"/>
                                            <w:bottom w:val="none" w:sz="0" w:space="0" w:color="auto"/>
                                            <w:right w:val="none" w:sz="0" w:space="0" w:color="auto"/>
                                          </w:divBdr>
                                          <w:divsChild>
                                            <w:div w:id="204802968">
                                              <w:marLeft w:val="0"/>
                                              <w:marRight w:val="0"/>
                                              <w:marTop w:val="0"/>
                                              <w:marBottom w:val="0"/>
                                              <w:divBdr>
                                                <w:top w:val="none" w:sz="0" w:space="0" w:color="auto"/>
                                                <w:left w:val="none" w:sz="0" w:space="0" w:color="auto"/>
                                                <w:bottom w:val="none" w:sz="0" w:space="0" w:color="auto"/>
                                                <w:right w:val="none" w:sz="0" w:space="0" w:color="auto"/>
                                              </w:divBdr>
                                              <w:divsChild>
                                                <w:div w:id="454638596">
                                                  <w:marLeft w:val="0"/>
                                                  <w:marRight w:val="0"/>
                                                  <w:marTop w:val="0"/>
                                                  <w:marBottom w:val="0"/>
                                                  <w:divBdr>
                                                    <w:top w:val="none" w:sz="0" w:space="0" w:color="auto"/>
                                                    <w:left w:val="none" w:sz="0" w:space="0" w:color="auto"/>
                                                    <w:bottom w:val="none" w:sz="0" w:space="0" w:color="auto"/>
                                                    <w:right w:val="none" w:sz="0" w:space="0" w:color="auto"/>
                                                  </w:divBdr>
                                                  <w:divsChild>
                                                    <w:div w:id="99418313">
                                                      <w:marLeft w:val="0"/>
                                                      <w:marRight w:val="0"/>
                                                      <w:marTop w:val="0"/>
                                                      <w:marBottom w:val="345"/>
                                                      <w:divBdr>
                                                        <w:top w:val="none" w:sz="0" w:space="0" w:color="auto"/>
                                                        <w:left w:val="none" w:sz="0" w:space="0" w:color="auto"/>
                                                        <w:bottom w:val="none" w:sz="0" w:space="0" w:color="auto"/>
                                                        <w:right w:val="none" w:sz="0" w:space="0" w:color="auto"/>
                                                      </w:divBdr>
                                                      <w:divsChild>
                                                        <w:div w:id="1313635864">
                                                          <w:marLeft w:val="0"/>
                                                          <w:marRight w:val="0"/>
                                                          <w:marTop w:val="0"/>
                                                          <w:marBottom w:val="0"/>
                                                          <w:divBdr>
                                                            <w:top w:val="none" w:sz="0" w:space="0" w:color="auto"/>
                                                            <w:left w:val="none" w:sz="0" w:space="0" w:color="auto"/>
                                                            <w:bottom w:val="none" w:sz="0" w:space="0" w:color="auto"/>
                                                            <w:right w:val="none" w:sz="0" w:space="0" w:color="auto"/>
                                                          </w:divBdr>
                                                          <w:divsChild>
                                                            <w:div w:id="292101117">
                                                              <w:marLeft w:val="0"/>
                                                              <w:marRight w:val="0"/>
                                                              <w:marTop w:val="0"/>
                                                              <w:marBottom w:val="0"/>
                                                              <w:divBdr>
                                                                <w:top w:val="none" w:sz="0" w:space="0" w:color="auto"/>
                                                                <w:left w:val="none" w:sz="0" w:space="0" w:color="auto"/>
                                                                <w:bottom w:val="none" w:sz="0" w:space="0" w:color="auto"/>
                                                                <w:right w:val="none" w:sz="0" w:space="0" w:color="auto"/>
                                                              </w:divBdr>
                                                              <w:divsChild>
                                                                <w:div w:id="714622047">
                                                                  <w:marLeft w:val="0"/>
                                                                  <w:marRight w:val="0"/>
                                                                  <w:marTop w:val="0"/>
                                                                  <w:marBottom w:val="0"/>
                                                                  <w:divBdr>
                                                                    <w:top w:val="none" w:sz="0" w:space="0" w:color="auto"/>
                                                                    <w:left w:val="none" w:sz="0" w:space="0" w:color="auto"/>
                                                                    <w:bottom w:val="none" w:sz="0" w:space="0" w:color="auto"/>
                                                                    <w:right w:val="none" w:sz="0" w:space="0" w:color="auto"/>
                                                                  </w:divBdr>
                                                                  <w:divsChild>
                                                                    <w:div w:id="571082924">
                                                                      <w:marLeft w:val="0"/>
                                                                      <w:marRight w:val="0"/>
                                                                      <w:marTop w:val="0"/>
                                                                      <w:marBottom w:val="0"/>
                                                                      <w:divBdr>
                                                                        <w:top w:val="none" w:sz="0" w:space="0" w:color="auto"/>
                                                                        <w:left w:val="none" w:sz="0" w:space="0" w:color="auto"/>
                                                                        <w:bottom w:val="none" w:sz="0" w:space="0" w:color="auto"/>
                                                                        <w:right w:val="none" w:sz="0" w:space="0" w:color="auto"/>
                                                                      </w:divBdr>
                                                                      <w:divsChild>
                                                                        <w:div w:id="428695963">
                                                                          <w:marLeft w:val="0"/>
                                                                          <w:marRight w:val="0"/>
                                                                          <w:marTop w:val="0"/>
                                                                          <w:marBottom w:val="0"/>
                                                                          <w:divBdr>
                                                                            <w:top w:val="none" w:sz="0" w:space="0" w:color="auto"/>
                                                                            <w:left w:val="none" w:sz="0" w:space="0" w:color="auto"/>
                                                                            <w:bottom w:val="none" w:sz="0" w:space="0" w:color="auto"/>
                                                                            <w:right w:val="none" w:sz="0" w:space="0" w:color="auto"/>
                                                                          </w:divBdr>
                                                                          <w:divsChild>
                                                                            <w:div w:id="1671593139">
                                                                              <w:marLeft w:val="0"/>
                                                                              <w:marRight w:val="0"/>
                                                                              <w:marTop w:val="0"/>
                                                                              <w:marBottom w:val="0"/>
                                                                              <w:divBdr>
                                                                                <w:top w:val="none" w:sz="0" w:space="0" w:color="auto"/>
                                                                                <w:left w:val="none" w:sz="0" w:space="0" w:color="auto"/>
                                                                                <w:bottom w:val="none" w:sz="0" w:space="0" w:color="auto"/>
                                                                                <w:right w:val="none" w:sz="0" w:space="0" w:color="auto"/>
                                                                              </w:divBdr>
                                                                              <w:divsChild>
                                                                                <w:div w:id="855925022">
                                                                                  <w:marLeft w:val="0"/>
                                                                                  <w:marRight w:val="0"/>
                                                                                  <w:marTop w:val="0"/>
                                                                                  <w:marBottom w:val="0"/>
                                                                                  <w:divBdr>
                                                                                    <w:top w:val="none" w:sz="0" w:space="0" w:color="auto"/>
                                                                                    <w:left w:val="none" w:sz="0" w:space="0" w:color="auto"/>
                                                                                    <w:bottom w:val="none" w:sz="0" w:space="0" w:color="auto"/>
                                                                                    <w:right w:val="none" w:sz="0" w:space="0" w:color="auto"/>
                                                                                  </w:divBdr>
                                                                                  <w:divsChild>
                                                                                    <w:div w:id="17852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45533">
      <w:bodyDiv w:val="1"/>
      <w:marLeft w:val="0"/>
      <w:marRight w:val="0"/>
      <w:marTop w:val="0"/>
      <w:marBottom w:val="0"/>
      <w:divBdr>
        <w:top w:val="none" w:sz="0" w:space="0" w:color="auto"/>
        <w:left w:val="none" w:sz="0" w:space="0" w:color="auto"/>
        <w:bottom w:val="none" w:sz="0" w:space="0" w:color="auto"/>
        <w:right w:val="none" w:sz="0" w:space="0" w:color="auto"/>
      </w:divBdr>
    </w:div>
    <w:div w:id="2106028671">
      <w:bodyDiv w:val="1"/>
      <w:marLeft w:val="0"/>
      <w:marRight w:val="0"/>
      <w:marTop w:val="0"/>
      <w:marBottom w:val="0"/>
      <w:divBdr>
        <w:top w:val="none" w:sz="0" w:space="0" w:color="auto"/>
        <w:left w:val="none" w:sz="0" w:space="0" w:color="auto"/>
        <w:bottom w:val="none" w:sz="0" w:space="0" w:color="auto"/>
        <w:right w:val="none" w:sz="0" w:space="0" w:color="auto"/>
      </w:divBdr>
      <w:divsChild>
        <w:div w:id="1200050248">
          <w:marLeft w:val="0"/>
          <w:marRight w:val="0"/>
          <w:marTop w:val="0"/>
          <w:marBottom w:val="0"/>
          <w:divBdr>
            <w:top w:val="none" w:sz="0" w:space="0" w:color="auto"/>
            <w:left w:val="none" w:sz="0" w:space="0" w:color="auto"/>
            <w:bottom w:val="none" w:sz="0" w:space="0" w:color="auto"/>
            <w:right w:val="none" w:sz="0" w:space="0" w:color="auto"/>
          </w:divBdr>
          <w:divsChild>
            <w:div w:id="2070568465">
              <w:marLeft w:val="0"/>
              <w:marRight w:val="0"/>
              <w:marTop w:val="0"/>
              <w:marBottom w:val="0"/>
              <w:divBdr>
                <w:top w:val="none" w:sz="0" w:space="0" w:color="auto"/>
                <w:left w:val="none" w:sz="0" w:space="0" w:color="auto"/>
                <w:bottom w:val="none" w:sz="0" w:space="0" w:color="auto"/>
                <w:right w:val="none" w:sz="0" w:space="0" w:color="auto"/>
              </w:divBdr>
              <w:divsChild>
                <w:div w:id="1637685393">
                  <w:marLeft w:val="0"/>
                  <w:marRight w:val="0"/>
                  <w:marTop w:val="0"/>
                  <w:marBottom w:val="0"/>
                  <w:divBdr>
                    <w:top w:val="none" w:sz="0" w:space="0" w:color="auto"/>
                    <w:left w:val="none" w:sz="0" w:space="0" w:color="auto"/>
                    <w:bottom w:val="none" w:sz="0" w:space="0" w:color="auto"/>
                    <w:right w:val="none" w:sz="0" w:space="0" w:color="auto"/>
                  </w:divBdr>
                  <w:divsChild>
                    <w:div w:id="1920017196">
                      <w:marLeft w:val="0"/>
                      <w:marRight w:val="0"/>
                      <w:marTop w:val="45"/>
                      <w:marBottom w:val="0"/>
                      <w:divBdr>
                        <w:top w:val="none" w:sz="0" w:space="0" w:color="auto"/>
                        <w:left w:val="none" w:sz="0" w:space="0" w:color="auto"/>
                        <w:bottom w:val="none" w:sz="0" w:space="0" w:color="auto"/>
                        <w:right w:val="none" w:sz="0" w:space="0" w:color="auto"/>
                      </w:divBdr>
                      <w:divsChild>
                        <w:div w:id="1330718265">
                          <w:marLeft w:val="0"/>
                          <w:marRight w:val="0"/>
                          <w:marTop w:val="0"/>
                          <w:marBottom w:val="0"/>
                          <w:divBdr>
                            <w:top w:val="none" w:sz="0" w:space="0" w:color="auto"/>
                            <w:left w:val="none" w:sz="0" w:space="0" w:color="auto"/>
                            <w:bottom w:val="none" w:sz="0" w:space="0" w:color="auto"/>
                            <w:right w:val="none" w:sz="0" w:space="0" w:color="auto"/>
                          </w:divBdr>
                          <w:divsChild>
                            <w:div w:id="1938555079">
                              <w:marLeft w:val="2070"/>
                              <w:marRight w:val="3960"/>
                              <w:marTop w:val="0"/>
                              <w:marBottom w:val="0"/>
                              <w:divBdr>
                                <w:top w:val="none" w:sz="0" w:space="0" w:color="auto"/>
                                <w:left w:val="none" w:sz="0" w:space="0" w:color="auto"/>
                                <w:bottom w:val="none" w:sz="0" w:space="0" w:color="auto"/>
                                <w:right w:val="none" w:sz="0" w:space="0" w:color="auto"/>
                              </w:divBdr>
                              <w:divsChild>
                                <w:div w:id="1770353655">
                                  <w:marLeft w:val="0"/>
                                  <w:marRight w:val="0"/>
                                  <w:marTop w:val="0"/>
                                  <w:marBottom w:val="0"/>
                                  <w:divBdr>
                                    <w:top w:val="none" w:sz="0" w:space="0" w:color="auto"/>
                                    <w:left w:val="none" w:sz="0" w:space="0" w:color="auto"/>
                                    <w:bottom w:val="none" w:sz="0" w:space="0" w:color="auto"/>
                                    <w:right w:val="none" w:sz="0" w:space="0" w:color="auto"/>
                                  </w:divBdr>
                                  <w:divsChild>
                                    <w:div w:id="1293485920">
                                      <w:marLeft w:val="0"/>
                                      <w:marRight w:val="0"/>
                                      <w:marTop w:val="0"/>
                                      <w:marBottom w:val="0"/>
                                      <w:divBdr>
                                        <w:top w:val="none" w:sz="0" w:space="0" w:color="auto"/>
                                        <w:left w:val="none" w:sz="0" w:space="0" w:color="auto"/>
                                        <w:bottom w:val="none" w:sz="0" w:space="0" w:color="auto"/>
                                        <w:right w:val="none" w:sz="0" w:space="0" w:color="auto"/>
                                      </w:divBdr>
                                      <w:divsChild>
                                        <w:div w:id="501435229">
                                          <w:marLeft w:val="0"/>
                                          <w:marRight w:val="0"/>
                                          <w:marTop w:val="0"/>
                                          <w:marBottom w:val="0"/>
                                          <w:divBdr>
                                            <w:top w:val="none" w:sz="0" w:space="0" w:color="auto"/>
                                            <w:left w:val="none" w:sz="0" w:space="0" w:color="auto"/>
                                            <w:bottom w:val="none" w:sz="0" w:space="0" w:color="auto"/>
                                            <w:right w:val="none" w:sz="0" w:space="0" w:color="auto"/>
                                          </w:divBdr>
                                          <w:divsChild>
                                            <w:div w:id="1002197345">
                                              <w:marLeft w:val="0"/>
                                              <w:marRight w:val="0"/>
                                              <w:marTop w:val="0"/>
                                              <w:marBottom w:val="0"/>
                                              <w:divBdr>
                                                <w:top w:val="none" w:sz="0" w:space="0" w:color="auto"/>
                                                <w:left w:val="none" w:sz="0" w:space="0" w:color="auto"/>
                                                <w:bottom w:val="none" w:sz="0" w:space="0" w:color="auto"/>
                                                <w:right w:val="none" w:sz="0" w:space="0" w:color="auto"/>
                                              </w:divBdr>
                                              <w:divsChild>
                                                <w:div w:id="157574256">
                                                  <w:marLeft w:val="0"/>
                                                  <w:marRight w:val="0"/>
                                                  <w:marTop w:val="0"/>
                                                  <w:marBottom w:val="0"/>
                                                  <w:divBdr>
                                                    <w:top w:val="none" w:sz="0" w:space="0" w:color="auto"/>
                                                    <w:left w:val="none" w:sz="0" w:space="0" w:color="auto"/>
                                                    <w:bottom w:val="none" w:sz="0" w:space="0" w:color="auto"/>
                                                    <w:right w:val="none" w:sz="0" w:space="0" w:color="auto"/>
                                                  </w:divBdr>
                                                  <w:divsChild>
                                                    <w:div w:id="526678839">
                                                      <w:marLeft w:val="0"/>
                                                      <w:marRight w:val="0"/>
                                                      <w:marTop w:val="0"/>
                                                      <w:marBottom w:val="345"/>
                                                      <w:divBdr>
                                                        <w:top w:val="none" w:sz="0" w:space="0" w:color="auto"/>
                                                        <w:left w:val="none" w:sz="0" w:space="0" w:color="auto"/>
                                                        <w:bottom w:val="none" w:sz="0" w:space="0" w:color="auto"/>
                                                        <w:right w:val="none" w:sz="0" w:space="0" w:color="auto"/>
                                                      </w:divBdr>
                                                      <w:divsChild>
                                                        <w:div w:id="452288126">
                                                          <w:marLeft w:val="0"/>
                                                          <w:marRight w:val="0"/>
                                                          <w:marTop w:val="0"/>
                                                          <w:marBottom w:val="0"/>
                                                          <w:divBdr>
                                                            <w:top w:val="none" w:sz="0" w:space="0" w:color="auto"/>
                                                            <w:left w:val="none" w:sz="0" w:space="0" w:color="auto"/>
                                                            <w:bottom w:val="none" w:sz="0" w:space="0" w:color="auto"/>
                                                            <w:right w:val="none" w:sz="0" w:space="0" w:color="auto"/>
                                                          </w:divBdr>
                                                          <w:divsChild>
                                                            <w:div w:id="588777984">
                                                              <w:marLeft w:val="0"/>
                                                              <w:marRight w:val="0"/>
                                                              <w:marTop w:val="0"/>
                                                              <w:marBottom w:val="0"/>
                                                              <w:divBdr>
                                                                <w:top w:val="none" w:sz="0" w:space="0" w:color="auto"/>
                                                                <w:left w:val="none" w:sz="0" w:space="0" w:color="auto"/>
                                                                <w:bottom w:val="none" w:sz="0" w:space="0" w:color="auto"/>
                                                                <w:right w:val="none" w:sz="0" w:space="0" w:color="auto"/>
                                                              </w:divBdr>
                                                              <w:divsChild>
                                                                <w:div w:id="149644039">
                                                                  <w:marLeft w:val="0"/>
                                                                  <w:marRight w:val="0"/>
                                                                  <w:marTop w:val="0"/>
                                                                  <w:marBottom w:val="0"/>
                                                                  <w:divBdr>
                                                                    <w:top w:val="none" w:sz="0" w:space="0" w:color="auto"/>
                                                                    <w:left w:val="none" w:sz="0" w:space="0" w:color="auto"/>
                                                                    <w:bottom w:val="none" w:sz="0" w:space="0" w:color="auto"/>
                                                                    <w:right w:val="none" w:sz="0" w:space="0" w:color="auto"/>
                                                                  </w:divBdr>
                                                                  <w:divsChild>
                                                                    <w:div w:id="841237339">
                                                                      <w:marLeft w:val="0"/>
                                                                      <w:marRight w:val="0"/>
                                                                      <w:marTop w:val="0"/>
                                                                      <w:marBottom w:val="0"/>
                                                                      <w:divBdr>
                                                                        <w:top w:val="none" w:sz="0" w:space="0" w:color="auto"/>
                                                                        <w:left w:val="none" w:sz="0" w:space="0" w:color="auto"/>
                                                                        <w:bottom w:val="none" w:sz="0" w:space="0" w:color="auto"/>
                                                                        <w:right w:val="none" w:sz="0" w:space="0" w:color="auto"/>
                                                                      </w:divBdr>
                                                                      <w:divsChild>
                                                                        <w:div w:id="1193883787">
                                                                          <w:marLeft w:val="0"/>
                                                                          <w:marRight w:val="0"/>
                                                                          <w:marTop w:val="0"/>
                                                                          <w:marBottom w:val="0"/>
                                                                          <w:divBdr>
                                                                            <w:top w:val="none" w:sz="0" w:space="0" w:color="auto"/>
                                                                            <w:left w:val="none" w:sz="0" w:space="0" w:color="auto"/>
                                                                            <w:bottom w:val="none" w:sz="0" w:space="0" w:color="auto"/>
                                                                            <w:right w:val="none" w:sz="0" w:space="0" w:color="auto"/>
                                                                          </w:divBdr>
                                                                          <w:divsChild>
                                                                            <w:div w:id="871114206">
                                                                              <w:marLeft w:val="0"/>
                                                                              <w:marRight w:val="0"/>
                                                                              <w:marTop w:val="0"/>
                                                                              <w:marBottom w:val="0"/>
                                                                              <w:divBdr>
                                                                                <w:top w:val="none" w:sz="0" w:space="0" w:color="auto"/>
                                                                                <w:left w:val="none" w:sz="0" w:space="0" w:color="auto"/>
                                                                                <w:bottom w:val="none" w:sz="0" w:space="0" w:color="auto"/>
                                                                                <w:right w:val="none" w:sz="0" w:space="0" w:color="auto"/>
                                                                              </w:divBdr>
                                                                              <w:divsChild>
                                                                                <w:div w:id="1059019430">
                                                                                  <w:marLeft w:val="0"/>
                                                                                  <w:marRight w:val="0"/>
                                                                                  <w:marTop w:val="0"/>
                                                                                  <w:marBottom w:val="0"/>
                                                                                  <w:divBdr>
                                                                                    <w:top w:val="none" w:sz="0" w:space="0" w:color="auto"/>
                                                                                    <w:left w:val="none" w:sz="0" w:space="0" w:color="auto"/>
                                                                                    <w:bottom w:val="none" w:sz="0" w:space="0" w:color="auto"/>
                                                                                    <w:right w:val="none" w:sz="0" w:space="0" w:color="auto"/>
                                                                                  </w:divBdr>
                                                                                  <w:divsChild>
                                                                                    <w:div w:id="202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uprdoc.ohchr.org/uprweb/downloadfile.aspx?filename=2757&amp;file=FrenchTranslation" TargetMode="External"/><Relationship Id="rId13" Type="http://schemas.openxmlformats.org/officeDocument/2006/relationships/hyperlink" Target="https://www.unodc.org/documents/justice-and-prison-reform/GA-RESOLUTION/F-book.pdf" TargetMode="External"/><Relationship Id="rId3" Type="http://schemas.openxmlformats.org/officeDocument/2006/relationships/hyperlink" Target="https://minustah.unmissions.org/sites/default/files/s2016753_fr.pdf" TargetMode="External"/><Relationship Id="rId7" Type="http://schemas.openxmlformats.org/officeDocument/2006/relationships/hyperlink" Target="https://uprdoc.ohchr.org/uprweb/downloadfile.aspx?filename=2757&amp;file=FrenchTranslation" TargetMode="External"/><Relationship Id="rId12" Type="http://schemas.openxmlformats.org/officeDocument/2006/relationships/hyperlink" Target="http://www.refworld.org/cgi-bin/texis/vtx/rwmain/opendocpdf.pdf?reldoc=y&amp;docid=48db9a1c2" TargetMode="External"/><Relationship Id="rId2" Type="http://schemas.openxmlformats.org/officeDocument/2006/relationships/hyperlink" Target="http://ht.one.un.org/content/dam/unct/haiti/docs/Rapport%20expert%20independent%20sur%20DDHH%20en%20Haiti%202015.pdf" TargetMode="External"/><Relationship Id="rId1" Type="http://schemas.openxmlformats.org/officeDocument/2006/relationships/hyperlink" Target="http://www.oas.org/en/iachr/decisions/pdf/2016/MC5-11-En.pdf" TargetMode="External"/><Relationship Id="rId6" Type="http://schemas.openxmlformats.org/officeDocument/2006/relationships/hyperlink" Target="http://www.corteidh.or.cr/docs/casos/articulos/seriec_180_esp1.pdf" TargetMode="External"/><Relationship Id="rId11" Type="http://schemas.openxmlformats.org/officeDocument/2006/relationships/hyperlink" Target="http://www.corteidh.or.cr/docs/casos/articulos/seriec_112_esp.pdf" TargetMode="External"/><Relationship Id="rId5" Type="http://schemas.openxmlformats.org/officeDocument/2006/relationships/hyperlink" Target="https://minustah.unmissions.org/la-minustah-r%C3%A9it%C3%A8re-son-appel-aux-autorit%C3%A9s-nationales-de-prendre-les-mesures-urgentes-pour-faire" TargetMode="External"/><Relationship Id="rId10" Type="http://schemas.openxmlformats.org/officeDocument/2006/relationships/hyperlink" Target="http://www.corteidh.or.cr/docs/supervisiones/yvon_20_11_15_esp.pdf" TargetMode="External"/><Relationship Id="rId4" Type="http://schemas.openxmlformats.org/officeDocument/2006/relationships/hyperlink" Target="http://www.ohchr.org/FR/NewsEvents/Pages/DisplayNews.aspx?NewsID=21341&amp;LangID=F" TargetMode="External"/><Relationship Id="rId9" Type="http://schemas.openxmlformats.org/officeDocument/2006/relationships/hyperlink" Target="http://www.corteidh.or.cr/docs/casos/articulos/seriec_180_esp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75773-2F28-4EF4-AA50-CF61731E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5127</Words>
  <Characters>29228</Characters>
  <Application>Microsoft Office Word</Application>
  <DocSecurity>0</DocSecurity>
  <Lines>243</Lines>
  <Paragraphs>68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2017-06-13T18:41:00Z</cp:lastPrinted>
  <dcterms:created xsi:type="dcterms:W3CDTF">2017-07-14T14:23:00Z</dcterms:created>
  <dcterms:modified xsi:type="dcterms:W3CDTF">2017-07-14T14:23:00Z</dcterms:modified>
</cp:coreProperties>
</file>