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FD8E" w14:textId="77777777" w:rsidR="00270C8A" w:rsidRPr="0009182C" w:rsidRDefault="00270C8A" w:rsidP="00270C8A">
      <w:pPr>
        <w:spacing w:after="0" w:line="240" w:lineRule="auto"/>
        <w:jc w:val="center"/>
        <w:rPr>
          <w:rFonts w:ascii="Cambria" w:hAnsi="Cambria"/>
          <w:b/>
          <w:color w:val="000000" w:themeColor="text1"/>
          <w:lang w:val="es-CO"/>
        </w:rPr>
      </w:pPr>
      <w:r w:rsidRPr="0009182C">
        <w:rPr>
          <w:rFonts w:ascii="Cambria" w:hAnsi="Cambria"/>
          <w:b/>
          <w:color w:val="000000" w:themeColor="text1"/>
          <w:lang w:val="es-CO"/>
        </w:rPr>
        <w:t>FICHA TÉCNICA INFORMATIVA</w:t>
      </w:r>
    </w:p>
    <w:p w14:paraId="43BAFF30" w14:textId="77777777" w:rsidR="00270C8A" w:rsidRPr="0009182C" w:rsidRDefault="00270C8A" w:rsidP="00270C8A">
      <w:pPr>
        <w:spacing w:after="0" w:line="240" w:lineRule="auto"/>
        <w:jc w:val="center"/>
        <w:rPr>
          <w:rFonts w:ascii="Cambria" w:eastAsia="Batang" w:hAnsi="Cambria"/>
          <w:b/>
          <w:color w:val="000000" w:themeColor="text1"/>
          <w:lang w:val="es-CO"/>
        </w:rPr>
      </w:pPr>
      <w:r w:rsidRPr="0009182C">
        <w:rPr>
          <w:rFonts w:ascii="Cambria" w:eastAsia="Batang" w:hAnsi="Cambria" w:cs="Calibri Light"/>
          <w:b/>
          <w:color w:val="000000" w:themeColor="text1"/>
          <w:lang w:val="es-CO"/>
        </w:rPr>
        <w:t xml:space="preserve">CASO </w:t>
      </w:r>
      <w:r w:rsidRPr="0009182C">
        <w:rPr>
          <w:rFonts w:ascii="Cambria" w:eastAsia="Batang" w:hAnsi="Cambria"/>
          <w:b/>
          <w:color w:val="000000" w:themeColor="text1"/>
          <w:lang w:val="es-CO"/>
        </w:rPr>
        <w:t>12.960 RONALD JARED MARTÍNEZ Y OTROS</w:t>
      </w:r>
    </w:p>
    <w:p w14:paraId="77DC9CAA" w14:textId="77777777" w:rsidR="00270C8A" w:rsidRPr="0009182C" w:rsidRDefault="00270C8A" w:rsidP="00270C8A">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 xml:space="preserve">INFORME DE SOLUCIÓN AMISTOSA No. </w:t>
      </w:r>
      <w:hyperlink r:id="rId7" w:history="1">
        <w:r w:rsidRPr="0009182C">
          <w:rPr>
            <w:rStyle w:val="Hyperlink"/>
            <w:rFonts w:ascii="Cambria" w:eastAsia="Batang" w:hAnsi="Cambria"/>
            <w:b/>
            <w:bCs/>
            <w:color w:val="000000" w:themeColor="text1"/>
            <w:lang w:val="es-CO"/>
          </w:rPr>
          <w:t>269/21</w:t>
        </w:r>
      </w:hyperlink>
    </w:p>
    <w:p w14:paraId="657329DB" w14:textId="77777777" w:rsidR="00270C8A" w:rsidRPr="0009182C" w:rsidRDefault="00270C8A" w:rsidP="00270C8A">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CUMPLIMIENTO TOTAL</w:t>
      </w:r>
    </w:p>
    <w:p w14:paraId="0E199964" w14:textId="77777777" w:rsidR="00270C8A" w:rsidRPr="0009182C" w:rsidRDefault="00270C8A" w:rsidP="00270C8A">
      <w:pPr>
        <w:spacing w:after="0" w:line="240" w:lineRule="auto"/>
        <w:jc w:val="center"/>
        <w:rPr>
          <w:rFonts w:ascii="Cambria" w:eastAsia="Batang" w:hAnsi="Cambria"/>
          <w:b/>
          <w:color w:val="000000" w:themeColor="text1"/>
          <w:lang w:val="es-CO"/>
        </w:rPr>
      </w:pPr>
      <w:r w:rsidRPr="0009182C">
        <w:rPr>
          <w:rFonts w:ascii="Cambria" w:eastAsia="Batang" w:hAnsi="Cambria"/>
          <w:b/>
          <w:color w:val="000000" w:themeColor="text1"/>
          <w:lang w:val="es-CO"/>
        </w:rPr>
        <w:t>(HONDURAS)</w:t>
      </w:r>
    </w:p>
    <w:p w14:paraId="071E5B36" w14:textId="77777777" w:rsidR="00270C8A" w:rsidRPr="0009182C" w:rsidRDefault="00270C8A" w:rsidP="00270C8A">
      <w:pPr>
        <w:spacing w:after="0" w:line="240" w:lineRule="auto"/>
        <w:jc w:val="center"/>
        <w:rPr>
          <w:rFonts w:ascii="Cambria" w:eastAsia="Batang" w:hAnsi="Cambria"/>
          <w:b/>
          <w:color w:val="000000" w:themeColor="text1"/>
          <w:lang w:val="es-CO"/>
        </w:rPr>
      </w:pPr>
    </w:p>
    <w:p w14:paraId="329DDDD7" w14:textId="77777777" w:rsidR="00270C8A" w:rsidRPr="0009182C" w:rsidRDefault="00270C8A" w:rsidP="00270C8A">
      <w:pPr>
        <w:numPr>
          <w:ilvl w:val="0"/>
          <w:numId w:val="2"/>
        </w:numPr>
        <w:spacing w:after="0" w:line="240" w:lineRule="auto"/>
        <w:ind w:left="0" w:firstLine="709"/>
        <w:rPr>
          <w:rFonts w:ascii="Cambria" w:eastAsia="Batang" w:hAnsi="Cambria"/>
          <w:b/>
          <w:color w:val="000000" w:themeColor="text1"/>
          <w:lang w:val="es-CO"/>
        </w:rPr>
      </w:pPr>
      <w:r w:rsidRPr="0009182C">
        <w:rPr>
          <w:rFonts w:ascii="Cambria" w:eastAsia="Batang" w:hAnsi="Cambria" w:cs="Calibri Light"/>
          <w:b/>
          <w:color w:val="000000" w:themeColor="text1"/>
          <w:lang w:val="es-CO"/>
        </w:rPr>
        <w:t xml:space="preserve">RESUMEN DEL CASO </w:t>
      </w:r>
    </w:p>
    <w:p w14:paraId="6D5455EC" w14:textId="77777777" w:rsidR="00270C8A" w:rsidRPr="0009182C" w:rsidRDefault="00270C8A" w:rsidP="00270C8A">
      <w:pPr>
        <w:spacing w:after="0" w:line="240" w:lineRule="auto"/>
        <w:jc w:val="both"/>
        <w:rPr>
          <w:rFonts w:ascii="Cambria" w:eastAsia="Batang" w:hAnsi="Cambria" w:cs="Calibri Light"/>
          <w:b/>
          <w:color w:val="000000" w:themeColor="text1"/>
          <w:lang w:val="es-CO"/>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14"/>
      </w:tblGrid>
      <w:tr w:rsidR="00270C8A" w:rsidRPr="001873B5" w14:paraId="57B5ED0F" w14:textId="77777777" w:rsidTr="00B67A4A">
        <w:trPr>
          <w:trHeight w:val="558"/>
          <w:jc w:val="center"/>
        </w:trPr>
        <w:tc>
          <w:tcPr>
            <w:tcW w:w="9214" w:type="dxa"/>
            <w:shd w:val="clear" w:color="auto" w:fill="F2F2F2"/>
          </w:tcPr>
          <w:p w14:paraId="57713040" w14:textId="77777777" w:rsidR="00270C8A" w:rsidRPr="0009182C" w:rsidRDefault="00270C8A"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Víctima (s): </w:t>
            </w:r>
            <w:r w:rsidRPr="0009182C">
              <w:rPr>
                <w:rFonts w:ascii="Cambria" w:eastAsia="Batang" w:hAnsi="Cambria"/>
                <w:bCs/>
                <w:color w:val="000000" w:themeColor="text1"/>
                <w:lang w:val="es-CO"/>
              </w:rPr>
              <w:t>Ronald Jared Martínez y Familia y Marlón Fabricio Hernández Fúnez</w:t>
            </w:r>
          </w:p>
          <w:p w14:paraId="2C54E849" w14:textId="77777777" w:rsidR="00270C8A" w:rsidRPr="0009182C" w:rsidRDefault="00270C8A" w:rsidP="00B67A4A">
            <w:pPr>
              <w:spacing w:after="0" w:line="240" w:lineRule="auto"/>
              <w:jc w:val="both"/>
              <w:rPr>
                <w:rFonts w:ascii="Cambria" w:eastAsia="Batang" w:hAnsi="Cambria"/>
                <w:b/>
                <w:bCs/>
                <w:color w:val="000000" w:themeColor="text1"/>
                <w:lang w:val="es-CO"/>
              </w:rPr>
            </w:pPr>
            <w:r w:rsidRPr="0009182C">
              <w:rPr>
                <w:rFonts w:ascii="Cambria" w:eastAsia="Batang" w:hAnsi="Cambria"/>
                <w:b/>
                <w:color w:val="000000" w:themeColor="text1"/>
                <w:lang w:val="es-CO"/>
              </w:rPr>
              <w:t xml:space="preserve">Peticionario (s): </w:t>
            </w:r>
            <w:r w:rsidRPr="0009182C">
              <w:rPr>
                <w:rFonts w:ascii="Cambria" w:eastAsia="Batang" w:hAnsi="Cambria"/>
                <w:color w:val="000000" w:themeColor="text1"/>
                <w:lang w:val="es-CO"/>
              </w:rPr>
              <w:t>José Roberto Martínez Raudales, Rodolfo Enrique Villalta Estrada y Seida Rivera Flores</w:t>
            </w:r>
          </w:p>
          <w:p w14:paraId="505FF49D" w14:textId="77777777" w:rsidR="00270C8A" w:rsidRPr="0009182C" w:rsidRDefault="00270C8A"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Estado: </w:t>
            </w:r>
            <w:r w:rsidRPr="0009182C">
              <w:rPr>
                <w:rFonts w:ascii="Cambria" w:eastAsia="Batang" w:hAnsi="Cambria"/>
                <w:bCs/>
                <w:color w:val="000000" w:themeColor="text1"/>
                <w:lang w:val="es-CO"/>
              </w:rPr>
              <w:t>Honduras</w:t>
            </w:r>
          </w:p>
          <w:p w14:paraId="0C37F871" w14:textId="77777777" w:rsidR="00270C8A" w:rsidRPr="0009182C" w:rsidRDefault="00270C8A" w:rsidP="00B67A4A">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Fecha de inicio de las negociaciones: </w:t>
            </w:r>
            <w:r w:rsidRPr="0009182C">
              <w:rPr>
                <w:rFonts w:ascii="Cambria" w:eastAsia="Batang" w:hAnsi="Cambria"/>
                <w:bCs/>
                <w:color w:val="000000" w:themeColor="text1"/>
                <w:lang w:val="es-CO"/>
              </w:rPr>
              <w:t>16 de diciembre de 2014</w:t>
            </w:r>
          </w:p>
          <w:p w14:paraId="5A42AC83" w14:textId="77777777" w:rsidR="00270C8A" w:rsidRPr="0009182C" w:rsidRDefault="00270C8A" w:rsidP="00B67A4A">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Fecha de Firma de ASA: </w:t>
            </w:r>
            <w:r w:rsidRPr="0009182C">
              <w:rPr>
                <w:rFonts w:ascii="Cambria" w:eastAsia="Batang" w:hAnsi="Cambria"/>
                <w:bCs/>
                <w:color w:val="000000" w:themeColor="text1"/>
                <w:lang w:val="es-CO"/>
              </w:rPr>
              <w:t>22 de septiembre de 2020</w:t>
            </w:r>
          </w:p>
          <w:p w14:paraId="4AE116E6" w14:textId="77777777" w:rsidR="00270C8A" w:rsidRPr="0009182C" w:rsidRDefault="00270C8A" w:rsidP="00B67A4A">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Informe de Admisibilidad</w:t>
            </w:r>
            <w:r w:rsidRPr="0009182C">
              <w:rPr>
                <w:rFonts w:ascii="Cambria" w:eastAsia="Batang" w:hAnsi="Cambria"/>
                <w:b/>
                <w:color w:val="000000" w:themeColor="text1"/>
                <w:lang w:val="es-CO"/>
              </w:rPr>
              <w:t xml:space="preserve"> Nº: </w:t>
            </w:r>
            <w:hyperlink r:id="rId8" w:history="1">
              <w:r w:rsidRPr="0009182C">
                <w:rPr>
                  <w:rStyle w:val="Hyperlink"/>
                  <w:rFonts w:ascii="Cambria" w:eastAsia="Batang" w:hAnsi="Cambria"/>
                  <w:b/>
                  <w:bCs/>
                  <w:color w:val="000000" w:themeColor="text1"/>
                  <w:lang w:val="es-CO"/>
                </w:rPr>
                <w:t>56/14</w:t>
              </w:r>
            </w:hyperlink>
            <w:r w:rsidRPr="0009182C">
              <w:rPr>
                <w:rFonts w:ascii="Cambria" w:eastAsia="Batang" w:hAnsi="Cambria"/>
                <w:bCs/>
                <w:color w:val="000000" w:themeColor="text1"/>
                <w:lang w:val="es-CO"/>
              </w:rPr>
              <w:t>, aprobado el 21 de julio de 2014</w:t>
            </w:r>
          </w:p>
          <w:p w14:paraId="38385251" w14:textId="77777777" w:rsidR="00270C8A" w:rsidRPr="0009182C" w:rsidRDefault="00270C8A"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Informe de Acuerdo de Solución Amistosa Nº: </w:t>
            </w:r>
            <w:hyperlink r:id="rId9" w:history="1">
              <w:r w:rsidRPr="0009182C">
                <w:rPr>
                  <w:rStyle w:val="Hyperlink"/>
                  <w:rFonts w:ascii="Cambria" w:eastAsia="Batang" w:hAnsi="Cambria"/>
                  <w:b/>
                  <w:bCs/>
                  <w:color w:val="000000" w:themeColor="text1"/>
                  <w:lang w:val="es-CO"/>
                </w:rPr>
                <w:t>269/21</w:t>
              </w:r>
            </w:hyperlink>
            <w:r w:rsidRPr="0009182C">
              <w:rPr>
                <w:rFonts w:ascii="Cambria" w:eastAsia="Batang" w:hAnsi="Cambria"/>
                <w:bCs/>
                <w:color w:val="000000" w:themeColor="text1"/>
                <w:lang w:val="es-CO"/>
              </w:rPr>
              <w:t xml:space="preserve"> publicado el 5 de octubre de 2021</w:t>
            </w:r>
          </w:p>
          <w:p w14:paraId="63BAC251" w14:textId="77777777" w:rsidR="00270C8A" w:rsidRPr="0009182C" w:rsidRDefault="00270C8A" w:rsidP="00B67A4A">
            <w:pPr>
              <w:spacing w:after="0" w:line="240" w:lineRule="auto"/>
              <w:jc w:val="both"/>
              <w:rPr>
                <w:rFonts w:ascii="Cambria" w:eastAsia="Batang" w:hAnsi="Cambria"/>
                <w:b/>
                <w:color w:val="000000" w:themeColor="text1"/>
                <w:lang w:val="es-CO"/>
              </w:rPr>
            </w:pPr>
            <w:r w:rsidRPr="0009182C">
              <w:rPr>
                <w:rFonts w:ascii="Cambria" w:eastAsia="Batang" w:hAnsi="Cambria"/>
                <w:b/>
                <w:bCs/>
                <w:color w:val="000000" w:themeColor="text1"/>
                <w:lang w:val="es-CO"/>
              </w:rPr>
              <w:t xml:space="preserve">Duración estimada de la fase de negociación: </w:t>
            </w:r>
            <w:r w:rsidRPr="0009182C">
              <w:rPr>
                <w:rFonts w:ascii="Cambria" w:eastAsia="Batang" w:hAnsi="Cambria"/>
                <w:bCs/>
                <w:color w:val="000000" w:themeColor="text1"/>
                <w:lang w:val="es-CO"/>
              </w:rPr>
              <w:t>6 años y 10 meses</w:t>
            </w:r>
          </w:p>
          <w:p w14:paraId="0EBD95EA" w14:textId="77777777" w:rsidR="00270C8A" w:rsidRPr="0009182C" w:rsidRDefault="00270C8A"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Relatoría vinculada: </w:t>
            </w:r>
            <w:r w:rsidRPr="0009182C">
              <w:rPr>
                <w:rFonts w:ascii="Cambria" w:eastAsia="Batang" w:hAnsi="Cambria"/>
                <w:bCs/>
                <w:color w:val="000000" w:themeColor="text1"/>
                <w:lang w:val="es-CO"/>
              </w:rPr>
              <w:t>Relatoría sobre los Derechos de la Niñez</w:t>
            </w:r>
          </w:p>
          <w:p w14:paraId="1A2CE87C" w14:textId="77777777" w:rsidR="00270C8A" w:rsidRPr="0009182C" w:rsidRDefault="00270C8A" w:rsidP="00B67A4A">
            <w:pPr>
              <w:spacing w:after="0" w:line="240" w:lineRule="auto"/>
              <w:jc w:val="both"/>
              <w:rPr>
                <w:rFonts w:ascii="Cambria" w:eastAsia="Batang" w:hAnsi="Cambria"/>
                <w:color w:val="000000" w:themeColor="text1"/>
                <w:lang w:val="es-CO"/>
              </w:rPr>
            </w:pPr>
            <w:r w:rsidRPr="0009182C">
              <w:rPr>
                <w:rFonts w:ascii="Cambria" w:eastAsia="Batang" w:hAnsi="Cambria"/>
                <w:b/>
                <w:color w:val="000000" w:themeColor="text1"/>
                <w:lang w:val="es-CO"/>
              </w:rPr>
              <w:t xml:space="preserve">Temas: </w:t>
            </w:r>
            <w:r w:rsidRPr="0009182C">
              <w:rPr>
                <w:rFonts w:ascii="Cambria" w:eastAsia="Batang" w:hAnsi="Cambria"/>
                <w:color w:val="000000" w:themeColor="text1"/>
                <w:lang w:val="es-CO"/>
              </w:rPr>
              <w:t>Derechos de niños, niñas y adolescentes / Protección judicial / Integridad personal</w:t>
            </w:r>
          </w:p>
          <w:p w14:paraId="47DF928C" w14:textId="77777777" w:rsidR="00270C8A" w:rsidRPr="0009182C" w:rsidRDefault="00270C8A" w:rsidP="00B67A4A">
            <w:pPr>
              <w:spacing w:after="0" w:line="240" w:lineRule="auto"/>
              <w:jc w:val="both"/>
              <w:rPr>
                <w:rFonts w:ascii="Cambria" w:eastAsia="Batang" w:hAnsi="Cambria"/>
                <w:b/>
                <w:color w:val="000000" w:themeColor="text1"/>
                <w:lang w:val="es-CO"/>
              </w:rPr>
            </w:pPr>
          </w:p>
          <w:p w14:paraId="6705D2DC" w14:textId="77777777" w:rsidR="00270C8A" w:rsidRPr="0009182C" w:rsidRDefault="00270C8A" w:rsidP="00B67A4A">
            <w:pPr>
              <w:spacing w:after="0" w:line="240" w:lineRule="auto"/>
              <w:jc w:val="both"/>
              <w:rPr>
                <w:rFonts w:ascii="Cambria" w:eastAsia="Batang" w:hAnsi="Cambria"/>
                <w:b/>
                <w:color w:val="000000" w:themeColor="text1"/>
                <w:lang w:val="es-CO"/>
              </w:rPr>
            </w:pPr>
            <w:r w:rsidRPr="0009182C">
              <w:rPr>
                <w:rFonts w:ascii="Cambria" w:eastAsia="Batang" w:hAnsi="Cambria"/>
                <w:b/>
                <w:color w:val="000000" w:themeColor="text1"/>
                <w:lang w:val="es-CO"/>
              </w:rPr>
              <w:t xml:space="preserve">Hechos: </w:t>
            </w:r>
            <w:r w:rsidRPr="0009182C">
              <w:rPr>
                <w:rFonts w:ascii="Cambria" w:eastAsia="Batang" w:hAnsi="Cambria"/>
                <w:bCs/>
                <w:color w:val="000000" w:themeColor="text1"/>
                <w:lang w:val="es-CO"/>
              </w:rPr>
              <w:t>Según los alegado por los peticionarios, el 20 de julio de 2002, el señor José Roberto Martínez se encontraría conduciendo un automóvil con su hijo Ronald Jared Martínez Velásquez y el hijo de un vecino, Marlón Fabricio Hernández Fúnez, de diez y cinco años de edad, respectivamente. Debido a que el peticionario habría conducido su vehículo en dirección contraria, miembros de una patrulla supuestamente integrada por un oficial de la Policía Nacional y cinco oficiales del Ejército habrían realizado seis disparos, impactando el vehículo del peticionario con cinco balas de calibre 5.56 en la parte trasera y una bala del mismo calibre en la ventana de la puerta derecha. Según la información proporcionada por la parte peticionaria, el señor Martínez fue detenido y llevado a la comisaría de Jutiapa, mientras que, debido a las heridas causadas a los niños en el tiroteo, habrían sido trasladados al Hospital Integrado de Atlántida. Con respecto a Ronald Jared Martínez, la peticionaria informó que habría sido "gravemente herido por un proyectil que le laceró el colon, el riñón derecho, las vértebras lumbares [...] y le afectó la médula espinal", dejándole una discapacidad permanente. En cuanto al niño Marlón Fabricio Hernández Fúnez, habría sido herido "en el abdomen por un proyectil, que lo dejó con una incapacidad temporal de veintiún días". La información proporcionada por el peticionario indica también que en el Hospital Integrado de Atlántida se habría presentado una denuncia contra uno de los oficiales del ejército involucrados en los hechos. Además, en cuanto al agotamiento de los recursos internos, el peticionario alegó que, aunque los agentes del Estado fueron los responsables de disparar a las presuntas víctimas, éstas seguirían en libertad. El peticionario indicó que desde la fecha en que ocurrieron los hechos el Estado no le habría proporcionado a su familia ninguna ayuda monetaria, salvo la donación de 15.000 lempiras realizada por la Primera Dama.</w:t>
            </w:r>
          </w:p>
          <w:p w14:paraId="65771F21" w14:textId="77777777" w:rsidR="00270C8A" w:rsidRPr="0009182C" w:rsidRDefault="00270C8A" w:rsidP="00B67A4A">
            <w:pPr>
              <w:spacing w:after="0" w:line="240" w:lineRule="auto"/>
              <w:jc w:val="both"/>
              <w:rPr>
                <w:rFonts w:ascii="Cambria" w:eastAsia="Batang" w:hAnsi="Cambria"/>
                <w:b/>
                <w:color w:val="000000" w:themeColor="text1"/>
                <w:lang w:val="es-CO"/>
              </w:rPr>
            </w:pPr>
          </w:p>
          <w:p w14:paraId="25F233B2" w14:textId="77777777" w:rsidR="00270C8A" w:rsidRPr="0009182C" w:rsidRDefault="00270C8A" w:rsidP="00B67A4A">
            <w:pPr>
              <w:autoSpaceDE w:val="0"/>
              <w:autoSpaceDN w:val="0"/>
              <w:adjustRightInd w:val="0"/>
              <w:spacing w:after="0" w:line="240" w:lineRule="auto"/>
              <w:jc w:val="both"/>
              <w:rPr>
                <w:rFonts w:ascii="Cambria" w:eastAsia="Batang" w:hAnsi="Cambria" w:cs="Cambria"/>
                <w:color w:val="000000" w:themeColor="text1"/>
                <w:lang w:val="es-CO" w:eastAsia="pt-BR"/>
              </w:rPr>
            </w:pPr>
            <w:r w:rsidRPr="0009182C">
              <w:rPr>
                <w:rFonts w:ascii="Cambria" w:eastAsia="Batang" w:hAnsi="Cambria"/>
                <w:b/>
                <w:color w:val="000000" w:themeColor="text1"/>
                <w:lang w:val="es-CO"/>
              </w:rPr>
              <w:t xml:space="preserve">Derechos declarados admisibles: </w:t>
            </w:r>
            <w:r w:rsidRPr="0009182C">
              <w:rPr>
                <w:rFonts w:ascii="Cambria" w:eastAsia="Batang" w:hAnsi="Cambria"/>
                <w:bCs/>
                <w:color w:val="000000" w:themeColor="text1"/>
                <w:lang w:val="es-CO"/>
              </w:rPr>
              <w:t>E</w:t>
            </w:r>
            <w:r w:rsidRPr="0009182C">
              <w:rPr>
                <w:rFonts w:ascii="Cambria" w:eastAsia="Batang" w:hAnsi="Cambria"/>
                <w:color w:val="000000" w:themeColor="text1"/>
                <w:lang w:val="es-CO"/>
              </w:rPr>
              <w:t xml:space="preserve">l 21 de julio de 2011, la Comisión emitió su Informe de Admisibilidad No. 56/14 declarando la admisibilidad de la petición por la posible violación de los artículos 5 (derecho a la integridad personal), 8 (garantías judiciales), 19 (derechos del niño) y </w:t>
            </w:r>
            <w:r w:rsidRPr="0009182C">
              <w:rPr>
                <w:rFonts w:ascii="Cambria" w:eastAsia="Batang" w:hAnsi="Cambria"/>
                <w:color w:val="000000" w:themeColor="text1"/>
                <w:lang w:val="es-CO"/>
              </w:rPr>
              <w:lastRenderedPageBreak/>
              <w:t>25 (protección judicial) de la Convención Americana sobre Derechos Humanos en relación con su artículo 1.1 (Obligación de respetar) del mismo instrumento.</w:t>
            </w:r>
          </w:p>
        </w:tc>
      </w:tr>
    </w:tbl>
    <w:p w14:paraId="79543788" w14:textId="77777777" w:rsidR="00270C8A" w:rsidRPr="0009182C" w:rsidRDefault="00270C8A" w:rsidP="00270C8A">
      <w:pPr>
        <w:spacing w:after="0" w:line="240" w:lineRule="auto"/>
        <w:contextualSpacing/>
        <w:jc w:val="both"/>
        <w:rPr>
          <w:rFonts w:ascii="Cambria" w:eastAsia="Batang" w:hAnsi="Cambria" w:cs="Calibri Light"/>
          <w:b/>
          <w:color w:val="080808"/>
          <w:lang w:val="es-CO"/>
        </w:rPr>
      </w:pPr>
    </w:p>
    <w:p w14:paraId="2EE34981" w14:textId="77777777" w:rsidR="00270C8A" w:rsidRPr="0009182C" w:rsidRDefault="00270C8A" w:rsidP="00270C8A">
      <w:pPr>
        <w:numPr>
          <w:ilvl w:val="0"/>
          <w:numId w:val="2"/>
        </w:numPr>
        <w:spacing w:after="0" w:line="240" w:lineRule="auto"/>
        <w:ind w:left="0" w:firstLine="72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60879F52" w14:textId="77777777" w:rsidR="00270C8A" w:rsidRPr="0009182C" w:rsidRDefault="00270C8A" w:rsidP="00270C8A">
      <w:pPr>
        <w:spacing w:after="0" w:line="240" w:lineRule="auto"/>
        <w:ind w:left="720"/>
        <w:contextualSpacing/>
        <w:rPr>
          <w:rFonts w:ascii="Cambria" w:eastAsia="Batang" w:hAnsi="Cambria"/>
          <w:b/>
          <w:color w:val="080808"/>
          <w:lang w:val="es-CO"/>
        </w:rPr>
      </w:pPr>
    </w:p>
    <w:p w14:paraId="4DF7F53D" w14:textId="77777777" w:rsidR="00270C8A" w:rsidRPr="0009182C" w:rsidRDefault="00270C8A" w:rsidP="00270C8A">
      <w:pPr>
        <w:numPr>
          <w:ilvl w:val="0"/>
          <w:numId w:val="3"/>
        </w:numPr>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color w:val="080808"/>
          <w:lang w:val="es-CO"/>
        </w:rPr>
        <w:t>La CIDH publicó el informe de homologación en fecha 5 de octubre de 2021, dando cuenta del cumplimiento total del acuerdo de solución amistosa y consecuentemente dispuso el cese de su supervisión y cierre del caso.</w:t>
      </w:r>
    </w:p>
    <w:p w14:paraId="3C8806F1" w14:textId="77777777" w:rsidR="00270C8A" w:rsidRPr="0009182C" w:rsidRDefault="00270C8A" w:rsidP="00270C8A">
      <w:pPr>
        <w:spacing w:after="0" w:line="240" w:lineRule="auto"/>
        <w:ind w:firstLine="720"/>
        <w:jc w:val="both"/>
        <w:rPr>
          <w:rFonts w:ascii="Cambria" w:eastAsia="Batang" w:hAnsi="Cambria" w:cs="Calibri Light"/>
          <w:b/>
          <w:color w:val="080808"/>
          <w:lang w:val="es-CO"/>
        </w:rPr>
      </w:pPr>
    </w:p>
    <w:p w14:paraId="497F26F7" w14:textId="77777777" w:rsidR="00270C8A" w:rsidRPr="0009182C" w:rsidRDefault="00270C8A" w:rsidP="00270C8A">
      <w:pPr>
        <w:pStyle w:val="ListParagraph"/>
        <w:numPr>
          <w:ilvl w:val="0"/>
          <w:numId w:val="2"/>
        </w:numPr>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ANÁLISIS DE CUMPLIMIENTO DE LAS CLÁUSULAS DEL ACUERDO DE SOLUCIÓN AMISTOSA</w:t>
      </w:r>
    </w:p>
    <w:p w14:paraId="2E069C49" w14:textId="77777777" w:rsidR="00270C8A" w:rsidRPr="0009182C" w:rsidRDefault="00270C8A" w:rsidP="00270C8A">
      <w:pPr>
        <w:spacing w:after="0" w:line="240" w:lineRule="auto"/>
        <w:rPr>
          <w:rFonts w:ascii="Cambria" w:eastAsia="Batang" w:hAnsi="Cambria"/>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270C8A" w:rsidRPr="0009182C" w14:paraId="12DEBC17" w14:textId="77777777" w:rsidTr="00B67A4A">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4EA66C18" w14:textId="77777777" w:rsidR="00270C8A" w:rsidRPr="0009182C" w:rsidRDefault="00270C8A" w:rsidP="00B67A4A">
            <w:pPr>
              <w:tabs>
                <w:tab w:val="center" w:pos="2049"/>
              </w:tabs>
              <w:spacing w:after="0" w:line="240" w:lineRule="auto"/>
              <w:jc w:val="center"/>
              <w:rPr>
                <w:rFonts w:ascii="Cambria" w:eastAsia="Batang" w:hAnsi="Cambria"/>
                <w:b/>
                <w:color w:val="080808"/>
                <w:lang w:val="es-CO"/>
              </w:rPr>
            </w:pPr>
            <w:r w:rsidRPr="0009182C">
              <w:rPr>
                <w:rFonts w:ascii="Cambria" w:eastAsia="Batang" w:hAnsi="Cambria"/>
                <w:b/>
                <w:color w:val="080808"/>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18DAACF" w14:textId="77777777" w:rsidR="00270C8A" w:rsidRPr="0009182C" w:rsidRDefault="00270C8A" w:rsidP="00B67A4A">
            <w:pPr>
              <w:spacing w:after="0" w:line="240" w:lineRule="auto"/>
              <w:jc w:val="center"/>
              <w:rPr>
                <w:rFonts w:ascii="Cambria" w:eastAsia="Batang" w:hAnsi="Cambria"/>
                <w:b/>
                <w:color w:val="080808"/>
                <w:lang w:val="es-CO"/>
              </w:rPr>
            </w:pPr>
            <w:r w:rsidRPr="0009182C">
              <w:rPr>
                <w:rFonts w:ascii="Cambria" w:eastAsia="Batang" w:hAnsi="Cambria"/>
                <w:b/>
                <w:color w:val="080808"/>
                <w:lang w:val="es-CO"/>
              </w:rPr>
              <w:t>Estado de Cumplimiento</w:t>
            </w:r>
          </w:p>
        </w:tc>
      </w:tr>
      <w:tr w:rsidR="00270C8A" w:rsidRPr="001873B5" w14:paraId="5D46B241" w14:textId="77777777" w:rsidTr="00B67A4A">
        <w:trPr>
          <w:trHeight w:val="269"/>
          <w:jc w:val="center"/>
        </w:trPr>
        <w:tc>
          <w:tcPr>
            <w:tcW w:w="9333" w:type="dxa"/>
            <w:gridSpan w:val="2"/>
            <w:tcBorders>
              <w:top w:val="single" w:sz="4" w:space="0" w:color="auto"/>
              <w:left w:val="single" w:sz="4" w:space="0" w:color="auto"/>
              <w:bottom w:val="single" w:sz="4" w:space="0" w:color="auto"/>
              <w:right w:val="single" w:sz="4" w:space="0" w:color="auto"/>
            </w:tcBorders>
            <w:vAlign w:val="center"/>
          </w:tcPr>
          <w:p w14:paraId="05E27F9F" w14:textId="77777777" w:rsidR="00270C8A" w:rsidRPr="0009182C" w:rsidRDefault="00270C8A" w:rsidP="00B67A4A">
            <w:pPr>
              <w:spacing w:after="0" w:line="240" w:lineRule="auto"/>
              <w:jc w:val="both"/>
              <w:rPr>
                <w:rFonts w:ascii="Cambria" w:eastAsia="Batang" w:hAnsi="Cambria"/>
                <w:b/>
                <w:color w:val="080808"/>
                <w:lang w:val="es-CO"/>
              </w:rPr>
            </w:pPr>
            <w:r w:rsidRPr="0009182C">
              <w:rPr>
                <w:rFonts w:ascii="Cambria" w:eastAsia="Batang" w:hAnsi="Cambria"/>
                <w:b/>
                <w:bCs/>
                <w:color w:val="000000"/>
                <w:lang w:val="es-CO"/>
              </w:rPr>
              <w:t>SEXTO: SATISFACCIÓN DE LOS PETICIONARIOS</w:t>
            </w:r>
          </w:p>
        </w:tc>
      </w:tr>
      <w:tr w:rsidR="00270C8A" w:rsidRPr="0009182C" w14:paraId="279C8831" w14:textId="77777777" w:rsidTr="00B67A4A">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7C3149FE" w14:textId="77777777" w:rsidR="00270C8A" w:rsidRPr="0009182C" w:rsidRDefault="00270C8A" w:rsidP="00B67A4A">
            <w:pPr>
              <w:spacing w:after="0" w:line="240" w:lineRule="auto"/>
              <w:jc w:val="both"/>
              <w:rPr>
                <w:rFonts w:ascii="Cambria" w:eastAsia="Batang" w:hAnsi="Cambria" w:cs="Calibri Light"/>
                <w:color w:val="000000"/>
                <w:lang w:val="es-CO"/>
              </w:rPr>
            </w:pPr>
            <w:r w:rsidRPr="0009182C">
              <w:rPr>
                <w:rFonts w:ascii="Cambria" w:eastAsia="Batang" w:hAnsi="Cambria" w:cs="Calibri Light"/>
                <w:color w:val="000000"/>
                <w:lang w:val="es-CO"/>
              </w:rPr>
              <w:t xml:space="preserve">La parte peticionaria considera que el cumplimiento de los compromisos de carácter económico asumidos mediante el presente acuerdo de solución amistosa implica la satisfacción total de sus pretensiones en el caso Ronald Jared Martínez y familia y Marlon Fabricio Hernández Fúnez (caso CIDH No. 12.960). </w:t>
            </w:r>
          </w:p>
          <w:p w14:paraId="09F08213" w14:textId="77777777" w:rsidR="00270C8A" w:rsidRPr="0009182C" w:rsidRDefault="00270C8A" w:rsidP="00B67A4A">
            <w:pPr>
              <w:spacing w:after="0" w:line="240" w:lineRule="auto"/>
              <w:jc w:val="both"/>
              <w:rPr>
                <w:rFonts w:ascii="Cambria" w:eastAsia="Batang" w:hAnsi="Cambria" w:cs="Calibri Light"/>
                <w:color w:val="000000"/>
                <w:lang w:val="es-CO"/>
              </w:rPr>
            </w:pPr>
            <w:r w:rsidRPr="0009182C">
              <w:rPr>
                <w:rFonts w:ascii="Cambria" w:eastAsia="Batang" w:hAnsi="Cambria" w:cs="Calibri Light"/>
                <w:color w:val="000000"/>
                <w:lang w:val="es-CO"/>
              </w:rPr>
              <w:t>El Estado de Honduras y los peticionarios reconocen y aceptan como valor de compensación la suma de [XXX]</w:t>
            </w:r>
            <w:r w:rsidRPr="0009182C">
              <w:rPr>
                <w:rStyle w:val="FootnoteReference"/>
                <w:rFonts w:ascii="Cambria" w:eastAsia="Batang" w:hAnsi="Cambria" w:cs="Calibri Light"/>
                <w:color w:val="000000"/>
                <w:lang w:val="es-CO"/>
              </w:rPr>
              <w:footnoteReference w:id="1"/>
            </w:r>
            <w:r w:rsidRPr="0009182C">
              <w:rPr>
                <w:rFonts w:ascii="Cambria" w:eastAsia="Batang" w:hAnsi="Cambria" w:cs="Calibri Light"/>
                <w:color w:val="000000"/>
                <w:lang w:val="es-CO"/>
              </w:rPr>
              <w:t xml:space="preserve">, distribuida de la siguiente manera: </w:t>
            </w:r>
          </w:p>
          <w:tbl>
            <w:tblPr>
              <w:tblW w:w="34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4"/>
              <w:gridCol w:w="1876"/>
              <w:gridCol w:w="1446"/>
            </w:tblGrid>
            <w:tr w:rsidR="00270C8A" w:rsidRPr="0009182C" w14:paraId="316888BB" w14:textId="77777777" w:rsidTr="00B67A4A">
              <w:trPr>
                <w:trHeight w:val="238"/>
                <w:jc w:val="center"/>
              </w:trPr>
              <w:tc>
                <w:tcPr>
                  <w:tcW w:w="1772" w:type="pct"/>
                  <w:tcBorders>
                    <w:top w:val="single" w:sz="4" w:space="0" w:color="000000"/>
                    <w:left w:val="single" w:sz="4" w:space="0" w:color="000000"/>
                    <w:bottom w:val="single" w:sz="4" w:space="0" w:color="000000"/>
                    <w:right w:val="single" w:sz="4" w:space="0" w:color="000000"/>
                  </w:tcBorders>
                  <w:vAlign w:val="center"/>
                  <w:hideMark/>
                </w:tcPr>
                <w:p w14:paraId="6ABABC7C" w14:textId="77777777" w:rsidR="00270C8A" w:rsidRPr="0009182C" w:rsidRDefault="00270C8A" w:rsidP="00B67A4A">
                  <w:pPr>
                    <w:spacing w:after="0" w:line="240" w:lineRule="auto"/>
                    <w:jc w:val="center"/>
                    <w:rPr>
                      <w:rFonts w:ascii="Cambria" w:eastAsia="Batang" w:hAnsi="Cambria" w:cs="Calibri Light"/>
                      <w:b/>
                      <w:bCs/>
                      <w:color w:val="000000"/>
                      <w:lang w:val="es-CO"/>
                    </w:rPr>
                  </w:pPr>
                  <w:r w:rsidRPr="0009182C">
                    <w:rPr>
                      <w:rFonts w:ascii="Cambria" w:eastAsia="Batang" w:hAnsi="Cambria" w:cs="Calibri Light"/>
                      <w:b/>
                      <w:bCs/>
                      <w:color w:val="000000"/>
                      <w:lang w:val="es-CO"/>
                    </w:rPr>
                    <w:t>BENEFICIARIO</w:t>
                  </w:r>
                </w:p>
              </w:tc>
              <w:tc>
                <w:tcPr>
                  <w:tcW w:w="1823" w:type="pct"/>
                  <w:tcBorders>
                    <w:top w:val="single" w:sz="4" w:space="0" w:color="000000"/>
                    <w:left w:val="single" w:sz="4" w:space="0" w:color="000000"/>
                    <w:bottom w:val="single" w:sz="4" w:space="0" w:color="000000"/>
                    <w:right w:val="single" w:sz="4" w:space="0" w:color="000000"/>
                  </w:tcBorders>
                  <w:vAlign w:val="center"/>
                  <w:hideMark/>
                </w:tcPr>
                <w:p w14:paraId="18DDD9FC" w14:textId="77777777" w:rsidR="00270C8A" w:rsidRPr="0009182C" w:rsidRDefault="00270C8A" w:rsidP="00B67A4A">
                  <w:pPr>
                    <w:spacing w:after="0" w:line="240" w:lineRule="auto"/>
                    <w:jc w:val="center"/>
                    <w:rPr>
                      <w:rFonts w:ascii="Cambria" w:eastAsia="Batang" w:hAnsi="Cambria" w:cs="Calibri Light"/>
                      <w:b/>
                      <w:bCs/>
                      <w:color w:val="000000"/>
                      <w:lang w:val="es-CO"/>
                    </w:rPr>
                  </w:pPr>
                  <w:r w:rsidRPr="0009182C">
                    <w:rPr>
                      <w:rFonts w:ascii="Cambria" w:eastAsia="Batang" w:hAnsi="Cambria" w:cs="Calibri Light"/>
                      <w:b/>
                      <w:bCs/>
                      <w:color w:val="000000"/>
                      <w:lang w:val="es-CO"/>
                    </w:rPr>
                    <w:t>CONCEPTO</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12005278" w14:textId="77777777" w:rsidR="00270C8A" w:rsidRPr="0009182C" w:rsidRDefault="00270C8A" w:rsidP="00B67A4A">
                  <w:pPr>
                    <w:spacing w:after="0" w:line="240" w:lineRule="auto"/>
                    <w:jc w:val="center"/>
                    <w:rPr>
                      <w:rFonts w:ascii="Cambria" w:eastAsia="Batang" w:hAnsi="Cambria" w:cs="Calibri Light"/>
                      <w:b/>
                      <w:bCs/>
                      <w:color w:val="000000"/>
                      <w:lang w:val="es-CO"/>
                    </w:rPr>
                  </w:pPr>
                  <w:r w:rsidRPr="0009182C">
                    <w:rPr>
                      <w:rFonts w:ascii="Cambria" w:eastAsia="Batang" w:hAnsi="Cambria" w:cs="Calibri Light"/>
                      <w:b/>
                      <w:bCs/>
                      <w:color w:val="000000"/>
                      <w:lang w:val="es-CO"/>
                    </w:rPr>
                    <w:t>CANTIDAD</w:t>
                  </w:r>
                </w:p>
              </w:tc>
            </w:tr>
            <w:tr w:rsidR="00270C8A" w:rsidRPr="001873B5" w14:paraId="5AF72703" w14:textId="77777777" w:rsidTr="00B67A4A">
              <w:trPr>
                <w:trHeight w:val="1173"/>
                <w:jc w:val="center"/>
              </w:trPr>
              <w:tc>
                <w:tcPr>
                  <w:tcW w:w="1772" w:type="pct"/>
                  <w:tcBorders>
                    <w:top w:val="single" w:sz="4" w:space="0" w:color="000000"/>
                    <w:left w:val="single" w:sz="4" w:space="0" w:color="000000"/>
                    <w:bottom w:val="single" w:sz="4" w:space="0" w:color="000000"/>
                    <w:right w:val="single" w:sz="4" w:space="0" w:color="000000"/>
                  </w:tcBorders>
                  <w:vAlign w:val="center"/>
                  <w:hideMark/>
                </w:tcPr>
                <w:p w14:paraId="12523E2F"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José Roberto Martínez Raudales</w:t>
                  </w:r>
                </w:p>
              </w:tc>
              <w:tc>
                <w:tcPr>
                  <w:tcW w:w="1823" w:type="pct"/>
                  <w:tcBorders>
                    <w:top w:val="single" w:sz="4" w:space="0" w:color="000000"/>
                    <w:left w:val="single" w:sz="4" w:space="0" w:color="000000"/>
                    <w:bottom w:val="single" w:sz="4" w:space="0" w:color="000000"/>
                    <w:right w:val="single" w:sz="4" w:space="0" w:color="000000"/>
                  </w:tcBorders>
                  <w:vAlign w:val="center"/>
                  <w:hideMark/>
                </w:tcPr>
                <w:p w14:paraId="78285927"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Compensación por daños y restitución</w:t>
                  </w:r>
                </w:p>
                <w:p w14:paraId="3EF12355"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de gastos causados</w:t>
                  </w:r>
                </w:p>
                <w:p w14:paraId="43E53897"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por las heridas de</w:t>
                  </w:r>
                </w:p>
                <w:p w14:paraId="4BB8C1FC"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su hijo Ronald Jared Martínez Velásquez.</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09F6C52E"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[XXX]</w:t>
                  </w:r>
                </w:p>
              </w:tc>
            </w:tr>
            <w:tr w:rsidR="00270C8A" w:rsidRPr="001873B5" w14:paraId="1176C229" w14:textId="77777777" w:rsidTr="00B67A4A">
              <w:trPr>
                <w:trHeight w:val="467"/>
                <w:jc w:val="center"/>
              </w:trPr>
              <w:tc>
                <w:tcPr>
                  <w:tcW w:w="1772" w:type="pct"/>
                  <w:tcBorders>
                    <w:top w:val="single" w:sz="4" w:space="0" w:color="000000"/>
                    <w:left w:val="single" w:sz="4" w:space="0" w:color="000000"/>
                    <w:bottom w:val="single" w:sz="4" w:space="0" w:color="000000"/>
                    <w:right w:val="single" w:sz="4" w:space="0" w:color="000000"/>
                  </w:tcBorders>
                  <w:vAlign w:val="center"/>
                  <w:hideMark/>
                </w:tcPr>
                <w:p w14:paraId="56A08BDC"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Ronald Jared Martinez</w:t>
                  </w:r>
                </w:p>
                <w:p w14:paraId="682254BB"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Velasquez</w:t>
                  </w:r>
                </w:p>
              </w:tc>
              <w:tc>
                <w:tcPr>
                  <w:tcW w:w="1823" w:type="pct"/>
                  <w:tcBorders>
                    <w:top w:val="single" w:sz="4" w:space="0" w:color="000000"/>
                    <w:left w:val="single" w:sz="4" w:space="0" w:color="000000"/>
                    <w:bottom w:val="single" w:sz="4" w:space="0" w:color="000000"/>
                    <w:right w:val="single" w:sz="4" w:space="0" w:color="000000"/>
                  </w:tcBorders>
                  <w:vAlign w:val="center"/>
                  <w:hideMark/>
                </w:tcPr>
                <w:p w14:paraId="081973A9"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Indemnización</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5376D92F"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[XXX]</w:t>
                  </w:r>
                </w:p>
              </w:tc>
            </w:tr>
            <w:tr w:rsidR="00270C8A" w:rsidRPr="001873B5" w14:paraId="1BCAAA59" w14:textId="77777777" w:rsidTr="00B67A4A">
              <w:trPr>
                <w:trHeight w:val="762"/>
                <w:jc w:val="center"/>
              </w:trPr>
              <w:tc>
                <w:tcPr>
                  <w:tcW w:w="1772" w:type="pct"/>
                  <w:tcBorders>
                    <w:top w:val="single" w:sz="4" w:space="0" w:color="000000"/>
                    <w:left w:val="single" w:sz="4" w:space="0" w:color="000000"/>
                    <w:bottom w:val="single" w:sz="4" w:space="0" w:color="000000"/>
                    <w:right w:val="single" w:sz="4" w:space="0" w:color="000000"/>
                  </w:tcBorders>
                  <w:vAlign w:val="center"/>
                  <w:hideMark/>
                </w:tcPr>
                <w:p w14:paraId="14034975"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Marlon Fabricio Hernández</w:t>
                  </w:r>
                </w:p>
                <w:p w14:paraId="5D25C792"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Fúnez</w:t>
                  </w:r>
                </w:p>
              </w:tc>
              <w:tc>
                <w:tcPr>
                  <w:tcW w:w="1823" w:type="pct"/>
                  <w:tcBorders>
                    <w:top w:val="single" w:sz="4" w:space="0" w:color="000000"/>
                    <w:left w:val="single" w:sz="4" w:space="0" w:color="000000"/>
                    <w:bottom w:val="single" w:sz="4" w:space="0" w:color="000000"/>
                    <w:right w:val="single" w:sz="4" w:space="0" w:color="000000"/>
                  </w:tcBorders>
                  <w:vAlign w:val="center"/>
                  <w:hideMark/>
                </w:tcPr>
                <w:p w14:paraId="0D66237A"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Indemnización</w:t>
                  </w: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226BC754"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[XXX]</w:t>
                  </w:r>
                </w:p>
              </w:tc>
            </w:tr>
            <w:tr w:rsidR="00270C8A" w:rsidRPr="001873B5" w14:paraId="39CEE87D" w14:textId="77777777" w:rsidTr="00B67A4A">
              <w:trPr>
                <w:trHeight w:val="75"/>
                <w:jc w:val="center"/>
              </w:trPr>
              <w:tc>
                <w:tcPr>
                  <w:tcW w:w="1772" w:type="pct"/>
                  <w:tcBorders>
                    <w:top w:val="single" w:sz="4" w:space="0" w:color="000000"/>
                    <w:left w:val="single" w:sz="4" w:space="0" w:color="000000"/>
                    <w:bottom w:val="single" w:sz="4" w:space="0" w:color="000000"/>
                    <w:right w:val="single" w:sz="4" w:space="0" w:color="000000"/>
                  </w:tcBorders>
                  <w:vAlign w:val="center"/>
                </w:tcPr>
                <w:p w14:paraId="48F5E116" w14:textId="77777777" w:rsidR="00270C8A" w:rsidRPr="0009182C" w:rsidRDefault="00270C8A" w:rsidP="00B67A4A">
                  <w:pPr>
                    <w:spacing w:after="0" w:line="240" w:lineRule="auto"/>
                    <w:rPr>
                      <w:rFonts w:ascii="Cambria" w:eastAsia="Batang" w:hAnsi="Cambria" w:cs="Calibri Light"/>
                      <w:color w:val="000000"/>
                      <w:lang w:val="es-CO"/>
                    </w:rPr>
                  </w:pPr>
                </w:p>
              </w:tc>
              <w:tc>
                <w:tcPr>
                  <w:tcW w:w="1823" w:type="pct"/>
                  <w:tcBorders>
                    <w:top w:val="single" w:sz="4" w:space="0" w:color="000000"/>
                    <w:left w:val="single" w:sz="4" w:space="0" w:color="000000"/>
                    <w:bottom w:val="single" w:sz="4" w:space="0" w:color="000000"/>
                    <w:right w:val="single" w:sz="4" w:space="0" w:color="000000"/>
                  </w:tcBorders>
                  <w:vAlign w:val="center"/>
                  <w:hideMark/>
                </w:tcPr>
                <w:p w14:paraId="1BC8F125" w14:textId="77777777" w:rsidR="00270C8A" w:rsidRPr="0009182C" w:rsidRDefault="00270C8A" w:rsidP="00B67A4A">
                  <w:pPr>
                    <w:spacing w:after="0" w:line="240" w:lineRule="auto"/>
                    <w:rPr>
                      <w:rFonts w:ascii="Cambria" w:eastAsia="Batang" w:hAnsi="Cambria" w:cs="Calibri Light"/>
                      <w:b/>
                      <w:bCs/>
                      <w:color w:val="000000"/>
                      <w:lang w:val="es-CO"/>
                    </w:rPr>
                  </w:pPr>
                  <w:r w:rsidRPr="0009182C">
                    <w:rPr>
                      <w:rFonts w:ascii="Cambria" w:eastAsia="Batang" w:hAnsi="Cambria" w:cs="Calibri Light"/>
                      <w:b/>
                      <w:bCs/>
                      <w:color w:val="000000"/>
                      <w:lang w:val="es-CO"/>
                    </w:rPr>
                    <w:t xml:space="preserve">TOTAL </w:t>
                  </w:r>
                  <w:r w:rsidRPr="0009182C">
                    <w:rPr>
                      <w:rFonts w:ascii="Cambria" w:eastAsia="Batang" w:hAnsi="Cambria" w:cs="Calibri Light"/>
                      <w:b/>
                      <w:bCs/>
                      <w:color w:val="000000"/>
                      <w:lang w:val="es-CO"/>
                    </w:rPr>
                    <w:br/>
                  </w:r>
                </w:p>
                <w:p w14:paraId="06D7DE5A" w14:textId="77777777" w:rsidR="00270C8A" w:rsidRPr="0009182C" w:rsidRDefault="00270C8A" w:rsidP="00B67A4A">
                  <w:pPr>
                    <w:spacing w:after="0" w:line="240" w:lineRule="auto"/>
                    <w:rPr>
                      <w:rFonts w:ascii="Cambria" w:eastAsia="Batang" w:hAnsi="Cambria" w:cs="Calibri Light"/>
                      <w:b/>
                      <w:bCs/>
                      <w:color w:val="000000"/>
                      <w:lang w:val="es-CO"/>
                    </w:rPr>
                  </w:pPr>
                </w:p>
              </w:tc>
              <w:tc>
                <w:tcPr>
                  <w:tcW w:w="1405" w:type="pct"/>
                  <w:tcBorders>
                    <w:top w:val="single" w:sz="4" w:space="0" w:color="000000"/>
                    <w:left w:val="single" w:sz="4" w:space="0" w:color="000000"/>
                    <w:bottom w:val="single" w:sz="4" w:space="0" w:color="000000"/>
                    <w:right w:val="single" w:sz="4" w:space="0" w:color="000000"/>
                  </w:tcBorders>
                  <w:vAlign w:val="center"/>
                  <w:hideMark/>
                </w:tcPr>
                <w:p w14:paraId="2279E83B" w14:textId="77777777" w:rsidR="00270C8A" w:rsidRPr="0009182C" w:rsidRDefault="00270C8A" w:rsidP="00B67A4A">
                  <w:pPr>
                    <w:spacing w:after="0" w:line="240" w:lineRule="auto"/>
                    <w:rPr>
                      <w:rFonts w:ascii="Cambria" w:eastAsia="Batang" w:hAnsi="Cambria" w:cs="Calibri Light"/>
                      <w:color w:val="000000"/>
                      <w:lang w:val="es-CO"/>
                    </w:rPr>
                  </w:pPr>
                  <w:r w:rsidRPr="0009182C">
                    <w:rPr>
                      <w:rFonts w:ascii="Cambria" w:eastAsia="Batang" w:hAnsi="Cambria" w:cs="Calibri Light"/>
                      <w:color w:val="000000"/>
                      <w:lang w:val="es-CO"/>
                    </w:rPr>
                    <w:t>[XXX]</w:t>
                  </w:r>
                </w:p>
              </w:tc>
            </w:tr>
          </w:tbl>
          <w:p w14:paraId="51B9E112" w14:textId="77777777" w:rsidR="00270C8A" w:rsidRPr="0009182C" w:rsidRDefault="00270C8A" w:rsidP="00B67A4A">
            <w:pPr>
              <w:spacing w:after="0" w:line="240" w:lineRule="auto"/>
              <w:jc w:val="both"/>
              <w:rPr>
                <w:rFonts w:ascii="Cambria" w:eastAsia="Batang" w:hAnsi="Cambria" w:cs="Calibri Light"/>
                <w:color w:val="000000"/>
                <w:lang w:val="es-CO"/>
              </w:rPr>
            </w:pPr>
          </w:p>
          <w:p w14:paraId="62FC4B53" w14:textId="77777777" w:rsidR="00270C8A" w:rsidRPr="0009182C" w:rsidRDefault="00270C8A" w:rsidP="00B67A4A">
            <w:pPr>
              <w:spacing w:after="0" w:line="240" w:lineRule="auto"/>
              <w:jc w:val="both"/>
              <w:rPr>
                <w:rFonts w:ascii="Cambria" w:eastAsia="Times New Roman" w:hAnsi="Cambria"/>
                <w:color w:val="080808"/>
                <w:lang w:val="es-CO"/>
              </w:rPr>
            </w:pPr>
            <w:r w:rsidRPr="0009182C">
              <w:rPr>
                <w:rFonts w:ascii="Cambria" w:eastAsia="Batang" w:hAnsi="Cambria" w:cs="Calibri Light"/>
                <w:color w:val="000000"/>
                <w:lang w:val="es-CO"/>
              </w:rPr>
              <w:t>El monto en la forma enunciada se efectuará en un solo pago a los peticionarios que han decidido acogerse al presente acuerdo.</w:t>
            </w:r>
          </w:p>
        </w:tc>
        <w:tc>
          <w:tcPr>
            <w:tcW w:w="1701" w:type="dxa"/>
            <w:tcBorders>
              <w:top w:val="single" w:sz="4" w:space="0" w:color="auto"/>
              <w:left w:val="single" w:sz="4" w:space="0" w:color="auto"/>
              <w:bottom w:val="single" w:sz="4" w:space="0" w:color="auto"/>
              <w:right w:val="single" w:sz="4" w:space="0" w:color="auto"/>
            </w:tcBorders>
            <w:vAlign w:val="center"/>
          </w:tcPr>
          <w:p w14:paraId="03E29C8D" w14:textId="77777777" w:rsidR="00270C8A" w:rsidRPr="0009182C" w:rsidRDefault="00270C8A" w:rsidP="00B67A4A">
            <w:pPr>
              <w:spacing w:after="0" w:line="240" w:lineRule="auto"/>
              <w:jc w:val="center"/>
              <w:rPr>
                <w:rFonts w:ascii="Cambria" w:eastAsia="Batang" w:hAnsi="Cambria"/>
                <w:b/>
                <w:color w:val="080808"/>
                <w:lang w:val="es-CO"/>
              </w:rPr>
            </w:pPr>
            <w:r w:rsidRPr="0009182C">
              <w:rPr>
                <w:rFonts w:ascii="Cambria" w:eastAsia="Batang" w:hAnsi="Cambria"/>
                <w:b/>
                <w:color w:val="000000"/>
                <w:lang w:val="es-CO"/>
              </w:rPr>
              <w:t>Total</w:t>
            </w:r>
            <w:r w:rsidRPr="0009182C">
              <w:rPr>
                <w:rFonts w:ascii="Cambria" w:eastAsia="Batang" w:hAnsi="Cambria"/>
                <w:b/>
                <w:color w:val="000000"/>
                <w:vertAlign w:val="superscript"/>
                <w:lang w:val="es-CO"/>
              </w:rPr>
              <w:footnoteReference w:id="2"/>
            </w:r>
          </w:p>
        </w:tc>
      </w:tr>
    </w:tbl>
    <w:p w14:paraId="3B2197C4" w14:textId="77777777" w:rsidR="00270C8A" w:rsidRPr="0009182C" w:rsidRDefault="00270C8A" w:rsidP="00270C8A">
      <w:pPr>
        <w:autoSpaceDE w:val="0"/>
        <w:autoSpaceDN w:val="0"/>
        <w:adjustRightInd w:val="0"/>
        <w:spacing w:after="0" w:line="240" w:lineRule="auto"/>
        <w:ind w:left="720"/>
        <w:jc w:val="both"/>
        <w:rPr>
          <w:rFonts w:ascii="Cambria" w:eastAsia="Batang" w:hAnsi="Cambria" w:cs="Calibri Light"/>
          <w:b/>
          <w:color w:val="080808"/>
          <w:lang w:val="es-CO"/>
        </w:rPr>
        <w:sectPr w:rsidR="00270C8A" w:rsidRPr="0009182C" w:rsidSect="008E0DEF">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12C81D7C" w14:textId="77777777" w:rsidR="00270C8A" w:rsidRPr="0009182C" w:rsidRDefault="00270C8A" w:rsidP="00270C8A">
      <w:pPr>
        <w:numPr>
          <w:ilvl w:val="0"/>
          <w:numId w:val="2"/>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lastRenderedPageBreak/>
        <w:t>NIVEL DE CUMPLIMIENTO DEL CASO</w:t>
      </w:r>
    </w:p>
    <w:p w14:paraId="221FEB60" w14:textId="77777777" w:rsidR="00270C8A" w:rsidRPr="0009182C" w:rsidRDefault="00270C8A" w:rsidP="00270C8A">
      <w:pPr>
        <w:autoSpaceDE w:val="0"/>
        <w:autoSpaceDN w:val="0"/>
        <w:adjustRightInd w:val="0"/>
        <w:spacing w:after="0" w:line="240" w:lineRule="auto"/>
        <w:ind w:firstLine="720"/>
        <w:jc w:val="both"/>
        <w:rPr>
          <w:rFonts w:ascii="Cambria" w:eastAsia="Batang" w:hAnsi="Cambria" w:cs="Calibri Light"/>
          <w:b/>
          <w:color w:val="080808"/>
          <w:lang w:val="es-CO"/>
        </w:rPr>
      </w:pPr>
    </w:p>
    <w:p w14:paraId="3D9586BC" w14:textId="77777777" w:rsidR="00270C8A" w:rsidRPr="0009182C" w:rsidRDefault="00270C8A" w:rsidP="00270C8A">
      <w:pPr>
        <w:pStyle w:val="ListParagraph"/>
        <w:numPr>
          <w:ilvl w:val="0"/>
          <w:numId w:val="3"/>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hAnsi="Cambria"/>
          <w:color w:val="080808"/>
          <w:lang w:val="es-CO"/>
        </w:rPr>
        <w:t>La Comisión declaró el cumplimiento total del asunto y el cese del seguimiento del acuerdo de solución amistosa en el Informe de Homologación 269/21.</w:t>
      </w:r>
    </w:p>
    <w:p w14:paraId="2C5EB15D" w14:textId="77777777" w:rsidR="00270C8A" w:rsidRPr="0009182C" w:rsidRDefault="00270C8A" w:rsidP="00270C8A">
      <w:pPr>
        <w:spacing w:after="0" w:line="240" w:lineRule="auto"/>
        <w:ind w:firstLine="720"/>
        <w:jc w:val="both"/>
        <w:rPr>
          <w:rFonts w:ascii="Cambria" w:eastAsia="Batang" w:hAnsi="Cambria" w:cs="Calibri Light"/>
          <w:b/>
          <w:color w:val="080808"/>
          <w:lang w:val="es-CO"/>
        </w:rPr>
      </w:pPr>
    </w:p>
    <w:p w14:paraId="47C7192C" w14:textId="77777777" w:rsidR="00270C8A" w:rsidRPr="0009182C" w:rsidRDefault="00270C8A" w:rsidP="00270C8A">
      <w:pPr>
        <w:numPr>
          <w:ilvl w:val="0"/>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3C1D8566" w14:textId="77777777" w:rsidR="00270C8A" w:rsidRPr="0009182C" w:rsidRDefault="00270C8A" w:rsidP="00270C8A">
      <w:pPr>
        <w:spacing w:after="0" w:line="240" w:lineRule="auto"/>
        <w:ind w:left="720"/>
        <w:contextualSpacing/>
        <w:jc w:val="both"/>
        <w:rPr>
          <w:rFonts w:ascii="Cambria" w:eastAsia="Batang" w:hAnsi="Cambria" w:cs="Calibri Light"/>
          <w:b/>
          <w:color w:val="080808"/>
          <w:lang w:val="es-CO"/>
        </w:rPr>
      </w:pPr>
    </w:p>
    <w:p w14:paraId="539380C8" w14:textId="77777777" w:rsidR="00270C8A" w:rsidRPr="0009182C" w:rsidRDefault="00270C8A" w:rsidP="00270C8A">
      <w:pPr>
        <w:numPr>
          <w:ilvl w:val="1"/>
          <w:numId w:val="2"/>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Resultados individuales del caso</w:t>
      </w:r>
    </w:p>
    <w:p w14:paraId="5CC0539E" w14:textId="77777777" w:rsidR="00270C8A" w:rsidRPr="0009182C" w:rsidRDefault="00270C8A" w:rsidP="00270C8A">
      <w:pPr>
        <w:spacing w:after="0" w:line="240" w:lineRule="auto"/>
        <w:ind w:left="1440" w:hanging="720"/>
        <w:contextualSpacing/>
        <w:jc w:val="both"/>
        <w:rPr>
          <w:rFonts w:ascii="Cambria" w:eastAsia="Batang" w:hAnsi="Cambria" w:cs="Calibri Light"/>
          <w:b/>
          <w:color w:val="080808"/>
          <w:lang w:val="es-CO"/>
        </w:rPr>
      </w:pPr>
    </w:p>
    <w:p w14:paraId="43EF92BC" w14:textId="7332EF00" w:rsidR="00730587" w:rsidRPr="00270C8A" w:rsidRDefault="00270C8A" w:rsidP="00270C8A">
      <w:pPr>
        <w:numPr>
          <w:ilvl w:val="0"/>
          <w:numId w:val="1"/>
        </w:numPr>
        <w:autoSpaceDE w:val="0"/>
        <w:autoSpaceDN w:val="0"/>
        <w:adjustRightInd w:val="0"/>
        <w:spacing w:after="0" w:line="240" w:lineRule="auto"/>
        <w:ind w:left="1440" w:hanging="720"/>
        <w:contextualSpacing/>
        <w:jc w:val="both"/>
        <w:rPr>
          <w:lang w:val="es-CO"/>
        </w:rPr>
      </w:pPr>
      <w:r w:rsidRPr="00270C8A">
        <w:rPr>
          <w:rFonts w:ascii="Cambria" w:eastAsia="Batang" w:hAnsi="Cambria" w:cs="Calibri Light"/>
          <w:color w:val="080808"/>
          <w:lang w:val="es-CO"/>
        </w:rPr>
        <w:t>El Estado</w:t>
      </w:r>
      <w:r w:rsidRPr="00270C8A">
        <w:rPr>
          <w:rFonts w:ascii="Cambria" w:hAnsi="Cambria"/>
          <w:color w:val="080808"/>
          <w:lang w:val="es-CO"/>
        </w:rPr>
        <w:t xml:space="preserve"> </w:t>
      </w:r>
      <w:r w:rsidRPr="00270C8A">
        <w:rPr>
          <w:rFonts w:ascii="Cambria" w:eastAsia="Batang" w:hAnsi="Cambria"/>
          <w:color w:val="000000"/>
          <w:lang w:val="es-CO"/>
        </w:rPr>
        <w:t>realizó un pago según los importes de las compensaciones económicas indicadas en el acuerdo amistoso.</w:t>
      </w:r>
    </w:p>
    <w:sectPr w:rsidR="00730587" w:rsidRPr="00270C8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778B" w14:textId="77777777" w:rsidR="00270C8A" w:rsidRDefault="00270C8A" w:rsidP="00270C8A">
      <w:pPr>
        <w:spacing w:after="0" w:line="240" w:lineRule="auto"/>
      </w:pPr>
      <w:r>
        <w:separator/>
      </w:r>
    </w:p>
  </w:endnote>
  <w:endnote w:type="continuationSeparator" w:id="0">
    <w:p w14:paraId="6D27A1ED" w14:textId="77777777" w:rsidR="00270C8A" w:rsidRDefault="00270C8A" w:rsidP="0027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5FEB" w14:textId="77777777" w:rsidR="00270C8A" w:rsidRPr="00A72869" w:rsidRDefault="00270C8A">
    <w:pPr>
      <w:pStyle w:val="Footer"/>
      <w:jc w:val="center"/>
      <w:rPr>
        <w:color w:val="7F7F7F"/>
        <w:sz w:val="16"/>
      </w:rPr>
    </w:pPr>
  </w:p>
  <w:p w14:paraId="074D842E" w14:textId="77777777" w:rsidR="00270C8A" w:rsidRDefault="0027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FE3A" w14:textId="77777777" w:rsidR="00270C8A" w:rsidRDefault="00DD2331" w:rsidP="00270C8A">
    <w:pPr>
      <w:pStyle w:val="Footer"/>
      <w:spacing w:line="360" w:lineRule="auto"/>
      <w:jc w:val="right"/>
    </w:pPr>
    <w:bookmarkStart w:id="16" w:name="_Hlk129090884"/>
    <w:bookmarkStart w:id="17" w:name="_Hlk129090885"/>
    <w:bookmarkStart w:id="18" w:name="_Hlk129091044"/>
    <w:bookmarkStart w:id="19" w:name="_Hlk129091045"/>
    <w:bookmarkStart w:id="20" w:name="_Hlk129091049"/>
    <w:bookmarkStart w:id="21" w:name="_Hlk129091050"/>
    <w:r>
      <w:pict w14:anchorId="5C45504C">
        <v:rect id="_x0000_i1027" style="width:0;height:1.5pt" o:hralign="center" o:hrstd="t" o:hr="t" fillcolor="#a0a0a0" stroked="f"/>
      </w:pict>
    </w:r>
  </w:p>
  <w:p w14:paraId="746CE729" w14:textId="5D02C2D9" w:rsidR="00270C8A" w:rsidRDefault="00270C8A" w:rsidP="00270C8A">
    <w:pPr>
      <w:pStyle w:val="Footer"/>
      <w:jc w:val="center"/>
    </w:pPr>
    <w:r w:rsidRPr="008A5CB5">
      <w:rPr>
        <w:noProof/>
      </w:rPr>
      <w:drawing>
        <wp:inline distT="0" distB="0" distL="0" distR="0" wp14:anchorId="6A2664C0" wp14:editId="2165E4AF">
          <wp:extent cx="5114925" cy="323850"/>
          <wp:effectExtent l="0" t="0" r="9525" b="0"/>
          <wp:docPr id="4" name="Picture 4"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23850"/>
                  </a:xfrm>
                  <a:prstGeom prst="rect">
                    <a:avLst/>
                  </a:prstGeom>
                  <a:noFill/>
                  <a:ln>
                    <a:noFill/>
                  </a:ln>
                </pic:spPr>
              </pic:pic>
            </a:graphicData>
          </a:graphic>
        </wp:inline>
      </w:drawing>
    </w:r>
    <w:bookmarkEnd w:id="16"/>
    <w:bookmarkEnd w:id="17"/>
    <w:bookmarkEnd w:id="18"/>
    <w:bookmarkEnd w:id="19"/>
    <w:bookmarkEnd w:id="20"/>
    <w:bookmarkEnd w:id="21"/>
  </w:p>
  <w:p w14:paraId="65F0A70B" w14:textId="77777777" w:rsidR="00270C8A" w:rsidRDefault="00270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44AC" w14:textId="77777777" w:rsidR="00270C8A" w:rsidRPr="00A72869" w:rsidRDefault="00270C8A">
    <w:pPr>
      <w:pStyle w:val="Footer"/>
      <w:jc w:val="center"/>
      <w:rPr>
        <w:color w:val="7F7F7F"/>
        <w:sz w:val="16"/>
      </w:rPr>
    </w:pPr>
  </w:p>
  <w:p w14:paraId="05324544" w14:textId="77777777" w:rsidR="00270C8A" w:rsidRDefault="00270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4252" w14:textId="77777777" w:rsidR="00270C8A" w:rsidRDefault="00270C8A" w:rsidP="00270C8A">
      <w:pPr>
        <w:spacing w:after="0" w:line="240" w:lineRule="auto"/>
      </w:pPr>
      <w:r>
        <w:separator/>
      </w:r>
    </w:p>
  </w:footnote>
  <w:footnote w:type="continuationSeparator" w:id="0">
    <w:p w14:paraId="5E8E121F" w14:textId="77777777" w:rsidR="00270C8A" w:rsidRDefault="00270C8A" w:rsidP="00270C8A">
      <w:pPr>
        <w:spacing w:after="0" w:line="240" w:lineRule="auto"/>
      </w:pPr>
      <w:r>
        <w:continuationSeparator/>
      </w:r>
    </w:p>
  </w:footnote>
  <w:footnote w:id="1">
    <w:p w14:paraId="239E49F3" w14:textId="77777777" w:rsidR="00270C8A" w:rsidRPr="00254A60" w:rsidRDefault="00270C8A" w:rsidP="00270C8A">
      <w:pPr>
        <w:pStyle w:val="FootnoteText"/>
        <w:spacing w:after="0" w:line="240" w:lineRule="auto"/>
        <w:ind w:firstLine="720"/>
        <w:jc w:val="both"/>
        <w:rPr>
          <w:rFonts w:ascii="Cambria" w:hAnsi="Cambria"/>
          <w:sz w:val="16"/>
          <w:szCs w:val="16"/>
          <w:lang w:val="es-US"/>
        </w:rPr>
      </w:pPr>
      <w:r w:rsidRPr="00254A60">
        <w:rPr>
          <w:rStyle w:val="FootnoteReference"/>
          <w:rFonts w:ascii="Cambria" w:hAnsi="Cambria"/>
          <w:sz w:val="16"/>
          <w:szCs w:val="16"/>
        </w:rPr>
        <w:footnoteRef/>
      </w:r>
      <w:r w:rsidRPr="00254A60">
        <w:rPr>
          <w:rFonts w:ascii="Cambria" w:hAnsi="Cambria"/>
          <w:sz w:val="16"/>
          <w:szCs w:val="16"/>
          <w:lang w:val="es-US"/>
        </w:rPr>
        <w:t xml:space="preserve"> La Comisión reserva los montos de compensación económica pactados según lo dispuesto en la cláusula novena del acuerdo de solución amistosa.</w:t>
      </w:r>
    </w:p>
  </w:footnote>
  <w:footnote w:id="2">
    <w:p w14:paraId="0A87C320" w14:textId="77777777" w:rsidR="00270C8A" w:rsidRPr="00254A60" w:rsidRDefault="00270C8A" w:rsidP="00270C8A">
      <w:pPr>
        <w:pStyle w:val="NormalWeb"/>
        <w:spacing w:before="0" w:beforeAutospacing="0" w:after="0" w:afterAutospacing="0"/>
        <w:ind w:firstLine="709"/>
        <w:jc w:val="both"/>
        <w:rPr>
          <w:rFonts w:ascii="Cambria" w:hAnsi="Cambria"/>
          <w:sz w:val="16"/>
          <w:szCs w:val="16"/>
          <w:lang w:val="es-CO" w:eastAsia="es-ES_tradnl"/>
        </w:rPr>
      </w:pPr>
      <w:r w:rsidRPr="00254A60">
        <w:rPr>
          <w:rStyle w:val="FootnoteReference"/>
          <w:rFonts w:ascii="Cambria" w:hAnsi="Cambria"/>
          <w:color w:val="000000" w:themeColor="text1"/>
          <w:sz w:val="16"/>
          <w:szCs w:val="16"/>
        </w:rPr>
        <w:footnoteRef/>
      </w:r>
      <w:r w:rsidRPr="00254A60">
        <w:rPr>
          <w:rFonts w:ascii="Cambria" w:hAnsi="Cambria"/>
          <w:color w:val="000000" w:themeColor="text1"/>
          <w:sz w:val="16"/>
          <w:szCs w:val="16"/>
          <w:lang w:val="es-MX"/>
        </w:rPr>
        <w:t xml:space="preserve"> </w:t>
      </w:r>
      <w:r w:rsidRPr="00254A60">
        <w:rPr>
          <w:rFonts w:ascii="Cambria" w:hAnsi="Cambria"/>
          <w:color w:val="000000" w:themeColor="text1"/>
          <w:sz w:val="16"/>
          <w:szCs w:val="16"/>
          <w:lang w:val="es-MX" w:eastAsia="es-ES_tradnl"/>
        </w:rPr>
        <w:t xml:space="preserve">CIDH, Informe No. 269/21, Caso 12.960. Solución Amistosa. </w:t>
      </w:r>
      <w:r w:rsidRPr="00254A60">
        <w:rPr>
          <w:rFonts w:ascii="Cambria" w:hAnsi="Cambria"/>
          <w:color w:val="000000" w:themeColor="text1"/>
          <w:sz w:val="16"/>
          <w:szCs w:val="16"/>
          <w:lang w:val="es-CO" w:eastAsia="es-ES_tradnl"/>
        </w:rPr>
        <w:t xml:space="preserve">Ronald Jared Martínez y otros. </w:t>
      </w:r>
      <w:r w:rsidRPr="00254A60">
        <w:rPr>
          <w:rFonts w:ascii="Cambria" w:hAnsi="Cambria"/>
          <w:color w:val="000000" w:themeColor="text1"/>
          <w:sz w:val="16"/>
          <w:szCs w:val="16"/>
          <w:lang w:val="es-MX" w:eastAsia="es-ES_tradnl"/>
        </w:rPr>
        <w:t xml:space="preserve"> Honduras. 5 de octubre de 2021. </w:t>
      </w:r>
      <w:r w:rsidRPr="00254A60">
        <w:rPr>
          <w:rFonts w:ascii="Cambria" w:hAnsi="Cambria"/>
          <w:color w:val="000000" w:themeColor="text1"/>
          <w:sz w:val="16"/>
          <w:szCs w:val="16"/>
          <w:lang w:val="es-CO"/>
        </w:rPr>
        <w:t xml:space="preserve">Disponible en: </w:t>
      </w:r>
      <w:hyperlink r:id="rId1" w:history="1">
        <w:r w:rsidRPr="00254A60">
          <w:rPr>
            <w:rStyle w:val="Hyperlink"/>
            <w:rFonts w:ascii="Cambria" w:hAnsi="Cambria"/>
            <w:color w:val="000000" w:themeColor="text1"/>
            <w:sz w:val="16"/>
            <w:szCs w:val="16"/>
            <w:lang w:val="es-CO"/>
          </w:rPr>
          <w:t>https://www.oas.org/es/cidh/decisiones/2021/HOSA12960ES.pdf</w:t>
        </w:r>
      </w:hyperlink>
      <w:r w:rsidRPr="00254A60">
        <w:rPr>
          <w:rFonts w:ascii="Cambria" w:hAnsi="Cambria"/>
          <w:color w:val="000000" w:themeColor="text1"/>
          <w:sz w:val="16"/>
          <w:szCs w:val="16"/>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D5D0" w14:textId="253F0FED" w:rsidR="00270C8A" w:rsidRPr="0058688A" w:rsidRDefault="00270C8A" w:rsidP="00270C8A">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r>
      <w:rPr>
        <w:noProof/>
        <w:lang w:val="es-ES_tradnl"/>
      </w:rPr>
      <w:drawing>
        <wp:inline distT="0" distB="0" distL="0" distR="0" wp14:anchorId="36C60038" wp14:editId="3DDB685A">
          <wp:extent cx="2286000" cy="12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6DDB6FD7" w14:textId="77777777" w:rsidR="00270C8A" w:rsidRDefault="00DD2331" w:rsidP="00270C8A">
    <w:pPr>
      <w:pStyle w:val="Header"/>
    </w:pPr>
    <w:r>
      <w:pict w14:anchorId="650345AC">
        <v:rect id="_x0000_i1025" style="width:0;height:1.5pt" o:hralign="center" o:hrstd="t" o:hr="t" fillcolor="#a0a0a0" stroked="f"/>
      </w:pict>
    </w:r>
    <w:bookmarkEnd w:id="0"/>
    <w:bookmarkEnd w:id="1"/>
    <w:bookmarkEnd w:id="2"/>
    <w:bookmarkEnd w:id="3"/>
    <w:bookmarkEnd w:id="4"/>
    <w:bookmarkEnd w:id="5"/>
    <w:bookmarkEnd w:id="6"/>
    <w:bookmarkEnd w:id="7"/>
    <w:bookmarkEnd w:id="8"/>
    <w:bookmarkEnd w:id="9"/>
  </w:p>
  <w:p w14:paraId="332762DC" w14:textId="77777777" w:rsidR="00270C8A" w:rsidRDefault="00270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C59C" w14:textId="145C0736" w:rsidR="00270C8A" w:rsidRDefault="00270C8A" w:rsidP="00270C8A">
    <w:pPr>
      <w:pStyle w:val="Header"/>
    </w:pPr>
    <w:bookmarkStart w:id="10" w:name="_Hlk129090378"/>
    <w:bookmarkStart w:id="11" w:name="_Hlk129090379"/>
    <w:bookmarkStart w:id="12" w:name="_Hlk129090860"/>
    <w:bookmarkStart w:id="13" w:name="_Hlk129090861"/>
    <w:bookmarkStart w:id="14" w:name="_Hlk129091020"/>
    <w:bookmarkStart w:id="15" w:name="_Hlk129091021"/>
    <w:r w:rsidRPr="008A5CB5">
      <w:rPr>
        <w:noProof/>
      </w:rPr>
      <w:drawing>
        <wp:inline distT="0" distB="0" distL="0" distR="0" wp14:anchorId="0A66B203" wp14:editId="6798A2CE">
          <wp:extent cx="2352675" cy="457200"/>
          <wp:effectExtent l="0" t="0" r="9525" b="0"/>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Pr>
        <w:noProof/>
      </w:rPr>
      <w:drawing>
        <wp:inline distT="0" distB="0" distL="0" distR="0" wp14:anchorId="2B6986D7" wp14:editId="5FE5F7B0">
          <wp:extent cx="19431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41A0C385" w14:textId="77777777" w:rsidR="00270C8A" w:rsidRDefault="00DD2331" w:rsidP="00270C8A">
    <w:pPr>
      <w:pStyle w:val="Header"/>
    </w:pPr>
    <w:r>
      <w:pict w14:anchorId="2C9BFC38">
        <v:rect id="_x0000_i1026" style="width:0;height:1.5pt" o:hralign="center" o:hrstd="t" o:hr="t" fillcolor="#a0a0a0" stroked="f"/>
      </w:pict>
    </w:r>
    <w:bookmarkEnd w:id="10"/>
    <w:bookmarkEnd w:id="11"/>
    <w:bookmarkEnd w:id="12"/>
    <w:bookmarkEnd w:id="13"/>
    <w:bookmarkEnd w:id="14"/>
    <w:bookmarkEnd w:id="15"/>
  </w:p>
  <w:p w14:paraId="6D3C359D" w14:textId="77777777" w:rsidR="00270C8A" w:rsidRDefault="00270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1"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664967">
    <w:abstractNumId w:val="0"/>
  </w:num>
  <w:num w:numId="2" w16cid:durableId="1710108160">
    <w:abstractNumId w:val="1"/>
  </w:num>
  <w:num w:numId="3" w16cid:durableId="1645499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222"/>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8A"/>
    <w:rsid w:val="00270C8A"/>
    <w:rsid w:val="00730587"/>
    <w:rsid w:val="00DD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95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8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0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C8A"/>
    <w:rPr>
      <w:rFonts w:ascii="Calibri" w:eastAsia="Calibri" w:hAnsi="Calibri" w:cs="Times New Roman"/>
    </w:rPr>
  </w:style>
  <w:style w:type="paragraph" w:styleId="NormalWeb">
    <w:name w:val="Normal (Web)"/>
    <w:basedOn w:val="Normal"/>
    <w:uiPriority w:val="99"/>
    <w:unhideWhenUsed/>
    <w:rsid w:val="00270C8A"/>
    <w:pPr>
      <w:spacing w:before="100" w:beforeAutospacing="1" w:after="100" w:afterAutospacing="1" w:line="240" w:lineRule="auto"/>
    </w:pPr>
    <w:rPr>
      <w:rFonts w:ascii="Times New Roman" w:eastAsia="Times New Roman" w:hAnsi="Times New Roman"/>
      <w:sz w:val="24"/>
      <w:szCs w:val="24"/>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270C8A"/>
    <w:rPr>
      <w:vertAlign w:val="superscript"/>
    </w:rPr>
  </w:style>
  <w:style w:type="paragraph" w:customStyle="1" w:styleId="Appelnotedebasde">
    <w:name w:val="Appel note de bas de..."/>
    <w:basedOn w:val="Normal"/>
    <w:link w:val="FootnoteReference"/>
    <w:uiPriority w:val="99"/>
    <w:rsid w:val="00270C8A"/>
    <w:pPr>
      <w:spacing w:after="160" w:line="240" w:lineRule="exact"/>
    </w:pPr>
    <w:rPr>
      <w:rFonts w:asciiTheme="minorHAnsi" w:eastAsiaTheme="minorHAnsi" w:hAnsiTheme="minorHAnsi" w:cstheme="minorBidi"/>
      <w:vertAlign w:val="superscript"/>
    </w:rPr>
  </w:style>
  <w:style w:type="character" w:styleId="Hyperlink">
    <w:name w:val="Hyperlink"/>
    <w:uiPriority w:val="99"/>
    <w:unhideWhenUsed/>
    <w:rsid w:val="00270C8A"/>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270C8A"/>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270C8A"/>
    <w:rPr>
      <w:rFonts w:ascii="Calibri" w:eastAsia="Calibri" w:hAnsi="Calibri" w:cs="Times New Roman"/>
      <w:sz w:val="20"/>
      <w:szCs w:val="20"/>
    </w:rPr>
  </w:style>
  <w:style w:type="paragraph" w:styleId="ListParagraph">
    <w:name w:val="List Paragraph"/>
    <w:basedOn w:val="Normal"/>
    <w:link w:val="ListParagraphChar"/>
    <w:uiPriority w:val="34"/>
    <w:qFormat/>
    <w:rsid w:val="00270C8A"/>
    <w:pPr>
      <w:ind w:left="720"/>
      <w:contextualSpacing/>
    </w:pPr>
  </w:style>
  <w:style w:type="character" w:customStyle="1" w:styleId="ListParagraphChar">
    <w:name w:val="List Paragraph Char"/>
    <w:link w:val="ListParagraph"/>
    <w:uiPriority w:val="34"/>
    <w:rsid w:val="00270C8A"/>
    <w:rPr>
      <w:rFonts w:ascii="Calibri" w:eastAsia="Calibri" w:hAnsi="Calibri" w:cs="Times New Roman"/>
    </w:rPr>
  </w:style>
  <w:style w:type="paragraph" w:styleId="Header">
    <w:name w:val="header"/>
    <w:basedOn w:val="Normal"/>
    <w:link w:val="HeaderChar"/>
    <w:uiPriority w:val="99"/>
    <w:unhideWhenUsed/>
    <w:rsid w:val="00270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decisiones/2014/HOAD886-04E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as.org/es/cidh/decisiones/2021/HOSA12960ES.pdf"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as.org/es/cidh/decisiones/2021/HOSA12960ES.pdf"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1/HOSA12960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2023-03-07T20:31:00Z</dcterms:created>
  <dcterms:modified xsi:type="dcterms:W3CDTF">2023-03-07T20:31:00Z</dcterms:modified>
</cp:coreProperties>
</file>