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6"/>
        <w:gridCol w:w="3886"/>
      </w:tblGrid>
      <w:tr w:rsidR="000E499C" w:rsidRPr="00930562" w14:paraId="799A044C" w14:textId="77777777" w:rsidTr="000E499C">
        <w:tc>
          <w:tcPr>
            <w:tcW w:w="3886" w:type="dxa"/>
            <w:vAlign w:val="center"/>
          </w:tcPr>
          <w:p w14:paraId="2F0E842C" w14:textId="77777777" w:rsidR="000E499C" w:rsidRPr="00930562" w:rsidRDefault="000E499C" w:rsidP="000E499C">
            <w:pPr>
              <w:tabs>
                <w:tab w:val="left" w:pos="360"/>
              </w:tabs>
              <w:suppressAutoHyphens/>
              <w:rPr>
                <w:rFonts w:asciiTheme="majorHAnsi" w:hAnsiTheme="majorHAnsi"/>
                <w:lang w:val="es-US"/>
              </w:rPr>
            </w:pPr>
            <w:bookmarkStart w:id="0" w:name="_Toc511837797"/>
            <w:r w:rsidRPr="00930562">
              <w:rPr>
                <w:rFonts w:asciiTheme="majorHAnsi" w:hAnsiTheme="majorHAnsi"/>
                <w:noProof/>
              </w:rPr>
              <w:drawing>
                <wp:inline distT="0" distB="0" distL="0" distR="0" wp14:anchorId="2194B697" wp14:editId="612D7613">
                  <wp:extent cx="1893075" cy="4467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dh-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6428" cy="447557"/>
                          </a:xfrm>
                          <a:prstGeom prst="rect">
                            <a:avLst/>
                          </a:prstGeom>
                        </pic:spPr>
                      </pic:pic>
                    </a:graphicData>
                  </a:graphic>
                </wp:inline>
              </w:drawing>
            </w:r>
          </w:p>
        </w:tc>
        <w:tc>
          <w:tcPr>
            <w:tcW w:w="3886" w:type="dxa"/>
            <w:vAlign w:val="center"/>
          </w:tcPr>
          <w:p w14:paraId="5AF16419" w14:textId="77777777" w:rsidR="000E499C" w:rsidRPr="00930562" w:rsidRDefault="000E499C" w:rsidP="000E499C">
            <w:pPr>
              <w:tabs>
                <w:tab w:val="left" w:pos="360"/>
              </w:tabs>
              <w:suppressAutoHyphens/>
              <w:jc w:val="right"/>
              <w:rPr>
                <w:rFonts w:asciiTheme="majorHAnsi" w:hAnsiTheme="majorHAnsi"/>
                <w:lang w:val="es-US"/>
              </w:rPr>
            </w:pPr>
            <w:r w:rsidRPr="00930562">
              <w:rPr>
                <w:rFonts w:asciiTheme="majorHAnsi" w:hAnsiTheme="majorHAnsi"/>
                <w:noProof/>
              </w:rPr>
              <w:drawing>
                <wp:inline distT="0" distB="0" distL="0" distR="0" wp14:anchorId="2817B216" wp14:editId="3017C126">
                  <wp:extent cx="1604408" cy="4126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A-ESP-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6503" cy="413204"/>
                          </a:xfrm>
                          <a:prstGeom prst="rect">
                            <a:avLst/>
                          </a:prstGeom>
                        </pic:spPr>
                      </pic:pic>
                    </a:graphicData>
                  </a:graphic>
                </wp:inline>
              </w:drawing>
            </w:r>
          </w:p>
        </w:tc>
      </w:tr>
    </w:tbl>
    <w:p w14:paraId="24A3C30F" w14:textId="77777777" w:rsidR="000E499C" w:rsidRPr="00930562" w:rsidRDefault="000E499C" w:rsidP="000E499C">
      <w:pPr>
        <w:spacing w:after="0" w:line="240" w:lineRule="auto"/>
        <w:rPr>
          <w:rFonts w:asciiTheme="majorHAnsi" w:hAnsiTheme="majorHAnsi"/>
          <w:b/>
          <w:sz w:val="20"/>
          <w:szCs w:val="20"/>
          <w:lang w:val="es-US"/>
        </w:rPr>
      </w:pPr>
    </w:p>
    <w:p w14:paraId="52D2BB37" w14:textId="77777777" w:rsidR="000E499C" w:rsidRPr="00930562" w:rsidRDefault="000E499C" w:rsidP="000E499C">
      <w:pPr>
        <w:spacing w:after="0" w:line="240" w:lineRule="auto"/>
        <w:rPr>
          <w:rFonts w:asciiTheme="majorHAnsi" w:hAnsiTheme="majorHAnsi"/>
          <w:sz w:val="20"/>
          <w:szCs w:val="20"/>
          <w:lang w:val="es-US"/>
        </w:rPr>
      </w:pPr>
    </w:p>
    <w:p w14:paraId="7964FE46" w14:textId="50B804AD" w:rsidR="000E499C" w:rsidRPr="00930562" w:rsidRDefault="000E499C" w:rsidP="000E499C">
      <w:pPr>
        <w:tabs>
          <w:tab w:val="left" w:pos="5760"/>
        </w:tabs>
        <w:spacing w:after="0" w:line="360" w:lineRule="auto"/>
        <w:ind w:left="5760" w:right="72"/>
        <w:rPr>
          <w:rFonts w:asciiTheme="majorHAnsi" w:hAnsiTheme="majorHAnsi" w:cs="Arial"/>
          <w:sz w:val="20"/>
          <w:szCs w:val="20"/>
          <w:lang w:val="es-US"/>
        </w:rPr>
      </w:pPr>
      <w:r w:rsidRPr="00930562">
        <w:rPr>
          <w:rFonts w:asciiTheme="majorHAnsi" w:hAnsiTheme="majorHAnsi"/>
          <w:sz w:val="20"/>
          <w:szCs w:val="20"/>
          <w:lang w:val="es-US"/>
        </w:rPr>
        <w:t xml:space="preserve">OEA/Ser.L/V/II. </w:t>
      </w:r>
      <w:r w:rsidRPr="00930562">
        <w:rPr>
          <w:rFonts w:asciiTheme="majorHAnsi" w:hAnsiTheme="majorHAnsi"/>
          <w:sz w:val="20"/>
          <w:szCs w:val="20"/>
          <w:lang w:val="es-US"/>
        </w:rPr>
        <w:br/>
      </w:r>
      <w:r w:rsidRPr="00930562">
        <w:rPr>
          <w:rFonts w:asciiTheme="majorHAnsi" w:hAnsiTheme="majorHAnsi" w:cs="Arial"/>
          <w:sz w:val="20"/>
          <w:szCs w:val="20"/>
          <w:lang w:val="es-US"/>
        </w:rPr>
        <w:t xml:space="preserve">Doc. </w:t>
      </w:r>
      <w:r w:rsidR="00FD6DDB" w:rsidRPr="00930562">
        <w:rPr>
          <w:rFonts w:asciiTheme="majorHAnsi" w:hAnsiTheme="majorHAnsi" w:cs="Arial"/>
          <w:sz w:val="20"/>
          <w:szCs w:val="20"/>
          <w:lang w:val="es-US"/>
        </w:rPr>
        <w:t>156</w:t>
      </w:r>
    </w:p>
    <w:p w14:paraId="327BC6B5" w14:textId="7897672E" w:rsidR="000E499C" w:rsidRPr="00930562" w:rsidRDefault="00FD6DDB" w:rsidP="000E499C">
      <w:pPr>
        <w:tabs>
          <w:tab w:val="left" w:pos="5760"/>
          <w:tab w:val="left" w:pos="6480"/>
        </w:tabs>
        <w:spacing w:after="0" w:line="360" w:lineRule="auto"/>
        <w:ind w:left="5760" w:right="72"/>
        <w:rPr>
          <w:rFonts w:asciiTheme="majorHAnsi" w:hAnsiTheme="majorHAnsi" w:cs="Arial"/>
          <w:sz w:val="20"/>
          <w:szCs w:val="20"/>
          <w:lang w:val="es-US"/>
        </w:rPr>
      </w:pPr>
      <w:r w:rsidRPr="00930562">
        <w:rPr>
          <w:rFonts w:asciiTheme="majorHAnsi" w:hAnsiTheme="majorHAnsi" w:cs="Arial"/>
          <w:sz w:val="20"/>
          <w:szCs w:val="20"/>
          <w:lang w:val="es-US"/>
        </w:rPr>
        <w:t>26</w:t>
      </w:r>
      <w:r w:rsidR="000E499C" w:rsidRPr="00930562">
        <w:rPr>
          <w:rFonts w:asciiTheme="majorHAnsi" w:hAnsiTheme="majorHAnsi" w:cs="Arial"/>
          <w:sz w:val="20"/>
          <w:szCs w:val="20"/>
          <w:lang w:val="es-US"/>
        </w:rPr>
        <w:t xml:space="preserve"> </w:t>
      </w:r>
      <w:r w:rsidR="00386C11" w:rsidRPr="00930562">
        <w:rPr>
          <w:rFonts w:asciiTheme="majorHAnsi" w:hAnsiTheme="majorHAnsi" w:cs="Arial"/>
          <w:sz w:val="20"/>
          <w:szCs w:val="20"/>
          <w:lang w:val="es-US"/>
        </w:rPr>
        <w:t>noviembre</w:t>
      </w:r>
      <w:r w:rsidR="000E499C" w:rsidRPr="00930562">
        <w:rPr>
          <w:rFonts w:asciiTheme="majorHAnsi" w:hAnsiTheme="majorHAnsi" w:cs="Arial"/>
          <w:sz w:val="20"/>
          <w:szCs w:val="20"/>
          <w:lang w:val="es-US"/>
        </w:rPr>
        <w:t xml:space="preserve"> 2018</w:t>
      </w:r>
    </w:p>
    <w:p w14:paraId="5182CA38" w14:textId="02BD4D7D" w:rsidR="000E499C" w:rsidRPr="00930562" w:rsidRDefault="000E499C" w:rsidP="000E499C">
      <w:pPr>
        <w:tabs>
          <w:tab w:val="left" w:pos="5760"/>
        </w:tabs>
        <w:spacing w:after="0" w:line="360" w:lineRule="auto"/>
        <w:ind w:left="5760" w:right="72"/>
        <w:rPr>
          <w:rFonts w:asciiTheme="majorHAnsi" w:hAnsiTheme="majorHAnsi" w:cs="Arial"/>
          <w:sz w:val="20"/>
          <w:szCs w:val="20"/>
          <w:lang w:val="es-US"/>
        </w:rPr>
      </w:pPr>
      <w:r w:rsidRPr="00930562">
        <w:rPr>
          <w:rFonts w:asciiTheme="majorHAnsi" w:hAnsiTheme="majorHAnsi" w:cs="Arial"/>
          <w:sz w:val="20"/>
          <w:szCs w:val="20"/>
          <w:lang w:val="es-US"/>
        </w:rPr>
        <w:t xml:space="preserve">Original: </w:t>
      </w:r>
      <w:r w:rsidR="009E0C04">
        <w:rPr>
          <w:rFonts w:asciiTheme="majorHAnsi" w:hAnsiTheme="majorHAnsi" w:cs="Arial"/>
          <w:sz w:val="20"/>
          <w:szCs w:val="20"/>
          <w:lang w:val="es-US"/>
        </w:rPr>
        <w:t>Inglés</w:t>
      </w:r>
    </w:p>
    <w:p w14:paraId="25BAF28A" w14:textId="77777777" w:rsidR="00AA099D" w:rsidRPr="00930562" w:rsidRDefault="00AA099D" w:rsidP="000E499C">
      <w:pPr>
        <w:suppressAutoHyphens/>
        <w:spacing w:after="0" w:line="240" w:lineRule="auto"/>
        <w:jc w:val="center"/>
        <w:rPr>
          <w:rFonts w:asciiTheme="majorHAnsi" w:hAnsiTheme="majorHAnsi"/>
          <w:spacing w:val="-3"/>
          <w:sz w:val="24"/>
          <w:szCs w:val="24"/>
          <w:lang w:val="es-US"/>
        </w:rPr>
      </w:pPr>
    </w:p>
    <w:p w14:paraId="7E460156" w14:textId="77777777" w:rsidR="00AA099D" w:rsidRPr="00930562" w:rsidRDefault="00AA099D" w:rsidP="000E499C">
      <w:pPr>
        <w:suppressAutoHyphens/>
        <w:spacing w:after="0" w:line="240" w:lineRule="auto"/>
        <w:jc w:val="center"/>
        <w:rPr>
          <w:rFonts w:asciiTheme="majorHAnsi" w:hAnsiTheme="majorHAnsi"/>
          <w:spacing w:val="-3"/>
          <w:sz w:val="24"/>
          <w:szCs w:val="24"/>
          <w:lang w:val="es-US"/>
        </w:rPr>
      </w:pPr>
    </w:p>
    <w:p w14:paraId="5EAE32E2" w14:textId="77777777" w:rsidR="00AA099D" w:rsidRPr="00930562" w:rsidRDefault="00AA099D" w:rsidP="000E499C">
      <w:pPr>
        <w:suppressAutoHyphens/>
        <w:spacing w:after="0" w:line="240" w:lineRule="auto"/>
        <w:jc w:val="center"/>
        <w:rPr>
          <w:rFonts w:asciiTheme="majorHAnsi" w:hAnsiTheme="majorHAnsi"/>
          <w:spacing w:val="-3"/>
          <w:sz w:val="24"/>
          <w:szCs w:val="24"/>
          <w:lang w:val="es-US"/>
        </w:rPr>
      </w:pPr>
    </w:p>
    <w:p w14:paraId="13C3BA81" w14:textId="77777777" w:rsidR="000E499C" w:rsidRPr="00930562" w:rsidRDefault="000E499C" w:rsidP="000E499C">
      <w:pPr>
        <w:suppressAutoHyphens/>
        <w:spacing w:after="0" w:line="240" w:lineRule="auto"/>
        <w:jc w:val="center"/>
        <w:rPr>
          <w:rFonts w:asciiTheme="majorHAnsi" w:hAnsiTheme="majorHAnsi"/>
          <w:spacing w:val="-3"/>
          <w:sz w:val="24"/>
          <w:szCs w:val="24"/>
          <w:lang w:val="es-US"/>
        </w:rPr>
      </w:pPr>
    </w:p>
    <w:p w14:paraId="56D692FF" w14:textId="77777777" w:rsidR="000E499C" w:rsidRPr="00930562" w:rsidRDefault="000E499C" w:rsidP="000E499C">
      <w:pPr>
        <w:suppressAutoHyphens/>
        <w:spacing w:after="0" w:line="240" w:lineRule="auto"/>
        <w:jc w:val="center"/>
        <w:rPr>
          <w:rFonts w:asciiTheme="majorHAnsi" w:hAnsiTheme="majorHAnsi"/>
          <w:spacing w:val="-3"/>
          <w:sz w:val="24"/>
          <w:szCs w:val="24"/>
          <w:lang w:val="es-US"/>
        </w:rPr>
      </w:pPr>
    </w:p>
    <w:p w14:paraId="00D219F5" w14:textId="77777777" w:rsidR="000E499C" w:rsidRPr="00930562" w:rsidRDefault="000E499C" w:rsidP="000E499C">
      <w:pPr>
        <w:suppressAutoHyphens/>
        <w:spacing w:after="0" w:line="240" w:lineRule="auto"/>
        <w:jc w:val="center"/>
        <w:rPr>
          <w:rFonts w:asciiTheme="majorHAnsi" w:hAnsiTheme="majorHAnsi"/>
          <w:spacing w:val="-3"/>
          <w:sz w:val="24"/>
          <w:szCs w:val="24"/>
          <w:lang w:val="es-US"/>
        </w:rPr>
      </w:pPr>
    </w:p>
    <w:p w14:paraId="173A6CE6" w14:textId="77777777" w:rsidR="000E499C" w:rsidRPr="00930562" w:rsidRDefault="000E499C" w:rsidP="000E499C">
      <w:pPr>
        <w:suppressAutoHyphens/>
        <w:spacing w:after="0" w:line="240" w:lineRule="auto"/>
        <w:jc w:val="center"/>
        <w:rPr>
          <w:rFonts w:asciiTheme="majorHAnsi" w:hAnsiTheme="majorHAnsi"/>
          <w:spacing w:val="-3"/>
          <w:sz w:val="24"/>
          <w:szCs w:val="24"/>
          <w:lang w:val="es-US"/>
        </w:rPr>
      </w:pPr>
    </w:p>
    <w:p w14:paraId="3770836E" w14:textId="77777777" w:rsidR="000E499C" w:rsidRPr="00930562" w:rsidRDefault="000E499C" w:rsidP="000E499C">
      <w:pPr>
        <w:suppressAutoHyphens/>
        <w:spacing w:after="0" w:line="240" w:lineRule="auto"/>
        <w:jc w:val="center"/>
        <w:rPr>
          <w:rFonts w:asciiTheme="majorHAnsi" w:hAnsiTheme="majorHAnsi"/>
          <w:spacing w:val="-3"/>
          <w:sz w:val="24"/>
          <w:szCs w:val="24"/>
          <w:lang w:val="es-US"/>
        </w:rPr>
      </w:pPr>
    </w:p>
    <w:p w14:paraId="3B444BE7" w14:textId="77641811" w:rsidR="007B5F38" w:rsidRPr="00930562" w:rsidRDefault="007B5F38" w:rsidP="007B5F38">
      <w:pPr>
        <w:suppressAutoHyphens/>
        <w:spacing w:after="0" w:line="240" w:lineRule="auto"/>
        <w:jc w:val="center"/>
        <w:rPr>
          <w:rFonts w:asciiTheme="majorHAnsi" w:hAnsiTheme="majorHAnsi"/>
          <w:color w:val="808080" w:themeColor="background1" w:themeShade="80"/>
          <w:spacing w:val="-3"/>
          <w:sz w:val="24"/>
          <w:szCs w:val="24"/>
          <w:lang w:val="es-US"/>
        </w:rPr>
      </w:pPr>
      <w:r w:rsidRPr="00930562">
        <w:rPr>
          <w:rFonts w:asciiTheme="majorHAnsi" w:hAnsiTheme="majorHAnsi"/>
          <w:color w:val="808080" w:themeColor="background1" w:themeShade="80"/>
          <w:spacing w:val="-3"/>
          <w:sz w:val="24"/>
          <w:szCs w:val="24"/>
          <w:lang w:val="es-US"/>
        </w:rPr>
        <w:t>COMISION INTERAMERICANA DE DERECHOS HUMANOS</w:t>
      </w:r>
    </w:p>
    <w:p w14:paraId="793943F8" w14:textId="62B71C06" w:rsidR="0013380B" w:rsidRPr="00930562" w:rsidRDefault="007B5F38" w:rsidP="00AA099D">
      <w:pPr>
        <w:jc w:val="center"/>
        <w:rPr>
          <w:rFonts w:asciiTheme="majorHAnsi" w:hAnsiTheme="majorHAnsi"/>
          <w:sz w:val="52"/>
          <w:szCs w:val="52"/>
          <w:lang w:val="es-US"/>
        </w:rPr>
      </w:pPr>
      <w:r w:rsidRPr="00930562">
        <w:rPr>
          <w:rFonts w:asciiTheme="majorHAnsi" w:hAnsiTheme="majorHAnsi"/>
          <w:sz w:val="52"/>
          <w:szCs w:val="52"/>
          <w:lang w:val="es-US"/>
        </w:rPr>
        <w:t xml:space="preserve">Afrodescendientes, </w:t>
      </w:r>
      <w:r w:rsidR="00985683" w:rsidRPr="00930562">
        <w:rPr>
          <w:rFonts w:asciiTheme="majorHAnsi" w:hAnsiTheme="majorHAnsi"/>
          <w:sz w:val="52"/>
          <w:szCs w:val="52"/>
          <w:lang w:val="es-US"/>
        </w:rPr>
        <w:t>v</w:t>
      </w:r>
      <w:r w:rsidR="0030730B" w:rsidRPr="00930562">
        <w:rPr>
          <w:rFonts w:asciiTheme="majorHAnsi" w:hAnsiTheme="majorHAnsi"/>
          <w:sz w:val="52"/>
          <w:szCs w:val="52"/>
          <w:lang w:val="es-US"/>
        </w:rPr>
        <w:t>iolencia policial</w:t>
      </w:r>
      <w:r w:rsidRPr="00930562">
        <w:rPr>
          <w:rFonts w:asciiTheme="majorHAnsi" w:hAnsiTheme="majorHAnsi"/>
          <w:sz w:val="52"/>
          <w:szCs w:val="52"/>
          <w:lang w:val="es-US"/>
        </w:rPr>
        <w:t xml:space="preserve">, y </w:t>
      </w:r>
      <w:r w:rsidR="00AA099D" w:rsidRPr="00930562">
        <w:rPr>
          <w:rFonts w:asciiTheme="majorHAnsi" w:hAnsiTheme="majorHAnsi"/>
          <w:sz w:val="52"/>
          <w:szCs w:val="52"/>
          <w:lang w:val="es-US"/>
        </w:rPr>
        <w:t xml:space="preserve">derechos humanos </w:t>
      </w:r>
      <w:r w:rsidRPr="00930562">
        <w:rPr>
          <w:rFonts w:asciiTheme="majorHAnsi" w:hAnsiTheme="majorHAnsi"/>
          <w:sz w:val="52"/>
          <w:szCs w:val="52"/>
          <w:lang w:val="es-US"/>
        </w:rPr>
        <w:t xml:space="preserve">en los </w:t>
      </w:r>
      <w:r w:rsidR="00AA099D" w:rsidRPr="00930562">
        <w:rPr>
          <w:rFonts w:asciiTheme="majorHAnsi" w:hAnsiTheme="majorHAnsi"/>
          <w:sz w:val="52"/>
          <w:szCs w:val="52"/>
          <w:lang w:val="es-US"/>
        </w:rPr>
        <w:t>Estados Unidos</w:t>
      </w:r>
    </w:p>
    <w:p w14:paraId="31DF7E69" w14:textId="77777777" w:rsidR="0030730B" w:rsidRPr="00930562" w:rsidRDefault="0030730B" w:rsidP="00AA099D">
      <w:pPr>
        <w:spacing w:after="0" w:line="240" w:lineRule="auto"/>
        <w:jc w:val="center"/>
        <w:rPr>
          <w:rFonts w:asciiTheme="majorHAnsi" w:hAnsiTheme="majorHAnsi"/>
          <w:lang w:val="es-US"/>
        </w:rPr>
      </w:pPr>
    </w:p>
    <w:p w14:paraId="6601413B" w14:textId="77777777" w:rsidR="0030730B" w:rsidRPr="00930562" w:rsidRDefault="0030730B" w:rsidP="00AA099D">
      <w:pPr>
        <w:spacing w:after="0" w:line="240" w:lineRule="auto"/>
        <w:jc w:val="center"/>
        <w:rPr>
          <w:rFonts w:asciiTheme="majorHAnsi" w:hAnsiTheme="majorHAnsi"/>
          <w:lang w:val="es-US"/>
        </w:rPr>
      </w:pPr>
    </w:p>
    <w:p w14:paraId="7F8B4DE6" w14:textId="77777777" w:rsidR="00AA099D" w:rsidRPr="00930562" w:rsidRDefault="00AA099D" w:rsidP="00AA099D">
      <w:pPr>
        <w:spacing w:after="0" w:line="240" w:lineRule="auto"/>
        <w:jc w:val="center"/>
        <w:rPr>
          <w:rFonts w:asciiTheme="majorHAnsi" w:hAnsiTheme="majorHAnsi"/>
          <w:lang w:val="es-US"/>
        </w:rPr>
      </w:pPr>
    </w:p>
    <w:p w14:paraId="1E387614" w14:textId="77777777" w:rsidR="00AA099D" w:rsidRPr="00930562" w:rsidRDefault="00AA099D" w:rsidP="00AA099D">
      <w:pPr>
        <w:spacing w:after="0" w:line="240" w:lineRule="auto"/>
        <w:jc w:val="center"/>
        <w:rPr>
          <w:rFonts w:asciiTheme="majorHAnsi" w:hAnsiTheme="majorHAnsi"/>
          <w:lang w:val="es-US"/>
        </w:rPr>
      </w:pPr>
    </w:p>
    <w:p w14:paraId="7716AAF7" w14:textId="77777777" w:rsidR="00AA099D" w:rsidRPr="00930562" w:rsidRDefault="00AA099D" w:rsidP="00AA099D">
      <w:pPr>
        <w:spacing w:after="0" w:line="240" w:lineRule="auto"/>
        <w:jc w:val="center"/>
        <w:rPr>
          <w:rFonts w:asciiTheme="majorHAnsi" w:hAnsiTheme="majorHAnsi"/>
          <w:lang w:val="es-US"/>
        </w:rPr>
      </w:pPr>
    </w:p>
    <w:p w14:paraId="01A22649" w14:textId="77777777" w:rsidR="00AA099D" w:rsidRPr="00930562" w:rsidRDefault="00AA099D" w:rsidP="00AA099D">
      <w:pPr>
        <w:spacing w:after="0" w:line="240" w:lineRule="auto"/>
        <w:jc w:val="center"/>
        <w:rPr>
          <w:rFonts w:asciiTheme="majorHAnsi" w:hAnsiTheme="majorHAnsi"/>
          <w:lang w:val="es-US"/>
        </w:rPr>
      </w:pPr>
    </w:p>
    <w:p w14:paraId="44A35EF7" w14:textId="77777777" w:rsidR="00AA099D" w:rsidRPr="00930562" w:rsidRDefault="00AA099D" w:rsidP="00AA099D">
      <w:pPr>
        <w:spacing w:after="0" w:line="240" w:lineRule="auto"/>
        <w:jc w:val="center"/>
        <w:rPr>
          <w:rFonts w:asciiTheme="majorHAnsi" w:hAnsiTheme="majorHAnsi"/>
          <w:lang w:val="es-US"/>
        </w:rPr>
      </w:pPr>
    </w:p>
    <w:p w14:paraId="4A7EF628" w14:textId="77777777" w:rsidR="00AA099D" w:rsidRPr="00930562" w:rsidRDefault="00AA099D" w:rsidP="00AA099D">
      <w:pPr>
        <w:spacing w:after="0" w:line="240" w:lineRule="auto"/>
        <w:jc w:val="center"/>
        <w:rPr>
          <w:rFonts w:asciiTheme="majorHAnsi" w:hAnsiTheme="majorHAnsi"/>
          <w:lang w:val="es-US"/>
        </w:rPr>
      </w:pPr>
    </w:p>
    <w:p w14:paraId="03B64C54" w14:textId="77777777" w:rsidR="00AA099D" w:rsidRPr="00930562" w:rsidRDefault="00AA099D" w:rsidP="00AA099D">
      <w:pPr>
        <w:spacing w:after="0" w:line="240" w:lineRule="auto"/>
        <w:jc w:val="center"/>
        <w:rPr>
          <w:rFonts w:asciiTheme="majorHAnsi" w:hAnsiTheme="majorHAnsi"/>
          <w:lang w:val="es-US"/>
        </w:rPr>
      </w:pPr>
    </w:p>
    <w:p w14:paraId="039AE64C" w14:textId="77777777" w:rsidR="00AA099D" w:rsidRPr="00930562" w:rsidRDefault="00AA099D" w:rsidP="00AA099D">
      <w:pPr>
        <w:spacing w:after="0" w:line="240" w:lineRule="auto"/>
        <w:jc w:val="center"/>
        <w:rPr>
          <w:rFonts w:asciiTheme="majorHAnsi" w:hAnsiTheme="majorHAnsi"/>
          <w:lang w:val="es-US"/>
        </w:rPr>
      </w:pPr>
    </w:p>
    <w:p w14:paraId="2840B7D7" w14:textId="77777777" w:rsidR="000E499C" w:rsidRPr="00930562" w:rsidRDefault="000E499C" w:rsidP="00AA099D">
      <w:pPr>
        <w:spacing w:after="0" w:line="240" w:lineRule="auto"/>
        <w:jc w:val="center"/>
        <w:rPr>
          <w:rFonts w:asciiTheme="majorHAnsi" w:hAnsiTheme="majorHAnsi"/>
          <w:lang w:val="es-US"/>
        </w:rPr>
      </w:pPr>
    </w:p>
    <w:p w14:paraId="55D97172" w14:textId="77777777" w:rsidR="000E499C" w:rsidRDefault="000E499C" w:rsidP="00AA099D">
      <w:pPr>
        <w:spacing w:after="0" w:line="240" w:lineRule="auto"/>
        <w:jc w:val="center"/>
        <w:rPr>
          <w:rFonts w:asciiTheme="majorHAnsi" w:hAnsiTheme="majorHAnsi"/>
          <w:lang w:val="es-US"/>
        </w:rPr>
      </w:pPr>
    </w:p>
    <w:p w14:paraId="152EE29D" w14:textId="77777777" w:rsidR="008403E8" w:rsidRDefault="008403E8" w:rsidP="00AA099D">
      <w:pPr>
        <w:spacing w:after="0" w:line="240" w:lineRule="auto"/>
        <w:jc w:val="center"/>
        <w:rPr>
          <w:rFonts w:asciiTheme="majorHAnsi" w:hAnsiTheme="majorHAnsi"/>
          <w:lang w:val="es-US"/>
        </w:rPr>
      </w:pPr>
    </w:p>
    <w:p w14:paraId="42B86CCA" w14:textId="77777777" w:rsidR="008403E8" w:rsidRDefault="008403E8" w:rsidP="00AA099D">
      <w:pPr>
        <w:spacing w:after="0" w:line="240" w:lineRule="auto"/>
        <w:jc w:val="center"/>
        <w:rPr>
          <w:rFonts w:asciiTheme="majorHAnsi" w:hAnsiTheme="majorHAnsi"/>
          <w:lang w:val="es-US"/>
        </w:rPr>
      </w:pPr>
    </w:p>
    <w:p w14:paraId="38324D5C" w14:textId="77777777" w:rsidR="008403E8" w:rsidRPr="00930562" w:rsidRDefault="008403E8" w:rsidP="00AA099D">
      <w:pPr>
        <w:spacing w:after="0" w:line="240" w:lineRule="auto"/>
        <w:jc w:val="center"/>
        <w:rPr>
          <w:rFonts w:asciiTheme="majorHAnsi" w:hAnsiTheme="majorHAnsi"/>
          <w:lang w:val="es-US"/>
        </w:rPr>
      </w:pPr>
    </w:p>
    <w:p w14:paraId="11E2010D" w14:textId="77777777" w:rsidR="000E499C" w:rsidRPr="00930562" w:rsidRDefault="000E499C" w:rsidP="00AA099D">
      <w:pPr>
        <w:spacing w:after="0" w:line="240" w:lineRule="auto"/>
        <w:jc w:val="center"/>
        <w:rPr>
          <w:rFonts w:asciiTheme="majorHAnsi" w:hAnsiTheme="majorHAnsi"/>
          <w:lang w:val="es-US"/>
        </w:rPr>
      </w:pPr>
    </w:p>
    <w:p w14:paraId="1F76A09B" w14:textId="77777777" w:rsidR="00FD6DDB" w:rsidRPr="00930562" w:rsidRDefault="0030730B" w:rsidP="00FD6DDB">
      <w:pPr>
        <w:spacing w:after="0" w:line="240" w:lineRule="auto"/>
        <w:jc w:val="center"/>
        <w:rPr>
          <w:rFonts w:asciiTheme="majorHAnsi" w:hAnsiTheme="majorHAnsi"/>
          <w:lang w:val="es-US"/>
        </w:rPr>
        <w:sectPr w:rsidR="00FD6DDB" w:rsidRPr="00930562" w:rsidSect="000E499C">
          <w:headerReference w:type="even" r:id="rId10"/>
          <w:headerReference w:type="default" r:id="rId11"/>
          <w:footerReference w:type="even" r:id="rId12"/>
          <w:footerReference w:type="default" r:id="rId13"/>
          <w:headerReference w:type="first" r:id="rId14"/>
          <w:footerReference w:type="first" r:id="rId15"/>
          <w:pgSz w:w="10080" w:h="14400" w:code="1"/>
          <w:pgMar w:top="1152" w:right="1152" w:bottom="1152" w:left="1296" w:header="720" w:footer="720" w:gutter="0"/>
          <w:cols w:space="708"/>
          <w:docGrid w:linePitch="360"/>
        </w:sectPr>
      </w:pPr>
      <w:r w:rsidRPr="00930562">
        <w:rPr>
          <w:rFonts w:asciiTheme="majorHAnsi" w:hAnsiTheme="majorHAnsi"/>
          <w:lang w:val="es-US"/>
        </w:rPr>
        <w:t>2018</w:t>
      </w:r>
      <w:r w:rsidRPr="00930562">
        <w:rPr>
          <w:rFonts w:asciiTheme="majorHAnsi" w:hAnsiTheme="majorHAnsi"/>
          <w:lang w:val="es-US"/>
        </w:rPr>
        <w:br/>
        <w:t>cidh.org</w:t>
      </w:r>
    </w:p>
    <w:tbl>
      <w:tblPr>
        <w:tblpPr w:leftFromText="180" w:rightFromText="180" w:vertAnchor="text" w:horzAnchor="margin" w:tblpY="-2050"/>
        <w:tblW w:w="0" w:type="auto"/>
        <w:shd w:val="clear" w:color="auto" w:fill="F2F2F2"/>
        <w:tblLook w:val="01E0" w:firstRow="1" w:lastRow="1" w:firstColumn="1" w:lastColumn="1" w:noHBand="0" w:noVBand="0"/>
      </w:tblPr>
      <w:tblGrid>
        <w:gridCol w:w="6966"/>
      </w:tblGrid>
      <w:tr w:rsidR="004C649C" w:rsidRPr="00930562" w14:paraId="54E29A04" w14:textId="77777777" w:rsidTr="004C649C">
        <w:tc>
          <w:tcPr>
            <w:tcW w:w="6966" w:type="dxa"/>
            <w:shd w:val="clear" w:color="auto" w:fill="F2F2F2"/>
          </w:tcPr>
          <w:p w14:paraId="07A626BC" w14:textId="77777777" w:rsidR="004C649C" w:rsidRPr="009E0C04" w:rsidRDefault="004C649C" w:rsidP="004C649C">
            <w:pPr>
              <w:tabs>
                <w:tab w:val="left" w:pos="360"/>
              </w:tabs>
              <w:rPr>
                <w:rFonts w:asciiTheme="majorHAnsi" w:hAnsiTheme="majorHAnsi"/>
                <w:sz w:val="18"/>
                <w:szCs w:val="18"/>
              </w:rPr>
            </w:pPr>
          </w:p>
          <w:p w14:paraId="0C289C78" w14:textId="77777777" w:rsidR="004C649C" w:rsidRPr="009E0C04" w:rsidRDefault="004C649C" w:rsidP="004C649C">
            <w:pPr>
              <w:tabs>
                <w:tab w:val="left" w:pos="360"/>
              </w:tabs>
              <w:jc w:val="center"/>
              <w:rPr>
                <w:rFonts w:asciiTheme="majorHAnsi" w:hAnsiTheme="majorHAnsi"/>
                <w:b/>
                <w:sz w:val="18"/>
                <w:szCs w:val="18"/>
              </w:rPr>
            </w:pPr>
            <w:r w:rsidRPr="009E0C04">
              <w:rPr>
                <w:rFonts w:asciiTheme="majorHAnsi" w:hAnsiTheme="majorHAnsi"/>
                <w:b/>
                <w:sz w:val="18"/>
                <w:szCs w:val="18"/>
              </w:rPr>
              <w:t>OAS Cataloging-in-Publication Data</w:t>
            </w:r>
          </w:p>
          <w:p w14:paraId="5D469225" w14:textId="77777777" w:rsidR="008403E8" w:rsidRPr="008403E8" w:rsidRDefault="008403E8" w:rsidP="008403E8">
            <w:pPr>
              <w:tabs>
                <w:tab w:val="left" w:pos="360"/>
              </w:tabs>
              <w:spacing w:line="360" w:lineRule="auto"/>
              <w:ind w:left="288" w:right="288"/>
              <w:jc w:val="both"/>
              <w:rPr>
                <w:rFonts w:asciiTheme="majorHAnsi" w:hAnsiTheme="majorHAnsi"/>
                <w:sz w:val="18"/>
                <w:szCs w:val="18"/>
              </w:rPr>
            </w:pPr>
            <w:r w:rsidRPr="008403E8">
              <w:rPr>
                <w:rFonts w:asciiTheme="majorHAnsi" w:hAnsiTheme="majorHAnsi"/>
                <w:sz w:val="18"/>
                <w:szCs w:val="18"/>
              </w:rPr>
              <w:t xml:space="preserve">Inter-American Commission on Human Rights.  </w:t>
            </w:r>
          </w:p>
          <w:p w14:paraId="77617B7E" w14:textId="66DFD4CF" w:rsidR="008403E8" w:rsidRPr="008403E8" w:rsidRDefault="008403E8" w:rsidP="008403E8">
            <w:pPr>
              <w:tabs>
                <w:tab w:val="left" w:pos="360"/>
              </w:tabs>
              <w:spacing w:line="360" w:lineRule="auto"/>
              <w:ind w:left="288" w:right="288"/>
              <w:jc w:val="both"/>
              <w:rPr>
                <w:rFonts w:asciiTheme="majorHAnsi" w:hAnsiTheme="majorHAnsi"/>
                <w:sz w:val="18"/>
                <w:szCs w:val="18"/>
                <w:lang w:val="es-US"/>
              </w:rPr>
            </w:pPr>
            <w:r w:rsidRPr="005E5B1C">
              <w:rPr>
                <w:rFonts w:asciiTheme="majorHAnsi" w:hAnsiTheme="majorHAnsi"/>
                <w:sz w:val="18"/>
                <w:szCs w:val="18"/>
              </w:rPr>
              <w:t xml:space="preserve">      </w:t>
            </w:r>
            <w:r w:rsidRPr="008403E8">
              <w:rPr>
                <w:rFonts w:asciiTheme="majorHAnsi" w:hAnsiTheme="majorHAnsi"/>
                <w:sz w:val="18"/>
                <w:szCs w:val="18"/>
                <w:lang w:val="es-US"/>
              </w:rPr>
              <w:t xml:space="preserve">Afrodescendientes, violencia policial, y derechos humanos en los Estados </w:t>
            </w:r>
            <w:proofErr w:type="gramStart"/>
            <w:r w:rsidRPr="008403E8">
              <w:rPr>
                <w:rFonts w:asciiTheme="majorHAnsi" w:hAnsiTheme="majorHAnsi"/>
                <w:sz w:val="18"/>
                <w:szCs w:val="18"/>
                <w:lang w:val="es-US"/>
              </w:rPr>
              <w:t>Unidos :</w:t>
            </w:r>
            <w:proofErr w:type="gramEnd"/>
            <w:r w:rsidRPr="008403E8">
              <w:rPr>
                <w:rFonts w:asciiTheme="majorHAnsi" w:hAnsiTheme="majorHAnsi"/>
                <w:sz w:val="18"/>
                <w:szCs w:val="18"/>
                <w:lang w:val="es-US"/>
              </w:rPr>
              <w:t xml:space="preserve"> Aprobado por la Comisión Interamericana de Derechos Humanos el 26 de noviembre de 2018  / Comisión Interamericana de Derechos Humanos.</w:t>
            </w:r>
          </w:p>
          <w:p w14:paraId="71CB79BF" w14:textId="77777777" w:rsidR="008403E8" w:rsidRPr="008403E8" w:rsidRDefault="008403E8" w:rsidP="008403E8">
            <w:pPr>
              <w:tabs>
                <w:tab w:val="left" w:pos="360"/>
              </w:tabs>
              <w:spacing w:line="360" w:lineRule="auto"/>
              <w:ind w:left="288" w:right="288"/>
              <w:jc w:val="both"/>
              <w:rPr>
                <w:rFonts w:asciiTheme="majorHAnsi" w:hAnsiTheme="majorHAnsi"/>
                <w:sz w:val="18"/>
                <w:szCs w:val="18"/>
                <w:lang w:val="es-US"/>
              </w:rPr>
            </w:pPr>
            <w:proofErr w:type="gramStart"/>
            <w:r w:rsidRPr="008403E8">
              <w:rPr>
                <w:rFonts w:asciiTheme="majorHAnsi" w:hAnsiTheme="majorHAnsi"/>
                <w:sz w:val="18"/>
                <w:szCs w:val="18"/>
                <w:lang w:val="es-US"/>
              </w:rPr>
              <w:t>p. ;</w:t>
            </w:r>
            <w:proofErr w:type="gramEnd"/>
            <w:r w:rsidRPr="008403E8">
              <w:rPr>
                <w:rFonts w:asciiTheme="majorHAnsi" w:hAnsiTheme="majorHAnsi"/>
                <w:sz w:val="18"/>
                <w:szCs w:val="18"/>
                <w:lang w:val="es-US"/>
              </w:rPr>
              <w:t xml:space="preserve">  cm.  (OAS. Documentos oficiales ; OEA/Ser.L)</w:t>
            </w:r>
          </w:p>
          <w:p w14:paraId="260A80A9" w14:textId="77777777" w:rsidR="008403E8" w:rsidRPr="008403E8" w:rsidRDefault="008403E8" w:rsidP="008403E8">
            <w:pPr>
              <w:tabs>
                <w:tab w:val="left" w:pos="360"/>
              </w:tabs>
              <w:spacing w:line="360" w:lineRule="auto"/>
              <w:ind w:left="288" w:right="288"/>
              <w:jc w:val="both"/>
              <w:rPr>
                <w:rFonts w:asciiTheme="majorHAnsi" w:hAnsiTheme="majorHAnsi"/>
                <w:sz w:val="18"/>
                <w:szCs w:val="18"/>
              </w:rPr>
            </w:pPr>
            <w:r w:rsidRPr="008403E8">
              <w:rPr>
                <w:rFonts w:asciiTheme="majorHAnsi" w:hAnsiTheme="majorHAnsi"/>
                <w:sz w:val="18"/>
                <w:szCs w:val="18"/>
              </w:rPr>
              <w:t>ISBN 978-0-8270-6822-3</w:t>
            </w:r>
          </w:p>
          <w:p w14:paraId="7BF69900" w14:textId="77777777" w:rsidR="008403E8" w:rsidRPr="008403E8" w:rsidRDefault="008403E8" w:rsidP="008403E8">
            <w:pPr>
              <w:tabs>
                <w:tab w:val="left" w:pos="360"/>
              </w:tabs>
              <w:spacing w:line="360" w:lineRule="auto"/>
              <w:ind w:left="288" w:right="288"/>
              <w:jc w:val="both"/>
              <w:rPr>
                <w:rFonts w:asciiTheme="majorHAnsi" w:hAnsiTheme="majorHAnsi"/>
                <w:sz w:val="18"/>
                <w:szCs w:val="18"/>
              </w:rPr>
            </w:pPr>
            <w:r w:rsidRPr="008403E8">
              <w:rPr>
                <w:rFonts w:asciiTheme="majorHAnsi" w:hAnsiTheme="majorHAnsi"/>
                <w:sz w:val="18"/>
                <w:szCs w:val="18"/>
              </w:rPr>
              <w:t>1. Human rights.  2. Police misconduct--United States.  3. Race discrimination--United States.  4. African Americans--Civil rights.  5. Racism--United States.</w:t>
            </w:r>
          </w:p>
          <w:p w14:paraId="33F40967" w14:textId="77777777" w:rsidR="008403E8" w:rsidRDefault="008403E8" w:rsidP="008403E8">
            <w:pPr>
              <w:tabs>
                <w:tab w:val="left" w:pos="360"/>
              </w:tabs>
              <w:spacing w:line="360" w:lineRule="auto"/>
              <w:ind w:left="288" w:right="288"/>
              <w:rPr>
                <w:rFonts w:asciiTheme="majorHAnsi" w:hAnsiTheme="majorHAnsi"/>
                <w:sz w:val="18"/>
                <w:szCs w:val="18"/>
              </w:rPr>
            </w:pPr>
            <w:r w:rsidRPr="008403E8">
              <w:rPr>
                <w:rFonts w:asciiTheme="majorHAnsi" w:hAnsiTheme="majorHAnsi"/>
                <w:sz w:val="18"/>
                <w:szCs w:val="18"/>
              </w:rPr>
              <w:t>I. Title.  II. Series.</w:t>
            </w:r>
          </w:p>
          <w:p w14:paraId="480DCF9D" w14:textId="34198617" w:rsidR="004C649C" w:rsidRPr="009E0C04" w:rsidRDefault="004C649C" w:rsidP="008403E8">
            <w:pPr>
              <w:tabs>
                <w:tab w:val="left" w:pos="360"/>
              </w:tabs>
              <w:spacing w:line="360" w:lineRule="auto"/>
              <w:ind w:left="288" w:right="288"/>
              <w:jc w:val="right"/>
              <w:rPr>
                <w:rFonts w:asciiTheme="minorHAnsi" w:hAnsiTheme="minorHAnsi"/>
                <w:b/>
                <w:sz w:val="20"/>
              </w:rPr>
            </w:pPr>
            <w:r w:rsidRPr="009E0C04">
              <w:rPr>
                <w:rFonts w:asciiTheme="majorHAnsi" w:hAnsiTheme="majorHAnsi"/>
                <w:sz w:val="18"/>
                <w:szCs w:val="18"/>
              </w:rPr>
              <w:t>OEA/Ser.L/V/II. Doc.156/18</w:t>
            </w:r>
          </w:p>
        </w:tc>
      </w:tr>
    </w:tbl>
    <w:p w14:paraId="1CBC07BA" w14:textId="00C4F84F" w:rsidR="00FD6DDB" w:rsidRPr="009E0C04" w:rsidRDefault="00FD6DDB" w:rsidP="00FD6DDB">
      <w:pPr>
        <w:spacing w:after="0" w:line="240" w:lineRule="auto"/>
        <w:jc w:val="center"/>
        <w:rPr>
          <w:rFonts w:asciiTheme="majorHAnsi" w:hAnsiTheme="majorHAnsi"/>
        </w:rPr>
      </w:pPr>
    </w:p>
    <w:p w14:paraId="1D222987" w14:textId="77777777" w:rsidR="00FD6DDB" w:rsidRPr="009E0C04" w:rsidRDefault="00FD6DDB" w:rsidP="00AA099D">
      <w:pPr>
        <w:spacing w:after="0" w:line="240" w:lineRule="auto"/>
        <w:jc w:val="center"/>
        <w:rPr>
          <w:rFonts w:asciiTheme="majorHAnsi" w:hAnsiTheme="majorHAnsi"/>
        </w:rPr>
        <w:sectPr w:rsidR="00FD6DDB" w:rsidRPr="009E0C04" w:rsidSect="00FD6DDB">
          <w:headerReference w:type="even" r:id="rId16"/>
          <w:footerReference w:type="even" r:id="rId17"/>
          <w:pgSz w:w="10080" w:h="14400" w:code="13"/>
          <w:pgMar w:top="1152" w:right="1152" w:bottom="1152" w:left="1296" w:header="720" w:footer="720" w:gutter="0"/>
          <w:cols w:space="708"/>
          <w:vAlign w:val="center"/>
          <w:docGrid w:linePitch="360"/>
        </w:sectPr>
      </w:pPr>
    </w:p>
    <w:p w14:paraId="43A47262" w14:textId="38E505C0" w:rsidR="000E499C" w:rsidRPr="00930562" w:rsidRDefault="00FD6DDB" w:rsidP="00FD6DDB">
      <w:pPr>
        <w:spacing w:before="960" w:after="640" w:line="240" w:lineRule="auto"/>
        <w:jc w:val="center"/>
        <w:rPr>
          <w:rFonts w:asciiTheme="majorHAnsi" w:hAnsiTheme="majorHAnsi"/>
          <w:b/>
          <w:sz w:val="28"/>
          <w:szCs w:val="28"/>
          <w:lang w:val="es-US"/>
        </w:rPr>
      </w:pPr>
      <w:r w:rsidRPr="00930562">
        <w:rPr>
          <w:rFonts w:asciiTheme="majorHAnsi" w:hAnsiTheme="majorHAnsi"/>
          <w:b/>
          <w:sz w:val="28"/>
          <w:szCs w:val="28"/>
          <w:lang w:val="es-US"/>
        </w:rPr>
        <w:lastRenderedPageBreak/>
        <w:t>COMISIÓN INTERAMERICANA DE DERECHOS HUMANOS</w:t>
      </w:r>
    </w:p>
    <w:p w14:paraId="5EC49FAF" w14:textId="77777777" w:rsidR="00FD6DDB" w:rsidRPr="00930562" w:rsidRDefault="00FD6DDB" w:rsidP="00FD6DDB">
      <w:pPr>
        <w:pBdr>
          <w:bottom w:val="single" w:sz="4" w:space="1" w:color="auto"/>
        </w:pBdr>
        <w:spacing w:after="240" w:line="240" w:lineRule="auto"/>
        <w:rPr>
          <w:rFonts w:asciiTheme="majorHAnsi" w:hAnsiTheme="majorHAnsi"/>
          <w:color w:val="4A442A" w:themeColor="background2" w:themeShade="40"/>
          <w:sz w:val="28"/>
          <w:szCs w:val="28"/>
          <w:lang w:val="es-US"/>
        </w:rPr>
      </w:pPr>
      <w:r w:rsidRPr="00930562">
        <w:rPr>
          <w:rFonts w:asciiTheme="majorHAnsi" w:hAnsiTheme="majorHAnsi"/>
          <w:color w:val="4A442A" w:themeColor="background2" w:themeShade="40"/>
          <w:sz w:val="28"/>
          <w:szCs w:val="28"/>
          <w:lang w:val="es-US"/>
        </w:rPr>
        <w:t>Miembros</w:t>
      </w:r>
    </w:p>
    <w:p w14:paraId="46823086" w14:textId="77777777" w:rsidR="00FD6DDB" w:rsidRPr="00930562" w:rsidRDefault="00FD6DDB" w:rsidP="00FD6DDB">
      <w:pPr>
        <w:spacing w:after="0" w:line="240" w:lineRule="auto"/>
        <w:rPr>
          <w:rFonts w:asciiTheme="majorHAnsi" w:hAnsiTheme="majorHAnsi"/>
          <w:sz w:val="18"/>
          <w:lang w:val="es-US"/>
        </w:rPr>
      </w:pPr>
    </w:p>
    <w:p w14:paraId="382EF416" w14:textId="77777777" w:rsidR="00FD6DDB" w:rsidRPr="00930562" w:rsidRDefault="00FD6DDB" w:rsidP="00FD6DDB">
      <w:pPr>
        <w:spacing w:after="0" w:line="240" w:lineRule="auto"/>
        <w:rPr>
          <w:rFonts w:asciiTheme="majorHAnsi" w:hAnsiTheme="majorHAnsi"/>
          <w:sz w:val="24"/>
          <w:szCs w:val="24"/>
          <w:lang w:val="es-US"/>
        </w:rPr>
      </w:pPr>
      <w:r w:rsidRPr="00930562">
        <w:rPr>
          <w:rFonts w:asciiTheme="majorHAnsi" w:hAnsiTheme="majorHAnsi"/>
          <w:sz w:val="24"/>
          <w:szCs w:val="24"/>
          <w:lang w:val="es-US"/>
        </w:rPr>
        <w:t>Margarette May Macaulay</w:t>
      </w:r>
    </w:p>
    <w:p w14:paraId="7C56BEF7" w14:textId="77777777" w:rsidR="00FD6DDB" w:rsidRPr="00930562" w:rsidRDefault="00FD6DDB" w:rsidP="00FD6DDB">
      <w:pPr>
        <w:spacing w:after="0" w:line="240" w:lineRule="auto"/>
        <w:rPr>
          <w:rFonts w:asciiTheme="majorHAnsi" w:hAnsiTheme="majorHAnsi"/>
          <w:sz w:val="24"/>
          <w:szCs w:val="24"/>
          <w:lang w:val="es-US"/>
        </w:rPr>
      </w:pPr>
    </w:p>
    <w:p w14:paraId="26E8F4CE" w14:textId="77777777" w:rsidR="00FD6DDB" w:rsidRPr="00930562" w:rsidRDefault="00FD6DDB" w:rsidP="00FD6DDB">
      <w:pPr>
        <w:spacing w:after="0" w:line="240" w:lineRule="auto"/>
        <w:rPr>
          <w:rFonts w:asciiTheme="majorHAnsi" w:hAnsiTheme="majorHAnsi"/>
          <w:sz w:val="24"/>
          <w:szCs w:val="24"/>
          <w:lang w:val="es-US"/>
        </w:rPr>
      </w:pPr>
      <w:r w:rsidRPr="00930562">
        <w:rPr>
          <w:rFonts w:asciiTheme="majorHAnsi" w:hAnsiTheme="majorHAnsi"/>
          <w:sz w:val="24"/>
          <w:szCs w:val="24"/>
          <w:lang w:val="es-US"/>
        </w:rPr>
        <w:t>Esmeralda Arosemena Bernal de Troitiño</w:t>
      </w:r>
    </w:p>
    <w:p w14:paraId="52044C0A" w14:textId="77777777" w:rsidR="00FD6DDB" w:rsidRPr="00930562" w:rsidRDefault="00FD6DDB" w:rsidP="00FD6DDB">
      <w:pPr>
        <w:spacing w:after="0" w:line="240" w:lineRule="auto"/>
        <w:rPr>
          <w:rFonts w:asciiTheme="majorHAnsi" w:hAnsiTheme="majorHAnsi"/>
          <w:sz w:val="24"/>
          <w:szCs w:val="24"/>
          <w:lang w:val="es-US"/>
        </w:rPr>
      </w:pPr>
    </w:p>
    <w:p w14:paraId="09E6073C" w14:textId="77777777" w:rsidR="00FD6DDB" w:rsidRPr="00930562" w:rsidRDefault="00FD6DDB" w:rsidP="00FD6DDB">
      <w:pPr>
        <w:spacing w:after="0" w:line="240" w:lineRule="auto"/>
        <w:rPr>
          <w:rFonts w:asciiTheme="majorHAnsi" w:hAnsiTheme="majorHAnsi"/>
          <w:sz w:val="24"/>
          <w:szCs w:val="24"/>
          <w:lang w:val="es-US"/>
        </w:rPr>
      </w:pPr>
      <w:r w:rsidRPr="00930562">
        <w:rPr>
          <w:rFonts w:asciiTheme="majorHAnsi" w:hAnsiTheme="majorHAnsi"/>
          <w:sz w:val="24"/>
          <w:szCs w:val="24"/>
          <w:lang w:val="es-US"/>
        </w:rPr>
        <w:t>Francisco José Eguiguren Praeli</w:t>
      </w:r>
    </w:p>
    <w:p w14:paraId="58B035FA" w14:textId="77777777" w:rsidR="00FD6DDB" w:rsidRPr="00930562" w:rsidRDefault="00FD6DDB" w:rsidP="00FD6DDB">
      <w:pPr>
        <w:spacing w:after="0" w:line="240" w:lineRule="auto"/>
        <w:rPr>
          <w:rFonts w:asciiTheme="majorHAnsi" w:hAnsiTheme="majorHAnsi"/>
          <w:sz w:val="24"/>
          <w:szCs w:val="24"/>
          <w:lang w:val="es-US"/>
        </w:rPr>
      </w:pPr>
    </w:p>
    <w:p w14:paraId="7B13A5F6" w14:textId="77777777" w:rsidR="00FD6DDB" w:rsidRPr="00930562" w:rsidRDefault="00FD6DDB" w:rsidP="00FD6DDB">
      <w:pPr>
        <w:spacing w:after="0" w:line="240" w:lineRule="auto"/>
        <w:rPr>
          <w:rFonts w:asciiTheme="majorHAnsi" w:hAnsiTheme="majorHAnsi"/>
          <w:sz w:val="24"/>
          <w:szCs w:val="24"/>
          <w:lang w:val="es-US"/>
        </w:rPr>
      </w:pPr>
      <w:r w:rsidRPr="00930562">
        <w:rPr>
          <w:rFonts w:asciiTheme="majorHAnsi" w:hAnsiTheme="majorHAnsi"/>
          <w:sz w:val="24"/>
          <w:szCs w:val="24"/>
          <w:lang w:val="es-US"/>
        </w:rPr>
        <w:t>Luis Ernesto Vargas Silva</w:t>
      </w:r>
    </w:p>
    <w:p w14:paraId="3BD2CF05" w14:textId="77777777" w:rsidR="00FD6DDB" w:rsidRPr="00930562" w:rsidRDefault="00FD6DDB" w:rsidP="00FD6DDB">
      <w:pPr>
        <w:spacing w:after="0" w:line="240" w:lineRule="auto"/>
        <w:rPr>
          <w:rFonts w:asciiTheme="majorHAnsi" w:hAnsiTheme="majorHAnsi"/>
          <w:sz w:val="24"/>
          <w:szCs w:val="24"/>
          <w:lang w:val="es-US"/>
        </w:rPr>
      </w:pPr>
    </w:p>
    <w:p w14:paraId="215CC803" w14:textId="4296D5F0" w:rsidR="00FD6DDB" w:rsidRPr="00930562" w:rsidRDefault="00FD6DDB" w:rsidP="00FD6DDB">
      <w:pPr>
        <w:spacing w:after="0" w:line="240" w:lineRule="auto"/>
        <w:rPr>
          <w:rFonts w:asciiTheme="majorHAnsi" w:hAnsiTheme="majorHAnsi"/>
          <w:sz w:val="24"/>
          <w:szCs w:val="24"/>
          <w:lang w:val="es-US"/>
        </w:rPr>
      </w:pPr>
      <w:r w:rsidRPr="00930562">
        <w:rPr>
          <w:rFonts w:asciiTheme="majorHAnsi" w:hAnsiTheme="majorHAnsi"/>
          <w:sz w:val="24"/>
          <w:szCs w:val="24"/>
          <w:lang w:val="es-US"/>
        </w:rPr>
        <w:t>Joel Hernández García</w:t>
      </w:r>
    </w:p>
    <w:p w14:paraId="7F71E2B8" w14:textId="77777777" w:rsidR="00FD6DDB" w:rsidRPr="00930562" w:rsidRDefault="00FD6DDB" w:rsidP="00FD6DDB">
      <w:pPr>
        <w:spacing w:after="0" w:line="240" w:lineRule="auto"/>
        <w:rPr>
          <w:rFonts w:asciiTheme="majorHAnsi" w:hAnsiTheme="majorHAnsi"/>
          <w:sz w:val="24"/>
          <w:szCs w:val="24"/>
          <w:lang w:val="es-US"/>
        </w:rPr>
      </w:pPr>
    </w:p>
    <w:p w14:paraId="4F139F8F" w14:textId="77777777" w:rsidR="00FD6DDB" w:rsidRPr="00930562" w:rsidRDefault="00FD6DDB" w:rsidP="00FD6DDB">
      <w:pPr>
        <w:spacing w:after="0" w:line="240" w:lineRule="auto"/>
        <w:rPr>
          <w:rFonts w:asciiTheme="majorHAnsi" w:hAnsiTheme="majorHAnsi"/>
          <w:sz w:val="24"/>
          <w:szCs w:val="24"/>
          <w:lang w:val="es-US"/>
        </w:rPr>
      </w:pPr>
      <w:r w:rsidRPr="00930562">
        <w:rPr>
          <w:rFonts w:asciiTheme="majorHAnsi" w:hAnsiTheme="majorHAnsi"/>
          <w:sz w:val="24"/>
          <w:szCs w:val="24"/>
          <w:lang w:val="es-US"/>
        </w:rPr>
        <w:t>Antonia Urrejola</w:t>
      </w:r>
    </w:p>
    <w:p w14:paraId="3EDD0E63" w14:textId="77777777" w:rsidR="00FD6DDB" w:rsidRPr="00930562" w:rsidRDefault="00FD6DDB" w:rsidP="00FD6DDB">
      <w:pPr>
        <w:spacing w:after="0" w:line="240" w:lineRule="auto"/>
        <w:rPr>
          <w:rFonts w:asciiTheme="majorHAnsi" w:hAnsiTheme="majorHAnsi"/>
          <w:sz w:val="24"/>
          <w:szCs w:val="24"/>
          <w:lang w:val="es-US"/>
        </w:rPr>
      </w:pPr>
    </w:p>
    <w:p w14:paraId="417DB2D9" w14:textId="77777777" w:rsidR="00FD6DDB" w:rsidRPr="00930562" w:rsidRDefault="00FD6DDB" w:rsidP="00FD6DDB">
      <w:pPr>
        <w:spacing w:after="0" w:line="240" w:lineRule="auto"/>
        <w:rPr>
          <w:rFonts w:asciiTheme="majorHAnsi" w:hAnsiTheme="majorHAnsi"/>
          <w:sz w:val="24"/>
          <w:szCs w:val="24"/>
          <w:lang w:val="es-US"/>
        </w:rPr>
      </w:pPr>
      <w:r w:rsidRPr="00930562">
        <w:rPr>
          <w:rFonts w:asciiTheme="majorHAnsi" w:hAnsiTheme="majorHAnsi"/>
          <w:sz w:val="24"/>
          <w:szCs w:val="24"/>
          <w:lang w:val="es-US"/>
        </w:rPr>
        <w:t>Flávia Piovesan</w:t>
      </w:r>
    </w:p>
    <w:p w14:paraId="0E43023B" w14:textId="77777777" w:rsidR="00FD6DDB" w:rsidRPr="00930562" w:rsidRDefault="00FD6DDB" w:rsidP="00FD6DDB">
      <w:pPr>
        <w:spacing w:after="0" w:line="240" w:lineRule="auto"/>
        <w:rPr>
          <w:rFonts w:asciiTheme="majorHAnsi" w:hAnsiTheme="majorHAnsi"/>
          <w:sz w:val="18"/>
          <w:lang w:val="es-US"/>
        </w:rPr>
      </w:pPr>
    </w:p>
    <w:p w14:paraId="3BB94B47" w14:textId="77777777" w:rsidR="00FD6DDB" w:rsidRPr="00930562" w:rsidRDefault="00FD6DDB" w:rsidP="00FD6DDB">
      <w:pPr>
        <w:spacing w:after="0" w:line="240" w:lineRule="auto"/>
        <w:rPr>
          <w:rFonts w:asciiTheme="majorHAnsi" w:hAnsiTheme="majorHAnsi"/>
          <w:sz w:val="18"/>
          <w:lang w:val="es-US"/>
        </w:rPr>
      </w:pPr>
    </w:p>
    <w:p w14:paraId="4E89C553" w14:textId="77777777" w:rsidR="00FD6DDB" w:rsidRPr="00930562" w:rsidRDefault="00FD6DDB" w:rsidP="00FD6DDB">
      <w:pPr>
        <w:pBdr>
          <w:bottom w:val="single" w:sz="4" w:space="1" w:color="auto"/>
        </w:pBdr>
        <w:spacing w:after="0" w:line="240" w:lineRule="auto"/>
        <w:rPr>
          <w:rFonts w:asciiTheme="majorHAnsi" w:hAnsiTheme="majorHAnsi"/>
          <w:color w:val="4A442A" w:themeColor="background2" w:themeShade="40"/>
          <w:sz w:val="26"/>
          <w:szCs w:val="26"/>
          <w:lang w:val="es-US"/>
        </w:rPr>
      </w:pPr>
      <w:r w:rsidRPr="00930562">
        <w:rPr>
          <w:rFonts w:asciiTheme="majorHAnsi" w:hAnsiTheme="majorHAnsi"/>
          <w:color w:val="4A442A" w:themeColor="background2" w:themeShade="40"/>
          <w:sz w:val="26"/>
          <w:szCs w:val="26"/>
          <w:lang w:val="es-US"/>
        </w:rPr>
        <w:t>Secretario Ejecutivo</w:t>
      </w:r>
    </w:p>
    <w:p w14:paraId="0B195FCC" w14:textId="77777777" w:rsidR="00FD6DDB" w:rsidRPr="00930562" w:rsidRDefault="00FD6DDB" w:rsidP="00FD6DDB">
      <w:pPr>
        <w:spacing w:after="0" w:line="240" w:lineRule="auto"/>
        <w:rPr>
          <w:rFonts w:asciiTheme="majorHAnsi" w:hAnsiTheme="majorHAnsi"/>
          <w:sz w:val="18"/>
          <w:lang w:val="es-US"/>
        </w:rPr>
      </w:pPr>
    </w:p>
    <w:p w14:paraId="1663D586" w14:textId="77777777" w:rsidR="00FD6DDB" w:rsidRPr="00930562" w:rsidRDefault="00FD6DDB" w:rsidP="00A922E4">
      <w:pPr>
        <w:spacing w:after="360" w:line="240" w:lineRule="auto"/>
        <w:rPr>
          <w:rFonts w:asciiTheme="majorHAnsi" w:hAnsiTheme="majorHAnsi"/>
          <w:sz w:val="24"/>
          <w:szCs w:val="24"/>
          <w:lang w:val="es-US"/>
        </w:rPr>
      </w:pPr>
      <w:r w:rsidRPr="00930562">
        <w:rPr>
          <w:rFonts w:asciiTheme="majorHAnsi" w:hAnsiTheme="majorHAnsi"/>
          <w:sz w:val="24"/>
          <w:szCs w:val="24"/>
          <w:lang w:val="es-US"/>
        </w:rPr>
        <w:t>Paulo Abrão</w:t>
      </w:r>
    </w:p>
    <w:p w14:paraId="0F033D64" w14:textId="77777777" w:rsidR="00FD6DDB" w:rsidRPr="00930562" w:rsidRDefault="00FD6DDB" w:rsidP="00FD6DDB">
      <w:pPr>
        <w:pBdr>
          <w:bottom w:val="single" w:sz="4" w:space="1" w:color="auto"/>
        </w:pBdr>
        <w:spacing w:after="0" w:line="240" w:lineRule="auto"/>
        <w:rPr>
          <w:rFonts w:asciiTheme="majorHAnsi" w:hAnsiTheme="majorHAnsi"/>
          <w:color w:val="4A442A" w:themeColor="background2" w:themeShade="40"/>
          <w:sz w:val="26"/>
          <w:szCs w:val="26"/>
          <w:lang w:val="es-US"/>
        </w:rPr>
      </w:pPr>
      <w:r w:rsidRPr="00930562">
        <w:rPr>
          <w:rFonts w:asciiTheme="majorHAnsi" w:hAnsiTheme="majorHAnsi"/>
          <w:color w:val="4A442A" w:themeColor="background2" w:themeShade="40"/>
          <w:sz w:val="26"/>
          <w:szCs w:val="26"/>
          <w:lang w:val="es-US"/>
        </w:rPr>
        <w:t>Secretaria Ejecutiva Adjunta para el Monitoreo, Promoción y Cooperación Técnica en Derechos Humanos</w:t>
      </w:r>
    </w:p>
    <w:p w14:paraId="677CBE78" w14:textId="77777777" w:rsidR="00FD6DDB" w:rsidRPr="00930562" w:rsidRDefault="00FD6DDB" w:rsidP="00FD6DDB">
      <w:pPr>
        <w:spacing w:after="0" w:line="240" w:lineRule="auto"/>
        <w:rPr>
          <w:rFonts w:asciiTheme="majorHAnsi" w:hAnsiTheme="majorHAnsi"/>
          <w:sz w:val="18"/>
          <w:lang w:val="es-US"/>
        </w:rPr>
      </w:pPr>
    </w:p>
    <w:p w14:paraId="0A56D24A" w14:textId="77777777" w:rsidR="00FD6DDB" w:rsidRPr="00930562" w:rsidRDefault="00FD6DDB" w:rsidP="00A922E4">
      <w:pPr>
        <w:spacing w:after="360" w:line="240" w:lineRule="auto"/>
        <w:rPr>
          <w:rFonts w:asciiTheme="majorHAnsi" w:hAnsiTheme="majorHAnsi"/>
          <w:sz w:val="24"/>
          <w:szCs w:val="24"/>
          <w:lang w:val="es-US"/>
        </w:rPr>
      </w:pPr>
      <w:r w:rsidRPr="00930562">
        <w:rPr>
          <w:rFonts w:asciiTheme="majorHAnsi" w:hAnsiTheme="majorHAnsi"/>
          <w:sz w:val="24"/>
          <w:szCs w:val="24"/>
          <w:lang w:val="es-US"/>
        </w:rPr>
        <w:t>María Claudia Pulido</w:t>
      </w:r>
    </w:p>
    <w:p w14:paraId="3FCE13C2" w14:textId="37A3E5A0" w:rsidR="00FD6DDB" w:rsidRPr="00930562" w:rsidRDefault="00FD6DDB" w:rsidP="00FD6DDB">
      <w:pPr>
        <w:pBdr>
          <w:bottom w:val="single" w:sz="4" w:space="1" w:color="auto"/>
        </w:pBdr>
        <w:spacing w:after="0" w:line="240" w:lineRule="auto"/>
        <w:rPr>
          <w:rFonts w:asciiTheme="majorHAnsi" w:hAnsiTheme="majorHAnsi"/>
          <w:color w:val="4A442A" w:themeColor="background2" w:themeShade="40"/>
          <w:sz w:val="26"/>
          <w:szCs w:val="26"/>
          <w:lang w:val="es-US"/>
        </w:rPr>
      </w:pPr>
      <w:r w:rsidRPr="00930562">
        <w:rPr>
          <w:rFonts w:asciiTheme="majorHAnsi" w:hAnsiTheme="majorHAnsi"/>
          <w:color w:val="4A442A" w:themeColor="background2" w:themeShade="40"/>
          <w:sz w:val="26"/>
          <w:szCs w:val="26"/>
          <w:lang w:val="es-US"/>
        </w:rPr>
        <w:t>Jefa de Despacho de la Secretaría Ejecutiva de la CIDH</w:t>
      </w:r>
    </w:p>
    <w:p w14:paraId="76B60B27" w14:textId="77777777" w:rsidR="00FD6DDB" w:rsidRPr="00930562" w:rsidRDefault="00FD6DDB" w:rsidP="00FD6DDB">
      <w:pPr>
        <w:spacing w:after="0" w:line="240" w:lineRule="auto"/>
        <w:rPr>
          <w:rFonts w:asciiTheme="majorHAnsi" w:hAnsiTheme="majorHAnsi"/>
          <w:sz w:val="18"/>
          <w:lang w:val="es-US"/>
        </w:rPr>
      </w:pPr>
    </w:p>
    <w:p w14:paraId="0C271CC4" w14:textId="5FD8E020" w:rsidR="00FD6DDB" w:rsidRPr="00930562" w:rsidRDefault="00FD6DDB" w:rsidP="00A922E4">
      <w:pPr>
        <w:spacing w:after="240" w:line="240" w:lineRule="auto"/>
        <w:rPr>
          <w:rFonts w:asciiTheme="majorHAnsi" w:hAnsiTheme="majorHAnsi"/>
          <w:sz w:val="24"/>
          <w:szCs w:val="24"/>
          <w:lang w:val="es-US"/>
        </w:rPr>
      </w:pPr>
      <w:r w:rsidRPr="00930562">
        <w:rPr>
          <w:rFonts w:asciiTheme="majorHAnsi" w:hAnsiTheme="majorHAnsi"/>
          <w:sz w:val="24"/>
          <w:szCs w:val="24"/>
          <w:lang w:val="es-US"/>
        </w:rPr>
        <w:t>Marisol Bla</w:t>
      </w:r>
      <w:bookmarkStart w:id="1" w:name="_GoBack"/>
      <w:bookmarkEnd w:id="1"/>
      <w:r w:rsidRPr="00930562">
        <w:rPr>
          <w:rFonts w:asciiTheme="majorHAnsi" w:hAnsiTheme="majorHAnsi"/>
          <w:sz w:val="24"/>
          <w:szCs w:val="24"/>
          <w:lang w:val="es-US"/>
        </w:rPr>
        <w:t>nchard Vera</w:t>
      </w:r>
    </w:p>
    <w:p w14:paraId="054E9877" w14:textId="77777777" w:rsidR="00FD6DDB" w:rsidRPr="00930562" w:rsidRDefault="00FD6DDB" w:rsidP="00AA099D">
      <w:pPr>
        <w:spacing w:after="0" w:line="240" w:lineRule="auto"/>
        <w:jc w:val="center"/>
        <w:rPr>
          <w:rFonts w:asciiTheme="majorHAnsi" w:hAnsiTheme="majorHAnsi"/>
          <w:sz w:val="18"/>
          <w:lang w:val="es-US"/>
        </w:rPr>
      </w:pPr>
    </w:p>
    <w:p w14:paraId="225324D5" w14:textId="77777777" w:rsidR="004C649C" w:rsidRPr="00930562" w:rsidRDefault="004C649C" w:rsidP="00AA099D">
      <w:pPr>
        <w:spacing w:after="0" w:line="240" w:lineRule="auto"/>
        <w:jc w:val="center"/>
        <w:rPr>
          <w:rFonts w:asciiTheme="majorHAnsi" w:hAnsiTheme="majorHAnsi"/>
          <w:sz w:val="18"/>
          <w:lang w:val="es-US"/>
        </w:rPr>
        <w:sectPr w:rsidR="004C649C" w:rsidRPr="00930562" w:rsidSect="00FD6DDB">
          <w:pgSz w:w="10080" w:h="14400" w:code="13"/>
          <w:pgMar w:top="1152" w:right="1152" w:bottom="1152" w:left="1296" w:header="720" w:footer="720" w:gutter="0"/>
          <w:cols w:space="708"/>
          <w:docGrid w:linePitch="360"/>
        </w:sectPr>
      </w:pPr>
    </w:p>
    <w:p w14:paraId="6AB8C9C8" w14:textId="77777777" w:rsidR="004C649C" w:rsidRPr="00930562" w:rsidRDefault="004C649C" w:rsidP="004C649C">
      <w:pPr>
        <w:spacing w:after="0" w:line="240" w:lineRule="auto"/>
        <w:jc w:val="center"/>
        <w:rPr>
          <w:rFonts w:asciiTheme="majorHAnsi" w:hAnsiTheme="majorHAnsi"/>
          <w:sz w:val="18"/>
          <w:lang w:val="es-US"/>
        </w:rPr>
        <w:sectPr w:rsidR="004C649C" w:rsidRPr="00930562" w:rsidSect="00FD6DDB">
          <w:pgSz w:w="10080" w:h="14400" w:code="13"/>
          <w:pgMar w:top="1152" w:right="1152" w:bottom="1152" w:left="1296" w:header="720" w:footer="720" w:gutter="0"/>
          <w:cols w:space="708"/>
          <w:vAlign w:val="center"/>
          <w:docGrid w:linePitch="360"/>
        </w:sectPr>
      </w:pPr>
      <w:r w:rsidRPr="00930562">
        <w:rPr>
          <w:rFonts w:asciiTheme="majorHAnsi" w:hAnsiTheme="majorHAnsi"/>
          <w:sz w:val="18"/>
          <w:lang w:val="es-US"/>
        </w:rPr>
        <w:lastRenderedPageBreak/>
        <w:t>Aprobado por la Comisión Interamericana de Derechos Humanos el 26 de noviembre de 2018</w:t>
      </w:r>
    </w:p>
    <w:p w14:paraId="2AFA47D2" w14:textId="7232CF99" w:rsidR="00FD6DDB" w:rsidRPr="00930562" w:rsidRDefault="00FD6DDB" w:rsidP="00AA099D">
      <w:pPr>
        <w:spacing w:after="0" w:line="240" w:lineRule="auto"/>
        <w:jc w:val="center"/>
        <w:rPr>
          <w:rFonts w:asciiTheme="majorHAnsi" w:hAnsiTheme="majorHAnsi"/>
          <w:sz w:val="18"/>
          <w:lang w:val="es-US"/>
        </w:rPr>
      </w:pPr>
    </w:p>
    <w:p w14:paraId="78B52512" w14:textId="6A289DDD" w:rsidR="00FD21AD" w:rsidRPr="00930562" w:rsidRDefault="00FD21AD" w:rsidP="00724FB5">
      <w:pPr>
        <w:pStyle w:val="Heading1"/>
        <w:rPr>
          <w:lang w:val="es-US"/>
        </w:rPr>
      </w:pPr>
      <w:bookmarkStart w:id="2" w:name="_Toc517779021"/>
      <w:bookmarkStart w:id="3" w:name="_Toc517779217"/>
      <w:bookmarkStart w:id="4" w:name="_Toc531514443"/>
      <w:bookmarkEnd w:id="0"/>
      <w:r w:rsidRPr="00930562">
        <w:rPr>
          <w:lang w:val="es-US"/>
        </w:rPr>
        <w:t>ÍNDICE</w:t>
      </w:r>
      <w:bookmarkEnd w:id="2"/>
      <w:bookmarkEnd w:id="3"/>
      <w:bookmarkEnd w:id="4"/>
    </w:p>
    <w:p w14:paraId="1E0B68B6" w14:textId="18CD5ABB" w:rsidR="00F64540" w:rsidRPr="00F64540" w:rsidRDefault="00F64540" w:rsidP="00373E27">
      <w:pPr>
        <w:pStyle w:val="TOC1"/>
        <w:rPr>
          <w:rFonts w:cstheme="minorBidi"/>
          <w:lang w:val="en-US"/>
        </w:rPr>
      </w:pPr>
      <w:r w:rsidRPr="00F64540">
        <w:fldChar w:fldCharType="begin"/>
      </w:r>
      <w:r w:rsidRPr="00F64540">
        <w:instrText xml:space="preserve"> TOC \o "1-4" \h \z \u </w:instrText>
      </w:r>
      <w:r w:rsidRPr="00F64540">
        <w:fldChar w:fldCharType="separate"/>
      </w:r>
      <w:hyperlink w:anchor="_Toc531514445" w:history="1">
        <w:r w:rsidRPr="00F64540">
          <w:rPr>
            <w:rStyle w:val="Hyperlink"/>
          </w:rPr>
          <w:t>RESUMEN EJECUTIVO</w:t>
        </w:r>
        <w:r w:rsidRPr="00F64540">
          <w:rPr>
            <w:webHidden/>
          </w:rPr>
          <w:tab/>
        </w:r>
        <w:r w:rsidRPr="00F64540">
          <w:rPr>
            <w:webHidden/>
          </w:rPr>
          <w:fldChar w:fldCharType="begin"/>
        </w:r>
        <w:r w:rsidRPr="00F64540">
          <w:rPr>
            <w:webHidden/>
          </w:rPr>
          <w:instrText xml:space="preserve"> PAGEREF _Toc531514445 \h </w:instrText>
        </w:r>
        <w:r w:rsidRPr="00F64540">
          <w:rPr>
            <w:webHidden/>
          </w:rPr>
        </w:r>
        <w:r w:rsidRPr="00F64540">
          <w:rPr>
            <w:webHidden/>
          </w:rPr>
          <w:fldChar w:fldCharType="separate"/>
        </w:r>
        <w:r w:rsidR="00A922E4">
          <w:rPr>
            <w:webHidden/>
          </w:rPr>
          <w:t>11</w:t>
        </w:r>
        <w:r w:rsidRPr="00F64540">
          <w:rPr>
            <w:webHidden/>
          </w:rPr>
          <w:fldChar w:fldCharType="end"/>
        </w:r>
      </w:hyperlink>
    </w:p>
    <w:p w14:paraId="40919FF8" w14:textId="26B07829" w:rsidR="00F64540" w:rsidRPr="00F64540" w:rsidRDefault="00E91823" w:rsidP="00373E27">
      <w:pPr>
        <w:pStyle w:val="TOC1"/>
        <w:rPr>
          <w:rFonts w:cstheme="minorBidi"/>
          <w:lang w:val="en-US"/>
        </w:rPr>
      </w:pPr>
      <w:hyperlink w:anchor="_Toc531514448" w:history="1">
        <w:r w:rsidR="00F64540" w:rsidRPr="00915368">
          <w:rPr>
            <w:rStyle w:val="Hyperlink"/>
            <w:b/>
            <w:color w:val="808080" w:themeColor="background1" w:themeShade="80"/>
          </w:rPr>
          <w:t xml:space="preserve">CAPÍTULO 1 | </w:t>
        </w:r>
        <w:r w:rsidR="00F64540" w:rsidRPr="00F64540">
          <w:rPr>
            <w:rStyle w:val="Hyperlink"/>
            <w:b/>
          </w:rPr>
          <w:t xml:space="preserve"> </w:t>
        </w:r>
        <w:r w:rsidR="00F64540" w:rsidRPr="00915368">
          <w:rPr>
            <w:rStyle w:val="Hyperlink"/>
            <w:b/>
            <w:color w:val="4A442A" w:themeColor="background2" w:themeShade="40"/>
          </w:rPr>
          <w:t>INTRODUCCIÓN</w:t>
        </w:r>
        <w:r w:rsidR="00F64540" w:rsidRPr="00F64540">
          <w:rPr>
            <w:webHidden/>
          </w:rPr>
          <w:tab/>
        </w:r>
        <w:r w:rsidR="00F64540" w:rsidRPr="00F64540">
          <w:rPr>
            <w:webHidden/>
          </w:rPr>
          <w:fldChar w:fldCharType="begin"/>
        </w:r>
        <w:r w:rsidR="00F64540" w:rsidRPr="00F64540">
          <w:rPr>
            <w:webHidden/>
          </w:rPr>
          <w:instrText xml:space="preserve"> PAGEREF _Toc531514448 \h </w:instrText>
        </w:r>
        <w:r w:rsidR="00F64540" w:rsidRPr="00F64540">
          <w:rPr>
            <w:webHidden/>
          </w:rPr>
        </w:r>
        <w:r w:rsidR="00F64540" w:rsidRPr="00F64540">
          <w:rPr>
            <w:webHidden/>
          </w:rPr>
          <w:fldChar w:fldCharType="separate"/>
        </w:r>
        <w:r w:rsidR="00A922E4">
          <w:rPr>
            <w:webHidden/>
          </w:rPr>
          <w:t>19</w:t>
        </w:r>
        <w:r w:rsidR="00F64540" w:rsidRPr="00F64540">
          <w:rPr>
            <w:webHidden/>
          </w:rPr>
          <w:fldChar w:fldCharType="end"/>
        </w:r>
      </w:hyperlink>
    </w:p>
    <w:p w14:paraId="2DB2CD4E" w14:textId="77777777" w:rsidR="00F64540" w:rsidRPr="00F64540" w:rsidRDefault="00E91823" w:rsidP="00F64540">
      <w:pPr>
        <w:pStyle w:val="TOC2"/>
        <w:rPr>
          <w:rFonts w:eastAsiaTheme="minorEastAsia" w:cstheme="minorBidi"/>
          <w:lang w:val="en-US"/>
        </w:rPr>
      </w:pPr>
      <w:hyperlink w:anchor="_Toc531514449" w:history="1">
        <w:r w:rsidR="00F64540" w:rsidRPr="00F64540">
          <w:rPr>
            <w:rStyle w:val="Hyperlink"/>
          </w:rPr>
          <w:t>A.</w:t>
        </w:r>
        <w:r w:rsidR="00F64540" w:rsidRPr="00F64540">
          <w:rPr>
            <w:rFonts w:eastAsiaTheme="minorEastAsia" w:cstheme="minorBidi"/>
            <w:lang w:val="en-US"/>
          </w:rPr>
          <w:tab/>
        </w:r>
        <w:r w:rsidR="00F64540" w:rsidRPr="00F64540">
          <w:rPr>
            <w:rStyle w:val="Hyperlink"/>
          </w:rPr>
          <w:t>Fuentes de información</w:t>
        </w:r>
        <w:r w:rsidR="00F64540" w:rsidRPr="00F64540">
          <w:rPr>
            <w:webHidden/>
          </w:rPr>
          <w:tab/>
        </w:r>
        <w:r w:rsidR="00F64540" w:rsidRPr="00F64540">
          <w:rPr>
            <w:webHidden/>
          </w:rPr>
          <w:fldChar w:fldCharType="begin"/>
        </w:r>
        <w:r w:rsidR="00F64540" w:rsidRPr="00F64540">
          <w:rPr>
            <w:webHidden/>
          </w:rPr>
          <w:instrText xml:space="preserve"> PAGEREF _Toc531514449 \h </w:instrText>
        </w:r>
        <w:r w:rsidR="00F64540" w:rsidRPr="00F64540">
          <w:rPr>
            <w:webHidden/>
          </w:rPr>
        </w:r>
        <w:r w:rsidR="00F64540" w:rsidRPr="00F64540">
          <w:rPr>
            <w:webHidden/>
          </w:rPr>
          <w:fldChar w:fldCharType="separate"/>
        </w:r>
        <w:r w:rsidR="00A922E4">
          <w:rPr>
            <w:webHidden/>
          </w:rPr>
          <w:t>21</w:t>
        </w:r>
        <w:r w:rsidR="00F64540" w:rsidRPr="00F64540">
          <w:rPr>
            <w:webHidden/>
          </w:rPr>
          <w:fldChar w:fldCharType="end"/>
        </w:r>
      </w:hyperlink>
    </w:p>
    <w:p w14:paraId="3F7AFC82" w14:textId="77777777" w:rsidR="00F64540" w:rsidRPr="00F64540" w:rsidRDefault="00E91823" w:rsidP="00F64540">
      <w:pPr>
        <w:pStyle w:val="TOC3"/>
        <w:tabs>
          <w:tab w:val="clear" w:pos="8828"/>
          <w:tab w:val="right" w:pos="7560"/>
        </w:tabs>
        <w:rPr>
          <w:rFonts w:asciiTheme="majorHAnsi" w:hAnsiTheme="majorHAnsi" w:cstheme="minorBidi"/>
          <w:noProof/>
        </w:rPr>
      </w:pPr>
      <w:hyperlink w:anchor="_Toc531514450" w:history="1">
        <w:r w:rsidR="00F64540" w:rsidRPr="00F64540">
          <w:rPr>
            <w:rStyle w:val="Hyperlink"/>
            <w:rFonts w:asciiTheme="majorHAnsi" w:hAnsiTheme="majorHAnsi"/>
            <w:noProof/>
            <w:lang w:val="es-US"/>
          </w:rPr>
          <w:t>1.</w:t>
        </w:r>
        <w:r w:rsidR="00F64540" w:rsidRPr="00F64540">
          <w:rPr>
            <w:rFonts w:asciiTheme="majorHAnsi" w:hAnsiTheme="majorHAnsi" w:cstheme="minorBidi"/>
            <w:noProof/>
          </w:rPr>
          <w:tab/>
        </w:r>
        <w:r w:rsidR="00F64540" w:rsidRPr="00F64540">
          <w:rPr>
            <w:rStyle w:val="Hyperlink"/>
            <w:rFonts w:asciiTheme="majorHAnsi" w:hAnsiTheme="majorHAnsi"/>
            <w:noProof/>
            <w:lang w:val="es-US"/>
          </w:rPr>
          <w:t>Audiencias durante períodos de sesiones</w:t>
        </w:r>
        <w:r w:rsidR="00F64540" w:rsidRPr="00F64540">
          <w:rPr>
            <w:rFonts w:asciiTheme="majorHAnsi" w:hAnsiTheme="majorHAnsi"/>
            <w:noProof/>
            <w:webHidden/>
          </w:rPr>
          <w:tab/>
        </w:r>
        <w:r w:rsidR="00F64540" w:rsidRPr="00F64540">
          <w:rPr>
            <w:rFonts w:asciiTheme="majorHAnsi" w:hAnsiTheme="majorHAnsi"/>
            <w:noProof/>
            <w:webHidden/>
          </w:rPr>
          <w:fldChar w:fldCharType="begin"/>
        </w:r>
        <w:r w:rsidR="00F64540" w:rsidRPr="00F64540">
          <w:rPr>
            <w:rFonts w:asciiTheme="majorHAnsi" w:hAnsiTheme="majorHAnsi"/>
            <w:noProof/>
            <w:webHidden/>
          </w:rPr>
          <w:instrText xml:space="preserve"> PAGEREF _Toc531514450 \h </w:instrText>
        </w:r>
        <w:r w:rsidR="00F64540" w:rsidRPr="00F64540">
          <w:rPr>
            <w:rFonts w:asciiTheme="majorHAnsi" w:hAnsiTheme="majorHAnsi"/>
            <w:noProof/>
            <w:webHidden/>
          </w:rPr>
        </w:r>
        <w:r w:rsidR="00F64540" w:rsidRPr="00F64540">
          <w:rPr>
            <w:rFonts w:asciiTheme="majorHAnsi" w:hAnsiTheme="majorHAnsi"/>
            <w:noProof/>
            <w:webHidden/>
          </w:rPr>
          <w:fldChar w:fldCharType="separate"/>
        </w:r>
        <w:r w:rsidR="00A922E4">
          <w:rPr>
            <w:rFonts w:asciiTheme="majorHAnsi" w:hAnsiTheme="majorHAnsi"/>
            <w:noProof/>
            <w:webHidden/>
          </w:rPr>
          <w:t>21</w:t>
        </w:r>
        <w:r w:rsidR="00F64540" w:rsidRPr="00F64540">
          <w:rPr>
            <w:rFonts w:asciiTheme="majorHAnsi" w:hAnsiTheme="majorHAnsi"/>
            <w:noProof/>
            <w:webHidden/>
          </w:rPr>
          <w:fldChar w:fldCharType="end"/>
        </w:r>
      </w:hyperlink>
    </w:p>
    <w:p w14:paraId="6C35D287" w14:textId="77777777" w:rsidR="00F64540" w:rsidRPr="00F64540" w:rsidRDefault="00E91823" w:rsidP="00F64540">
      <w:pPr>
        <w:pStyle w:val="TOC3"/>
        <w:tabs>
          <w:tab w:val="clear" w:pos="8828"/>
          <w:tab w:val="right" w:pos="7560"/>
        </w:tabs>
        <w:rPr>
          <w:rFonts w:asciiTheme="majorHAnsi" w:hAnsiTheme="majorHAnsi" w:cstheme="minorBidi"/>
          <w:noProof/>
        </w:rPr>
      </w:pPr>
      <w:hyperlink w:anchor="_Toc531514451" w:history="1">
        <w:r w:rsidR="00F64540" w:rsidRPr="00F64540">
          <w:rPr>
            <w:rStyle w:val="Hyperlink"/>
            <w:rFonts w:asciiTheme="majorHAnsi" w:hAnsiTheme="majorHAnsi"/>
            <w:noProof/>
            <w:lang w:val="es-US"/>
          </w:rPr>
          <w:t>2.</w:t>
        </w:r>
        <w:r w:rsidR="00F64540" w:rsidRPr="00F64540">
          <w:rPr>
            <w:rFonts w:asciiTheme="majorHAnsi" w:hAnsiTheme="majorHAnsi" w:cstheme="minorBidi"/>
            <w:noProof/>
          </w:rPr>
          <w:tab/>
        </w:r>
        <w:r w:rsidR="00F64540" w:rsidRPr="00F64540">
          <w:rPr>
            <w:rStyle w:val="Hyperlink"/>
            <w:rFonts w:asciiTheme="majorHAnsi" w:hAnsiTheme="majorHAnsi"/>
            <w:noProof/>
            <w:lang w:val="es-US"/>
          </w:rPr>
          <w:t>Visita de trabajo</w:t>
        </w:r>
        <w:r w:rsidR="00F64540" w:rsidRPr="00F64540">
          <w:rPr>
            <w:rFonts w:asciiTheme="majorHAnsi" w:hAnsiTheme="majorHAnsi"/>
            <w:noProof/>
            <w:webHidden/>
          </w:rPr>
          <w:tab/>
        </w:r>
        <w:r w:rsidR="00F64540" w:rsidRPr="00F64540">
          <w:rPr>
            <w:rFonts w:asciiTheme="majorHAnsi" w:hAnsiTheme="majorHAnsi"/>
            <w:noProof/>
            <w:webHidden/>
          </w:rPr>
          <w:fldChar w:fldCharType="begin"/>
        </w:r>
        <w:r w:rsidR="00F64540" w:rsidRPr="00F64540">
          <w:rPr>
            <w:rFonts w:asciiTheme="majorHAnsi" w:hAnsiTheme="majorHAnsi"/>
            <w:noProof/>
            <w:webHidden/>
          </w:rPr>
          <w:instrText xml:space="preserve"> PAGEREF _Toc531514451 \h </w:instrText>
        </w:r>
        <w:r w:rsidR="00F64540" w:rsidRPr="00F64540">
          <w:rPr>
            <w:rFonts w:asciiTheme="majorHAnsi" w:hAnsiTheme="majorHAnsi"/>
            <w:noProof/>
            <w:webHidden/>
          </w:rPr>
        </w:r>
        <w:r w:rsidR="00F64540" w:rsidRPr="00F64540">
          <w:rPr>
            <w:rFonts w:asciiTheme="majorHAnsi" w:hAnsiTheme="majorHAnsi"/>
            <w:noProof/>
            <w:webHidden/>
          </w:rPr>
          <w:fldChar w:fldCharType="separate"/>
        </w:r>
        <w:r w:rsidR="00A922E4">
          <w:rPr>
            <w:rFonts w:asciiTheme="majorHAnsi" w:hAnsiTheme="majorHAnsi"/>
            <w:noProof/>
            <w:webHidden/>
          </w:rPr>
          <w:t>23</w:t>
        </w:r>
        <w:r w:rsidR="00F64540" w:rsidRPr="00F64540">
          <w:rPr>
            <w:rFonts w:asciiTheme="majorHAnsi" w:hAnsiTheme="majorHAnsi"/>
            <w:noProof/>
            <w:webHidden/>
          </w:rPr>
          <w:fldChar w:fldCharType="end"/>
        </w:r>
      </w:hyperlink>
    </w:p>
    <w:p w14:paraId="67DA73EF" w14:textId="77777777" w:rsidR="00F64540" w:rsidRPr="00F64540" w:rsidRDefault="00E91823" w:rsidP="00F64540">
      <w:pPr>
        <w:pStyle w:val="TOC3"/>
        <w:tabs>
          <w:tab w:val="clear" w:pos="8828"/>
          <w:tab w:val="right" w:pos="7560"/>
        </w:tabs>
        <w:rPr>
          <w:rFonts w:asciiTheme="majorHAnsi" w:hAnsiTheme="majorHAnsi" w:cstheme="minorBidi"/>
          <w:noProof/>
        </w:rPr>
      </w:pPr>
      <w:hyperlink w:anchor="_Toc531514452" w:history="1">
        <w:r w:rsidR="00F64540" w:rsidRPr="00F64540">
          <w:rPr>
            <w:rStyle w:val="Hyperlink"/>
            <w:rFonts w:asciiTheme="majorHAnsi" w:hAnsiTheme="majorHAnsi"/>
            <w:noProof/>
            <w:lang w:val="es-US"/>
          </w:rPr>
          <w:t>3.</w:t>
        </w:r>
        <w:r w:rsidR="00F64540" w:rsidRPr="00F64540">
          <w:rPr>
            <w:rFonts w:asciiTheme="majorHAnsi" w:hAnsiTheme="majorHAnsi" w:cstheme="minorBidi"/>
            <w:noProof/>
          </w:rPr>
          <w:tab/>
        </w:r>
        <w:r w:rsidR="00F64540" w:rsidRPr="00F64540">
          <w:rPr>
            <w:rStyle w:val="Hyperlink"/>
            <w:rFonts w:asciiTheme="majorHAnsi" w:hAnsiTheme="majorHAnsi"/>
            <w:noProof/>
            <w:lang w:val="es-US"/>
          </w:rPr>
          <w:t>Comunicados de Prensa</w:t>
        </w:r>
        <w:r w:rsidR="00F64540" w:rsidRPr="00F64540">
          <w:rPr>
            <w:rFonts w:asciiTheme="majorHAnsi" w:hAnsiTheme="majorHAnsi"/>
            <w:noProof/>
            <w:webHidden/>
          </w:rPr>
          <w:tab/>
        </w:r>
        <w:r w:rsidR="00F64540" w:rsidRPr="00F64540">
          <w:rPr>
            <w:rFonts w:asciiTheme="majorHAnsi" w:hAnsiTheme="majorHAnsi"/>
            <w:noProof/>
            <w:webHidden/>
          </w:rPr>
          <w:fldChar w:fldCharType="begin"/>
        </w:r>
        <w:r w:rsidR="00F64540" w:rsidRPr="00F64540">
          <w:rPr>
            <w:rFonts w:asciiTheme="majorHAnsi" w:hAnsiTheme="majorHAnsi"/>
            <w:noProof/>
            <w:webHidden/>
          </w:rPr>
          <w:instrText xml:space="preserve"> PAGEREF _Toc531514452 \h </w:instrText>
        </w:r>
        <w:r w:rsidR="00F64540" w:rsidRPr="00F64540">
          <w:rPr>
            <w:rFonts w:asciiTheme="majorHAnsi" w:hAnsiTheme="majorHAnsi"/>
            <w:noProof/>
            <w:webHidden/>
          </w:rPr>
        </w:r>
        <w:r w:rsidR="00F64540" w:rsidRPr="00F64540">
          <w:rPr>
            <w:rFonts w:asciiTheme="majorHAnsi" w:hAnsiTheme="majorHAnsi"/>
            <w:noProof/>
            <w:webHidden/>
          </w:rPr>
          <w:fldChar w:fldCharType="separate"/>
        </w:r>
        <w:r w:rsidR="00A922E4">
          <w:rPr>
            <w:rFonts w:asciiTheme="majorHAnsi" w:hAnsiTheme="majorHAnsi"/>
            <w:noProof/>
            <w:webHidden/>
          </w:rPr>
          <w:t>25</w:t>
        </w:r>
        <w:r w:rsidR="00F64540" w:rsidRPr="00F64540">
          <w:rPr>
            <w:rFonts w:asciiTheme="majorHAnsi" w:hAnsiTheme="majorHAnsi"/>
            <w:noProof/>
            <w:webHidden/>
          </w:rPr>
          <w:fldChar w:fldCharType="end"/>
        </w:r>
      </w:hyperlink>
    </w:p>
    <w:p w14:paraId="429E916F" w14:textId="77777777" w:rsidR="00F64540" w:rsidRPr="00F64540" w:rsidRDefault="00E91823" w:rsidP="00F64540">
      <w:pPr>
        <w:pStyle w:val="TOC3"/>
        <w:tabs>
          <w:tab w:val="clear" w:pos="8828"/>
          <w:tab w:val="right" w:pos="7560"/>
        </w:tabs>
        <w:rPr>
          <w:rFonts w:asciiTheme="majorHAnsi" w:hAnsiTheme="majorHAnsi" w:cstheme="minorBidi"/>
          <w:noProof/>
        </w:rPr>
      </w:pPr>
      <w:hyperlink w:anchor="_Toc531514453" w:history="1">
        <w:r w:rsidR="00F64540" w:rsidRPr="00F64540">
          <w:rPr>
            <w:rStyle w:val="Hyperlink"/>
            <w:rFonts w:asciiTheme="majorHAnsi" w:hAnsiTheme="majorHAnsi"/>
            <w:noProof/>
            <w:lang w:val="es-US"/>
          </w:rPr>
          <w:t>4.</w:t>
        </w:r>
        <w:r w:rsidR="00F64540" w:rsidRPr="00F64540">
          <w:rPr>
            <w:rFonts w:asciiTheme="majorHAnsi" w:hAnsiTheme="majorHAnsi" w:cstheme="minorBidi"/>
            <w:noProof/>
          </w:rPr>
          <w:tab/>
        </w:r>
        <w:r w:rsidR="00F64540" w:rsidRPr="00F64540">
          <w:rPr>
            <w:rStyle w:val="Hyperlink"/>
            <w:rFonts w:asciiTheme="majorHAnsi" w:hAnsiTheme="majorHAnsi"/>
            <w:noProof/>
            <w:lang w:val="es-US"/>
          </w:rPr>
          <w:t>Fuentes adicionales</w:t>
        </w:r>
        <w:r w:rsidR="00F64540" w:rsidRPr="00F64540">
          <w:rPr>
            <w:rFonts w:asciiTheme="majorHAnsi" w:hAnsiTheme="majorHAnsi"/>
            <w:noProof/>
            <w:webHidden/>
          </w:rPr>
          <w:tab/>
        </w:r>
        <w:r w:rsidR="00F64540" w:rsidRPr="00F64540">
          <w:rPr>
            <w:rFonts w:asciiTheme="majorHAnsi" w:hAnsiTheme="majorHAnsi"/>
            <w:noProof/>
            <w:webHidden/>
          </w:rPr>
          <w:fldChar w:fldCharType="begin"/>
        </w:r>
        <w:r w:rsidR="00F64540" w:rsidRPr="00F64540">
          <w:rPr>
            <w:rFonts w:asciiTheme="majorHAnsi" w:hAnsiTheme="majorHAnsi"/>
            <w:noProof/>
            <w:webHidden/>
          </w:rPr>
          <w:instrText xml:space="preserve"> PAGEREF _Toc531514453 \h </w:instrText>
        </w:r>
        <w:r w:rsidR="00F64540" w:rsidRPr="00F64540">
          <w:rPr>
            <w:rFonts w:asciiTheme="majorHAnsi" w:hAnsiTheme="majorHAnsi"/>
            <w:noProof/>
            <w:webHidden/>
          </w:rPr>
        </w:r>
        <w:r w:rsidR="00F64540" w:rsidRPr="00F64540">
          <w:rPr>
            <w:rFonts w:asciiTheme="majorHAnsi" w:hAnsiTheme="majorHAnsi"/>
            <w:noProof/>
            <w:webHidden/>
          </w:rPr>
          <w:fldChar w:fldCharType="separate"/>
        </w:r>
        <w:r w:rsidR="00A922E4">
          <w:rPr>
            <w:rFonts w:asciiTheme="majorHAnsi" w:hAnsiTheme="majorHAnsi"/>
            <w:noProof/>
            <w:webHidden/>
          </w:rPr>
          <w:t>26</w:t>
        </w:r>
        <w:r w:rsidR="00F64540" w:rsidRPr="00F64540">
          <w:rPr>
            <w:rFonts w:asciiTheme="majorHAnsi" w:hAnsiTheme="majorHAnsi"/>
            <w:noProof/>
            <w:webHidden/>
          </w:rPr>
          <w:fldChar w:fldCharType="end"/>
        </w:r>
      </w:hyperlink>
    </w:p>
    <w:p w14:paraId="583E2198" w14:textId="77777777" w:rsidR="00F64540" w:rsidRPr="00F64540" w:rsidRDefault="00E91823" w:rsidP="00F64540">
      <w:pPr>
        <w:pStyle w:val="TOC2"/>
        <w:rPr>
          <w:rFonts w:eastAsiaTheme="minorEastAsia" w:cstheme="minorBidi"/>
          <w:b/>
          <w:lang w:val="en-US"/>
        </w:rPr>
      </w:pPr>
      <w:hyperlink w:anchor="_Toc531514454" w:history="1">
        <w:r w:rsidR="00F64540" w:rsidRPr="00F64540">
          <w:rPr>
            <w:rStyle w:val="Hyperlink"/>
          </w:rPr>
          <w:t>B.</w:t>
        </w:r>
        <w:r w:rsidR="00F64540" w:rsidRPr="00F64540">
          <w:rPr>
            <w:rFonts w:eastAsiaTheme="minorEastAsia" w:cstheme="minorBidi"/>
            <w:b/>
            <w:lang w:val="en-US"/>
          </w:rPr>
          <w:tab/>
        </w:r>
        <w:r w:rsidR="00F64540" w:rsidRPr="00F64540">
          <w:rPr>
            <w:rStyle w:val="Hyperlink"/>
          </w:rPr>
          <w:t>La Competencia de la Comisión Interamericana sobre los Estados Unidos</w:t>
        </w:r>
        <w:r w:rsidR="00F64540" w:rsidRPr="00F64540">
          <w:rPr>
            <w:webHidden/>
          </w:rPr>
          <w:tab/>
        </w:r>
        <w:r w:rsidR="00F64540" w:rsidRPr="00F64540">
          <w:rPr>
            <w:webHidden/>
          </w:rPr>
          <w:fldChar w:fldCharType="begin"/>
        </w:r>
        <w:r w:rsidR="00F64540" w:rsidRPr="00F64540">
          <w:rPr>
            <w:webHidden/>
          </w:rPr>
          <w:instrText xml:space="preserve"> PAGEREF _Toc531514454 \h </w:instrText>
        </w:r>
        <w:r w:rsidR="00F64540" w:rsidRPr="00F64540">
          <w:rPr>
            <w:webHidden/>
          </w:rPr>
        </w:r>
        <w:r w:rsidR="00F64540" w:rsidRPr="00F64540">
          <w:rPr>
            <w:webHidden/>
          </w:rPr>
          <w:fldChar w:fldCharType="separate"/>
        </w:r>
        <w:r w:rsidR="00A922E4">
          <w:rPr>
            <w:webHidden/>
          </w:rPr>
          <w:t>27</w:t>
        </w:r>
        <w:r w:rsidR="00F64540" w:rsidRPr="00F64540">
          <w:rPr>
            <w:webHidden/>
          </w:rPr>
          <w:fldChar w:fldCharType="end"/>
        </w:r>
      </w:hyperlink>
    </w:p>
    <w:p w14:paraId="380F34F1" w14:textId="60CB6BAE" w:rsidR="00F64540" w:rsidRPr="00F64540" w:rsidRDefault="00E91823" w:rsidP="00373E27">
      <w:pPr>
        <w:pStyle w:val="TOC1"/>
        <w:rPr>
          <w:rFonts w:cstheme="minorBidi"/>
          <w:lang w:val="en-US"/>
        </w:rPr>
      </w:pPr>
      <w:hyperlink w:anchor="_Toc531514457" w:history="1">
        <w:r w:rsidR="00F64540" w:rsidRPr="00915368">
          <w:rPr>
            <w:rStyle w:val="Hyperlink"/>
            <w:b/>
            <w:color w:val="808080" w:themeColor="background1" w:themeShade="80"/>
          </w:rPr>
          <w:t>CAPÍTULO 2 |</w:t>
        </w:r>
        <w:r w:rsidR="00F64540" w:rsidRPr="00F64540">
          <w:rPr>
            <w:rStyle w:val="Hyperlink"/>
            <w:b/>
          </w:rPr>
          <w:t xml:space="preserve">  </w:t>
        </w:r>
        <w:r w:rsidR="00F64540" w:rsidRPr="00F64540">
          <w:rPr>
            <w:rStyle w:val="Hyperlink"/>
            <w:b/>
          </w:rPr>
          <w:tab/>
        </w:r>
        <w:r w:rsidR="00F64540" w:rsidRPr="00915368">
          <w:rPr>
            <w:rStyle w:val="Hyperlink"/>
            <w:b/>
            <w:color w:val="4A442A" w:themeColor="background2" w:themeShade="40"/>
          </w:rPr>
          <w:t xml:space="preserve">DISCRIMINACIÓN ESTRUCTURAL Y USO EXCESIVO </w:t>
        </w:r>
        <w:r w:rsidR="00F64540" w:rsidRPr="00915368">
          <w:rPr>
            <w:rStyle w:val="Hyperlink"/>
            <w:b/>
            <w:color w:val="4A442A" w:themeColor="background2" w:themeShade="40"/>
          </w:rPr>
          <w:br/>
          <w:t>DE LA FUERZA EN ESTADOS UNIDOS</w:t>
        </w:r>
        <w:r w:rsidR="00F64540" w:rsidRPr="00F64540">
          <w:rPr>
            <w:webHidden/>
          </w:rPr>
          <w:tab/>
        </w:r>
        <w:r w:rsidR="00F64540" w:rsidRPr="00F64540">
          <w:rPr>
            <w:webHidden/>
          </w:rPr>
          <w:fldChar w:fldCharType="begin"/>
        </w:r>
        <w:r w:rsidR="00F64540" w:rsidRPr="00F64540">
          <w:rPr>
            <w:webHidden/>
          </w:rPr>
          <w:instrText xml:space="preserve"> PAGEREF _Toc531514457 \h </w:instrText>
        </w:r>
        <w:r w:rsidR="00F64540" w:rsidRPr="00F64540">
          <w:rPr>
            <w:webHidden/>
          </w:rPr>
        </w:r>
        <w:r w:rsidR="00F64540" w:rsidRPr="00F64540">
          <w:rPr>
            <w:webHidden/>
          </w:rPr>
          <w:fldChar w:fldCharType="separate"/>
        </w:r>
        <w:r w:rsidR="00A922E4">
          <w:rPr>
            <w:webHidden/>
          </w:rPr>
          <w:t>33</w:t>
        </w:r>
        <w:r w:rsidR="00F64540" w:rsidRPr="00F64540">
          <w:rPr>
            <w:webHidden/>
          </w:rPr>
          <w:fldChar w:fldCharType="end"/>
        </w:r>
      </w:hyperlink>
    </w:p>
    <w:p w14:paraId="3A6ED7B8" w14:textId="77777777" w:rsidR="00F64540" w:rsidRPr="00F64540" w:rsidRDefault="00E91823" w:rsidP="00F64540">
      <w:pPr>
        <w:pStyle w:val="TOC2"/>
        <w:rPr>
          <w:rFonts w:eastAsiaTheme="minorEastAsia" w:cstheme="minorBidi"/>
          <w:b/>
          <w:lang w:val="en-US"/>
        </w:rPr>
      </w:pPr>
      <w:hyperlink w:anchor="_Toc531514458" w:history="1">
        <w:r w:rsidR="00F64540" w:rsidRPr="00F64540">
          <w:rPr>
            <w:rStyle w:val="Hyperlink"/>
          </w:rPr>
          <w:t>A.</w:t>
        </w:r>
        <w:r w:rsidR="00F64540" w:rsidRPr="00F64540">
          <w:rPr>
            <w:rFonts w:eastAsiaTheme="minorEastAsia" w:cstheme="minorBidi"/>
            <w:b/>
            <w:lang w:val="en-US"/>
          </w:rPr>
          <w:tab/>
        </w:r>
        <w:r w:rsidR="00F64540" w:rsidRPr="00F64540">
          <w:rPr>
            <w:rStyle w:val="Hyperlink"/>
          </w:rPr>
          <w:t>Consideraciones preliminares sobre discriminación estructural</w:t>
        </w:r>
        <w:r w:rsidR="00F64540" w:rsidRPr="00F64540">
          <w:rPr>
            <w:webHidden/>
          </w:rPr>
          <w:tab/>
        </w:r>
        <w:r w:rsidR="00F64540" w:rsidRPr="00F64540">
          <w:rPr>
            <w:webHidden/>
          </w:rPr>
          <w:fldChar w:fldCharType="begin"/>
        </w:r>
        <w:r w:rsidR="00F64540" w:rsidRPr="00F64540">
          <w:rPr>
            <w:webHidden/>
          </w:rPr>
          <w:instrText xml:space="preserve"> PAGEREF _Toc531514458 \h </w:instrText>
        </w:r>
        <w:r w:rsidR="00F64540" w:rsidRPr="00F64540">
          <w:rPr>
            <w:webHidden/>
          </w:rPr>
        </w:r>
        <w:r w:rsidR="00F64540" w:rsidRPr="00F64540">
          <w:rPr>
            <w:webHidden/>
          </w:rPr>
          <w:fldChar w:fldCharType="separate"/>
        </w:r>
        <w:r w:rsidR="00A922E4">
          <w:rPr>
            <w:webHidden/>
          </w:rPr>
          <w:t>34</w:t>
        </w:r>
        <w:r w:rsidR="00F64540" w:rsidRPr="00F64540">
          <w:rPr>
            <w:webHidden/>
          </w:rPr>
          <w:fldChar w:fldCharType="end"/>
        </w:r>
      </w:hyperlink>
    </w:p>
    <w:p w14:paraId="49568356" w14:textId="77777777" w:rsidR="00F64540" w:rsidRPr="00F64540" w:rsidRDefault="00E91823" w:rsidP="00F64540">
      <w:pPr>
        <w:pStyle w:val="TOC2"/>
        <w:rPr>
          <w:rFonts w:eastAsiaTheme="minorEastAsia" w:cstheme="minorBidi"/>
          <w:b/>
          <w:lang w:val="en-US"/>
        </w:rPr>
      </w:pPr>
      <w:hyperlink w:anchor="_Toc531514459" w:history="1">
        <w:r w:rsidR="00F64540" w:rsidRPr="00F64540">
          <w:rPr>
            <w:rStyle w:val="Hyperlink"/>
          </w:rPr>
          <w:t>B.</w:t>
        </w:r>
        <w:r w:rsidR="00F64540" w:rsidRPr="00F64540">
          <w:rPr>
            <w:rFonts w:eastAsiaTheme="minorEastAsia" w:cstheme="minorBidi"/>
            <w:b/>
            <w:lang w:val="en-US"/>
          </w:rPr>
          <w:tab/>
        </w:r>
        <w:r w:rsidR="00F64540" w:rsidRPr="00F64540">
          <w:rPr>
            <w:rStyle w:val="Hyperlink"/>
          </w:rPr>
          <w:t>Reseña histórica de la discriminación y el racismo en los Estados Unidos</w:t>
        </w:r>
        <w:r w:rsidR="00F64540" w:rsidRPr="00F64540">
          <w:rPr>
            <w:webHidden/>
          </w:rPr>
          <w:tab/>
        </w:r>
        <w:r w:rsidR="00F64540" w:rsidRPr="00F64540">
          <w:rPr>
            <w:webHidden/>
          </w:rPr>
          <w:fldChar w:fldCharType="begin"/>
        </w:r>
        <w:r w:rsidR="00F64540" w:rsidRPr="00F64540">
          <w:rPr>
            <w:webHidden/>
          </w:rPr>
          <w:instrText xml:space="preserve"> PAGEREF _Toc531514459 \h </w:instrText>
        </w:r>
        <w:r w:rsidR="00F64540" w:rsidRPr="00F64540">
          <w:rPr>
            <w:webHidden/>
          </w:rPr>
        </w:r>
        <w:r w:rsidR="00F64540" w:rsidRPr="00F64540">
          <w:rPr>
            <w:webHidden/>
          </w:rPr>
          <w:fldChar w:fldCharType="separate"/>
        </w:r>
        <w:r w:rsidR="00A922E4">
          <w:rPr>
            <w:webHidden/>
          </w:rPr>
          <w:t>37</w:t>
        </w:r>
        <w:r w:rsidR="00F64540" w:rsidRPr="00F64540">
          <w:rPr>
            <w:webHidden/>
          </w:rPr>
          <w:fldChar w:fldCharType="end"/>
        </w:r>
      </w:hyperlink>
    </w:p>
    <w:p w14:paraId="16F95DC0" w14:textId="588F0021" w:rsidR="00F64540" w:rsidRPr="00F64540" w:rsidRDefault="00E91823" w:rsidP="00F64540">
      <w:pPr>
        <w:pStyle w:val="TOC2"/>
        <w:rPr>
          <w:rFonts w:eastAsiaTheme="minorEastAsia" w:cstheme="minorBidi"/>
          <w:b/>
          <w:lang w:val="en-US"/>
        </w:rPr>
      </w:pPr>
      <w:hyperlink w:anchor="_Toc531514460" w:history="1">
        <w:r w:rsidR="00F64540" w:rsidRPr="00F64540">
          <w:rPr>
            <w:rStyle w:val="Hyperlink"/>
            <w:rFonts w:eastAsia="Calibri"/>
          </w:rPr>
          <w:t>C.</w:t>
        </w:r>
        <w:r w:rsidR="00F64540" w:rsidRPr="00F64540">
          <w:rPr>
            <w:rFonts w:eastAsiaTheme="minorEastAsia" w:cstheme="minorBidi"/>
            <w:b/>
            <w:lang w:val="en-US"/>
          </w:rPr>
          <w:tab/>
        </w:r>
        <w:r w:rsidR="00F64540" w:rsidRPr="00F64540">
          <w:rPr>
            <w:rStyle w:val="Hyperlink"/>
            <w:rFonts w:eastAsia="Calibri"/>
          </w:rPr>
          <w:t xml:space="preserve">Problemáticas claves identificadas a través de los mecanismos </w:t>
        </w:r>
        <w:r w:rsidR="00915368">
          <w:rPr>
            <w:rStyle w:val="Hyperlink"/>
            <w:rFonts w:eastAsia="Calibri"/>
          </w:rPr>
          <w:br/>
        </w:r>
        <w:r w:rsidR="00F64540" w:rsidRPr="00F64540">
          <w:rPr>
            <w:rStyle w:val="Hyperlink"/>
            <w:rFonts w:eastAsia="Calibri"/>
          </w:rPr>
          <w:t>de monitoreo de la CIDH</w:t>
        </w:r>
        <w:r w:rsidR="00F64540" w:rsidRPr="00F64540">
          <w:rPr>
            <w:webHidden/>
          </w:rPr>
          <w:tab/>
        </w:r>
        <w:r w:rsidR="00F64540" w:rsidRPr="00F64540">
          <w:rPr>
            <w:webHidden/>
          </w:rPr>
          <w:fldChar w:fldCharType="begin"/>
        </w:r>
        <w:r w:rsidR="00F64540" w:rsidRPr="00F64540">
          <w:rPr>
            <w:webHidden/>
          </w:rPr>
          <w:instrText xml:space="preserve"> PAGEREF _Toc531514460 \h </w:instrText>
        </w:r>
        <w:r w:rsidR="00F64540" w:rsidRPr="00F64540">
          <w:rPr>
            <w:webHidden/>
          </w:rPr>
        </w:r>
        <w:r w:rsidR="00F64540" w:rsidRPr="00F64540">
          <w:rPr>
            <w:webHidden/>
          </w:rPr>
          <w:fldChar w:fldCharType="separate"/>
        </w:r>
        <w:r w:rsidR="00A922E4">
          <w:rPr>
            <w:webHidden/>
          </w:rPr>
          <w:t>48</w:t>
        </w:r>
        <w:r w:rsidR="00F64540" w:rsidRPr="00F64540">
          <w:rPr>
            <w:webHidden/>
          </w:rPr>
          <w:fldChar w:fldCharType="end"/>
        </w:r>
      </w:hyperlink>
    </w:p>
    <w:p w14:paraId="778E4A9D" w14:textId="0104CB3B" w:rsidR="00F64540" w:rsidRPr="00F64540" w:rsidRDefault="00E91823" w:rsidP="00F64540">
      <w:pPr>
        <w:pStyle w:val="TOC3"/>
        <w:tabs>
          <w:tab w:val="clear" w:pos="8828"/>
          <w:tab w:val="right" w:pos="7560"/>
        </w:tabs>
        <w:rPr>
          <w:rFonts w:asciiTheme="majorHAnsi" w:hAnsiTheme="majorHAnsi" w:cstheme="minorBidi"/>
          <w:noProof/>
        </w:rPr>
      </w:pPr>
      <w:hyperlink w:anchor="_Toc531514461" w:history="1">
        <w:r w:rsidR="00F64540" w:rsidRPr="00F64540">
          <w:rPr>
            <w:rStyle w:val="Hyperlink"/>
            <w:rFonts w:asciiTheme="majorHAnsi" w:hAnsiTheme="majorHAnsi"/>
            <w:noProof/>
            <w:lang w:val="es-US"/>
          </w:rPr>
          <w:t>1.</w:t>
        </w:r>
        <w:r w:rsidR="00F64540" w:rsidRPr="00F64540">
          <w:rPr>
            <w:rFonts w:asciiTheme="majorHAnsi" w:hAnsiTheme="majorHAnsi" w:cstheme="minorBidi"/>
            <w:noProof/>
          </w:rPr>
          <w:tab/>
        </w:r>
        <w:r w:rsidR="00F64540" w:rsidRPr="00F64540">
          <w:rPr>
            <w:rStyle w:val="Hyperlink"/>
            <w:rFonts w:asciiTheme="majorHAnsi" w:hAnsiTheme="majorHAnsi"/>
            <w:noProof/>
            <w:lang w:val="es-US"/>
          </w:rPr>
          <w:t xml:space="preserve">Aspectos de la discriminación racial en prácticas y resultados </w:t>
        </w:r>
        <w:r w:rsidR="00915368">
          <w:rPr>
            <w:rStyle w:val="Hyperlink"/>
            <w:rFonts w:asciiTheme="majorHAnsi" w:hAnsiTheme="majorHAnsi"/>
            <w:noProof/>
            <w:lang w:val="es-US"/>
          </w:rPr>
          <w:br/>
        </w:r>
        <w:r w:rsidR="00F64540" w:rsidRPr="00F64540">
          <w:rPr>
            <w:rStyle w:val="Hyperlink"/>
            <w:rFonts w:asciiTheme="majorHAnsi" w:hAnsiTheme="majorHAnsi"/>
            <w:noProof/>
            <w:lang w:val="es-US"/>
          </w:rPr>
          <w:t>de la vigilancia policial</w:t>
        </w:r>
        <w:r w:rsidR="00F64540" w:rsidRPr="00F64540">
          <w:rPr>
            <w:rFonts w:asciiTheme="majorHAnsi" w:hAnsiTheme="majorHAnsi"/>
            <w:noProof/>
            <w:webHidden/>
          </w:rPr>
          <w:tab/>
        </w:r>
        <w:r w:rsidR="00F64540" w:rsidRPr="00F64540">
          <w:rPr>
            <w:rFonts w:asciiTheme="majorHAnsi" w:hAnsiTheme="majorHAnsi"/>
            <w:noProof/>
            <w:webHidden/>
          </w:rPr>
          <w:fldChar w:fldCharType="begin"/>
        </w:r>
        <w:r w:rsidR="00F64540" w:rsidRPr="00F64540">
          <w:rPr>
            <w:rFonts w:asciiTheme="majorHAnsi" w:hAnsiTheme="majorHAnsi"/>
            <w:noProof/>
            <w:webHidden/>
          </w:rPr>
          <w:instrText xml:space="preserve"> PAGEREF _Toc531514461 \h </w:instrText>
        </w:r>
        <w:r w:rsidR="00F64540" w:rsidRPr="00F64540">
          <w:rPr>
            <w:rFonts w:asciiTheme="majorHAnsi" w:hAnsiTheme="majorHAnsi"/>
            <w:noProof/>
            <w:webHidden/>
          </w:rPr>
        </w:r>
        <w:r w:rsidR="00F64540" w:rsidRPr="00F64540">
          <w:rPr>
            <w:rFonts w:asciiTheme="majorHAnsi" w:hAnsiTheme="majorHAnsi"/>
            <w:noProof/>
            <w:webHidden/>
          </w:rPr>
          <w:fldChar w:fldCharType="separate"/>
        </w:r>
        <w:r w:rsidR="00A922E4">
          <w:rPr>
            <w:rFonts w:asciiTheme="majorHAnsi" w:hAnsiTheme="majorHAnsi"/>
            <w:noProof/>
            <w:webHidden/>
          </w:rPr>
          <w:t>48</w:t>
        </w:r>
        <w:r w:rsidR="00F64540" w:rsidRPr="00F64540">
          <w:rPr>
            <w:rFonts w:asciiTheme="majorHAnsi" w:hAnsiTheme="majorHAnsi"/>
            <w:noProof/>
            <w:webHidden/>
          </w:rPr>
          <w:fldChar w:fldCharType="end"/>
        </w:r>
      </w:hyperlink>
    </w:p>
    <w:p w14:paraId="28D16E42" w14:textId="2FF556B9" w:rsidR="00F64540" w:rsidRPr="00F64540" w:rsidRDefault="00E91823" w:rsidP="00F64540">
      <w:pPr>
        <w:pStyle w:val="TOC4"/>
        <w:tabs>
          <w:tab w:val="clear" w:pos="8828"/>
          <w:tab w:val="right" w:pos="7560"/>
        </w:tabs>
        <w:rPr>
          <w:rFonts w:asciiTheme="majorHAnsi" w:eastAsiaTheme="minorEastAsia" w:hAnsiTheme="majorHAnsi" w:cstheme="minorBidi"/>
          <w:noProof/>
        </w:rPr>
      </w:pPr>
      <w:hyperlink w:anchor="_Toc531514462" w:history="1">
        <w:r w:rsidR="00F64540" w:rsidRPr="00F64540">
          <w:rPr>
            <w:rStyle w:val="Hyperlink"/>
            <w:rFonts w:asciiTheme="majorHAnsi" w:hAnsiTheme="majorHAnsi"/>
            <w:noProof/>
            <w:lang w:val="es-US"/>
          </w:rPr>
          <w:t>a.</w:t>
        </w:r>
        <w:r w:rsidR="00F64540" w:rsidRPr="00F64540">
          <w:rPr>
            <w:rFonts w:asciiTheme="majorHAnsi" w:eastAsiaTheme="minorEastAsia" w:hAnsiTheme="majorHAnsi" w:cstheme="minorBidi"/>
            <w:noProof/>
          </w:rPr>
          <w:tab/>
        </w:r>
        <w:r w:rsidR="00F64540" w:rsidRPr="00F64540">
          <w:rPr>
            <w:rStyle w:val="Hyperlink"/>
            <w:rFonts w:asciiTheme="majorHAnsi" w:hAnsiTheme="majorHAnsi"/>
            <w:noProof/>
            <w:lang w:val="es-US"/>
          </w:rPr>
          <w:t xml:space="preserve">Excesivo control policial y establecimiento de perfiles </w:t>
        </w:r>
        <w:r w:rsidR="00915368">
          <w:rPr>
            <w:rStyle w:val="Hyperlink"/>
            <w:rFonts w:asciiTheme="majorHAnsi" w:hAnsiTheme="majorHAnsi"/>
            <w:noProof/>
            <w:lang w:val="es-US"/>
          </w:rPr>
          <w:br/>
        </w:r>
        <w:r w:rsidR="00F64540" w:rsidRPr="00F64540">
          <w:rPr>
            <w:rStyle w:val="Hyperlink"/>
            <w:rFonts w:asciiTheme="majorHAnsi" w:hAnsiTheme="majorHAnsi"/>
            <w:noProof/>
            <w:lang w:val="es-US"/>
          </w:rPr>
          <w:t>raciales a afroamericanos</w:t>
        </w:r>
        <w:r w:rsidR="00F64540" w:rsidRPr="00F64540">
          <w:rPr>
            <w:rFonts w:asciiTheme="majorHAnsi" w:hAnsiTheme="majorHAnsi"/>
            <w:noProof/>
            <w:webHidden/>
          </w:rPr>
          <w:tab/>
        </w:r>
        <w:r w:rsidR="00F64540" w:rsidRPr="00F64540">
          <w:rPr>
            <w:rFonts w:asciiTheme="majorHAnsi" w:hAnsiTheme="majorHAnsi"/>
            <w:noProof/>
            <w:webHidden/>
          </w:rPr>
          <w:fldChar w:fldCharType="begin"/>
        </w:r>
        <w:r w:rsidR="00F64540" w:rsidRPr="00F64540">
          <w:rPr>
            <w:rFonts w:asciiTheme="majorHAnsi" w:hAnsiTheme="majorHAnsi"/>
            <w:noProof/>
            <w:webHidden/>
          </w:rPr>
          <w:instrText xml:space="preserve"> PAGEREF _Toc531514462 \h </w:instrText>
        </w:r>
        <w:r w:rsidR="00F64540" w:rsidRPr="00F64540">
          <w:rPr>
            <w:rFonts w:asciiTheme="majorHAnsi" w:hAnsiTheme="majorHAnsi"/>
            <w:noProof/>
            <w:webHidden/>
          </w:rPr>
        </w:r>
        <w:r w:rsidR="00F64540" w:rsidRPr="00F64540">
          <w:rPr>
            <w:rFonts w:asciiTheme="majorHAnsi" w:hAnsiTheme="majorHAnsi"/>
            <w:noProof/>
            <w:webHidden/>
          </w:rPr>
          <w:fldChar w:fldCharType="separate"/>
        </w:r>
        <w:r w:rsidR="00A922E4">
          <w:rPr>
            <w:rFonts w:asciiTheme="majorHAnsi" w:hAnsiTheme="majorHAnsi"/>
            <w:noProof/>
            <w:webHidden/>
          </w:rPr>
          <w:t>50</w:t>
        </w:r>
        <w:r w:rsidR="00F64540" w:rsidRPr="00F64540">
          <w:rPr>
            <w:rFonts w:asciiTheme="majorHAnsi" w:hAnsiTheme="majorHAnsi"/>
            <w:noProof/>
            <w:webHidden/>
          </w:rPr>
          <w:fldChar w:fldCharType="end"/>
        </w:r>
      </w:hyperlink>
    </w:p>
    <w:p w14:paraId="057FB252" w14:textId="77777777" w:rsidR="00F64540" w:rsidRPr="00F64540" w:rsidRDefault="00E91823" w:rsidP="00F64540">
      <w:pPr>
        <w:pStyle w:val="TOC4"/>
        <w:tabs>
          <w:tab w:val="clear" w:pos="8828"/>
          <w:tab w:val="right" w:pos="7560"/>
        </w:tabs>
        <w:rPr>
          <w:rFonts w:asciiTheme="majorHAnsi" w:eastAsiaTheme="minorEastAsia" w:hAnsiTheme="majorHAnsi" w:cstheme="minorBidi"/>
          <w:noProof/>
        </w:rPr>
      </w:pPr>
      <w:hyperlink w:anchor="_Toc531514463" w:history="1">
        <w:r w:rsidR="00F64540" w:rsidRPr="00F64540">
          <w:rPr>
            <w:rStyle w:val="Hyperlink"/>
            <w:rFonts w:asciiTheme="majorHAnsi" w:hAnsiTheme="majorHAnsi"/>
            <w:noProof/>
            <w:lang w:val="es-US"/>
          </w:rPr>
          <w:t>b.</w:t>
        </w:r>
        <w:r w:rsidR="00F64540" w:rsidRPr="00F64540">
          <w:rPr>
            <w:rFonts w:asciiTheme="majorHAnsi" w:eastAsiaTheme="minorEastAsia" w:hAnsiTheme="majorHAnsi" w:cstheme="minorBidi"/>
            <w:noProof/>
          </w:rPr>
          <w:tab/>
        </w:r>
        <w:r w:rsidR="00F64540" w:rsidRPr="00F64540">
          <w:rPr>
            <w:rStyle w:val="Hyperlink"/>
            <w:rFonts w:asciiTheme="majorHAnsi" w:hAnsiTheme="majorHAnsi"/>
            <w:noProof/>
            <w:lang w:val="es-US"/>
          </w:rPr>
          <w:t>Militarización de las fuerzas policiales</w:t>
        </w:r>
        <w:r w:rsidR="00F64540" w:rsidRPr="00F64540">
          <w:rPr>
            <w:rFonts w:asciiTheme="majorHAnsi" w:hAnsiTheme="majorHAnsi"/>
            <w:noProof/>
            <w:webHidden/>
          </w:rPr>
          <w:tab/>
        </w:r>
        <w:r w:rsidR="00F64540" w:rsidRPr="00F64540">
          <w:rPr>
            <w:rFonts w:asciiTheme="majorHAnsi" w:hAnsiTheme="majorHAnsi"/>
            <w:noProof/>
            <w:webHidden/>
          </w:rPr>
          <w:fldChar w:fldCharType="begin"/>
        </w:r>
        <w:r w:rsidR="00F64540" w:rsidRPr="00F64540">
          <w:rPr>
            <w:rFonts w:asciiTheme="majorHAnsi" w:hAnsiTheme="majorHAnsi"/>
            <w:noProof/>
            <w:webHidden/>
          </w:rPr>
          <w:instrText xml:space="preserve"> PAGEREF _Toc531514463 \h </w:instrText>
        </w:r>
        <w:r w:rsidR="00F64540" w:rsidRPr="00F64540">
          <w:rPr>
            <w:rFonts w:asciiTheme="majorHAnsi" w:hAnsiTheme="majorHAnsi"/>
            <w:noProof/>
            <w:webHidden/>
          </w:rPr>
        </w:r>
        <w:r w:rsidR="00F64540" w:rsidRPr="00F64540">
          <w:rPr>
            <w:rFonts w:asciiTheme="majorHAnsi" w:hAnsiTheme="majorHAnsi"/>
            <w:noProof/>
            <w:webHidden/>
          </w:rPr>
          <w:fldChar w:fldCharType="separate"/>
        </w:r>
        <w:r w:rsidR="00A922E4">
          <w:rPr>
            <w:rFonts w:asciiTheme="majorHAnsi" w:hAnsiTheme="majorHAnsi"/>
            <w:noProof/>
            <w:webHidden/>
          </w:rPr>
          <w:t>60</w:t>
        </w:r>
        <w:r w:rsidR="00F64540" w:rsidRPr="00F64540">
          <w:rPr>
            <w:rFonts w:asciiTheme="majorHAnsi" w:hAnsiTheme="majorHAnsi"/>
            <w:noProof/>
            <w:webHidden/>
          </w:rPr>
          <w:fldChar w:fldCharType="end"/>
        </w:r>
      </w:hyperlink>
    </w:p>
    <w:p w14:paraId="0EE8AD30" w14:textId="77777777" w:rsidR="00F64540" w:rsidRPr="00F64540" w:rsidRDefault="00E91823" w:rsidP="00F64540">
      <w:pPr>
        <w:pStyle w:val="TOC4"/>
        <w:tabs>
          <w:tab w:val="clear" w:pos="8828"/>
          <w:tab w:val="right" w:pos="7560"/>
        </w:tabs>
        <w:rPr>
          <w:rFonts w:asciiTheme="majorHAnsi" w:eastAsiaTheme="minorEastAsia" w:hAnsiTheme="majorHAnsi" w:cstheme="minorBidi"/>
          <w:noProof/>
        </w:rPr>
      </w:pPr>
      <w:hyperlink w:anchor="_Toc531514464" w:history="1">
        <w:r w:rsidR="00F64540" w:rsidRPr="00F64540">
          <w:rPr>
            <w:rStyle w:val="Hyperlink"/>
            <w:rFonts w:asciiTheme="majorHAnsi" w:hAnsiTheme="majorHAnsi"/>
            <w:noProof/>
            <w:lang w:val="es-US"/>
          </w:rPr>
          <w:t>c.</w:t>
        </w:r>
        <w:r w:rsidR="00F64540" w:rsidRPr="00F64540">
          <w:rPr>
            <w:rFonts w:asciiTheme="majorHAnsi" w:eastAsiaTheme="minorEastAsia" w:hAnsiTheme="majorHAnsi" w:cstheme="minorBidi"/>
            <w:noProof/>
          </w:rPr>
          <w:tab/>
        </w:r>
        <w:r w:rsidR="00F64540" w:rsidRPr="00F64540">
          <w:rPr>
            <w:rStyle w:val="Hyperlink"/>
            <w:rFonts w:asciiTheme="majorHAnsi" w:hAnsiTheme="majorHAnsi"/>
            <w:noProof/>
            <w:lang w:val="es-US"/>
          </w:rPr>
          <w:t>Uso excesivo de la fuerza policial</w:t>
        </w:r>
        <w:r w:rsidR="00F64540" w:rsidRPr="00F64540">
          <w:rPr>
            <w:rFonts w:asciiTheme="majorHAnsi" w:hAnsiTheme="majorHAnsi"/>
            <w:noProof/>
            <w:webHidden/>
          </w:rPr>
          <w:tab/>
        </w:r>
        <w:r w:rsidR="00F64540" w:rsidRPr="00F64540">
          <w:rPr>
            <w:rFonts w:asciiTheme="majorHAnsi" w:hAnsiTheme="majorHAnsi"/>
            <w:noProof/>
            <w:webHidden/>
          </w:rPr>
          <w:fldChar w:fldCharType="begin"/>
        </w:r>
        <w:r w:rsidR="00F64540" w:rsidRPr="00F64540">
          <w:rPr>
            <w:rFonts w:asciiTheme="majorHAnsi" w:hAnsiTheme="majorHAnsi"/>
            <w:noProof/>
            <w:webHidden/>
          </w:rPr>
          <w:instrText xml:space="preserve"> PAGEREF _Toc531514464 \h </w:instrText>
        </w:r>
        <w:r w:rsidR="00F64540" w:rsidRPr="00F64540">
          <w:rPr>
            <w:rFonts w:asciiTheme="majorHAnsi" w:hAnsiTheme="majorHAnsi"/>
            <w:noProof/>
            <w:webHidden/>
          </w:rPr>
        </w:r>
        <w:r w:rsidR="00F64540" w:rsidRPr="00F64540">
          <w:rPr>
            <w:rFonts w:asciiTheme="majorHAnsi" w:hAnsiTheme="majorHAnsi"/>
            <w:noProof/>
            <w:webHidden/>
          </w:rPr>
          <w:fldChar w:fldCharType="separate"/>
        </w:r>
        <w:r w:rsidR="00A922E4">
          <w:rPr>
            <w:rFonts w:asciiTheme="majorHAnsi" w:hAnsiTheme="majorHAnsi"/>
            <w:noProof/>
            <w:webHidden/>
          </w:rPr>
          <w:t>62</w:t>
        </w:r>
        <w:r w:rsidR="00F64540" w:rsidRPr="00F64540">
          <w:rPr>
            <w:rFonts w:asciiTheme="majorHAnsi" w:hAnsiTheme="majorHAnsi"/>
            <w:noProof/>
            <w:webHidden/>
          </w:rPr>
          <w:fldChar w:fldCharType="end"/>
        </w:r>
      </w:hyperlink>
    </w:p>
    <w:p w14:paraId="0F48C329" w14:textId="77777777" w:rsidR="00F64540" w:rsidRPr="00F64540" w:rsidRDefault="00E91823" w:rsidP="00F64540">
      <w:pPr>
        <w:pStyle w:val="TOC4"/>
        <w:tabs>
          <w:tab w:val="clear" w:pos="8828"/>
          <w:tab w:val="right" w:pos="7560"/>
        </w:tabs>
        <w:rPr>
          <w:rFonts w:asciiTheme="majorHAnsi" w:eastAsiaTheme="minorEastAsia" w:hAnsiTheme="majorHAnsi" w:cstheme="minorBidi"/>
          <w:noProof/>
        </w:rPr>
      </w:pPr>
      <w:hyperlink w:anchor="_Toc531514465" w:history="1">
        <w:r w:rsidR="00F64540" w:rsidRPr="00F64540">
          <w:rPr>
            <w:rStyle w:val="Hyperlink"/>
            <w:rFonts w:asciiTheme="majorHAnsi" w:hAnsiTheme="majorHAnsi"/>
            <w:noProof/>
            <w:lang w:val="es-US"/>
          </w:rPr>
          <w:t>d.</w:t>
        </w:r>
        <w:r w:rsidR="00F64540" w:rsidRPr="00F64540">
          <w:rPr>
            <w:rFonts w:asciiTheme="majorHAnsi" w:eastAsiaTheme="minorEastAsia" w:hAnsiTheme="majorHAnsi" w:cstheme="minorBidi"/>
            <w:noProof/>
          </w:rPr>
          <w:tab/>
        </w:r>
        <w:r w:rsidR="00F64540" w:rsidRPr="00F64540">
          <w:rPr>
            <w:rStyle w:val="Hyperlink"/>
            <w:rFonts w:asciiTheme="majorHAnsi" w:hAnsiTheme="majorHAnsi"/>
            <w:noProof/>
            <w:lang w:val="es-US"/>
          </w:rPr>
          <w:t>Impunidad en casos de asesinatos policiales</w:t>
        </w:r>
        <w:r w:rsidR="00F64540" w:rsidRPr="00F64540">
          <w:rPr>
            <w:rFonts w:asciiTheme="majorHAnsi" w:hAnsiTheme="majorHAnsi"/>
            <w:noProof/>
            <w:webHidden/>
          </w:rPr>
          <w:tab/>
        </w:r>
        <w:r w:rsidR="00F64540" w:rsidRPr="00F64540">
          <w:rPr>
            <w:rFonts w:asciiTheme="majorHAnsi" w:hAnsiTheme="majorHAnsi"/>
            <w:noProof/>
            <w:webHidden/>
          </w:rPr>
          <w:fldChar w:fldCharType="begin"/>
        </w:r>
        <w:r w:rsidR="00F64540" w:rsidRPr="00F64540">
          <w:rPr>
            <w:rFonts w:asciiTheme="majorHAnsi" w:hAnsiTheme="majorHAnsi"/>
            <w:noProof/>
            <w:webHidden/>
          </w:rPr>
          <w:instrText xml:space="preserve"> PAGEREF _Toc531514465 \h </w:instrText>
        </w:r>
        <w:r w:rsidR="00F64540" w:rsidRPr="00F64540">
          <w:rPr>
            <w:rFonts w:asciiTheme="majorHAnsi" w:hAnsiTheme="majorHAnsi"/>
            <w:noProof/>
            <w:webHidden/>
          </w:rPr>
        </w:r>
        <w:r w:rsidR="00F64540" w:rsidRPr="00F64540">
          <w:rPr>
            <w:rFonts w:asciiTheme="majorHAnsi" w:hAnsiTheme="majorHAnsi"/>
            <w:noProof/>
            <w:webHidden/>
          </w:rPr>
          <w:fldChar w:fldCharType="separate"/>
        </w:r>
        <w:r w:rsidR="00A922E4">
          <w:rPr>
            <w:rFonts w:asciiTheme="majorHAnsi" w:hAnsiTheme="majorHAnsi"/>
            <w:noProof/>
            <w:webHidden/>
          </w:rPr>
          <w:t>70</w:t>
        </w:r>
        <w:r w:rsidR="00F64540" w:rsidRPr="00F64540">
          <w:rPr>
            <w:rFonts w:asciiTheme="majorHAnsi" w:hAnsiTheme="majorHAnsi"/>
            <w:noProof/>
            <w:webHidden/>
          </w:rPr>
          <w:fldChar w:fldCharType="end"/>
        </w:r>
      </w:hyperlink>
    </w:p>
    <w:p w14:paraId="7573C2A0" w14:textId="77777777" w:rsidR="00F64540" w:rsidRPr="00F64540" w:rsidRDefault="00E91823" w:rsidP="00F64540">
      <w:pPr>
        <w:pStyle w:val="TOC4"/>
        <w:tabs>
          <w:tab w:val="clear" w:pos="8828"/>
          <w:tab w:val="right" w:pos="7560"/>
        </w:tabs>
        <w:rPr>
          <w:rFonts w:asciiTheme="majorHAnsi" w:eastAsiaTheme="minorEastAsia" w:hAnsiTheme="majorHAnsi" w:cstheme="minorBidi"/>
          <w:noProof/>
        </w:rPr>
      </w:pPr>
      <w:hyperlink w:anchor="_Toc531514466" w:history="1">
        <w:r w:rsidR="00F64540" w:rsidRPr="00F64540">
          <w:rPr>
            <w:rStyle w:val="Hyperlink"/>
            <w:rFonts w:asciiTheme="majorHAnsi" w:hAnsiTheme="majorHAnsi"/>
            <w:noProof/>
            <w:lang w:val="es-US"/>
          </w:rPr>
          <w:t>e.</w:t>
        </w:r>
        <w:r w:rsidR="00F64540" w:rsidRPr="00F64540">
          <w:rPr>
            <w:rFonts w:asciiTheme="majorHAnsi" w:eastAsiaTheme="minorEastAsia" w:hAnsiTheme="majorHAnsi" w:cstheme="minorBidi"/>
            <w:noProof/>
          </w:rPr>
          <w:tab/>
        </w:r>
        <w:r w:rsidR="00F64540" w:rsidRPr="00F64540">
          <w:rPr>
            <w:rStyle w:val="Hyperlink"/>
            <w:rFonts w:asciiTheme="majorHAnsi" w:hAnsiTheme="majorHAnsi"/>
            <w:noProof/>
            <w:lang w:val="es-US"/>
          </w:rPr>
          <w:t>Respuestas de la policía a las protestas</w:t>
        </w:r>
        <w:r w:rsidR="00F64540" w:rsidRPr="00F64540">
          <w:rPr>
            <w:rFonts w:asciiTheme="majorHAnsi" w:hAnsiTheme="majorHAnsi"/>
            <w:noProof/>
            <w:webHidden/>
          </w:rPr>
          <w:tab/>
        </w:r>
        <w:r w:rsidR="00F64540" w:rsidRPr="00F64540">
          <w:rPr>
            <w:rFonts w:asciiTheme="majorHAnsi" w:hAnsiTheme="majorHAnsi"/>
            <w:noProof/>
            <w:webHidden/>
          </w:rPr>
          <w:fldChar w:fldCharType="begin"/>
        </w:r>
        <w:r w:rsidR="00F64540" w:rsidRPr="00F64540">
          <w:rPr>
            <w:rFonts w:asciiTheme="majorHAnsi" w:hAnsiTheme="majorHAnsi"/>
            <w:noProof/>
            <w:webHidden/>
          </w:rPr>
          <w:instrText xml:space="preserve"> PAGEREF _Toc531514466 \h </w:instrText>
        </w:r>
        <w:r w:rsidR="00F64540" w:rsidRPr="00F64540">
          <w:rPr>
            <w:rFonts w:asciiTheme="majorHAnsi" w:hAnsiTheme="majorHAnsi"/>
            <w:noProof/>
            <w:webHidden/>
          </w:rPr>
        </w:r>
        <w:r w:rsidR="00F64540" w:rsidRPr="00F64540">
          <w:rPr>
            <w:rFonts w:asciiTheme="majorHAnsi" w:hAnsiTheme="majorHAnsi"/>
            <w:noProof/>
            <w:webHidden/>
          </w:rPr>
          <w:fldChar w:fldCharType="separate"/>
        </w:r>
        <w:r w:rsidR="00A922E4">
          <w:rPr>
            <w:rFonts w:asciiTheme="majorHAnsi" w:hAnsiTheme="majorHAnsi"/>
            <w:noProof/>
            <w:webHidden/>
          </w:rPr>
          <w:t>78</w:t>
        </w:r>
        <w:r w:rsidR="00F64540" w:rsidRPr="00F64540">
          <w:rPr>
            <w:rFonts w:asciiTheme="majorHAnsi" w:hAnsiTheme="majorHAnsi"/>
            <w:noProof/>
            <w:webHidden/>
          </w:rPr>
          <w:fldChar w:fldCharType="end"/>
        </w:r>
      </w:hyperlink>
    </w:p>
    <w:p w14:paraId="74FE5FF2" w14:textId="77777777" w:rsidR="00F64540" w:rsidRPr="00F64540" w:rsidRDefault="00E91823" w:rsidP="00F64540">
      <w:pPr>
        <w:pStyle w:val="TOC3"/>
        <w:tabs>
          <w:tab w:val="clear" w:pos="8828"/>
          <w:tab w:val="right" w:pos="7560"/>
        </w:tabs>
        <w:rPr>
          <w:rFonts w:asciiTheme="majorHAnsi" w:hAnsiTheme="majorHAnsi" w:cstheme="minorBidi"/>
          <w:noProof/>
        </w:rPr>
      </w:pPr>
      <w:hyperlink w:anchor="_Toc531514467" w:history="1">
        <w:r w:rsidR="00F64540" w:rsidRPr="00F64540">
          <w:rPr>
            <w:rStyle w:val="Hyperlink"/>
            <w:rFonts w:asciiTheme="majorHAnsi" w:hAnsiTheme="majorHAnsi"/>
            <w:noProof/>
            <w:lang w:val="es-US"/>
          </w:rPr>
          <w:t>2.</w:t>
        </w:r>
        <w:r w:rsidR="00F64540" w:rsidRPr="00F64540">
          <w:rPr>
            <w:rFonts w:asciiTheme="majorHAnsi" w:hAnsiTheme="majorHAnsi" w:cstheme="minorBidi"/>
            <w:noProof/>
          </w:rPr>
          <w:tab/>
        </w:r>
        <w:r w:rsidR="00F64540" w:rsidRPr="00F64540">
          <w:rPr>
            <w:rStyle w:val="Hyperlink"/>
            <w:rFonts w:asciiTheme="majorHAnsi" w:hAnsiTheme="majorHAnsi"/>
            <w:noProof/>
            <w:lang w:val="es-US"/>
          </w:rPr>
          <w:t>Aspectos de la discriminación racial en el sistema de justicia penal</w:t>
        </w:r>
        <w:r w:rsidR="00F64540" w:rsidRPr="00F64540">
          <w:rPr>
            <w:rFonts w:asciiTheme="majorHAnsi" w:hAnsiTheme="majorHAnsi"/>
            <w:noProof/>
            <w:webHidden/>
          </w:rPr>
          <w:tab/>
        </w:r>
        <w:r w:rsidR="00F64540" w:rsidRPr="00F64540">
          <w:rPr>
            <w:rFonts w:asciiTheme="majorHAnsi" w:hAnsiTheme="majorHAnsi"/>
            <w:noProof/>
            <w:webHidden/>
          </w:rPr>
          <w:fldChar w:fldCharType="begin"/>
        </w:r>
        <w:r w:rsidR="00F64540" w:rsidRPr="00F64540">
          <w:rPr>
            <w:rFonts w:asciiTheme="majorHAnsi" w:hAnsiTheme="majorHAnsi"/>
            <w:noProof/>
            <w:webHidden/>
          </w:rPr>
          <w:instrText xml:space="preserve"> PAGEREF _Toc531514467 \h </w:instrText>
        </w:r>
        <w:r w:rsidR="00F64540" w:rsidRPr="00F64540">
          <w:rPr>
            <w:rFonts w:asciiTheme="majorHAnsi" w:hAnsiTheme="majorHAnsi"/>
            <w:noProof/>
            <w:webHidden/>
          </w:rPr>
        </w:r>
        <w:r w:rsidR="00F64540" w:rsidRPr="00F64540">
          <w:rPr>
            <w:rFonts w:asciiTheme="majorHAnsi" w:hAnsiTheme="majorHAnsi"/>
            <w:noProof/>
            <w:webHidden/>
          </w:rPr>
          <w:fldChar w:fldCharType="separate"/>
        </w:r>
        <w:r w:rsidR="00A922E4">
          <w:rPr>
            <w:rFonts w:asciiTheme="majorHAnsi" w:hAnsiTheme="majorHAnsi"/>
            <w:noProof/>
            <w:webHidden/>
          </w:rPr>
          <w:t>82</w:t>
        </w:r>
        <w:r w:rsidR="00F64540" w:rsidRPr="00F64540">
          <w:rPr>
            <w:rFonts w:asciiTheme="majorHAnsi" w:hAnsiTheme="majorHAnsi"/>
            <w:noProof/>
            <w:webHidden/>
          </w:rPr>
          <w:fldChar w:fldCharType="end"/>
        </w:r>
      </w:hyperlink>
    </w:p>
    <w:p w14:paraId="5DB3AF70" w14:textId="77777777" w:rsidR="00F64540" w:rsidRPr="00F64540" w:rsidRDefault="00E91823" w:rsidP="00F64540">
      <w:pPr>
        <w:pStyle w:val="TOC4"/>
        <w:tabs>
          <w:tab w:val="clear" w:pos="8828"/>
          <w:tab w:val="right" w:pos="7560"/>
        </w:tabs>
        <w:rPr>
          <w:rFonts w:asciiTheme="majorHAnsi" w:eastAsiaTheme="minorEastAsia" w:hAnsiTheme="majorHAnsi" w:cstheme="minorBidi"/>
          <w:noProof/>
        </w:rPr>
      </w:pPr>
      <w:hyperlink w:anchor="_Toc531514468" w:history="1">
        <w:r w:rsidR="00F64540" w:rsidRPr="00F64540">
          <w:rPr>
            <w:rStyle w:val="Hyperlink"/>
            <w:rFonts w:asciiTheme="majorHAnsi" w:hAnsiTheme="majorHAnsi"/>
            <w:noProof/>
            <w:lang w:val="es-US"/>
          </w:rPr>
          <w:t>a.</w:t>
        </w:r>
        <w:r w:rsidR="00F64540" w:rsidRPr="00F64540">
          <w:rPr>
            <w:rFonts w:asciiTheme="majorHAnsi" w:eastAsiaTheme="minorEastAsia" w:hAnsiTheme="majorHAnsi" w:cstheme="minorBidi"/>
            <w:noProof/>
          </w:rPr>
          <w:tab/>
        </w:r>
        <w:r w:rsidR="00F64540" w:rsidRPr="00F64540">
          <w:rPr>
            <w:rStyle w:val="Hyperlink"/>
            <w:rFonts w:asciiTheme="majorHAnsi" w:hAnsiTheme="majorHAnsi"/>
            <w:noProof/>
            <w:lang w:val="es-US"/>
          </w:rPr>
          <w:t>Desigualdades raciales en las detenciones</w:t>
        </w:r>
        <w:r w:rsidR="00F64540" w:rsidRPr="00F64540">
          <w:rPr>
            <w:rFonts w:asciiTheme="majorHAnsi" w:hAnsiTheme="majorHAnsi"/>
            <w:noProof/>
            <w:webHidden/>
          </w:rPr>
          <w:tab/>
        </w:r>
        <w:r w:rsidR="00F64540" w:rsidRPr="00F64540">
          <w:rPr>
            <w:rFonts w:asciiTheme="majorHAnsi" w:hAnsiTheme="majorHAnsi"/>
            <w:noProof/>
            <w:webHidden/>
          </w:rPr>
          <w:fldChar w:fldCharType="begin"/>
        </w:r>
        <w:r w:rsidR="00F64540" w:rsidRPr="00F64540">
          <w:rPr>
            <w:rFonts w:asciiTheme="majorHAnsi" w:hAnsiTheme="majorHAnsi"/>
            <w:noProof/>
            <w:webHidden/>
          </w:rPr>
          <w:instrText xml:space="preserve"> PAGEREF _Toc531514468 \h </w:instrText>
        </w:r>
        <w:r w:rsidR="00F64540" w:rsidRPr="00F64540">
          <w:rPr>
            <w:rFonts w:asciiTheme="majorHAnsi" w:hAnsiTheme="majorHAnsi"/>
            <w:noProof/>
            <w:webHidden/>
          </w:rPr>
        </w:r>
        <w:r w:rsidR="00F64540" w:rsidRPr="00F64540">
          <w:rPr>
            <w:rFonts w:asciiTheme="majorHAnsi" w:hAnsiTheme="majorHAnsi"/>
            <w:noProof/>
            <w:webHidden/>
          </w:rPr>
          <w:fldChar w:fldCharType="separate"/>
        </w:r>
        <w:r w:rsidR="00A922E4">
          <w:rPr>
            <w:rFonts w:asciiTheme="majorHAnsi" w:hAnsiTheme="majorHAnsi"/>
            <w:noProof/>
            <w:webHidden/>
          </w:rPr>
          <w:t>83</w:t>
        </w:r>
        <w:r w:rsidR="00F64540" w:rsidRPr="00F64540">
          <w:rPr>
            <w:rFonts w:asciiTheme="majorHAnsi" w:hAnsiTheme="majorHAnsi"/>
            <w:noProof/>
            <w:webHidden/>
          </w:rPr>
          <w:fldChar w:fldCharType="end"/>
        </w:r>
      </w:hyperlink>
    </w:p>
    <w:p w14:paraId="515E4483" w14:textId="77777777" w:rsidR="00F64540" w:rsidRPr="00F64540" w:rsidRDefault="00E91823" w:rsidP="00F64540">
      <w:pPr>
        <w:pStyle w:val="TOC4"/>
        <w:tabs>
          <w:tab w:val="clear" w:pos="8828"/>
          <w:tab w:val="right" w:pos="7560"/>
        </w:tabs>
        <w:rPr>
          <w:rFonts w:asciiTheme="majorHAnsi" w:eastAsiaTheme="minorEastAsia" w:hAnsiTheme="majorHAnsi" w:cstheme="minorBidi"/>
          <w:noProof/>
        </w:rPr>
      </w:pPr>
      <w:hyperlink w:anchor="_Toc531514469" w:history="1">
        <w:r w:rsidR="00F64540" w:rsidRPr="00F64540">
          <w:rPr>
            <w:rStyle w:val="Hyperlink"/>
            <w:rFonts w:asciiTheme="majorHAnsi" w:hAnsiTheme="majorHAnsi"/>
            <w:noProof/>
            <w:lang w:val="es-US"/>
          </w:rPr>
          <w:t>b.</w:t>
        </w:r>
        <w:r w:rsidR="00F64540" w:rsidRPr="00F64540">
          <w:rPr>
            <w:rFonts w:asciiTheme="majorHAnsi" w:eastAsiaTheme="minorEastAsia" w:hAnsiTheme="majorHAnsi" w:cstheme="minorBidi"/>
            <w:noProof/>
          </w:rPr>
          <w:tab/>
        </w:r>
        <w:r w:rsidR="00F64540" w:rsidRPr="00F64540">
          <w:rPr>
            <w:rStyle w:val="Hyperlink"/>
            <w:rFonts w:asciiTheme="majorHAnsi" w:hAnsiTheme="majorHAnsi"/>
            <w:noProof/>
            <w:lang w:val="es-US"/>
          </w:rPr>
          <w:t>Disparidades raciales en el acceso a la defensa legal, alegatos, sentencias, encarcelamiento y re-encarcelamiento</w:t>
        </w:r>
        <w:r w:rsidR="00F64540" w:rsidRPr="00F64540">
          <w:rPr>
            <w:rFonts w:asciiTheme="majorHAnsi" w:hAnsiTheme="majorHAnsi"/>
            <w:noProof/>
            <w:webHidden/>
          </w:rPr>
          <w:tab/>
        </w:r>
        <w:r w:rsidR="00F64540" w:rsidRPr="00F64540">
          <w:rPr>
            <w:rFonts w:asciiTheme="majorHAnsi" w:hAnsiTheme="majorHAnsi"/>
            <w:noProof/>
            <w:webHidden/>
          </w:rPr>
          <w:fldChar w:fldCharType="begin"/>
        </w:r>
        <w:r w:rsidR="00F64540" w:rsidRPr="00F64540">
          <w:rPr>
            <w:rFonts w:asciiTheme="majorHAnsi" w:hAnsiTheme="majorHAnsi"/>
            <w:noProof/>
            <w:webHidden/>
          </w:rPr>
          <w:instrText xml:space="preserve"> PAGEREF _Toc531514469 \h </w:instrText>
        </w:r>
        <w:r w:rsidR="00F64540" w:rsidRPr="00F64540">
          <w:rPr>
            <w:rFonts w:asciiTheme="majorHAnsi" w:hAnsiTheme="majorHAnsi"/>
            <w:noProof/>
            <w:webHidden/>
          </w:rPr>
        </w:r>
        <w:r w:rsidR="00F64540" w:rsidRPr="00F64540">
          <w:rPr>
            <w:rFonts w:asciiTheme="majorHAnsi" w:hAnsiTheme="majorHAnsi"/>
            <w:noProof/>
            <w:webHidden/>
          </w:rPr>
          <w:fldChar w:fldCharType="separate"/>
        </w:r>
        <w:r w:rsidR="00A922E4">
          <w:rPr>
            <w:rFonts w:asciiTheme="majorHAnsi" w:hAnsiTheme="majorHAnsi"/>
            <w:noProof/>
            <w:webHidden/>
          </w:rPr>
          <w:t>86</w:t>
        </w:r>
        <w:r w:rsidR="00F64540" w:rsidRPr="00F64540">
          <w:rPr>
            <w:rFonts w:asciiTheme="majorHAnsi" w:hAnsiTheme="majorHAnsi"/>
            <w:noProof/>
            <w:webHidden/>
          </w:rPr>
          <w:fldChar w:fldCharType="end"/>
        </w:r>
      </w:hyperlink>
    </w:p>
    <w:p w14:paraId="287733DA" w14:textId="77777777" w:rsidR="00F64540" w:rsidRPr="00F64540" w:rsidRDefault="00E91823" w:rsidP="00F64540">
      <w:pPr>
        <w:pStyle w:val="TOC4"/>
        <w:tabs>
          <w:tab w:val="clear" w:pos="8828"/>
          <w:tab w:val="right" w:pos="7560"/>
        </w:tabs>
        <w:rPr>
          <w:rFonts w:asciiTheme="majorHAnsi" w:eastAsiaTheme="minorEastAsia" w:hAnsiTheme="majorHAnsi" w:cstheme="minorBidi"/>
          <w:noProof/>
        </w:rPr>
      </w:pPr>
      <w:hyperlink w:anchor="_Toc531514470" w:history="1">
        <w:r w:rsidR="00F64540" w:rsidRPr="00F64540">
          <w:rPr>
            <w:rStyle w:val="Hyperlink"/>
            <w:rFonts w:asciiTheme="majorHAnsi" w:hAnsiTheme="majorHAnsi"/>
            <w:noProof/>
            <w:lang w:val="es-US"/>
          </w:rPr>
          <w:t>c.</w:t>
        </w:r>
        <w:r w:rsidR="00F64540" w:rsidRPr="00F64540">
          <w:rPr>
            <w:rFonts w:asciiTheme="majorHAnsi" w:eastAsiaTheme="minorEastAsia" w:hAnsiTheme="majorHAnsi" w:cstheme="minorBidi"/>
            <w:noProof/>
          </w:rPr>
          <w:tab/>
        </w:r>
        <w:r w:rsidR="00F64540" w:rsidRPr="00F64540">
          <w:rPr>
            <w:rStyle w:val="Hyperlink"/>
            <w:rFonts w:asciiTheme="majorHAnsi" w:hAnsiTheme="majorHAnsi"/>
            <w:noProof/>
            <w:lang w:val="es-US"/>
          </w:rPr>
          <w:t>Consecuencias del contacto con el sistema de justicia penal</w:t>
        </w:r>
        <w:r w:rsidR="00F64540" w:rsidRPr="00F64540">
          <w:rPr>
            <w:rFonts w:asciiTheme="majorHAnsi" w:hAnsiTheme="majorHAnsi"/>
            <w:noProof/>
            <w:webHidden/>
          </w:rPr>
          <w:tab/>
        </w:r>
        <w:r w:rsidR="00F64540" w:rsidRPr="00F64540">
          <w:rPr>
            <w:rFonts w:asciiTheme="majorHAnsi" w:hAnsiTheme="majorHAnsi"/>
            <w:noProof/>
            <w:webHidden/>
          </w:rPr>
          <w:fldChar w:fldCharType="begin"/>
        </w:r>
        <w:r w:rsidR="00F64540" w:rsidRPr="00F64540">
          <w:rPr>
            <w:rFonts w:asciiTheme="majorHAnsi" w:hAnsiTheme="majorHAnsi"/>
            <w:noProof/>
            <w:webHidden/>
          </w:rPr>
          <w:instrText xml:space="preserve"> PAGEREF _Toc531514470 \h </w:instrText>
        </w:r>
        <w:r w:rsidR="00F64540" w:rsidRPr="00F64540">
          <w:rPr>
            <w:rFonts w:asciiTheme="majorHAnsi" w:hAnsiTheme="majorHAnsi"/>
            <w:noProof/>
            <w:webHidden/>
          </w:rPr>
        </w:r>
        <w:r w:rsidR="00F64540" w:rsidRPr="00F64540">
          <w:rPr>
            <w:rFonts w:asciiTheme="majorHAnsi" w:hAnsiTheme="majorHAnsi"/>
            <w:noProof/>
            <w:webHidden/>
          </w:rPr>
          <w:fldChar w:fldCharType="separate"/>
        </w:r>
        <w:r w:rsidR="00A922E4">
          <w:rPr>
            <w:rFonts w:asciiTheme="majorHAnsi" w:hAnsiTheme="majorHAnsi"/>
            <w:noProof/>
            <w:webHidden/>
          </w:rPr>
          <w:t>91</w:t>
        </w:r>
        <w:r w:rsidR="00F64540" w:rsidRPr="00F64540">
          <w:rPr>
            <w:rFonts w:asciiTheme="majorHAnsi" w:hAnsiTheme="majorHAnsi"/>
            <w:noProof/>
            <w:webHidden/>
          </w:rPr>
          <w:fldChar w:fldCharType="end"/>
        </w:r>
      </w:hyperlink>
    </w:p>
    <w:p w14:paraId="000CF902" w14:textId="77777777" w:rsidR="00F64540" w:rsidRPr="00F64540" w:rsidRDefault="00E91823" w:rsidP="00F64540">
      <w:pPr>
        <w:pStyle w:val="TOC3"/>
        <w:tabs>
          <w:tab w:val="clear" w:pos="8828"/>
          <w:tab w:val="right" w:pos="7560"/>
        </w:tabs>
        <w:rPr>
          <w:rFonts w:asciiTheme="majorHAnsi" w:hAnsiTheme="majorHAnsi" w:cstheme="minorBidi"/>
          <w:noProof/>
        </w:rPr>
      </w:pPr>
      <w:hyperlink w:anchor="_Toc531514471" w:history="1">
        <w:r w:rsidR="00F64540" w:rsidRPr="00F64540">
          <w:rPr>
            <w:rStyle w:val="Hyperlink"/>
            <w:rFonts w:asciiTheme="majorHAnsi" w:hAnsiTheme="majorHAnsi"/>
            <w:noProof/>
            <w:lang w:val="es-US"/>
          </w:rPr>
          <w:t>3.</w:t>
        </w:r>
        <w:r w:rsidR="00F64540" w:rsidRPr="00F64540">
          <w:rPr>
            <w:rFonts w:asciiTheme="majorHAnsi" w:hAnsiTheme="majorHAnsi" w:cstheme="minorBidi"/>
            <w:noProof/>
          </w:rPr>
          <w:tab/>
        </w:r>
        <w:r w:rsidR="00F64540" w:rsidRPr="00F64540">
          <w:rPr>
            <w:rStyle w:val="Hyperlink"/>
            <w:rFonts w:asciiTheme="majorHAnsi" w:hAnsiTheme="majorHAnsi"/>
            <w:noProof/>
            <w:lang w:val="es-US"/>
          </w:rPr>
          <w:t>Cuestiones estructurales relacionadas con la discriminación racial</w:t>
        </w:r>
        <w:r w:rsidR="00F64540" w:rsidRPr="00F64540">
          <w:rPr>
            <w:rFonts w:asciiTheme="majorHAnsi" w:hAnsiTheme="majorHAnsi"/>
            <w:noProof/>
            <w:webHidden/>
          </w:rPr>
          <w:tab/>
        </w:r>
        <w:r w:rsidR="00F64540" w:rsidRPr="00F64540">
          <w:rPr>
            <w:rFonts w:asciiTheme="majorHAnsi" w:hAnsiTheme="majorHAnsi"/>
            <w:noProof/>
            <w:webHidden/>
          </w:rPr>
          <w:fldChar w:fldCharType="begin"/>
        </w:r>
        <w:r w:rsidR="00F64540" w:rsidRPr="00F64540">
          <w:rPr>
            <w:rFonts w:asciiTheme="majorHAnsi" w:hAnsiTheme="majorHAnsi"/>
            <w:noProof/>
            <w:webHidden/>
          </w:rPr>
          <w:instrText xml:space="preserve"> PAGEREF _Toc531514471 \h </w:instrText>
        </w:r>
        <w:r w:rsidR="00F64540" w:rsidRPr="00F64540">
          <w:rPr>
            <w:rFonts w:asciiTheme="majorHAnsi" w:hAnsiTheme="majorHAnsi"/>
            <w:noProof/>
            <w:webHidden/>
          </w:rPr>
        </w:r>
        <w:r w:rsidR="00F64540" w:rsidRPr="00F64540">
          <w:rPr>
            <w:rFonts w:asciiTheme="majorHAnsi" w:hAnsiTheme="majorHAnsi"/>
            <w:noProof/>
            <w:webHidden/>
          </w:rPr>
          <w:fldChar w:fldCharType="separate"/>
        </w:r>
        <w:r w:rsidR="00A922E4">
          <w:rPr>
            <w:rFonts w:asciiTheme="majorHAnsi" w:hAnsiTheme="majorHAnsi"/>
            <w:noProof/>
            <w:webHidden/>
          </w:rPr>
          <w:t>93</w:t>
        </w:r>
        <w:r w:rsidR="00F64540" w:rsidRPr="00F64540">
          <w:rPr>
            <w:rFonts w:asciiTheme="majorHAnsi" w:hAnsiTheme="majorHAnsi"/>
            <w:noProof/>
            <w:webHidden/>
          </w:rPr>
          <w:fldChar w:fldCharType="end"/>
        </w:r>
      </w:hyperlink>
    </w:p>
    <w:p w14:paraId="0CB967CB" w14:textId="720CCB33" w:rsidR="00F64540" w:rsidRPr="00F64540" w:rsidRDefault="00E91823" w:rsidP="00F64540">
      <w:pPr>
        <w:pStyle w:val="TOC4"/>
        <w:tabs>
          <w:tab w:val="clear" w:pos="8828"/>
          <w:tab w:val="right" w:pos="7560"/>
        </w:tabs>
        <w:rPr>
          <w:rFonts w:asciiTheme="majorHAnsi" w:eastAsiaTheme="minorEastAsia" w:hAnsiTheme="majorHAnsi" w:cstheme="minorBidi"/>
          <w:noProof/>
        </w:rPr>
      </w:pPr>
      <w:hyperlink w:anchor="_Toc531514472" w:history="1">
        <w:r w:rsidR="00F64540" w:rsidRPr="00F64540">
          <w:rPr>
            <w:rStyle w:val="Hyperlink"/>
            <w:rFonts w:asciiTheme="majorHAnsi" w:hAnsiTheme="majorHAnsi"/>
            <w:noProof/>
            <w:lang w:val="es-US"/>
          </w:rPr>
          <w:t>a.</w:t>
        </w:r>
        <w:r w:rsidR="00F64540" w:rsidRPr="00F64540">
          <w:rPr>
            <w:rFonts w:asciiTheme="majorHAnsi" w:eastAsiaTheme="minorEastAsia" w:hAnsiTheme="majorHAnsi" w:cstheme="minorBidi"/>
            <w:noProof/>
          </w:rPr>
          <w:tab/>
        </w:r>
        <w:r w:rsidR="00F64540" w:rsidRPr="00F64540">
          <w:rPr>
            <w:rStyle w:val="Hyperlink"/>
            <w:rFonts w:asciiTheme="majorHAnsi" w:hAnsiTheme="majorHAnsi"/>
            <w:noProof/>
            <w:lang w:val="es-US"/>
          </w:rPr>
          <w:t xml:space="preserve">Contexto Social: Estigma, discursos y crímenes </w:t>
        </w:r>
        <w:r w:rsidR="00915368">
          <w:rPr>
            <w:rStyle w:val="Hyperlink"/>
            <w:rFonts w:asciiTheme="majorHAnsi" w:hAnsiTheme="majorHAnsi"/>
            <w:noProof/>
            <w:lang w:val="es-US"/>
          </w:rPr>
          <w:br/>
        </w:r>
        <w:r w:rsidR="00F64540" w:rsidRPr="00F64540">
          <w:rPr>
            <w:rStyle w:val="Hyperlink"/>
            <w:rFonts w:asciiTheme="majorHAnsi" w:hAnsiTheme="majorHAnsi"/>
            <w:noProof/>
            <w:lang w:val="es-US"/>
          </w:rPr>
          <w:t>motivados por odio</w:t>
        </w:r>
        <w:r w:rsidR="00F64540" w:rsidRPr="00F64540">
          <w:rPr>
            <w:rFonts w:asciiTheme="majorHAnsi" w:hAnsiTheme="majorHAnsi"/>
            <w:noProof/>
            <w:webHidden/>
          </w:rPr>
          <w:tab/>
        </w:r>
        <w:r w:rsidR="00F64540" w:rsidRPr="00F64540">
          <w:rPr>
            <w:rFonts w:asciiTheme="majorHAnsi" w:hAnsiTheme="majorHAnsi"/>
            <w:noProof/>
            <w:webHidden/>
          </w:rPr>
          <w:fldChar w:fldCharType="begin"/>
        </w:r>
        <w:r w:rsidR="00F64540" w:rsidRPr="00F64540">
          <w:rPr>
            <w:rFonts w:asciiTheme="majorHAnsi" w:hAnsiTheme="majorHAnsi"/>
            <w:noProof/>
            <w:webHidden/>
          </w:rPr>
          <w:instrText xml:space="preserve"> PAGEREF _Toc531514472 \h </w:instrText>
        </w:r>
        <w:r w:rsidR="00F64540" w:rsidRPr="00F64540">
          <w:rPr>
            <w:rFonts w:asciiTheme="majorHAnsi" w:hAnsiTheme="majorHAnsi"/>
            <w:noProof/>
            <w:webHidden/>
          </w:rPr>
        </w:r>
        <w:r w:rsidR="00F64540" w:rsidRPr="00F64540">
          <w:rPr>
            <w:rFonts w:asciiTheme="majorHAnsi" w:hAnsiTheme="majorHAnsi"/>
            <w:noProof/>
            <w:webHidden/>
          </w:rPr>
          <w:fldChar w:fldCharType="separate"/>
        </w:r>
        <w:r w:rsidR="00A922E4">
          <w:rPr>
            <w:rFonts w:asciiTheme="majorHAnsi" w:hAnsiTheme="majorHAnsi"/>
            <w:noProof/>
            <w:webHidden/>
          </w:rPr>
          <w:t>93</w:t>
        </w:r>
        <w:r w:rsidR="00F64540" w:rsidRPr="00F64540">
          <w:rPr>
            <w:rFonts w:asciiTheme="majorHAnsi" w:hAnsiTheme="majorHAnsi"/>
            <w:noProof/>
            <w:webHidden/>
          </w:rPr>
          <w:fldChar w:fldCharType="end"/>
        </w:r>
      </w:hyperlink>
    </w:p>
    <w:p w14:paraId="3FCF94B7" w14:textId="77777777" w:rsidR="00F64540" w:rsidRPr="00F64540" w:rsidRDefault="00E91823" w:rsidP="00F64540">
      <w:pPr>
        <w:pStyle w:val="TOC4"/>
        <w:tabs>
          <w:tab w:val="clear" w:pos="8828"/>
          <w:tab w:val="right" w:pos="7560"/>
        </w:tabs>
        <w:rPr>
          <w:rFonts w:asciiTheme="majorHAnsi" w:eastAsiaTheme="minorEastAsia" w:hAnsiTheme="majorHAnsi" w:cstheme="minorBidi"/>
          <w:noProof/>
        </w:rPr>
      </w:pPr>
      <w:hyperlink w:anchor="_Toc531514473" w:history="1">
        <w:r w:rsidR="00F64540" w:rsidRPr="00F64540">
          <w:rPr>
            <w:rStyle w:val="Hyperlink"/>
            <w:rFonts w:asciiTheme="majorHAnsi" w:hAnsiTheme="majorHAnsi"/>
            <w:noProof/>
            <w:lang w:val="es-US"/>
          </w:rPr>
          <w:t>b.</w:t>
        </w:r>
        <w:r w:rsidR="00F64540" w:rsidRPr="00F64540">
          <w:rPr>
            <w:rFonts w:asciiTheme="majorHAnsi" w:eastAsiaTheme="minorEastAsia" w:hAnsiTheme="majorHAnsi" w:cstheme="minorBidi"/>
            <w:noProof/>
          </w:rPr>
          <w:tab/>
        </w:r>
        <w:r w:rsidR="00F64540" w:rsidRPr="00F64540">
          <w:rPr>
            <w:rStyle w:val="Hyperlink"/>
            <w:rFonts w:asciiTheme="majorHAnsi" w:hAnsiTheme="majorHAnsi"/>
            <w:noProof/>
            <w:lang w:val="es-US"/>
          </w:rPr>
          <w:t>Leyes “</w:t>
        </w:r>
        <w:r w:rsidR="00F64540" w:rsidRPr="00F64540">
          <w:rPr>
            <w:rStyle w:val="Hyperlink"/>
            <w:rFonts w:asciiTheme="majorHAnsi" w:hAnsiTheme="majorHAnsi"/>
            <w:i/>
            <w:noProof/>
            <w:lang w:val="es-US"/>
          </w:rPr>
          <w:t>Stand Your Ground</w:t>
        </w:r>
        <w:r w:rsidR="00F64540" w:rsidRPr="00F64540">
          <w:rPr>
            <w:rStyle w:val="Hyperlink"/>
            <w:rFonts w:asciiTheme="majorHAnsi" w:hAnsiTheme="majorHAnsi"/>
            <w:noProof/>
            <w:lang w:val="es-US"/>
          </w:rPr>
          <w:t>” y violencia por parte de ciudadanos comunes</w:t>
        </w:r>
        <w:r w:rsidR="00F64540" w:rsidRPr="00F64540">
          <w:rPr>
            <w:rFonts w:asciiTheme="majorHAnsi" w:hAnsiTheme="majorHAnsi"/>
            <w:noProof/>
            <w:webHidden/>
          </w:rPr>
          <w:tab/>
        </w:r>
        <w:r w:rsidR="00F64540" w:rsidRPr="00F64540">
          <w:rPr>
            <w:rFonts w:asciiTheme="majorHAnsi" w:hAnsiTheme="majorHAnsi"/>
            <w:noProof/>
            <w:webHidden/>
          </w:rPr>
          <w:fldChar w:fldCharType="begin"/>
        </w:r>
        <w:r w:rsidR="00F64540" w:rsidRPr="00F64540">
          <w:rPr>
            <w:rFonts w:asciiTheme="majorHAnsi" w:hAnsiTheme="majorHAnsi"/>
            <w:noProof/>
            <w:webHidden/>
          </w:rPr>
          <w:instrText xml:space="preserve"> PAGEREF _Toc531514473 \h </w:instrText>
        </w:r>
        <w:r w:rsidR="00F64540" w:rsidRPr="00F64540">
          <w:rPr>
            <w:rFonts w:asciiTheme="majorHAnsi" w:hAnsiTheme="majorHAnsi"/>
            <w:noProof/>
            <w:webHidden/>
          </w:rPr>
        </w:r>
        <w:r w:rsidR="00F64540" w:rsidRPr="00F64540">
          <w:rPr>
            <w:rFonts w:asciiTheme="majorHAnsi" w:hAnsiTheme="majorHAnsi"/>
            <w:noProof/>
            <w:webHidden/>
          </w:rPr>
          <w:fldChar w:fldCharType="separate"/>
        </w:r>
        <w:r w:rsidR="00A922E4">
          <w:rPr>
            <w:rFonts w:asciiTheme="majorHAnsi" w:hAnsiTheme="majorHAnsi"/>
            <w:noProof/>
            <w:webHidden/>
          </w:rPr>
          <w:t>96</w:t>
        </w:r>
        <w:r w:rsidR="00F64540" w:rsidRPr="00F64540">
          <w:rPr>
            <w:rFonts w:asciiTheme="majorHAnsi" w:hAnsiTheme="majorHAnsi"/>
            <w:noProof/>
            <w:webHidden/>
          </w:rPr>
          <w:fldChar w:fldCharType="end"/>
        </w:r>
      </w:hyperlink>
    </w:p>
    <w:p w14:paraId="1988F9EE" w14:textId="0DF37EBE" w:rsidR="00F64540" w:rsidRPr="00F64540" w:rsidRDefault="00E91823" w:rsidP="00F64540">
      <w:pPr>
        <w:pStyle w:val="TOC4"/>
        <w:tabs>
          <w:tab w:val="clear" w:pos="8828"/>
          <w:tab w:val="right" w:pos="7560"/>
        </w:tabs>
        <w:rPr>
          <w:rFonts w:asciiTheme="majorHAnsi" w:eastAsiaTheme="minorEastAsia" w:hAnsiTheme="majorHAnsi" w:cstheme="minorBidi"/>
          <w:noProof/>
        </w:rPr>
      </w:pPr>
      <w:hyperlink w:anchor="_Toc531514474" w:history="1">
        <w:r w:rsidR="00F64540" w:rsidRPr="00F64540">
          <w:rPr>
            <w:rStyle w:val="Hyperlink"/>
            <w:rFonts w:asciiTheme="majorHAnsi" w:hAnsiTheme="majorHAnsi"/>
            <w:noProof/>
            <w:lang w:val="es-US"/>
          </w:rPr>
          <w:t>c.</w:t>
        </w:r>
        <w:r w:rsidR="00F64540" w:rsidRPr="00F64540">
          <w:rPr>
            <w:rFonts w:asciiTheme="majorHAnsi" w:eastAsiaTheme="minorEastAsia" w:hAnsiTheme="majorHAnsi" w:cstheme="minorBidi"/>
            <w:noProof/>
          </w:rPr>
          <w:tab/>
        </w:r>
        <w:r w:rsidR="00F64540" w:rsidRPr="00F64540">
          <w:rPr>
            <w:rStyle w:val="Hyperlink"/>
            <w:rFonts w:asciiTheme="majorHAnsi" w:hAnsiTheme="majorHAnsi"/>
            <w:noProof/>
            <w:lang w:val="es-US"/>
          </w:rPr>
          <w:t xml:space="preserve">Discriminación Intersecccional: Mujeres, personas </w:t>
        </w:r>
        <w:r w:rsidR="00B45282">
          <w:rPr>
            <w:rStyle w:val="Hyperlink"/>
            <w:rFonts w:asciiTheme="majorHAnsi" w:hAnsiTheme="majorHAnsi"/>
            <w:noProof/>
            <w:lang w:val="es-US"/>
          </w:rPr>
          <w:br/>
        </w:r>
        <w:r w:rsidR="00F64540" w:rsidRPr="00F64540">
          <w:rPr>
            <w:rStyle w:val="Hyperlink"/>
            <w:rFonts w:asciiTheme="majorHAnsi" w:hAnsiTheme="majorHAnsi"/>
            <w:noProof/>
            <w:lang w:val="es-US"/>
          </w:rPr>
          <w:t>con discapacidad y personas LGBTI</w:t>
        </w:r>
        <w:r w:rsidR="00F64540" w:rsidRPr="00F64540">
          <w:rPr>
            <w:rFonts w:asciiTheme="majorHAnsi" w:hAnsiTheme="majorHAnsi"/>
            <w:noProof/>
            <w:webHidden/>
          </w:rPr>
          <w:tab/>
        </w:r>
        <w:r w:rsidR="00F64540" w:rsidRPr="00F64540">
          <w:rPr>
            <w:rFonts w:asciiTheme="majorHAnsi" w:hAnsiTheme="majorHAnsi"/>
            <w:noProof/>
            <w:webHidden/>
          </w:rPr>
          <w:fldChar w:fldCharType="begin"/>
        </w:r>
        <w:r w:rsidR="00F64540" w:rsidRPr="00F64540">
          <w:rPr>
            <w:rFonts w:asciiTheme="majorHAnsi" w:hAnsiTheme="majorHAnsi"/>
            <w:noProof/>
            <w:webHidden/>
          </w:rPr>
          <w:instrText xml:space="preserve"> PAGEREF _Toc531514474 \h </w:instrText>
        </w:r>
        <w:r w:rsidR="00F64540" w:rsidRPr="00F64540">
          <w:rPr>
            <w:rFonts w:asciiTheme="majorHAnsi" w:hAnsiTheme="majorHAnsi"/>
            <w:noProof/>
            <w:webHidden/>
          </w:rPr>
        </w:r>
        <w:r w:rsidR="00F64540" w:rsidRPr="00F64540">
          <w:rPr>
            <w:rFonts w:asciiTheme="majorHAnsi" w:hAnsiTheme="majorHAnsi"/>
            <w:noProof/>
            <w:webHidden/>
          </w:rPr>
          <w:fldChar w:fldCharType="separate"/>
        </w:r>
        <w:r w:rsidR="00A922E4">
          <w:rPr>
            <w:rFonts w:asciiTheme="majorHAnsi" w:hAnsiTheme="majorHAnsi"/>
            <w:noProof/>
            <w:webHidden/>
          </w:rPr>
          <w:t>99</w:t>
        </w:r>
        <w:r w:rsidR="00F64540" w:rsidRPr="00F64540">
          <w:rPr>
            <w:rFonts w:asciiTheme="majorHAnsi" w:hAnsiTheme="majorHAnsi"/>
            <w:noProof/>
            <w:webHidden/>
          </w:rPr>
          <w:fldChar w:fldCharType="end"/>
        </w:r>
      </w:hyperlink>
    </w:p>
    <w:p w14:paraId="36E8F1BC" w14:textId="5151EBD4" w:rsidR="00F64540" w:rsidRPr="00F64540" w:rsidRDefault="00E91823" w:rsidP="00F64540">
      <w:pPr>
        <w:pStyle w:val="TOC4"/>
        <w:tabs>
          <w:tab w:val="clear" w:pos="8828"/>
          <w:tab w:val="right" w:pos="7560"/>
        </w:tabs>
        <w:rPr>
          <w:rFonts w:asciiTheme="majorHAnsi" w:eastAsiaTheme="minorEastAsia" w:hAnsiTheme="majorHAnsi" w:cstheme="minorBidi"/>
          <w:noProof/>
        </w:rPr>
      </w:pPr>
      <w:hyperlink w:anchor="_Toc531514475" w:history="1">
        <w:r w:rsidR="00F64540" w:rsidRPr="00F64540">
          <w:rPr>
            <w:rStyle w:val="Hyperlink"/>
            <w:rFonts w:asciiTheme="majorHAnsi" w:hAnsiTheme="majorHAnsi"/>
            <w:noProof/>
            <w:lang w:val="es-US"/>
          </w:rPr>
          <w:t>d.</w:t>
        </w:r>
        <w:r w:rsidR="00F64540" w:rsidRPr="00F64540">
          <w:rPr>
            <w:rFonts w:asciiTheme="majorHAnsi" w:eastAsiaTheme="minorEastAsia" w:hAnsiTheme="majorHAnsi" w:cstheme="minorBidi"/>
            <w:noProof/>
          </w:rPr>
          <w:tab/>
        </w:r>
        <w:r w:rsidR="00F64540" w:rsidRPr="00F64540">
          <w:rPr>
            <w:rStyle w:val="Hyperlink"/>
            <w:rFonts w:asciiTheme="majorHAnsi" w:hAnsiTheme="majorHAnsi"/>
            <w:noProof/>
            <w:lang w:val="es-US"/>
          </w:rPr>
          <w:t xml:space="preserve">Pobreza y acceso a la salud, la educación, la vivienda, </w:t>
        </w:r>
        <w:r w:rsidR="00B45282">
          <w:rPr>
            <w:rStyle w:val="Hyperlink"/>
            <w:rFonts w:asciiTheme="majorHAnsi" w:hAnsiTheme="majorHAnsi"/>
            <w:noProof/>
            <w:lang w:val="es-US"/>
          </w:rPr>
          <w:br/>
        </w:r>
        <w:r w:rsidR="00F64540" w:rsidRPr="00F64540">
          <w:rPr>
            <w:rStyle w:val="Hyperlink"/>
            <w:rFonts w:asciiTheme="majorHAnsi" w:hAnsiTheme="majorHAnsi"/>
            <w:noProof/>
            <w:lang w:val="es-US"/>
          </w:rPr>
          <w:t>el trabajo y otros derechos</w:t>
        </w:r>
        <w:r w:rsidR="00F64540" w:rsidRPr="00F64540">
          <w:rPr>
            <w:rFonts w:asciiTheme="majorHAnsi" w:hAnsiTheme="majorHAnsi"/>
            <w:noProof/>
            <w:webHidden/>
          </w:rPr>
          <w:tab/>
        </w:r>
        <w:r w:rsidR="00F64540" w:rsidRPr="00F64540">
          <w:rPr>
            <w:rFonts w:asciiTheme="majorHAnsi" w:hAnsiTheme="majorHAnsi"/>
            <w:noProof/>
            <w:webHidden/>
          </w:rPr>
          <w:fldChar w:fldCharType="begin"/>
        </w:r>
        <w:r w:rsidR="00F64540" w:rsidRPr="00F64540">
          <w:rPr>
            <w:rFonts w:asciiTheme="majorHAnsi" w:hAnsiTheme="majorHAnsi"/>
            <w:noProof/>
            <w:webHidden/>
          </w:rPr>
          <w:instrText xml:space="preserve"> PAGEREF _Toc531514475 \h </w:instrText>
        </w:r>
        <w:r w:rsidR="00F64540" w:rsidRPr="00F64540">
          <w:rPr>
            <w:rFonts w:asciiTheme="majorHAnsi" w:hAnsiTheme="majorHAnsi"/>
            <w:noProof/>
            <w:webHidden/>
          </w:rPr>
        </w:r>
        <w:r w:rsidR="00F64540" w:rsidRPr="00F64540">
          <w:rPr>
            <w:rFonts w:asciiTheme="majorHAnsi" w:hAnsiTheme="majorHAnsi"/>
            <w:noProof/>
            <w:webHidden/>
          </w:rPr>
          <w:fldChar w:fldCharType="separate"/>
        </w:r>
        <w:r w:rsidR="00A922E4">
          <w:rPr>
            <w:rFonts w:asciiTheme="majorHAnsi" w:hAnsiTheme="majorHAnsi"/>
            <w:noProof/>
            <w:webHidden/>
          </w:rPr>
          <w:t>103</w:t>
        </w:r>
        <w:r w:rsidR="00F64540" w:rsidRPr="00F64540">
          <w:rPr>
            <w:rFonts w:asciiTheme="majorHAnsi" w:hAnsiTheme="majorHAnsi"/>
            <w:noProof/>
            <w:webHidden/>
          </w:rPr>
          <w:fldChar w:fldCharType="end"/>
        </w:r>
      </w:hyperlink>
    </w:p>
    <w:p w14:paraId="218E7DB5" w14:textId="77777777" w:rsidR="00F64540" w:rsidRPr="00F64540" w:rsidRDefault="00E91823" w:rsidP="00F64540">
      <w:pPr>
        <w:pStyle w:val="TOC2"/>
        <w:rPr>
          <w:rFonts w:eastAsiaTheme="minorEastAsia" w:cstheme="minorBidi"/>
          <w:b/>
          <w:lang w:val="en-US"/>
        </w:rPr>
      </w:pPr>
      <w:hyperlink w:anchor="_Toc531514476" w:history="1">
        <w:r w:rsidR="00F64540" w:rsidRPr="00F64540">
          <w:rPr>
            <w:rStyle w:val="Hyperlink"/>
          </w:rPr>
          <w:t>D.</w:t>
        </w:r>
        <w:r w:rsidR="00F64540" w:rsidRPr="00F64540">
          <w:rPr>
            <w:rFonts w:eastAsiaTheme="minorEastAsia" w:cstheme="minorBidi"/>
            <w:lang w:val="en-US"/>
          </w:rPr>
          <w:tab/>
        </w:r>
        <w:r w:rsidR="00F64540" w:rsidRPr="00F64540">
          <w:rPr>
            <w:rStyle w:val="Hyperlink"/>
          </w:rPr>
          <w:t>Información sobre iniciativas federales</w:t>
        </w:r>
        <w:r w:rsidR="00F64540" w:rsidRPr="00F64540">
          <w:rPr>
            <w:webHidden/>
          </w:rPr>
          <w:tab/>
        </w:r>
        <w:r w:rsidR="00F64540" w:rsidRPr="00F64540">
          <w:rPr>
            <w:webHidden/>
          </w:rPr>
          <w:fldChar w:fldCharType="begin"/>
        </w:r>
        <w:r w:rsidR="00F64540" w:rsidRPr="00F64540">
          <w:rPr>
            <w:webHidden/>
          </w:rPr>
          <w:instrText xml:space="preserve"> PAGEREF _Toc531514476 \h </w:instrText>
        </w:r>
        <w:r w:rsidR="00F64540" w:rsidRPr="00F64540">
          <w:rPr>
            <w:webHidden/>
          </w:rPr>
        </w:r>
        <w:r w:rsidR="00F64540" w:rsidRPr="00F64540">
          <w:rPr>
            <w:webHidden/>
          </w:rPr>
          <w:fldChar w:fldCharType="separate"/>
        </w:r>
        <w:r w:rsidR="00A922E4">
          <w:rPr>
            <w:webHidden/>
          </w:rPr>
          <w:t>105</w:t>
        </w:r>
        <w:r w:rsidR="00F64540" w:rsidRPr="00F64540">
          <w:rPr>
            <w:webHidden/>
          </w:rPr>
          <w:fldChar w:fldCharType="end"/>
        </w:r>
      </w:hyperlink>
    </w:p>
    <w:p w14:paraId="72795C5F" w14:textId="77777777" w:rsidR="00F64540" w:rsidRPr="00F64540" w:rsidRDefault="00E91823" w:rsidP="00F64540">
      <w:pPr>
        <w:pStyle w:val="TOC3"/>
        <w:tabs>
          <w:tab w:val="clear" w:pos="8828"/>
          <w:tab w:val="right" w:pos="7560"/>
        </w:tabs>
        <w:rPr>
          <w:rFonts w:asciiTheme="majorHAnsi" w:hAnsiTheme="majorHAnsi" w:cstheme="minorBidi"/>
          <w:noProof/>
        </w:rPr>
      </w:pPr>
      <w:hyperlink w:anchor="_Toc531514477" w:history="1">
        <w:r w:rsidR="00F64540" w:rsidRPr="00F64540">
          <w:rPr>
            <w:rStyle w:val="Hyperlink"/>
            <w:rFonts w:asciiTheme="majorHAnsi" w:hAnsiTheme="majorHAnsi"/>
            <w:noProof/>
            <w:lang w:val="es-US"/>
          </w:rPr>
          <w:t>1.</w:t>
        </w:r>
        <w:r w:rsidR="00F64540" w:rsidRPr="00F64540">
          <w:rPr>
            <w:rFonts w:asciiTheme="majorHAnsi" w:hAnsiTheme="majorHAnsi" w:cstheme="minorBidi"/>
            <w:noProof/>
          </w:rPr>
          <w:tab/>
        </w:r>
        <w:r w:rsidR="00F64540" w:rsidRPr="00F64540">
          <w:rPr>
            <w:rStyle w:val="Hyperlink"/>
            <w:rFonts w:asciiTheme="majorHAnsi" w:hAnsiTheme="majorHAnsi"/>
            <w:noProof/>
            <w:lang w:val="es-US"/>
          </w:rPr>
          <w:t>Acciones e iniciativas del Departamento de Justicia</w:t>
        </w:r>
        <w:r w:rsidR="00F64540" w:rsidRPr="00F64540">
          <w:rPr>
            <w:rFonts w:asciiTheme="majorHAnsi" w:hAnsiTheme="majorHAnsi"/>
            <w:noProof/>
            <w:webHidden/>
          </w:rPr>
          <w:tab/>
        </w:r>
        <w:r w:rsidR="00F64540" w:rsidRPr="00F64540">
          <w:rPr>
            <w:rFonts w:asciiTheme="majorHAnsi" w:hAnsiTheme="majorHAnsi"/>
            <w:noProof/>
            <w:webHidden/>
          </w:rPr>
          <w:fldChar w:fldCharType="begin"/>
        </w:r>
        <w:r w:rsidR="00F64540" w:rsidRPr="00F64540">
          <w:rPr>
            <w:rFonts w:asciiTheme="majorHAnsi" w:hAnsiTheme="majorHAnsi"/>
            <w:noProof/>
            <w:webHidden/>
          </w:rPr>
          <w:instrText xml:space="preserve"> PAGEREF _Toc531514477 \h </w:instrText>
        </w:r>
        <w:r w:rsidR="00F64540" w:rsidRPr="00F64540">
          <w:rPr>
            <w:rFonts w:asciiTheme="majorHAnsi" w:hAnsiTheme="majorHAnsi"/>
            <w:noProof/>
            <w:webHidden/>
          </w:rPr>
        </w:r>
        <w:r w:rsidR="00F64540" w:rsidRPr="00F64540">
          <w:rPr>
            <w:rFonts w:asciiTheme="majorHAnsi" w:hAnsiTheme="majorHAnsi"/>
            <w:noProof/>
            <w:webHidden/>
          </w:rPr>
          <w:fldChar w:fldCharType="separate"/>
        </w:r>
        <w:r w:rsidR="00A922E4">
          <w:rPr>
            <w:rFonts w:asciiTheme="majorHAnsi" w:hAnsiTheme="majorHAnsi"/>
            <w:noProof/>
            <w:webHidden/>
          </w:rPr>
          <w:t>105</w:t>
        </w:r>
        <w:r w:rsidR="00F64540" w:rsidRPr="00F64540">
          <w:rPr>
            <w:rFonts w:asciiTheme="majorHAnsi" w:hAnsiTheme="majorHAnsi"/>
            <w:noProof/>
            <w:webHidden/>
          </w:rPr>
          <w:fldChar w:fldCharType="end"/>
        </w:r>
      </w:hyperlink>
    </w:p>
    <w:p w14:paraId="34D99DA0" w14:textId="4ED115AE" w:rsidR="00F64540" w:rsidRPr="00F64540" w:rsidRDefault="00E91823" w:rsidP="00F64540">
      <w:pPr>
        <w:pStyle w:val="TOC3"/>
        <w:tabs>
          <w:tab w:val="clear" w:pos="8828"/>
          <w:tab w:val="right" w:pos="7560"/>
        </w:tabs>
        <w:rPr>
          <w:rFonts w:asciiTheme="majorHAnsi" w:hAnsiTheme="majorHAnsi" w:cstheme="minorBidi"/>
          <w:noProof/>
        </w:rPr>
      </w:pPr>
      <w:hyperlink w:anchor="_Toc531514478" w:history="1">
        <w:r w:rsidR="00F64540" w:rsidRPr="00F64540">
          <w:rPr>
            <w:rStyle w:val="Hyperlink"/>
            <w:rFonts w:asciiTheme="majorHAnsi" w:hAnsiTheme="majorHAnsi"/>
            <w:noProof/>
            <w:lang w:val="es-US"/>
          </w:rPr>
          <w:t>2.</w:t>
        </w:r>
        <w:r w:rsidR="00F64540" w:rsidRPr="00F64540">
          <w:rPr>
            <w:rFonts w:asciiTheme="majorHAnsi" w:hAnsiTheme="majorHAnsi" w:cstheme="minorBidi"/>
            <w:noProof/>
          </w:rPr>
          <w:tab/>
        </w:r>
        <w:r w:rsidR="00F64540" w:rsidRPr="00F64540">
          <w:rPr>
            <w:rStyle w:val="Hyperlink"/>
            <w:rFonts w:asciiTheme="majorHAnsi" w:hAnsiTheme="majorHAnsi"/>
            <w:noProof/>
            <w:lang w:val="es-US"/>
          </w:rPr>
          <w:t xml:space="preserve">Grupo de Trabajo del Presidente Obama sobre Control </w:t>
        </w:r>
        <w:r w:rsidR="00B45282">
          <w:rPr>
            <w:rStyle w:val="Hyperlink"/>
            <w:rFonts w:asciiTheme="majorHAnsi" w:hAnsiTheme="majorHAnsi"/>
            <w:noProof/>
            <w:lang w:val="es-US"/>
          </w:rPr>
          <w:br/>
        </w:r>
        <w:r w:rsidR="00F64540" w:rsidRPr="00F64540">
          <w:rPr>
            <w:rStyle w:val="Hyperlink"/>
            <w:rFonts w:asciiTheme="majorHAnsi" w:hAnsiTheme="majorHAnsi"/>
            <w:noProof/>
            <w:lang w:val="es-US"/>
          </w:rPr>
          <w:t>Policial en el Siglo XXI</w:t>
        </w:r>
        <w:r w:rsidR="00F64540" w:rsidRPr="00F64540">
          <w:rPr>
            <w:rFonts w:asciiTheme="majorHAnsi" w:hAnsiTheme="majorHAnsi"/>
            <w:noProof/>
            <w:webHidden/>
          </w:rPr>
          <w:tab/>
        </w:r>
        <w:r w:rsidR="00F64540" w:rsidRPr="00F64540">
          <w:rPr>
            <w:rFonts w:asciiTheme="majorHAnsi" w:hAnsiTheme="majorHAnsi"/>
            <w:noProof/>
            <w:webHidden/>
          </w:rPr>
          <w:fldChar w:fldCharType="begin"/>
        </w:r>
        <w:r w:rsidR="00F64540" w:rsidRPr="00F64540">
          <w:rPr>
            <w:rFonts w:asciiTheme="majorHAnsi" w:hAnsiTheme="majorHAnsi"/>
            <w:noProof/>
            <w:webHidden/>
          </w:rPr>
          <w:instrText xml:space="preserve"> PAGEREF _Toc531514478 \h </w:instrText>
        </w:r>
        <w:r w:rsidR="00F64540" w:rsidRPr="00F64540">
          <w:rPr>
            <w:rFonts w:asciiTheme="majorHAnsi" w:hAnsiTheme="majorHAnsi"/>
            <w:noProof/>
            <w:webHidden/>
          </w:rPr>
        </w:r>
        <w:r w:rsidR="00F64540" w:rsidRPr="00F64540">
          <w:rPr>
            <w:rFonts w:asciiTheme="majorHAnsi" w:hAnsiTheme="majorHAnsi"/>
            <w:noProof/>
            <w:webHidden/>
          </w:rPr>
          <w:fldChar w:fldCharType="separate"/>
        </w:r>
        <w:r w:rsidR="00A922E4">
          <w:rPr>
            <w:rFonts w:asciiTheme="majorHAnsi" w:hAnsiTheme="majorHAnsi"/>
            <w:noProof/>
            <w:webHidden/>
          </w:rPr>
          <w:t>106</w:t>
        </w:r>
        <w:r w:rsidR="00F64540" w:rsidRPr="00F64540">
          <w:rPr>
            <w:rFonts w:asciiTheme="majorHAnsi" w:hAnsiTheme="majorHAnsi"/>
            <w:noProof/>
            <w:webHidden/>
          </w:rPr>
          <w:fldChar w:fldCharType="end"/>
        </w:r>
      </w:hyperlink>
    </w:p>
    <w:p w14:paraId="1B80D95F" w14:textId="77777777" w:rsidR="00F64540" w:rsidRPr="00F64540" w:rsidRDefault="00E91823" w:rsidP="00F64540">
      <w:pPr>
        <w:pStyle w:val="TOC3"/>
        <w:tabs>
          <w:tab w:val="clear" w:pos="8828"/>
          <w:tab w:val="right" w:pos="7560"/>
        </w:tabs>
        <w:rPr>
          <w:rFonts w:asciiTheme="majorHAnsi" w:hAnsiTheme="majorHAnsi" w:cstheme="minorBidi"/>
          <w:noProof/>
        </w:rPr>
      </w:pPr>
      <w:hyperlink w:anchor="_Toc531514479" w:history="1">
        <w:r w:rsidR="00F64540" w:rsidRPr="00F64540">
          <w:rPr>
            <w:rStyle w:val="Hyperlink"/>
            <w:rFonts w:asciiTheme="majorHAnsi" w:hAnsiTheme="majorHAnsi"/>
            <w:noProof/>
            <w:lang w:val="es-US"/>
          </w:rPr>
          <w:t>3.</w:t>
        </w:r>
        <w:r w:rsidR="00F64540" w:rsidRPr="00F64540">
          <w:rPr>
            <w:rFonts w:asciiTheme="majorHAnsi" w:hAnsiTheme="majorHAnsi" w:cstheme="minorBidi"/>
            <w:noProof/>
          </w:rPr>
          <w:tab/>
        </w:r>
        <w:r w:rsidR="00F64540" w:rsidRPr="00F64540">
          <w:rPr>
            <w:rStyle w:val="Hyperlink"/>
            <w:rFonts w:asciiTheme="majorHAnsi" w:hAnsiTheme="majorHAnsi"/>
            <w:noProof/>
            <w:lang w:val="es-US"/>
          </w:rPr>
          <w:t>Policía comunitaria y otras iniciativas</w:t>
        </w:r>
        <w:r w:rsidR="00F64540" w:rsidRPr="00F64540">
          <w:rPr>
            <w:rFonts w:asciiTheme="majorHAnsi" w:hAnsiTheme="majorHAnsi"/>
            <w:noProof/>
            <w:webHidden/>
          </w:rPr>
          <w:tab/>
        </w:r>
        <w:r w:rsidR="00F64540" w:rsidRPr="00F64540">
          <w:rPr>
            <w:rFonts w:asciiTheme="majorHAnsi" w:hAnsiTheme="majorHAnsi"/>
            <w:noProof/>
            <w:webHidden/>
          </w:rPr>
          <w:fldChar w:fldCharType="begin"/>
        </w:r>
        <w:r w:rsidR="00F64540" w:rsidRPr="00F64540">
          <w:rPr>
            <w:rFonts w:asciiTheme="majorHAnsi" w:hAnsiTheme="majorHAnsi"/>
            <w:noProof/>
            <w:webHidden/>
          </w:rPr>
          <w:instrText xml:space="preserve"> PAGEREF _Toc531514479 \h </w:instrText>
        </w:r>
        <w:r w:rsidR="00F64540" w:rsidRPr="00F64540">
          <w:rPr>
            <w:rFonts w:asciiTheme="majorHAnsi" w:hAnsiTheme="majorHAnsi"/>
            <w:noProof/>
            <w:webHidden/>
          </w:rPr>
        </w:r>
        <w:r w:rsidR="00F64540" w:rsidRPr="00F64540">
          <w:rPr>
            <w:rFonts w:asciiTheme="majorHAnsi" w:hAnsiTheme="majorHAnsi"/>
            <w:noProof/>
            <w:webHidden/>
          </w:rPr>
          <w:fldChar w:fldCharType="separate"/>
        </w:r>
        <w:r w:rsidR="00A922E4">
          <w:rPr>
            <w:rFonts w:asciiTheme="majorHAnsi" w:hAnsiTheme="majorHAnsi"/>
            <w:noProof/>
            <w:webHidden/>
          </w:rPr>
          <w:t>107</w:t>
        </w:r>
        <w:r w:rsidR="00F64540" w:rsidRPr="00F64540">
          <w:rPr>
            <w:rFonts w:asciiTheme="majorHAnsi" w:hAnsiTheme="majorHAnsi"/>
            <w:noProof/>
            <w:webHidden/>
          </w:rPr>
          <w:fldChar w:fldCharType="end"/>
        </w:r>
      </w:hyperlink>
    </w:p>
    <w:p w14:paraId="391FC79C" w14:textId="77777777" w:rsidR="00F64540" w:rsidRPr="00F64540" w:rsidRDefault="00E91823" w:rsidP="00F64540">
      <w:pPr>
        <w:pStyle w:val="TOC2"/>
        <w:rPr>
          <w:rFonts w:eastAsiaTheme="minorEastAsia" w:cstheme="minorBidi"/>
          <w:b/>
          <w:lang w:val="en-US"/>
        </w:rPr>
      </w:pPr>
      <w:hyperlink w:anchor="_Toc531514480" w:history="1">
        <w:r w:rsidR="00F64540" w:rsidRPr="00F64540">
          <w:rPr>
            <w:rStyle w:val="Hyperlink"/>
          </w:rPr>
          <w:t>E.</w:t>
        </w:r>
        <w:r w:rsidR="00F64540" w:rsidRPr="00F64540">
          <w:rPr>
            <w:rFonts w:eastAsiaTheme="minorEastAsia" w:cstheme="minorBidi"/>
            <w:lang w:val="en-US"/>
          </w:rPr>
          <w:tab/>
        </w:r>
        <w:r w:rsidR="00F64540" w:rsidRPr="00F64540">
          <w:rPr>
            <w:rStyle w:val="Hyperlink"/>
          </w:rPr>
          <w:t>Consideraciones de la Comisión</w:t>
        </w:r>
        <w:r w:rsidR="00F64540" w:rsidRPr="00F64540">
          <w:rPr>
            <w:webHidden/>
          </w:rPr>
          <w:tab/>
        </w:r>
        <w:r w:rsidR="00F64540" w:rsidRPr="00F64540">
          <w:rPr>
            <w:webHidden/>
          </w:rPr>
          <w:fldChar w:fldCharType="begin"/>
        </w:r>
        <w:r w:rsidR="00F64540" w:rsidRPr="00F64540">
          <w:rPr>
            <w:webHidden/>
          </w:rPr>
          <w:instrText xml:space="preserve"> PAGEREF _Toc531514480 \h </w:instrText>
        </w:r>
        <w:r w:rsidR="00F64540" w:rsidRPr="00F64540">
          <w:rPr>
            <w:webHidden/>
          </w:rPr>
        </w:r>
        <w:r w:rsidR="00F64540" w:rsidRPr="00F64540">
          <w:rPr>
            <w:webHidden/>
          </w:rPr>
          <w:fldChar w:fldCharType="separate"/>
        </w:r>
        <w:r w:rsidR="00A922E4">
          <w:rPr>
            <w:webHidden/>
          </w:rPr>
          <w:t>108</w:t>
        </w:r>
        <w:r w:rsidR="00F64540" w:rsidRPr="00F64540">
          <w:rPr>
            <w:webHidden/>
          </w:rPr>
          <w:fldChar w:fldCharType="end"/>
        </w:r>
      </w:hyperlink>
    </w:p>
    <w:p w14:paraId="71A7B3A3" w14:textId="74738402" w:rsidR="00F64540" w:rsidRPr="00F64540" w:rsidRDefault="00E91823" w:rsidP="00373E27">
      <w:pPr>
        <w:pStyle w:val="TOC1"/>
        <w:rPr>
          <w:rStyle w:val="Hyperlink"/>
          <w:b/>
        </w:rPr>
      </w:pPr>
      <w:hyperlink w:anchor="_Toc531514483" w:history="1">
        <w:r w:rsidR="00F64540" w:rsidRPr="00915368">
          <w:rPr>
            <w:rStyle w:val="Hyperlink"/>
            <w:b/>
            <w:color w:val="808080" w:themeColor="background1" w:themeShade="80"/>
          </w:rPr>
          <w:t xml:space="preserve">CAPÍTULO 3 | </w:t>
        </w:r>
        <w:r w:rsidR="00F64540" w:rsidRPr="00915368">
          <w:rPr>
            <w:rStyle w:val="Hyperlink"/>
            <w:b/>
            <w:color w:val="4A442A" w:themeColor="background2" w:themeShade="40"/>
          </w:rPr>
          <w:t xml:space="preserve">OBLIGACIONES INTERAMERICANAS E INTERNACIONALES </w:t>
        </w:r>
        <w:r w:rsidR="00915368" w:rsidRPr="00915368">
          <w:rPr>
            <w:rStyle w:val="Hyperlink"/>
            <w:b/>
            <w:color w:val="4A442A" w:themeColor="background2" w:themeShade="40"/>
          </w:rPr>
          <w:br/>
        </w:r>
        <w:r w:rsidR="00F64540" w:rsidRPr="00915368">
          <w:rPr>
            <w:rStyle w:val="Hyperlink"/>
            <w:b/>
            <w:color w:val="4A442A" w:themeColor="background2" w:themeShade="40"/>
          </w:rPr>
          <w:t>DE ESTADOS UNIDOS EN MATERIA DE NO DISCRIMINACIÓN, USO DE LA FUERZA Y ACCESO A LA JUSTICIA</w:t>
        </w:r>
        <w:r w:rsidR="00F64540" w:rsidRPr="00F64540">
          <w:rPr>
            <w:rStyle w:val="Hyperlink"/>
            <w:b/>
            <w:webHidden/>
          </w:rPr>
          <w:tab/>
        </w:r>
        <w:r w:rsidR="00F64540" w:rsidRPr="00F64540">
          <w:rPr>
            <w:rStyle w:val="Hyperlink"/>
            <w:b/>
            <w:webHidden/>
          </w:rPr>
          <w:fldChar w:fldCharType="begin"/>
        </w:r>
        <w:r w:rsidR="00F64540" w:rsidRPr="00F64540">
          <w:rPr>
            <w:rStyle w:val="Hyperlink"/>
            <w:b/>
            <w:webHidden/>
          </w:rPr>
          <w:instrText xml:space="preserve"> PAGEREF _Toc531514483 \h </w:instrText>
        </w:r>
        <w:r w:rsidR="00F64540" w:rsidRPr="00F64540">
          <w:rPr>
            <w:rStyle w:val="Hyperlink"/>
            <w:b/>
            <w:webHidden/>
          </w:rPr>
        </w:r>
        <w:r w:rsidR="00F64540" w:rsidRPr="00F64540">
          <w:rPr>
            <w:rStyle w:val="Hyperlink"/>
            <w:b/>
            <w:webHidden/>
          </w:rPr>
          <w:fldChar w:fldCharType="separate"/>
        </w:r>
        <w:r w:rsidR="00A922E4">
          <w:rPr>
            <w:rStyle w:val="Hyperlink"/>
            <w:b/>
            <w:webHidden/>
          </w:rPr>
          <w:t>113</w:t>
        </w:r>
        <w:r w:rsidR="00F64540" w:rsidRPr="00F64540">
          <w:rPr>
            <w:rStyle w:val="Hyperlink"/>
            <w:b/>
            <w:webHidden/>
          </w:rPr>
          <w:fldChar w:fldCharType="end"/>
        </w:r>
      </w:hyperlink>
    </w:p>
    <w:p w14:paraId="49A35E2A" w14:textId="77777777" w:rsidR="00F64540" w:rsidRPr="00F64540" w:rsidRDefault="00E91823" w:rsidP="00F64540">
      <w:pPr>
        <w:pStyle w:val="TOC2"/>
        <w:rPr>
          <w:rFonts w:eastAsiaTheme="minorEastAsia" w:cstheme="minorBidi"/>
          <w:b/>
          <w:lang w:val="en-US"/>
        </w:rPr>
      </w:pPr>
      <w:hyperlink w:anchor="_Toc531514484" w:history="1">
        <w:r w:rsidR="00F64540" w:rsidRPr="007F48F0">
          <w:rPr>
            <w:rStyle w:val="Hyperlink"/>
            <w:rFonts w:eastAsia="MS Gothic"/>
          </w:rPr>
          <w:t>A.</w:t>
        </w:r>
        <w:r w:rsidR="00F64540" w:rsidRPr="007F48F0">
          <w:rPr>
            <w:rFonts w:eastAsiaTheme="minorEastAsia" w:cstheme="minorBidi"/>
            <w:lang w:val="en-US"/>
          </w:rPr>
          <w:tab/>
        </w:r>
        <w:r w:rsidR="00F64540" w:rsidRPr="007F48F0">
          <w:rPr>
            <w:rStyle w:val="Hyperlink"/>
            <w:rFonts w:eastAsia="MS Gothic"/>
          </w:rPr>
          <w:t>Marco internacional en materia de igualdad y no discriminación</w:t>
        </w:r>
        <w:r w:rsidR="00F64540" w:rsidRPr="00F64540">
          <w:rPr>
            <w:webHidden/>
          </w:rPr>
          <w:tab/>
        </w:r>
        <w:r w:rsidR="00F64540" w:rsidRPr="00F64540">
          <w:rPr>
            <w:webHidden/>
          </w:rPr>
          <w:fldChar w:fldCharType="begin"/>
        </w:r>
        <w:r w:rsidR="00F64540" w:rsidRPr="00F64540">
          <w:rPr>
            <w:webHidden/>
          </w:rPr>
          <w:instrText xml:space="preserve"> PAGEREF _Toc531514484 \h </w:instrText>
        </w:r>
        <w:r w:rsidR="00F64540" w:rsidRPr="00F64540">
          <w:rPr>
            <w:webHidden/>
          </w:rPr>
        </w:r>
        <w:r w:rsidR="00F64540" w:rsidRPr="00F64540">
          <w:rPr>
            <w:webHidden/>
          </w:rPr>
          <w:fldChar w:fldCharType="separate"/>
        </w:r>
        <w:r w:rsidR="00A922E4">
          <w:rPr>
            <w:webHidden/>
          </w:rPr>
          <w:t>114</w:t>
        </w:r>
        <w:r w:rsidR="00F64540" w:rsidRPr="00F64540">
          <w:rPr>
            <w:webHidden/>
          </w:rPr>
          <w:fldChar w:fldCharType="end"/>
        </w:r>
      </w:hyperlink>
    </w:p>
    <w:p w14:paraId="1B60451B" w14:textId="4639A31B" w:rsidR="00F64540" w:rsidRPr="00F64540" w:rsidRDefault="00E91823" w:rsidP="00F64540">
      <w:pPr>
        <w:pStyle w:val="TOC2"/>
        <w:rPr>
          <w:rFonts w:eastAsiaTheme="minorEastAsia" w:cstheme="minorBidi"/>
          <w:lang w:val="en-US"/>
        </w:rPr>
      </w:pPr>
      <w:hyperlink w:anchor="_Toc531514485" w:history="1">
        <w:r w:rsidR="00F64540" w:rsidRPr="007F48F0">
          <w:rPr>
            <w:rStyle w:val="Hyperlink"/>
            <w:rFonts w:eastAsia="MS Gothic"/>
          </w:rPr>
          <w:t>B.</w:t>
        </w:r>
        <w:r w:rsidR="00F64540" w:rsidRPr="007F48F0">
          <w:rPr>
            <w:rFonts w:eastAsiaTheme="minorEastAsia" w:cstheme="minorBidi"/>
            <w:lang w:val="en-US"/>
          </w:rPr>
          <w:tab/>
        </w:r>
        <w:r w:rsidR="00F64540" w:rsidRPr="007F48F0">
          <w:rPr>
            <w:rStyle w:val="Hyperlink"/>
            <w:rFonts w:eastAsia="MS Gothic"/>
            <w:bCs/>
            <w:iCs/>
          </w:rPr>
          <w:t xml:space="preserve">Marco Internacional relativo al uso de la fuerza: legalidad, </w:t>
        </w:r>
        <w:r w:rsidR="00B45282">
          <w:rPr>
            <w:rStyle w:val="Hyperlink"/>
            <w:rFonts w:eastAsia="MS Gothic"/>
            <w:bCs/>
            <w:iCs/>
          </w:rPr>
          <w:br/>
        </w:r>
        <w:r w:rsidR="00F64540" w:rsidRPr="007F48F0">
          <w:rPr>
            <w:rStyle w:val="Hyperlink"/>
            <w:rFonts w:eastAsia="MS Gothic"/>
            <w:bCs/>
            <w:iCs/>
          </w:rPr>
          <w:t>absoluta necesidad, y proporcionalidad</w:t>
        </w:r>
        <w:r w:rsidR="00F64540" w:rsidRPr="00F64540">
          <w:rPr>
            <w:webHidden/>
          </w:rPr>
          <w:tab/>
        </w:r>
        <w:r w:rsidR="00F64540" w:rsidRPr="00F64540">
          <w:rPr>
            <w:webHidden/>
          </w:rPr>
          <w:fldChar w:fldCharType="begin"/>
        </w:r>
        <w:r w:rsidR="00F64540" w:rsidRPr="00F64540">
          <w:rPr>
            <w:webHidden/>
          </w:rPr>
          <w:instrText xml:space="preserve"> PAGEREF _Toc531514485 \h </w:instrText>
        </w:r>
        <w:r w:rsidR="00F64540" w:rsidRPr="00F64540">
          <w:rPr>
            <w:webHidden/>
          </w:rPr>
        </w:r>
        <w:r w:rsidR="00F64540" w:rsidRPr="00F64540">
          <w:rPr>
            <w:webHidden/>
          </w:rPr>
          <w:fldChar w:fldCharType="separate"/>
        </w:r>
        <w:r w:rsidR="00A922E4">
          <w:rPr>
            <w:webHidden/>
          </w:rPr>
          <w:t>121</w:t>
        </w:r>
        <w:r w:rsidR="00F64540" w:rsidRPr="00F64540">
          <w:rPr>
            <w:webHidden/>
          </w:rPr>
          <w:fldChar w:fldCharType="end"/>
        </w:r>
      </w:hyperlink>
    </w:p>
    <w:p w14:paraId="5747DA19" w14:textId="77777777" w:rsidR="00F64540" w:rsidRPr="00F64540" w:rsidRDefault="00E91823" w:rsidP="00F64540">
      <w:pPr>
        <w:pStyle w:val="TOC3"/>
        <w:tabs>
          <w:tab w:val="clear" w:pos="8828"/>
          <w:tab w:val="right" w:pos="7560"/>
        </w:tabs>
        <w:rPr>
          <w:rFonts w:asciiTheme="majorHAnsi" w:hAnsiTheme="majorHAnsi" w:cstheme="minorBidi"/>
          <w:noProof/>
        </w:rPr>
      </w:pPr>
      <w:hyperlink w:anchor="_Toc531514486" w:history="1">
        <w:r w:rsidR="00F64540" w:rsidRPr="00F64540">
          <w:rPr>
            <w:rStyle w:val="Hyperlink"/>
            <w:rFonts w:asciiTheme="majorHAnsi" w:hAnsiTheme="majorHAnsi"/>
            <w:noProof/>
            <w:lang w:val="es-US"/>
          </w:rPr>
          <w:t>1.</w:t>
        </w:r>
        <w:r w:rsidR="00F64540" w:rsidRPr="00F64540">
          <w:rPr>
            <w:rFonts w:asciiTheme="majorHAnsi" w:hAnsiTheme="majorHAnsi" w:cstheme="minorBidi"/>
            <w:noProof/>
          </w:rPr>
          <w:tab/>
        </w:r>
        <w:r w:rsidR="00F64540" w:rsidRPr="00F64540">
          <w:rPr>
            <w:rStyle w:val="Hyperlink"/>
            <w:rFonts w:asciiTheme="majorHAnsi" w:hAnsiTheme="majorHAnsi"/>
            <w:noProof/>
            <w:lang w:val="es-US"/>
          </w:rPr>
          <w:t>Marco jurídico interno que rige el uso de la fuerza</w:t>
        </w:r>
        <w:r w:rsidR="00F64540" w:rsidRPr="00F64540">
          <w:rPr>
            <w:rFonts w:asciiTheme="majorHAnsi" w:hAnsiTheme="majorHAnsi"/>
            <w:noProof/>
            <w:webHidden/>
          </w:rPr>
          <w:tab/>
        </w:r>
        <w:r w:rsidR="00F64540" w:rsidRPr="00F64540">
          <w:rPr>
            <w:rFonts w:asciiTheme="majorHAnsi" w:hAnsiTheme="majorHAnsi"/>
            <w:noProof/>
            <w:webHidden/>
          </w:rPr>
          <w:fldChar w:fldCharType="begin"/>
        </w:r>
        <w:r w:rsidR="00F64540" w:rsidRPr="00F64540">
          <w:rPr>
            <w:rFonts w:asciiTheme="majorHAnsi" w:hAnsiTheme="majorHAnsi"/>
            <w:noProof/>
            <w:webHidden/>
          </w:rPr>
          <w:instrText xml:space="preserve"> PAGEREF _Toc531514486 \h </w:instrText>
        </w:r>
        <w:r w:rsidR="00F64540" w:rsidRPr="00F64540">
          <w:rPr>
            <w:rFonts w:asciiTheme="majorHAnsi" w:hAnsiTheme="majorHAnsi"/>
            <w:noProof/>
            <w:webHidden/>
          </w:rPr>
        </w:r>
        <w:r w:rsidR="00F64540" w:rsidRPr="00F64540">
          <w:rPr>
            <w:rFonts w:asciiTheme="majorHAnsi" w:hAnsiTheme="majorHAnsi"/>
            <w:noProof/>
            <w:webHidden/>
          </w:rPr>
          <w:fldChar w:fldCharType="separate"/>
        </w:r>
        <w:r w:rsidR="00A922E4">
          <w:rPr>
            <w:rFonts w:asciiTheme="majorHAnsi" w:hAnsiTheme="majorHAnsi"/>
            <w:noProof/>
            <w:webHidden/>
          </w:rPr>
          <w:t>125</w:t>
        </w:r>
        <w:r w:rsidR="00F64540" w:rsidRPr="00F64540">
          <w:rPr>
            <w:rFonts w:asciiTheme="majorHAnsi" w:hAnsiTheme="majorHAnsi"/>
            <w:noProof/>
            <w:webHidden/>
          </w:rPr>
          <w:fldChar w:fldCharType="end"/>
        </w:r>
      </w:hyperlink>
    </w:p>
    <w:p w14:paraId="7A86E13F" w14:textId="77777777" w:rsidR="00F64540" w:rsidRPr="00F64540" w:rsidRDefault="00E91823" w:rsidP="00F64540">
      <w:pPr>
        <w:pStyle w:val="TOC3"/>
        <w:tabs>
          <w:tab w:val="clear" w:pos="8828"/>
          <w:tab w:val="right" w:pos="7560"/>
        </w:tabs>
        <w:rPr>
          <w:rFonts w:asciiTheme="majorHAnsi" w:hAnsiTheme="majorHAnsi" w:cstheme="minorBidi"/>
          <w:noProof/>
        </w:rPr>
      </w:pPr>
      <w:hyperlink w:anchor="_Toc531514487" w:history="1">
        <w:r w:rsidR="00F64540" w:rsidRPr="00F64540">
          <w:rPr>
            <w:rStyle w:val="Hyperlink"/>
            <w:rFonts w:asciiTheme="majorHAnsi" w:hAnsiTheme="majorHAnsi"/>
            <w:noProof/>
            <w:lang w:val="es-US"/>
          </w:rPr>
          <w:t>2.</w:t>
        </w:r>
        <w:r w:rsidR="00F64540" w:rsidRPr="00F64540">
          <w:rPr>
            <w:rFonts w:asciiTheme="majorHAnsi" w:hAnsiTheme="majorHAnsi" w:cstheme="minorBidi"/>
            <w:noProof/>
          </w:rPr>
          <w:tab/>
        </w:r>
        <w:r w:rsidR="00F64540" w:rsidRPr="00F64540">
          <w:rPr>
            <w:rStyle w:val="Hyperlink"/>
            <w:rFonts w:asciiTheme="majorHAnsi" w:hAnsiTheme="majorHAnsi"/>
            <w:noProof/>
            <w:lang w:val="es-US"/>
          </w:rPr>
          <w:t>Reforma institucional y directrices para la actuación policial</w:t>
        </w:r>
        <w:r w:rsidR="00F64540" w:rsidRPr="00F64540">
          <w:rPr>
            <w:rFonts w:asciiTheme="majorHAnsi" w:hAnsiTheme="majorHAnsi"/>
            <w:noProof/>
            <w:webHidden/>
          </w:rPr>
          <w:tab/>
        </w:r>
        <w:r w:rsidR="00F64540" w:rsidRPr="00F64540">
          <w:rPr>
            <w:rFonts w:asciiTheme="majorHAnsi" w:hAnsiTheme="majorHAnsi"/>
            <w:noProof/>
            <w:webHidden/>
          </w:rPr>
          <w:fldChar w:fldCharType="begin"/>
        </w:r>
        <w:r w:rsidR="00F64540" w:rsidRPr="00F64540">
          <w:rPr>
            <w:rFonts w:asciiTheme="majorHAnsi" w:hAnsiTheme="majorHAnsi"/>
            <w:noProof/>
            <w:webHidden/>
          </w:rPr>
          <w:instrText xml:space="preserve"> PAGEREF _Toc531514487 \h </w:instrText>
        </w:r>
        <w:r w:rsidR="00F64540" w:rsidRPr="00F64540">
          <w:rPr>
            <w:rFonts w:asciiTheme="majorHAnsi" w:hAnsiTheme="majorHAnsi"/>
            <w:noProof/>
            <w:webHidden/>
          </w:rPr>
        </w:r>
        <w:r w:rsidR="00F64540" w:rsidRPr="00F64540">
          <w:rPr>
            <w:rFonts w:asciiTheme="majorHAnsi" w:hAnsiTheme="majorHAnsi"/>
            <w:noProof/>
            <w:webHidden/>
          </w:rPr>
          <w:fldChar w:fldCharType="separate"/>
        </w:r>
        <w:r w:rsidR="00A922E4">
          <w:rPr>
            <w:rFonts w:asciiTheme="majorHAnsi" w:hAnsiTheme="majorHAnsi"/>
            <w:noProof/>
            <w:webHidden/>
          </w:rPr>
          <w:t>128</w:t>
        </w:r>
        <w:r w:rsidR="00F64540" w:rsidRPr="00F64540">
          <w:rPr>
            <w:rFonts w:asciiTheme="majorHAnsi" w:hAnsiTheme="majorHAnsi"/>
            <w:noProof/>
            <w:webHidden/>
          </w:rPr>
          <w:fldChar w:fldCharType="end"/>
        </w:r>
      </w:hyperlink>
    </w:p>
    <w:p w14:paraId="237C2ADF" w14:textId="77777777" w:rsidR="00F64540" w:rsidRPr="00F64540" w:rsidRDefault="00E91823" w:rsidP="00F64540">
      <w:pPr>
        <w:pStyle w:val="TOC4"/>
        <w:tabs>
          <w:tab w:val="clear" w:pos="8828"/>
          <w:tab w:val="right" w:pos="7560"/>
        </w:tabs>
        <w:rPr>
          <w:rFonts w:asciiTheme="majorHAnsi" w:eastAsiaTheme="minorEastAsia" w:hAnsiTheme="majorHAnsi" w:cstheme="minorBidi"/>
          <w:noProof/>
        </w:rPr>
      </w:pPr>
      <w:hyperlink w:anchor="_Toc531514488" w:history="1">
        <w:r w:rsidR="00F64540" w:rsidRPr="00F64540">
          <w:rPr>
            <w:rStyle w:val="Hyperlink"/>
            <w:rFonts w:asciiTheme="majorHAnsi" w:hAnsiTheme="majorHAnsi"/>
            <w:noProof/>
            <w:lang w:val="es-US"/>
          </w:rPr>
          <w:t>a.</w:t>
        </w:r>
        <w:r w:rsidR="00F64540" w:rsidRPr="00F64540">
          <w:rPr>
            <w:rFonts w:asciiTheme="majorHAnsi" w:eastAsiaTheme="minorEastAsia" w:hAnsiTheme="majorHAnsi" w:cstheme="minorBidi"/>
            <w:noProof/>
          </w:rPr>
          <w:tab/>
        </w:r>
        <w:r w:rsidR="00F64540" w:rsidRPr="00F64540">
          <w:rPr>
            <w:rStyle w:val="Hyperlink"/>
            <w:rFonts w:asciiTheme="majorHAnsi" w:hAnsiTheme="majorHAnsi"/>
            <w:noProof/>
            <w:lang w:val="es-US"/>
          </w:rPr>
          <w:t>Contratación y capacitación de la policía</w:t>
        </w:r>
        <w:r w:rsidR="00F64540" w:rsidRPr="00F64540">
          <w:rPr>
            <w:rFonts w:asciiTheme="majorHAnsi" w:hAnsiTheme="majorHAnsi"/>
            <w:noProof/>
            <w:webHidden/>
          </w:rPr>
          <w:tab/>
        </w:r>
        <w:r w:rsidR="00F64540" w:rsidRPr="00F64540">
          <w:rPr>
            <w:rFonts w:asciiTheme="majorHAnsi" w:hAnsiTheme="majorHAnsi"/>
            <w:noProof/>
            <w:webHidden/>
          </w:rPr>
          <w:fldChar w:fldCharType="begin"/>
        </w:r>
        <w:r w:rsidR="00F64540" w:rsidRPr="00F64540">
          <w:rPr>
            <w:rFonts w:asciiTheme="majorHAnsi" w:hAnsiTheme="majorHAnsi"/>
            <w:noProof/>
            <w:webHidden/>
          </w:rPr>
          <w:instrText xml:space="preserve"> PAGEREF _Toc531514488 \h </w:instrText>
        </w:r>
        <w:r w:rsidR="00F64540" w:rsidRPr="00F64540">
          <w:rPr>
            <w:rFonts w:asciiTheme="majorHAnsi" w:hAnsiTheme="majorHAnsi"/>
            <w:noProof/>
            <w:webHidden/>
          </w:rPr>
        </w:r>
        <w:r w:rsidR="00F64540" w:rsidRPr="00F64540">
          <w:rPr>
            <w:rFonts w:asciiTheme="majorHAnsi" w:hAnsiTheme="majorHAnsi"/>
            <w:noProof/>
            <w:webHidden/>
          </w:rPr>
          <w:fldChar w:fldCharType="separate"/>
        </w:r>
        <w:r w:rsidR="00A922E4">
          <w:rPr>
            <w:rFonts w:asciiTheme="majorHAnsi" w:hAnsiTheme="majorHAnsi"/>
            <w:noProof/>
            <w:webHidden/>
          </w:rPr>
          <w:t>128</w:t>
        </w:r>
        <w:r w:rsidR="00F64540" w:rsidRPr="00F64540">
          <w:rPr>
            <w:rFonts w:asciiTheme="majorHAnsi" w:hAnsiTheme="majorHAnsi"/>
            <w:noProof/>
            <w:webHidden/>
          </w:rPr>
          <w:fldChar w:fldCharType="end"/>
        </w:r>
      </w:hyperlink>
    </w:p>
    <w:p w14:paraId="6D855F96" w14:textId="77777777" w:rsidR="00F64540" w:rsidRPr="00F64540" w:rsidRDefault="00E91823" w:rsidP="00F64540">
      <w:pPr>
        <w:pStyle w:val="TOC4"/>
        <w:tabs>
          <w:tab w:val="clear" w:pos="8828"/>
          <w:tab w:val="right" w:pos="7560"/>
        </w:tabs>
        <w:rPr>
          <w:rFonts w:asciiTheme="majorHAnsi" w:eastAsiaTheme="minorEastAsia" w:hAnsiTheme="majorHAnsi" w:cstheme="minorBidi"/>
          <w:noProof/>
        </w:rPr>
      </w:pPr>
      <w:hyperlink w:anchor="_Toc531514489" w:history="1">
        <w:r w:rsidR="00F64540" w:rsidRPr="00F64540">
          <w:rPr>
            <w:rStyle w:val="Hyperlink"/>
            <w:rFonts w:asciiTheme="majorHAnsi" w:hAnsiTheme="majorHAnsi"/>
            <w:noProof/>
            <w:lang w:val="es-US"/>
          </w:rPr>
          <w:t>b.</w:t>
        </w:r>
        <w:r w:rsidR="00F64540" w:rsidRPr="00F64540">
          <w:rPr>
            <w:rFonts w:asciiTheme="majorHAnsi" w:eastAsiaTheme="minorEastAsia" w:hAnsiTheme="majorHAnsi" w:cstheme="minorBidi"/>
            <w:noProof/>
          </w:rPr>
          <w:tab/>
        </w:r>
        <w:r w:rsidR="00F64540" w:rsidRPr="00F64540">
          <w:rPr>
            <w:rStyle w:val="Hyperlink"/>
            <w:rFonts w:asciiTheme="majorHAnsi" w:hAnsiTheme="majorHAnsi"/>
            <w:noProof/>
            <w:lang w:val="es-US"/>
          </w:rPr>
          <w:t>Adopción de protocolos relativos al uso de la fuerza</w:t>
        </w:r>
        <w:r w:rsidR="00F64540" w:rsidRPr="00F64540">
          <w:rPr>
            <w:rFonts w:asciiTheme="majorHAnsi" w:hAnsiTheme="majorHAnsi"/>
            <w:noProof/>
            <w:webHidden/>
          </w:rPr>
          <w:tab/>
        </w:r>
        <w:r w:rsidR="00F64540" w:rsidRPr="00F64540">
          <w:rPr>
            <w:rFonts w:asciiTheme="majorHAnsi" w:hAnsiTheme="majorHAnsi"/>
            <w:noProof/>
            <w:webHidden/>
          </w:rPr>
          <w:fldChar w:fldCharType="begin"/>
        </w:r>
        <w:r w:rsidR="00F64540" w:rsidRPr="00F64540">
          <w:rPr>
            <w:rFonts w:asciiTheme="majorHAnsi" w:hAnsiTheme="majorHAnsi"/>
            <w:noProof/>
            <w:webHidden/>
          </w:rPr>
          <w:instrText xml:space="preserve"> PAGEREF _Toc531514489 \h </w:instrText>
        </w:r>
        <w:r w:rsidR="00F64540" w:rsidRPr="00F64540">
          <w:rPr>
            <w:rFonts w:asciiTheme="majorHAnsi" w:hAnsiTheme="majorHAnsi"/>
            <w:noProof/>
            <w:webHidden/>
          </w:rPr>
        </w:r>
        <w:r w:rsidR="00F64540" w:rsidRPr="00F64540">
          <w:rPr>
            <w:rFonts w:asciiTheme="majorHAnsi" w:hAnsiTheme="majorHAnsi"/>
            <w:noProof/>
            <w:webHidden/>
          </w:rPr>
          <w:fldChar w:fldCharType="separate"/>
        </w:r>
        <w:r w:rsidR="00A922E4">
          <w:rPr>
            <w:rFonts w:asciiTheme="majorHAnsi" w:hAnsiTheme="majorHAnsi"/>
            <w:noProof/>
            <w:webHidden/>
          </w:rPr>
          <w:t>130</w:t>
        </w:r>
        <w:r w:rsidR="00F64540" w:rsidRPr="00F64540">
          <w:rPr>
            <w:rFonts w:asciiTheme="majorHAnsi" w:hAnsiTheme="majorHAnsi"/>
            <w:noProof/>
            <w:webHidden/>
          </w:rPr>
          <w:fldChar w:fldCharType="end"/>
        </w:r>
      </w:hyperlink>
    </w:p>
    <w:p w14:paraId="30B0EEA3" w14:textId="2C33160E" w:rsidR="00F64540" w:rsidRPr="00F64540" w:rsidRDefault="00E91823" w:rsidP="00F64540">
      <w:pPr>
        <w:pStyle w:val="TOC4"/>
        <w:tabs>
          <w:tab w:val="clear" w:pos="8828"/>
          <w:tab w:val="right" w:pos="7560"/>
        </w:tabs>
        <w:rPr>
          <w:rFonts w:asciiTheme="majorHAnsi" w:eastAsiaTheme="minorEastAsia" w:hAnsiTheme="majorHAnsi" w:cstheme="minorBidi"/>
          <w:noProof/>
        </w:rPr>
      </w:pPr>
      <w:hyperlink w:anchor="_Toc531514490" w:history="1">
        <w:r w:rsidR="00F64540" w:rsidRPr="00F64540">
          <w:rPr>
            <w:rStyle w:val="Hyperlink"/>
            <w:rFonts w:asciiTheme="majorHAnsi" w:hAnsiTheme="majorHAnsi"/>
            <w:noProof/>
            <w:lang w:val="es-US"/>
          </w:rPr>
          <w:t>c.</w:t>
        </w:r>
        <w:r w:rsidR="00F64540" w:rsidRPr="00F64540">
          <w:rPr>
            <w:rFonts w:asciiTheme="majorHAnsi" w:eastAsiaTheme="minorEastAsia" w:hAnsiTheme="majorHAnsi" w:cstheme="minorBidi"/>
            <w:noProof/>
          </w:rPr>
          <w:tab/>
        </w:r>
        <w:r w:rsidR="00F64540" w:rsidRPr="00F64540">
          <w:rPr>
            <w:rStyle w:val="Hyperlink"/>
            <w:rFonts w:asciiTheme="majorHAnsi" w:hAnsiTheme="majorHAnsi"/>
            <w:noProof/>
            <w:lang w:val="es-US"/>
          </w:rPr>
          <w:t xml:space="preserve">Prevenir las violaciones de la prohibición de la tortura </w:t>
        </w:r>
        <w:r w:rsidR="00B45282">
          <w:rPr>
            <w:rStyle w:val="Hyperlink"/>
            <w:rFonts w:asciiTheme="majorHAnsi" w:hAnsiTheme="majorHAnsi"/>
            <w:noProof/>
            <w:lang w:val="es-US"/>
          </w:rPr>
          <w:br/>
        </w:r>
        <w:r w:rsidR="00F64540" w:rsidRPr="00F64540">
          <w:rPr>
            <w:rStyle w:val="Hyperlink"/>
            <w:rFonts w:asciiTheme="majorHAnsi" w:hAnsiTheme="majorHAnsi"/>
            <w:noProof/>
            <w:lang w:val="es-US"/>
          </w:rPr>
          <w:t>y los tratos crueles, inhumanos y degradantes</w:t>
        </w:r>
        <w:r w:rsidR="00F64540" w:rsidRPr="00F64540">
          <w:rPr>
            <w:rFonts w:asciiTheme="majorHAnsi" w:hAnsiTheme="majorHAnsi"/>
            <w:noProof/>
            <w:webHidden/>
          </w:rPr>
          <w:tab/>
        </w:r>
        <w:r w:rsidR="00F64540" w:rsidRPr="00F64540">
          <w:rPr>
            <w:rFonts w:asciiTheme="majorHAnsi" w:hAnsiTheme="majorHAnsi"/>
            <w:noProof/>
            <w:webHidden/>
          </w:rPr>
          <w:fldChar w:fldCharType="begin"/>
        </w:r>
        <w:r w:rsidR="00F64540" w:rsidRPr="00F64540">
          <w:rPr>
            <w:rFonts w:asciiTheme="majorHAnsi" w:hAnsiTheme="majorHAnsi"/>
            <w:noProof/>
            <w:webHidden/>
          </w:rPr>
          <w:instrText xml:space="preserve"> PAGEREF _Toc531514490 \h </w:instrText>
        </w:r>
        <w:r w:rsidR="00F64540" w:rsidRPr="00F64540">
          <w:rPr>
            <w:rFonts w:asciiTheme="majorHAnsi" w:hAnsiTheme="majorHAnsi"/>
            <w:noProof/>
            <w:webHidden/>
          </w:rPr>
        </w:r>
        <w:r w:rsidR="00F64540" w:rsidRPr="00F64540">
          <w:rPr>
            <w:rFonts w:asciiTheme="majorHAnsi" w:hAnsiTheme="majorHAnsi"/>
            <w:noProof/>
            <w:webHidden/>
          </w:rPr>
          <w:fldChar w:fldCharType="separate"/>
        </w:r>
        <w:r w:rsidR="00A922E4">
          <w:rPr>
            <w:rFonts w:asciiTheme="majorHAnsi" w:hAnsiTheme="majorHAnsi"/>
            <w:noProof/>
            <w:webHidden/>
          </w:rPr>
          <w:t>132</w:t>
        </w:r>
        <w:r w:rsidR="00F64540" w:rsidRPr="00F64540">
          <w:rPr>
            <w:rFonts w:asciiTheme="majorHAnsi" w:hAnsiTheme="majorHAnsi"/>
            <w:noProof/>
            <w:webHidden/>
          </w:rPr>
          <w:fldChar w:fldCharType="end"/>
        </w:r>
      </w:hyperlink>
    </w:p>
    <w:p w14:paraId="0EBFA17C" w14:textId="77777777" w:rsidR="00F64540" w:rsidRPr="00F64540" w:rsidRDefault="00E91823" w:rsidP="00F64540">
      <w:pPr>
        <w:pStyle w:val="TOC3"/>
        <w:tabs>
          <w:tab w:val="clear" w:pos="8828"/>
          <w:tab w:val="right" w:pos="7560"/>
        </w:tabs>
        <w:rPr>
          <w:rFonts w:asciiTheme="majorHAnsi" w:hAnsiTheme="majorHAnsi" w:cstheme="minorBidi"/>
          <w:noProof/>
        </w:rPr>
      </w:pPr>
      <w:hyperlink w:anchor="_Toc531514491" w:history="1">
        <w:r w:rsidR="00F64540" w:rsidRPr="00F64540">
          <w:rPr>
            <w:rStyle w:val="Hyperlink"/>
            <w:rFonts w:asciiTheme="majorHAnsi" w:hAnsiTheme="majorHAnsi"/>
            <w:noProof/>
            <w:lang w:val="es-US"/>
          </w:rPr>
          <w:t>3.</w:t>
        </w:r>
        <w:r w:rsidR="00F64540" w:rsidRPr="00F64540">
          <w:rPr>
            <w:rFonts w:asciiTheme="majorHAnsi" w:hAnsiTheme="majorHAnsi" w:cstheme="minorBidi"/>
            <w:noProof/>
          </w:rPr>
          <w:tab/>
        </w:r>
        <w:r w:rsidR="00F64540" w:rsidRPr="00F64540">
          <w:rPr>
            <w:rStyle w:val="Hyperlink"/>
            <w:rFonts w:asciiTheme="majorHAnsi" w:hAnsiTheme="majorHAnsi"/>
            <w:noProof/>
            <w:lang w:val="es-US"/>
          </w:rPr>
          <w:t>Militarización de la policía</w:t>
        </w:r>
        <w:r w:rsidR="00F64540" w:rsidRPr="00F64540">
          <w:rPr>
            <w:rFonts w:asciiTheme="majorHAnsi" w:hAnsiTheme="majorHAnsi"/>
            <w:noProof/>
            <w:webHidden/>
          </w:rPr>
          <w:tab/>
        </w:r>
        <w:r w:rsidR="00F64540" w:rsidRPr="00F64540">
          <w:rPr>
            <w:rFonts w:asciiTheme="majorHAnsi" w:hAnsiTheme="majorHAnsi"/>
            <w:noProof/>
            <w:webHidden/>
          </w:rPr>
          <w:fldChar w:fldCharType="begin"/>
        </w:r>
        <w:r w:rsidR="00F64540" w:rsidRPr="00F64540">
          <w:rPr>
            <w:rFonts w:asciiTheme="majorHAnsi" w:hAnsiTheme="majorHAnsi"/>
            <w:noProof/>
            <w:webHidden/>
          </w:rPr>
          <w:instrText xml:space="preserve"> PAGEREF _Toc531514491 \h </w:instrText>
        </w:r>
        <w:r w:rsidR="00F64540" w:rsidRPr="00F64540">
          <w:rPr>
            <w:rFonts w:asciiTheme="majorHAnsi" w:hAnsiTheme="majorHAnsi"/>
            <w:noProof/>
            <w:webHidden/>
          </w:rPr>
        </w:r>
        <w:r w:rsidR="00F64540" w:rsidRPr="00F64540">
          <w:rPr>
            <w:rFonts w:asciiTheme="majorHAnsi" w:hAnsiTheme="majorHAnsi"/>
            <w:noProof/>
            <w:webHidden/>
          </w:rPr>
          <w:fldChar w:fldCharType="separate"/>
        </w:r>
        <w:r w:rsidR="00A922E4">
          <w:rPr>
            <w:rFonts w:asciiTheme="majorHAnsi" w:hAnsiTheme="majorHAnsi"/>
            <w:noProof/>
            <w:webHidden/>
          </w:rPr>
          <w:t>136</w:t>
        </w:r>
        <w:r w:rsidR="00F64540" w:rsidRPr="00F64540">
          <w:rPr>
            <w:rFonts w:asciiTheme="majorHAnsi" w:hAnsiTheme="majorHAnsi"/>
            <w:noProof/>
            <w:webHidden/>
          </w:rPr>
          <w:fldChar w:fldCharType="end"/>
        </w:r>
      </w:hyperlink>
    </w:p>
    <w:p w14:paraId="68A2C359" w14:textId="77777777" w:rsidR="00F64540" w:rsidRPr="00F64540" w:rsidRDefault="00E91823" w:rsidP="00F64540">
      <w:pPr>
        <w:pStyle w:val="TOC3"/>
        <w:tabs>
          <w:tab w:val="clear" w:pos="8828"/>
          <w:tab w:val="right" w:pos="7560"/>
        </w:tabs>
        <w:rPr>
          <w:rFonts w:asciiTheme="majorHAnsi" w:hAnsiTheme="majorHAnsi" w:cstheme="minorBidi"/>
          <w:noProof/>
        </w:rPr>
      </w:pPr>
      <w:hyperlink w:anchor="_Toc531514492" w:history="1">
        <w:r w:rsidR="00F64540" w:rsidRPr="00F64540">
          <w:rPr>
            <w:rStyle w:val="Hyperlink"/>
            <w:rFonts w:asciiTheme="majorHAnsi" w:hAnsiTheme="majorHAnsi"/>
            <w:noProof/>
            <w:lang w:val="es-US"/>
          </w:rPr>
          <w:t>4.</w:t>
        </w:r>
        <w:r w:rsidR="00F64540" w:rsidRPr="00F64540">
          <w:rPr>
            <w:rFonts w:asciiTheme="majorHAnsi" w:hAnsiTheme="majorHAnsi" w:cstheme="minorBidi"/>
            <w:noProof/>
          </w:rPr>
          <w:tab/>
        </w:r>
        <w:r w:rsidR="00F64540" w:rsidRPr="00F64540">
          <w:rPr>
            <w:rStyle w:val="Hyperlink"/>
            <w:rFonts w:asciiTheme="majorHAnsi" w:hAnsiTheme="majorHAnsi"/>
            <w:noProof/>
            <w:lang w:val="es-US"/>
          </w:rPr>
          <w:t>Uso de la fuerza y protesta social</w:t>
        </w:r>
        <w:r w:rsidR="00F64540" w:rsidRPr="00F64540">
          <w:rPr>
            <w:rFonts w:asciiTheme="majorHAnsi" w:hAnsiTheme="majorHAnsi"/>
            <w:noProof/>
            <w:webHidden/>
          </w:rPr>
          <w:tab/>
        </w:r>
        <w:r w:rsidR="00F64540" w:rsidRPr="00F64540">
          <w:rPr>
            <w:rFonts w:asciiTheme="majorHAnsi" w:hAnsiTheme="majorHAnsi"/>
            <w:noProof/>
            <w:webHidden/>
          </w:rPr>
          <w:fldChar w:fldCharType="begin"/>
        </w:r>
        <w:r w:rsidR="00F64540" w:rsidRPr="00F64540">
          <w:rPr>
            <w:rFonts w:asciiTheme="majorHAnsi" w:hAnsiTheme="majorHAnsi"/>
            <w:noProof/>
            <w:webHidden/>
          </w:rPr>
          <w:instrText xml:space="preserve"> PAGEREF _Toc531514492 \h </w:instrText>
        </w:r>
        <w:r w:rsidR="00F64540" w:rsidRPr="00F64540">
          <w:rPr>
            <w:rFonts w:asciiTheme="majorHAnsi" w:hAnsiTheme="majorHAnsi"/>
            <w:noProof/>
            <w:webHidden/>
          </w:rPr>
        </w:r>
        <w:r w:rsidR="00F64540" w:rsidRPr="00F64540">
          <w:rPr>
            <w:rFonts w:asciiTheme="majorHAnsi" w:hAnsiTheme="majorHAnsi"/>
            <w:noProof/>
            <w:webHidden/>
          </w:rPr>
          <w:fldChar w:fldCharType="separate"/>
        </w:r>
        <w:r w:rsidR="00A922E4">
          <w:rPr>
            <w:rFonts w:asciiTheme="majorHAnsi" w:hAnsiTheme="majorHAnsi"/>
            <w:noProof/>
            <w:webHidden/>
          </w:rPr>
          <w:t>137</w:t>
        </w:r>
        <w:r w:rsidR="00F64540" w:rsidRPr="00F64540">
          <w:rPr>
            <w:rFonts w:asciiTheme="majorHAnsi" w:hAnsiTheme="majorHAnsi"/>
            <w:noProof/>
            <w:webHidden/>
          </w:rPr>
          <w:fldChar w:fldCharType="end"/>
        </w:r>
      </w:hyperlink>
    </w:p>
    <w:p w14:paraId="472D1B1A" w14:textId="4206C66A" w:rsidR="00F64540" w:rsidRPr="00F64540" w:rsidRDefault="00E91823" w:rsidP="00F64540">
      <w:pPr>
        <w:pStyle w:val="TOC2"/>
        <w:rPr>
          <w:rFonts w:eastAsiaTheme="minorEastAsia" w:cstheme="minorBidi"/>
          <w:b/>
          <w:lang w:val="en-US"/>
        </w:rPr>
      </w:pPr>
      <w:hyperlink w:anchor="_Toc531514493" w:history="1">
        <w:r w:rsidR="005E5B1C">
          <w:rPr>
            <w:rStyle w:val="Hyperlink"/>
            <w:rFonts w:eastAsia="MS Gothic"/>
          </w:rPr>
          <w:t>C</w:t>
        </w:r>
        <w:r w:rsidR="00F64540" w:rsidRPr="00F64540">
          <w:rPr>
            <w:rStyle w:val="Hyperlink"/>
            <w:rFonts w:eastAsia="MS Gothic"/>
          </w:rPr>
          <w:t>.</w:t>
        </w:r>
        <w:r w:rsidR="00F64540" w:rsidRPr="00F64540">
          <w:rPr>
            <w:rFonts w:eastAsiaTheme="minorEastAsia" w:cstheme="minorBidi"/>
            <w:b/>
            <w:lang w:val="en-US"/>
          </w:rPr>
          <w:tab/>
        </w:r>
        <w:r w:rsidR="00F64540" w:rsidRPr="00F64540">
          <w:rPr>
            <w:rStyle w:val="Hyperlink"/>
            <w:rFonts w:eastAsia="MS Gothic"/>
          </w:rPr>
          <w:t xml:space="preserve">Marco internacional en materia de acceso a la justicia: debida </w:t>
        </w:r>
        <w:r w:rsidR="00B45282">
          <w:rPr>
            <w:rStyle w:val="Hyperlink"/>
            <w:rFonts w:eastAsia="MS Gothic"/>
          </w:rPr>
          <w:br/>
        </w:r>
        <w:r w:rsidR="00F64540" w:rsidRPr="00F64540">
          <w:rPr>
            <w:rStyle w:val="Hyperlink"/>
            <w:rFonts w:eastAsia="MS Gothic"/>
          </w:rPr>
          <w:t xml:space="preserve">diligencia, rendición de cuentas, independencia institucional, </w:t>
        </w:r>
        <w:r w:rsidR="00B45282">
          <w:rPr>
            <w:rStyle w:val="Hyperlink"/>
            <w:rFonts w:eastAsia="MS Gothic"/>
          </w:rPr>
          <w:br/>
        </w:r>
        <w:r w:rsidR="00F64540" w:rsidRPr="00F64540">
          <w:rPr>
            <w:rStyle w:val="Hyperlink"/>
            <w:rFonts w:eastAsia="MS Gothic"/>
          </w:rPr>
          <w:t>recursos judiciales y reparaciones</w:t>
        </w:r>
        <w:r w:rsidR="00F64540" w:rsidRPr="00F64540">
          <w:rPr>
            <w:webHidden/>
          </w:rPr>
          <w:tab/>
        </w:r>
        <w:r w:rsidR="00F64540" w:rsidRPr="00F64540">
          <w:rPr>
            <w:webHidden/>
          </w:rPr>
          <w:fldChar w:fldCharType="begin"/>
        </w:r>
        <w:r w:rsidR="00F64540" w:rsidRPr="00F64540">
          <w:rPr>
            <w:webHidden/>
          </w:rPr>
          <w:instrText xml:space="preserve"> PAGEREF _Toc531514493 \h </w:instrText>
        </w:r>
        <w:r w:rsidR="00F64540" w:rsidRPr="00F64540">
          <w:rPr>
            <w:webHidden/>
          </w:rPr>
        </w:r>
        <w:r w:rsidR="00F64540" w:rsidRPr="00F64540">
          <w:rPr>
            <w:webHidden/>
          </w:rPr>
          <w:fldChar w:fldCharType="separate"/>
        </w:r>
        <w:r w:rsidR="00A922E4">
          <w:rPr>
            <w:webHidden/>
          </w:rPr>
          <w:t>140</w:t>
        </w:r>
        <w:r w:rsidR="00F64540" w:rsidRPr="00F64540">
          <w:rPr>
            <w:webHidden/>
          </w:rPr>
          <w:fldChar w:fldCharType="end"/>
        </w:r>
      </w:hyperlink>
    </w:p>
    <w:p w14:paraId="28759242" w14:textId="77777777" w:rsidR="00F64540" w:rsidRPr="00F64540" w:rsidRDefault="00E91823" w:rsidP="00F64540">
      <w:pPr>
        <w:pStyle w:val="TOC3"/>
        <w:tabs>
          <w:tab w:val="clear" w:pos="8828"/>
          <w:tab w:val="right" w:pos="7560"/>
        </w:tabs>
        <w:rPr>
          <w:rFonts w:asciiTheme="majorHAnsi" w:hAnsiTheme="majorHAnsi" w:cstheme="minorBidi"/>
          <w:noProof/>
        </w:rPr>
      </w:pPr>
      <w:hyperlink w:anchor="_Toc531514494" w:history="1">
        <w:r w:rsidR="00F64540" w:rsidRPr="00F64540">
          <w:rPr>
            <w:rStyle w:val="Hyperlink"/>
            <w:rFonts w:asciiTheme="majorHAnsi" w:hAnsiTheme="majorHAnsi"/>
            <w:noProof/>
            <w:lang w:val="es-US"/>
          </w:rPr>
          <w:t>1.</w:t>
        </w:r>
        <w:r w:rsidR="00F64540" w:rsidRPr="00F64540">
          <w:rPr>
            <w:rFonts w:asciiTheme="majorHAnsi" w:hAnsiTheme="majorHAnsi" w:cstheme="minorBidi"/>
            <w:noProof/>
          </w:rPr>
          <w:tab/>
        </w:r>
        <w:r w:rsidR="00F64540" w:rsidRPr="00F64540">
          <w:rPr>
            <w:rStyle w:val="Hyperlink"/>
            <w:rFonts w:asciiTheme="majorHAnsi" w:hAnsiTheme="majorHAnsi"/>
            <w:noProof/>
            <w:lang w:val="es-US"/>
          </w:rPr>
          <w:t>Debida diligencia</w:t>
        </w:r>
        <w:r w:rsidR="00F64540" w:rsidRPr="00F64540">
          <w:rPr>
            <w:rFonts w:asciiTheme="majorHAnsi" w:hAnsiTheme="majorHAnsi"/>
            <w:noProof/>
            <w:webHidden/>
          </w:rPr>
          <w:tab/>
        </w:r>
        <w:r w:rsidR="00F64540" w:rsidRPr="00F64540">
          <w:rPr>
            <w:rFonts w:asciiTheme="majorHAnsi" w:hAnsiTheme="majorHAnsi"/>
            <w:noProof/>
            <w:webHidden/>
          </w:rPr>
          <w:fldChar w:fldCharType="begin"/>
        </w:r>
        <w:r w:rsidR="00F64540" w:rsidRPr="00F64540">
          <w:rPr>
            <w:rFonts w:asciiTheme="majorHAnsi" w:hAnsiTheme="majorHAnsi"/>
            <w:noProof/>
            <w:webHidden/>
          </w:rPr>
          <w:instrText xml:space="preserve"> PAGEREF _Toc531514494 \h </w:instrText>
        </w:r>
        <w:r w:rsidR="00F64540" w:rsidRPr="00F64540">
          <w:rPr>
            <w:rFonts w:asciiTheme="majorHAnsi" w:hAnsiTheme="majorHAnsi"/>
            <w:noProof/>
            <w:webHidden/>
          </w:rPr>
        </w:r>
        <w:r w:rsidR="00F64540" w:rsidRPr="00F64540">
          <w:rPr>
            <w:rFonts w:asciiTheme="majorHAnsi" w:hAnsiTheme="majorHAnsi"/>
            <w:noProof/>
            <w:webHidden/>
          </w:rPr>
          <w:fldChar w:fldCharType="separate"/>
        </w:r>
        <w:r w:rsidR="00A922E4">
          <w:rPr>
            <w:rFonts w:asciiTheme="majorHAnsi" w:hAnsiTheme="majorHAnsi"/>
            <w:noProof/>
            <w:webHidden/>
          </w:rPr>
          <w:t>142</w:t>
        </w:r>
        <w:r w:rsidR="00F64540" w:rsidRPr="00F64540">
          <w:rPr>
            <w:rFonts w:asciiTheme="majorHAnsi" w:hAnsiTheme="majorHAnsi"/>
            <w:noProof/>
            <w:webHidden/>
          </w:rPr>
          <w:fldChar w:fldCharType="end"/>
        </w:r>
      </w:hyperlink>
    </w:p>
    <w:p w14:paraId="4178B156" w14:textId="77777777" w:rsidR="00F64540" w:rsidRPr="00F64540" w:rsidRDefault="00E91823" w:rsidP="00F64540">
      <w:pPr>
        <w:pStyle w:val="TOC4"/>
        <w:tabs>
          <w:tab w:val="clear" w:pos="8828"/>
          <w:tab w:val="right" w:pos="7560"/>
        </w:tabs>
        <w:rPr>
          <w:rFonts w:asciiTheme="majorHAnsi" w:eastAsiaTheme="minorEastAsia" w:hAnsiTheme="majorHAnsi" w:cstheme="minorBidi"/>
          <w:noProof/>
        </w:rPr>
      </w:pPr>
      <w:hyperlink w:anchor="_Toc531514495" w:history="1">
        <w:r w:rsidR="00F64540" w:rsidRPr="00F64540">
          <w:rPr>
            <w:rStyle w:val="Hyperlink"/>
            <w:rFonts w:asciiTheme="majorHAnsi" w:hAnsiTheme="majorHAnsi"/>
            <w:noProof/>
            <w:lang w:val="es-US"/>
          </w:rPr>
          <w:t>a.</w:t>
        </w:r>
        <w:r w:rsidR="00F64540" w:rsidRPr="00F64540">
          <w:rPr>
            <w:rFonts w:asciiTheme="majorHAnsi" w:eastAsiaTheme="minorEastAsia" w:hAnsiTheme="majorHAnsi" w:cstheme="minorBidi"/>
            <w:noProof/>
          </w:rPr>
          <w:tab/>
        </w:r>
        <w:r w:rsidR="00F64540" w:rsidRPr="00F64540">
          <w:rPr>
            <w:rStyle w:val="Hyperlink"/>
            <w:rFonts w:asciiTheme="majorHAnsi" w:hAnsiTheme="majorHAnsi"/>
            <w:noProof/>
            <w:lang w:val="es-US"/>
          </w:rPr>
          <w:t>Recopilación de estadísticas y transparencia activa</w:t>
        </w:r>
        <w:r w:rsidR="00F64540" w:rsidRPr="00F64540">
          <w:rPr>
            <w:rFonts w:asciiTheme="majorHAnsi" w:hAnsiTheme="majorHAnsi"/>
            <w:noProof/>
            <w:webHidden/>
          </w:rPr>
          <w:tab/>
        </w:r>
        <w:r w:rsidR="00F64540" w:rsidRPr="00F64540">
          <w:rPr>
            <w:rFonts w:asciiTheme="majorHAnsi" w:hAnsiTheme="majorHAnsi"/>
            <w:noProof/>
            <w:webHidden/>
          </w:rPr>
          <w:fldChar w:fldCharType="begin"/>
        </w:r>
        <w:r w:rsidR="00F64540" w:rsidRPr="00F64540">
          <w:rPr>
            <w:rFonts w:asciiTheme="majorHAnsi" w:hAnsiTheme="majorHAnsi"/>
            <w:noProof/>
            <w:webHidden/>
          </w:rPr>
          <w:instrText xml:space="preserve"> PAGEREF _Toc531514495 \h </w:instrText>
        </w:r>
        <w:r w:rsidR="00F64540" w:rsidRPr="00F64540">
          <w:rPr>
            <w:rFonts w:asciiTheme="majorHAnsi" w:hAnsiTheme="majorHAnsi"/>
            <w:noProof/>
            <w:webHidden/>
          </w:rPr>
        </w:r>
        <w:r w:rsidR="00F64540" w:rsidRPr="00F64540">
          <w:rPr>
            <w:rFonts w:asciiTheme="majorHAnsi" w:hAnsiTheme="majorHAnsi"/>
            <w:noProof/>
            <w:webHidden/>
          </w:rPr>
          <w:fldChar w:fldCharType="separate"/>
        </w:r>
        <w:r w:rsidR="00A922E4">
          <w:rPr>
            <w:rFonts w:asciiTheme="majorHAnsi" w:hAnsiTheme="majorHAnsi"/>
            <w:noProof/>
            <w:webHidden/>
          </w:rPr>
          <w:t>145</w:t>
        </w:r>
        <w:r w:rsidR="00F64540" w:rsidRPr="00F64540">
          <w:rPr>
            <w:rFonts w:asciiTheme="majorHAnsi" w:hAnsiTheme="majorHAnsi"/>
            <w:noProof/>
            <w:webHidden/>
          </w:rPr>
          <w:fldChar w:fldCharType="end"/>
        </w:r>
      </w:hyperlink>
    </w:p>
    <w:p w14:paraId="4E381565" w14:textId="77777777" w:rsidR="00F64540" w:rsidRPr="00F64540" w:rsidRDefault="00E91823" w:rsidP="00F64540">
      <w:pPr>
        <w:pStyle w:val="TOC4"/>
        <w:tabs>
          <w:tab w:val="clear" w:pos="8828"/>
          <w:tab w:val="right" w:pos="7560"/>
        </w:tabs>
        <w:rPr>
          <w:rFonts w:asciiTheme="majorHAnsi" w:eastAsiaTheme="minorEastAsia" w:hAnsiTheme="majorHAnsi" w:cstheme="minorBidi"/>
          <w:noProof/>
        </w:rPr>
      </w:pPr>
      <w:hyperlink w:anchor="_Toc531514496" w:history="1">
        <w:r w:rsidR="00F64540" w:rsidRPr="00F64540">
          <w:rPr>
            <w:rStyle w:val="Hyperlink"/>
            <w:rFonts w:asciiTheme="majorHAnsi" w:hAnsiTheme="majorHAnsi"/>
            <w:noProof/>
            <w:lang w:val="es-US"/>
          </w:rPr>
          <w:t>b.</w:t>
        </w:r>
        <w:r w:rsidR="00F64540" w:rsidRPr="00F64540">
          <w:rPr>
            <w:rFonts w:asciiTheme="majorHAnsi" w:eastAsiaTheme="minorEastAsia" w:hAnsiTheme="majorHAnsi" w:cstheme="minorBidi"/>
            <w:noProof/>
          </w:rPr>
          <w:tab/>
        </w:r>
        <w:r w:rsidR="00F64540" w:rsidRPr="00F64540">
          <w:rPr>
            <w:rStyle w:val="Hyperlink"/>
            <w:rFonts w:asciiTheme="majorHAnsi" w:hAnsiTheme="majorHAnsi"/>
            <w:noProof/>
            <w:lang w:val="es-US"/>
          </w:rPr>
          <w:t>El deber de investigar y los principios para la investigación</w:t>
        </w:r>
        <w:r w:rsidR="00F64540" w:rsidRPr="00F64540">
          <w:rPr>
            <w:rFonts w:asciiTheme="majorHAnsi" w:hAnsiTheme="majorHAnsi"/>
            <w:noProof/>
            <w:webHidden/>
          </w:rPr>
          <w:tab/>
        </w:r>
        <w:r w:rsidR="00F64540" w:rsidRPr="00F64540">
          <w:rPr>
            <w:rFonts w:asciiTheme="majorHAnsi" w:hAnsiTheme="majorHAnsi"/>
            <w:noProof/>
            <w:webHidden/>
          </w:rPr>
          <w:fldChar w:fldCharType="begin"/>
        </w:r>
        <w:r w:rsidR="00F64540" w:rsidRPr="00F64540">
          <w:rPr>
            <w:rFonts w:asciiTheme="majorHAnsi" w:hAnsiTheme="majorHAnsi"/>
            <w:noProof/>
            <w:webHidden/>
          </w:rPr>
          <w:instrText xml:space="preserve"> PAGEREF _Toc531514496 \h </w:instrText>
        </w:r>
        <w:r w:rsidR="00F64540" w:rsidRPr="00F64540">
          <w:rPr>
            <w:rFonts w:asciiTheme="majorHAnsi" w:hAnsiTheme="majorHAnsi"/>
            <w:noProof/>
            <w:webHidden/>
          </w:rPr>
        </w:r>
        <w:r w:rsidR="00F64540" w:rsidRPr="00F64540">
          <w:rPr>
            <w:rFonts w:asciiTheme="majorHAnsi" w:hAnsiTheme="majorHAnsi"/>
            <w:noProof/>
            <w:webHidden/>
          </w:rPr>
          <w:fldChar w:fldCharType="separate"/>
        </w:r>
        <w:r w:rsidR="00A922E4">
          <w:rPr>
            <w:rFonts w:asciiTheme="majorHAnsi" w:hAnsiTheme="majorHAnsi"/>
            <w:noProof/>
            <w:webHidden/>
          </w:rPr>
          <w:t>147</w:t>
        </w:r>
        <w:r w:rsidR="00F64540" w:rsidRPr="00F64540">
          <w:rPr>
            <w:rFonts w:asciiTheme="majorHAnsi" w:hAnsiTheme="majorHAnsi"/>
            <w:noProof/>
            <w:webHidden/>
          </w:rPr>
          <w:fldChar w:fldCharType="end"/>
        </w:r>
      </w:hyperlink>
    </w:p>
    <w:p w14:paraId="5899A5C5" w14:textId="77777777" w:rsidR="00F64540" w:rsidRPr="00F64540" w:rsidRDefault="00E91823" w:rsidP="00F64540">
      <w:pPr>
        <w:pStyle w:val="TOC3"/>
        <w:tabs>
          <w:tab w:val="clear" w:pos="8828"/>
          <w:tab w:val="right" w:pos="7560"/>
        </w:tabs>
        <w:rPr>
          <w:rFonts w:asciiTheme="majorHAnsi" w:hAnsiTheme="majorHAnsi" w:cstheme="minorBidi"/>
          <w:noProof/>
        </w:rPr>
      </w:pPr>
      <w:hyperlink w:anchor="_Toc531514497" w:history="1">
        <w:r w:rsidR="00F64540" w:rsidRPr="00F64540">
          <w:rPr>
            <w:rStyle w:val="Hyperlink"/>
            <w:rFonts w:asciiTheme="majorHAnsi" w:hAnsiTheme="majorHAnsi"/>
            <w:noProof/>
            <w:lang w:val="es-US"/>
          </w:rPr>
          <w:t>2.</w:t>
        </w:r>
        <w:r w:rsidR="00F64540" w:rsidRPr="00F64540">
          <w:rPr>
            <w:rFonts w:asciiTheme="majorHAnsi" w:hAnsiTheme="majorHAnsi" w:cstheme="minorBidi"/>
            <w:noProof/>
          </w:rPr>
          <w:tab/>
        </w:r>
        <w:r w:rsidR="00F64540" w:rsidRPr="00F64540">
          <w:rPr>
            <w:rStyle w:val="Hyperlink"/>
            <w:rFonts w:asciiTheme="majorHAnsi" w:hAnsiTheme="majorHAnsi"/>
            <w:noProof/>
            <w:lang w:val="es-US"/>
          </w:rPr>
          <w:t>Diseño institucional</w:t>
        </w:r>
        <w:r w:rsidR="00F64540" w:rsidRPr="00F64540">
          <w:rPr>
            <w:rFonts w:asciiTheme="majorHAnsi" w:hAnsiTheme="majorHAnsi"/>
            <w:noProof/>
            <w:webHidden/>
          </w:rPr>
          <w:tab/>
        </w:r>
        <w:r w:rsidR="00F64540" w:rsidRPr="00F64540">
          <w:rPr>
            <w:rFonts w:asciiTheme="majorHAnsi" w:hAnsiTheme="majorHAnsi"/>
            <w:noProof/>
            <w:webHidden/>
          </w:rPr>
          <w:fldChar w:fldCharType="begin"/>
        </w:r>
        <w:r w:rsidR="00F64540" w:rsidRPr="00F64540">
          <w:rPr>
            <w:rFonts w:asciiTheme="majorHAnsi" w:hAnsiTheme="majorHAnsi"/>
            <w:noProof/>
            <w:webHidden/>
          </w:rPr>
          <w:instrText xml:space="preserve"> PAGEREF _Toc531514497 \h </w:instrText>
        </w:r>
        <w:r w:rsidR="00F64540" w:rsidRPr="00F64540">
          <w:rPr>
            <w:rFonts w:asciiTheme="majorHAnsi" w:hAnsiTheme="majorHAnsi"/>
            <w:noProof/>
            <w:webHidden/>
          </w:rPr>
        </w:r>
        <w:r w:rsidR="00F64540" w:rsidRPr="00F64540">
          <w:rPr>
            <w:rFonts w:asciiTheme="majorHAnsi" w:hAnsiTheme="majorHAnsi"/>
            <w:noProof/>
            <w:webHidden/>
          </w:rPr>
          <w:fldChar w:fldCharType="separate"/>
        </w:r>
        <w:r w:rsidR="00A922E4">
          <w:rPr>
            <w:rFonts w:asciiTheme="majorHAnsi" w:hAnsiTheme="majorHAnsi"/>
            <w:noProof/>
            <w:webHidden/>
          </w:rPr>
          <w:t>149</w:t>
        </w:r>
        <w:r w:rsidR="00F64540" w:rsidRPr="00F64540">
          <w:rPr>
            <w:rFonts w:asciiTheme="majorHAnsi" w:hAnsiTheme="majorHAnsi"/>
            <w:noProof/>
            <w:webHidden/>
          </w:rPr>
          <w:fldChar w:fldCharType="end"/>
        </w:r>
      </w:hyperlink>
    </w:p>
    <w:p w14:paraId="19796DDB" w14:textId="77777777" w:rsidR="00F64540" w:rsidRPr="00F64540" w:rsidRDefault="00E91823" w:rsidP="00F64540">
      <w:pPr>
        <w:pStyle w:val="TOC3"/>
        <w:tabs>
          <w:tab w:val="clear" w:pos="8828"/>
          <w:tab w:val="right" w:pos="7560"/>
        </w:tabs>
        <w:rPr>
          <w:rFonts w:asciiTheme="majorHAnsi" w:hAnsiTheme="majorHAnsi" w:cstheme="minorBidi"/>
          <w:noProof/>
        </w:rPr>
      </w:pPr>
      <w:hyperlink w:anchor="_Toc531514498" w:history="1">
        <w:r w:rsidR="00F64540" w:rsidRPr="00F64540">
          <w:rPr>
            <w:rStyle w:val="Hyperlink"/>
            <w:rFonts w:asciiTheme="majorHAnsi" w:hAnsiTheme="majorHAnsi"/>
            <w:noProof/>
            <w:lang w:val="es-US"/>
          </w:rPr>
          <w:t>3.</w:t>
        </w:r>
        <w:r w:rsidR="00F64540" w:rsidRPr="00F64540">
          <w:rPr>
            <w:rFonts w:asciiTheme="majorHAnsi" w:hAnsiTheme="majorHAnsi" w:cstheme="minorBidi"/>
            <w:noProof/>
          </w:rPr>
          <w:tab/>
        </w:r>
        <w:r w:rsidR="00F64540" w:rsidRPr="00F64540">
          <w:rPr>
            <w:rStyle w:val="Hyperlink"/>
            <w:rFonts w:asciiTheme="majorHAnsi" w:hAnsiTheme="majorHAnsi"/>
            <w:noProof/>
            <w:lang w:val="es-US"/>
          </w:rPr>
          <w:t>El deber de enjuiciar y castigar a todas las partes responsables</w:t>
        </w:r>
        <w:r w:rsidR="00F64540" w:rsidRPr="00F64540">
          <w:rPr>
            <w:rFonts w:asciiTheme="majorHAnsi" w:hAnsiTheme="majorHAnsi"/>
            <w:noProof/>
            <w:webHidden/>
          </w:rPr>
          <w:tab/>
        </w:r>
        <w:r w:rsidR="00F64540" w:rsidRPr="00F64540">
          <w:rPr>
            <w:rFonts w:asciiTheme="majorHAnsi" w:hAnsiTheme="majorHAnsi"/>
            <w:noProof/>
            <w:webHidden/>
          </w:rPr>
          <w:fldChar w:fldCharType="begin"/>
        </w:r>
        <w:r w:rsidR="00F64540" w:rsidRPr="00F64540">
          <w:rPr>
            <w:rFonts w:asciiTheme="majorHAnsi" w:hAnsiTheme="majorHAnsi"/>
            <w:noProof/>
            <w:webHidden/>
          </w:rPr>
          <w:instrText xml:space="preserve"> PAGEREF _Toc531514498 \h </w:instrText>
        </w:r>
        <w:r w:rsidR="00F64540" w:rsidRPr="00F64540">
          <w:rPr>
            <w:rFonts w:asciiTheme="majorHAnsi" w:hAnsiTheme="majorHAnsi"/>
            <w:noProof/>
            <w:webHidden/>
          </w:rPr>
        </w:r>
        <w:r w:rsidR="00F64540" w:rsidRPr="00F64540">
          <w:rPr>
            <w:rFonts w:asciiTheme="majorHAnsi" w:hAnsiTheme="majorHAnsi"/>
            <w:noProof/>
            <w:webHidden/>
          </w:rPr>
          <w:fldChar w:fldCharType="separate"/>
        </w:r>
        <w:r w:rsidR="00A922E4">
          <w:rPr>
            <w:rFonts w:asciiTheme="majorHAnsi" w:hAnsiTheme="majorHAnsi"/>
            <w:noProof/>
            <w:webHidden/>
          </w:rPr>
          <w:t>152</w:t>
        </w:r>
        <w:r w:rsidR="00F64540" w:rsidRPr="00F64540">
          <w:rPr>
            <w:rFonts w:asciiTheme="majorHAnsi" w:hAnsiTheme="majorHAnsi"/>
            <w:noProof/>
            <w:webHidden/>
          </w:rPr>
          <w:fldChar w:fldCharType="end"/>
        </w:r>
      </w:hyperlink>
    </w:p>
    <w:p w14:paraId="627824A0" w14:textId="77777777" w:rsidR="00F64540" w:rsidRPr="00F64540" w:rsidRDefault="00E91823" w:rsidP="00F64540">
      <w:pPr>
        <w:pStyle w:val="TOC3"/>
        <w:tabs>
          <w:tab w:val="clear" w:pos="8828"/>
          <w:tab w:val="right" w:pos="7560"/>
        </w:tabs>
        <w:rPr>
          <w:rFonts w:asciiTheme="majorHAnsi" w:hAnsiTheme="majorHAnsi" w:cstheme="minorBidi"/>
          <w:noProof/>
        </w:rPr>
      </w:pPr>
      <w:hyperlink w:anchor="_Toc531514499" w:history="1">
        <w:r w:rsidR="00F64540" w:rsidRPr="00F64540">
          <w:rPr>
            <w:rStyle w:val="Hyperlink"/>
            <w:rFonts w:asciiTheme="majorHAnsi" w:hAnsiTheme="majorHAnsi"/>
            <w:noProof/>
            <w:lang w:val="es-US"/>
          </w:rPr>
          <w:t>4.</w:t>
        </w:r>
        <w:r w:rsidR="00F64540" w:rsidRPr="00F64540">
          <w:rPr>
            <w:rFonts w:asciiTheme="majorHAnsi" w:hAnsiTheme="majorHAnsi" w:cstheme="minorBidi"/>
            <w:noProof/>
          </w:rPr>
          <w:tab/>
        </w:r>
        <w:r w:rsidR="00F64540" w:rsidRPr="00F64540">
          <w:rPr>
            <w:rStyle w:val="Hyperlink"/>
            <w:rFonts w:asciiTheme="majorHAnsi" w:hAnsiTheme="majorHAnsi"/>
            <w:noProof/>
            <w:lang w:val="es-US"/>
          </w:rPr>
          <w:t>El derecho a un recurso efectivo</w:t>
        </w:r>
        <w:r w:rsidR="00F64540" w:rsidRPr="00F64540">
          <w:rPr>
            <w:rFonts w:asciiTheme="majorHAnsi" w:hAnsiTheme="majorHAnsi"/>
            <w:noProof/>
            <w:webHidden/>
          </w:rPr>
          <w:tab/>
        </w:r>
        <w:r w:rsidR="00F64540" w:rsidRPr="00F64540">
          <w:rPr>
            <w:rFonts w:asciiTheme="majorHAnsi" w:hAnsiTheme="majorHAnsi"/>
            <w:noProof/>
            <w:webHidden/>
          </w:rPr>
          <w:fldChar w:fldCharType="begin"/>
        </w:r>
        <w:r w:rsidR="00F64540" w:rsidRPr="00F64540">
          <w:rPr>
            <w:rFonts w:asciiTheme="majorHAnsi" w:hAnsiTheme="majorHAnsi"/>
            <w:noProof/>
            <w:webHidden/>
          </w:rPr>
          <w:instrText xml:space="preserve"> PAGEREF _Toc531514499 \h </w:instrText>
        </w:r>
        <w:r w:rsidR="00F64540" w:rsidRPr="00F64540">
          <w:rPr>
            <w:rFonts w:asciiTheme="majorHAnsi" w:hAnsiTheme="majorHAnsi"/>
            <w:noProof/>
            <w:webHidden/>
          </w:rPr>
        </w:r>
        <w:r w:rsidR="00F64540" w:rsidRPr="00F64540">
          <w:rPr>
            <w:rFonts w:asciiTheme="majorHAnsi" w:hAnsiTheme="majorHAnsi"/>
            <w:noProof/>
            <w:webHidden/>
          </w:rPr>
          <w:fldChar w:fldCharType="separate"/>
        </w:r>
        <w:r w:rsidR="00A922E4">
          <w:rPr>
            <w:rFonts w:asciiTheme="majorHAnsi" w:hAnsiTheme="majorHAnsi"/>
            <w:noProof/>
            <w:webHidden/>
          </w:rPr>
          <w:t>154</w:t>
        </w:r>
        <w:r w:rsidR="00F64540" w:rsidRPr="00F64540">
          <w:rPr>
            <w:rFonts w:asciiTheme="majorHAnsi" w:hAnsiTheme="majorHAnsi"/>
            <w:noProof/>
            <w:webHidden/>
          </w:rPr>
          <w:fldChar w:fldCharType="end"/>
        </w:r>
      </w:hyperlink>
    </w:p>
    <w:p w14:paraId="36220590" w14:textId="77777777" w:rsidR="00F64540" w:rsidRPr="00F64540" w:rsidRDefault="00E91823" w:rsidP="00F64540">
      <w:pPr>
        <w:pStyle w:val="TOC3"/>
        <w:tabs>
          <w:tab w:val="clear" w:pos="8828"/>
          <w:tab w:val="right" w:pos="7560"/>
        </w:tabs>
        <w:rPr>
          <w:rFonts w:asciiTheme="majorHAnsi" w:hAnsiTheme="majorHAnsi" w:cstheme="minorBidi"/>
          <w:noProof/>
        </w:rPr>
      </w:pPr>
      <w:hyperlink w:anchor="_Toc531514500" w:history="1">
        <w:r w:rsidR="00F64540" w:rsidRPr="00F64540">
          <w:rPr>
            <w:rStyle w:val="Hyperlink"/>
            <w:rFonts w:asciiTheme="majorHAnsi" w:hAnsiTheme="majorHAnsi"/>
            <w:noProof/>
            <w:lang w:val="es-US"/>
          </w:rPr>
          <w:t>5.</w:t>
        </w:r>
        <w:r w:rsidR="00F64540" w:rsidRPr="00F64540">
          <w:rPr>
            <w:rFonts w:asciiTheme="majorHAnsi" w:hAnsiTheme="majorHAnsi" w:cstheme="minorBidi"/>
            <w:noProof/>
          </w:rPr>
          <w:tab/>
        </w:r>
        <w:r w:rsidR="00F64540" w:rsidRPr="00F64540">
          <w:rPr>
            <w:rStyle w:val="Hyperlink"/>
            <w:rFonts w:asciiTheme="majorHAnsi" w:hAnsiTheme="majorHAnsi"/>
            <w:noProof/>
            <w:lang w:val="es-US"/>
          </w:rPr>
          <w:t>Reparaciones</w:t>
        </w:r>
        <w:r w:rsidR="00F64540" w:rsidRPr="00F64540">
          <w:rPr>
            <w:rFonts w:asciiTheme="majorHAnsi" w:hAnsiTheme="majorHAnsi"/>
            <w:noProof/>
            <w:webHidden/>
          </w:rPr>
          <w:tab/>
        </w:r>
        <w:r w:rsidR="00F64540" w:rsidRPr="00F64540">
          <w:rPr>
            <w:rFonts w:asciiTheme="majorHAnsi" w:hAnsiTheme="majorHAnsi"/>
            <w:noProof/>
            <w:webHidden/>
          </w:rPr>
          <w:fldChar w:fldCharType="begin"/>
        </w:r>
        <w:r w:rsidR="00F64540" w:rsidRPr="00F64540">
          <w:rPr>
            <w:rFonts w:asciiTheme="majorHAnsi" w:hAnsiTheme="majorHAnsi"/>
            <w:noProof/>
            <w:webHidden/>
          </w:rPr>
          <w:instrText xml:space="preserve"> PAGEREF _Toc531514500 \h </w:instrText>
        </w:r>
        <w:r w:rsidR="00F64540" w:rsidRPr="00F64540">
          <w:rPr>
            <w:rFonts w:asciiTheme="majorHAnsi" w:hAnsiTheme="majorHAnsi"/>
            <w:noProof/>
            <w:webHidden/>
          </w:rPr>
        </w:r>
        <w:r w:rsidR="00F64540" w:rsidRPr="00F64540">
          <w:rPr>
            <w:rFonts w:asciiTheme="majorHAnsi" w:hAnsiTheme="majorHAnsi"/>
            <w:noProof/>
            <w:webHidden/>
          </w:rPr>
          <w:fldChar w:fldCharType="separate"/>
        </w:r>
        <w:r w:rsidR="00A922E4">
          <w:rPr>
            <w:rFonts w:asciiTheme="majorHAnsi" w:hAnsiTheme="majorHAnsi"/>
            <w:noProof/>
            <w:webHidden/>
          </w:rPr>
          <w:t>158</w:t>
        </w:r>
        <w:r w:rsidR="00F64540" w:rsidRPr="00F64540">
          <w:rPr>
            <w:rFonts w:asciiTheme="majorHAnsi" w:hAnsiTheme="majorHAnsi"/>
            <w:noProof/>
            <w:webHidden/>
          </w:rPr>
          <w:fldChar w:fldCharType="end"/>
        </w:r>
      </w:hyperlink>
    </w:p>
    <w:p w14:paraId="3D647B84" w14:textId="24A78E6A" w:rsidR="00F64540" w:rsidRPr="007F48F0" w:rsidRDefault="00E91823" w:rsidP="00373E27">
      <w:pPr>
        <w:pStyle w:val="TOC1"/>
        <w:rPr>
          <w:rStyle w:val="Hyperlink"/>
          <w:b/>
        </w:rPr>
      </w:pPr>
      <w:hyperlink w:anchor="_Toc531514503" w:history="1">
        <w:r w:rsidR="00F64540" w:rsidRPr="00915368">
          <w:rPr>
            <w:rStyle w:val="Hyperlink"/>
            <w:b/>
            <w:color w:val="808080" w:themeColor="background1" w:themeShade="80"/>
          </w:rPr>
          <w:t>C</w:t>
        </w:r>
        <w:r w:rsidR="007F48F0" w:rsidRPr="00915368">
          <w:rPr>
            <w:rStyle w:val="Hyperlink"/>
            <w:b/>
            <w:color w:val="808080" w:themeColor="background1" w:themeShade="80"/>
          </w:rPr>
          <w:t>APÍTULO 4 |</w:t>
        </w:r>
        <w:r w:rsidR="007F48F0" w:rsidRPr="00915368">
          <w:rPr>
            <w:rStyle w:val="Hyperlink"/>
            <w:b/>
            <w:color w:val="808080" w:themeColor="background1" w:themeShade="80"/>
          </w:rPr>
          <w:tab/>
        </w:r>
        <w:r w:rsidR="007F48F0" w:rsidRPr="00915368">
          <w:rPr>
            <w:rStyle w:val="Hyperlink"/>
            <w:b/>
            <w:color w:val="4A442A" w:themeColor="background2" w:themeShade="40"/>
          </w:rPr>
          <w:t>C</w:t>
        </w:r>
        <w:r w:rsidR="00F64540" w:rsidRPr="00915368">
          <w:rPr>
            <w:rStyle w:val="Hyperlink"/>
            <w:b/>
            <w:color w:val="4A442A" w:themeColor="background2" w:themeShade="40"/>
          </w:rPr>
          <w:t>ONCLUSIÓN Y RECOMENDACIONES</w:t>
        </w:r>
        <w:r w:rsidR="00F64540" w:rsidRPr="007F48F0">
          <w:rPr>
            <w:rStyle w:val="Hyperlink"/>
            <w:b/>
            <w:webHidden/>
          </w:rPr>
          <w:tab/>
        </w:r>
        <w:r w:rsidR="00F64540" w:rsidRPr="007F48F0">
          <w:rPr>
            <w:rStyle w:val="Hyperlink"/>
            <w:b/>
            <w:webHidden/>
          </w:rPr>
          <w:fldChar w:fldCharType="begin"/>
        </w:r>
        <w:r w:rsidR="00F64540" w:rsidRPr="007F48F0">
          <w:rPr>
            <w:rStyle w:val="Hyperlink"/>
            <w:b/>
            <w:webHidden/>
          </w:rPr>
          <w:instrText xml:space="preserve"> PAGEREF _Toc531514503 \h </w:instrText>
        </w:r>
        <w:r w:rsidR="00F64540" w:rsidRPr="007F48F0">
          <w:rPr>
            <w:rStyle w:val="Hyperlink"/>
            <w:b/>
            <w:webHidden/>
          </w:rPr>
        </w:r>
        <w:r w:rsidR="00F64540" w:rsidRPr="007F48F0">
          <w:rPr>
            <w:rStyle w:val="Hyperlink"/>
            <w:b/>
            <w:webHidden/>
          </w:rPr>
          <w:fldChar w:fldCharType="separate"/>
        </w:r>
        <w:r w:rsidR="00A922E4">
          <w:rPr>
            <w:rStyle w:val="Hyperlink"/>
            <w:b/>
            <w:webHidden/>
          </w:rPr>
          <w:t>171</w:t>
        </w:r>
        <w:r w:rsidR="00F64540" w:rsidRPr="007F48F0">
          <w:rPr>
            <w:rStyle w:val="Hyperlink"/>
            <w:b/>
            <w:webHidden/>
          </w:rPr>
          <w:fldChar w:fldCharType="end"/>
        </w:r>
      </w:hyperlink>
    </w:p>
    <w:p w14:paraId="52E35F1A" w14:textId="77777777" w:rsidR="00F64540" w:rsidRPr="00F64540" w:rsidRDefault="00E91823" w:rsidP="00F64540">
      <w:pPr>
        <w:pStyle w:val="TOC2"/>
        <w:rPr>
          <w:rFonts w:eastAsiaTheme="minorEastAsia" w:cstheme="minorBidi"/>
          <w:b/>
          <w:lang w:val="en-US"/>
        </w:rPr>
      </w:pPr>
      <w:hyperlink w:anchor="_Toc531514504" w:history="1">
        <w:r w:rsidR="00F64540" w:rsidRPr="00F64540">
          <w:rPr>
            <w:rStyle w:val="Hyperlink"/>
          </w:rPr>
          <w:t>A.</w:t>
        </w:r>
        <w:r w:rsidR="00F64540" w:rsidRPr="00F64540">
          <w:rPr>
            <w:rFonts w:eastAsiaTheme="minorEastAsia" w:cstheme="minorBidi"/>
            <w:b/>
            <w:lang w:val="en-US"/>
          </w:rPr>
          <w:tab/>
        </w:r>
        <w:r w:rsidR="00F64540" w:rsidRPr="00F64540">
          <w:rPr>
            <w:rStyle w:val="Hyperlink"/>
          </w:rPr>
          <w:t>Recomendaciones generales</w:t>
        </w:r>
        <w:r w:rsidR="00F64540" w:rsidRPr="00F64540">
          <w:rPr>
            <w:webHidden/>
          </w:rPr>
          <w:tab/>
        </w:r>
        <w:r w:rsidR="00F64540" w:rsidRPr="00F64540">
          <w:rPr>
            <w:webHidden/>
          </w:rPr>
          <w:fldChar w:fldCharType="begin"/>
        </w:r>
        <w:r w:rsidR="00F64540" w:rsidRPr="00F64540">
          <w:rPr>
            <w:webHidden/>
          </w:rPr>
          <w:instrText xml:space="preserve"> PAGEREF _Toc531514504 \h </w:instrText>
        </w:r>
        <w:r w:rsidR="00F64540" w:rsidRPr="00F64540">
          <w:rPr>
            <w:webHidden/>
          </w:rPr>
        </w:r>
        <w:r w:rsidR="00F64540" w:rsidRPr="00F64540">
          <w:rPr>
            <w:webHidden/>
          </w:rPr>
          <w:fldChar w:fldCharType="separate"/>
        </w:r>
        <w:r w:rsidR="00A922E4">
          <w:rPr>
            <w:webHidden/>
          </w:rPr>
          <w:t>174</w:t>
        </w:r>
        <w:r w:rsidR="00F64540" w:rsidRPr="00F64540">
          <w:rPr>
            <w:webHidden/>
          </w:rPr>
          <w:fldChar w:fldCharType="end"/>
        </w:r>
      </w:hyperlink>
    </w:p>
    <w:p w14:paraId="77C454B7" w14:textId="77777777" w:rsidR="00F64540" w:rsidRPr="00F64540" w:rsidRDefault="00E91823" w:rsidP="00F64540">
      <w:pPr>
        <w:pStyle w:val="TOC2"/>
        <w:rPr>
          <w:rFonts w:eastAsiaTheme="minorEastAsia" w:cstheme="minorBidi"/>
          <w:b/>
          <w:lang w:val="en-US"/>
        </w:rPr>
      </w:pPr>
      <w:hyperlink w:anchor="_Toc531514505" w:history="1">
        <w:r w:rsidR="00F64540" w:rsidRPr="00F64540">
          <w:rPr>
            <w:rStyle w:val="Hyperlink"/>
            <w:rFonts w:eastAsia="MS Gothic"/>
          </w:rPr>
          <w:t>B.</w:t>
        </w:r>
        <w:r w:rsidR="00F64540" w:rsidRPr="00F64540">
          <w:rPr>
            <w:rFonts w:eastAsiaTheme="minorEastAsia" w:cstheme="minorBidi"/>
            <w:b/>
            <w:lang w:val="en-US"/>
          </w:rPr>
          <w:tab/>
        </w:r>
        <w:r w:rsidR="00F64540" w:rsidRPr="00F64540">
          <w:rPr>
            <w:rStyle w:val="Hyperlink"/>
            <w:rFonts w:eastAsia="MS Gothic"/>
          </w:rPr>
          <w:t>Recomendaciones relativas a la no discriminación</w:t>
        </w:r>
        <w:r w:rsidR="00F64540" w:rsidRPr="00F64540">
          <w:rPr>
            <w:webHidden/>
          </w:rPr>
          <w:tab/>
        </w:r>
        <w:r w:rsidR="00F64540" w:rsidRPr="00F64540">
          <w:rPr>
            <w:webHidden/>
          </w:rPr>
          <w:fldChar w:fldCharType="begin"/>
        </w:r>
        <w:r w:rsidR="00F64540" w:rsidRPr="00F64540">
          <w:rPr>
            <w:webHidden/>
          </w:rPr>
          <w:instrText xml:space="preserve"> PAGEREF _Toc531514505 \h </w:instrText>
        </w:r>
        <w:r w:rsidR="00F64540" w:rsidRPr="00F64540">
          <w:rPr>
            <w:webHidden/>
          </w:rPr>
        </w:r>
        <w:r w:rsidR="00F64540" w:rsidRPr="00F64540">
          <w:rPr>
            <w:webHidden/>
          </w:rPr>
          <w:fldChar w:fldCharType="separate"/>
        </w:r>
        <w:r w:rsidR="00A922E4">
          <w:rPr>
            <w:webHidden/>
          </w:rPr>
          <w:t>175</w:t>
        </w:r>
        <w:r w:rsidR="00F64540" w:rsidRPr="00F64540">
          <w:rPr>
            <w:webHidden/>
          </w:rPr>
          <w:fldChar w:fldCharType="end"/>
        </w:r>
      </w:hyperlink>
    </w:p>
    <w:p w14:paraId="41F2DC61" w14:textId="77777777" w:rsidR="00F64540" w:rsidRPr="00F64540" w:rsidRDefault="00E91823" w:rsidP="00F64540">
      <w:pPr>
        <w:pStyle w:val="TOC2"/>
        <w:rPr>
          <w:rFonts w:eastAsiaTheme="minorEastAsia" w:cstheme="minorBidi"/>
          <w:b/>
          <w:lang w:val="en-US"/>
        </w:rPr>
      </w:pPr>
      <w:hyperlink w:anchor="_Toc531514506" w:history="1">
        <w:r w:rsidR="00F64540" w:rsidRPr="00F64540">
          <w:rPr>
            <w:rStyle w:val="Hyperlink"/>
            <w:rFonts w:eastAsia="MS Gothic"/>
          </w:rPr>
          <w:t>C.</w:t>
        </w:r>
        <w:r w:rsidR="00F64540" w:rsidRPr="00F64540">
          <w:rPr>
            <w:rFonts w:eastAsiaTheme="minorEastAsia" w:cstheme="minorBidi"/>
            <w:b/>
            <w:lang w:val="en-US"/>
          </w:rPr>
          <w:tab/>
        </w:r>
        <w:r w:rsidR="00F64540" w:rsidRPr="00F64540">
          <w:rPr>
            <w:rStyle w:val="Hyperlink"/>
            <w:rFonts w:eastAsia="MS Gothic"/>
          </w:rPr>
          <w:t>Recomendaciones relativas al uso de la fuerza</w:t>
        </w:r>
        <w:r w:rsidR="00F64540" w:rsidRPr="00F64540">
          <w:rPr>
            <w:webHidden/>
          </w:rPr>
          <w:tab/>
        </w:r>
        <w:r w:rsidR="00F64540" w:rsidRPr="00F64540">
          <w:rPr>
            <w:webHidden/>
          </w:rPr>
          <w:fldChar w:fldCharType="begin"/>
        </w:r>
        <w:r w:rsidR="00F64540" w:rsidRPr="00F64540">
          <w:rPr>
            <w:webHidden/>
          </w:rPr>
          <w:instrText xml:space="preserve"> PAGEREF _Toc531514506 \h </w:instrText>
        </w:r>
        <w:r w:rsidR="00F64540" w:rsidRPr="00F64540">
          <w:rPr>
            <w:webHidden/>
          </w:rPr>
        </w:r>
        <w:r w:rsidR="00F64540" w:rsidRPr="00F64540">
          <w:rPr>
            <w:webHidden/>
          </w:rPr>
          <w:fldChar w:fldCharType="separate"/>
        </w:r>
        <w:r w:rsidR="00A922E4">
          <w:rPr>
            <w:webHidden/>
          </w:rPr>
          <w:t>177</w:t>
        </w:r>
        <w:r w:rsidR="00F64540" w:rsidRPr="00F64540">
          <w:rPr>
            <w:webHidden/>
          </w:rPr>
          <w:fldChar w:fldCharType="end"/>
        </w:r>
      </w:hyperlink>
    </w:p>
    <w:p w14:paraId="1CFD3E4C" w14:textId="77777777" w:rsidR="00F64540" w:rsidRPr="00F64540" w:rsidRDefault="00E91823" w:rsidP="00F64540">
      <w:pPr>
        <w:pStyle w:val="TOC2"/>
        <w:rPr>
          <w:rFonts w:eastAsiaTheme="minorEastAsia" w:cstheme="minorBidi"/>
          <w:b/>
          <w:lang w:val="en-US"/>
        </w:rPr>
      </w:pPr>
      <w:hyperlink w:anchor="_Toc531514507" w:history="1">
        <w:r w:rsidR="00F64540" w:rsidRPr="00F64540">
          <w:rPr>
            <w:rStyle w:val="Hyperlink"/>
            <w:rFonts w:eastAsia="MS Gothic"/>
          </w:rPr>
          <w:t>D.</w:t>
        </w:r>
        <w:r w:rsidR="00F64540" w:rsidRPr="00F64540">
          <w:rPr>
            <w:rFonts w:eastAsiaTheme="minorEastAsia" w:cstheme="minorBidi"/>
            <w:b/>
            <w:lang w:val="en-US"/>
          </w:rPr>
          <w:tab/>
        </w:r>
        <w:r w:rsidR="00F64540" w:rsidRPr="00F64540">
          <w:rPr>
            <w:rStyle w:val="Hyperlink"/>
            <w:rFonts w:eastAsia="MS Gothic"/>
          </w:rPr>
          <w:t>Recomendaciones relativas a la debida diligencia y rendición de cuentas</w:t>
        </w:r>
        <w:r w:rsidR="00F64540" w:rsidRPr="00F64540">
          <w:rPr>
            <w:webHidden/>
          </w:rPr>
          <w:tab/>
        </w:r>
        <w:r w:rsidR="00F64540" w:rsidRPr="00F64540">
          <w:rPr>
            <w:webHidden/>
          </w:rPr>
          <w:fldChar w:fldCharType="begin"/>
        </w:r>
        <w:r w:rsidR="00F64540" w:rsidRPr="00F64540">
          <w:rPr>
            <w:webHidden/>
          </w:rPr>
          <w:instrText xml:space="preserve"> PAGEREF _Toc531514507 \h </w:instrText>
        </w:r>
        <w:r w:rsidR="00F64540" w:rsidRPr="00F64540">
          <w:rPr>
            <w:webHidden/>
          </w:rPr>
        </w:r>
        <w:r w:rsidR="00F64540" w:rsidRPr="00F64540">
          <w:rPr>
            <w:webHidden/>
          </w:rPr>
          <w:fldChar w:fldCharType="separate"/>
        </w:r>
        <w:r w:rsidR="00A922E4">
          <w:rPr>
            <w:webHidden/>
          </w:rPr>
          <w:t>178</w:t>
        </w:r>
        <w:r w:rsidR="00F64540" w:rsidRPr="00F64540">
          <w:rPr>
            <w:webHidden/>
          </w:rPr>
          <w:fldChar w:fldCharType="end"/>
        </w:r>
      </w:hyperlink>
    </w:p>
    <w:p w14:paraId="3A4BA0E8" w14:textId="77777777" w:rsidR="00F64540" w:rsidRPr="00F64540" w:rsidRDefault="00E91823" w:rsidP="00F64540">
      <w:pPr>
        <w:pStyle w:val="TOC2"/>
        <w:rPr>
          <w:rFonts w:eastAsiaTheme="minorEastAsia" w:cstheme="minorBidi"/>
          <w:b/>
          <w:lang w:val="en-US"/>
        </w:rPr>
      </w:pPr>
      <w:hyperlink w:anchor="_Toc531514508" w:history="1">
        <w:r w:rsidR="00F64540" w:rsidRPr="00F64540">
          <w:rPr>
            <w:rStyle w:val="Hyperlink"/>
            <w:rFonts w:eastAsia="MS Gothic"/>
          </w:rPr>
          <w:t>E.</w:t>
        </w:r>
        <w:r w:rsidR="00F64540" w:rsidRPr="00F64540">
          <w:rPr>
            <w:rFonts w:eastAsiaTheme="minorEastAsia" w:cstheme="minorBidi"/>
            <w:b/>
            <w:lang w:val="en-US"/>
          </w:rPr>
          <w:tab/>
        </w:r>
        <w:r w:rsidR="00F64540" w:rsidRPr="00F64540">
          <w:rPr>
            <w:rStyle w:val="Hyperlink"/>
            <w:rFonts w:eastAsia="MS Gothic"/>
          </w:rPr>
          <w:t>Recomendaciones sobre el acceso a la justicia y las reparaciones</w:t>
        </w:r>
        <w:r w:rsidR="00F64540" w:rsidRPr="00F64540">
          <w:rPr>
            <w:webHidden/>
          </w:rPr>
          <w:tab/>
        </w:r>
        <w:r w:rsidR="00F64540" w:rsidRPr="00F64540">
          <w:rPr>
            <w:webHidden/>
          </w:rPr>
          <w:fldChar w:fldCharType="begin"/>
        </w:r>
        <w:r w:rsidR="00F64540" w:rsidRPr="00F64540">
          <w:rPr>
            <w:webHidden/>
          </w:rPr>
          <w:instrText xml:space="preserve"> PAGEREF _Toc531514508 \h </w:instrText>
        </w:r>
        <w:r w:rsidR="00F64540" w:rsidRPr="00F64540">
          <w:rPr>
            <w:webHidden/>
          </w:rPr>
        </w:r>
        <w:r w:rsidR="00F64540" w:rsidRPr="00F64540">
          <w:rPr>
            <w:webHidden/>
          </w:rPr>
          <w:fldChar w:fldCharType="separate"/>
        </w:r>
        <w:r w:rsidR="00A922E4">
          <w:rPr>
            <w:webHidden/>
          </w:rPr>
          <w:t>180</w:t>
        </w:r>
        <w:r w:rsidR="00F64540" w:rsidRPr="00F64540">
          <w:rPr>
            <w:webHidden/>
          </w:rPr>
          <w:fldChar w:fldCharType="end"/>
        </w:r>
      </w:hyperlink>
    </w:p>
    <w:p w14:paraId="46DCD287" w14:textId="1704A528" w:rsidR="00FD21AD" w:rsidRPr="00F64540" w:rsidRDefault="00F64540" w:rsidP="00F64540">
      <w:pPr>
        <w:tabs>
          <w:tab w:val="right" w:pos="7560"/>
        </w:tabs>
        <w:spacing w:after="0" w:line="240" w:lineRule="auto"/>
        <w:rPr>
          <w:rFonts w:asciiTheme="majorHAnsi" w:hAnsiTheme="majorHAnsi"/>
          <w:lang w:val="es-US"/>
        </w:rPr>
      </w:pPr>
      <w:r w:rsidRPr="00F64540">
        <w:rPr>
          <w:rFonts w:asciiTheme="majorHAnsi" w:hAnsiTheme="majorHAnsi"/>
          <w:lang w:val="es-US"/>
        </w:rPr>
        <w:fldChar w:fldCharType="end"/>
      </w:r>
    </w:p>
    <w:p w14:paraId="4153438A" w14:textId="77777777" w:rsidR="00F64540" w:rsidRDefault="00F64540" w:rsidP="00F64540">
      <w:pPr>
        <w:spacing w:after="0" w:line="240" w:lineRule="auto"/>
        <w:rPr>
          <w:lang w:val="es-US"/>
        </w:rPr>
      </w:pPr>
    </w:p>
    <w:p w14:paraId="3252DE00" w14:textId="77777777" w:rsidR="00F64540" w:rsidRPr="00930562" w:rsidRDefault="00F64540" w:rsidP="00F64540">
      <w:pPr>
        <w:spacing w:after="0" w:line="240" w:lineRule="auto"/>
        <w:rPr>
          <w:lang w:val="es-US"/>
        </w:rPr>
      </w:pPr>
    </w:p>
    <w:p w14:paraId="2085500C" w14:textId="77777777" w:rsidR="00FD21AD" w:rsidRPr="00930562" w:rsidRDefault="00FD21AD" w:rsidP="00FD21AD">
      <w:pPr>
        <w:rPr>
          <w:lang w:val="es-US"/>
        </w:rPr>
        <w:sectPr w:rsidR="00FD21AD" w:rsidRPr="00930562" w:rsidSect="004C649C">
          <w:headerReference w:type="default" r:id="rId18"/>
          <w:footerReference w:type="default" r:id="rId19"/>
          <w:type w:val="oddPage"/>
          <w:pgSz w:w="10080" w:h="14400" w:code="13"/>
          <w:pgMar w:top="1152" w:right="1152" w:bottom="1152" w:left="1296" w:header="720" w:footer="720" w:gutter="0"/>
          <w:cols w:space="708"/>
          <w:docGrid w:linePitch="360"/>
        </w:sectPr>
      </w:pPr>
    </w:p>
    <w:p w14:paraId="1D9E427B" w14:textId="35F3AA27" w:rsidR="00724FB5" w:rsidRPr="00930562" w:rsidRDefault="00724FB5" w:rsidP="004D711A">
      <w:pPr>
        <w:pStyle w:val="CAP2"/>
        <w:sectPr w:rsidR="00724FB5" w:rsidRPr="00930562" w:rsidSect="00724FB5">
          <w:headerReference w:type="even" r:id="rId20"/>
          <w:headerReference w:type="default" r:id="rId21"/>
          <w:footerReference w:type="even" r:id="rId22"/>
          <w:footerReference w:type="default" r:id="rId23"/>
          <w:type w:val="oddPage"/>
          <w:pgSz w:w="10080" w:h="14400" w:code="13"/>
          <w:pgMar w:top="1152" w:right="1152" w:bottom="1152" w:left="1296" w:header="720" w:footer="720" w:gutter="0"/>
          <w:cols w:space="708"/>
          <w:vAlign w:val="center"/>
          <w:docGrid w:linePitch="360"/>
        </w:sectPr>
      </w:pPr>
      <w:bookmarkStart w:id="5" w:name="_Toc531514444"/>
      <w:bookmarkStart w:id="6" w:name="_Toc517779218"/>
      <w:r w:rsidRPr="00930562">
        <w:lastRenderedPageBreak/>
        <w:t>RESUMEN EJECUTIVO</w:t>
      </w:r>
      <w:bookmarkEnd w:id="5"/>
    </w:p>
    <w:p w14:paraId="24F17E00" w14:textId="032AD79D" w:rsidR="0013380B" w:rsidRPr="00930562" w:rsidRDefault="00483437" w:rsidP="00724FB5">
      <w:pPr>
        <w:pStyle w:val="Heading1"/>
        <w:rPr>
          <w:lang w:val="es-US"/>
        </w:rPr>
      </w:pPr>
      <w:bookmarkStart w:id="7" w:name="_Toc531514445"/>
      <w:r w:rsidRPr="00930562">
        <w:rPr>
          <w:lang w:val="es-US"/>
        </w:rPr>
        <w:lastRenderedPageBreak/>
        <w:t>RESUMEN EJECUTIVO</w:t>
      </w:r>
      <w:bookmarkEnd w:id="6"/>
      <w:bookmarkEnd w:id="7"/>
    </w:p>
    <w:p w14:paraId="5F7B980B" w14:textId="0ACE2B2C" w:rsidR="008A5D51" w:rsidRPr="00930562" w:rsidRDefault="005A6108" w:rsidP="00724857">
      <w:pPr>
        <w:pStyle w:val="ListParagraph"/>
        <w:numPr>
          <w:ilvl w:val="0"/>
          <w:numId w:val="2"/>
        </w:numPr>
        <w:spacing w:after="240" w:line="240" w:lineRule="auto"/>
        <w:ind w:left="547" w:hanging="547"/>
        <w:contextualSpacing w:val="0"/>
        <w:jc w:val="both"/>
        <w:rPr>
          <w:rFonts w:asciiTheme="majorHAnsi" w:hAnsiTheme="majorHAnsi" w:cstheme="minorHAnsi"/>
          <w:lang w:val="es-US"/>
        </w:rPr>
      </w:pPr>
      <w:r w:rsidRPr="00930562">
        <w:rPr>
          <w:rFonts w:asciiTheme="majorHAnsi" w:hAnsiTheme="majorHAnsi" w:cstheme="minorHAnsi"/>
          <w:lang w:val="es-US"/>
        </w:rPr>
        <w:t xml:space="preserve">Este informe </w:t>
      </w:r>
      <w:r w:rsidR="004020BF" w:rsidRPr="00930562">
        <w:rPr>
          <w:rFonts w:asciiTheme="majorHAnsi" w:hAnsiTheme="majorHAnsi" w:cstheme="minorHAnsi"/>
          <w:lang w:val="es-US"/>
        </w:rPr>
        <w:t>analiza</w:t>
      </w:r>
      <w:r w:rsidRPr="00930562">
        <w:rPr>
          <w:rFonts w:asciiTheme="majorHAnsi" w:hAnsiTheme="majorHAnsi" w:cstheme="minorHAnsi"/>
          <w:lang w:val="es-US"/>
        </w:rPr>
        <w:t xml:space="preserve"> la</w:t>
      </w:r>
      <w:r w:rsidR="004020BF" w:rsidRPr="00930562">
        <w:rPr>
          <w:rFonts w:asciiTheme="majorHAnsi" w:hAnsiTheme="majorHAnsi" w:cstheme="minorHAnsi"/>
          <w:lang w:val="es-US"/>
        </w:rPr>
        <w:t xml:space="preserve"> </w:t>
      </w:r>
      <w:r w:rsidR="006024A5" w:rsidRPr="00930562">
        <w:rPr>
          <w:rFonts w:asciiTheme="majorHAnsi" w:hAnsiTheme="majorHAnsi" w:cstheme="minorHAnsi"/>
          <w:lang w:val="es-US"/>
        </w:rPr>
        <w:t xml:space="preserve">continua </w:t>
      </w:r>
      <w:r w:rsidR="004020BF" w:rsidRPr="00930562">
        <w:rPr>
          <w:rFonts w:asciiTheme="majorHAnsi" w:hAnsiTheme="majorHAnsi" w:cstheme="minorHAnsi"/>
          <w:lang w:val="es-US"/>
        </w:rPr>
        <w:t xml:space="preserve">situación de discriminación estructural </w:t>
      </w:r>
      <w:r w:rsidR="006024A5" w:rsidRPr="00930562">
        <w:rPr>
          <w:rFonts w:asciiTheme="majorHAnsi" w:hAnsiTheme="majorHAnsi" w:cstheme="minorHAnsi"/>
          <w:lang w:val="es-US"/>
        </w:rPr>
        <w:t>c</w:t>
      </w:r>
      <w:r w:rsidR="004020BF" w:rsidRPr="00930562">
        <w:rPr>
          <w:rFonts w:asciiTheme="majorHAnsi" w:hAnsiTheme="majorHAnsi" w:cstheme="minorHAnsi"/>
          <w:lang w:val="es-US"/>
        </w:rPr>
        <w:t xml:space="preserve">ontra los afroamericanos en los Estados Unidos, y en particular, las profundas desigualdades raciales en </w:t>
      </w:r>
      <w:r w:rsidR="000D5EFB" w:rsidRPr="00930562">
        <w:rPr>
          <w:rFonts w:asciiTheme="majorHAnsi" w:hAnsiTheme="majorHAnsi" w:cstheme="minorHAnsi"/>
          <w:lang w:val="es-US"/>
        </w:rPr>
        <w:t xml:space="preserve">el ámbito policial </w:t>
      </w:r>
      <w:r w:rsidR="004020BF" w:rsidRPr="00930562">
        <w:rPr>
          <w:rFonts w:asciiTheme="majorHAnsi" w:hAnsiTheme="majorHAnsi" w:cstheme="minorHAnsi"/>
          <w:lang w:val="es-US"/>
        </w:rPr>
        <w:t xml:space="preserve">y </w:t>
      </w:r>
      <w:r w:rsidR="000D5EFB" w:rsidRPr="00930562">
        <w:rPr>
          <w:rFonts w:asciiTheme="majorHAnsi" w:hAnsiTheme="majorHAnsi" w:cstheme="minorHAnsi"/>
          <w:lang w:val="es-US"/>
        </w:rPr>
        <w:t xml:space="preserve">en </w:t>
      </w:r>
      <w:r w:rsidR="004020BF" w:rsidRPr="00930562">
        <w:rPr>
          <w:rFonts w:asciiTheme="majorHAnsi" w:hAnsiTheme="majorHAnsi" w:cstheme="minorHAnsi"/>
          <w:lang w:val="es-US"/>
        </w:rPr>
        <w:t xml:space="preserve">el sistema de justicia </w:t>
      </w:r>
      <w:r w:rsidR="000D5EFB" w:rsidRPr="00930562">
        <w:rPr>
          <w:rFonts w:asciiTheme="majorHAnsi" w:hAnsiTheme="majorHAnsi" w:cstheme="minorHAnsi"/>
          <w:lang w:val="es-US"/>
        </w:rPr>
        <w:t>penal</w:t>
      </w:r>
      <w:r w:rsidR="004020BF" w:rsidRPr="00930562">
        <w:rPr>
          <w:rFonts w:asciiTheme="majorHAnsi" w:hAnsiTheme="majorHAnsi" w:cstheme="minorHAnsi"/>
          <w:lang w:val="es-US"/>
        </w:rPr>
        <w:t xml:space="preserve">. </w:t>
      </w:r>
      <w:r w:rsidR="00170423" w:rsidRPr="00930562">
        <w:rPr>
          <w:rFonts w:asciiTheme="majorHAnsi" w:hAnsiTheme="majorHAnsi" w:cstheme="minorHAnsi"/>
          <w:lang w:val="es-US"/>
        </w:rPr>
        <w:t xml:space="preserve">La Comisión Interamericana de Derechos Humanos (en adelante la “Comisión”, “la Comisión Interamericana” o “la CIDH”) </w:t>
      </w:r>
      <w:r w:rsidR="00FA6D7B" w:rsidRPr="00930562">
        <w:rPr>
          <w:rFonts w:asciiTheme="majorHAnsi" w:hAnsiTheme="majorHAnsi" w:cstheme="minorHAnsi"/>
          <w:lang w:val="es-US"/>
        </w:rPr>
        <w:t xml:space="preserve">ha señalado </w:t>
      </w:r>
      <w:r w:rsidR="00E068D4" w:rsidRPr="00930562">
        <w:rPr>
          <w:rFonts w:asciiTheme="majorHAnsi" w:hAnsiTheme="majorHAnsi" w:cstheme="minorHAnsi"/>
          <w:lang w:val="es-US"/>
        </w:rPr>
        <w:t>anteriormente</w:t>
      </w:r>
      <w:r w:rsidR="00FA6D7B" w:rsidRPr="00930562">
        <w:rPr>
          <w:rFonts w:asciiTheme="majorHAnsi" w:hAnsiTheme="majorHAnsi" w:cstheme="minorHAnsi"/>
          <w:lang w:val="es-US"/>
        </w:rPr>
        <w:t xml:space="preserve"> que </w:t>
      </w:r>
      <w:r w:rsidR="00E068D4" w:rsidRPr="00930562">
        <w:rPr>
          <w:rFonts w:asciiTheme="majorHAnsi" w:hAnsiTheme="majorHAnsi" w:cstheme="minorHAnsi"/>
          <w:lang w:val="es-US"/>
        </w:rPr>
        <w:t>el sesgo racial constituye la espina dorsal de muchos de los problemas de abuso policial</w:t>
      </w:r>
      <w:r w:rsidR="00D97467" w:rsidRPr="00930562">
        <w:rPr>
          <w:rFonts w:asciiTheme="majorHAnsi" w:hAnsiTheme="majorHAnsi" w:cstheme="minorHAnsi"/>
          <w:lang w:val="es-US"/>
        </w:rPr>
        <w:t>, sobrerrepresentación de afroamericanos en detenciones y en el sistema penitenciario, acceso desigual a la justicia, así</w:t>
      </w:r>
      <w:r w:rsidR="006F4145" w:rsidRPr="00930562">
        <w:rPr>
          <w:rFonts w:asciiTheme="majorHAnsi" w:hAnsiTheme="majorHAnsi" w:cstheme="minorHAnsi"/>
          <w:lang w:val="es-US"/>
        </w:rPr>
        <w:t xml:space="preserve"> como</w:t>
      </w:r>
      <w:r w:rsidR="00D97467" w:rsidRPr="00930562">
        <w:rPr>
          <w:rFonts w:asciiTheme="majorHAnsi" w:hAnsiTheme="majorHAnsi" w:cstheme="minorHAnsi"/>
          <w:lang w:val="es-US"/>
        </w:rPr>
        <w:t xml:space="preserve"> también problemas más amplios de pobreza por motivos raciales y acceso desigual a los derechos económicos, sociales, culturales y </w:t>
      </w:r>
      <w:r w:rsidR="002836F8" w:rsidRPr="00930562">
        <w:rPr>
          <w:rFonts w:asciiTheme="majorHAnsi" w:hAnsiTheme="majorHAnsi" w:cstheme="minorHAnsi"/>
          <w:lang w:val="es-US"/>
        </w:rPr>
        <w:t>ambientales</w:t>
      </w:r>
      <w:r w:rsidR="00D97467" w:rsidRPr="00930562">
        <w:rPr>
          <w:rFonts w:asciiTheme="majorHAnsi" w:hAnsiTheme="majorHAnsi" w:cstheme="minorHAnsi"/>
          <w:lang w:val="es-US"/>
        </w:rPr>
        <w:t xml:space="preserve"> en los Estados Unidos. </w:t>
      </w:r>
      <w:r w:rsidR="000C072D" w:rsidRPr="00930562">
        <w:rPr>
          <w:rFonts w:asciiTheme="majorHAnsi" w:hAnsiTheme="majorHAnsi" w:cstheme="minorHAnsi"/>
          <w:lang w:val="es-US"/>
        </w:rPr>
        <w:t xml:space="preserve">Desde la muerte por un tiro de bala de Trayvon Martin en el año 2012, han </w:t>
      </w:r>
      <w:r w:rsidR="006024A5" w:rsidRPr="00930562">
        <w:rPr>
          <w:rFonts w:asciiTheme="majorHAnsi" w:hAnsiTheme="majorHAnsi" w:cstheme="minorHAnsi"/>
          <w:lang w:val="es-US"/>
        </w:rPr>
        <w:t>tenido lugar</w:t>
      </w:r>
      <w:r w:rsidR="000C072D" w:rsidRPr="00930562">
        <w:rPr>
          <w:rFonts w:asciiTheme="majorHAnsi" w:hAnsiTheme="majorHAnsi" w:cstheme="minorHAnsi"/>
          <w:lang w:val="es-US"/>
        </w:rPr>
        <w:t xml:space="preserve"> una serie de muertes de afroamericanos </w:t>
      </w:r>
      <w:r w:rsidR="006F4145" w:rsidRPr="00930562">
        <w:rPr>
          <w:rFonts w:asciiTheme="majorHAnsi" w:hAnsiTheme="majorHAnsi" w:cstheme="minorHAnsi"/>
          <w:lang w:val="es-US"/>
        </w:rPr>
        <w:t>a</w:t>
      </w:r>
      <w:r w:rsidR="000C072D" w:rsidRPr="00930562">
        <w:rPr>
          <w:rFonts w:asciiTheme="majorHAnsi" w:hAnsiTheme="majorHAnsi" w:cstheme="minorHAnsi"/>
          <w:lang w:val="es-US"/>
        </w:rPr>
        <w:t xml:space="preserve"> manos de la policía o bajo custodia polic</w:t>
      </w:r>
      <w:r w:rsidR="00832722" w:rsidRPr="00930562">
        <w:rPr>
          <w:rFonts w:asciiTheme="majorHAnsi" w:hAnsiTheme="majorHAnsi" w:cstheme="minorHAnsi"/>
          <w:lang w:val="es-US"/>
        </w:rPr>
        <w:t>i</w:t>
      </w:r>
      <w:r w:rsidR="000C072D" w:rsidRPr="00930562">
        <w:rPr>
          <w:rFonts w:asciiTheme="majorHAnsi" w:hAnsiTheme="majorHAnsi" w:cstheme="minorHAnsi"/>
          <w:lang w:val="es-US"/>
        </w:rPr>
        <w:t>a</w:t>
      </w:r>
      <w:r w:rsidR="00832722" w:rsidRPr="00930562">
        <w:rPr>
          <w:rFonts w:asciiTheme="majorHAnsi" w:hAnsiTheme="majorHAnsi" w:cstheme="minorHAnsi"/>
          <w:lang w:val="es-US"/>
        </w:rPr>
        <w:t>l</w:t>
      </w:r>
      <w:r w:rsidR="000C072D" w:rsidRPr="00930562">
        <w:rPr>
          <w:rFonts w:asciiTheme="majorHAnsi" w:hAnsiTheme="majorHAnsi" w:cstheme="minorHAnsi"/>
          <w:lang w:val="es-US"/>
        </w:rPr>
        <w:t xml:space="preserve"> </w:t>
      </w:r>
      <w:r w:rsidR="006024A5" w:rsidRPr="00930562">
        <w:rPr>
          <w:rFonts w:asciiTheme="majorHAnsi" w:hAnsiTheme="majorHAnsi" w:cstheme="minorHAnsi"/>
          <w:lang w:val="es-US"/>
        </w:rPr>
        <w:t xml:space="preserve">de gran impacto </w:t>
      </w:r>
      <w:r w:rsidR="00661F38" w:rsidRPr="00930562">
        <w:rPr>
          <w:rFonts w:asciiTheme="majorHAnsi" w:hAnsiTheme="majorHAnsi" w:cstheme="minorHAnsi"/>
          <w:lang w:val="es-US"/>
        </w:rPr>
        <w:t>-i</w:t>
      </w:r>
      <w:r w:rsidR="000C072D" w:rsidRPr="00930562">
        <w:rPr>
          <w:rFonts w:asciiTheme="majorHAnsi" w:hAnsiTheme="majorHAnsi" w:cstheme="minorHAnsi"/>
          <w:lang w:val="es-US"/>
        </w:rPr>
        <w:t xml:space="preserve">ncluyendo </w:t>
      </w:r>
      <w:r w:rsidR="006F4145" w:rsidRPr="00930562">
        <w:rPr>
          <w:rFonts w:asciiTheme="majorHAnsi" w:hAnsiTheme="majorHAnsi" w:cstheme="minorHAnsi"/>
          <w:lang w:val="es-US"/>
        </w:rPr>
        <w:t>las de</w:t>
      </w:r>
      <w:r w:rsidR="00832722" w:rsidRPr="00930562">
        <w:rPr>
          <w:rFonts w:asciiTheme="majorHAnsi" w:hAnsiTheme="majorHAnsi" w:cstheme="minorHAnsi"/>
          <w:lang w:val="es-US"/>
        </w:rPr>
        <w:t xml:space="preserve"> </w:t>
      </w:r>
      <w:r w:rsidR="00661F38" w:rsidRPr="00930562">
        <w:rPr>
          <w:rFonts w:asciiTheme="majorHAnsi" w:hAnsiTheme="majorHAnsi" w:cstheme="minorHAnsi"/>
          <w:lang w:val="es-US"/>
        </w:rPr>
        <w:t>Michael Brown, Eric Garner, Tamir Rice, Alton Sterling, Philando Castile y Terence Crutcher, entre muchos otros-</w:t>
      </w:r>
      <w:r w:rsidR="00A34DD2" w:rsidRPr="00930562">
        <w:rPr>
          <w:rFonts w:asciiTheme="majorHAnsi" w:hAnsiTheme="majorHAnsi" w:cstheme="minorHAnsi"/>
          <w:lang w:val="es-US"/>
        </w:rPr>
        <w:t xml:space="preserve"> </w:t>
      </w:r>
      <w:r w:rsidR="006024A5" w:rsidRPr="00930562">
        <w:rPr>
          <w:rFonts w:asciiTheme="majorHAnsi" w:hAnsiTheme="majorHAnsi" w:cstheme="minorHAnsi"/>
          <w:lang w:val="es-US"/>
        </w:rPr>
        <w:t xml:space="preserve">al igual modo que la </w:t>
      </w:r>
      <w:r w:rsidR="00A34DD2" w:rsidRPr="00930562">
        <w:rPr>
          <w:rFonts w:asciiTheme="majorHAnsi" w:hAnsiTheme="majorHAnsi" w:cstheme="minorHAnsi"/>
          <w:lang w:val="es-US"/>
        </w:rPr>
        <w:t xml:space="preserve">presión pública de grupos de la sociedad civil </w:t>
      </w:r>
      <w:r w:rsidR="002120EC" w:rsidRPr="00930562">
        <w:rPr>
          <w:rFonts w:asciiTheme="majorHAnsi" w:hAnsiTheme="majorHAnsi" w:cstheme="minorHAnsi"/>
          <w:lang w:val="es-US"/>
        </w:rPr>
        <w:t xml:space="preserve">y movimientos </w:t>
      </w:r>
      <w:r w:rsidR="00A34DD2" w:rsidRPr="00930562">
        <w:rPr>
          <w:rFonts w:asciiTheme="majorHAnsi" w:hAnsiTheme="majorHAnsi" w:cstheme="minorHAnsi"/>
          <w:lang w:val="es-US"/>
        </w:rPr>
        <w:t xml:space="preserve">como </w:t>
      </w:r>
      <w:r w:rsidR="006024A5" w:rsidRPr="00930562">
        <w:rPr>
          <w:rFonts w:asciiTheme="majorHAnsi" w:hAnsiTheme="majorHAnsi" w:cstheme="minorHAnsi"/>
          <w:lang w:val="es-US"/>
        </w:rPr>
        <w:t>“Black Lives Matter” (</w:t>
      </w:r>
      <w:r w:rsidR="00A34DD2" w:rsidRPr="00930562">
        <w:rPr>
          <w:rFonts w:asciiTheme="majorHAnsi" w:hAnsiTheme="majorHAnsi" w:cstheme="minorHAnsi"/>
          <w:lang w:val="es-US"/>
        </w:rPr>
        <w:t>“Las Vidas Negras Importan”</w:t>
      </w:r>
      <w:r w:rsidR="006024A5" w:rsidRPr="00930562">
        <w:rPr>
          <w:rFonts w:asciiTheme="majorHAnsi" w:hAnsiTheme="majorHAnsi" w:cstheme="minorHAnsi"/>
          <w:lang w:val="es-US"/>
        </w:rPr>
        <w:t>)</w:t>
      </w:r>
      <w:r w:rsidR="00832722" w:rsidRPr="00930562">
        <w:rPr>
          <w:rFonts w:asciiTheme="majorHAnsi" w:hAnsiTheme="majorHAnsi" w:cstheme="minorHAnsi"/>
          <w:lang w:val="es-US"/>
        </w:rPr>
        <w:t xml:space="preserve"> han incrementado el debate público respecto de los problemas raciales en el ámbito policial y en el sistema de justicia penal.  </w:t>
      </w:r>
      <w:r w:rsidR="00F83F59" w:rsidRPr="00930562">
        <w:rPr>
          <w:rFonts w:asciiTheme="majorHAnsi" w:hAnsiTheme="majorHAnsi" w:cstheme="minorHAnsi"/>
          <w:lang w:val="es-US"/>
        </w:rPr>
        <w:t xml:space="preserve">En vista de la amplia información recibida en los últimos años sobre esta problemática, la Comisión se comprometió a escribir este informe analizando la situación. </w:t>
      </w:r>
    </w:p>
    <w:p w14:paraId="2384DA3B" w14:textId="3AB0EC45" w:rsidR="00881C15" w:rsidRPr="00930562" w:rsidRDefault="008A5D51" w:rsidP="00724857">
      <w:pPr>
        <w:pStyle w:val="ListParagraph"/>
        <w:numPr>
          <w:ilvl w:val="0"/>
          <w:numId w:val="2"/>
        </w:numPr>
        <w:spacing w:after="240" w:line="240" w:lineRule="auto"/>
        <w:ind w:left="547" w:hanging="547"/>
        <w:contextualSpacing w:val="0"/>
        <w:jc w:val="both"/>
        <w:rPr>
          <w:rFonts w:asciiTheme="majorHAnsi" w:hAnsiTheme="majorHAnsi" w:cstheme="minorHAnsi"/>
          <w:lang w:val="es-US"/>
        </w:rPr>
      </w:pPr>
      <w:r w:rsidRPr="00930562">
        <w:rPr>
          <w:rFonts w:asciiTheme="majorHAnsi" w:hAnsiTheme="majorHAnsi" w:cstheme="minorHAnsi"/>
          <w:lang w:val="es-US"/>
        </w:rPr>
        <w:t xml:space="preserve">Si bien los problemas de racismo por parte de la policía y la justicia penal son ampliamente abordados como cuestiones urgentes sobre derechos civiles a nivel nacional, la Comisión </w:t>
      </w:r>
      <w:r w:rsidR="006024A5" w:rsidRPr="00930562">
        <w:rPr>
          <w:rFonts w:asciiTheme="majorHAnsi" w:hAnsiTheme="majorHAnsi" w:cstheme="minorHAnsi"/>
          <w:lang w:val="es-US"/>
        </w:rPr>
        <w:t>subraya</w:t>
      </w:r>
      <w:r w:rsidRPr="00930562">
        <w:rPr>
          <w:rFonts w:asciiTheme="majorHAnsi" w:hAnsiTheme="majorHAnsi" w:cstheme="minorHAnsi"/>
          <w:lang w:val="es-US"/>
        </w:rPr>
        <w:t xml:space="preserve"> que </w:t>
      </w:r>
      <w:r w:rsidR="006024A5" w:rsidRPr="00930562">
        <w:rPr>
          <w:rFonts w:asciiTheme="majorHAnsi" w:hAnsiTheme="majorHAnsi" w:cstheme="minorHAnsi"/>
          <w:lang w:val="es-US"/>
        </w:rPr>
        <w:t xml:space="preserve">éstos </w:t>
      </w:r>
      <w:r w:rsidRPr="00930562">
        <w:rPr>
          <w:rFonts w:asciiTheme="majorHAnsi" w:hAnsiTheme="majorHAnsi" w:cstheme="minorHAnsi"/>
          <w:lang w:val="es-US"/>
        </w:rPr>
        <w:t xml:space="preserve">también plantean preocupaciones con respecto a las obligaciones internacionales en materia de derechos humanos de los Estados Unidos. </w:t>
      </w:r>
      <w:r w:rsidR="00A90D47" w:rsidRPr="00930562">
        <w:rPr>
          <w:rFonts w:asciiTheme="majorHAnsi" w:hAnsiTheme="majorHAnsi" w:cstheme="minorHAnsi"/>
          <w:lang w:val="es-US"/>
        </w:rPr>
        <w:t>Atendiendo a</w:t>
      </w:r>
      <w:r w:rsidRPr="00930562">
        <w:rPr>
          <w:rFonts w:asciiTheme="majorHAnsi" w:hAnsiTheme="majorHAnsi" w:cstheme="minorHAnsi"/>
          <w:lang w:val="es-US"/>
        </w:rPr>
        <w:t xml:space="preserve"> su mandato de monitoreo y promoción de los derechos humanos en los </w:t>
      </w:r>
      <w:r w:rsidR="00A90D47" w:rsidRPr="00930562">
        <w:rPr>
          <w:rFonts w:asciiTheme="majorHAnsi" w:hAnsiTheme="majorHAnsi" w:cstheme="minorHAnsi"/>
          <w:lang w:val="es-US"/>
        </w:rPr>
        <w:t>E</w:t>
      </w:r>
      <w:r w:rsidRPr="00930562">
        <w:rPr>
          <w:rFonts w:asciiTheme="majorHAnsi" w:hAnsiTheme="majorHAnsi" w:cstheme="minorHAnsi"/>
          <w:lang w:val="es-US"/>
        </w:rPr>
        <w:t>stados miembro</w:t>
      </w:r>
      <w:r w:rsidR="006024A5" w:rsidRPr="00930562">
        <w:rPr>
          <w:rFonts w:asciiTheme="majorHAnsi" w:hAnsiTheme="majorHAnsi" w:cstheme="minorHAnsi"/>
          <w:lang w:val="es-US"/>
        </w:rPr>
        <w:t>s</w:t>
      </w:r>
      <w:r w:rsidRPr="00930562">
        <w:rPr>
          <w:rFonts w:asciiTheme="majorHAnsi" w:hAnsiTheme="majorHAnsi" w:cstheme="minorHAnsi"/>
          <w:lang w:val="es-US"/>
        </w:rPr>
        <w:t xml:space="preserve"> de la Organización de los </w:t>
      </w:r>
      <w:r w:rsidR="00A90D47" w:rsidRPr="00930562">
        <w:rPr>
          <w:rFonts w:asciiTheme="majorHAnsi" w:hAnsiTheme="majorHAnsi" w:cstheme="minorHAnsi"/>
          <w:lang w:val="es-US"/>
        </w:rPr>
        <w:t>E</w:t>
      </w:r>
      <w:r w:rsidRPr="00930562">
        <w:rPr>
          <w:rFonts w:asciiTheme="majorHAnsi" w:hAnsiTheme="majorHAnsi" w:cstheme="minorHAnsi"/>
          <w:lang w:val="es-US"/>
        </w:rPr>
        <w:t xml:space="preserve">stados Americanos (OEA), la </w:t>
      </w:r>
      <w:r w:rsidR="00A90D47" w:rsidRPr="00930562">
        <w:rPr>
          <w:rFonts w:asciiTheme="majorHAnsi" w:hAnsiTheme="majorHAnsi" w:cstheme="minorHAnsi"/>
          <w:lang w:val="es-US"/>
        </w:rPr>
        <w:t>C</w:t>
      </w:r>
      <w:r w:rsidRPr="00930562">
        <w:rPr>
          <w:rFonts w:asciiTheme="majorHAnsi" w:hAnsiTheme="majorHAnsi" w:cstheme="minorHAnsi"/>
          <w:lang w:val="es-US"/>
        </w:rPr>
        <w:t xml:space="preserve">omisión ha elaborado este informe sobre la base de información </w:t>
      </w:r>
      <w:r w:rsidR="00A90D47" w:rsidRPr="00930562">
        <w:rPr>
          <w:rFonts w:asciiTheme="majorHAnsi" w:hAnsiTheme="majorHAnsi" w:cstheme="minorHAnsi"/>
          <w:lang w:val="es-US"/>
        </w:rPr>
        <w:t>facilitada por el E</w:t>
      </w:r>
      <w:r w:rsidRPr="00930562">
        <w:rPr>
          <w:rFonts w:asciiTheme="majorHAnsi" w:hAnsiTheme="majorHAnsi" w:cstheme="minorHAnsi"/>
          <w:lang w:val="es-US"/>
        </w:rPr>
        <w:t>stado, las organizaciones de</w:t>
      </w:r>
      <w:r w:rsidR="00A90D47" w:rsidRPr="00930562">
        <w:rPr>
          <w:rFonts w:asciiTheme="majorHAnsi" w:hAnsiTheme="majorHAnsi" w:cstheme="minorHAnsi"/>
          <w:lang w:val="es-US"/>
        </w:rPr>
        <w:t xml:space="preserve"> </w:t>
      </w:r>
      <w:r w:rsidRPr="00930562">
        <w:rPr>
          <w:rFonts w:asciiTheme="majorHAnsi" w:hAnsiTheme="majorHAnsi" w:cstheme="minorHAnsi"/>
          <w:lang w:val="es-US"/>
        </w:rPr>
        <w:t xml:space="preserve">la </w:t>
      </w:r>
      <w:r w:rsidR="00A90D47" w:rsidRPr="00930562">
        <w:rPr>
          <w:rFonts w:asciiTheme="majorHAnsi" w:hAnsiTheme="majorHAnsi" w:cstheme="minorHAnsi"/>
          <w:lang w:val="es-US"/>
        </w:rPr>
        <w:t>s</w:t>
      </w:r>
      <w:r w:rsidRPr="00930562">
        <w:rPr>
          <w:rFonts w:asciiTheme="majorHAnsi" w:hAnsiTheme="majorHAnsi" w:cstheme="minorHAnsi"/>
          <w:lang w:val="es-US"/>
        </w:rPr>
        <w:t>oc</w:t>
      </w:r>
      <w:r w:rsidR="00A90D47" w:rsidRPr="00930562">
        <w:rPr>
          <w:rFonts w:asciiTheme="majorHAnsi" w:hAnsiTheme="majorHAnsi" w:cstheme="minorHAnsi"/>
          <w:lang w:val="es-US"/>
        </w:rPr>
        <w:t>i</w:t>
      </w:r>
      <w:r w:rsidRPr="00930562">
        <w:rPr>
          <w:rFonts w:asciiTheme="majorHAnsi" w:hAnsiTheme="majorHAnsi" w:cstheme="minorHAnsi"/>
          <w:lang w:val="es-US"/>
        </w:rPr>
        <w:t xml:space="preserve">edad civil y </w:t>
      </w:r>
      <w:r w:rsidR="00A90D47" w:rsidRPr="00930562">
        <w:rPr>
          <w:rFonts w:asciiTheme="majorHAnsi" w:hAnsiTheme="majorHAnsi" w:cstheme="minorHAnsi"/>
          <w:lang w:val="es-US"/>
        </w:rPr>
        <w:t>las víctimas</w:t>
      </w:r>
      <w:r w:rsidRPr="00930562">
        <w:rPr>
          <w:rFonts w:asciiTheme="majorHAnsi" w:hAnsiTheme="majorHAnsi" w:cstheme="minorHAnsi"/>
          <w:lang w:val="es-US"/>
        </w:rPr>
        <w:t xml:space="preserve"> de violencia policial en diversas audiencias públicas celebradas desde el año 2014 sobre </w:t>
      </w:r>
      <w:r w:rsidR="00A90D47" w:rsidRPr="00930562">
        <w:rPr>
          <w:rFonts w:asciiTheme="majorHAnsi" w:hAnsiTheme="majorHAnsi" w:cstheme="minorHAnsi"/>
          <w:lang w:val="es-US"/>
        </w:rPr>
        <w:t>asuntos</w:t>
      </w:r>
      <w:r w:rsidRPr="00930562">
        <w:rPr>
          <w:rFonts w:asciiTheme="majorHAnsi" w:hAnsiTheme="majorHAnsi" w:cstheme="minorHAnsi"/>
          <w:lang w:val="es-US"/>
        </w:rPr>
        <w:t xml:space="preserve"> relacionados con racismo en el ámbito policial y </w:t>
      </w:r>
      <w:r w:rsidR="00A90D47" w:rsidRPr="00930562">
        <w:rPr>
          <w:rFonts w:asciiTheme="majorHAnsi" w:hAnsiTheme="majorHAnsi" w:cstheme="minorHAnsi"/>
          <w:lang w:val="es-US"/>
        </w:rPr>
        <w:t>justicia</w:t>
      </w:r>
      <w:r w:rsidRPr="00930562">
        <w:rPr>
          <w:rFonts w:asciiTheme="majorHAnsi" w:hAnsiTheme="majorHAnsi" w:cstheme="minorHAnsi"/>
          <w:lang w:val="es-US"/>
        </w:rPr>
        <w:t xml:space="preserve"> penal en los </w:t>
      </w:r>
      <w:r w:rsidR="00A90D47" w:rsidRPr="00930562">
        <w:rPr>
          <w:rFonts w:asciiTheme="majorHAnsi" w:hAnsiTheme="majorHAnsi" w:cstheme="minorHAnsi"/>
          <w:lang w:val="es-US"/>
        </w:rPr>
        <w:t>Estados</w:t>
      </w:r>
      <w:r w:rsidRPr="00930562">
        <w:rPr>
          <w:rFonts w:asciiTheme="majorHAnsi" w:hAnsiTheme="majorHAnsi" w:cstheme="minorHAnsi"/>
          <w:lang w:val="es-US"/>
        </w:rPr>
        <w:t xml:space="preserve"> Unidos; </w:t>
      </w:r>
      <w:r w:rsidR="00A90D47" w:rsidRPr="00930562">
        <w:rPr>
          <w:rFonts w:asciiTheme="majorHAnsi" w:hAnsiTheme="majorHAnsi" w:cstheme="minorHAnsi"/>
          <w:lang w:val="es-US"/>
        </w:rPr>
        <w:t xml:space="preserve">durante una visita a los estados de Florida, Luisiana y Misuri en el año 2015; a través de la publicación de comunicados de prensa; así como también información recabada por medio de su sistema de peticiones y casos, y otras fuentes públicas de información, incluyendo </w:t>
      </w:r>
      <w:r w:rsidR="00A90D47" w:rsidRPr="00930562">
        <w:rPr>
          <w:rFonts w:asciiTheme="majorHAnsi" w:hAnsiTheme="majorHAnsi" w:cstheme="minorHAnsi"/>
          <w:lang w:val="es-US"/>
        </w:rPr>
        <w:lastRenderedPageBreak/>
        <w:t>agencias de gobierno, informes elaborados por los mecanismos de Naciones Unidas</w:t>
      </w:r>
      <w:r w:rsidR="0078450D" w:rsidRPr="00930562">
        <w:rPr>
          <w:rFonts w:asciiTheme="majorHAnsi" w:hAnsiTheme="majorHAnsi" w:cstheme="minorHAnsi"/>
          <w:lang w:val="es-US"/>
        </w:rPr>
        <w:t>,</w:t>
      </w:r>
      <w:r w:rsidR="00A90D47" w:rsidRPr="00930562">
        <w:rPr>
          <w:rFonts w:asciiTheme="majorHAnsi" w:hAnsiTheme="majorHAnsi" w:cstheme="minorHAnsi"/>
          <w:lang w:val="es-US"/>
        </w:rPr>
        <w:t xml:space="preserve"> y cuestiones planteadas por la sociedad civil y la prensa. </w:t>
      </w:r>
    </w:p>
    <w:p w14:paraId="3AB4C30E" w14:textId="6CF2D3B6" w:rsidR="005822E5" w:rsidRPr="00930562" w:rsidRDefault="00ED33A5" w:rsidP="00724857">
      <w:pPr>
        <w:pStyle w:val="ListParagraph"/>
        <w:numPr>
          <w:ilvl w:val="0"/>
          <w:numId w:val="2"/>
        </w:numPr>
        <w:spacing w:after="240" w:line="240" w:lineRule="auto"/>
        <w:ind w:left="547" w:hanging="547"/>
        <w:contextualSpacing w:val="0"/>
        <w:jc w:val="both"/>
        <w:rPr>
          <w:rFonts w:asciiTheme="majorHAnsi" w:hAnsiTheme="majorHAnsi" w:cstheme="minorHAnsi"/>
          <w:lang w:val="es-US"/>
        </w:rPr>
      </w:pPr>
      <w:r w:rsidRPr="00930562">
        <w:rPr>
          <w:rFonts w:asciiTheme="majorHAnsi" w:hAnsiTheme="majorHAnsi" w:cstheme="minorHAnsi"/>
          <w:lang w:val="es-US"/>
        </w:rPr>
        <w:t>E</w:t>
      </w:r>
      <w:r w:rsidR="006024A5" w:rsidRPr="00930562">
        <w:rPr>
          <w:rFonts w:asciiTheme="majorHAnsi" w:hAnsiTheme="majorHAnsi" w:cstheme="minorHAnsi"/>
          <w:lang w:val="es-US"/>
        </w:rPr>
        <w:t>ste</w:t>
      </w:r>
      <w:r w:rsidRPr="00930562">
        <w:rPr>
          <w:rFonts w:asciiTheme="majorHAnsi" w:hAnsiTheme="majorHAnsi" w:cstheme="minorHAnsi"/>
          <w:lang w:val="es-US"/>
        </w:rPr>
        <w:t xml:space="preserve"> informe </w:t>
      </w:r>
      <w:r w:rsidR="0075463C" w:rsidRPr="00930562">
        <w:rPr>
          <w:rFonts w:asciiTheme="majorHAnsi" w:hAnsiTheme="majorHAnsi" w:cstheme="minorHAnsi"/>
          <w:lang w:val="es-US"/>
        </w:rPr>
        <w:t xml:space="preserve">evalúa el panorama actual </w:t>
      </w:r>
      <w:r w:rsidR="00017655" w:rsidRPr="00930562">
        <w:rPr>
          <w:rFonts w:asciiTheme="majorHAnsi" w:hAnsiTheme="majorHAnsi" w:cstheme="minorHAnsi"/>
          <w:lang w:val="es-US"/>
        </w:rPr>
        <w:t>respecto a cuestiones</w:t>
      </w:r>
      <w:r w:rsidR="0075463C" w:rsidRPr="00930562">
        <w:rPr>
          <w:rFonts w:asciiTheme="majorHAnsi" w:hAnsiTheme="majorHAnsi" w:cstheme="minorHAnsi"/>
          <w:lang w:val="es-US"/>
        </w:rPr>
        <w:t xml:space="preserve"> de </w:t>
      </w:r>
      <w:r w:rsidR="006024A5" w:rsidRPr="00930562">
        <w:rPr>
          <w:rFonts w:asciiTheme="majorHAnsi" w:hAnsiTheme="majorHAnsi" w:cstheme="minorHAnsi"/>
          <w:lang w:val="es-US"/>
        </w:rPr>
        <w:t>control</w:t>
      </w:r>
      <w:r w:rsidR="0075463C" w:rsidRPr="00930562">
        <w:rPr>
          <w:rFonts w:asciiTheme="majorHAnsi" w:hAnsiTheme="majorHAnsi" w:cstheme="minorHAnsi"/>
          <w:lang w:val="es-US"/>
        </w:rPr>
        <w:t xml:space="preserve"> policial y de justicia penal a la luz de la situación histórica de racismo y discriminación en los Estados Unidos (“EE.UU.” o “Estado”)</w:t>
      </w:r>
      <w:r w:rsidR="00017655" w:rsidRPr="00930562">
        <w:rPr>
          <w:rFonts w:asciiTheme="majorHAnsi" w:hAnsiTheme="majorHAnsi" w:cstheme="minorHAnsi"/>
          <w:lang w:val="es-US"/>
        </w:rPr>
        <w:t xml:space="preserve">, destacando </w:t>
      </w:r>
      <w:r w:rsidR="00DB598B" w:rsidRPr="00930562">
        <w:rPr>
          <w:rFonts w:asciiTheme="majorHAnsi" w:hAnsiTheme="majorHAnsi" w:cstheme="minorHAnsi"/>
          <w:lang w:val="es-US"/>
        </w:rPr>
        <w:t xml:space="preserve">el carácter </w:t>
      </w:r>
      <w:r w:rsidR="00017655" w:rsidRPr="00930562">
        <w:rPr>
          <w:rFonts w:asciiTheme="majorHAnsi" w:hAnsiTheme="majorHAnsi" w:cstheme="minorHAnsi"/>
          <w:lang w:val="es-US"/>
        </w:rPr>
        <w:t>estructural de la discriminación y la correspondiente necesida</w:t>
      </w:r>
      <w:r w:rsidR="00DB598B" w:rsidRPr="00930562">
        <w:rPr>
          <w:rFonts w:asciiTheme="majorHAnsi" w:hAnsiTheme="majorHAnsi" w:cstheme="minorHAnsi"/>
          <w:lang w:val="es-US"/>
        </w:rPr>
        <w:t>d</w:t>
      </w:r>
      <w:r w:rsidR="00017655" w:rsidRPr="00930562">
        <w:rPr>
          <w:rFonts w:asciiTheme="majorHAnsi" w:hAnsiTheme="majorHAnsi" w:cstheme="minorHAnsi"/>
          <w:lang w:val="es-US"/>
        </w:rPr>
        <w:t xml:space="preserve"> de llevar adelante reformas </w:t>
      </w:r>
      <w:r w:rsidR="0078450D" w:rsidRPr="00930562">
        <w:rPr>
          <w:rFonts w:asciiTheme="majorHAnsi" w:hAnsiTheme="majorHAnsi" w:cstheme="minorHAnsi"/>
          <w:lang w:val="es-US"/>
        </w:rPr>
        <w:t>sistemáticas</w:t>
      </w:r>
      <w:r w:rsidR="00017655" w:rsidRPr="00930562">
        <w:rPr>
          <w:rFonts w:asciiTheme="majorHAnsi" w:hAnsiTheme="majorHAnsi" w:cstheme="minorHAnsi"/>
          <w:lang w:val="es-US"/>
        </w:rPr>
        <w:t xml:space="preserve"> </w:t>
      </w:r>
      <w:r w:rsidR="00DB598B" w:rsidRPr="00930562">
        <w:rPr>
          <w:rFonts w:asciiTheme="majorHAnsi" w:hAnsiTheme="majorHAnsi" w:cstheme="minorHAnsi"/>
          <w:lang w:val="es-US"/>
        </w:rPr>
        <w:t xml:space="preserve">con el fin de abordar plenamente abusos del pasado y garantizar la no repetición. </w:t>
      </w:r>
      <w:r w:rsidR="001F3BB9" w:rsidRPr="00930562">
        <w:rPr>
          <w:rFonts w:asciiTheme="majorHAnsi" w:hAnsiTheme="majorHAnsi" w:cstheme="minorHAnsi"/>
          <w:lang w:val="es-US"/>
        </w:rPr>
        <w:t xml:space="preserve">La Comisión considera que el legado histórico de subyugación, esclavización, terror, marginación, segregación y exclusión del goce de los derechos de los ciudadanos estadounidenses, tanto </w:t>
      </w:r>
      <w:r w:rsidR="001F3BB9" w:rsidRPr="00930562">
        <w:rPr>
          <w:rFonts w:asciiTheme="majorHAnsi" w:hAnsiTheme="majorHAnsi" w:cstheme="minorHAnsi"/>
          <w:i/>
          <w:lang w:val="es-US"/>
        </w:rPr>
        <w:t xml:space="preserve">de jure </w:t>
      </w:r>
      <w:r w:rsidR="001F3BB9" w:rsidRPr="00930562">
        <w:rPr>
          <w:rFonts w:asciiTheme="majorHAnsi" w:hAnsiTheme="majorHAnsi" w:cstheme="minorHAnsi"/>
          <w:lang w:val="es-US"/>
        </w:rPr>
        <w:t xml:space="preserve">como </w:t>
      </w:r>
      <w:r w:rsidR="001F3BB9" w:rsidRPr="00930562">
        <w:rPr>
          <w:rFonts w:asciiTheme="majorHAnsi" w:hAnsiTheme="majorHAnsi" w:cstheme="minorHAnsi"/>
          <w:i/>
          <w:lang w:val="es-US"/>
        </w:rPr>
        <w:t>de facto</w:t>
      </w:r>
      <w:r w:rsidR="001F3BB9" w:rsidRPr="00930562">
        <w:rPr>
          <w:rFonts w:asciiTheme="majorHAnsi" w:hAnsiTheme="majorHAnsi" w:cstheme="minorHAnsi"/>
          <w:lang w:val="es-US"/>
        </w:rPr>
        <w:t>, tiene en la actualidad repercusiones continuas que afectan el disfrute pleno de los derechos humanos de los afroamericanos en virtualmente cada esfera de sus vidas.</w:t>
      </w:r>
      <w:r w:rsidR="00E66146" w:rsidRPr="00930562">
        <w:rPr>
          <w:rFonts w:asciiTheme="majorHAnsi" w:hAnsiTheme="majorHAnsi" w:cstheme="minorHAnsi"/>
          <w:lang w:val="es-US"/>
        </w:rPr>
        <w:t xml:space="preserve"> En este sentido, es necesario considerar el legado de racismo y discriminación en los Estados Unidos para transformar de manera efectiva la situación en el futuro.</w:t>
      </w:r>
      <w:r w:rsidR="001F3BB9" w:rsidRPr="00930562">
        <w:rPr>
          <w:rFonts w:asciiTheme="majorHAnsi" w:hAnsiTheme="majorHAnsi" w:cstheme="minorHAnsi"/>
          <w:lang w:val="es-US"/>
        </w:rPr>
        <w:t xml:space="preserve"> </w:t>
      </w:r>
      <w:r w:rsidR="00E66146" w:rsidRPr="00930562">
        <w:rPr>
          <w:rFonts w:asciiTheme="majorHAnsi" w:hAnsiTheme="majorHAnsi" w:cstheme="minorHAnsi"/>
          <w:lang w:val="es-US"/>
        </w:rPr>
        <w:t xml:space="preserve"> </w:t>
      </w:r>
    </w:p>
    <w:p w14:paraId="43ABBDB6" w14:textId="3064F659" w:rsidR="005507AC" w:rsidRPr="00930562" w:rsidRDefault="00881C15" w:rsidP="00724857">
      <w:pPr>
        <w:pStyle w:val="ListParagraph"/>
        <w:numPr>
          <w:ilvl w:val="0"/>
          <w:numId w:val="2"/>
        </w:numPr>
        <w:spacing w:after="240" w:line="240" w:lineRule="auto"/>
        <w:ind w:left="547" w:hanging="547"/>
        <w:contextualSpacing w:val="0"/>
        <w:jc w:val="both"/>
        <w:rPr>
          <w:rFonts w:asciiTheme="majorHAnsi" w:hAnsiTheme="majorHAnsi" w:cstheme="minorHAnsi"/>
          <w:lang w:val="es-US"/>
        </w:rPr>
      </w:pPr>
      <w:r w:rsidRPr="00930562">
        <w:rPr>
          <w:rFonts w:asciiTheme="majorHAnsi" w:hAnsiTheme="majorHAnsi" w:cstheme="minorHAnsi"/>
          <w:lang w:val="es-US"/>
        </w:rPr>
        <w:t>Con esta perspectiva</w:t>
      </w:r>
      <w:r w:rsidR="00F10831" w:rsidRPr="00930562">
        <w:rPr>
          <w:rFonts w:asciiTheme="majorHAnsi" w:hAnsiTheme="majorHAnsi" w:cstheme="minorHAnsi"/>
          <w:lang w:val="es-US"/>
        </w:rPr>
        <w:t xml:space="preserve">, </w:t>
      </w:r>
      <w:r w:rsidRPr="00930562">
        <w:rPr>
          <w:rFonts w:asciiTheme="majorHAnsi" w:hAnsiTheme="majorHAnsi" w:cstheme="minorHAnsi"/>
          <w:lang w:val="es-US"/>
        </w:rPr>
        <w:t xml:space="preserve">la Comisión evalúa información recibida respecto a casos de excesos de control policial y </w:t>
      </w:r>
      <w:r w:rsidR="00FA2110" w:rsidRPr="00930562">
        <w:rPr>
          <w:rFonts w:asciiTheme="majorHAnsi" w:hAnsiTheme="majorHAnsi" w:cstheme="minorHAnsi"/>
          <w:lang w:val="es-US"/>
        </w:rPr>
        <w:t xml:space="preserve">la práctica de </w:t>
      </w:r>
      <w:r w:rsidRPr="00930562">
        <w:rPr>
          <w:rFonts w:asciiTheme="majorHAnsi" w:hAnsiTheme="majorHAnsi" w:cstheme="minorHAnsi"/>
          <w:lang w:val="es-US"/>
        </w:rPr>
        <w:t>perfiles raciales</w:t>
      </w:r>
      <w:r w:rsidR="00FA2110" w:rsidRPr="00930562">
        <w:rPr>
          <w:rFonts w:asciiTheme="majorHAnsi" w:hAnsiTheme="majorHAnsi" w:cstheme="minorHAnsi"/>
          <w:lang w:val="es-US"/>
        </w:rPr>
        <w:t>; la militarización de las fuerzas policiales;</w:t>
      </w:r>
      <w:r w:rsidR="005822E5" w:rsidRPr="00930562">
        <w:rPr>
          <w:rFonts w:asciiTheme="majorHAnsi" w:hAnsiTheme="majorHAnsi" w:cstheme="minorHAnsi"/>
          <w:lang w:val="es-US"/>
        </w:rPr>
        <w:t xml:space="preserve"> uso excesivo de la fuerza por parte de la policía; impunidad en los casos de homicidios policiales; respuestas de la policía a las protestas;</w:t>
      </w:r>
      <w:r w:rsidR="00FA2110" w:rsidRPr="00930562">
        <w:rPr>
          <w:rFonts w:asciiTheme="majorHAnsi" w:hAnsiTheme="majorHAnsi" w:cstheme="minorHAnsi"/>
          <w:lang w:val="es-US"/>
        </w:rPr>
        <w:t xml:space="preserve"> disparidades raciales en arrestos penales, condenas y sentencias; y las consecuencias de por vida del encarcelamiento</w:t>
      </w:r>
      <w:r w:rsidR="00012DB4" w:rsidRPr="00930562">
        <w:rPr>
          <w:rFonts w:asciiTheme="majorHAnsi" w:hAnsiTheme="majorHAnsi" w:cstheme="minorHAnsi"/>
          <w:lang w:val="es-US"/>
        </w:rPr>
        <w:t xml:space="preserve"> previo</w:t>
      </w:r>
      <w:r w:rsidR="00FA2110" w:rsidRPr="00930562">
        <w:rPr>
          <w:rFonts w:asciiTheme="majorHAnsi" w:hAnsiTheme="majorHAnsi" w:cstheme="minorHAnsi"/>
          <w:lang w:val="es-US"/>
        </w:rPr>
        <w:t xml:space="preserve"> y condenas por delito</w:t>
      </w:r>
      <w:r w:rsidR="00012DB4" w:rsidRPr="00930562">
        <w:rPr>
          <w:rFonts w:asciiTheme="majorHAnsi" w:hAnsiTheme="majorHAnsi" w:cstheme="minorHAnsi"/>
          <w:lang w:val="es-US"/>
        </w:rPr>
        <w:t>s graves</w:t>
      </w:r>
      <w:r w:rsidR="00FA2110" w:rsidRPr="00930562">
        <w:rPr>
          <w:rFonts w:asciiTheme="majorHAnsi" w:hAnsiTheme="majorHAnsi" w:cstheme="minorHAnsi"/>
          <w:lang w:val="es-US"/>
        </w:rPr>
        <w:t xml:space="preserve">. </w:t>
      </w:r>
      <w:r w:rsidR="00DD265D" w:rsidRPr="00930562">
        <w:rPr>
          <w:rFonts w:asciiTheme="majorHAnsi" w:hAnsiTheme="majorHAnsi" w:cstheme="minorHAnsi"/>
          <w:lang w:val="es-US"/>
        </w:rPr>
        <w:t xml:space="preserve">La Comisión considera además que las cuestiones de discriminación en la actuación policial y la justicia penal en los Estados Unidos son inseparables del estigma social y el discurso del odio; la violencia por parte de ciudadanos privados; la </w:t>
      </w:r>
      <w:r w:rsidR="005822E5" w:rsidRPr="00930562">
        <w:rPr>
          <w:rFonts w:asciiTheme="majorHAnsi" w:hAnsiTheme="majorHAnsi" w:cstheme="minorHAnsi"/>
          <w:lang w:val="es-US"/>
        </w:rPr>
        <w:t xml:space="preserve">continua </w:t>
      </w:r>
      <w:r w:rsidR="00DD265D" w:rsidRPr="00930562">
        <w:rPr>
          <w:rFonts w:asciiTheme="majorHAnsi" w:hAnsiTheme="majorHAnsi" w:cstheme="minorHAnsi"/>
          <w:lang w:val="es-US"/>
        </w:rPr>
        <w:t>situación de pobreza</w:t>
      </w:r>
      <w:r w:rsidR="005822E5" w:rsidRPr="00930562">
        <w:rPr>
          <w:rFonts w:asciiTheme="majorHAnsi" w:hAnsiTheme="majorHAnsi" w:cstheme="minorHAnsi"/>
          <w:lang w:val="es-US"/>
        </w:rPr>
        <w:t xml:space="preserve"> racializada</w:t>
      </w:r>
      <w:r w:rsidR="00DD265D" w:rsidRPr="00930562">
        <w:rPr>
          <w:rFonts w:asciiTheme="majorHAnsi" w:hAnsiTheme="majorHAnsi" w:cstheme="minorHAnsi"/>
          <w:lang w:val="es-US"/>
        </w:rPr>
        <w:t>;</w:t>
      </w:r>
      <w:r w:rsidR="002F24FA" w:rsidRPr="00930562">
        <w:rPr>
          <w:rFonts w:asciiTheme="majorHAnsi" w:hAnsiTheme="majorHAnsi" w:cstheme="minorHAnsi"/>
          <w:lang w:val="es-US"/>
        </w:rPr>
        <w:t xml:space="preserve"> y la discriminación </w:t>
      </w:r>
      <w:r w:rsidR="005822E5" w:rsidRPr="00930562">
        <w:rPr>
          <w:rFonts w:asciiTheme="majorHAnsi" w:hAnsiTheme="majorHAnsi" w:cstheme="minorHAnsi"/>
          <w:lang w:val="es-US"/>
        </w:rPr>
        <w:t>interseccional</w:t>
      </w:r>
      <w:r w:rsidR="002F24FA" w:rsidRPr="00930562">
        <w:rPr>
          <w:rFonts w:asciiTheme="majorHAnsi" w:hAnsiTheme="majorHAnsi" w:cstheme="minorHAnsi"/>
          <w:lang w:val="es-US"/>
        </w:rPr>
        <w:t xml:space="preserve">; y todos ellos se rigen asimismo </w:t>
      </w:r>
      <w:r w:rsidR="005822E5" w:rsidRPr="00930562">
        <w:rPr>
          <w:rFonts w:asciiTheme="majorHAnsi" w:hAnsiTheme="majorHAnsi" w:cstheme="minorHAnsi"/>
          <w:lang w:val="es-US"/>
        </w:rPr>
        <w:t xml:space="preserve">por </w:t>
      </w:r>
      <w:r w:rsidR="002F24FA" w:rsidRPr="00930562">
        <w:rPr>
          <w:rFonts w:asciiTheme="majorHAnsi" w:hAnsiTheme="majorHAnsi" w:cstheme="minorHAnsi"/>
          <w:lang w:val="es-US"/>
        </w:rPr>
        <w:t>una situación estructural discriminación</w:t>
      </w:r>
      <w:r w:rsidR="005822E5" w:rsidRPr="00930562">
        <w:rPr>
          <w:rFonts w:asciiTheme="majorHAnsi" w:hAnsiTheme="majorHAnsi" w:cstheme="minorHAnsi"/>
          <w:lang w:val="es-US"/>
        </w:rPr>
        <w:t xml:space="preserve"> y racismo</w:t>
      </w:r>
      <w:r w:rsidR="002F24FA" w:rsidRPr="00930562">
        <w:rPr>
          <w:rFonts w:asciiTheme="majorHAnsi" w:hAnsiTheme="majorHAnsi" w:cstheme="minorHAnsi"/>
          <w:lang w:val="es-US"/>
        </w:rPr>
        <w:t>.  Todos estos problemas son examinados en este informe desde una perspectiva de derechos humanos</w:t>
      </w:r>
      <w:r w:rsidR="005822E5" w:rsidRPr="00930562">
        <w:rPr>
          <w:rFonts w:asciiTheme="majorHAnsi" w:hAnsiTheme="majorHAnsi" w:cstheme="minorHAnsi"/>
          <w:lang w:val="es-US"/>
        </w:rPr>
        <w:t>, considerando</w:t>
      </w:r>
      <w:r w:rsidR="002F24FA" w:rsidRPr="00930562">
        <w:rPr>
          <w:rFonts w:asciiTheme="majorHAnsi" w:hAnsiTheme="majorHAnsi" w:cstheme="minorHAnsi"/>
          <w:lang w:val="es-US"/>
        </w:rPr>
        <w:t xml:space="preserve"> las obligaciones de los Estados Unidos en el ámbito del derecho internacional. </w:t>
      </w:r>
    </w:p>
    <w:p w14:paraId="2E99CFDA" w14:textId="49CA490D" w:rsidR="00AF2ECD" w:rsidRPr="00930562" w:rsidRDefault="0075656B" w:rsidP="00724857">
      <w:pPr>
        <w:pStyle w:val="ListParagraph"/>
        <w:numPr>
          <w:ilvl w:val="0"/>
          <w:numId w:val="2"/>
        </w:numPr>
        <w:spacing w:after="240" w:line="240" w:lineRule="auto"/>
        <w:ind w:left="547" w:hanging="547"/>
        <w:contextualSpacing w:val="0"/>
        <w:jc w:val="both"/>
        <w:rPr>
          <w:rFonts w:asciiTheme="majorHAnsi" w:hAnsiTheme="majorHAnsi" w:cstheme="minorHAnsi"/>
          <w:lang w:val="es-US"/>
        </w:rPr>
      </w:pPr>
      <w:r w:rsidRPr="00930562">
        <w:rPr>
          <w:rFonts w:asciiTheme="majorHAnsi" w:hAnsiTheme="majorHAnsi" w:cstheme="minorHAnsi"/>
          <w:lang w:val="es-US"/>
        </w:rPr>
        <w:t xml:space="preserve">La Comisión </w:t>
      </w:r>
      <w:r w:rsidR="00BB6D46" w:rsidRPr="00930562">
        <w:rPr>
          <w:rFonts w:asciiTheme="majorHAnsi" w:hAnsiTheme="majorHAnsi" w:cstheme="minorHAnsi"/>
          <w:lang w:val="es-US"/>
        </w:rPr>
        <w:t>destaca</w:t>
      </w:r>
      <w:r w:rsidRPr="00930562">
        <w:rPr>
          <w:rFonts w:asciiTheme="majorHAnsi" w:hAnsiTheme="majorHAnsi" w:cstheme="minorHAnsi"/>
          <w:lang w:val="es-US"/>
        </w:rPr>
        <w:t xml:space="preserve"> que los </w:t>
      </w:r>
      <w:r w:rsidR="00BB6D46" w:rsidRPr="00930562">
        <w:rPr>
          <w:rFonts w:asciiTheme="majorHAnsi" w:hAnsiTheme="majorHAnsi" w:cstheme="minorHAnsi"/>
          <w:lang w:val="es-US"/>
        </w:rPr>
        <w:t>problemas</w:t>
      </w:r>
      <w:r w:rsidRPr="00930562">
        <w:rPr>
          <w:rFonts w:asciiTheme="majorHAnsi" w:hAnsiTheme="majorHAnsi" w:cstheme="minorHAnsi"/>
          <w:lang w:val="es-US"/>
        </w:rPr>
        <w:t xml:space="preserve"> de brutalidad policial y uso excesivo de la fuerza, prácticas policial</w:t>
      </w:r>
      <w:r w:rsidR="00BB6D46" w:rsidRPr="00930562">
        <w:rPr>
          <w:rFonts w:asciiTheme="majorHAnsi" w:hAnsiTheme="majorHAnsi" w:cstheme="minorHAnsi"/>
          <w:lang w:val="es-US"/>
        </w:rPr>
        <w:t>es racialmente sesgadas</w:t>
      </w:r>
      <w:r w:rsidRPr="00930562">
        <w:rPr>
          <w:rFonts w:asciiTheme="majorHAnsi" w:hAnsiTheme="majorHAnsi" w:cstheme="minorHAnsi"/>
          <w:lang w:val="es-US"/>
        </w:rPr>
        <w:t xml:space="preserve"> y desigualdades raciales que </w:t>
      </w:r>
      <w:r w:rsidR="0078450D" w:rsidRPr="00930562">
        <w:rPr>
          <w:rFonts w:asciiTheme="majorHAnsi" w:hAnsiTheme="majorHAnsi" w:cstheme="minorHAnsi"/>
          <w:lang w:val="es-US"/>
        </w:rPr>
        <w:t>afectan</w:t>
      </w:r>
      <w:r w:rsidRPr="00930562">
        <w:rPr>
          <w:rFonts w:asciiTheme="majorHAnsi" w:hAnsiTheme="majorHAnsi" w:cstheme="minorHAnsi"/>
          <w:lang w:val="es-US"/>
        </w:rPr>
        <w:t xml:space="preserve"> virtualmente cada parte del sistema de justicia penal, </w:t>
      </w:r>
      <w:r w:rsidR="00BB6D46" w:rsidRPr="00930562">
        <w:rPr>
          <w:rFonts w:asciiTheme="majorHAnsi" w:hAnsiTheme="majorHAnsi" w:cstheme="minorHAnsi"/>
          <w:lang w:val="es-US"/>
        </w:rPr>
        <w:t>son</w:t>
      </w:r>
      <w:r w:rsidRPr="00930562">
        <w:rPr>
          <w:rFonts w:asciiTheme="majorHAnsi" w:hAnsiTheme="majorHAnsi" w:cstheme="minorHAnsi"/>
          <w:lang w:val="es-US"/>
        </w:rPr>
        <w:t xml:space="preserve"> </w:t>
      </w:r>
      <w:r w:rsidR="00BB6D46" w:rsidRPr="00930562">
        <w:rPr>
          <w:rFonts w:asciiTheme="majorHAnsi" w:hAnsiTheme="majorHAnsi" w:cstheme="minorHAnsi"/>
          <w:lang w:val="es-US"/>
        </w:rPr>
        <w:t xml:space="preserve">generalizados y representan una clara amenaza para los derechos humanos de los afroamericanos, incluidos los derechos a la vida, la integridad personal, la no discriminación y el debido proceso, entre otros.  En este informe, la Comisión analiza estos temas a la luz de las obligaciones internacionales de los Estados Unidos con respecto a la no discriminación, el uso de la fuerza y el acceso a la justicia. </w:t>
      </w:r>
    </w:p>
    <w:p w14:paraId="5DC7A4C7" w14:textId="4CBE8292" w:rsidR="00755B75" w:rsidRPr="00930562" w:rsidRDefault="00AC048F" w:rsidP="00724857">
      <w:pPr>
        <w:pStyle w:val="ListParagraph"/>
        <w:numPr>
          <w:ilvl w:val="0"/>
          <w:numId w:val="2"/>
        </w:numPr>
        <w:spacing w:after="240" w:line="240" w:lineRule="auto"/>
        <w:ind w:left="547" w:hanging="547"/>
        <w:contextualSpacing w:val="0"/>
        <w:jc w:val="both"/>
        <w:rPr>
          <w:rFonts w:asciiTheme="majorHAnsi" w:hAnsiTheme="majorHAnsi" w:cstheme="minorHAnsi"/>
          <w:lang w:val="es-US"/>
        </w:rPr>
      </w:pPr>
      <w:r w:rsidRPr="00930562">
        <w:rPr>
          <w:rFonts w:asciiTheme="majorHAnsi" w:hAnsiTheme="majorHAnsi" w:cstheme="minorHAnsi"/>
          <w:lang w:val="es-US"/>
        </w:rPr>
        <w:lastRenderedPageBreak/>
        <w:t xml:space="preserve">A través de todo el informe, la Comisión </w:t>
      </w:r>
      <w:r w:rsidR="007D1472" w:rsidRPr="00930562">
        <w:rPr>
          <w:rFonts w:asciiTheme="majorHAnsi" w:hAnsiTheme="majorHAnsi" w:cstheme="minorHAnsi"/>
          <w:lang w:val="es-US"/>
        </w:rPr>
        <w:t xml:space="preserve">subraya </w:t>
      </w:r>
      <w:r w:rsidRPr="00930562">
        <w:rPr>
          <w:rFonts w:asciiTheme="majorHAnsi" w:hAnsiTheme="majorHAnsi" w:cstheme="minorHAnsi"/>
          <w:lang w:val="es-US"/>
        </w:rPr>
        <w:t>una serie de principios internacionales clave</w:t>
      </w:r>
      <w:r w:rsidR="0078450D" w:rsidRPr="00930562">
        <w:rPr>
          <w:rFonts w:asciiTheme="majorHAnsi" w:hAnsiTheme="majorHAnsi" w:cstheme="minorHAnsi"/>
          <w:lang w:val="es-US"/>
        </w:rPr>
        <w:t>s</w:t>
      </w:r>
      <w:r w:rsidRPr="00930562">
        <w:rPr>
          <w:rFonts w:asciiTheme="majorHAnsi" w:hAnsiTheme="majorHAnsi" w:cstheme="minorHAnsi"/>
          <w:lang w:val="es-US"/>
        </w:rPr>
        <w:t xml:space="preserve"> de derechos humanos </w:t>
      </w:r>
      <w:r w:rsidR="007D1472" w:rsidRPr="00930562">
        <w:rPr>
          <w:rFonts w:asciiTheme="majorHAnsi" w:hAnsiTheme="majorHAnsi" w:cstheme="minorHAnsi"/>
          <w:lang w:val="es-US"/>
        </w:rPr>
        <w:t xml:space="preserve">que aplican </w:t>
      </w:r>
      <w:r w:rsidRPr="00930562">
        <w:rPr>
          <w:rFonts w:asciiTheme="majorHAnsi" w:hAnsiTheme="majorHAnsi" w:cstheme="minorHAnsi"/>
          <w:lang w:val="es-US"/>
        </w:rPr>
        <w:t xml:space="preserve">a esta situación: </w:t>
      </w:r>
      <w:r w:rsidR="007D1472" w:rsidRPr="00930562">
        <w:rPr>
          <w:rFonts w:asciiTheme="majorHAnsi" w:hAnsiTheme="majorHAnsi" w:cstheme="minorHAnsi"/>
          <w:lang w:val="es-US"/>
        </w:rPr>
        <w:t>Primero</w:t>
      </w:r>
      <w:r w:rsidRPr="00930562">
        <w:rPr>
          <w:rFonts w:asciiTheme="majorHAnsi" w:hAnsiTheme="majorHAnsi" w:cstheme="minorHAnsi"/>
          <w:lang w:val="es-US"/>
        </w:rPr>
        <w:t>, todas las acciones del gobierno</w:t>
      </w:r>
      <w:r w:rsidR="007D1472" w:rsidRPr="00930562">
        <w:rPr>
          <w:rFonts w:asciiTheme="majorHAnsi" w:hAnsiTheme="majorHAnsi" w:cstheme="minorHAnsi"/>
          <w:lang w:val="es-US"/>
        </w:rPr>
        <w:t xml:space="preserve"> y de la policía</w:t>
      </w:r>
      <w:r w:rsidRPr="00930562">
        <w:rPr>
          <w:rFonts w:asciiTheme="majorHAnsi" w:hAnsiTheme="majorHAnsi" w:cstheme="minorHAnsi"/>
          <w:lang w:val="es-US"/>
        </w:rPr>
        <w:t xml:space="preserve"> deben ser ejecutadas en conformidad con las obligaciones de no discriminación y </w:t>
      </w:r>
      <w:r w:rsidR="007D1472" w:rsidRPr="00930562">
        <w:rPr>
          <w:rFonts w:asciiTheme="majorHAnsi" w:hAnsiTheme="majorHAnsi" w:cstheme="minorHAnsi"/>
          <w:lang w:val="es-US"/>
        </w:rPr>
        <w:t>el principio</w:t>
      </w:r>
      <w:r w:rsidRPr="00930562">
        <w:rPr>
          <w:rFonts w:asciiTheme="majorHAnsi" w:hAnsiTheme="majorHAnsi" w:cstheme="minorHAnsi"/>
          <w:lang w:val="es-US"/>
        </w:rPr>
        <w:t xml:space="preserve"> de igualdad. </w:t>
      </w:r>
      <w:r w:rsidR="007D1472" w:rsidRPr="00930562">
        <w:rPr>
          <w:rFonts w:asciiTheme="majorHAnsi" w:hAnsiTheme="majorHAnsi" w:cstheme="minorHAnsi"/>
          <w:lang w:val="es-US"/>
        </w:rPr>
        <w:t>Segundo</w:t>
      </w:r>
      <w:r w:rsidRPr="00930562">
        <w:rPr>
          <w:rFonts w:asciiTheme="majorHAnsi" w:hAnsiTheme="majorHAnsi" w:cstheme="minorHAnsi"/>
          <w:lang w:val="es-US"/>
        </w:rPr>
        <w:t xml:space="preserve">, el uso de la fuerza por parte de la policía en los Estados Unidos, así como en todos los demás Estados de las Américas, debería guiarse por </w:t>
      </w:r>
      <w:r w:rsidR="007D1472" w:rsidRPr="00930562">
        <w:rPr>
          <w:rFonts w:asciiTheme="majorHAnsi" w:hAnsiTheme="majorHAnsi" w:cstheme="minorHAnsi"/>
          <w:lang w:val="es-US"/>
        </w:rPr>
        <w:t xml:space="preserve">los principios de legalidad, absoluta necesidad y proporcionalidad, </w:t>
      </w:r>
      <w:r w:rsidRPr="00930562">
        <w:rPr>
          <w:rFonts w:asciiTheme="majorHAnsi" w:hAnsiTheme="majorHAnsi" w:cstheme="minorHAnsi"/>
          <w:lang w:val="es-US"/>
        </w:rPr>
        <w:t xml:space="preserve">y utilizarse sólo cuando </w:t>
      </w:r>
      <w:r w:rsidR="007D1472" w:rsidRPr="00930562">
        <w:rPr>
          <w:rFonts w:asciiTheme="majorHAnsi" w:hAnsiTheme="majorHAnsi" w:cstheme="minorHAnsi"/>
          <w:lang w:val="es-US"/>
        </w:rPr>
        <w:t xml:space="preserve">otros métodos </w:t>
      </w:r>
      <w:r w:rsidRPr="00930562">
        <w:rPr>
          <w:rFonts w:asciiTheme="majorHAnsi" w:hAnsiTheme="majorHAnsi" w:cstheme="minorHAnsi"/>
          <w:lang w:val="es-US"/>
        </w:rPr>
        <w:t xml:space="preserve">se hayan agotado y </w:t>
      </w:r>
      <w:r w:rsidR="007D1472" w:rsidRPr="00930562">
        <w:rPr>
          <w:rFonts w:asciiTheme="majorHAnsi" w:hAnsiTheme="majorHAnsi" w:cstheme="minorHAnsi"/>
          <w:lang w:val="es-US"/>
        </w:rPr>
        <w:t xml:space="preserve">estos hayan </w:t>
      </w:r>
      <w:r w:rsidRPr="00930562">
        <w:rPr>
          <w:rFonts w:asciiTheme="majorHAnsi" w:hAnsiTheme="majorHAnsi" w:cstheme="minorHAnsi"/>
          <w:lang w:val="es-US"/>
        </w:rPr>
        <w:t xml:space="preserve">fracasado. </w:t>
      </w:r>
      <w:r w:rsidR="007D1472" w:rsidRPr="00930562">
        <w:rPr>
          <w:rFonts w:asciiTheme="majorHAnsi" w:hAnsiTheme="majorHAnsi" w:cstheme="minorHAnsi"/>
          <w:lang w:val="es-US"/>
        </w:rPr>
        <w:t>Tercero</w:t>
      </w:r>
      <w:r w:rsidR="004C5D99" w:rsidRPr="00930562">
        <w:rPr>
          <w:rFonts w:asciiTheme="majorHAnsi" w:hAnsiTheme="majorHAnsi" w:cstheme="minorHAnsi"/>
          <w:lang w:val="es-US"/>
        </w:rPr>
        <w:t xml:space="preserve">, la protección contra las privaciones arbitrarias de la vida aplica a la estructura completa del Estado –incluyendo instancias gubernamentales federales, estatales y locales – y a todas las acciones de los funcionarios policiales, tanto en situaciones de normalidad como de disturbio.  Cuarto, </w:t>
      </w:r>
      <w:r w:rsidR="00A60E63" w:rsidRPr="00930562">
        <w:rPr>
          <w:rFonts w:asciiTheme="majorHAnsi" w:hAnsiTheme="majorHAnsi" w:cstheme="minorHAnsi"/>
          <w:lang w:val="es-US"/>
        </w:rPr>
        <w:t xml:space="preserve">el gobierno – federal, estatal y local- es responsable del establecimiento de recursos jurídicos adecuados y efectivos, y de un sistema de justicia que sea independiente e imparcial </w:t>
      </w:r>
      <w:r w:rsidR="0086721D" w:rsidRPr="00930562">
        <w:rPr>
          <w:rFonts w:asciiTheme="majorHAnsi" w:hAnsiTheme="majorHAnsi" w:cstheme="minorHAnsi"/>
          <w:lang w:val="es-US"/>
        </w:rPr>
        <w:t xml:space="preserve">en </w:t>
      </w:r>
      <w:r w:rsidR="00A60E63" w:rsidRPr="00930562">
        <w:rPr>
          <w:rFonts w:asciiTheme="majorHAnsi" w:hAnsiTheme="majorHAnsi" w:cstheme="minorHAnsi"/>
          <w:lang w:val="es-US"/>
        </w:rPr>
        <w:t>sus investigaciones de abuso</w:t>
      </w:r>
      <w:r w:rsidR="0086721D" w:rsidRPr="00930562">
        <w:rPr>
          <w:rFonts w:asciiTheme="majorHAnsi" w:hAnsiTheme="majorHAnsi" w:cstheme="minorHAnsi"/>
          <w:lang w:val="es-US"/>
        </w:rPr>
        <w:t>s</w:t>
      </w:r>
      <w:r w:rsidR="00A60E63" w:rsidRPr="00930562">
        <w:rPr>
          <w:rFonts w:asciiTheme="majorHAnsi" w:hAnsiTheme="majorHAnsi" w:cstheme="minorHAnsi"/>
          <w:lang w:val="es-US"/>
        </w:rPr>
        <w:t xml:space="preserve"> policial</w:t>
      </w:r>
      <w:r w:rsidR="0086721D" w:rsidRPr="00930562">
        <w:rPr>
          <w:rFonts w:asciiTheme="majorHAnsi" w:hAnsiTheme="majorHAnsi" w:cstheme="minorHAnsi"/>
          <w:lang w:val="es-US"/>
        </w:rPr>
        <w:t>es</w:t>
      </w:r>
      <w:r w:rsidR="00A60E63" w:rsidRPr="00930562">
        <w:rPr>
          <w:rFonts w:asciiTheme="majorHAnsi" w:hAnsiTheme="majorHAnsi" w:cstheme="minorHAnsi"/>
          <w:lang w:val="es-US"/>
        </w:rPr>
        <w:t xml:space="preserve"> </w:t>
      </w:r>
      <w:r w:rsidR="0086721D" w:rsidRPr="00930562">
        <w:rPr>
          <w:rFonts w:asciiTheme="majorHAnsi" w:hAnsiTheme="majorHAnsi" w:cstheme="minorHAnsi"/>
          <w:lang w:val="es-US"/>
        </w:rPr>
        <w:t xml:space="preserve">y </w:t>
      </w:r>
      <w:r w:rsidR="00A60E63" w:rsidRPr="00930562">
        <w:rPr>
          <w:rFonts w:asciiTheme="majorHAnsi" w:hAnsiTheme="majorHAnsi" w:cstheme="minorHAnsi"/>
          <w:lang w:val="es-US"/>
        </w:rPr>
        <w:t xml:space="preserve">que </w:t>
      </w:r>
      <w:r w:rsidR="0086721D" w:rsidRPr="00930562">
        <w:rPr>
          <w:rFonts w:asciiTheme="majorHAnsi" w:hAnsiTheme="majorHAnsi" w:cstheme="minorHAnsi"/>
          <w:lang w:val="es-US"/>
        </w:rPr>
        <w:t xml:space="preserve">logre condenas cuando </w:t>
      </w:r>
      <w:r w:rsidR="00731B3A" w:rsidRPr="00930562">
        <w:rPr>
          <w:rFonts w:asciiTheme="majorHAnsi" w:hAnsiTheme="majorHAnsi" w:cstheme="minorHAnsi"/>
          <w:lang w:val="es-US"/>
        </w:rPr>
        <w:t xml:space="preserve">así </w:t>
      </w:r>
      <w:r w:rsidR="0086721D" w:rsidRPr="00930562">
        <w:rPr>
          <w:rFonts w:asciiTheme="majorHAnsi" w:hAnsiTheme="majorHAnsi" w:cstheme="minorHAnsi"/>
          <w:lang w:val="es-US"/>
        </w:rPr>
        <w:t xml:space="preserve">corresponda.  </w:t>
      </w:r>
      <w:r w:rsidR="0017386A" w:rsidRPr="00930562">
        <w:rPr>
          <w:rFonts w:asciiTheme="majorHAnsi" w:hAnsiTheme="majorHAnsi" w:cstheme="minorHAnsi"/>
          <w:lang w:val="es-US"/>
        </w:rPr>
        <w:t>La Comisión recuerda que la impunidad fomenta un entorno en el que se toleran la violencia y los abusos policiale</w:t>
      </w:r>
      <w:r w:rsidR="00F37BC3" w:rsidRPr="00930562">
        <w:rPr>
          <w:rFonts w:asciiTheme="majorHAnsi" w:hAnsiTheme="majorHAnsi" w:cstheme="minorHAnsi"/>
          <w:lang w:val="es-US"/>
        </w:rPr>
        <w:t>s,</w:t>
      </w:r>
      <w:r w:rsidR="0017386A" w:rsidRPr="00930562">
        <w:rPr>
          <w:rFonts w:asciiTheme="majorHAnsi" w:hAnsiTheme="majorHAnsi" w:cstheme="minorHAnsi"/>
          <w:lang w:val="es-US"/>
        </w:rPr>
        <w:t xml:space="preserve">  y contribuye </w:t>
      </w:r>
      <w:r w:rsidR="00F37BC3" w:rsidRPr="00930562">
        <w:rPr>
          <w:rFonts w:asciiTheme="majorHAnsi" w:hAnsiTheme="majorHAnsi" w:cstheme="minorHAnsi"/>
          <w:lang w:val="es-US"/>
        </w:rPr>
        <w:t>a sostener</w:t>
      </w:r>
      <w:r w:rsidR="0017386A" w:rsidRPr="00930562">
        <w:rPr>
          <w:rFonts w:asciiTheme="majorHAnsi" w:hAnsiTheme="majorHAnsi" w:cstheme="minorHAnsi"/>
          <w:lang w:val="es-US"/>
        </w:rPr>
        <w:t xml:space="preserve"> un trato desigual hacia grupos que han sido históricamente sujetos de discriminación. Quinto, la Comisión subraya la necesidad de resguardar los derechos humanos básicos de los manifestantes, incluidos </w:t>
      </w:r>
      <w:r w:rsidR="00907FF2" w:rsidRPr="00930562">
        <w:rPr>
          <w:rFonts w:asciiTheme="majorHAnsi" w:hAnsiTheme="majorHAnsi" w:cstheme="minorHAnsi"/>
          <w:lang w:val="es-US"/>
        </w:rPr>
        <w:t>sus</w:t>
      </w:r>
      <w:r w:rsidR="0017386A" w:rsidRPr="00930562">
        <w:rPr>
          <w:rFonts w:asciiTheme="majorHAnsi" w:hAnsiTheme="majorHAnsi" w:cstheme="minorHAnsi"/>
          <w:lang w:val="es-US"/>
        </w:rPr>
        <w:t xml:space="preserve"> derechos a la vida y a la integridad física y psicológica. </w:t>
      </w:r>
    </w:p>
    <w:p w14:paraId="4F09442D" w14:textId="563AE145" w:rsidR="00CC2B0F" w:rsidRPr="00930562" w:rsidRDefault="009F292D" w:rsidP="00724857">
      <w:pPr>
        <w:pStyle w:val="ListParagraph"/>
        <w:numPr>
          <w:ilvl w:val="0"/>
          <w:numId w:val="2"/>
        </w:numPr>
        <w:spacing w:after="240" w:line="240" w:lineRule="auto"/>
        <w:ind w:left="547" w:hanging="547"/>
        <w:contextualSpacing w:val="0"/>
        <w:jc w:val="both"/>
        <w:rPr>
          <w:rFonts w:asciiTheme="majorHAnsi" w:hAnsiTheme="majorHAnsi" w:cstheme="minorHAnsi"/>
          <w:lang w:val="es-US"/>
        </w:rPr>
      </w:pPr>
      <w:r w:rsidRPr="00930562">
        <w:rPr>
          <w:rFonts w:asciiTheme="majorHAnsi" w:hAnsiTheme="majorHAnsi" w:cstheme="minorHAnsi"/>
          <w:lang w:val="es-US"/>
        </w:rPr>
        <w:t xml:space="preserve">En </w:t>
      </w:r>
      <w:r w:rsidR="00CC2B0F" w:rsidRPr="00930562">
        <w:rPr>
          <w:rFonts w:asciiTheme="majorHAnsi" w:hAnsiTheme="majorHAnsi" w:cstheme="minorHAnsi"/>
          <w:lang w:val="es-US"/>
        </w:rPr>
        <w:t xml:space="preserve">relación con la no discriminación y la igualdad, la Comisión recuerda que tanto la discriminación racial directa como la indirecta están prohibidas por el derecho internacional e interamericano. En este informe, se señala </w:t>
      </w:r>
      <w:r w:rsidR="00F01B0E" w:rsidRPr="00930562">
        <w:rPr>
          <w:rFonts w:asciiTheme="majorHAnsi" w:hAnsiTheme="majorHAnsi" w:cstheme="minorHAnsi"/>
          <w:lang w:val="es-US"/>
        </w:rPr>
        <w:t>como un tema de</w:t>
      </w:r>
      <w:r w:rsidR="00CC2B0F" w:rsidRPr="00930562">
        <w:rPr>
          <w:rFonts w:asciiTheme="majorHAnsi" w:hAnsiTheme="majorHAnsi" w:cstheme="minorHAnsi"/>
          <w:lang w:val="es-US"/>
        </w:rPr>
        <w:t xml:space="preserve"> especial preocupación que las leyes y prácticas que tienen un efecto discriminatorio –</w:t>
      </w:r>
      <w:r w:rsidR="00F01B0E" w:rsidRPr="00930562">
        <w:rPr>
          <w:rFonts w:asciiTheme="majorHAnsi" w:hAnsiTheme="majorHAnsi" w:cstheme="minorHAnsi"/>
          <w:lang w:val="es-US"/>
        </w:rPr>
        <w:t>con frecuencia</w:t>
      </w:r>
      <w:r w:rsidR="00CC2B0F" w:rsidRPr="00930562">
        <w:rPr>
          <w:rFonts w:asciiTheme="majorHAnsi" w:hAnsiTheme="majorHAnsi" w:cstheme="minorHAnsi"/>
          <w:lang w:val="es-US"/>
        </w:rPr>
        <w:t xml:space="preserve"> descritas como “de efecto desproporcionado” en el derecho interno – están </w:t>
      </w:r>
      <w:r w:rsidR="00F01B0E" w:rsidRPr="00930562">
        <w:rPr>
          <w:rFonts w:asciiTheme="majorHAnsi" w:hAnsiTheme="majorHAnsi" w:cstheme="minorHAnsi"/>
          <w:lang w:val="es-US"/>
        </w:rPr>
        <w:t>prohibidas</w:t>
      </w:r>
      <w:r w:rsidR="00CC2B0F" w:rsidRPr="00930562">
        <w:rPr>
          <w:rFonts w:asciiTheme="majorHAnsi" w:hAnsiTheme="majorHAnsi" w:cstheme="minorHAnsi"/>
          <w:lang w:val="es-US"/>
        </w:rPr>
        <w:t xml:space="preserve"> en el derecho internacional, inclus</w:t>
      </w:r>
      <w:r w:rsidR="00F01B0E" w:rsidRPr="00930562">
        <w:rPr>
          <w:rFonts w:asciiTheme="majorHAnsi" w:hAnsiTheme="majorHAnsi" w:cstheme="minorHAnsi"/>
          <w:lang w:val="es-US"/>
        </w:rPr>
        <w:t>o</w:t>
      </w:r>
      <w:r w:rsidR="00CC2B0F" w:rsidRPr="00930562">
        <w:rPr>
          <w:rFonts w:asciiTheme="majorHAnsi" w:hAnsiTheme="majorHAnsi" w:cstheme="minorHAnsi"/>
          <w:lang w:val="es-US"/>
        </w:rPr>
        <w:t xml:space="preserve"> si no so</w:t>
      </w:r>
      <w:r w:rsidR="00F01B0E" w:rsidRPr="00930562">
        <w:rPr>
          <w:rFonts w:asciiTheme="majorHAnsi" w:hAnsiTheme="majorHAnsi" w:cstheme="minorHAnsi"/>
          <w:lang w:val="es-US"/>
        </w:rPr>
        <w:t>n</w:t>
      </w:r>
      <w:r w:rsidR="00CC2B0F" w:rsidRPr="00930562">
        <w:rPr>
          <w:rFonts w:asciiTheme="majorHAnsi" w:hAnsiTheme="majorHAnsi" w:cstheme="minorHAnsi"/>
          <w:lang w:val="es-US"/>
        </w:rPr>
        <w:t xml:space="preserve"> manifiestamente discriminatorias.  </w:t>
      </w:r>
      <w:r w:rsidR="00F01B0E" w:rsidRPr="00930562">
        <w:rPr>
          <w:rFonts w:asciiTheme="majorHAnsi" w:hAnsiTheme="majorHAnsi" w:cstheme="minorHAnsi"/>
          <w:lang w:val="es-US"/>
        </w:rPr>
        <w:t xml:space="preserve">Es </w:t>
      </w:r>
      <w:r w:rsidR="007D1472" w:rsidRPr="00930562">
        <w:rPr>
          <w:rFonts w:asciiTheme="majorHAnsi" w:hAnsiTheme="majorHAnsi" w:cstheme="minorHAnsi"/>
          <w:lang w:val="es-US"/>
        </w:rPr>
        <w:t xml:space="preserve">urgente </w:t>
      </w:r>
      <w:r w:rsidR="00F01B0E" w:rsidRPr="00930562">
        <w:rPr>
          <w:rFonts w:asciiTheme="majorHAnsi" w:hAnsiTheme="majorHAnsi" w:cstheme="minorHAnsi"/>
          <w:lang w:val="es-US"/>
        </w:rPr>
        <w:t xml:space="preserve">que los Estados Unidos ajusten su legislación nacional a </w:t>
      </w:r>
      <w:r w:rsidR="007D1472" w:rsidRPr="00930562">
        <w:rPr>
          <w:rFonts w:asciiTheme="majorHAnsi" w:hAnsiTheme="majorHAnsi" w:cstheme="minorHAnsi"/>
          <w:lang w:val="es-US"/>
        </w:rPr>
        <w:t>los estándares internacionales</w:t>
      </w:r>
      <w:r w:rsidR="00F01B0E" w:rsidRPr="00930562">
        <w:rPr>
          <w:rFonts w:asciiTheme="majorHAnsi" w:hAnsiTheme="majorHAnsi" w:cstheme="minorHAnsi"/>
          <w:lang w:val="es-US"/>
        </w:rPr>
        <w:t xml:space="preserve"> a los fines de prevenir y sancionar de manera eficaz los casos de efecto desproporcionado. Asimismo, la Comisión subraya que las prácticas de elaboración de perfiles raciales pueden constituir trato inhumano y degradante </w:t>
      </w:r>
      <w:r w:rsidR="007D1472" w:rsidRPr="00930562">
        <w:rPr>
          <w:rFonts w:asciiTheme="majorHAnsi" w:hAnsiTheme="majorHAnsi" w:cstheme="minorHAnsi"/>
          <w:lang w:val="es-US"/>
        </w:rPr>
        <w:t xml:space="preserve">con base en </w:t>
      </w:r>
      <w:r w:rsidR="00F01B0E" w:rsidRPr="00930562">
        <w:rPr>
          <w:rFonts w:asciiTheme="majorHAnsi" w:hAnsiTheme="majorHAnsi" w:cstheme="minorHAnsi"/>
          <w:lang w:val="es-US"/>
        </w:rPr>
        <w:t>el derecho internacional. Además de la obligación de abstenerse de la violación de derechos, la Comisión resalta la obligación positiva del Estado de comprometerse a construir una sociedad inclusiva libre de toda forma de discriminación racial</w:t>
      </w:r>
      <w:r w:rsidR="0046100D" w:rsidRPr="00930562">
        <w:rPr>
          <w:rFonts w:asciiTheme="majorHAnsi" w:hAnsiTheme="majorHAnsi" w:cstheme="minorHAnsi"/>
          <w:lang w:val="es-US"/>
        </w:rPr>
        <w:t xml:space="preserve"> y llama a la adopción de medidas tendientes a modificar la cultura de la policía y las dinámicas entre la policía y los afroamericanos con el fin de construir confianza.  </w:t>
      </w:r>
    </w:p>
    <w:p w14:paraId="3189630A" w14:textId="4CA54782" w:rsidR="007556DD" w:rsidRPr="00930562" w:rsidRDefault="008616E5" w:rsidP="00724857">
      <w:pPr>
        <w:pStyle w:val="ListParagraph"/>
        <w:numPr>
          <w:ilvl w:val="0"/>
          <w:numId w:val="2"/>
        </w:numPr>
        <w:spacing w:after="240" w:line="240" w:lineRule="auto"/>
        <w:ind w:left="547" w:hanging="547"/>
        <w:contextualSpacing w:val="0"/>
        <w:jc w:val="both"/>
        <w:rPr>
          <w:rFonts w:asciiTheme="majorHAnsi" w:hAnsiTheme="majorHAnsi" w:cstheme="minorHAnsi"/>
          <w:lang w:val="es-US"/>
        </w:rPr>
      </w:pPr>
      <w:r w:rsidRPr="00930562">
        <w:rPr>
          <w:rFonts w:asciiTheme="majorHAnsi" w:hAnsiTheme="majorHAnsi" w:cstheme="minorHAnsi"/>
          <w:lang w:val="es-US"/>
        </w:rPr>
        <w:t xml:space="preserve">En relación al uso de la fuerza, en este informe la Comisión reitera que la protección contra las privaciones arbitrarias de la vida aplica a toda la estructura del Estado – incluyendo las instancias gubernamentales </w:t>
      </w:r>
      <w:r w:rsidRPr="00930562">
        <w:rPr>
          <w:rFonts w:asciiTheme="majorHAnsi" w:hAnsiTheme="majorHAnsi" w:cstheme="minorHAnsi"/>
          <w:lang w:val="es-US"/>
        </w:rPr>
        <w:lastRenderedPageBreak/>
        <w:t>federales, estatales y locales -  y a todas las acciones de los funcionarios policiales. En consecuencia, el uso de la fuerza por parte de la policía debe estar guiado por los principios de excepcionalidad, necesidad</w:t>
      </w:r>
      <w:r w:rsidR="00F37BC3" w:rsidRPr="00930562">
        <w:rPr>
          <w:rFonts w:asciiTheme="majorHAnsi" w:hAnsiTheme="majorHAnsi" w:cstheme="minorHAnsi"/>
          <w:lang w:val="es-US"/>
        </w:rPr>
        <w:t xml:space="preserve"> absoluta</w:t>
      </w:r>
      <w:r w:rsidRPr="00930562">
        <w:rPr>
          <w:rFonts w:asciiTheme="majorHAnsi" w:hAnsiTheme="majorHAnsi" w:cstheme="minorHAnsi"/>
          <w:lang w:val="es-US"/>
        </w:rPr>
        <w:t xml:space="preserve">, proporcionalidad y legalidad, y el uso de la fuerza letal sólo </w:t>
      </w:r>
      <w:r w:rsidR="00CE3B51" w:rsidRPr="00930562">
        <w:rPr>
          <w:rFonts w:asciiTheme="majorHAnsi" w:hAnsiTheme="majorHAnsi" w:cstheme="minorHAnsi"/>
          <w:lang w:val="es-US"/>
        </w:rPr>
        <w:t>puede</w:t>
      </w:r>
      <w:r w:rsidRPr="00930562">
        <w:rPr>
          <w:rFonts w:asciiTheme="majorHAnsi" w:hAnsiTheme="majorHAnsi" w:cstheme="minorHAnsi"/>
          <w:lang w:val="es-US"/>
        </w:rPr>
        <w:t xml:space="preserve"> ser permitido </w:t>
      </w:r>
      <w:r w:rsidR="00CE3B51" w:rsidRPr="00930562">
        <w:rPr>
          <w:rFonts w:asciiTheme="majorHAnsi" w:hAnsiTheme="majorHAnsi" w:cstheme="minorHAnsi"/>
          <w:lang w:val="es-US"/>
        </w:rPr>
        <w:t>cuando sea estrictamente necesario para proteger la vida. La Comisión insta a los Estados Unidos a que adecúe su legislación nacional a los estándares internacionales en esta área. La Comisión destaca además que el uso excesivo de la fuerza por parte de la policía puede constituir trato cruel, inhumano o degradante (TCID</w:t>
      </w:r>
      <w:r w:rsidR="00A55DAC" w:rsidRPr="00930562">
        <w:rPr>
          <w:rFonts w:asciiTheme="majorHAnsi" w:hAnsiTheme="majorHAnsi" w:cstheme="minorHAnsi"/>
          <w:lang w:val="es-US"/>
        </w:rPr>
        <w:t>)</w:t>
      </w:r>
      <w:r w:rsidR="00CE3B51" w:rsidRPr="00930562">
        <w:rPr>
          <w:rFonts w:asciiTheme="majorHAnsi" w:hAnsiTheme="majorHAnsi" w:cstheme="minorHAnsi"/>
          <w:lang w:val="es-US"/>
        </w:rPr>
        <w:t xml:space="preserve"> o tortura en determinadas circunstancias, especialmente cuando se comete por cualquier motivo basado en discriminación arbitraria de cualquier tipo.</w:t>
      </w:r>
      <w:r w:rsidR="007556DD" w:rsidRPr="00930562">
        <w:rPr>
          <w:rFonts w:asciiTheme="majorHAnsi" w:hAnsiTheme="majorHAnsi" w:cstheme="minorHAnsi"/>
          <w:lang w:val="es-US"/>
        </w:rPr>
        <w:t xml:space="preserve"> La Comisión además subraya la necesidad de resguardar los derechos humanos básicos de los manifestantes, así como consideraciones relacionadas con la regulación del uso de la fuerza letal y armas menos letales en general y en situaciones de protesta.</w:t>
      </w:r>
    </w:p>
    <w:p w14:paraId="7EA957A9" w14:textId="7E0C1B0A" w:rsidR="001E172E" w:rsidRPr="00930562" w:rsidRDefault="00BD154B" w:rsidP="00724857">
      <w:pPr>
        <w:pStyle w:val="ListParagraph"/>
        <w:numPr>
          <w:ilvl w:val="0"/>
          <w:numId w:val="2"/>
        </w:numPr>
        <w:spacing w:after="240" w:line="240" w:lineRule="auto"/>
        <w:ind w:left="547" w:hanging="547"/>
        <w:contextualSpacing w:val="0"/>
        <w:jc w:val="both"/>
        <w:rPr>
          <w:rFonts w:asciiTheme="majorHAnsi" w:hAnsiTheme="majorHAnsi" w:cstheme="minorHAnsi"/>
          <w:lang w:val="es-US"/>
        </w:rPr>
      </w:pPr>
      <w:r w:rsidRPr="00930562">
        <w:rPr>
          <w:rFonts w:asciiTheme="majorHAnsi" w:hAnsiTheme="majorHAnsi" w:cstheme="minorHAnsi"/>
          <w:lang w:val="es-US"/>
        </w:rPr>
        <w:t xml:space="preserve">Con respecto al acceso a la justicia, en este informe la Comisión enfatiza que el gobierno –federal, estatal y local- es responsable de garantizar el acceso a la justicia, incluyendo la debida diligencia en </w:t>
      </w:r>
      <w:r w:rsidR="00B921E9" w:rsidRPr="00930562">
        <w:rPr>
          <w:rFonts w:asciiTheme="majorHAnsi" w:hAnsiTheme="majorHAnsi" w:cstheme="minorHAnsi"/>
          <w:lang w:val="es-US"/>
        </w:rPr>
        <w:t>una</w:t>
      </w:r>
      <w:r w:rsidRPr="00930562">
        <w:rPr>
          <w:rFonts w:asciiTheme="majorHAnsi" w:hAnsiTheme="majorHAnsi" w:cstheme="minorHAnsi"/>
          <w:lang w:val="es-US"/>
        </w:rPr>
        <w:t xml:space="preserve"> investigación independiente e imparcial y el enjuiciamiento de abusos policiales, asegurando la rendición de cuentas y la aplicación de sanciones a todos aquellos responsables de la violación; estableciendo soluciones jurídicas adecuadas, efectivas y accesibles </w:t>
      </w:r>
      <w:r w:rsidR="00256920" w:rsidRPr="00930562">
        <w:rPr>
          <w:rFonts w:asciiTheme="majorHAnsi" w:hAnsiTheme="majorHAnsi" w:cstheme="minorHAnsi"/>
          <w:lang w:val="es-US"/>
        </w:rPr>
        <w:t xml:space="preserve">para la </w:t>
      </w:r>
      <w:r w:rsidRPr="00930562">
        <w:rPr>
          <w:rFonts w:asciiTheme="majorHAnsi" w:hAnsiTheme="majorHAnsi" w:cstheme="minorHAnsi"/>
          <w:lang w:val="es-US"/>
        </w:rPr>
        <w:t>violencia policial contra los afroamericanos</w:t>
      </w:r>
      <w:r w:rsidR="00B921E9" w:rsidRPr="00930562">
        <w:rPr>
          <w:rFonts w:asciiTheme="majorHAnsi" w:hAnsiTheme="majorHAnsi" w:cstheme="minorHAnsi"/>
          <w:lang w:val="es-US"/>
        </w:rPr>
        <w:t xml:space="preserve">; y garantizando reparaciones </w:t>
      </w:r>
      <w:r w:rsidR="00256920" w:rsidRPr="00930562">
        <w:rPr>
          <w:rFonts w:asciiTheme="majorHAnsi" w:hAnsiTheme="majorHAnsi" w:cstheme="minorHAnsi"/>
          <w:lang w:val="es-US"/>
        </w:rPr>
        <w:t xml:space="preserve">para </w:t>
      </w:r>
      <w:r w:rsidR="00B921E9" w:rsidRPr="00930562">
        <w:rPr>
          <w:rFonts w:asciiTheme="majorHAnsi" w:hAnsiTheme="majorHAnsi" w:cstheme="minorHAnsi"/>
          <w:lang w:val="es-US"/>
        </w:rPr>
        <w:t xml:space="preserve">las víctimas. </w:t>
      </w:r>
      <w:r w:rsidR="00C501E5" w:rsidRPr="00930562">
        <w:rPr>
          <w:rFonts w:asciiTheme="majorHAnsi" w:hAnsiTheme="majorHAnsi" w:cstheme="minorHAnsi"/>
          <w:lang w:val="es-US"/>
        </w:rPr>
        <w:t>La impunidad fomenta un entorno en el que se toleran la violencia</w:t>
      </w:r>
      <w:r w:rsidR="00256920" w:rsidRPr="00930562">
        <w:rPr>
          <w:rFonts w:asciiTheme="majorHAnsi" w:hAnsiTheme="majorHAnsi" w:cstheme="minorHAnsi"/>
          <w:lang w:val="es-US"/>
        </w:rPr>
        <w:t xml:space="preserve"> policial,</w:t>
      </w:r>
      <w:r w:rsidR="00C501E5" w:rsidRPr="00930562">
        <w:rPr>
          <w:rFonts w:asciiTheme="majorHAnsi" w:hAnsiTheme="majorHAnsi" w:cstheme="minorHAnsi"/>
          <w:lang w:val="es-US"/>
        </w:rPr>
        <w:t xml:space="preserve"> los abusos y un trato desigual hacia grupos que han sido históricamente</w:t>
      </w:r>
      <w:r w:rsidR="0078450D" w:rsidRPr="00930562">
        <w:rPr>
          <w:rFonts w:asciiTheme="majorHAnsi" w:hAnsiTheme="majorHAnsi" w:cstheme="minorHAnsi"/>
          <w:lang w:val="es-US"/>
        </w:rPr>
        <w:t xml:space="preserve"> </w:t>
      </w:r>
      <w:r w:rsidR="00256920" w:rsidRPr="00930562">
        <w:rPr>
          <w:rFonts w:asciiTheme="majorHAnsi" w:hAnsiTheme="majorHAnsi" w:cstheme="minorHAnsi"/>
          <w:lang w:val="es-US"/>
        </w:rPr>
        <w:t>marginalizados</w:t>
      </w:r>
      <w:r w:rsidR="00C501E5" w:rsidRPr="00930562">
        <w:rPr>
          <w:rFonts w:asciiTheme="majorHAnsi" w:hAnsiTheme="majorHAnsi" w:cstheme="minorHAnsi"/>
          <w:lang w:val="es-US"/>
        </w:rPr>
        <w:t>. La Comisión está particularmente preocupada por e</w:t>
      </w:r>
      <w:r w:rsidR="00A55DAC" w:rsidRPr="00930562">
        <w:rPr>
          <w:rFonts w:asciiTheme="majorHAnsi" w:hAnsiTheme="majorHAnsi" w:cstheme="minorHAnsi"/>
          <w:lang w:val="es-US"/>
        </w:rPr>
        <w:t>l</w:t>
      </w:r>
      <w:r w:rsidR="00C501E5" w:rsidRPr="00930562">
        <w:rPr>
          <w:rFonts w:asciiTheme="majorHAnsi" w:hAnsiTheme="majorHAnsi" w:cstheme="minorHAnsi"/>
          <w:lang w:val="es-US"/>
        </w:rPr>
        <w:t xml:space="preserve"> importante número de incidentes de violencia policial contra afroamericanos que terminan sin condena; incluso en casos en los que la persona afectada estaba desarmada. Asimismo, la Comisión </w:t>
      </w:r>
      <w:r w:rsidR="00256920" w:rsidRPr="00930562">
        <w:rPr>
          <w:rFonts w:asciiTheme="majorHAnsi" w:hAnsiTheme="majorHAnsi" w:cstheme="minorHAnsi"/>
          <w:lang w:val="es-US"/>
        </w:rPr>
        <w:t>toma nota d</w:t>
      </w:r>
      <w:r w:rsidR="00C501E5" w:rsidRPr="00930562">
        <w:rPr>
          <w:rFonts w:asciiTheme="majorHAnsi" w:hAnsiTheme="majorHAnsi" w:cstheme="minorHAnsi"/>
          <w:lang w:val="es-US"/>
        </w:rPr>
        <w:t xml:space="preserve">el deber del Estado de adoptar medidas </w:t>
      </w:r>
      <w:r w:rsidR="00D402E2" w:rsidRPr="00930562">
        <w:rPr>
          <w:rFonts w:asciiTheme="majorHAnsi" w:hAnsiTheme="majorHAnsi" w:cstheme="minorHAnsi"/>
          <w:lang w:val="es-US"/>
        </w:rPr>
        <w:t>para prevenir y responder a la violencia por parte de agentes estatales y no estatales motivados explícita o implícitamente por prejuicios raciales.</w:t>
      </w:r>
    </w:p>
    <w:p w14:paraId="4194F737" w14:textId="702E6BBD" w:rsidR="001E172E" w:rsidRPr="00930562" w:rsidRDefault="001E172E" w:rsidP="00724857">
      <w:pPr>
        <w:pStyle w:val="ListParagraph"/>
        <w:numPr>
          <w:ilvl w:val="0"/>
          <w:numId w:val="2"/>
        </w:numPr>
        <w:spacing w:after="240" w:line="240" w:lineRule="auto"/>
        <w:ind w:left="547" w:hanging="547"/>
        <w:contextualSpacing w:val="0"/>
        <w:jc w:val="both"/>
        <w:rPr>
          <w:rFonts w:asciiTheme="majorHAnsi" w:hAnsiTheme="majorHAnsi" w:cstheme="minorHAnsi"/>
          <w:lang w:val="es-US"/>
        </w:rPr>
      </w:pPr>
      <w:r w:rsidRPr="00930562">
        <w:rPr>
          <w:rFonts w:asciiTheme="majorHAnsi" w:hAnsiTheme="majorHAnsi" w:cstheme="minorHAnsi"/>
          <w:lang w:val="es-US"/>
        </w:rPr>
        <w:t xml:space="preserve">Finalmente, la Comisión </w:t>
      </w:r>
      <w:r w:rsidR="00256920" w:rsidRPr="00930562">
        <w:rPr>
          <w:rFonts w:asciiTheme="majorHAnsi" w:hAnsiTheme="majorHAnsi" w:cstheme="minorHAnsi"/>
          <w:lang w:val="es-US"/>
        </w:rPr>
        <w:t xml:space="preserve">enfatiza </w:t>
      </w:r>
      <w:r w:rsidRPr="00930562">
        <w:rPr>
          <w:rFonts w:asciiTheme="majorHAnsi" w:hAnsiTheme="majorHAnsi" w:cstheme="minorHAnsi"/>
          <w:lang w:val="es-US"/>
        </w:rPr>
        <w:t xml:space="preserve">que la debida </w:t>
      </w:r>
      <w:r w:rsidR="00D95EA5" w:rsidRPr="00930562">
        <w:rPr>
          <w:rFonts w:asciiTheme="majorHAnsi" w:hAnsiTheme="majorHAnsi" w:cstheme="minorHAnsi"/>
          <w:lang w:val="es-US"/>
        </w:rPr>
        <w:t xml:space="preserve">diligencia </w:t>
      </w:r>
      <w:r w:rsidRPr="00930562">
        <w:rPr>
          <w:rFonts w:asciiTheme="majorHAnsi" w:hAnsiTheme="majorHAnsi" w:cstheme="minorHAnsi"/>
          <w:lang w:val="es-US"/>
        </w:rPr>
        <w:t xml:space="preserve">en la prevención de la violencia policial contra los afroamericanos debe adoptar un enfoque transformador.  Es decir, </w:t>
      </w:r>
      <w:r w:rsidR="00AB52A5" w:rsidRPr="00930562">
        <w:rPr>
          <w:rFonts w:asciiTheme="majorHAnsi" w:hAnsiTheme="majorHAnsi" w:cstheme="minorHAnsi"/>
          <w:lang w:val="es-US"/>
        </w:rPr>
        <w:t xml:space="preserve">las </w:t>
      </w:r>
      <w:r w:rsidRPr="00930562">
        <w:rPr>
          <w:rFonts w:asciiTheme="majorHAnsi" w:hAnsiTheme="majorHAnsi" w:cstheme="minorHAnsi"/>
          <w:lang w:val="es-US"/>
        </w:rPr>
        <w:t>acciones para prevenir la violencia policial</w:t>
      </w:r>
      <w:r w:rsidR="00F37BC3" w:rsidRPr="00930562">
        <w:rPr>
          <w:rFonts w:asciiTheme="majorHAnsi" w:hAnsiTheme="majorHAnsi" w:cstheme="minorHAnsi"/>
          <w:lang w:val="es-US"/>
        </w:rPr>
        <w:t>,</w:t>
      </w:r>
      <w:r w:rsidRPr="00930562">
        <w:rPr>
          <w:rFonts w:asciiTheme="majorHAnsi" w:hAnsiTheme="majorHAnsi" w:cstheme="minorHAnsi"/>
          <w:lang w:val="es-US"/>
        </w:rPr>
        <w:t xml:space="preserve"> o l</w:t>
      </w:r>
      <w:r w:rsidR="00AB52A5" w:rsidRPr="00930562">
        <w:rPr>
          <w:rFonts w:asciiTheme="majorHAnsi" w:hAnsiTheme="majorHAnsi" w:cstheme="minorHAnsi"/>
          <w:lang w:val="es-US"/>
        </w:rPr>
        <w:t xml:space="preserve">as soluciones o medidas de reparación por violencia policial que tienen el efecto de </w:t>
      </w:r>
      <w:r w:rsidR="00256920" w:rsidRPr="00930562">
        <w:rPr>
          <w:rFonts w:asciiTheme="majorHAnsi" w:hAnsiTheme="majorHAnsi" w:cstheme="minorHAnsi"/>
          <w:lang w:val="es-US"/>
        </w:rPr>
        <w:t>mantener</w:t>
      </w:r>
      <w:r w:rsidR="00AB52A5" w:rsidRPr="00930562">
        <w:rPr>
          <w:rFonts w:asciiTheme="majorHAnsi" w:hAnsiTheme="majorHAnsi" w:cstheme="minorHAnsi"/>
          <w:lang w:val="es-US"/>
        </w:rPr>
        <w:t xml:space="preserve"> o restablecer el mismo contexto estructural de violencia y discriminación</w:t>
      </w:r>
      <w:r w:rsidR="00F37BC3" w:rsidRPr="00930562">
        <w:rPr>
          <w:rFonts w:asciiTheme="majorHAnsi" w:hAnsiTheme="majorHAnsi" w:cstheme="minorHAnsi"/>
          <w:lang w:val="es-US"/>
        </w:rPr>
        <w:t>,</w:t>
      </w:r>
      <w:r w:rsidR="00AB52A5" w:rsidRPr="00930562">
        <w:rPr>
          <w:rFonts w:asciiTheme="majorHAnsi" w:hAnsiTheme="majorHAnsi" w:cstheme="minorHAnsi"/>
          <w:lang w:val="es-US"/>
        </w:rPr>
        <w:t xml:space="preserve"> no son aceptables. Por el contrario, las medidas de reparación deben también </w:t>
      </w:r>
      <w:r w:rsidR="00256920" w:rsidRPr="00930562">
        <w:rPr>
          <w:rFonts w:asciiTheme="majorHAnsi" w:hAnsiTheme="majorHAnsi" w:cstheme="minorHAnsi"/>
          <w:lang w:val="es-US"/>
        </w:rPr>
        <w:t>apuntar a</w:t>
      </w:r>
      <w:r w:rsidR="00AB52A5" w:rsidRPr="00930562">
        <w:rPr>
          <w:rFonts w:asciiTheme="majorHAnsi" w:hAnsiTheme="majorHAnsi" w:cstheme="minorHAnsi"/>
          <w:lang w:val="es-US"/>
        </w:rPr>
        <w:t xml:space="preserve"> aborda</w:t>
      </w:r>
      <w:r w:rsidR="00256920" w:rsidRPr="00930562">
        <w:rPr>
          <w:rFonts w:asciiTheme="majorHAnsi" w:hAnsiTheme="majorHAnsi" w:cstheme="minorHAnsi"/>
          <w:lang w:val="es-US"/>
        </w:rPr>
        <w:t>r</w:t>
      </w:r>
      <w:r w:rsidR="00AB52A5" w:rsidRPr="00930562">
        <w:rPr>
          <w:rFonts w:asciiTheme="majorHAnsi" w:hAnsiTheme="majorHAnsi" w:cstheme="minorHAnsi"/>
          <w:lang w:val="es-US"/>
        </w:rPr>
        <w:t xml:space="preserve"> </w:t>
      </w:r>
      <w:r w:rsidR="00256920" w:rsidRPr="00930562">
        <w:rPr>
          <w:rFonts w:asciiTheme="majorHAnsi" w:hAnsiTheme="majorHAnsi" w:cstheme="minorHAnsi"/>
          <w:lang w:val="es-US"/>
        </w:rPr>
        <w:t xml:space="preserve">y reparar </w:t>
      </w:r>
      <w:r w:rsidR="00AB52A5" w:rsidRPr="00930562">
        <w:rPr>
          <w:rFonts w:asciiTheme="majorHAnsi" w:hAnsiTheme="majorHAnsi" w:cstheme="minorHAnsi"/>
          <w:lang w:val="es-US"/>
        </w:rPr>
        <w:t xml:space="preserve">la situación subyacente de desigualdad y el contexto continuo de discriminación racial. </w:t>
      </w:r>
      <w:r w:rsidR="00D95EA5" w:rsidRPr="00930562">
        <w:rPr>
          <w:rFonts w:asciiTheme="majorHAnsi" w:hAnsiTheme="majorHAnsi" w:cstheme="minorHAnsi"/>
          <w:lang w:val="es-US"/>
        </w:rPr>
        <w:t>Sobre la</w:t>
      </w:r>
      <w:r w:rsidR="00AB52A5" w:rsidRPr="00930562">
        <w:rPr>
          <w:rFonts w:asciiTheme="majorHAnsi" w:hAnsiTheme="majorHAnsi" w:cstheme="minorHAnsi"/>
          <w:lang w:val="es-US"/>
        </w:rPr>
        <w:t xml:space="preserve"> base </w:t>
      </w:r>
      <w:r w:rsidR="00D95EA5" w:rsidRPr="00930562">
        <w:rPr>
          <w:rFonts w:asciiTheme="majorHAnsi" w:hAnsiTheme="majorHAnsi" w:cstheme="minorHAnsi"/>
          <w:lang w:val="es-US"/>
        </w:rPr>
        <w:t>de</w:t>
      </w:r>
      <w:r w:rsidR="00AB52A5" w:rsidRPr="00930562">
        <w:rPr>
          <w:rFonts w:asciiTheme="majorHAnsi" w:hAnsiTheme="majorHAnsi" w:cstheme="minorHAnsi"/>
          <w:lang w:val="es-US"/>
        </w:rPr>
        <w:t xml:space="preserve"> estos principios, </w:t>
      </w:r>
      <w:r w:rsidR="00256920" w:rsidRPr="00930562">
        <w:rPr>
          <w:rFonts w:asciiTheme="majorHAnsi" w:hAnsiTheme="majorHAnsi" w:cstheme="minorHAnsi"/>
          <w:lang w:val="es-US"/>
        </w:rPr>
        <w:t>las recomendaciones para los Estados Unidos incluyen</w:t>
      </w:r>
      <w:r w:rsidR="00AB52A5" w:rsidRPr="00930562">
        <w:rPr>
          <w:rFonts w:asciiTheme="majorHAnsi" w:hAnsiTheme="majorHAnsi" w:cstheme="minorHAnsi"/>
          <w:lang w:val="es-US"/>
        </w:rPr>
        <w:t xml:space="preserve">: </w:t>
      </w:r>
    </w:p>
    <w:p w14:paraId="0ADCC689" w14:textId="0B6A9607" w:rsidR="004753E8" w:rsidRPr="00930562" w:rsidRDefault="004753E8" w:rsidP="00724857">
      <w:pPr>
        <w:pStyle w:val="HTMLPreformatted"/>
        <w:numPr>
          <w:ilvl w:val="0"/>
          <w:numId w:val="11"/>
        </w:numPr>
        <w:shd w:val="clear" w:color="auto" w:fill="FFFFFF"/>
        <w:ind w:left="1094" w:hanging="547"/>
        <w:jc w:val="both"/>
        <w:rPr>
          <w:rFonts w:asciiTheme="majorHAnsi" w:eastAsia="Cambria" w:hAnsiTheme="majorHAnsi" w:cstheme="minorHAnsi"/>
          <w:sz w:val="22"/>
          <w:szCs w:val="22"/>
          <w:lang w:val="es-US"/>
        </w:rPr>
      </w:pPr>
      <w:r w:rsidRPr="00930562">
        <w:rPr>
          <w:rFonts w:asciiTheme="majorHAnsi" w:eastAsia="Cambria" w:hAnsiTheme="majorHAnsi" w:cstheme="minorHAnsi"/>
          <w:sz w:val="22"/>
          <w:szCs w:val="22"/>
          <w:lang w:val="es-US"/>
        </w:rPr>
        <w:lastRenderedPageBreak/>
        <w:t xml:space="preserve">Emprender y asegurar adecuado financiamiento para la realización de </w:t>
      </w:r>
      <w:r w:rsidR="00D95EA5" w:rsidRPr="00930562">
        <w:rPr>
          <w:rFonts w:asciiTheme="majorHAnsi" w:eastAsia="Cambria" w:hAnsiTheme="majorHAnsi" w:cstheme="minorHAnsi"/>
          <w:sz w:val="22"/>
          <w:szCs w:val="22"/>
          <w:lang w:val="es-US"/>
        </w:rPr>
        <w:t>investigaciones</w:t>
      </w:r>
      <w:r w:rsidRPr="00930562">
        <w:rPr>
          <w:rFonts w:asciiTheme="majorHAnsi" w:eastAsia="Cambria" w:hAnsiTheme="majorHAnsi" w:cstheme="minorHAnsi"/>
          <w:sz w:val="22"/>
          <w:szCs w:val="22"/>
          <w:lang w:val="es-US"/>
        </w:rPr>
        <w:t xml:space="preserve"> oficiales sobre discriminación racial en los Estados Unidos- ya sea a nivel federal, estatal o local – con el objetivo de contribuir al establecimiento de la verdad completa y pública </w:t>
      </w:r>
      <w:r w:rsidR="00256920" w:rsidRPr="00930562">
        <w:rPr>
          <w:rFonts w:asciiTheme="majorHAnsi" w:eastAsia="Cambria" w:hAnsiTheme="majorHAnsi" w:cstheme="minorHAnsi"/>
          <w:sz w:val="22"/>
          <w:szCs w:val="22"/>
          <w:lang w:val="es-US"/>
        </w:rPr>
        <w:t>sobre violaciones, así como de</w:t>
      </w:r>
      <w:r w:rsidRPr="00930562">
        <w:rPr>
          <w:rFonts w:asciiTheme="majorHAnsi" w:eastAsia="Cambria" w:hAnsiTheme="majorHAnsi" w:cstheme="minorHAnsi"/>
          <w:sz w:val="22"/>
          <w:szCs w:val="22"/>
          <w:lang w:val="es-US"/>
        </w:rPr>
        <w:t xml:space="preserve"> política</w:t>
      </w:r>
      <w:r w:rsidR="00256920" w:rsidRPr="00930562">
        <w:rPr>
          <w:rFonts w:asciiTheme="majorHAnsi" w:eastAsia="Cambria" w:hAnsiTheme="majorHAnsi" w:cstheme="minorHAnsi"/>
          <w:sz w:val="22"/>
          <w:szCs w:val="22"/>
          <w:lang w:val="es-US"/>
        </w:rPr>
        <w:t>s</w:t>
      </w:r>
      <w:r w:rsidRPr="00930562">
        <w:rPr>
          <w:rFonts w:asciiTheme="majorHAnsi" w:eastAsia="Cambria" w:hAnsiTheme="majorHAnsi" w:cstheme="minorHAnsi"/>
          <w:sz w:val="22"/>
          <w:szCs w:val="22"/>
          <w:lang w:val="es-US"/>
        </w:rPr>
        <w:t xml:space="preserve"> pública</w:t>
      </w:r>
      <w:r w:rsidR="00256920" w:rsidRPr="00930562">
        <w:rPr>
          <w:rFonts w:asciiTheme="majorHAnsi" w:eastAsia="Cambria" w:hAnsiTheme="majorHAnsi" w:cstheme="minorHAnsi"/>
          <w:sz w:val="22"/>
          <w:szCs w:val="22"/>
          <w:lang w:val="es-US"/>
        </w:rPr>
        <w:t>s prospectivas</w:t>
      </w:r>
      <w:r w:rsidRPr="00930562">
        <w:rPr>
          <w:rFonts w:asciiTheme="majorHAnsi" w:eastAsia="Cambria" w:hAnsiTheme="majorHAnsi" w:cstheme="minorHAnsi"/>
          <w:sz w:val="22"/>
          <w:szCs w:val="22"/>
          <w:lang w:val="es-US"/>
        </w:rPr>
        <w:t xml:space="preserve"> </w:t>
      </w:r>
      <w:r w:rsidR="00256920" w:rsidRPr="00930562">
        <w:rPr>
          <w:rFonts w:asciiTheme="majorHAnsi" w:eastAsia="Cambria" w:hAnsiTheme="majorHAnsi" w:cstheme="minorHAnsi"/>
          <w:sz w:val="22"/>
          <w:szCs w:val="22"/>
          <w:lang w:val="es-US"/>
        </w:rPr>
        <w:t xml:space="preserve">para contribuir a </w:t>
      </w:r>
      <w:r w:rsidRPr="00930562">
        <w:rPr>
          <w:rFonts w:asciiTheme="majorHAnsi" w:eastAsia="Cambria" w:hAnsiTheme="majorHAnsi" w:cstheme="minorHAnsi"/>
          <w:sz w:val="22"/>
          <w:szCs w:val="22"/>
          <w:lang w:val="es-US"/>
        </w:rPr>
        <w:t xml:space="preserve">la reparación </w:t>
      </w:r>
      <w:r w:rsidR="00256920" w:rsidRPr="00930562">
        <w:rPr>
          <w:rFonts w:asciiTheme="majorHAnsi" w:eastAsia="Cambria" w:hAnsiTheme="majorHAnsi" w:cstheme="minorHAnsi"/>
          <w:sz w:val="22"/>
          <w:szCs w:val="22"/>
          <w:lang w:val="es-US"/>
        </w:rPr>
        <w:t>efectiva para</w:t>
      </w:r>
      <w:r w:rsidRPr="00930562">
        <w:rPr>
          <w:rFonts w:asciiTheme="majorHAnsi" w:eastAsia="Cambria" w:hAnsiTheme="majorHAnsi" w:cstheme="minorHAnsi"/>
          <w:sz w:val="22"/>
          <w:szCs w:val="22"/>
          <w:lang w:val="es-US"/>
        </w:rPr>
        <w:t xml:space="preserve"> las víctimas, </w:t>
      </w:r>
      <w:r w:rsidR="00AE15BA" w:rsidRPr="00930562">
        <w:rPr>
          <w:rFonts w:asciiTheme="majorHAnsi" w:eastAsia="Cambria" w:hAnsiTheme="majorHAnsi" w:cstheme="minorHAnsi"/>
          <w:sz w:val="22"/>
          <w:szCs w:val="22"/>
          <w:lang w:val="es-US"/>
        </w:rPr>
        <w:t>incluida</w:t>
      </w:r>
      <w:r w:rsidRPr="00930562">
        <w:rPr>
          <w:rFonts w:asciiTheme="majorHAnsi" w:eastAsia="Cambria" w:hAnsiTheme="majorHAnsi" w:cstheme="minorHAnsi"/>
          <w:sz w:val="22"/>
          <w:szCs w:val="22"/>
          <w:lang w:val="es-US"/>
        </w:rPr>
        <w:t xml:space="preserve"> la satisfacción y las garantías de no repetición</w:t>
      </w:r>
      <w:r w:rsidR="002626A0" w:rsidRPr="00930562">
        <w:rPr>
          <w:rFonts w:asciiTheme="majorHAnsi" w:eastAsia="Cambria" w:hAnsiTheme="majorHAnsi" w:cstheme="minorHAnsi"/>
          <w:sz w:val="22"/>
          <w:szCs w:val="22"/>
          <w:lang w:val="es-US"/>
        </w:rPr>
        <w:t xml:space="preserve"> (Recomendaci</w:t>
      </w:r>
      <w:r w:rsidR="0078450D" w:rsidRPr="00930562">
        <w:rPr>
          <w:rFonts w:asciiTheme="majorHAnsi" w:eastAsia="Cambria" w:hAnsiTheme="majorHAnsi" w:cstheme="minorHAnsi"/>
          <w:sz w:val="22"/>
          <w:szCs w:val="22"/>
          <w:lang w:val="es-US"/>
        </w:rPr>
        <w:t>ón 1</w:t>
      </w:r>
      <w:r w:rsidR="002626A0" w:rsidRPr="00930562">
        <w:rPr>
          <w:rFonts w:asciiTheme="majorHAnsi" w:eastAsia="Cambria" w:hAnsiTheme="majorHAnsi" w:cstheme="minorHAnsi"/>
          <w:sz w:val="22"/>
          <w:szCs w:val="22"/>
          <w:lang w:val="es-US"/>
        </w:rPr>
        <w:t xml:space="preserve">).   </w:t>
      </w:r>
    </w:p>
    <w:p w14:paraId="52B9292B" w14:textId="77777777" w:rsidR="00D95EA5" w:rsidRPr="00930562" w:rsidRDefault="00D95EA5" w:rsidP="00827D30">
      <w:pPr>
        <w:pStyle w:val="HTMLPreformatted"/>
        <w:shd w:val="clear" w:color="auto" w:fill="FFFFFF"/>
        <w:ind w:left="1094" w:hanging="547"/>
        <w:jc w:val="both"/>
        <w:rPr>
          <w:rFonts w:asciiTheme="majorHAnsi" w:eastAsia="Cambria" w:hAnsiTheme="majorHAnsi" w:cstheme="minorHAnsi"/>
          <w:sz w:val="22"/>
          <w:szCs w:val="22"/>
          <w:lang w:val="es-US"/>
        </w:rPr>
      </w:pPr>
    </w:p>
    <w:p w14:paraId="246D47B1" w14:textId="0D97D95C" w:rsidR="002626A0" w:rsidRPr="00930562" w:rsidRDefault="000F6831" w:rsidP="00724857">
      <w:pPr>
        <w:pStyle w:val="HTMLPreformatted"/>
        <w:numPr>
          <w:ilvl w:val="0"/>
          <w:numId w:val="11"/>
        </w:numPr>
        <w:shd w:val="clear" w:color="auto" w:fill="FFFFFF"/>
        <w:ind w:left="1094" w:hanging="547"/>
        <w:jc w:val="both"/>
        <w:rPr>
          <w:rFonts w:asciiTheme="majorHAnsi" w:eastAsia="Cambria" w:hAnsiTheme="majorHAnsi" w:cstheme="minorHAnsi"/>
          <w:sz w:val="22"/>
          <w:szCs w:val="22"/>
          <w:lang w:val="es-US"/>
        </w:rPr>
      </w:pPr>
      <w:r w:rsidRPr="00930562">
        <w:rPr>
          <w:rFonts w:asciiTheme="majorHAnsi" w:hAnsiTheme="majorHAnsi" w:cstheme="minorHAnsi"/>
          <w:sz w:val="22"/>
          <w:szCs w:val="22"/>
          <w:lang w:val="es-US"/>
        </w:rPr>
        <w:t xml:space="preserve">Asegurar que todas las entidades gubernamentales, locales, estatales y federales, </w:t>
      </w:r>
      <w:r w:rsidR="00E24166" w:rsidRPr="00930562">
        <w:rPr>
          <w:rFonts w:asciiTheme="majorHAnsi" w:hAnsiTheme="majorHAnsi" w:cstheme="minorHAnsi"/>
          <w:sz w:val="22"/>
          <w:szCs w:val="22"/>
          <w:lang w:val="es-US"/>
        </w:rPr>
        <w:t xml:space="preserve">cumplan plenamente </w:t>
      </w:r>
      <w:r w:rsidRPr="00930562">
        <w:rPr>
          <w:rFonts w:asciiTheme="majorHAnsi" w:hAnsiTheme="majorHAnsi" w:cstheme="minorHAnsi"/>
          <w:sz w:val="22"/>
          <w:szCs w:val="22"/>
          <w:lang w:val="es-US"/>
        </w:rPr>
        <w:t xml:space="preserve">las leyes nacionales </w:t>
      </w:r>
      <w:r w:rsidR="00E24166" w:rsidRPr="00930562">
        <w:rPr>
          <w:rFonts w:asciiTheme="majorHAnsi" w:hAnsiTheme="majorHAnsi" w:cstheme="minorHAnsi"/>
          <w:sz w:val="22"/>
          <w:szCs w:val="22"/>
          <w:lang w:val="es-US"/>
        </w:rPr>
        <w:t xml:space="preserve">relevantes </w:t>
      </w:r>
      <w:r w:rsidRPr="00930562">
        <w:rPr>
          <w:rFonts w:asciiTheme="majorHAnsi" w:hAnsiTheme="majorHAnsi" w:cstheme="minorHAnsi"/>
          <w:sz w:val="22"/>
          <w:szCs w:val="22"/>
          <w:lang w:val="es-US"/>
        </w:rPr>
        <w:t>que ordenan el monitoreo, la supervisión y la investigación de posibles violaciones a los derechos humanos o civiles por parte de actores estatales, como departamentos polic</w:t>
      </w:r>
      <w:r w:rsidR="00AE15BA" w:rsidRPr="00930562">
        <w:rPr>
          <w:rFonts w:asciiTheme="majorHAnsi" w:hAnsiTheme="majorHAnsi" w:cstheme="minorHAnsi"/>
          <w:sz w:val="22"/>
          <w:szCs w:val="22"/>
          <w:lang w:val="es-US"/>
        </w:rPr>
        <w:t xml:space="preserve">iales, así como personas particulares </w:t>
      </w:r>
      <w:r w:rsidR="00F5020D" w:rsidRPr="00930562">
        <w:rPr>
          <w:rFonts w:asciiTheme="majorHAnsi" w:hAnsiTheme="majorHAnsi" w:cstheme="minorHAnsi"/>
          <w:sz w:val="22"/>
          <w:szCs w:val="22"/>
          <w:lang w:val="es-US"/>
        </w:rPr>
        <w:t xml:space="preserve">(Rec. </w:t>
      </w:r>
      <w:r w:rsidR="0078450D" w:rsidRPr="00930562">
        <w:rPr>
          <w:rFonts w:asciiTheme="majorHAnsi" w:hAnsiTheme="majorHAnsi" w:cstheme="minorHAnsi"/>
          <w:sz w:val="22"/>
          <w:szCs w:val="22"/>
          <w:lang w:val="es-US"/>
        </w:rPr>
        <w:t>5</w:t>
      </w:r>
      <w:r w:rsidR="00F5020D" w:rsidRPr="00930562">
        <w:rPr>
          <w:rFonts w:asciiTheme="majorHAnsi" w:hAnsiTheme="majorHAnsi" w:cstheme="minorHAnsi"/>
          <w:sz w:val="22"/>
          <w:szCs w:val="22"/>
          <w:lang w:val="es-US"/>
        </w:rPr>
        <w:t>).</w:t>
      </w:r>
    </w:p>
    <w:p w14:paraId="0F640874" w14:textId="77777777" w:rsidR="00D95EA5" w:rsidRPr="00930562" w:rsidRDefault="00D95EA5" w:rsidP="00827D30">
      <w:pPr>
        <w:pStyle w:val="HTMLPreformatted"/>
        <w:shd w:val="clear" w:color="auto" w:fill="FFFFFF"/>
        <w:ind w:left="1094" w:hanging="547"/>
        <w:jc w:val="both"/>
        <w:rPr>
          <w:rFonts w:asciiTheme="majorHAnsi" w:eastAsia="Cambria" w:hAnsiTheme="majorHAnsi" w:cstheme="minorHAnsi"/>
          <w:sz w:val="22"/>
          <w:szCs w:val="22"/>
          <w:lang w:val="es-US"/>
        </w:rPr>
      </w:pPr>
    </w:p>
    <w:p w14:paraId="0BA4F1A2" w14:textId="14B30ABA" w:rsidR="00E24166" w:rsidRPr="00930562" w:rsidRDefault="00E24166" w:rsidP="00724857">
      <w:pPr>
        <w:pStyle w:val="HTMLPreformatted"/>
        <w:numPr>
          <w:ilvl w:val="0"/>
          <w:numId w:val="11"/>
        </w:numPr>
        <w:shd w:val="clear" w:color="auto" w:fill="FFFFFF"/>
        <w:ind w:left="1094" w:hanging="547"/>
        <w:jc w:val="both"/>
        <w:rPr>
          <w:rFonts w:asciiTheme="majorHAnsi" w:eastAsia="Cambria" w:hAnsiTheme="majorHAnsi" w:cstheme="minorHAnsi"/>
          <w:sz w:val="22"/>
          <w:szCs w:val="22"/>
          <w:lang w:val="es-US"/>
        </w:rPr>
      </w:pPr>
      <w:r w:rsidRPr="00930562">
        <w:rPr>
          <w:rFonts w:asciiTheme="majorHAnsi" w:hAnsiTheme="majorHAnsi" w:cstheme="minorHAnsi"/>
          <w:sz w:val="22"/>
          <w:szCs w:val="22"/>
          <w:lang w:val="es-US"/>
        </w:rPr>
        <w:t xml:space="preserve">Crear </w:t>
      </w:r>
      <w:r w:rsidR="00EF65C6" w:rsidRPr="00930562">
        <w:rPr>
          <w:rFonts w:asciiTheme="majorHAnsi" w:hAnsiTheme="majorHAnsi" w:cstheme="minorHAnsi"/>
          <w:sz w:val="22"/>
          <w:szCs w:val="22"/>
          <w:lang w:val="es-US"/>
        </w:rPr>
        <w:t xml:space="preserve">defensorías independientes a nivel estatal y local que reciban denuncias sobre trato discriminatorio y adopten las medidas necesarias (Rec. </w:t>
      </w:r>
      <w:r w:rsidR="0078450D" w:rsidRPr="00930562">
        <w:rPr>
          <w:rFonts w:asciiTheme="majorHAnsi" w:hAnsiTheme="majorHAnsi" w:cstheme="minorHAnsi"/>
          <w:sz w:val="22"/>
          <w:szCs w:val="22"/>
          <w:lang w:val="es-US"/>
        </w:rPr>
        <w:t>12</w:t>
      </w:r>
      <w:r w:rsidR="00EF65C6" w:rsidRPr="00930562">
        <w:rPr>
          <w:rFonts w:asciiTheme="majorHAnsi" w:hAnsiTheme="majorHAnsi" w:cstheme="minorHAnsi"/>
          <w:sz w:val="22"/>
          <w:szCs w:val="22"/>
          <w:lang w:val="es-US"/>
        </w:rPr>
        <w:t>)</w:t>
      </w:r>
      <w:r w:rsidRPr="00930562">
        <w:rPr>
          <w:rFonts w:asciiTheme="majorHAnsi" w:hAnsiTheme="majorHAnsi" w:cstheme="minorHAnsi"/>
          <w:sz w:val="22"/>
          <w:szCs w:val="22"/>
          <w:lang w:val="es-US"/>
        </w:rPr>
        <w:t>.</w:t>
      </w:r>
    </w:p>
    <w:p w14:paraId="51D67CC3" w14:textId="77777777" w:rsidR="00EF65C6" w:rsidRPr="00930562" w:rsidRDefault="00EF65C6" w:rsidP="00827D30">
      <w:pPr>
        <w:pStyle w:val="HTMLPreformatted"/>
        <w:shd w:val="clear" w:color="auto" w:fill="FFFFFF"/>
        <w:ind w:left="1094" w:hanging="547"/>
        <w:jc w:val="both"/>
        <w:rPr>
          <w:rFonts w:asciiTheme="majorHAnsi" w:eastAsia="Cambria" w:hAnsiTheme="majorHAnsi" w:cstheme="minorHAnsi"/>
          <w:sz w:val="22"/>
          <w:szCs w:val="22"/>
          <w:lang w:val="es-US"/>
        </w:rPr>
      </w:pPr>
      <w:r w:rsidRPr="00930562">
        <w:rPr>
          <w:rFonts w:asciiTheme="majorHAnsi" w:hAnsiTheme="majorHAnsi" w:cstheme="minorHAnsi"/>
          <w:sz w:val="22"/>
          <w:szCs w:val="22"/>
          <w:lang w:val="es-US"/>
        </w:rPr>
        <w:t xml:space="preserve"> </w:t>
      </w:r>
    </w:p>
    <w:p w14:paraId="2C7D256D" w14:textId="1AEBA6DD" w:rsidR="00B54767" w:rsidRPr="00930562" w:rsidRDefault="00B54767" w:rsidP="00724857">
      <w:pPr>
        <w:pStyle w:val="ListParagraph"/>
        <w:numPr>
          <w:ilvl w:val="0"/>
          <w:numId w:val="5"/>
        </w:numPr>
        <w:spacing w:after="240" w:line="240" w:lineRule="auto"/>
        <w:ind w:left="1094" w:hanging="547"/>
        <w:contextualSpacing w:val="0"/>
        <w:jc w:val="both"/>
        <w:rPr>
          <w:rFonts w:asciiTheme="majorHAnsi" w:hAnsiTheme="majorHAnsi" w:cstheme="minorHAnsi"/>
          <w:lang w:val="es-US"/>
        </w:rPr>
      </w:pPr>
      <w:r w:rsidRPr="00930562">
        <w:rPr>
          <w:rFonts w:asciiTheme="majorHAnsi" w:hAnsiTheme="majorHAnsi" w:cstheme="minorHAnsi"/>
          <w:lang w:val="es-US"/>
        </w:rPr>
        <w:t>Ado</w:t>
      </w:r>
      <w:r w:rsidR="00C57330" w:rsidRPr="00930562">
        <w:rPr>
          <w:rFonts w:asciiTheme="majorHAnsi" w:hAnsiTheme="majorHAnsi" w:cstheme="minorHAnsi"/>
          <w:lang w:val="es-US"/>
        </w:rPr>
        <w:t>p</w:t>
      </w:r>
      <w:r w:rsidRPr="00930562">
        <w:rPr>
          <w:rFonts w:asciiTheme="majorHAnsi" w:hAnsiTheme="majorHAnsi" w:cstheme="minorHAnsi"/>
          <w:lang w:val="es-US"/>
        </w:rPr>
        <w:t>tar las medidas necesari</w:t>
      </w:r>
      <w:r w:rsidR="00C57330" w:rsidRPr="00930562">
        <w:rPr>
          <w:rFonts w:asciiTheme="majorHAnsi" w:hAnsiTheme="majorHAnsi" w:cstheme="minorHAnsi"/>
          <w:lang w:val="es-US"/>
        </w:rPr>
        <w:t>a</w:t>
      </w:r>
      <w:r w:rsidRPr="00930562">
        <w:rPr>
          <w:rFonts w:asciiTheme="majorHAnsi" w:hAnsiTheme="majorHAnsi" w:cstheme="minorHAnsi"/>
          <w:lang w:val="es-US"/>
        </w:rPr>
        <w:t xml:space="preserve">s para reformar la </w:t>
      </w:r>
      <w:r w:rsidR="00C57330" w:rsidRPr="00930562">
        <w:rPr>
          <w:rFonts w:asciiTheme="majorHAnsi" w:hAnsiTheme="majorHAnsi" w:cstheme="minorHAnsi"/>
          <w:lang w:val="es-US"/>
        </w:rPr>
        <w:t>legislación</w:t>
      </w:r>
      <w:r w:rsidRPr="00930562">
        <w:rPr>
          <w:rFonts w:asciiTheme="majorHAnsi" w:hAnsiTheme="majorHAnsi" w:cstheme="minorHAnsi"/>
          <w:lang w:val="es-US"/>
        </w:rPr>
        <w:t xml:space="preserve"> </w:t>
      </w:r>
      <w:r w:rsidR="00C57330" w:rsidRPr="00930562">
        <w:rPr>
          <w:rFonts w:asciiTheme="majorHAnsi" w:hAnsiTheme="majorHAnsi" w:cstheme="minorHAnsi"/>
          <w:lang w:val="es-US"/>
        </w:rPr>
        <w:t>nacional</w:t>
      </w:r>
      <w:r w:rsidRPr="00930562">
        <w:rPr>
          <w:rFonts w:asciiTheme="majorHAnsi" w:hAnsiTheme="majorHAnsi" w:cstheme="minorHAnsi"/>
          <w:lang w:val="es-US"/>
        </w:rPr>
        <w:t xml:space="preserve"> –tanto </w:t>
      </w:r>
      <w:r w:rsidR="00C57330" w:rsidRPr="00930562">
        <w:rPr>
          <w:rFonts w:asciiTheme="majorHAnsi" w:hAnsiTheme="majorHAnsi" w:cstheme="minorHAnsi"/>
          <w:lang w:val="es-US"/>
        </w:rPr>
        <w:t>federal como</w:t>
      </w:r>
      <w:r w:rsidRPr="00930562">
        <w:rPr>
          <w:rFonts w:asciiTheme="majorHAnsi" w:hAnsiTheme="majorHAnsi" w:cstheme="minorHAnsi"/>
          <w:lang w:val="es-US"/>
        </w:rPr>
        <w:t xml:space="preserve"> estatal – con el fin de adecuarla al derecho internacional en lo que respecta al uso de la fuerza y el uso de la fuerza </w:t>
      </w:r>
      <w:r w:rsidR="00C57330" w:rsidRPr="00930562">
        <w:rPr>
          <w:rFonts w:asciiTheme="majorHAnsi" w:hAnsiTheme="majorHAnsi" w:cstheme="minorHAnsi"/>
          <w:lang w:val="es-US"/>
        </w:rPr>
        <w:t>letal</w:t>
      </w:r>
      <w:r w:rsidRPr="00930562">
        <w:rPr>
          <w:rFonts w:asciiTheme="majorHAnsi" w:hAnsiTheme="majorHAnsi" w:cstheme="minorHAnsi"/>
          <w:lang w:val="es-US"/>
        </w:rPr>
        <w:t xml:space="preserve">, respetando los principios de </w:t>
      </w:r>
      <w:r w:rsidR="00E24166" w:rsidRPr="00930562">
        <w:rPr>
          <w:rFonts w:asciiTheme="majorHAnsi" w:hAnsiTheme="majorHAnsi" w:cstheme="minorHAnsi"/>
          <w:lang w:val="es-US"/>
        </w:rPr>
        <w:t>legalidad, absoluta necesidad, y</w:t>
      </w:r>
      <w:r w:rsidRPr="00930562">
        <w:rPr>
          <w:rFonts w:asciiTheme="majorHAnsi" w:hAnsiTheme="majorHAnsi" w:cstheme="minorHAnsi"/>
          <w:lang w:val="es-US"/>
        </w:rPr>
        <w:t xml:space="preserve"> proporcionalidad (Rec. </w:t>
      </w:r>
      <w:r w:rsidR="0078450D" w:rsidRPr="00930562">
        <w:rPr>
          <w:rFonts w:asciiTheme="majorHAnsi" w:hAnsiTheme="majorHAnsi" w:cstheme="minorHAnsi"/>
          <w:lang w:val="es-US"/>
        </w:rPr>
        <w:t>13</w:t>
      </w:r>
      <w:r w:rsidR="00C57330" w:rsidRPr="00930562">
        <w:rPr>
          <w:rFonts w:asciiTheme="majorHAnsi" w:hAnsiTheme="majorHAnsi" w:cstheme="minorHAnsi"/>
          <w:lang w:val="es-US"/>
        </w:rPr>
        <w:t>).</w:t>
      </w:r>
    </w:p>
    <w:p w14:paraId="58117F3E" w14:textId="227D292F" w:rsidR="00966FAC" w:rsidRPr="00930562" w:rsidRDefault="005031AD" w:rsidP="00724857">
      <w:pPr>
        <w:pStyle w:val="ListParagraph"/>
        <w:numPr>
          <w:ilvl w:val="0"/>
          <w:numId w:val="5"/>
        </w:numPr>
        <w:spacing w:after="240" w:line="240" w:lineRule="auto"/>
        <w:ind w:left="1094" w:hanging="547"/>
        <w:contextualSpacing w:val="0"/>
        <w:jc w:val="both"/>
        <w:rPr>
          <w:rFonts w:asciiTheme="majorHAnsi" w:hAnsiTheme="majorHAnsi" w:cstheme="minorHAnsi"/>
          <w:lang w:val="es-US"/>
        </w:rPr>
      </w:pPr>
      <w:r w:rsidRPr="00930562">
        <w:rPr>
          <w:rFonts w:asciiTheme="majorHAnsi" w:hAnsiTheme="majorHAnsi" w:cstheme="minorHAnsi"/>
          <w:lang w:val="es-US"/>
        </w:rPr>
        <w:t>Crear</w:t>
      </w:r>
      <w:r w:rsidR="00966FAC" w:rsidRPr="00930562">
        <w:rPr>
          <w:rFonts w:asciiTheme="majorHAnsi" w:hAnsiTheme="majorHAnsi" w:cstheme="minorHAnsi"/>
          <w:lang w:val="es-US"/>
        </w:rPr>
        <w:t xml:space="preserve"> una base de datos federal para dar</w:t>
      </w:r>
      <w:r w:rsidR="00966FAC" w:rsidRPr="00930562">
        <w:rPr>
          <w:rFonts w:asciiTheme="majorHAnsi" w:eastAsia="Calibri" w:hAnsiTheme="majorHAnsi" w:cstheme="minorHAnsi"/>
          <w:lang w:val="es-US"/>
        </w:rPr>
        <w:t xml:space="preserve"> seguimiento </w:t>
      </w:r>
      <w:r w:rsidR="00966FAC" w:rsidRPr="00930562">
        <w:rPr>
          <w:rFonts w:asciiTheme="majorHAnsi" w:hAnsiTheme="majorHAnsi" w:cstheme="minorHAnsi"/>
          <w:lang w:val="es-US"/>
        </w:rPr>
        <w:t>a</w:t>
      </w:r>
      <w:r w:rsidR="00966FAC" w:rsidRPr="00930562">
        <w:rPr>
          <w:rFonts w:asciiTheme="majorHAnsi" w:eastAsia="Calibri" w:hAnsiTheme="majorHAnsi" w:cstheme="minorHAnsi"/>
          <w:lang w:val="es-US"/>
        </w:rPr>
        <w:t xml:space="preserve"> incidentes </w:t>
      </w:r>
      <w:r w:rsidR="00E24166" w:rsidRPr="00930562">
        <w:rPr>
          <w:rFonts w:asciiTheme="majorHAnsi" w:hAnsiTheme="majorHAnsi" w:cstheme="minorHAnsi"/>
          <w:lang w:val="es-US"/>
        </w:rPr>
        <w:t>que involucren el uso</w:t>
      </w:r>
      <w:r w:rsidR="006A63A6" w:rsidRPr="00930562">
        <w:rPr>
          <w:rFonts w:asciiTheme="majorHAnsi" w:hAnsiTheme="majorHAnsi" w:cstheme="minorHAnsi"/>
          <w:lang w:val="es-US"/>
        </w:rPr>
        <w:t xml:space="preserve"> de fuerza </w:t>
      </w:r>
      <w:r w:rsidR="00966FAC" w:rsidRPr="00930562">
        <w:rPr>
          <w:rFonts w:asciiTheme="majorHAnsi" w:eastAsia="Calibri" w:hAnsiTheme="majorHAnsi" w:cstheme="minorHAnsi"/>
          <w:lang w:val="es-US"/>
        </w:rPr>
        <w:t xml:space="preserve">policial </w:t>
      </w:r>
      <w:r w:rsidR="006A63A6" w:rsidRPr="00930562">
        <w:rPr>
          <w:rFonts w:asciiTheme="majorHAnsi" w:hAnsiTheme="majorHAnsi" w:cstheme="minorHAnsi"/>
          <w:lang w:val="es-US"/>
        </w:rPr>
        <w:t>proveniente de todos los organismos de orden público</w:t>
      </w:r>
      <w:r w:rsidRPr="00930562">
        <w:rPr>
          <w:rFonts w:asciiTheme="majorHAnsi" w:hAnsiTheme="majorHAnsi" w:cstheme="minorHAnsi"/>
          <w:lang w:val="es-US"/>
        </w:rPr>
        <w:t>,</w:t>
      </w:r>
      <w:r w:rsidR="006A63A6" w:rsidRPr="00930562">
        <w:rPr>
          <w:rFonts w:asciiTheme="majorHAnsi" w:hAnsiTheme="majorHAnsi" w:cstheme="minorHAnsi"/>
          <w:lang w:val="es-US"/>
        </w:rPr>
        <w:t xml:space="preserve"> </w:t>
      </w:r>
      <w:r w:rsidR="00E24166" w:rsidRPr="00930562">
        <w:rPr>
          <w:rFonts w:asciiTheme="majorHAnsi" w:hAnsiTheme="majorHAnsi" w:cstheme="minorHAnsi"/>
          <w:lang w:val="es-US"/>
        </w:rPr>
        <w:t>de manera</w:t>
      </w:r>
      <w:r w:rsidR="006A63A6" w:rsidRPr="00930562">
        <w:rPr>
          <w:rFonts w:asciiTheme="majorHAnsi" w:hAnsiTheme="majorHAnsi" w:cstheme="minorHAnsi"/>
          <w:lang w:val="es-US"/>
        </w:rPr>
        <w:t xml:space="preserve"> </w:t>
      </w:r>
      <w:r w:rsidR="00966FAC" w:rsidRPr="00930562">
        <w:rPr>
          <w:rFonts w:asciiTheme="majorHAnsi" w:eastAsia="Calibri" w:hAnsiTheme="majorHAnsi" w:cstheme="minorHAnsi"/>
          <w:lang w:val="es-US"/>
        </w:rPr>
        <w:t xml:space="preserve">transparente, </w:t>
      </w:r>
      <w:r w:rsidR="006A63A6" w:rsidRPr="00930562">
        <w:rPr>
          <w:rFonts w:asciiTheme="majorHAnsi" w:hAnsiTheme="majorHAnsi" w:cstheme="minorHAnsi"/>
          <w:lang w:val="es-US"/>
        </w:rPr>
        <w:t xml:space="preserve">pública y </w:t>
      </w:r>
      <w:r w:rsidR="00966FAC" w:rsidRPr="00930562">
        <w:rPr>
          <w:rFonts w:asciiTheme="majorHAnsi" w:eastAsia="Calibri" w:hAnsiTheme="majorHAnsi" w:cstheme="minorHAnsi"/>
          <w:lang w:val="es-US"/>
        </w:rPr>
        <w:t>uniforme</w:t>
      </w:r>
      <w:r w:rsidR="006A63A6" w:rsidRPr="00930562">
        <w:rPr>
          <w:rFonts w:asciiTheme="majorHAnsi" w:hAnsiTheme="majorHAnsi" w:cstheme="minorHAnsi"/>
          <w:lang w:val="es-US"/>
        </w:rPr>
        <w:t xml:space="preserve"> y que contenga</w:t>
      </w:r>
      <w:r w:rsidR="00966FAC" w:rsidRPr="00930562">
        <w:rPr>
          <w:rFonts w:asciiTheme="majorHAnsi" w:eastAsia="Calibri" w:hAnsiTheme="majorHAnsi" w:cstheme="minorHAnsi"/>
          <w:lang w:val="es-US"/>
        </w:rPr>
        <w:t xml:space="preserve"> datos </w:t>
      </w:r>
      <w:r w:rsidR="006A63A6" w:rsidRPr="00930562">
        <w:rPr>
          <w:rFonts w:asciiTheme="majorHAnsi" w:hAnsiTheme="majorHAnsi" w:cstheme="minorHAnsi"/>
          <w:lang w:val="es-US"/>
        </w:rPr>
        <w:t>demográficos desglosados</w:t>
      </w:r>
      <w:r w:rsidR="00966FAC" w:rsidRPr="00930562">
        <w:rPr>
          <w:rFonts w:asciiTheme="majorHAnsi" w:eastAsia="Calibri" w:hAnsiTheme="majorHAnsi" w:cstheme="minorHAnsi"/>
          <w:lang w:val="es-US"/>
        </w:rPr>
        <w:t>​</w:t>
      </w:r>
      <w:r w:rsidRPr="00930562">
        <w:rPr>
          <w:rFonts w:asciiTheme="majorHAnsi" w:eastAsia="Calibri" w:hAnsiTheme="majorHAnsi" w:cstheme="minorHAnsi"/>
          <w:lang w:val="es-US"/>
        </w:rPr>
        <w:t xml:space="preserve"> </w:t>
      </w:r>
      <w:r w:rsidR="006A63A6" w:rsidRPr="00930562">
        <w:rPr>
          <w:rFonts w:asciiTheme="majorHAnsi" w:hAnsiTheme="majorHAnsi" w:cstheme="minorHAnsi"/>
          <w:lang w:val="es-US"/>
        </w:rPr>
        <w:t>de</w:t>
      </w:r>
      <w:r w:rsidR="00966FAC" w:rsidRPr="00930562">
        <w:rPr>
          <w:rFonts w:asciiTheme="majorHAnsi" w:eastAsia="Calibri" w:hAnsiTheme="majorHAnsi" w:cstheme="minorHAnsi"/>
          <w:lang w:val="es-US"/>
        </w:rPr>
        <w:t xml:space="preserve">​ todas las víctimas y </w:t>
      </w:r>
      <w:r w:rsidR="006A63A6" w:rsidRPr="00930562">
        <w:rPr>
          <w:rFonts w:asciiTheme="majorHAnsi" w:hAnsiTheme="majorHAnsi" w:cstheme="minorHAnsi"/>
          <w:lang w:val="es-US"/>
        </w:rPr>
        <w:t xml:space="preserve">funcionarios policiales involucrados (Rec. </w:t>
      </w:r>
      <w:r w:rsidR="0078450D" w:rsidRPr="00930562">
        <w:rPr>
          <w:rFonts w:asciiTheme="majorHAnsi" w:hAnsiTheme="majorHAnsi" w:cstheme="minorHAnsi"/>
          <w:lang w:val="es-US"/>
        </w:rPr>
        <w:t>20</w:t>
      </w:r>
      <w:r w:rsidR="006A63A6" w:rsidRPr="00930562">
        <w:rPr>
          <w:rFonts w:asciiTheme="majorHAnsi" w:hAnsiTheme="majorHAnsi" w:cstheme="minorHAnsi"/>
          <w:lang w:val="es-US"/>
        </w:rPr>
        <w:t>).</w:t>
      </w:r>
    </w:p>
    <w:p w14:paraId="324B53A7" w14:textId="48944D03" w:rsidR="00840323" w:rsidRPr="00930562" w:rsidRDefault="00F842D9" w:rsidP="00724857">
      <w:pPr>
        <w:pStyle w:val="ListParagraph"/>
        <w:numPr>
          <w:ilvl w:val="0"/>
          <w:numId w:val="5"/>
        </w:numPr>
        <w:spacing w:after="240" w:line="240" w:lineRule="auto"/>
        <w:ind w:left="1094" w:hanging="547"/>
        <w:contextualSpacing w:val="0"/>
        <w:jc w:val="both"/>
        <w:rPr>
          <w:rFonts w:asciiTheme="majorHAnsi" w:hAnsiTheme="majorHAnsi" w:cstheme="minorHAnsi"/>
          <w:lang w:val="es-US"/>
        </w:rPr>
      </w:pPr>
      <w:r w:rsidRPr="00930562">
        <w:rPr>
          <w:rFonts w:asciiTheme="majorHAnsi" w:hAnsiTheme="majorHAnsi" w:cstheme="minorHAnsi"/>
          <w:lang w:val="es-US"/>
        </w:rPr>
        <w:t xml:space="preserve">Asegurar una investigación pronta, exhaustiva, independiente, imparcial y efectiva sobre incidentes del uso excesivo de la fuerza y homicidios policiales, garantizando la investigación de todas las partes potencialmente responsables y, según corresponda, su enjuiciamiento y condena apropiados (Rec. </w:t>
      </w:r>
      <w:r w:rsidR="0078450D" w:rsidRPr="00930562">
        <w:rPr>
          <w:rFonts w:asciiTheme="majorHAnsi" w:hAnsiTheme="majorHAnsi" w:cstheme="minorHAnsi"/>
          <w:lang w:val="es-US"/>
        </w:rPr>
        <w:t>21</w:t>
      </w:r>
      <w:r w:rsidRPr="00930562">
        <w:rPr>
          <w:rFonts w:asciiTheme="majorHAnsi" w:hAnsiTheme="majorHAnsi" w:cstheme="minorHAnsi"/>
          <w:lang w:val="es-US"/>
        </w:rPr>
        <w:t xml:space="preserve">).   </w:t>
      </w:r>
    </w:p>
    <w:p w14:paraId="0ED4F740" w14:textId="3FEAA1A3" w:rsidR="008075A7" w:rsidRPr="00930562" w:rsidRDefault="008075A7" w:rsidP="00724857">
      <w:pPr>
        <w:pStyle w:val="ListParagraph"/>
        <w:numPr>
          <w:ilvl w:val="0"/>
          <w:numId w:val="5"/>
        </w:numPr>
        <w:spacing w:after="240" w:line="240" w:lineRule="auto"/>
        <w:ind w:left="1094" w:hanging="547"/>
        <w:contextualSpacing w:val="0"/>
        <w:jc w:val="both"/>
        <w:rPr>
          <w:rFonts w:asciiTheme="majorHAnsi" w:hAnsiTheme="majorHAnsi" w:cstheme="minorHAnsi"/>
          <w:lang w:val="es-US"/>
        </w:rPr>
      </w:pPr>
      <w:r w:rsidRPr="00930562">
        <w:rPr>
          <w:rFonts w:asciiTheme="majorHAnsi" w:hAnsiTheme="majorHAnsi" w:cstheme="minorHAnsi"/>
          <w:lang w:val="es-US"/>
        </w:rPr>
        <w:t>Eliminar todos los obstáculos</w:t>
      </w:r>
      <w:r w:rsidR="00E24166" w:rsidRPr="00930562">
        <w:rPr>
          <w:rFonts w:asciiTheme="majorHAnsi" w:hAnsiTheme="majorHAnsi" w:cstheme="minorHAnsi"/>
          <w:lang w:val="es-US"/>
        </w:rPr>
        <w:t xml:space="preserve"> jurídicos y</w:t>
      </w:r>
      <w:r w:rsidRPr="00930562">
        <w:rPr>
          <w:rFonts w:asciiTheme="majorHAnsi" w:hAnsiTheme="majorHAnsi" w:cstheme="minorHAnsi"/>
          <w:lang w:val="es-US"/>
        </w:rPr>
        <w:t xml:space="preserve"> de facto de las investigaciones internas, procesos penales, procesos civiles e investigaciones federales que mantienen impunidad sobre los casos de homicidios policiales (Rec. </w:t>
      </w:r>
      <w:r w:rsidR="0078450D" w:rsidRPr="00930562">
        <w:rPr>
          <w:rFonts w:asciiTheme="majorHAnsi" w:hAnsiTheme="majorHAnsi" w:cstheme="minorHAnsi"/>
          <w:lang w:val="es-US"/>
        </w:rPr>
        <w:t>22</w:t>
      </w:r>
      <w:r w:rsidRPr="00930562">
        <w:rPr>
          <w:rFonts w:asciiTheme="majorHAnsi" w:hAnsiTheme="majorHAnsi" w:cstheme="minorHAnsi"/>
          <w:lang w:val="es-US"/>
        </w:rPr>
        <w:t xml:space="preserve">) y garantizar sanciones efectivas y proporcionadas a los policías que cometen </w:t>
      </w:r>
      <w:r w:rsidR="00E24166" w:rsidRPr="00930562">
        <w:rPr>
          <w:rFonts w:asciiTheme="majorHAnsi" w:hAnsiTheme="majorHAnsi" w:cstheme="minorHAnsi"/>
          <w:lang w:val="es-US"/>
        </w:rPr>
        <w:t xml:space="preserve">delitos o </w:t>
      </w:r>
      <w:r w:rsidRPr="00930562">
        <w:rPr>
          <w:rFonts w:asciiTheme="majorHAnsi" w:hAnsiTheme="majorHAnsi" w:cstheme="minorHAnsi"/>
          <w:lang w:val="es-US"/>
        </w:rPr>
        <w:t>conducta</w:t>
      </w:r>
      <w:r w:rsidR="00977F1B" w:rsidRPr="00930562">
        <w:rPr>
          <w:rFonts w:asciiTheme="majorHAnsi" w:hAnsiTheme="majorHAnsi" w:cstheme="minorHAnsi"/>
          <w:lang w:val="es-US"/>
        </w:rPr>
        <w:t>s indebidas</w:t>
      </w:r>
      <w:r w:rsidRPr="00930562">
        <w:rPr>
          <w:rFonts w:asciiTheme="majorHAnsi" w:hAnsiTheme="majorHAnsi" w:cstheme="minorHAnsi"/>
          <w:lang w:val="es-US"/>
        </w:rPr>
        <w:t xml:space="preserve"> (Rec. </w:t>
      </w:r>
      <w:r w:rsidR="0078450D" w:rsidRPr="00930562">
        <w:rPr>
          <w:rFonts w:asciiTheme="majorHAnsi" w:hAnsiTheme="majorHAnsi" w:cstheme="minorHAnsi"/>
          <w:lang w:val="es-US"/>
        </w:rPr>
        <w:t>22</w:t>
      </w:r>
      <w:r w:rsidRPr="00930562">
        <w:rPr>
          <w:rFonts w:asciiTheme="majorHAnsi" w:hAnsiTheme="majorHAnsi" w:cstheme="minorHAnsi"/>
          <w:lang w:val="es-US"/>
        </w:rPr>
        <w:t>).</w:t>
      </w:r>
    </w:p>
    <w:p w14:paraId="1B1E13F7" w14:textId="1DF4827F" w:rsidR="00162E82" w:rsidRPr="00930562" w:rsidRDefault="00162E82" w:rsidP="00724857">
      <w:pPr>
        <w:pStyle w:val="ListParagraph"/>
        <w:numPr>
          <w:ilvl w:val="0"/>
          <w:numId w:val="5"/>
        </w:numPr>
        <w:spacing w:after="240" w:line="240" w:lineRule="auto"/>
        <w:ind w:left="1094" w:hanging="547"/>
        <w:contextualSpacing w:val="0"/>
        <w:jc w:val="both"/>
        <w:rPr>
          <w:rFonts w:asciiTheme="majorHAnsi" w:hAnsiTheme="majorHAnsi" w:cstheme="minorHAnsi"/>
          <w:lang w:val="es-US"/>
        </w:rPr>
      </w:pPr>
      <w:r w:rsidRPr="00930562">
        <w:rPr>
          <w:rFonts w:asciiTheme="majorHAnsi" w:hAnsiTheme="majorHAnsi" w:cstheme="minorHAnsi"/>
          <w:lang w:val="es-US"/>
        </w:rPr>
        <w:lastRenderedPageBreak/>
        <w:t xml:space="preserve">Tomar medidas efectivas para prevenir y combatir la estigmatización y criminalización de los manifestantes, especialmente cuando dicha estigmatización o criminalización pueda ser de </w:t>
      </w:r>
      <w:r w:rsidR="005031AD" w:rsidRPr="00930562">
        <w:rPr>
          <w:rFonts w:asciiTheme="majorHAnsi" w:hAnsiTheme="majorHAnsi" w:cstheme="minorHAnsi"/>
          <w:lang w:val="es-US"/>
        </w:rPr>
        <w:t>carácter</w:t>
      </w:r>
      <w:r w:rsidRPr="00930562">
        <w:rPr>
          <w:rFonts w:asciiTheme="majorHAnsi" w:hAnsiTheme="majorHAnsi" w:cstheme="minorHAnsi"/>
          <w:lang w:val="es-US"/>
        </w:rPr>
        <w:t xml:space="preserve"> discriminatori</w:t>
      </w:r>
      <w:r w:rsidR="005031AD" w:rsidRPr="00930562">
        <w:rPr>
          <w:rFonts w:asciiTheme="majorHAnsi" w:hAnsiTheme="majorHAnsi" w:cstheme="minorHAnsi"/>
          <w:lang w:val="es-US"/>
        </w:rPr>
        <w:t>o por motivos de raza,</w:t>
      </w:r>
      <w:r w:rsidRPr="00930562">
        <w:rPr>
          <w:rFonts w:asciiTheme="majorHAnsi" w:hAnsiTheme="majorHAnsi" w:cstheme="minorHAnsi"/>
          <w:lang w:val="es-US"/>
        </w:rPr>
        <w:t xml:space="preserve"> y garantizar plenamente la libertad de expresión (Rec. </w:t>
      </w:r>
      <w:r w:rsidR="0078450D" w:rsidRPr="00930562">
        <w:rPr>
          <w:rFonts w:asciiTheme="majorHAnsi" w:hAnsiTheme="majorHAnsi" w:cstheme="minorHAnsi"/>
          <w:lang w:val="es-US"/>
        </w:rPr>
        <w:t>19</w:t>
      </w:r>
      <w:r w:rsidRPr="00930562">
        <w:rPr>
          <w:rFonts w:asciiTheme="majorHAnsi" w:hAnsiTheme="majorHAnsi" w:cstheme="minorHAnsi"/>
          <w:lang w:val="es-US"/>
        </w:rPr>
        <w:t xml:space="preserve">).   </w:t>
      </w:r>
    </w:p>
    <w:p w14:paraId="6BF0A9AB" w14:textId="4CC34003" w:rsidR="0013380B" w:rsidRPr="00930562" w:rsidRDefault="00162E82" w:rsidP="00724857">
      <w:pPr>
        <w:pStyle w:val="ListParagraph"/>
        <w:numPr>
          <w:ilvl w:val="0"/>
          <w:numId w:val="5"/>
        </w:numPr>
        <w:spacing w:after="240" w:line="240" w:lineRule="auto"/>
        <w:ind w:left="1094" w:hanging="547"/>
        <w:contextualSpacing w:val="0"/>
        <w:jc w:val="both"/>
        <w:rPr>
          <w:rFonts w:asciiTheme="majorHAnsi" w:hAnsiTheme="majorHAnsi" w:cstheme="minorHAnsi"/>
          <w:lang w:val="es-US"/>
        </w:rPr>
      </w:pPr>
      <w:r w:rsidRPr="00930562">
        <w:rPr>
          <w:rFonts w:asciiTheme="majorHAnsi" w:hAnsiTheme="majorHAnsi" w:cstheme="minorHAnsi"/>
          <w:lang w:val="es-US"/>
        </w:rPr>
        <w:t>Adoptar las medidas necesarias para reformar la legislación nacional –tanto federal como estatal – con el fin de adecuarla al derecho internacional</w:t>
      </w:r>
      <w:r w:rsidR="00EF11F0" w:rsidRPr="00930562">
        <w:rPr>
          <w:rFonts w:asciiTheme="majorHAnsi" w:hAnsiTheme="majorHAnsi" w:cstheme="minorHAnsi"/>
          <w:lang w:val="es-US"/>
        </w:rPr>
        <w:t xml:space="preserve"> con respecto a la obligación de prohibir y sancionar la discriminación</w:t>
      </w:r>
      <w:r w:rsidR="0094419A" w:rsidRPr="00930562">
        <w:rPr>
          <w:rFonts w:asciiTheme="majorHAnsi" w:hAnsiTheme="majorHAnsi" w:cstheme="minorHAnsi"/>
          <w:lang w:val="es-US"/>
        </w:rPr>
        <w:t xml:space="preserve"> </w:t>
      </w:r>
      <w:r w:rsidR="0078450D" w:rsidRPr="00930562">
        <w:rPr>
          <w:rFonts w:asciiTheme="majorHAnsi" w:hAnsiTheme="majorHAnsi" w:cstheme="minorHAnsi"/>
          <w:lang w:val="es-US"/>
        </w:rPr>
        <w:t>explícita</w:t>
      </w:r>
      <w:r w:rsidR="00EF11F0" w:rsidRPr="00930562">
        <w:rPr>
          <w:rFonts w:asciiTheme="majorHAnsi" w:hAnsiTheme="majorHAnsi" w:cstheme="minorHAnsi"/>
          <w:lang w:val="es-US"/>
        </w:rPr>
        <w:t xml:space="preserve"> y el </w:t>
      </w:r>
      <w:r w:rsidR="0094419A" w:rsidRPr="00930562">
        <w:rPr>
          <w:rFonts w:asciiTheme="majorHAnsi" w:hAnsiTheme="majorHAnsi" w:cstheme="minorHAnsi"/>
          <w:lang w:val="es-US"/>
        </w:rPr>
        <w:t>efecto</w:t>
      </w:r>
      <w:r w:rsidR="00EF11F0" w:rsidRPr="00930562">
        <w:rPr>
          <w:rFonts w:asciiTheme="majorHAnsi" w:hAnsiTheme="majorHAnsi" w:cstheme="minorHAnsi"/>
          <w:lang w:val="es-US"/>
        </w:rPr>
        <w:t xml:space="preserve"> </w:t>
      </w:r>
      <w:r w:rsidR="0094419A" w:rsidRPr="00930562">
        <w:rPr>
          <w:rFonts w:asciiTheme="majorHAnsi" w:hAnsiTheme="majorHAnsi" w:cstheme="minorHAnsi"/>
          <w:lang w:val="es-US"/>
        </w:rPr>
        <w:t>desproporcionado</w:t>
      </w:r>
      <w:r w:rsidR="00EF11F0" w:rsidRPr="00930562">
        <w:rPr>
          <w:rFonts w:asciiTheme="majorHAnsi" w:hAnsiTheme="majorHAnsi" w:cstheme="minorHAnsi"/>
          <w:lang w:val="es-US"/>
        </w:rPr>
        <w:t xml:space="preserve"> de leyes y </w:t>
      </w:r>
      <w:r w:rsidR="0094419A" w:rsidRPr="00930562">
        <w:rPr>
          <w:rFonts w:asciiTheme="majorHAnsi" w:hAnsiTheme="majorHAnsi" w:cstheme="minorHAnsi"/>
          <w:lang w:val="es-US"/>
        </w:rPr>
        <w:t xml:space="preserve">políticas </w:t>
      </w:r>
      <w:r w:rsidR="005031AD" w:rsidRPr="00930562">
        <w:rPr>
          <w:rFonts w:asciiTheme="majorHAnsi" w:hAnsiTheme="majorHAnsi" w:cstheme="minorHAnsi"/>
          <w:lang w:val="es-US"/>
        </w:rPr>
        <w:t>manifiestamente</w:t>
      </w:r>
      <w:r w:rsidR="0094419A" w:rsidRPr="00930562">
        <w:rPr>
          <w:rFonts w:asciiTheme="majorHAnsi" w:hAnsiTheme="majorHAnsi" w:cstheme="minorHAnsi"/>
          <w:lang w:val="es-US"/>
        </w:rPr>
        <w:t xml:space="preserve"> neutral</w:t>
      </w:r>
      <w:r w:rsidR="005031AD" w:rsidRPr="00930562">
        <w:rPr>
          <w:rFonts w:asciiTheme="majorHAnsi" w:hAnsiTheme="majorHAnsi" w:cstheme="minorHAnsi"/>
          <w:lang w:val="es-US"/>
        </w:rPr>
        <w:t>es</w:t>
      </w:r>
      <w:r w:rsidR="0094419A" w:rsidRPr="00930562">
        <w:rPr>
          <w:rFonts w:asciiTheme="majorHAnsi" w:hAnsiTheme="majorHAnsi" w:cstheme="minorHAnsi"/>
          <w:lang w:val="es-US"/>
        </w:rPr>
        <w:t xml:space="preserve"> </w:t>
      </w:r>
      <w:r w:rsidR="00EF11F0" w:rsidRPr="00930562">
        <w:rPr>
          <w:rFonts w:asciiTheme="majorHAnsi" w:hAnsiTheme="majorHAnsi" w:cstheme="minorHAnsi"/>
          <w:lang w:val="es-US"/>
        </w:rPr>
        <w:t xml:space="preserve">(Rec. </w:t>
      </w:r>
      <w:r w:rsidR="0078450D" w:rsidRPr="00930562">
        <w:rPr>
          <w:rFonts w:asciiTheme="majorHAnsi" w:hAnsiTheme="majorHAnsi" w:cstheme="minorHAnsi"/>
          <w:lang w:val="es-US"/>
        </w:rPr>
        <w:t>7</w:t>
      </w:r>
      <w:r w:rsidR="00EF11F0" w:rsidRPr="00930562">
        <w:rPr>
          <w:rFonts w:asciiTheme="majorHAnsi" w:hAnsiTheme="majorHAnsi" w:cstheme="minorHAnsi"/>
          <w:lang w:val="es-US"/>
        </w:rPr>
        <w:t xml:space="preserve">).   </w:t>
      </w:r>
    </w:p>
    <w:p w14:paraId="0AA9F524" w14:textId="6FE1897B" w:rsidR="001F0E2D" w:rsidRPr="00930562" w:rsidRDefault="001F0E2D" w:rsidP="00724857">
      <w:pPr>
        <w:pStyle w:val="ListParagraph"/>
        <w:numPr>
          <w:ilvl w:val="0"/>
          <w:numId w:val="5"/>
        </w:numPr>
        <w:spacing w:after="240" w:line="240" w:lineRule="auto"/>
        <w:ind w:left="1094" w:hanging="547"/>
        <w:contextualSpacing w:val="0"/>
        <w:jc w:val="both"/>
        <w:rPr>
          <w:rFonts w:asciiTheme="majorHAnsi" w:hAnsiTheme="majorHAnsi" w:cstheme="minorHAnsi"/>
          <w:lang w:val="es-US"/>
        </w:rPr>
      </w:pPr>
      <w:r w:rsidRPr="00930562">
        <w:rPr>
          <w:rFonts w:asciiTheme="majorHAnsi" w:hAnsiTheme="majorHAnsi" w:cstheme="minorHAnsi"/>
          <w:lang w:val="es-US"/>
        </w:rPr>
        <w:t xml:space="preserve">Tomar medidas para revertir el impacto de políticas con efectos desproporcionados por motivos de raza (Rec. </w:t>
      </w:r>
      <w:r w:rsidR="0078450D" w:rsidRPr="00930562">
        <w:rPr>
          <w:rFonts w:asciiTheme="majorHAnsi" w:hAnsiTheme="majorHAnsi" w:cstheme="minorHAnsi"/>
          <w:lang w:val="es-US"/>
        </w:rPr>
        <w:t>11</w:t>
      </w:r>
      <w:r w:rsidRPr="00930562">
        <w:rPr>
          <w:rFonts w:asciiTheme="majorHAnsi" w:hAnsiTheme="majorHAnsi" w:cstheme="minorHAnsi"/>
          <w:lang w:val="es-US"/>
        </w:rPr>
        <w:t>).</w:t>
      </w:r>
    </w:p>
    <w:p w14:paraId="23E63EFE" w14:textId="77777777" w:rsidR="00AB1203" w:rsidRPr="00930562" w:rsidRDefault="00893F22" w:rsidP="00724857">
      <w:pPr>
        <w:pStyle w:val="ListParagraph"/>
        <w:numPr>
          <w:ilvl w:val="0"/>
          <w:numId w:val="2"/>
        </w:numPr>
        <w:spacing w:after="240" w:line="240" w:lineRule="auto"/>
        <w:ind w:left="547" w:hanging="547"/>
        <w:contextualSpacing w:val="0"/>
        <w:jc w:val="both"/>
        <w:rPr>
          <w:rFonts w:asciiTheme="majorHAnsi" w:hAnsiTheme="majorHAnsi" w:cstheme="minorHAnsi"/>
          <w:lang w:val="es-US"/>
        </w:rPr>
      </w:pPr>
      <w:r w:rsidRPr="00930562">
        <w:rPr>
          <w:rFonts w:asciiTheme="majorHAnsi" w:hAnsiTheme="majorHAnsi" w:cstheme="minorHAnsi"/>
          <w:lang w:val="es-US"/>
        </w:rPr>
        <w:t xml:space="preserve">La Comisión expresa su agradecimiento al Estado por su </w:t>
      </w:r>
      <w:r w:rsidR="00B879E1" w:rsidRPr="00930562">
        <w:rPr>
          <w:rFonts w:asciiTheme="majorHAnsi" w:hAnsiTheme="majorHAnsi" w:cstheme="minorHAnsi"/>
          <w:lang w:val="es-US"/>
        </w:rPr>
        <w:t xml:space="preserve">colaboración </w:t>
      </w:r>
      <w:r w:rsidR="006E4FDE" w:rsidRPr="00930562">
        <w:rPr>
          <w:rFonts w:asciiTheme="majorHAnsi" w:hAnsiTheme="majorHAnsi" w:cstheme="minorHAnsi"/>
          <w:lang w:val="es-US"/>
        </w:rPr>
        <w:t>con la CIDH</w:t>
      </w:r>
      <w:r w:rsidRPr="00930562">
        <w:rPr>
          <w:rFonts w:asciiTheme="majorHAnsi" w:hAnsiTheme="majorHAnsi" w:cstheme="minorHAnsi"/>
          <w:lang w:val="es-US"/>
        </w:rPr>
        <w:t xml:space="preserve"> </w:t>
      </w:r>
      <w:bookmarkStart w:id="8" w:name="_Toc511837798"/>
      <w:r w:rsidR="006E4FDE" w:rsidRPr="00930562">
        <w:rPr>
          <w:rFonts w:asciiTheme="majorHAnsi" w:hAnsiTheme="majorHAnsi" w:cstheme="minorHAnsi"/>
          <w:lang w:val="es-US"/>
        </w:rPr>
        <w:t>en</w:t>
      </w:r>
      <w:r w:rsidRPr="00930562">
        <w:rPr>
          <w:rFonts w:asciiTheme="majorHAnsi" w:hAnsiTheme="majorHAnsi" w:cstheme="minorHAnsi"/>
          <w:lang w:val="es-US"/>
        </w:rPr>
        <w:t xml:space="preserve"> este </w:t>
      </w:r>
      <w:r w:rsidR="006E4FDE" w:rsidRPr="00930562">
        <w:rPr>
          <w:rFonts w:asciiTheme="majorHAnsi" w:hAnsiTheme="majorHAnsi" w:cstheme="minorHAnsi"/>
          <w:lang w:val="es-US"/>
        </w:rPr>
        <w:t>asunto</w:t>
      </w:r>
      <w:r w:rsidR="0078450D" w:rsidRPr="00930562">
        <w:rPr>
          <w:rFonts w:asciiTheme="majorHAnsi" w:hAnsiTheme="majorHAnsi" w:cstheme="minorHAnsi"/>
          <w:lang w:val="es-US"/>
        </w:rPr>
        <w:t xml:space="preserve"> y facilitar la visita a los Estados Unidos</w:t>
      </w:r>
      <w:r w:rsidRPr="00930562">
        <w:rPr>
          <w:rFonts w:asciiTheme="majorHAnsi" w:hAnsiTheme="majorHAnsi" w:cstheme="minorHAnsi"/>
          <w:lang w:val="es-US"/>
        </w:rPr>
        <w:t>, así como a los</w:t>
      </w:r>
      <w:r w:rsidR="001B6DF5" w:rsidRPr="00930562">
        <w:rPr>
          <w:rFonts w:asciiTheme="majorHAnsi" w:hAnsiTheme="majorHAnsi" w:cstheme="minorHAnsi"/>
          <w:lang w:val="es-US"/>
        </w:rPr>
        <w:t xml:space="preserve"> y las</w:t>
      </w:r>
      <w:r w:rsidRPr="00930562">
        <w:rPr>
          <w:rFonts w:asciiTheme="majorHAnsi" w:hAnsiTheme="majorHAnsi" w:cstheme="minorHAnsi"/>
          <w:lang w:val="es-US"/>
        </w:rPr>
        <w:t xml:space="preserve"> </w:t>
      </w:r>
      <w:r w:rsidR="001B6DF5" w:rsidRPr="00930562">
        <w:rPr>
          <w:rFonts w:asciiTheme="majorHAnsi" w:hAnsiTheme="majorHAnsi" w:cstheme="minorHAnsi"/>
          <w:lang w:val="es-US"/>
        </w:rPr>
        <w:t>integrantes</w:t>
      </w:r>
      <w:r w:rsidRPr="00930562">
        <w:rPr>
          <w:rFonts w:asciiTheme="majorHAnsi" w:hAnsiTheme="majorHAnsi" w:cstheme="minorHAnsi"/>
          <w:lang w:val="es-US"/>
        </w:rPr>
        <w:t xml:space="preserve"> de la sociedad civil, </w:t>
      </w:r>
      <w:r w:rsidR="00E24166" w:rsidRPr="00930562">
        <w:rPr>
          <w:rFonts w:asciiTheme="majorHAnsi" w:hAnsiTheme="majorHAnsi" w:cstheme="minorHAnsi"/>
          <w:lang w:val="es-US"/>
        </w:rPr>
        <w:t xml:space="preserve">el sector académico, </w:t>
      </w:r>
      <w:r w:rsidRPr="00930562">
        <w:rPr>
          <w:rFonts w:asciiTheme="majorHAnsi" w:hAnsiTheme="majorHAnsi" w:cstheme="minorHAnsi"/>
          <w:lang w:val="es-US"/>
        </w:rPr>
        <w:t xml:space="preserve">las víctimas de violencia policial y discriminación racial y a sus familiares, por su disposición </w:t>
      </w:r>
      <w:r w:rsidR="00E24166" w:rsidRPr="00930562">
        <w:rPr>
          <w:rFonts w:asciiTheme="majorHAnsi" w:hAnsiTheme="majorHAnsi" w:cstheme="minorHAnsi"/>
          <w:lang w:val="es-US"/>
        </w:rPr>
        <w:t xml:space="preserve">para </w:t>
      </w:r>
      <w:r w:rsidRPr="00930562">
        <w:rPr>
          <w:rFonts w:asciiTheme="majorHAnsi" w:hAnsiTheme="majorHAnsi" w:cstheme="minorHAnsi"/>
          <w:lang w:val="es-US"/>
        </w:rPr>
        <w:t>compartir información y colaborar en la búsqueda de soluciones a este profundo problema de derechos humanos.</w:t>
      </w:r>
    </w:p>
    <w:p w14:paraId="6EA9D693" w14:textId="77777777" w:rsidR="00AB1203" w:rsidRDefault="00AB1203" w:rsidP="00724FB5">
      <w:pPr>
        <w:pStyle w:val="Heading1"/>
        <w:rPr>
          <w:lang w:val="es-US"/>
        </w:rPr>
      </w:pPr>
      <w:bookmarkStart w:id="9" w:name="_Toc511902971"/>
    </w:p>
    <w:p w14:paraId="7B1E898D" w14:textId="77777777" w:rsidR="004D711A" w:rsidRPr="004D711A" w:rsidRDefault="004D711A" w:rsidP="004D711A">
      <w:pPr>
        <w:rPr>
          <w:lang w:val="es-US"/>
        </w:rPr>
        <w:sectPr w:rsidR="004D711A" w:rsidRPr="004D711A" w:rsidSect="000E499C">
          <w:headerReference w:type="default" r:id="rId24"/>
          <w:footerReference w:type="default" r:id="rId25"/>
          <w:type w:val="oddPage"/>
          <w:pgSz w:w="10080" w:h="14400" w:code="1"/>
          <w:pgMar w:top="1152" w:right="1152" w:bottom="1152" w:left="1296" w:header="720" w:footer="720" w:gutter="0"/>
          <w:cols w:space="708"/>
          <w:docGrid w:linePitch="360"/>
        </w:sectPr>
      </w:pPr>
    </w:p>
    <w:p w14:paraId="061325F3" w14:textId="32C98857" w:rsidR="004D711A" w:rsidRPr="004D711A" w:rsidRDefault="004D711A" w:rsidP="004D711A">
      <w:pPr>
        <w:pStyle w:val="CAP1"/>
      </w:pPr>
      <w:bookmarkStart w:id="10" w:name="_Toc531514446"/>
      <w:bookmarkStart w:id="11" w:name="_Toc517779219"/>
      <w:r w:rsidRPr="004D711A">
        <w:lastRenderedPageBreak/>
        <w:t>CAPÍTULO 1</w:t>
      </w:r>
      <w:bookmarkEnd w:id="10"/>
    </w:p>
    <w:p w14:paraId="3C9A18D6" w14:textId="7739A5E3" w:rsidR="004D711A" w:rsidRPr="004D711A" w:rsidRDefault="004D711A" w:rsidP="004D711A">
      <w:pPr>
        <w:pStyle w:val="CAP2"/>
        <w:sectPr w:rsidR="004D711A" w:rsidRPr="004D711A" w:rsidSect="004D711A">
          <w:headerReference w:type="default" r:id="rId26"/>
          <w:footerReference w:type="default" r:id="rId27"/>
          <w:type w:val="oddPage"/>
          <w:pgSz w:w="10080" w:h="14400" w:code="13"/>
          <w:pgMar w:top="1152" w:right="1152" w:bottom="1152" w:left="1296" w:header="720" w:footer="720" w:gutter="0"/>
          <w:cols w:space="708"/>
          <w:vAlign w:val="center"/>
          <w:docGrid w:linePitch="360"/>
        </w:sectPr>
      </w:pPr>
      <w:bookmarkStart w:id="12" w:name="_Toc531514447"/>
      <w:r w:rsidRPr="004D711A">
        <w:t>INTRODUCCIÓN</w:t>
      </w:r>
      <w:bookmarkEnd w:id="12"/>
    </w:p>
    <w:p w14:paraId="47C78987" w14:textId="4E78A9B3" w:rsidR="0013380B" w:rsidRPr="00930562" w:rsidRDefault="0013380B" w:rsidP="00724FB5">
      <w:pPr>
        <w:pStyle w:val="Heading1"/>
        <w:rPr>
          <w:lang w:val="es-US"/>
        </w:rPr>
      </w:pPr>
      <w:bookmarkStart w:id="13" w:name="_Toc531514448"/>
      <w:r w:rsidRPr="00930562">
        <w:rPr>
          <w:lang w:val="es-US"/>
        </w:rPr>
        <w:lastRenderedPageBreak/>
        <w:t>INTRODU</w:t>
      </w:r>
      <w:bookmarkEnd w:id="8"/>
      <w:bookmarkEnd w:id="9"/>
      <w:r w:rsidR="00EB7C07" w:rsidRPr="00930562">
        <w:rPr>
          <w:lang w:val="es-US"/>
        </w:rPr>
        <w:t>CCI</w:t>
      </w:r>
      <w:r w:rsidR="001B6DF5" w:rsidRPr="00930562">
        <w:rPr>
          <w:lang w:val="es-US"/>
        </w:rPr>
        <w:t>Ó</w:t>
      </w:r>
      <w:r w:rsidR="00EB7C07" w:rsidRPr="00930562">
        <w:rPr>
          <w:lang w:val="es-US"/>
        </w:rPr>
        <w:t>N</w:t>
      </w:r>
      <w:bookmarkEnd w:id="11"/>
      <w:bookmarkEnd w:id="13"/>
    </w:p>
    <w:p w14:paraId="4CF3EC50" w14:textId="042CD09A" w:rsidR="00913AA7" w:rsidRPr="00930562" w:rsidRDefault="00EB7C07" w:rsidP="00724857">
      <w:pPr>
        <w:pStyle w:val="ListParagraph"/>
        <w:numPr>
          <w:ilvl w:val="0"/>
          <w:numId w:val="2"/>
        </w:numPr>
        <w:spacing w:after="240" w:line="240" w:lineRule="auto"/>
        <w:ind w:left="547" w:hanging="547"/>
        <w:contextualSpacing w:val="0"/>
        <w:jc w:val="both"/>
        <w:rPr>
          <w:rFonts w:asciiTheme="majorHAnsi" w:hAnsiTheme="majorHAnsi"/>
          <w:sz w:val="18"/>
          <w:lang w:val="es-US"/>
        </w:rPr>
      </w:pPr>
      <w:r w:rsidRPr="00930562">
        <w:rPr>
          <w:rFonts w:asciiTheme="majorHAnsi" w:hAnsiTheme="majorHAnsi"/>
          <w:lang w:val="es-US"/>
        </w:rPr>
        <w:t xml:space="preserve">Información recibida por la Comisión Interamericana de Derechos Humanos (en adelante, la “Comisión </w:t>
      </w:r>
      <w:r w:rsidR="003663F0" w:rsidRPr="00930562">
        <w:rPr>
          <w:rFonts w:asciiTheme="majorHAnsi" w:hAnsiTheme="majorHAnsi"/>
          <w:lang w:val="es-US"/>
        </w:rPr>
        <w:t>Interamericana</w:t>
      </w:r>
      <w:r w:rsidRPr="00930562">
        <w:rPr>
          <w:rFonts w:asciiTheme="majorHAnsi" w:hAnsiTheme="majorHAnsi"/>
          <w:lang w:val="es-US"/>
        </w:rPr>
        <w:t xml:space="preserve">” o la “CIDH”) </w:t>
      </w:r>
      <w:r w:rsidR="00546410" w:rsidRPr="00930562">
        <w:rPr>
          <w:rFonts w:asciiTheme="majorHAnsi" w:hAnsiTheme="majorHAnsi"/>
          <w:lang w:val="es-US"/>
        </w:rPr>
        <w:t xml:space="preserve">da cuenta de un escenario histórico alarmante en los Estados Unidos </w:t>
      </w:r>
      <w:r w:rsidR="003B59D3" w:rsidRPr="00930562">
        <w:rPr>
          <w:rFonts w:asciiTheme="majorHAnsi" w:hAnsiTheme="majorHAnsi"/>
          <w:lang w:val="es-US"/>
        </w:rPr>
        <w:t>de prácticas policiales discriminatorias y desigualdades raciales en el sistema de justicia penal. L</w:t>
      </w:r>
      <w:r w:rsidR="001B6DF5" w:rsidRPr="00930562">
        <w:rPr>
          <w:rFonts w:asciiTheme="majorHAnsi" w:hAnsiTheme="majorHAnsi"/>
          <w:lang w:val="es-US"/>
        </w:rPr>
        <w:t>as personas afroamericanas</w:t>
      </w:r>
      <w:r w:rsidR="009E7168" w:rsidRPr="00930562">
        <w:rPr>
          <w:rStyle w:val="FootnoteReference"/>
          <w:rFonts w:asciiTheme="majorHAnsi" w:hAnsiTheme="majorHAnsi"/>
          <w:lang w:val="es-US"/>
        </w:rPr>
        <w:footnoteReference w:id="2"/>
      </w:r>
      <w:r w:rsidR="003B59D3" w:rsidRPr="00930562">
        <w:rPr>
          <w:rFonts w:asciiTheme="majorHAnsi" w:hAnsiTheme="majorHAnsi"/>
          <w:lang w:val="es-US"/>
        </w:rPr>
        <w:t xml:space="preserve"> son sistemáticamente </w:t>
      </w:r>
      <w:r w:rsidR="009E7168" w:rsidRPr="00930562">
        <w:rPr>
          <w:rFonts w:asciiTheme="majorHAnsi" w:hAnsiTheme="majorHAnsi"/>
          <w:lang w:val="es-US"/>
        </w:rPr>
        <w:t>abordad</w:t>
      </w:r>
      <w:r w:rsidR="001B6DF5" w:rsidRPr="00930562">
        <w:rPr>
          <w:rFonts w:asciiTheme="majorHAnsi" w:hAnsiTheme="majorHAnsi"/>
          <w:lang w:val="es-US"/>
        </w:rPr>
        <w:t>a</w:t>
      </w:r>
      <w:r w:rsidR="009E7168" w:rsidRPr="00930562">
        <w:rPr>
          <w:rFonts w:asciiTheme="majorHAnsi" w:hAnsiTheme="majorHAnsi"/>
          <w:lang w:val="es-US"/>
        </w:rPr>
        <w:t>s</w:t>
      </w:r>
      <w:r w:rsidR="003B59D3" w:rsidRPr="00930562">
        <w:rPr>
          <w:rFonts w:asciiTheme="majorHAnsi" w:hAnsiTheme="majorHAnsi"/>
          <w:lang w:val="es-US"/>
        </w:rPr>
        <w:t xml:space="preserve"> por motivos de raza</w:t>
      </w:r>
      <w:r w:rsidR="009E7168" w:rsidRPr="00930562">
        <w:rPr>
          <w:rStyle w:val="FootnoteReference"/>
          <w:rFonts w:asciiTheme="majorHAnsi" w:hAnsiTheme="majorHAnsi"/>
          <w:lang w:val="es-US"/>
        </w:rPr>
        <w:footnoteReference w:id="3"/>
      </w:r>
      <w:r w:rsidR="003B59D3" w:rsidRPr="00930562">
        <w:rPr>
          <w:rFonts w:asciiTheme="majorHAnsi" w:hAnsiTheme="majorHAnsi"/>
          <w:lang w:val="es-US"/>
        </w:rPr>
        <w:t xml:space="preserve"> para </w:t>
      </w:r>
      <w:r w:rsidR="00095257" w:rsidRPr="00930562">
        <w:rPr>
          <w:rFonts w:asciiTheme="majorHAnsi" w:hAnsiTheme="majorHAnsi"/>
          <w:lang w:val="es-US"/>
        </w:rPr>
        <w:t>requisas</w:t>
      </w:r>
      <w:r w:rsidR="003B59D3" w:rsidRPr="00930562">
        <w:rPr>
          <w:rFonts w:asciiTheme="majorHAnsi" w:hAnsiTheme="majorHAnsi"/>
          <w:lang w:val="es-US"/>
        </w:rPr>
        <w:t xml:space="preserve"> y arrestos (perfiles raciales</w:t>
      </w:r>
      <w:r w:rsidR="009E7168" w:rsidRPr="00930562">
        <w:rPr>
          <w:rFonts w:asciiTheme="majorHAnsi" w:hAnsiTheme="majorHAnsi"/>
          <w:lang w:val="es-US"/>
        </w:rPr>
        <w:t xml:space="preserve">) y, a menudo, son víctimas del uso excesivo de la fuerza por parte de la policía, </w:t>
      </w:r>
      <w:r w:rsidR="009E4FCA" w:rsidRPr="00930562">
        <w:rPr>
          <w:rFonts w:asciiTheme="majorHAnsi" w:hAnsiTheme="majorHAnsi"/>
          <w:lang w:val="es-US"/>
        </w:rPr>
        <w:t>llevando</w:t>
      </w:r>
      <w:r w:rsidR="009E7168" w:rsidRPr="00930562">
        <w:rPr>
          <w:rFonts w:asciiTheme="majorHAnsi" w:hAnsiTheme="majorHAnsi"/>
          <w:lang w:val="es-US"/>
        </w:rPr>
        <w:t xml:space="preserve"> en muchos casos</w:t>
      </w:r>
      <w:r w:rsidR="009E4FCA" w:rsidRPr="00930562">
        <w:rPr>
          <w:rFonts w:asciiTheme="majorHAnsi" w:hAnsiTheme="majorHAnsi"/>
          <w:lang w:val="es-US"/>
        </w:rPr>
        <w:t xml:space="preserve"> a la muerte</w:t>
      </w:r>
      <w:r w:rsidR="009E7168" w:rsidRPr="00930562">
        <w:rPr>
          <w:rFonts w:asciiTheme="majorHAnsi" w:hAnsiTheme="majorHAnsi"/>
          <w:lang w:val="es-US"/>
        </w:rPr>
        <w:t xml:space="preserve">. Las significativas desigualdades raciales en el tratamiento a los afroamericanos en el sistema de justicia penal traen como consecuencia un acceso desigual a la justicia y su </w:t>
      </w:r>
      <w:r w:rsidR="009E7168" w:rsidRPr="00930562">
        <w:rPr>
          <w:rFonts w:asciiTheme="majorHAnsi" w:hAnsiTheme="majorHAnsi" w:cstheme="minorHAnsi"/>
          <w:lang w:val="es-US"/>
        </w:rPr>
        <w:t>sobrerrepresentación</w:t>
      </w:r>
      <w:r w:rsidR="009E7168" w:rsidRPr="00930562">
        <w:rPr>
          <w:rFonts w:asciiTheme="majorHAnsi" w:hAnsiTheme="majorHAnsi"/>
          <w:lang w:val="es-US"/>
        </w:rPr>
        <w:t xml:space="preserve"> en el sistema penitenciario. </w:t>
      </w:r>
      <w:r w:rsidR="00B64B82" w:rsidRPr="00930562">
        <w:rPr>
          <w:rFonts w:asciiTheme="majorHAnsi" w:hAnsiTheme="majorHAnsi"/>
          <w:lang w:val="es-US"/>
        </w:rPr>
        <w:t>Esto equivale a un patrón de discriminación estructural que impregna la actuación de la fuerza pública y del sistema de justicia penal, así como también muchos aspectos de la vida política, social y económica de los Estados Unidos</w:t>
      </w:r>
      <w:r w:rsidR="00095257" w:rsidRPr="00930562">
        <w:rPr>
          <w:rFonts w:asciiTheme="majorHAnsi" w:hAnsiTheme="majorHAnsi"/>
          <w:lang w:val="es-US"/>
        </w:rPr>
        <w:t>.</w:t>
      </w:r>
      <w:r w:rsidR="00290224" w:rsidRPr="00930562">
        <w:rPr>
          <w:rStyle w:val="FootnoteReference"/>
          <w:rFonts w:asciiTheme="majorHAnsi" w:hAnsiTheme="majorHAnsi"/>
          <w:lang w:val="es-US"/>
        </w:rPr>
        <w:footnoteReference w:id="4"/>
      </w:r>
      <w:r w:rsidR="00B64B82" w:rsidRPr="00930562">
        <w:rPr>
          <w:rFonts w:asciiTheme="majorHAnsi" w:hAnsiTheme="majorHAnsi"/>
          <w:lang w:val="es-US"/>
        </w:rPr>
        <w:t xml:space="preserve"> Este informe </w:t>
      </w:r>
      <w:r w:rsidR="001B6DF5" w:rsidRPr="00930562">
        <w:rPr>
          <w:rFonts w:asciiTheme="majorHAnsi" w:hAnsiTheme="majorHAnsi"/>
          <w:lang w:val="es-US"/>
        </w:rPr>
        <w:t>analiza</w:t>
      </w:r>
      <w:r w:rsidR="00B64B82" w:rsidRPr="00930562">
        <w:rPr>
          <w:rFonts w:asciiTheme="majorHAnsi" w:hAnsiTheme="majorHAnsi"/>
          <w:lang w:val="es-US"/>
        </w:rPr>
        <w:t xml:space="preserve"> las características sociales, políticas y legales que han fomentado este contexto histó</w:t>
      </w:r>
      <w:r w:rsidR="00095257" w:rsidRPr="00930562">
        <w:rPr>
          <w:rFonts w:asciiTheme="majorHAnsi" w:hAnsiTheme="majorHAnsi"/>
          <w:lang w:val="es-US"/>
        </w:rPr>
        <w:t>ricamente y en los últimos años.</w:t>
      </w:r>
    </w:p>
    <w:p w14:paraId="31C41EE5" w14:textId="65DA3361" w:rsidR="005A2A1D" w:rsidRPr="00930562" w:rsidRDefault="00344B35" w:rsidP="00724857">
      <w:pPr>
        <w:pStyle w:val="ListParagraph"/>
        <w:numPr>
          <w:ilvl w:val="0"/>
          <w:numId w:val="2"/>
        </w:numPr>
        <w:spacing w:after="240" w:line="240" w:lineRule="auto"/>
        <w:ind w:left="547" w:hanging="547"/>
        <w:contextualSpacing w:val="0"/>
        <w:jc w:val="both"/>
        <w:rPr>
          <w:rFonts w:asciiTheme="majorHAnsi" w:hAnsiTheme="majorHAnsi"/>
          <w:sz w:val="18"/>
          <w:szCs w:val="20"/>
          <w:lang w:val="es-US"/>
        </w:rPr>
      </w:pPr>
      <w:r w:rsidRPr="00930562">
        <w:rPr>
          <w:rFonts w:asciiTheme="majorHAnsi" w:hAnsiTheme="majorHAnsi"/>
          <w:lang w:val="es-US"/>
        </w:rPr>
        <w:t xml:space="preserve">Todos estos temas son reconocidos como derechos civiles y problemas de justicia social en los Estados Unidos. </w:t>
      </w:r>
      <w:r w:rsidR="00B3767B" w:rsidRPr="00930562">
        <w:rPr>
          <w:rFonts w:asciiTheme="majorHAnsi" w:hAnsiTheme="majorHAnsi"/>
          <w:lang w:val="es-US"/>
        </w:rPr>
        <w:t>No obstante</w:t>
      </w:r>
      <w:r w:rsidRPr="00930562">
        <w:rPr>
          <w:rFonts w:asciiTheme="majorHAnsi" w:hAnsiTheme="majorHAnsi"/>
          <w:lang w:val="es-US"/>
        </w:rPr>
        <w:t xml:space="preserve">, también tienen repercusiones internacionales en materia de derechos humanos para los </w:t>
      </w:r>
      <w:r w:rsidRPr="00930562">
        <w:rPr>
          <w:rFonts w:asciiTheme="majorHAnsi" w:hAnsiTheme="majorHAnsi"/>
          <w:lang w:val="es-US"/>
        </w:rPr>
        <w:lastRenderedPageBreak/>
        <w:t>Estados Unidos bajo la Dec</w:t>
      </w:r>
      <w:r w:rsidR="00B3767B" w:rsidRPr="00930562">
        <w:rPr>
          <w:rFonts w:asciiTheme="majorHAnsi" w:hAnsiTheme="majorHAnsi"/>
          <w:lang w:val="es-US"/>
        </w:rPr>
        <w:t xml:space="preserve">laración </w:t>
      </w:r>
      <w:r w:rsidRPr="00930562">
        <w:rPr>
          <w:rFonts w:asciiTheme="majorHAnsi" w:hAnsiTheme="majorHAnsi"/>
          <w:lang w:val="es-US"/>
        </w:rPr>
        <w:t>American</w:t>
      </w:r>
      <w:r w:rsidR="00B3767B" w:rsidRPr="00930562">
        <w:rPr>
          <w:rFonts w:asciiTheme="majorHAnsi" w:hAnsiTheme="majorHAnsi"/>
          <w:lang w:val="es-US"/>
        </w:rPr>
        <w:t>a d</w:t>
      </w:r>
      <w:r w:rsidRPr="00930562">
        <w:rPr>
          <w:rFonts w:asciiTheme="majorHAnsi" w:hAnsiTheme="majorHAnsi"/>
          <w:lang w:val="es-US"/>
        </w:rPr>
        <w:t xml:space="preserve">e los </w:t>
      </w:r>
      <w:r w:rsidR="00B3767B" w:rsidRPr="00930562">
        <w:rPr>
          <w:rFonts w:asciiTheme="majorHAnsi" w:hAnsiTheme="majorHAnsi"/>
          <w:lang w:val="es-US"/>
        </w:rPr>
        <w:t xml:space="preserve">Derechos y Deberes </w:t>
      </w:r>
      <w:r w:rsidRPr="00930562">
        <w:rPr>
          <w:rFonts w:asciiTheme="majorHAnsi" w:hAnsiTheme="majorHAnsi"/>
          <w:lang w:val="es-US"/>
        </w:rPr>
        <w:t>del Hombre (la “Declaraci</w:t>
      </w:r>
      <w:r w:rsidR="00B3767B" w:rsidRPr="00930562">
        <w:rPr>
          <w:rFonts w:asciiTheme="majorHAnsi" w:hAnsiTheme="majorHAnsi"/>
          <w:lang w:val="es-US"/>
        </w:rPr>
        <w:t>ón Ame</w:t>
      </w:r>
      <w:r w:rsidRPr="00930562">
        <w:rPr>
          <w:rFonts w:asciiTheme="majorHAnsi" w:hAnsiTheme="majorHAnsi"/>
          <w:lang w:val="es-US"/>
        </w:rPr>
        <w:t>ricana”) y los tratados</w:t>
      </w:r>
      <w:r w:rsidR="006A0BD7" w:rsidRPr="00930562">
        <w:rPr>
          <w:rFonts w:asciiTheme="majorHAnsi" w:hAnsiTheme="majorHAnsi"/>
          <w:lang w:val="es-US"/>
        </w:rPr>
        <w:t xml:space="preserve"> universales</w:t>
      </w:r>
      <w:r w:rsidR="00B3767B" w:rsidRPr="00930562">
        <w:rPr>
          <w:rFonts w:asciiTheme="majorHAnsi" w:hAnsiTheme="majorHAnsi"/>
          <w:lang w:val="es-US"/>
        </w:rPr>
        <w:t xml:space="preserve"> </w:t>
      </w:r>
      <w:r w:rsidRPr="00930562">
        <w:rPr>
          <w:rFonts w:asciiTheme="majorHAnsi" w:hAnsiTheme="majorHAnsi"/>
          <w:lang w:val="es-US"/>
        </w:rPr>
        <w:t xml:space="preserve">de </w:t>
      </w:r>
      <w:r w:rsidR="00B3767B" w:rsidRPr="00930562">
        <w:rPr>
          <w:rFonts w:asciiTheme="majorHAnsi" w:hAnsiTheme="majorHAnsi"/>
          <w:lang w:val="es-US"/>
        </w:rPr>
        <w:t>derechos</w:t>
      </w:r>
      <w:r w:rsidRPr="00930562">
        <w:rPr>
          <w:rFonts w:asciiTheme="majorHAnsi" w:hAnsiTheme="majorHAnsi"/>
          <w:lang w:val="es-US"/>
        </w:rPr>
        <w:t xml:space="preserve"> h</w:t>
      </w:r>
      <w:r w:rsidR="00B3767B" w:rsidRPr="00930562">
        <w:rPr>
          <w:rFonts w:asciiTheme="majorHAnsi" w:hAnsiTheme="majorHAnsi"/>
          <w:lang w:val="es-US"/>
        </w:rPr>
        <w:t>u</w:t>
      </w:r>
      <w:r w:rsidRPr="00930562">
        <w:rPr>
          <w:rFonts w:asciiTheme="majorHAnsi" w:hAnsiTheme="majorHAnsi"/>
          <w:lang w:val="es-US"/>
        </w:rPr>
        <w:t>manos ratificados por Estados Unidos, incluido el</w:t>
      </w:r>
      <w:r w:rsidR="00B3767B" w:rsidRPr="00930562">
        <w:rPr>
          <w:rFonts w:asciiTheme="majorHAnsi" w:hAnsiTheme="majorHAnsi"/>
          <w:lang w:val="es-US"/>
        </w:rPr>
        <w:t xml:space="preserve"> Pacto Internacional de Derechos Civiles y Políticos (PIDCP), la Convención Internacional sobre la Eliminación de todas las formas de Discriminación Racial (CERD), y la Convención contra la Tortura y Otros Tratos o Penas Crueles, Inhumanos o Degradantes</w:t>
      </w:r>
      <w:r w:rsidR="006A0BD7" w:rsidRPr="00930562">
        <w:rPr>
          <w:rFonts w:asciiTheme="majorHAnsi" w:hAnsiTheme="majorHAnsi"/>
          <w:lang w:val="es-US"/>
        </w:rPr>
        <w:t xml:space="preserve"> (CAT)</w:t>
      </w:r>
      <w:r w:rsidR="00B3767B" w:rsidRPr="00930562">
        <w:rPr>
          <w:rFonts w:asciiTheme="majorHAnsi" w:hAnsiTheme="majorHAnsi"/>
          <w:lang w:val="es-US"/>
        </w:rPr>
        <w:t xml:space="preserve">. </w:t>
      </w:r>
      <w:r w:rsidR="000E5163" w:rsidRPr="00930562">
        <w:rPr>
          <w:rFonts w:asciiTheme="majorHAnsi" w:hAnsiTheme="majorHAnsi"/>
          <w:lang w:val="es-US"/>
        </w:rPr>
        <w:t xml:space="preserve">Este informe se </w:t>
      </w:r>
      <w:r w:rsidR="00290087" w:rsidRPr="00930562">
        <w:rPr>
          <w:rFonts w:asciiTheme="majorHAnsi" w:hAnsiTheme="majorHAnsi"/>
          <w:lang w:val="es-US"/>
        </w:rPr>
        <w:t>centra en</w:t>
      </w:r>
      <w:r w:rsidR="000E5163" w:rsidRPr="00930562">
        <w:rPr>
          <w:rFonts w:asciiTheme="majorHAnsi" w:hAnsiTheme="majorHAnsi"/>
          <w:lang w:val="es-US"/>
        </w:rPr>
        <w:t xml:space="preserve"> la dimensión del derecho internacional de los derechos humanos de esta historia de derechos civiles y </w:t>
      </w:r>
      <w:r w:rsidR="00290087" w:rsidRPr="00930562">
        <w:rPr>
          <w:rFonts w:asciiTheme="majorHAnsi" w:hAnsiTheme="majorHAnsi"/>
          <w:lang w:val="es-US"/>
        </w:rPr>
        <w:t>propone</w:t>
      </w:r>
      <w:r w:rsidR="000E5163" w:rsidRPr="00930562">
        <w:rPr>
          <w:rFonts w:asciiTheme="majorHAnsi" w:hAnsiTheme="majorHAnsi"/>
          <w:lang w:val="es-US"/>
        </w:rPr>
        <w:t xml:space="preserve"> </w:t>
      </w:r>
      <w:r w:rsidR="006A0BD7" w:rsidRPr="00930562">
        <w:rPr>
          <w:rFonts w:asciiTheme="majorHAnsi" w:hAnsiTheme="majorHAnsi"/>
          <w:lang w:val="es-US"/>
        </w:rPr>
        <w:t>pasos constructivos</w:t>
      </w:r>
      <w:r w:rsidR="000E5163" w:rsidRPr="00930562">
        <w:rPr>
          <w:rFonts w:asciiTheme="majorHAnsi" w:hAnsiTheme="majorHAnsi"/>
          <w:lang w:val="es-US"/>
        </w:rPr>
        <w:t xml:space="preserve"> que los gobiernos locales, estatales y  federales pueden adoptar para responder a la discriminación racial </w:t>
      </w:r>
      <w:r w:rsidR="00290087" w:rsidRPr="00930562">
        <w:rPr>
          <w:rFonts w:asciiTheme="majorHAnsi" w:hAnsiTheme="majorHAnsi"/>
          <w:lang w:val="es-US"/>
        </w:rPr>
        <w:t xml:space="preserve">en el ámbito policial y soluciones jurídicas a la violencia policial. La Comisión observa que según el derecho internacional de los derechos humanos, todos los niveles de gobierno -federal, estatal y local- están obligados a intervenir para proteger y garantizar los </w:t>
      </w:r>
      <w:r w:rsidR="004B0EC3" w:rsidRPr="00930562">
        <w:rPr>
          <w:rFonts w:asciiTheme="majorHAnsi" w:hAnsiTheme="majorHAnsi"/>
          <w:lang w:val="es-US"/>
        </w:rPr>
        <w:t xml:space="preserve">derechos humanos, y este deber </w:t>
      </w:r>
      <w:r w:rsidR="00290087" w:rsidRPr="00930562">
        <w:rPr>
          <w:rFonts w:asciiTheme="majorHAnsi" w:hAnsiTheme="majorHAnsi"/>
          <w:lang w:val="es-US"/>
        </w:rPr>
        <w:t>se ex</w:t>
      </w:r>
      <w:r w:rsidR="005A2A1D" w:rsidRPr="00930562">
        <w:rPr>
          <w:rFonts w:asciiTheme="majorHAnsi" w:hAnsiTheme="majorHAnsi"/>
          <w:lang w:val="es-US"/>
        </w:rPr>
        <w:t>tiende a la vigilancia policial.</w:t>
      </w:r>
    </w:p>
    <w:p w14:paraId="4BE212FA" w14:textId="292785B9" w:rsidR="0024551C" w:rsidRPr="00930562" w:rsidRDefault="00F65407"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Este informe se centra en las implicaciones para la normativa internacional de los derechos humanos de la discriminación racial en el control policial sobre l</w:t>
      </w:r>
      <w:r w:rsidR="004706E2" w:rsidRPr="00930562">
        <w:rPr>
          <w:rFonts w:asciiTheme="majorHAnsi" w:hAnsiTheme="majorHAnsi"/>
          <w:lang w:val="es-US"/>
        </w:rPr>
        <w:t>as personas</w:t>
      </w:r>
      <w:r w:rsidRPr="00930562">
        <w:rPr>
          <w:rFonts w:asciiTheme="majorHAnsi" w:hAnsiTheme="majorHAnsi"/>
          <w:lang w:val="es-US"/>
        </w:rPr>
        <w:t xml:space="preserve"> afroamerican</w:t>
      </w:r>
      <w:r w:rsidR="004706E2" w:rsidRPr="00930562">
        <w:rPr>
          <w:rFonts w:asciiTheme="majorHAnsi" w:hAnsiTheme="majorHAnsi"/>
          <w:lang w:val="es-US"/>
        </w:rPr>
        <w:t>a</w:t>
      </w:r>
      <w:r w:rsidRPr="00930562">
        <w:rPr>
          <w:rFonts w:asciiTheme="majorHAnsi" w:hAnsiTheme="majorHAnsi"/>
          <w:lang w:val="es-US"/>
        </w:rPr>
        <w:t xml:space="preserve">s, a la luz de un preocupante patrón de uso excesivo de la fuerza por parte de la policía, así como también en las obligaciones internacionales del Estado en el área de la no discriminación. Asimismo, explora las obligaciones del Estado en lo que respecta a acceso a la justicia y la lucha contra la impunidad en los casos de uso excesivo de la fuerza policial. </w:t>
      </w:r>
    </w:p>
    <w:p w14:paraId="3AFEEE37" w14:textId="3E2BA69A" w:rsidR="0024551C" w:rsidRPr="00930562" w:rsidRDefault="0024551C"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Este informe se divide en cuatro capítulos</w:t>
      </w:r>
      <w:r w:rsidRPr="00930562">
        <w:rPr>
          <w:rFonts w:asciiTheme="majorHAnsi" w:hAnsiTheme="majorHAnsi"/>
          <w:szCs w:val="20"/>
          <w:lang w:val="es-US"/>
        </w:rPr>
        <w:t xml:space="preserve">.  </w:t>
      </w:r>
      <w:r w:rsidRPr="00930562">
        <w:rPr>
          <w:rFonts w:asciiTheme="majorHAnsi" w:hAnsiTheme="majorHAnsi"/>
          <w:lang w:val="es-US"/>
        </w:rPr>
        <w:t>El capítulo primero es una introducción al contexto</w:t>
      </w:r>
      <w:r w:rsidR="00886E2A" w:rsidRPr="00930562">
        <w:rPr>
          <w:rFonts w:asciiTheme="majorHAnsi" w:hAnsiTheme="majorHAnsi"/>
          <w:lang w:val="es-US"/>
        </w:rPr>
        <w:t>,</w:t>
      </w:r>
      <w:r w:rsidRPr="00930562">
        <w:rPr>
          <w:rFonts w:asciiTheme="majorHAnsi" w:hAnsiTheme="majorHAnsi"/>
          <w:lang w:val="es-US"/>
        </w:rPr>
        <w:t xml:space="preserve"> a las fuentes del informe</w:t>
      </w:r>
      <w:r w:rsidR="006A0BD7" w:rsidRPr="00930562">
        <w:rPr>
          <w:rFonts w:asciiTheme="majorHAnsi" w:hAnsiTheme="majorHAnsi"/>
          <w:lang w:val="es-US"/>
        </w:rPr>
        <w:t>, así como</w:t>
      </w:r>
      <w:r w:rsidRPr="00930562">
        <w:rPr>
          <w:rFonts w:asciiTheme="majorHAnsi" w:hAnsiTheme="majorHAnsi"/>
          <w:lang w:val="es-US"/>
        </w:rPr>
        <w:t xml:space="preserve"> al mandato de la Comisión de monitorear los derechos humanos en los Estados Unidos. El segundo capítulo </w:t>
      </w:r>
      <w:r w:rsidR="006A0BD7" w:rsidRPr="00930562">
        <w:rPr>
          <w:rFonts w:asciiTheme="majorHAnsi" w:hAnsiTheme="majorHAnsi"/>
          <w:lang w:val="es-US"/>
        </w:rPr>
        <w:t xml:space="preserve">utiliza </w:t>
      </w:r>
      <w:r w:rsidRPr="00930562">
        <w:rPr>
          <w:rFonts w:asciiTheme="majorHAnsi" w:hAnsiTheme="majorHAnsi"/>
          <w:lang w:val="es-US"/>
        </w:rPr>
        <w:t xml:space="preserve">el marco de la discriminación </w:t>
      </w:r>
      <w:r w:rsidR="006A0BD7" w:rsidRPr="00930562">
        <w:rPr>
          <w:rFonts w:asciiTheme="majorHAnsi" w:hAnsiTheme="majorHAnsi"/>
          <w:lang w:val="es-US"/>
        </w:rPr>
        <w:t xml:space="preserve">estructural </w:t>
      </w:r>
      <w:r w:rsidRPr="00930562">
        <w:rPr>
          <w:rFonts w:asciiTheme="majorHAnsi" w:hAnsiTheme="majorHAnsi"/>
          <w:lang w:val="es-US"/>
        </w:rPr>
        <w:t xml:space="preserve">a los fines de explorar la historia de la discriminación y el racismo contra los afroamericanos en los Estados Unidos, aspectos contemporáneos claves identificados a través del trabajo de monitoreo de la Comisión, e información sobre medidas estatales adoptadas para para el abordaje de estos problemas.  El tercer capítulo </w:t>
      </w:r>
      <w:r w:rsidR="004706E2" w:rsidRPr="00930562">
        <w:rPr>
          <w:rFonts w:asciiTheme="majorHAnsi" w:hAnsiTheme="majorHAnsi"/>
          <w:lang w:val="es-US"/>
        </w:rPr>
        <w:t>analiza</w:t>
      </w:r>
      <w:r w:rsidRPr="00930562">
        <w:rPr>
          <w:rFonts w:asciiTheme="majorHAnsi" w:hAnsiTheme="majorHAnsi"/>
          <w:lang w:val="es-US"/>
        </w:rPr>
        <w:t xml:space="preserve"> los estándares legales internacionales aplicables a las áreas de no </w:t>
      </w:r>
      <w:r w:rsidR="00886E2A" w:rsidRPr="00930562">
        <w:rPr>
          <w:rFonts w:asciiTheme="majorHAnsi" w:hAnsiTheme="majorHAnsi"/>
          <w:lang w:val="es-US"/>
        </w:rPr>
        <w:t>discriminación</w:t>
      </w:r>
      <w:r w:rsidRPr="00930562">
        <w:rPr>
          <w:rFonts w:asciiTheme="majorHAnsi" w:hAnsiTheme="majorHAnsi"/>
          <w:lang w:val="es-US"/>
        </w:rPr>
        <w:t xml:space="preserve">, el uso de la fuerza y el acceso a la justicia. La </w:t>
      </w:r>
      <w:r w:rsidR="00886E2A" w:rsidRPr="00930562">
        <w:rPr>
          <w:rFonts w:asciiTheme="majorHAnsi" w:hAnsiTheme="majorHAnsi"/>
          <w:lang w:val="es-US"/>
        </w:rPr>
        <w:t>Comisión</w:t>
      </w:r>
      <w:r w:rsidRPr="00930562">
        <w:rPr>
          <w:rFonts w:asciiTheme="majorHAnsi" w:hAnsiTheme="majorHAnsi"/>
          <w:lang w:val="es-US"/>
        </w:rPr>
        <w:t xml:space="preserve"> considera que estos estándares deben guiar las</w:t>
      </w:r>
      <w:r w:rsidR="00886E2A" w:rsidRPr="00930562">
        <w:rPr>
          <w:rFonts w:asciiTheme="majorHAnsi" w:hAnsiTheme="majorHAnsi"/>
          <w:lang w:val="es-US"/>
        </w:rPr>
        <w:t xml:space="preserve"> </w:t>
      </w:r>
      <w:r w:rsidRPr="00930562">
        <w:rPr>
          <w:rFonts w:asciiTheme="majorHAnsi" w:hAnsiTheme="majorHAnsi"/>
          <w:lang w:val="es-US"/>
        </w:rPr>
        <w:t xml:space="preserve">acciones de la policía a nivel federal, estatal y local en los </w:t>
      </w:r>
      <w:r w:rsidR="00886E2A" w:rsidRPr="00930562">
        <w:rPr>
          <w:rFonts w:asciiTheme="majorHAnsi" w:hAnsiTheme="majorHAnsi"/>
          <w:lang w:val="es-US"/>
        </w:rPr>
        <w:t>Estados</w:t>
      </w:r>
      <w:r w:rsidRPr="00930562">
        <w:rPr>
          <w:rFonts w:asciiTheme="majorHAnsi" w:hAnsiTheme="majorHAnsi"/>
          <w:lang w:val="es-US"/>
        </w:rPr>
        <w:t xml:space="preserve"> Un</w:t>
      </w:r>
      <w:r w:rsidR="00886E2A" w:rsidRPr="00930562">
        <w:rPr>
          <w:rFonts w:asciiTheme="majorHAnsi" w:hAnsiTheme="majorHAnsi"/>
          <w:lang w:val="es-US"/>
        </w:rPr>
        <w:t>i</w:t>
      </w:r>
      <w:r w:rsidRPr="00930562">
        <w:rPr>
          <w:rFonts w:asciiTheme="majorHAnsi" w:hAnsiTheme="majorHAnsi"/>
          <w:lang w:val="es-US"/>
        </w:rPr>
        <w:t xml:space="preserve">dos como </w:t>
      </w:r>
      <w:r w:rsidR="00886E2A" w:rsidRPr="00930562">
        <w:rPr>
          <w:rFonts w:asciiTheme="majorHAnsi" w:hAnsiTheme="majorHAnsi"/>
          <w:lang w:val="es-US"/>
        </w:rPr>
        <w:t>así</w:t>
      </w:r>
      <w:r w:rsidRPr="00930562">
        <w:rPr>
          <w:rFonts w:asciiTheme="majorHAnsi" w:hAnsiTheme="majorHAnsi"/>
          <w:lang w:val="es-US"/>
        </w:rPr>
        <w:t xml:space="preserve"> también a la estructura completa del gobierno. El </w:t>
      </w:r>
      <w:r w:rsidR="00886E2A" w:rsidRPr="00930562">
        <w:rPr>
          <w:rFonts w:asciiTheme="majorHAnsi" w:hAnsiTheme="majorHAnsi"/>
          <w:lang w:val="es-US"/>
        </w:rPr>
        <w:t>último</w:t>
      </w:r>
      <w:r w:rsidRPr="00930562">
        <w:rPr>
          <w:rFonts w:asciiTheme="majorHAnsi" w:hAnsiTheme="majorHAnsi"/>
          <w:lang w:val="es-US"/>
        </w:rPr>
        <w:t xml:space="preserve"> </w:t>
      </w:r>
      <w:r w:rsidR="00886E2A" w:rsidRPr="00930562">
        <w:rPr>
          <w:rFonts w:asciiTheme="majorHAnsi" w:hAnsiTheme="majorHAnsi"/>
          <w:lang w:val="es-US"/>
        </w:rPr>
        <w:t>capítulo</w:t>
      </w:r>
      <w:r w:rsidRPr="00930562">
        <w:rPr>
          <w:rFonts w:asciiTheme="majorHAnsi" w:hAnsiTheme="majorHAnsi"/>
          <w:lang w:val="es-US"/>
        </w:rPr>
        <w:t xml:space="preserve"> </w:t>
      </w:r>
      <w:r w:rsidR="00886E2A" w:rsidRPr="00930562">
        <w:rPr>
          <w:rFonts w:asciiTheme="majorHAnsi" w:hAnsiTheme="majorHAnsi"/>
          <w:lang w:val="es-US"/>
        </w:rPr>
        <w:t>anticipa una</w:t>
      </w:r>
      <w:r w:rsidRPr="00930562">
        <w:rPr>
          <w:rFonts w:asciiTheme="majorHAnsi" w:hAnsiTheme="majorHAnsi"/>
          <w:lang w:val="es-US"/>
        </w:rPr>
        <w:t xml:space="preserve"> serie de conclusiones y recomendac</w:t>
      </w:r>
      <w:r w:rsidR="00886E2A" w:rsidRPr="00930562">
        <w:rPr>
          <w:rFonts w:asciiTheme="majorHAnsi" w:hAnsiTheme="majorHAnsi"/>
          <w:lang w:val="es-US"/>
        </w:rPr>
        <w:t>i</w:t>
      </w:r>
      <w:r w:rsidRPr="00930562">
        <w:rPr>
          <w:rFonts w:asciiTheme="majorHAnsi" w:hAnsiTheme="majorHAnsi"/>
          <w:lang w:val="es-US"/>
        </w:rPr>
        <w:t>ones</w:t>
      </w:r>
      <w:r w:rsidR="00886E2A" w:rsidRPr="00930562">
        <w:rPr>
          <w:rFonts w:asciiTheme="majorHAnsi" w:hAnsiTheme="majorHAnsi"/>
          <w:lang w:val="es-US"/>
        </w:rPr>
        <w:t xml:space="preserve"> </w:t>
      </w:r>
      <w:r w:rsidR="006A0BD7" w:rsidRPr="00930562">
        <w:rPr>
          <w:rFonts w:asciiTheme="majorHAnsi" w:hAnsiTheme="majorHAnsi"/>
          <w:lang w:val="es-US"/>
        </w:rPr>
        <w:t xml:space="preserve">diseñadas </w:t>
      </w:r>
      <w:r w:rsidRPr="00930562">
        <w:rPr>
          <w:rFonts w:asciiTheme="majorHAnsi" w:hAnsiTheme="majorHAnsi"/>
          <w:lang w:val="es-US"/>
        </w:rPr>
        <w:t xml:space="preserve">para mejorar las </w:t>
      </w:r>
      <w:r w:rsidR="00886E2A" w:rsidRPr="00930562">
        <w:rPr>
          <w:rFonts w:asciiTheme="majorHAnsi" w:hAnsiTheme="majorHAnsi"/>
          <w:lang w:val="es-US"/>
        </w:rPr>
        <w:t>prácticas</w:t>
      </w:r>
      <w:r w:rsidRPr="00930562">
        <w:rPr>
          <w:rFonts w:asciiTheme="majorHAnsi" w:hAnsiTheme="majorHAnsi"/>
          <w:lang w:val="es-US"/>
        </w:rPr>
        <w:t xml:space="preserve"> polic</w:t>
      </w:r>
      <w:r w:rsidR="00886E2A" w:rsidRPr="00930562">
        <w:rPr>
          <w:rFonts w:asciiTheme="majorHAnsi" w:hAnsiTheme="majorHAnsi"/>
          <w:lang w:val="es-US"/>
        </w:rPr>
        <w:t>iales h</w:t>
      </w:r>
      <w:r w:rsidRPr="00930562">
        <w:rPr>
          <w:rFonts w:asciiTheme="majorHAnsi" w:hAnsiTheme="majorHAnsi"/>
          <w:lang w:val="es-US"/>
        </w:rPr>
        <w:t>acia l</w:t>
      </w:r>
      <w:r w:rsidR="004706E2" w:rsidRPr="00930562">
        <w:rPr>
          <w:rFonts w:asciiTheme="majorHAnsi" w:hAnsiTheme="majorHAnsi"/>
          <w:lang w:val="es-US"/>
        </w:rPr>
        <w:t>as</w:t>
      </w:r>
      <w:r w:rsidR="00886E2A" w:rsidRPr="00930562">
        <w:rPr>
          <w:rFonts w:asciiTheme="majorHAnsi" w:hAnsiTheme="majorHAnsi"/>
          <w:lang w:val="es-US"/>
        </w:rPr>
        <w:t xml:space="preserve"> </w:t>
      </w:r>
      <w:r w:rsidR="004706E2" w:rsidRPr="00930562">
        <w:rPr>
          <w:rFonts w:asciiTheme="majorHAnsi" w:hAnsiTheme="majorHAnsi"/>
          <w:lang w:val="es-US"/>
        </w:rPr>
        <w:t xml:space="preserve">personas </w:t>
      </w:r>
      <w:r w:rsidR="00886E2A" w:rsidRPr="00930562">
        <w:rPr>
          <w:rFonts w:asciiTheme="majorHAnsi" w:hAnsiTheme="majorHAnsi"/>
          <w:lang w:val="es-US"/>
        </w:rPr>
        <w:t>afroamerican</w:t>
      </w:r>
      <w:r w:rsidR="004706E2" w:rsidRPr="00930562">
        <w:rPr>
          <w:rFonts w:asciiTheme="majorHAnsi" w:hAnsiTheme="majorHAnsi"/>
          <w:lang w:val="es-US"/>
        </w:rPr>
        <w:t>a</w:t>
      </w:r>
      <w:r w:rsidR="00886E2A" w:rsidRPr="00930562">
        <w:rPr>
          <w:rFonts w:asciiTheme="majorHAnsi" w:hAnsiTheme="majorHAnsi"/>
          <w:lang w:val="es-US"/>
        </w:rPr>
        <w:t>s</w:t>
      </w:r>
      <w:r w:rsidRPr="00930562">
        <w:rPr>
          <w:rFonts w:asciiTheme="majorHAnsi" w:hAnsiTheme="majorHAnsi"/>
          <w:lang w:val="es-US"/>
        </w:rPr>
        <w:t xml:space="preserve"> en los Estados Unidos.  </w:t>
      </w:r>
    </w:p>
    <w:p w14:paraId="61059550" w14:textId="18F5A6B7" w:rsidR="0013380B" w:rsidRPr="00930562" w:rsidRDefault="00F656CD"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Los objetivos de este informe son dos:</w:t>
      </w:r>
      <w:r w:rsidR="0013380B" w:rsidRPr="00930562">
        <w:rPr>
          <w:rFonts w:asciiTheme="majorHAnsi" w:hAnsiTheme="majorHAnsi"/>
          <w:lang w:val="es-US"/>
        </w:rPr>
        <w:t xml:space="preserve"> </w:t>
      </w:r>
      <w:r w:rsidR="00BA2036" w:rsidRPr="00930562">
        <w:rPr>
          <w:rFonts w:asciiTheme="majorHAnsi" w:hAnsiTheme="majorHAnsi"/>
          <w:lang w:val="es-US"/>
        </w:rPr>
        <w:t>servir como guía relevan</w:t>
      </w:r>
      <w:r w:rsidR="004706E2" w:rsidRPr="00930562">
        <w:rPr>
          <w:rFonts w:asciiTheme="majorHAnsi" w:hAnsiTheme="majorHAnsi"/>
          <w:lang w:val="es-US"/>
        </w:rPr>
        <w:t>t</w:t>
      </w:r>
      <w:r w:rsidR="00BA2036" w:rsidRPr="00930562">
        <w:rPr>
          <w:rFonts w:asciiTheme="majorHAnsi" w:hAnsiTheme="majorHAnsi"/>
          <w:lang w:val="es-US"/>
        </w:rPr>
        <w:t>e</w:t>
      </w:r>
      <w:r w:rsidR="00E3563B" w:rsidRPr="00930562">
        <w:rPr>
          <w:rFonts w:asciiTheme="majorHAnsi" w:hAnsiTheme="majorHAnsi"/>
          <w:lang w:val="es-US"/>
        </w:rPr>
        <w:t xml:space="preserve"> </w:t>
      </w:r>
      <w:r w:rsidRPr="00930562">
        <w:rPr>
          <w:rFonts w:asciiTheme="majorHAnsi" w:hAnsiTheme="majorHAnsi"/>
          <w:lang w:val="es-US"/>
        </w:rPr>
        <w:t xml:space="preserve">respecto </w:t>
      </w:r>
      <w:r w:rsidR="00E3563B" w:rsidRPr="00930562">
        <w:rPr>
          <w:rFonts w:asciiTheme="majorHAnsi" w:hAnsiTheme="majorHAnsi"/>
          <w:lang w:val="es-US"/>
        </w:rPr>
        <w:t xml:space="preserve">de </w:t>
      </w:r>
      <w:r w:rsidRPr="00930562">
        <w:rPr>
          <w:rFonts w:asciiTheme="majorHAnsi" w:hAnsiTheme="majorHAnsi"/>
          <w:lang w:val="es-US"/>
        </w:rPr>
        <w:t>los estándares internacionales clave</w:t>
      </w:r>
      <w:r w:rsidR="004706E2" w:rsidRPr="00930562">
        <w:rPr>
          <w:rFonts w:asciiTheme="majorHAnsi" w:hAnsiTheme="majorHAnsi"/>
          <w:lang w:val="es-US"/>
        </w:rPr>
        <w:t>s</w:t>
      </w:r>
      <w:r w:rsidRPr="00930562">
        <w:rPr>
          <w:rFonts w:asciiTheme="majorHAnsi" w:hAnsiTheme="majorHAnsi"/>
          <w:lang w:val="es-US"/>
        </w:rPr>
        <w:t xml:space="preserve"> de derechos humanos que los E</w:t>
      </w:r>
      <w:r w:rsidR="00E3563B" w:rsidRPr="00930562">
        <w:rPr>
          <w:rFonts w:asciiTheme="majorHAnsi" w:hAnsiTheme="majorHAnsi"/>
          <w:lang w:val="es-US"/>
        </w:rPr>
        <w:t xml:space="preserve">stados Unidos </w:t>
      </w:r>
      <w:r w:rsidRPr="00930562">
        <w:rPr>
          <w:rFonts w:asciiTheme="majorHAnsi" w:hAnsiTheme="majorHAnsi"/>
          <w:lang w:val="es-US"/>
        </w:rPr>
        <w:t>deben considerar a nivel federal, estatal y local al abordar</w:t>
      </w:r>
      <w:r w:rsidR="00E3563B" w:rsidRPr="00930562">
        <w:rPr>
          <w:rFonts w:asciiTheme="majorHAnsi" w:hAnsiTheme="majorHAnsi"/>
          <w:lang w:val="es-US"/>
        </w:rPr>
        <w:t xml:space="preserve"> </w:t>
      </w:r>
      <w:r w:rsidR="00E3563B" w:rsidRPr="00930562">
        <w:rPr>
          <w:rFonts w:asciiTheme="majorHAnsi" w:hAnsiTheme="majorHAnsi"/>
          <w:lang w:val="es-US"/>
        </w:rPr>
        <w:lastRenderedPageBreak/>
        <w:t>la discriminación racial en el control po</w:t>
      </w:r>
      <w:r w:rsidRPr="00930562">
        <w:rPr>
          <w:rFonts w:asciiTheme="majorHAnsi" w:hAnsiTheme="majorHAnsi"/>
          <w:lang w:val="es-US"/>
        </w:rPr>
        <w:t>licial de los afroamericanos</w:t>
      </w:r>
      <w:r w:rsidR="00E3563B" w:rsidRPr="00930562">
        <w:rPr>
          <w:rFonts w:asciiTheme="majorHAnsi" w:hAnsiTheme="majorHAnsi"/>
          <w:lang w:val="es-US"/>
        </w:rPr>
        <w:t xml:space="preserve">, y servir de instrumento </w:t>
      </w:r>
      <w:r w:rsidR="00BA2036" w:rsidRPr="00930562">
        <w:rPr>
          <w:rFonts w:asciiTheme="majorHAnsi" w:hAnsiTheme="majorHAnsi"/>
          <w:lang w:val="es-US"/>
        </w:rPr>
        <w:t xml:space="preserve">clave </w:t>
      </w:r>
      <w:r w:rsidR="00E3563B" w:rsidRPr="00930562">
        <w:rPr>
          <w:rFonts w:asciiTheme="majorHAnsi" w:hAnsiTheme="majorHAnsi"/>
          <w:lang w:val="es-US"/>
        </w:rPr>
        <w:t xml:space="preserve">de promoción para </w:t>
      </w:r>
      <w:r w:rsidR="00BA2036" w:rsidRPr="00930562">
        <w:rPr>
          <w:rFonts w:asciiTheme="majorHAnsi" w:hAnsiTheme="majorHAnsi"/>
          <w:lang w:val="es-US"/>
        </w:rPr>
        <w:t xml:space="preserve">que </w:t>
      </w:r>
      <w:r w:rsidR="00E3563B" w:rsidRPr="00930562">
        <w:rPr>
          <w:rFonts w:asciiTheme="majorHAnsi" w:hAnsiTheme="majorHAnsi"/>
          <w:lang w:val="es-US"/>
        </w:rPr>
        <w:t xml:space="preserve">las organizaciones de la sociedad civil de los Estados Unidos </w:t>
      </w:r>
      <w:r w:rsidR="00BA2036" w:rsidRPr="00930562">
        <w:rPr>
          <w:rFonts w:asciiTheme="majorHAnsi" w:hAnsiTheme="majorHAnsi"/>
          <w:lang w:val="es-US"/>
        </w:rPr>
        <w:t xml:space="preserve">lo utilicen </w:t>
      </w:r>
      <w:r w:rsidR="00E3563B" w:rsidRPr="00930562">
        <w:rPr>
          <w:rFonts w:asciiTheme="majorHAnsi" w:hAnsiTheme="majorHAnsi"/>
          <w:lang w:val="es-US"/>
        </w:rPr>
        <w:t xml:space="preserve">con los gobiernos federales, estatales y locales </w:t>
      </w:r>
      <w:r w:rsidR="00BA2036" w:rsidRPr="00930562">
        <w:rPr>
          <w:rFonts w:asciiTheme="majorHAnsi" w:hAnsiTheme="majorHAnsi"/>
          <w:lang w:val="es-US"/>
        </w:rPr>
        <w:t xml:space="preserve">para mejorar el abordaje de </w:t>
      </w:r>
      <w:r w:rsidR="00E3563B" w:rsidRPr="00930562">
        <w:rPr>
          <w:rFonts w:asciiTheme="majorHAnsi" w:hAnsiTheme="majorHAnsi"/>
          <w:lang w:val="es-US"/>
        </w:rPr>
        <w:t xml:space="preserve">la discriminación racial </w:t>
      </w:r>
      <w:r w:rsidR="00B95753" w:rsidRPr="00930562">
        <w:rPr>
          <w:rFonts w:asciiTheme="majorHAnsi" w:hAnsiTheme="majorHAnsi"/>
          <w:lang w:val="es-US"/>
        </w:rPr>
        <w:t xml:space="preserve">en </w:t>
      </w:r>
      <w:r w:rsidR="00E3563B" w:rsidRPr="00930562">
        <w:rPr>
          <w:rFonts w:asciiTheme="majorHAnsi" w:hAnsiTheme="majorHAnsi"/>
          <w:lang w:val="es-US"/>
        </w:rPr>
        <w:t>las acciones de las autoridades policiales y a través del sistema de justicia penal.</w:t>
      </w:r>
    </w:p>
    <w:p w14:paraId="2E3DF608" w14:textId="1912A154" w:rsidR="0013380B" w:rsidRPr="00930562" w:rsidRDefault="004671C7" w:rsidP="008403E8">
      <w:pPr>
        <w:pStyle w:val="Heading2"/>
        <w:ind w:left="547" w:hanging="547"/>
        <w:rPr>
          <w:rFonts w:asciiTheme="majorHAnsi" w:hAnsiTheme="majorHAnsi"/>
          <w:lang w:val="es-US"/>
        </w:rPr>
      </w:pPr>
      <w:bookmarkStart w:id="14" w:name="_Toc517779220"/>
      <w:bookmarkStart w:id="15" w:name="_Toc531514449"/>
      <w:r w:rsidRPr="00930562">
        <w:rPr>
          <w:rFonts w:asciiTheme="majorHAnsi" w:hAnsiTheme="majorHAnsi"/>
          <w:lang w:val="es-US"/>
        </w:rPr>
        <w:t xml:space="preserve">Fuentes de </w:t>
      </w:r>
      <w:r w:rsidR="00B9657A" w:rsidRPr="00930562">
        <w:rPr>
          <w:rFonts w:asciiTheme="majorHAnsi" w:hAnsiTheme="majorHAnsi"/>
          <w:lang w:val="es-US"/>
        </w:rPr>
        <w:t>información</w:t>
      </w:r>
      <w:bookmarkEnd w:id="14"/>
      <w:bookmarkEnd w:id="15"/>
      <w:r w:rsidR="00B9657A" w:rsidRPr="00930562">
        <w:rPr>
          <w:rFonts w:asciiTheme="majorHAnsi" w:hAnsiTheme="majorHAnsi"/>
          <w:lang w:val="es-US"/>
        </w:rPr>
        <w:t xml:space="preserve"> </w:t>
      </w:r>
    </w:p>
    <w:p w14:paraId="1A144DD3" w14:textId="6458C8CC" w:rsidR="0013380B" w:rsidRPr="00930562" w:rsidRDefault="004671C7"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lang w:val="es-US"/>
        </w:rPr>
        <w:t>La información analizada en este informe proviene de diversas fuentes,</w:t>
      </w:r>
      <w:r w:rsidRPr="00930562">
        <w:rPr>
          <w:rFonts w:asciiTheme="majorHAnsi" w:hAnsiTheme="majorHAnsi"/>
          <w:szCs w:val="20"/>
          <w:lang w:val="es-US"/>
        </w:rPr>
        <w:t xml:space="preserve"> </w:t>
      </w:r>
      <w:r w:rsidRPr="00930562">
        <w:rPr>
          <w:rFonts w:asciiTheme="majorHAnsi" w:hAnsiTheme="majorHAnsi"/>
          <w:lang w:val="es-US"/>
        </w:rPr>
        <w:t>incluyendo audiencias realizadas entre el 2014</w:t>
      </w:r>
      <w:r w:rsidR="0013380B" w:rsidRPr="00930562">
        <w:rPr>
          <w:rFonts w:asciiTheme="majorHAnsi" w:hAnsiTheme="majorHAnsi"/>
          <w:lang w:val="es-US"/>
        </w:rPr>
        <w:t xml:space="preserve"> </w:t>
      </w:r>
      <w:r w:rsidRPr="00930562">
        <w:rPr>
          <w:rFonts w:asciiTheme="majorHAnsi" w:hAnsiTheme="majorHAnsi"/>
          <w:lang w:val="es-US"/>
        </w:rPr>
        <w:t>y 2017; una visita</w:t>
      </w:r>
      <w:r w:rsidR="004706E2" w:rsidRPr="00930562">
        <w:rPr>
          <w:rFonts w:asciiTheme="majorHAnsi" w:hAnsiTheme="majorHAnsi"/>
          <w:lang w:val="es-US"/>
        </w:rPr>
        <w:t xml:space="preserve"> de trabajo</w:t>
      </w:r>
      <w:r w:rsidRPr="00930562">
        <w:rPr>
          <w:rFonts w:asciiTheme="majorHAnsi" w:hAnsiTheme="majorHAnsi"/>
          <w:lang w:val="es-US"/>
        </w:rPr>
        <w:t xml:space="preserve"> a Florida, Luisiana y Misuri</w:t>
      </w:r>
      <w:r w:rsidR="0013380B" w:rsidRPr="00930562">
        <w:rPr>
          <w:rFonts w:asciiTheme="majorHAnsi" w:hAnsiTheme="majorHAnsi"/>
          <w:lang w:val="es-US"/>
        </w:rPr>
        <w:t xml:space="preserve">; </w:t>
      </w:r>
      <w:r w:rsidRPr="00930562">
        <w:rPr>
          <w:rFonts w:asciiTheme="majorHAnsi" w:hAnsiTheme="majorHAnsi"/>
          <w:lang w:val="es-US"/>
        </w:rPr>
        <w:t>asuntos monitoreados a través de comunicados de prensa; documentos adicionales, informes y declaraciones emitidas por actores estatales y no estatales.</w:t>
      </w:r>
    </w:p>
    <w:p w14:paraId="17FA64FB" w14:textId="60852312" w:rsidR="0013380B" w:rsidRPr="00930562" w:rsidRDefault="00875B52" w:rsidP="008403E8">
      <w:pPr>
        <w:pStyle w:val="Heading3"/>
        <w:keepNext/>
        <w:keepLines/>
        <w:ind w:left="547" w:hanging="547"/>
        <w:rPr>
          <w:lang w:val="es-US"/>
        </w:rPr>
      </w:pPr>
      <w:bookmarkStart w:id="16" w:name="_Toc511837800"/>
      <w:bookmarkStart w:id="17" w:name="_Toc511902973"/>
      <w:bookmarkStart w:id="18" w:name="_Toc517779221"/>
      <w:bookmarkStart w:id="19" w:name="_Toc531514450"/>
      <w:r w:rsidRPr="00930562">
        <w:rPr>
          <w:lang w:val="es-US"/>
        </w:rPr>
        <w:t xml:space="preserve">Audiencias </w:t>
      </w:r>
      <w:r w:rsidR="00B9657A" w:rsidRPr="00930562">
        <w:rPr>
          <w:lang w:val="es-US"/>
        </w:rPr>
        <w:t>durante períodos de sesiones</w:t>
      </w:r>
      <w:bookmarkEnd w:id="16"/>
      <w:bookmarkEnd w:id="17"/>
      <w:bookmarkEnd w:id="18"/>
      <w:bookmarkEnd w:id="19"/>
    </w:p>
    <w:p w14:paraId="7C00B60A" w14:textId="3CCE0DF6" w:rsidR="0013380B" w:rsidRPr="00930562" w:rsidRDefault="00ED765D"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 xml:space="preserve">La Comisión Interamericana ha organizado un número de audiencias temáticas </w:t>
      </w:r>
      <w:r w:rsidR="00E023C3" w:rsidRPr="00930562">
        <w:rPr>
          <w:rFonts w:asciiTheme="majorHAnsi" w:hAnsiTheme="majorHAnsi"/>
          <w:lang w:val="es-US"/>
        </w:rPr>
        <w:t>sobre cuestiones de racismo sistémico, control policial y uso de la fuerza, y racismo en el sistema de justicia penal de los Estados Unidos durante los últimos cinco años, a través de las cuales ha recabado información sustancial sobre los desafíos existentes. Estas audiencias se han convocado a pedido de la Comisión</w:t>
      </w:r>
      <w:r w:rsidR="0013380B" w:rsidRPr="00930562">
        <w:rPr>
          <w:rFonts w:asciiTheme="majorHAnsi" w:hAnsiTheme="majorHAnsi"/>
          <w:lang w:val="es-US"/>
        </w:rPr>
        <w:t xml:space="preserve"> (</w:t>
      </w:r>
      <w:r w:rsidR="0013380B" w:rsidRPr="00930562">
        <w:rPr>
          <w:rFonts w:asciiTheme="majorHAnsi" w:hAnsiTheme="majorHAnsi"/>
          <w:i/>
          <w:lang w:val="es-US"/>
        </w:rPr>
        <w:t>ex officio</w:t>
      </w:r>
      <w:r w:rsidR="0013380B" w:rsidRPr="00930562">
        <w:rPr>
          <w:rFonts w:asciiTheme="majorHAnsi" w:hAnsiTheme="majorHAnsi"/>
          <w:lang w:val="es-US"/>
        </w:rPr>
        <w:t xml:space="preserve">), </w:t>
      </w:r>
      <w:r w:rsidR="00E023C3" w:rsidRPr="00930562">
        <w:rPr>
          <w:rFonts w:asciiTheme="majorHAnsi" w:hAnsiTheme="majorHAnsi"/>
          <w:lang w:val="es-US"/>
        </w:rPr>
        <w:t>a petición del gobierno de los Estados Unidos y a</w:t>
      </w:r>
      <w:r w:rsidR="004706E2" w:rsidRPr="00930562">
        <w:rPr>
          <w:rFonts w:asciiTheme="majorHAnsi" w:hAnsiTheme="majorHAnsi"/>
          <w:lang w:val="es-US"/>
        </w:rPr>
        <w:t xml:space="preserve"> solicitud</w:t>
      </w:r>
      <w:r w:rsidR="00E023C3" w:rsidRPr="00930562">
        <w:rPr>
          <w:rFonts w:asciiTheme="majorHAnsi" w:hAnsiTheme="majorHAnsi"/>
          <w:lang w:val="es-US"/>
        </w:rPr>
        <w:t xml:space="preserve"> de organizaciones académicas y de la sociedad civil. </w:t>
      </w:r>
    </w:p>
    <w:p w14:paraId="42549B10" w14:textId="1B966E65" w:rsidR="0059063B" w:rsidRPr="00930562" w:rsidRDefault="007D1E70"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 xml:space="preserve">El 25 de marzo de 2014 la Comisión celebró la audiencia </w:t>
      </w:r>
      <w:r w:rsidR="0013380B" w:rsidRPr="00930562">
        <w:rPr>
          <w:rFonts w:asciiTheme="majorHAnsi" w:hAnsiTheme="majorHAnsi"/>
          <w:lang w:val="es-US"/>
        </w:rPr>
        <w:t xml:space="preserve">‘Stand Your Ground’ Laws </w:t>
      </w:r>
      <w:r w:rsidRPr="00930562">
        <w:rPr>
          <w:rFonts w:asciiTheme="majorHAnsi" w:hAnsiTheme="majorHAnsi"/>
          <w:lang w:val="es-US"/>
        </w:rPr>
        <w:t xml:space="preserve">(Leyes “Defiende tu posición”) y su impacto en </w:t>
      </w:r>
      <w:r w:rsidR="004917C3" w:rsidRPr="00930562">
        <w:rPr>
          <w:rFonts w:asciiTheme="majorHAnsi" w:hAnsiTheme="majorHAnsi"/>
          <w:lang w:val="es-US"/>
        </w:rPr>
        <w:t>los grupos históricamente sujetos a discriminación y exclusión en</w:t>
      </w:r>
      <w:r w:rsidRPr="00930562">
        <w:rPr>
          <w:rFonts w:asciiTheme="majorHAnsi" w:hAnsiTheme="majorHAnsi"/>
          <w:lang w:val="es-US"/>
        </w:rPr>
        <w:t xml:space="preserve"> los Estados Unidos</w:t>
      </w:r>
      <w:r w:rsidR="0013380B" w:rsidRPr="00930562">
        <w:rPr>
          <w:rFonts w:asciiTheme="majorHAnsi" w:hAnsiTheme="majorHAnsi"/>
          <w:lang w:val="es-US"/>
        </w:rPr>
        <w:t xml:space="preserve">” </w:t>
      </w:r>
      <w:r w:rsidRPr="00930562">
        <w:rPr>
          <w:rFonts w:asciiTheme="majorHAnsi" w:hAnsiTheme="majorHAnsi"/>
          <w:lang w:val="es-US"/>
        </w:rPr>
        <w:t>en su sede de Washington</w:t>
      </w:r>
      <w:r w:rsidR="0013380B" w:rsidRPr="00930562">
        <w:rPr>
          <w:rFonts w:asciiTheme="majorHAnsi" w:hAnsiTheme="majorHAnsi"/>
          <w:lang w:val="es-US"/>
        </w:rPr>
        <w:t>, D.C.,</w:t>
      </w:r>
      <w:r w:rsidR="0013380B" w:rsidRPr="00930562">
        <w:rPr>
          <w:rStyle w:val="FootnoteReference"/>
          <w:rFonts w:asciiTheme="majorHAnsi" w:hAnsiTheme="majorHAnsi"/>
          <w:lang w:val="es-US"/>
        </w:rPr>
        <w:footnoteReference w:id="5"/>
      </w:r>
      <w:r w:rsidR="0013380B" w:rsidRPr="00930562">
        <w:rPr>
          <w:rStyle w:val="FootnoteReference"/>
          <w:rFonts w:asciiTheme="majorHAnsi" w:hAnsiTheme="majorHAnsi"/>
          <w:lang w:val="es-US"/>
        </w:rPr>
        <w:t xml:space="preserve"> </w:t>
      </w:r>
      <w:r w:rsidRPr="00930562">
        <w:rPr>
          <w:rFonts w:asciiTheme="majorHAnsi" w:hAnsiTheme="majorHAnsi"/>
          <w:lang w:val="es-US"/>
        </w:rPr>
        <w:t xml:space="preserve">durante la cual recibió información sobre las consecuencias para los derechos humanos de las leyes </w:t>
      </w:r>
      <w:r w:rsidR="0013380B" w:rsidRPr="00930562">
        <w:rPr>
          <w:rFonts w:asciiTheme="majorHAnsi" w:hAnsiTheme="majorHAnsi"/>
          <w:lang w:val="es-US"/>
        </w:rPr>
        <w:t xml:space="preserve">“Stand Your Ground” </w:t>
      </w:r>
      <w:r w:rsidRPr="00930562">
        <w:rPr>
          <w:rFonts w:asciiTheme="majorHAnsi" w:hAnsiTheme="majorHAnsi"/>
          <w:lang w:val="es-US"/>
        </w:rPr>
        <w:t xml:space="preserve">actualmente vigentes en varios estados, </w:t>
      </w:r>
      <w:r w:rsidR="004917C3" w:rsidRPr="00930562">
        <w:rPr>
          <w:rFonts w:asciiTheme="majorHAnsi" w:hAnsiTheme="majorHAnsi"/>
          <w:lang w:val="es-US"/>
        </w:rPr>
        <w:t xml:space="preserve">y </w:t>
      </w:r>
      <w:r w:rsidRPr="00930562">
        <w:rPr>
          <w:rFonts w:asciiTheme="majorHAnsi" w:hAnsiTheme="majorHAnsi"/>
          <w:lang w:val="es-US"/>
        </w:rPr>
        <w:t xml:space="preserve">recibió además testimonio de los padres de </w:t>
      </w:r>
      <w:r w:rsidR="0013380B" w:rsidRPr="00930562">
        <w:rPr>
          <w:rFonts w:asciiTheme="majorHAnsi" w:hAnsiTheme="majorHAnsi"/>
          <w:lang w:val="es-US"/>
        </w:rPr>
        <w:t xml:space="preserve">Travyon Martin </w:t>
      </w:r>
      <w:r w:rsidRPr="00930562">
        <w:rPr>
          <w:rFonts w:asciiTheme="majorHAnsi" w:hAnsiTheme="majorHAnsi"/>
          <w:lang w:val="es-US"/>
        </w:rPr>
        <w:t>y</w:t>
      </w:r>
      <w:r w:rsidR="0013380B" w:rsidRPr="00930562">
        <w:rPr>
          <w:rFonts w:asciiTheme="majorHAnsi" w:hAnsiTheme="majorHAnsi"/>
          <w:lang w:val="es-US"/>
        </w:rPr>
        <w:t xml:space="preserve"> Jordan Davis, </w:t>
      </w:r>
      <w:r w:rsidRPr="00930562">
        <w:rPr>
          <w:rFonts w:asciiTheme="majorHAnsi" w:hAnsiTheme="majorHAnsi"/>
          <w:lang w:val="es-US"/>
        </w:rPr>
        <w:t xml:space="preserve">dos adolescentes negros asesinados a tiros por civiles que invocaron la </w:t>
      </w:r>
      <w:r w:rsidR="009F352E" w:rsidRPr="00930562">
        <w:rPr>
          <w:rFonts w:asciiTheme="majorHAnsi" w:hAnsiTheme="majorHAnsi"/>
          <w:lang w:val="es-US"/>
        </w:rPr>
        <w:t>ley</w:t>
      </w:r>
      <w:r w:rsidRPr="00930562">
        <w:rPr>
          <w:rFonts w:asciiTheme="majorHAnsi" w:hAnsiTheme="majorHAnsi"/>
          <w:lang w:val="es-US"/>
        </w:rPr>
        <w:t xml:space="preserve"> </w:t>
      </w:r>
      <w:r w:rsidR="0013380B" w:rsidRPr="00930562">
        <w:rPr>
          <w:rFonts w:asciiTheme="majorHAnsi" w:hAnsiTheme="majorHAnsi"/>
          <w:lang w:val="es-US"/>
        </w:rPr>
        <w:lastRenderedPageBreak/>
        <w:t xml:space="preserve">“Stand Your Ground” </w:t>
      </w:r>
      <w:r w:rsidRPr="00930562">
        <w:rPr>
          <w:rFonts w:asciiTheme="majorHAnsi" w:hAnsiTheme="majorHAnsi"/>
          <w:lang w:val="es-US"/>
        </w:rPr>
        <w:t xml:space="preserve">de Florida como defensa legal </w:t>
      </w:r>
      <w:r w:rsidR="0059063B" w:rsidRPr="00930562">
        <w:rPr>
          <w:rFonts w:asciiTheme="majorHAnsi" w:hAnsiTheme="majorHAnsi"/>
          <w:lang w:val="es-US"/>
        </w:rPr>
        <w:t xml:space="preserve">del crimen de homicidio. </w:t>
      </w:r>
    </w:p>
    <w:p w14:paraId="42CD9159" w14:textId="0499B14E" w:rsidR="0013380B" w:rsidRPr="00930562" w:rsidRDefault="00FE2AE5"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El 27 de octubre de 2014 la Comisión celebró una audiencia titulada</w:t>
      </w:r>
      <w:r w:rsidR="0013380B" w:rsidRPr="00930562">
        <w:rPr>
          <w:rFonts w:asciiTheme="majorHAnsi" w:hAnsiTheme="majorHAnsi"/>
          <w:lang w:val="es-US"/>
        </w:rPr>
        <w:t xml:space="preserve"> “</w:t>
      </w:r>
      <w:r w:rsidRPr="00930562">
        <w:rPr>
          <w:rFonts w:asciiTheme="majorHAnsi" w:hAnsiTheme="majorHAnsi"/>
          <w:lang w:val="es-US"/>
        </w:rPr>
        <w:t xml:space="preserve">Informes de </w:t>
      </w:r>
      <w:r w:rsidR="0013380B" w:rsidRPr="00930562">
        <w:rPr>
          <w:rFonts w:asciiTheme="majorHAnsi" w:hAnsiTheme="majorHAnsi"/>
          <w:lang w:val="es-US"/>
        </w:rPr>
        <w:t>Racism</w:t>
      </w:r>
      <w:r w:rsidRPr="00930562">
        <w:rPr>
          <w:rFonts w:asciiTheme="majorHAnsi" w:hAnsiTheme="majorHAnsi"/>
          <w:lang w:val="es-US"/>
        </w:rPr>
        <w:t>o</w:t>
      </w:r>
      <w:r w:rsidR="0013380B" w:rsidRPr="00930562">
        <w:rPr>
          <w:rFonts w:asciiTheme="majorHAnsi" w:hAnsiTheme="majorHAnsi"/>
          <w:lang w:val="es-US"/>
        </w:rPr>
        <w:t xml:space="preserve"> </w:t>
      </w:r>
      <w:r w:rsidRPr="00930562">
        <w:rPr>
          <w:rFonts w:asciiTheme="majorHAnsi" w:hAnsiTheme="majorHAnsi"/>
          <w:lang w:val="es-US"/>
        </w:rPr>
        <w:t>e</w:t>
      </w:r>
      <w:r w:rsidR="0013380B" w:rsidRPr="00930562">
        <w:rPr>
          <w:rFonts w:asciiTheme="majorHAnsi" w:hAnsiTheme="majorHAnsi"/>
          <w:lang w:val="es-US"/>
        </w:rPr>
        <w:t xml:space="preserve">n </w:t>
      </w:r>
      <w:r w:rsidR="00B5066D" w:rsidRPr="00930562">
        <w:rPr>
          <w:rFonts w:asciiTheme="majorHAnsi" w:hAnsiTheme="majorHAnsi"/>
          <w:lang w:val="es-US"/>
        </w:rPr>
        <w:t>el Sistema de Justicia de los Estados Unidos</w:t>
      </w:r>
      <w:r w:rsidR="0013380B" w:rsidRPr="00930562">
        <w:rPr>
          <w:rFonts w:asciiTheme="majorHAnsi" w:hAnsiTheme="majorHAnsi"/>
          <w:lang w:val="es-US"/>
        </w:rPr>
        <w:t>.”</w:t>
      </w:r>
      <w:r w:rsidR="0013380B" w:rsidRPr="00930562">
        <w:rPr>
          <w:rStyle w:val="FootnoteReference"/>
          <w:rFonts w:asciiTheme="majorHAnsi" w:hAnsiTheme="majorHAnsi"/>
          <w:lang w:val="es-US"/>
        </w:rPr>
        <w:footnoteReference w:id="6"/>
      </w:r>
      <w:r w:rsidR="0013380B" w:rsidRPr="00930562">
        <w:rPr>
          <w:rFonts w:asciiTheme="majorHAnsi" w:hAnsiTheme="majorHAnsi"/>
          <w:lang w:val="es-US"/>
        </w:rPr>
        <w:t xml:space="preserve"> </w:t>
      </w:r>
      <w:r w:rsidR="00B5066D" w:rsidRPr="00930562">
        <w:rPr>
          <w:rFonts w:asciiTheme="majorHAnsi" w:hAnsiTheme="majorHAnsi"/>
          <w:lang w:val="es-US"/>
        </w:rPr>
        <w:t xml:space="preserve">La audiencia fue </w:t>
      </w:r>
      <w:r w:rsidR="004917C3" w:rsidRPr="00930562">
        <w:rPr>
          <w:rFonts w:asciiTheme="majorHAnsi" w:hAnsiTheme="majorHAnsi"/>
          <w:lang w:val="es-US"/>
        </w:rPr>
        <w:t xml:space="preserve">convocada </w:t>
      </w:r>
      <w:r w:rsidR="0013380B" w:rsidRPr="00930562">
        <w:rPr>
          <w:rFonts w:asciiTheme="majorHAnsi" w:hAnsiTheme="majorHAnsi"/>
          <w:i/>
          <w:lang w:val="es-US"/>
        </w:rPr>
        <w:t>ex officio</w:t>
      </w:r>
      <w:r w:rsidR="0013380B" w:rsidRPr="00930562">
        <w:rPr>
          <w:rFonts w:asciiTheme="majorHAnsi" w:hAnsiTheme="majorHAnsi"/>
          <w:lang w:val="es-US"/>
        </w:rPr>
        <w:t xml:space="preserve"> </w:t>
      </w:r>
      <w:r w:rsidR="00B5066D" w:rsidRPr="00930562">
        <w:rPr>
          <w:rFonts w:asciiTheme="majorHAnsi" w:hAnsiTheme="majorHAnsi"/>
          <w:lang w:val="es-US"/>
        </w:rPr>
        <w:t>por la Comisión</w:t>
      </w:r>
      <w:r w:rsidR="0013380B" w:rsidRPr="00930562">
        <w:rPr>
          <w:rFonts w:asciiTheme="majorHAnsi" w:hAnsiTheme="majorHAnsi"/>
          <w:lang w:val="es-US"/>
        </w:rPr>
        <w:t xml:space="preserve">. </w:t>
      </w:r>
      <w:r w:rsidR="004917C3" w:rsidRPr="00930562">
        <w:rPr>
          <w:rFonts w:asciiTheme="majorHAnsi" w:hAnsiTheme="majorHAnsi"/>
          <w:lang w:val="es-US"/>
        </w:rPr>
        <w:t xml:space="preserve">En </w:t>
      </w:r>
      <w:r w:rsidR="00025623" w:rsidRPr="00930562">
        <w:rPr>
          <w:rFonts w:asciiTheme="majorHAnsi" w:hAnsiTheme="majorHAnsi"/>
          <w:lang w:val="es-US"/>
        </w:rPr>
        <w:t>la audiencia la Comi</w:t>
      </w:r>
      <w:r w:rsidR="0013380B" w:rsidRPr="00930562">
        <w:rPr>
          <w:rFonts w:asciiTheme="majorHAnsi" w:hAnsiTheme="majorHAnsi"/>
          <w:lang w:val="es-US"/>
        </w:rPr>
        <w:t>si</w:t>
      </w:r>
      <w:r w:rsidR="00025623" w:rsidRPr="00930562">
        <w:rPr>
          <w:rFonts w:asciiTheme="majorHAnsi" w:hAnsiTheme="majorHAnsi"/>
          <w:lang w:val="es-US"/>
        </w:rPr>
        <w:t>ó</w:t>
      </w:r>
      <w:r w:rsidR="0013380B" w:rsidRPr="00930562">
        <w:rPr>
          <w:rFonts w:asciiTheme="majorHAnsi" w:hAnsiTheme="majorHAnsi"/>
          <w:lang w:val="es-US"/>
        </w:rPr>
        <w:t xml:space="preserve">n </w:t>
      </w:r>
      <w:r w:rsidR="00025623" w:rsidRPr="00930562">
        <w:rPr>
          <w:rFonts w:asciiTheme="majorHAnsi" w:hAnsiTheme="majorHAnsi"/>
          <w:lang w:val="es-US"/>
        </w:rPr>
        <w:t xml:space="preserve">recibió información de los asistentes acerca de problemas de discriminación racial en las áreas de: control policial </w:t>
      </w:r>
      <w:r w:rsidR="0013380B" w:rsidRPr="00930562">
        <w:rPr>
          <w:rFonts w:asciiTheme="majorHAnsi" w:hAnsiTheme="majorHAnsi"/>
          <w:lang w:val="es-US"/>
        </w:rPr>
        <w:t>(</w:t>
      </w:r>
      <w:r w:rsidR="00025623" w:rsidRPr="00930562">
        <w:rPr>
          <w:rFonts w:asciiTheme="majorHAnsi" w:hAnsiTheme="majorHAnsi"/>
          <w:lang w:val="es-US"/>
        </w:rPr>
        <w:t xml:space="preserve">perfiles raciales, exceso de vigilancia </w:t>
      </w:r>
      <w:r w:rsidR="004917C3" w:rsidRPr="00930562">
        <w:rPr>
          <w:rFonts w:asciiTheme="majorHAnsi" w:hAnsiTheme="majorHAnsi"/>
          <w:lang w:val="es-US"/>
        </w:rPr>
        <w:t>de</w:t>
      </w:r>
      <w:r w:rsidR="00025623" w:rsidRPr="00930562">
        <w:rPr>
          <w:rFonts w:asciiTheme="majorHAnsi" w:hAnsiTheme="majorHAnsi"/>
          <w:lang w:val="es-US"/>
        </w:rPr>
        <w:t xml:space="preserve"> grupos históricamente marginados</w:t>
      </w:r>
      <w:r w:rsidR="0013380B" w:rsidRPr="00930562">
        <w:rPr>
          <w:rFonts w:asciiTheme="majorHAnsi" w:hAnsiTheme="majorHAnsi"/>
          <w:lang w:val="es-US"/>
        </w:rPr>
        <w:t xml:space="preserve">, </w:t>
      </w:r>
      <w:r w:rsidR="00025623" w:rsidRPr="00930562">
        <w:rPr>
          <w:rFonts w:asciiTheme="majorHAnsi" w:hAnsiTheme="majorHAnsi"/>
          <w:lang w:val="es-US"/>
        </w:rPr>
        <w:t>uso excesivo de la fuerza</w:t>
      </w:r>
      <w:r w:rsidR="0013380B" w:rsidRPr="00930562">
        <w:rPr>
          <w:rFonts w:asciiTheme="majorHAnsi" w:hAnsiTheme="majorHAnsi"/>
          <w:lang w:val="es-US"/>
        </w:rPr>
        <w:t xml:space="preserve">), </w:t>
      </w:r>
      <w:r w:rsidR="00025623" w:rsidRPr="00930562">
        <w:rPr>
          <w:rFonts w:asciiTheme="majorHAnsi" w:hAnsiTheme="majorHAnsi"/>
          <w:lang w:val="es-US"/>
        </w:rPr>
        <w:t>derecho al voto</w:t>
      </w:r>
      <w:r w:rsidR="0013380B" w:rsidRPr="00930562">
        <w:rPr>
          <w:rFonts w:asciiTheme="majorHAnsi" w:hAnsiTheme="majorHAnsi"/>
          <w:lang w:val="es-US"/>
        </w:rPr>
        <w:t xml:space="preserve"> (</w:t>
      </w:r>
      <w:r w:rsidR="00025623" w:rsidRPr="00930562">
        <w:rPr>
          <w:rFonts w:asciiTheme="majorHAnsi" w:hAnsiTheme="majorHAnsi"/>
          <w:lang w:val="es-US"/>
        </w:rPr>
        <w:t>delito de inhabilitación)</w:t>
      </w:r>
      <w:r w:rsidR="0013380B" w:rsidRPr="00930562">
        <w:rPr>
          <w:rFonts w:asciiTheme="majorHAnsi" w:hAnsiTheme="majorHAnsi"/>
          <w:lang w:val="es-US"/>
        </w:rPr>
        <w:t xml:space="preserve">, </w:t>
      </w:r>
      <w:r w:rsidR="00025623" w:rsidRPr="00930562">
        <w:rPr>
          <w:rFonts w:asciiTheme="majorHAnsi" w:hAnsiTheme="majorHAnsi"/>
          <w:lang w:val="es-US"/>
        </w:rPr>
        <w:t>encarcelamiento masivo</w:t>
      </w:r>
      <w:r w:rsidR="0013380B" w:rsidRPr="00930562">
        <w:rPr>
          <w:rFonts w:asciiTheme="majorHAnsi" w:hAnsiTheme="majorHAnsi"/>
          <w:lang w:val="es-US"/>
        </w:rPr>
        <w:t xml:space="preserve">, </w:t>
      </w:r>
      <w:r w:rsidR="00025623" w:rsidRPr="00930562">
        <w:rPr>
          <w:rFonts w:asciiTheme="majorHAnsi" w:hAnsiTheme="majorHAnsi"/>
          <w:lang w:val="es-US"/>
        </w:rPr>
        <w:t>justicia juvenil, e iniciativas gubernamentales para reducir el efecto desproporcionado del encarcelamiento masi</w:t>
      </w:r>
      <w:r w:rsidR="009C3F58" w:rsidRPr="00930562">
        <w:rPr>
          <w:rFonts w:asciiTheme="majorHAnsi" w:hAnsiTheme="majorHAnsi"/>
          <w:lang w:val="es-US"/>
        </w:rPr>
        <w:t>v</w:t>
      </w:r>
      <w:r w:rsidR="00025623" w:rsidRPr="00930562">
        <w:rPr>
          <w:rFonts w:asciiTheme="majorHAnsi" w:hAnsiTheme="majorHAnsi"/>
          <w:lang w:val="es-US"/>
        </w:rPr>
        <w:t xml:space="preserve">o </w:t>
      </w:r>
      <w:r w:rsidR="009C3F58" w:rsidRPr="00930562">
        <w:rPr>
          <w:rFonts w:asciiTheme="majorHAnsi" w:hAnsiTheme="majorHAnsi"/>
          <w:lang w:val="es-US"/>
        </w:rPr>
        <w:t xml:space="preserve">basado en raza </w:t>
      </w:r>
      <w:r w:rsidR="00025623" w:rsidRPr="00930562">
        <w:rPr>
          <w:rFonts w:asciiTheme="majorHAnsi" w:hAnsiTheme="majorHAnsi"/>
          <w:lang w:val="es-US"/>
        </w:rPr>
        <w:t xml:space="preserve">y </w:t>
      </w:r>
      <w:r w:rsidR="009C3F58" w:rsidRPr="00930562">
        <w:rPr>
          <w:rFonts w:asciiTheme="majorHAnsi" w:hAnsiTheme="majorHAnsi"/>
          <w:lang w:val="es-US"/>
        </w:rPr>
        <w:t>los perfiles raciales.</w:t>
      </w:r>
    </w:p>
    <w:p w14:paraId="634DE9AF" w14:textId="38F63015" w:rsidR="00AA6F02" w:rsidRPr="00930562" w:rsidRDefault="00417ADB"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bookmarkStart w:id="20" w:name="_Ref511834451"/>
      <w:r w:rsidRPr="00930562">
        <w:rPr>
          <w:rFonts w:asciiTheme="majorHAnsi" w:hAnsiTheme="majorHAnsi"/>
          <w:lang w:val="es-US"/>
        </w:rPr>
        <w:t>El 16 de marzo de 2015 la Comisión celebró una audiencia titulada “Justicia Criminal y Raza en los Estados Unidos.”</w:t>
      </w:r>
      <w:r w:rsidRPr="00930562">
        <w:rPr>
          <w:rFonts w:asciiTheme="majorHAnsi" w:hAnsiTheme="majorHAnsi"/>
          <w:vertAlign w:val="superscript"/>
          <w:lang w:val="es-US"/>
        </w:rPr>
        <w:footnoteReference w:id="7"/>
      </w:r>
      <w:r w:rsidRPr="00930562">
        <w:rPr>
          <w:rFonts w:asciiTheme="majorHAnsi" w:hAnsiTheme="majorHAnsi"/>
          <w:lang w:val="es-US"/>
        </w:rPr>
        <w:t xml:space="preserve"> La audiencia fue solicitada por el Estado. Durante la audiencia la Comisión recibió amplia información del Estado </w:t>
      </w:r>
      <w:r w:rsidR="004706E2" w:rsidRPr="00930562">
        <w:rPr>
          <w:rFonts w:asciiTheme="majorHAnsi" w:hAnsiTheme="majorHAnsi"/>
          <w:lang w:val="es-US"/>
        </w:rPr>
        <w:t xml:space="preserve">sobre </w:t>
      </w:r>
      <w:r w:rsidR="004917C3" w:rsidRPr="00930562">
        <w:rPr>
          <w:rFonts w:asciiTheme="majorHAnsi" w:hAnsiTheme="majorHAnsi"/>
          <w:lang w:val="es-US"/>
        </w:rPr>
        <w:t>diversas iniciativas</w:t>
      </w:r>
      <w:r w:rsidR="00E9536C" w:rsidRPr="00930562">
        <w:rPr>
          <w:rFonts w:asciiTheme="majorHAnsi" w:hAnsiTheme="majorHAnsi"/>
          <w:lang w:val="es-US"/>
        </w:rPr>
        <w:t>,</w:t>
      </w:r>
      <w:r w:rsidRPr="00930562">
        <w:rPr>
          <w:rFonts w:asciiTheme="majorHAnsi" w:hAnsiTheme="majorHAnsi"/>
          <w:lang w:val="es-US"/>
        </w:rPr>
        <w:t xml:space="preserve"> incluyendo el cumplimiento de las recomendaciones del Grupo de Trabajo del Presidente</w:t>
      </w:r>
      <w:r w:rsidR="004917C3" w:rsidRPr="00930562">
        <w:rPr>
          <w:rFonts w:asciiTheme="majorHAnsi" w:hAnsiTheme="majorHAnsi"/>
          <w:lang w:val="es-US"/>
        </w:rPr>
        <w:t xml:space="preserve"> Obama</w:t>
      </w:r>
      <w:r w:rsidRPr="00930562">
        <w:rPr>
          <w:rFonts w:asciiTheme="majorHAnsi" w:hAnsiTheme="majorHAnsi"/>
          <w:lang w:val="es-US"/>
        </w:rPr>
        <w:t xml:space="preserve"> sobre Vigilancia </w:t>
      </w:r>
      <w:r w:rsidR="004706E2" w:rsidRPr="00930562">
        <w:rPr>
          <w:rFonts w:asciiTheme="majorHAnsi" w:hAnsiTheme="majorHAnsi"/>
          <w:lang w:val="es-US"/>
        </w:rPr>
        <w:t xml:space="preserve">Policial </w:t>
      </w:r>
      <w:r w:rsidRPr="00930562">
        <w:rPr>
          <w:rFonts w:asciiTheme="majorHAnsi" w:hAnsiTheme="majorHAnsi"/>
          <w:lang w:val="es-US"/>
        </w:rPr>
        <w:t>del Siglo XX</w:t>
      </w:r>
      <w:r w:rsidR="004706E2" w:rsidRPr="00930562">
        <w:rPr>
          <w:rFonts w:asciiTheme="majorHAnsi" w:hAnsiTheme="majorHAnsi"/>
          <w:lang w:val="es-US"/>
        </w:rPr>
        <w:t>I</w:t>
      </w:r>
      <w:r w:rsidRPr="00930562">
        <w:rPr>
          <w:rFonts w:asciiTheme="majorHAnsi" w:hAnsiTheme="majorHAnsi"/>
          <w:lang w:val="es-US"/>
        </w:rPr>
        <w:t xml:space="preserve">; </w:t>
      </w:r>
      <w:r w:rsidR="00F973AE" w:rsidRPr="00930562">
        <w:rPr>
          <w:rFonts w:asciiTheme="majorHAnsi" w:hAnsiTheme="majorHAnsi"/>
          <w:lang w:val="es-US"/>
        </w:rPr>
        <w:t xml:space="preserve">investigaciones de los departamentos de policía municipales llevadas a cabo por el </w:t>
      </w:r>
      <w:r w:rsidR="003E3D45" w:rsidRPr="00930562">
        <w:rPr>
          <w:rFonts w:asciiTheme="majorHAnsi" w:hAnsiTheme="majorHAnsi"/>
          <w:lang w:val="es-US"/>
        </w:rPr>
        <w:t xml:space="preserve">Departamento </w:t>
      </w:r>
      <w:r w:rsidR="00F973AE" w:rsidRPr="00930562">
        <w:rPr>
          <w:rFonts w:asciiTheme="majorHAnsi" w:hAnsiTheme="majorHAnsi"/>
          <w:lang w:val="es-US"/>
        </w:rPr>
        <w:t>de Justicia;</w:t>
      </w:r>
      <w:r w:rsidRPr="00930562">
        <w:rPr>
          <w:rFonts w:asciiTheme="majorHAnsi" w:hAnsiTheme="majorHAnsi"/>
          <w:lang w:val="es-US"/>
        </w:rPr>
        <w:t xml:space="preserve"> </w:t>
      </w:r>
      <w:r w:rsidR="003E3D45" w:rsidRPr="00930562">
        <w:rPr>
          <w:rFonts w:asciiTheme="majorHAnsi" w:hAnsiTheme="majorHAnsi"/>
          <w:lang w:val="es-US"/>
        </w:rPr>
        <w:t xml:space="preserve">Departamento </w:t>
      </w:r>
      <w:r w:rsidR="00F973AE" w:rsidRPr="00930562">
        <w:rPr>
          <w:rFonts w:asciiTheme="majorHAnsi" w:hAnsiTheme="majorHAnsi"/>
          <w:lang w:val="es-US"/>
        </w:rPr>
        <w:t>de Trabajo</w:t>
      </w:r>
      <w:r w:rsidR="003E3D45" w:rsidRPr="00930562">
        <w:rPr>
          <w:rFonts w:asciiTheme="majorHAnsi" w:hAnsiTheme="majorHAnsi"/>
          <w:lang w:val="es-US"/>
        </w:rPr>
        <w:t xml:space="preserve"> y</w:t>
      </w:r>
      <w:r w:rsidR="00F973AE" w:rsidRPr="00930562">
        <w:rPr>
          <w:rFonts w:asciiTheme="majorHAnsi" w:hAnsiTheme="majorHAnsi"/>
          <w:lang w:val="es-US"/>
        </w:rPr>
        <w:t xml:space="preserve"> programas de lucha contra la </w:t>
      </w:r>
      <w:r w:rsidR="0013380B" w:rsidRPr="00930562">
        <w:rPr>
          <w:rFonts w:asciiTheme="majorHAnsi" w:hAnsiTheme="majorHAnsi"/>
          <w:lang w:val="es-US"/>
        </w:rPr>
        <w:t>discrimina</w:t>
      </w:r>
      <w:r w:rsidR="00F973AE" w:rsidRPr="00930562">
        <w:rPr>
          <w:rFonts w:asciiTheme="majorHAnsi" w:hAnsiTheme="majorHAnsi"/>
          <w:lang w:val="es-US"/>
        </w:rPr>
        <w:t>ción EEOC y reformas en políticas</w:t>
      </w:r>
      <w:r w:rsidR="0013380B" w:rsidRPr="00930562">
        <w:rPr>
          <w:rFonts w:asciiTheme="majorHAnsi" w:hAnsiTheme="majorHAnsi"/>
          <w:lang w:val="es-US"/>
        </w:rPr>
        <w:t xml:space="preserve">; </w:t>
      </w:r>
      <w:r w:rsidR="00AA6F02" w:rsidRPr="00930562">
        <w:rPr>
          <w:rFonts w:asciiTheme="majorHAnsi" w:hAnsiTheme="majorHAnsi"/>
          <w:lang w:val="es-US"/>
        </w:rPr>
        <w:t>iniciativas</w:t>
      </w:r>
      <w:r w:rsidR="0013380B" w:rsidRPr="00930562">
        <w:rPr>
          <w:rFonts w:asciiTheme="majorHAnsi" w:hAnsiTheme="majorHAnsi"/>
          <w:lang w:val="es-US"/>
        </w:rPr>
        <w:t xml:space="preserve"> </w:t>
      </w:r>
      <w:r w:rsidR="00AA6F02" w:rsidRPr="00930562">
        <w:rPr>
          <w:rFonts w:asciiTheme="majorHAnsi" w:hAnsiTheme="majorHAnsi"/>
          <w:lang w:val="es-US"/>
        </w:rPr>
        <w:t>de cooperación a nivel r</w:t>
      </w:r>
      <w:r w:rsidR="0013380B" w:rsidRPr="00930562">
        <w:rPr>
          <w:rFonts w:asciiTheme="majorHAnsi" w:hAnsiTheme="majorHAnsi"/>
          <w:lang w:val="es-US"/>
        </w:rPr>
        <w:t>egional</w:t>
      </w:r>
      <w:r w:rsidR="00AA6F02" w:rsidRPr="00930562">
        <w:rPr>
          <w:rFonts w:asciiTheme="majorHAnsi" w:hAnsiTheme="majorHAnsi"/>
          <w:lang w:val="es-US"/>
        </w:rPr>
        <w:t>, entre otras.</w:t>
      </w:r>
      <w:r w:rsidR="0013380B" w:rsidRPr="00930562">
        <w:rPr>
          <w:rFonts w:asciiTheme="majorHAnsi" w:hAnsiTheme="majorHAnsi"/>
          <w:lang w:val="es-US"/>
        </w:rPr>
        <w:t xml:space="preserve"> </w:t>
      </w:r>
      <w:r w:rsidR="00AA6F02" w:rsidRPr="00930562">
        <w:rPr>
          <w:rFonts w:asciiTheme="majorHAnsi" w:hAnsiTheme="majorHAnsi"/>
          <w:lang w:val="es-US"/>
        </w:rPr>
        <w:t>Adicionalmente, la Comisión recibió información sobre prácticas policiales discriminatorias (incluido el Programa “</w:t>
      </w:r>
      <w:r w:rsidR="00AA6F02" w:rsidRPr="00930562">
        <w:rPr>
          <w:rFonts w:asciiTheme="majorHAnsi" w:hAnsiTheme="majorHAnsi"/>
          <w:i/>
          <w:lang w:val="es-US"/>
        </w:rPr>
        <w:t>Stop and Frisk</w:t>
      </w:r>
      <w:r w:rsidR="00AA6F02" w:rsidRPr="00930562">
        <w:rPr>
          <w:rFonts w:asciiTheme="majorHAnsi" w:hAnsiTheme="majorHAnsi"/>
          <w:lang w:val="es-US"/>
        </w:rPr>
        <w:t>” [“Alto y Cacheo”] de la Ciudad de Nueva York</w:t>
      </w:r>
      <w:r w:rsidR="0013380B" w:rsidRPr="00930562">
        <w:rPr>
          <w:rFonts w:asciiTheme="majorHAnsi" w:hAnsiTheme="majorHAnsi"/>
          <w:lang w:val="es-US"/>
        </w:rPr>
        <w:t xml:space="preserve">, </w:t>
      </w:r>
      <w:r w:rsidR="00AA6F02" w:rsidRPr="00930562">
        <w:rPr>
          <w:rFonts w:asciiTheme="majorHAnsi" w:hAnsiTheme="majorHAnsi"/>
          <w:lang w:val="es-US"/>
        </w:rPr>
        <w:t xml:space="preserve">tareas de vigilancia </w:t>
      </w:r>
      <w:r w:rsidR="003E3D45" w:rsidRPr="00930562">
        <w:rPr>
          <w:rFonts w:asciiTheme="majorHAnsi" w:hAnsiTheme="majorHAnsi"/>
          <w:lang w:val="es-US"/>
        </w:rPr>
        <w:t xml:space="preserve">de </w:t>
      </w:r>
      <w:r w:rsidR="00AA6F02" w:rsidRPr="00930562">
        <w:rPr>
          <w:rFonts w:asciiTheme="majorHAnsi" w:hAnsiTheme="majorHAnsi"/>
          <w:lang w:val="es-US"/>
        </w:rPr>
        <w:t xml:space="preserve">comunidades musulmanas, y prácticas policiales en Ferguson, </w:t>
      </w:r>
      <w:r w:rsidR="0013380B" w:rsidRPr="00930562">
        <w:rPr>
          <w:rFonts w:asciiTheme="majorHAnsi" w:hAnsiTheme="majorHAnsi"/>
          <w:lang w:val="es-US"/>
        </w:rPr>
        <w:t xml:space="preserve">Misuri), </w:t>
      </w:r>
      <w:r w:rsidR="00AA6F02" w:rsidRPr="00930562">
        <w:rPr>
          <w:rFonts w:asciiTheme="majorHAnsi" w:hAnsiTheme="majorHAnsi"/>
          <w:lang w:val="es-US"/>
        </w:rPr>
        <w:t xml:space="preserve">el impacto de por vida de los condenados por delitos graves en el acceso a los </w:t>
      </w:r>
      <w:r w:rsidR="00AA6F02" w:rsidRPr="00930562">
        <w:rPr>
          <w:rFonts w:asciiTheme="majorHAnsi" w:hAnsiTheme="majorHAnsi"/>
          <w:lang w:val="es-US"/>
        </w:rPr>
        <w:lastRenderedPageBreak/>
        <w:t>derechos políticos, económicos y sociales y la militarización de los departamentos de policía.</w:t>
      </w:r>
      <w:r w:rsidR="00AA6F02" w:rsidRPr="00930562">
        <w:rPr>
          <w:rFonts w:asciiTheme="majorHAnsi" w:hAnsiTheme="majorHAnsi"/>
          <w:szCs w:val="20"/>
          <w:lang w:val="es-US"/>
        </w:rPr>
        <w:t xml:space="preserve"> </w:t>
      </w:r>
      <w:bookmarkEnd w:id="20"/>
    </w:p>
    <w:p w14:paraId="3F0ABD0F" w14:textId="55DB9A88" w:rsidR="00757AD7" w:rsidRPr="00930562" w:rsidRDefault="00757AD7"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El 23 de octubre de</w:t>
      </w:r>
      <w:r w:rsidR="0013380B" w:rsidRPr="00930562">
        <w:rPr>
          <w:rFonts w:asciiTheme="majorHAnsi" w:hAnsiTheme="majorHAnsi"/>
          <w:lang w:val="es-US"/>
        </w:rPr>
        <w:t xml:space="preserve"> 2015 </w:t>
      </w:r>
      <w:r w:rsidRPr="00930562">
        <w:rPr>
          <w:rFonts w:asciiTheme="majorHAnsi" w:hAnsiTheme="majorHAnsi"/>
          <w:lang w:val="es-US"/>
        </w:rPr>
        <w:t xml:space="preserve">la Comisión </w:t>
      </w:r>
      <w:r w:rsidR="003E3D45" w:rsidRPr="00930562">
        <w:rPr>
          <w:rFonts w:asciiTheme="majorHAnsi" w:hAnsiTheme="majorHAnsi"/>
          <w:lang w:val="es-US"/>
        </w:rPr>
        <w:t xml:space="preserve">sostuvo </w:t>
      </w:r>
      <w:r w:rsidRPr="00930562">
        <w:rPr>
          <w:rFonts w:asciiTheme="majorHAnsi" w:hAnsiTheme="majorHAnsi"/>
          <w:lang w:val="es-US"/>
        </w:rPr>
        <w:t>a una audiencia sobre</w:t>
      </w:r>
      <w:r w:rsidR="0013380B" w:rsidRPr="00930562">
        <w:rPr>
          <w:rFonts w:asciiTheme="majorHAnsi" w:hAnsiTheme="majorHAnsi"/>
          <w:lang w:val="es-US"/>
        </w:rPr>
        <w:t xml:space="preserve"> “</w:t>
      </w:r>
      <w:r w:rsidR="003E3D45" w:rsidRPr="00930562">
        <w:rPr>
          <w:rFonts w:asciiTheme="majorHAnsi" w:hAnsiTheme="majorHAnsi"/>
          <w:lang w:val="es-US"/>
        </w:rPr>
        <w:t xml:space="preserve">Informes </w:t>
      </w:r>
      <w:r w:rsidRPr="00930562">
        <w:rPr>
          <w:rFonts w:asciiTheme="majorHAnsi" w:hAnsiTheme="majorHAnsi"/>
          <w:lang w:val="es-US"/>
        </w:rPr>
        <w:t>sobre el uso excesivo de la fuerza por parte de la policía contra personas de descendencia africana en los Estados Unidos</w:t>
      </w:r>
      <w:r w:rsidR="0013380B" w:rsidRPr="00930562">
        <w:rPr>
          <w:rFonts w:asciiTheme="majorHAnsi" w:hAnsiTheme="majorHAnsi"/>
          <w:lang w:val="es-US"/>
        </w:rPr>
        <w:t>.”</w:t>
      </w:r>
      <w:r w:rsidR="0013380B" w:rsidRPr="00930562">
        <w:rPr>
          <w:rStyle w:val="FootnoteReference"/>
          <w:rFonts w:asciiTheme="majorHAnsi" w:hAnsiTheme="majorHAnsi"/>
          <w:lang w:val="es-US"/>
        </w:rPr>
        <w:footnoteReference w:id="8"/>
      </w:r>
      <w:r w:rsidR="0013380B" w:rsidRPr="00930562">
        <w:rPr>
          <w:rFonts w:asciiTheme="majorHAnsi" w:hAnsiTheme="majorHAnsi"/>
          <w:lang w:val="es-US"/>
        </w:rPr>
        <w:t xml:space="preserve"> </w:t>
      </w:r>
      <w:r w:rsidR="003E3D45" w:rsidRPr="00930562">
        <w:rPr>
          <w:rFonts w:asciiTheme="majorHAnsi" w:hAnsiTheme="majorHAnsi"/>
          <w:lang w:val="es-US"/>
        </w:rPr>
        <w:t xml:space="preserve">En </w:t>
      </w:r>
      <w:r w:rsidRPr="00930562">
        <w:rPr>
          <w:rFonts w:asciiTheme="majorHAnsi" w:hAnsiTheme="majorHAnsi"/>
          <w:lang w:val="es-US"/>
        </w:rPr>
        <w:t xml:space="preserve">la audiencia la Comisión recibió </w:t>
      </w:r>
      <w:r w:rsidR="0013380B" w:rsidRPr="00930562">
        <w:rPr>
          <w:rFonts w:asciiTheme="majorHAnsi" w:hAnsiTheme="majorHAnsi"/>
          <w:lang w:val="es-US"/>
        </w:rPr>
        <w:t xml:space="preserve"> </w:t>
      </w:r>
      <w:r w:rsidRPr="00930562">
        <w:rPr>
          <w:rFonts w:asciiTheme="majorHAnsi" w:hAnsiTheme="majorHAnsi"/>
          <w:lang w:val="es-US"/>
        </w:rPr>
        <w:t>información sobre</w:t>
      </w:r>
      <w:r w:rsidR="0013380B" w:rsidRPr="00930562">
        <w:rPr>
          <w:rFonts w:asciiTheme="majorHAnsi" w:hAnsiTheme="majorHAnsi"/>
          <w:lang w:val="es-US"/>
        </w:rPr>
        <w:t xml:space="preserve"> </w:t>
      </w:r>
      <w:r w:rsidRPr="00930562">
        <w:rPr>
          <w:rFonts w:asciiTheme="majorHAnsi" w:hAnsiTheme="majorHAnsi"/>
          <w:lang w:val="es-US"/>
        </w:rPr>
        <w:t>desigualdades raciales en el sistema de justicia penal</w:t>
      </w:r>
      <w:r w:rsidR="003E3D45" w:rsidRPr="00930562">
        <w:rPr>
          <w:rFonts w:asciiTheme="majorHAnsi" w:hAnsiTheme="majorHAnsi"/>
          <w:lang w:val="es-US"/>
        </w:rPr>
        <w:t xml:space="preserve"> y en</w:t>
      </w:r>
      <w:r w:rsidRPr="00930562">
        <w:rPr>
          <w:rFonts w:asciiTheme="majorHAnsi" w:hAnsiTheme="majorHAnsi"/>
          <w:lang w:val="es-US"/>
        </w:rPr>
        <w:t xml:space="preserve"> el uso de la fuerza policial</w:t>
      </w:r>
      <w:r w:rsidR="003E3D45" w:rsidRPr="00930562">
        <w:rPr>
          <w:rFonts w:asciiTheme="majorHAnsi" w:hAnsiTheme="majorHAnsi"/>
          <w:lang w:val="es-US"/>
        </w:rPr>
        <w:t>,</w:t>
      </w:r>
      <w:r w:rsidRPr="00930562">
        <w:rPr>
          <w:rFonts w:asciiTheme="majorHAnsi" w:hAnsiTheme="majorHAnsi"/>
          <w:lang w:val="es-US"/>
        </w:rPr>
        <w:t xml:space="preserve"> y escuchó el testimonio de los familiares de </w:t>
      </w:r>
      <w:r w:rsidR="0013380B" w:rsidRPr="00930562">
        <w:rPr>
          <w:rFonts w:asciiTheme="majorHAnsi" w:hAnsiTheme="majorHAnsi"/>
          <w:lang w:val="es-US"/>
        </w:rPr>
        <w:t>Rekia Boyd, Clinton Allen</w:t>
      </w:r>
      <w:r w:rsidRPr="00930562">
        <w:rPr>
          <w:rFonts w:asciiTheme="majorHAnsi" w:hAnsiTheme="majorHAnsi"/>
          <w:lang w:val="es-US"/>
        </w:rPr>
        <w:t xml:space="preserve"> y</w:t>
      </w:r>
      <w:r w:rsidR="0013380B" w:rsidRPr="00930562">
        <w:rPr>
          <w:rFonts w:asciiTheme="majorHAnsi" w:hAnsiTheme="majorHAnsi"/>
          <w:lang w:val="es-US"/>
        </w:rPr>
        <w:t xml:space="preserve"> Tesfaie Mokuria, </w:t>
      </w:r>
      <w:r w:rsidRPr="00930562">
        <w:rPr>
          <w:rFonts w:asciiTheme="majorHAnsi" w:hAnsiTheme="majorHAnsi"/>
          <w:lang w:val="es-US"/>
        </w:rPr>
        <w:t>descendientes de africanos asesinados por la policía,</w:t>
      </w:r>
      <w:r w:rsidR="0013380B" w:rsidRPr="00930562">
        <w:rPr>
          <w:rFonts w:asciiTheme="majorHAnsi" w:hAnsiTheme="majorHAnsi"/>
          <w:lang w:val="es-US"/>
        </w:rPr>
        <w:t xml:space="preserve"> </w:t>
      </w:r>
      <w:r w:rsidRPr="00930562">
        <w:rPr>
          <w:rFonts w:asciiTheme="majorHAnsi" w:hAnsiTheme="majorHAnsi"/>
          <w:lang w:val="es-US"/>
        </w:rPr>
        <w:t xml:space="preserve">respecto del </w:t>
      </w:r>
      <w:r w:rsidR="003E3D45" w:rsidRPr="00930562">
        <w:rPr>
          <w:rFonts w:asciiTheme="majorHAnsi" w:hAnsiTheme="majorHAnsi"/>
          <w:lang w:val="es-US"/>
        </w:rPr>
        <w:t xml:space="preserve">impacto </w:t>
      </w:r>
      <w:r w:rsidRPr="00930562">
        <w:rPr>
          <w:rFonts w:asciiTheme="majorHAnsi" w:hAnsiTheme="majorHAnsi"/>
          <w:lang w:val="es-US"/>
        </w:rPr>
        <w:t xml:space="preserve">de esos asesinatos en sus familias. Además, la </w:t>
      </w:r>
      <w:r w:rsidR="0013380B" w:rsidRPr="00930562">
        <w:rPr>
          <w:rFonts w:asciiTheme="majorHAnsi" w:hAnsiTheme="majorHAnsi"/>
          <w:lang w:val="es-US"/>
        </w:rPr>
        <w:t>Comisi</w:t>
      </w:r>
      <w:r w:rsidRPr="00930562">
        <w:rPr>
          <w:rFonts w:asciiTheme="majorHAnsi" w:hAnsiTheme="majorHAnsi"/>
          <w:lang w:val="es-US"/>
        </w:rPr>
        <w:t>ó</w:t>
      </w:r>
      <w:r w:rsidR="0013380B" w:rsidRPr="00930562">
        <w:rPr>
          <w:rFonts w:asciiTheme="majorHAnsi" w:hAnsiTheme="majorHAnsi"/>
          <w:lang w:val="es-US"/>
        </w:rPr>
        <w:t xml:space="preserve">n </w:t>
      </w:r>
      <w:r w:rsidRPr="00930562">
        <w:rPr>
          <w:rFonts w:asciiTheme="majorHAnsi" w:hAnsiTheme="majorHAnsi"/>
          <w:lang w:val="es-US"/>
        </w:rPr>
        <w:t xml:space="preserve">recibió información actualizada sobre el estado de varias </w:t>
      </w:r>
      <w:r w:rsidR="007B5B72" w:rsidRPr="00930562">
        <w:rPr>
          <w:rFonts w:asciiTheme="majorHAnsi" w:hAnsiTheme="majorHAnsi"/>
          <w:lang w:val="es-US"/>
        </w:rPr>
        <w:t>iniciativas</w:t>
      </w:r>
      <w:r w:rsidRPr="00930562">
        <w:rPr>
          <w:rFonts w:asciiTheme="majorHAnsi" w:hAnsiTheme="majorHAnsi"/>
          <w:lang w:val="es-US"/>
        </w:rPr>
        <w:t xml:space="preserve"> de reforma por parte del Estado </w:t>
      </w:r>
      <w:r w:rsidR="007B5B72" w:rsidRPr="00930562">
        <w:rPr>
          <w:rFonts w:asciiTheme="majorHAnsi" w:hAnsiTheme="majorHAnsi"/>
          <w:lang w:val="es-US"/>
        </w:rPr>
        <w:t>previamente</w:t>
      </w:r>
      <w:r w:rsidRPr="00930562">
        <w:rPr>
          <w:rFonts w:asciiTheme="majorHAnsi" w:hAnsiTheme="majorHAnsi"/>
          <w:lang w:val="es-US"/>
        </w:rPr>
        <w:t xml:space="preserve"> abordadas en la audiencia del 27 de octubre de 2014.</w:t>
      </w:r>
    </w:p>
    <w:p w14:paraId="1A03C42A" w14:textId="166F28E2" w:rsidR="0013380B" w:rsidRPr="00930562" w:rsidRDefault="0044116E" w:rsidP="00724857">
      <w:pPr>
        <w:pStyle w:val="ListParagraph"/>
        <w:numPr>
          <w:ilvl w:val="0"/>
          <w:numId w:val="2"/>
        </w:numPr>
        <w:spacing w:after="240" w:line="240" w:lineRule="auto"/>
        <w:ind w:left="547" w:hanging="547"/>
        <w:contextualSpacing w:val="0"/>
        <w:jc w:val="both"/>
        <w:rPr>
          <w:rFonts w:asciiTheme="majorHAnsi" w:hAnsiTheme="majorHAnsi"/>
          <w:b/>
          <w:sz w:val="24"/>
          <w:szCs w:val="20"/>
          <w:lang w:val="es-US"/>
        </w:rPr>
      </w:pPr>
      <w:r w:rsidRPr="00930562">
        <w:rPr>
          <w:rFonts w:asciiTheme="majorHAnsi" w:hAnsiTheme="majorHAnsi"/>
          <w:lang w:val="es-US"/>
        </w:rPr>
        <w:t>El 7 de diciembre de</w:t>
      </w:r>
      <w:r w:rsidR="0013380B" w:rsidRPr="00930562">
        <w:rPr>
          <w:rFonts w:asciiTheme="majorHAnsi" w:hAnsiTheme="majorHAnsi"/>
          <w:lang w:val="es-US"/>
        </w:rPr>
        <w:t xml:space="preserve"> 2017, </w:t>
      </w:r>
      <w:r w:rsidRPr="00930562">
        <w:rPr>
          <w:rFonts w:asciiTheme="majorHAnsi" w:hAnsiTheme="majorHAnsi"/>
          <w:lang w:val="es-US"/>
        </w:rPr>
        <w:t xml:space="preserve">la Comisión celebró una audiencia titulada </w:t>
      </w:r>
      <w:r w:rsidR="0013380B" w:rsidRPr="00930562">
        <w:rPr>
          <w:rFonts w:asciiTheme="majorHAnsi" w:hAnsiTheme="majorHAnsi"/>
          <w:lang w:val="es-US"/>
        </w:rPr>
        <w:t>“</w:t>
      </w:r>
      <w:r w:rsidRPr="00930562">
        <w:rPr>
          <w:rFonts w:asciiTheme="majorHAnsi" w:hAnsiTheme="majorHAnsi"/>
          <w:lang w:val="es-US"/>
        </w:rPr>
        <w:t>Informes de impunidad por ejecuciones extrajudiciales en los Estados Unidos</w:t>
      </w:r>
      <w:r w:rsidR="0013380B" w:rsidRPr="00930562">
        <w:rPr>
          <w:rFonts w:asciiTheme="majorHAnsi" w:hAnsiTheme="majorHAnsi"/>
          <w:lang w:val="es-US"/>
        </w:rPr>
        <w:t>.”</w:t>
      </w:r>
      <w:r w:rsidR="0013380B" w:rsidRPr="00930562">
        <w:rPr>
          <w:rFonts w:asciiTheme="majorHAnsi" w:hAnsiTheme="majorHAnsi"/>
          <w:vertAlign w:val="superscript"/>
          <w:lang w:val="es-US"/>
        </w:rPr>
        <w:footnoteReference w:id="9"/>
      </w:r>
      <w:r w:rsidR="0013380B" w:rsidRPr="00930562">
        <w:rPr>
          <w:rFonts w:asciiTheme="majorHAnsi" w:hAnsiTheme="majorHAnsi"/>
          <w:lang w:val="es-US"/>
        </w:rPr>
        <w:t xml:space="preserve"> </w:t>
      </w:r>
      <w:r w:rsidRPr="00930562">
        <w:rPr>
          <w:rFonts w:asciiTheme="majorHAnsi" w:hAnsiTheme="majorHAnsi"/>
          <w:lang w:val="es-US"/>
        </w:rPr>
        <w:t xml:space="preserve">En la audiencia, la </w:t>
      </w:r>
      <w:r w:rsidR="0013380B" w:rsidRPr="00930562">
        <w:rPr>
          <w:rFonts w:asciiTheme="majorHAnsi" w:hAnsiTheme="majorHAnsi"/>
          <w:lang w:val="es-US"/>
        </w:rPr>
        <w:t xml:space="preserve"> </w:t>
      </w:r>
      <w:r w:rsidRPr="00930562">
        <w:rPr>
          <w:rFonts w:asciiTheme="majorHAnsi" w:hAnsiTheme="majorHAnsi"/>
          <w:lang w:val="es-US"/>
        </w:rPr>
        <w:t>Comi</w:t>
      </w:r>
      <w:r w:rsidR="0013380B" w:rsidRPr="00930562">
        <w:rPr>
          <w:rFonts w:asciiTheme="majorHAnsi" w:hAnsiTheme="majorHAnsi"/>
          <w:lang w:val="es-US"/>
        </w:rPr>
        <w:t>si</w:t>
      </w:r>
      <w:r w:rsidRPr="00930562">
        <w:rPr>
          <w:rFonts w:asciiTheme="majorHAnsi" w:hAnsiTheme="majorHAnsi"/>
          <w:lang w:val="es-US"/>
        </w:rPr>
        <w:t>ó</w:t>
      </w:r>
      <w:r w:rsidR="0013380B" w:rsidRPr="00930562">
        <w:rPr>
          <w:rFonts w:asciiTheme="majorHAnsi" w:hAnsiTheme="majorHAnsi"/>
          <w:lang w:val="es-US"/>
        </w:rPr>
        <w:t>n</w:t>
      </w:r>
      <w:r w:rsidRPr="00930562">
        <w:rPr>
          <w:rFonts w:asciiTheme="majorHAnsi" w:hAnsiTheme="majorHAnsi"/>
          <w:lang w:val="es-US"/>
        </w:rPr>
        <w:t xml:space="preserve"> escuchó el testimonio de las familias de </w:t>
      </w:r>
      <w:r w:rsidR="0013380B" w:rsidRPr="00930562">
        <w:rPr>
          <w:rFonts w:asciiTheme="majorHAnsi" w:hAnsiTheme="majorHAnsi"/>
          <w:lang w:val="es-US"/>
        </w:rPr>
        <w:t xml:space="preserve">Dontré Hamilton, </w:t>
      </w:r>
      <w:r w:rsidRPr="00930562">
        <w:rPr>
          <w:rFonts w:asciiTheme="majorHAnsi" w:hAnsiTheme="majorHAnsi"/>
          <w:lang w:val="es-US"/>
        </w:rPr>
        <w:t>un afroamericano con enfermedad mental asesinado por la policía e</w:t>
      </w:r>
      <w:r w:rsidR="0013380B" w:rsidRPr="00930562">
        <w:rPr>
          <w:rFonts w:asciiTheme="majorHAnsi" w:hAnsiTheme="majorHAnsi"/>
          <w:lang w:val="es-US"/>
        </w:rPr>
        <w:t xml:space="preserve">n Milwaukee, Wisconsin, </w:t>
      </w:r>
      <w:r w:rsidRPr="00930562">
        <w:rPr>
          <w:rFonts w:asciiTheme="majorHAnsi" w:hAnsiTheme="majorHAnsi"/>
          <w:lang w:val="es-US"/>
        </w:rPr>
        <w:t>y</w:t>
      </w:r>
      <w:r w:rsidR="0013380B" w:rsidRPr="00930562">
        <w:rPr>
          <w:rFonts w:asciiTheme="majorHAnsi" w:hAnsiTheme="majorHAnsi"/>
          <w:lang w:val="es-US"/>
        </w:rPr>
        <w:t xml:space="preserve"> </w:t>
      </w:r>
      <w:r w:rsidR="003E3D45" w:rsidRPr="00930562">
        <w:rPr>
          <w:rFonts w:asciiTheme="majorHAnsi" w:hAnsiTheme="majorHAnsi"/>
          <w:lang w:val="es-US"/>
        </w:rPr>
        <w:t xml:space="preserve">de </w:t>
      </w:r>
      <w:r w:rsidR="0013380B" w:rsidRPr="00930562">
        <w:rPr>
          <w:rFonts w:asciiTheme="majorHAnsi" w:hAnsiTheme="majorHAnsi"/>
          <w:lang w:val="es-US"/>
        </w:rPr>
        <w:t xml:space="preserve">Luis Góngora Pat, </w:t>
      </w:r>
      <w:r w:rsidRPr="00930562">
        <w:rPr>
          <w:rFonts w:asciiTheme="majorHAnsi" w:hAnsiTheme="majorHAnsi"/>
          <w:lang w:val="es-US"/>
        </w:rPr>
        <w:t xml:space="preserve">un </w:t>
      </w:r>
      <w:r w:rsidR="00B615A2" w:rsidRPr="00930562">
        <w:rPr>
          <w:rFonts w:asciiTheme="majorHAnsi" w:hAnsiTheme="majorHAnsi"/>
          <w:lang w:val="es-US"/>
        </w:rPr>
        <w:t xml:space="preserve">trabajador migrante </w:t>
      </w:r>
      <w:r w:rsidRPr="00930562">
        <w:rPr>
          <w:rFonts w:asciiTheme="majorHAnsi" w:hAnsiTheme="majorHAnsi"/>
          <w:lang w:val="es-US"/>
        </w:rPr>
        <w:t xml:space="preserve">indígena </w:t>
      </w:r>
      <w:r w:rsidR="0013380B" w:rsidRPr="00930562">
        <w:rPr>
          <w:rFonts w:asciiTheme="majorHAnsi" w:hAnsiTheme="majorHAnsi"/>
          <w:lang w:val="es-US"/>
        </w:rPr>
        <w:t xml:space="preserve">(Maya) </w:t>
      </w:r>
      <w:r w:rsidR="00B615A2" w:rsidRPr="00930562">
        <w:rPr>
          <w:rFonts w:asciiTheme="majorHAnsi" w:hAnsiTheme="majorHAnsi"/>
          <w:lang w:val="es-US"/>
        </w:rPr>
        <w:t>de origen</w:t>
      </w:r>
      <w:r w:rsidRPr="00930562">
        <w:rPr>
          <w:rFonts w:asciiTheme="majorHAnsi" w:hAnsiTheme="majorHAnsi"/>
          <w:lang w:val="es-US"/>
        </w:rPr>
        <w:t xml:space="preserve"> mexicano</w:t>
      </w:r>
      <w:r w:rsidR="0013380B" w:rsidRPr="00930562">
        <w:rPr>
          <w:rFonts w:asciiTheme="majorHAnsi" w:hAnsiTheme="majorHAnsi"/>
          <w:lang w:val="es-US"/>
        </w:rPr>
        <w:t xml:space="preserve"> </w:t>
      </w:r>
      <w:r w:rsidRPr="00930562">
        <w:rPr>
          <w:rFonts w:asciiTheme="majorHAnsi" w:hAnsiTheme="majorHAnsi"/>
          <w:lang w:val="es-US"/>
        </w:rPr>
        <w:t xml:space="preserve">en situación de calle asesinado por la policía en </w:t>
      </w:r>
      <w:r w:rsidR="0013380B" w:rsidRPr="00930562">
        <w:rPr>
          <w:rFonts w:asciiTheme="majorHAnsi" w:hAnsiTheme="majorHAnsi"/>
          <w:lang w:val="es-US"/>
        </w:rPr>
        <w:t>San Francisco, California</w:t>
      </w:r>
      <w:r w:rsidR="003E3D45" w:rsidRPr="00930562">
        <w:rPr>
          <w:rFonts w:asciiTheme="majorHAnsi" w:hAnsiTheme="majorHAnsi"/>
          <w:lang w:val="es-US"/>
        </w:rPr>
        <w:t>, así como</w:t>
      </w:r>
      <w:r w:rsidRPr="00930562">
        <w:rPr>
          <w:rFonts w:asciiTheme="majorHAnsi" w:hAnsiTheme="majorHAnsi"/>
          <w:lang w:val="es-US"/>
        </w:rPr>
        <w:t xml:space="preserve"> el testimonio de</w:t>
      </w:r>
      <w:r w:rsidR="003E3D45" w:rsidRPr="00930562">
        <w:rPr>
          <w:rFonts w:asciiTheme="majorHAnsi" w:hAnsiTheme="majorHAnsi"/>
          <w:lang w:val="es-US"/>
        </w:rPr>
        <w:t>l</w:t>
      </w:r>
      <w:r w:rsidRPr="00930562">
        <w:rPr>
          <w:rFonts w:asciiTheme="majorHAnsi" w:hAnsiTheme="majorHAnsi"/>
          <w:lang w:val="es-US"/>
        </w:rPr>
        <w:t xml:space="preserve"> periodista </w:t>
      </w:r>
      <w:r w:rsidR="0013380B" w:rsidRPr="00930562">
        <w:rPr>
          <w:rFonts w:asciiTheme="majorHAnsi" w:hAnsiTheme="majorHAnsi"/>
          <w:lang w:val="es-US"/>
        </w:rPr>
        <w:t>Shaun King</w:t>
      </w:r>
      <w:r w:rsidRPr="00930562">
        <w:rPr>
          <w:rFonts w:asciiTheme="majorHAnsi" w:hAnsiTheme="majorHAnsi"/>
          <w:lang w:val="es-US"/>
        </w:rPr>
        <w:t xml:space="preserve"> sobre </w:t>
      </w:r>
      <w:r w:rsidR="00907F95" w:rsidRPr="00930562">
        <w:rPr>
          <w:rFonts w:asciiTheme="majorHAnsi" w:hAnsiTheme="majorHAnsi"/>
          <w:lang w:val="es-US"/>
        </w:rPr>
        <w:t>los</w:t>
      </w:r>
      <w:r w:rsidRPr="00930562">
        <w:rPr>
          <w:rFonts w:asciiTheme="majorHAnsi" w:hAnsiTheme="majorHAnsi"/>
          <w:lang w:val="es-US"/>
        </w:rPr>
        <w:t xml:space="preserve"> asesinatos cometidos por la policía.</w:t>
      </w:r>
      <w:bookmarkStart w:id="21" w:name="_Toc511837801"/>
    </w:p>
    <w:p w14:paraId="1D893F53" w14:textId="169965A2" w:rsidR="0013380B" w:rsidRPr="00930562" w:rsidRDefault="00907F95" w:rsidP="008403E8">
      <w:pPr>
        <w:pStyle w:val="Heading3"/>
        <w:keepNext/>
        <w:keepLines/>
        <w:ind w:left="547" w:hanging="547"/>
        <w:rPr>
          <w:lang w:val="es-US"/>
        </w:rPr>
      </w:pPr>
      <w:bookmarkStart w:id="22" w:name="_Toc517779222"/>
      <w:bookmarkStart w:id="23" w:name="_Toc531514451"/>
      <w:bookmarkEnd w:id="21"/>
      <w:r w:rsidRPr="00930562">
        <w:rPr>
          <w:lang w:val="es-US"/>
        </w:rPr>
        <w:t>Visita</w:t>
      </w:r>
      <w:r w:rsidR="004706E2" w:rsidRPr="00930562">
        <w:rPr>
          <w:lang w:val="es-US"/>
        </w:rPr>
        <w:t xml:space="preserve"> de trabajo</w:t>
      </w:r>
      <w:bookmarkEnd w:id="22"/>
      <w:bookmarkEnd w:id="23"/>
    </w:p>
    <w:p w14:paraId="354F123E" w14:textId="1CA4976D" w:rsidR="00AE3721" w:rsidRPr="00930562" w:rsidRDefault="00AE3721"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 xml:space="preserve">Entre el 21 y 25 de septiembre de 2015 la Comisión Interamericana realizó una visita a los Estados Unidos con el fin de recibir información sobre discriminación racial, control policial en los Estados Unidos y problemas de </w:t>
      </w:r>
      <w:r w:rsidRPr="00930562">
        <w:rPr>
          <w:rFonts w:asciiTheme="majorHAnsi" w:hAnsiTheme="majorHAnsi"/>
          <w:lang w:val="es-US"/>
        </w:rPr>
        <w:lastRenderedPageBreak/>
        <w:t xml:space="preserve">derechos humanos </w:t>
      </w:r>
      <w:r w:rsidR="00EA262E" w:rsidRPr="00930562">
        <w:rPr>
          <w:rFonts w:asciiTheme="majorHAnsi" w:hAnsiTheme="majorHAnsi"/>
          <w:lang w:val="es-US"/>
        </w:rPr>
        <w:t>relacionados con la</w:t>
      </w:r>
      <w:r w:rsidRPr="00930562">
        <w:rPr>
          <w:rFonts w:asciiTheme="majorHAnsi" w:hAnsiTheme="majorHAnsi"/>
          <w:lang w:val="es-US"/>
        </w:rPr>
        <w:t xml:space="preserve"> pobreza</w:t>
      </w:r>
      <w:r w:rsidR="0013380B" w:rsidRPr="00930562">
        <w:rPr>
          <w:rFonts w:asciiTheme="majorHAnsi" w:hAnsiTheme="majorHAnsi"/>
          <w:lang w:val="es-US"/>
        </w:rPr>
        <w:t>.</w:t>
      </w:r>
      <w:r w:rsidR="0013380B" w:rsidRPr="00930562">
        <w:rPr>
          <w:rFonts w:asciiTheme="majorHAnsi" w:hAnsiTheme="majorHAnsi"/>
          <w:vertAlign w:val="superscript"/>
          <w:lang w:val="es-US"/>
        </w:rPr>
        <w:footnoteReference w:id="10"/>
      </w:r>
      <w:r w:rsidR="0013380B" w:rsidRPr="00930562">
        <w:rPr>
          <w:rFonts w:asciiTheme="majorHAnsi" w:hAnsiTheme="majorHAnsi"/>
          <w:lang w:val="es-US"/>
        </w:rPr>
        <w:t xml:space="preserve"> </w:t>
      </w:r>
      <w:r w:rsidRPr="00930562">
        <w:rPr>
          <w:rFonts w:asciiTheme="majorHAnsi" w:hAnsiTheme="majorHAnsi"/>
          <w:lang w:val="es-US"/>
        </w:rPr>
        <w:t xml:space="preserve">La Comisión viajó a las ciudades de </w:t>
      </w:r>
      <w:r w:rsidR="0013380B" w:rsidRPr="00930562">
        <w:rPr>
          <w:rFonts w:asciiTheme="majorHAnsi" w:hAnsiTheme="majorHAnsi"/>
          <w:lang w:val="es-US"/>
        </w:rPr>
        <w:t xml:space="preserve">Ferguson </w:t>
      </w:r>
      <w:r w:rsidRPr="00930562">
        <w:rPr>
          <w:rFonts w:asciiTheme="majorHAnsi" w:hAnsiTheme="majorHAnsi"/>
          <w:lang w:val="es-US"/>
        </w:rPr>
        <w:t>y</w:t>
      </w:r>
      <w:r w:rsidR="0013380B" w:rsidRPr="00930562">
        <w:rPr>
          <w:rFonts w:asciiTheme="majorHAnsi" w:hAnsiTheme="majorHAnsi"/>
          <w:lang w:val="es-US"/>
        </w:rPr>
        <w:t xml:space="preserve"> St. Louis, Misuri; N</w:t>
      </w:r>
      <w:r w:rsidRPr="00930562">
        <w:rPr>
          <w:rFonts w:asciiTheme="majorHAnsi" w:hAnsiTheme="majorHAnsi"/>
          <w:lang w:val="es-US"/>
        </w:rPr>
        <w:t xml:space="preserve">ueva </w:t>
      </w:r>
      <w:r w:rsidR="0013380B" w:rsidRPr="00930562">
        <w:rPr>
          <w:rFonts w:asciiTheme="majorHAnsi" w:hAnsiTheme="majorHAnsi"/>
          <w:lang w:val="es-US"/>
        </w:rPr>
        <w:t xml:space="preserve">Orleans, Luisiana; Sanford, Orlando, </w:t>
      </w:r>
      <w:r w:rsidRPr="00930562">
        <w:rPr>
          <w:rFonts w:asciiTheme="majorHAnsi" w:hAnsiTheme="majorHAnsi"/>
          <w:lang w:val="es-US"/>
        </w:rPr>
        <w:t>y</w:t>
      </w:r>
      <w:r w:rsidR="0013380B" w:rsidRPr="00930562">
        <w:rPr>
          <w:rFonts w:asciiTheme="majorHAnsi" w:hAnsiTheme="majorHAnsi"/>
          <w:lang w:val="es-US"/>
        </w:rPr>
        <w:t xml:space="preserve"> Miami, Florida.</w:t>
      </w:r>
      <w:r w:rsidRPr="00930562">
        <w:rPr>
          <w:rFonts w:asciiTheme="majorHAnsi" w:hAnsiTheme="majorHAnsi"/>
          <w:lang w:val="es-US"/>
        </w:rPr>
        <w:t xml:space="preserve"> La visita fue encabezada por la ex Comisionada </w:t>
      </w:r>
      <w:r w:rsidR="0013380B" w:rsidRPr="00930562">
        <w:rPr>
          <w:rFonts w:asciiTheme="majorHAnsi" w:hAnsiTheme="majorHAnsi"/>
          <w:lang w:val="es-US"/>
        </w:rPr>
        <w:t>Rose Marie Belle-Antoine</w:t>
      </w:r>
      <w:r w:rsidR="004B1627" w:rsidRPr="00930562">
        <w:rPr>
          <w:rFonts w:asciiTheme="majorHAnsi" w:hAnsiTheme="majorHAnsi"/>
          <w:lang w:val="es-US"/>
        </w:rPr>
        <w:t>, la consultora Nicole Lee,</w:t>
      </w:r>
      <w:r w:rsidR="0013380B" w:rsidRPr="00930562">
        <w:rPr>
          <w:rFonts w:asciiTheme="majorHAnsi" w:hAnsiTheme="majorHAnsi"/>
          <w:lang w:val="es-US"/>
        </w:rPr>
        <w:t xml:space="preserve"> </w:t>
      </w:r>
      <w:r w:rsidRPr="00930562">
        <w:rPr>
          <w:rFonts w:asciiTheme="majorHAnsi" w:hAnsiTheme="majorHAnsi"/>
          <w:lang w:val="es-US"/>
        </w:rPr>
        <w:t xml:space="preserve">y </w:t>
      </w:r>
      <w:r w:rsidR="0013380B" w:rsidRPr="00930562">
        <w:rPr>
          <w:rFonts w:asciiTheme="majorHAnsi" w:hAnsiTheme="majorHAnsi"/>
          <w:lang w:val="es-US"/>
        </w:rPr>
        <w:t xml:space="preserve">staff </w:t>
      </w:r>
      <w:r w:rsidRPr="00930562">
        <w:rPr>
          <w:rFonts w:asciiTheme="majorHAnsi" w:hAnsiTheme="majorHAnsi"/>
          <w:lang w:val="es-US"/>
        </w:rPr>
        <w:t>de la Secretaria Ejecutiva.</w:t>
      </w:r>
    </w:p>
    <w:p w14:paraId="357BAC1E" w14:textId="101D9DBB" w:rsidR="0013380B" w:rsidRPr="00930562" w:rsidRDefault="00D63AFD"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 xml:space="preserve">El 21 de septiembre de 2015 la Comisión </w:t>
      </w:r>
      <w:r w:rsidR="00D122BE" w:rsidRPr="00930562">
        <w:rPr>
          <w:rFonts w:asciiTheme="majorHAnsi" w:hAnsiTheme="majorHAnsi"/>
          <w:lang w:val="es-US"/>
        </w:rPr>
        <w:t>mantuvo</w:t>
      </w:r>
      <w:r w:rsidRPr="00930562">
        <w:rPr>
          <w:rFonts w:asciiTheme="majorHAnsi" w:hAnsiTheme="majorHAnsi"/>
          <w:lang w:val="es-US"/>
        </w:rPr>
        <w:t xml:space="preserve"> reuniones en Miami, Florida con el </w:t>
      </w:r>
      <w:r w:rsidR="00AE34F4" w:rsidRPr="00930562">
        <w:rPr>
          <w:rFonts w:asciiTheme="majorHAnsi" w:hAnsiTheme="majorHAnsi"/>
          <w:lang w:val="es-US"/>
        </w:rPr>
        <w:t>A</w:t>
      </w:r>
      <w:r w:rsidRPr="00930562">
        <w:rPr>
          <w:rFonts w:asciiTheme="majorHAnsi" w:hAnsiTheme="majorHAnsi"/>
          <w:lang w:val="es-US"/>
        </w:rPr>
        <w:t xml:space="preserve">lcalde Tomás Regalado, el Jefe de Policía Rodolfo Llanes, varios funcionarios policiales de alto rango y Carlos Martínez, Defensor Público del </w:t>
      </w:r>
      <w:r w:rsidR="00D122BE" w:rsidRPr="00930562">
        <w:rPr>
          <w:rFonts w:asciiTheme="majorHAnsi" w:hAnsiTheme="majorHAnsi"/>
          <w:lang w:val="es-US"/>
        </w:rPr>
        <w:t>Distrito</w:t>
      </w:r>
      <w:r w:rsidRPr="00930562">
        <w:rPr>
          <w:rFonts w:asciiTheme="majorHAnsi" w:hAnsiTheme="majorHAnsi"/>
          <w:lang w:val="es-US"/>
        </w:rPr>
        <w:t xml:space="preserve"> de Miami-Dade. La Comisión también </w:t>
      </w:r>
      <w:r w:rsidR="00EA262E" w:rsidRPr="00930562">
        <w:rPr>
          <w:rFonts w:asciiTheme="majorHAnsi" w:hAnsiTheme="majorHAnsi"/>
          <w:lang w:val="es-US"/>
        </w:rPr>
        <w:t xml:space="preserve">sostuvo </w:t>
      </w:r>
      <w:r w:rsidRPr="00930562">
        <w:rPr>
          <w:rFonts w:asciiTheme="majorHAnsi" w:hAnsiTheme="majorHAnsi"/>
          <w:lang w:val="es-US"/>
        </w:rPr>
        <w:t xml:space="preserve">un foro </w:t>
      </w:r>
      <w:r w:rsidR="003642A1" w:rsidRPr="00930562">
        <w:rPr>
          <w:rFonts w:asciiTheme="majorHAnsi" w:hAnsiTheme="majorHAnsi"/>
          <w:lang w:val="es-US"/>
        </w:rPr>
        <w:t xml:space="preserve">general </w:t>
      </w:r>
      <w:r w:rsidRPr="00930562">
        <w:rPr>
          <w:rFonts w:asciiTheme="majorHAnsi" w:hAnsiTheme="majorHAnsi"/>
          <w:lang w:val="es-US"/>
        </w:rPr>
        <w:t>con organizaciones de la sociedad civil, activistas, víctimas de violencia policial y sus familiares en la Facultad de Derecho de la Universidad de St. Thomas.</w:t>
      </w:r>
    </w:p>
    <w:p w14:paraId="6486BB56" w14:textId="5B38BD9D" w:rsidR="00AE34F4" w:rsidRPr="00930562" w:rsidRDefault="00AE34F4"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 xml:space="preserve">El 22 de septiembre la Comisión viajó a la ciudad de Orlando, donde mantuvo reuniones con el Jefe de Policía John Mina, el Jefe Administrativo Oficial Byron Brooks y el Teniente Vincent Ogburn. La Comisión también celebró un encuentro con organizaciones de la sociedad civil, activistas, víctimas y académicos en la Facultad de Derecho de Florida A&amp;M. Ese día la delegación también viajó a la ciudad de Sanford y se reunió con el Alcalde Jeff Triplett, el Jefe de Policía Cecil Smith, el Gerente Senior de Proyecto Andrew Thomas y Norton N. Bonaparte Jr., Administrador Municipal de la ciudad de Sanford. La delegación </w:t>
      </w:r>
      <w:r w:rsidR="00675FAC" w:rsidRPr="00930562">
        <w:rPr>
          <w:rFonts w:asciiTheme="majorHAnsi" w:hAnsiTheme="majorHAnsi"/>
          <w:lang w:val="es-US"/>
        </w:rPr>
        <w:t>fue informada</w:t>
      </w:r>
      <w:r w:rsidRPr="00930562">
        <w:rPr>
          <w:rFonts w:asciiTheme="majorHAnsi" w:hAnsiTheme="majorHAnsi"/>
          <w:lang w:val="es-US"/>
        </w:rPr>
        <w:t xml:space="preserve"> por parte de funcionarios públicos de Sanford acerca de medidas adoptadas para abordar las repercusiones de la muerte de Trayvon Martin el 26 de febrero de 2012 y la absolución de George Zimmerman.</w:t>
      </w:r>
      <w:r w:rsidRPr="00930562">
        <w:rPr>
          <w:rFonts w:asciiTheme="majorHAnsi" w:hAnsiTheme="majorHAnsi"/>
          <w:szCs w:val="20"/>
          <w:lang w:val="es-US"/>
        </w:rPr>
        <w:t xml:space="preserve"> </w:t>
      </w:r>
    </w:p>
    <w:p w14:paraId="1FCDB42D" w14:textId="64A93D50" w:rsidR="0013380B" w:rsidRPr="00930562" w:rsidRDefault="0031750F"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 xml:space="preserve">El 23 de septiembre, la delegación </w:t>
      </w:r>
      <w:r w:rsidR="00675FAC" w:rsidRPr="00930562">
        <w:rPr>
          <w:rFonts w:asciiTheme="majorHAnsi" w:hAnsiTheme="majorHAnsi"/>
          <w:lang w:val="es-US"/>
        </w:rPr>
        <w:t>se reunió</w:t>
      </w:r>
      <w:r w:rsidRPr="00930562">
        <w:rPr>
          <w:rFonts w:asciiTheme="majorHAnsi" w:hAnsiTheme="majorHAnsi"/>
          <w:lang w:val="es-US"/>
        </w:rPr>
        <w:t xml:space="preserve"> con varios funcionarios en la ciudad de Nueva Orleans, incluida Ursula Price, de la Oficina del Inspector General; Daniel Cazevana, Jefe de Estado Mayor del Departamento de Policía de Nueva Orleans; Arlinda Westbrook, Subdirectora de la Oficina de Integridad Pública; Zach Butterworth, Director de Relaciones Federales de la Oficina del </w:t>
      </w:r>
      <w:r w:rsidR="00675FAC" w:rsidRPr="00930562">
        <w:rPr>
          <w:rFonts w:asciiTheme="majorHAnsi" w:hAnsiTheme="majorHAnsi"/>
          <w:lang w:val="es-US"/>
        </w:rPr>
        <w:t xml:space="preserve">Alcalde </w:t>
      </w:r>
      <w:r w:rsidRPr="00930562">
        <w:rPr>
          <w:rFonts w:asciiTheme="majorHAnsi" w:hAnsiTheme="majorHAnsi"/>
          <w:lang w:val="es-US"/>
        </w:rPr>
        <w:t xml:space="preserve">Mitchell J. Landrieu; Sharonda Williams, Procuradora General; y Suchitra Satpahi, Directora de Estado y Relaciones Internacionales. La Comisión también se reunió con víctimas y organizaciones de la sociedad civil en el Gillis Long Poverty Law Center </w:t>
      </w:r>
      <w:r w:rsidR="00891D04" w:rsidRPr="00930562">
        <w:rPr>
          <w:rFonts w:asciiTheme="majorHAnsi" w:hAnsiTheme="majorHAnsi"/>
          <w:lang w:val="es-US"/>
        </w:rPr>
        <w:t>de</w:t>
      </w:r>
      <w:r w:rsidRPr="00930562">
        <w:rPr>
          <w:rFonts w:asciiTheme="majorHAnsi" w:hAnsiTheme="majorHAnsi"/>
          <w:lang w:val="es-US"/>
        </w:rPr>
        <w:t xml:space="preserve"> </w:t>
      </w:r>
      <w:r w:rsidR="00AE55C2" w:rsidRPr="00930562">
        <w:rPr>
          <w:rFonts w:asciiTheme="majorHAnsi" w:hAnsiTheme="majorHAnsi"/>
          <w:lang w:val="es-US"/>
        </w:rPr>
        <w:t xml:space="preserve">la Facultad de Derecho de la Universidad de </w:t>
      </w:r>
      <w:r w:rsidRPr="00930562">
        <w:rPr>
          <w:rFonts w:asciiTheme="majorHAnsi" w:hAnsiTheme="majorHAnsi"/>
          <w:lang w:val="es-US"/>
        </w:rPr>
        <w:t>Loyola</w:t>
      </w:r>
      <w:r w:rsidR="00AE55C2" w:rsidRPr="00930562">
        <w:rPr>
          <w:rFonts w:asciiTheme="majorHAnsi" w:hAnsiTheme="majorHAnsi"/>
          <w:lang w:val="es-US"/>
        </w:rPr>
        <w:t xml:space="preserve"> de Nueva Orleans.</w:t>
      </w:r>
      <w:r w:rsidR="0013380B" w:rsidRPr="00930562">
        <w:rPr>
          <w:rFonts w:asciiTheme="majorHAnsi" w:hAnsiTheme="majorHAnsi"/>
          <w:lang w:val="es-US"/>
        </w:rPr>
        <w:t xml:space="preserve"> </w:t>
      </w:r>
    </w:p>
    <w:p w14:paraId="3185E556" w14:textId="50A0B7B1" w:rsidR="00AE55C2" w:rsidRPr="00930562" w:rsidRDefault="00AE55C2"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lastRenderedPageBreak/>
        <w:t xml:space="preserve">Entre el 24 y 25 de septiembre la delegación visitó Ferguson y St. Louis, Misuri. Como es práctica habitual, antes de la visita la Comisión solicitó reuniones con varias autoridades gubernamentales en Ferguson, incluido el Alcalde James Knowles III; el Concejo Municipal de Ferguson; el </w:t>
      </w:r>
      <w:r w:rsidR="00675FAC" w:rsidRPr="00930562">
        <w:rPr>
          <w:rFonts w:asciiTheme="majorHAnsi" w:hAnsiTheme="majorHAnsi"/>
          <w:lang w:val="es-US"/>
        </w:rPr>
        <w:t>J</w:t>
      </w:r>
      <w:r w:rsidRPr="00930562">
        <w:rPr>
          <w:rFonts w:asciiTheme="majorHAnsi" w:hAnsiTheme="majorHAnsi"/>
          <w:lang w:val="es-US"/>
        </w:rPr>
        <w:t xml:space="preserve">efe de </w:t>
      </w:r>
      <w:r w:rsidR="00675FAC" w:rsidRPr="00930562">
        <w:rPr>
          <w:rFonts w:asciiTheme="majorHAnsi" w:hAnsiTheme="majorHAnsi"/>
          <w:lang w:val="es-US"/>
        </w:rPr>
        <w:t>P</w:t>
      </w:r>
      <w:r w:rsidRPr="00930562">
        <w:rPr>
          <w:rFonts w:asciiTheme="majorHAnsi" w:hAnsiTheme="majorHAnsi"/>
          <w:lang w:val="es-US"/>
        </w:rPr>
        <w:t xml:space="preserve">olicía John Belmar; y el </w:t>
      </w:r>
      <w:r w:rsidR="00675FAC" w:rsidRPr="00930562">
        <w:rPr>
          <w:rFonts w:asciiTheme="majorHAnsi" w:hAnsiTheme="majorHAnsi"/>
          <w:lang w:val="es-US"/>
        </w:rPr>
        <w:t>F</w:t>
      </w:r>
      <w:r w:rsidRPr="00930562">
        <w:rPr>
          <w:rFonts w:asciiTheme="majorHAnsi" w:hAnsiTheme="majorHAnsi"/>
          <w:lang w:val="es-US"/>
        </w:rPr>
        <w:t xml:space="preserve">iscal Robert McCullough. Lamentablemente estas reuniones no fueron concedidas. La delegación se reunió con varios de los miembros de la Comisión Ferguson, un comité independiente creado por decreto ejecutivo para analizar las principales causas sociales y económicas acentuadas como resultados de los disturbios provocados </w:t>
      </w:r>
      <w:r w:rsidR="00C466ED" w:rsidRPr="00930562">
        <w:rPr>
          <w:rFonts w:asciiTheme="majorHAnsi" w:hAnsiTheme="majorHAnsi"/>
          <w:lang w:val="es-US"/>
        </w:rPr>
        <w:t>a raíz de</w:t>
      </w:r>
      <w:r w:rsidRPr="00930562">
        <w:rPr>
          <w:rFonts w:asciiTheme="majorHAnsi" w:hAnsiTheme="majorHAnsi"/>
          <w:lang w:val="es-US"/>
        </w:rPr>
        <w:t xml:space="preserve"> la muerte de Michael Brown, incluido el </w:t>
      </w:r>
      <w:r w:rsidR="00675FAC" w:rsidRPr="00930562">
        <w:rPr>
          <w:rFonts w:asciiTheme="majorHAnsi" w:hAnsiTheme="majorHAnsi"/>
          <w:lang w:val="es-US"/>
        </w:rPr>
        <w:t>R</w:t>
      </w:r>
      <w:r w:rsidRPr="00930562">
        <w:rPr>
          <w:rFonts w:asciiTheme="majorHAnsi" w:hAnsiTheme="majorHAnsi"/>
          <w:lang w:val="es-US"/>
        </w:rPr>
        <w:t>everendo Starky Wilson,</w:t>
      </w:r>
      <w:r w:rsidR="00C466ED" w:rsidRPr="00930562">
        <w:rPr>
          <w:rFonts w:asciiTheme="majorHAnsi" w:hAnsiTheme="majorHAnsi"/>
          <w:lang w:val="es-US"/>
        </w:rPr>
        <w:t xml:space="preserve"> las</w:t>
      </w:r>
      <w:r w:rsidRPr="00930562">
        <w:rPr>
          <w:rFonts w:asciiTheme="majorHAnsi" w:hAnsiTheme="majorHAnsi"/>
          <w:lang w:val="es-US"/>
        </w:rPr>
        <w:t xml:space="preserve"> </w:t>
      </w:r>
      <w:r w:rsidR="00675FAC" w:rsidRPr="00930562">
        <w:rPr>
          <w:rFonts w:asciiTheme="majorHAnsi" w:hAnsiTheme="majorHAnsi"/>
          <w:lang w:val="es-US"/>
        </w:rPr>
        <w:t>V</w:t>
      </w:r>
      <w:r w:rsidR="00C466ED" w:rsidRPr="00930562">
        <w:rPr>
          <w:rFonts w:asciiTheme="majorHAnsi" w:hAnsiTheme="majorHAnsi"/>
          <w:lang w:val="es-US"/>
        </w:rPr>
        <w:t>ice</w:t>
      </w:r>
      <w:r w:rsidRPr="00930562">
        <w:rPr>
          <w:rFonts w:asciiTheme="majorHAnsi" w:hAnsiTheme="majorHAnsi"/>
          <w:lang w:val="es-US"/>
        </w:rPr>
        <w:t>president</w:t>
      </w:r>
      <w:r w:rsidR="00C466ED" w:rsidRPr="00930562">
        <w:rPr>
          <w:rFonts w:asciiTheme="majorHAnsi" w:hAnsiTheme="majorHAnsi"/>
          <w:lang w:val="es-US"/>
        </w:rPr>
        <w:t>as</w:t>
      </w:r>
      <w:r w:rsidRPr="00930562">
        <w:rPr>
          <w:rFonts w:asciiTheme="majorHAnsi" w:hAnsiTheme="majorHAnsi"/>
          <w:lang w:val="es-US"/>
        </w:rPr>
        <w:t xml:space="preserve"> Felicia Puliam y Brittany Packnett; </w:t>
      </w:r>
      <w:r w:rsidR="00C466ED" w:rsidRPr="00930562">
        <w:rPr>
          <w:rFonts w:asciiTheme="majorHAnsi" w:hAnsiTheme="majorHAnsi"/>
          <w:lang w:val="es-US"/>
        </w:rPr>
        <w:t>l</w:t>
      </w:r>
      <w:r w:rsidRPr="00930562">
        <w:rPr>
          <w:rFonts w:asciiTheme="majorHAnsi" w:hAnsiTheme="majorHAnsi"/>
          <w:lang w:val="es-US"/>
        </w:rPr>
        <w:t xml:space="preserve">a Senadora </w:t>
      </w:r>
      <w:r w:rsidR="00C466ED" w:rsidRPr="00930562">
        <w:rPr>
          <w:rFonts w:asciiTheme="majorHAnsi" w:hAnsiTheme="majorHAnsi"/>
          <w:lang w:val="es-US"/>
        </w:rPr>
        <w:t>María</w:t>
      </w:r>
      <w:r w:rsidRPr="00930562">
        <w:rPr>
          <w:rFonts w:asciiTheme="majorHAnsi" w:hAnsiTheme="majorHAnsi"/>
          <w:lang w:val="es-US"/>
        </w:rPr>
        <w:t xml:space="preserve"> Nicole Chappelle-Nadal; y los </w:t>
      </w:r>
      <w:r w:rsidR="00675FAC" w:rsidRPr="00930562">
        <w:rPr>
          <w:rFonts w:asciiTheme="majorHAnsi" w:hAnsiTheme="majorHAnsi"/>
          <w:lang w:val="es-US"/>
        </w:rPr>
        <w:t>P</w:t>
      </w:r>
      <w:r w:rsidRPr="00930562">
        <w:rPr>
          <w:rFonts w:asciiTheme="majorHAnsi" w:hAnsiTheme="majorHAnsi"/>
          <w:lang w:val="es-US"/>
        </w:rPr>
        <w:t xml:space="preserve">rofesores Brendan Roediger, Roger Goldman y Anders Walker. La Comisión también </w:t>
      </w:r>
      <w:r w:rsidR="00C466ED" w:rsidRPr="00930562">
        <w:rPr>
          <w:rFonts w:asciiTheme="majorHAnsi" w:hAnsiTheme="majorHAnsi"/>
          <w:lang w:val="es-US"/>
        </w:rPr>
        <w:t>organizó</w:t>
      </w:r>
      <w:r w:rsidRPr="00930562">
        <w:rPr>
          <w:rFonts w:asciiTheme="majorHAnsi" w:hAnsiTheme="majorHAnsi"/>
          <w:lang w:val="es-US"/>
        </w:rPr>
        <w:t xml:space="preserve"> un foro y </w:t>
      </w:r>
      <w:r w:rsidR="00C466ED" w:rsidRPr="00930562">
        <w:rPr>
          <w:rFonts w:asciiTheme="majorHAnsi" w:hAnsiTheme="majorHAnsi"/>
          <w:lang w:val="es-US"/>
        </w:rPr>
        <w:t xml:space="preserve">mantuvo </w:t>
      </w:r>
      <w:r w:rsidRPr="00930562">
        <w:rPr>
          <w:rFonts w:asciiTheme="majorHAnsi" w:hAnsiTheme="majorHAnsi"/>
          <w:lang w:val="es-US"/>
        </w:rPr>
        <w:t xml:space="preserve">reuniones individuales con organizaciones de la sociedad civil, activistas, estudiantes y académicos </w:t>
      </w:r>
      <w:r w:rsidR="00C466ED" w:rsidRPr="00930562">
        <w:rPr>
          <w:rFonts w:asciiTheme="majorHAnsi" w:hAnsiTheme="majorHAnsi"/>
          <w:lang w:val="es-US"/>
        </w:rPr>
        <w:t>de</w:t>
      </w:r>
      <w:r w:rsidRPr="00930562">
        <w:rPr>
          <w:rFonts w:asciiTheme="majorHAnsi" w:hAnsiTheme="majorHAnsi"/>
          <w:lang w:val="es-US"/>
        </w:rPr>
        <w:t xml:space="preserve"> la Facultad de Derecho de la Universidad de St. Louis. La delegación también visitó el m</w:t>
      </w:r>
      <w:r w:rsidR="004B1627" w:rsidRPr="00930562">
        <w:rPr>
          <w:rFonts w:asciiTheme="majorHAnsi" w:hAnsiTheme="majorHAnsi"/>
          <w:lang w:val="es-US"/>
        </w:rPr>
        <w:t>emorial</w:t>
      </w:r>
      <w:r w:rsidRPr="00930562">
        <w:rPr>
          <w:rFonts w:asciiTheme="majorHAnsi" w:hAnsiTheme="majorHAnsi"/>
          <w:lang w:val="es-US"/>
        </w:rPr>
        <w:t xml:space="preserve"> creado </w:t>
      </w:r>
      <w:r w:rsidR="00C466ED" w:rsidRPr="00930562">
        <w:rPr>
          <w:rFonts w:asciiTheme="majorHAnsi" w:hAnsiTheme="majorHAnsi"/>
          <w:lang w:val="es-US"/>
        </w:rPr>
        <w:t>en honor a</w:t>
      </w:r>
      <w:r w:rsidRPr="00930562">
        <w:rPr>
          <w:rFonts w:asciiTheme="majorHAnsi" w:hAnsiTheme="majorHAnsi"/>
          <w:lang w:val="es-US"/>
        </w:rPr>
        <w:t xml:space="preserve"> Michael Brown en Canfield, Ferguson.</w:t>
      </w:r>
    </w:p>
    <w:p w14:paraId="78BBD68D" w14:textId="77777777" w:rsidR="0013380B" w:rsidRPr="00930562" w:rsidRDefault="00124272" w:rsidP="008403E8">
      <w:pPr>
        <w:pStyle w:val="Heading3"/>
        <w:keepNext/>
        <w:keepLines/>
        <w:ind w:left="547" w:hanging="547"/>
        <w:rPr>
          <w:lang w:val="es-US"/>
        </w:rPr>
      </w:pPr>
      <w:bookmarkStart w:id="24" w:name="_Toc517779223"/>
      <w:bookmarkStart w:id="25" w:name="_Toc531514452"/>
      <w:r w:rsidRPr="00930562">
        <w:rPr>
          <w:lang w:val="es-US"/>
        </w:rPr>
        <w:t>Comunicados de Prensa</w:t>
      </w:r>
      <w:bookmarkEnd w:id="24"/>
      <w:bookmarkEnd w:id="25"/>
    </w:p>
    <w:p w14:paraId="5922D5E8" w14:textId="77777777" w:rsidR="0013380B" w:rsidRPr="00930562" w:rsidRDefault="00901B9B"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De manera constante la Comisión</w:t>
      </w:r>
      <w:r w:rsidR="0013380B" w:rsidRPr="00930562">
        <w:rPr>
          <w:rFonts w:asciiTheme="majorHAnsi" w:hAnsiTheme="majorHAnsi"/>
          <w:lang w:val="es-US"/>
        </w:rPr>
        <w:t xml:space="preserve"> </w:t>
      </w:r>
      <w:r w:rsidRPr="00930562">
        <w:rPr>
          <w:rFonts w:asciiTheme="majorHAnsi" w:hAnsiTheme="majorHAnsi"/>
          <w:lang w:val="es-US"/>
        </w:rPr>
        <w:t>ha monitoreado y expresado preocupación sobre la situación de discriminación contra los afroamericanos en los Estados Unidos en sus comunicados de prensa desde el 2014 hasta el presente.</w:t>
      </w:r>
    </w:p>
    <w:p w14:paraId="28751AB2" w14:textId="6B8C1820" w:rsidR="00766B0C" w:rsidRPr="00930562" w:rsidRDefault="00E84BD5"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lang w:val="es-US"/>
        </w:rPr>
        <w:t xml:space="preserve">El 22 de agosto de 2014 la Comisión expresó su preocupación acerca de incidentes </w:t>
      </w:r>
      <w:r w:rsidR="00675FAC" w:rsidRPr="00930562">
        <w:rPr>
          <w:rFonts w:asciiTheme="majorHAnsi" w:hAnsiTheme="majorHAnsi"/>
          <w:lang w:val="es-US"/>
        </w:rPr>
        <w:t xml:space="preserve">separados </w:t>
      </w:r>
      <w:r w:rsidRPr="00930562">
        <w:rPr>
          <w:rFonts w:asciiTheme="majorHAnsi" w:hAnsiTheme="majorHAnsi"/>
          <w:lang w:val="es-US"/>
        </w:rPr>
        <w:t xml:space="preserve">que llevaron a la muerte de  </w:t>
      </w:r>
      <w:r w:rsidR="0013380B" w:rsidRPr="00930562">
        <w:rPr>
          <w:rFonts w:asciiTheme="majorHAnsi" w:hAnsiTheme="majorHAnsi"/>
          <w:lang w:val="es-US"/>
        </w:rPr>
        <w:t xml:space="preserve">Eric Garner </w:t>
      </w:r>
      <w:r w:rsidRPr="00930562">
        <w:rPr>
          <w:rFonts w:asciiTheme="majorHAnsi" w:hAnsiTheme="majorHAnsi"/>
          <w:lang w:val="es-US"/>
        </w:rPr>
        <w:t>y</w:t>
      </w:r>
      <w:r w:rsidR="0013380B" w:rsidRPr="00930562">
        <w:rPr>
          <w:rFonts w:asciiTheme="majorHAnsi" w:hAnsiTheme="majorHAnsi"/>
          <w:lang w:val="es-US"/>
        </w:rPr>
        <w:t xml:space="preserve"> Michael Brown </w:t>
      </w:r>
      <w:r w:rsidR="004B1627" w:rsidRPr="00930562">
        <w:rPr>
          <w:rFonts w:asciiTheme="majorHAnsi" w:hAnsiTheme="majorHAnsi"/>
          <w:lang w:val="es-US"/>
        </w:rPr>
        <w:t>a</w:t>
      </w:r>
      <w:r w:rsidRPr="00930562">
        <w:rPr>
          <w:rFonts w:asciiTheme="majorHAnsi" w:hAnsiTheme="majorHAnsi"/>
          <w:lang w:val="es-US"/>
        </w:rPr>
        <w:t xml:space="preserve"> manos de la policía de la ciudad de Nueva York</w:t>
      </w:r>
      <w:r w:rsidR="004B1627" w:rsidRPr="00930562">
        <w:rPr>
          <w:rFonts w:asciiTheme="majorHAnsi" w:hAnsiTheme="majorHAnsi"/>
          <w:lang w:val="es-US"/>
        </w:rPr>
        <w:t xml:space="preserve"> </w:t>
      </w:r>
      <w:r w:rsidR="001F1B52" w:rsidRPr="00930562">
        <w:rPr>
          <w:rFonts w:asciiTheme="majorHAnsi" w:hAnsiTheme="majorHAnsi"/>
          <w:lang w:val="es-US"/>
        </w:rPr>
        <w:t xml:space="preserve">y </w:t>
      </w:r>
      <w:r w:rsidR="0013380B" w:rsidRPr="00930562">
        <w:rPr>
          <w:rFonts w:asciiTheme="majorHAnsi" w:hAnsiTheme="majorHAnsi"/>
          <w:lang w:val="es-US"/>
        </w:rPr>
        <w:t>Fe</w:t>
      </w:r>
      <w:r w:rsidRPr="00930562">
        <w:rPr>
          <w:rFonts w:asciiTheme="majorHAnsi" w:hAnsiTheme="majorHAnsi"/>
          <w:lang w:val="es-US"/>
        </w:rPr>
        <w:t>rguson, Mis</w:t>
      </w:r>
      <w:r w:rsidR="0013380B" w:rsidRPr="00930562">
        <w:rPr>
          <w:rFonts w:asciiTheme="majorHAnsi" w:hAnsiTheme="majorHAnsi"/>
          <w:lang w:val="es-US"/>
        </w:rPr>
        <w:t xml:space="preserve">uri, </w:t>
      </w:r>
      <w:r w:rsidRPr="00930562">
        <w:rPr>
          <w:rFonts w:asciiTheme="majorHAnsi" w:hAnsiTheme="majorHAnsi"/>
          <w:lang w:val="es-US"/>
        </w:rPr>
        <w:t>respectivamente</w:t>
      </w:r>
      <w:r w:rsidR="001F1B52" w:rsidRPr="00930562">
        <w:rPr>
          <w:rFonts w:asciiTheme="majorHAnsi" w:hAnsiTheme="majorHAnsi"/>
          <w:lang w:val="es-US"/>
        </w:rPr>
        <w:t>. En ese momento, la Comisión</w:t>
      </w:r>
      <w:r w:rsidR="0013380B" w:rsidRPr="00930562">
        <w:rPr>
          <w:rFonts w:asciiTheme="majorHAnsi" w:hAnsiTheme="majorHAnsi"/>
          <w:lang w:val="es-US"/>
        </w:rPr>
        <w:t xml:space="preserve">, </w:t>
      </w:r>
      <w:r w:rsidR="001F1B52" w:rsidRPr="00930562">
        <w:rPr>
          <w:rFonts w:asciiTheme="majorHAnsi" w:hAnsiTheme="majorHAnsi"/>
          <w:lang w:val="es-US"/>
        </w:rPr>
        <w:t>“consideró que los asesinatos de Garner y Brown representan la continuidad de una tendencia preocupante de uso excesivo de la fuerza por parte de agentes policiales hacia los afroamericanos y otras personas de color</w:t>
      </w:r>
      <w:r w:rsidR="00675FAC" w:rsidRPr="00930562">
        <w:rPr>
          <w:rFonts w:asciiTheme="majorHAnsi" w:hAnsiTheme="majorHAnsi"/>
          <w:lang w:val="es-US"/>
        </w:rPr>
        <w:t>,</w:t>
      </w:r>
      <w:r w:rsidR="001F1B52" w:rsidRPr="00930562">
        <w:rPr>
          <w:rFonts w:asciiTheme="majorHAnsi" w:hAnsiTheme="majorHAnsi"/>
          <w:lang w:val="es-US"/>
        </w:rPr>
        <w:t xml:space="preserve">” y </w:t>
      </w:r>
      <w:r w:rsidR="0013380B" w:rsidRPr="00930562">
        <w:rPr>
          <w:rFonts w:asciiTheme="majorHAnsi" w:hAnsiTheme="majorHAnsi"/>
          <w:lang w:val="es-US"/>
        </w:rPr>
        <w:t>“</w:t>
      </w:r>
      <w:r w:rsidR="001F1B52" w:rsidRPr="00930562">
        <w:rPr>
          <w:rFonts w:asciiTheme="majorHAnsi" w:hAnsiTheme="majorHAnsi"/>
          <w:lang w:val="es-US"/>
        </w:rPr>
        <w:t xml:space="preserve">urgió al Estado a </w:t>
      </w:r>
      <w:r w:rsidR="0013380B" w:rsidRPr="00930562">
        <w:rPr>
          <w:rFonts w:asciiTheme="majorHAnsi" w:hAnsiTheme="majorHAnsi"/>
          <w:lang w:val="es-US"/>
        </w:rPr>
        <w:t xml:space="preserve"> </w:t>
      </w:r>
      <w:r w:rsidR="001F1B52" w:rsidRPr="00930562">
        <w:rPr>
          <w:rFonts w:asciiTheme="majorHAnsi" w:hAnsiTheme="majorHAnsi"/>
          <w:lang w:val="es-US"/>
        </w:rPr>
        <w:t>prestar renovada atención a la existencia de posibles conexiones entre estos casos y casos pasados que demostraron un patrón de uso excesivo de la fuerza contra personas de color</w:t>
      </w:r>
      <w:r w:rsidR="0013380B" w:rsidRPr="00930562">
        <w:rPr>
          <w:rFonts w:asciiTheme="majorHAnsi" w:hAnsiTheme="majorHAnsi"/>
          <w:lang w:val="es-US"/>
        </w:rPr>
        <w:t>.</w:t>
      </w:r>
      <w:r w:rsidR="0013380B" w:rsidRPr="00930562">
        <w:rPr>
          <w:rFonts w:asciiTheme="majorHAnsi" w:hAnsiTheme="majorHAnsi"/>
          <w:szCs w:val="20"/>
          <w:lang w:val="es-US"/>
        </w:rPr>
        <w:t>”</w:t>
      </w:r>
      <w:r w:rsidR="0013380B" w:rsidRPr="00930562">
        <w:rPr>
          <w:rStyle w:val="FootnoteReference"/>
          <w:rFonts w:asciiTheme="majorHAnsi" w:hAnsiTheme="majorHAnsi"/>
          <w:szCs w:val="20"/>
          <w:lang w:val="es-US"/>
        </w:rPr>
        <w:footnoteReference w:id="11"/>
      </w:r>
    </w:p>
    <w:p w14:paraId="2F8DEA58" w14:textId="77777777" w:rsidR="0013380B" w:rsidRPr="00930562" w:rsidRDefault="00766B0C"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 xml:space="preserve">El 20 de marzo de 2015 la Comisión hizo un llamado a todos los Estados Miembros de la OEA para que pongan fin a la discriminación racial en las Américas, destacando que la discriminación estructural afecta el disfrute de </w:t>
      </w:r>
      <w:r w:rsidRPr="00930562">
        <w:rPr>
          <w:rFonts w:asciiTheme="majorHAnsi" w:hAnsiTheme="majorHAnsi"/>
          <w:lang w:val="es-US"/>
        </w:rPr>
        <w:lastRenderedPageBreak/>
        <w:t>todos los derechos humanos</w:t>
      </w:r>
      <w:r w:rsidR="0013380B" w:rsidRPr="00930562">
        <w:rPr>
          <w:rFonts w:asciiTheme="majorHAnsi" w:hAnsiTheme="majorHAnsi"/>
          <w:lang w:val="es-US"/>
        </w:rPr>
        <w:t>.</w:t>
      </w:r>
      <w:r w:rsidR="0013380B" w:rsidRPr="00930562">
        <w:rPr>
          <w:rFonts w:asciiTheme="majorHAnsi" w:hAnsiTheme="majorHAnsi"/>
          <w:vertAlign w:val="superscript"/>
          <w:lang w:val="es-US"/>
        </w:rPr>
        <w:footnoteReference w:id="12"/>
      </w:r>
      <w:r w:rsidR="0013380B" w:rsidRPr="00930562">
        <w:rPr>
          <w:rFonts w:asciiTheme="majorHAnsi" w:hAnsiTheme="majorHAnsi"/>
          <w:lang w:val="es-US"/>
        </w:rPr>
        <w:t xml:space="preserve"> </w:t>
      </w:r>
      <w:r w:rsidRPr="00930562">
        <w:rPr>
          <w:rFonts w:asciiTheme="majorHAnsi" w:hAnsiTheme="majorHAnsi"/>
          <w:lang w:val="es-US"/>
        </w:rPr>
        <w:t>El 27 de marzo de 2015, después de su 154º Período de Sesiones, la Comisión hizo hincapié acerca de cómo el racismo permea el accionar de los sistemas judiciales y el uso de la fuerza por parte de la policía a lo largo de toda la región, impactando de manera desproporcionada a los jóvenes de ascendencia africana</w:t>
      </w:r>
      <w:r w:rsidR="0013380B" w:rsidRPr="00930562">
        <w:rPr>
          <w:rFonts w:asciiTheme="majorHAnsi" w:hAnsiTheme="majorHAnsi"/>
          <w:lang w:val="es-US"/>
        </w:rPr>
        <w:t>.</w:t>
      </w:r>
      <w:r w:rsidR="0013380B" w:rsidRPr="00930562">
        <w:rPr>
          <w:rFonts w:asciiTheme="majorHAnsi" w:hAnsiTheme="majorHAnsi"/>
          <w:vertAlign w:val="superscript"/>
          <w:lang w:val="es-US"/>
        </w:rPr>
        <w:footnoteReference w:id="13"/>
      </w:r>
    </w:p>
    <w:p w14:paraId="7263F6FA" w14:textId="77777777" w:rsidR="0013380B" w:rsidRPr="00930562" w:rsidRDefault="00861553"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El 17 de abril de 2015, a la luz del asesinato de Walter Lamar Scott a manos de un policía en Carolina del Sur, la Comisión reafirmó el deber del Estado de investigar a fondo este asesinato y de adoptar medidas legislativas, normativas e institucionales de manera coordinada diseñadas con el fin de eliminar la discriminación racial, incluyendo medidas para proteger y garantizar el derecho a la no discriminación.</w:t>
      </w:r>
      <w:r w:rsidRPr="00930562">
        <w:rPr>
          <w:rFonts w:asciiTheme="majorHAnsi" w:hAnsiTheme="majorHAnsi"/>
          <w:vertAlign w:val="superscript"/>
          <w:lang w:val="es-US"/>
        </w:rPr>
        <w:footnoteReference w:id="14"/>
      </w:r>
      <w:r w:rsidRPr="00930562">
        <w:rPr>
          <w:rFonts w:asciiTheme="majorHAnsi" w:hAnsiTheme="majorHAnsi"/>
          <w:lang w:val="es-US"/>
        </w:rPr>
        <w:t xml:space="preserve">   </w:t>
      </w:r>
    </w:p>
    <w:p w14:paraId="0006B9D4" w14:textId="667BF497" w:rsidR="0013380B" w:rsidRPr="00930562" w:rsidRDefault="006929A5"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El 23 de agosto de 2016 la Comisión</w:t>
      </w:r>
      <w:r w:rsidR="00675FAC" w:rsidRPr="00930562">
        <w:rPr>
          <w:rFonts w:asciiTheme="majorHAnsi" w:hAnsiTheme="majorHAnsi"/>
          <w:lang w:val="es-US"/>
        </w:rPr>
        <w:t xml:space="preserve"> manifestó preocupación</w:t>
      </w:r>
      <w:r w:rsidRPr="00930562">
        <w:rPr>
          <w:rFonts w:asciiTheme="majorHAnsi" w:hAnsiTheme="majorHAnsi"/>
          <w:lang w:val="es-US"/>
        </w:rPr>
        <w:t xml:space="preserve"> nuevamente por las </w:t>
      </w:r>
      <w:r w:rsidR="00675FAC" w:rsidRPr="00930562">
        <w:rPr>
          <w:rFonts w:asciiTheme="majorHAnsi" w:hAnsiTheme="majorHAnsi"/>
          <w:lang w:val="es-US"/>
        </w:rPr>
        <w:t xml:space="preserve">deficiencias </w:t>
      </w:r>
      <w:r w:rsidRPr="00930562">
        <w:rPr>
          <w:rFonts w:asciiTheme="majorHAnsi" w:hAnsiTheme="majorHAnsi"/>
          <w:lang w:val="es-US"/>
        </w:rPr>
        <w:t xml:space="preserve">en la investigación de los asesinatos de Alton Sterling y Philando Castile </w:t>
      </w:r>
      <w:r w:rsidR="004B1627" w:rsidRPr="00930562">
        <w:rPr>
          <w:rFonts w:asciiTheme="majorHAnsi" w:hAnsiTheme="majorHAnsi"/>
          <w:lang w:val="es-US"/>
        </w:rPr>
        <w:t>a</w:t>
      </w:r>
      <w:r w:rsidRPr="00930562">
        <w:rPr>
          <w:rFonts w:asciiTheme="majorHAnsi" w:hAnsiTheme="majorHAnsi"/>
          <w:lang w:val="es-US"/>
        </w:rPr>
        <w:t xml:space="preserve"> manos de funcionarios policiales en Luisiana y Minesota, respectivamente, así como la falta de responsabilidad institucional por estas muertes.</w:t>
      </w:r>
      <w:r w:rsidR="0013380B" w:rsidRPr="00930562">
        <w:rPr>
          <w:rFonts w:asciiTheme="majorHAnsi" w:hAnsiTheme="majorHAnsi"/>
          <w:vertAlign w:val="superscript"/>
          <w:lang w:val="es-US"/>
        </w:rPr>
        <w:footnoteReference w:id="15"/>
      </w:r>
      <w:r w:rsidR="0013380B" w:rsidRPr="00930562">
        <w:rPr>
          <w:rFonts w:asciiTheme="majorHAnsi" w:hAnsiTheme="majorHAnsi"/>
          <w:lang w:val="es-US"/>
        </w:rPr>
        <w:t xml:space="preserve"> </w:t>
      </w:r>
    </w:p>
    <w:p w14:paraId="1D13A7CD" w14:textId="3C6341FC" w:rsidR="00844FCC" w:rsidRPr="00930562" w:rsidRDefault="00844FCC"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lang w:val="es-US"/>
        </w:rPr>
        <w:t>El 18 de agosto de 2017 la Comisión repudió las expresiones de odio e intolerancia expresadas por los manifestantes "Unidos por el Derecho" reunidos en Charlottesville, Virginia. En ese momento, la Comisión "instó a los funcionarios públicos [. . .] a condenar enérgicamente la intolerancia y el odio racial y a reconocer el rol que dicha discriminación juega en la violencia contra los afroamericanos, los inmigrantes, los pueblos indígenas y las comunidades minoritarias en todo el país</w:t>
      </w:r>
      <w:r w:rsidRPr="00930562">
        <w:rPr>
          <w:rFonts w:asciiTheme="majorHAnsi" w:hAnsiTheme="majorHAnsi"/>
          <w:szCs w:val="20"/>
          <w:lang w:val="es-US"/>
        </w:rPr>
        <w:t>.”</w:t>
      </w:r>
      <w:r w:rsidRPr="00930562">
        <w:rPr>
          <w:rStyle w:val="FootnoteReference"/>
          <w:rFonts w:asciiTheme="majorHAnsi" w:hAnsiTheme="majorHAnsi"/>
          <w:szCs w:val="20"/>
          <w:lang w:val="es-US"/>
        </w:rPr>
        <w:footnoteReference w:id="16"/>
      </w:r>
      <w:r w:rsidRPr="00930562">
        <w:rPr>
          <w:rFonts w:asciiTheme="majorHAnsi" w:hAnsiTheme="majorHAnsi"/>
          <w:szCs w:val="20"/>
          <w:lang w:val="es-US"/>
        </w:rPr>
        <w:t xml:space="preserve">   </w:t>
      </w:r>
    </w:p>
    <w:p w14:paraId="16191647" w14:textId="72E803DE" w:rsidR="0013380B" w:rsidRPr="00930562" w:rsidRDefault="007157A5" w:rsidP="008403E8">
      <w:pPr>
        <w:pStyle w:val="Heading3"/>
        <w:keepNext/>
        <w:keepLines/>
        <w:ind w:left="547" w:hanging="547"/>
        <w:rPr>
          <w:lang w:val="es-US"/>
        </w:rPr>
      </w:pPr>
      <w:bookmarkStart w:id="26" w:name="_Toc517779224"/>
      <w:bookmarkStart w:id="27" w:name="_Toc531514453"/>
      <w:r w:rsidRPr="00930562">
        <w:rPr>
          <w:lang w:val="es-US"/>
        </w:rPr>
        <w:t xml:space="preserve">Fuentes </w:t>
      </w:r>
      <w:r w:rsidR="00B9657A" w:rsidRPr="00930562">
        <w:rPr>
          <w:lang w:val="es-US"/>
        </w:rPr>
        <w:t>adicionales</w:t>
      </w:r>
      <w:bookmarkEnd w:id="26"/>
      <w:bookmarkEnd w:id="27"/>
    </w:p>
    <w:p w14:paraId="5B7868C0" w14:textId="77777777" w:rsidR="0013380B" w:rsidRPr="00930562" w:rsidRDefault="004F114B"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 xml:space="preserve">Además de la información descrita anteriormente, este informe se basa en información pública oficial obtenida de fuentes gubernamentales; informes </w:t>
      </w:r>
      <w:r w:rsidRPr="00930562">
        <w:rPr>
          <w:rFonts w:asciiTheme="majorHAnsi" w:hAnsiTheme="majorHAnsi"/>
          <w:lang w:val="es-US"/>
        </w:rPr>
        <w:lastRenderedPageBreak/>
        <w:t>y estudios de los órganos de las Naciones Unidas e instituciones académicas; e información publicada por organizaciones no gubernamentales y medios de comunicación. La Comisión toma nota de la importancia de tener en cuenta los puntos de vista de los múltiples actores sobre el complejo y multifacético problema de la discriminación racial, y señala además la inexistencia de datos estadísticos oficiales completos, confiables y actualizados sobre muchos de los temas tratados en este informe, incluidos incidentes por el uso excesivo de la fuerza por parte de la policía y homicidios policiales.</w:t>
      </w:r>
    </w:p>
    <w:p w14:paraId="3557681D" w14:textId="77777777" w:rsidR="009A5CC2" w:rsidRPr="00930562" w:rsidRDefault="00723578" w:rsidP="001018E6">
      <w:pPr>
        <w:pStyle w:val="Heading2"/>
        <w:ind w:left="540" w:hanging="540"/>
        <w:rPr>
          <w:rFonts w:asciiTheme="majorHAnsi" w:hAnsiTheme="majorHAnsi"/>
          <w:sz w:val="20"/>
          <w:szCs w:val="20"/>
          <w:lang w:val="es-US"/>
        </w:rPr>
      </w:pPr>
      <w:bookmarkStart w:id="28" w:name="_Toc511837804"/>
      <w:bookmarkStart w:id="29" w:name="_Toc511902977"/>
      <w:bookmarkStart w:id="30" w:name="_Toc517779225"/>
      <w:bookmarkStart w:id="31" w:name="_Toc531514454"/>
      <w:r w:rsidRPr="00930562">
        <w:rPr>
          <w:rFonts w:asciiTheme="majorHAnsi" w:hAnsiTheme="majorHAnsi"/>
          <w:lang w:val="es-US"/>
        </w:rPr>
        <w:t>La Competencia</w:t>
      </w:r>
      <w:r w:rsidR="0013380B" w:rsidRPr="00930562">
        <w:rPr>
          <w:rFonts w:asciiTheme="majorHAnsi" w:hAnsiTheme="majorHAnsi"/>
          <w:lang w:val="es-US"/>
        </w:rPr>
        <w:t xml:space="preserve"> </w:t>
      </w:r>
      <w:r w:rsidRPr="00930562">
        <w:rPr>
          <w:rFonts w:asciiTheme="majorHAnsi" w:hAnsiTheme="majorHAnsi"/>
          <w:lang w:val="es-US"/>
        </w:rPr>
        <w:t xml:space="preserve">de la Comisión </w:t>
      </w:r>
      <w:r w:rsidR="0013380B" w:rsidRPr="00930562">
        <w:rPr>
          <w:rFonts w:asciiTheme="majorHAnsi" w:hAnsiTheme="majorHAnsi"/>
          <w:lang w:val="es-US"/>
        </w:rPr>
        <w:t>Inter</w:t>
      </w:r>
      <w:r w:rsidRPr="00930562">
        <w:rPr>
          <w:rFonts w:asciiTheme="majorHAnsi" w:hAnsiTheme="majorHAnsi"/>
          <w:lang w:val="es-US"/>
        </w:rPr>
        <w:t>a</w:t>
      </w:r>
      <w:r w:rsidR="0013380B" w:rsidRPr="00930562">
        <w:rPr>
          <w:rFonts w:asciiTheme="majorHAnsi" w:hAnsiTheme="majorHAnsi"/>
          <w:lang w:val="es-US"/>
        </w:rPr>
        <w:t>merican</w:t>
      </w:r>
      <w:r w:rsidRPr="00930562">
        <w:rPr>
          <w:rFonts w:asciiTheme="majorHAnsi" w:hAnsiTheme="majorHAnsi"/>
          <w:lang w:val="es-US"/>
        </w:rPr>
        <w:t>a sobre</w:t>
      </w:r>
      <w:r w:rsidR="00CD1494" w:rsidRPr="00930562">
        <w:rPr>
          <w:rFonts w:asciiTheme="majorHAnsi" w:hAnsiTheme="majorHAnsi"/>
          <w:lang w:val="es-US"/>
        </w:rPr>
        <w:t xml:space="preserve"> los</w:t>
      </w:r>
      <w:r w:rsidRPr="00930562">
        <w:rPr>
          <w:rFonts w:asciiTheme="majorHAnsi" w:hAnsiTheme="majorHAnsi"/>
          <w:lang w:val="es-US"/>
        </w:rPr>
        <w:t xml:space="preserve"> Estados Unidos</w:t>
      </w:r>
      <w:bookmarkEnd w:id="28"/>
      <w:bookmarkEnd w:id="29"/>
      <w:bookmarkEnd w:id="30"/>
      <w:bookmarkEnd w:id="31"/>
    </w:p>
    <w:p w14:paraId="7541FC9E" w14:textId="21F9CBDF" w:rsidR="00BA0185" w:rsidRPr="00930562" w:rsidRDefault="00BA0185"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La Declaración Americana de los Derechos y Deberes del Hombre (“Declaración Americana,” 1948), junto con la Carta de la Organización de los Estados Americanos (“La Carta de la OEA,”1948); el Estatuto de la Comisión Interamericana de Derechos Humanos; y el Reglamento de la CIDH  establecen la base jurisdiccional de la Comisión Interamericana sobre los Estados que aún no han ratificado la Convención Americana sobre Derechos Humanos (“Convención Americana” o CADH).</w:t>
      </w:r>
      <w:r w:rsidRPr="00930562">
        <w:rPr>
          <w:rFonts w:asciiTheme="majorHAnsi" w:hAnsiTheme="majorHAnsi"/>
          <w:vertAlign w:val="superscript"/>
          <w:lang w:val="es-US"/>
        </w:rPr>
        <w:footnoteReference w:id="17"/>
      </w:r>
      <w:r w:rsidRPr="00930562">
        <w:rPr>
          <w:rFonts w:asciiTheme="majorHAnsi" w:hAnsiTheme="majorHAnsi"/>
          <w:lang w:val="es-US"/>
        </w:rPr>
        <w:t xml:space="preserve">   De manera especial, está claramente establecido que el contenido de los principios generales de la Carta de la OEA  -a la que todos los Estados </w:t>
      </w:r>
      <w:r w:rsidR="007F1719" w:rsidRPr="00930562">
        <w:rPr>
          <w:rFonts w:asciiTheme="majorHAnsi" w:hAnsiTheme="majorHAnsi"/>
          <w:lang w:val="es-US"/>
        </w:rPr>
        <w:t>P</w:t>
      </w:r>
      <w:r w:rsidRPr="00930562">
        <w:rPr>
          <w:rFonts w:asciiTheme="majorHAnsi" w:hAnsiTheme="majorHAnsi"/>
          <w:lang w:val="es-US"/>
        </w:rPr>
        <w:t xml:space="preserve">arte de la Carta están obligados a cumplir - están contenidos y definidos en la Declaración Americana. </w:t>
      </w:r>
      <w:r w:rsidRPr="00930562">
        <w:rPr>
          <w:rFonts w:asciiTheme="majorHAnsi" w:hAnsiTheme="majorHAnsi"/>
          <w:vertAlign w:val="superscript"/>
          <w:lang w:val="es-US"/>
        </w:rPr>
        <w:footnoteReference w:id="18"/>
      </w:r>
      <w:r w:rsidRPr="00930562">
        <w:rPr>
          <w:rFonts w:asciiTheme="majorHAnsi" w:hAnsiTheme="majorHAnsi"/>
          <w:lang w:val="es-US"/>
        </w:rPr>
        <w:t xml:space="preserve"> La Declaración reconoce una variedad de derechos humanos fundamentales -algunos de los cuales, como la prohibición de la tortura, </w:t>
      </w:r>
      <w:r w:rsidRPr="00930562">
        <w:rPr>
          <w:rFonts w:asciiTheme="majorHAnsi" w:hAnsiTheme="majorHAnsi"/>
          <w:lang w:val="es-US"/>
        </w:rPr>
        <w:lastRenderedPageBreak/>
        <w:t>gozan además de un estatus</w:t>
      </w:r>
      <w:r w:rsidR="007F1719" w:rsidRPr="00930562">
        <w:rPr>
          <w:rFonts w:asciiTheme="majorHAnsi" w:hAnsiTheme="majorHAnsi"/>
          <w:lang w:val="es-US"/>
        </w:rPr>
        <w:t xml:space="preserve"> de</w:t>
      </w:r>
      <w:r w:rsidRPr="00930562">
        <w:rPr>
          <w:rFonts w:asciiTheme="majorHAnsi" w:hAnsiTheme="majorHAnsi"/>
          <w:lang w:val="es-US"/>
        </w:rPr>
        <w:t xml:space="preserve"> </w:t>
      </w:r>
      <w:r w:rsidR="007F1719" w:rsidRPr="00930562">
        <w:rPr>
          <w:rFonts w:asciiTheme="majorHAnsi" w:hAnsiTheme="majorHAnsi"/>
          <w:lang w:val="es-US"/>
        </w:rPr>
        <w:t>costumbre jurídica</w:t>
      </w:r>
      <w:r w:rsidRPr="00930562">
        <w:rPr>
          <w:rFonts w:asciiTheme="majorHAnsi" w:hAnsiTheme="majorHAnsi"/>
          <w:lang w:val="es-US"/>
        </w:rPr>
        <w:t>- incluidos varios que son sumamente relevantes para los problemas del uso de la fuerza, la discriminación y el acceso a la justicia que se abordan en este informe.</w:t>
      </w:r>
    </w:p>
    <w:p w14:paraId="6C2385A1" w14:textId="75DDB190" w:rsidR="00810E35" w:rsidRPr="00930562" w:rsidRDefault="00815EE6"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Por lo tanto, los Estados Unidos han estado sujetos a la jurisdicción de la Comisión Interamericana desde que depositaron su instrumento de ratificación de la Carta de la OEA el 19 de junio de 1951.</w:t>
      </w:r>
      <w:r w:rsidRPr="00930562">
        <w:rPr>
          <w:rFonts w:asciiTheme="majorHAnsi" w:hAnsiTheme="majorHAnsi"/>
          <w:vertAlign w:val="superscript"/>
          <w:lang w:val="es-US"/>
        </w:rPr>
        <w:footnoteReference w:id="19"/>
      </w:r>
      <w:r w:rsidRPr="00930562">
        <w:rPr>
          <w:rFonts w:asciiTheme="majorHAnsi" w:hAnsiTheme="majorHAnsi"/>
          <w:lang w:val="es-US"/>
        </w:rPr>
        <w:t xml:space="preserve">  </w:t>
      </w:r>
      <w:r w:rsidR="007F1719" w:rsidRPr="00930562">
        <w:rPr>
          <w:rFonts w:asciiTheme="majorHAnsi" w:hAnsiTheme="majorHAnsi"/>
          <w:lang w:val="es-US"/>
        </w:rPr>
        <w:t>De</w:t>
      </w:r>
      <w:r w:rsidRPr="00930562">
        <w:rPr>
          <w:rFonts w:asciiTheme="majorHAnsi" w:hAnsiTheme="majorHAnsi"/>
          <w:lang w:val="es-US"/>
        </w:rPr>
        <w:t xml:space="preserve"> conformidad con su mandato, la CIDH ha monitoreado la situación de los derechos humanos en los Estados Unidos por medio de la adopción de decisiones de casos, medidas cautelares, </w:t>
      </w:r>
      <w:r w:rsidR="007F1719" w:rsidRPr="00930562">
        <w:rPr>
          <w:rFonts w:asciiTheme="majorHAnsi" w:hAnsiTheme="majorHAnsi"/>
          <w:lang w:val="es-US"/>
        </w:rPr>
        <w:t>e</w:t>
      </w:r>
      <w:r w:rsidRPr="00930562">
        <w:rPr>
          <w:rFonts w:asciiTheme="majorHAnsi" w:hAnsiTheme="majorHAnsi"/>
          <w:lang w:val="es-US"/>
        </w:rPr>
        <w:t xml:space="preserve"> informes temáticos y por país.</w:t>
      </w:r>
      <w:r w:rsidR="005D4E60" w:rsidRPr="00930562">
        <w:rPr>
          <w:rFonts w:asciiTheme="majorHAnsi" w:hAnsiTheme="majorHAnsi"/>
          <w:vertAlign w:val="superscript"/>
          <w:lang w:val="es-US"/>
        </w:rPr>
        <w:footnoteReference w:id="20"/>
      </w:r>
    </w:p>
    <w:p w14:paraId="29CA7404" w14:textId="56604888" w:rsidR="0013380B" w:rsidRPr="00930562" w:rsidRDefault="00810E35"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 xml:space="preserve">Tal como la Comisión ha declarado en repetidas ocasiones, la ratificación universal de los instrumentos de derechos humanos </w:t>
      </w:r>
      <w:r w:rsidR="008E14C5" w:rsidRPr="00930562">
        <w:rPr>
          <w:rFonts w:asciiTheme="majorHAnsi" w:hAnsiTheme="majorHAnsi"/>
          <w:lang w:val="es-US"/>
        </w:rPr>
        <w:t xml:space="preserve">interamericanos </w:t>
      </w:r>
      <w:r w:rsidRPr="00930562">
        <w:rPr>
          <w:rFonts w:asciiTheme="majorHAnsi" w:hAnsiTheme="majorHAnsi"/>
          <w:lang w:val="es-US"/>
        </w:rPr>
        <w:t>es esencial para alcanzar la protección plena de los derechos humanos de todas las personas en el hemisferio.</w:t>
      </w:r>
      <w:r w:rsidRPr="00930562">
        <w:rPr>
          <w:rFonts w:asciiTheme="majorHAnsi" w:hAnsiTheme="majorHAnsi"/>
          <w:vertAlign w:val="superscript"/>
          <w:lang w:val="es-US"/>
        </w:rPr>
        <w:t xml:space="preserve"> </w:t>
      </w:r>
      <w:r w:rsidRPr="00930562">
        <w:rPr>
          <w:rFonts w:asciiTheme="majorHAnsi" w:hAnsiTheme="majorHAnsi"/>
          <w:vertAlign w:val="superscript"/>
          <w:lang w:val="es-US"/>
        </w:rPr>
        <w:footnoteReference w:id="21"/>
      </w:r>
      <w:r w:rsidRPr="00930562">
        <w:rPr>
          <w:rFonts w:asciiTheme="majorHAnsi" w:hAnsiTheme="majorHAnsi"/>
          <w:lang w:val="es-US"/>
        </w:rPr>
        <w:t xml:space="preserve"> </w:t>
      </w:r>
      <w:r w:rsidR="00DE38BF" w:rsidRPr="00930562">
        <w:rPr>
          <w:rFonts w:asciiTheme="majorHAnsi" w:hAnsiTheme="majorHAnsi"/>
          <w:lang w:val="es-US"/>
        </w:rPr>
        <w:t xml:space="preserve"> </w:t>
      </w:r>
      <w:r w:rsidRPr="00930562">
        <w:rPr>
          <w:rFonts w:asciiTheme="majorHAnsi" w:hAnsiTheme="majorHAnsi"/>
          <w:lang w:val="es-US"/>
        </w:rPr>
        <w:t xml:space="preserve">En particular, la Comisión </w:t>
      </w:r>
      <w:r w:rsidR="0013380B" w:rsidRPr="00930562">
        <w:rPr>
          <w:rFonts w:asciiTheme="majorHAnsi" w:hAnsiTheme="majorHAnsi"/>
          <w:lang w:val="es-US"/>
        </w:rPr>
        <w:t>consider</w:t>
      </w:r>
      <w:r w:rsidRPr="00930562">
        <w:rPr>
          <w:rFonts w:asciiTheme="majorHAnsi" w:hAnsiTheme="majorHAnsi"/>
          <w:lang w:val="es-US"/>
        </w:rPr>
        <w:t>a que la ratificación de estos instrumentos es sumamente relevante para combatir la discriminación racial, para promover el uso de la fuerza por parte de autoridades policiales</w:t>
      </w:r>
      <w:r w:rsidR="008E14C5" w:rsidRPr="00930562">
        <w:rPr>
          <w:rFonts w:asciiTheme="majorHAnsi" w:hAnsiTheme="majorHAnsi"/>
          <w:lang w:val="es-US"/>
        </w:rPr>
        <w:t xml:space="preserve"> solamente cuando sea absolutamente necesario,</w:t>
      </w:r>
      <w:r w:rsidRPr="00930562">
        <w:rPr>
          <w:rFonts w:asciiTheme="majorHAnsi" w:hAnsiTheme="majorHAnsi"/>
          <w:lang w:val="es-US"/>
        </w:rPr>
        <w:t xml:space="preserve"> y para promover el acceso a la justicia y combatir la </w:t>
      </w:r>
      <w:r w:rsidR="0013380B" w:rsidRPr="00930562">
        <w:rPr>
          <w:rFonts w:asciiTheme="majorHAnsi" w:hAnsiTheme="majorHAnsi"/>
          <w:lang w:val="es-US"/>
        </w:rPr>
        <w:t>impuni</w:t>
      </w:r>
      <w:r w:rsidRPr="00930562">
        <w:rPr>
          <w:rFonts w:asciiTheme="majorHAnsi" w:hAnsiTheme="majorHAnsi"/>
          <w:lang w:val="es-US"/>
        </w:rPr>
        <w:t>dad en los países de la región, incluidos los Estados Unidos</w:t>
      </w:r>
      <w:r w:rsidR="0013380B" w:rsidRPr="00930562">
        <w:rPr>
          <w:rFonts w:asciiTheme="majorHAnsi" w:hAnsiTheme="majorHAnsi"/>
          <w:lang w:val="es-US"/>
        </w:rPr>
        <w:t>.</w:t>
      </w:r>
      <w:r w:rsidR="0013380B" w:rsidRPr="00930562">
        <w:rPr>
          <w:rStyle w:val="FootnoteReference"/>
          <w:rFonts w:asciiTheme="majorHAnsi" w:hAnsiTheme="majorHAnsi"/>
          <w:lang w:val="es-US"/>
        </w:rPr>
        <w:footnoteReference w:id="22"/>
      </w:r>
      <w:r w:rsidR="00B57248" w:rsidRPr="00930562">
        <w:rPr>
          <w:rFonts w:asciiTheme="majorHAnsi" w:hAnsiTheme="majorHAnsi"/>
          <w:lang w:val="es-US"/>
        </w:rPr>
        <w:t xml:space="preserve"> En consecuencia, la Comisión alienta a los Estados Unidos a que ratifique todos los tratados regionales aplicables, incluida la </w:t>
      </w:r>
      <w:r w:rsidR="0013380B" w:rsidRPr="00930562">
        <w:rPr>
          <w:rFonts w:asciiTheme="majorHAnsi" w:hAnsiTheme="majorHAnsi"/>
          <w:lang w:val="es-US"/>
        </w:rPr>
        <w:t>Conven</w:t>
      </w:r>
      <w:r w:rsidR="00B57248" w:rsidRPr="00930562">
        <w:rPr>
          <w:rFonts w:asciiTheme="majorHAnsi" w:hAnsiTheme="majorHAnsi"/>
          <w:lang w:val="es-US"/>
        </w:rPr>
        <w:t>ción Americana sobre Derechos Humanos</w:t>
      </w:r>
      <w:r w:rsidR="0013380B" w:rsidRPr="00930562">
        <w:rPr>
          <w:rFonts w:asciiTheme="majorHAnsi" w:hAnsiTheme="majorHAnsi"/>
          <w:lang w:val="es-US"/>
        </w:rPr>
        <w:t xml:space="preserve">; </w:t>
      </w:r>
      <w:r w:rsidR="00B57248" w:rsidRPr="00930562">
        <w:rPr>
          <w:rFonts w:asciiTheme="majorHAnsi" w:hAnsiTheme="majorHAnsi"/>
          <w:lang w:val="es-US"/>
        </w:rPr>
        <w:t>la C</w:t>
      </w:r>
      <w:r w:rsidR="0013380B" w:rsidRPr="00930562">
        <w:rPr>
          <w:rFonts w:asciiTheme="majorHAnsi" w:hAnsiTheme="majorHAnsi"/>
          <w:lang w:val="es-US"/>
        </w:rPr>
        <w:t>onven</w:t>
      </w:r>
      <w:r w:rsidR="00B57248" w:rsidRPr="00930562">
        <w:rPr>
          <w:rFonts w:asciiTheme="majorHAnsi" w:hAnsiTheme="majorHAnsi"/>
          <w:lang w:val="es-US"/>
        </w:rPr>
        <w:t xml:space="preserve">ción Interamericana contra el Racismo, la Discriminación Racial y Formas </w:t>
      </w:r>
      <w:r w:rsidR="00E134F8" w:rsidRPr="00930562">
        <w:rPr>
          <w:rFonts w:asciiTheme="majorHAnsi" w:hAnsiTheme="majorHAnsi"/>
          <w:lang w:val="es-US"/>
        </w:rPr>
        <w:t xml:space="preserve">Conexas </w:t>
      </w:r>
      <w:r w:rsidR="00B57248" w:rsidRPr="00930562">
        <w:rPr>
          <w:rFonts w:asciiTheme="majorHAnsi" w:hAnsiTheme="majorHAnsi"/>
          <w:lang w:val="es-US"/>
        </w:rPr>
        <w:t>de Intolerancia</w:t>
      </w:r>
      <w:r w:rsidR="0013380B" w:rsidRPr="00930562">
        <w:rPr>
          <w:rFonts w:asciiTheme="majorHAnsi" w:hAnsiTheme="majorHAnsi"/>
          <w:lang w:val="es-US"/>
        </w:rPr>
        <w:t xml:space="preserve">; </w:t>
      </w:r>
      <w:r w:rsidR="00B57248" w:rsidRPr="00930562">
        <w:rPr>
          <w:rFonts w:asciiTheme="majorHAnsi" w:hAnsiTheme="majorHAnsi"/>
          <w:lang w:val="es-US"/>
        </w:rPr>
        <w:t xml:space="preserve">y la Convención Interamericana para Prevenir, Sancionar y Erradicar la Violencia contra la Mujer </w:t>
      </w:r>
      <w:r w:rsidR="0013380B" w:rsidRPr="00930562">
        <w:rPr>
          <w:rFonts w:asciiTheme="majorHAnsi" w:hAnsiTheme="majorHAnsi"/>
          <w:lang w:val="es-US"/>
        </w:rPr>
        <w:t>(“Conven</w:t>
      </w:r>
      <w:r w:rsidR="00B57248" w:rsidRPr="00930562">
        <w:rPr>
          <w:rFonts w:asciiTheme="majorHAnsi" w:hAnsiTheme="majorHAnsi"/>
          <w:lang w:val="es-US"/>
        </w:rPr>
        <w:t xml:space="preserve">ción </w:t>
      </w:r>
      <w:r w:rsidR="0013380B" w:rsidRPr="00930562">
        <w:rPr>
          <w:rFonts w:asciiTheme="majorHAnsi" w:hAnsiTheme="majorHAnsi"/>
          <w:lang w:val="es-US"/>
        </w:rPr>
        <w:t xml:space="preserve"> Belém do Pará”); </w:t>
      </w:r>
      <w:r w:rsidR="00B57248" w:rsidRPr="00930562">
        <w:rPr>
          <w:rFonts w:asciiTheme="majorHAnsi" w:hAnsiTheme="majorHAnsi"/>
          <w:lang w:val="es-US"/>
        </w:rPr>
        <w:t xml:space="preserve">entre otras. </w:t>
      </w:r>
    </w:p>
    <w:p w14:paraId="3E531033" w14:textId="2BA810BD" w:rsidR="0013380B" w:rsidRPr="00930562" w:rsidRDefault="00E42F3A"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lastRenderedPageBreak/>
        <w:t>De manera consistente la Comisión ha interpretado que la Declaración Americana exige que los Estados adopten medidas para dar efecto legal a los derechos contenidos en la Declaración Americana</w:t>
      </w:r>
      <w:r w:rsidRPr="00930562">
        <w:rPr>
          <w:rFonts w:asciiTheme="majorHAnsi" w:eastAsia="Times New Roman" w:hAnsiTheme="majorHAnsi" w:cs="Courier New"/>
          <w:lang w:val="es-US" w:eastAsia="es-MX"/>
        </w:rPr>
        <w:t>.</w:t>
      </w:r>
      <w:r w:rsidRPr="00930562">
        <w:rPr>
          <w:rFonts w:asciiTheme="majorHAnsi" w:hAnsiTheme="majorHAnsi"/>
          <w:vertAlign w:val="superscript"/>
          <w:lang w:val="es-US"/>
        </w:rPr>
        <w:t xml:space="preserve"> </w:t>
      </w:r>
      <w:r w:rsidRPr="00930562">
        <w:rPr>
          <w:rFonts w:asciiTheme="majorHAnsi" w:hAnsiTheme="majorHAnsi"/>
          <w:vertAlign w:val="superscript"/>
          <w:lang w:val="es-US"/>
        </w:rPr>
        <w:footnoteReference w:id="23"/>
      </w:r>
      <w:r w:rsidRPr="00930562">
        <w:rPr>
          <w:rFonts w:asciiTheme="majorHAnsi" w:eastAsia="Times New Roman" w:hAnsiTheme="majorHAnsi" w:cs="Courier New"/>
          <w:lang w:val="es-US" w:eastAsia="es-MX"/>
        </w:rPr>
        <w:t xml:space="preserve"> </w:t>
      </w:r>
      <w:r w:rsidRPr="00930562">
        <w:rPr>
          <w:rFonts w:asciiTheme="majorHAnsi" w:hAnsiTheme="majorHAnsi"/>
          <w:lang w:val="es-US"/>
        </w:rPr>
        <w:t>No sólo la Comisión ha exigido a los Estados que se abstengan de cometer violaciones a los derechos humanos contrarias a las disposiciones de la Declaración Americana</w:t>
      </w:r>
      <w:r w:rsidRPr="00930562">
        <w:rPr>
          <w:rFonts w:asciiTheme="majorHAnsi" w:hAnsiTheme="majorHAnsi"/>
          <w:vertAlign w:val="superscript"/>
          <w:lang w:val="es-US"/>
        </w:rPr>
        <w:footnoteReference w:id="24"/>
      </w:r>
      <w:r w:rsidRPr="00930562">
        <w:rPr>
          <w:rFonts w:asciiTheme="majorHAnsi" w:hAnsiTheme="majorHAnsi"/>
          <w:lang w:val="es-US"/>
        </w:rPr>
        <w:t>, sino también que  adopten medidas afirmativas para garantizar que los individuos sujetos a su jurisdicción pued</w:t>
      </w:r>
      <w:r w:rsidR="008E14C5" w:rsidRPr="00930562">
        <w:rPr>
          <w:rFonts w:asciiTheme="majorHAnsi" w:hAnsiTheme="majorHAnsi"/>
          <w:lang w:val="es-US"/>
        </w:rPr>
        <w:t>a</w:t>
      </w:r>
      <w:r w:rsidRPr="00930562">
        <w:rPr>
          <w:rFonts w:asciiTheme="majorHAnsi" w:hAnsiTheme="majorHAnsi"/>
          <w:lang w:val="es-US"/>
        </w:rPr>
        <w:t>n ejercer y disfrutar los derechos contenidos en la Declaración Americana.</w:t>
      </w:r>
      <w:r w:rsidRPr="00930562">
        <w:rPr>
          <w:rFonts w:asciiTheme="majorHAnsi" w:hAnsiTheme="majorHAnsi"/>
          <w:vertAlign w:val="superscript"/>
          <w:lang w:val="es-US"/>
        </w:rPr>
        <w:footnoteReference w:id="25"/>
      </w:r>
      <w:r w:rsidRPr="00930562">
        <w:rPr>
          <w:rFonts w:asciiTheme="majorHAnsi" w:hAnsiTheme="majorHAnsi"/>
          <w:lang w:val="es-US"/>
        </w:rPr>
        <w:t xml:space="preserve"> </w:t>
      </w:r>
      <w:r w:rsidR="00DE38BF" w:rsidRPr="00930562">
        <w:rPr>
          <w:rFonts w:asciiTheme="majorHAnsi" w:hAnsiTheme="majorHAnsi"/>
          <w:lang w:val="es-US"/>
        </w:rPr>
        <w:t xml:space="preserve"> Bajo</w:t>
      </w:r>
      <w:r w:rsidR="008E14C5" w:rsidRPr="00930562">
        <w:rPr>
          <w:rFonts w:asciiTheme="majorHAnsi" w:hAnsiTheme="majorHAnsi"/>
          <w:lang w:val="es-US"/>
        </w:rPr>
        <w:t xml:space="preserve"> el derecho internacional,</w:t>
      </w:r>
      <w:r w:rsidRPr="00930562">
        <w:rPr>
          <w:rFonts w:asciiTheme="majorHAnsi" w:hAnsiTheme="majorHAnsi"/>
          <w:lang w:val="es-US"/>
        </w:rPr>
        <w:t xml:space="preserve"> Estados Unidos está obligado a armonizar, interpretar y aplicar su Constitución, su legislación </w:t>
      </w:r>
      <w:r w:rsidR="00DE38BF" w:rsidRPr="00930562">
        <w:rPr>
          <w:rFonts w:asciiTheme="majorHAnsi" w:hAnsiTheme="majorHAnsi"/>
          <w:lang w:val="es-US"/>
        </w:rPr>
        <w:t>doméstica,</w:t>
      </w:r>
      <w:r w:rsidRPr="00930562">
        <w:rPr>
          <w:rFonts w:asciiTheme="majorHAnsi" w:hAnsiTheme="majorHAnsi"/>
          <w:lang w:val="es-US"/>
        </w:rPr>
        <w:t xml:space="preserve"> y sus políticas </w:t>
      </w:r>
      <w:r w:rsidR="008E14C5" w:rsidRPr="00930562">
        <w:rPr>
          <w:rFonts w:asciiTheme="majorHAnsi" w:hAnsiTheme="majorHAnsi"/>
          <w:lang w:val="es-US"/>
        </w:rPr>
        <w:t>de</w:t>
      </w:r>
      <w:r w:rsidRPr="00930562">
        <w:rPr>
          <w:rFonts w:asciiTheme="majorHAnsi" w:hAnsiTheme="majorHAnsi"/>
          <w:lang w:val="es-US"/>
        </w:rPr>
        <w:t xml:space="preserve"> conformidad con sus obligaciones internacionales</w:t>
      </w:r>
      <w:r w:rsidR="008E14C5" w:rsidRPr="00930562">
        <w:rPr>
          <w:rFonts w:asciiTheme="majorHAnsi" w:hAnsiTheme="majorHAnsi"/>
          <w:lang w:val="es-US"/>
        </w:rPr>
        <w:t>, a nivel federal, estatal y local</w:t>
      </w:r>
      <w:r w:rsidRPr="00930562">
        <w:rPr>
          <w:rFonts w:asciiTheme="majorHAnsi" w:hAnsiTheme="majorHAnsi"/>
          <w:lang w:val="es-US"/>
        </w:rPr>
        <w:t xml:space="preserve">. </w:t>
      </w:r>
    </w:p>
    <w:p w14:paraId="2D0C0C0C" w14:textId="348CEE61" w:rsidR="008E14C5" w:rsidRPr="00930562" w:rsidRDefault="008E14C5"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La Comisión recuerda</w:t>
      </w:r>
      <w:r w:rsidR="00DE38BF" w:rsidRPr="00930562">
        <w:rPr>
          <w:rFonts w:asciiTheme="majorHAnsi" w:hAnsiTheme="majorHAnsi"/>
          <w:lang w:val="es-US"/>
        </w:rPr>
        <w:t xml:space="preserve"> que de conformidad con las obligaciones internacionalmente asumidas </w:t>
      </w:r>
      <w:r w:rsidRPr="00930562">
        <w:rPr>
          <w:rFonts w:asciiTheme="majorHAnsi" w:hAnsiTheme="majorHAnsi"/>
          <w:lang w:val="es-US"/>
        </w:rPr>
        <w:t xml:space="preserve"> </w:t>
      </w:r>
      <w:r w:rsidR="00DE38BF" w:rsidRPr="00930562">
        <w:rPr>
          <w:rFonts w:asciiTheme="majorHAnsi" w:hAnsiTheme="majorHAnsi"/>
          <w:lang w:val="es-US"/>
        </w:rPr>
        <w:t xml:space="preserve">por el gobierno federal, el Estado tiene un deber correlativo de adoptar medidas para garantizar que las entidades estatales también cumplan con estos deberes. </w:t>
      </w:r>
      <w:r w:rsidRPr="00930562">
        <w:rPr>
          <w:rFonts w:asciiTheme="majorHAnsi" w:hAnsiTheme="majorHAnsi"/>
          <w:lang w:val="es-US"/>
        </w:rPr>
        <w:t xml:space="preserve">En este sentido, el gobierno federal es responsable de asegurar que las entidades federativas observen los estándares </w:t>
      </w:r>
      <w:r w:rsidR="00DE38BF" w:rsidRPr="00930562">
        <w:rPr>
          <w:rFonts w:asciiTheme="majorHAnsi" w:hAnsiTheme="majorHAnsi"/>
          <w:lang w:val="es-US"/>
        </w:rPr>
        <w:t>internacionales</w:t>
      </w:r>
      <w:r w:rsidR="00594C65" w:rsidRPr="00930562">
        <w:rPr>
          <w:rFonts w:asciiTheme="majorHAnsi" w:hAnsiTheme="majorHAnsi"/>
          <w:lang w:val="es-US"/>
        </w:rPr>
        <w:t xml:space="preserve"> referidos a lo largo de este informe</w:t>
      </w:r>
      <w:r w:rsidRPr="00930562">
        <w:rPr>
          <w:rFonts w:asciiTheme="majorHAnsi" w:hAnsiTheme="majorHAnsi"/>
          <w:lang w:val="es-US"/>
        </w:rPr>
        <w:t xml:space="preserve">. </w:t>
      </w:r>
    </w:p>
    <w:p w14:paraId="4236FAB5" w14:textId="631368F0" w:rsidR="0013380B" w:rsidRPr="00930562" w:rsidRDefault="00614E17"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lang w:val="es-US"/>
        </w:rPr>
        <w:t xml:space="preserve">La Declaración Americana reconoce una serie de derechos humanos fundamentales relevantes </w:t>
      </w:r>
      <w:r w:rsidR="008E14C5" w:rsidRPr="00930562">
        <w:rPr>
          <w:rFonts w:asciiTheme="majorHAnsi" w:hAnsiTheme="majorHAnsi"/>
          <w:lang w:val="es-US"/>
        </w:rPr>
        <w:t>en</w:t>
      </w:r>
      <w:r w:rsidRPr="00930562">
        <w:rPr>
          <w:rFonts w:asciiTheme="majorHAnsi" w:hAnsiTheme="majorHAnsi"/>
          <w:lang w:val="es-US"/>
        </w:rPr>
        <w:t xml:space="preserve"> los contextos de no discriminación, </w:t>
      </w:r>
      <w:r w:rsidR="00DF79D5" w:rsidRPr="00930562">
        <w:rPr>
          <w:rFonts w:asciiTheme="majorHAnsi" w:hAnsiTheme="majorHAnsi"/>
          <w:lang w:val="es-US"/>
        </w:rPr>
        <w:t xml:space="preserve">el </w:t>
      </w:r>
      <w:r w:rsidRPr="00930562">
        <w:rPr>
          <w:rFonts w:asciiTheme="majorHAnsi" w:hAnsiTheme="majorHAnsi"/>
          <w:lang w:val="es-US"/>
        </w:rPr>
        <w:t>uso de la fuerza y ​</w:t>
      </w:r>
      <w:r w:rsidR="00DF79D5" w:rsidRPr="00930562">
        <w:rPr>
          <w:rFonts w:asciiTheme="majorHAnsi" w:hAnsiTheme="majorHAnsi"/>
          <w:lang w:val="es-US"/>
        </w:rPr>
        <w:t xml:space="preserve">las </w:t>
      </w:r>
      <w:r w:rsidRPr="00930562">
        <w:rPr>
          <w:rFonts w:asciiTheme="majorHAnsi" w:hAnsiTheme="majorHAnsi"/>
          <w:lang w:val="es-US"/>
        </w:rPr>
        <w:t xml:space="preserve">​garantías de acceso a la justicia. Las disposiciones pertinentes al derecho a la no discriminación incluyen el derecho a la igualdad ante la ley (artículo II) y el derecho a la protección especial para madres y niños/niñas (artículo VII). Con respecto al uso de la fuerza, la Declaración Americana consagra el derecho a la vida, la libertad y la seguridad personal (artículo I) y el derecho a la protección contra el arresto arbitrario (artículo XXV). Con respecto al derecho de acceso a la justicia, la Declaración incluye el derecho a un juicio justo (artículo XXIII), el derecho de petición (artículo XXIV) y el derecho al debido proceso (artículo XXVI). Otros derechos pertinentes a las cuestiones del uso excesivo de la fuerza contra los afroamericanos incluyen el derecho al </w:t>
      </w:r>
      <w:r w:rsidRPr="00930562">
        <w:rPr>
          <w:rFonts w:asciiTheme="majorHAnsi" w:hAnsiTheme="majorHAnsi"/>
          <w:lang w:val="es-US"/>
        </w:rPr>
        <w:lastRenderedPageBreak/>
        <w:t>reconocimiento de la personalidad jurídica y los derechos civiles (artículo XVII) y el derecho a la libertad de reunión (artículo XXI).</w:t>
      </w:r>
    </w:p>
    <w:p w14:paraId="523CBD22" w14:textId="3AC08E41" w:rsidR="0013380B" w:rsidRPr="00930562" w:rsidRDefault="00330970"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La Comisión ha dicho que la implementación de estas disposiciones de la Declaración Americana incluyen la obligación de actuar con la debida diligencia para prevenir, investigar y sancionar las violaciones de los derechos humanos</w:t>
      </w:r>
      <w:r w:rsidR="00CF6282" w:rsidRPr="00930562">
        <w:rPr>
          <w:rFonts w:asciiTheme="majorHAnsi" w:hAnsiTheme="majorHAnsi"/>
          <w:lang w:val="es-US"/>
        </w:rPr>
        <w:t>,</w:t>
      </w:r>
      <w:r w:rsidRPr="00930562">
        <w:rPr>
          <w:rFonts w:asciiTheme="majorHAnsi" w:hAnsiTheme="majorHAnsi"/>
          <w:lang w:val="es-US"/>
        </w:rPr>
        <w:t xml:space="preserve"> y </w:t>
      </w:r>
      <w:r w:rsidR="00AD5E76" w:rsidRPr="00930562">
        <w:rPr>
          <w:rFonts w:asciiTheme="majorHAnsi" w:hAnsiTheme="majorHAnsi"/>
          <w:lang w:val="es-US"/>
        </w:rPr>
        <w:t>el deber</w:t>
      </w:r>
      <w:r w:rsidRPr="00930562">
        <w:rPr>
          <w:rFonts w:asciiTheme="majorHAnsi" w:hAnsiTheme="majorHAnsi"/>
          <w:lang w:val="es-US"/>
        </w:rPr>
        <w:t xml:space="preserve"> de organizar toda la estructura administrativa y legal del Estado que permitan el pleno ejercicio de los derechos humanos</w:t>
      </w:r>
      <w:r w:rsidR="00AD5E76" w:rsidRPr="00930562">
        <w:rPr>
          <w:rFonts w:asciiTheme="majorHAnsi" w:hAnsiTheme="majorHAnsi"/>
          <w:lang w:val="es-US"/>
        </w:rPr>
        <w:t>.</w:t>
      </w:r>
      <w:r w:rsidRPr="00930562">
        <w:rPr>
          <w:rFonts w:asciiTheme="majorHAnsi" w:hAnsiTheme="majorHAnsi"/>
          <w:lang w:val="es-US"/>
        </w:rPr>
        <w:t xml:space="preserve"> Estas acciones pueden incluir reformas y reparaciones destinadas a cambiar la situación</w:t>
      </w:r>
      <w:r w:rsidR="00CF6282" w:rsidRPr="00930562">
        <w:rPr>
          <w:rFonts w:asciiTheme="majorHAnsi" w:hAnsiTheme="majorHAnsi"/>
          <w:lang w:val="es-US"/>
        </w:rPr>
        <w:t xml:space="preserve"> actual</w:t>
      </w:r>
      <w:r w:rsidRPr="00930562">
        <w:rPr>
          <w:rFonts w:asciiTheme="majorHAnsi" w:hAnsiTheme="majorHAnsi"/>
          <w:lang w:val="es-US"/>
        </w:rPr>
        <w:t>, así como la adopción de medidas especiales y acciones afirmativas dirigidas a promover de manera efectiva los derechos</w:t>
      </w:r>
      <w:r w:rsidR="00310F06" w:rsidRPr="00930562">
        <w:rPr>
          <w:rFonts w:asciiTheme="majorHAnsi" w:hAnsiTheme="majorHAnsi"/>
          <w:lang w:val="es-US"/>
        </w:rPr>
        <w:t xml:space="preserve">. </w:t>
      </w:r>
      <w:r w:rsidR="00310F06" w:rsidRPr="00930562">
        <w:rPr>
          <w:rFonts w:asciiTheme="majorHAnsi" w:hAnsiTheme="majorHAnsi"/>
          <w:vertAlign w:val="superscript"/>
          <w:lang w:val="es-US"/>
        </w:rPr>
        <w:footnoteReference w:id="26"/>
      </w:r>
      <w:r w:rsidR="00310F06" w:rsidRPr="00930562">
        <w:rPr>
          <w:rFonts w:asciiTheme="majorHAnsi" w:hAnsiTheme="majorHAnsi"/>
          <w:lang w:val="es-US"/>
        </w:rPr>
        <w:t xml:space="preserve"> </w:t>
      </w:r>
    </w:p>
    <w:p w14:paraId="0D95AABE" w14:textId="77777777" w:rsidR="001018E6" w:rsidRPr="00930562" w:rsidRDefault="00B95BAC" w:rsidP="00724857">
      <w:pPr>
        <w:pStyle w:val="ListParagraph"/>
        <w:numPr>
          <w:ilvl w:val="0"/>
          <w:numId w:val="2"/>
        </w:numPr>
        <w:spacing w:after="240" w:line="240" w:lineRule="auto"/>
        <w:ind w:left="547" w:hanging="547"/>
        <w:contextualSpacing w:val="0"/>
        <w:jc w:val="both"/>
        <w:rPr>
          <w:rFonts w:asciiTheme="majorHAnsi" w:hAnsiTheme="majorHAnsi"/>
          <w:lang w:val="es-US"/>
        </w:rPr>
      </w:pPr>
      <w:bookmarkStart w:id="32" w:name="_Toc511837805"/>
      <w:r w:rsidRPr="00930562">
        <w:rPr>
          <w:rFonts w:asciiTheme="majorHAnsi" w:hAnsiTheme="majorHAnsi"/>
          <w:lang w:val="es-US"/>
        </w:rPr>
        <w:t>Tradicionalmente, la Comisión ha interpretado el alcance de las obligaciones establecidas por la Declaración Americana en el contexto de la jurisprudencia más amplia de los sistemas de derechos humanos universales e interamericanos, a la luz de la evolución en el ámbito del derecho internacional de los derechos humanos desde que la Declaración fue adoptada por primera vez</w:t>
      </w:r>
      <w:r w:rsidR="00CF6282" w:rsidRPr="00930562">
        <w:rPr>
          <w:rFonts w:asciiTheme="majorHAnsi" w:hAnsiTheme="majorHAnsi"/>
          <w:lang w:val="es-US"/>
        </w:rPr>
        <w:t>,</w:t>
      </w:r>
      <w:r w:rsidRPr="00930562">
        <w:rPr>
          <w:rFonts w:asciiTheme="majorHAnsi" w:hAnsiTheme="majorHAnsi"/>
          <w:lang w:val="es-US"/>
        </w:rPr>
        <w:t xml:space="preserve"> y respetando las otras normas de derecho internacional aplicables a los Estados miembros. </w:t>
      </w:r>
      <w:r w:rsidRPr="00930562">
        <w:rPr>
          <w:rFonts w:asciiTheme="majorHAnsi" w:hAnsiTheme="majorHAnsi"/>
          <w:vertAlign w:val="superscript"/>
          <w:lang w:val="es-US"/>
        </w:rPr>
        <w:footnoteReference w:id="27"/>
      </w:r>
      <w:r w:rsidR="00CF6282" w:rsidRPr="00930562">
        <w:rPr>
          <w:rFonts w:asciiTheme="majorHAnsi" w:hAnsiTheme="majorHAnsi"/>
          <w:lang w:val="es-US"/>
        </w:rPr>
        <w:t xml:space="preserve"> En sus análisis jurídicos, la CIDH toma en</w:t>
      </w:r>
      <w:r w:rsidR="00CF6282" w:rsidRPr="00930562">
        <w:rPr>
          <w:rFonts w:asciiTheme="majorHAnsi" w:eastAsia="Times New Roman" w:hAnsiTheme="majorHAnsi" w:cs="Courier New"/>
          <w:lang w:val="es-US" w:eastAsia="es-MX"/>
        </w:rPr>
        <w:t xml:space="preserve"> consideración las obligaciones de los Estados Unidos como Estado Parte de algunos tratados de derechos humanos de Naciones Unidas, incluido el Pacto Internacional de Derechos Civiles y Políticos (PIDCYP), </w:t>
      </w:r>
      <w:r w:rsidR="00CF6282" w:rsidRPr="00930562">
        <w:rPr>
          <w:rFonts w:asciiTheme="majorHAnsi" w:hAnsiTheme="majorHAnsi"/>
          <w:lang w:val="es-US"/>
        </w:rPr>
        <w:t>la Convención Internacional sobre la Eliminación de todas las formas de Discriminación Racial (CERD), y la Convención contra la Tortura y Otros Tratos o Penas Crueles, Inhumanos o Degradantes (CAT).</w:t>
      </w:r>
    </w:p>
    <w:p w14:paraId="749E73B6" w14:textId="38E7C7D7" w:rsidR="000E499C" w:rsidRPr="00930562" w:rsidRDefault="000E499C" w:rsidP="000E499C">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La CIDH discutió y aprobó el borrador de este informe el 24 de julio de 2018.  Según lo dispuesto en el artíc</w:t>
      </w:r>
      <w:r w:rsidR="008403E8">
        <w:rPr>
          <w:rFonts w:asciiTheme="majorHAnsi" w:hAnsiTheme="majorHAnsi"/>
          <w:lang w:val="es-US"/>
        </w:rPr>
        <w:t>ulo 60</w:t>
      </w:r>
      <w:r w:rsidRPr="00930562">
        <w:rPr>
          <w:rFonts w:asciiTheme="majorHAnsi" w:hAnsiTheme="majorHAnsi"/>
          <w:lang w:val="es-US"/>
        </w:rPr>
        <w:t xml:space="preserve">(a) de su Reglamento, la Comisión remitió dicho informe preliminar al Gobierno de Estados Unidos el 30 de julio de 2018, y solicitó que presentara sus observaciones en un plazo de 30 días. El 30 de agosto de 2018 se agotó el plazo concedido al Estado sin ninguna manifestación de su parte. La Comisión aprobó la versión final de este informe el </w:t>
      </w:r>
      <w:r w:rsidR="00930562">
        <w:rPr>
          <w:rFonts w:asciiTheme="majorHAnsi" w:hAnsiTheme="majorHAnsi"/>
          <w:lang w:val="es-US"/>
        </w:rPr>
        <w:t>26</w:t>
      </w:r>
      <w:r w:rsidRPr="00930562">
        <w:rPr>
          <w:rFonts w:asciiTheme="majorHAnsi" w:hAnsiTheme="majorHAnsi"/>
          <w:lang w:val="es-US"/>
        </w:rPr>
        <w:t xml:space="preserve"> de </w:t>
      </w:r>
      <w:r w:rsidR="00930562">
        <w:rPr>
          <w:rFonts w:asciiTheme="majorHAnsi" w:hAnsiTheme="majorHAnsi"/>
          <w:lang w:val="es-US"/>
        </w:rPr>
        <w:t>noviembre</w:t>
      </w:r>
      <w:r w:rsidRPr="00930562">
        <w:rPr>
          <w:rFonts w:asciiTheme="majorHAnsi" w:hAnsiTheme="majorHAnsi"/>
          <w:lang w:val="es-US"/>
        </w:rPr>
        <w:t xml:space="preserve"> de 2018.</w:t>
      </w:r>
    </w:p>
    <w:p w14:paraId="7F8B6103" w14:textId="77777777" w:rsidR="000E499C" w:rsidRPr="00930562" w:rsidRDefault="000E499C" w:rsidP="000E499C">
      <w:pPr>
        <w:spacing w:after="240" w:line="240" w:lineRule="auto"/>
        <w:jc w:val="both"/>
        <w:rPr>
          <w:rFonts w:asciiTheme="majorHAnsi" w:hAnsiTheme="majorHAnsi"/>
          <w:lang w:val="es-US"/>
        </w:rPr>
      </w:pPr>
    </w:p>
    <w:p w14:paraId="40E3D5AC" w14:textId="77777777" w:rsidR="000E499C" w:rsidRPr="00930562" w:rsidRDefault="000E499C" w:rsidP="000E499C">
      <w:pPr>
        <w:spacing w:after="240" w:line="240" w:lineRule="auto"/>
        <w:jc w:val="both"/>
        <w:rPr>
          <w:rFonts w:asciiTheme="majorHAnsi" w:hAnsiTheme="majorHAnsi"/>
          <w:lang w:val="es-US"/>
        </w:rPr>
        <w:sectPr w:rsidR="000E499C" w:rsidRPr="00930562" w:rsidSect="004D711A">
          <w:headerReference w:type="default" r:id="rId28"/>
          <w:footerReference w:type="default" r:id="rId29"/>
          <w:type w:val="oddPage"/>
          <w:pgSz w:w="10080" w:h="14400" w:code="13"/>
          <w:pgMar w:top="1152" w:right="1152" w:bottom="1152" w:left="1296" w:header="720" w:footer="720" w:gutter="0"/>
          <w:cols w:space="708"/>
          <w:vAlign w:val="center"/>
          <w:docGrid w:linePitch="360"/>
        </w:sectPr>
      </w:pPr>
    </w:p>
    <w:p w14:paraId="087289CD" w14:textId="65A1A060" w:rsidR="00961CA2" w:rsidRDefault="00961CA2" w:rsidP="00961CA2">
      <w:pPr>
        <w:pStyle w:val="CAP1"/>
      </w:pPr>
      <w:bookmarkStart w:id="33" w:name="_Toc531514455"/>
      <w:bookmarkStart w:id="34" w:name="_Toc517779226"/>
      <w:bookmarkStart w:id="35" w:name="_Toc511902978"/>
      <w:r>
        <w:lastRenderedPageBreak/>
        <w:t>CAPÍTULO 2</w:t>
      </w:r>
      <w:bookmarkEnd w:id="33"/>
    </w:p>
    <w:p w14:paraId="0632CAFB" w14:textId="2CC53195" w:rsidR="00961CA2" w:rsidRDefault="00961CA2" w:rsidP="00961CA2">
      <w:pPr>
        <w:pStyle w:val="CAP2"/>
        <w:sectPr w:rsidR="00961CA2" w:rsidSect="00961CA2">
          <w:headerReference w:type="default" r:id="rId30"/>
          <w:footerReference w:type="default" r:id="rId31"/>
          <w:type w:val="oddPage"/>
          <w:pgSz w:w="10080" w:h="14400" w:code="13"/>
          <w:pgMar w:top="1152" w:right="1152" w:bottom="1152" w:left="1296" w:header="720" w:footer="720" w:gutter="0"/>
          <w:cols w:space="708"/>
          <w:vAlign w:val="center"/>
          <w:docGrid w:linePitch="360"/>
        </w:sectPr>
      </w:pPr>
      <w:bookmarkStart w:id="36" w:name="_Toc531514456"/>
      <w:r w:rsidRPr="00961CA2">
        <w:t>DISCRIMINACIÓN ESTRUCTURAL Y USO EXCESIVO DE LA FUERZA EN ESTADOS UNIDOS</w:t>
      </w:r>
      <w:bookmarkEnd w:id="36"/>
      <w:r w:rsidRPr="00961CA2">
        <w:t xml:space="preserve"> </w:t>
      </w:r>
    </w:p>
    <w:p w14:paraId="622B7E6F" w14:textId="494BBC10" w:rsidR="007D05FD" w:rsidRPr="00930562" w:rsidRDefault="009B7796" w:rsidP="00724FB5">
      <w:pPr>
        <w:pStyle w:val="Heading1"/>
        <w:rPr>
          <w:rFonts w:cs="Courier New"/>
          <w:color w:val="212121"/>
          <w:lang w:val="es-US" w:eastAsia="es-MX"/>
        </w:rPr>
      </w:pPr>
      <w:bookmarkStart w:id="37" w:name="_Toc531514457"/>
      <w:r w:rsidRPr="00930562">
        <w:rPr>
          <w:lang w:val="es-US"/>
        </w:rPr>
        <w:lastRenderedPageBreak/>
        <w:t>DISCRIMINACI</w:t>
      </w:r>
      <w:r w:rsidR="00395EF4" w:rsidRPr="00930562">
        <w:rPr>
          <w:lang w:val="es-US"/>
        </w:rPr>
        <w:t>Ó</w:t>
      </w:r>
      <w:r w:rsidRPr="00930562">
        <w:rPr>
          <w:lang w:val="es-US"/>
        </w:rPr>
        <w:t>N ESTRUCTURAL Y USO EXCESIVO DE LA FUERZA EN ESTADOS UNIDOS</w:t>
      </w:r>
      <w:bookmarkEnd w:id="34"/>
      <w:bookmarkEnd w:id="37"/>
      <w:r w:rsidRPr="00930562">
        <w:rPr>
          <w:lang w:val="es-US"/>
        </w:rPr>
        <w:t xml:space="preserve"> </w:t>
      </w:r>
      <w:bookmarkEnd w:id="32"/>
      <w:bookmarkEnd w:id="35"/>
    </w:p>
    <w:p w14:paraId="399E4F93" w14:textId="769B0A87" w:rsidR="009254DC" w:rsidRPr="00930562" w:rsidRDefault="009254DC"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En esta sección, la Comisión analiza la situación histórica y contemporánea de discriminación contra los afrodescendientes en</w:t>
      </w:r>
      <w:r w:rsidR="00EA5C78" w:rsidRPr="00930562">
        <w:rPr>
          <w:rFonts w:asciiTheme="majorHAnsi" w:hAnsiTheme="majorHAnsi"/>
          <w:lang w:val="es-US"/>
        </w:rPr>
        <w:t xml:space="preserve"> los</w:t>
      </w:r>
      <w:r w:rsidRPr="00930562">
        <w:rPr>
          <w:rFonts w:asciiTheme="majorHAnsi" w:hAnsiTheme="majorHAnsi"/>
          <w:lang w:val="es-US"/>
        </w:rPr>
        <w:t xml:space="preserve"> Estados Unidos, resaltando la naturaleza estructura</w:t>
      </w:r>
      <w:r w:rsidR="00A24B3C" w:rsidRPr="00930562">
        <w:rPr>
          <w:rFonts w:asciiTheme="majorHAnsi" w:hAnsiTheme="majorHAnsi"/>
          <w:lang w:val="es-US"/>
        </w:rPr>
        <w:t>l</w:t>
      </w:r>
      <w:r w:rsidRPr="00930562">
        <w:rPr>
          <w:rFonts w:asciiTheme="majorHAnsi" w:hAnsiTheme="majorHAnsi"/>
          <w:lang w:val="es-US"/>
        </w:rPr>
        <w:t xml:space="preserve"> </w:t>
      </w:r>
      <w:r w:rsidR="00395EF4" w:rsidRPr="00930562">
        <w:rPr>
          <w:rFonts w:asciiTheme="majorHAnsi" w:hAnsiTheme="majorHAnsi"/>
          <w:lang w:val="es-US"/>
        </w:rPr>
        <w:t>y persistente</w:t>
      </w:r>
      <w:r w:rsidRPr="00930562">
        <w:rPr>
          <w:rFonts w:asciiTheme="majorHAnsi" w:hAnsiTheme="majorHAnsi"/>
          <w:lang w:val="es-US"/>
        </w:rPr>
        <w:t xml:space="preserve"> de la discriminación contra este grupo</w:t>
      </w:r>
      <w:r w:rsidR="00A24B3C" w:rsidRPr="00930562">
        <w:rPr>
          <w:rFonts w:asciiTheme="majorHAnsi" w:hAnsiTheme="majorHAnsi"/>
          <w:lang w:val="es-US"/>
        </w:rPr>
        <w:t>,</w:t>
      </w:r>
      <w:r w:rsidRPr="00930562">
        <w:rPr>
          <w:rFonts w:asciiTheme="majorHAnsi" w:hAnsiTheme="majorHAnsi"/>
          <w:lang w:val="es-US"/>
        </w:rPr>
        <w:t xml:space="preserve"> así como los vínculos entre las formas históricas de discriminación y las situaciones</w:t>
      </w:r>
      <w:r w:rsidR="00A24B3C" w:rsidRPr="00930562">
        <w:rPr>
          <w:rFonts w:asciiTheme="majorHAnsi" w:hAnsiTheme="majorHAnsi"/>
          <w:lang w:val="es-US"/>
        </w:rPr>
        <w:t xml:space="preserve"> actuales</w:t>
      </w:r>
      <w:r w:rsidRPr="00930562">
        <w:rPr>
          <w:rFonts w:asciiTheme="majorHAnsi" w:hAnsiTheme="majorHAnsi"/>
          <w:lang w:val="es-US"/>
        </w:rPr>
        <w:t xml:space="preserve"> y prácticas discriminatorias en las áreas de vigilancia policial y justicia penal. La Comisión considera que es necesario reconocer el legado de la esclavitud, la segregación y la discriminación en los Estados Unidos para transformar de manera efectiva la situación a futuro.</w:t>
      </w:r>
      <w:r w:rsidRPr="00930562">
        <w:rPr>
          <w:rFonts w:asciiTheme="majorHAnsi" w:hAnsiTheme="majorHAnsi"/>
          <w:vertAlign w:val="superscript"/>
          <w:lang w:val="es-US"/>
        </w:rPr>
        <w:footnoteReference w:id="28"/>
      </w:r>
      <w:r w:rsidRPr="00930562">
        <w:rPr>
          <w:rFonts w:asciiTheme="majorHAnsi" w:hAnsiTheme="majorHAnsi"/>
          <w:lang w:val="es-US"/>
        </w:rPr>
        <w:t xml:space="preserve"> Si bien se hace especial hincapié en la discriminación en el accionar policial, la Comisión observa que este problema es indivisible de la situación estructural más amplia de discriminación contra los afroamericanos en los Estados Unidos.</w:t>
      </w:r>
    </w:p>
    <w:p w14:paraId="34818C48" w14:textId="1B4BB17F" w:rsidR="0013380B" w:rsidRPr="00930562" w:rsidRDefault="0084385C"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 xml:space="preserve">Obviamente la </w:t>
      </w:r>
      <w:r w:rsidR="0013380B" w:rsidRPr="00930562">
        <w:rPr>
          <w:rFonts w:asciiTheme="majorHAnsi" w:hAnsiTheme="majorHAnsi"/>
          <w:lang w:val="es-US"/>
        </w:rPr>
        <w:t>discrimina</w:t>
      </w:r>
      <w:r w:rsidRPr="00930562">
        <w:rPr>
          <w:rFonts w:asciiTheme="majorHAnsi" w:hAnsiTheme="majorHAnsi"/>
          <w:lang w:val="es-US"/>
        </w:rPr>
        <w:t>ción en el accionar policial está estrechamente relacionada con la discriminación en el sistema de justicia penal en su conjunto (in</w:t>
      </w:r>
      <w:r w:rsidR="00DC306B" w:rsidRPr="00930562">
        <w:rPr>
          <w:rFonts w:asciiTheme="majorHAnsi" w:hAnsiTheme="majorHAnsi"/>
          <w:lang w:val="es-US"/>
        </w:rPr>
        <w:t>cluyendo las desigualdades en la</w:t>
      </w:r>
      <w:r w:rsidRPr="00930562">
        <w:rPr>
          <w:rFonts w:asciiTheme="majorHAnsi" w:hAnsiTheme="majorHAnsi"/>
          <w:lang w:val="es-US"/>
        </w:rPr>
        <w:t xml:space="preserve">s </w:t>
      </w:r>
      <w:r w:rsidR="00DC306B" w:rsidRPr="00930562">
        <w:rPr>
          <w:rFonts w:asciiTheme="majorHAnsi" w:hAnsiTheme="majorHAnsi"/>
          <w:lang w:val="es-US"/>
        </w:rPr>
        <w:t>detenciones</w:t>
      </w:r>
      <w:r w:rsidRPr="00930562">
        <w:rPr>
          <w:rFonts w:asciiTheme="majorHAnsi" w:hAnsiTheme="majorHAnsi"/>
          <w:lang w:val="es-US"/>
        </w:rPr>
        <w:t xml:space="preserve"> y las tasas de encarcelamiento)</w:t>
      </w:r>
      <w:r w:rsidR="00587A22" w:rsidRPr="00930562">
        <w:rPr>
          <w:rFonts w:asciiTheme="majorHAnsi" w:hAnsiTheme="majorHAnsi"/>
          <w:lang w:val="es-US"/>
        </w:rPr>
        <w:t>,</w:t>
      </w:r>
      <w:r w:rsidRPr="00930562">
        <w:rPr>
          <w:rFonts w:asciiTheme="majorHAnsi" w:hAnsiTheme="majorHAnsi"/>
          <w:lang w:val="es-US"/>
        </w:rPr>
        <w:t xml:space="preserve"> así como otras diferencias en el acceso y el pleno goce</w:t>
      </w:r>
      <w:r w:rsidR="00395EF4" w:rsidRPr="00930562">
        <w:rPr>
          <w:rFonts w:asciiTheme="majorHAnsi" w:hAnsiTheme="majorHAnsi"/>
          <w:lang w:val="es-US"/>
        </w:rPr>
        <w:t xml:space="preserve"> de</w:t>
      </w:r>
      <w:r w:rsidRPr="00930562">
        <w:rPr>
          <w:rFonts w:asciiTheme="majorHAnsi" w:hAnsiTheme="majorHAnsi"/>
          <w:lang w:val="es-US"/>
        </w:rPr>
        <w:t xml:space="preserve"> otros derechos civiles y políticos (incluido el acceso a la justicia para víctimas de violencia policial y sus familias, y consecuencias a largo plazo de la encarcelación, incluido el goce del derecho al voto).   D</w:t>
      </w:r>
      <w:r w:rsidR="00C0659A" w:rsidRPr="00930562">
        <w:rPr>
          <w:rFonts w:asciiTheme="majorHAnsi" w:hAnsiTheme="majorHAnsi"/>
          <w:lang w:val="es-US"/>
        </w:rPr>
        <w:t xml:space="preserve">e hecho, las desigualdades en </w:t>
      </w:r>
      <w:r w:rsidR="00587A22" w:rsidRPr="00930562">
        <w:rPr>
          <w:rFonts w:asciiTheme="majorHAnsi" w:hAnsiTheme="majorHAnsi"/>
          <w:lang w:val="es-US"/>
        </w:rPr>
        <w:t>la naturaleza</w:t>
      </w:r>
      <w:r w:rsidR="00C0659A" w:rsidRPr="00930562">
        <w:rPr>
          <w:rFonts w:asciiTheme="majorHAnsi" w:hAnsiTheme="majorHAnsi"/>
          <w:lang w:val="es-US"/>
        </w:rPr>
        <w:t xml:space="preserve"> y la </w:t>
      </w:r>
      <w:r w:rsidRPr="00930562">
        <w:rPr>
          <w:rFonts w:asciiTheme="majorHAnsi" w:hAnsiTheme="majorHAnsi"/>
          <w:lang w:val="es-US"/>
        </w:rPr>
        <w:t xml:space="preserve">intensidad de la vigilancia policial </w:t>
      </w:r>
      <w:r w:rsidR="00C0659A" w:rsidRPr="00930562">
        <w:rPr>
          <w:rFonts w:asciiTheme="majorHAnsi" w:hAnsiTheme="majorHAnsi"/>
          <w:lang w:val="es-US"/>
        </w:rPr>
        <w:t>sobre</w:t>
      </w:r>
      <w:r w:rsidRPr="00930562">
        <w:rPr>
          <w:rFonts w:asciiTheme="majorHAnsi" w:hAnsiTheme="majorHAnsi"/>
          <w:lang w:val="es-US"/>
        </w:rPr>
        <w:t xml:space="preserve"> </w:t>
      </w:r>
      <w:r w:rsidR="00C0659A" w:rsidRPr="00930562">
        <w:rPr>
          <w:rFonts w:asciiTheme="majorHAnsi" w:hAnsiTheme="majorHAnsi"/>
          <w:lang w:val="es-US"/>
        </w:rPr>
        <w:t xml:space="preserve">las </w:t>
      </w:r>
      <w:r w:rsidRPr="00930562">
        <w:rPr>
          <w:rFonts w:asciiTheme="majorHAnsi" w:hAnsiTheme="majorHAnsi"/>
          <w:lang w:val="es-US"/>
        </w:rPr>
        <w:t xml:space="preserve">comunidades </w:t>
      </w:r>
      <w:r w:rsidR="00C0659A" w:rsidRPr="00930562">
        <w:rPr>
          <w:rFonts w:asciiTheme="majorHAnsi" w:hAnsiTheme="majorHAnsi"/>
          <w:lang w:val="es-US"/>
        </w:rPr>
        <w:t>afro descendientes</w:t>
      </w:r>
      <w:r w:rsidRPr="00930562">
        <w:rPr>
          <w:rFonts w:asciiTheme="majorHAnsi" w:hAnsiTheme="majorHAnsi"/>
          <w:lang w:val="es-US"/>
        </w:rPr>
        <w:t xml:space="preserve"> y otros grupos históricamente marginados (</w:t>
      </w:r>
      <w:r w:rsidR="00C0659A" w:rsidRPr="00930562">
        <w:rPr>
          <w:rFonts w:asciiTheme="majorHAnsi" w:hAnsiTheme="majorHAnsi"/>
          <w:lang w:val="es-US"/>
        </w:rPr>
        <w:t>prejuicios</w:t>
      </w:r>
      <w:r w:rsidRPr="00930562">
        <w:rPr>
          <w:rFonts w:asciiTheme="majorHAnsi" w:hAnsiTheme="majorHAnsi"/>
          <w:lang w:val="es-US"/>
        </w:rPr>
        <w:t xml:space="preserve"> raciales), incluidos los </w:t>
      </w:r>
      <w:r w:rsidR="00C0659A" w:rsidRPr="00930562">
        <w:rPr>
          <w:rFonts w:asciiTheme="majorHAnsi" w:hAnsiTheme="majorHAnsi"/>
          <w:lang w:val="es-US"/>
        </w:rPr>
        <w:t>indígenas</w:t>
      </w:r>
      <w:r w:rsidRPr="00930562">
        <w:rPr>
          <w:rFonts w:asciiTheme="majorHAnsi" w:hAnsiTheme="majorHAnsi"/>
          <w:lang w:val="es-US"/>
        </w:rPr>
        <w:t xml:space="preserve"> americanos </w:t>
      </w:r>
      <w:r w:rsidR="00C0659A" w:rsidRPr="00930562">
        <w:rPr>
          <w:rFonts w:asciiTheme="majorHAnsi" w:hAnsiTheme="majorHAnsi"/>
          <w:lang w:val="es-US"/>
        </w:rPr>
        <w:t xml:space="preserve">y los </w:t>
      </w:r>
      <w:r w:rsidRPr="00930562">
        <w:rPr>
          <w:rFonts w:asciiTheme="majorHAnsi" w:hAnsiTheme="majorHAnsi"/>
          <w:lang w:val="es-US"/>
        </w:rPr>
        <w:t>hispanos, entre otros, han</w:t>
      </w:r>
      <w:r w:rsidR="00C0659A" w:rsidRPr="00930562">
        <w:rPr>
          <w:rFonts w:asciiTheme="majorHAnsi" w:hAnsiTheme="majorHAnsi"/>
          <w:lang w:val="es-US"/>
        </w:rPr>
        <w:t xml:space="preserve"> influenciado profundamente </w:t>
      </w:r>
      <w:r w:rsidR="00EA5C78" w:rsidRPr="00930562">
        <w:rPr>
          <w:rFonts w:asciiTheme="majorHAnsi" w:hAnsiTheme="majorHAnsi"/>
          <w:lang w:val="es-US"/>
        </w:rPr>
        <w:t xml:space="preserve">en </w:t>
      </w:r>
      <w:r w:rsidR="00C0659A" w:rsidRPr="00930562">
        <w:rPr>
          <w:rFonts w:asciiTheme="majorHAnsi" w:hAnsiTheme="majorHAnsi"/>
          <w:lang w:val="es-US"/>
        </w:rPr>
        <w:t xml:space="preserve">los </w:t>
      </w:r>
      <w:r w:rsidRPr="00930562">
        <w:rPr>
          <w:rFonts w:asciiTheme="majorHAnsi" w:hAnsiTheme="majorHAnsi"/>
          <w:lang w:val="es-US"/>
        </w:rPr>
        <w:t>tipo</w:t>
      </w:r>
      <w:r w:rsidR="00C0659A" w:rsidRPr="00930562">
        <w:rPr>
          <w:rFonts w:asciiTheme="majorHAnsi" w:hAnsiTheme="majorHAnsi"/>
          <w:lang w:val="es-US"/>
        </w:rPr>
        <w:t>s</w:t>
      </w:r>
      <w:r w:rsidRPr="00930562">
        <w:rPr>
          <w:rFonts w:asciiTheme="majorHAnsi" w:hAnsiTheme="majorHAnsi"/>
          <w:lang w:val="es-US"/>
        </w:rPr>
        <w:t xml:space="preserve"> de comportamiento y </w:t>
      </w:r>
      <w:r w:rsidR="00C0659A" w:rsidRPr="00930562">
        <w:rPr>
          <w:rFonts w:asciiTheme="majorHAnsi" w:hAnsiTheme="majorHAnsi"/>
          <w:lang w:val="es-US"/>
        </w:rPr>
        <w:t xml:space="preserve">la clase de </w:t>
      </w:r>
      <w:r w:rsidRPr="00930562">
        <w:rPr>
          <w:rFonts w:asciiTheme="majorHAnsi" w:hAnsiTheme="majorHAnsi"/>
          <w:lang w:val="es-US"/>
        </w:rPr>
        <w:t xml:space="preserve">individuos </w:t>
      </w:r>
      <w:r w:rsidR="00C0659A" w:rsidRPr="00930562">
        <w:rPr>
          <w:rFonts w:asciiTheme="majorHAnsi" w:hAnsiTheme="majorHAnsi"/>
          <w:lang w:val="es-US"/>
        </w:rPr>
        <w:t>que son</w:t>
      </w:r>
      <w:r w:rsidRPr="00930562">
        <w:rPr>
          <w:rFonts w:asciiTheme="majorHAnsi" w:hAnsiTheme="majorHAnsi"/>
          <w:lang w:val="es-US"/>
        </w:rPr>
        <w:t xml:space="preserve"> considera</w:t>
      </w:r>
      <w:r w:rsidR="00C0659A" w:rsidRPr="00930562">
        <w:rPr>
          <w:rFonts w:asciiTheme="majorHAnsi" w:hAnsiTheme="majorHAnsi"/>
          <w:lang w:val="es-US"/>
        </w:rPr>
        <w:t>dos</w:t>
      </w:r>
      <w:r w:rsidRPr="00930562">
        <w:rPr>
          <w:rFonts w:asciiTheme="majorHAnsi" w:hAnsiTheme="majorHAnsi"/>
          <w:lang w:val="es-US"/>
        </w:rPr>
        <w:t xml:space="preserve"> criminales</w:t>
      </w:r>
      <w:r w:rsidR="00C0659A" w:rsidRPr="00930562">
        <w:rPr>
          <w:rFonts w:asciiTheme="majorHAnsi" w:hAnsiTheme="majorHAnsi"/>
          <w:lang w:val="es-US"/>
        </w:rPr>
        <w:t>, lo cual necesariamente impacta en las tasas de criminalización y el trato que reciben por parte del sistema de justicia criminal.</w:t>
      </w:r>
      <w:r w:rsidR="00C0659A" w:rsidRPr="00930562">
        <w:rPr>
          <w:rStyle w:val="FootnoteReference"/>
          <w:rFonts w:asciiTheme="majorHAnsi" w:hAnsiTheme="majorHAnsi"/>
          <w:lang w:val="es-US"/>
        </w:rPr>
        <w:t xml:space="preserve"> </w:t>
      </w:r>
      <w:r w:rsidR="00C0659A" w:rsidRPr="00930562">
        <w:rPr>
          <w:rStyle w:val="FootnoteReference"/>
          <w:rFonts w:asciiTheme="majorHAnsi" w:hAnsiTheme="majorHAnsi"/>
          <w:lang w:val="es-US"/>
        </w:rPr>
        <w:footnoteReference w:id="29"/>
      </w:r>
      <w:r w:rsidR="003509EE" w:rsidRPr="00930562">
        <w:rPr>
          <w:rFonts w:asciiTheme="majorHAnsi" w:hAnsiTheme="majorHAnsi"/>
          <w:lang w:val="es-US"/>
        </w:rPr>
        <w:t xml:space="preserve"> Ahora bien,</w:t>
      </w:r>
      <w:r w:rsidR="00C0659A" w:rsidRPr="00930562">
        <w:rPr>
          <w:rFonts w:asciiTheme="majorHAnsi" w:hAnsiTheme="majorHAnsi"/>
          <w:lang w:val="es-US"/>
        </w:rPr>
        <w:t xml:space="preserve"> la discriminación por parte de la policía es también fomenta</w:t>
      </w:r>
      <w:r w:rsidR="003509EE" w:rsidRPr="00930562">
        <w:rPr>
          <w:rFonts w:asciiTheme="majorHAnsi" w:hAnsiTheme="majorHAnsi"/>
          <w:lang w:val="es-US"/>
        </w:rPr>
        <w:t>da</w:t>
      </w:r>
      <w:r w:rsidR="00C0659A" w:rsidRPr="00930562">
        <w:rPr>
          <w:rFonts w:asciiTheme="majorHAnsi" w:hAnsiTheme="majorHAnsi"/>
          <w:lang w:val="es-US"/>
        </w:rPr>
        <w:t xml:space="preserve"> por la discriminación estructural en el acceso y el pleno goce </w:t>
      </w:r>
      <w:r w:rsidR="003509EE" w:rsidRPr="00930562">
        <w:rPr>
          <w:rFonts w:asciiTheme="majorHAnsi" w:hAnsiTheme="majorHAnsi"/>
          <w:lang w:val="es-US"/>
        </w:rPr>
        <w:t xml:space="preserve">de </w:t>
      </w:r>
      <w:r w:rsidR="00C0659A" w:rsidRPr="00930562">
        <w:rPr>
          <w:rFonts w:asciiTheme="majorHAnsi" w:hAnsiTheme="majorHAnsi"/>
          <w:lang w:val="es-US"/>
        </w:rPr>
        <w:t>los</w:t>
      </w:r>
      <w:r w:rsidR="003509EE" w:rsidRPr="00930562">
        <w:rPr>
          <w:rFonts w:asciiTheme="majorHAnsi" w:hAnsiTheme="majorHAnsi"/>
          <w:lang w:val="es-US"/>
        </w:rPr>
        <w:t xml:space="preserve"> </w:t>
      </w:r>
      <w:r w:rsidR="00C0659A" w:rsidRPr="00930562">
        <w:rPr>
          <w:rFonts w:asciiTheme="majorHAnsi" w:hAnsiTheme="majorHAnsi"/>
          <w:lang w:val="es-US"/>
        </w:rPr>
        <w:t xml:space="preserve">derechos </w:t>
      </w:r>
      <w:r w:rsidR="00C0659A" w:rsidRPr="00930562">
        <w:rPr>
          <w:rFonts w:asciiTheme="majorHAnsi" w:hAnsiTheme="majorHAnsi"/>
          <w:lang w:val="es-US"/>
        </w:rPr>
        <w:lastRenderedPageBreak/>
        <w:t>económicos, sociales,</w:t>
      </w:r>
      <w:r w:rsidR="003509EE" w:rsidRPr="00930562">
        <w:rPr>
          <w:rFonts w:asciiTheme="majorHAnsi" w:hAnsiTheme="majorHAnsi"/>
          <w:lang w:val="es-US"/>
        </w:rPr>
        <w:t xml:space="preserve"> culturales</w:t>
      </w:r>
      <w:r w:rsidR="00C0659A" w:rsidRPr="00930562">
        <w:rPr>
          <w:rFonts w:asciiTheme="majorHAnsi" w:hAnsiTheme="majorHAnsi"/>
          <w:lang w:val="es-US"/>
        </w:rPr>
        <w:t xml:space="preserve"> y ambientales.</w:t>
      </w:r>
      <w:r w:rsidR="003509EE" w:rsidRPr="00930562">
        <w:rPr>
          <w:rStyle w:val="FootnoteReference"/>
          <w:rFonts w:asciiTheme="majorHAnsi" w:hAnsiTheme="majorHAnsi"/>
          <w:lang w:val="es-US"/>
        </w:rPr>
        <w:footnoteReference w:id="30"/>
      </w:r>
      <w:r w:rsidR="003509EE" w:rsidRPr="00930562">
        <w:rPr>
          <w:rFonts w:asciiTheme="majorHAnsi" w:hAnsiTheme="majorHAnsi"/>
          <w:lang w:val="es-US"/>
        </w:rPr>
        <w:t xml:space="preserve"> </w:t>
      </w:r>
      <w:r w:rsidR="00CF054A" w:rsidRPr="00930562">
        <w:rPr>
          <w:rFonts w:asciiTheme="majorHAnsi" w:hAnsiTheme="majorHAnsi"/>
          <w:lang w:val="es-US"/>
        </w:rPr>
        <w:t>En este sentido</w:t>
      </w:r>
      <w:r w:rsidR="003509EE" w:rsidRPr="00930562">
        <w:rPr>
          <w:rFonts w:asciiTheme="majorHAnsi" w:hAnsiTheme="majorHAnsi"/>
          <w:lang w:val="es-US"/>
        </w:rPr>
        <w:t xml:space="preserve">, la Comisión considera </w:t>
      </w:r>
      <w:r w:rsidR="00721054" w:rsidRPr="00930562">
        <w:rPr>
          <w:rFonts w:asciiTheme="majorHAnsi" w:hAnsiTheme="majorHAnsi"/>
          <w:lang w:val="es-US"/>
        </w:rPr>
        <w:t>que una</w:t>
      </w:r>
      <w:r w:rsidR="00CF054A" w:rsidRPr="00930562">
        <w:rPr>
          <w:rFonts w:asciiTheme="majorHAnsi" w:hAnsiTheme="majorHAnsi"/>
          <w:lang w:val="es-US"/>
        </w:rPr>
        <w:t xml:space="preserve"> consideración amplia de la historia de la discriminación racial en contra de afrodescendientes en los Estados Unidos es necesaria para el completo abordaje de la discriminación en el accionar policial y los sistemas de justicia penal hoy en día. </w:t>
      </w:r>
      <w:r w:rsidR="003509EE" w:rsidRPr="00930562">
        <w:rPr>
          <w:rFonts w:asciiTheme="majorHAnsi" w:hAnsiTheme="majorHAnsi"/>
          <w:lang w:val="es-US"/>
        </w:rPr>
        <w:t xml:space="preserve"> </w:t>
      </w:r>
    </w:p>
    <w:p w14:paraId="68EF6AB7" w14:textId="77777777" w:rsidR="0013380B" w:rsidRPr="00930562" w:rsidRDefault="0013380B" w:rsidP="00724857">
      <w:pPr>
        <w:pStyle w:val="Heading2"/>
        <w:numPr>
          <w:ilvl w:val="0"/>
          <w:numId w:val="7"/>
        </w:numPr>
        <w:ind w:hanging="720"/>
        <w:rPr>
          <w:rFonts w:asciiTheme="majorHAnsi" w:hAnsiTheme="majorHAnsi"/>
          <w:lang w:val="es-US"/>
        </w:rPr>
      </w:pPr>
      <w:bookmarkStart w:id="38" w:name="_Toc511837806"/>
      <w:bookmarkStart w:id="39" w:name="_Toc511902979"/>
      <w:bookmarkStart w:id="40" w:name="_Toc517779227"/>
      <w:bookmarkStart w:id="41" w:name="_Toc531514458"/>
      <w:r w:rsidRPr="00930562">
        <w:rPr>
          <w:rFonts w:asciiTheme="majorHAnsi" w:hAnsiTheme="majorHAnsi"/>
          <w:lang w:val="es-US"/>
        </w:rPr>
        <w:t>Cons</w:t>
      </w:r>
      <w:r w:rsidR="00DB4DD9" w:rsidRPr="00930562">
        <w:rPr>
          <w:rFonts w:asciiTheme="majorHAnsi" w:hAnsiTheme="majorHAnsi"/>
          <w:lang w:val="es-US"/>
        </w:rPr>
        <w:t>iderac</w:t>
      </w:r>
      <w:r w:rsidRPr="00930562">
        <w:rPr>
          <w:rFonts w:asciiTheme="majorHAnsi" w:hAnsiTheme="majorHAnsi"/>
          <w:lang w:val="es-US"/>
        </w:rPr>
        <w:t>ion</w:t>
      </w:r>
      <w:r w:rsidR="00DB4DD9" w:rsidRPr="00930562">
        <w:rPr>
          <w:rFonts w:asciiTheme="majorHAnsi" w:hAnsiTheme="majorHAnsi"/>
          <w:lang w:val="es-US"/>
        </w:rPr>
        <w:t>e</w:t>
      </w:r>
      <w:r w:rsidRPr="00930562">
        <w:rPr>
          <w:rFonts w:asciiTheme="majorHAnsi" w:hAnsiTheme="majorHAnsi"/>
          <w:lang w:val="es-US"/>
        </w:rPr>
        <w:t xml:space="preserve">s </w:t>
      </w:r>
      <w:r w:rsidR="00DB4DD9" w:rsidRPr="00930562">
        <w:rPr>
          <w:rFonts w:asciiTheme="majorHAnsi" w:hAnsiTheme="majorHAnsi"/>
          <w:lang w:val="es-US"/>
        </w:rPr>
        <w:t>preliminares sobre d</w:t>
      </w:r>
      <w:r w:rsidRPr="00930562">
        <w:rPr>
          <w:rFonts w:asciiTheme="majorHAnsi" w:hAnsiTheme="majorHAnsi"/>
          <w:lang w:val="es-US"/>
        </w:rPr>
        <w:t>iscrimina</w:t>
      </w:r>
      <w:r w:rsidR="00DB4DD9" w:rsidRPr="00930562">
        <w:rPr>
          <w:rFonts w:asciiTheme="majorHAnsi" w:hAnsiTheme="majorHAnsi"/>
          <w:lang w:val="es-US"/>
        </w:rPr>
        <w:t>c</w:t>
      </w:r>
      <w:r w:rsidRPr="00930562">
        <w:rPr>
          <w:rFonts w:asciiTheme="majorHAnsi" w:hAnsiTheme="majorHAnsi"/>
          <w:lang w:val="es-US"/>
        </w:rPr>
        <w:t>i</w:t>
      </w:r>
      <w:r w:rsidR="00DB4DD9" w:rsidRPr="00930562">
        <w:rPr>
          <w:rFonts w:asciiTheme="majorHAnsi" w:hAnsiTheme="majorHAnsi"/>
          <w:lang w:val="es-US"/>
        </w:rPr>
        <w:t>ó</w:t>
      </w:r>
      <w:r w:rsidRPr="00930562">
        <w:rPr>
          <w:rFonts w:asciiTheme="majorHAnsi" w:hAnsiTheme="majorHAnsi"/>
          <w:lang w:val="es-US"/>
        </w:rPr>
        <w:t>n</w:t>
      </w:r>
      <w:bookmarkEnd w:id="38"/>
      <w:bookmarkEnd w:id="39"/>
      <w:r w:rsidR="00DB4DD9" w:rsidRPr="00930562">
        <w:rPr>
          <w:rFonts w:asciiTheme="majorHAnsi" w:hAnsiTheme="majorHAnsi"/>
          <w:lang w:val="es-US"/>
        </w:rPr>
        <w:t xml:space="preserve"> estructural</w:t>
      </w:r>
      <w:bookmarkEnd w:id="40"/>
      <w:bookmarkEnd w:id="41"/>
    </w:p>
    <w:p w14:paraId="43DDD00A" w14:textId="3834884A" w:rsidR="00433BBD" w:rsidRPr="00930562" w:rsidRDefault="00104E44"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 xml:space="preserve">La Comisión Interamericana ha </w:t>
      </w:r>
      <w:r w:rsidR="008D71BB" w:rsidRPr="00930562">
        <w:rPr>
          <w:rFonts w:asciiTheme="majorHAnsi" w:hAnsiTheme="majorHAnsi"/>
          <w:lang w:val="es-US"/>
        </w:rPr>
        <w:t xml:space="preserve">encontrado </w:t>
      </w:r>
      <w:r w:rsidRPr="00930562">
        <w:rPr>
          <w:rFonts w:asciiTheme="majorHAnsi" w:hAnsiTheme="majorHAnsi"/>
          <w:lang w:val="es-US"/>
        </w:rPr>
        <w:t>anteriormente que los afrodescendientes en las Américas sufren una situación de discriminación estructural, lo cual se evidencia en los indicadores sobre pobreza, participación política, contacto con el sistema de justicia penal, acceso a vivienda de calidad, atención de la salud y educación, entre otros.</w:t>
      </w:r>
      <w:r w:rsidR="00433BBD" w:rsidRPr="00930562">
        <w:rPr>
          <w:rFonts w:asciiTheme="majorHAnsi" w:hAnsiTheme="majorHAnsi"/>
          <w:lang w:val="es-US"/>
        </w:rPr>
        <w:t xml:space="preserve"> La discriminación estructural se ve reflejada también en el permanente estereotipo y el prejuicio que existe contra las personas de descendencia africana.</w:t>
      </w:r>
      <w:r w:rsidR="00433BBD" w:rsidRPr="00930562">
        <w:rPr>
          <w:rFonts w:asciiTheme="majorHAnsi" w:hAnsiTheme="majorHAnsi"/>
          <w:vertAlign w:val="superscript"/>
          <w:lang w:val="es-US"/>
        </w:rPr>
        <w:footnoteReference w:id="31"/>
      </w:r>
      <w:r w:rsidR="00433BBD" w:rsidRPr="00930562">
        <w:rPr>
          <w:rFonts w:asciiTheme="majorHAnsi" w:hAnsiTheme="majorHAnsi"/>
          <w:lang w:val="es-US"/>
        </w:rPr>
        <w:t xml:space="preserve"> De igual manera, el Comité para la Eliminación de la Discriminación Racial (CERD) ha reconocido que “el racismo y la discriminación estructural contra las personas de descendencia africana</w:t>
      </w:r>
      <w:r w:rsidR="008D71BB" w:rsidRPr="00930562">
        <w:rPr>
          <w:rFonts w:asciiTheme="majorHAnsi" w:hAnsiTheme="majorHAnsi"/>
          <w:lang w:val="es-US"/>
        </w:rPr>
        <w:t>,</w:t>
      </w:r>
      <w:r w:rsidR="00433BBD" w:rsidRPr="00930562">
        <w:rPr>
          <w:rFonts w:asciiTheme="majorHAnsi" w:hAnsiTheme="majorHAnsi"/>
          <w:lang w:val="es-US"/>
        </w:rPr>
        <w:t xml:space="preserve"> producto del infame régimen de esclavitud</w:t>
      </w:r>
      <w:r w:rsidR="008D71BB" w:rsidRPr="00930562">
        <w:rPr>
          <w:rFonts w:asciiTheme="majorHAnsi" w:hAnsiTheme="majorHAnsi"/>
          <w:lang w:val="es-US"/>
        </w:rPr>
        <w:t>,</w:t>
      </w:r>
      <w:r w:rsidR="00433BBD" w:rsidRPr="00930562">
        <w:rPr>
          <w:rFonts w:asciiTheme="majorHAnsi" w:hAnsiTheme="majorHAnsi"/>
          <w:lang w:val="es-US"/>
        </w:rPr>
        <w:t xml:space="preserve"> se hacen evidentes en las situaciones de desigualdad que los afectan.”</w:t>
      </w:r>
      <w:r w:rsidR="00433BBD" w:rsidRPr="00930562">
        <w:rPr>
          <w:rFonts w:asciiTheme="majorHAnsi" w:hAnsiTheme="majorHAnsi"/>
          <w:vertAlign w:val="superscript"/>
          <w:lang w:val="es-US"/>
        </w:rPr>
        <w:footnoteReference w:id="32"/>
      </w:r>
    </w:p>
    <w:p w14:paraId="2F82D624" w14:textId="6A7D203E" w:rsidR="00054582" w:rsidRPr="00930562" w:rsidRDefault="00FA63B6"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 xml:space="preserve">La Comisión ha </w:t>
      </w:r>
      <w:r w:rsidR="00342A9F" w:rsidRPr="00930562">
        <w:rPr>
          <w:rFonts w:asciiTheme="majorHAnsi" w:hAnsiTheme="majorHAnsi"/>
          <w:lang w:val="es-US"/>
        </w:rPr>
        <w:t xml:space="preserve">establecido </w:t>
      </w:r>
      <w:r w:rsidR="002D4D5E" w:rsidRPr="00930562">
        <w:rPr>
          <w:rFonts w:asciiTheme="majorHAnsi" w:hAnsiTheme="majorHAnsi"/>
          <w:lang w:val="es-US"/>
        </w:rPr>
        <w:t>previamente</w:t>
      </w:r>
      <w:r w:rsidRPr="00930562">
        <w:rPr>
          <w:rFonts w:asciiTheme="majorHAnsi" w:hAnsiTheme="majorHAnsi"/>
          <w:lang w:val="es-US"/>
        </w:rPr>
        <w:t xml:space="preserve"> que la discriminación estructural o sist</w:t>
      </w:r>
      <w:r w:rsidR="002D4D5E" w:rsidRPr="00930562">
        <w:rPr>
          <w:rFonts w:asciiTheme="majorHAnsi" w:hAnsiTheme="majorHAnsi"/>
          <w:lang w:val="es-US"/>
        </w:rPr>
        <w:t xml:space="preserve">émica se refiere al conjunto de </w:t>
      </w:r>
      <w:r w:rsidRPr="00930562">
        <w:rPr>
          <w:rFonts w:asciiTheme="majorHAnsi" w:hAnsiTheme="majorHAnsi"/>
          <w:lang w:val="es-US"/>
        </w:rPr>
        <w:t xml:space="preserve">normas, reglas, hábitos, patrones, actitudes y </w:t>
      </w:r>
      <w:r w:rsidR="003C1784" w:rsidRPr="00930562">
        <w:rPr>
          <w:rFonts w:asciiTheme="majorHAnsi" w:hAnsiTheme="majorHAnsi"/>
          <w:lang w:val="es-US"/>
        </w:rPr>
        <w:t xml:space="preserve">estándares </w:t>
      </w:r>
      <w:r w:rsidRPr="00930562">
        <w:rPr>
          <w:rFonts w:asciiTheme="majorHAnsi" w:hAnsiTheme="majorHAnsi"/>
          <w:lang w:val="es-US"/>
        </w:rPr>
        <w:t>de conducta, de jure y de facto, que generan de manera generalizada una situación de inferioridad y exclusión de un grupo de personas;</w:t>
      </w:r>
      <w:r w:rsidR="002D4D5E" w:rsidRPr="00930562">
        <w:rPr>
          <w:rFonts w:asciiTheme="majorHAnsi" w:hAnsiTheme="majorHAnsi"/>
          <w:lang w:val="es-US"/>
        </w:rPr>
        <w:t xml:space="preserve"> estas características se perpetúan con el paso del tiempo e incluso por generaciones. Por consiguiente, la discriminación estructural no se da de manera aislada, esporádica o episódica; sino que emerge de un contexto histórico, socioeconómico y cultural.</w:t>
      </w:r>
      <w:r w:rsidR="0013380B" w:rsidRPr="00930562">
        <w:rPr>
          <w:rFonts w:asciiTheme="majorHAnsi" w:hAnsiTheme="majorHAnsi"/>
          <w:vertAlign w:val="superscript"/>
          <w:lang w:val="es-US"/>
        </w:rPr>
        <w:footnoteReference w:id="33"/>
      </w:r>
      <w:r w:rsidR="0013380B" w:rsidRPr="00930562">
        <w:rPr>
          <w:rFonts w:asciiTheme="majorHAnsi" w:hAnsiTheme="majorHAnsi"/>
          <w:lang w:val="es-US"/>
        </w:rPr>
        <w:t xml:space="preserve"> </w:t>
      </w:r>
      <w:r w:rsidR="002D4D5E" w:rsidRPr="00930562">
        <w:rPr>
          <w:rFonts w:asciiTheme="majorHAnsi" w:hAnsiTheme="majorHAnsi"/>
          <w:lang w:val="es-US"/>
        </w:rPr>
        <w:t xml:space="preserve"> </w:t>
      </w:r>
      <w:r w:rsidR="00E17870" w:rsidRPr="00930562">
        <w:rPr>
          <w:rFonts w:asciiTheme="majorHAnsi" w:hAnsiTheme="majorHAnsi"/>
          <w:lang w:val="es-US"/>
        </w:rPr>
        <w:t>Es</w:t>
      </w:r>
      <w:r w:rsidR="00DC3087" w:rsidRPr="00930562">
        <w:rPr>
          <w:rFonts w:asciiTheme="majorHAnsi" w:hAnsiTheme="majorHAnsi"/>
          <w:lang w:val="es-US"/>
        </w:rPr>
        <w:t xml:space="preserve"> generaliza</w:t>
      </w:r>
      <w:r w:rsidR="00E17870" w:rsidRPr="00930562">
        <w:rPr>
          <w:rFonts w:asciiTheme="majorHAnsi" w:hAnsiTheme="majorHAnsi"/>
          <w:lang w:val="es-US"/>
        </w:rPr>
        <w:t>da en el sentido de que</w:t>
      </w:r>
      <w:r w:rsidR="00DC3087" w:rsidRPr="00930562">
        <w:rPr>
          <w:rFonts w:asciiTheme="majorHAnsi" w:hAnsiTheme="majorHAnsi"/>
          <w:lang w:val="es-US"/>
        </w:rPr>
        <w:t xml:space="preserve"> se trata de un problema de gran envergadura y sistémico</w:t>
      </w:r>
      <w:r w:rsidR="00DD42A6" w:rsidRPr="00930562">
        <w:rPr>
          <w:rFonts w:asciiTheme="majorHAnsi" w:hAnsiTheme="majorHAnsi"/>
          <w:lang w:val="es-US"/>
        </w:rPr>
        <w:t>,</w:t>
      </w:r>
      <w:r w:rsidR="00DC3087" w:rsidRPr="00930562">
        <w:rPr>
          <w:rFonts w:asciiTheme="majorHAnsi" w:hAnsiTheme="majorHAnsi"/>
          <w:lang w:val="es-US"/>
        </w:rPr>
        <w:t xml:space="preserve"> debido a </w:t>
      </w:r>
      <w:r w:rsidR="00DD42A6" w:rsidRPr="00930562">
        <w:rPr>
          <w:rFonts w:asciiTheme="majorHAnsi" w:hAnsiTheme="majorHAnsi"/>
          <w:lang w:val="es-US"/>
        </w:rPr>
        <w:t>que abarca la manera</w:t>
      </w:r>
      <w:r w:rsidR="00DC3087" w:rsidRPr="00930562">
        <w:rPr>
          <w:rFonts w:asciiTheme="majorHAnsi" w:hAnsiTheme="majorHAnsi"/>
          <w:lang w:val="es-US"/>
        </w:rPr>
        <w:t xml:space="preserve"> en que se adoptan las decisiones, las prácticas, las políticas y la cultura de una sociedad. Desde este punto de vista, la discriminación estructural no está definida de manera estricta o limitada. Por </w:t>
      </w:r>
      <w:r w:rsidR="00970F7A" w:rsidRPr="00930562">
        <w:rPr>
          <w:rFonts w:asciiTheme="majorHAnsi" w:hAnsiTheme="majorHAnsi"/>
          <w:lang w:val="es-US"/>
        </w:rPr>
        <w:t>tanto</w:t>
      </w:r>
      <w:r w:rsidR="00DC3087" w:rsidRPr="00930562">
        <w:rPr>
          <w:rFonts w:asciiTheme="majorHAnsi" w:hAnsiTheme="majorHAnsi"/>
          <w:lang w:val="es-US"/>
        </w:rPr>
        <w:t xml:space="preserve">, la Comisión considera que los problemas </w:t>
      </w:r>
      <w:r w:rsidR="00970F7A" w:rsidRPr="00930562">
        <w:rPr>
          <w:rFonts w:asciiTheme="majorHAnsi" w:hAnsiTheme="majorHAnsi"/>
          <w:lang w:val="es-US"/>
        </w:rPr>
        <w:t xml:space="preserve">que presentan </w:t>
      </w:r>
      <w:r w:rsidR="00DC3087" w:rsidRPr="00930562">
        <w:rPr>
          <w:rFonts w:asciiTheme="majorHAnsi" w:hAnsiTheme="majorHAnsi"/>
          <w:lang w:val="es-US"/>
        </w:rPr>
        <w:lastRenderedPageBreak/>
        <w:t>patrones o prácticas</w:t>
      </w:r>
      <w:r w:rsidR="00970F7A" w:rsidRPr="00930562">
        <w:rPr>
          <w:rFonts w:asciiTheme="majorHAnsi" w:hAnsiTheme="majorHAnsi"/>
          <w:lang w:val="es-US"/>
        </w:rPr>
        <w:t xml:space="preserve"> estructurales requieren una evaluación general de las circunstancias históricas, materiales, temporales y espaciales que rodean la situación.</w:t>
      </w:r>
      <w:r w:rsidR="00970F7A" w:rsidRPr="00930562">
        <w:rPr>
          <w:rFonts w:asciiTheme="majorHAnsi" w:hAnsiTheme="majorHAnsi"/>
          <w:vertAlign w:val="superscript"/>
          <w:lang w:val="es-US"/>
        </w:rPr>
        <w:footnoteReference w:id="34"/>
      </w:r>
      <w:bookmarkStart w:id="42" w:name="_Ref507079616"/>
    </w:p>
    <w:p w14:paraId="51F47EA6" w14:textId="6BECEE80" w:rsidR="00CC6E6E" w:rsidRPr="00930562" w:rsidRDefault="000B5039" w:rsidP="00724857">
      <w:pPr>
        <w:pStyle w:val="ListParagraph"/>
        <w:numPr>
          <w:ilvl w:val="0"/>
          <w:numId w:val="2"/>
        </w:numPr>
        <w:spacing w:after="240" w:line="240" w:lineRule="auto"/>
        <w:ind w:left="547" w:hanging="547"/>
        <w:contextualSpacing w:val="0"/>
        <w:jc w:val="both"/>
        <w:rPr>
          <w:rFonts w:asciiTheme="majorHAnsi" w:eastAsia="Times New Roman" w:hAnsiTheme="majorHAnsi" w:cs="Courier New"/>
          <w:lang w:val="es-US" w:eastAsia="es-MX"/>
        </w:rPr>
      </w:pPr>
      <w:r w:rsidRPr="00930562">
        <w:rPr>
          <w:rFonts w:asciiTheme="majorHAnsi" w:hAnsiTheme="majorHAnsi"/>
          <w:lang w:val="es-US"/>
        </w:rPr>
        <w:t xml:space="preserve">La Comisión observa que el legado histórico de </w:t>
      </w:r>
      <w:r w:rsidR="00DD42A6" w:rsidRPr="00930562">
        <w:rPr>
          <w:rFonts w:asciiTheme="majorHAnsi" w:hAnsiTheme="majorHAnsi"/>
          <w:lang w:val="es-US"/>
        </w:rPr>
        <w:t>subyugación</w:t>
      </w:r>
      <w:r w:rsidRPr="00930562">
        <w:rPr>
          <w:rFonts w:asciiTheme="majorHAnsi" w:hAnsiTheme="majorHAnsi"/>
          <w:lang w:val="es-US"/>
        </w:rPr>
        <w:t xml:space="preserve">, esclavización, terror, marginación, segregación y exclusión del disfrute de los derechos de los ciudadanos en los Estados Unidos, de jure y de facto, tiene repercusiones </w:t>
      </w:r>
      <w:r w:rsidR="00DD42A6" w:rsidRPr="00930562">
        <w:rPr>
          <w:rFonts w:asciiTheme="majorHAnsi" w:hAnsiTheme="majorHAnsi"/>
          <w:lang w:val="es-US"/>
        </w:rPr>
        <w:t>continuas</w:t>
      </w:r>
      <w:r w:rsidRPr="00930562">
        <w:rPr>
          <w:rFonts w:asciiTheme="majorHAnsi" w:hAnsiTheme="majorHAnsi"/>
          <w:lang w:val="es-US"/>
        </w:rPr>
        <w:t xml:space="preserve"> para el goce pleno de los derechos humanos de los afroamericanos hoy en día en prácticamente todas las esferas de la vida.</w:t>
      </w:r>
      <w:r w:rsidRPr="00930562">
        <w:rPr>
          <w:rFonts w:asciiTheme="majorHAnsi" w:hAnsiTheme="majorHAnsi"/>
          <w:vertAlign w:val="superscript"/>
          <w:lang w:val="es-US"/>
        </w:rPr>
        <w:footnoteReference w:id="35"/>
      </w:r>
      <w:r w:rsidRPr="00930562">
        <w:rPr>
          <w:rFonts w:asciiTheme="majorHAnsi" w:hAnsiTheme="majorHAnsi"/>
          <w:lang w:val="es-US"/>
        </w:rPr>
        <w:t xml:space="preserve">  La </w:t>
      </w:r>
      <w:r w:rsidR="005B5156" w:rsidRPr="00930562">
        <w:rPr>
          <w:rFonts w:asciiTheme="majorHAnsi" w:hAnsiTheme="majorHAnsi"/>
          <w:lang w:val="es-US"/>
        </w:rPr>
        <w:t>C</w:t>
      </w:r>
      <w:r w:rsidRPr="00930562">
        <w:rPr>
          <w:rFonts w:asciiTheme="majorHAnsi" w:hAnsiTheme="majorHAnsi"/>
          <w:lang w:val="es-US"/>
        </w:rPr>
        <w:t xml:space="preserve">omisión </w:t>
      </w:r>
      <w:r w:rsidR="00DD42A6" w:rsidRPr="00930562">
        <w:rPr>
          <w:rFonts w:asciiTheme="majorHAnsi" w:hAnsiTheme="majorHAnsi"/>
          <w:lang w:val="es-US"/>
        </w:rPr>
        <w:t>apunta</w:t>
      </w:r>
      <w:r w:rsidRPr="00930562">
        <w:rPr>
          <w:rFonts w:asciiTheme="majorHAnsi" w:hAnsiTheme="majorHAnsi"/>
          <w:lang w:val="es-US"/>
        </w:rPr>
        <w:t xml:space="preserve"> a las desigualdades aún vigentes </w:t>
      </w:r>
      <w:r w:rsidR="005B5156" w:rsidRPr="00930562">
        <w:rPr>
          <w:rFonts w:asciiTheme="majorHAnsi" w:hAnsiTheme="majorHAnsi"/>
          <w:lang w:val="es-US"/>
        </w:rPr>
        <w:t>en e</w:t>
      </w:r>
      <w:r w:rsidRPr="00930562">
        <w:rPr>
          <w:rFonts w:asciiTheme="majorHAnsi" w:hAnsiTheme="majorHAnsi"/>
          <w:lang w:val="es-US"/>
        </w:rPr>
        <w:t>l acceso al empleo</w:t>
      </w:r>
      <w:r w:rsidR="00062B76" w:rsidRPr="00930562">
        <w:rPr>
          <w:rFonts w:asciiTheme="majorHAnsi" w:hAnsiTheme="majorHAnsi"/>
          <w:vertAlign w:val="superscript"/>
          <w:lang w:val="es-US"/>
        </w:rPr>
        <w:footnoteReference w:id="36"/>
      </w:r>
      <w:r w:rsidRPr="00930562">
        <w:rPr>
          <w:rFonts w:asciiTheme="majorHAnsi" w:hAnsiTheme="majorHAnsi"/>
          <w:lang w:val="es-US"/>
        </w:rPr>
        <w:t xml:space="preserve"> y a la igualdad salaria</w:t>
      </w:r>
      <w:r w:rsidR="00062B76" w:rsidRPr="00930562">
        <w:rPr>
          <w:rFonts w:asciiTheme="majorHAnsi" w:hAnsiTheme="majorHAnsi"/>
          <w:lang w:val="es-US"/>
        </w:rPr>
        <w:t>l</w:t>
      </w:r>
      <w:r w:rsidR="00DD42A6" w:rsidRPr="00930562">
        <w:rPr>
          <w:rFonts w:asciiTheme="majorHAnsi" w:hAnsiTheme="majorHAnsi"/>
          <w:lang w:val="es-US"/>
        </w:rPr>
        <w:t>,</w:t>
      </w:r>
      <w:r w:rsidR="00062B76" w:rsidRPr="00930562">
        <w:rPr>
          <w:rFonts w:asciiTheme="majorHAnsi" w:hAnsiTheme="majorHAnsi"/>
          <w:vertAlign w:val="superscript"/>
          <w:lang w:val="es-US"/>
        </w:rPr>
        <w:footnoteReference w:id="37"/>
      </w:r>
      <w:r w:rsidRPr="00930562">
        <w:rPr>
          <w:rFonts w:asciiTheme="majorHAnsi" w:hAnsiTheme="majorHAnsi"/>
          <w:lang w:val="es-US"/>
        </w:rPr>
        <w:t xml:space="preserve"> vivienda (tanto acceso a la propiedad</w:t>
      </w:r>
      <w:r w:rsidR="00062B76" w:rsidRPr="00930562">
        <w:rPr>
          <w:rFonts w:asciiTheme="majorHAnsi" w:hAnsiTheme="majorHAnsi"/>
          <w:vertAlign w:val="superscript"/>
          <w:lang w:val="es-US"/>
        </w:rPr>
        <w:footnoteReference w:id="38"/>
      </w:r>
      <w:r w:rsidR="005B5156" w:rsidRPr="00930562">
        <w:rPr>
          <w:rFonts w:asciiTheme="majorHAnsi" w:hAnsiTheme="majorHAnsi"/>
          <w:lang w:val="es-US"/>
        </w:rPr>
        <w:t xml:space="preserve"> como a </w:t>
      </w:r>
      <w:r w:rsidRPr="00930562">
        <w:rPr>
          <w:rFonts w:asciiTheme="majorHAnsi" w:hAnsiTheme="majorHAnsi"/>
          <w:lang w:val="es-US"/>
        </w:rPr>
        <w:t>vivienda accesible</w:t>
      </w:r>
      <w:r w:rsidR="00062B76" w:rsidRPr="00930562">
        <w:rPr>
          <w:rFonts w:asciiTheme="majorHAnsi" w:hAnsiTheme="majorHAnsi"/>
          <w:vertAlign w:val="superscript"/>
          <w:lang w:val="es-US"/>
        </w:rPr>
        <w:footnoteReference w:id="39"/>
      </w:r>
      <w:r w:rsidRPr="00930562">
        <w:rPr>
          <w:rFonts w:asciiTheme="majorHAnsi" w:hAnsiTheme="majorHAnsi"/>
          <w:lang w:val="es-US"/>
        </w:rPr>
        <w:t>), alimentación</w:t>
      </w:r>
      <w:r w:rsidR="00062B76" w:rsidRPr="00930562">
        <w:rPr>
          <w:rFonts w:asciiTheme="majorHAnsi" w:hAnsiTheme="majorHAnsi"/>
          <w:vertAlign w:val="superscript"/>
          <w:lang w:val="es-US"/>
        </w:rPr>
        <w:footnoteReference w:id="40"/>
      </w:r>
      <w:r w:rsidRPr="00930562">
        <w:rPr>
          <w:rFonts w:asciiTheme="majorHAnsi" w:hAnsiTheme="majorHAnsi"/>
          <w:lang w:val="es-US"/>
        </w:rPr>
        <w:t>, agua potable</w:t>
      </w:r>
      <w:r w:rsidR="00062B76" w:rsidRPr="00930562">
        <w:rPr>
          <w:rFonts w:asciiTheme="majorHAnsi" w:hAnsiTheme="majorHAnsi"/>
          <w:vertAlign w:val="superscript"/>
          <w:lang w:val="es-US"/>
        </w:rPr>
        <w:footnoteReference w:id="41"/>
      </w:r>
      <w:r w:rsidRPr="00930562">
        <w:rPr>
          <w:rFonts w:asciiTheme="majorHAnsi" w:hAnsiTheme="majorHAnsi"/>
          <w:lang w:val="es-US"/>
        </w:rPr>
        <w:t xml:space="preserve">, </w:t>
      </w:r>
      <w:r w:rsidR="005B5156" w:rsidRPr="00930562">
        <w:rPr>
          <w:rFonts w:asciiTheme="majorHAnsi" w:hAnsiTheme="majorHAnsi"/>
          <w:lang w:val="es-US"/>
        </w:rPr>
        <w:t>un</w:t>
      </w:r>
      <w:r w:rsidRPr="00930562">
        <w:rPr>
          <w:rFonts w:asciiTheme="majorHAnsi" w:hAnsiTheme="majorHAnsi"/>
          <w:lang w:val="es-US"/>
        </w:rPr>
        <w:t xml:space="preserve"> medio </w:t>
      </w:r>
      <w:r w:rsidRPr="00930562">
        <w:rPr>
          <w:rFonts w:asciiTheme="majorHAnsi" w:hAnsiTheme="majorHAnsi"/>
          <w:lang w:val="es-US"/>
        </w:rPr>
        <w:lastRenderedPageBreak/>
        <w:t>ambiente limpio y sano</w:t>
      </w:r>
      <w:r w:rsidR="00062B76" w:rsidRPr="00930562">
        <w:rPr>
          <w:rFonts w:asciiTheme="majorHAnsi" w:hAnsiTheme="majorHAnsi"/>
          <w:vertAlign w:val="superscript"/>
          <w:lang w:val="es-US"/>
        </w:rPr>
        <w:footnoteReference w:id="42"/>
      </w:r>
      <w:r w:rsidRPr="00930562">
        <w:rPr>
          <w:rFonts w:asciiTheme="majorHAnsi" w:eastAsia="Times New Roman" w:hAnsiTheme="majorHAnsi" w:cs="Courier New"/>
          <w:lang w:val="es-US" w:eastAsia="es-MX"/>
        </w:rPr>
        <w:t xml:space="preserve">, </w:t>
      </w:r>
      <w:r w:rsidR="00062B76" w:rsidRPr="00930562">
        <w:rPr>
          <w:rFonts w:asciiTheme="majorHAnsi" w:hAnsiTheme="majorHAnsi"/>
          <w:lang w:val="es-US"/>
        </w:rPr>
        <w:t>atención médica</w:t>
      </w:r>
      <w:r w:rsidR="00062B76" w:rsidRPr="00930562">
        <w:rPr>
          <w:rFonts w:asciiTheme="majorHAnsi" w:hAnsiTheme="majorHAnsi"/>
          <w:vertAlign w:val="superscript"/>
          <w:lang w:val="es-US"/>
        </w:rPr>
        <w:footnoteReference w:id="43"/>
      </w:r>
      <w:r w:rsidR="00062B76" w:rsidRPr="00930562">
        <w:rPr>
          <w:rFonts w:asciiTheme="majorHAnsi" w:eastAsia="Times New Roman" w:hAnsiTheme="majorHAnsi" w:cs="Courier New"/>
          <w:lang w:val="es-US" w:eastAsia="es-MX"/>
        </w:rPr>
        <w:t xml:space="preserve"> (</w:t>
      </w:r>
      <w:r w:rsidR="00062B76" w:rsidRPr="00930562">
        <w:rPr>
          <w:rFonts w:asciiTheme="majorHAnsi" w:hAnsiTheme="majorHAnsi"/>
          <w:lang w:val="es-US"/>
        </w:rPr>
        <w:t xml:space="preserve">incluyendo </w:t>
      </w:r>
      <w:r w:rsidR="00380C5F" w:rsidRPr="00930562">
        <w:rPr>
          <w:rFonts w:asciiTheme="majorHAnsi" w:hAnsiTheme="majorHAnsi"/>
          <w:lang w:val="es-US"/>
        </w:rPr>
        <w:t>atención materna</w:t>
      </w:r>
      <w:r w:rsidRPr="00930562">
        <w:rPr>
          <w:rFonts w:asciiTheme="majorHAnsi" w:hAnsiTheme="majorHAnsi"/>
          <w:lang w:val="es-US"/>
        </w:rPr>
        <w:t xml:space="preserve"> </w:t>
      </w:r>
      <w:r w:rsidR="00062B76" w:rsidRPr="00930562">
        <w:rPr>
          <w:rFonts w:asciiTheme="majorHAnsi" w:hAnsiTheme="majorHAnsi"/>
          <w:lang w:val="es-US"/>
        </w:rPr>
        <w:t>y salud reproductiva</w:t>
      </w:r>
      <w:r w:rsidR="00062B76" w:rsidRPr="00930562">
        <w:rPr>
          <w:rFonts w:asciiTheme="majorHAnsi" w:hAnsiTheme="majorHAnsi"/>
          <w:vertAlign w:val="superscript"/>
          <w:lang w:val="es-US"/>
        </w:rPr>
        <w:footnoteReference w:id="44"/>
      </w:r>
      <w:r w:rsidR="00062B76" w:rsidRPr="00930562">
        <w:rPr>
          <w:rFonts w:asciiTheme="majorHAnsi" w:eastAsia="Times New Roman" w:hAnsiTheme="majorHAnsi" w:cs="Courier New"/>
          <w:lang w:val="es-US" w:eastAsia="es-MX"/>
        </w:rPr>
        <w:t xml:space="preserve">, </w:t>
      </w:r>
      <w:r w:rsidR="00062B76" w:rsidRPr="00930562">
        <w:rPr>
          <w:rFonts w:asciiTheme="majorHAnsi" w:hAnsiTheme="majorHAnsi"/>
          <w:lang w:val="es-US"/>
        </w:rPr>
        <w:t xml:space="preserve">y discriminación racial en la provisión de </w:t>
      </w:r>
      <w:r w:rsidR="00380C5F" w:rsidRPr="00930562">
        <w:rPr>
          <w:rFonts w:asciiTheme="majorHAnsi" w:hAnsiTheme="majorHAnsi"/>
          <w:lang w:val="es-US"/>
        </w:rPr>
        <w:t>atención médica</w:t>
      </w:r>
      <w:r w:rsidR="00062B76" w:rsidRPr="00930562">
        <w:rPr>
          <w:rFonts w:asciiTheme="majorHAnsi" w:hAnsiTheme="majorHAnsi"/>
          <w:vertAlign w:val="superscript"/>
          <w:lang w:val="es-US"/>
        </w:rPr>
        <w:footnoteReference w:id="45"/>
      </w:r>
      <w:r w:rsidR="00062B76" w:rsidRPr="00930562">
        <w:rPr>
          <w:rFonts w:asciiTheme="majorHAnsi" w:eastAsia="Times New Roman" w:hAnsiTheme="majorHAnsi" w:cs="Courier New"/>
          <w:lang w:val="es-US" w:eastAsia="es-MX"/>
        </w:rPr>
        <w:t xml:space="preserve"> ), </w:t>
      </w:r>
      <w:r w:rsidR="00062B76" w:rsidRPr="00930562">
        <w:rPr>
          <w:rFonts w:asciiTheme="majorHAnsi" w:hAnsiTheme="majorHAnsi"/>
          <w:lang w:val="es-US"/>
        </w:rPr>
        <w:t>educación primaria</w:t>
      </w:r>
      <w:r w:rsidR="005B5156" w:rsidRPr="00930562">
        <w:rPr>
          <w:rFonts w:asciiTheme="majorHAnsi" w:hAnsiTheme="majorHAnsi"/>
          <w:vertAlign w:val="superscript"/>
          <w:lang w:val="es-US"/>
        </w:rPr>
        <w:footnoteReference w:id="46"/>
      </w:r>
      <w:r w:rsidR="00062B76" w:rsidRPr="00930562">
        <w:rPr>
          <w:rFonts w:asciiTheme="majorHAnsi" w:eastAsia="Times New Roman" w:hAnsiTheme="majorHAnsi" w:cs="Courier New"/>
          <w:lang w:val="es-US" w:eastAsia="es-MX"/>
        </w:rPr>
        <w:t xml:space="preserve"> </w:t>
      </w:r>
      <w:r w:rsidR="00062B76" w:rsidRPr="00930562">
        <w:rPr>
          <w:rFonts w:asciiTheme="majorHAnsi" w:hAnsiTheme="majorHAnsi"/>
          <w:lang w:val="es-US"/>
        </w:rPr>
        <w:t>y educación superior</w:t>
      </w:r>
      <w:r w:rsidR="005B5156" w:rsidRPr="00930562">
        <w:rPr>
          <w:rFonts w:asciiTheme="majorHAnsi" w:hAnsiTheme="majorHAnsi"/>
          <w:vertAlign w:val="superscript"/>
          <w:lang w:val="es-US"/>
        </w:rPr>
        <w:footnoteReference w:id="47"/>
      </w:r>
      <w:r w:rsidR="00062B76" w:rsidRPr="00930562">
        <w:rPr>
          <w:rFonts w:asciiTheme="majorHAnsi" w:eastAsia="Times New Roman" w:hAnsiTheme="majorHAnsi" w:cs="Courier New"/>
          <w:lang w:val="es-US" w:eastAsia="es-MX"/>
        </w:rPr>
        <w:t xml:space="preserve">, </w:t>
      </w:r>
      <w:r w:rsidR="00062B76" w:rsidRPr="00930562">
        <w:rPr>
          <w:rFonts w:asciiTheme="majorHAnsi" w:hAnsiTheme="majorHAnsi"/>
          <w:lang w:val="es-US"/>
        </w:rPr>
        <w:t>acceso a los derechos de voto</w:t>
      </w:r>
      <w:r w:rsidR="005B5156" w:rsidRPr="00930562">
        <w:rPr>
          <w:rFonts w:asciiTheme="majorHAnsi" w:hAnsiTheme="majorHAnsi"/>
          <w:vertAlign w:val="superscript"/>
          <w:lang w:val="es-US"/>
        </w:rPr>
        <w:footnoteReference w:id="48"/>
      </w:r>
      <w:r w:rsidR="00062B76" w:rsidRPr="00930562">
        <w:rPr>
          <w:rFonts w:asciiTheme="majorHAnsi" w:eastAsia="Times New Roman" w:hAnsiTheme="majorHAnsi" w:cs="Courier New"/>
          <w:lang w:val="es-US" w:eastAsia="es-MX"/>
        </w:rPr>
        <w:t xml:space="preserve">  </w:t>
      </w:r>
      <w:r w:rsidR="00062B76" w:rsidRPr="00930562">
        <w:rPr>
          <w:rFonts w:asciiTheme="majorHAnsi" w:hAnsiTheme="majorHAnsi"/>
          <w:lang w:val="es-US"/>
        </w:rPr>
        <w:t>y participación política en general</w:t>
      </w:r>
      <w:r w:rsidR="005B5156" w:rsidRPr="00930562">
        <w:rPr>
          <w:rFonts w:asciiTheme="majorHAnsi" w:hAnsiTheme="majorHAnsi"/>
          <w:vertAlign w:val="superscript"/>
          <w:lang w:val="es-US"/>
        </w:rPr>
        <w:footnoteReference w:id="49"/>
      </w:r>
      <w:r w:rsidR="00062B76" w:rsidRPr="00930562">
        <w:rPr>
          <w:rFonts w:asciiTheme="majorHAnsi" w:eastAsia="Times New Roman" w:hAnsiTheme="majorHAnsi" w:cs="Courier New"/>
          <w:lang w:val="es-US" w:eastAsia="es-MX"/>
        </w:rPr>
        <w:t xml:space="preserve">, </w:t>
      </w:r>
      <w:r w:rsidR="00E442FA" w:rsidRPr="00930562">
        <w:rPr>
          <w:rFonts w:asciiTheme="majorHAnsi" w:eastAsia="Times New Roman" w:hAnsiTheme="majorHAnsi" w:cs="Courier New"/>
          <w:lang w:val="es-US" w:eastAsia="es-MX"/>
        </w:rPr>
        <w:t>(</w:t>
      </w:r>
      <w:r w:rsidR="00062B76" w:rsidRPr="00930562">
        <w:rPr>
          <w:rFonts w:asciiTheme="majorHAnsi" w:hAnsiTheme="majorHAnsi"/>
          <w:lang w:val="es-US"/>
        </w:rPr>
        <w:t>re</w:t>
      </w:r>
      <w:r w:rsidR="00E442FA" w:rsidRPr="00930562">
        <w:rPr>
          <w:rFonts w:asciiTheme="majorHAnsi" w:hAnsiTheme="majorHAnsi"/>
          <w:lang w:val="es-US"/>
        </w:rPr>
        <w:t>)</w:t>
      </w:r>
      <w:r w:rsidR="00062B76" w:rsidRPr="00930562">
        <w:rPr>
          <w:rFonts w:asciiTheme="majorHAnsi" w:hAnsiTheme="majorHAnsi"/>
          <w:lang w:val="es-US"/>
        </w:rPr>
        <w:t xml:space="preserve">segregación </w:t>
      </w:r>
      <w:r w:rsidR="00380C5F" w:rsidRPr="00930562">
        <w:rPr>
          <w:rFonts w:asciiTheme="majorHAnsi" w:hAnsiTheme="majorHAnsi"/>
          <w:i/>
          <w:lang w:val="es-US"/>
        </w:rPr>
        <w:t>de facto</w:t>
      </w:r>
      <w:r w:rsidR="00380C5F" w:rsidRPr="00930562">
        <w:rPr>
          <w:rFonts w:asciiTheme="majorHAnsi" w:hAnsiTheme="majorHAnsi"/>
          <w:lang w:val="es-US"/>
        </w:rPr>
        <w:t xml:space="preserve"> </w:t>
      </w:r>
      <w:r w:rsidR="00062B76" w:rsidRPr="00930562">
        <w:rPr>
          <w:rFonts w:asciiTheme="majorHAnsi" w:hAnsiTheme="majorHAnsi"/>
          <w:lang w:val="es-US"/>
        </w:rPr>
        <w:t>de barrios</w:t>
      </w:r>
      <w:r w:rsidR="005B5156" w:rsidRPr="00930562">
        <w:rPr>
          <w:rFonts w:asciiTheme="majorHAnsi" w:hAnsiTheme="majorHAnsi"/>
          <w:vertAlign w:val="superscript"/>
          <w:lang w:val="es-US"/>
        </w:rPr>
        <w:footnoteReference w:id="50"/>
      </w:r>
      <w:r w:rsidR="00062B76" w:rsidRPr="00930562">
        <w:rPr>
          <w:rFonts w:asciiTheme="majorHAnsi" w:eastAsia="Times New Roman" w:hAnsiTheme="majorHAnsi" w:cs="Courier New"/>
          <w:lang w:val="es-US" w:eastAsia="es-MX"/>
        </w:rPr>
        <w:t xml:space="preserve"> </w:t>
      </w:r>
      <w:r w:rsidR="00062B76" w:rsidRPr="00930562">
        <w:rPr>
          <w:rFonts w:asciiTheme="majorHAnsi" w:hAnsiTheme="majorHAnsi"/>
          <w:lang w:val="es-US"/>
        </w:rPr>
        <w:t>y escuelas</w:t>
      </w:r>
      <w:r w:rsidR="005B5156" w:rsidRPr="00930562">
        <w:rPr>
          <w:rFonts w:asciiTheme="majorHAnsi" w:hAnsiTheme="majorHAnsi"/>
          <w:vertAlign w:val="superscript"/>
          <w:lang w:val="es-US"/>
        </w:rPr>
        <w:footnoteReference w:id="51"/>
      </w:r>
      <w:r w:rsidR="00062B76" w:rsidRPr="00930562">
        <w:rPr>
          <w:rFonts w:asciiTheme="majorHAnsi" w:eastAsia="Times New Roman" w:hAnsiTheme="majorHAnsi" w:cs="Courier New"/>
          <w:lang w:val="es-US" w:eastAsia="es-MX"/>
        </w:rPr>
        <w:t xml:space="preserve">, </w:t>
      </w:r>
      <w:r w:rsidR="00062B76" w:rsidRPr="00930562">
        <w:rPr>
          <w:rFonts w:asciiTheme="majorHAnsi" w:hAnsiTheme="majorHAnsi"/>
          <w:lang w:val="es-US"/>
        </w:rPr>
        <w:t>además de las desigualdades raciales por parte de la policía y la justicia penal</w:t>
      </w:r>
      <w:r w:rsidR="005B5156" w:rsidRPr="00930562">
        <w:rPr>
          <w:rFonts w:asciiTheme="majorHAnsi" w:hAnsiTheme="majorHAnsi"/>
          <w:lang w:val="es-US"/>
        </w:rPr>
        <w:t>,</w:t>
      </w:r>
      <w:r w:rsidR="00062B76" w:rsidRPr="00930562">
        <w:rPr>
          <w:rFonts w:asciiTheme="majorHAnsi" w:hAnsiTheme="majorHAnsi"/>
          <w:lang w:val="es-US"/>
        </w:rPr>
        <w:t xml:space="preserve"> las cuales abordamos en las próximas secciones.</w:t>
      </w:r>
      <w:r w:rsidR="00062B76" w:rsidRPr="00930562">
        <w:rPr>
          <w:rFonts w:asciiTheme="majorHAnsi" w:eastAsia="Times New Roman" w:hAnsiTheme="majorHAnsi" w:cs="Courier New"/>
          <w:lang w:val="es-US" w:eastAsia="es-MX"/>
        </w:rPr>
        <w:t xml:space="preserve"> </w:t>
      </w:r>
      <w:bookmarkEnd w:id="42"/>
    </w:p>
    <w:p w14:paraId="6F318829" w14:textId="499E201E" w:rsidR="00DD42A6" w:rsidRPr="00930562" w:rsidRDefault="00A550C4" w:rsidP="00724857">
      <w:pPr>
        <w:pStyle w:val="ListParagraph"/>
        <w:numPr>
          <w:ilvl w:val="0"/>
          <w:numId w:val="2"/>
        </w:numPr>
        <w:spacing w:after="240" w:line="240" w:lineRule="auto"/>
        <w:ind w:left="547" w:hanging="547"/>
        <w:contextualSpacing w:val="0"/>
        <w:jc w:val="both"/>
        <w:rPr>
          <w:rFonts w:asciiTheme="majorHAnsi" w:hAnsiTheme="majorHAnsi"/>
          <w:lang w:val="es-US"/>
        </w:rPr>
      </w:pPr>
      <w:bookmarkStart w:id="43" w:name="_Ref507409426"/>
      <w:r w:rsidRPr="00930562">
        <w:rPr>
          <w:rFonts w:asciiTheme="majorHAnsi" w:hAnsiTheme="majorHAnsi"/>
          <w:lang w:val="es-US"/>
        </w:rPr>
        <w:t xml:space="preserve">La Comisión reconoce que, además de la discriminación por cuestiones de raza, los afrodescendientes son sujetos de muchas otras formas de </w:t>
      </w:r>
      <w:r w:rsidRPr="00930562">
        <w:rPr>
          <w:rFonts w:asciiTheme="majorHAnsi" w:hAnsiTheme="majorHAnsi"/>
          <w:lang w:val="es-US"/>
        </w:rPr>
        <w:lastRenderedPageBreak/>
        <w:t>discriminación en razón de otros aspectos de su identidad. Este concepto, conocido como “interseccionalidad</w:t>
      </w:r>
      <w:r w:rsidRPr="00930562">
        <w:rPr>
          <w:rFonts w:asciiTheme="majorHAnsi" w:eastAsia="Times New Roman" w:hAnsiTheme="majorHAnsi"/>
          <w:lang w:val="es-US" w:eastAsia="es-ES"/>
        </w:rPr>
        <w:t>”</w:t>
      </w:r>
      <w:r w:rsidRPr="00930562">
        <w:rPr>
          <w:rStyle w:val="FootnoteReference"/>
          <w:rFonts w:asciiTheme="majorHAnsi" w:eastAsia="Times New Roman" w:hAnsiTheme="majorHAnsi"/>
          <w:lang w:val="es-US" w:eastAsia="es-ES"/>
        </w:rPr>
        <w:t xml:space="preserve"> </w:t>
      </w:r>
      <w:r w:rsidRPr="00930562">
        <w:rPr>
          <w:rStyle w:val="FootnoteReference"/>
          <w:rFonts w:asciiTheme="majorHAnsi" w:eastAsia="Times New Roman" w:hAnsiTheme="majorHAnsi"/>
          <w:lang w:val="es-US" w:eastAsia="es-ES"/>
        </w:rPr>
        <w:footnoteReference w:id="52"/>
      </w:r>
      <w:r w:rsidRPr="00930562">
        <w:rPr>
          <w:rFonts w:asciiTheme="majorHAnsi" w:eastAsia="Times New Roman" w:hAnsiTheme="majorHAnsi"/>
          <w:lang w:val="es-US" w:eastAsia="es-ES"/>
        </w:rPr>
        <w:t xml:space="preserve"> </w:t>
      </w:r>
      <w:r w:rsidRPr="00930562">
        <w:rPr>
          <w:rFonts w:asciiTheme="majorHAnsi" w:hAnsiTheme="majorHAnsi"/>
          <w:lang w:val="es-US"/>
        </w:rPr>
        <w:t xml:space="preserve">subraya que la discriminación por motivos de raza está estrechamente ligada a otros factores, incluidos el origen étnico, el </w:t>
      </w:r>
      <w:r w:rsidR="000C0708" w:rsidRPr="00930562">
        <w:rPr>
          <w:rFonts w:asciiTheme="majorHAnsi" w:hAnsiTheme="majorHAnsi"/>
          <w:lang w:val="es-US"/>
        </w:rPr>
        <w:t xml:space="preserve">país </w:t>
      </w:r>
      <w:r w:rsidRPr="00930562">
        <w:rPr>
          <w:rFonts w:asciiTheme="majorHAnsi" w:hAnsiTheme="majorHAnsi"/>
          <w:lang w:val="es-US"/>
        </w:rPr>
        <w:t xml:space="preserve"> de origen, la religión o las creencias, la identidad y la expresión de género, la orientación sexual, la salud, la edad, la </w:t>
      </w:r>
      <w:r w:rsidR="00DD42A6" w:rsidRPr="00930562">
        <w:rPr>
          <w:rFonts w:asciiTheme="majorHAnsi" w:hAnsiTheme="majorHAnsi"/>
          <w:lang w:val="es-US"/>
        </w:rPr>
        <w:t xml:space="preserve">discapacidad </w:t>
      </w:r>
      <w:r w:rsidRPr="00930562">
        <w:rPr>
          <w:rFonts w:asciiTheme="majorHAnsi" w:hAnsiTheme="majorHAnsi"/>
          <w:lang w:val="es-US"/>
        </w:rPr>
        <w:t>y la clase, entre otros</w:t>
      </w:r>
      <w:r w:rsidR="0013380B" w:rsidRPr="00930562">
        <w:rPr>
          <w:rFonts w:asciiTheme="majorHAnsi" w:hAnsiTheme="majorHAnsi"/>
          <w:lang w:val="es-US"/>
        </w:rPr>
        <w:t>.</w:t>
      </w:r>
      <w:r w:rsidR="0013380B" w:rsidRPr="00930562">
        <w:rPr>
          <w:rFonts w:asciiTheme="majorHAnsi" w:hAnsiTheme="majorHAnsi"/>
          <w:vertAlign w:val="superscript"/>
          <w:lang w:val="es-US"/>
        </w:rPr>
        <w:footnoteReference w:id="53"/>
      </w:r>
      <w:r w:rsidR="0013380B" w:rsidRPr="00930562">
        <w:rPr>
          <w:rFonts w:asciiTheme="majorHAnsi" w:hAnsiTheme="majorHAnsi"/>
          <w:lang w:val="es-US"/>
        </w:rPr>
        <w:t xml:space="preserve"> </w:t>
      </w:r>
      <w:bookmarkEnd w:id="43"/>
      <w:r w:rsidR="000C0708" w:rsidRPr="00930562">
        <w:rPr>
          <w:rFonts w:asciiTheme="majorHAnsi" w:hAnsiTheme="majorHAnsi"/>
          <w:lang w:val="es-US"/>
        </w:rPr>
        <w:t xml:space="preserve">En tal sentido, la Comisión ha reafirmado que la “interseccionalidad” es un concepto básico para comprender el alcance de las obligaciones generales de los Estados </w:t>
      </w:r>
      <w:r w:rsidR="00DD42A6" w:rsidRPr="00930562">
        <w:rPr>
          <w:rFonts w:asciiTheme="majorHAnsi" w:hAnsiTheme="majorHAnsi"/>
          <w:lang w:val="es-US"/>
        </w:rPr>
        <w:t>P</w:t>
      </w:r>
      <w:r w:rsidR="000C0708" w:rsidRPr="00930562">
        <w:rPr>
          <w:rFonts w:asciiTheme="majorHAnsi" w:hAnsiTheme="majorHAnsi"/>
          <w:lang w:val="es-US"/>
        </w:rPr>
        <w:t>artes.</w:t>
      </w:r>
      <w:r w:rsidR="00CC6E6E" w:rsidRPr="00930562">
        <w:rPr>
          <w:rFonts w:asciiTheme="majorHAnsi" w:hAnsiTheme="majorHAnsi"/>
          <w:vertAlign w:val="superscript"/>
          <w:lang w:val="es-US"/>
        </w:rPr>
        <w:footnoteReference w:id="54"/>
      </w:r>
      <w:r w:rsidR="00CC6E6E" w:rsidRPr="00930562">
        <w:rPr>
          <w:rFonts w:asciiTheme="majorHAnsi" w:hAnsiTheme="majorHAnsi"/>
          <w:lang w:val="es-US"/>
        </w:rPr>
        <w:t xml:space="preserve">  </w:t>
      </w:r>
    </w:p>
    <w:p w14:paraId="5A417D36" w14:textId="55154A67" w:rsidR="0013380B" w:rsidRPr="00930562" w:rsidRDefault="00DD42A6" w:rsidP="00724857">
      <w:pPr>
        <w:pStyle w:val="ListParagraph"/>
        <w:numPr>
          <w:ilvl w:val="0"/>
          <w:numId w:val="2"/>
        </w:numPr>
        <w:spacing w:after="240" w:line="240" w:lineRule="auto"/>
        <w:ind w:left="547" w:hanging="547"/>
        <w:contextualSpacing w:val="0"/>
        <w:jc w:val="both"/>
        <w:rPr>
          <w:rFonts w:asciiTheme="majorHAnsi" w:eastAsia="Times New Roman" w:hAnsiTheme="majorHAnsi" w:cs="Courier New"/>
          <w:lang w:val="es-US" w:eastAsia="es-MX"/>
        </w:rPr>
      </w:pPr>
      <w:r w:rsidRPr="00930562">
        <w:rPr>
          <w:rFonts w:asciiTheme="majorHAnsi" w:hAnsiTheme="majorHAnsi"/>
          <w:lang w:val="es-US"/>
        </w:rPr>
        <w:t xml:space="preserve">Frente a </w:t>
      </w:r>
      <w:r w:rsidR="00CC6E6E" w:rsidRPr="00930562">
        <w:rPr>
          <w:rFonts w:asciiTheme="majorHAnsi" w:hAnsiTheme="majorHAnsi"/>
          <w:lang w:val="es-US"/>
        </w:rPr>
        <w:t>este panorama, a continuación la Comisión examina brevemente la historia de la discriminación racial en los Estados Unidos con el objetivo de destacar las dimensiones de la discriminación estructural aplicables a los actuales problemas de discriminación, particularmente en las áreas de control policial y justicia penal.</w:t>
      </w:r>
    </w:p>
    <w:p w14:paraId="1D6D6540" w14:textId="77777777" w:rsidR="007C530F" w:rsidRPr="00930562" w:rsidRDefault="007C530F" w:rsidP="0098763C">
      <w:pPr>
        <w:pStyle w:val="Heading2"/>
        <w:ind w:left="540" w:hanging="540"/>
        <w:rPr>
          <w:rFonts w:asciiTheme="majorHAnsi" w:hAnsiTheme="majorHAnsi"/>
          <w:lang w:val="es-US"/>
        </w:rPr>
      </w:pPr>
      <w:bookmarkStart w:id="44" w:name="_Toc517779228"/>
      <w:bookmarkStart w:id="45" w:name="_Toc531514459"/>
      <w:r w:rsidRPr="00930562">
        <w:rPr>
          <w:rFonts w:asciiTheme="majorHAnsi" w:hAnsiTheme="majorHAnsi"/>
          <w:lang w:val="es-US"/>
        </w:rPr>
        <w:t>Reseña histórica de la discriminación y el racismo en los Estados Unidos</w:t>
      </w:r>
      <w:bookmarkEnd w:id="44"/>
      <w:bookmarkEnd w:id="45"/>
    </w:p>
    <w:p w14:paraId="08D1F98E" w14:textId="543E99E2" w:rsidR="0013380B" w:rsidRPr="00930562" w:rsidRDefault="007C530F"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La Comisión recuerda que una de las principales consecuencias de la historia del colonialismo y la esclavitud son las múltiples formas de discriminación y racismo a las que han estado sometidos los afrodescendientes a lo largo y ancho del hemisferio americano</w:t>
      </w:r>
      <w:r w:rsidRPr="00930562">
        <w:rPr>
          <w:rFonts w:asciiTheme="majorHAnsi" w:eastAsia="Times New Roman" w:hAnsiTheme="majorHAnsi" w:cs="Courier New"/>
          <w:lang w:val="es-US" w:eastAsia="es-MX"/>
        </w:rPr>
        <w:t>.</w:t>
      </w:r>
      <w:r w:rsidR="0013380B" w:rsidRPr="00930562">
        <w:rPr>
          <w:rStyle w:val="FootnoteReference"/>
          <w:rFonts w:asciiTheme="majorHAnsi" w:hAnsiTheme="majorHAnsi" w:cs="Cambria"/>
          <w:lang w:val="es-US"/>
        </w:rPr>
        <w:footnoteReference w:id="55"/>
      </w:r>
      <w:r w:rsidR="0013380B" w:rsidRPr="00930562">
        <w:rPr>
          <w:rFonts w:asciiTheme="majorHAnsi" w:hAnsiTheme="majorHAnsi" w:cs="Cambria"/>
          <w:lang w:val="es-US"/>
        </w:rPr>
        <w:t xml:space="preserve"> </w:t>
      </w:r>
      <w:r w:rsidRPr="00930562">
        <w:rPr>
          <w:rFonts w:asciiTheme="majorHAnsi" w:hAnsiTheme="majorHAnsi"/>
          <w:lang w:val="es-US"/>
        </w:rPr>
        <w:t>A este respecto</w:t>
      </w:r>
      <w:r w:rsidR="0013380B" w:rsidRPr="00930562">
        <w:rPr>
          <w:rFonts w:asciiTheme="majorHAnsi" w:hAnsiTheme="majorHAnsi"/>
          <w:lang w:val="es-US"/>
        </w:rPr>
        <w:t xml:space="preserve">, </w:t>
      </w:r>
      <w:r w:rsidRPr="00930562">
        <w:rPr>
          <w:rFonts w:asciiTheme="majorHAnsi" w:hAnsiTheme="majorHAnsi"/>
          <w:lang w:val="es-US"/>
        </w:rPr>
        <w:t xml:space="preserve">la </w:t>
      </w:r>
      <w:r w:rsidR="0013380B" w:rsidRPr="00930562">
        <w:rPr>
          <w:rFonts w:asciiTheme="majorHAnsi" w:hAnsiTheme="majorHAnsi"/>
          <w:lang w:val="es-US"/>
        </w:rPr>
        <w:t>Comisi</w:t>
      </w:r>
      <w:r w:rsidRPr="00930562">
        <w:rPr>
          <w:rFonts w:asciiTheme="majorHAnsi" w:hAnsiTheme="majorHAnsi"/>
          <w:lang w:val="es-US"/>
        </w:rPr>
        <w:t>ó</w:t>
      </w:r>
      <w:r w:rsidR="0013380B" w:rsidRPr="00930562">
        <w:rPr>
          <w:rFonts w:asciiTheme="majorHAnsi" w:hAnsiTheme="majorHAnsi"/>
          <w:lang w:val="es-US"/>
        </w:rPr>
        <w:t xml:space="preserve">n ha </w:t>
      </w:r>
      <w:r w:rsidRPr="00930562">
        <w:rPr>
          <w:rFonts w:asciiTheme="majorHAnsi" w:hAnsiTheme="majorHAnsi"/>
          <w:lang w:val="es-US"/>
        </w:rPr>
        <w:t>señalado previamente que</w:t>
      </w:r>
      <w:r w:rsidR="00B554A4" w:rsidRPr="00930562">
        <w:rPr>
          <w:rFonts w:asciiTheme="majorHAnsi" w:hAnsiTheme="majorHAnsi"/>
          <w:lang w:val="es-US"/>
        </w:rPr>
        <w:t>:</w:t>
      </w:r>
      <w:r w:rsidRPr="00930562">
        <w:rPr>
          <w:rFonts w:asciiTheme="majorHAnsi" w:hAnsiTheme="majorHAnsi"/>
          <w:lang w:val="es-US"/>
        </w:rPr>
        <w:t xml:space="preserve"> </w:t>
      </w:r>
    </w:p>
    <w:p w14:paraId="6199605A" w14:textId="73B37E92" w:rsidR="0036410B" w:rsidRPr="00930562" w:rsidRDefault="00CD56BB" w:rsidP="0098763C">
      <w:pPr>
        <w:pStyle w:val="ListParagraph"/>
        <w:spacing w:after="240" w:line="240" w:lineRule="auto"/>
        <w:ind w:left="1166" w:right="619"/>
        <w:contextualSpacing w:val="0"/>
        <w:jc w:val="both"/>
        <w:rPr>
          <w:rFonts w:asciiTheme="majorHAnsi" w:hAnsiTheme="majorHAnsi" w:cs="Cambria"/>
          <w:szCs w:val="18"/>
          <w:lang w:val="es-US"/>
        </w:rPr>
      </w:pPr>
      <w:r w:rsidRPr="00930562">
        <w:rPr>
          <w:rFonts w:asciiTheme="majorHAnsi" w:eastAsia="Calibri" w:hAnsiTheme="majorHAnsi"/>
          <w:lang w:val="es-US"/>
        </w:rPr>
        <w:t xml:space="preserve">A pesar de las arraigadas raíces históricas que tienen la discriminación y el racismo contra las personas afrodescendientes y los pueblos indígenas en el continente americano, estas </w:t>
      </w:r>
      <w:r w:rsidR="007825E3" w:rsidRPr="00930562">
        <w:rPr>
          <w:rFonts w:asciiTheme="majorHAnsi" w:eastAsia="Calibri" w:hAnsiTheme="majorHAnsi"/>
          <w:lang w:val="es-US"/>
        </w:rPr>
        <w:t>problemáticas</w:t>
      </w:r>
      <w:r w:rsidRPr="00930562">
        <w:rPr>
          <w:rFonts w:asciiTheme="majorHAnsi" w:eastAsia="Calibri" w:hAnsiTheme="majorHAnsi"/>
          <w:lang w:val="es-US"/>
        </w:rPr>
        <w:t>, así como sus causas y consecuencias, han sido ampliamente ignoradas, invisibilizadas e incluso</w:t>
      </w:r>
      <w:r w:rsidRPr="00930562">
        <w:rPr>
          <w:rFonts w:asciiTheme="majorHAnsi" w:hAnsiTheme="majorHAnsi"/>
          <w:lang w:val="es-US"/>
        </w:rPr>
        <w:t xml:space="preserve"> </w:t>
      </w:r>
      <w:r w:rsidRPr="00930562">
        <w:rPr>
          <w:rFonts w:asciiTheme="majorHAnsi" w:eastAsia="Calibri" w:hAnsiTheme="majorHAnsi"/>
          <w:lang w:val="es-US"/>
        </w:rPr>
        <w:t xml:space="preserve">negadas en la mayor parte de los Estados de las </w:t>
      </w:r>
      <w:r w:rsidR="007825E3" w:rsidRPr="00930562">
        <w:rPr>
          <w:rFonts w:asciiTheme="majorHAnsi" w:eastAsia="Calibri" w:hAnsiTheme="majorHAnsi"/>
          <w:lang w:val="es-US"/>
        </w:rPr>
        <w:t>Américas</w:t>
      </w:r>
      <w:r w:rsidRPr="00930562">
        <w:rPr>
          <w:rFonts w:asciiTheme="majorHAnsi" w:eastAsia="Calibri" w:hAnsiTheme="majorHAnsi"/>
          <w:lang w:val="es-US"/>
        </w:rPr>
        <w:t xml:space="preserve">. La invisibilidad de la </w:t>
      </w:r>
      <w:r w:rsidR="007825E3" w:rsidRPr="00930562">
        <w:rPr>
          <w:rFonts w:asciiTheme="majorHAnsi" w:eastAsia="Calibri" w:hAnsiTheme="majorHAnsi"/>
          <w:lang w:val="es-US"/>
        </w:rPr>
        <w:t>discriminación</w:t>
      </w:r>
      <w:r w:rsidRPr="00930562">
        <w:rPr>
          <w:rFonts w:asciiTheme="majorHAnsi" w:eastAsia="Calibri" w:hAnsiTheme="majorHAnsi"/>
          <w:lang w:val="es-US"/>
        </w:rPr>
        <w:t xml:space="preserve"> y el racismo en las </w:t>
      </w:r>
      <w:r w:rsidR="007825E3" w:rsidRPr="00930562">
        <w:rPr>
          <w:rFonts w:asciiTheme="majorHAnsi" w:eastAsia="Calibri" w:hAnsiTheme="majorHAnsi"/>
          <w:lang w:val="es-US"/>
        </w:rPr>
        <w:t>Américas</w:t>
      </w:r>
      <w:r w:rsidRPr="00930562">
        <w:rPr>
          <w:rFonts w:asciiTheme="majorHAnsi" w:eastAsia="Calibri" w:hAnsiTheme="majorHAnsi"/>
          <w:lang w:val="es-US"/>
        </w:rPr>
        <w:t xml:space="preserve"> responde a varios factores, siendo uno de ellos la manera en la que </w:t>
      </w:r>
      <w:r w:rsidR="007825E3" w:rsidRPr="00930562">
        <w:rPr>
          <w:rFonts w:asciiTheme="majorHAnsi" w:eastAsia="Calibri" w:hAnsiTheme="majorHAnsi"/>
          <w:lang w:val="es-US"/>
        </w:rPr>
        <w:t>histórica</w:t>
      </w:r>
      <w:r w:rsidRPr="00930562">
        <w:rPr>
          <w:rFonts w:asciiTheme="majorHAnsi" w:eastAsia="Calibri" w:hAnsiTheme="majorHAnsi"/>
          <w:lang w:val="es-US"/>
        </w:rPr>
        <w:t xml:space="preserve"> y </w:t>
      </w:r>
      <w:r w:rsidRPr="00930562">
        <w:rPr>
          <w:rFonts w:asciiTheme="majorHAnsi" w:eastAsia="Calibri" w:hAnsiTheme="majorHAnsi"/>
          <w:lang w:val="es-US"/>
        </w:rPr>
        <w:lastRenderedPageBreak/>
        <w:t>culturalmente se ha arraigado el racismo desde los tiempos de la esclavitud y la colonización hasta nuestros dı́as.</w:t>
      </w:r>
      <w:r w:rsidR="0013380B" w:rsidRPr="00930562">
        <w:rPr>
          <w:rFonts w:asciiTheme="majorHAnsi" w:eastAsia="Calibri" w:hAnsiTheme="majorHAnsi"/>
          <w:lang w:val="es-US"/>
        </w:rPr>
        <w:t xml:space="preserve"> </w:t>
      </w:r>
      <w:r w:rsidRPr="00930562">
        <w:rPr>
          <w:rFonts w:asciiTheme="majorHAnsi" w:eastAsia="Calibri" w:hAnsiTheme="majorHAnsi"/>
          <w:lang w:val="es-US"/>
        </w:rPr>
        <w:t xml:space="preserve">A criterio de la Comisión, muchas de las formas de discriminación y racismo que todavı́a enfrentan en la actualidad las personas afrodescendientes y los pueblos indı́genas en el continente americano tienen sus orı́genes en los hechos históricos </w:t>
      </w:r>
      <w:r w:rsidR="0013380B" w:rsidRPr="00930562">
        <w:rPr>
          <w:rFonts w:asciiTheme="majorHAnsi" w:eastAsia="Calibri" w:hAnsiTheme="majorHAnsi"/>
          <w:lang w:val="es-US"/>
        </w:rPr>
        <w:t>[…]</w:t>
      </w:r>
      <w:r w:rsidRPr="00930562">
        <w:rPr>
          <w:rFonts w:asciiTheme="majorHAnsi" w:eastAsia="Calibri" w:hAnsiTheme="majorHAnsi"/>
          <w:lang w:val="es-US"/>
        </w:rPr>
        <w:t xml:space="preserve"> pero también en el hecho que estas problemá ticas no fueron reconocidas ni abordadas por los Estados</w:t>
      </w:r>
      <w:r w:rsidR="0013380B" w:rsidRPr="00930562">
        <w:rPr>
          <w:rFonts w:asciiTheme="majorHAnsi" w:eastAsia="Calibri" w:hAnsiTheme="majorHAnsi"/>
          <w:lang w:val="es-US"/>
        </w:rPr>
        <w:t xml:space="preserve"> […]</w:t>
      </w:r>
      <w:r w:rsidRPr="00930562">
        <w:rPr>
          <w:rFonts w:asciiTheme="majorHAnsi" w:eastAsia="Calibri" w:hAnsiTheme="majorHAnsi"/>
          <w:lang w:val="es-US"/>
        </w:rPr>
        <w:t xml:space="preserve"> en gran medida se han mantenido invisibilizadas hasta años recientes.</w:t>
      </w:r>
      <w:r w:rsidR="0013380B" w:rsidRPr="00930562">
        <w:rPr>
          <w:rFonts w:asciiTheme="majorHAnsi" w:eastAsia="Calibri" w:hAnsiTheme="majorHAnsi"/>
          <w:lang w:val="es-US"/>
        </w:rPr>
        <w:t xml:space="preserve"> </w:t>
      </w:r>
      <w:r w:rsidRPr="00930562">
        <w:rPr>
          <w:rFonts w:asciiTheme="majorHAnsi" w:eastAsia="Calibri" w:hAnsiTheme="majorHAnsi"/>
          <w:lang w:val="es-US"/>
        </w:rPr>
        <w:t xml:space="preserve">Esto ha llevado a la Comisión a sostener que la población afrodescendiente en las Américas se encuentra marcada por una historia de </w:t>
      </w:r>
      <w:r w:rsidR="00DD42A6" w:rsidRPr="00930562">
        <w:rPr>
          <w:rFonts w:asciiTheme="majorHAnsi" w:eastAsia="Calibri" w:hAnsiTheme="majorHAnsi"/>
          <w:lang w:val="es-US"/>
        </w:rPr>
        <w:t>rechazo</w:t>
      </w:r>
      <w:r w:rsidRPr="00930562">
        <w:rPr>
          <w:rFonts w:asciiTheme="majorHAnsi" w:eastAsia="Calibri" w:hAnsiTheme="majorHAnsi"/>
          <w:lang w:val="es-US"/>
        </w:rPr>
        <w:t>, exclusión y desventajas sociales y económicas, que afectan el goce de sus derechos fundamentales</w:t>
      </w:r>
      <w:r w:rsidR="0013380B" w:rsidRPr="00930562">
        <w:rPr>
          <w:rFonts w:asciiTheme="majorHAnsi" w:hAnsiTheme="majorHAnsi" w:cs="Cambria"/>
          <w:szCs w:val="18"/>
          <w:lang w:val="es-US"/>
        </w:rPr>
        <w:t>.</w:t>
      </w:r>
      <w:r w:rsidR="0013380B" w:rsidRPr="00930562">
        <w:rPr>
          <w:rStyle w:val="FootnoteReference"/>
          <w:rFonts w:asciiTheme="majorHAnsi" w:hAnsiTheme="majorHAnsi" w:cs="Cambria"/>
          <w:szCs w:val="18"/>
          <w:lang w:val="es-US"/>
        </w:rPr>
        <w:footnoteReference w:id="56"/>
      </w:r>
    </w:p>
    <w:p w14:paraId="5B7503E9" w14:textId="707AFF8D" w:rsidR="0036410B" w:rsidRPr="00930562" w:rsidRDefault="00FB0F80"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La historia del racismo contra la población afrodescendiente en los Estados Unidos, así como en las Américas, está estrechamente ligada a la historia de la esclavitud que comienza en el período colonial. Los orígenes de la esclavitud en los Estados Unidos datan de principios d</w:t>
      </w:r>
      <w:r w:rsidR="00E17870" w:rsidRPr="00930562">
        <w:rPr>
          <w:rFonts w:asciiTheme="majorHAnsi" w:hAnsiTheme="majorHAnsi"/>
          <w:lang w:val="es-US"/>
        </w:rPr>
        <w:t>e los</w:t>
      </w:r>
      <w:r w:rsidRPr="00930562">
        <w:rPr>
          <w:rFonts w:asciiTheme="majorHAnsi" w:hAnsiTheme="majorHAnsi"/>
          <w:lang w:val="es-US"/>
        </w:rPr>
        <w:t xml:space="preserve"> </w:t>
      </w:r>
      <w:r w:rsidR="00E17870" w:rsidRPr="00930562">
        <w:rPr>
          <w:rFonts w:asciiTheme="majorHAnsi" w:hAnsiTheme="majorHAnsi"/>
          <w:lang w:val="es-US"/>
        </w:rPr>
        <w:t>1600’s</w:t>
      </w:r>
      <w:r w:rsidRPr="00930562">
        <w:rPr>
          <w:rFonts w:asciiTheme="majorHAnsi" w:hAnsiTheme="majorHAnsi"/>
          <w:lang w:val="es-US"/>
        </w:rPr>
        <w:t>, cuando los africanos fueron traídos por primera vez a lo que es hoy Estados Unidos, directamente de África y de las islas del Caribe como Barbados, para trabajar en las granjas y plantaciones de las colonias.</w:t>
      </w:r>
      <w:r w:rsidRPr="00930562">
        <w:rPr>
          <w:rFonts w:asciiTheme="majorHAnsi" w:hAnsiTheme="majorHAnsi"/>
          <w:vertAlign w:val="superscript"/>
          <w:lang w:val="es-US"/>
        </w:rPr>
        <w:footnoteReference w:id="57"/>
      </w:r>
      <w:r w:rsidRPr="00930562">
        <w:rPr>
          <w:rFonts w:asciiTheme="majorHAnsi" w:hAnsiTheme="majorHAnsi"/>
          <w:lang w:val="es-US"/>
        </w:rPr>
        <w:t xml:space="preserve"> En el transcurso de ese siglo, la incipiente jerarquía racial se fue transformando en una condición hereditaria y permanente de esclavitud </w:t>
      </w:r>
      <w:r w:rsidR="0036410B" w:rsidRPr="00930562">
        <w:rPr>
          <w:rFonts w:asciiTheme="majorHAnsi" w:hAnsiTheme="majorHAnsi"/>
          <w:lang w:val="es-US"/>
        </w:rPr>
        <w:t>debido a</w:t>
      </w:r>
      <w:r w:rsidRPr="00930562">
        <w:rPr>
          <w:rFonts w:asciiTheme="majorHAnsi" w:hAnsiTheme="majorHAnsi"/>
          <w:lang w:val="es-US"/>
        </w:rPr>
        <w:t>l color de la piel</w:t>
      </w:r>
      <w:r w:rsidR="0036410B" w:rsidRPr="00930562">
        <w:rPr>
          <w:rFonts w:asciiTheme="majorHAnsi" w:hAnsiTheme="majorHAnsi"/>
          <w:lang w:val="es-US"/>
        </w:rPr>
        <w:t>.</w:t>
      </w:r>
      <w:r w:rsidR="0036410B" w:rsidRPr="00930562">
        <w:rPr>
          <w:rFonts w:asciiTheme="majorHAnsi" w:hAnsiTheme="majorHAnsi"/>
          <w:vertAlign w:val="superscript"/>
          <w:lang w:val="es-US"/>
        </w:rPr>
        <w:footnoteReference w:id="58"/>
      </w:r>
      <w:r w:rsidR="0036410B" w:rsidRPr="00930562">
        <w:rPr>
          <w:rFonts w:asciiTheme="majorHAnsi" w:hAnsiTheme="majorHAnsi"/>
          <w:lang w:val="es-US"/>
        </w:rPr>
        <w:t xml:space="preserve"> A medida que el sistema de la esclavitud se fue afianzando, también creció la necesidad de mantener un orden económico que ayudara a los dueños de las plantaciones a recuperar y castigar a los esclavos que intentaban escapar;</w:t>
      </w:r>
      <w:r w:rsidR="00CC7BD2" w:rsidRPr="00930562">
        <w:rPr>
          <w:rFonts w:asciiTheme="majorHAnsi" w:hAnsiTheme="majorHAnsi"/>
          <w:lang w:val="es-US"/>
        </w:rPr>
        <w:t xml:space="preserve"> en 1704 la colonia de Carolina del Sur </w:t>
      </w:r>
      <w:r w:rsidR="00CC7BD2" w:rsidRPr="00930562">
        <w:rPr>
          <w:rFonts w:asciiTheme="majorHAnsi" w:hAnsiTheme="majorHAnsi"/>
          <w:lang w:val="es-US"/>
        </w:rPr>
        <w:br/>
        <w:t xml:space="preserve">desarrolló la primera patrulla de esclavos del país para apresar y retornar esclavos fugitivos, disuadir rebeliones de esclavos y </w:t>
      </w:r>
      <w:r w:rsidR="0011746B" w:rsidRPr="00930562">
        <w:rPr>
          <w:rFonts w:asciiTheme="majorHAnsi" w:hAnsiTheme="majorHAnsi"/>
          <w:lang w:val="es-US"/>
        </w:rPr>
        <w:t>realizar</w:t>
      </w:r>
      <w:r w:rsidR="00CC7BD2" w:rsidRPr="00930562">
        <w:rPr>
          <w:rFonts w:asciiTheme="majorHAnsi" w:hAnsiTheme="majorHAnsi"/>
          <w:lang w:val="es-US"/>
        </w:rPr>
        <w:t xml:space="preserve"> </w:t>
      </w:r>
      <w:r w:rsidR="0011746B" w:rsidRPr="00930562">
        <w:rPr>
          <w:rFonts w:asciiTheme="majorHAnsi" w:hAnsiTheme="majorHAnsi"/>
          <w:lang w:val="es-US"/>
        </w:rPr>
        <w:t xml:space="preserve">golpizas y </w:t>
      </w:r>
      <w:r w:rsidR="00CC7BD2" w:rsidRPr="00930562">
        <w:rPr>
          <w:rFonts w:asciiTheme="majorHAnsi" w:hAnsiTheme="majorHAnsi"/>
          <w:lang w:val="es-US"/>
        </w:rPr>
        <w:t xml:space="preserve">latigazos, buscando </w:t>
      </w:r>
      <w:r w:rsidR="0011746B" w:rsidRPr="00930562">
        <w:rPr>
          <w:rFonts w:asciiTheme="majorHAnsi" w:hAnsiTheme="majorHAnsi"/>
          <w:lang w:val="es-US"/>
        </w:rPr>
        <w:t xml:space="preserve">así </w:t>
      </w:r>
      <w:r w:rsidR="00CC7BD2" w:rsidRPr="00930562">
        <w:rPr>
          <w:rFonts w:asciiTheme="majorHAnsi" w:hAnsiTheme="majorHAnsi"/>
          <w:lang w:val="es-US"/>
        </w:rPr>
        <w:t xml:space="preserve">frustrar cualquier actividad que </w:t>
      </w:r>
      <w:r w:rsidR="0011746B" w:rsidRPr="00930562">
        <w:rPr>
          <w:rFonts w:asciiTheme="majorHAnsi" w:hAnsiTheme="majorHAnsi"/>
          <w:lang w:val="es-US"/>
        </w:rPr>
        <w:t>pusiera en peligro</w:t>
      </w:r>
      <w:r w:rsidR="00CC7BD2" w:rsidRPr="00930562">
        <w:rPr>
          <w:rFonts w:asciiTheme="majorHAnsi" w:hAnsiTheme="majorHAnsi"/>
          <w:lang w:val="es-US"/>
        </w:rPr>
        <w:t xml:space="preserve"> la existencia </w:t>
      </w:r>
      <w:r w:rsidR="0011746B" w:rsidRPr="00930562">
        <w:rPr>
          <w:rFonts w:asciiTheme="majorHAnsi" w:hAnsiTheme="majorHAnsi"/>
          <w:lang w:val="es-US"/>
        </w:rPr>
        <w:t>misma</w:t>
      </w:r>
      <w:r w:rsidR="00CC7BD2" w:rsidRPr="00930562">
        <w:rPr>
          <w:rFonts w:asciiTheme="majorHAnsi" w:hAnsiTheme="majorHAnsi"/>
          <w:lang w:val="es-US"/>
        </w:rPr>
        <w:t xml:space="preserve"> </w:t>
      </w:r>
      <w:r w:rsidR="0011746B" w:rsidRPr="00930562">
        <w:rPr>
          <w:rFonts w:asciiTheme="majorHAnsi" w:hAnsiTheme="majorHAnsi"/>
          <w:lang w:val="es-US"/>
        </w:rPr>
        <w:t xml:space="preserve">de la institución </w:t>
      </w:r>
      <w:r w:rsidR="00CC7BD2" w:rsidRPr="00930562">
        <w:rPr>
          <w:rFonts w:asciiTheme="majorHAnsi" w:hAnsiTheme="majorHAnsi"/>
          <w:lang w:val="es-US"/>
        </w:rPr>
        <w:t>de la esclavitud</w:t>
      </w:r>
      <w:r w:rsidR="0011746B" w:rsidRPr="00930562">
        <w:rPr>
          <w:rFonts w:asciiTheme="majorHAnsi" w:hAnsiTheme="majorHAnsi"/>
          <w:lang w:val="es-US"/>
        </w:rPr>
        <w:t xml:space="preserve">. </w:t>
      </w:r>
      <w:r w:rsidR="0011746B" w:rsidRPr="00930562">
        <w:rPr>
          <w:rFonts w:asciiTheme="majorHAnsi" w:hAnsiTheme="majorHAnsi"/>
          <w:vertAlign w:val="superscript"/>
          <w:lang w:val="es-US"/>
        </w:rPr>
        <w:footnoteReference w:id="59"/>
      </w:r>
      <w:r w:rsidR="0011746B" w:rsidRPr="00930562">
        <w:rPr>
          <w:rFonts w:asciiTheme="majorHAnsi" w:hAnsiTheme="majorHAnsi"/>
          <w:lang w:val="es-US"/>
        </w:rPr>
        <w:t xml:space="preserve"> Las patrullas de </w:t>
      </w:r>
      <w:r w:rsidR="0011746B" w:rsidRPr="00930562">
        <w:rPr>
          <w:rFonts w:asciiTheme="majorHAnsi" w:hAnsiTheme="majorHAnsi"/>
          <w:lang w:val="es-US"/>
        </w:rPr>
        <w:lastRenderedPageBreak/>
        <w:t>esclavos fueron, pues, "el primer tipo de vigilancia policial exclusivamente estadounidense".</w:t>
      </w:r>
      <w:r w:rsidR="0011746B" w:rsidRPr="00930562">
        <w:rPr>
          <w:rFonts w:asciiTheme="majorHAnsi" w:hAnsiTheme="majorHAnsi"/>
          <w:vertAlign w:val="superscript"/>
          <w:lang w:val="es-US"/>
        </w:rPr>
        <w:footnoteReference w:id="60"/>
      </w:r>
    </w:p>
    <w:p w14:paraId="3323F8EE" w14:textId="5F8C6591" w:rsidR="00346D16" w:rsidRPr="00930562" w:rsidRDefault="00346D16"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 xml:space="preserve">El comercio transatlántico de esclavos continuó creciendo durante los siglos que siguieron, y </w:t>
      </w:r>
      <w:r w:rsidR="00B23440" w:rsidRPr="00930562">
        <w:rPr>
          <w:rFonts w:asciiTheme="majorHAnsi" w:hAnsiTheme="majorHAnsi"/>
          <w:lang w:val="es-US"/>
        </w:rPr>
        <w:t xml:space="preserve">debido </w:t>
      </w:r>
      <w:r w:rsidRPr="00930562">
        <w:rPr>
          <w:rFonts w:asciiTheme="majorHAnsi" w:hAnsiTheme="majorHAnsi"/>
          <w:lang w:val="es-US"/>
        </w:rPr>
        <w:t>al momento de la Guerra de la Revolución (1775-1783) y más tarde la redacción de la Constitución de los Estados Unidos (1787), el sistema de esclavitud por raza ya se encontraba fuertemente arraigado en much</w:t>
      </w:r>
      <w:r w:rsidR="00B23440" w:rsidRPr="00930562">
        <w:rPr>
          <w:rFonts w:asciiTheme="majorHAnsi" w:hAnsiTheme="majorHAnsi"/>
          <w:lang w:val="es-US"/>
        </w:rPr>
        <w:t>a</w:t>
      </w:r>
      <w:r w:rsidRPr="00930562">
        <w:rPr>
          <w:rFonts w:asciiTheme="majorHAnsi" w:hAnsiTheme="majorHAnsi"/>
          <w:lang w:val="es-US"/>
        </w:rPr>
        <w:t>s de las colonias.  Mientras que las economías de las colonias sureñas como Virginia, Maryland y las Carolinas dependían en gran medida de la explotación de mano de obra esclava en las plantaciones agrícolas, los industriales, los bancos y los financi</w:t>
      </w:r>
      <w:r w:rsidR="00441623" w:rsidRPr="00930562">
        <w:rPr>
          <w:rFonts w:asciiTheme="majorHAnsi" w:hAnsiTheme="majorHAnsi"/>
          <w:lang w:val="es-US"/>
        </w:rPr>
        <w:t>eros</w:t>
      </w:r>
      <w:r w:rsidRPr="00930562">
        <w:rPr>
          <w:rFonts w:asciiTheme="majorHAnsi" w:hAnsiTheme="majorHAnsi"/>
          <w:lang w:val="es-US"/>
        </w:rPr>
        <w:t xml:space="preserve"> del norte de Nueva Inglaterra y las colonias del Atlántico Central se beneficiaban enormemente de sus inversiones y </w:t>
      </w:r>
      <w:r w:rsidR="00441623" w:rsidRPr="00930562">
        <w:rPr>
          <w:rFonts w:asciiTheme="majorHAnsi" w:hAnsiTheme="majorHAnsi"/>
          <w:lang w:val="es-US"/>
        </w:rPr>
        <w:t xml:space="preserve">relaciones de </w:t>
      </w:r>
      <w:r w:rsidRPr="00930562">
        <w:rPr>
          <w:rFonts w:asciiTheme="majorHAnsi" w:hAnsiTheme="majorHAnsi"/>
          <w:lang w:val="es-US"/>
        </w:rPr>
        <w:t>comercio con las colonias esclavistas, tanto en el sur como en el Caribe.</w:t>
      </w:r>
      <w:r w:rsidRPr="00930562">
        <w:rPr>
          <w:rFonts w:asciiTheme="majorHAnsi" w:hAnsiTheme="majorHAnsi" w:cs="Cambria"/>
          <w:vertAlign w:val="superscript"/>
          <w:lang w:val="es-US"/>
        </w:rPr>
        <w:footnoteReference w:id="61"/>
      </w:r>
      <w:r w:rsidRPr="00930562">
        <w:rPr>
          <w:rFonts w:asciiTheme="majorHAnsi" w:hAnsiTheme="majorHAnsi" w:cs="Cambria"/>
          <w:lang w:val="es-US"/>
        </w:rPr>
        <w:t xml:space="preserve"> </w:t>
      </w:r>
      <w:r w:rsidRPr="00930562">
        <w:rPr>
          <w:rFonts w:asciiTheme="majorHAnsi" w:hAnsiTheme="majorHAnsi"/>
          <w:lang w:val="es-US"/>
        </w:rPr>
        <w:t>Si bien la palabra "esclavitud" fue intencionalmente excluida de la Constitución, se l</w:t>
      </w:r>
      <w:r w:rsidR="00441623" w:rsidRPr="00930562">
        <w:rPr>
          <w:rFonts w:asciiTheme="majorHAnsi" w:hAnsiTheme="majorHAnsi"/>
          <w:lang w:val="es-US"/>
        </w:rPr>
        <w:t>e</w:t>
      </w:r>
      <w:r w:rsidRPr="00930562">
        <w:rPr>
          <w:rFonts w:asciiTheme="majorHAnsi" w:hAnsiTheme="majorHAnsi"/>
          <w:lang w:val="es-US"/>
        </w:rPr>
        <w:t xml:space="preserve"> considera ampliamente reconocida de manera implícita en el infame "Compromiso de las tres quintas partes"</w:t>
      </w:r>
      <w:r w:rsidRPr="00930562">
        <w:rPr>
          <w:rFonts w:asciiTheme="majorHAnsi" w:hAnsiTheme="majorHAnsi" w:cs="Cambria"/>
          <w:lang w:val="es-US"/>
        </w:rPr>
        <w:t>.</w:t>
      </w:r>
      <w:r w:rsidRPr="00930562">
        <w:rPr>
          <w:rFonts w:asciiTheme="majorHAnsi" w:hAnsiTheme="majorHAnsi" w:cs="Cambria"/>
          <w:vertAlign w:val="superscript"/>
          <w:lang w:val="es-US"/>
        </w:rPr>
        <w:footnoteReference w:id="62"/>
      </w:r>
      <w:r w:rsidRPr="00930562">
        <w:rPr>
          <w:rFonts w:asciiTheme="majorHAnsi" w:hAnsiTheme="majorHAnsi" w:cs="Cambria"/>
          <w:lang w:val="es-US"/>
        </w:rPr>
        <w:t xml:space="preserve">  </w:t>
      </w:r>
      <w:r w:rsidRPr="00930562">
        <w:rPr>
          <w:rFonts w:asciiTheme="majorHAnsi" w:hAnsiTheme="majorHAnsi"/>
          <w:lang w:val="es-US"/>
        </w:rPr>
        <w:t>De esta forma, la jerarquía racializada fue incluida como parte del ordenamiento fundacional legal y económico de los EE.UU.</w:t>
      </w:r>
    </w:p>
    <w:p w14:paraId="6DA2FC43" w14:textId="77777777" w:rsidR="00BD4A60" w:rsidRPr="00930562" w:rsidRDefault="003C0962"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A principios del siglo XIX, los debates sobre la continuidad de la esclavitud se intensificaron entre los estados del norte y del sur mientras emergían conflictos en varios frentes: puntos álgidos incluían la  disputa continua sobre la expansión de la esclavitud hacia el oeste de los territorios</w:t>
      </w:r>
      <w:r w:rsidRPr="00930562">
        <w:rPr>
          <w:rFonts w:asciiTheme="majorHAnsi" w:eastAsia="Times New Roman" w:hAnsiTheme="majorHAnsi" w:cs="Courier New"/>
          <w:lang w:val="es-US" w:eastAsia="es-MX"/>
        </w:rPr>
        <w:t>,</w:t>
      </w:r>
      <w:r w:rsidRPr="00930562">
        <w:rPr>
          <w:rFonts w:asciiTheme="majorHAnsi" w:hAnsiTheme="majorHAnsi" w:cs="Cambria"/>
          <w:szCs w:val="20"/>
          <w:vertAlign w:val="superscript"/>
          <w:lang w:val="es-US"/>
        </w:rPr>
        <w:footnoteReference w:id="63"/>
      </w:r>
      <w:r w:rsidRPr="00930562">
        <w:rPr>
          <w:rFonts w:asciiTheme="majorHAnsi" w:eastAsia="Times New Roman" w:hAnsiTheme="majorHAnsi" w:cs="Courier New"/>
          <w:lang w:val="es-US" w:eastAsia="es-MX"/>
        </w:rPr>
        <w:t xml:space="preserve"> </w:t>
      </w:r>
      <w:r w:rsidRPr="00930562">
        <w:rPr>
          <w:rFonts w:asciiTheme="majorHAnsi" w:hAnsiTheme="majorHAnsi"/>
          <w:lang w:val="es-US"/>
        </w:rPr>
        <w:lastRenderedPageBreak/>
        <w:t>desafíos legales para la aplicación de las leyes de esclavos fugitivos, incluida la Ley de los Esclavos Fugitivos de 1850</w:t>
      </w:r>
      <w:r w:rsidRPr="00930562">
        <w:rPr>
          <w:rFonts w:asciiTheme="majorHAnsi" w:hAnsiTheme="majorHAnsi"/>
          <w:vertAlign w:val="superscript"/>
          <w:lang w:val="es-US"/>
        </w:rPr>
        <w:footnoteReference w:id="64"/>
      </w:r>
      <w:r w:rsidRPr="00930562">
        <w:rPr>
          <w:rFonts w:asciiTheme="majorHAnsi" w:hAnsiTheme="majorHAnsi"/>
          <w:lang w:val="es-US"/>
        </w:rPr>
        <w:t>, y el infame fallo Dred Scott de la Corte Suprema de 1857 –ampliamente interpretado como un intento fallido de aplacar a los estados esclavistas para evitar la guerra civil – que sostuvo que cualquier descendiente de esclavos en los Estados Unidos “no están incluidos, y no estaban destinados a ser incluidos, bajo el término 'ciudadanos' en la Constitución" y no tenían "ningún derecho que el hombre blanco estuviera obligado a respetar".</w:t>
      </w:r>
      <w:r w:rsidRPr="00930562">
        <w:rPr>
          <w:rFonts w:asciiTheme="majorHAnsi" w:hAnsiTheme="majorHAnsi"/>
          <w:vertAlign w:val="superscript"/>
          <w:lang w:val="es-US"/>
        </w:rPr>
        <w:footnoteReference w:id="65"/>
      </w:r>
      <w:r w:rsidRPr="00930562">
        <w:rPr>
          <w:rFonts w:asciiTheme="majorHAnsi" w:hAnsiTheme="majorHAnsi"/>
          <w:lang w:val="es-US"/>
        </w:rPr>
        <w:t xml:space="preserve"> El fracaso de estos compromisos y otras medidas legales y políticas tomadas para resolver el permanente conflicto entre los estados del norte y del sur sobre la esclavitud llevó al país cada vez más cerca de la Guerra Civil.</w:t>
      </w:r>
    </w:p>
    <w:p w14:paraId="20B484B6" w14:textId="77777777" w:rsidR="00BD4A60" w:rsidRPr="00930562" w:rsidRDefault="00842DFD"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 xml:space="preserve">En vísperas de la Guerra Civil, la esclavitud estaba </w:t>
      </w:r>
      <w:r w:rsidR="008D5772" w:rsidRPr="00930562">
        <w:rPr>
          <w:rFonts w:asciiTheme="majorHAnsi" w:hAnsiTheme="majorHAnsi"/>
          <w:lang w:val="es-US"/>
        </w:rPr>
        <w:t xml:space="preserve">plenamente </w:t>
      </w:r>
      <w:r w:rsidRPr="00930562">
        <w:rPr>
          <w:rFonts w:asciiTheme="majorHAnsi" w:hAnsiTheme="majorHAnsi"/>
          <w:lang w:val="es-US"/>
        </w:rPr>
        <w:t>institucionalizada en el orden</w:t>
      </w:r>
      <w:r w:rsidR="008D5772" w:rsidRPr="00930562">
        <w:rPr>
          <w:rFonts w:asciiTheme="majorHAnsi" w:hAnsiTheme="majorHAnsi"/>
          <w:lang w:val="es-US"/>
        </w:rPr>
        <w:t>amiento</w:t>
      </w:r>
      <w:r w:rsidRPr="00930562">
        <w:rPr>
          <w:rFonts w:asciiTheme="majorHAnsi" w:hAnsiTheme="majorHAnsi"/>
          <w:lang w:val="es-US"/>
        </w:rPr>
        <w:t xml:space="preserve"> económico y legal de los Estados Unidos, </w:t>
      </w:r>
      <w:r w:rsidR="00CA6917" w:rsidRPr="00930562">
        <w:rPr>
          <w:rFonts w:asciiTheme="majorHAnsi" w:hAnsiTheme="majorHAnsi"/>
          <w:lang w:val="es-US"/>
        </w:rPr>
        <w:t>conformado por</w:t>
      </w:r>
      <w:r w:rsidR="008D5772" w:rsidRPr="00930562">
        <w:rPr>
          <w:rFonts w:asciiTheme="majorHAnsi" w:hAnsiTheme="majorHAnsi"/>
          <w:lang w:val="es-US"/>
        </w:rPr>
        <w:t xml:space="preserve"> u</w:t>
      </w:r>
      <w:r w:rsidRPr="00930562">
        <w:rPr>
          <w:rFonts w:asciiTheme="majorHAnsi" w:hAnsiTheme="majorHAnsi"/>
          <w:lang w:val="es-US"/>
        </w:rPr>
        <w:t xml:space="preserve">n </w:t>
      </w:r>
      <w:r w:rsidR="008D5772" w:rsidRPr="00930562">
        <w:rPr>
          <w:rFonts w:asciiTheme="majorHAnsi" w:hAnsiTheme="majorHAnsi"/>
          <w:lang w:val="es-US"/>
        </w:rPr>
        <w:t xml:space="preserve">vasto </w:t>
      </w:r>
      <w:r w:rsidRPr="00930562">
        <w:rPr>
          <w:rFonts w:asciiTheme="majorHAnsi" w:hAnsiTheme="majorHAnsi"/>
          <w:lang w:val="es-US"/>
        </w:rPr>
        <w:t xml:space="preserve">sistema de </w:t>
      </w:r>
      <w:r w:rsidR="008D5772" w:rsidRPr="00930562">
        <w:rPr>
          <w:rFonts w:asciiTheme="majorHAnsi" w:hAnsiTheme="majorHAnsi"/>
          <w:lang w:val="es-US"/>
        </w:rPr>
        <w:t>C</w:t>
      </w:r>
      <w:r w:rsidRPr="00930562">
        <w:rPr>
          <w:rFonts w:asciiTheme="majorHAnsi" w:hAnsiTheme="majorHAnsi"/>
          <w:lang w:val="es-US"/>
        </w:rPr>
        <w:t xml:space="preserve">ódigos </w:t>
      </w:r>
      <w:r w:rsidR="008D5772" w:rsidRPr="00930562">
        <w:rPr>
          <w:rFonts w:asciiTheme="majorHAnsi" w:hAnsiTheme="majorHAnsi"/>
          <w:lang w:val="es-US"/>
        </w:rPr>
        <w:t xml:space="preserve">Esclavistas </w:t>
      </w:r>
      <w:r w:rsidRPr="00930562">
        <w:rPr>
          <w:rFonts w:asciiTheme="majorHAnsi" w:hAnsiTheme="majorHAnsi"/>
          <w:lang w:val="es-US"/>
        </w:rPr>
        <w:t xml:space="preserve">estatales que criminalizaban la mayoría de los aspectos de la </w:t>
      </w:r>
      <w:r w:rsidR="008D5772" w:rsidRPr="00930562">
        <w:rPr>
          <w:rFonts w:asciiTheme="majorHAnsi" w:hAnsiTheme="majorHAnsi"/>
          <w:lang w:val="es-US"/>
        </w:rPr>
        <w:t>vida de los</w:t>
      </w:r>
      <w:r w:rsidRPr="00930562">
        <w:rPr>
          <w:rFonts w:asciiTheme="majorHAnsi" w:hAnsiTheme="majorHAnsi"/>
          <w:lang w:val="es-US"/>
        </w:rPr>
        <w:t xml:space="preserve"> negr</w:t>
      </w:r>
      <w:r w:rsidR="008D5772" w:rsidRPr="00930562">
        <w:rPr>
          <w:rFonts w:asciiTheme="majorHAnsi" w:hAnsiTheme="majorHAnsi"/>
          <w:lang w:val="es-US"/>
        </w:rPr>
        <w:t>o</w:t>
      </w:r>
      <w:r w:rsidR="00CA6917" w:rsidRPr="00930562">
        <w:rPr>
          <w:rFonts w:asciiTheme="majorHAnsi" w:hAnsiTheme="majorHAnsi"/>
          <w:lang w:val="es-US"/>
        </w:rPr>
        <w:t>s</w:t>
      </w:r>
      <w:r w:rsidRPr="00930562">
        <w:rPr>
          <w:rFonts w:asciiTheme="majorHAnsi" w:hAnsiTheme="majorHAnsi"/>
          <w:lang w:val="es-US"/>
        </w:rPr>
        <w:t xml:space="preserve">, </w:t>
      </w:r>
      <w:r w:rsidR="00CA6917" w:rsidRPr="00930562">
        <w:rPr>
          <w:rFonts w:asciiTheme="majorHAnsi" w:hAnsiTheme="majorHAnsi"/>
          <w:lang w:val="es-US"/>
        </w:rPr>
        <w:t xml:space="preserve">y de </w:t>
      </w:r>
      <w:r w:rsidRPr="00930562">
        <w:rPr>
          <w:rFonts w:asciiTheme="majorHAnsi" w:hAnsiTheme="majorHAnsi"/>
          <w:lang w:val="es-US"/>
        </w:rPr>
        <w:t xml:space="preserve">mecanismos federales de </w:t>
      </w:r>
      <w:r w:rsidR="008D5772" w:rsidRPr="00930562">
        <w:rPr>
          <w:rFonts w:asciiTheme="majorHAnsi" w:hAnsiTheme="majorHAnsi"/>
          <w:lang w:val="es-US"/>
        </w:rPr>
        <w:t>aplicación de la ley.</w:t>
      </w:r>
      <w:bookmarkStart w:id="46" w:name="_Ref507165488"/>
      <w:r w:rsidR="008D5772" w:rsidRPr="00930562">
        <w:rPr>
          <w:rFonts w:asciiTheme="majorHAnsi" w:hAnsiTheme="majorHAnsi"/>
          <w:vertAlign w:val="superscript"/>
          <w:lang w:val="es-US"/>
        </w:rPr>
        <w:footnoteReference w:id="66"/>
      </w:r>
      <w:bookmarkEnd w:id="46"/>
      <w:r w:rsidR="008D5772" w:rsidRPr="00930562">
        <w:rPr>
          <w:rFonts w:asciiTheme="majorHAnsi" w:hAnsiTheme="majorHAnsi"/>
          <w:lang w:val="es-US"/>
        </w:rPr>
        <w:t xml:space="preserve">  Como sistema social y económico, la esclavitud se regía por el</w:t>
      </w:r>
      <w:r w:rsidR="00CA6917" w:rsidRPr="00930562">
        <w:rPr>
          <w:rFonts w:asciiTheme="majorHAnsi" w:hAnsiTheme="majorHAnsi"/>
          <w:lang w:val="es-US"/>
        </w:rPr>
        <w:t xml:space="preserve"> total y cruel control</w:t>
      </w:r>
      <w:r w:rsidR="008D5772" w:rsidRPr="00930562">
        <w:rPr>
          <w:rFonts w:asciiTheme="majorHAnsi" w:hAnsiTheme="majorHAnsi"/>
          <w:lang w:val="es-US"/>
        </w:rPr>
        <w:t xml:space="preserve"> de los cuerpos negros y vidas negras.</w:t>
      </w:r>
      <w:r w:rsidR="0013380B" w:rsidRPr="00930562">
        <w:rPr>
          <w:rFonts w:asciiTheme="majorHAnsi" w:hAnsiTheme="majorHAnsi"/>
          <w:vertAlign w:val="superscript"/>
          <w:lang w:val="es-US"/>
        </w:rPr>
        <w:footnoteReference w:id="67"/>
      </w:r>
      <w:r w:rsidR="0013380B" w:rsidRPr="00930562">
        <w:rPr>
          <w:rFonts w:asciiTheme="majorHAnsi" w:hAnsiTheme="majorHAnsi"/>
          <w:lang w:val="es-US"/>
        </w:rPr>
        <w:t xml:space="preserve"> </w:t>
      </w:r>
      <w:r w:rsidR="008D5772" w:rsidRPr="00930562">
        <w:rPr>
          <w:rFonts w:asciiTheme="majorHAnsi" w:hAnsiTheme="majorHAnsi"/>
          <w:lang w:val="es-US"/>
        </w:rPr>
        <w:t xml:space="preserve"> Virginia, por ejemplo, </w:t>
      </w:r>
      <w:r w:rsidR="00C56998" w:rsidRPr="00930562">
        <w:rPr>
          <w:rFonts w:asciiTheme="majorHAnsi" w:hAnsiTheme="majorHAnsi"/>
          <w:lang w:val="es-US"/>
        </w:rPr>
        <w:t xml:space="preserve">aprobó más de </w:t>
      </w:r>
      <w:r w:rsidR="0013380B" w:rsidRPr="00930562">
        <w:rPr>
          <w:rFonts w:asciiTheme="majorHAnsi" w:hAnsiTheme="majorHAnsi"/>
          <w:lang w:val="es-US"/>
        </w:rPr>
        <w:t xml:space="preserve">130 </w:t>
      </w:r>
      <w:r w:rsidR="00C56998" w:rsidRPr="00930562">
        <w:rPr>
          <w:rFonts w:asciiTheme="majorHAnsi" w:hAnsiTheme="majorHAnsi"/>
          <w:lang w:val="es-US"/>
        </w:rPr>
        <w:t xml:space="preserve">leyes </w:t>
      </w:r>
      <w:r w:rsidR="00C56998" w:rsidRPr="00930562">
        <w:rPr>
          <w:rFonts w:asciiTheme="majorHAnsi" w:hAnsiTheme="majorHAnsi"/>
          <w:lang w:val="es-US"/>
        </w:rPr>
        <w:lastRenderedPageBreak/>
        <w:t xml:space="preserve">esclavistas entre </w:t>
      </w:r>
      <w:r w:rsidR="0013380B" w:rsidRPr="00930562">
        <w:rPr>
          <w:rFonts w:asciiTheme="majorHAnsi" w:hAnsiTheme="majorHAnsi"/>
          <w:lang w:val="es-US"/>
        </w:rPr>
        <w:t xml:space="preserve">1689 </w:t>
      </w:r>
      <w:r w:rsidR="00C56998" w:rsidRPr="00930562">
        <w:rPr>
          <w:rFonts w:asciiTheme="majorHAnsi" w:hAnsiTheme="majorHAnsi"/>
          <w:lang w:val="es-US"/>
        </w:rPr>
        <w:t>y</w:t>
      </w:r>
      <w:r w:rsidR="0013380B" w:rsidRPr="00930562">
        <w:rPr>
          <w:rFonts w:asciiTheme="majorHAnsi" w:hAnsiTheme="majorHAnsi"/>
          <w:lang w:val="es-US"/>
        </w:rPr>
        <w:t xml:space="preserve"> 1865.</w:t>
      </w:r>
      <w:r w:rsidR="0013380B" w:rsidRPr="00930562">
        <w:rPr>
          <w:rFonts w:asciiTheme="majorHAnsi" w:hAnsiTheme="majorHAnsi"/>
          <w:vertAlign w:val="superscript"/>
          <w:lang w:val="es-US"/>
        </w:rPr>
        <w:footnoteReference w:id="68"/>
      </w:r>
      <w:r w:rsidR="0013380B" w:rsidRPr="00930562">
        <w:rPr>
          <w:rFonts w:asciiTheme="majorHAnsi" w:hAnsiTheme="majorHAnsi"/>
          <w:lang w:val="es-US"/>
        </w:rPr>
        <w:t xml:space="preserve"> </w:t>
      </w:r>
      <w:r w:rsidR="00C56998" w:rsidRPr="00930562">
        <w:rPr>
          <w:rFonts w:asciiTheme="majorHAnsi" w:hAnsiTheme="majorHAnsi"/>
          <w:lang w:val="es-US"/>
        </w:rPr>
        <w:t xml:space="preserve"> Esta arquitectura permitió la creación de "un sistema de cumplimiento de la ley legalmente establecido [...] con el claro propósito de controlar a la población esclava y proteger los intereses de los propietarios de esclavos"</w:t>
      </w:r>
      <w:r w:rsidR="00C56998" w:rsidRPr="00930562">
        <w:rPr>
          <w:rFonts w:asciiTheme="majorHAnsi" w:hAnsiTheme="majorHAnsi" w:cs="Cambria"/>
          <w:lang w:val="es-US"/>
        </w:rPr>
        <w:t xml:space="preserve">. </w:t>
      </w:r>
      <w:r w:rsidR="0013380B" w:rsidRPr="00930562">
        <w:rPr>
          <w:rFonts w:asciiTheme="majorHAnsi" w:hAnsiTheme="majorHAnsi" w:cs="Cambria"/>
          <w:szCs w:val="20"/>
          <w:vertAlign w:val="superscript"/>
          <w:lang w:val="es-US"/>
        </w:rPr>
        <w:footnoteReference w:id="69"/>
      </w:r>
      <w:r w:rsidR="0013380B" w:rsidRPr="00930562">
        <w:rPr>
          <w:rFonts w:asciiTheme="majorHAnsi" w:hAnsiTheme="majorHAnsi" w:cs="Cambria"/>
          <w:szCs w:val="20"/>
          <w:lang w:val="es-US"/>
        </w:rPr>
        <w:t xml:space="preserve"> </w:t>
      </w:r>
      <w:r w:rsidR="00C56998" w:rsidRPr="00930562">
        <w:rPr>
          <w:rFonts w:asciiTheme="majorHAnsi" w:hAnsiTheme="majorHAnsi"/>
          <w:lang w:val="es-US"/>
        </w:rPr>
        <w:t xml:space="preserve">La existencia de un sistema de características tan amplias encuentra explicación en el hecho de que la esclavitud era fundamental para la prosperidad de los EE.UU.;  hacia </w:t>
      </w:r>
      <w:r w:rsidR="0013380B" w:rsidRPr="00930562">
        <w:rPr>
          <w:rFonts w:asciiTheme="majorHAnsi" w:hAnsiTheme="majorHAnsi"/>
          <w:lang w:val="es-US"/>
        </w:rPr>
        <w:t xml:space="preserve">1860, </w:t>
      </w:r>
      <w:r w:rsidR="00C56998" w:rsidRPr="00930562">
        <w:rPr>
          <w:rFonts w:asciiTheme="majorHAnsi" w:hAnsiTheme="majorHAnsi"/>
          <w:lang w:val="es-US"/>
        </w:rPr>
        <w:t>los cuatro millones de esclavos en los Estados Unidos tenían un valor de aproximadamente U</w:t>
      </w:r>
      <w:r w:rsidR="0013380B" w:rsidRPr="00930562">
        <w:rPr>
          <w:rFonts w:asciiTheme="majorHAnsi" w:hAnsiTheme="majorHAnsi"/>
          <w:lang w:val="es-US"/>
        </w:rPr>
        <w:t xml:space="preserve">S $3.5 </w:t>
      </w:r>
      <w:r w:rsidR="00C56998" w:rsidRPr="00930562">
        <w:rPr>
          <w:rFonts w:asciiTheme="majorHAnsi" w:hAnsiTheme="majorHAnsi"/>
          <w:lang w:val="es-US"/>
        </w:rPr>
        <w:t>billones</w:t>
      </w:r>
      <w:r w:rsidR="0013380B" w:rsidRPr="00930562">
        <w:rPr>
          <w:rFonts w:asciiTheme="majorHAnsi" w:hAnsiTheme="majorHAnsi"/>
          <w:lang w:val="es-US"/>
        </w:rPr>
        <w:t>, “</w:t>
      </w:r>
      <w:r w:rsidR="00C56998" w:rsidRPr="00930562">
        <w:rPr>
          <w:rFonts w:asciiTheme="majorHAnsi" w:hAnsiTheme="majorHAnsi"/>
          <w:lang w:val="es-US"/>
        </w:rPr>
        <w:t>convirtiéndolos en el mayor activo financiero de toda la economía de EE. UU., más valioso aún que toda la manufactura y el sistema de ferrocarriles combinados</w:t>
      </w:r>
      <w:r w:rsidR="0013380B" w:rsidRPr="00930562">
        <w:rPr>
          <w:rFonts w:asciiTheme="majorHAnsi" w:hAnsiTheme="majorHAnsi"/>
          <w:lang w:val="es-US"/>
        </w:rPr>
        <w:t>.”</w:t>
      </w:r>
      <w:r w:rsidR="0013380B" w:rsidRPr="00930562">
        <w:rPr>
          <w:rStyle w:val="FootnoteReference"/>
          <w:rFonts w:asciiTheme="majorHAnsi" w:hAnsiTheme="majorHAnsi" w:cs="Cambria"/>
          <w:szCs w:val="20"/>
          <w:lang w:val="es-US"/>
        </w:rPr>
        <w:footnoteReference w:id="70"/>
      </w:r>
      <w:r w:rsidR="00C56998" w:rsidRPr="00930562">
        <w:rPr>
          <w:rFonts w:asciiTheme="majorHAnsi" w:hAnsiTheme="majorHAnsi" w:cs="Cambria"/>
          <w:lang w:val="es-US"/>
        </w:rPr>
        <w:t xml:space="preserve"> </w:t>
      </w:r>
    </w:p>
    <w:p w14:paraId="48540306" w14:textId="3BEA5CF0" w:rsidR="0013380B" w:rsidRPr="00930562" w:rsidRDefault="00E450DB" w:rsidP="00724857">
      <w:pPr>
        <w:pStyle w:val="ListParagraph"/>
        <w:numPr>
          <w:ilvl w:val="0"/>
          <w:numId w:val="2"/>
        </w:numPr>
        <w:spacing w:after="240" w:line="240" w:lineRule="auto"/>
        <w:ind w:left="547" w:hanging="547"/>
        <w:contextualSpacing w:val="0"/>
        <w:jc w:val="both"/>
        <w:rPr>
          <w:rFonts w:asciiTheme="majorHAnsi" w:hAnsiTheme="majorHAnsi" w:cs="Cambria"/>
          <w:szCs w:val="20"/>
          <w:lang w:val="es-US"/>
        </w:rPr>
      </w:pPr>
      <w:r w:rsidRPr="00930562">
        <w:rPr>
          <w:rFonts w:asciiTheme="majorHAnsi" w:hAnsiTheme="majorHAnsi"/>
          <w:lang w:val="es-US"/>
        </w:rPr>
        <w:t xml:space="preserve">La Guerra Civil (1861-1865) costó la vida de al menos </w:t>
      </w:r>
      <w:r w:rsidR="0013380B" w:rsidRPr="00930562">
        <w:rPr>
          <w:rFonts w:asciiTheme="majorHAnsi" w:hAnsiTheme="majorHAnsi"/>
          <w:lang w:val="es-US"/>
        </w:rPr>
        <w:t>600</w:t>
      </w:r>
      <w:r w:rsidRPr="00930562">
        <w:rPr>
          <w:rFonts w:asciiTheme="majorHAnsi" w:hAnsiTheme="majorHAnsi"/>
          <w:lang w:val="es-US"/>
        </w:rPr>
        <w:t>.</w:t>
      </w:r>
      <w:r w:rsidR="0013380B" w:rsidRPr="00930562">
        <w:rPr>
          <w:rFonts w:asciiTheme="majorHAnsi" w:hAnsiTheme="majorHAnsi"/>
          <w:lang w:val="es-US"/>
        </w:rPr>
        <w:t xml:space="preserve">000 </w:t>
      </w:r>
      <w:r w:rsidRPr="00930562">
        <w:rPr>
          <w:rFonts w:asciiTheme="majorHAnsi" w:hAnsiTheme="majorHAnsi"/>
          <w:lang w:val="es-US"/>
        </w:rPr>
        <w:t>personas y condujo al fin de la institución legal de la esclavitud en los Estados Unidos.</w:t>
      </w:r>
      <w:r w:rsidR="0013380B" w:rsidRPr="00930562">
        <w:rPr>
          <w:rStyle w:val="FootnoteReference"/>
          <w:rFonts w:asciiTheme="majorHAnsi" w:hAnsiTheme="majorHAnsi" w:cs="Cambria"/>
          <w:szCs w:val="20"/>
          <w:lang w:val="es-US"/>
        </w:rPr>
        <w:footnoteReference w:id="71"/>
      </w:r>
      <w:r w:rsidR="0013380B" w:rsidRPr="00930562">
        <w:rPr>
          <w:rFonts w:asciiTheme="majorHAnsi" w:hAnsiTheme="majorHAnsi" w:cs="Cambria"/>
          <w:szCs w:val="20"/>
          <w:lang w:val="es-US"/>
        </w:rPr>
        <w:t xml:space="preserve"> </w:t>
      </w:r>
      <w:r w:rsidRPr="00930562">
        <w:rPr>
          <w:rFonts w:asciiTheme="majorHAnsi" w:hAnsiTheme="majorHAnsi"/>
          <w:lang w:val="es-US"/>
        </w:rPr>
        <w:t xml:space="preserve">Al final de la Guerra Civil, </w:t>
      </w:r>
      <w:r w:rsidR="00276C25" w:rsidRPr="00930562">
        <w:rPr>
          <w:rFonts w:asciiTheme="majorHAnsi" w:hAnsiTheme="majorHAnsi"/>
          <w:lang w:val="es-US"/>
        </w:rPr>
        <w:t>EE.UU.</w:t>
      </w:r>
      <w:r w:rsidRPr="00930562">
        <w:rPr>
          <w:rFonts w:asciiTheme="majorHAnsi" w:hAnsiTheme="majorHAnsi"/>
          <w:lang w:val="es-US"/>
        </w:rPr>
        <w:t xml:space="preserve"> adoptó medidas para afirmar y expandir la Proclamación de la Emancipación de 1863, que había declarado la emancipación de los esclavos en los estados confederados, poniendo fin a la esclavitud en los EE.UU. y extendiendo formalmente la igualdad ante la ley a los afroamericanos mediante</w:t>
      </w:r>
      <w:r w:rsidR="00276C25" w:rsidRPr="00930562">
        <w:rPr>
          <w:rFonts w:asciiTheme="majorHAnsi" w:hAnsiTheme="majorHAnsi"/>
          <w:lang w:val="es-US"/>
        </w:rPr>
        <w:t xml:space="preserve"> la</w:t>
      </w:r>
      <w:r w:rsidRPr="00930562">
        <w:rPr>
          <w:rFonts w:asciiTheme="majorHAnsi" w:hAnsiTheme="majorHAnsi"/>
          <w:lang w:val="es-US"/>
        </w:rPr>
        <w:t xml:space="preserve"> aprobación y ratificación de las Enmiendas Decimotercera, Decimocuarta y Decimoquinta a la C</w:t>
      </w:r>
      <w:r w:rsidR="00CF58AC" w:rsidRPr="00930562">
        <w:rPr>
          <w:rFonts w:asciiTheme="majorHAnsi" w:hAnsiTheme="majorHAnsi"/>
          <w:lang w:val="es-US"/>
        </w:rPr>
        <w:t>onstitución (las "Enmiendas de R</w:t>
      </w:r>
      <w:r w:rsidRPr="00930562">
        <w:rPr>
          <w:rFonts w:asciiTheme="majorHAnsi" w:hAnsiTheme="majorHAnsi"/>
          <w:lang w:val="es-US"/>
        </w:rPr>
        <w:t>econstrucción")</w:t>
      </w:r>
      <w:r w:rsidR="00CF58AC" w:rsidRPr="00930562">
        <w:rPr>
          <w:rFonts w:asciiTheme="majorHAnsi" w:hAnsiTheme="majorHAnsi" w:cs="Cambria"/>
          <w:szCs w:val="20"/>
          <w:lang w:val="es-US"/>
        </w:rPr>
        <w:t>.</w:t>
      </w:r>
      <w:r w:rsidR="0013380B" w:rsidRPr="00930562">
        <w:rPr>
          <w:rStyle w:val="FootnoteReference"/>
          <w:rFonts w:asciiTheme="majorHAnsi" w:hAnsiTheme="majorHAnsi" w:cs="Cambria"/>
          <w:szCs w:val="20"/>
          <w:lang w:val="es-US"/>
        </w:rPr>
        <w:footnoteReference w:id="72"/>
      </w:r>
      <w:r w:rsidR="00ED7C1B" w:rsidRPr="00930562">
        <w:rPr>
          <w:rFonts w:asciiTheme="majorHAnsi" w:hAnsiTheme="majorHAnsi" w:cs="Cambria"/>
          <w:szCs w:val="20"/>
          <w:lang w:val="es-US"/>
        </w:rPr>
        <w:t xml:space="preserve"> </w:t>
      </w:r>
      <w:r w:rsidR="00B55739" w:rsidRPr="00930562">
        <w:rPr>
          <w:rFonts w:asciiTheme="majorHAnsi" w:hAnsiTheme="majorHAnsi"/>
          <w:lang w:val="es-US"/>
        </w:rPr>
        <w:t xml:space="preserve">La Enmienda Decimotercera prohibía la esclavitud y la servidumbre involuntaria, con la excepción de aquellos que han sido condenados de </w:t>
      </w:r>
      <w:r w:rsidR="003F3617" w:rsidRPr="00930562">
        <w:rPr>
          <w:rFonts w:asciiTheme="majorHAnsi" w:hAnsiTheme="majorHAnsi"/>
          <w:lang w:val="es-US"/>
        </w:rPr>
        <w:t xml:space="preserve">un </w:t>
      </w:r>
      <w:r w:rsidR="00B55739" w:rsidRPr="00930562">
        <w:rPr>
          <w:rFonts w:asciiTheme="majorHAnsi" w:hAnsiTheme="majorHAnsi"/>
          <w:lang w:val="es-US"/>
        </w:rPr>
        <w:t xml:space="preserve">crimen. La Enmienda Decimocuarta otorgó </w:t>
      </w:r>
      <w:r w:rsidR="003F3617" w:rsidRPr="00930562">
        <w:rPr>
          <w:rFonts w:asciiTheme="majorHAnsi" w:hAnsiTheme="majorHAnsi"/>
          <w:lang w:val="es-US"/>
        </w:rPr>
        <w:t>ciudadanía</w:t>
      </w:r>
      <w:r w:rsidR="00B55739" w:rsidRPr="00930562">
        <w:rPr>
          <w:rFonts w:asciiTheme="majorHAnsi" w:hAnsiTheme="majorHAnsi"/>
          <w:lang w:val="es-US"/>
        </w:rPr>
        <w:t xml:space="preserve"> a todas las personas nacidas en EE.UU. o naturalizadas</w:t>
      </w:r>
      <w:r w:rsidR="0013380B" w:rsidRPr="00930562">
        <w:rPr>
          <w:rFonts w:asciiTheme="majorHAnsi" w:hAnsiTheme="majorHAnsi"/>
          <w:lang w:val="es-US"/>
        </w:rPr>
        <w:t>, proclam</w:t>
      </w:r>
      <w:r w:rsidR="00B55739" w:rsidRPr="00930562">
        <w:rPr>
          <w:rFonts w:asciiTheme="majorHAnsi" w:hAnsiTheme="majorHAnsi"/>
          <w:lang w:val="es-US"/>
        </w:rPr>
        <w:t xml:space="preserve">ó el derecho de todas las personas </w:t>
      </w:r>
      <w:r w:rsidR="00276C25" w:rsidRPr="00930562">
        <w:rPr>
          <w:rFonts w:asciiTheme="majorHAnsi" w:hAnsiTheme="majorHAnsi"/>
          <w:lang w:val="es-US"/>
        </w:rPr>
        <w:t xml:space="preserve">a la protección igualitaria y </w:t>
      </w:r>
      <w:r w:rsidR="00B55739" w:rsidRPr="00930562">
        <w:rPr>
          <w:rFonts w:asciiTheme="majorHAnsi" w:hAnsiTheme="majorHAnsi"/>
          <w:lang w:val="es-US"/>
        </w:rPr>
        <w:t xml:space="preserve">al debido proceso </w:t>
      </w:r>
      <w:r w:rsidR="00276C25" w:rsidRPr="00930562">
        <w:rPr>
          <w:rFonts w:asciiTheme="majorHAnsi" w:hAnsiTheme="majorHAnsi"/>
          <w:lang w:val="es-US"/>
        </w:rPr>
        <w:t xml:space="preserve">legal, </w:t>
      </w:r>
      <w:r w:rsidR="00B55739" w:rsidRPr="00930562">
        <w:rPr>
          <w:rFonts w:asciiTheme="majorHAnsi" w:hAnsiTheme="majorHAnsi"/>
          <w:lang w:val="es-US"/>
        </w:rPr>
        <w:t>y otorgó al gobierno federal</w:t>
      </w:r>
      <w:r w:rsidR="0013380B" w:rsidRPr="00930562">
        <w:rPr>
          <w:rFonts w:asciiTheme="majorHAnsi" w:hAnsiTheme="majorHAnsi"/>
          <w:lang w:val="es-US"/>
        </w:rPr>
        <w:t xml:space="preserve"> </w:t>
      </w:r>
      <w:r w:rsidR="00B55739" w:rsidRPr="00930562">
        <w:rPr>
          <w:rFonts w:asciiTheme="majorHAnsi" w:hAnsiTheme="majorHAnsi"/>
          <w:lang w:val="es-US"/>
        </w:rPr>
        <w:t xml:space="preserve">algunos atributos </w:t>
      </w:r>
      <w:r w:rsidR="003F3617" w:rsidRPr="00930562">
        <w:rPr>
          <w:rFonts w:asciiTheme="majorHAnsi" w:hAnsiTheme="majorHAnsi"/>
          <w:lang w:val="es-US"/>
        </w:rPr>
        <w:t>para el</w:t>
      </w:r>
      <w:r w:rsidR="00B55739" w:rsidRPr="00930562">
        <w:rPr>
          <w:rFonts w:asciiTheme="majorHAnsi" w:hAnsiTheme="majorHAnsi"/>
          <w:lang w:val="es-US"/>
        </w:rPr>
        <w:t xml:space="preserve"> cumplimiento de la ley en comparación a la que tenían los estados en esta área.</w:t>
      </w:r>
      <w:r w:rsidR="0013380B" w:rsidRPr="00930562">
        <w:rPr>
          <w:rFonts w:asciiTheme="majorHAnsi" w:hAnsiTheme="majorHAnsi" w:cs="Cambria"/>
          <w:szCs w:val="20"/>
          <w:vertAlign w:val="superscript"/>
          <w:lang w:val="es-US"/>
        </w:rPr>
        <w:footnoteReference w:id="73"/>
      </w:r>
      <w:r w:rsidR="0013380B" w:rsidRPr="00930562">
        <w:rPr>
          <w:rFonts w:asciiTheme="majorHAnsi" w:hAnsiTheme="majorHAnsi" w:cs="Cambria"/>
          <w:szCs w:val="20"/>
          <w:lang w:val="es-US"/>
        </w:rPr>
        <w:t xml:space="preserve"> </w:t>
      </w:r>
      <w:r w:rsidR="004D7912" w:rsidRPr="00930562">
        <w:rPr>
          <w:rFonts w:asciiTheme="majorHAnsi" w:hAnsiTheme="majorHAnsi"/>
          <w:lang w:val="es-US"/>
        </w:rPr>
        <w:t>La Enmienda Decimoquinta prohibió la negativa del derecho al voto en función de raza o previa condición de servidumbre.</w:t>
      </w:r>
      <w:r w:rsidR="004D7912" w:rsidRPr="00930562">
        <w:rPr>
          <w:rFonts w:asciiTheme="majorHAnsi" w:hAnsiTheme="majorHAnsi" w:cs="Cambria"/>
          <w:szCs w:val="20"/>
          <w:lang w:val="es-US"/>
        </w:rPr>
        <w:t xml:space="preserve"> </w:t>
      </w:r>
    </w:p>
    <w:p w14:paraId="5A04CCE7" w14:textId="6CF80728" w:rsidR="0013380B" w:rsidRPr="00930562" w:rsidRDefault="00F02E96"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lastRenderedPageBreak/>
        <w:t>Estas enmiendas, junto con la legislación previa sobre derechos civiles durante el período de Reconstrucción (1865-1877),  incluida la Ley de Derechos Civiles de 1866 y la Ley de la Oficina de Hombres Libres, prometieron la ciudadanía, la libertad y la igualdad jurídica de manera oficial a los afroamericanos y el período inicial de reconstrucción vio</w:t>
      </w:r>
      <w:r w:rsidR="00276C25" w:rsidRPr="00930562">
        <w:rPr>
          <w:rFonts w:asciiTheme="majorHAnsi" w:hAnsiTheme="majorHAnsi"/>
          <w:lang w:val="es-US"/>
        </w:rPr>
        <w:t>,</w:t>
      </w:r>
      <w:r w:rsidRPr="00930562">
        <w:rPr>
          <w:rFonts w:asciiTheme="majorHAnsi" w:hAnsiTheme="majorHAnsi"/>
          <w:lang w:val="es-US"/>
        </w:rPr>
        <w:t xml:space="preserve"> en efecto</w:t>
      </w:r>
      <w:r w:rsidR="00276C25" w:rsidRPr="00930562">
        <w:rPr>
          <w:rFonts w:asciiTheme="majorHAnsi" w:hAnsiTheme="majorHAnsi"/>
          <w:lang w:val="es-US"/>
        </w:rPr>
        <w:t>,</w:t>
      </w:r>
      <w:r w:rsidRPr="00930562">
        <w:rPr>
          <w:rFonts w:asciiTheme="majorHAnsi" w:hAnsiTheme="majorHAnsi"/>
          <w:lang w:val="es-US"/>
        </w:rPr>
        <w:t xml:space="preserve"> avances </w:t>
      </w:r>
      <w:r w:rsidR="00276C25" w:rsidRPr="00930562">
        <w:rPr>
          <w:rFonts w:asciiTheme="majorHAnsi" w:hAnsiTheme="majorHAnsi"/>
          <w:lang w:val="es-US"/>
        </w:rPr>
        <w:t xml:space="preserve">significativos </w:t>
      </w:r>
      <w:r w:rsidRPr="00930562">
        <w:rPr>
          <w:rFonts w:asciiTheme="majorHAnsi" w:hAnsiTheme="majorHAnsi"/>
          <w:lang w:val="es-US"/>
        </w:rPr>
        <w:t>para la participación política afroamericana.</w:t>
      </w:r>
      <w:r w:rsidRPr="00930562">
        <w:rPr>
          <w:rFonts w:asciiTheme="majorHAnsi" w:hAnsiTheme="majorHAnsi"/>
          <w:vertAlign w:val="superscript"/>
          <w:lang w:val="es-US"/>
        </w:rPr>
        <w:footnoteReference w:id="74"/>
      </w:r>
      <w:r w:rsidRPr="00930562">
        <w:rPr>
          <w:rFonts w:asciiTheme="majorHAnsi" w:hAnsiTheme="majorHAnsi"/>
          <w:lang w:val="es-US"/>
        </w:rPr>
        <w:t xml:space="preserve"> En el sur</w:t>
      </w:r>
      <w:r w:rsidR="0013380B" w:rsidRPr="00930562">
        <w:rPr>
          <w:rFonts w:asciiTheme="majorHAnsi" w:hAnsiTheme="majorHAnsi"/>
          <w:lang w:val="es-US"/>
        </w:rPr>
        <w:t xml:space="preserve">, </w:t>
      </w:r>
      <w:r w:rsidRPr="00930562">
        <w:rPr>
          <w:rFonts w:asciiTheme="majorHAnsi" w:hAnsiTheme="majorHAnsi"/>
          <w:lang w:val="es-US"/>
        </w:rPr>
        <w:t>los hombres negros por primera vez gozaron del derecho al voto y a ejercer cargos públicos</w:t>
      </w:r>
      <w:r w:rsidR="0013380B" w:rsidRPr="00930562">
        <w:rPr>
          <w:rFonts w:asciiTheme="majorHAnsi" w:hAnsiTheme="majorHAnsi"/>
          <w:lang w:val="es-US"/>
        </w:rPr>
        <w:t>.</w:t>
      </w:r>
      <w:r w:rsidR="0013380B" w:rsidRPr="00930562">
        <w:rPr>
          <w:rFonts w:asciiTheme="majorHAnsi" w:hAnsiTheme="majorHAnsi"/>
          <w:vertAlign w:val="superscript"/>
          <w:lang w:val="es-US"/>
        </w:rPr>
        <w:footnoteReference w:id="75"/>
      </w:r>
      <w:r w:rsidR="0013380B" w:rsidRPr="00930562">
        <w:rPr>
          <w:rFonts w:asciiTheme="majorHAnsi" w:hAnsiTheme="majorHAnsi"/>
          <w:lang w:val="es-US"/>
        </w:rPr>
        <w:t xml:space="preserve"> </w:t>
      </w:r>
      <w:r w:rsidRPr="00930562">
        <w:rPr>
          <w:rFonts w:asciiTheme="majorHAnsi" w:hAnsiTheme="majorHAnsi"/>
          <w:lang w:val="es-US"/>
        </w:rPr>
        <w:t xml:space="preserve">Los gobiernos de </w:t>
      </w:r>
      <w:r w:rsidR="0086738B" w:rsidRPr="00930562">
        <w:rPr>
          <w:rFonts w:asciiTheme="majorHAnsi" w:hAnsiTheme="majorHAnsi"/>
          <w:lang w:val="es-US"/>
        </w:rPr>
        <w:t xml:space="preserve">la </w:t>
      </w:r>
      <w:r w:rsidRPr="00930562">
        <w:rPr>
          <w:rFonts w:asciiTheme="majorHAnsi" w:hAnsiTheme="majorHAnsi"/>
          <w:lang w:val="es-US"/>
        </w:rPr>
        <w:t xml:space="preserve">reconstrucción del Sur </w:t>
      </w:r>
      <w:r w:rsidR="0086738B" w:rsidRPr="00930562">
        <w:rPr>
          <w:rFonts w:asciiTheme="majorHAnsi" w:hAnsiTheme="majorHAnsi"/>
          <w:lang w:val="es-US"/>
        </w:rPr>
        <w:t xml:space="preserve">implementaron </w:t>
      </w:r>
      <w:r w:rsidRPr="00930562">
        <w:rPr>
          <w:rFonts w:asciiTheme="majorHAnsi" w:hAnsiTheme="majorHAnsi"/>
          <w:lang w:val="es-US"/>
        </w:rPr>
        <w:t>importantes cambios a nivel estatal, derogando las leyes discriminatorias, reescribiendo los estatutos de vagancia, prohibiendo los castigos corporales y reduciendo el número de delitos capital</w:t>
      </w:r>
      <w:r w:rsidR="0086738B" w:rsidRPr="00930562">
        <w:rPr>
          <w:rFonts w:asciiTheme="majorHAnsi" w:hAnsiTheme="majorHAnsi"/>
          <w:lang w:val="es-US"/>
        </w:rPr>
        <w:t>e</w:t>
      </w:r>
      <w:r w:rsidRPr="00930562">
        <w:rPr>
          <w:rFonts w:asciiTheme="majorHAnsi" w:hAnsiTheme="majorHAnsi"/>
          <w:lang w:val="es-US"/>
        </w:rPr>
        <w:t>s.</w:t>
      </w:r>
      <w:r w:rsidR="0013380B" w:rsidRPr="00930562">
        <w:rPr>
          <w:rFonts w:asciiTheme="majorHAnsi" w:hAnsiTheme="majorHAnsi"/>
          <w:vertAlign w:val="superscript"/>
          <w:lang w:val="es-US"/>
        </w:rPr>
        <w:footnoteReference w:id="76"/>
      </w:r>
      <w:r w:rsidR="004D23DA" w:rsidRPr="00930562">
        <w:rPr>
          <w:rFonts w:asciiTheme="majorHAnsi" w:hAnsiTheme="majorHAnsi"/>
          <w:lang w:val="es-US"/>
        </w:rPr>
        <w:t xml:space="preserve"> </w:t>
      </w:r>
      <w:r w:rsidR="0013380B" w:rsidRPr="00930562">
        <w:rPr>
          <w:rFonts w:asciiTheme="majorHAnsi" w:hAnsiTheme="majorHAnsi"/>
          <w:lang w:val="es-US"/>
        </w:rPr>
        <w:t xml:space="preserve"> </w:t>
      </w:r>
      <w:r w:rsidR="0086738B" w:rsidRPr="00930562">
        <w:rPr>
          <w:rFonts w:asciiTheme="majorHAnsi" w:hAnsiTheme="majorHAnsi"/>
          <w:lang w:val="es-US"/>
        </w:rPr>
        <w:t>Sin embargo</w:t>
      </w:r>
      <w:r w:rsidR="0013380B" w:rsidRPr="00930562">
        <w:rPr>
          <w:rFonts w:asciiTheme="majorHAnsi" w:hAnsiTheme="majorHAnsi"/>
          <w:lang w:val="es-US"/>
        </w:rPr>
        <w:t>,</w:t>
      </w:r>
      <w:r w:rsidR="0086738B" w:rsidRPr="00930562">
        <w:rPr>
          <w:rFonts w:asciiTheme="majorHAnsi" w:hAnsiTheme="majorHAnsi"/>
          <w:lang w:val="es-US"/>
        </w:rPr>
        <w:t xml:space="preserve"> estos cambios provocaron rápidamente reacciones de </w:t>
      </w:r>
      <w:r w:rsidR="00276C25" w:rsidRPr="00930562">
        <w:rPr>
          <w:rFonts w:asciiTheme="majorHAnsi" w:hAnsiTheme="majorHAnsi"/>
          <w:lang w:val="es-US"/>
        </w:rPr>
        <w:t xml:space="preserve">la </w:t>
      </w:r>
      <w:r w:rsidR="0086738B" w:rsidRPr="00930562">
        <w:rPr>
          <w:rFonts w:asciiTheme="majorHAnsi" w:hAnsiTheme="majorHAnsi"/>
          <w:lang w:val="es-US"/>
        </w:rPr>
        <w:t>supremacía blanca, con una "ola de terror contrarrevolucionario que barrió gran parte del Sur entre 1868 y 1871 por falta de una contraparte en la experiencia estadounidense o en la de las otras sociedades del Hemisferio Occidental que abolieron la esclavitud en el siglo XIX</w:t>
      </w:r>
      <w:r w:rsidR="0013380B" w:rsidRPr="00930562">
        <w:rPr>
          <w:rFonts w:asciiTheme="majorHAnsi" w:hAnsiTheme="majorHAnsi"/>
          <w:lang w:val="es-US"/>
        </w:rPr>
        <w:t>.”</w:t>
      </w:r>
      <w:r w:rsidR="0013380B" w:rsidRPr="00930562">
        <w:rPr>
          <w:rFonts w:asciiTheme="majorHAnsi" w:hAnsiTheme="majorHAnsi"/>
          <w:vertAlign w:val="superscript"/>
          <w:lang w:val="es-US"/>
        </w:rPr>
        <w:footnoteReference w:id="77"/>
      </w:r>
      <w:r w:rsidR="0086738B" w:rsidRPr="00930562">
        <w:rPr>
          <w:rFonts w:asciiTheme="majorHAnsi" w:hAnsiTheme="majorHAnsi"/>
          <w:lang w:val="es-US"/>
        </w:rPr>
        <w:t xml:space="preserve"> La voluntad política de continuar la reconstrucción y defender los derechos civiles y políticos de los afroamericanos decayó ante la continua violencia y resistencia a los gobiernos republicanos en el sur, demostrado en la masacre de Colfax de 1873.</w:t>
      </w:r>
      <w:r w:rsidR="0013380B" w:rsidRPr="00930562">
        <w:rPr>
          <w:rFonts w:asciiTheme="majorHAnsi" w:hAnsiTheme="majorHAnsi"/>
          <w:vertAlign w:val="superscript"/>
          <w:lang w:val="es-US"/>
        </w:rPr>
        <w:footnoteReference w:id="78"/>
      </w:r>
      <w:r w:rsidR="0013380B" w:rsidRPr="00930562">
        <w:rPr>
          <w:rFonts w:asciiTheme="majorHAnsi" w:hAnsiTheme="majorHAnsi"/>
          <w:lang w:val="es-US"/>
        </w:rPr>
        <w:t xml:space="preserve"> </w:t>
      </w:r>
    </w:p>
    <w:p w14:paraId="05359DF3" w14:textId="146082CD" w:rsidR="0013380B" w:rsidRPr="00930562" w:rsidRDefault="00AE3BBB" w:rsidP="00724857">
      <w:pPr>
        <w:pStyle w:val="ListParagraph"/>
        <w:numPr>
          <w:ilvl w:val="0"/>
          <w:numId w:val="2"/>
        </w:numPr>
        <w:spacing w:after="240" w:line="240" w:lineRule="auto"/>
        <w:ind w:left="547" w:hanging="547"/>
        <w:contextualSpacing w:val="0"/>
        <w:jc w:val="both"/>
        <w:rPr>
          <w:rFonts w:asciiTheme="majorHAnsi" w:hAnsiTheme="majorHAnsi" w:cs="Cambria"/>
          <w:lang w:val="es-US"/>
        </w:rPr>
      </w:pPr>
      <w:bookmarkStart w:id="47" w:name="_Ref507082453"/>
      <w:r w:rsidRPr="00930562">
        <w:rPr>
          <w:rFonts w:asciiTheme="majorHAnsi" w:hAnsiTheme="majorHAnsi"/>
          <w:lang w:val="es-US"/>
        </w:rPr>
        <w:t>El período de la Reconstrucción finalizó en 1877 con el compromiso político de asegurar una presidencia republicana a cambio de</w:t>
      </w:r>
      <w:r w:rsidR="00E17870" w:rsidRPr="00930562">
        <w:rPr>
          <w:rFonts w:asciiTheme="majorHAnsi" w:hAnsiTheme="majorHAnsi"/>
          <w:lang w:val="es-US"/>
        </w:rPr>
        <w:t>l retiro</w:t>
      </w:r>
      <w:r w:rsidRPr="00930562">
        <w:rPr>
          <w:rFonts w:asciiTheme="majorHAnsi" w:hAnsiTheme="majorHAnsi"/>
          <w:lang w:val="es-US"/>
        </w:rPr>
        <w:t xml:space="preserve"> de las tropas federales del sur. Durante este período y poco después, una serie de decisiones de la Corte Suprema efectivamente anularon o dejaron sin efecto garantías clave contenidas en las enmiendas de Reconstrucción. Una de ellas incluyó </w:t>
      </w:r>
      <w:r w:rsidR="0013380B" w:rsidRPr="00930562">
        <w:rPr>
          <w:rFonts w:asciiTheme="majorHAnsi" w:hAnsiTheme="majorHAnsi"/>
          <w:lang w:val="es-US"/>
        </w:rPr>
        <w:t>Plessy v. Ferguson</w:t>
      </w:r>
      <w:r w:rsidR="0013380B" w:rsidRPr="00930562">
        <w:rPr>
          <w:rFonts w:asciiTheme="majorHAnsi" w:hAnsiTheme="majorHAnsi"/>
          <w:vertAlign w:val="superscript"/>
          <w:lang w:val="es-US"/>
        </w:rPr>
        <w:footnoteReference w:id="79"/>
      </w:r>
      <w:r w:rsidR="0013380B" w:rsidRPr="00930562">
        <w:rPr>
          <w:rFonts w:asciiTheme="majorHAnsi" w:hAnsiTheme="majorHAnsi"/>
          <w:lang w:val="es-US"/>
        </w:rPr>
        <w:t xml:space="preserve"> (</w:t>
      </w:r>
      <w:r w:rsidRPr="00930562">
        <w:rPr>
          <w:rFonts w:asciiTheme="majorHAnsi" w:hAnsiTheme="majorHAnsi"/>
          <w:lang w:val="es-US"/>
        </w:rPr>
        <w:t xml:space="preserve">que aprobó la doctrina "separados pero iguales" permitiendo a los Estados que ordenaran la segregación </w:t>
      </w:r>
      <w:r w:rsidRPr="00930562">
        <w:rPr>
          <w:rFonts w:asciiTheme="majorHAnsi" w:hAnsiTheme="majorHAnsi"/>
          <w:lang w:val="es-US"/>
        </w:rPr>
        <w:lastRenderedPageBreak/>
        <w:t>racial de los espacios públicos</w:t>
      </w:r>
      <w:r w:rsidR="00CB6846" w:rsidRPr="00930562">
        <w:rPr>
          <w:rFonts w:asciiTheme="majorHAnsi" w:hAnsiTheme="majorHAnsi"/>
          <w:lang w:val="es-US"/>
        </w:rPr>
        <w:t>)</w:t>
      </w:r>
      <w:r w:rsidR="0013380B" w:rsidRPr="00930562">
        <w:rPr>
          <w:rFonts w:asciiTheme="majorHAnsi" w:hAnsiTheme="majorHAnsi"/>
          <w:lang w:val="es-US"/>
        </w:rPr>
        <w:t>, Giles v. Harris</w:t>
      </w:r>
      <w:r w:rsidR="0013380B" w:rsidRPr="00930562">
        <w:rPr>
          <w:rFonts w:asciiTheme="majorHAnsi" w:hAnsiTheme="majorHAnsi"/>
          <w:vertAlign w:val="superscript"/>
          <w:lang w:val="es-US"/>
        </w:rPr>
        <w:footnoteReference w:id="80"/>
      </w:r>
      <w:r w:rsidR="0013380B" w:rsidRPr="00930562">
        <w:rPr>
          <w:rFonts w:asciiTheme="majorHAnsi" w:hAnsiTheme="majorHAnsi"/>
          <w:lang w:val="es-US"/>
        </w:rPr>
        <w:t xml:space="preserve"> (</w:t>
      </w:r>
      <w:r w:rsidR="00CB6846" w:rsidRPr="00930562">
        <w:rPr>
          <w:rFonts w:asciiTheme="majorHAnsi" w:hAnsiTheme="majorHAnsi"/>
          <w:lang w:val="es-US"/>
        </w:rPr>
        <w:t>lo que llevó a la privación de los derechos al voto de los votantes negros en todo el</w:t>
      </w:r>
      <w:r w:rsidR="00F44D8D" w:rsidRPr="00930562">
        <w:rPr>
          <w:rFonts w:asciiTheme="majorHAnsi" w:hAnsiTheme="majorHAnsi"/>
          <w:lang w:val="es-US"/>
        </w:rPr>
        <w:t xml:space="preserve"> sur</w:t>
      </w:r>
      <w:r w:rsidR="0013380B" w:rsidRPr="00930562">
        <w:rPr>
          <w:rFonts w:asciiTheme="majorHAnsi" w:hAnsiTheme="majorHAnsi"/>
          <w:lang w:val="es-US"/>
        </w:rPr>
        <w:t xml:space="preserve">), </w:t>
      </w:r>
      <w:r w:rsidR="00CB6846" w:rsidRPr="00930562">
        <w:rPr>
          <w:rFonts w:asciiTheme="majorHAnsi" w:hAnsiTheme="majorHAnsi"/>
          <w:lang w:val="es-US"/>
        </w:rPr>
        <w:t>y los Casos Slaughter-house</w:t>
      </w:r>
      <w:r w:rsidR="0013380B" w:rsidRPr="00930562">
        <w:rPr>
          <w:rFonts w:asciiTheme="majorHAnsi" w:hAnsiTheme="majorHAnsi"/>
          <w:lang w:val="es-US"/>
        </w:rPr>
        <w:t xml:space="preserve">, U.S. v. Cruikshank, </w:t>
      </w:r>
      <w:r w:rsidR="00CB6846" w:rsidRPr="00930562">
        <w:rPr>
          <w:rFonts w:asciiTheme="majorHAnsi" w:hAnsiTheme="majorHAnsi"/>
          <w:lang w:val="es-US"/>
        </w:rPr>
        <w:t xml:space="preserve">y </w:t>
      </w:r>
      <w:r w:rsidR="0013380B" w:rsidRPr="00930562">
        <w:rPr>
          <w:rFonts w:asciiTheme="majorHAnsi" w:hAnsiTheme="majorHAnsi"/>
          <w:lang w:val="es-US"/>
        </w:rPr>
        <w:t>Ca</w:t>
      </w:r>
      <w:r w:rsidR="00F44D8D" w:rsidRPr="00930562">
        <w:rPr>
          <w:rFonts w:asciiTheme="majorHAnsi" w:hAnsiTheme="majorHAnsi"/>
          <w:lang w:val="es-US"/>
        </w:rPr>
        <w:t>ivil Rights Cases</w:t>
      </w:r>
      <w:r w:rsidR="0013380B" w:rsidRPr="00930562">
        <w:rPr>
          <w:rFonts w:asciiTheme="majorHAnsi" w:hAnsiTheme="majorHAnsi"/>
          <w:vertAlign w:val="superscript"/>
          <w:lang w:val="es-US"/>
        </w:rPr>
        <w:footnoteReference w:id="81"/>
      </w:r>
      <w:r w:rsidR="0013380B" w:rsidRPr="00930562">
        <w:rPr>
          <w:rFonts w:asciiTheme="majorHAnsi" w:hAnsiTheme="majorHAnsi"/>
          <w:lang w:val="es-US"/>
        </w:rPr>
        <w:t xml:space="preserve"> (</w:t>
      </w:r>
      <w:r w:rsidR="00CB6846" w:rsidRPr="00930562">
        <w:rPr>
          <w:rFonts w:asciiTheme="majorHAnsi" w:hAnsiTheme="majorHAnsi"/>
          <w:lang w:val="es-US"/>
        </w:rPr>
        <w:t>los cuales juntos dieron una lectura extremadamente restrictiva a la cláusula de "Privilegios e Inmunidades" de la Decimocuarta Enmienda y establecieron la doctrina de "acción estatal", que sostiene que el gobierno federal no puede intervenir para reparar las violaciones de los derechos por parte de actores privados</w:t>
      </w:r>
      <w:r w:rsidR="0013380B" w:rsidRPr="00930562">
        <w:rPr>
          <w:rFonts w:asciiTheme="majorHAnsi" w:hAnsiTheme="majorHAnsi" w:cs="Cambria"/>
          <w:lang w:val="es-US"/>
        </w:rPr>
        <w:t>).</w:t>
      </w:r>
      <w:r w:rsidR="0013380B" w:rsidRPr="00930562">
        <w:rPr>
          <w:rStyle w:val="FootnoteReference"/>
          <w:rFonts w:asciiTheme="majorHAnsi" w:hAnsiTheme="majorHAnsi" w:cs="Cambria"/>
          <w:lang w:val="es-US"/>
        </w:rPr>
        <w:footnoteReference w:id="82"/>
      </w:r>
      <w:r w:rsidR="0013380B" w:rsidRPr="00930562">
        <w:rPr>
          <w:rFonts w:asciiTheme="majorHAnsi" w:hAnsiTheme="majorHAnsi" w:cs="Cambria"/>
          <w:lang w:val="es-US"/>
        </w:rPr>
        <w:t xml:space="preserve"> </w:t>
      </w:r>
      <w:bookmarkEnd w:id="47"/>
      <w:r w:rsidR="000C3F9C" w:rsidRPr="00930562">
        <w:rPr>
          <w:rFonts w:asciiTheme="majorHAnsi" w:hAnsiTheme="majorHAnsi"/>
          <w:lang w:val="es-US"/>
        </w:rPr>
        <w:t xml:space="preserve">De esta manera, sin protecciones federales de sus derechos civiles, el gobernador de Mississippi, Adelbert Ames, predijo: "[los negros] deben ser devueltos a una condición de servidumbre [...] Una segunda </w:t>
      </w:r>
      <w:r w:rsidR="009B2ABD" w:rsidRPr="00930562">
        <w:rPr>
          <w:rFonts w:asciiTheme="majorHAnsi" w:hAnsiTheme="majorHAnsi"/>
          <w:lang w:val="es-US"/>
        </w:rPr>
        <w:t xml:space="preserve">era de </w:t>
      </w:r>
      <w:r w:rsidR="000C3F9C" w:rsidRPr="00930562">
        <w:rPr>
          <w:rFonts w:asciiTheme="majorHAnsi" w:hAnsiTheme="majorHAnsi"/>
          <w:lang w:val="es-US"/>
        </w:rPr>
        <w:t>esclavitud.”</w:t>
      </w:r>
      <w:r w:rsidR="000C3F9C" w:rsidRPr="00930562">
        <w:rPr>
          <w:rStyle w:val="FootnoteReference"/>
          <w:rFonts w:asciiTheme="majorHAnsi" w:hAnsiTheme="majorHAnsi" w:cs="Cambria"/>
          <w:lang w:val="es-US"/>
        </w:rPr>
        <w:t xml:space="preserve"> </w:t>
      </w:r>
      <w:r w:rsidR="000C3F9C" w:rsidRPr="00930562">
        <w:rPr>
          <w:rStyle w:val="FootnoteReference"/>
          <w:rFonts w:asciiTheme="majorHAnsi" w:hAnsiTheme="majorHAnsi" w:cs="Cambria"/>
          <w:lang w:val="es-US"/>
        </w:rPr>
        <w:footnoteReference w:id="83"/>
      </w:r>
    </w:p>
    <w:p w14:paraId="18220B54" w14:textId="363443E1" w:rsidR="0013380B" w:rsidRPr="00930562" w:rsidRDefault="002050F5"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En 1866 los estados sureños comenzaron a aprobar leyes penales discriminatorias o "códigos negros", que creaban delitos penales nuevos, vagos y aplicados de manera desigual, como "vagancia" y "</w:t>
      </w:r>
      <w:r w:rsidR="00481CB3" w:rsidRPr="00930562">
        <w:rPr>
          <w:rFonts w:asciiTheme="majorHAnsi" w:hAnsiTheme="majorHAnsi"/>
          <w:lang w:val="es-US"/>
        </w:rPr>
        <w:t>holgazaneo</w:t>
      </w:r>
      <w:r w:rsidRPr="00930562">
        <w:rPr>
          <w:rFonts w:asciiTheme="majorHAnsi" w:hAnsiTheme="majorHAnsi"/>
          <w:lang w:val="es-US"/>
        </w:rPr>
        <w:t>". Estas leyes permitieron el arresto masivo y el encarcelamiento de afr</w:t>
      </w:r>
      <w:r w:rsidR="00481CB3" w:rsidRPr="00930562">
        <w:rPr>
          <w:rFonts w:asciiTheme="majorHAnsi" w:hAnsiTheme="majorHAnsi"/>
          <w:lang w:val="es-US"/>
        </w:rPr>
        <w:t>oamericanos.</w:t>
      </w:r>
      <w:r w:rsidRPr="00930562">
        <w:rPr>
          <w:rFonts w:asciiTheme="majorHAnsi" w:hAnsiTheme="majorHAnsi"/>
          <w:lang w:val="es-US"/>
        </w:rPr>
        <w:t xml:space="preserve"> </w:t>
      </w:r>
      <w:r w:rsidR="00481CB3" w:rsidRPr="00930562">
        <w:rPr>
          <w:rFonts w:asciiTheme="majorHAnsi" w:hAnsiTheme="majorHAnsi"/>
          <w:lang w:val="es-US"/>
        </w:rPr>
        <w:t>M</w:t>
      </w:r>
      <w:r w:rsidRPr="00930562">
        <w:rPr>
          <w:rFonts w:asciiTheme="majorHAnsi" w:hAnsiTheme="majorHAnsi"/>
          <w:lang w:val="es-US"/>
        </w:rPr>
        <w:t xml:space="preserve">ás adelante, </w:t>
      </w:r>
      <w:r w:rsidR="00481CB3" w:rsidRPr="00930562">
        <w:rPr>
          <w:rFonts w:asciiTheme="majorHAnsi" w:hAnsiTheme="majorHAnsi"/>
          <w:lang w:val="es-US"/>
        </w:rPr>
        <w:t>en base a</w:t>
      </w:r>
      <w:r w:rsidRPr="00930562">
        <w:rPr>
          <w:rFonts w:asciiTheme="majorHAnsi" w:hAnsiTheme="majorHAnsi"/>
          <w:lang w:val="es-US"/>
        </w:rPr>
        <w:t>l lenguaje de la Decimotercera Enmienda que prohíbe la esclavitud y la servidumbre involuntaria "a excepción de los debidamente condenados por un delito", los legisladores crearon sistemas de "arrendamiento condenatorio" para "arrendar" prisioneros a empresas privadas para que trabaj</w:t>
      </w:r>
      <w:r w:rsidR="00F44D8D" w:rsidRPr="00930562">
        <w:rPr>
          <w:rFonts w:asciiTheme="majorHAnsi" w:hAnsiTheme="majorHAnsi"/>
          <w:lang w:val="es-US"/>
        </w:rPr>
        <w:t>aran</w:t>
      </w:r>
      <w:r w:rsidRPr="00930562">
        <w:rPr>
          <w:rFonts w:asciiTheme="majorHAnsi" w:hAnsiTheme="majorHAnsi"/>
          <w:lang w:val="es-US"/>
        </w:rPr>
        <w:t>n para ellos, o solicitaban prisioneros para trabajar en granjas estatales.</w:t>
      </w:r>
      <w:r w:rsidR="0013380B" w:rsidRPr="00930562">
        <w:rPr>
          <w:rFonts w:asciiTheme="majorHAnsi" w:hAnsiTheme="majorHAnsi"/>
          <w:vertAlign w:val="superscript"/>
          <w:lang w:val="es-US"/>
        </w:rPr>
        <w:footnoteReference w:id="84"/>
      </w:r>
      <w:r w:rsidR="0013380B" w:rsidRPr="00930562">
        <w:rPr>
          <w:rFonts w:asciiTheme="majorHAnsi" w:hAnsiTheme="majorHAnsi"/>
          <w:lang w:val="es-US"/>
        </w:rPr>
        <w:t xml:space="preserve"> </w:t>
      </w:r>
      <w:r w:rsidRPr="00930562">
        <w:rPr>
          <w:rFonts w:asciiTheme="majorHAnsi" w:hAnsiTheme="majorHAnsi"/>
          <w:lang w:val="es-US"/>
        </w:rPr>
        <w:t>Por lo tanto, "mientras un prisionero negro era una rareza en la era de la esclavitud [...]</w:t>
      </w:r>
      <w:r w:rsidR="00481CB3" w:rsidRPr="00930562">
        <w:rPr>
          <w:rFonts w:asciiTheme="majorHAnsi" w:hAnsiTheme="majorHAnsi"/>
          <w:lang w:val="es-US"/>
        </w:rPr>
        <w:t>,</w:t>
      </w:r>
      <w:r w:rsidRPr="00930562">
        <w:rPr>
          <w:rFonts w:asciiTheme="majorHAnsi" w:hAnsiTheme="majorHAnsi"/>
          <w:lang w:val="es-US"/>
        </w:rPr>
        <w:t xml:space="preserve"> </w:t>
      </w:r>
      <w:r w:rsidRPr="00930562">
        <w:rPr>
          <w:rFonts w:asciiTheme="majorHAnsi" w:hAnsiTheme="majorHAnsi"/>
          <w:lang w:val="es-US"/>
        </w:rPr>
        <w:lastRenderedPageBreak/>
        <w:t>la solución a la población negra libre se había convertido en criminalización. A su vez, el destino más común que enfrentaban los condenados negros era venderse en trabajos forzados para el beneficio del Estado.</w:t>
      </w:r>
      <w:r w:rsidR="0013380B" w:rsidRPr="00930562">
        <w:rPr>
          <w:rFonts w:asciiTheme="majorHAnsi" w:hAnsiTheme="majorHAnsi"/>
          <w:lang w:val="es-US"/>
        </w:rPr>
        <w:t>”</w:t>
      </w:r>
      <w:r w:rsidR="0013380B" w:rsidRPr="00930562">
        <w:rPr>
          <w:rFonts w:asciiTheme="majorHAnsi" w:hAnsiTheme="majorHAnsi"/>
          <w:vertAlign w:val="superscript"/>
          <w:lang w:val="es-US"/>
        </w:rPr>
        <w:footnoteReference w:id="85"/>
      </w:r>
      <w:r w:rsidR="0013380B" w:rsidRPr="00930562">
        <w:rPr>
          <w:rFonts w:asciiTheme="majorHAnsi" w:hAnsiTheme="majorHAnsi"/>
          <w:lang w:val="es-US"/>
        </w:rPr>
        <w:t xml:space="preserve"> </w:t>
      </w:r>
    </w:p>
    <w:p w14:paraId="6D194A0A" w14:textId="0C4A489B" w:rsidR="00C53CB3" w:rsidRPr="00930562" w:rsidRDefault="00C55245"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Tras el final de la Reconstrucción, los estados y municipios trabajaron para restablecer o reasegurar la jerarquía racial legal al promulgar las leyes de "Jim Crow", que imponían la "segregación racial y la persecución […],  la privación política, la explotación social y económica, la violencia y el sometimiento general de personas de ascendencia africana hasta la década de 1960</w:t>
      </w:r>
      <w:r w:rsidR="0013380B" w:rsidRPr="00930562">
        <w:rPr>
          <w:rFonts w:asciiTheme="majorHAnsi" w:hAnsiTheme="majorHAnsi"/>
          <w:lang w:val="es-US"/>
        </w:rPr>
        <w:t>.”</w:t>
      </w:r>
      <w:r w:rsidR="0013380B" w:rsidRPr="00930562">
        <w:rPr>
          <w:rFonts w:asciiTheme="majorHAnsi" w:hAnsiTheme="majorHAnsi"/>
          <w:vertAlign w:val="superscript"/>
          <w:lang w:val="es-US"/>
        </w:rPr>
        <w:footnoteReference w:id="86"/>
      </w:r>
      <w:r w:rsidR="00C53CB3" w:rsidRPr="00930562">
        <w:rPr>
          <w:rFonts w:asciiTheme="majorHAnsi" w:hAnsiTheme="majorHAnsi"/>
          <w:lang w:val="es-US"/>
        </w:rPr>
        <w:t xml:space="preserve"> Durante este tiempo, los estados introdujeron nuevas restricciones al voto, incluidos impuestos a la votación y  pruebas de alfabetización, deshaciendo en la práctica la promesa de la Decimoquinta Enmienda</w:t>
      </w:r>
      <w:r w:rsidR="00C53CB3" w:rsidRPr="00930562">
        <w:rPr>
          <w:rStyle w:val="FootnoteReference"/>
          <w:rFonts w:asciiTheme="majorHAnsi" w:hAnsiTheme="majorHAnsi" w:cs="Cambria"/>
          <w:szCs w:val="20"/>
          <w:lang w:val="es-US"/>
        </w:rPr>
        <w:footnoteReference w:id="87"/>
      </w:r>
      <w:r w:rsidR="00C53CB3" w:rsidRPr="00930562">
        <w:rPr>
          <w:rFonts w:asciiTheme="majorHAnsi" w:eastAsia="Times New Roman" w:hAnsiTheme="majorHAnsi" w:cs="Courier New"/>
          <w:lang w:val="es-US" w:eastAsia="es-MX"/>
        </w:rPr>
        <w:t xml:space="preserve">; </w:t>
      </w:r>
      <w:r w:rsidR="00C53CB3" w:rsidRPr="00930562">
        <w:rPr>
          <w:rFonts w:asciiTheme="majorHAnsi" w:hAnsiTheme="majorHAnsi"/>
          <w:lang w:val="es-US"/>
        </w:rPr>
        <w:t>el Ku Klux Klan moderno (KKK) saltó a la fama</w:t>
      </w:r>
      <w:r w:rsidR="00C53CB3" w:rsidRPr="00930562">
        <w:rPr>
          <w:rStyle w:val="FootnoteReference"/>
          <w:rFonts w:asciiTheme="majorHAnsi" w:hAnsiTheme="majorHAnsi" w:cs="Cambria"/>
          <w:szCs w:val="20"/>
          <w:lang w:val="es-US"/>
        </w:rPr>
        <w:footnoteReference w:id="88"/>
      </w:r>
      <w:r w:rsidR="00C53CB3" w:rsidRPr="00930562">
        <w:rPr>
          <w:rFonts w:asciiTheme="majorHAnsi" w:eastAsia="Times New Roman" w:hAnsiTheme="majorHAnsi" w:cs="Courier New"/>
          <w:lang w:val="es-US" w:eastAsia="es-MX"/>
        </w:rPr>
        <w:t xml:space="preserve">; </w:t>
      </w:r>
      <w:r w:rsidR="00C53CB3" w:rsidRPr="00930562">
        <w:rPr>
          <w:rFonts w:asciiTheme="majorHAnsi" w:hAnsiTheme="majorHAnsi"/>
          <w:lang w:val="es-US"/>
        </w:rPr>
        <w:t>y los linchamientos y otras formas de terrorismo racial violento</w:t>
      </w:r>
      <w:bookmarkStart w:id="48" w:name="_Ref500752134"/>
      <w:r w:rsidR="00C53CB3" w:rsidRPr="00930562">
        <w:rPr>
          <w:rFonts w:asciiTheme="majorHAnsi" w:hAnsiTheme="majorHAnsi"/>
          <w:vertAlign w:val="superscript"/>
          <w:lang w:val="es-US"/>
        </w:rPr>
        <w:footnoteReference w:id="89"/>
      </w:r>
      <w:bookmarkEnd w:id="48"/>
      <w:r w:rsidR="00C53CB3" w:rsidRPr="00930562">
        <w:rPr>
          <w:rFonts w:asciiTheme="majorHAnsi" w:hAnsiTheme="majorHAnsi"/>
          <w:lang w:val="es-US"/>
        </w:rPr>
        <w:t xml:space="preserve">, así como el robo de tierras y otras propiedades de los terratenientes negros, se </w:t>
      </w:r>
      <w:r w:rsidR="00C53CB3" w:rsidRPr="00930562">
        <w:rPr>
          <w:rFonts w:asciiTheme="majorHAnsi" w:hAnsiTheme="majorHAnsi"/>
          <w:lang w:val="es-US"/>
        </w:rPr>
        <w:lastRenderedPageBreak/>
        <w:t>hicieron cada vez más comunes</w:t>
      </w:r>
      <w:r w:rsidR="00C53CB3" w:rsidRPr="00930562">
        <w:rPr>
          <w:rFonts w:asciiTheme="majorHAnsi" w:hAnsiTheme="majorHAnsi" w:cs="Cambria"/>
          <w:szCs w:val="20"/>
          <w:lang w:val="es-US"/>
        </w:rPr>
        <w:t>.</w:t>
      </w:r>
      <w:r w:rsidR="00C53CB3" w:rsidRPr="00930562">
        <w:rPr>
          <w:rStyle w:val="FootnoteReference"/>
          <w:rFonts w:asciiTheme="majorHAnsi" w:hAnsiTheme="majorHAnsi" w:cs="Cambria"/>
          <w:szCs w:val="20"/>
          <w:lang w:val="es-US"/>
        </w:rPr>
        <w:footnoteReference w:id="90"/>
      </w:r>
      <w:r w:rsidR="00C53CB3" w:rsidRPr="00930562">
        <w:rPr>
          <w:rFonts w:asciiTheme="majorHAnsi" w:eastAsia="Times New Roman" w:hAnsiTheme="majorHAnsi" w:cs="Courier New"/>
          <w:lang w:val="es-US" w:eastAsia="es-MX"/>
        </w:rPr>
        <w:t xml:space="preserve"> </w:t>
      </w:r>
      <w:r w:rsidR="00C53CB3" w:rsidRPr="00930562">
        <w:rPr>
          <w:rFonts w:asciiTheme="majorHAnsi" w:hAnsiTheme="majorHAnsi"/>
          <w:lang w:val="es-US"/>
        </w:rPr>
        <w:t>Este sistema reinó hasta el Movimiento de Derechos Civiles de los años 1950 y 1960.</w:t>
      </w:r>
    </w:p>
    <w:p w14:paraId="1CEE2CC6" w14:textId="3C34F06B" w:rsidR="007A3F4F" w:rsidRPr="00930562" w:rsidRDefault="007A3F4F" w:rsidP="00724857">
      <w:pPr>
        <w:pStyle w:val="ListParagraph"/>
        <w:numPr>
          <w:ilvl w:val="0"/>
          <w:numId w:val="2"/>
        </w:numPr>
        <w:spacing w:after="240" w:line="240" w:lineRule="auto"/>
        <w:ind w:left="547" w:hanging="547"/>
        <w:contextualSpacing w:val="0"/>
        <w:jc w:val="both"/>
        <w:rPr>
          <w:rFonts w:asciiTheme="majorHAnsi" w:hAnsiTheme="majorHAnsi"/>
          <w:lang w:val="es-US"/>
        </w:rPr>
      </w:pPr>
      <w:bookmarkStart w:id="49" w:name="_Ref511745913"/>
      <w:r w:rsidRPr="00930562">
        <w:rPr>
          <w:rFonts w:asciiTheme="majorHAnsi" w:eastAsia="Calibri" w:hAnsiTheme="majorHAnsi"/>
          <w:lang w:val="es-US"/>
        </w:rPr>
        <w:t xml:space="preserve">A principios y mediados del siglo XX, la segregación de vivienda </w:t>
      </w:r>
      <w:r w:rsidRPr="00930562">
        <w:rPr>
          <w:rFonts w:asciiTheme="majorHAnsi" w:eastAsia="Calibri" w:hAnsiTheme="majorHAnsi"/>
          <w:i/>
          <w:lang w:val="es-US"/>
        </w:rPr>
        <w:t>de facto</w:t>
      </w:r>
      <w:r w:rsidRPr="00930562">
        <w:rPr>
          <w:rFonts w:asciiTheme="majorHAnsi" w:eastAsia="Calibri" w:hAnsiTheme="majorHAnsi"/>
          <w:lang w:val="es-US"/>
        </w:rPr>
        <w:t xml:space="preserve"> y auspiciada por el gobierno también </w:t>
      </w:r>
      <w:r w:rsidRPr="00930562">
        <w:rPr>
          <w:rFonts w:asciiTheme="majorHAnsi" w:hAnsiTheme="majorHAnsi"/>
          <w:lang w:val="es-US"/>
        </w:rPr>
        <w:t xml:space="preserve">reinó en todo el país, respaldada por un régimen de préstamos hipotecarios a bajo interés, hipotecas y seguros de vivienda </w:t>
      </w:r>
      <w:r w:rsidR="00417274" w:rsidRPr="00930562">
        <w:rPr>
          <w:rFonts w:asciiTheme="majorHAnsi" w:hAnsiTheme="majorHAnsi"/>
          <w:lang w:val="es-US"/>
        </w:rPr>
        <w:t>apoyados</w:t>
      </w:r>
      <w:r w:rsidRPr="00930562">
        <w:rPr>
          <w:rFonts w:asciiTheme="majorHAnsi" w:hAnsiTheme="majorHAnsi"/>
          <w:lang w:val="es-US"/>
        </w:rPr>
        <w:t xml:space="preserve"> por el gobierno, y programas para construir segregaciones proyectos de vivienda y barrios. Estos programas gubernamentales explícit</w:t>
      </w:r>
      <w:r w:rsidR="002C2B2A" w:rsidRPr="00930562">
        <w:rPr>
          <w:rFonts w:asciiTheme="majorHAnsi" w:hAnsiTheme="majorHAnsi"/>
          <w:lang w:val="es-US"/>
        </w:rPr>
        <w:t>amente</w:t>
      </w:r>
      <w:r w:rsidRPr="00930562">
        <w:rPr>
          <w:rFonts w:asciiTheme="majorHAnsi" w:hAnsiTheme="majorHAnsi"/>
          <w:lang w:val="es-US"/>
        </w:rPr>
        <w:t xml:space="preserve"> o de facto (a través de prácticas como el "revestimiento rojo") excluyeron a las familias negras del beneficio</w:t>
      </w:r>
      <w:r w:rsidR="0013380B" w:rsidRPr="00930562">
        <w:rPr>
          <w:rFonts w:asciiTheme="majorHAnsi" w:hAnsiTheme="majorHAnsi"/>
          <w:lang w:val="es-US"/>
        </w:rPr>
        <w:t>.</w:t>
      </w:r>
      <w:r w:rsidR="0013380B" w:rsidRPr="00930562">
        <w:rPr>
          <w:rFonts w:asciiTheme="majorHAnsi" w:hAnsiTheme="majorHAnsi"/>
          <w:vertAlign w:val="superscript"/>
          <w:lang w:val="es-US"/>
        </w:rPr>
        <w:footnoteReference w:id="91"/>
      </w:r>
      <w:r w:rsidR="0013380B" w:rsidRPr="00930562">
        <w:rPr>
          <w:rFonts w:asciiTheme="majorHAnsi" w:hAnsiTheme="majorHAnsi"/>
          <w:lang w:val="es-US"/>
        </w:rPr>
        <w:t xml:space="preserve"> </w:t>
      </w:r>
      <w:r w:rsidRPr="00930562">
        <w:rPr>
          <w:rFonts w:asciiTheme="majorHAnsi" w:hAnsiTheme="majorHAnsi"/>
          <w:lang w:val="es-US"/>
        </w:rPr>
        <w:t>Como el valor acumulado de la vivienda representa la mayor parte de la riqueza familiar para la familia media de los EE. UU., estas prácticas impidieron que una generación o más de familias afroamericanas construyeran riqueza familiar; esta brecha de riqueza sigue siendo evidente en la actualidad y no ha sido solucionada hasta la fecha por el gobierno federal.</w:t>
      </w:r>
      <w:r w:rsidR="0013380B" w:rsidRPr="00930562">
        <w:rPr>
          <w:rFonts w:asciiTheme="majorHAnsi" w:hAnsiTheme="majorHAnsi"/>
          <w:vertAlign w:val="superscript"/>
          <w:lang w:val="es-US"/>
        </w:rPr>
        <w:footnoteReference w:id="92"/>
      </w:r>
      <w:bookmarkEnd w:id="49"/>
    </w:p>
    <w:p w14:paraId="29E5BF1A" w14:textId="13110B53" w:rsidR="00BF1C81" w:rsidRPr="00930562" w:rsidRDefault="006C1F35"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 xml:space="preserve">A medida que la resistencia organizada al apartheid racial Jim Crow comenzó a incrementarse a comienzos de la década de 1950, los manifestantes negros se encontraron con una oposición violenta de policías blancos y miembros de la comunidad. Grupos activistas negros como la </w:t>
      </w:r>
      <w:r w:rsidR="00471268" w:rsidRPr="00930562">
        <w:rPr>
          <w:rFonts w:asciiTheme="majorHAnsi" w:hAnsiTheme="majorHAnsi"/>
          <w:lang w:val="es-US"/>
        </w:rPr>
        <w:t xml:space="preserve">Conferencia del Liderazgo Cristiano del Sur </w:t>
      </w:r>
      <w:r w:rsidRPr="00930562">
        <w:rPr>
          <w:rFonts w:asciiTheme="majorHAnsi" w:hAnsiTheme="majorHAnsi"/>
          <w:lang w:val="es-US"/>
        </w:rPr>
        <w:t>(SCLC), el Comité de Coordinación No Violenta Estudiantil (SNCC) y otras coaliciones protestaron por la segregación racial y la privación de derechos mediante boicots, sentadas, campañas de registro de votantes y marchas masivas como la Marcha sobre Washington y la Marcha de Selma a Montgomery ("Domingo sangriento"), enfrentándose permanentemente a ataques físicos, disturbios y bombardeos de blancos</w:t>
      </w:r>
      <w:r w:rsidR="0013380B" w:rsidRPr="00930562">
        <w:rPr>
          <w:rFonts w:asciiTheme="majorHAnsi" w:hAnsiTheme="majorHAnsi"/>
          <w:lang w:val="es-US"/>
        </w:rPr>
        <w:t>.</w:t>
      </w:r>
      <w:r w:rsidR="0013380B" w:rsidRPr="00930562">
        <w:rPr>
          <w:rFonts w:asciiTheme="majorHAnsi" w:hAnsiTheme="majorHAnsi"/>
          <w:vertAlign w:val="superscript"/>
          <w:lang w:val="es-US"/>
        </w:rPr>
        <w:footnoteReference w:id="93"/>
      </w:r>
    </w:p>
    <w:p w14:paraId="71041B27" w14:textId="76E99C11" w:rsidR="0059614D" w:rsidRPr="00930562" w:rsidRDefault="00BF1C81"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 xml:space="preserve"> Este activismo condujo a una serie de victorias judiciales y legislativas en los años 1950 y 1960, incluida la aprobación de la Ley de Derechos Civiles de 1964, que puso fin a la segregación legal en lugares públicos y prohibió </w:t>
      </w:r>
      <w:r w:rsidRPr="00930562">
        <w:rPr>
          <w:rFonts w:asciiTheme="majorHAnsi" w:hAnsiTheme="majorHAnsi"/>
          <w:lang w:val="es-US"/>
        </w:rPr>
        <w:lastRenderedPageBreak/>
        <w:t>la discriminación en el empleo por motivos de raza, color y religión, sexo u origen nacional; la Ley de Derechos Electorales de 1965, que busca superar las barreras al ejercicio de los derechos de voto de los afroamericanos; y la Ley de Equidad de Vivienda de 1968, que prohíbe la discriminación en la compra o el alquiler de la propiedad. Al mismo tiempo, varias decisiones clave</w:t>
      </w:r>
      <w:r w:rsidR="00A704F6" w:rsidRPr="00930562">
        <w:rPr>
          <w:rFonts w:asciiTheme="majorHAnsi" w:hAnsiTheme="majorHAnsi"/>
          <w:lang w:val="es-US"/>
        </w:rPr>
        <w:t>s</w:t>
      </w:r>
      <w:r w:rsidRPr="00930562">
        <w:rPr>
          <w:rFonts w:asciiTheme="majorHAnsi" w:hAnsiTheme="majorHAnsi"/>
          <w:lang w:val="es-US"/>
        </w:rPr>
        <w:t xml:space="preserve"> de la Corte Suprema revertieron los sistemas de jure de segregación racial y discriminación. En particular, Brown v. Board of Education y Brown II</w:t>
      </w:r>
      <w:r w:rsidRPr="00930562">
        <w:rPr>
          <w:rFonts w:asciiTheme="majorHAnsi" w:hAnsiTheme="majorHAnsi"/>
          <w:vertAlign w:val="superscript"/>
          <w:lang w:val="es-US"/>
        </w:rPr>
        <w:footnoteReference w:id="94"/>
      </w:r>
      <w:r w:rsidRPr="00930562">
        <w:rPr>
          <w:rFonts w:asciiTheme="majorHAnsi" w:hAnsiTheme="majorHAnsi"/>
          <w:lang w:val="es-US"/>
        </w:rPr>
        <w:t xml:space="preserve"> ordenaron y luego aplicaron la desagregación escolar; y Heart of Atlanta Motel v. U.S. y Katzenbach v. McClung</w:t>
      </w:r>
      <w:r w:rsidRPr="00930562">
        <w:rPr>
          <w:rFonts w:asciiTheme="majorHAnsi" w:hAnsiTheme="majorHAnsi"/>
          <w:vertAlign w:val="superscript"/>
          <w:lang w:val="es-US"/>
        </w:rPr>
        <w:footnoteReference w:id="95"/>
      </w:r>
      <w:r w:rsidRPr="00930562">
        <w:rPr>
          <w:rFonts w:asciiTheme="majorHAnsi" w:hAnsiTheme="majorHAnsi"/>
          <w:lang w:val="es-US"/>
        </w:rPr>
        <w:t xml:space="preserve"> prohibieron la discriminación racial por parte de empresas privadas.</w:t>
      </w:r>
    </w:p>
    <w:p w14:paraId="26EF3077" w14:textId="7BEE70A5" w:rsidR="00255488" w:rsidRPr="00930562" w:rsidRDefault="0059614D"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En el contexto del temor al aumento de la delincuencia y el desorden social en los Estados Unidos que siguió a los movimientos de protesta masiva de la década de 1960</w:t>
      </w:r>
      <w:r w:rsidRPr="00930562">
        <w:rPr>
          <w:rFonts w:asciiTheme="majorHAnsi" w:hAnsiTheme="majorHAnsi"/>
          <w:vertAlign w:val="superscript"/>
          <w:lang w:val="es-US"/>
        </w:rPr>
        <w:footnoteReference w:id="96"/>
      </w:r>
      <w:r w:rsidRPr="00930562">
        <w:rPr>
          <w:rFonts w:asciiTheme="majorHAnsi" w:hAnsiTheme="majorHAnsi"/>
          <w:lang w:val="es-US"/>
        </w:rPr>
        <w:t>, se desarrollaron nuevas teorías y políticas policiales que enmarcan aspectos importantes del problema de la violencia policial actual. En primer lugar, el aumento de la actividad policial en el marco de la "Guerra contra las drogas" ha funcionado para desbaratar a los manifestantes y las comunidades negras</w:t>
      </w:r>
      <w:bookmarkStart w:id="50" w:name="_Ref507153538"/>
      <w:r w:rsidRPr="00930562">
        <w:rPr>
          <w:rFonts w:asciiTheme="majorHAnsi" w:hAnsiTheme="majorHAnsi"/>
          <w:vertAlign w:val="superscript"/>
          <w:lang w:val="es-US"/>
        </w:rPr>
        <w:footnoteReference w:id="97"/>
      </w:r>
      <w:bookmarkEnd w:id="50"/>
      <w:r w:rsidRPr="00930562">
        <w:rPr>
          <w:rFonts w:asciiTheme="majorHAnsi" w:hAnsiTheme="majorHAnsi"/>
          <w:lang w:val="es-US"/>
        </w:rPr>
        <w:t>, y ha provocado un aumento de la encarcelación. La "Guerra contra las drogas" consiste en leyes, políticas e iniciativas de cooperación internacional destinadas a desalentar la producción, distribución y uso de drogas y ha dado lugar a un "notable aumento en el número de personas privadas de libertad por delitos relacionados con las drogas".</w:t>
      </w:r>
      <w:r w:rsidRPr="00930562">
        <w:rPr>
          <w:rFonts w:asciiTheme="majorHAnsi" w:hAnsiTheme="majorHAnsi"/>
          <w:vertAlign w:val="superscript"/>
          <w:lang w:val="es-US"/>
        </w:rPr>
        <w:footnoteReference w:id="98"/>
      </w:r>
      <w:r w:rsidRPr="00930562">
        <w:rPr>
          <w:rFonts w:asciiTheme="majorHAnsi" w:hAnsiTheme="majorHAnsi"/>
          <w:lang w:val="es-US"/>
        </w:rPr>
        <w:t xml:space="preserve"> </w:t>
      </w:r>
      <w:r w:rsidR="00417274" w:rsidRPr="00930562">
        <w:rPr>
          <w:rFonts w:asciiTheme="majorHAnsi" w:hAnsiTheme="majorHAnsi"/>
          <w:lang w:val="es-US"/>
        </w:rPr>
        <w:t xml:space="preserve"> </w:t>
      </w:r>
      <w:r w:rsidRPr="00930562">
        <w:rPr>
          <w:rFonts w:asciiTheme="majorHAnsi" w:hAnsiTheme="majorHAnsi"/>
          <w:lang w:val="es-US"/>
        </w:rPr>
        <w:t xml:space="preserve">En los </w:t>
      </w:r>
      <w:r w:rsidR="00417274" w:rsidRPr="00930562">
        <w:rPr>
          <w:rFonts w:asciiTheme="majorHAnsi" w:hAnsiTheme="majorHAnsi"/>
          <w:lang w:val="es-US"/>
        </w:rPr>
        <w:t>E</w:t>
      </w:r>
      <w:r w:rsidRPr="00930562">
        <w:rPr>
          <w:rFonts w:asciiTheme="majorHAnsi" w:hAnsiTheme="majorHAnsi"/>
          <w:lang w:val="es-US"/>
        </w:rPr>
        <w:t xml:space="preserve">E. UU., la "Guerra contra las drogas" ha conducido a la fuerte criminalización de la posesión y el consumo de </w:t>
      </w:r>
      <w:r w:rsidRPr="00930562">
        <w:rPr>
          <w:rFonts w:asciiTheme="majorHAnsi" w:hAnsiTheme="majorHAnsi"/>
          <w:lang w:val="es-US"/>
        </w:rPr>
        <w:lastRenderedPageBreak/>
        <w:t>drogas, incluida la creación de términos de prisión "mínima obligatoria" y el aumento de los esfuerzos policiales dirigidos a los arrestos por drogas. Estas políticas han sido aplicadas de forma racialmente discriminatoria, "resultando en una situación en la que 1 de cada 15 hombres negros se encuentra actualmente en la cárcel y 1 de cada 13 afroamericanos ha perdido su derecho al voto debido a una condena por delito grave".</w:t>
      </w:r>
      <w:r w:rsidRPr="00930562">
        <w:rPr>
          <w:rFonts w:asciiTheme="majorHAnsi" w:hAnsiTheme="majorHAnsi"/>
          <w:vertAlign w:val="superscript"/>
          <w:lang w:val="es-US"/>
        </w:rPr>
        <w:footnoteReference w:id="99"/>
      </w:r>
      <w:r w:rsidRPr="00930562">
        <w:rPr>
          <w:rFonts w:asciiTheme="majorHAnsi" w:hAnsiTheme="majorHAnsi"/>
          <w:lang w:val="es-US"/>
        </w:rPr>
        <w:t xml:space="preserve"> Entre 1970 y 2016, el número de personas encarceladas en cárceles estatales y federales en los EE.UU. creció de 196.429 a 1.505.400</w:t>
      </w:r>
      <w:r w:rsidRPr="00930562">
        <w:rPr>
          <w:rFonts w:asciiTheme="majorHAnsi" w:hAnsiTheme="majorHAnsi"/>
          <w:vertAlign w:val="superscript"/>
          <w:lang w:val="es-US"/>
        </w:rPr>
        <w:footnoteReference w:id="100"/>
      </w:r>
      <w:r w:rsidRPr="00930562">
        <w:rPr>
          <w:rFonts w:asciiTheme="majorHAnsi" w:hAnsiTheme="majorHAnsi"/>
          <w:lang w:val="es-US"/>
        </w:rPr>
        <w:t>; dentro de este número, los internos negros son los más sobrerrepresentados.</w:t>
      </w:r>
      <w:r w:rsidR="0013380B" w:rsidRPr="00930562">
        <w:rPr>
          <w:rFonts w:asciiTheme="majorHAnsi" w:hAnsiTheme="majorHAnsi"/>
          <w:vertAlign w:val="superscript"/>
          <w:lang w:val="es-US"/>
        </w:rPr>
        <w:footnoteReference w:id="101"/>
      </w:r>
      <w:r w:rsidRPr="00930562">
        <w:rPr>
          <w:rFonts w:asciiTheme="majorHAnsi" w:hAnsiTheme="majorHAnsi"/>
          <w:lang w:val="es-US"/>
        </w:rPr>
        <w:t xml:space="preserve">   </w:t>
      </w:r>
    </w:p>
    <w:p w14:paraId="412319E6" w14:textId="274661AB" w:rsidR="004D6F56" w:rsidRPr="00930562" w:rsidRDefault="00255488" w:rsidP="00724857">
      <w:pPr>
        <w:pStyle w:val="ListParagraph"/>
        <w:numPr>
          <w:ilvl w:val="0"/>
          <w:numId w:val="2"/>
        </w:numPr>
        <w:spacing w:after="240" w:line="240" w:lineRule="auto"/>
        <w:ind w:left="547" w:hanging="547"/>
        <w:contextualSpacing w:val="0"/>
        <w:jc w:val="both"/>
        <w:rPr>
          <w:rFonts w:asciiTheme="majorHAnsi" w:eastAsia="Calibri" w:hAnsiTheme="majorHAnsi"/>
          <w:color w:val="002060"/>
          <w:lang w:val="es-US"/>
        </w:rPr>
      </w:pPr>
      <w:r w:rsidRPr="00930562">
        <w:rPr>
          <w:rFonts w:asciiTheme="majorHAnsi" w:hAnsiTheme="majorHAnsi"/>
          <w:lang w:val="es-US"/>
        </w:rPr>
        <w:t>Adicionalmente, la teoría de la "</w:t>
      </w:r>
      <w:r w:rsidR="002C2B2A" w:rsidRPr="00930562">
        <w:rPr>
          <w:rFonts w:asciiTheme="majorHAnsi" w:hAnsiTheme="majorHAnsi"/>
          <w:lang w:val="es-US"/>
        </w:rPr>
        <w:t>V</w:t>
      </w:r>
      <w:r w:rsidRPr="00930562">
        <w:rPr>
          <w:rFonts w:asciiTheme="majorHAnsi" w:hAnsiTheme="majorHAnsi"/>
          <w:lang w:val="es-US"/>
        </w:rPr>
        <w:t xml:space="preserve">entana </w:t>
      </w:r>
      <w:r w:rsidR="00E10BC1" w:rsidRPr="00930562">
        <w:rPr>
          <w:rFonts w:asciiTheme="majorHAnsi" w:hAnsiTheme="majorHAnsi"/>
          <w:lang w:val="es-US"/>
        </w:rPr>
        <w:t>r</w:t>
      </w:r>
      <w:r w:rsidRPr="00930562">
        <w:rPr>
          <w:rFonts w:asciiTheme="majorHAnsi" w:hAnsiTheme="majorHAnsi"/>
          <w:lang w:val="es-US"/>
        </w:rPr>
        <w:t xml:space="preserve">ota" de </w:t>
      </w:r>
      <w:r w:rsidR="002C2B2A" w:rsidRPr="00930562">
        <w:rPr>
          <w:rFonts w:asciiTheme="majorHAnsi" w:hAnsiTheme="majorHAnsi"/>
          <w:lang w:val="es-US"/>
        </w:rPr>
        <w:t>control policial</w:t>
      </w:r>
      <w:r w:rsidR="00E10BC1" w:rsidRPr="00930562">
        <w:rPr>
          <w:rFonts w:asciiTheme="majorHAnsi" w:hAnsiTheme="majorHAnsi"/>
          <w:lang w:val="es-US"/>
        </w:rPr>
        <w:t xml:space="preserve"> [“Broken Windows” Theory of Policing] </w:t>
      </w:r>
      <w:r w:rsidRPr="00930562">
        <w:rPr>
          <w:rFonts w:asciiTheme="majorHAnsi" w:hAnsiTheme="majorHAnsi"/>
          <w:lang w:val="es-US"/>
        </w:rPr>
        <w:t>fue introducida en la década de 1980 por dos criminólogos que sugirieron que el delito florece en entornos poco estrictos</w:t>
      </w:r>
      <w:r w:rsidRPr="00930562">
        <w:rPr>
          <w:rFonts w:asciiTheme="majorHAnsi" w:eastAsia="Times New Roman" w:hAnsiTheme="majorHAnsi" w:cstheme="minorHAnsi"/>
          <w:color w:val="212121"/>
          <w:lang w:val="es-US" w:eastAsia="es-MX"/>
        </w:rPr>
        <w:t xml:space="preserve"> de aplicación de la ley.</w:t>
      </w:r>
      <w:r w:rsidRPr="00930562">
        <w:rPr>
          <w:rStyle w:val="FootnoteReference"/>
          <w:rFonts w:asciiTheme="majorHAnsi" w:hAnsiTheme="majorHAnsi" w:cstheme="minorHAnsi"/>
          <w:lang w:val="es-US"/>
        </w:rPr>
        <w:footnoteReference w:id="102"/>
      </w:r>
      <w:r w:rsidRPr="00930562">
        <w:rPr>
          <w:rFonts w:asciiTheme="majorHAnsi" w:eastAsia="Times New Roman" w:hAnsiTheme="majorHAnsi" w:cstheme="minorHAnsi"/>
          <w:color w:val="212121"/>
          <w:lang w:val="es-US" w:eastAsia="es-MX"/>
        </w:rPr>
        <w:t xml:space="preserve"> Para remediar esto, propusieron incrementar la vigilancia sobre pequeñas ofensas de "calidad de vida" como el vagabundeo, el vandalismo, el allanamiento y el consumo público de alcohol, considerándolos "puertas" para la comisión de delitos más graves.</w:t>
      </w:r>
      <w:r w:rsidRPr="00930562">
        <w:rPr>
          <w:rStyle w:val="FootnoteReference"/>
          <w:rFonts w:asciiTheme="majorHAnsi" w:hAnsiTheme="majorHAnsi" w:cstheme="minorHAnsi"/>
          <w:lang w:val="es-US"/>
        </w:rPr>
        <w:footnoteReference w:id="103"/>
      </w:r>
      <w:r w:rsidRPr="00930562">
        <w:rPr>
          <w:rFonts w:asciiTheme="majorHAnsi" w:eastAsia="Times New Roman" w:hAnsiTheme="majorHAnsi" w:cstheme="minorHAnsi"/>
          <w:color w:val="212121"/>
          <w:lang w:val="es-US" w:eastAsia="es-MX"/>
        </w:rPr>
        <w:t xml:space="preserve"> La teoría exige un enfoque agresivo, basado en el arresto, para la</w:t>
      </w:r>
      <w:r w:rsidRPr="00930562">
        <w:rPr>
          <w:rFonts w:asciiTheme="majorHAnsi" w:eastAsia="Times New Roman" w:hAnsiTheme="majorHAnsi" w:cs="Courier New"/>
          <w:color w:val="212121"/>
          <w:sz w:val="20"/>
          <w:szCs w:val="20"/>
          <w:lang w:val="es-US" w:eastAsia="es-MX"/>
        </w:rPr>
        <w:t xml:space="preserve"> </w:t>
      </w:r>
      <w:r w:rsidRPr="00930562">
        <w:rPr>
          <w:rFonts w:asciiTheme="majorHAnsi" w:eastAsia="Times New Roman" w:hAnsiTheme="majorHAnsi" w:cstheme="minorHAnsi"/>
          <w:color w:val="212121"/>
          <w:lang w:val="es-US" w:eastAsia="es-MX"/>
        </w:rPr>
        <w:t>vigilancia policial y la fuerte criminalización de delitos menores.</w:t>
      </w:r>
      <w:bookmarkStart w:id="51" w:name="_Ref511832973"/>
      <w:r w:rsidRPr="00930562">
        <w:rPr>
          <w:rStyle w:val="FootnoteReference"/>
          <w:rFonts w:asciiTheme="majorHAnsi" w:hAnsiTheme="majorHAnsi" w:cstheme="minorHAnsi"/>
          <w:lang w:val="es-US"/>
        </w:rPr>
        <w:footnoteReference w:id="104"/>
      </w:r>
      <w:bookmarkEnd w:id="51"/>
      <w:r w:rsidRPr="00930562">
        <w:rPr>
          <w:rFonts w:asciiTheme="majorHAnsi" w:eastAsia="Times New Roman" w:hAnsiTheme="majorHAnsi" w:cstheme="minorHAnsi"/>
          <w:color w:val="212121"/>
          <w:lang w:val="es-US" w:eastAsia="es-MX"/>
        </w:rPr>
        <w:t xml:space="preserve"> Esta teoría fue probada como una política en la ciudad de Nueva York en la década de 1990 y más tarde en otras áreas urbanas importantes como Los Ángeles, Chicago, Boston y Denver.</w:t>
      </w:r>
      <w:r w:rsidRPr="00930562">
        <w:rPr>
          <w:rStyle w:val="FootnoteReference"/>
          <w:rFonts w:asciiTheme="majorHAnsi" w:hAnsiTheme="majorHAnsi" w:cstheme="minorHAnsi"/>
          <w:lang w:val="es-US"/>
        </w:rPr>
        <w:footnoteReference w:id="105"/>
      </w:r>
      <w:r w:rsidRPr="00930562">
        <w:rPr>
          <w:rFonts w:asciiTheme="majorHAnsi" w:eastAsia="Times New Roman" w:hAnsiTheme="majorHAnsi" w:cstheme="minorHAnsi"/>
          <w:color w:val="212121"/>
          <w:lang w:val="es-US" w:eastAsia="es-MX"/>
        </w:rPr>
        <w:t xml:space="preserve"> Estudios han concluido que hay poco impacto de programas del tipo "</w:t>
      </w:r>
      <w:r w:rsidR="002C2B2A" w:rsidRPr="00930562">
        <w:rPr>
          <w:rFonts w:asciiTheme="majorHAnsi" w:eastAsia="Times New Roman" w:hAnsiTheme="majorHAnsi" w:cstheme="minorHAnsi"/>
          <w:color w:val="212121"/>
          <w:lang w:val="es-US" w:eastAsia="es-MX"/>
        </w:rPr>
        <w:t>V</w:t>
      </w:r>
      <w:r w:rsidRPr="00930562">
        <w:rPr>
          <w:rFonts w:asciiTheme="majorHAnsi" w:eastAsia="Times New Roman" w:hAnsiTheme="majorHAnsi" w:cstheme="minorHAnsi"/>
          <w:color w:val="212121"/>
          <w:lang w:val="es-US" w:eastAsia="es-MX"/>
        </w:rPr>
        <w:t xml:space="preserve">entana </w:t>
      </w:r>
      <w:r w:rsidR="002C2B2A" w:rsidRPr="00930562">
        <w:rPr>
          <w:rFonts w:asciiTheme="majorHAnsi" w:eastAsia="Times New Roman" w:hAnsiTheme="majorHAnsi" w:cstheme="minorHAnsi"/>
          <w:color w:val="212121"/>
          <w:lang w:val="es-US" w:eastAsia="es-MX"/>
        </w:rPr>
        <w:t>R</w:t>
      </w:r>
      <w:r w:rsidRPr="00930562">
        <w:rPr>
          <w:rFonts w:asciiTheme="majorHAnsi" w:eastAsia="Times New Roman" w:hAnsiTheme="majorHAnsi" w:cstheme="minorHAnsi"/>
          <w:color w:val="212121"/>
          <w:lang w:val="es-US" w:eastAsia="es-MX"/>
        </w:rPr>
        <w:t xml:space="preserve">ota"  sobre las tasas generales de criminalidad, pero la política ha tenido un claro impacto discriminatorio sobre los </w:t>
      </w:r>
      <w:r w:rsidR="00C8211E" w:rsidRPr="00930562">
        <w:rPr>
          <w:rFonts w:asciiTheme="majorHAnsi" w:eastAsia="Times New Roman" w:hAnsiTheme="majorHAnsi" w:cstheme="minorHAnsi"/>
          <w:color w:val="212121"/>
          <w:lang w:val="es-US" w:eastAsia="es-MX"/>
        </w:rPr>
        <w:t>afroamericanos</w:t>
      </w:r>
      <w:r w:rsidRPr="00930562">
        <w:rPr>
          <w:rFonts w:asciiTheme="majorHAnsi" w:eastAsia="Times New Roman" w:hAnsiTheme="majorHAnsi" w:cstheme="minorHAnsi"/>
          <w:color w:val="212121"/>
          <w:lang w:val="es-US" w:eastAsia="es-MX"/>
        </w:rPr>
        <w:t>.</w:t>
      </w:r>
      <w:r w:rsidRPr="00930562">
        <w:rPr>
          <w:rStyle w:val="FootnoteReference"/>
          <w:rFonts w:asciiTheme="majorHAnsi" w:hAnsiTheme="majorHAnsi" w:cstheme="minorHAnsi"/>
          <w:lang w:val="es-US"/>
        </w:rPr>
        <w:footnoteReference w:id="106"/>
      </w:r>
      <w:bookmarkStart w:id="52" w:name="_Ref507148704"/>
    </w:p>
    <w:p w14:paraId="37CBB18D" w14:textId="77777777" w:rsidR="002C2B2A" w:rsidRPr="00930562" w:rsidRDefault="004D6F56" w:rsidP="00724857">
      <w:pPr>
        <w:pStyle w:val="ListParagraph"/>
        <w:numPr>
          <w:ilvl w:val="0"/>
          <w:numId w:val="2"/>
        </w:numPr>
        <w:spacing w:after="240" w:line="240" w:lineRule="auto"/>
        <w:ind w:left="547" w:hanging="547"/>
        <w:contextualSpacing w:val="0"/>
        <w:jc w:val="both"/>
        <w:rPr>
          <w:rFonts w:asciiTheme="majorHAnsi" w:eastAsia="Calibri" w:hAnsiTheme="majorHAnsi"/>
          <w:color w:val="002060"/>
          <w:lang w:val="es-US"/>
        </w:rPr>
      </w:pPr>
      <w:r w:rsidRPr="00930562">
        <w:rPr>
          <w:rFonts w:asciiTheme="majorHAnsi" w:hAnsiTheme="majorHAnsi"/>
          <w:szCs w:val="20"/>
          <w:lang w:val="es-US"/>
        </w:rPr>
        <w:lastRenderedPageBreak/>
        <w:t>Finalmente, la Comisión observa que al menos desde la década de 1990, los departamentos policiales locales se han militarizado cada vez más como resultado de programas federales que utilizan transferencias de equipos y fondos para alentar a las agencias policiales estatales y locales a luchar contra la "Guerra contra las drogas". Los programas incluyen el Programa 1033 del Departamento de Defensa (DOD), promulgado en 1989 y ampliado en 1996, que transfiere equipos para "actividades antidrogas y antiterroristas".</w:t>
      </w:r>
      <w:r w:rsidRPr="00930562">
        <w:rPr>
          <w:rStyle w:val="FootnoteReference"/>
          <w:rFonts w:asciiTheme="majorHAnsi" w:hAnsiTheme="majorHAnsi"/>
          <w:szCs w:val="20"/>
          <w:lang w:val="es-US"/>
        </w:rPr>
        <w:footnoteReference w:id="107"/>
      </w:r>
      <w:r w:rsidRPr="00930562">
        <w:rPr>
          <w:rFonts w:asciiTheme="majorHAnsi" w:hAnsiTheme="majorHAnsi"/>
          <w:szCs w:val="20"/>
          <w:lang w:val="es-US"/>
        </w:rPr>
        <w:t xml:space="preserve"> El Departamento de Justicia (DOJ) y el Departamento de Seguridad Nacional (DHS) también proporcionan fondos para </w:t>
      </w:r>
      <w:r w:rsidRPr="00930562">
        <w:rPr>
          <w:rFonts w:asciiTheme="majorHAnsi" w:hAnsiTheme="majorHAnsi"/>
          <w:lang w:val="es-US"/>
        </w:rPr>
        <w:t>departamentos</w:t>
      </w:r>
      <w:r w:rsidRPr="00930562">
        <w:rPr>
          <w:rFonts w:asciiTheme="majorHAnsi" w:hAnsiTheme="majorHAnsi"/>
          <w:szCs w:val="20"/>
          <w:lang w:val="es-US"/>
        </w:rPr>
        <w:t xml:space="preserve"> policiales locales para adquirir equipamiento de tipo militar. Desde la declaración de la "Guerra contra el Terrorismo" a principios de la década de 2000, en nombre de la preparación antiterrorista las subvenciones del DHS para el trabajo antiterrorista han resultado en una acumulación aún mayor de equipo militar especializado por parte de los departamentos policiales locales. </w:t>
      </w:r>
      <w:r w:rsidRPr="00930562">
        <w:rPr>
          <w:rStyle w:val="FootnoteReference"/>
          <w:rFonts w:asciiTheme="majorHAnsi" w:hAnsiTheme="majorHAnsi"/>
          <w:szCs w:val="20"/>
          <w:lang w:val="es-US"/>
        </w:rPr>
        <w:footnoteReference w:id="108"/>
      </w:r>
    </w:p>
    <w:p w14:paraId="1C6748F7" w14:textId="521DB2FD" w:rsidR="004D6F56" w:rsidRPr="00930562" w:rsidRDefault="002C2B2A" w:rsidP="00B554A4">
      <w:pPr>
        <w:pStyle w:val="Heading2"/>
        <w:ind w:left="540" w:hanging="540"/>
        <w:rPr>
          <w:rFonts w:asciiTheme="majorHAnsi" w:eastAsia="Calibri" w:hAnsiTheme="majorHAnsi"/>
          <w:lang w:val="es-US"/>
        </w:rPr>
      </w:pPr>
      <w:bookmarkStart w:id="53" w:name="_Toc517779229"/>
      <w:bookmarkStart w:id="54" w:name="_Toc531514460"/>
      <w:r w:rsidRPr="00930562">
        <w:rPr>
          <w:rFonts w:asciiTheme="majorHAnsi" w:eastAsia="Calibri" w:hAnsiTheme="majorHAnsi"/>
          <w:lang w:val="es-US"/>
        </w:rPr>
        <w:t>Problemáticas clave</w:t>
      </w:r>
      <w:r w:rsidR="00C8211E" w:rsidRPr="00930562">
        <w:rPr>
          <w:rFonts w:asciiTheme="majorHAnsi" w:eastAsia="Calibri" w:hAnsiTheme="majorHAnsi"/>
          <w:lang w:val="es-US"/>
        </w:rPr>
        <w:t>s</w:t>
      </w:r>
      <w:r w:rsidRPr="00930562">
        <w:rPr>
          <w:rFonts w:asciiTheme="majorHAnsi" w:eastAsia="Calibri" w:hAnsiTheme="majorHAnsi"/>
          <w:lang w:val="es-US"/>
        </w:rPr>
        <w:t xml:space="preserve"> identificadas a través de los mecanismos de monitoreo de la CIDH</w:t>
      </w:r>
      <w:bookmarkEnd w:id="53"/>
      <w:bookmarkEnd w:id="54"/>
    </w:p>
    <w:p w14:paraId="4166DDEF" w14:textId="71822744" w:rsidR="0013380B" w:rsidRPr="00930562" w:rsidRDefault="004D6F56" w:rsidP="00724857">
      <w:pPr>
        <w:pStyle w:val="ListParagraph"/>
        <w:numPr>
          <w:ilvl w:val="0"/>
          <w:numId w:val="2"/>
        </w:numPr>
        <w:spacing w:after="240" w:line="240" w:lineRule="auto"/>
        <w:ind w:left="547" w:hanging="547"/>
        <w:contextualSpacing w:val="0"/>
        <w:jc w:val="both"/>
        <w:rPr>
          <w:rFonts w:asciiTheme="majorHAnsi" w:eastAsia="Times New Roman" w:hAnsiTheme="majorHAnsi" w:cs="Gotham-Book"/>
          <w:szCs w:val="20"/>
          <w:lang w:val="es-US" w:eastAsia="es-ES"/>
        </w:rPr>
      </w:pPr>
      <w:r w:rsidRPr="00930562">
        <w:rPr>
          <w:rFonts w:asciiTheme="majorHAnsi" w:hAnsiTheme="majorHAnsi"/>
          <w:szCs w:val="20"/>
          <w:lang w:val="es-US"/>
        </w:rPr>
        <w:t xml:space="preserve"> </w:t>
      </w:r>
      <w:bookmarkEnd w:id="52"/>
      <w:r w:rsidR="00EC4939" w:rsidRPr="00930562">
        <w:rPr>
          <w:rFonts w:asciiTheme="majorHAnsi" w:eastAsia="Times New Roman" w:hAnsiTheme="majorHAnsi" w:cs="Gotham-Book"/>
          <w:szCs w:val="20"/>
          <w:lang w:val="es-US" w:eastAsia="es-ES"/>
        </w:rPr>
        <w:t xml:space="preserve">En los últimos años, la Comisión ha monitoreado y recibido información sobre problemas constantes de discriminación estructural y desigualdades raciales que </w:t>
      </w:r>
      <w:r w:rsidR="00C8211E" w:rsidRPr="00930562">
        <w:rPr>
          <w:rFonts w:asciiTheme="majorHAnsi" w:eastAsia="Times New Roman" w:hAnsiTheme="majorHAnsi" w:cs="Gotham-Book"/>
          <w:szCs w:val="20"/>
          <w:lang w:val="es-US" w:eastAsia="es-ES"/>
        </w:rPr>
        <w:t>afect</w:t>
      </w:r>
      <w:r w:rsidR="00EC4939" w:rsidRPr="00930562">
        <w:rPr>
          <w:rFonts w:asciiTheme="majorHAnsi" w:eastAsia="Times New Roman" w:hAnsiTheme="majorHAnsi" w:cs="Gotham-Book"/>
          <w:szCs w:val="20"/>
          <w:lang w:val="es-US" w:eastAsia="es-ES"/>
        </w:rPr>
        <w:t xml:space="preserve">an las prácticas de aplicación de </w:t>
      </w:r>
      <w:r w:rsidR="00EC4939" w:rsidRPr="00930562">
        <w:rPr>
          <w:rFonts w:asciiTheme="majorHAnsi" w:hAnsiTheme="majorHAnsi"/>
          <w:lang w:val="es-US"/>
        </w:rPr>
        <w:t>la</w:t>
      </w:r>
      <w:r w:rsidR="00EC4939" w:rsidRPr="00930562">
        <w:rPr>
          <w:rFonts w:asciiTheme="majorHAnsi" w:eastAsia="Times New Roman" w:hAnsiTheme="majorHAnsi" w:cs="Gotham-Book"/>
          <w:szCs w:val="20"/>
          <w:lang w:val="es-US" w:eastAsia="es-ES"/>
        </w:rPr>
        <w:t xml:space="preserve"> ley y el sistema de justicia penal en los Estados Unidos. Esta sección detalla información sobre prácticas particularmente relacionadas con estas y otras áreas pertinentes, antes de pasar a los estándares legales internacionales aplicables y las obligaciones del gobierno-federal, estatal y local-en esta área.</w:t>
      </w:r>
    </w:p>
    <w:p w14:paraId="382EAC30" w14:textId="24D83CA5" w:rsidR="0013380B" w:rsidRPr="00930562" w:rsidRDefault="00CE6852" w:rsidP="009E0C04">
      <w:pPr>
        <w:pStyle w:val="Heading3"/>
        <w:numPr>
          <w:ilvl w:val="0"/>
          <w:numId w:val="8"/>
        </w:numPr>
        <w:ind w:left="540" w:hanging="540"/>
        <w:rPr>
          <w:lang w:val="es-US"/>
        </w:rPr>
      </w:pPr>
      <w:bookmarkStart w:id="55" w:name="_Toc511837809"/>
      <w:bookmarkStart w:id="56" w:name="_Toc511902982"/>
      <w:bookmarkStart w:id="57" w:name="_Toc517779230"/>
      <w:bookmarkStart w:id="58" w:name="_Toc531514461"/>
      <w:r w:rsidRPr="00930562">
        <w:rPr>
          <w:lang w:val="es-US"/>
        </w:rPr>
        <w:t>Aspectos de la</w:t>
      </w:r>
      <w:r w:rsidR="0013380B" w:rsidRPr="00930562">
        <w:rPr>
          <w:lang w:val="es-US"/>
        </w:rPr>
        <w:t xml:space="preserve"> </w:t>
      </w:r>
      <w:r w:rsidR="00B9657A" w:rsidRPr="00930562">
        <w:rPr>
          <w:lang w:val="es-US"/>
        </w:rPr>
        <w:t>discriminación racial en prácticas y resultados de la vigilancia policial</w:t>
      </w:r>
      <w:bookmarkEnd w:id="55"/>
      <w:bookmarkEnd w:id="56"/>
      <w:bookmarkEnd w:id="57"/>
      <w:bookmarkEnd w:id="58"/>
    </w:p>
    <w:p w14:paraId="71908EB1" w14:textId="0E5682CB" w:rsidR="0013380B" w:rsidRPr="00930562" w:rsidRDefault="00DD084B" w:rsidP="00724857">
      <w:pPr>
        <w:pStyle w:val="ListParagraph"/>
        <w:numPr>
          <w:ilvl w:val="0"/>
          <w:numId w:val="2"/>
        </w:numPr>
        <w:spacing w:after="240" w:line="240" w:lineRule="auto"/>
        <w:ind w:left="547" w:hanging="547"/>
        <w:contextualSpacing w:val="0"/>
        <w:jc w:val="both"/>
        <w:rPr>
          <w:rFonts w:asciiTheme="majorHAnsi" w:hAnsiTheme="majorHAnsi" w:cstheme="minorHAnsi"/>
          <w:lang w:val="es-US"/>
        </w:rPr>
      </w:pPr>
      <w:r w:rsidRPr="00930562">
        <w:rPr>
          <w:rFonts w:asciiTheme="majorHAnsi" w:hAnsiTheme="majorHAnsi" w:cstheme="minorHAnsi"/>
          <w:lang w:val="es-US"/>
        </w:rPr>
        <w:t xml:space="preserve">La Comisión se </w:t>
      </w:r>
      <w:r w:rsidRPr="00930562">
        <w:rPr>
          <w:rFonts w:asciiTheme="majorHAnsi" w:hAnsiTheme="majorHAnsi"/>
          <w:szCs w:val="20"/>
          <w:lang w:val="es-US"/>
        </w:rPr>
        <w:t>encuentra</w:t>
      </w:r>
      <w:r w:rsidRPr="00930562">
        <w:rPr>
          <w:rFonts w:asciiTheme="majorHAnsi" w:hAnsiTheme="majorHAnsi" w:cstheme="minorHAnsi"/>
          <w:lang w:val="es-US"/>
        </w:rPr>
        <w:t xml:space="preserve"> particularmente preocupada por los continuos problemas de prejuicio racial utilizado en la vigilancia policial, el uso excesivo de la fuerza y un patrón de impunidad </w:t>
      </w:r>
      <w:r w:rsidR="00594BC4" w:rsidRPr="00930562">
        <w:rPr>
          <w:rFonts w:asciiTheme="majorHAnsi" w:hAnsiTheme="majorHAnsi" w:cstheme="minorHAnsi"/>
          <w:lang w:val="es-US"/>
        </w:rPr>
        <w:t>de</w:t>
      </w:r>
      <w:r w:rsidRPr="00930562">
        <w:rPr>
          <w:rFonts w:asciiTheme="majorHAnsi" w:hAnsiTheme="majorHAnsi" w:cstheme="minorHAnsi"/>
          <w:lang w:val="es-US"/>
        </w:rPr>
        <w:t xml:space="preserve"> los policiales y los departamentos policiales involucrados</w:t>
      </w:r>
      <w:r w:rsidR="0013380B" w:rsidRPr="00930562">
        <w:rPr>
          <w:rFonts w:asciiTheme="majorHAnsi" w:hAnsiTheme="majorHAnsi" w:cstheme="minorHAnsi"/>
          <w:lang w:val="es-US"/>
        </w:rPr>
        <w:t>.</w:t>
      </w:r>
      <w:r w:rsidR="0013380B" w:rsidRPr="00930562">
        <w:rPr>
          <w:rStyle w:val="FootnoteReference"/>
          <w:rFonts w:asciiTheme="majorHAnsi" w:hAnsiTheme="majorHAnsi" w:cstheme="minorHAnsi"/>
          <w:lang w:val="es-US"/>
        </w:rPr>
        <w:footnoteReference w:id="109"/>
      </w:r>
      <w:r w:rsidRPr="00930562">
        <w:rPr>
          <w:rFonts w:asciiTheme="majorHAnsi" w:hAnsiTheme="majorHAnsi" w:cstheme="minorHAnsi"/>
          <w:lang w:val="es-US"/>
        </w:rPr>
        <w:t xml:space="preserve"> Mientras que casos como el de </w:t>
      </w:r>
      <w:r w:rsidRPr="00930562">
        <w:rPr>
          <w:rFonts w:asciiTheme="majorHAnsi" w:hAnsiTheme="majorHAnsi" w:cstheme="minorHAnsi"/>
          <w:lang w:val="es-US"/>
        </w:rPr>
        <w:lastRenderedPageBreak/>
        <w:t>Rodney King, golpeado por la policía de Los Angeles en 1992</w:t>
      </w:r>
      <w:r w:rsidRPr="00930562">
        <w:rPr>
          <w:rStyle w:val="FootnoteReference"/>
          <w:rFonts w:asciiTheme="majorHAnsi" w:hAnsiTheme="majorHAnsi" w:cstheme="minorHAnsi"/>
          <w:lang w:val="es-US"/>
        </w:rPr>
        <w:footnoteReference w:id="110"/>
      </w:r>
      <w:r w:rsidRPr="00930562">
        <w:rPr>
          <w:rFonts w:asciiTheme="majorHAnsi" w:hAnsiTheme="majorHAnsi" w:cstheme="minorHAnsi"/>
          <w:lang w:val="es-US"/>
        </w:rPr>
        <w:t>, o Amadou Diallo, asesinado por la policía de Nueva York en 2009</w:t>
      </w:r>
      <w:r w:rsidRPr="00930562">
        <w:rPr>
          <w:rStyle w:val="FootnoteReference"/>
          <w:rFonts w:asciiTheme="majorHAnsi" w:hAnsiTheme="majorHAnsi" w:cstheme="minorHAnsi"/>
          <w:lang w:val="es-US"/>
        </w:rPr>
        <w:footnoteReference w:id="111"/>
      </w:r>
      <w:r w:rsidRPr="00930562">
        <w:rPr>
          <w:rFonts w:asciiTheme="majorHAnsi" w:hAnsiTheme="majorHAnsi" w:cstheme="minorHAnsi"/>
          <w:lang w:val="es-US"/>
        </w:rPr>
        <w:t>, desataron una gran indignación pública, la situación cobró especial atención en los Estados Unidos tras el asesinato de Trayvon Martin, un adolescente negro que fue asesinado a tiros por un particular que actuó como un "vigilante de la comunidad" en Sanford, Florida, el 26 de febrero de 2012</w:t>
      </w:r>
      <w:r w:rsidR="0013380B" w:rsidRPr="00930562">
        <w:rPr>
          <w:rFonts w:asciiTheme="majorHAnsi" w:hAnsiTheme="majorHAnsi" w:cstheme="minorHAnsi"/>
          <w:lang w:val="es-US"/>
        </w:rPr>
        <w:t>.</w:t>
      </w:r>
      <w:r w:rsidR="0013380B" w:rsidRPr="00930562">
        <w:rPr>
          <w:rStyle w:val="FootnoteReference"/>
          <w:rFonts w:asciiTheme="majorHAnsi" w:hAnsiTheme="majorHAnsi" w:cstheme="minorHAnsi"/>
          <w:lang w:val="es-US"/>
        </w:rPr>
        <w:footnoteReference w:id="112"/>
      </w:r>
      <w:r w:rsidR="0013380B" w:rsidRPr="00930562">
        <w:rPr>
          <w:rFonts w:asciiTheme="majorHAnsi" w:hAnsiTheme="majorHAnsi" w:cstheme="minorHAnsi"/>
          <w:lang w:val="es-US"/>
        </w:rPr>
        <w:t xml:space="preserve"> </w:t>
      </w:r>
      <w:r w:rsidRPr="00930562">
        <w:rPr>
          <w:rFonts w:asciiTheme="majorHAnsi" w:hAnsiTheme="majorHAnsi" w:cstheme="minorHAnsi"/>
          <w:lang w:val="es-US"/>
        </w:rPr>
        <w:t xml:space="preserve">Los posteriores tiroteos y muertes a manos de la policía </w:t>
      </w:r>
      <w:r w:rsidR="00154A6D" w:rsidRPr="00930562">
        <w:rPr>
          <w:rFonts w:asciiTheme="majorHAnsi" w:hAnsiTheme="majorHAnsi" w:cstheme="minorHAnsi"/>
          <w:lang w:val="es-US"/>
        </w:rPr>
        <w:t xml:space="preserve">de </w:t>
      </w:r>
      <w:r w:rsidR="002148AC" w:rsidRPr="00930562">
        <w:rPr>
          <w:rFonts w:asciiTheme="majorHAnsi" w:hAnsiTheme="majorHAnsi" w:cstheme="minorHAnsi"/>
          <w:lang w:val="es-US"/>
        </w:rPr>
        <w:t>gran</w:t>
      </w:r>
      <w:r w:rsidR="00154A6D" w:rsidRPr="00930562">
        <w:rPr>
          <w:rFonts w:asciiTheme="majorHAnsi" w:hAnsiTheme="majorHAnsi" w:cstheme="minorHAnsi"/>
          <w:lang w:val="es-US"/>
        </w:rPr>
        <w:t xml:space="preserve"> repercus</w:t>
      </w:r>
      <w:r w:rsidR="002148AC" w:rsidRPr="00930562">
        <w:rPr>
          <w:rFonts w:asciiTheme="majorHAnsi" w:hAnsiTheme="majorHAnsi" w:cstheme="minorHAnsi"/>
          <w:lang w:val="es-US"/>
        </w:rPr>
        <w:t>ió</w:t>
      </w:r>
      <w:r w:rsidR="00154A6D" w:rsidRPr="00930562">
        <w:rPr>
          <w:rFonts w:asciiTheme="majorHAnsi" w:hAnsiTheme="majorHAnsi" w:cstheme="minorHAnsi"/>
          <w:lang w:val="es-US"/>
        </w:rPr>
        <w:t xml:space="preserve">n </w:t>
      </w:r>
      <w:r w:rsidRPr="00930562">
        <w:rPr>
          <w:rFonts w:asciiTheme="majorHAnsi" w:hAnsiTheme="majorHAnsi" w:cstheme="minorHAnsi"/>
          <w:lang w:val="es-US"/>
        </w:rPr>
        <w:t>de</w:t>
      </w:r>
      <w:r w:rsidR="0013380B" w:rsidRPr="00930562">
        <w:rPr>
          <w:rFonts w:asciiTheme="majorHAnsi" w:hAnsiTheme="majorHAnsi" w:cstheme="minorHAnsi"/>
          <w:lang w:val="es-US"/>
        </w:rPr>
        <w:t xml:space="preserve"> Rekia Boyd </w:t>
      </w:r>
      <w:r w:rsidR="00154A6D" w:rsidRPr="00930562">
        <w:rPr>
          <w:rFonts w:asciiTheme="majorHAnsi" w:hAnsiTheme="majorHAnsi" w:cstheme="minorHAnsi"/>
          <w:lang w:val="es-US"/>
        </w:rPr>
        <w:t>en</w:t>
      </w:r>
      <w:r w:rsidR="0013380B" w:rsidRPr="00930562">
        <w:rPr>
          <w:rFonts w:asciiTheme="majorHAnsi" w:hAnsiTheme="majorHAnsi" w:cstheme="minorHAnsi"/>
          <w:lang w:val="es-US"/>
        </w:rPr>
        <w:t xml:space="preserve"> Chicago, Illinois; Eric Garner </w:t>
      </w:r>
      <w:r w:rsidR="00154A6D" w:rsidRPr="00930562">
        <w:rPr>
          <w:rFonts w:asciiTheme="majorHAnsi" w:hAnsiTheme="majorHAnsi" w:cstheme="minorHAnsi"/>
          <w:lang w:val="es-US"/>
        </w:rPr>
        <w:t>en</w:t>
      </w:r>
      <w:r w:rsidR="0013380B" w:rsidRPr="00930562">
        <w:rPr>
          <w:rFonts w:asciiTheme="majorHAnsi" w:hAnsiTheme="majorHAnsi" w:cstheme="minorHAnsi"/>
          <w:lang w:val="es-US"/>
        </w:rPr>
        <w:t xml:space="preserve"> Long Island, N</w:t>
      </w:r>
      <w:r w:rsidR="00154A6D" w:rsidRPr="00930562">
        <w:rPr>
          <w:rFonts w:asciiTheme="majorHAnsi" w:hAnsiTheme="majorHAnsi" w:cstheme="minorHAnsi"/>
          <w:lang w:val="es-US"/>
        </w:rPr>
        <w:t>ueva</w:t>
      </w:r>
      <w:r w:rsidR="0013380B" w:rsidRPr="00930562">
        <w:rPr>
          <w:rFonts w:asciiTheme="majorHAnsi" w:hAnsiTheme="majorHAnsi" w:cstheme="minorHAnsi"/>
          <w:lang w:val="es-US"/>
        </w:rPr>
        <w:t xml:space="preserve"> York; Michael Brown </w:t>
      </w:r>
      <w:r w:rsidR="00154A6D" w:rsidRPr="00930562">
        <w:rPr>
          <w:rFonts w:asciiTheme="majorHAnsi" w:hAnsiTheme="majorHAnsi" w:cstheme="minorHAnsi"/>
          <w:lang w:val="es-US"/>
        </w:rPr>
        <w:t>en</w:t>
      </w:r>
      <w:r w:rsidR="0013380B" w:rsidRPr="00930562">
        <w:rPr>
          <w:rFonts w:asciiTheme="majorHAnsi" w:hAnsiTheme="majorHAnsi" w:cstheme="minorHAnsi"/>
          <w:lang w:val="es-US"/>
        </w:rPr>
        <w:t xml:space="preserve"> Ferguson, Misuri; Laquan McDonald </w:t>
      </w:r>
      <w:r w:rsidR="00154A6D" w:rsidRPr="00930562">
        <w:rPr>
          <w:rFonts w:asciiTheme="majorHAnsi" w:hAnsiTheme="majorHAnsi" w:cstheme="minorHAnsi"/>
          <w:lang w:val="es-US"/>
        </w:rPr>
        <w:t>en</w:t>
      </w:r>
      <w:r w:rsidR="0013380B" w:rsidRPr="00930562">
        <w:rPr>
          <w:rFonts w:asciiTheme="majorHAnsi" w:hAnsiTheme="majorHAnsi" w:cstheme="minorHAnsi"/>
          <w:lang w:val="es-US"/>
        </w:rPr>
        <w:t xml:space="preserve"> Chicago, Illinois; Akai Gurley </w:t>
      </w:r>
      <w:r w:rsidR="00154A6D" w:rsidRPr="00930562">
        <w:rPr>
          <w:rFonts w:asciiTheme="majorHAnsi" w:hAnsiTheme="majorHAnsi" w:cstheme="minorHAnsi"/>
          <w:lang w:val="es-US"/>
        </w:rPr>
        <w:t>en</w:t>
      </w:r>
      <w:r w:rsidR="0013380B" w:rsidRPr="00930562">
        <w:rPr>
          <w:rFonts w:asciiTheme="majorHAnsi" w:hAnsiTheme="majorHAnsi" w:cstheme="minorHAnsi"/>
          <w:lang w:val="es-US"/>
        </w:rPr>
        <w:t xml:space="preserve"> Brooklyn, N</w:t>
      </w:r>
      <w:r w:rsidR="00154A6D" w:rsidRPr="00930562">
        <w:rPr>
          <w:rFonts w:asciiTheme="majorHAnsi" w:hAnsiTheme="majorHAnsi" w:cstheme="minorHAnsi"/>
          <w:lang w:val="es-US"/>
        </w:rPr>
        <w:t xml:space="preserve">ueva </w:t>
      </w:r>
      <w:r w:rsidR="0013380B" w:rsidRPr="00930562">
        <w:rPr>
          <w:rFonts w:asciiTheme="majorHAnsi" w:hAnsiTheme="majorHAnsi" w:cstheme="minorHAnsi"/>
          <w:lang w:val="es-US"/>
        </w:rPr>
        <w:t xml:space="preserve">York; Walter Scott </w:t>
      </w:r>
      <w:r w:rsidR="00154A6D" w:rsidRPr="00930562">
        <w:rPr>
          <w:rFonts w:asciiTheme="majorHAnsi" w:hAnsiTheme="majorHAnsi" w:cstheme="minorHAnsi"/>
          <w:lang w:val="es-US"/>
        </w:rPr>
        <w:t>en</w:t>
      </w:r>
      <w:r w:rsidR="0013380B" w:rsidRPr="00930562">
        <w:rPr>
          <w:rFonts w:asciiTheme="majorHAnsi" w:hAnsiTheme="majorHAnsi" w:cstheme="minorHAnsi"/>
          <w:lang w:val="es-US"/>
        </w:rPr>
        <w:t xml:space="preserve"> North Charleston, </w:t>
      </w:r>
      <w:r w:rsidR="00154A6D" w:rsidRPr="00930562">
        <w:rPr>
          <w:rFonts w:asciiTheme="majorHAnsi" w:hAnsiTheme="majorHAnsi" w:cstheme="minorHAnsi"/>
          <w:lang w:val="es-US"/>
        </w:rPr>
        <w:t>Carolina del Sur</w:t>
      </w:r>
      <w:r w:rsidR="0013380B" w:rsidRPr="00930562">
        <w:rPr>
          <w:rFonts w:asciiTheme="majorHAnsi" w:hAnsiTheme="majorHAnsi" w:cstheme="minorHAnsi"/>
          <w:lang w:val="es-US"/>
        </w:rPr>
        <w:t xml:space="preserve">; Tamir Rice </w:t>
      </w:r>
      <w:r w:rsidR="00154A6D" w:rsidRPr="00930562">
        <w:rPr>
          <w:rFonts w:asciiTheme="majorHAnsi" w:hAnsiTheme="majorHAnsi" w:cstheme="minorHAnsi"/>
          <w:lang w:val="es-US"/>
        </w:rPr>
        <w:t>rn</w:t>
      </w:r>
      <w:r w:rsidR="0013380B" w:rsidRPr="00930562">
        <w:rPr>
          <w:rFonts w:asciiTheme="majorHAnsi" w:hAnsiTheme="majorHAnsi" w:cstheme="minorHAnsi"/>
          <w:lang w:val="es-US"/>
        </w:rPr>
        <w:t xml:space="preserve"> Cleveland, Ohio; Freddie Gray </w:t>
      </w:r>
      <w:r w:rsidR="00154A6D" w:rsidRPr="00930562">
        <w:rPr>
          <w:rFonts w:asciiTheme="majorHAnsi" w:hAnsiTheme="majorHAnsi" w:cstheme="minorHAnsi"/>
          <w:lang w:val="es-US"/>
        </w:rPr>
        <w:t>en</w:t>
      </w:r>
      <w:r w:rsidR="0013380B" w:rsidRPr="00930562">
        <w:rPr>
          <w:rFonts w:asciiTheme="majorHAnsi" w:hAnsiTheme="majorHAnsi" w:cstheme="minorHAnsi"/>
          <w:lang w:val="es-US"/>
        </w:rPr>
        <w:t xml:space="preserve"> Baltimore, Maryland; Sandra Bland </w:t>
      </w:r>
      <w:r w:rsidR="00154A6D" w:rsidRPr="00930562">
        <w:rPr>
          <w:rFonts w:asciiTheme="majorHAnsi" w:hAnsiTheme="majorHAnsi" w:cstheme="minorHAnsi"/>
          <w:lang w:val="es-US"/>
        </w:rPr>
        <w:t>en</w:t>
      </w:r>
      <w:r w:rsidR="0013380B" w:rsidRPr="00930562">
        <w:rPr>
          <w:rFonts w:asciiTheme="majorHAnsi" w:hAnsiTheme="majorHAnsi" w:cstheme="minorHAnsi"/>
          <w:lang w:val="es-US"/>
        </w:rPr>
        <w:t xml:space="preserve"> Waller County, Texas; Philando Castile </w:t>
      </w:r>
      <w:r w:rsidR="00154A6D" w:rsidRPr="00930562">
        <w:rPr>
          <w:rFonts w:asciiTheme="majorHAnsi" w:hAnsiTheme="majorHAnsi" w:cstheme="minorHAnsi"/>
          <w:lang w:val="es-US"/>
        </w:rPr>
        <w:t>en</w:t>
      </w:r>
      <w:r w:rsidR="0013380B" w:rsidRPr="00930562">
        <w:rPr>
          <w:rFonts w:asciiTheme="majorHAnsi" w:hAnsiTheme="majorHAnsi" w:cstheme="minorHAnsi"/>
          <w:lang w:val="es-US"/>
        </w:rPr>
        <w:t xml:space="preserve"> Minneapolis, Minesota; Alton Sterling </w:t>
      </w:r>
      <w:r w:rsidR="00154A6D" w:rsidRPr="00930562">
        <w:rPr>
          <w:rFonts w:asciiTheme="majorHAnsi" w:hAnsiTheme="majorHAnsi" w:cstheme="minorHAnsi"/>
          <w:lang w:val="es-US"/>
        </w:rPr>
        <w:t>en New Orleans, L</w:t>
      </w:r>
      <w:r w:rsidR="0013380B" w:rsidRPr="00930562">
        <w:rPr>
          <w:rFonts w:asciiTheme="majorHAnsi" w:hAnsiTheme="majorHAnsi" w:cstheme="minorHAnsi"/>
          <w:lang w:val="es-US"/>
        </w:rPr>
        <w:t xml:space="preserve">uisiana; Terence Crutcher </w:t>
      </w:r>
      <w:r w:rsidR="00154A6D" w:rsidRPr="00930562">
        <w:rPr>
          <w:rFonts w:asciiTheme="majorHAnsi" w:hAnsiTheme="majorHAnsi" w:cstheme="minorHAnsi"/>
          <w:lang w:val="es-US"/>
        </w:rPr>
        <w:t>en</w:t>
      </w:r>
      <w:r w:rsidR="0013380B" w:rsidRPr="00930562">
        <w:rPr>
          <w:rFonts w:asciiTheme="majorHAnsi" w:hAnsiTheme="majorHAnsi" w:cstheme="minorHAnsi"/>
          <w:lang w:val="es-US"/>
        </w:rPr>
        <w:t xml:space="preserve"> Tulsa, Oklahoma; </w:t>
      </w:r>
      <w:r w:rsidR="00154A6D" w:rsidRPr="00930562">
        <w:rPr>
          <w:rFonts w:asciiTheme="majorHAnsi" w:hAnsiTheme="majorHAnsi" w:cstheme="minorHAnsi"/>
          <w:lang w:val="es-US"/>
        </w:rPr>
        <w:t>y</w:t>
      </w:r>
      <w:r w:rsidR="0013380B" w:rsidRPr="00930562">
        <w:rPr>
          <w:rFonts w:asciiTheme="majorHAnsi" w:hAnsiTheme="majorHAnsi" w:cstheme="minorHAnsi"/>
          <w:lang w:val="es-US"/>
        </w:rPr>
        <w:t xml:space="preserve"> Stephon Clark </w:t>
      </w:r>
      <w:r w:rsidR="00154A6D" w:rsidRPr="00930562">
        <w:rPr>
          <w:rFonts w:asciiTheme="majorHAnsi" w:hAnsiTheme="majorHAnsi" w:cstheme="minorHAnsi"/>
          <w:lang w:val="es-US"/>
        </w:rPr>
        <w:t>en</w:t>
      </w:r>
      <w:r w:rsidR="0013380B" w:rsidRPr="00930562">
        <w:rPr>
          <w:rFonts w:asciiTheme="majorHAnsi" w:hAnsiTheme="majorHAnsi" w:cstheme="minorHAnsi"/>
          <w:lang w:val="es-US"/>
        </w:rPr>
        <w:t xml:space="preserve"> Sacramento, California—</w:t>
      </w:r>
      <w:r w:rsidR="00154A6D" w:rsidRPr="00930562">
        <w:rPr>
          <w:rFonts w:asciiTheme="majorHAnsi" w:hAnsiTheme="majorHAnsi" w:cstheme="minorHAnsi"/>
          <w:lang w:val="es-US"/>
        </w:rPr>
        <w:t>entre otros cientos que a la fecha permanecen sin ser contabilizados</w:t>
      </w:r>
      <w:r w:rsidR="0013380B" w:rsidRPr="00930562">
        <w:rPr>
          <w:rFonts w:asciiTheme="majorHAnsi" w:hAnsiTheme="majorHAnsi" w:cstheme="minorHAnsi"/>
          <w:lang w:val="es-US"/>
        </w:rPr>
        <w:t xml:space="preserve"> </w:t>
      </w:r>
      <w:r w:rsidR="00154A6D" w:rsidRPr="00930562">
        <w:rPr>
          <w:rFonts w:asciiTheme="majorHAnsi" w:hAnsiTheme="majorHAnsi" w:cstheme="minorHAnsi"/>
          <w:lang w:val="es-US"/>
        </w:rPr>
        <w:t>por el gobierno federal</w:t>
      </w:r>
      <w:r w:rsidR="0013380B" w:rsidRPr="00930562">
        <w:rPr>
          <w:rFonts w:asciiTheme="majorHAnsi" w:hAnsiTheme="majorHAnsi" w:cstheme="minorHAnsi"/>
          <w:lang w:val="es-US"/>
        </w:rPr>
        <w:t>—</w:t>
      </w:r>
      <w:r w:rsidR="00154A6D" w:rsidRPr="00930562">
        <w:rPr>
          <w:rFonts w:asciiTheme="majorHAnsi" w:hAnsiTheme="majorHAnsi" w:cstheme="minorHAnsi"/>
          <w:lang w:val="es-US"/>
        </w:rPr>
        <w:t xml:space="preserve"> han impulsado el debate público</w:t>
      </w:r>
      <w:r w:rsidR="0013380B" w:rsidRPr="00930562">
        <w:rPr>
          <w:rFonts w:asciiTheme="majorHAnsi" w:hAnsiTheme="majorHAnsi" w:cstheme="minorHAnsi"/>
          <w:lang w:val="es-US"/>
        </w:rPr>
        <w:t xml:space="preserve">, </w:t>
      </w:r>
      <w:r w:rsidR="00154A6D" w:rsidRPr="00930562">
        <w:rPr>
          <w:rFonts w:asciiTheme="majorHAnsi" w:hAnsiTheme="majorHAnsi" w:cstheme="minorHAnsi"/>
          <w:lang w:val="es-US"/>
        </w:rPr>
        <w:t xml:space="preserve">el activismo de las organizaciones de base como </w:t>
      </w:r>
      <w:r w:rsidR="0013380B" w:rsidRPr="00930562">
        <w:rPr>
          <w:rFonts w:asciiTheme="majorHAnsi" w:hAnsiTheme="majorHAnsi" w:cstheme="minorHAnsi"/>
          <w:i/>
          <w:lang w:val="es-US"/>
        </w:rPr>
        <w:t>Black Lives Matter</w:t>
      </w:r>
      <w:r w:rsidR="0013380B" w:rsidRPr="00930562">
        <w:rPr>
          <w:rFonts w:asciiTheme="majorHAnsi" w:hAnsiTheme="majorHAnsi" w:cstheme="minorHAnsi"/>
          <w:lang w:val="es-US"/>
        </w:rPr>
        <w:t>,</w:t>
      </w:r>
      <w:r w:rsidR="0013380B" w:rsidRPr="00930562">
        <w:rPr>
          <w:rStyle w:val="FootnoteReference"/>
          <w:rFonts w:asciiTheme="majorHAnsi" w:hAnsiTheme="majorHAnsi" w:cstheme="minorHAnsi"/>
          <w:lang w:val="es-US"/>
        </w:rPr>
        <w:footnoteReference w:id="113"/>
      </w:r>
      <w:r w:rsidR="0013380B" w:rsidRPr="00930562">
        <w:rPr>
          <w:rFonts w:asciiTheme="majorHAnsi" w:hAnsiTheme="majorHAnsi" w:cstheme="minorHAnsi"/>
          <w:lang w:val="es-US"/>
        </w:rPr>
        <w:t xml:space="preserve"> investiga</w:t>
      </w:r>
      <w:r w:rsidR="00154A6D" w:rsidRPr="00930562">
        <w:rPr>
          <w:rFonts w:asciiTheme="majorHAnsi" w:hAnsiTheme="majorHAnsi" w:cstheme="minorHAnsi"/>
          <w:lang w:val="es-US"/>
        </w:rPr>
        <w:t>ciones</w:t>
      </w:r>
      <w:r w:rsidR="00C8211E" w:rsidRPr="00930562">
        <w:rPr>
          <w:rFonts w:asciiTheme="majorHAnsi" w:hAnsiTheme="majorHAnsi" w:cstheme="minorHAnsi"/>
          <w:lang w:val="es-US"/>
        </w:rPr>
        <w:t xml:space="preserve"> </w:t>
      </w:r>
      <w:r w:rsidR="00154A6D" w:rsidRPr="00930562">
        <w:rPr>
          <w:rFonts w:asciiTheme="majorHAnsi" w:hAnsiTheme="majorHAnsi" w:cstheme="minorHAnsi"/>
          <w:lang w:val="es-US"/>
        </w:rPr>
        <w:t>federales sobre departamentos policiales</w:t>
      </w:r>
      <w:r w:rsidR="0013380B" w:rsidRPr="00930562">
        <w:rPr>
          <w:rFonts w:asciiTheme="majorHAnsi" w:hAnsiTheme="majorHAnsi" w:cstheme="minorHAnsi"/>
          <w:lang w:val="es-US"/>
        </w:rPr>
        <w:t xml:space="preserve">, </w:t>
      </w:r>
      <w:r w:rsidR="00154A6D" w:rsidRPr="00930562">
        <w:rPr>
          <w:rFonts w:asciiTheme="majorHAnsi" w:hAnsiTheme="majorHAnsi" w:cstheme="minorHAnsi"/>
          <w:lang w:val="es-US"/>
        </w:rPr>
        <w:t xml:space="preserve">repetidas </w:t>
      </w:r>
      <w:r w:rsidR="00154A6D" w:rsidRPr="00930562">
        <w:rPr>
          <w:rFonts w:asciiTheme="majorHAnsi" w:hAnsiTheme="majorHAnsi" w:cstheme="minorHAnsi"/>
          <w:color w:val="212121"/>
          <w:lang w:val="es-US"/>
        </w:rPr>
        <w:t>protestas públicas en todo el país y e</w:t>
      </w:r>
      <w:r w:rsidR="00154A6D" w:rsidRPr="00930562">
        <w:rPr>
          <w:rFonts w:asciiTheme="majorHAnsi" w:hAnsiTheme="majorHAnsi" w:cstheme="minorHAnsi"/>
          <w:lang w:val="es-US"/>
        </w:rPr>
        <w:t>sfuerzos</w:t>
      </w:r>
      <w:r w:rsidR="00872777" w:rsidRPr="00930562">
        <w:rPr>
          <w:rFonts w:asciiTheme="majorHAnsi" w:hAnsiTheme="majorHAnsi" w:cstheme="minorHAnsi"/>
          <w:lang w:val="es-US"/>
        </w:rPr>
        <w:t xml:space="preserve"> continuos</w:t>
      </w:r>
      <w:r w:rsidR="00154A6D" w:rsidRPr="00930562">
        <w:rPr>
          <w:rFonts w:asciiTheme="majorHAnsi" w:hAnsiTheme="majorHAnsi" w:cstheme="minorHAnsi"/>
          <w:lang w:val="es-US"/>
        </w:rPr>
        <w:t xml:space="preserve"> </w:t>
      </w:r>
      <w:r w:rsidR="00012E75" w:rsidRPr="00930562">
        <w:rPr>
          <w:rFonts w:asciiTheme="majorHAnsi" w:hAnsiTheme="majorHAnsi" w:cstheme="minorHAnsi"/>
          <w:lang w:val="es-US"/>
        </w:rPr>
        <w:t xml:space="preserve">por </w:t>
      </w:r>
      <w:r w:rsidR="00872777" w:rsidRPr="00930562">
        <w:rPr>
          <w:rFonts w:asciiTheme="majorHAnsi" w:hAnsiTheme="majorHAnsi" w:cstheme="minorHAnsi"/>
          <w:lang w:val="es-US"/>
        </w:rPr>
        <w:t>impulsar</w:t>
      </w:r>
      <w:r w:rsidR="00154A6D" w:rsidRPr="00930562">
        <w:rPr>
          <w:rFonts w:asciiTheme="majorHAnsi" w:hAnsiTheme="majorHAnsi" w:cstheme="minorHAnsi"/>
          <w:lang w:val="es-US"/>
        </w:rPr>
        <w:t xml:space="preserve"> reforma</w:t>
      </w:r>
      <w:r w:rsidR="00012E75" w:rsidRPr="00930562">
        <w:rPr>
          <w:rFonts w:asciiTheme="majorHAnsi" w:hAnsiTheme="majorHAnsi" w:cstheme="minorHAnsi"/>
          <w:lang w:val="es-US"/>
        </w:rPr>
        <w:t>s</w:t>
      </w:r>
      <w:r w:rsidR="00154A6D" w:rsidRPr="00930562">
        <w:rPr>
          <w:rFonts w:asciiTheme="majorHAnsi" w:hAnsiTheme="majorHAnsi" w:cstheme="minorHAnsi"/>
          <w:lang w:val="es-US"/>
        </w:rPr>
        <w:t xml:space="preserve"> institucional</w:t>
      </w:r>
      <w:r w:rsidR="00012E75" w:rsidRPr="00930562">
        <w:rPr>
          <w:rFonts w:asciiTheme="majorHAnsi" w:hAnsiTheme="majorHAnsi" w:cstheme="minorHAnsi"/>
          <w:lang w:val="es-US"/>
        </w:rPr>
        <w:t>es</w:t>
      </w:r>
      <w:r w:rsidR="00154A6D" w:rsidRPr="00930562">
        <w:rPr>
          <w:rFonts w:asciiTheme="majorHAnsi" w:hAnsiTheme="majorHAnsi" w:cstheme="minorHAnsi"/>
          <w:lang w:val="es-US"/>
        </w:rPr>
        <w:t>.</w:t>
      </w:r>
      <w:r w:rsidR="0013380B" w:rsidRPr="00930562">
        <w:rPr>
          <w:rFonts w:asciiTheme="majorHAnsi" w:hAnsiTheme="majorHAnsi" w:cstheme="minorHAnsi"/>
          <w:lang w:val="es-US"/>
        </w:rPr>
        <w:t xml:space="preserve"> </w:t>
      </w:r>
      <w:r w:rsidR="00012E75" w:rsidRPr="00930562">
        <w:rPr>
          <w:rFonts w:asciiTheme="majorHAnsi" w:hAnsiTheme="majorHAnsi" w:cstheme="minorHAnsi"/>
          <w:lang w:val="es-US"/>
        </w:rPr>
        <w:t xml:space="preserve">Desde 2014 la Comisión ha </w:t>
      </w:r>
      <w:r w:rsidR="002148AC" w:rsidRPr="00930562">
        <w:rPr>
          <w:rFonts w:asciiTheme="majorHAnsi" w:hAnsiTheme="majorHAnsi" w:cstheme="minorHAnsi"/>
          <w:lang w:val="es-US"/>
        </w:rPr>
        <w:t>reiterado</w:t>
      </w:r>
      <w:r w:rsidR="00012E75" w:rsidRPr="00930562">
        <w:rPr>
          <w:rFonts w:asciiTheme="majorHAnsi" w:hAnsiTheme="majorHAnsi" w:cstheme="minorHAnsi"/>
          <w:lang w:val="es-US"/>
        </w:rPr>
        <w:t xml:space="preserve"> que estos asesinatos representan </w:t>
      </w:r>
      <w:r w:rsidR="0013380B" w:rsidRPr="00930562">
        <w:rPr>
          <w:rFonts w:asciiTheme="majorHAnsi" w:hAnsiTheme="majorHAnsi" w:cstheme="minorHAnsi"/>
          <w:lang w:val="es-US"/>
        </w:rPr>
        <w:t>“</w:t>
      </w:r>
      <w:r w:rsidR="00012E75" w:rsidRPr="00930562">
        <w:rPr>
          <w:rFonts w:asciiTheme="majorHAnsi" w:hAnsiTheme="majorHAnsi" w:cstheme="minorHAnsi"/>
          <w:lang w:val="es-US"/>
        </w:rPr>
        <w:t xml:space="preserve">un patrón inquietante de uso excesivo de fuerza por parte de agentes policiales hacia los afroamericanos y otras personas de color" y ha instado al Estado a evaluar </w:t>
      </w:r>
      <w:r w:rsidR="002148AC" w:rsidRPr="00930562">
        <w:rPr>
          <w:rFonts w:asciiTheme="majorHAnsi" w:hAnsiTheme="majorHAnsi" w:cstheme="minorHAnsi"/>
          <w:lang w:val="es-US"/>
        </w:rPr>
        <w:t xml:space="preserve">la existencia de </w:t>
      </w:r>
      <w:r w:rsidR="00012E75" w:rsidRPr="00930562">
        <w:rPr>
          <w:rFonts w:asciiTheme="majorHAnsi" w:hAnsiTheme="majorHAnsi" w:cstheme="minorHAnsi"/>
          <w:lang w:val="es-US"/>
        </w:rPr>
        <w:t>un patrón aparente de uso de fuerza excesiva contra personas de color.</w:t>
      </w:r>
      <w:r w:rsidR="0013380B" w:rsidRPr="00930562">
        <w:rPr>
          <w:rStyle w:val="FootnoteReference"/>
          <w:rFonts w:asciiTheme="majorHAnsi" w:hAnsiTheme="majorHAnsi" w:cstheme="minorHAnsi"/>
          <w:lang w:val="es-US"/>
        </w:rPr>
        <w:footnoteReference w:id="114"/>
      </w:r>
    </w:p>
    <w:p w14:paraId="2A6221DF" w14:textId="1B9BE8C2" w:rsidR="0013380B" w:rsidRPr="00930562" w:rsidRDefault="00A83B41"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rPr>
        <w:t xml:space="preserve">En esta sección se analiza el uso excesivo de la fuerza policial contra los afroamericanos y otros grupos históricamente marginados, así como cuestiones conexas de prejuicio policial y discriminación en el control policial, represión de protestas y un patrón continuo de impunidad en casos de uso excesivo de la fuerza por parte de </w:t>
      </w:r>
      <w:r w:rsidR="00C8211E" w:rsidRPr="00930562">
        <w:rPr>
          <w:rFonts w:asciiTheme="majorHAnsi" w:hAnsiTheme="majorHAnsi"/>
          <w:szCs w:val="20"/>
          <w:lang w:val="es-US"/>
        </w:rPr>
        <w:t xml:space="preserve">la </w:t>
      </w:r>
      <w:r w:rsidRPr="00930562">
        <w:rPr>
          <w:rFonts w:asciiTheme="majorHAnsi" w:hAnsiTheme="majorHAnsi"/>
          <w:szCs w:val="20"/>
          <w:lang w:val="es-US"/>
        </w:rPr>
        <w:t xml:space="preserve">policía. La Comisión ha </w:t>
      </w:r>
      <w:r w:rsidRPr="00930562">
        <w:rPr>
          <w:rFonts w:asciiTheme="majorHAnsi" w:hAnsiTheme="majorHAnsi"/>
          <w:szCs w:val="20"/>
          <w:lang w:val="es-US"/>
        </w:rPr>
        <w:lastRenderedPageBreak/>
        <w:t>señalado anteriormente que "[...] las principales preocupaciones relacionadas con el uso excesivo o arbitrario de la fuerza se centran en la militarización del [] equipo policial, el tipo de capacitación que reciben, los protocolos de acción que utilizan y la dificultad con la cual los agentes de policía que son culpables de abuso o uso excesivo de la fuerza son penalmente responsables y procesados.</w:t>
      </w:r>
      <w:r w:rsidR="0013380B" w:rsidRPr="00930562">
        <w:rPr>
          <w:rFonts w:asciiTheme="majorHAnsi" w:hAnsiTheme="majorHAnsi" w:cs="Arial"/>
          <w:szCs w:val="20"/>
          <w:lang w:val="es-US"/>
        </w:rPr>
        <w:t>"</w:t>
      </w:r>
      <w:r w:rsidR="0013380B" w:rsidRPr="00930562">
        <w:rPr>
          <w:rFonts w:asciiTheme="majorHAnsi" w:hAnsiTheme="majorHAnsi" w:cs="Arial"/>
          <w:szCs w:val="20"/>
          <w:vertAlign w:val="superscript"/>
          <w:lang w:val="es-US"/>
        </w:rPr>
        <w:footnoteReference w:id="115"/>
      </w:r>
    </w:p>
    <w:p w14:paraId="11BA3BEF" w14:textId="77777777" w:rsidR="0013380B" w:rsidRPr="00930562" w:rsidRDefault="00681F8B" w:rsidP="001E382F">
      <w:pPr>
        <w:pStyle w:val="Heading4"/>
        <w:rPr>
          <w:lang w:val="es-US"/>
        </w:rPr>
      </w:pPr>
      <w:bookmarkStart w:id="59" w:name="_Toc511837810"/>
      <w:bookmarkStart w:id="60" w:name="_Toc511902983"/>
      <w:bookmarkStart w:id="61" w:name="_Toc517779231"/>
      <w:bookmarkStart w:id="62" w:name="_Toc531514462"/>
      <w:r w:rsidRPr="00930562">
        <w:rPr>
          <w:lang w:val="es-US"/>
        </w:rPr>
        <w:t xml:space="preserve">Excesivo control policial y </w:t>
      </w:r>
      <w:r w:rsidR="008B562C" w:rsidRPr="00930562">
        <w:rPr>
          <w:lang w:val="es-US"/>
        </w:rPr>
        <w:t>establecimiento de perfiles raciales</w:t>
      </w:r>
      <w:r w:rsidR="0009003F" w:rsidRPr="00930562">
        <w:rPr>
          <w:lang w:val="es-US"/>
        </w:rPr>
        <w:t xml:space="preserve"> a </w:t>
      </w:r>
      <w:r w:rsidRPr="00930562">
        <w:rPr>
          <w:lang w:val="es-US"/>
        </w:rPr>
        <w:t>afroa</w:t>
      </w:r>
      <w:r w:rsidR="0013380B" w:rsidRPr="00930562">
        <w:rPr>
          <w:lang w:val="es-US"/>
        </w:rPr>
        <w:t>merican</w:t>
      </w:r>
      <w:r w:rsidRPr="00930562">
        <w:rPr>
          <w:lang w:val="es-US"/>
        </w:rPr>
        <w:t>o</w:t>
      </w:r>
      <w:r w:rsidR="0013380B" w:rsidRPr="00930562">
        <w:rPr>
          <w:lang w:val="es-US"/>
        </w:rPr>
        <w:t>s</w:t>
      </w:r>
      <w:bookmarkEnd w:id="59"/>
      <w:bookmarkEnd w:id="60"/>
      <w:bookmarkEnd w:id="61"/>
      <w:bookmarkEnd w:id="62"/>
    </w:p>
    <w:p w14:paraId="309A0416" w14:textId="5CCD14DA" w:rsidR="0013380B" w:rsidRPr="00930562" w:rsidRDefault="008B562C"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bookmarkStart w:id="63" w:name="_Ref507597137"/>
      <w:r w:rsidRPr="00930562">
        <w:rPr>
          <w:rFonts w:asciiTheme="majorHAnsi" w:eastAsia="Times New Roman" w:hAnsiTheme="majorHAnsi"/>
          <w:szCs w:val="20"/>
          <w:lang w:val="es-US" w:eastAsia="es-ES"/>
        </w:rPr>
        <w:t xml:space="preserve">La Comisión Interamericana ha recibido información sustancial sobre las políticas implementadas por los </w:t>
      </w:r>
      <w:r w:rsidRPr="00930562">
        <w:rPr>
          <w:rFonts w:asciiTheme="majorHAnsi" w:hAnsiTheme="majorHAnsi"/>
          <w:szCs w:val="20"/>
          <w:lang w:val="es-US"/>
        </w:rPr>
        <w:t xml:space="preserve">departamentos de policía en los municipios de los EE.UU. que alientan el excesivo control policial de los afroamericanos y otros grupos históricamente marginados, y permite o fomenta la discriminación racial contra estas comunidades. En esta sección, la Comisión tiene en cuenta el impacto de las políticas de </w:t>
      </w:r>
      <w:r w:rsidR="0013380B" w:rsidRPr="00930562">
        <w:rPr>
          <w:rFonts w:asciiTheme="majorHAnsi" w:hAnsiTheme="majorHAnsi"/>
          <w:szCs w:val="20"/>
          <w:lang w:val="es-US"/>
        </w:rPr>
        <w:t>“</w:t>
      </w:r>
      <w:r w:rsidRPr="00930562">
        <w:rPr>
          <w:rFonts w:asciiTheme="majorHAnsi" w:hAnsiTheme="majorHAnsi"/>
          <w:szCs w:val="20"/>
          <w:lang w:val="es-US"/>
        </w:rPr>
        <w:t>Ventana Rota</w:t>
      </w:r>
      <w:r w:rsidR="0013380B" w:rsidRPr="00930562">
        <w:rPr>
          <w:rFonts w:asciiTheme="majorHAnsi" w:hAnsiTheme="majorHAnsi"/>
          <w:szCs w:val="20"/>
          <w:lang w:val="es-US"/>
        </w:rPr>
        <w:t>”-,</w:t>
      </w:r>
      <w:r w:rsidR="0013380B" w:rsidRPr="00930562">
        <w:rPr>
          <w:rFonts w:asciiTheme="majorHAnsi" w:hAnsiTheme="majorHAnsi"/>
          <w:vertAlign w:val="superscript"/>
          <w:lang w:val="es-US"/>
        </w:rPr>
        <w:footnoteReference w:id="116"/>
      </w:r>
      <w:r w:rsidR="0013380B" w:rsidRPr="00930562">
        <w:rPr>
          <w:rFonts w:asciiTheme="majorHAnsi" w:hAnsiTheme="majorHAnsi"/>
          <w:szCs w:val="20"/>
          <w:lang w:val="es-US"/>
        </w:rPr>
        <w:t xml:space="preserve"> inclu</w:t>
      </w:r>
      <w:r w:rsidRPr="00930562">
        <w:rPr>
          <w:rFonts w:asciiTheme="majorHAnsi" w:hAnsiTheme="majorHAnsi"/>
          <w:szCs w:val="20"/>
          <w:lang w:val="es-US"/>
        </w:rPr>
        <w:t>yendo  el conocido programa de la ciudad de Nueva Y</w:t>
      </w:r>
      <w:r w:rsidR="0013380B" w:rsidRPr="00930562">
        <w:rPr>
          <w:rFonts w:asciiTheme="majorHAnsi" w:hAnsiTheme="majorHAnsi"/>
          <w:szCs w:val="20"/>
          <w:lang w:val="es-US"/>
        </w:rPr>
        <w:t>ork “</w:t>
      </w:r>
      <w:r w:rsidRPr="00930562">
        <w:rPr>
          <w:rFonts w:asciiTheme="majorHAnsi" w:hAnsiTheme="majorHAnsi"/>
          <w:szCs w:val="20"/>
          <w:lang w:val="es-US"/>
        </w:rPr>
        <w:t>Stop and Frisk” [Pare y Cacheo]</w:t>
      </w:r>
      <w:r w:rsidR="0013380B" w:rsidRPr="00930562">
        <w:rPr>
          <w:rFonts w:asciiTheme="majorHAnsi" w:hAnsiTheme="majorHAnsi"/>
          <w:szCs w:val="20"/>
          <w:lang w:val="es-US"/>
        </w:rPr>
        <w:t xml:space="preserve">, </w:t>
      </w:r>
      <w:r w:rsidRPr="00930562">
        <w:rPr>
          <w:rFonts w:asciiTheme="majorHAnsi" w:hAnsiTheme="majorHAnsi"/>
          <w:szCs w:val="20"/>
          <w:lang w:val="es-US"/>
        </w:rPr>
        <w:t>así como también prácticas policiales que fomentan la sobre-criminalización de comunidades pobres de a</w:t>
      </w:r>
      <w:r w:rsidR="0013380B" w:rsidRPr="00930562">
        <w:rPr>
          <w:rFonts w:asciiTheme="majorHAnsi" w:hAnsiTheme="majorHAnsi"/>
          <w:szCs w:val="20"/>
          <w:lang w:val="es-US"/>
        </w:rPr>
        <w:t>fr</w:t>
      </w:r>
      <w:r w:rsidRPr="00930562">
        <w:rPr>
          <w:rFonts w:asciiTheme="majorHAnsi" w:hAnsiTheme="majorHAnsi"/>
          <w:szCs w:val="20"/>
          <w:lang w:val="es-US"/>
        </w:rPr>
        <w:t xml:space="preserve">oamericanos y otros grupos históricamente marginalizados, como el patrón de control policial con fines de lucro establecido </w:t>
      </w:r>
      <w:r w:rsidR="00DE4F5D" w:rsidRPr="00930562">
        <w:rPr>
          <w:rFonts w:asciiTheme="majorHAnsi" w:hAnsiTheme="majorHAnsi"/>
          <w:szCs w:val="20"/>
          <w:lang w:val="es-US"/>
        </w:rPr>
        <w:t>durante</w:t>
      </w:r>
      <w:r w:rsidRPr="00930562">
        <w:rPr>
          <w:rFonts w:asciiTheme="majorHAnsi" w:hAnsiTheme="majorHAnsi"/>
          <w:szCs w:val="20"/>
          <w:lang w:val="es-US"/>
        </w:rPr>
        <w:t xml:space="preserve"> la revisión federal de prácticas policiales </w:t>
      </w:r>
      <w:r w:rsidR="00DE4F5D" w:rsidRPr="00930562">
        <w:rPr>
          <w:rFonts w:asciiTheme="majorHAnsi" w:hAnsiTheme="majorHAnsi"/>
          <w:szCs w:val="20"/>
          <w:lang w:val="es-US"/>
        </w:rPr>
        <w:t>e</w:t>
      </w:r>
      <w:r w:rsidR="0013380B" w:rsidRPr="00930562">
        <w:rPr>
          <w:rFonts w:asciiTheme="majorHAnsi" w:hAnsiTheme="majorHAnsi"/>
          <w:szCs w:val="20"/>
          <w:lang w:val="es-US"/>
        </w:rPr>
        <w:t>n Ferguson, Misuri.</w:t>
      </w:r>
      <w:bookmarkEnd w:id="63"/>
      <w:r w:rsidR="0013380B" w:rsidRPr="00930562">
        <w:rPr>
          <w:rFonts w:asciiTheme="majorHAnsi" w:hAnsiTheme="majorHAnsi"/>
          <w:szCs w:val="20"/>
          <w:lang w:val="es-US"/>
        </w:rPr>
        <w:t xml:space="preserve"> </w:t>
      </w:r>
    </w:p>
    <w:p w14:paraId="1F9B85AE" w14:textId="77777777" w:rsidR="0013380B" w:rsidRPr="00930562" w:rsidRDefault="00061E8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rPr>
        <w:t>Previamente la</w:t>
      </w:r>
      <w:r w:rsidR="0013380B" w:rsidRPr="00930562">
        <w:rPr>
          <w:rFonts w:asciiTheme="majorHAnsi" w:hAnsiTheme="majorHAnsi"/>
          <w:szCs w:val="20"/>
          <w:lang w:val="es-US"/>
        </w:rPr>
        <w:t xml:space="preserve"> Comisi</w:t>
      </w:r>
      <w:r w:rsidRPr="00930562">
        <w:rPr>
          <w:rFonts w:asciiTheme="majorHAnsi" w:hAnsiTheme="majorHAnsi"/>
          <w:szCs w:val="20"/>
          <w:lang w:val="es-US"/>
        </w:rPr>
        <w:t>ó</w:t>
      </w:r>
      <w:r w:rsidR="0013380B" w:rsidRPr="00930562">
        <w:rPr>
          <w:rFonts w:asciiTheme="majorHAnsi" w:hAnsiTheme="majorHAnsi"/>
          <w:szCs w:val="20"/>
          <w:lang w:val="es-US"/>
        </w:rPr>
        <w:t xml:space="preserve">n ha </w:t>
      </w:r>
      <w:r w:rsidRPr="00930562">
        <w:rPr>
          <w:rFonts w:asciiTheme="majorHAnsi" w:hAnsiTheme="majorHAnsi"/>
          <w:szCs w:val="20"/>
          <w:lang w:val="es-US"/>
        </w:rPr>
        <w:t xml:space="preserve">definido </w:t>
      </w:r>
      <w:r w:rsidR="004F7AC5" w:rsidRPr="00930562">
        <w:rPr>
          <w:rFonts w:asciiTheme="majorHAnsi" w:hAnsiTheme="majorHAnsi"/>
          <w:szCs w:val="20"/>
          <w:lang w:val="es-US"/>
        </w:rPr>
        <w:t>la práctica de “racial profiling” o establecimiento de perfiles raciales</w:t>
      </w:r>
      <w:r w:rsidR="00872777" w:rsidRPr="00930562">
        <w:rPr>
          <w:rFonts w:asciiTheme="majorHAnsi" w:hAnsiTheme="majorHAnsi"/>
          <w:szCs w:val="20"/>
          <w:lang w:val="es-US"/>
        </w:rPr>
        <w:t xml:space="preserve"> como</w:t>
      </w:r>
      <w:r w:rsidR="0013380B" w:rsidRPr="00930562">
        <w:rPr>
          <w:rFonts w:asciiTheme="majorHAnsi" w:hAnsiTheme="majorHAnsi"/>
          <w:szCs w:val="20"/>
          <w:lang w:val="es-US"/>
        </w:rPr>
        <w:t xml:space="preserve">: </w:t>
      </w:r>
    </w:p>
    <w:p w14:paraId="2C6414D7" w14:textId="7F7CA773" w:rsidR="0013380B" w:rsidRPr="00930562" w:rsidRDefault="00872777" w:rsidP="0013380B">
      <w:pPr>
        <w:pStyle w:val="ListParagraph"/>
        <w:spacing w:after="240" w:line="240" w:lineRule="auto"/>
        <w:ind w:left="1166" w:right="619"/>
        <w:contextualSpacing w:val="0"/>
        <w:jc w:val="both"/>
        <w:rPr>
          <w:rFonts w:asciiTheme="majorHAnsi" w:eastAsia="Times New Roman" w:hAnsiTheme="majorHAnsi"/>
          <w:szCs w:val="18"/>
          <w:lang w:val="es-US" w:eastAsia="es-ES"/>
        </w:rPr>
      </w:pPr>
      <w:r w:rsidRPr="00930562">
        <w:rPr>
          <w:rFonts w:asciiTheme="majorHAnsi" w:eastAsia="Times New Roman" w:hAnsiTheme="majorHAnsi"/>
          <w:szCs w:val="20"/>
          <w:lang w:val="es-US" w:eastAsia="es-ES"/>
        </w:rPr>
        <w:t xml:space="preserve">la </w:t>
      </w:r>
      <w:r w:rsidR="004F7AC5" w:rsidRPr="00930562">
        <w:rPr>
          <w:rFonts w:asciiTheme="majorHAnsi" w:eastAsia="Times New Roman" w:hAnsiTheme="majorHAnsi"/>
          <w:szCs w:val="20"/>
          <w:lang w:val="es-US" w:eastAsia="es-ES"/>
        </w:rPr>
        <w:t xml:space="preserve">acción represora [que] se adopta por supuestas razones de seguridad o protección pública y está motivada </w:t>
      </w:r>
      <w:r w:rsidRPr="00930562">
        <w:rPr>
          <w:rFonts w:asciiTheme="majorHAnsi" w:eastAsia="Times New Roman" w:hAnsiTheme="majorHAnsi"/>
          <w:szCs w:val="20"/>
          <w:lang w:val="es-US" w:eastAsia="es-ES"/>
        </w:rPr>
        <w:t>por</w:t>
      </w:r>
      <w:r w:rsidR="004F7AC5" w:rsidRPr="00930562">
        <w:rPr>
          <w:rFonts w:asciiTheme="majorHAnsi" w:eastAsia="Times New Roman" w:hAnsiTheme="majorHAnsi"/>
          <w:szCs w:val="20"/>
          <w:lang w:val="es-US" w:eastAsia="es-ES"/>
        </w:rPr>
        <w:t xml:space="preserve"> estereotipos de raza, color, etnicidad, idioma, descendencia, religión, nacionalidad o lugar de nacimiento, o una combinación de estos factores, y no en sospechas objetivas, que tiend</w:t>
      </w:r>
      <w:r w:rsidRPr="00930562">
        <w:rPr>
          <w:rFonts w:asciiTheme="majorHAnsi" w:eastAsia="Times New Roman" w:hAnsiTheme="majorHAnsi"/>
          <w:szCs w:val="20"/>
          <w:lang w:val="es-US" w:eastAsia="es-ES"/>
        </w:rPr>
        <w:t>e</w:t>
      </w:r>
      <w:r w:rsidR="004F7AC5" w:rsidRPr="00930562">
        <w:rPr>
          <w:rFonts w:asciiTheme="majorHAnsi" w:eastAsia="Times New Roman" w:hAnsiTheme="majorHAnsi"/>
          <w:szCs w:val="20"/>
          <w:lang w:val="es-US" w:eastAsia="es-ES"/>
        </w:rPr>
        <w:t>n a singularizar de manera discriminatoria a individuos o grupos con base en la errónea suposición de la propensión de las personas con tales características a la práctica de determinado tipo de delitos</w:t>
      </w:r>
      <w:r w:rsidR="0013380B" w:rsidRPr="00930562">
        <w:rPr>
          <w:rFonts w:asciiTheme="majorHAnsi" w:eastAsia="Times New Roman" w:hAnsiTheme="majorHAnsi"/>
          <w:szCs w:val="20"/>
          <w:lang w:val="es-US" w:eastAsia="es-ES"/>
        </w:rPr>
        <w:t>.</w:t>
      </w:r>
      <w:r w:rsidR="0013380B" w:rsidRPr="00930562">
        <w:rPr>
          <w:rStyle w:val="FootnoteReference"/>
          <w:rFonts w:asciiTheme="majorHAnsi" w:eastAsia="Times New Roman" w:hAnsiTheme="majorHAnsi"/>
          <w:szCs w:val="18"/>
          <w:lang w:val="es-US" w:eastAsia="es-ES"/>
        </w:rPr>
        <w:footnoteReference w:id="117"/>
      </w:r>
      <w:r w:rsidR="0013380B" w:rsidRPr="00930562">
        <w:rPr>
          <w:rFonts w:asciiTheme="majorHAnsi" w:eastAsia="Times New Roman" w:hAnsiTheme="majorHAnsi"/>
          <w:szCs w:val="18"/>
          <w:lang w:val="es-US" w:eastAsia="es-ES"/>
        </w:rPr>
        <w:t xml:space="preserve"> </w:t>
      </w:r>
    </w:p>
    <w:p w14:paraId="53C45E37" w14:textId="2D7D60DB" w:rsidR="001638B6" w:rsidRPr="00930562" w:rsidRDefault="004E0798"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eastAsia="Times New Roman" w:hAnsiTheme="majorHAnsi"/>
          <w:szCs w:val="20"/>
          <w:lang w:val="es-US" w:eastAsia="es-ES"/>
        </w:rPr>
        <w:t xml:space="preserve">Esta definición no requiere un sesgo explícito de prejuicio contra un grupo en particular, pero puede manifestarse en un patrón discriminatorio de </w:t>
      </w:r>
      <w:r w:rsidR="001638B6" w:rsidRPr="00930562">
        <w:rPr>
          <w:rFonts w:asciiTheme="majorHAnsi" w:eastAsia="Times New Roman" w:hAnsiTheme="majorHAnsi"/>
          <w:szCs w:val="20"/>
          <w:lang w:val="es-US" w:eastAsia="es-ES"/>
        </w:rPr>
        <w:lastRenderedPageBreak/>
        <w:t>mecanismo de aplicación</w:t>
      </w:r>
      <w:r w:rsidRPr="00930562">
        <w:rPr>
          <w:rFonts w:asciiTheme="majorHAnsi" w:eastAsia="Times New Roman" w:hAnsiTheme="majorHAnsi"/>
          <w:szCs w:val="20"/>
          <w:lang w:val="es-US" w:eastAsia="es-ES"/>
        </w:rPr>
        <w:t>.</w:t>
      </w:r>
      <w:r w:rsidR="0013380B" w:rsidRPr="00930562">
        <w:rPr>
          <w:rStyle w:val="FootnoteReference"/>
          <w:rFonts w:asciiTheme="majorHAnsi" w:eastAsia="Times New Roman" w:hAnsiTheme="majorHAnsi"/>
          <w:szCs w:val="20"/>
          <w:lang w:val="es-US" w:eastAsia="es-ES"/>
        </w:rPr>
        <w:footnoteReference w:id="118"/>
      </w:r>
      <w:r w:rsidR="0013380B" w:rsidRPr="00930562">
        <w:rPr>
          <w:rFonts w:asciiTheme="majorHAnsi" w:eastAsia="Times New Roman" w:hAnsiTheme="majorHAnsi"/>
          <w:szCs w:val="20"/>
          <w:lang w:val="es-US" w:eastAsia="es-ES"/>
        </w:rPr>
        <w:t xml:space="preserve"> </w:t>
      </w:r>
      <w:r w:rsidR="001638B6" w:rsidRPr="00930562">
        <w:rPr>
          <w:rFonts w:asciiTheme="majorHAnsi" w:eastAsia="Times New Roman" w:hAnsiTheme="majorHAnsi"/>
          <w:szCs w:val="20"/>
          <w:lang w:val="es-US" w:eastAsia="es-ES"/>
        </w:rPr>
        <w:t xml:space="preserve">La Comisión ya ha </w:t>
      </w:r>
      <w:r w:rsidR="001638B6" w:rsidRPr="00930562">
        <w:rPr>
          <w:rFonts w:asciiTheme="majorHAnsi" w:hAnsiTheme="majorHAnsi"/>
          <w:szCs w:val="20"/>
          <w:lang w:val="es-US"/>
        </w:rPr>
        <w:t>sostenido que la población afrodescendiente</w:t>
      </w:r>
      <w:r w:rsidR="00872777" w:rsidRPr="00930562">
        <w:rPr>
          <w:rFonts w:asciiTheme="majorHAnsi" w:hAnsiTheme="majorHAnsi"/>
          <w:szCs w:val="20"/>
          <w:lang w:val="es-US"/>
        </w:rPr>
        <w:t xml:space="preserve"> en las Américas</w:t>
      </w:r>
      <w:r w:rsidR="001638B6" w:rsidRPr="00930562">
        <w:rPr>
          <w:rFonts w:asciiTheme="majorHAnsi" w:hAnsiTheme="majorHAnsi"/>
          <w:szCs w:val="20"/>
          <w:lang w:val="es-US"/>
        </w:rPr>
        <w:t xml:space="preserve"> </w:t>
      </w:r>
      <w:r w:rsidR="00674C0F" w:rsidRPr="00930562">
        <w:rPr>
          <w:rFonts w:asciiTheme="majorHAnsi" w:hAnsiTheme="majorHAnsi"/>
          <w:szCs w:val="20"/>
          <w:lang w:val="es-US"/>
        </w:rPr>
        <w:t>es</w:t>
      </w:r>
      <w:r w:rsidR="001638B6" w:rsidRPr="00930562">
        <w:rPr>
          <w:rFonts w:asciiTheme="majorHAnsi" w:hAnsiTheme="majorHAnsi"/>
          <w:szCs w:val="20"/>
          <w:lang w:val="es-US"/>
        </w:rPr>
        <w:t xml:space="preserve"> más susceptible de ser sospechosa</w:t>
      </w:r>
      <w:r w:rsidR="00872777" w:rsidRPr="00930562">
        <w:rPr>
          <w:rFonts w:asciiTheme="majorHAnsi" w:hAnsiTheme="majorHAnsi"/>
          <w:szCs w:val="20"/>
          <w:lang w:val="es-US"/>
        </w:rPr>
        <w:t xml:space="preserve"> de cometer crímenes</w:t>
      </w:r>
      <w:r w:rsidR="001638B6" w:rsidRPr="00930562">
        <w:rPr>
          <w:rFonts w:asciiTheme="majorHAnsi" w:hAnsiTheme="majorHAnsi"/>
          <w:szCs w:val="20"/>
          <w:lang w:val="es-US"/>
        </w:rPr>
        <w:t>, perseguida</w:t>
      </w:r>
      <w:r w:rsidR="00872777" w:rsidRPr="00930562">
        <w:rPr>
          <w:rFonts w:asciiTheme="majorHAnsi" w:hAnsiTheme="majorHAnsi"/>
          <w:szCs w:val="20"/>
          <w:lang w:val="es-US"/>
        </w:rPr>
        <w:t xml:space="preserve"> por la policía</w:t>
      </w:r>
      <w:r w:rsidR="001638B6" w:rsidRPr="00930562">
        <w:rPr>
          <w:rFonts w:asciiTheme="majorHAnsi" w:hAnsiTheme="majorHAnsi"/>
          <w:szCs w:val="20"/>
          <w:lang w:val="es-US"/>
        </w:rPr>
        <w:t>, procesada y condenada, en comparación con el resto de la población”</w:t>
      </w:r>
      <w:r w:rsidR="0013380B" w:rsidRPr="00930562">
        <w:rPr>
          <w:rFonts w:asciiTheme="majorHAnsi" w:hAnsiTheme="majorHAnsi"/>
          <w:szCs w:val="20"/>
          <w:lang w:val="es-US"/>
        </w:rPr>
        <w:t>.</w:t>
      </w:r>
      <w:r w:rsidR="0013380B" w:rsidRPr="00930562">
        <w:rPr>
          <w:rFonts w:asciiTheme="majorHAnsi" w:hAnsiTheme="majorHAnsi"/>
          <w:szCs w:val="20"/>
          <w:vertAlign w:val="superscript"/>
          <w:lang w:val="es-US"/>
        </w:rPr>
        <w:footnoteReference w:id="119"/>
      </w:r>
      <w:r w:rsidR="0013380B" w:rsidRPr="00930562">
        <w:rPr>
          <w:rFonts w:asciiTheme="majorHAnsi" w:hAnsiTheme="majorHAnsi"/>
          <w:szCs w:val="20"/>
          <w:lang w:val="es-US"/>
        </w:rPr>
        <w:t xml:space="preserve"> </w:t>
      </w:r>
    </w:p>
    <w:p w14:paraId="2F5F4A55" w14:textId="2828DED1" w:rsidR="0013380B" w:rsidRPr="00930562" w:rsidRDefault="0013748E" w:rsidP="00724857">
      <w:pPr>
        <w:pStyle w:val="ListParagraph"/>
        <w:numPr>
          <w:ilvl w:val="0"/>
          <w:numId w:val="2"/>
        </w:numPr>
        <w:spacing w:after="240" w:line="240" w:lineRule="auto"/>
        <w:ind w:left="547" w:hanging="547"/>
        <w:contextualSpacing w:val="0"/>
        <w:jc w:val="both"/>
        <w:rPr>
          <w:rFonts w:asciiTheme="majorHAnsi" w:eastAsia="Times New Roman" w:hAnsiTheme="majorHAnsi"/>
          <w:szCs w:val="20"/>
          <w:lang w:val="es-US" w:eastAsia="es-ES"/>
        </w:rPr>
      </w:pPr>
      <w:r w:rsidRPr="00930562">
        <w:rPr>
          <w:rFonts w:asciiTheme="majorHAnsi" w:hAnsiTheme="majorHAnsi"/>
          <w:szCs w:val="20"/>
          <w:lang w:val="es-US"/>
        </w:rPr>
        <w:t xml:space="preserve">Este patrón </w:t>
      </w:r>
      <w:r w:rsidR="006247C7" w:rsidRPr="00930562">
        <w:rPr>
          <w:rFonts w:asciiTheme="majorHAnsi" w:hAnsiTheme="majorHAnsi"/>
          <w:szCs w:val="20"/>
          <w:lang w:val="es-US"/>
        </w:rPr>
        <w:t>se verifica</w:t>
      </w:r>
      <w:r w:rsidRPr="00930562">
        <w:rPr>
          <w:rFonts w:asciiTheme="majorHAnsi" w:hAnsiTheme="majorHAnsi"/>
          <w:szCs w:val="20"/>
          <w:lang w:val="es-US"/>
        </w:rPr>
        <w:t xml:space="preserve"> en los Estados Unidos como una cuestión de política histórica explícita y actual práctica implícita y explícita. El establecimiento de perfiles raciales ha sido una característica histórica de</w:t>
      </w:r>
      <w:r w:rsidR="006247C7" w:rsidRPr="00930562">
        <w:rPr>
          <w:rFonts w:asciiTheme="majorHAnsi" w:hAnsiTheme="majorHAnsi"/>
          <w:szCs w:val="20"/>
          <w:lang w:val="es-US"/>
        </w:rPr>
        <w:t>l control policial</w:t>
      </w:r>
      <w:r w:rsidRPr="00930562">
        <w:rPr>
          <w:rFonts w:asciiTheme="majorHAnsi" w:hAnsiTheme="majorHAnsi"/>
          <w:szCs w:val="20"/>
          <w:lang w:val="es-US"/>
        </w:rPr>
        <w:t xml:space="preserve"> en los Estados Unidos, desde el establecimiento de patrullas de esclavos hasta la criminalización selectiva y la aplicación de leyes de "vagancia" y delitos similares.</w:t>
      </w:r>
      <w:r w:rsidR="0013380B" w:rsidRPr="00930562">
        <w:rPr>
          <w:rFonts w:asciiTheme="majorHAnsi" w:hAnsiTheme="majorHAnsi"/>
          <w:szCs w:val="20"/>
          <w:lang w:val="es-US"/>
        </w:rPr>
        <w:t xml:space="preserve"> </w:t>
      </w:r>
      <w:r w:rsidRPr="00930562">
        <w:rPr>
          <w:rFonts w:asciiTheme="majorHAnsi" w:hAnsiTheme="majorHAnsi"/>
          <w:szCs w:val="20"/>
          <w:lang w:val="es-US"/>
        </w:rPr>
        <w:t>E</w:t>
      </w:r>
      <w:r w:rsidR="0013380B" w:rsidRPr="00930562">
        <w:rPr>
          <w:rFonts w:asciiTheme="majorHAnsi" w:hAnsiTheme="majorHAnsi"/>
          <w:szCs w:val="20"/>
          <w:lang w:val="es-US"/>
        </w:rPr>
        <w:t xml:space="preserve">n 1968 </w:t>
      </w:r>
      <w:r w:rsidRPr="00930562">
        <w:rPr>
          <w:rFonts w:asciiTheme="majorHAnsi" w:hAnsiTheme="majorHAnsi"/>
          <w:szCs w:val="20"/>
          <w:lang w:val="es-US"/>
        </w:rPr>
        <w:t>la Comisión Nacional Asesora sobre Desorden Civil</w:t>
      </w:r>
      <w:r w:rsidR="0013380B" w:rsidRPr="00930562">
        <w:rPr>
          <w:rFonts w:asciiTheme="majorHAnsi" w:hAnsiTheme="majorHAnsi"/>
          <w:szCs w:val="20"/>
          <w:lang w:val="es-US"/>
        </w:rPr>
        <w:t xml:space="preserve"> (“Kerner Commission”) </w:t>
      </w:r>
      <w:r w:rsidRPr="00930562">
        <w:rPr>
          <w:rFonts w:asciiTheme="majorHAnsi" w:hAnsiTheme="majorHAnsi"/>
          <w:szCs w:val="20"/>
          <w:lang w:val="es-US"/>
        </w:rPr>
        <w:t>creada por</w:t>
      </w:r>
      <w:r w:rsidRPr="00930562">
        <w:rPr>
          <w:rFonts w:asciiTheme="majorHAnsi" w:eastAsia="Times New Roman" w:hAnsiTheme="majorHAnsi"/>
          <w:szCs w:val="20"/>
          <w:lang w:val="es-US" w:eastAsia="es-ES"/>
        </w:rPr>
        <w:t xml:space="preserve"> el presidente </w:t>
      </w:r>
      <w:r w:rsidR="0013380B" w:rsidRPr="00930562">
        <w:rPr>
          <w:rFonts w:asciiTheme="majorHAnsi" w:eastAsia="Times New Roman" w:hAnsiTheme="majorHAnsi"/>
          <w:szCs w:val="20"/>
          <w:lang w:val="es-US" w:eastAsia="es-ES"/>
        </w:rPr>
        <w:t>Johnson</w:t>
      </w:r>
      <w:r w:rsidRPr="00930562">
        <w:rPr>
          <w:rFonts w:asciiTheme="majorHAnsi" w:eastAsia="Times New Roman" w:hAnsiTheme="majorHAnsi"/>
          <w:szCs w:val="20"/>
          <w:lang w:val="es-US" w:eastAsia="es-ES"/>
        </w:rPr>
        <w:t xml:space="preserve"> concluyó que la "atmósfera nacional de hostilidad y cinismo se ve reforzada por una creencia generalizada entre los negros de la existencia de la brutalidad policial y en un 'doble estándar' de justicia y protección: uno para los negros y otro para los blancos.</w:t>
      </w:r>
      <w:r w:rsidR="0013380B" w:rsidRPr="00930562">
        <w:rPr>
          <w:rFonts w:asciiTheme="majorHAnsi" w:eastAsia="Times New Roman" w:hAnsiTheme="majorHAnsi"/>
          <w:szCs w:val="20"/>
          <w:lang w:val="es-US" w:eastAsia="es-ES"/>
        </w:rPr>
        <w:t>”</w:t>
      </w:r>
      <w:r w:rsidR="0013380B" w:rsidRPr="00930562">
        <w:rPr>
          <w:rStyle w:val="FootnoteReference"/>
          <w:rFonts w:asciiTheme="majorHAnsi" w:eastAsia="Times New Roman" w:hAnsiTheme="majorHAnsi"/>
          <w:szCs w:val="20"/>
          <w:lang w:val="es-US" w:eastAsia="es-ES"/>
        </w:rPr>
        <w:footnoteReference w:id="120"/>
      </w:r>
      <w:r w:rsidR="0013380B" w:rsidRPr="00930562">
        <w:rPr>
          <w:rFonts w:asciiTheme="majorHAnsi" w:eastAsia="Times New Roman" w:hAnsiTheme="majorHAnsi"/>
          <w:szCs w:val="20"/>
          <w:lang w:val="es-US" w:eastAsia="es-ES"/>
        </w:rPr>
        <w:t xml:space="preserve"> </w:t>
      </w:r>
      <w:r w:rsidR="003E1C81" w:rsidRPr="00930562">
        <w:rPr>
          <w:rFonts w:asciiTheme="majorHAnsi" w:eastAsia="Times New Roman" w:hAnsiTheme="majorHAnsi"/>
          <w:szCs w:val="20"/>
          <w:lang w:val="es-US" w:eastAsia="es-ES"/>
        </w:rPr>
        <w:t>En décadas recientes</w:t>
      </w:r>
      <w:r w:rsidR="0013380B" w:rsidRPr="00930562">
        <w:rPr>
          <w:rFonts w:asciiTheme="majorHAnsi" w:eastAsia="Times New Roman" w:hAnsiTheme="majorHAnsi"/>
          <w:szCs w:val="20"/>
          <w:lang w:val="es-US" w:eastAsia="es-ES"/>
        </w:rPr>
        <w:t xml:space="preserve">, </w:t>
      </w:r>
      <w:r w:rsidR="003E1C81" w:rsidRPr="00930562">
        <w:rPr>
          <w:rFonts w:asciiTheme="majorHAnsi" w:eastAsia="Times New Roman" w:hAnsiTheme="majorHAnsi"/>
          <w:szCs w:val="20"/>
          <w:lang w:val="es-US" w:eastAsia="es-ES"/>
        </w:rPr>
        <w:t>los perfiles raciales han sido una característica de la política de aplicación de la ley en el marco de las iniciativas "Guerra contra las drogas" y de lucha contra el terrorismo / "seguridad nacional</w:t>
      </w:r>
      <w:r w:rsidR="002B29E6" w:rsidRPr="00930562">
        <w:rPr>
          <w:rFonts w:asciiTheme="majorHAnsi" w:eastAsia="Times New Roman" w:hAnsiTheme="majorHAnsi"/>
          <w:szCs w:val="20"/>
          <w:lang w:val="es-US" w:eastAsia="es-ES"/>
        </w:rPr>
        <w:t>.</w:t>
      </w:r>
      <w:r w:rsidR="003E1C81" w:rsidRPr="00930562">
        <w:rPr>
          <w:rFonts w:asciiTheme="majorHAnsi" w:eastAsia="Times New Roman" w:hAnsiTheme="majorHAnsi"/>
          <w:szCs w:val="20"/>
          <w:lang w:val="es-US" w:eastAsia="es-ES"/>
        </w:rPr>
        <w:t>"</w:t>
      </w:r>
      <w:r w:rsidR="0013380B" w:rsidRPr="00930562">
        <w:rPr>
          <w:rStyle w:val="FootnoteReference"/>
          <w:rFonts w:asciiTheme="majorHAnsi" w:eastAsia="Times New Roman" w:hAnsiTheme="majorHAnsi"/>
          <w:szCs w:val="20"/>
          <w:lang w:val="es-US" w:eastAsia="es-ES"/>
        </w:rPr>
        <w:footnoteReference w:id="121"/>
      </w:r>
    </w:p>
    <w:p w14:paraId="1E33D291" w14:textId="181C8526" w:rsidR="00794111" w:rsidRPr="00930562" w:rsidRDefault="000E091A"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eastAsia="Times New Roman" w:hAnsiTheme="majorHAnsi"/>
          <w:szCs w:val="20"/>
          <w:lang w:val="es-US" w:eastAsia="es-ES"/>
        </w:rPr>
        <w:t xml:space="preserve">La información recibida por la Comisión indica que los afroamericanos y otros grupos históricamente marginados en los Estados Unidos también están desproporcionadamente </w:t>
      </w:r>
      <w:r w:rsidRPr="00930562">
        <w:rPr>
          <w:rFonts w:asciiTheme="majorHAnsi" w:hAnsiTheme="majorHAnsi"/>
          <w:szCs w:val="20"/>
          <w:lang w:val="es-US"/>
        </w:rPr>
        <w:t xml:space="preserve">sujetos a políticas de control policial excesivo y seguimiento de </w:t>
      </w:r>
      <w:r w:rsidR="006247C7" w:rsidRPr="00930562">
        <w:rPr>
          <w:rFonts w:asciiTheme="majorHAnsi" w:hAnsiTheme="majorHAnsi"/>
          <w:szCs w:val="20"/>
          <w:lang w:val="es-US"/>
        </w:rPr>
        <w:t>mecanismos de aplicación de la ley</w:t>
      </w:r>
      <w:r w:rsidRPr="00930562">
        <w:rPr>
          <w:rFonts w:asciiTheme="majorHAnsi" w:hAnsiTheme="majorHAnsi"/>
          <w:szCs w:val="20"/>
          <w:lang w:val="es-US"/>
        </w:rPr>
        <w:t xml:space="preserve"> particularmente desde 2001, lo cual incluye prácticas de vigilancia policial como "</w:t>
      </w:r>
      <w:r w:rsidR="006247C7" w:rsidRPr="00930562">
        <w:rPr>
          <w:rFonts w:asciiTheme="majorHAnsi" w:hAnsiTheme="majorHAnsi"/>
          <w:szCs w:val="20"/>
          <w:lang w:val="es-US"/>
        </w:rPr>
        <w:t>V</w:t>
      </w:r>
      <w:r w:rsidRPr="00930562">
        <w:rPr>
          <w:rFonts w:asciiTheme="majorHAnsi" w:hAnsiTheme="majorHAnsi"/>
          <w:szCs w:val="20"/>
          <w:lang w:val="es-US"/>
        </w:rPr>
        <w:t xml:space="preserve">entana </w:t>
      </w:r>
      <w:r w:rsidR="006247C7" w:rsidRPr="00930562">
        <w:rPr>
          <w:rFonts w:asciiTheme="majorHAnsi" w:hAnsiTheme="majorHAnsi"/>
          <w:szCs w:val="20"/>
          <w:lang w:val="es-US"/>
        </w:rPr>
        <w:t>R</w:t>
      </w:r>
      <w:r w:rsidRPr="00930562">
        <w:rPr>
          <w:rFonts w:asciiTheme="majorHAnsi" w:hAnsiTheme="majorHAnsi"/>
          <w:szCs w:val="20"/>
          <w:lang w:val="es-US"/>
        </w:rPr>
        <w:t xml:space="preserve">ota" y un incremento de </w:t>
      </w:r>
      <w:r w:rsidR="00794111" w:rsidRPr="00930562">
        <w:rPr>
          <w:rFonts w:asciiTheme="majorHAnsi" w:hAnsiTheme="majorHAnsi"/>
          <w:szCs w:val="20"/>
          <w:lang w:val="es-US"/>
        </w:rPr>
        <w:t>vigilancia por</w:t>
      </w:r>
      <w:r w:rsidRPr="00930562">
        <w:rPr>
          <w:rFonts w:asciiTheme="majorHAnsi" w:hAnsiTheme="majorHAnsi"/>
          <w:szCs w:val="20"/>
          <w:lang w:val="es-US"/>
        </w:rPr>
        <w:t xml:space="preserve"> seguridad nacional. </w:t>
      </w:r>
      <w:r w:rsidR="00794111" w:rsidRPr="00930562">
        <w:rPr>
          <w:rFonts w:asciiTheme="majorHAnsi" w:hAnsiTheme="majorHAnsi"/>
          <w:szCs w:val="20"/>
          <w:lang w:val="es-US"/>
        </w:rPr>
        <w:lastRenderedPageBreak/>
        <w:t>Las políticas de "</w:t>
      </w:r>
      <w:r w:rsidR="006247C7" w:rsidRPr="00930562">
        <w:rPr>
          <w:rFonts w:asciiTheme="majorHAnsi" w:hAnsiTheme="majorHAnsi"/>
          <w:szCs w:val="20"/>
          <w:lang w:val="es-US"/>
        </w:rPr>
        <w:t>V</w:t>
      </w:r>
      <w:r w:rsidR="00794111" w:rsidRPr="00930562">
        <w:rPr>
          <w:rFonts w:asciiTheme="majorHAnsi" w:hAnsiTheme="majorHAnsi"/>
          <w:szCs w:val="20"/>
          <w:lang w:val="es-US"/>
        </w:rPr>
        <w:t xml:space="preserve">entana </w:t>
      </w:r>
      <w:r w:rsidR="006247C7" w:rsidRPr="00930562">
        <w:rPr>
          <w:rFonts w:asciiTheme="majorHAnsi" w:hAnsiTheme="majorHAnsi"/>
          <w:szCs w:val="20"/>
          <w:lang w:val="es-US"/>
        </w:rPr>
        <w:t>R</w:t>
      </w:r>
      <w:r w:rsidR="00794111" w:rsidRPr="00930562">
        <w:rPr>
          <w:rFonts w:asciiTheme="majorHAnsi" w:hAnsiTheme="majorHAnsi"/>
          <w:szCs w:val="20"/>
          <w:lang w:val="es-US"/>
        </w:rPr>
        <w:t>ota" que priorizan el control policial de delitos menores de "calidad de vida" se están empleando predominantemente contra las comunidades de color, lo que ha dado lugar a la criminalización sistemática de esas comunidades.</w:t>
      </w:r>
      <w:r w:rsidR="005F7DBF" w:rsidRPr="00930562">
        <w:rPr>
          <w:rFonts w:asciiTheme="majorHAnsi" w:hAnsiTheme="majorHAnsi"/>
          <w:lang w:val="es-US"/>
        </w:rPr>
        <w:t xml:space="preserve"> </w:t>
      </w:r>
      <w:r w:rsidR="005F7DBF" w:rsidRPr="00930562">
        <w:rPr>
          <w:rFonts w:asciiTheme="majorHAnsi" w:hAnsiTheme="majorHAnsi"/>
          <w:vertAlign w:val="superscript"/>
          <w:lang w:val="es-US"/>
        </w:rPr>
        <w:footnoteReference w:id="122"/>
      </w:r>
    </w:p>
    <w:p w14:paraId="4521C3C5" w14:textId="67C828DE" w:rsidR="0013380B" w:rsidRPr="00930562" w:rsidRDefault="00D92F57" w:rsidP="00724857">
      <w:pPr>
        <w:pStyle w:val="ListParagraph"/>
        <w:numPr>
          <w:ilvl w:val="0"/>
          <w:numId w:val="2"/>
        </w:numPr>
        <w:spacing w:after="240" w:line="240" w:lineRule="auto"/>
        <w:ind w:left="547" w:hanging="547"/>
        <w:contextualSpacing w:val="0"/>
        <w:jc w:val="both"/>
        <w:rPr>
          <w:rFonts w:asciiTheme="majorHAnsi" w:eastAsia="Times New Roman" w:hAnsiTheme="majorHAnsi"/>
          <w:szCs w:val="20"/>
          <w:lang w:val="es-US" w:eastAsia="es-ES"/>
        </w:rPr>
      </w:pPr>
      <w:r w:rsidRPr="00930562">
        <w:rPr>
          <w:rFonts w:asciiTheme="majorHAnsi" w:hAnsiTheme="majorHAnsi"/>
          <w:szCs w:val="20"/>
          <w:lang w:val="es-US"/>
        </w:rPr>
        <w:t xml:space="preserve">La Comisión nota una aparente relación histórica entre la fuerte criminalización de delitos menores con el actual </w:t>
      </w:r>
      <w:r w:rsidR="006247C7" w:rsidRPr="00930562">
        <w:rPr>
          <w:rFonts w:asciiTheme="majorHAnsi" w:hAnsiTheme="majorHAnsi"/>
          <w:szCs w:val="20"/>
          <w:lang w:val="es-US"/>
        </w:rPr>
        <w:t xml:space="preserve">enfoque </w:t>
      </w:r>
      <w:r w:rsidRPr="00930562">
        <w:rPr>
          <w:rFonts w:asciiTheme="majorHAnsi" w:hAnsiTheme="majorHAnsi"/>
          <w:szCs w:val="20"/>
          <w:lang w:val="es-US"/>
        </w:rPr>
        <w:t>de control policial agresivo aplicado a ciertos barrios, y las prácticas históricas de criminalización de "vagancia" y delitos menores similares, que en la práctica se prestan</w:t>
      </w:r>
      <w:r w:rsidRPr="00930562">
        <w:rPr>
          <w:rFonts w:asciiTheme="majorHAnsi" w:eastAsia="Times New Roman" w:hAnsiTheme="majorHAnsi"/>
          <w:szCs w:val="20"/>
          <w:lang w:val="es-US"/>
        </w:rPr>
        <w:t xml:space="preserve"> a inconsistencias y aplicación de la ley racialmente sesgada</w:t>
      </w:r>
      <w:r w:rsidR="0013380B" w:rsidRPr="00930562">
        <w:rPr>
          <w:rFonts w:asciiTheme="majorHAnsi" w:eastAsia="Times New Roman" w:hAnsiTheme="majorHAnsi"/>
          <w:szCs w:val="20"/>
          <w:lang w:val="es-US"/>
        </w:rPr>
        <w:t>.</w:t>
      </w:r>
      <w:r w:rsidR="0013380B" w:rsidRPr="00930562">
        <w:rPr>
          <w:rStyle w:val="FootnoteReference"/>
          <w:rFonts w:asciiTheme="majorHAnsi" w:eastAsia="Times New Roman" w:hAnsiTheme="majorHAnsi"/>
          <w:szCs w:val="20"/>
          <w:lang w:val="es-US"/>
        </w:rPr>
        <w:footnoteReference w:id="123"/>
      </w:r>
      <w:r w:rsidR="0013380B" w:rsidRPr="00930562">
        <w:rPr>
          <w:rFonts w:asciiTheme="majorHAnsi" w:eastAsia="Times New Roman" w:hAnsiTheme="majorHAnsi"/>
          <w:szCs w:val="20"/>
          <w:lang w:val="es-US"/>
        </w:rPr>
        <w:t xml:space="preserve"> </w:t>
      </w:r>
      <w:r w:rsidRPr="00930562">
        <w:rPr>
          <w:rFonts w:asciiTheme="majorHAnsi" w:eastAsia="Times New Roman" w:hAnsiTheme="majorHAnsi"/>
          <w:szCs w:val="20"/>
          <w:lang w:val="es-US"/>
        </w:rPr>
        <w:t>De hecho</w:t>
      </w:r>
      <w:r w:rsidR="0013380B" w:rsidRPr="00930562">
        <w:rPr>
          <w:rFonts w:asciiTheme="majorHAnsi" w:eastAsia="Times New Roman" w:hAnsiTheme="majorHAnsi"/>
          <w:szCs w:val="20"/>
          <w:lang w:val="es-US"/>
        </w:rPr>
        <w:t xml:space="preserve">, George Kelling, </w:t>
      </w:r>
      <w:r w:rsidRPr="00930562">
        <w:rPr>
          <w:rFonts w:asciiTheme="majorHAnsi" w:eastAsia="Times New Roman" w:hAnsiTheme="majorHAnsi"/>
          <w:szCs w:val="20"/>
          <w:lang w:val="es-US"/>
        </w:rPr>
        <w:t xml:space="preserve">uno de los académicos de la teoría de la </w:t>
      </w:r>
      <w:r w:rsidR="0013380B" w:rsidRPr="00930562">
        <w:rPr>
          <w:rFonts w:asciiTheme="majorHAnsi" w:eastAsia="Times New Roman" w:hAnsiTheme="majorHAnsi"/>
          <w:szCs w:val="20"/>
          <w:lang w:val="es-US"/>
        </w:rPr>
        <w:t>“</w:t>
      </w:r>
      <w:r w:rsidRPr="00930562">
        <w:rPr>
          <w:rFonts w:asciiTheme="majorHAnsi" w:eastAsia="Times New Roman" w:hAnsiTheme="majorHAnsi"/>
          <w:szCs w:val="20"/>
          <w:lang w:val="es-US"/>
        </w:rPr>
        <w:t>Ventana Rota” desde entonces ha comentado sobre el potencial peligro de fomentar los perfiles raciales</w:t>
      </w:r>
      <w:r w:rsidR="0013380B" w:rsidRPr="00930562">
        <w:rPr>
          <w:rFonts w:asciiTheme="majorHAnsi" w:eastAsia="Times New Roman" w:hAnsiTheme="majorHAnsi"/>
          <w:szCs w:val="20"/>
          <w:lang w:val="es-US"/>
        </w:rPr>
        <w:t xml:space="preserve"> </w:t>
      </w:r>
      <w:r w:rsidRPr="00930562">
        <w:rPr>
          <w:rFonts w:asciiTheme="majorHAnsi" w:eastAsia="Times New Roman" w:hAnsiTheme="majorHAnsi"/>
          <w:szCs w:val="20"/>
          <w:lang w:val="es-US"/>
        </w:rPr>
        <w:t>y otra expresiones sesgadas en el control policial</w:t>
      </w:r>
      <w:r w:rsidR="0013380B" w:rsidRPr="00930562">
        <w:rPr>
          <w:rFonts w:asciiTheme="majorHAnsi" w:eastAsia="Times New Roman" w:hAnsiTheme="majorHAnsi"/>
          <w:szCs w:val="20"/>
          <w:lang w:val="es-US"/>
        </w:rPr>
        <w:t>:</w:t>
      </w:r>
    </w:p>
    <w:p w14:paraId="3B6024CC" w14:textId="22777881" w:rsidR="0013380B" w:rsidRPr="00930562" w:rsidRDefault="00C8211E" w:rsidP="0013380B">
      <w:pPr>
        <w:pStyle w:val="ListParagraph"/>
        <w:spacing w:after="240" w:line="240" w:lineRule="auto"/>
        <w:ind w:left="1166" w:right="619"/>
        <w:contextualSpacing w:val="0"/>
        <w:jc w:val="both"/>
        <w:rPr>
          <w:rFonts w:asciiTheme="majorHAnsi" w:eastAsia="Times New Roman" w:hAnsiTheme="majorHAnsi"/>
          <w:szCs w:val="18"/>
          <w:lang w:val="es-US" w:eastAsia="es-ES"/>
        </w:rPr>
      </w:pPr>
      <w:r w:rsidRPr="00930562">
        <w:rPr>
          <w:rFonts w:asciiTheme="majorHAnsi" w:eastAsia="Times New Roman" w:hAnsiTheme="majorHAnsi"/>
          <w:szCs w:val="18"/>
          <w:lang w:val="es-US"/>
        </w:rPr>
        <w:t>Uno</w:t>
      </w:r>
      <w:r w:rsidR="00D53B11" w:rsidRPr="00930562">
        <w:rPr>
          <w:rFonts w:asciiTheme="majorHAnsi" w:eastAsia="Times New Roman" w:hAnsiTheme="majorHAnsi"/>
          <w:szCs w:val="18"/>
          <w:lang w:val="es-US"/>
        </w:rPr>
        <w:t xml:space="preserve"> está buscando un montón de problemas [...] Cualquier policía que realmente quiere hacer mantenimiento del orden público tiene que ser capaz de responder satisfactoriamente [...], '¿Por qué Usted decide arrestar a una persona que está orinando en público y no a [otro]? '[...] si no puedes responder a esa pregunta, si dices' Bueno, es de sentido común' es muy, muy preocupante. Así que sí, [...] Se han hecho muchas cosas en nombre de “</w:t>
      </w:r>
      <w:r w:rsidR="006247C7" w:rsidRPr="00930562">
        <w:rPr>
          <w:rFonts w:asciiTheme="majorHAnsi" w:eastAsia="Times New Roman" w:hAnsiTheme="majorHAnsi"/>
          <w:szCs w:val="18"/>
          <w:lang w:val="es-US"/>
        </w:rPr>
        <w:t>V</w:t>
      </w:r>
      <w:r w:rsidR="00D53B11" w:rsidRPr="00930562">
        <w:rPr>
          <w:rFonts w:asciiTheme="majorHAnsi" w:eastAsia="Times New Roman" w:hAnsiTheme="majorHAnsi"/>
          <w:szCs w:val="18"/>
          <w:lang w:val="es-US"/>
        </w:rPr>
        <w:t xml:space="preserve">entana </w:t>
      </w:r>
      <w:r w:rsidR="006247C7" w:rsidRPr="00930562">
        <w:rPr>
          <w:rFonts w:asciiTheme="majorHAnsi" w:eastAsia="Times New Roman" w:hAnsiTheme="majorHAnsi"/>
          <w:szCs w:val="18"/>
          <w:lang w:val="es-US"/>
        </w:rPr>
        <w:t>R</w:t>
      </w:r>
      <w:r w:rsidR="00D53B11" w:rsidRPr="00930562">
        <w:rPr>
          <w:rFonts w:asciiTheme="majorHAnsi" w:eastAsia="Times New Roman" w:hAnsiTheme="majorHAnsi"/>
          <w:szCs w:val="18"/>
          <w:lang w:val="es-US"/>
        </w:rPr>
        <w:t>ota” que lamento.</w:t>
      </w:r>
      <w:r w:rsidR="0013380B" w:rsidRPr="00930562">
        <w:rPr>
          <w:rStyle w:val="FootnoteReference"/>
          <w:rFonts w:asciiTheme="majorHAnsi" w:eastAsia="Times New Roman" w:hAnsiTheme="majorHAnsi"/>
          <w:szCs w:val="18"/>
          <w:lang w:val="es-US"/>
        </w:rPr>
        <w:footnoteReference w:id="124"/>
      </w:r>
    </w:p>
    <w:p w14:paraId="617ED839" w14:textId="36FA851F" w:rsidR="006E3AED" w:rsidRPr="00930562" w:rsidRDefault="006E3AED"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bookmarkStart w:id="64" w:name="_Ref507161400"/>
      <w:r w:rsidRPr="00930562">
        <w:rPr>
          <w:rFonts w:asciiTheme="majorHAnsi" w:eastAsia="Times New Roman" w:hAnsiTheme="majorHAnsi" w:cstheme="minorHAnsi"/>
          <w:lang w:val="es-US" w:eastAsia="es-MX"/>
        </w:rPr>
        <w:t>La Comisión observa que el marco legal de los Estados Unidos para realizar control policial puede permitir o alentar expresiones sesgadas en la vigilancia policial. Particularmente, la policía tiene la facultad de detener brevemente a las personas si tienen una "sospecha razonable", formada "objetivamente", de que un individuo participa o está a punto de participar en actividades delictivas (</w:t>
      </w:r>
      <w:r w:rsidRPr="00930562">
        <w:rPr>
          <w:rFonts w:asciiTheme="majorHAnsi" w:hAnsiTheme="majorHAnsi"/>
          <w:szCs w:val="20"/>
          <w:lang w:val="es-US"/>
        </w:rPr>
        <w:t>conocida como detención de Terry</w:t>
      </w:r>
      <w:r w:rsidR="00466EA0" w:rsidRPr="00930562">
        <w:rPr>
          <w:rFonts w:asciiTheme="majorHAnsi" w:hAnsiTheme="majorHAnsi"/>
          <w:szCs w:val="20"/>
          <w:lang w:val="es-US"/>
        </w:rPr>
        <w:t>)</w:t>
      </w:r>
      <w:r w:rsidR="0013380B" w:rsidRPr="00930562">
        <w:rPr>
          <w:rFonts w:asciiTheme="majorHAnsi" w:hAnsiTheme="majorHAnsi"/>
          <w:szCs w:val="20"/>
          <w:lang w:val="es-US"/>
        </w:rPr>
        <w:t>.</w:t>
      </w:r>
      <w:r w:rsidR="0013380B" w:rsidRPr="00930562">
        <w:rPr>
          <w:rFonts w:asciiTheme="majorHAnsi" w:hAnsiTheme="majorHAnsi"/>
          <w:szCs w:val="20"/>
          <w:vertAlign w:val="superscript"/>
          <w:lang w:val="es-US"/>
        </w:rPr>
        <w:footnoteReference w:id="125"/>
      </w:r>
      <w:r w:rsidR="0013380B" w:rsidRPr="00930562">
        <w:rPr>
          <w:rFonts w:asciiTheme="majorHAnsi" w:hAnsiTheme="majorHAnsi"/>
          <w:szCs w:val="20"/>
          <w:lang w:val="es-US"/>
        </w:rPr>
        <w:t xml:space="preserve"> “</w:t>
      </w:r>
      <w:r w:rsidRPr="00930562">
        <w:rPr>
          <w:rFonts w:asciiTheme="majorHAnsi" w:hAnsiTheme="majorHAnsi"/>
          <w:szCs w:val="20"/>
          <w:lang w:val="es-US"/>
        </w:rPr>
        <w:t>Sospecha razonable</w:t>
      </w:r>
      <w:r w:rsidR="0013380B" w:rsidRPr="00930562">
        <w:rPr>
          <w:rFonts w:asciiTheme="majorHAnsi" w:hAnsiTheme="majorHAnsi"/>
          <w:szCs w:val="20"/>
          <w:lang w:val="es-US"/>
        </w:rPr>
        <w:t xml:space="preserve">” </w:t>
      </w:r>
      <w:r w:rsidR="00C46501" w:rsidRPr="00930562">
        <w:rPr>
          <w:rFonts w:asciiTheme="majorHAnsi" w:hAnsiTheme="majorHAnsi"/>
          <w:szCs w:val="20"/>
          <w:lang w:val="es-US"/>
        </w:rPr>
        <w:t>e</w:t>
      </w:r>
      <w:r w:rsidRPr="00930562">
        <w:rPr>
          <w:rFonts w:asciiTheme="majorHAnsi" w:hAnsiTheme="majorHAnsi"/>
          <w:szCs w:val="20"/>
          <w:lang w:val="es-US"/>
        </w:rPr>
        <w:t xml:space="preserve">s un </w:t>
      </w:r>
      <w:r w:rsidR="00C46501" w:rsidRPr="00930562">
        <w:rPr>
          <w:rFonts w:asciiTheme="majorHAnsi" w:hAnsiTheme="majorHAnsi"/>
          <w:szCs w:val="20"/>
          <w:lang w:val="es-US"/>
        </w:rPr>
        <w:t>límite</w:t>
      </w:r>
      <w:r w:rsidRPr="00930562">
        <w:rPr>
          <w:rFonts w:asciiTheme="majorHAnsi" w:hAnsiTheme="majorHAnsi"/>
          <w:szCs w:val="20"/>
          <w:lang w:val="es-US"/>
        </w:rPr>
        <w:t xml:space="preserve"> </w:t>
      </w:r>
      <w:r w:rsidR="006247C7" w:rsidRPr="00930562">
        <w:rPr>
          <w:rFonts w:asciiTheme="majorHAnsi" w:hAnsiTheme="majorHAnsi"/>
          <w:szCs w:val="20"/>
          <w:lang w:val="es-US"/>
        </w:rPr>
        <w:t xml:space="preserve">determinado por el contexto social </w:t>
      </w:r>
      <w:r w:rsidR="00466EA0" w:rsidRPr="00930562">
        <w:rPr>
          <w:rFonts w:asciiTheme="majorHAnsi" w:hAnsiTheme="majorHAnsi"/>
          <w:szCs w:val="20"/>
          <w:lang w:val="es-US"/>
        </w:rPr>
        <w:t>inferior</w:t>
      </w:r>
      <w:r w:rsidRPr="00930562">
        <w:rPr>
          <w:rFonts w:asciiTheme="majorHAnsi" w:hAnsiTheme="majorHAnsi"/>
          <w:szCs w:val="20"/>
          <w:lang w:val="es-US"/>
        </w:rPr>
        <w:t xml:space="preserve"> </w:t>
      </w:r>
      <w:r w:rsidR="006247C7" w:rsidRPr="00930562">
        <w:rPr>
          <w:rFonts w:asciiTheme="majorHAnsi" w:hAnsiTheme="majorHAnsi"/>
          <w:szCs w:val="20"/>
          <w:lang w:val="es-US"/>
        </w:rPr>
        <w:t xml:space="preserve">a </w:t>
      </w:r>
      <w:r w:rsidRPr="00930562">
        <w:rPr>
          <w:rFonts w:asciiTheme="majorHAnsi" w:hAnsiTheme="majorHAnsi"/>
          <w:szCs w:val="20"/>
          <w:lang w:val="es-US"/>
        </w:rPr>
        <w:t xml:space="preserve">la "causa probable" </w:t>
      </w:r>
      <w:r w:rsidR="00C46501" w:rsidRPr="00930562">
        <w:rPr>
          <w:rFonts w:asciiTheme="majorHAnsi" w:hAnsiTheme="majorHAnsi"/>
          <w:szCs w:val="20"/>
          <w:lang w:val="es-US"/>
        </w:rPr>
        <w:t>exigida</w:t>
      </w:r>
      <w:r w:rsidRPr="00930562">
        <w:rPr>
          <w:rFonts w:asciiTheme="majorHAnsi" w:hAnsiTheme="majorHAnsi"/>
          <w:szCs w:val="20"/>
          <w:lang w:val="es-US"/>
        </w:rPr>
        <w:t xml:space="preserve"> para </w:t>
      </w:r>
      <w:r w:rsidR="00466EA0" w:rsidRPr="00930562">
        <w:rPr>
          <w:rFonts w:asciiTheme="majorHAnsi" w:hAnsiTheme="majorHAnsi"/>
          <w:szCs w:val="20"/>
          <w:lang w:val="es-US"/>
        </w:rPr>
        <w:t xml:space="preserve">cacheos e </w:t>
      </w:r>
      <w:r w:rsidRPr="00930562">
        <w:rPr>
          <w:rFonts w:asciiTheme="majorHAnsi" w:hAnsiTheme="majorHAnsi"/>
          <w:szCs w:val="20"/>
          <w:lang w:val="es-US"/>
        </w:rPr>
        <w:t xml:space="preserve">incautaciones según la Cuarta Enmienda. Por ejemplo, </w:t>
      </w:r>
      <w:r w:rsidR="00C46501" w:rsidRPr="00930562">
        <w:rPr>
          <w:rFonts w:asciiTheme="majorHAnsi" w:hAnsiTheme="majorHAnsi"/>
          <w:szCs w:val="20"/>
          <w:lang w:val="es-US"/>
        </w:rPr>
        <w:t>la Corte Suprema</w:t>
      </w:r>
      <w:r w:rsidRPr="00930562">
        <w:rPr>
          <w:rFonts w:asciiTheme="majorHAnsi" w:hAnsiTheme="majorHAnsi"/>
          <w:szCs w:val="20"/>
          <w:lang w:val="es-US"/>
        </w:rPr>
        <w:t xml:space="preserve"> ha </w:t>
      </w:r>
      <w:r w:rsidR="00C46501" w:rsidRPr="00930562">
        <w:rPr>
          <w:rFonts w:asciiTheme="majorHAnsi" w:hAnsiTheme="majorHAnsi"/>
          <w:szCs w:val="20"/>
          <w:lang w:val="es-US"/>
        </w:rPr>
        <w:t>concluido</w:t>
      </w:r>
      <w:r w:rsidRPr="00930562">
        <w:rPr>
          <w:rFonts w:asciiTheme="majorHAnsi" w:hAnsiTheme="majorHAnsi"/>
          <w:szCs w:val="20"/>
          <w:lang w:val="es-US"/>
        </w:rPr>
        <w:t xml:space="preserve"> que el hecho de que un hombre negro </w:t>
      </w:r>
      <w:r w:rsidR="00C46501" w:rsidRPr="00930562">
        <w:rPr>
          <w:rFonts w:asciiTheme="majorHAnsi" w:hAnsiTheme="majorHAnsi"/>
          <w:szCs w:val="20"/>
          <w:lang w:val="es-US"/>
        </w:rPr>
        <w:t>se encuentre corriendo</w:t>
      </w:r>
      <w:r w:rsidRPr="00930562">
        <w:rPr>
          <w:rFonts w:asciiTheme="majorHAnsi" w:hAnsiTheme="majorHAnsi"/>
          <w:szCs w:val="20"/>
          <w:lang w:val="es-US"/>
        </w:rPr>
        <w:t xml:space="preserve"> en un</w:t>
      </w:r>
      <w:r w:rsidR="00C46501" w:rsidRPr="00930562">
        <w:rPr>
          <w:rFonts w:asciiTheme="majorHAnsi" w:hAnsiTheme="majorHAnsi"/>
          <w:szCs w:val="20"/>
          <w:lang w:val="es-US"/>
        </w:rPr>
        <w:t>a</w:t>
      </w:r>
      <w:r w:rsidRPr="00930562">
        <w:rPr>
          <w:rFonts w:asciiTheme="majorHAnsi" w:hAnsiTheme="majorHAnsi"/>
          <w:szCs w:val="20"/>
          <w:lang w:val="es-US"/>
        </w:rPr>
        <w:t xml:space="preserve"> </w:t>
      </w:r>
      <w:r w:rsidR="00C46501" w:rsidRPr="00930562">
        <w:rPr>
          <w:rFonts w:asciiTheme="majorHAnsi" w:hAnsiTheme="majorHAnsi"/>
          <w:szCs w:val="20"/>
          <w:lang w:val="es-US"/>
        </w:rPr>
        <w:t>zona</w:t>
      </w:r>
      <w:r w:rsidRPr="00930562">
        <w:rPr>
          <w:rFonts w:asciiTheme="majorHAnsi" w:hAnsiTheme="majorHAnsi"/>
          <w:szCs w:val="20"/>
          <w:lang w:val="es-US"/>
        </w:rPr>
        <w:t xml:space="preserve"> de "alt</w:t>
      </w:r>
      <w:r w:rsidR="00C46501" w:rsidRPr="00930562">
        <w:rPr>
          <w:rFonts w:asciiTheme="majorHAnsi" w:hAnsiTheme="majorHAnsi"/>
          <w:szCs w:val="20"/>
          <w:lang w:val="es-US"/>
        </w:rPr>
        <w:t>a</w:t>
      </w:r>
      <w:r w:rsidRPr="00930562">
        <w:rPr>
          <w:rFonts w:asciiTheme="majorHAnsi" w:hAnsiTheme="majorHAnsi"/>
          <w:szCs w:val="20"/>
          <w:lang w:val="es-US"/>
        </w:rPr>
        <w:t xml:space="preserve"> crim</w:t>
      </w:r>
      <w:r w:rsidR="00C46501" w:rsidRPr="00930562">
        <w:rPr>
          <w:rFonts w:asciiTheme="majorHAnsi" w:hAnsiTheme="majorHAnsi"/>
          <w:szCs w:val="20"/>
          <w:lang w:val="es-US"/>
        </w:rPr>
        <w:t>inalidad</w:t>
      </w:r>
      <w:r w:rsidRPr="00930562">
        <w:rPr>
          <w:rFonts w:asciiTheme="majorHAnsi" w:hAnsiTheme="majorHAnsi"/>
          <w:szCs w:val="20"/>
          <w:lang w:val="es-US"/>
        </w:rPr>
        <w:t xml:space="preserve">" puede ser </w:t>
      </w:r>
      <w:r w:rsidR="00C46501" w:rsidRPr="00930562">
        <w:rPr>
          <w:rFonts w:asciiTheme="majorHAnsi" w:hAnsiTheme="majorHAnsi"/>
          <w:szCs w:val="20"/>
          <w:lang w:val="es-US"/>
        </w:rPr>
        <w:t xml:space="preserve">motivo </w:t>
      </w:r>
      <w:r w:rsidRPr="00930562">
        <w:rPr>
          <w:rFonts w:asciiTheme="majorHAnsi" w:hAnsiTheme="majorHAnsi"/>
          <w:szCs w:val="20"/>
          <w:lang w:val="es-US"/>
        </w:rPr>
        <w:t xml:space="preserve">suficiente </w:t>
      </w:r>
      <w:r w:rsidR="00C46501" w:rsidRPr="00930562">
        <w:rPr>
          <w:rFonts w:asciiTheme="majorHAnsi" w:hAnsiTheme="majorHAnsi"/>
          <w:szCs w:val="20"/>
          <w:lang w:val="es-US"/>
        </w:rPr>
        <w:t>para una</w:t>
      </w:r>
      <w:r w:rsidRPr="00930562">
        <w:rPr>
          <w:rFonts w:asciiTheme="majorHAnsi" w:hAnsiTheme="majorHAnsi"/>
          <w:szCs w:val="20"/>
          <w:lang w:val="es-US"/>
        </w:rPr>
        <w:t xml:space="preserve"> "sospecha razonable" </w:t>
      </w:r>
      <w:r w:rsidR="00C46501" w:rsidRPr="00930562">
        <w:rPr>
          <w:rFonts w:asciiTheme="majorHAnsi" w:hAnsiTheme="majorHAnsi"/>
          <w:szCs w:val="20"/>
          <w:lang w:val="es-US"/>
        </w:rPr>
        <w:t xml:space="preserve">y que dé lugar a que </w:t>
      </w:r>
      <w:r w:rsidRPr="00930562">
        <w:rPr>
          <w:rFonts w:asciiTheme="majorHAnsi" w:hAnsiTheme="majorHAnsi"/>
          <w:szCs w:val="20"/>
          <w:lang w:val="es-US"/>
        </w:rPr>
        <w:t>un policía decida detenerlo</w:t>
      </w:r>
      <w:r w:rsidR="00C46501" w:rsidRPr="00930562">
        <w:rPr>
          <w:rFonts w:asciiTheme="majorHAnsi" w:hAnsiTheme="majorHAnsi"/>
          <w:szCs w:val="20"/>
          <w:lang w:val="es-US"/>
        </w:rPr>
        <w:t>.</w:t>
      </w:r>
      <w:r w:rsidR="0013380B" w:rsidRPr="00930562">
        <w:rPr>
          <w:rFonts w:asciiTheme="majorHAnsi" w:hAnsiTheme="majorHAnsi"/>
          <w:vertAlign w:val="superscript"/>
          <w:lang w:val="es-US"/>
        </w:rPr>
        <w:footnoteReference w:id="126"/>
      </w:r>
      <w:r w:rsidR="0013380B" w:rsidRPr="00930562">
        <w:rPr>
          <w:rFonts w:asciiTheme="majorHAnsi" w:hAnsiTheme="majorHAnsi"/>
          <w:szCs w:val="20"/>
          <w:lang w:val="es-US"/>
        </w:rPr>
        <w:t xml:space="preserve"> </w:t>
      </w:r>
      <w:r w:rsidR="00C46501" w:rsidRPr="00930562">
        <w:rPr>
          <w:rFonts w:asciiTheme="majorHAnsi" w:hAnsiTheme="majorHAnsi"/>
          <w:szCs w:val="20"/>
          <w:lang w:val="es-US"/>
        </w:rPr>
        <w:t>En esta línea</w:t>
      </w:r>
      <w:r w:rsidR="0013380B" w:rsidRPr="00930562">
        <w:rPr>
          <w:rFonts w:asciiTheme="majorHAnsi" w:hAnsiTheme="majorHAnsi"/>
          <w:szCs w:val="20"/>
          <w:lang w:val="es-US"/>
        </w:rPr>
        <w:t xml:space="preserve">, </w:t>
      </w:r>
      <w:r w:rsidR="00466EA0" w:rsidRPr="00930562">
        <w:rPr>
          <w:rFonts w:asciiTheme="majorHAnsi" w:hAnsiTheme="majorHAnsi"/>
          <w:szCs w:val="20"/>
          <w:lang w:val="es-US"/>
        </w:rPr>
        <w:t xml:space="preserve">los “supuestos” </w:t>
      </w:r>
      <w:r w:rsidR="00C46501" w:rsidRPr="00930562">
        <w:rPr>
          <w:rFonts w:asciiTheme="majorHAnsi" w:hAnsiTheme="majorHAnsi"/>
          <w:szCs w:val="20"/>
          <w:lang w:val="es-US"/>
        </w:rPr>
        <w:t>controles de tráfico</w:t>
      </w:r>
      <w:r w:rsidR="0013380B" w:rsidRPr="00930562">
        <w:rPr>
          <w:rFonts w:asciiTheme="majorHAnsi" w:hAnsiTheme="majorHAnsi"/>
          <w:szCs w:val="20"/>
          <w:lang w:val="es-US"/>
        </w:rPr>
        <w:t xml:space="preserve"> (</w:t>
      </w:r>
      <w:r w:rsidR="00C46501" w:rsidRPr="00930562">
        <w:rPr>
          <w:rFonts w:asciiTheme="majorHAnsi" w:hAnsiTheme="majorHAnsi"/>
          <w:szCs w:val="20"/>
          <w:lang w:val="es-US"/>
        </w:rPr>
        <w:t xml:space="preserve">es decir, controles por infracciones </w:t>
      </w:r>
      <w:r w:rsidR="00C46501" w:rsidRPr="00930562">
        <w:rPr>
          <w:rFonts w:asciiTheme="majorHAnsi" w:hAnsiTheme="majorHAnsi"/>
          <w:szCs w:val="20"/>
          <w:lang w:val="es-US"/>
        </w:rPr>
        <w:lastRenderedPageBreak/>
        <w:t>menores a reglas de tránsito motivad</w:t>
      </w:r>
      <w:r w:rsidR="00466EA0" w:rsidRPr="00930562">
        <w:rPr>
          <w:rFonts w:asciiTheme="majorHAnsi" w:hAnsiTheme="majorHAnsi"/>
          <w:szCs w:val="20"/>
          <w:lang w:val="es-US"/>
        </w:rPr>
        <w:t>o</w:t>
      </w:r>
      <w:r w:rsidR="00C46501" w:rsidRPr="00930562">
        <w:rPr>
          <w:rFonts w:asciiTheme="majorHAnsi" w:hAnsiTheme="majorHAnsi"/>
          <w:szCs w:val="20"/>
          <w:lang w:val="es-US"/>
        </w:rPr>
        <w:t>s subjetivamente por el interés de un policía en algo más que hacer cumplir las leyes de tráfico) son también permitidas por la ley.</w:t>
      </w:r>
      <w:r w:rsidR="0013380B" w:rsidRPr="00930562">
        <w:rPr>
          <w:rFonts w:asciiTheme="majorHAnsi" w:hAnsiTheme="majorHAnsi"/>
          <w:vertAlign w:val="superscript"/>
          <w:lang w:val="es-US"/>
        </w:rPr>
        <w:footnoteReference w:id="127"/>
      </w:r>
      <w:bookmarkEnd w:id="64"/>
    </w:p>
    <w:p w14:paraId="5A39EC21" w14:textId="77777777" w:rsidR="0013380B" w:rsidRPr="00930562" w:rsidRDefault="00A911C0" w:rsidP="00724857">
      <w:pPr>
        <w:pStyle w:val="ListParagraph"/>
        <w:numPr>
          <w:ilvl w:val="0"/>
          <w:numId w:val="2"/>
        </w:numPr>
        <w:spacing w:after="240" w:line="240" w:lineRule="auto"/>
        <w:ind w:left="547" w:hanging="547"/>
        <w:contextualSpacing w:val="0"/>
        <w:jc w:val="both"/>
        <w:rPr>
          <w:rFonts w:asciiTheme="majorHAnsi" w:eastAsia="Times New Roman" w:hAnsiTheme="majorHAnsi"/>
          <w:szCs w:val="20"/>
          <w:lang w:val="es-US" w:eastAsia="es-ES"/>
        </w:rPr>
      </w:pPr>
      <w:bookmarkStart w:id="65" w:name="_Ref507161402"/>
      <w:r w:rsidRPr="00930562">
        <w:rPr>
          <w:rFonts w:asciiTheme="majorHAnsi" w:hAnsiTheme="majorHAnsi"/>
          <w:szCs w:val="20"/>
          <w:lang w:val="es-US"/>
        </w:rPr>
        <w:t>A través de</w:t>
      </w:r>
      <w:r w:rsidR="00FE775B" w:rsidRPr="00930562">
        <w:rPr>
          <w:rFonts w:asciiTheme="majorHAnsi" w:hAnsiTheme="majorHAnsi"/>
          <w:szCs w:val="20"/>
          <w:lang w:val="es-US"/>
        </w:rPr>
        <w:t xml:space="preserve"> su</w:t>
      </w:r>
      <w:r w:rsidRPr="00930562">
        <w:rPr>
          <w:rFonts w:asciiTheme="majorHAnsi" w:hAnsiTheme="majorHAnsi"/>
          <w:szCs w:val="20"/>
          <w:lang w:val="es-US"/>
        </w:rPr>
        <w:t xml:space="preserve"> monitoreo </w:t>
      </w:r>
      <w:r w:rsidR="00FE775B" w:rsidRPr="00930562">
        <w:rPr>
          <w:rFonts w:asciiTheme="majorHAnsi" w:hAnsiTheme="majorHAnsi"/>
          <w:szCs w:val="20"/>
          <w:lang w:val="es-US"/>
        </w:rPr>
        <w:t>periódico</w:t>
      </w:r>
      <w:r w:rsidRPr="00930562">
        <w:rPr>
          <w:rFonts w:asciiTheme="majorHAnsi" w:hAnsiTheme="majorHAnsi"/>
          <w:szCs w:val="20"/>
          <w:lang w:val="es-US"/>
        </w:rPr>
        <w:t xml:space="preserve"> y audiencias públicas, la CIDH ha recibido información sobre patrones de </w:t>
      </w:r>
      <w:r w:rsidR="00FE775B" w:rsidRPr="00930562">
        <w:rPr>
          <w:rFonts w:asciiTheme="majorHAnsi" w:hAnsiTheme="majorHAnsi"/>
          <w:szCs w:val="20"/>
          <w:lang w:val="es-US"/>
        </w:rPr>
        <w:t>controles</w:t>
      </w:r>
      <w:r w:rsidRPr="00930562">
        <w:rPr>
          <w:rFonts w:asciiTheme="majorHAnsi" w:hAnsiTheme="majorHAnsi"/>
          <w:szCs w:val="20"/>
          <w:lang w:val="es-US"/>
        </w:rPr>
        <w:t xml:space="preserve"> policiales y programas similares en ciudades de los EE.UU. </w:t>
      </w:r>
      <w:r w:rsidR="00FE775B" w:rsidRPr="00930562">
        <w:rPr>
          <w:rFonts w:asciiTheme="majorHAnsi" w:hAnsiTheme="majorHAnsi"/>
          <w:szCs w:val="20"/>
          <w:lang w:val="es-US"/>
        </w:rPr>
        <w:t>q</w:t>
      </w:r>
      <w:r w:rsidRPr="00930562">
        <w:rPr>
          <w:rFonts w:asciiTheme="majorHAnsi" w:hAnsiTheme="majorHAnsi"/>
          <w:szCs w:val="20"/>
          <w:lang w:val="es-US"/>
        </w:rPr>
        <w:t xml:space="preserve">ue, si bien </w:t>
      </w:r>
      <w:r w:rsidR="00906EC2" w:rsidRPr="00930562">
        <w:rPr>
          <w:rFonts w:asciiTheme="majorHAnsi" w:hAnsiTheme="majorHAnsi"/>
          <w:szCs w:val="20"/>
          <w:lang w:val="es-US"/>
        </w:rPr>
        <w:t xml:space="preserve">parecen </w:t>
      </w:r>
      <w:r w:rsidR="00FE775B" w:rsidRPr="00930562">
        <w:rPr>
          <w:rFonts w:asciiTheme="majorHAnsi" w:hAnsiTheme="majorHAnsi"/>
          <w:szCs w:val="20"/>
          <w:lang w:val="es-US"/>
        </w:rPr>
        <w:t>aparentemente neutrales</w:t>
      </w:r>
      <w:r w:rsidRPr="00930562">
        <w:rPr>
          <w:rFonts w:asciiTheme="majorHAnsi" w:hAnsiTheme="majorHAnsi"/>
          <w:szCs w:val="20"/>
          <w:lang w:val="es-US"/>
        </w:rPr>
        <w:t>, se aplican de manera discriminatoria y perjudican desproporcionadamente</w:t>
      </w:r>
      <w:r w:rsidRPr="00930562">
        <w:rPr>
          <w:rFonts w:asciiTheme="majorHAnsi" w:eastAsia="Times New Roman" w:hAnsiTheme="majorHAnsi"/>
          <w:szCs w:val="20"/>
          <w:lang w:val="es-US" w:eastAsia="es-ES"/>
        </w:rPr>
        <w:t xml:space="preserve"> a los afroamericanos, hispanos y otros grupos históricamente marginados, e incluso </w:t>
      </w:r>
      <w:r w:rsidR="00FE775B" w:rsidRPr="00930562">
        <w:rPr>
          <w:rFonts w:asciiTheme="majorHAnsi" w:eastAsia="Times New Roman" w:hAnsiTheme="majorHAnsi"/>
          <w:szCs w:val="20"/>
          <w:lang w:val="es-US" w:eastAsia="es-ES"/>
        </w:rPr>
        <w:t xml:space="preserve">el comportamiento discriminatorio por parte de los agentes policiales </w:t>
      </w:r>
      <w:r w:rsidRPr="00930562">
        <w:rPr>
          <w:rFonts w:asciiTheme="majorHAnsi" w:eastAsia="Times New Roman" w:hAnsiTheme="majorHAnsi"/>
          <w:szCs w:val="20"/>
          <w:lang w:val="es-US" w:eastAsia="es-ES"/>
        </w:rPr>
        <w:t xml:space="preserve">puede </w:t>
      </w:r>
      <w:r w:rsidR="00FE775B" w:rsidRPr="00930562">
        <w:rPr>
          <w:rFonts w:asciiTheme="majorHAnsi" w:eastAsia="Times New Roman" w:hAnsiTheme="majorHAnsi"/>
          <w:szCs w:val="20"/>
          <w:lang w:val="es-US" w:eastAsia="es-ES"/>
        </w:rPr>
        <w:t xml:space="preserve">ser </w:t>
      </w:r>
      <w:r w:rsidRPr="00930562">
        <w:rPr>
          <w:rFonts w:asciiTheme="majorHAnsi" w:eastAsia="Times New Roman" w:hAnsiTheme="majorHAnsi"/>
          <w:szCs w:val="20"/>
          <w:lang w:val="es-US" w:eastAsia="es-ES"/>
        </w:rPr>
        <w:t>recompensa</w:t>
      </w:r>
      <w:r w:rsidR="00FE775B" w:rsidRPr="00930562">
        <w:rPr>
          <w:rFonts w:asciiTheme="majorHAnsi" w:eastAsia="Times New Roman" w:hAnsiTheme="majorHAnsi"/>
          <w:szCs w:val="20"/>
          <w:lang w:val="es-US" w:eastAsia="es-ES"/>
        </w:rPr>
        <w:t xml:space="preserve">do. </w:t>
      </w:r>
      <w:r w:rsidRPr="00930562">
        <w:rPr>
          <w:rFonts w:asciiTheme="majorHAnsi" w:eastAsia="Times New Roman" w:hAnsiTheme="majorHAnsi"/>
          <w:szCs w:val="20"/>
          <w:lang w:val="es-US" w:eastAsia="es-ES"/>
        </w:rPr>
        <w:t>La información disponible de varios estados y municipios i</w:t>
      </w:r>
      <w:r w:rsidR="00FE775B" w:rsidRPr="00930562">
        <w:rPr>
          <w:rFonts w:asciiTheme="majorHAnsi" w:eastAsia="Times New Roman" w:hAnsiTheme="majorHAnsi"/>
          <w:szCs w:val="20"/>
          <w:lang w:val="es-US" w:eastAsia="es-ES"/>
        </w:rPr>
        <w:t xml:space="preserve">ndica que los controles </w:t>
      </w:r>
      <w:r w:rsidRPr="00930562">
        <w:rPr>
          <w:rFonts w:asciiTheme="majorHAnsi" w:eastAsia="Times New Roman" w:hAnsiTheme="majorHAnsi"/>
          <w:szCs w:val="20"/>
          <w:lang w:val="es-US" w:eastAsia="es-ES"/>
        </w:rPr>
        <w:t xml:space="preserve">policiales se llevan a cabo de </w:t>
      </w:r>
      <w:r w:rsidR="00FE775B" w:rsidRPr="00930562">
        <w:rPr>
          <w:rFonts w:asciiTheme="majorHAnsi" w:eastAsia="Times New Roman" w:hAnsiTheme="majorHAnsi"/>
          <w:szCs w:val="20"/>
          <w:lang w:val="es-US" w:eastAsia="es-ES"/>
        </w:rPr>
        <w:t xml:space="preserve">una </w:t>
      </w:r>
      <w:r w:rsidRPr="00930562">
        <w:rPr>
          <w:rFonts w:asciiTheme="majorHAnsi" w:eastAsia="Times New Roman" w:hAnsiTheme="majorHAnsi"/>
          <w:szCs w:val="20"/>
          <w:lang w:val="es-US" w:eastAsia="es-ES"/>
        </w:rPr>
        <w:t>manera discriminatoria</w:t>
      </w:r>
      <w:r w:rsidR="00FE775B" w:rsidRPr="00930562">
        <w:rPr>
          <w:rFonts w:asciiTheme="majorHAnsi" w:eastAsia="Times New Roman" w:hAnsiTheme="majorHAnsi"/>
          <w:szCs w:val="20"/>
          <w:lang w:val="es-US" w:eastAsia="es-ES"/>
        </w:rPr>
        <w:t xml:space="preserve"> desde el punto de vista racial.</w:t>
      </w:r>
      <w:r w:rsidR="00FE775B" w:rsidRPr="00930562">
        <w:rPr>
          <w:rStyle w:val="FootnoteReference"/>
          <w:rFonts w:asciiTheme="majorHAnsi" w:eastAsia="Times New Roman" w:hAnsiTheme="majorHAnsi"/>
          <w:szCs w:val="20"/>
          <w:lang w:val="es-US" w:eastAsia="es-ES"/>
        </w:rPr>
        <w:footnoteReference w:id="128"/>
      </w:r>
      <w:r w:rsidR="00FE775B" w:rsidRPr="00930562">
        <w:rPr>
          <w:rFonts w:asciiTheme="majorHAnsi" w:eastAsia="Times New Roman" w:hAnsiTheme="majorHAnsi"/>
          <w:szCs w:val="20"/>
          <w:lang w:val="es-US" w:eastAsia="es-ES"/>
        </w:rPr>
        <w:t xml:space="preserve"> Por ejemplo</w:t>
      </w:r>
      <w:r w:rsidR="0013380B" w:rsidRPr="00930562">
        <w:rPr>
          <w:rFonts w:asciiTheme="majorHAnsi" w:eastAsia="Times New Roman" w:hAnsiTheme="majorHAnsi"/>
          <w:szCs w:val="20"/>
          <w:lang w:val="es-US" w:eastAsia="es-ES"/>
        </w:rPr>
        <w:t xml:space="preserve">, </w:t>
      </w:r>
      <w:r w:rsidR="00FE775B" w:rsidRPr="00930562">
        <w:rPr>
          <w:rFonts w:asciiTheme="majorHAnsi" w:eastAsia="Times New Roman" w:hAnsiTheme="majorHAnsi"/>
          <w:szCs w:val="20"/>
          <w:lang w:val="es-US" w:eastAsia="es-ES"/>
        </w:rPr>
        <w:t>los autores de una investigación sobre controles realizados por</w:t>
      </w:r>
      <w:r w:rsidR="0013380B" w:rsidRPr="00930562">
        <w:rPr>
          <w:rFonts w:asciiTheme="majorHAnsi" w:eastAsia="Times New Roman" w:hAnsiTheme="majorHAnsi"/>
          <w:szCs w:val="20"/>
          <w:lang w:val="es-US" w:eastAsia="es-ES"/>
        </w:rPr>
        <w:t xml:space="preserve"> </w:t>
      </w:r>
      <w:r w:rsidR="00FE775B" w:rsidRPr="00930562">
        <w:rPr>
          <w:rFonts w:asciiTheme="majorHAnsi" w:eastAsia="Times New Roman" w:hAnsiTheme="majorHAnsi"/>
          <w:szCs w:val="20"/>
          <w:lang w:val="es-US" w:eastAsia="es-ES"/>
        </w:rPr>
        <w:t>el Departa</w:t>
      </w:r>
      <w:r w:rsidR="004E1B53" w:rsidRPr="00930562">
        <w:rPr>
          <w:rFonts w:asciiTheme="majorHAnsi" w:eastAsia="Times New Roman" w:hAnsiTheme="majorHAnsi"/>
          <w:szCs w:val="20"/>
          <w:lang w:val="es-US" w:eastAsia="es-ES"/>
        </w:rPr>
        <w:t>m</w:t>
      </w:r>
      <w:r w:rsidR="00FE775B" w:rsidRPr="00930562">
        <w:rPr>
          <w:rFonts w:asciiTheme="majorHAnsi" w:eastAsia="Times New Roman" w:hAnsiTheme="majorHAnsi"/>
          <w:szCs w:val="20"/>
          <w:lang w:val="es-US" w:eastAsia="es-ES"/>
        </w:rPr>
        <w:t xml:space="preserve">ento de Policía de </w:t>
      </w:r>
      <w:r w:rsidR="0013380B" w:rsidRPr="00930562">
        <w:rPr>
          <w:rFonts w:asciiTheme="majorHAnsi" w:eastAsia="Times New Roman" w:hAnsiTheme="majorHAnsi"/>
          <w:szCs w:val="20"/>
          <w:lang w:val="es-US" w:eastAsia="es-ES"/>
        </w:rPr>
        <w:t xml:space="preserve">Los Angeles (LAPD) </w:t>
      </w:r>
      <w:r w:rsidR="00FE775B" w:rsidRPr="00930562">
        <w:rPr>
          <w:rFonts w:asciiTheme="majorHAnsi" w:eastAsia="Times New Roman" w:hAnsiTheme="majorHAnsi"/>
          <w:szCs w:val="20"/>
          <w:lang w:val="es-US" w:eastAsia="es-ES"/>
        </w:rPr>
        <w:t xml:space="preserve">concluyeron que los blancos y los hispanos </w:t>
      </w:r>
      <w:r w:rsidR="001E59E4" w:rsidRPr="00930562">
        <w:rPr>
          <w:rFonts w:asciiTheme="majorHAnsi" w:eastAsia="Times New Roman" w:hAnsiTheme="majorHAnsi"/>
          <w:szCs w:val="20"/>
          <w:lang w:val="es-US" w:eastAsia="es-ES"/>
        </w:rPr>
        <w:t>no sólo son quienes tienen m</w:t>
      </w:r>
      <w:r w:rsidR="00FE775B" w:rsidRPr="00930562">
        <w:rPr>
          <w:rFonts w:asciiTheme="majorHAnsi" w:eastAsia="Times New Roman" w:hAnsiTheme="majorHAnsi"/>
          <w:szCs w:val="20"/>
          <w:lang w:val="es-US" w:eastAsia="es-ES"/>
        </w:rPr>
        <w:t xml:space="preserve">ás probabilidades de ser detenidos, sino que </w:t>
      </w:r>
      <w:r w:rsidR="001E59E4" w:rsidRPr="00930562">
        <w:rPr>
          <w:rFonts w:asciiTheme="majorHAnsi" w:eastAsia="Times New Roman" w:hAnsiTheme="majorHAnsi"/>
          <w:szCs w:val="20"/>
          <w:lang w:val="es-US" w:eastAsia="es-ES"/>
        </w:rPr>
        <w:t>también</w:t>
      </w:r>
      <w:r w:rsidR="00FE775B" w:rsidRPr="00930562">
        <w:rPr>
          <w:rFonts w:asciiTheme="majorHAnsi" w:eastAsia="Times New Roman" w:hAnsiTheme="majorHAnsi"/>
          <w:szCs w:val="20"/>
          <w:lang w:val="es-US" w:eastAsia="es-ES"/>
        </w:rPr>
        <w:t xml:space="preserve"> una vez detenidos </w:t>
      </w:r>
      <w:r w:rsidR="001E59E4" w:rsidRPr="00930562">
        <w:rPr>
          <w:rFonts w:asciiTheme="majorHAnsi" w:eastAsia="Times New Roman" w:hAnsiTheme="majorHAnsi"/>
          <w:szCs w:val="20"/>
          <w:lang w:val="es-US" w:eastAsia="es-ES"/>
        </w:rPr>
        <w:t>son los</w:t>
      </w:r>
      <w:r w:rsidR="00FE775B" w:rsidRPr="00930562">
        <w:rPr>
          <w:rFonts w:asciiTheme="majorHAnsi" w:eastAsia="Times New Roman" w:hAnsiTheme="majorHAnsi"/>
          <w:szCs w:val="20"/>
          <w:lang w:val="es-US" w:eastAsia="es-ES"/>
        </w:rPr>
        <w:t xml:space="preserve"> más proclives a ser cacheados y registrados. Concluyeron: </w:t>
      </w:r>
      <w:bookmarkEnd w:id="65"/>
    </w:p>
    <w:p w14:paraId="7B249DA1" w14:textId="62B8FD44" w:rsidR="0014703D" w:rsidRPr="00930562" w:rsidRDefault="0014703D" w:rsidP="0013380B">
      <w:pPr>
        <w:spacing w:after="240" w:line="240" w:lineRule="auto"/>
        <w:ind w:left="1166" w:right="619"/>
        <w:jc w:val="both"/>
        <w:rPr>
          <w:rFonts w:asciiTheme="majorHAnsi" w:eastAsia="Times New Roman" w:hAnsiTheme="majorHAnsi"/>
          <w:szCs w:val="18"/>
          <w:lang w:val="es-US" w:eastAsia="es-ES"/>
        </w:rPr>
      </w:pPr>
      <w:r w:rsidRPr="00930562">
        <w:rPr>
          <w:rFonts w:asciiTheme="majorHAnsi" w:eastAsia="Times New Roman" w:hAnsiTheme="majorHAnsi"/>
          <w:szCs w:val="18"/>
          <w:lang w:val="es-US" w:eastAsia="es-ES"/>
        </w:rPr>
        <w:t xml:space="preserve">Es </w:t>
      </w:r>
      <w:r w:rsidR="006247C7" w:rsidRPr="00930562">
        <w:rPr>
          <w:rFonts w:asciiTheme="majorHAnsi" w:eastAsia="Times New Roman" w:hAnsiTheme="majorHAnsi"/>
          <w:szCs w:val="18"/>
          <w:lang w:val="es-US" w:eastAsia="es-ES"/>
        </w:rPr>
        <w:t>increíble</w:t>
      </w:r>
      <w:r w:rsidRPr="00930562">
        <w:rPr>
          <w:rFonts w:asciiTheme="majorHAnsi" w:eastAsia="Times New Roman" w:hAnsiTheme="majorHAnsi"/>
          <w:szCs w:val="18"/>
          <w:lang w:val="es-US" w:eastAsia="es-ES"/>
        </w:rPr>
        <w:t xml:space="preserve"> que las tasas más altas de registro y cacheo se justifiquen por una mayor delincuencia de minorías, cuando como resultado de estos cacheos es poco probable que se descubran armas, drogas u otros tipos de contrabando. También encontramos que la brecha en el arresto a negros fue 9 puntos porcentuales más baja cuando el oficial que detenía era negro que cuando éste no era negro. De manera similar, la brecha de arrestos hispanos fue 7 puntos porcentuales más baja cuando el oficial que detenía era hispano que cuando éste era un blanco no hispano. Tomados en conjunto, estos resultados justifican una mayor investigación y acción correctiva.</w:t>
      </w:r>
      <w:r w:rsidRPr="00930562">
        <w:rPr>
          <w:rStyle w:val="FootnoteReference"/>
          <w:rFonts w:asciiTheme="majorHAnsi" w:eastAsia="Times New Roman" w:hAnsiTheme="majorHAnsi"/>
          <w:szCs w:val="18"/>
          <w:lang w:val="es-US" w:eastAsia="es-ES"/>
        </w:rPr>
        <w:t xml:space="preserve"> </w:t>
      </w:r>
      <w:r w:rsidRPr="00930562">
        <w:rPr>
          <w:rStyle w:val="FootnoteReference"/>
          <w:rFonts w:asciiTheme="majorHAnsi" w:eastAsia="Times New Roman" w:hAnsiTheme="majorHAnsi"/>
          <w:szCs w:val="18"/>
          <w:lang w:val="es-US" w:eastAsia="es-ES"/>
        </w:rPr>
        <w:footnoteReference w:id="129"/>
      </w:r>
    </w:p>
    <w:p w14:paraId="46C01C0E" w14:textId="6A395520" w:rsidR="0013380B" w:rsidRPr="00930562" w:rsidRDefault="00A5160C" w:rsidP="00724857">
      <w:pPr>
        <w:pStyle w:val="ListParagraph"/>
        <w:numPr>
          <w:ilvl w:val="0"/>
          <w:numId w:val="2"/>
        </w:numPr>
        <w:spacing w:after="240" w:line="240" w:lineRule="auto"/>
        <w:ind w:left="547" w:hanging="547"/>
        <w:contextualSpacing w:val="0"/>
        <w:jc w:val="both"/>
        <w:rPr>
          <w:rFonts w:asciiTheme="majorHAnsi" w:eastAsia="Times New Roman" w:hAnsiTheme="majorHAnsi"/>
          <w:szCs w:val="20"/>
          <w:lang w:val="es-US" w:eastAsia="es-ES"/>
        </w:rPr>
      </w:pPr>
      <w:r w:rsidRPr="00930562">
        <w:rPr>
          <w:rFonts w:asciiTheme="majorHAnsi" w:eastAsia="Times New Roman" w:hAnsiTheme="majorHAnsi"/>
          <w:szCs w:val="20"/>
          <w:lang w:val="es-US" w:eastAsia="es-ES"/>
        </w:rPr>
        <w:t xml:space="preserve">Esta evidencia empírica concuerda con las pruebas y los testimonios sobre perfiles raciales y el exceso de </w:t>
      </w:r>
      <w:r w:rsidRPr="00930562">
        <w:rPr>
          <w:rFonts w:asciiTheme="majorHAnsi" w:hAnsiTheme="majorHAnsi"/>
          <w:szCs w:val="20"/>
          <w:lang w:val="es-US"/>
        </w:rPr>
        <w:t>control</w:t>
      </w:r>
      <w:r w:rsidRPr="00930562">
        <w:rPr>
          <w:rFonts w:asciiTheme="majorHAnsi" w:eastAsia="Times New Roman" w:hAnsiTheme="majorHAnsi"/>
          <w:szCs w:val="20"/>
          <w:lang w:val="es-US" w:eastAsia="es-ES"/>
        </w:rPr>
        <w:t xml:space="preserve"> policial, especialmente de las comunidades pobres, recibidas por la Comisión durante su visita in loco de 2015 y durante las audiencias públicas. Por ejemplo, en Miami, la delegación recibió el testimonio de un estudiante afroamericano de </w:t>
      </w:r>
      <w:r w:rsidRPr="00930562">
        <w:rPr>
          <w:rFonts w:asciiTheme="majorHAnsi" w:eastAsia="Times New Roman" w:hAnsiTheme="majorHAnsi"/>
          <w:szCs w:val="20"/>
          <w:lang w:val="es-US" w:eastAsia="es-ES"/>
        </w:rPr>
        <w:lastRenderedPageBreak/>
        <w:t>derecho que afirmó que había sido detenido por la policía unas treinta veces en su vida en función de su raza y su apariencia. Otros oradores afirmaron que muchos de los que son objeto de detenciones arbitrarias temen denunciarlos ante las autoridades, en particular si han cometido delitos en el pasado.</w:t>
      </w:r>
      <w:r w:rsidR="0013380B" w:rsidRPr="00930562">
        <w:rPr>
          <w:rStyle w:val="FootnoteReference"/>
          <w:rFonts w:asciiTheme="majorHAnsi" w:eastAsia="Times New Roman" w:hAnsiTheme="majorHAnsi"/>
          <w:szCs w:val="20"/>
          <w:lang w:val="es-US" w:eastAsia="es-ES"/>
        </w:rPr>
        <w:footnoteReference w:id="130"/>
      </w:r>
      <w:r w:rsidR="0013380B" w:rsidRPr="00930562">
        <w:rPr>
          <w:rFonts w:asciiTheme="majorHAnsi" w:eastAsia="Times New Roman" w:hAnsiTheme="majorHAnsi"/>
          <w:szCs w:val="20"/>
          <w:lang w:val="es-US" w:eastAsia="es-ES"/>
        </w:rPr>
        <w:t xml:space="preserve"> </w:t>
      </w:r>
      <w:r w:rsidRPr="00930562">
        <w:rPr>
          <w:rFonts w:asciiTheme="majorHAnsi" w:eastAsia="Times New Roman" w:hAnsiTheme="majorHAnsi"/>
          <w:szCs w:val="20"/>
          <w:lang w:val="es-US" w:eastAsia="es-ES"/>
        </w:rPr>
        <w:t xml:space="preserve">Es </w:t>
      </w:r>
      <w:r w:rsidR="0013380B" w:rsidRPr="00930562">
        <w:rPr>
          <w:rFonts w:asciiTheme="majorHAnsi" w:eastAsia="Times New Roman" w:hAnsiTheme="majorHAnsi"/>
          <w:szCs w:val="20"/>
          <w:lang w:val="es-US" w:eastAsia="es-ES"/>
        </w:rPr>
        <w:t>important</w:t>
      </w:r>
      <w:r w:rsidRPr="00930562">
        <w:rPr>
          <w:rFonts w:asciiTheme="majorHAnsi" w:eastAsia="Times New Roman" w:hAnsiTheme="majorHAnsi"/>
          <w:szCs w:val="20"/>
          <w:lang w:val="es-US" w:eastAsia="es-ES"/>
        </w:rPr>
        <w:t>e señalar que los perfiles raciales</w:t>
      </w:r>
      <w:r w:rsidR="002516CA" w:rsidRPr="00930562">
        <w:rPr>
          <w:rFonts w:asciiTheme="majorHAnsi" w:eastAsia="Times New Roman" w:hAnsiTheme="majorHAnsi"/>
          <w:szCs w:val="20"/>
          <w:lang w:val="es-US" w:eastAsia="es-ES"/>
        </w:rPr>
        <w:t xml:space="preserve"> también pueden verse agravados perfilando también sobre la base de otros factores intersectoriales, como la edad y la situación de pobreza. Por ejemplo, la Comisión también escuchó el testimonio de la sociedad civil de Florida respecto de cómo los niños de barrios de bajos ingresos se ven particularmente afectados por el alto número de detenciones de bicicletas y el aumento del número de multas de tránsito emitidas por la policía a afroamericanos.</w:t>
      </w:r>
      <w:r w:rsidR="0013380B" w:rsidRPr="00930562">
        <w:rPr>
          <w:rStyle w:val="FootnoteReference"/>
          <w:rFonts w:asciiTheme="majorHAnsi" w:eastAsia="Times New Roman" w:hAnsiTheme="majorHAnsi"/>
          <w:szCs w:val="20"/>
          <w:lang w:val="es-US" w:eastAsia="es-ES"/>
        </w:rPr>
        <w:footnoteReference w:id="131"/>
      </w:r>
      <w:r w:rsidR="0013380B" w:rsidRPr="00930562">
        <w:rPr>
          <w:rFonts w:asciiTheme="majorHAnsi" w:eastAsia="Times New Roman" w:hAnsiTheme="majorHAnsi"/>
          <w:szCs w:val="20"/>
          <w:lang w:val="es-US" w:eastAsia="es-ES"/>
        </w:rPr>
        <w:t xml:space="preserve"> </w:t>
      </w:r>
      <w:r w:rsidR="002516CA" w:rsidRPr="00930562">
        <w:rPr>
          <w:rFonts w:asciiTheme="majorHAnsi" w:eastAsia="Times New Roman" w:hAnsiTheme="majorHAnsi"/>
          <w:szCs w:val="20"/>
          <w:lang w:val="es-US" w:eastAsia="es-ES"/>
        </w:rPr>
        <w:t xml:space="preserve"> Las personas también pueden ser </w:t>
      </w:r>
      <w:r w:rsidR="00016B43" w:rsidRPr="00930562">
        <w:rPr>
          <w:rFonts w:asciiTheme="majorHAnsi" w:eastAsia="Times New Roman" w:hAnsiTheme="majorHAnsi"/>
          <w:szCs w:val="20"/>
          <w:lang w:val="es-US" w:eastAsia="es-ES"/>
        </w:rPr>
        <w:t>ob</w:t>
      </w:r>
      <w:r w:rsidR="002516CA" w:rsidRPr="00930562">
        <w:rPr>
          <w:rFonts w:asciiTheme="majorHAnsi" w:eastAsia="Times New Roman" w:hAnsiTheme="majorHAnsi"/>
          <w:szCs w:val="20"/>
          <w:lang w:val="es-US" w:eastAsia="es-ES"/>
        </w:rPr>
        <w:t xml:space="preserve">jeto </w:t>
      </w:r>
      <w:r w:rsidR="00016B43" w:rsidRPr="00930562">
        <w:rPr>
          <w:rFonts w:asciiTheme="majorHAnsi" w:eastAsia="Times New Roman" w:hAnsiTheme="majorHAnsi"/>
          <w:szCs w:val="20"/>
          <w:lang w:val="es-US" w:eastAsia="es-ES"/>
        </w:rPr>
        <w:t xml:space="preserve">de perfilamiento racial </w:t>
      </w:r>
      <w:r w:rsidR="002516CA" w:rsidRPr="00930562">
        <w:rPr>
          <w:rFonts w:asciiTheme="majorHAnsi" w:eastAsia="Times New Roman" w:hAnsiTheme="majorHAnsi"/>
          <w:szCs w:val="20"/>
          <w:lang w:val="es-US" w:eastAsia="es-ES"/>
        </w:rPr>
        <w:t>sobre la base de su origen nacional u origen nacional percibido y lengua materna. La Comisión recibió información de que los inmigrantes haitianos e hispanos pueden ser perfilados en función de su apariencia, color de piel y / o idioma hablado, y con frecuencia carecen de documentos de identidad, lo que los hace más vulnerables a los abusos policiales</w:t>
      </w:r>
      <w:r w:rsidR="0013380B" w:rsidRPr="00930562">
        <w:rPr>
          <w:rFonts w:asciiTheme="majorHAnsi" w:eastAsia="Times New Roman" w:hAnsiTheme="majorHAnsi"/>
          <w:szCs w:val="20"/>
          <w:lang w:val="es-US" w:eastAsia="es-ES"/>
        </w:rPr>
        <w:t>.</w:t>
      </w:r>
      <w:r w:rsidR="0013380B" w:rsidRPr="00930562">
        <w:rPr>
          <w:rStyle w:val="FootnoteReference"/>
          <w:rFonts w:asciiTheme="majorHAnsi" w:eastAsia="Times New Roman" w:hAnsiTheme="majorHAnsi"/>
          <w:szCs w:val="20"/>
          <w:lang w:val="es-US" w:eastAsia="es-ES"/>
        </w:rPr>
        <w:footnoteReference w:id="132"/>
      </w:r>
    </w:p>
    <w:p w14:paraId="6B7F8D9D" w14:textId="5BF06B69" w:rsidR="0013380B" w:rsidRPr="00930562" w:rsidRDefault="00CB0AD7" w:rsidP="00724857">
      <w:pPr>
        <w:pStyle w:val="ListParagraph"/>
        <w:numPr>
          <w:ilvl w:val="0"/>
          <w:numId w:val="2"/>
        </w:numPr>
        <w:spacing w:after="240" w:line="240" w:lineRule="auto"/>
        <w:ind w:left="547" w:hanging="547"/>
        <w:contextualSpacing w:val="0"/>
        <w:jc w:val="both"/>
        <w:rPr>
          <w:rFonts w:asciiTheme="majorHAnsi" w:eastAsia="Times New Roman" w:hAnsiTheme="majorHAnsi"/>
          <w:szCs w:val="20"/>
          <w:lang w:val="es-US" w:eastAsia="es-ES"/>
        </w:rPr>
      </w:pPr>
      <w:bookmarkStart w:id="66" w:name="_Ref507411660"/>
      <w:r w:rsidRPr="00930562">
        <w:rPr>
          <w:rFonts w:asciiTheme="majorHAnsi" w:eastAsia="Times New Roman" w:hAnsiTheme="majorHAnsi"/>
          <w:szCs w:val="20"/>
          <w:lang w:val="es-US" w:eastAsia="es-ES"/>
        </w:rPr>
        <w:t xml:space="preserve">La Comisión toma nota de información que indica la necesidad urgente de realizar más estudios sobre el impacto de los perfiles raciales en sus víctimas. Por ejemplo, </w:t>
      </w:r>
      <w:r w:rsidR="006247C7" w:rsidRPr="00930562">
        <w:rPr>
          <w:rFonts w:asciiTheme="majorHAnsi" w:eastAsia="Times New Roman" w:hAnsiTheme="majorHAnsi"/>
          <w:szCs w:val="20"/>
          <w:lang w:val="es-US" w:eastAsia="es-ES"/>
        </w:rPr>
        <w:t xml:space="preserve"> estudios existentes </w:t>
      </w:r>
      <w:r w:rsidRPr="00930562">
        <w:rPr>
          <w:rFonts w:asciiTheme="majorHAnsi" w:eastAsia="Times New Roman" w:hAnsiTheme="majorHAnsi"/>
          <w:szCs w:val="20"/>
          <w:lang w:val="es-US" w:eastAsia="es-ES"/>
        </w:rPr>
        <w:t>indican que la detención de la policía induce a las personas a evitar posteriormente el uso de los servicios públicos por temor a un contacto policial adicional, e incluso puede disminuir la participación electoral en barrios enteros.</w:t>
      </w:r>
      <w:r w:rsidR="0013380B" w:rsidRPr="00930562">
        <w:rPr>
          <w:rStyle w:val="FootnoteReference"/>
          <w:rFonts w:asciiTheme="majorHAnsi" w:eastAsia="Times New Roman" w:hAnsiTheme="majorHAnsi"/>
          <w:szCs w:val="20"/>
          <w:lang w:val="es-US" w:eastAsia="es-ES"/>
        </w:rPr>
        <w:footnoteReference w:id="133"/>
      </w:r>
      <w:r w:rsidR="0013380B" w:rsidRPr="00930562">
        <w:rPr>
          <w:rFonts w:asciiTheme="majorHAnsi" w:eastAsia="Times New Roman" w:hAnsiTheme="majorHAnsi"/>
          <w:szCs w:val="20"/>
          <w:lang w:val="es-US" w:eastAsia="es-ES"/>
        </w:rPr>
        <w:t xml:space="preserve"> </w:t>
      </w:r>
      <w:r w:rsidRPr="00930562">
        <w:rPr>
          <w:rFonts w:asciiTheme="majorHAnsi" w:eastAsia="Times New Roman" w:hAnsiTheme="majorHAnsi"/>
          <w:szCs w:val="20"/>
          <w:lang w:val="es-US" w:eastAsia="es-ES"/>
        </w:rPr>
        <w:t>Otro concluyó que los varones adolescent</w:t>
      </w:r>
      <w:r w:rsidR="00000625" w:rsidRPr="00930562">
        <w:rPr>
          <w:rFonts w:asciiTheme="majorHAnsi" w:eastAsia="Times New Roman" w:hAnsiTheme="majorHAnsi"/>
          <w:szCs w:val="20"/>
          <w:lang w:val="es-US" w:eastAsia="es-ES"/>
        </w:rPr>
        <w:t>e</w:t>
      </w:r>
      <w:r w:rsidRPr="00930562">
        <w:rPr>
          <w:rFonts w:asciiTheme="majorHAnsi" w:eastAsia="Times New Roman" w:hAnsiTheme="majorHAnsi"/>
          <w:szCs w:val="20"/>
          <w:lang w:val="es-US" w:eastAsia="es-ES"/>
        </w:rPr>
        <w:t xml:space="preserve">s que fueron detenidos por la policía sin haber incumplido la ley </w:t>
      </w:r>
      <w:r w:rsidR="00000625" w:rsidRPr="00930562">
        <w:rPr>
          <w:rFonts w:asciiTheme="majorHAnsi" w:eastAsia="Times New Roman" w:hAnsiTheme="majorHAnsi"/>
          <w:szCs w:val="20"/>
          <w:lang w:val="es-US" w:eastAsia="es-ES"/>
        </w:rPr>
        <w:t>tenían</w:t>
      </w:r>
      <w:r w:rsidRPr="00930562">
        <w:rPr>
          <w:rFonts w:asciiTheme="majorHAnsi" w:eastAsia="Times New Roman" w:hAnsiTheme="majorHAnsi"/>
          <w:szCs w:val="20"/>
          <w:lang w:val="es-US" w:eastAsia="es-ES"/>
        </w:rPr>
        <w:t xml:space="preserve"> más </w:t>
      </w:r>
      <w:r w:rsidR="00000625" w:rsidRPr="00930562">
        <w:rPr>
          <w:rFonts w:asciiTheme="majorHAnsi" w:eastAsia="Times New Roman" w:hAnsiTheme="majorHAnsi"/>
          <w:szCs w:val="20"/>
          <w:lang w:val="es-US" w:eastAsia="es-ES"/>
        </w:rPr>
        <w:t>probabilidades de involucrase en actividades ilegales en el futuro.</w:t>
      </w:r>
      <w:r w:rsidR="0013380B" w:rsidRPr="00930562">
        <w:rPr>
          <w:rStyle w:val="FootnoteReference"/>
          <w:rFonts w:asciiTheme="majorHAnsi" w:eastAsia="Times New Roman" w:hAnsiTheme="majorHAnsi"/>
          <w:szCs w:val="20"/>
          <w:lang w:val="es-US" w:eastAsia="es-ES"/>
        </w:rPr>
        <w:footnoteReference w:id="134"/>
      </w:r>
      <w:r w:rsidR="004B7EDD" w:rsidRPr="00930562">
        <w:rPr>
          <w:rFonts w:asciiTheme="majorHAnsi" w:eastAsia="Times New Roman" w:hAnsiTheme="majorHAnsi"/>
          <w:szCs w:val="20"/>
          <w:lang w:val="es-US" w:eastAsia="es-ES"/>
        </w:rPr>
        <w:t xml:space="preserve"> Habida cuenta de los indicios que </w:t>
      </w:r>
      <w:r w:rsidR="006247C7" w:rsidRPr="00930562">
        <w:rPr>
          <w:rFonts w:asciiTheme="majorHAnsi" w:eastAsia="Times New Roman" w:hAnsiTheme="majorHAnsi"/>
          <w:szCs w:val="20"/>
          <w:lang w:val="es-US" w:eastAsia="es-ES"/>
        </w:rPr>
        <w:t xml:space="preserve">señalan </w:t>
      </w:r>
      <w:r w:rsidR="004B7EDD" w:rsidRPr="00930562">
        <w:rPr>
          <w:rFonts w:asciiTheme="majorHAnsi" w:eastAsia="Times New Roman" w:hAnsiTheme="majorHAnsi"/>
          <w:szCs w:val="20"/>
          <w:lang w:val="es-US" w:eastAsia="es-ES"/>
        </w:rPr>
        <w:t xml:space="preserve">que el impacto de los perfiles raciales en las comunidades es </w:t>
      </w:r>
      <w:r w:rsidR="006247C7" w:rsidRPr="00930562">
        <w:rPr>
          <w:rFonts w:asciiTheme="majorHAnsi" w:eastAsia="Times New Roman" w:hAnsiTheme="majorHAnsi"/>
          <w:szCs w:val="20"/>
          <w:lang w:val="es-US" w:eastAsia="es-ES"/>
        </w:rPr>
        <w:t xml:space="preserve">extenso  </w:t>
      </w:r>
      <w:r w:rsidR="004B7EDD" w:rsidRPr="00930562">
        <w:rPr>
          <w:rFonts w:asciiTheme="majorHAnsi" w:eastAsia="Times New Roman" w:hAnsiTheme="majorHAnsi"/>
          <w:szCs w:val="20"/>
          <w:lang w:val="es-US" w:eastAsia="es-ES"/>
        </w:rPr>
        <w:t xml:space="preserve">y profundo, la Comisión considera que es necesario que el Estado amplíe estos estudios a fin de formular adecuadamente políticas que </w:t>
      </w:r>
      <w:r w:rsidR="006247C7" w:rsidRPr="00930562">
        <w:rPr>
          <w:rFonts w:asciiTheme="majorHAnsi" w:eastAsia="Times New Roman" w:hAnsiTheme="majorHAnsi"/>
          <w:szCs w:val="20"/>
          <w:lang w:val="es-US" w:eastAsia="es-ES"/>
        </w:rPr>
        <w:t xml:space="preserve">prevengan </w:t>
      </w:r>
      <w:r w:rsidR="004B7EDD" w:rsidRPr="00930562">
        <w:rPr>
          <w:rFonts w:asciiTheme="majorHAnsi" w:eastAsia="Times New Roman" w:hAnsiTheme="majorHAnsi"/>
          <w:szCs w:val="20"/>
          <w:lang w:val="es-US" w:eastAsia="es-ES"/>
        </w:rPr>
        <w:t xml:space="preserve">la discriminación racial y solucione sus efectos. </w:t>
      </w:r>
      <w:bookmarkEnd w:id="66"/>
    </w:p>
    <w:p w14:paraId="278FC253" w14:textId="7500D978" w:rsidR="0013380B" w:rsidRPr="00930562" w:rsidRDefault="003E3D03" w:rsidP="00724857">
      <w:pPr>
        <w:pStyle w:val="ListParagraph"/>
        <w:numPr>
          <w:ilvl w:val="0"/>
          <w:numId w:val="2"/>
        </w:numPr>
        <w:spacing w:after="240" w:line="240" w:lineRule="auto"/>
        <w:ind w:left="547" w:hanging="547"/>
        <w:contextualSpacing w:val="0"/>
        <w:jc w:val="both"/>
        <w:rPr>
          <w:rFonts w:asciiTheme="majorHAnsi" w:eastAsia="Times New Roman" w:hAnsiTheme="majorHAnsi"/>
          <w:szCs w:val="20"/>
          <w:lang w:val="es-US" w:eastAsia="es-ES"/>
        </w:rPr>
      </w:pPr>
      <w:bookmarkStart w:id="67" w:name="_Ref507084368"/>
      <w:r w:rsidRPr="00930562">
        <w:rPr>
          <w:rFonts w:asciiTheme="majorHAnsi" w:eastAsia="Times New Roman" w:hAnsiTheme="majorHAnsi"/>
          <w:szCs w:val="20"/>
          <w:lang w:val="es-US" w:eastAsia="es-ES"/>
        </w:rPr>
        <w:lastRenderedPageBreak/>
        <w:t>A través de sus audiencias públicas y sistemas de monitoreo, la</w:t>
      </w:r>
      <w:r w:rsidR="0013380B" w:rsidRPr="00930562">
        <w:rPr>
          <w:rFonts w:asciiTheme="majorHAnsi" w:eastAsia="Times New Roman" w:hAnsiTheme="majorHAnsi"/>
          <w:szCs w:val="20"/>
          <w:lang w:val="es-US" w:eastAsia="es-ES"/>
        </w:rPr>
        <w:t xml:space="preserve"> Comisi</w:t>
      </w:r>
      <w:r w:rsidRPr="00930562">
        <w:rPr>
          <w:rFonts w:asciiTheme="majorHAnsi" w:eastAsia="Times New Roman" w:hAnsiTheme="majorHAnsi"/>
          <w:szCs w:val="20"/>
          <w:lang w:val="es-US" w:eastAsia="es-ES"/>
        </w:rPr>
        <w:t xml:space="preserve">ón recibió </w:t>
      </w:r>
      <w:r w:rsidR="0013380B" w:rsidRPr="00930562">
        <w:rPr>
          <w:rFonts w:asciiTheme="majorHAnsi" w:eastAsia="Times New Roman" w:hAnsiTheme="majorHAnsi"/>
          <w:szCs w:val="20"/>
          <w:lang w:val="es-US" w:eastAsia="es-ES"/>
        </w:rPr>
        <w:t>informa</w:t>
      </w:r>
      <w:r w:rsidRPr="00930562">
        <w:rPr>
          <w:rFonts w:asciiTheme="majorHAnsi" w:eastAsia="Times New Roman" w:hAnsiTheme="majorHAnsi"/>
          <w:szCs w:val="20"/>
          <w:lang w:val="es-US" w:eastAsia="es-ES"/>
        </w:rPr>
        <w:t>c</w:t>
      </w:r>
      <w:r w:rsidR="0013380B" w:rsidRPr="00930562">
        <w:rPr>
          <w:rFonts w:asciiTheme="majorHAnsi" w:eastAsia="Times New Roman" w:hAnsiTheme="majorHAnsi"/>
          <w:szCs w:val="20"/>
          <w:lang w:val="es-US" w:eastAsia="es-ES"/>
        </w:rPr>
        <w:t>i</w:t>
      </w:r>
      <w:r w:rsidRPr="00930562">
        <w:rPr>
          <w:rFonts w:asciiTheme="majorHAnsi" w:eastAsia="Times New Roman" w:hAnsiTheme="majorHAnsi"/>
          <w:szCs w:val="20"/>
          <w:lang w:val="es-US" w:eastAsia="es-ES"/>
        </w:rPr>
        <w:t>ó</w:t>
      </w:r>
      <w:r w:rsidR="0013380B" w:rsidRPr="00930562">
        <w:rPr>
          <w:rFonts w:asciiTheme="majorHAnsi" w:eastAsia="Times New Roman" w:hAnsiTheme="majorHAnsi"/>
          <w:szCs w:val="20"/>
          <w:lang w:val="es-US" w:eastAsia="es-ES"/>
        </w:rPr>
        <w:t>n</w:t>
      </w:r>
      <w:r w:rsidR="0013380B" w:rsidRPr="00930562">
        <w:rPr>
          <w:rStyle w:val="FootnoteReference"/>
          <w:rFonts w:asciiTheme="majorHAnsi" w:hAnsiTheme="majorHAnsi" w:cstheme="minorHAnsi"/>
          <w:szCs w:val="20"/>
          <w:shd w:val="clear" w:color="auto" w:fill="FFFFFF"/>
          <w:lang w:val="es-US"/>
        </w:rPr>
        <w:footnoteReference w:id="135"/>
      </w:r>
      <w:r w:rsidR="0013380B" w:rsidRPr="00930562">
        <w:rPr>
          <w:rFonts w:asciiTheme="majorHAnsi" w:eastAsia="Times New Roman" w:hAnsiTheme="majorHAnsi"/>
          <w:szCs w:val="20"/>
          <w:lang w:val="es-US" w:eastAsia="es-ES"/>
        </w:rPr>
        <w:t xml:space="preserve"> </w:t>
      </w:r>
      <w:r w:rsidRPr="00930562">
        <w:rPr>
          <w:rFonts w:asciiTheme="majorHAnsi" w:eastAsia="Times New Roman" w:hAnsiTheme="majorHAnsi"/>
          <w:szCs w:val="20"/>
          <w:lang w:val="es-US" w:eastAsia="es-ES"/>
        </w:rPr>
        <w:t>sobre la política “</w:t>
      </w:r>
      <w:r w:rsidRPr="00930562">
        <w:rPr>
          <w:rFonts w:asciiTheme="majorHAnsi" w:eastAsia="Times New Roman" w:hAnsiTheme="majorHAnsi"/>
          <w:i/>
          <w:szCs w:val="20"/>
          <w:lang w:val="es-US" w:eastAsia="es-ES"/>
        </w:rPr>
        <w:t xml:space="preserve">Stop, Question, </w:t>
      </w:r>
      <w:r w:rsidRPr="00930562">
        <w:rPr>
          <w:rFonts w:asciiTheme="majorHAnsi" w:eastAsia="Times New Roman" w:hAnsiTheme="majorHAnsi"/>
          <w:szCs w:val="20"/>
          <w:lang w:val="es-US" w:eastAsia="es-ES"/>
        </w:rPr>
        <w:t>and</w:t>
      </w:r>
      <w:r w:rsidRPr="00930562">
        <w:rPr>
          <w:rFonts w:asciiTheme="majorHAnsi" w:eastAsia="Times New Roman" w:hAnsiTheme="majorHAnsi"/>
          <w:i/>
          <w:szCs w:val="20"/>
          <w:lang w:val="es-US" w:eastAsia="es-ES"/>
        </w:rPr>
        <w:t xml:space="preserve"> Frisk</w:t>
      </w:r>
      <w:r w:rsidRPr="00930562">
        <w:rPr>
          <w:rFonts w:asciiTheme="majorHAnsi" w:eastAsia="Times New Roman" w:hAnsiTheme="majorHAnsi"/>
          <w:szCs w:val="20"/>
          <w:lang w:val="es-US" w:eastAsia="es-ES"/>
        </w:rPr>
        <w:t>” (“Parar, Preguntar y Cachear”)</w:t>
      </w:r>
      <w:r w:rsidR="00906EC2" w:rsidRPr="00930562">
        <w:rPr>
          <w:rFonts w:asciiTheme="majorHAnsi" w:eastAsia="Times New Roman" w:hAnsiTheme="majorHAnsi"/>
          <w:szCs w:val="20"/>
          <w:lang w:val="es-US" w:eastAsia="es-ES"/>
        </w:rPr>
        <w:t xml:space="preserve"> </w:t>
      </w:r>
      <w:r w:rsidRPr="00930562">
        <w:rPr>
          <w:rFonts w:asciiTheme="majorHAnsi" w:eastAsia="Times New Roman" w:hAnsiTheme="majorHAnsi"/>
          <w:szCs w:val="20"/>
          <w:lang w:val="es-US" w:eastAsia="es-ES"/>
        </w:rPr>
        <w:t xml:space="preserve">del Departamento de Policía de Nueva York </w:t>
      </w:r>
      <w:r w:rsidR="0013380B" w:rsidRPr="00930562">
        <w:rPr>
          <w:rFonts w:asciiTheme="majorHAnsi" w:eastAsia="Times New Roman" w:hAnsiTheme="majorHAnsi"/>
          <w:szCs w:val="20"/>
          <w:lang w:val="es-US" w:eastAsia="es-ES"/>
        </w:rPr>
        <w:t>(NYPD)</w:t>
      </w:r>
      <w:r w:rsidRPr="00930562">
        <w:rPr>
          <w:rFonts w:asciiTheme="majorHAnsi" w:eastAsia="Times New Roman" w:hAnsiTheme="majorHAnsi"/>
          <w:szCs w:val="20"/>
          <w:lang w:val="es-US" w:eastAsia="es-ES"/>
        </w:rPr>
        <w:t xml:space="preserve">, adoptada por primera vez en la década de 1990, que </w:t>
      </w:r>
      <w:r w:rsidR="00420183" w:rsidRPr="00930562">
        <w:rPr>
          <w:rFonts w:asciiTheme="majorHAnsi" w:eastAsia="Times New Roman" w:hAnsiTheme="majorHAnsi"/>
          <w:szCs w:val="20"/>
          <w:lang w:val="es-US" w:eastAsia="es-ES"/>
        </w:rPr>
        <w:t>incluye</w:t>
      </w:r>
      <w:r w:rsidRPr="00930562">
        <w:rPr>
          <w:rFonts w:asciiTheme="majorHAnsi" w:eastAsia="Times New Roman" w:hAnsiTheme="majorHAnsi"/>
          <w:szCs w:val="20"/>
          <w:lang w:val="es-US" w:eastAsia="es-ES"/>
        </w:rPr>
        <w:t xml:space="preserve"> la detención temporal, el interrogatorio y a veces</w:t>
      </w:r>
      <w:r w:rsidR="00420183" w:rsidRPr="00930562">
        <w:rPr>
          <w:rFonts w:asciiTheme="majorHAnsi" w:eastAsia="Times New Roman" w:hAnsiTheme="majorHAnsi"/>
          <w:szCs w:val="20"/>
          <w:lang w:val="es-US" w:eastAsia="es-ES"/>
        </w:rPr>
        <w:t xml:space="preserve"> </w:t>
      </w:r>
      <w:r w:rsidR="006247C7" w:rsidRPr="00930562">
        <w:rPr>
          <w:rFonts w:asciiTheme="majorHAnsi" w:eastAsia="Times New Roman" w:hAnsiTheme="majorHAnsi"/>
          <w:szCs w:val="20"/>
          <w:lang w:val="es-US" w:eastAsia="es-ES"/>
        </w:rPr>
        <w:t xml:space="preserve">la pesquisa </w:t>
      </w:r>
      <w:r w:rsidR="00420183" w:rsidRPr="00930562">
        <w:rPr>
          <w:rFonts w:asciiTheme="majorHAnsi" w:eastAsia="Times New Roman" w:hAnsiTheme="majorHAnsi"/>
          <w:szCs w:val="20"/>
          <w:lang w:val="es-US" w:eastAsia="es-ES"/>
        </w:rPr>
        <w:t xml:space="preserve">de la población civil en la calle en búsqueda de </w:t>
      </w:r>
      <w:r w:rsidRPr="00930562">
        <w:rPr>
          <w:rFonts w:asciiTheme="majorHAnsi" w:eastAsia="Times New Roman" w:hAnsiTheme="majorHAnsi"/>
          <w:szCs w:val="20"/>
          <w:lang w:val="es-US" w:eastAsia="es-ES"/>
        </w:rPr>
        <w:t xml:space="preserve">armas y </w:t>
      </w:r>
      <w:r w:rsidR="00420183" w:rsidRPr="00930562">
        <w:rPr>
          <w:rFonts w:asciiTheme="majorHAnsi" w:eastAsia="Times New Roman" w:hAnsiTheme="majorHAnsi"/>
          <w:szCs w:val="20"/>
          <w:lang w:val="es-US" w:eastAsia="es-ES"/>
        </w:rPr>
        <w:t xml:space="preserve">otras formas de </w:t>
      </w:r>
      <w:r w:rsidRPr="00930562">
        <w:rPr>
          <w:rFonts w:asciiTheme="majorHAnsi" w:eastAsia="Times New Roman" w:hAnsiTheme="majorHAnsi"/>
          <w:szCs w:val="20"/>
          <w:lang w:val="es-US" w:eastAsia="es-ES"/>
        </w:rPr>
        <w:t>contrabando</w:t>
      </w:r>
      <w:r w:rsidR="00420183" w:rsidRPr="00930562">
        <w:rPr>
          <w:rFonts w:asciiTheme="majorHAnsi" w:eastAsia="Times New Roman" w:hAnsiTheme="majorHAnsi"/>
          <w:szCs w:val="20"/>
          <w:lang w:val="es-US" w:eastAsia="es-ES"/>
        </w:rPr>
        <w:t>.</w:t>
      </w:r>
      <w:r w:rsidR="0013380B" w:rsidRPr="00930562">
        <w:rPr>
          <w:rStyle w:val="FootnoteReference"/>
          <w:rFonts w:asciiTheme="majorHAnsi" w:hAnsiTheme="majorHAnsi" w:cs="Arial"/>
          <w:szCs w:val="20"/>
          <w:lang w:val="es-US"/>
        </w:rPr>
        <w:footnoteReference w:id="136"/>
      </w:r>
      <w:r w:rsidR="00420183" w:rsidRPr="00930562">
        <w:rPr>
          <w:rFonts w:asciiTheme="majorHAnsi" w:eastAsia="Times New Roman" w:hAnsiTheme="majorHAnsi"/>
          <w:szCs w:val="20"/>
          <w:lang w:val="es-US" w:eastAsia="es-ES"/>
        </w:rPr>
        <w:t xml:space="preserve"> La información disponible indica que esta política ha sido ineficaz para reducir la criminalidad</w:t>
      </w:r>
      <w:r w:rsidR="00420183" w:rsidRPr="00930562">
        <w:rPr>
          <w:rStyle w:val="FootnoteReference"/>
          <w:rFonts w:asciiTheme="majorHAnsi" w:eastAsia="Times New Roman" w:hAnsiTheme="majorHAnsi"/>
          <w:szCs w:val="20"/>
          <w:lang w:val="es-US" w:eastAsia="es-ES"/>
        </w:rPr>
        <w:footnoteReference w:id="137"/>
      </w:r>
      <w:r w:rsidR="00420183" w:rsidRPr="00930562">
        <w:rPr>
          <w:rFonts w:asciiTheme="majorHAnsi" w:eastAsia="Times New Roman" w:hAnsiTheme="majorHAnsi"/>
          <w:szCs w:val="20"/>
          <w:lang w:val="es-US" w:eastAsia="es-ES"/>
        </w:rPr>
        <w:t xml:space="preserve"> y ha tenido un claro impacto discriminatorio en grupos históricamente marginados, incluidos los afroamericanos.</w:t>
      </w:r>
      <w:r w:rsidR="0013380B" w:rsidRPr="00930562">
        <w:rPr>
          <w:rFonts w:asciiTheme="majorHAnsi" w:eastAsia="Times New Roman" w:hAnsiTheme="majorHAnsi"/>
          <w:szCs w:val="20"/>
          <w:lang w:val="es-US" w:eastAsia="es-ES"/>
        </w:rPr>
        <w:t xml:space="preserve"> </w:t>
      </w:r>
      <w:r w:rsidR="00420183" w:rsidRPr="00930562">
        <w:rPr>
          <w:rFonts w:asciiTheme="majorHAnsi" w:eastAsia="Times New Roman" w:hAnsiTheme="majorHAnsi"/>
          <w:szCs w:val="20"/>
          <w:lang w:val="es-US" w:eastAsia="es-ES"/>
        </w:rPr>
        <w:t>Además</w:t>
      </w:r>
      <w:r w:rsidR="005E7374" w:rsidRPr="00930562">
        <w:rPr>
          <w:rFonts w:asciiTheme="majorHAnsi" w:eastAsia="Times New Roman" w:hAnsiTheme="majorHAnsi"/>
          <w:szCs w:val="20"/>
          <w:lang w:val="es-US" w:eastAsia="es-ES"/>
        </w:rPr>
        <w:t>,</w:t>
      </w:r>
      <w:r w:rsidR="00420183" w:rsidRPr="00930562">
        <w:rPr>
          <w:rFonts w:asciiTheme="majorHAnsi" w:eastAsia="Times New Roman" w:hAnsiTheme="majorHAnsi"/>
          <w:szCs w:val="20"/>
          <w:lang w:val="es-US" w:eastAsia="es-ES"/>
        </w:rPr>
        <w:t xml:space="preserve"> el programa se caracteriza por llevar adelante excesivos controles en ciertos barrios y grupos. Por ejemplo, una investigación concluyó que cerca del 85 por ciento de una muestra de citaciones emitidas en la ciudad de Nueva York entre 2002 y 2012 fueron emitidas a afroamericanos y latin</w:t>
      </w:r>
      <w:r w:rsidR="00976517" w:rsidRPr="00930562">
        <w:rPr>
          <w:rFonts w:asciiTheme="majorHAnsi" w:eastAsia="Times New Roman" w:hAnsiTheme="majorHAnsi"/>
          <w:szCs w:val="20"/>
          <w:lang w:val="es-US" w:eastAsia="es-ES"/>
        </w:rPr>
        <w:t>o</w:t>
      </w:r>
      <w:r w:rsidR="00420183" w:rsidRPr="00930562">
        <w:rPr>
          <w:rFonts w:asciiTheme="majorHAnsi" w:eastAsia="Times New Roman" w:hAnsiTheme="majorHAnsi"/>
          <w:szCs w:val="20"/>
          <w:lang w:val="es-US" w:eastAsia="es-ES"/>
        </w:rPr>
        <w:t>s</w:t>
      </w:r>
      <w:r w:rsidR="0013380B" w:rsidRPr="00930562">
        <w:rPr>
          <w:rFonts w:asciiTheme="majorHAnsi" w:eastAsia="Times New Roman" w:hAnsiTheme="majorHAnsi"/>
          <w:szCs w:val="20"/>
          <w:lang w:val="es-US" w:eastAsia="es-ES"/>
        </w:rPr>
        <w:t>.</w:t>
      </w:r>
      <w:r w:rsidR="0013380B" w:rsidRPr="00930562">
        <w:rPr>
          <w:rStyle w:val="FootnoteReference"/>
          <w:rFonts w:asciiTheme="majorHAnsi" w:eastAsia="Times New Roman" w:hAnsiTheme="majorHAnsi"/>
          <w:szCs w:val="20"/>
          <w:lang w:val="es-US" w:eastAsia="es-ES"/>
        </w:rPr>
        <w:footnoteReference w:id="138"/>
      </w:r>
      <w:r w:rsidR="0013380B" w:rsidRPr="00930562">
        <w:rPr>
          <w:rFonts w:asciiTheme="majorHAnsi" w:eastAsia="Times New Roman" w:hAnsiTheme="majorHAnsi"/>
          <w:szCs w:val="20"/>
          <w:lang w:val="es-US" w:eastAsia="es-ES"/>
        </w:rPr>
        <w:t xml:space="preserve"> </w:t>
      </w:r>
      <w:r w:rsidR="00976517" w:rsidRPr="00930562">
        <w:rPr>
          <w:rFonts w:asciiTheme="majorHAnsi" w:hAnsiTheme="majorHAnsi" w:cs="Arial"/>
          <w:szCs w:val="20"/>
          <w:lang w:val="es-US"/>
        </w:rPr>
        <w:t>En</w:t>
      </w:r>
      <w:r w:rsidR="0013380B" w:rsidRPr="00930562">
        <w:rPr>
          <w:rFonts w:asciiTheme="majorHAnsi" w:hAnsiTheme="majorHAnsi" w:cs="Arial"/>
          <w:szCs w:val="20"/>
          <w:lang w:val="es-US"/>
        </w:rPr>
        <w:t xml:space="preserve"> 2013, </w:t>
      </w:r>
      <w:r w:rsidR="00976517" w:rsidRPr="00930562">
        <w:rPr>
          <w:rFonts w:asciiTheme="majorHAnsi" w:hAnsiTheme="majorHAnsi" w:cs="Arial"/>
          <w:szCs w:val="20"/>
          <w:lang w:val="es-US"/>
        </w:rPr>
        <w:t>un juez federal dictaminó que el programa era inconstitucional y nombró a un observador independiente para que lleve adelante la supervisión de una serie de reformas</w:t>
      </w:r>
      <w:r w:rsidR="0013380B" w:rsidRPr="00930562">
        <w:rPr>
          <w:rFonts w:asciiTheme="majorHAnsi" w:hAnsiTheme="majorHAnsi" w:cs="Arial"/>
          <w:szCs w:val="20"/>
          <w:lang w:val="es-US"/>
        </w:rPr>
        <w:t>.</w:t>
      </w:r>
      <w:r w:rsidR="0013380B" w:rsidRPr="00930562">
        <w:rPr>
          <w:rStyle w:val="FootnoteReference"/>
          <w:rFonts w:asciiTheme="majorHAnsi" w:hAnsiTheme="majorHAnsi" w:cs="Arial"/>
          <w:szCs w:val="20"/>
          <w:lang w:val="es-US"/>
        </w:rPr>
        <w:footnoteReference w:id="139"/>
      </w:r>
      <w:r w:rsidR="0013380B" w:rsidRPr="00930562">
        <w:rPr>
          <w:rFonts w:asciiTheme="majorHAnsi" w:hAnsiTheme="majorHAnsi" w:cs="Arial"/>
          <w:szCs w:val="20"/>
          <w:lang w:val="es-US"/>
        </w:rPr>
        <w:t xml:space="preserve"> </w:t>
      </w:r>
      <w:r w:rsidR="00976517" w:rsidRPr="00930562">
        <w:rPr>
          <w:rFonts w:asciiTheme="majorHAnsi" w:hAnsiTheme="majorHAnsi" w:cs="Arial"/>
          <w:szCs w:val="20"/>
          <w:lang w:val="es-US"/>
        </w:rPr>
        <w:t xml:space="preserve">  En su pico máximo en 2011, el NYPD realizó 685.724 detenciones bajo esta política; desde entonces, esta cifra ha caído a 12.404 paradas de acuerdo con la política e</w:t>
      </w:r>
      <w:r w:rsidR="006247C7" w:rsidRPr="00930562">
        <w:rPr>
          <w:rFonts w:asciiTheme="majorHAnsi" w:hAnsiTheme="majorHAnsi" w:cs="Arial"/>
          <w:szCs w:val="20"/>
          <w:lang w:val="es-US"/>
        </w:rPr>
        <w:t>n</w:t>
      </w:r>
      <w:r w:rsidR="00976517" w:rsidRPr="00930562">
        <w:rPr>
          <w:rFonts w:asciiTheme="majorHAnsi" w:hAnsiTheme="majorHAnsi" w:cs="Arial"/>
          <w:szCs w:val="20"/>
          <w:lang w:val="es-US"/>
        </w:rPr>
        <w:t xml:space="preserve"> 2016, el año calendario más reciente sobre el que hay datos disponibles.</w:t>
      </w:r>
      <w:r w:rsidR="00976517" w:rsidRPr="00930562">
        <w:rPr>
          <w:rStyle w:val="FootnoteReference"/>
          <w:rFonts w:asciiTheme="majorHAnsi" w:hAnsiTheme="majorHAnsi" w:cs="Arial"/>
          <w:szCs w:val="20"/>
          <w:lang w:val="es-US"/>
        </w:rPr>
        <w:footnoteReference w:id="140"/>
      </w:r>
      <w:r w:rsidR="00976517" w:rsidRPr="00930562">
        <w:rPr>
          <w:rFonts w:asciiTheme="majorHAnsi" w:hAnsiTheme="majorHAnsi" w:cs="Arial"/>
          <w:szCs w:val="20"/>
          <w:lang w:val="es-US"/>
        </w:rPr>
        <w:t xml:space="preserve"> Es </w:t>
      </w:r>
      <w:r w:rsidR="006247C7" w:rsidRPr="00930562">
        <w:rPr>
          <w:rFonts w:asciiTheme="majorHAnsi" w:hAnsiTheme="majorHAnsi" w:cs="Arial"/>
          <w:szCs w:val="20"/>
          <w:lang w:val="es-US"/>
        </w:rPr>
        <w:t xml:space="preserve">de notar </w:t>
      </w:r>
      <w:r w:rsidR="00976517" w:rsidRPr="00930562">
        <w:rPr>
          <w:rFonts w:asciiTheme="majorHAnsi" w:hAnsiTheme="majorHAnsi" w:cs="Arial"/>
          <w:szCs w:val="20"/>
          <w:lang w:val="es-US"/>
        </w:rPr>
        <w:t>que, incluso cuando el número total de detenciones ha disminuido drásticamente en los últimos seis años, no ocurr</w:t>
      </w:r>
      <w:r w:rsidR="006247C7" w:rsidRPr="00930562">
        <w:rPr>
          <w:rFonts w:asciiTheme="majorHAnsi" w:hAnsiTheme="majorHAnsi" w:cs="Arial"/>
          <w:szCs w:val="20"/>
          <w:lang w:val="es-US"/>
        </w:rPr>
        <w:t>e</w:t>
      </w:r>
      <w:r w:rsidR="00976517" w:rsidRPr="00930562">
        <w:rPr>
          <w:rFonts w:asciiTheme="majorHAnsi" w:hAnsiTheme="majorHAnsi" w:cs="Arial"/>
          <w:szCs w:val="20"/>
          <w:lang w:val="es-US"/>
        </w:rPr>
        <w:t xml:space="preserve"> lo mismo con las detenciones desproporcionadas a afroamericanos y latinos. En 2011 el </w:t>
      </w:r>
      <w:r w:rsidR="00976517" w:rsidRPr="00930562">
        <w:rPr>
          <w:rFonts w:asciiTheme="majorHAnsi" w:hAnsiTheme="majorHAnsi" w:cs="Arial"/>
          <w:szCs w:val="20"/>
          <w:lang w:val="es-US"/>
        </w:rPr>
        <w:lastRenderedPageBreak/>
        <w:t>53 por ciento de los detenidos eran afroamericanos</w:t>
      </w:r>
      <w:r w:rsidR="00976517" w:rsidRPr="00930562">
        <w:rPr>
          <w:rFonts w:asciiTheme="majorHAnsi" w:hAnsiTheme="majorHAnsi"/>
          <w:vertAlign w:val="superscript"/>
          <w:lang w:val="es-US" w:eastAsia="es-ES"/>
        </w:rPr>
        <w:footnoteReference w:id="141"/>
      </w:r>
      <w:r w:rsidR="00976517" w:rsidRPr="00930562">
        <w:rPr>
          <w:rFonts w:asciiTheme="majorHAnsi" w:hAnsiTheme="majorHAnsi" w:cs="Arial"/>
          <w:szCs w:val="20"/>
          <w:lang w:val="es-US"/>
        </w:rPr>
        <w:t xml:space="preserve"> y el 34 por ciento eran latinos. Estas cifras se han mantenido prácticamente iguales a través de los años; en 2016, el 52 por ciento de los neoyorquinos detenidos por la policía eran afroamericanos, a pesar de representar sólo el 25 por ciento de la población de la ciudad</w:t>
      </w:r>
      <w:r w:rsidR="00976517" w:rsidRPr="00930562">
        <w:rPr>
          <w:rFonts w:asciiTheme="majorHAnsi" w:hAnsiTheme="majorHAnsi"/>
          <w:vertAlign w:val="superscript"/>
          <w:lang w:val="es-US" w:eastAsia="es-ES"/>
        </w:rPr>
        <w:footnoteReference w:id="142"/>
      </w:r>
      <w:r w:rsidR="00976517" w:rsidRPr="00930562">
        <w:rPr>
          <w:rFonts w:asciiTheme="majorHAnsi" w:hAnsiTheme="majorHAnsi" w:cs="Arial"/>
          <w:szCs w:val="20"/>
          <w:lang w:val="es-US"/>
        </w:rPr>
        <w:t xml:space="preserve"> y durante el primer trimestre de 2017, el 57 por ciento de los detenidos eran afroamericanos y el 32 por ciento latinos.</w:t>
      </w:r>
      <w:r w:rsidR="0013380B" w:rsidRPr="00930562">
        <w:rPr>
          <w:rStyle w:val="FootnoteReference"/>
          <w:rFonts w:asciiTheme="majorHAnsi" w:eastAsia="Times New Roman" w:hAnsiTheme="majorHAnsi"/>
          <w:szCs w:val="20"/>
          <w:lang w:val="es-US" w:eastAsia="es-ES"/>
        </w:rPr>
        <w:footnoteReference w:id="143"/>
      </w:r>
      <w:bookmarkEnd w:id="67"/>
    </w:p>
    <w:p w14:paraId="2157FB38" w14:textId="3CA3B5D3" w:rsidR="0013380B" w:rsidRPr="00930562" w:rsidRDefault="00E25464" w:rsidP="00724857">
      <w:pPr>
        <w:pStyle w:val="ListParagraph"/>
        <w:numPr>
          <w:ilvl w:val="0"/>
          <w:numId w:val="2"/>
        </w:numPr>
        <w:spacing w:after="240" w:line="240" w:lineRule="auto"/>
        <w:ind w:left="547" w:hanging="547"/>
        <w:contextualSpacing w:val="0"/>
        <w:jc w:val="both"/>
        <w:rPr>
          <w:rFonts w:asciiTheme="majorHAnsi" w:eastAsia="Times New Roman" w:hAnsiTheme="majorHAnsi"/>
          <w:szCs w:val="20"/>
          <w:lang w:val="es-US" w:eastAsia="es-ES"/>
        </w:rPr>
      </w:pPr>
      <w:bookmarkStart w:id="68" w:name="_Ref507597159"/>
      <w:r w:rsidRPr="00930562">
        <w:rPr>
          <w:rFonts w:asciiTheme="majorHAnsi" w:eastAsia="MS Mincho" w:hAnsiTheme="majorHAnsi" w:cs="Calibri"/>
          <w:szCs w:val="20"/>
          <w:lang w:val="es-US" w:eastAsia="es-ES"/>
        </w:rPr>
        <w:t xml:space="preserve">Información </w:t>
      </w:r>
      <w:r w:rsidR="0013380B" w:rsidRPr="00930562">
        <w:rPr>
          <w:rFonts w:asciiTheme="majorHAnsi" w:eastAsia="MS Mincho" w:hAnsiTheme="majorHAnsi" w:cs="Calibri"/>
          <w:szCs w:val="20"/>
          <w:lang w:val="es-US" w:eastAsia="es-ES"/>
        </w:rPr>
        <w:t>rec</w:t>
      </w:r>
      <w:r w:rsidRPr="00930562">
        <w:rPr>
          <w:rFonts w:asciiTheme="majorHAnsi" w:eastAsia="MS Mincho" w:hAnsiTheme="majorHAnsi" w:cs="Calibri"/>
          <w:szCs w:val="20"/>
          <w:lang w:val="es-US" w:eastAsia="es-ES"/>
        </w:rPr>
        <w:t>ibida por la Comisión indica que las desigualdades raciales en las prácticas del Departamento Policial de Nueva York no son exclusivas.</w:t>
      </w:r>
      <w:r w:rsidR="0013380B" w:rsidRPr="00930562">
        <w:rPr>
          <w:rFonts w:asciiTheme="majorHAnsi" w:eastAsia="MS Mincho" w:hAnsiTheme="majorHAnsi" w:cs="Calibri"/>
          <w:szCs w:val="20"/>
          <w:lang w:val="es-US" w:eastAsia="es-ES"/>
        </w:rPr>
        <w:t xml:space="preserve"> </w:t>
      </w:r>
      <w:r w:rsidRPr="00930562">
        <w:rPr>
          <w:rFonts w:asciiTheme="majorHAnsi" w:eastAsia="MS Mincho" w:hAnsiTheme="majorHAnsi" w:cs="Calibri"/>
          <w:szCs w:val="20"/>
          <w:lang w:val="es-US" w:eastAsia="es-ES"/>
        </w:rPr>
        <w:t xml:space="preserve">Por ejemplo, </w:t>
      </w:r>
      <w:r w:rsidR="0013380B" w:rsidRPr="00930562">
        <w:rPr>
          <w:rFonts w:asciiTheme="majorHAnsi" w:eastAsia="MS Mincho" w:hAnsiTheme="majorHAnsi" w:cs="Calibri"/>
          <w:szCs w:val="20"/>
          <w:lang w:val="es-US" w:eastAsia="es-ES"/>
        </w:rPr>
        <w:t>dur</w:t>
      </w:r>
      <w:r w:rsidRPr="00930562">
        <w:rPr>
          <w:rFonts w:asciiTheme="majorHAnsi" w:eastAsia="MS Mincho" w:hAnsiTheme="majorHAnsi" w:cs="Calibri"/>
          <w:szCs w:val="20"/>
          <w:lang w:val="es-US" w:eastAsia="es-ES"/>
        </w:rPr>
        <w:t>ante su visita in loco a Nueva Orleans, L</w:t>
      </w:r>
      <w:r w:rsidR="0013380B" w:rsidRPr="00930562">
        <w:rPr>
          <w:rFonts w:asciiTheme="majorHAnsi" w:eastAsia="MS Mincho" w:hAnsiTheme="majorHAnsi" w:cs="Calibri"/>
          <w:szCs w:val="20"/>
          <w:lang w:val="es-US" w:eastAsia="es-ES"/>
        </w:rPr>
        <w:t xml:space="preserve">uisiana, </w:t>
      </w:r>
      <w:r w:rsidRPr="00930562">
        <w:rPr>
          <w:rFonts w:asciiTheme="majorHAnsi" w:eastAsia="MS Mincho" w:hAnsiTheme="majorHAnsi" w:cs="Calibri"/>
          <w:szCs w:val="20"/>
          <w:lang w:val="es-US" w:eastAsia="es-ES"/>
        </w:rPr>
        <w:t>la</w:t>
      </w:r>
      <w:r w:rsidR="0013380B" w:rsidRPr="00930562">
        <w:rPr>
          <w:rFonts w:asciiTheme="majorHAnsi" w:eastAsia="MS Mincho" w:hAnsiTheme="majorHAnsi" w:cs="Calibri"/>
          <w:szCs w:val="20"/>
          <w:lang w:val="es-US" w:eastAsia="es-ES"/>
        </w:rPr>
        <w:t xml:space="preserve"> </w:t>
      </w:r>
      <w:r w:rsidRPr="00930562">
        <w:rPr>
          <w:rFonts w:asciiTheme="majorHAnsi" w:eastAsia="MS Mincho" w:hAnsiTheme="majorHAnsi" w:cs="Calibri"/>
          <w:szCs w:val="20"/>
          <w:lang w:val="es-US" w:eastAsia="es-ES"/>
        </w:rPr>
        <w:t xml:space="preserve">Comisión recibió información respecto de que el </w:t>
      </w:r>
      <w:r w:rsidR="0013380B" w:rsidRPr="00930562">
        <w:rPr>
          <w:rFonts w:asciiTheme="majorHAnsi" w:eastAsia="MS Mincho" w:hAnsiTheme="majorHAnsi" w:cs="Calibri"/>
          <w:szCs w:val="20"/>
          <w:lang w:val="es-US" w:eastAsia="es-ES"/>
        </w:rPr>
        <w:t>90 p</w:t>
      </w:r>
      <w:r w:rsidRPr="00930562">
        <w:rPr>
          <w:rFonts w:asciiTheme="majorHAnsi" w:eastAsia="MS Mincho" w:hAnsiTheme="majorHAnsi" w:cs="Calibri"/>
          <w:szCs w:val="20"/>
          <w:lang w:val="es-US" w:eastAsia="es-ES"/>
        </w:rPr>
        <w:t xml:space="preserve">or ciento de las personas arrestadas por la policía </w:t>
      </w:r>
      <w:r w:rsidRPr="00930562">
        <w:rPr>
          <w:rFonts w:asciiTheme="majorHAnsi" w:eastAsia="Times New Roman" w:hAnsiTheme="majorHAnsi"/>
          <w:szCs w:val="20"/>
          <w:lang w:val="es-US" w:eastAsia="es-ES"/>
        </w:rPr>
        <w:t>son</w:t>
      </w:r>
      <w:r w:rsidRPr="00930562">
        <w:rPr>
          <w:rFonts w:asciiTheme="majorHAnsi" w:eastAsia="MS Mincho" w:hAnsiTheme="majorHAnsi" w:cs="Calibri"/>
          <w:szCs w:val="20"/>
          <w:lang w:val="es-US" w:eastAsia="es-ES"/>
        </w:rPr>
        <w:t xml:space="preserve"> hombres a</w:t>
      </w:r>
      <w:r w:rsidR="0013380B" w:rsidRPr="00930562">
        <w:rPr>
          <w:rFonts w:asciiTheme="majorHAnsi" w:eastAsia="MS Mincho" w:hAnsiTheme="majorHAnsi" w:cs="Calibri"/>
          <w:szCs w:val="20"/>
          <w:lang w:val="es-US" w:eastAsia="es-ES"/>
        </w:rPr>
        <w:t>fr</w:t>
      </w:r>
      <w:r w:rsidRPr="00930562">
        <w:rPr>
          <w:rFonts w:asciiTheme="majorHAnsi" w:eastAsia="MS Mincho" w:hAnsiTheme="majorHAnsi" w:cs="Calibri"/>
          <w:szCs w:val="20"/>
          <w:lang w:val="es-US" w:eastAsia="es-ES"/>
        </w:rPr>
        <w:t xml:space="preserve">oamericanos menores de </w:t>
      </w:r>
      <w:r w:rsidR="0013380B" w:rsidRPr="00930562">
        <w:rPr>
          <w:rFonts w:asciiTheme="majorHAnsi" w:eastAsia="MS Mincho" w:hAnsiTheme="majorHAnsi" w:cs="Calibri"/>
          <w:szCs w:val="20"/>
          <w:lang w:val="es-US" w:eastAsia="es-ES"/>
        </w:rPr>
        <w:t>30</w:t>
      </w:r>
      <w:r w:rsidRPr="00930562">
        <w:rPr>
          <w:rFonts w:asciiTheme="majorHAnsi" w:eastAsia="MS Mincho" w:hAnsiTheme="majorHAnsi" w:cs="Calibri"/>
          <w:szCs w:val="20"/>
          <w:lang w:val="es-US" w:eastAsia="es-ES"/>
        </w:rPr>
        <w:t xml:space="preserve"> años</w:t>
      </w:r>
      <w:r w:rsidR="0013380B" w:rsidRPr="00930562">
        <w:rPr>
          <w:rFonts w:asciiTheme="majorHAnsi" w:eastAsia="MS Mincho" w:hAnsiTheme="majorHAnsi" w:cs="Calibri"/>
          <w:szCs w:val="20"/>
          <w:lang w:val="es-US" w:eastAsia="es-ES"/>
        </w:rPr>
        <w:t>,</w:t>
      </w:r>
      <w:r w:rsidR="0013380B" w:rsidRPr="00930562">
        <w:rPr>
          <w:rStyle w:val="FootnoteReference"/>
          <w:rFonts w:asciiTheme="majorHAnsi" w:eastAsia="MS Mincho" w:hAnsiTheme="majorHAnsi" w:cs="Calibri"/>
          <w:szCs w:val="20"/>
          <w:lang w:val="es-US" w:eastAsia="es-ES"/>
        </w:rPr>
        <w:footnoteReference w:id="144"/>
      </w:r>
      <w:r w:rsidR="0013380B" w:rsidRPr="00930562">
        <w:rPr>
          <w:rFonts w:asciiTheme="majorHAnsi" w:eastAsia="MS Mincho" w:hAnsiTheme="majorHAnsi" w:cs="Calibri"/>
          <w:szCs w:val="20"/>
          <w:lang w:val="es-US" w:eastAsia="es-ES"/>
        </w:rPr>
        <w:t xml:space="preserve"> </w:t>
      </w:r>
      <w:r w:rsidRPr="00930562">
        <w:rPr>
          <w:rFonts w:asciiTheme="majorHAnsi" w:eastAsia="MS Mincho" w:hAnsiTheme="majorHAnsi" w:cs="Calibri"/>
          <w:szCs w:val="20"/>
          <w:lang w:val="es-US" w:eastAsia="es-ES"/>
        </w:rPr>
        <w:t xml:space="preserve">a pesar de que sólo aproximadamente el </w:t>
      </w:r>
      <w:r w:rsidR="0013380B" w:rsidRPr="00930562">
        <w:rPr>
          <w:rFonts w:asciiTheme="majorHAnsi" w:eastAsia="MS Mincho" w:hAnsiTheme="majorHAnsi" w:cs="Calibri"/>
          <w:szCs w:val="20"/>
          <w:lang w:val="es-US" w:eastAsia="es-ES"/>
        </w:rPr>
        <w:t xml:space="preserve">60 </w:t>
      </w:r>
      <w:r w:rsidRPr="00930562">
        <w:rPr>
          <w:rFonts w:asciiTheme="majorHAnsi" w:eastAsia="MS Mincho" w:hAnsiTheme="majorHAnsi" w:cs="Calibri"/>
          <w:szCs w:val="20"/>
          <w:lang w:val="es-US" w:eastAsia="es-ES"/>
        </w:rPr>
        <w:t>por ciento de la población es afroamericana.</w:t>
      </w:r>
      <w:r w:rsidR="0013380B" w:rsidRPr="00930562">
        <w:rPr>
          <w:rFonts w:asciiTheme="majorHAnsi" w:eastAsia="MS Mincho" w:hAnsiTheme="majorHAnsi" w:cs="Calibri"/>
          <w:szCs w:val="20"/>
          <w:lang w:val="es-US" w:eastAsia="es-ES"/>
        </w:rPr>
        <w:t xml:space="preserve"> </w:t>
      </w:r>
      <w:r w:rsidR="006C7721" w:rsidRPr="00930562">
        <w:rPr>
          <w:rFonts w:asciiTheme="majorHAnsi" w:eastAsia="MS Mincho" w:hAnsiTheme="majorHAnsi" w:cs="Calibri"/>
          <w:szCs w:val="20"/>
          <w:lang w:val="es-US" w:eastAsia="es-ES"/>
        </w:rPr>
        <w:t xml:space="preserve">Otro análisis mostró que durante el verano de 2014, a pesar de que constituían sólo el 32 por ciento de la población, los residentes afroamericanos fueron sujetos de aproximadamente tres cuartas partes de todos los abordajes </w:t>
      </w:r>
      <w:r w:rsidR="006C7721" w:rsidRPr="00930562">
        <w:rPr>
          <w:rFonts w:asciiTheme="majorHAnsi" w:eastAsia="MS Mincho" w:hAnsiTheme="majorHAnsi" w:cs="Calibri"/>
          <w:i/>
          <w:szCs w:val="20"/>
          <w:lang w:val="es-US" w:eastAsia="es-ES"/>
        </w:rPr>
        <w:t>"Stop and Frisk"</w:t>
      </w:r>
      <w:r w:rsidR="00906EC2" w:rsidRPr="00930562">
        <w:rPr>
          <w:rFonts w:asciiTheme="majorHAnsi" w:eastAsia="MS Mincho" w:hAnsiTheme="majorHAnsi" w:cs="Calibri"/>
          <w:szCs w:val="20"/>
          <w:lang w:val="es-US" w:eastAsia="es-ES"/>
        </w:rPr>
        <w:t xml:space="preserve"> </w:t>
      </w:r>
      <w:r w:rsidR="00906EC2" w:rsidRPr="00930562">
        <w:rPr>
          <w:rFonts w:asciiTheme="majorHAnsi" w:eastAsia="Times New Roman" w:hAnsiTheme="majorHAnsi"/>
          <w:szCs w:val="20"/>
          <w:lang w:val="es-US"/>
        </w:rPr>
        <w:t>(</w:t>
      </w:r>
      <w:r w:rsidR="00906EC2" w:rsidRPr="00930562">
        <w:rPr>
          <w:rFonts w:asciiTheme="majorHAnsi" w:eastAsia="MS Mincho" w:hAnsiTheme="majorHAnsi" w:cs="Calibri"/>
          <w:szCs w:val="20"/>
          <w:lang w:val="es-US" w:eastAsia="es-ES"/>
        </w:rPr>
        <w:t>Parar y Cachear)</w:t>
      </w:r>
      <w:r w:rsidR="006C7721" w:rsidRPr="00930562">
        <w:rPr>
          <w:rFonts w:asciiTheme="majorHAnsi" w:eastAsia="MS Mincho" w:hAnsiTheme="majorHAnsi" w:cs="Calibri"/>
          <w:szCs w:val="20"/>
          <w:lang w:val="es-US" w:eastAsia="es-ES"/>
        </w:rPr>
        <w:t xml:space="preserve"> en Chicago.</w:t>
      </w:r>
      <w:r w:rsidR="006C7721" w:rsidRPr="00930562">
        <w:rPr>
          <w:rFonts w:asciiTheme="majorHAnsi" w:hAnsiTheme="majorHAnsi"/>
          <w:szCs w:val="20"/>
          <w:vertAlign w:val="superscript"/>
          <w:lang w:val="es-US"/>
        </w:rPr>
        <w:t xml:space="preserve"> </w:t>
      </w:r>
      <w:r w:rsidR="006C7721" w:rsidRPr="00930562">
        <w:rPr>
          <w:rFonts w:asciiTheme="majorHAnsi" w:hAnsiTheme="majorHAnsi"/>
          <w:szCs w:val="20"/>
          <w:vertAlign w:val="superscript"/>
          <w:lang w:val="es-US"/>
        </w:rPr>
        <w:footnoteReference w:id="145"/>
      </w:r>
      <w:r w:rsidR="006C7721" w:rsidRPr="00930562">
        <w:rPr>
          <w:rFonts w:asciiTheme="majorHAnsi" w:eastAsia="MS Mincho" w:hAnsiTheme="majorHAnsi" w:cs="Calibri"/>
          <w:szCs w:val="20"/>
          <w:lang w:val="es-US" w:eastAsia="es-ES"/>
        </w:rPr>
        <w:t xml:space="preserve"> En agosto de 2015 la ACLU de Illinois llegó a un acuerdo con el Departamento de Policía de Chicago para reformar su política de </w:t>
      </w:r>
      <w:r w:rsidR="006C7721" w:rsidRPr="00930562">
        <w:rPr>
          <w:rFonts w:asciiTheme="majorHAnsi" w:eastAsia="Times New Roman" w:hAnsiTheme="majorHAnsi"/>
          <w:i/>
          <w:szCs w:val="20"/>
          <w:lang w:val="es-US"/>
        </w:rPr>
        <w:t>“Stop and Frisk”</w:t>
      </w:r>
      <w:r w:rsidR="006C7721" w:rsidRPr="00930562">
        <w:rPr>
          <w:rFonts w:asciiTheme="majorHAnsi" w:eastAsia="Times New Roman" w:hAnsiTheme="majorHAnsi"/>
          <w:szCs w:val="20"/>
          <w:lang w:val="es-US"/>
        </w:rPr>
        <w:t xml:space="preserve"> (</w:t>
      </w:r>
      <w:r w:rsidR="006C7721" w:rsidRPr="00930562">
        <w:rPr>
          <w:rFonts w:asciiTheme="majorHAnsi" w:eastAsia="MS Mincho" w:hAnsiTheme="majorHAnsi" w:cs="Calibri"/>
          <w:szCs w:val="20"/>
          <w:lang w:val="es-US" w:eastAsia="es-ES"/>
        </w:rPr>
        <w:t>Parar y Cachear); no se cuenta con información detallada sobre los resultados del programa</w:t>
      </w:r>
      <w:r w:rsidR="006247C7" w:rsidRPr="00930562">
        <w:rPr>
          <w:rFonts w:asciiTheme="majorHAnsi" w:eastAsia="MS Mincho" w:hAnsiTheme="majorHAnsi" w:cs="Calibri"/>
          <w:szCs w:val="20"/>
          <w:lang w:val="es-US" w:eastAsia="es-ES"/>
        </w:rPr>
        <w:t xml:space="preserve"> dado que ese período no se encuentra disponible</w:t>
      </w:r>
      <w:r w:rsidR="006C7721" w:rsidRPr="00930562">
        <w:rPr>
          <w:rFonts w:asciiTheme="majorHAnsi" w:eastAsia="MS Mincho" w:hAnsiTheme="majorHAnsi" w:cs="Calibri"/>
          <w:szCs w:val="20"/>
          <w:lang w:val="es-US" w:eastAsia="es-ES"/>
        </w:rPr>
        <w:t>.</w:t>
      </w:r>
      <w:r w:rsidR="0013380B" w:rsidRPr="00930562">
        <w:rPr>
          <w:rStyle w:val="FootnoteReference"/>
          <w:rFonts w:asciiTheme="majorHAnsi" w:eastAsia="Times New Roman" w:hAnsiTheme="majorHAnsi"/>
          <w:szCs w:val="20"/>
          <w:lang w:val="es-US"/>
        </w:rPr>
        <w:footnoteReference w:id="146"/>
      </w:r>
      <w:r w:rsidR="0013380B" w:rsidRPr="00930562">
        <w:rPr>
          <w:rFonts w:asciiTheme="majorHAnsi" w:eastAsia="Times New Roman" w:hAnsiTheme="majorHAnsi"/>
          <w:szCs w:val="20"/>
          <w:lang w:val="es-US"/>
        </w:rPr>
        <w:t xml:space="preserve"> </w:t>
      </w:r>
      <w:r w:rsidR="006247C7" w:rsidRPr="00930562">
        <w:rPr>
          <w:rFonts w:asciiTheme="majorHAnsi" w:eastAsia="Times New Roman" w:hAnsiTheme="majorHAnsi"/>
          <w:szCs w:val="20"/>
          <w:lang w:val="es-US"/>
        </w:rPr>
        <w:t xml:space="preserve">Estudios </w:t>
      </w:r>
      <w:r w:rsidR="006C7721" w:rsidRPr="00930562">
        <w:rPr>
          <w:rFonts w:asciiTheme="majorHAnsi" w:eastAsia="Times New Roman" w:hAnsiTheme="majorHAnsi"/>
          <w:szCs w:val="20"/>
          <w:lang w:val="es-US"/>
        </w:rPr>
        <w:t>han encontrado patrones similares de vigila</w:t>
      </w:r>
      <w:r w:rsidR="00D604E4" w:rsidRPr="00930562">
        <w:rPr>
          <w:rFonts w:asciiTheme="majorHAnsi" w:eastAsia="Times New Roman" w:hAnsiTheme="majorHAnsi"/>
          <w:szCs w:val="20"/>
          <w:lang w:val="es-US"/>
        </w:rPr>
        <w:t>n</w:t>
      </w:r>
      <w:r w:rsidR="006C7721" w:rsidRPr="00930562">
        <w:rPr>
          <w:rFonts w:asciiTheme="majorHAnsi" w:eastAsia="Times New Roman" w:hAnsiTheme="majorHAnsi"/>
          <w:szCs w:val="20"/>
          <w:lang w:val="es-US"/>
        </w:rPr>
        <w:t>ci</w:t>
      </w:r>
      <w:r w:rsidR="00D604E4" w:rsidRPr="00930562">
        <w:rPr>
          <w:rFonts w:asciiTheme="majorHAnsi" w:eastAsia="Times New Roman" w:hAnsiTheme="majorHAnsi"/>
          <w:szCs w:val="20"/>
          <w:lang w:val="es-US"/>
        </w:rPr>
        <w:t xml:space="preserve">a </w:t>
      </w:r>
      <w:r w:rsidR="006C7721" w:rsidRPr="00930562">
        <w:rPr>
          <w:rFonts w:asciiTheme="majorHAnsi" w:eastAsia="Times New Roman" w:hAnsiTheme="majorHAnsi"/>
          <w:szCs w:val="20"/>
          <w:lang w:val="es-US"/>
        </w:rPr>
        <w:t xml:space="preserve">policial sesgada en razón de raza en </w:t>
      </w:r>
      <w:r w:rsidR="0013380B" w:rsidRPr="00930562">
        <w:rPr>
          <w:rFonts w:asciiTheme="majorHAnsi" w:eastAsia="Times New Roman" w:hAnsiTheme="majorHAnsi"/>
          <w:szCs w:val="20"/>
          <w:lang w:val="es-US"/>
        </w:rPr>
        <w:t>Min</w:t>
      </w:r>
      <w:r w:rsidR="006C7721" w:rsidRPr="00930562">
        <w:rPr>
          <w:rFonts w:asciiTheme="majorHAnsi" w:eastAsia="Times New Roman" w:hAnsiTheme="majorHAnsi"/>
          <w:szCs w:val="20"/>
          <w:lang w:val="es-US"/>
        </w:rPr>
        <w:t>n</w:t>
      </w:r>
      <w:r w:rsidR="0013380B" w:rsidRPr="00930562">
        <w:rPr>
          <w:rFonts w:asciiTheme="majorHAnsi" w:eastAsia="Times New Roman" w:hAnsiTheme="majorHAnsi"/>
          <w:szCs w:val="20"/>
          <w:lang w:val="es-US"/>
        </w:rPr>
        <w:t>eapolis, Min</w:t>
      </w:r>
      <w:r w:rsidR="006C7721" w:rsidRPr="00930562">
        <w:rPr>
          <w:rFonts w:asciiTheme="majorHAnsi" w:eastAsia="Times New Roman" w:hAnsiTheme="majorHAnsi"/>
          <w:szCs w:val="20"/>
          <w:lang w:val="es-US"/>
        </w:rPr>
        <w:t>n</w:t>
      </w:r>
      <w:r w:rsidR="0013380B" w:rsidRPr="00930562">
        <w:rPr>
          <w:rFonts w:asciiTheme="majorHAnsi" w:eastAsia="Times New Roman" w:hAnsiTheme="majorHAnsi"/>
          <w:szCs w:val="20"/>
          <w:lang w:val="es-US"/>
        </w:rPr>
        <w:t>esota;</w:t>
      </w:r>
      <w:r w:rsidR="0013380B" w:rsidRPr="00930562">
        <w:rPr>
          <w:rStyle w:val="FootnoteReference"/>
          <w:rFonts w:asciiTheme="majorHAnsi" w:eastAsia="Times New Roman" w:hAnsiTheme="majorHAnsi"/>
          <w:szCs w:val="20"/>
          <w:lang w:val="es-US"/>
        </w:rPr>
        <w:footnoteReference w:id="147"/>
      </w:r>
      <w:r w:rsidR="0013380B" w:rsidRPr="00930562">
        <w:rPr>
          <w:rFonts w:asciiTheme="majorHAnsi" w:eastAsia="Times New Roman" w:hAnsiTheme="majorHAnsi"/>
          <w:szCs w:val="20"/>
          <w:lang w:val="es-US"/>
        </w:rPr>
        <w:t xml:space="preserve"> Washington, DC;</w:t>
      </w:r>
      <w:r w:rsidR="0013380B" w:rsidRPr="00930562">
        <w:rPr>
          <w:rStyle w:val="FootnoteReference"/>
          <w:rFonts w:asciiTheme="majorHAnsi" w:eastAsia="Times New Roman" w:hAnsiTheme="majorHAnsi"/>
          <w:szCs w:val="20"/>
          <w:lang w:val="es-US"/>
        </w:rPr>
        <w:footnoteReference w:id="148"/>
      </w:r>
      <w:r w:rsidR="0013380B" w:rsidRPr="00930562">
        <w:rPr>
          <w:rFonts w:asciiTheme="majorHAnsi" w:eastAsia="Times New Roman" w:hAnsiTheme="majorHAnsi"/>
          <w:szCs w:val="20"/>
          <w:lang w:val="es-US"/>
        </w:rPr>
        <w:t xml:space="preserve"> Los Angeles, California;</w:t>
      </w:r>
      <w:r w:rsidR="0013380B" w:rsidRPr="00930562">
        <w:rPr>
          <w:rStyle w:val="FootnoteReference"/>
          <w:rFonts w:asciiTheme="majorHAnsi" w:eastAsia="Times New Roman" w:hAnsiTheme="majorHAnsi"/>
          <w:szCs w:val="20"/>
          <w:lang w:val="es-US"/>
        </w:rPr>
        <w:footnoteReference w:id="149"/>
      </w:r>
      <w:r w:rsidR="0013380B" w:rsidRPr="00930562">
        <w:rPr>
          <w:rFonts w:asciiTheme="majorHAnsi" w:eastAsia="Times New Roman" w:hAnsiTheme="majorHAnsi"/>
          <w:szCs w:val="20"/>
          <w:lang w:val="es-US"/>
        </w:rPr>
        <w:t xml:space="preserve"> Jacksonville, Florida;</w:t>
      </w:r>
      <w:r w:rsidR="0013380B" w:rsidRPr="00930562">
        <w:rPr>
          <w:rStyle w:val="FootnoteReference"/>
          <w:rFonts w:asciiTheme="majorHAnsi" w:eastAsia="Times New Roman" w:hAnsiTheme="majorHAnsi"/>
          <w:szCs w:val="20"/>
          <w:lang w:val="es-US"/>
        </w:rPr>
        <w:footnoteReference w:id="150"/>
      </w:r>
      <w:r w:rsidR="0013380B" w:rsidRPr="00930562">
        <w:rPr>
          <w:rFonts w:asciiTheme="majorHAnsi" w:eastAsia="Times New Roman" w:hAnsiTheme="majorHAnsi"/>
          <w:szCs w:val="20"/>
          <w:lang w:val="es-US"/>
        </w:rPr>
        <w:t xml:space="preserve"> Baltimore, Maryland; Cleveland, Ohio; Albuquerque, New Mexico; </w:t>
      </w:r>
      <w:r w:rsidR="006C7721" w:rsidRPr="00930562">
        <w:rPr>
          <w:rFonts w:asciiTheme="majorHAnsi" w:eastAsia="Times New Roman" w:hAnsiTheme="majorHAnsi"/>
          <w:szCs w:val="20"/>
          <w:lang w:val="es-US"/>
        </w:rPr>
        <w:t>y</w:t>
      </w:r>
      <w:r w:rsidR="0013380B" w:rsidRPr="00930562">
        <w:rPr>
          <w:rFonts w:asciiTheme="majorHAnsi" w:eastAsia="Times New Roman" w:hAnsiTheme="majorHAnsi"/>
          <w:szCs w:val="20"/>
          <w:lang w:val="es-US"/>
        </w:rPr>
        <w:t xml:space="preserve"> Portland, Oregon;</w:t>
      </w:r>
      <w:r w:rsidR="0013380B" w:rsidRPr="00930562">
        <w:rPr>
          <w:rStyle w:val="FootnoteReference"/>
          <w:rFonts w:asciiTheme="majorHAnsi" w:eastAsia="Times New Roman" w:hAnsiTheme="majorHAnsi"/>
          <w:szCs w:val="20"/>
          <w:lang w:val="es-US"/>
        </w:rPr>
        <w:footnoteReference w:id="151"/>
      </w:r>
      <w:r w:rsidR="0013380B" w:rsidRPr="00930562">
        <w:rPr>
          <w:rFonts w:asciiTheme="majorHAnsi" w:eastAsia="Times New Roman" w:hAnsiTheme="majorHAnsi"/>
          <w:szCs w:val="20"/>
          <w:lang w:val="es-US"/>
        </w:rPr>
        <w:t xml:space="preserve"> </w:t>
      </w:r>
      <w:r w:rsidR="006C7721" w:rsidRPr="00930562">
        <w:rPr>
          <w:rFonts w:asciiTheme="majorHAnsi" w:eastAsia="Times New Roman" w:hAnsiTheme="majorHAnsi"/>
          <w:szCs w:val="20"/>
          <w:lang w:val="es-US"/>
        </w:rPr>
        <w:t xml:space="preserve">entre otras </w:t>
      </w:r>
      <w:bookmarkEnd w:id="68"/>
      <w:r w:rsidR="006C7721" w:rsidRPr="00930562">
        <w:rPr>
          <w:rFonts w:asciiTheme="majorHAnsi" w:eastAsia="Times New Roman" w:hAnsiTheme="majorHAnsi"/>
          <w:szCs w:val="20"/>
          <w:lang w:val="es-US"/>
        </w:rPr>
        <w:t xml:space="preserve">ciudades. </w:t>
      </w:r>
    </w:p>
    <w:p w14:paraId="474D5847" w14:textId="7FFC4E41" w:rsidR="0013380B" w:rsidRPr="00930562" w:rsidRDefault="00E924F1" w:rsidP="00724857">
      <w:pPr>
        <w:pStyle w:val="ListParagraph"/>
        <w:numPr>
          <w:ilvl w:val="0"/>
          <w:numId w:val="2"/>
        </w:numPr>
        <w:spacing w:after="240" w:line="240" w:lineRule="auto"/>
        <w:ind w:left="547" w:hanging="547"/>
        <w:contextualSpacing w:val="0"/>
        <w:jc w:val="both"/>
        <w:rPr>
          <w:rFonts w:asciiTheme="majorHAnsi" w:eastAsia="Times New Roman" w:hAnsiTheme="majorHAnsi"/>
          <w:szCs w:val="20"/>
          <w:lang w:val="es-US" w:eastAsia="es-ES"/>
        </w:rPr>
      </w:pPr>
      <w:bookmarkStart w:id="69" w:name="_Ref511834780"/>
      <w:r w:rsidRPr="00930562">
        <w:rPr>
          <w:rFonts w:asciiTheme="majorHAnsi" w:eastAsiaTheme="minorEastAsia" w:hAnsiTheme="majorHAnsi" w:cs="Calibri"/>
          <w:szCs w:val="20"/>
          <w:lang w:val="es-US" w:eastAsia="es-ES"/>
        </w:rPr>
        <w:lastRenderedPageBreak/>
        <w:t>El exceso de vigilancia policial de las comunidades históricamente marginadas no se limita a las grandes ciudades, y en ocasiones parece estar impulsado por una lógica de vigilancia con fines de lucro. La Comisión observa con preocupación que existen políticas en todo el país que tratan la vigilancia policial de los delitos menores y las tarifas judiciales asociadas como un flujo de ingresos para el municipio.</w:t>
      </w:r>
      <w:r w:rsidR="008F0DD5" w:rsidRPr="00930562">
        <w:rPr>
          <w:rFonts w:asciiTheme="majorHAnsi" w:eastAsiaTheme="minorEastAsia" w:hAnsiTheme="majorHAnsi" w:cs="Calibri"/>
          <w:szCs w:val="20"/>
          <w:lang w:val="es-US" w:eastAsia="es-ES"/>
        </w:rPr>
        <w:t xml:space="preserve"> Lo descrito no cumple con las obligaciones del Estado con respecto a la seguridad ciudadana y tiende a tener un efecto desproporcionado en las comunidades pobres e históricamente marginadas. Por ejemplo, durante una audiencia pública y durante su visita in loco la Comisión fue informada sobre los resultados de la evaluación realizad</w:t>
      </w:r>
      <w:r w:rsidR="006247C7" w:rsidRPr="00930562">
        <w:rPr>
          <w:rFonts w:asciiTheme="majorHAnsi" w:eastAsiaTheme="minorEastAsia" w:hAnsiTheme="majorHAnsi" w:cs="Calibri"/>
          <w:szCs w:val="20"/>
          <w:lang w:val="es-US" w:eastAsia="es-ES"/>
        </w:rPr>
        <w:t>a</w:t>
      </w:r>
      <w:r w:rsidR="008F0DD5" w:rsidRPr="00930562">
        <w:rPr>
          <w:rFonts w:asciiTheme="majorHAnsi" w:eastAsiaTheme="minorEastAsia" w:hAnsiTheme="majorHAnsi" w:cs="Calibri"/>
          <w:szCs w:val="20"/>
          <w:lang w:val="es-US" w:eastAsia="es-ES"/>
        </w:rPr>
        <w:t xml:space="preserve"> al Departamento de </w:t>
      </w:r>
      <w:r w:rsidR="008F0DD5" w:rsidRPr="00930562">
        <w:rPr>
          <w:rFonts w:asciiTheme="majorHAnsi" w:eastAsia="MS Mincho" w:hAnsiTheme="majorHAnsi" w:cs="Calibri"/>
          <w:szCs w:val="20"/>
          <w:lang w:val="es-US" w:eastAsia="es-ES"/>
        </w:rPr>
        <w:t>Policía</w:t>
      </w:r>
      <w:r w:rsidR="008F0DD5" w:rsidRPr="00930562">
        <w:rPr>
          <w:rFonts w:asciiTheme="majorHAnsi" w:eastAsiaTheme="minorEastAsia" w:hAnsiTheme="majorHAnsi" w:cs="Calibri"/>
          <w:szCs w:val="20"/>
          <w:lang w:val="es-US" w:eastAsia="es-ES"/>
        </w:rPr>
        <w:t xml:space="preserve"> de Ferguson, Misuri por parte de la División de Derechos Civiles del </w:t>
      </w:r>
      <w:r w:rsidR="006247C7" w:rsidRPr="00930562">
        <w:rPr>
          <w:rFonts w:asciiTheme="majorHAnsi" w:eastAsiaTheme="minorEastAsia" w:hAnsiTheme="majorHAnsi" w:cs="Calibri"/>
          <w:szCs w:val="20"/>
          <w:lang w:val="es-US" w:eastAsia="es-ES"/>
        </w:rPr>
        <w:t xml:space="preserve">Departamento </w:t>
      </w:r>
      <w:r w:rsidR="008F0DD5" w:rsidRPr="00930562">
        <w:rPr>
          <w:rFonts w:asciiTheme="majorHAnsi" w:eastAsiaTheme="minorEastAsia" w:hAnsiTheme="majorHAnsi" w:cs="Calibri"/>
          <w:szCs w:val="20"/>
          <w:lang w:val="es-US" w:eastAsia="es-ES"/>
        </w:rPr>
        <w:t>de Justicia.</w:t>
      </w:r>
      <w:r w:rsidR="0013380B" w:rsidRPr="00930562">
        <w:rPr>
          <w:rStyle w:val="FootnoteReference"/>
          <w:rFonts w:asciiTheme="majorHAnsi" w:eastAsiaTheme="minorEastAsia" w:hAnsiTheme="majorHAnsi" w:cs="Calibri"/>
          <w:szCs w:val="20"/>
          <w:lang w:val="es-US" w:eastAsia="es-ES"/>
        </w:rPr>
        <w:footnoteReference w:id="152"/>
      </w:r>
      <w:r w:rsidR="0013380B" w:rsidRPr="00930562">
        <w:rPr>
          <w:rFonts w:asciiTheme="majorHAnsi" w:eastAsiaTheme="minorEastAsia" w:hAnsiTheme="majorHAnsi" w:cs="Calibri"/>
          <w:szCs w:val="20"/>
          <w:lang w:val="es-US" w:eastAsia="es-ES"/>
        </w:rPr>
        <w:t xml:space="preserve"> </w:t>
      </w:r>
      <w:r w:rsidR="008F0DD5" w:rsidRPr="00930562">
        <w:rPr>
          <w:rFonts w:asciiTheme="majorHAnsi" w:eastAsiaTheme="minorEastAsia" w:hAnsiTheme="majorHAnsi" w:cs="Calibri"/>
          <w:szCs w:val="20"/>
          <w:lang w:val="es-US" w:eastAsia="es-ES"/>
        </w:rPr>
        <w:t>Esta evaluación</w:t>
      </w:r>
      <w:r w:rsidR="007D2D1B" w:rsidRPr="00930562">
        <w:rPr>
          <w:rFonts w:asciiTheme="majorHAnsi" w:eastAsiaTheme="minorEastAsia" w:hAnsiTheme="majorHAnsi" w:cs="Calibri"/>
          <w:szCs w:val="20"/>
          <w:lang w:val="es-US" w:eastAsia="es-ES"/>
        </w:rPr>
        <w:t xml:space="preserve"> encontró </w:t>
      </w:r>
      <w:r w:rsidR="008F0DD5" w:rsidRPr="00930562">
        <w:rPr>
          <w:rFonts w:asciiTheme="majorHAnsi" w:eastAsiaTheme="minorEastAsia" w:hAnsiTheme="majorHAnsi" w:cs="Calibri"/>
          <w:szCs w:val="20"/>
          <w:lang w:val="es-US" w:eastAsia="es-ES"/>
        </w:rPr>
        <w:t xml:space="preserve">prácticas </w:t>
      </w:r>
      <w:r w:rsidR="007D2D1B" w:rsidRPr="00930562">
        <w:rPr>
          <w:rFonts w:asciiTheme="majorHAnsi" w:eastAsiaTheme="minorEastAsia" w:hAnsiTheme="majorHAnsi" w:cs="Calibri"/>
          <w:szCs w:val="20"/>
          <w:lang w:val="es-US" w:eastAsia="es-ES"/>
        </w:rPr>
        <w:t xml:space="preserve">sistemáticas </w:t>
      </w:r>
      <w:r w:rsidR="008F0DD5" w:rsidRPr="00930562">
        <w:rPr>
          <w:rFonts w:asciiTheme="majorHAnsi" w:eastAsiaTheme="minorEastAsia" w:hAnsiTheme="majorHAnsi" w:cs="Calibri"/>
          <w:szCs w:val="20"/>
          <w:lang w:val="es-US" w:eastAsia="es-ES"/>
        </w:rPr>
        <w:t xml:space="preserve">inconstitucionales </w:t>
      </w:r>
      <w:r w:rsidR="00462005" w:rsidRPr="00930562">
        <w:rPr>
          <w:rFonts w:asciiTheme="majorHAnsi" w:eastAsiaTheme="minorEastAsia" w:hAnsiTheme="majorHAnsi" w:cs="Calibri"/>
          <w:szCs w:val="20"/>
          <w:lang w:val="es-US" w:eastAsia="es-ES"/>
        </w:rPr>
        <w:t xml:space="preserve">del departamento </w:t>
      </w:r>
      <w:r w:rsidR="007D2D1B" w:rsidRPr="00930562">
        <w:rPr>
          <w:rFonts w:asciiTheme="majorHAnsi" w:eastAsiaTheme="minorEastAsia" w:hAnsiTheme="majorHAnsi" w:cs="Calibri"/>
          <w:szCs w:val="20"/>
          <w:lang w:val="es-US" w:eastAsia="es-ES"/>
        </w:rPr>
        <w:t>en</w:t>
      </w:r>
      <w:r w:rsidR="008F0DD5" w:rsidRPr="00930562">
        <w:rPr>
          <w:rFonts w:asciiTheme="majorHAnsi" w:eastAsiaTheme="minorEastAsia" w:hAnsiTheme="majorHAnsi" w:cs="Calibri"/>
          <w:szCs w:val="20"/>
          <w:lang w:val="es-US" w:eastAsia="es-ES"/>
        </w:rPr>
        <w:t xml:space="preserve"> detenciones, arrestos y el uso de la fuerza</w:t>
      </w:r>
      <w:r w:rsidR="00462005" w:rsidRPr="00930562">
        <w:rPr>
          <w:rFonts w:asciiTheme="majorHAnsi" w:eastAsiaTheme="minorEastAsia" w:hAnsiTheme="majorHAnsi" w:cs="Calibri"/>
          <w:szCs w:val="20"/>
          <w:lang w:val="es-US" w:eastAsia="es-ES"/>
        </w:rPr>
        <w:t>, que impactan</w:t>
      </w:r>
      <w:r w:rsidR="008F0DD5" w:rsidRPr="00930562">
        <w:rPr>
          <w:rFonts w:asciiTheme="majorHAnsi" w:eastAsiaTheme="minorEastAsia" w:hAnsiTheme="majorHAnsi" w:cs="Calibri"/>
          <w:szCs w:val="20"/>
          <w:lang w:val="es-US" w:eastAsia="es-ES"/>
        </w:rPr>
        <w:t xml:space="preserve"> </w:t>
      </w:r>
      <w:r w:rsidR="007D2D1B" w:rsidRPr="00930562">
        <w:rPr>
          <w:rFonts w:asciiTheme="majorHAnsi" w:eastAsiaTheme="minorEastAsia" w:hAnsiTheme="majorHAnsi" w:cs="Calibri"/>
          <w:szCs w:val="20"/>
          <w:lang w:val="es-US" w:eastAsia="es-ES"/>
        </w:rPr>
        <w:t>de manera</w:t>
      </w:r>
      <w:r w:rsidR="008F0DD5" w:rsidRPr="00930562">
        <w:rPr>
          <w:rFonts w:asciiTheme="majorHAnsi" w:eastAsiaTheme="minorEastAsia" w:hAnsiTheme="majorHAnsi" w:cs="Calibri"/>
          <w:szCs w:val="20"/>
          <w:lang w:val="es-US" w:eastAsia="es-ES"/>
        </w:rPr>
        <w:t xml:space="preserve"> desproporcionada a los afroamericanos. El </w:t>
      </w:r>
      <w:r w:rsidR="00462005" w:rsidRPr="00930562">
        <w:rPr>
          <w:rFonts w:asciiTheme="majorHAnsi" w:eastAsiaTheme="minorEastAsia" w:hAnsiTheme="majorHAnsi" w:cs="Calibri"/>
          <w:szCs w:val="20"/>
          <w:lang w:val="es-US" w:eastAsia="es-ES"/>
        </w:rPr>
        <w:t xml:space="preserve">Departamento de Justicia </w:t>
      </w:r>
      <w:r w:rsidR="008F0DD5" w:rsidRPr="00930562">
        <w:rPr>
          <w:rFonts w:asciiTheme="majorHAnsi" w:eastAsiaTheme="minorEastAsia" w:hAnsiTheme="majorHAnsi" w:cs="Calibri"/>
          <w:szCs w:val="20"/>
          <w:lang w:val="es-US" w:eastAsia="es-ES"/>
        </w:rPr>
        <w:t xml:space="preserve">también determinó que el sistema judicial municipal prioriza sistemáticamente los ingresos sobre la seguridad pública, lo que lleva a prácticas judiciales que violan la </w:t>
      </w:r>
      <w:r w:rsidR="00462005" w:rsidRPr="00930562">
        <w:rPr>
          <w:rFonts w:asciiTheme="majorHAnsi" w:eastAsiaTheme="minorEastAsia" w:hAnsiTheme="majorHAnsi" w:cs="Calibri"/>
          <w:szCs w:val="20"/>
          <w:lang w:val="es-US" w:eastAsia="es-ES"/>
        </w:rPr>
        <w:t>Decimocuarta Enmienda,</w:t>
      </w:r>
      <w:r w:rsidR="008F0DD5" w:rsidRPr="00930562">
        <w:rPr>
          <w:rFonts w:asciiTheme="majorHAnsi" w:eastAsiaTheme="minorEastAsia" w:hAnsiTheme="majorHAnsi" w:cs="Calibri"/>
          <w:szCs w:val="20"/>
          <w:lang w:val="es-US" w:eastAsia="es-ES"/>
        </w:rPr>
        <w:t xml:space="preserve"> y que estas prácticas judiciales afectan particularmente a los residentes más vulnerables de Ferguson, especialmente aquellos que viven en la pobreza o </w:t>
      </w:r>
      <w:r w:rsidR="007D2D1B" w:rsidRPr="00930562">
        <w:rPr>
          <w:rFonts w:asciiTheme="majorHAnsi" w:eastAsiaTheme="minorEastAsia" w:hAnsiTheme="majorHAnsi" w:cs="Calibri"/>
          <w:szCs w:val="20"/>
          <w:lang w:val="es-US" w:eastAsia="es-ES"/>
        </w:rPr>
        <w:t>en niveles cercanos a la pobreza</w:t>
      </w:r>
      <w:r w:rsidR="008F0DD5" w:rsidRPr="00930562">
        <w:rPr>
          <w:rFonts w:asciiTheme="majorHAnsi" w:eastAsiaTheme="minorEastAsia" w:hAnsiTheme="majorHAnsi" w:cs="Calibri"/>
          <w:szCs w:val="20"/>
          <w:lang w:val="es-US" w:eastAsia="es-ES"/>
        </w:rPr>
        <w:t>.</w:t>
      </w:r>
      <w:r w:rsidR="0013380B" w:rsidRPr="00930562">
        <w:rPr>
          <w:rFonts w:asciiTheme="majorHAnsi" w:eastAsiaTheme="minorEastAsia" w:hAnsiTheme="majorHAnsi" w:cs="Calibri"/>
          <w:szCs w:val="20"/>
          <w:lang w:val="es-US" w:eastAsia="es-ES"/>
        </w:rPr>
        <w:t xml:space="preserve"> </w:t>
      </w:r>
      <w:r w:rsidR="007D2D1B" w:rsidRPr="00930562">
        <w:rPr>
          <w:rFonts w:asciiTheme="majorHAnsi" w:eastAsiaTheme="minorEastAsia" w:hAnsiTheme="majorHAnsi" w:cs="Calibri"/>
          <w:szCs w:val="20"/>
          <w:lang w:val="es-US" w:eastAsia="es-ES"/>
        </w:rPr>
        <w:t>En</w:t>
      </w:r>
      <w:r w:rsidR="0013380B" w:rsidRPr="00930562">
        <w:rPr>
          <w:rFonts w:asciiTheme="majorHAnsi" w:eastAsiaTheme="minorEastAsia" w:hAnsiTheme="majorHAnsi" w:cs="Calibri"/>
          <w:szCs w:val="20"/>
          <w:lang w:val="es-US" w:eastAsia="es-ES"/>
        </w:rPr>
        <w:t xml:space="preserve"> Ferguson, </w:t>
      </w:r>
      <w:r w:rsidR="007D2D1B" w:rsidRPr="00930562">
        <w:rPr>
          <w:rFonts w:asciiTheme="majorHAnsi" w:eastAsiaTheme="minorEastAsia" w:hAnsiTheme="majorHAnsi" w:cs="Calibri"/>
          <w:szCs w:val="20"/>
          <w:lang w:val="es-US" w:eastAsia="es-ES"/>
        </w:rPr>
        <w:t>se pueden imponer multas</w:t>
      </w:r>
      <w:bookmarkEnd w:id="69"/>
      <w:r w:rsidR="0013380B" w:rsidRPr="00930562">
        <w:rPr>
          <w:rFonts w:asciiTheme="majorHAnsi" w:eastAsiaTheme="minorEastAsia" w:hAnsiTheme="majorHAnsi" w:cs="Calibri"/>
          <w:szCs w:val="20"/>
          <w:lang w:val="es-US" w:eastAsia="es-ES"/>
        </w:rPr>
        <w:t xml:space="preserve">: </w:t>
      </w:r>
    </w:p>
    <w:p w14:paraId="7D4079D3" w14:textId="7D538E93" w:rsidR="0013380B" w:rsidRPr="00930562" w:rsidRDefault="00F7206A" w:rsidP="0013380B">
      <w:pPr>
        <w:spacing w:after="240" w:line="240" w:lineRule="auto"/>
        <w:ind w:left="1166" w:right="619"/>
        <w:jc w:val="both"/>
        <w:rPr>
          <w:rFonts w:asciiTheme="majorHAnsi" w:eastAsia="Times New Roman" w:hAnsiTheme="majorHAnsi"/>
          <w:szCs w:val="18"/>
          <w:lang w:val="es-US" w:eastAsia="es-ES"/>
        </w:rPr>
      </w:pPr>
      <w:proofErr w:type="gramStart"/>
      <w:r w:rsidRPr="00930562">
        <w:rPr>
          <w:rFonts w:asciiTheme="majorHAnsi" w:eastAsia="Times New Roman" w:hAnsiTheme="majorHAnsi"/>
          <w:szCs w:val="18"/>
          <w:lang w:val="es-US" w:eastAsia="es-ES"/>
        </w:rPr>
        <w:t>por</w:t>
      </w:r>
      <w:proofErr w:type="gramEnd"/>
      <w:r w:rsidRPr="00930562">
        <w:rPr>
          <w:rFonts w:asciiTheme="majorHAnsi" w:eastAsia="Times New Roman" w:hAnsiTheme="majorHAnsi"/>
          <w:szCs w:val="18"/>
          <w:lang w:val="es-US" w:eastAsia="es-ES"/>
        </w:rPr>
        <w:t xml:space="preserve"> ofensas tan menores como no detenerse en una señal de alto o no inscribirse en el servicio de recolección de basura correcto. En Ferguson, los residentes que se atrasan en multas y no comparecen ante el tribunal después de que se expida una orden de detención (o lleguen a la corte después de que se cierren las puertas del tribunal, lo que suele suceder sólo cinco minutos después de que la sesión comience</w:t>
      </w:r>
      <w:r w:rsidR="00462005" w:rsidRPr="00930562">
        <w:rPr>
          <w:rFonts w:asciiTheme="majorHAnsi" w:eastAsia="Times New Roman" w:hAnsiTheme="majorHAnsi"/>
          <w:szCs w:val="18"/>
          <w:lang w:val="es-US" w:eastAsia="es-ES"/>
        </w:rPr>
        <w:t xml:space="preserve"> en ese día</w:t>
      </w:r>
      <w:r w:rsidRPr="00930562">
        <w:rPr>
          <w:rFonts w:asciiTheme="majorHAnsi" w:eastAsia="Times New Roman" w:hAnsiTheme="majorHAnsi"/>
          <w:szCs w:val="18"/>
          <w:lang w:val="es-US" w:eastAsia="es-ES"/>
        </w:rPr>
        <w:t xml:space="preserve">) se cobra una multa adicional de $120 a $130, junto con una tarifa de $50 por una nueva orden de detención y 56 centavos por cada milla que maneja la policía para realizarla. Una vez arrestados, todos los que no pueden pagar sus multas o pagar una fianza (que generalmente se iguala a la cantidad de su deuda total) son encarcelados hasta la próxima sesión judicial (que ocurre tres veces al mes). </w:t>
      </w:r>
      <w:r w:rsidR="00462005" w:rsidRPr="00930562">
        <w:rPr>
          <w:rFonts w:asciiTheme="majorHAnsi" w:eastAsia="Times New Roman" w:hAnsiTheme="majorHAnsi"/>
          <w:szCs w:val="18"/>
          <w:lang w:val="es-US" w:eastAsia="es-ES"/>
        </w:rPr>
        <w:t>A c</w:t>
      </w:r>
      <w:r w:rsidRPr="00930562">
        <w:rPr>
          <w:rFonts w:asciiTheme="majorHAnsi" w:eastAsia="Times New Roman" w:hAnsiTheme="majorHAnsi"/>
          <w:szCs w:val="18"/>
          <w:lang w:val="es-US" w:eastAsia="es-ES"/>
        </w:rPr>
        <w:t>ualquier</w:t>
      </w:r>
      <w:r w:rsidR="00462005" w:rsidRPr="00930562">
        <w:rPr>
          <w:rFonts w:asciiTheme="majorHAnsi" w:eastAsia="Times New Roman" w:hAnsiTheme="majorHAnsi"/>
          <w:szCs w:val="18"/>
          <w:lang w:val="es-US" w:eastAsia="es-ES"/>
        </w:rPr>
        <w:t xml:space="preserve"> persona</w:t>
      </w:r>
      <w:r w:rsidRPr="00930562">
        <w:rPr>
          <w:rFonts w:asciiTheme="majorHAnsi" w:eastAsia="Times New Roman" w:hAnsiTheme="majorHAnsi"/>
          <w:szCs w:val="18"/>
          <w:lang w:val="es-US" w:eastAsia="es-ES"/>
        </w:rPr>
        <w:t xml:space="preserve"> que sea encarcelad</w:t>
      </w:r>
      <w:r w:rsidR="00462005" w:rsidRPr="00930562">
        <w:rPr>
          <w:rFonts w:asciiTheme="majorHAnsi" w:eastAsia="Times New Roman" w:hAnsiTheme="majorHAnsi"/>
          <w:szCs w:val="18"/>
          <w:lang w:val="es-US" w:eastAsia="es-ES"/>
        </w:rPr>
        <w:t>a</w:t>
      </w:r>
      <w:r w:rsidRPr="00930562">
        <w:rPr>
          <w:rFonts w:asciiTheme="majorHAnsi" w:eastAsia="Times New Roman" w:hAnsiTheme="majorHAnsi"/>
          <w:szCs w:val="18"/>
          <w:lang w:val="es-US" w:eastAsia="es-ES"/>
        </w:rPr>
        <w:t>, la cárcel le cobra entre $30 y $60 por noche. Si un</w:t>
      </w:r>
      <w:r w:rsidR="00462005" w:rsidRPr="00930562">
        <w:rPr>
          <w:rFonts w:asciiTheme="majorHAnsi" w:eastAsia="Times New Roman" w:hAnsiTheme="majorHAnsi"/>
          <w:szCs w:val="18"/>
          <w:lang w:val="es-US" w:eastAsia="es-ES"/>
        </w:rPr>
        <w:t>a persona</w:t>
      </w:r>
      <w:r w:rsidRPr="00930562">
        <w:rPr>
          <w:rFonts w:asciiTheme="majorHAnsi" w:eastAsia="Times New Roman" w:hAnsiTheme="majorHAnsi"/>
          <w:szCs w:val="18"/>
          <w:lang w:val="es-US" w:eastAsia="es-ES"/>
        </w:rPr>
        <w:t xml:space="preserve"> arrestad</w:t>
      </w:r>
      <w:r w:rsidR="00462005" w:rsidRPr="00930562">
        <w:rPr>
          <w:rFonts w:asciiTheme="majorHAnsi" w:eastAsia="Times New Roman" w:hAnsiTheme="majorHAnsi"/>
          <w:szCs w:val="18"/>
          <w:lang w:val="es-US" w:eastAsia="es-ES"/>
        </w:rPr>
        <w:t>a</w:t>
      </w:r>
      <w:r w:rsidRPr="00930562">
        <w:rPr>
          <w:rFonts w:asciiTheme="majorHAnsi" w:eastAsia="Times New Roman" w:hAnsiTheme="majorHAnsi"/>
          <w:szCs w:val="18"/>
          <w:lang w:val="es-US" w:eastAsia="es-ES"/>
        </w:rPr>
        <w:t xml:space="preserve"> debe multas en más de uno de los ochenta y un juzgados municipales del Condado de St. Louis, </w:t>
      </w:r>
      <w:r w:rsidR="00462005" w:rsidRPr="00930562">
        <w:rPr>
          <w:rFonts w:asciiTheme="majorHAnsi" w:eastAsia="Times New Roman" w:hAnsiTheme="majorHAnsi"/>
          <w:szCs w:val="18"/>
          <w:lang w:val="es-US" w:eastAsia="es-ES"/>
        </w:rPr>
        <w:lastRenderedPageBreak/>
        <w:t xml:space="preserve">la </w:t>
      </w:r>
      <w:r w:rsidRPr="00930562">
        <w:rPr>
          <w:rFonts w:asciiTheme="majorHAnsi" w:eastAsia="Times New Roman" w:hAnsiTheme="majorHAnsi"/>
          <w:szCs w:val="18"/>
          <w:lang w:val="es-US" w:eastAsia="es-ES"/>
        </w:rPr>
        <w:t>pasan de una cárcel a otra para esperar las audiencias en cada pueblo.</w:t>
      </w:r>
      <w:r w:rsidR="0013380B" w:rsidRPr="00930562">
        <w:rPr>
          <w:rStyle w:val="FootnoteReference"/>
          <w:rFonts w:asciiTheme="majorHAnsi" w:eastAsia="Times New Roman" w:hAnsiTheme="majorHAnsi"/>
          <w:szCs w:val="18"/>
          <w:lang w:val="es-US" w:eastAsia="es-ES"/>
        </w:rPr>
        <w:footnoteReference w:id="153"/>
      </w:r>
    </w:p>
    <w:p w14:paraId="2D8E9248" w14:textId="77777777" w:rsidR="0013380B" w:rsidRPr="00930562" w:rsidRDefault="0001631B" w:rsidP="00724857">
      <w:pPr>
        <w:pStyle w:val="ListParagraph"/>
        <w:numPr>
          <w:ilvl w:val="0"/>
          <w:numId w:val="2"/>
        </w:numPr>
        <w:spacing w:after="240" w:line="240" w:lineRule="auto"/>
        <w:ind w:left="547" w:hanging="547"/>
        <w:contextualSpacing w:val="0"/>
        <w:jc w:val="both"/>
        <w:rPr>
          <w:rFonts w:asciiTheme="majorHAnsi" w:eastAsiaTheme="minorEastAsia" w:hAnsiTheme="majorHAnsi" w:cs="Calibri"/>
          <w:szCs w:val="20"/>
          <w:lang w:val="es-US" w:eastAsia="es-ES"/>
        </w:rPr>
      </w:pPr>
      <w:r w:rsidRPr="00930562">
        <w:rPr>
          <w:rFonts w:asciiTheme="majorHAnsi" w:eastAsiaTheme="minorEastAsia" w:hAnsiTheme="majorHAnsi" w:cs="Calibri"/>
          <w:szCs w:val="20"/>
          <w:lang w:val="es-US" w:eastAsia="es-ES"/>
        </w:rPr>
        <w:t xml:space="preserve">De esta manera, las ofensas menores pueden generar deudas agobiantes, resultar en encarcelamiento debido a la incapacidad de pago e implicar la pérdida de una licencia de conducir, empleo o vivienda; en su conjunto, estos pueden ser un elemento importante a considerar en el análisis de la pobreza racial. </w:t>
      </w:r>
    </w:p>
    <w:p w14:paraId="518EAD18" w14:textId="1FAD653F" w:rsidR="0013380B" w:rsidRPr="00930562" w:rsidRDefault="003176F7" w:rsidP="00724857">
      <w:pPr>
        <w:pStyle w:val="ListParagraph"/>
        <w:numPr>
          <w:ilvl w:val="0"/>
          <w:numId w:val="2"/>
        </w:numPr>
        <w:spacing w:after="240" w:line="240" w:lineRule="auto"/>
        <w:ind w:left="547" w:hanging="547"/>
        <w:contextualSpacing w:val="0"/>
        <w:jc w:val="both"/>
        <w:rPr>
          <w:rFonts w:asciiTheme="majorHAnsi" w:eastAsiaTheme="minorEastAsia" w:hAnsiTheme="majorHAnsi" w:cs="Calibri"/>
          <w:szCs w:val="20"/>
          <w:lang w:val="es-US" w:eastAsia="es-ES"/>
        </w:rPr>
      </w:pPr>
      <w:bookmarkStart w:id="70" w:name="_Ref511834782"/>
      <w:r w:rsidRPr="00930562">
        <w:rPr>
          <w:rFonts w:asciiTheme="majorHAnsi" w:eastAsiaTheme="minorEastAsia" w:hAnsiTheme="majorHAnsi" w:cs="Calibri"/>
          <w:szCs w:val="20"/>
          <w:lang w:val="es-US" w:eastAsia="es-ES"/>
        </w:rPr>
        <w:t xml:space="preserve">Adicionalmente, el </w:t>
      </w:r>
      <w:r w:rsidR="00462005" w:rsidRPr="00930562">
        <w:rPr>
          <w:rFonts w:asciiTheme="majorHAnsi" w:eastAsiaTheme="minorEastAsia" w:hAnsiTheme="majorHAnsi" w:cs="Calibri"/>
          <w:szCs w:val="20"/>
          <w:lang w:val="es-US" w:eastAsia="es-ES"/>
        </w:rPr>
        <w:t xml:space="preserve">Departamento </w:t>
      </w:r>
      <w:r w:rsidRPr="00930562">
        <w:rPr>
          <w:rFonts w:asciiTheme="majorHAnsi" w:eastAsiaTheme="minorEastAsia" w:hAnsiTheme="majorHAnsi" w:cs="Calibri"/>
          <w:szCs w:val="20"/>
          <w:lang w:val="es-US" w:eastAsia="es-ES"/>
        </w:rPr>
        <w:t xml:space="preserve">de Justicia </w:t>
      </w:r>
      <w:r w:rsidR="00757A5C" w:rsidRPr="00930562">
        <w:rPr>
          <w:rFonts w:asciiTheme="majorHAnsi" w:eastAsiaTheme="minorEastAsia" w:hAnsiTheme="majorHAnsi" w:cs="Calibri"/>
          <w:szCs w:val="20"/>
          <w:lang w:val="es-US" w:eastAsia="es-ES"/>
        </w:rPr>
        <w:t>concluyó</w:t>
      </w:r>
      <w:r w:rsidRPr="00930562">
        <w:rPr>
          <w:rFonts w:asciiTheme="majorHAnsi" w:eastAsiaTheme="minorEastAsia" w:hAnsiTheme="majorHAnsi" w:cs="Calibri"/>
          <w:szCs w:val="20"/>
          <w:lang w:val="es-US" w:eastAsia="es-ES"/>
        </w:rPr>
        <w:t xml:space="preserve"> que los daños descritos recaen de manera desproporcionada en los afroamericanos debido, al menos en parte, a la discriminación intencional, como lo demuestra la evidencia directa de prejuicios raciales y estereotipos sobre los afroamericanos por parte de ciertas autoridades policiales y de la corte municipal de Ferguson.</w:t>
      </w:r>
      <w:r w:rsidR="0013380B" w:rsidRPr="00930562">
        <w:rPr>
          <w:rFonts w:asciiTheme="majorHAnsi" w:hAnsiTheme="majorHAnsi"/>
          <w:vertAlign w:val="superscript"/>
          <w:lang w:val="es-US"/>
        </w:rPr>
        <w:footnoteReference w:id="154"/>
      </w:r>
      <w:r w:rsidR="0013380B" w:rsidRPr="00930562">
        <w:rPr>
          <w:rFonts w:asciiTheme="majorHAnsi" w:eastAsiaTheme="minorEastAsia" w:hAnsiTheme="majorHAnsi" w:cs="Calibri"/>
          <w:szCs w:val="20"/>
          <w:lang w:val="es-US" w:eastAsia="es-ES"/>
        </w:rPr>
        <w:t xml:space="preserve"> </w:t>
      </w:r>
      <w:r w:rsidR="00757A5C" w:rsidRPr="00930562">
        <w:rPr>
          <w:rFonts w:asciiTheme="majorHAnsi" w:eastAsiaTheme="minorEastAsia" w:hAnsiTheme="majorHAnsi" w:cs="Calibri"/>
          <w:szCs w:val="20"/>
          <w:lang w:val="es-US" w:eastAsia="es-ES"/>
        </w:rPr>
        <w:t>Concretamente</w:t>
      </w:r>
      <w:r w:rsidR="0013380B" w:rsidRPr="00930562">
        <w:rPr>
          <w:rFonts w:asciiTheme="majorHAnsi" w:eastAsiaTheme="minorEastAsia" w:hAnsiTheme="majorHAnsi" w:cs="Calibri"/>
          <w:szCs w:val="20"/>
          <w:lang w:val="es-US" w:eastAsia="es-ES"/>
        </w:rPr>
        <w:t xml:space="preserve">, </w:t>
      </w:r>
      <w:r w:rsidR="00757A5C" w:rsidRPr="00930562">
        <w:rPr>
          <w:rFonts w:asciiTheme="majorHAnsi" w:eastAsiaTheme="minorEastAsia" w:hAnsiTheme="majorHAnsi" w:cs="Calibri"/>
          <w:szCs w:val="20"/>
          <w:lang w:val="es-US" w:eastAsia="es-ES"/>
        </w:rPr>
        <w:t>los afroamericanos</w:t>
      </w:r>
      <w:r w:rsidR="0013380B" w:rsidRPr="00930562">
        <w:rPr>
          <w:rFonts w:asciiTheme="majorHAnsi" w:eastAsiaTheme="minorEastAsia" w:hAnsiTheme="majorHAnsi" w:cs="Calibri"/>
          <w:szCs w:val="20"/>
          <w:lang w:val="es-US" w:eastAsia="es-ES"/>
        </w:rPr>
        <w:t xml:space="preserve"> </w:t>
      </w:r>
      <w:r w:rsidR="00757A5C" w:rsidRPr="00930562">
        <w:rPr>
          <w:rFonts w:asciiTheme="majorHAnsi" w:eastAsiaTheme="minorEastAsia" w:hAnsiTheme="majorHAnsi" w:cs="Calibri"/>
          <w:szCs w:val="20"/>
          <w:lang w:val="es-US" w:eastAsia="es-ES"/>
        </w:rPr>
        <w:t>constituyen aproximadamente el</w:t>
      </w:r>
      <w:r w:rsidR="0013380B" w:rsidRPr="00930562">
        <w:rPr>
          <w:rFonts w:asciiTheme="majorHAnsi" w:eastAsiaTheme="minorEastAsia" w:hAnsiTheme="majorHAnsi" w:cs="Calibri"/>
          <w:szCs w:val="20"/>
          <w:lang w:val="es-US" w:eastAsia="es-ES"/>
        </w:rPr>
        <w:t xml:space="preserve"> 67 </w:t>
      </w:r>
      <w:r w:rsidR="00757A5C" w:rsidRPr="00930562">
        <w:rPr>
          <w:rFonts w:asciiTheme="majorHAnsi" w:eastAsiaTheme="minorEastAsia" w:hAnsiTheme="majorHAnsi" w:cs="Calibri"/>
          <w:szCs w:val="20"/>
          <w:lang w:val="es-US" w:eastAsia="es-ES"/>
        </w:rPr>
        <w:t xml:space="preserve">por ciento de la población de </w:t>
      </w:r>
      <w:r w:rsidR="0013380B" w:rsidRPr="00930562">
        <w:rPr>
          <w:rFonts w:asciiTheme="majorHAnsi" w:eastAsiaTheme="minorEastAsia" w:hAnsiTheme="majorHAnsi" w:cs="Calibri"/>
          <w:szCs w:val="20"/>
          <w:lang w:val="es-US" w:eastAsia="es-ES"/>
        </w:rPr>
        <w:t>Ferguson</w:t>
      </w:r>
      <w:r w:rsidR="00757A5C" w:rsidRPr="00930562">
        <w:rPr>
          <w:rFonts w:asciiTheme="majorHAnsi" w:eastAsiaTheme="minorEastAsia" w:hAnsiTheme="majorHAnsi" w:cs="Calibri"/>
          <w:szCs w:val="20"/>
          <w:lang w:val="es-US" w:eastAsia="es-ES"/>
        </w:rPr>
        <w:t xml:space="preserve">, pero representaron el 93 por ciento de los arrestados desde 2012 hasta </w:t>
      </w:r>
      <w:r w:rsidR="0013380B" w:rsidRPr="00930562">
        <w:rPr>
          <w:rFonts w:asciiTheme="majorHAnsi" w:eastAsiaTheme="minorEastAsia" w:hAnsiTheme="majorHAnsi" w:cs="Calibri"/>
          <w:szCs w:val="20"/>
          <w:lang w:val="es-US" w:eastAsia="es-ES"/>
        </w:rPr>
        <w:t xml:space="preserve">2014. </w:t>
      </w:r>
      <w:r w:rsidR="00757A5C" w:rsidRPr="00930562">
        <w:rPr>
          <w:rFonts w:asciiTheme="majorHAnsi" w:eastAsiaTheme="minorEastAsia" w:hAnsiTheme="majorHAnsi" w:cs="Calibri"/>
          <w:szCs w:val="20"/>
          <w:lang w:val="es-US" w:eastAsia="es-ES"/>
        </w:rPr>
        <w:t xml:space="preserve">El </w:t>
      </w:r>
      <w:r w:rsidR="00462005" w:rsidRPr="00930562">
        <w:rPr>
          <w:rFonts w:asciiTheme="majorHAnsi" w:eastAsiaTheme="minorEastAsia" w:hAnsiTheme="majorHAnsi" w:cs="Calibri"/>
          <w:szCs w:val="20"/>
          <w:lang w:val="es-US" w:eastAsia="es-ES"/>
        </w:rPr>
        <w:t xml:space="preserve">Departamento </w:t>
      </w:r>
      <w:r w:rsidR="00757A5C" w:rsidRPr="00930562">
        <w:rPr>
          <w:rFonts w:asciiTheme="majorHAnsi" w:eastAsiaTheme="minorEastAsia" w:hAnsiTheme="majorHAnsi" w:cs="Calibri"/>
          <w:szCs w:val="20"/>
          <w:lang w:val="es-US" w:eastAsia="es-ES"/>
        </w:rPr>
        <w:t>de Justicia encontró que</w:t>
      </w:r>
      <w:r w:rsidR="0013380B" w:rsidRPr="00930562">
        <w:rPr>
          <w:rFonts w:asciiTheme="majorHAnsi" w:eastAsiaTheme="minorEastAsia" w:hAnsiTheme="majorHAnsi" w:cs="Calibri"/>
          <w:szCs w:val="20"/>
          <w:lang w:val="es-US" w:eastAsia="es-ES"/>
        </w:rPr>
        <w:t xml:space="preserve"> </w:t>
      </w:r>
      <w:r w:rsidR="00757A5C" w:rsidRPr="00930562">
        <w:rPr>
          <w:rFonts w:asciiTheme="majorHAnsi" w:eastAsiaTheme="minorEastAsia" w:hAnsiTheme="majorHAnsi" w:cs="Calibri"/>
          <w:szCs w:val="20"/>
          <w:lang w:val="es-US" w:eastAsia="es-ES"/>
        </w:rPr>
        <w:t xml:space="preserve">los afroamericanos representaron el </w:t>
      </w:r>
      <w:r w:rsidR="0013380B" w:rsidRPr="00930562">
        <w:rPr>
          <w:rFonts w:asciiTheme="majorHAnsi" w:eastAsiaTheme="minorEastAsia" w:hAnsiTheme="majorHAnsi" w:cs="Calibri"/>
          <w:szCs w:val="20"/>
          <w:lang w:val="es-US" w:eastAsia="es-ES"/>
        </w:rPr>
        <w:t xml:space="preserve">85 </w:t>
      </w:r>
      <w:r w:rsidR="00757A5C" w:rsidRPr="00930562">
        <w:rPr>
          <w:rFonts w:asciiTheme="majorHAnsi" w:eastAsiaTheme="minorEastAsia" w:hAnsiTheme="majorHAnsi" w:cs="Calibri"/>
          <w:szCs w:val="20"/>
          <w:lang w:val="es-US" w:eastAsia="es-ES"/>
        </w:rPr>
        <w:t>por ciento</w:t>
      </w:r>
      <w:r w:rsidR="0013380B" w:rsidRPr="00930562">
        <w:rPr>
          <w:rFonts w:asciiTheme="majorHAnsi" w:eastAsiaTheme="minorEastAsia" w:hAnsiTheme="majorHAnsi" w:cs="Calibri"/>
          <w:szCs w:val="20"/>
          <w:lang w:val="es-US" w:eastAsia="es-ES"/>
        </w:rPr>
        <w:t xml:space="preserve"> </w:t>
      </w:r>
      <w:r w:rsidR="00757A5C" w:rsidRPr="00930562">
        <w:rPr>
          <w:rFonts w:asciiTheme="majorHAnsi" w:eastAsiaTheme="minorEastAsia" w:hAnsiTheme="majorHAnsi" w:cs="Calibri"/>
          <w:szCs w:val="20"/>
          <w:lang w:val="es-US" w:eastAsia="es-ES"/>
        </w:rPr>
        <w:t>de todos los vehículos detenidos</w:t>
      </w:r>
      <w:r w:rsidR="0013380B" w:rsidRPr="00930562">
        <w:rPr>
          <w:rFonts w:asciiTheme="majorHAnsi" w:eastAsiaTheme="minorEastAsia" w:hAnsiTheme="majorHAnsi" w:cs="Calibri"/>
          <w:szCs w:val="20"/>
          <w:lang w:val="es-US" w:eastAsia="es-ES"/>
        </w:rPr>
        <w:t xml:space="preserve">, </w:t>
      </w:r>
      <w:r w:rsidR="00757A5C" w:rsidRPr="00930562">
        <w:rPr>
          <w:rFonts w:asciiTheme="majorHAnsi" w:eastAsiaTheme="minorEastAsia" w:hAnsiTheme="majorHAnsi" w:cs="Calibri"/>
          <w:szCs w:val="20"/>
          <w:lang w:val="es-US" w:eastAsia="es-ES"/>
        </w:rPr>
        <w:t xml:space="preserve">el </w:t>
      </w:r>
      <w:r w:rsidR="0013380B" w:rsidRPr="00930562">
        <w:rPr>
          <w:rFonts w:asciiTheme="majorHAnsi" w:eastAsiaTheme="minorEastAsia" w:hAnsiTheme="majorHAnsi" w:cs="Calibri"/>
          <w:szCs w:val="20"/>
          <w:lang w:val="es-US" w:eastAsia="es-ES"/>
        </w:rPr>
        <w:t xml:space="preserve">90 </w:t>
      </w:r>
      <w:r w:rsidR="00757A5C" w:rsidRPr="00930562">
        <w:rPr>
          <w:rFonts w:asciiTheme="majorHAnsi" w:eastAsiaTheme="minorEastAsia" w:hAnsiTheme="majorHAnsi" w:cs="Calibri"/>
          <w:szCs w:val="20"/>
          <w:lang w:val="es-US" w:eastAsia="es-ES"/>
        </w:rPr>
        <w:t>por ciento de</w:t>
      </w:r>
      <w:r w:rsidR="0013380B" w:rsidRPr="00930562">
        <w:rPr>
          <w:rFonts w:asciiTheme="majorHAnsi" w:eastAsiaTheme="minorEastAsia" w:hAnsiTheme="majorHAnsi" w:cs="Calibri"/>
          <w:szCs w:val="20"/>
          <w:lang w:val="es-US" w:eastAsia="es-ES"/>
        </w:rPr>
        <w:t xml:space="preserve"> </w:t>
      </w:r>
      <w:r w:rsidR="00757A5C" w:rsidRPr="00930562">
        <w:rPr>
          <w:rFonts w:asciiTheme="majorHAnsi" w:eastAsiaTheme="minorEastAsia" w:hAnsiTheme="majorHAnsi" w:cs="Calibri"/>
          <w:szCs w:val="20"/>
          <w:lang w:val="es-US" w:eastAsia="es-ES"/>
        </w:rPr>
        <w:t>las citaciones</w:t>
      </w:r>
      <w:r w:rsidR="0013380B" w:rsidRPr="00930562">
        <w:rPr>
          <w:rFonts w:asciiTheme="majorHAnsi" w:eastAsiaTheme="minorEastAsia" w:hAnsiTheme="majorHAnsi" w:cs="Calibri"/>
          <w:szCs w:val="20"/>
          <w:lang w:val="es-US" w:eastAsia="es-ES"/>
        </w:rPr>
        <w:t xml:space="preserve"> </w:t>
      </w:r>
      <w:r w:rsidR="00757A5C" w:rsidRPr="00930562">
        <w:rPr>
          <w:rFonts w:asciiTheme="majorHAnsi" w:eastAsiaTheme="minorEastAsia" w:hAnsiTheme="majorHAnsi" w:cs="Calibri"/>
          <w:szCs w:val="20"/>
          <w:lang w:val="es-US" w:eastAsia="es-ES"/>
        </w:rPr>
        <w:t>y</w:t>
      </w:r>
      <w:r w:rsidR="0013380B" w:rsidRPr="00930562">
        <w:rPr>
          <w:rFonts w:asciiTheme="majorHAnsi" w:eastAsiaTheme="minorEastAsia" w:hAnsiTheme="majorHAnsi" w:cs="Calibri"/>
          <w:szCs w:val="20"/>
          <w:lang w:val="es-US" w:eastAsia="es-ES"/>
        </w:rPr>
        <w:t xml:space="preserve"> 93 </w:t>
      </w:r>
      <w:r w:rsidR="00757A5C" w:rsidRPr="00930562">
        <w:rPr>
          <w:rFonts w:asciiTheme="majorHAnsi" w:eastAsiaTheme="minorEastAsia" w:hAnsiTheme="majorHAnsi" w:cs="Calibri"/>
          <w:szCs w:val="20"/>
          <w:lang w:val="es-US" w:eastAsia="es-ES"/>
        </w:rPr>
        <w:t xml:space="preserve">por ciento de arrestos entre </w:t>
      </w:r>
      <w:r w:rsidR="0013380B" w:rsidRPr="00930562">
        <w:rPr>
          <w:rFonts w:asciiTheme="majorHAnsi" w:eastAsiaTheme="minorEastAsia" w:hAnsiTheme="majorHAnsi" w:cs="Calibri"/>
          <w:szCs w:val="20"/>
          <w:lang w:val="es-US" w:eastAsia="es-ES"/>
        </w:rPr>
        <w:t xml:space="preserve">2012 </w:t>
      </w:r>
      <w:r w:rsidR="00757A5C" w:rsidRPr="00930562">
        <w:rPr>
          <w:rFonts w:asciiTheme="majorHAnsi" w:eastAsiaTheme="minorEastAsia" w:hAnsiTheme="majorHAnsi" w:cs="Calibri"/>
          <w:szCs w:val="20"/>
          <w:lang w:val="es-US" w:eastAsia="es-ES"/>
        </w:rPr>
        <w:t xml:space="preserve">y </w:t>
      </w:r>
      <w:r w:rsidR="0013380B" w:rsidRPr="00930562">
        <w:rPr>
          <w:rFonts w:asciiTheme="majorHAnsi" w:eastAsiaTheme="minorEastAsia" w:hAnsiTheme="majorHAnsi" w:cs="Calibri"/>
          <w:szCs w:val="20"/>
          <w:lang w:val="es-US" w:eastAsia="es-ES"/>
        </w:rPr>
        <w:t>2014.</w:t>
      </w:r>
      <w:r w:rsidR="0013380B" w:rsidRPr="00930562">
        <w:rPr>
          <w:rFonts w:asciiTheme="majorHAnsi" w:eastAsiaTheme="minorEastAsia" w:hAnsiTheme="majorHAnsi" w:cs="Calibri"/>
          <w:szCs w:val="20"/>
          <w:vertAlign w:val="superscript"/>
          <w:lang w:val="es-US" w:eastAsia="es-ES"/>
        </w:rPr>
        <w:footnoteReference w:id="155"/>
      </w:r>
      <w:r w:rsidR="0013380B" w:rsidRPr="00930562">
        <w:rPr>
          <w:rFonts w:asciiTheme="majorHAnsi" w:eastAsiaTheme="minorEastAsia" w:hAnsiTheme="majorHAnsi" w:cs="Calibri"/>
          <w:szCs w:val="20"/>
          <w:lang w:val="es-US" w:eastAsia="es-ES"/>
        </w:rPr>
        <w:t xml:space="preserve"> </w:t>
      </w:r>
      <w:r w:rsidR="00517E51" w:rsidRPr="00930562">
        <w:rPr>
          <w:rFonts w:asciiTheme="majorHAnsi" w:eastAsiaTheme="minorEastAsia" w:hAnsiTheme="majorHAnsi" w:cs="Calibri"/>
          <w:szCs w:val="20"/>
          <w:lang w:val="es-US" w:eastAsia="es-ES"/>
        </w:rPr>
        <w:t xml:space="preserve">El </w:t>
      </w:r>
      <w:r w:rsidR="00462005" w:rsidRPr="00930562">
        <w:rPr>
          <w:rFonts w:asciiTheme="majorHAnsi" w:eastAsiaTheme="minorEastAsia" w:hAnsiTheme="majorHAnsi" w:cs="Calibri"/>
          <w:szCs w:val="20"/>
          <w:lang w:val="es-US" w:eastAsia="es-ES"/>
        </w:rPr>
        <w:t xml:space="preserve">Departamento </w:t>
      </w:r>
      <w:r w:rsidR="00517E51" w:rsidRPr="00930562">
        <w:rPr>
          <w:rFonts w:asciiTheme="majorHAnsi" w:eastAsiaTheme="minorEastAsia" w:hAnsiTheme="majorHAnsi" w:cs="Calibri"/>
          <w:szCs w:val="20"/>
          <w:lang w:val="es-US" w:eastAsia="es-ES"/>
        </w:rPr>
        <w:t xml:space="preserve">de Justicia también </w:t>
      </w:r>
      <w:r w:rsidR="00462005" w:rsidRPr="00930562">
        <w:rPr>
          <w:rFonts w:asciiTheme="majorHAnsi" w:eastAsiaTheme="minorEastAsia" w:hAnsiTheme="majorHAnsi" w:cs="Calibri"/>
          <w:szCs w:val="20"/>
          <w:lang w:val="es-US" w:eastAsia="es-ES"/>
        </w:rPr>
        <w:t xml:space="preserve">encontró </w:t>
      </w:r>
      <w:r w:rsidR="00517E51" w:rsidRPr="00930562">
        <w:rPr>
          <w:rFonts w:asciiTheme="majorHAnsi" w:eastAsiaTheme="minorEastAsia" w:hAnsiTheme="majorHAnsi" w:cs="Calibri"/>
          <w:szCs w:val="20"/>
          <w:lang w:val="es-US" w:eastAsia="es-ES"/>
        </w:rPr>
        <w:t>que los conductores negros tienen el doble de probabilidades de ser detenidos por la policía de Ferguson que los conductores blancos, tienen más probabilidades de ser citados y arrestados luego de una detención, y es más probable que reciban múltiples citaciones sobre un mismo incidente.</w:t>
      </w:r>
      <w:r w:rsidR="0013380B" w:rsidRPr="00930562">
        <w:rPr>
          <w:rFonts w:asciiTheme="majorHAnsi" w:eastAsiaTheme="minorEastAsia" w:hAnsiTheme="majorHAnsi" w:cs="Calibri"/>
          <w:szCs w:val="20"/>
          <w:vertAlign w:val="superscript"/>
          <w:lang w:val="es-US" w:eastAsia="es-ES"/>
        </w:rPr>
        <w:footnoteReference w:id="156"/>
      </w:r>
      <w:r w:rsidR="0013380B" w:rsidRPr="00930562">
        <w:rPr>
          <w:rFonts w:asciiTheme="majorHAnsi" w:eastAsiaTheme="minorEastAsia" w:hAnsiTheme="majorHAnsi" w:cs="Calibri"/>
          <w:szCs w:val="20"/>
          <w:lang w:val="es-US" w:eastAsia="es-ES"/>
        </w:rPr>
        <w:t xml:space="preserve"> </w:t>
      </w:r>
      <w:r w:rsidR="00517E51" w:rsidRPr="00930562">
        <w:rPr>
          <w:rFonts w:asciiTheme="majorHAnsi" w:eastAsiaTheme="minorEastAsia" w:hAnsiTheme="majorHAnsi" w:cs="Calibri"/>
          <w:szCs w:val="20"/>
          <w:lang w:val="es-US" w:eastAsia="es-ES"/>
        </w:rPr>
        <w:t xml:space="preserve">El </w:t>
      </w:r>
      <w:r w:rsidR="00462005" w:rsidRPr="00930562">
        <w:rPr>
          <w:rFonts w:asciiTheme="majorHAnsi" w:eastAsiaTheme="minorEastAsia" w:hAnsiTheme="majorHAnsi" w:cs="Calibri"/>
          <w:szCs w:val="20"/>
          <w:lang w:val="es-US" w:eastAsia="es-ES"/>
        </w:rPr>
        <w:t xml:space="preserve">Departamento </w:t>
      </w:r>
      <w:r w:rsidR="00517E51" w:rsidRPr="00930562">
        <w:rPr>
          <w:rFonts w:asciiTheme="majorHAnsi" w:eastAsiaTheme="minorEastAsia" w:hAnsiTheme="majorHAnsi" w:cs="Calibri"/>
          <w:szCs w:val="20"/>
          <w:lang w:val="es-US" w:eastAsia="es-ES"/>
        </w:rPr>
        <w:t xml:space="preserve">de Justicia consideró que estos patrones constituyeron una violación </w:t>
      </w:r>
      <w:r w:rsidR="0013380B" w:rsidRPr="00930562">
        <w:rPr>
          <w:rFonts w:asciiTheme="majorHAnsi" w:eastAsiaTheme="minorEastAsia" w:hAnsiTheme="majorHAnsi" w:cs="Calibri"/>
          <w:szCs w:val="20"/>
          <w:lang w:val="es-US" w:eastAsia="es-ES"/>
        </w:rPr>
        <w:t>s</w:t>
      </w:r>
      <w:r w:rsidR="00517E51" w:rsidRPr="00930562">
        <w:rPr>
          <w:rFonts w:asciiTheme="majorHAnsi" w:eastAsiaTheme="minorEastAsia" w:hAnsiTheme="majorHAnsi" w:cs="Calibri"/>
          <w:szCs w:val="20"/>
          <w:lang w:val="es-US" w:eastAsia="es-ES"/>
        </w:rPr>
        <w:t>istemática de las Enmiendas Cuarta y Decimocuarta</w:t>
      </w:r>
      <w:r w:rsidR="0013380B" w:rsidRPr="00930562">
        <w:rPr>
          <w:rFonts w:asciiTheme="majorHAnsi" w:eastAsiaTheme="minorEastAsia" w:hAnsiTheme="majorHAnsi" w:cs="Calibri"/>
          <w:szCs w:val="20"/>
          <w:lang w:val="es-US" w:eastAsia="es-ES"/>
        </w:rPr>
        <w:t xml:space="preserve"> </w:t>
      </w:r>
      <w:r w:rsidR="00517E51" w:rsidRPr="00930562">
        <w:rPr>
          <w:rFonts w:asciiTheme="majorHAnsi" w:eastAsiaTheme="minorEastAsia" w:hAnsiTheme="majorHAnsi" w:cs="Calibri"/>
          <w:szCs w:val="20"/>
          <w:lang w:val="es-US" w:eastAsia="es-ES"/>
        </w:rPr>
        <w:t xml:space="preserve">para con los residentes de </w:t>
      </w:r>
      <w:r w:rsidR="0013380B" w:rsidRPr="00930562">
        <w:rPr>
          <w:rFonts w:asciiTheme="majorHAnsi" w:eastAsiaTheme="minorEastAsia" w:hAnsiTheme="majorHAnsi" w:cs="Calibri"/>
          <w:szCs w:val="20"/>
          <w:lang w:val="es-US" w:eastAsia="es-ES"/>
        </w:rPr>
        <w:t xml:space="preserve">Ferguson </w:t>
      </w:r>
      <w:r w:rsidR="00517E51" w:rsidRPr="00930562">
        <w:rPr>
          <w:rFonts w:asciiTheme="majorHAnsi" w:eastAsiaTheme="minorEastAsia" w:hAnsiTheme="majorHAnsi" w:cs="Calibri"/>
          <w:szCs w:val="20"/>
          <w:lang w:val="es-US" w:eastAsia="es-ES"/>
        </w:rPr>
        <w:t>y que los mismos castiga</w:t>
      </w:r>
      <w:r w:rsidR="00462005" w:rsidRPr="00930562">
        <w:rPr>
          <w:rFonts w:asciiTheme="majorHAnsi" w:eastAsiaTheme="minorEastAsia" w:hAnsiTheme="majorHAnsi" w:cs="Calibri"/>
          <w:szCs w:val="20"/>
          <w:lang w:val="es-US" w:eastAsia="es-ES"/>
        </w:rPr>
        <w:t>ba</w:t>
      </w:r>
      <w:r w:rsidR="00517E51" w:rsidRPr="00930562">
        <w:rPr>
          <w:rFonts w:asciiTheme="majorHAnsi" w:eastAsiaTheme="minorEastAsia" w:hAnsiTheme="majorHAnsi" w:cs="Calibri"/>
          <w:szCs w:val="20"/>
          <w:lang w:val="es-US" w:eastAsia="es-ES"/>
        </w:rPr>
        <w:t>n de manera desproporcionada a los afroamericanos</w:t>
      </w:r>
      <w:r w:rsidR="0013380B" w:rsidRPr="00930562">
        <w:rPr>
          <w:rFonts w:asciiTheme="majorHAnsi" w:eastAsiaTheme="minorEastAsia" w:hAnsiTheme="majorHAnsi" w:cs="Calibri"/>
          <w:szCs w:val="20"/>
          <w:lang w:val="es-US" w:eastAsia="es-ES"/>
        </w:rPr>
        <w:t>.</w:t>
      </w:r>
      <w:r w:rsidR="0013380B" w:rsidRPr="00930562">
        <w:rPr>
          <w:rFonts w:asciiTheme="majorHAnsi" w:eastAsiaTheme="minorEastAsia" w:hAnsiTheme="majorHAnsi" w:cs="Calibri"/>
          <w:vertAlign w:val="superscript"/>
          <w:lang w:val="es-US"/>
        </w:rPr>
        <w:footnoteReference w:id="157"/>
      </w:r>
      <w:r w:rsidR="0013380B" w:rsidRPr="00930562">
        <w:rPr>
          <w:rFonts w:asciiTheme="majorHAnsi" w:eastAsiaTheme="minorEastAsia" w:hAnsiTheme="majorHAnsi" w:cs="Calibri"/>
          <w:szCs w:val="20"/>
          <w:lang w:val="es-US" w:eastAsia="es-ES"/>
        </w:rPr>
        <w:t xml:space="preserve"> </w:t>
      </w:r>
      <w:r w:rsidR="00517E51" w:rsidRPr="00930562">
        <w:rPr>
          <w:rFonts w:asciiTheme="majorHAnsi" w:eastAsiaTheme="minorEastAsia" w:hAnsiTheme="majorHAnsi" w:cs="Calibri"/>
          <w:szCs w:val="20"/>
          <w:lang w:val="es-US" w:eastAsia="es-ES"/>
        </w:rPr>
        <w:t>Información disponible indica que esta práctica de utilizar la policía municipal y los sistemas judiciales como generadores de ingresos no se limita a Ferguson, sino que podría ser una práctica más generalizada</w:t>
      </w:r>
      <w:r w:rsidR="0013380B" w:rsidRPr="00930562">
        <w:rPr>
          <w:rFonts w:asciiTheme="majorHAnsi" w:eastAsiaTheme="minorEastAsia" w:hAnsiTheme="majorHAnsi" w:cs="Calibri"/>
          <w:szCs w:val="20"/>
          <w:lang w:val="es-US" w:eastAsia="es-ES"/>
        </w:rPr>
        <w:t>.</w:t>
      </w:r>
      <w:r w:rsidR="0013380B" w:rsidRPr="00930562">
        <w:rPr>
          <w:rFonts w:asciiTheme="majorHAnsi" w:eastAsiaTheme="minorEastAsia" w:hAnsiTheme="majorHAnsi" w:cs="Calibri"/>
          <w:vertAlign w:val="superscript"/>
          <w:lang w:val="es-US"/>
        </w:rPr>
        <w:footnoteReference w:id="158"/>
      </w:r>
      <w:bookmarkEnd w:id="70"/>
    </w:p>
    <w:p w14:paraId="699362DC" w14:textId="77777777" w:rsidR="0013380B" w:rsidRPr="00930562" w:rsidRDefault="00CA028F" w:rsidP="00724857">
      <w:pPr>
        <w:pStyle w:val="ListParagraph"/>
        <w:numPr>
          <w:ilvl w:val="0"/>
          <w:numId w:val="2"/>
        </w:numPr>
        <w:spacing w:after="240" w:line="240" w:lineRule="auto"/>
        <w:ind w:left="547" w:hanging="547"/>
        <w:contextualSpacing w:val="0"/>
        <w:jc w:val="both"/>
        <w:rPr>
          <w:rFonts w:asciiTheme="majorHAnsi" w:eastAsiaTheme="minorEastAsia" w:hAnsiTheme="majorHAnsi" w:cs="Calibri"/>
          <w:szCs w:val="20"/>
          <w:lang w:val="es-US" w:eastAsia="es-ES"/>
        </w:rPr>
      </w:pPr>
      <w:r w:rsidRPr="00930562">
        <w:rPr>
          <w:rFonts w:asciiTheme="majorHAnsi" w:eastAsiaTheme="minorEastAsia" w:hAnsiTheme="majorHAnsi" w:cs="Calibri"/>
          <w:szCs w:val="20"/>
          <w:lang w:val="es-US" w:eastAsia="es-ES"/>
        </w:rPr>
        <w:lastRenderedPageBreak/>
        <w:t>En vista de la información sobre prácticas municipales particulares, la Comisión considera que las políticas de excesiva criminalización de delitos menores pueden afectar desproporcionadamente a los afroamericanos y a otras comunidades de color.</w:t>
      </w:r>
      <w:r w:rsidR="0013380B" w:rsidRPr="00930562">
        <w:rPr>
          <w:rFonts w:asciiTheme="majorHAnsi" w:eastAsiaTheme="minorEastAsia" w:hAnsiTheme="majorHAnsi" w:cs="Calibri"/>
          <w:szCs w:val="20"/>
          <w:lang w:val="es-US" w:eastAsia="es-ES"/>
        </w:rPr>
        <w:t xml:space="preserve"> </w:t>
      </w:r>
      <w:r w:rsidRPr="00930562">
        <w:rPr>
          <w:rFonts w:asciiTheme="majorHAnsi" w:eastAsiaTheme="minorEastAsia" w:hAnsiTheme="majorHAnsi" w:cs="Calibri"/>
          <w:szCs w:val="20"/>
          <w:lang w:val="es-US" w:eastAsia="es-ES"/>
        </w:rPr>
        <w:t xml:space="preserve">En este escenario, la condición de raza a menudo sirve como un indicador y está profundamente relacionada con la pobreza. </w:t>
      </w:r>
      <w:r w:rsidR="00512CC7" w:rsidRPr="00930562">
        <w:rPr>
          <w:rFonts w:asciiTheme="majorHAnsi" w:eastAsiaTheme="minorEastAsia" w:hAnsiTheme="majorHAnsi" w:cs="Calibri"/>
          <w:szCs w:val="20"/>
          <w:lang w:val="es-US" w:eastAsia="es-ES"/>
        </w:rPr>
        <w:t>Dicha situación</w:t>
      </w:r>
      <w:r w:rsidRPr="00930562">
        <w:rPr>
          <w:rFonts w:asciiTheme="majorHAnsi" w:eastAsiaTheme="minorEastAsia" w:hAnsiTheme="majorHAnsi" w:cs="Calibri"/>
          <w:szCs w:val="20"/>
          <w:lang w:val="es-US" w:eastAsia="es-ES"/>
        </w:rPr>
        <w:t xml:space="preserve"> </w:t>
      </w:r>
      <w:r w:rsidR="00512CC7" w:rsidRPr="00930562">
        <w:rPr>
          <w:rFonts w:asciiTheme="majorHAnsi" w:eastAsiaTheme="minorEastAsia" w:hAnsiTheme="majorHAnsi" w:cs="Calibri"/>
          <w:szCs w:val="20"/>
          <w:lang w:val="es-US" w:eastAsia="es-ES"/>
        </w:rPr>
        <w:t xml:space="preserve">se traduce </w:t>
      </w:r>
      <w:r w:rsidRPr="00930562">
        <w:rPr>
          <w:rFonts w:asciiTheme="majorHAnsi" w:eastAsiaTheme="minorEastAsia" w:hAnsiTheme="majorHAnsi" w:cs="Calibri"/>
          <w:szCs w:val="20"/>
          <w:lang w:val="es-US" w:eastAsia="es-ES"/>
        </w:rPr>
        <w:t xml:space="preserve">en el </w:t>
      </w:r>
      <w:r w:rsidR="00512CC7" w:rsidRPr="00930562">
        <w:rPr>
          <w:rFonts w:asciiTheme="majorHAnsi" w:eastAsiaTheme="minorEastAsia" w:hAnsiTheme="majorHAnsi" w:cs="Calibri"/>
          <w:szCs w:val="20"/>
          <w:lang w:val="es-US" w:eastAsia="es-ES"/>
        </w:rPr>
        <w:t xml:space="preserve">incremento de </w:t>
      </w:r>
      <w:r w:rsidRPr="00930562">
        <w:rPr>
          <w:rFonts w:asciiTheme="majorHAnsi" w:eastAsiaTheme="minorEastAsia" w:hAnsiTheme="majorHAnsi" w:cs="Calibri"/>
          <w:szCs w:val="20"/>
          <w:lang w:val="es-US" w:eastAsia="es-ES"/>
        </w:rPr>
        <w:t>multas y arrestos en estas comunidades, creando un círculo vicioso de pobreza y criminalización.</w:t>
      </w:r>
      <w:r w:rsidR="0013380B" w:rsidRPr="00930562">
        <w:rPr>
          <w:rStyle w:val="FootnoteReference"/>
          <w:rFonts w:asciiTheme="majorHAnsi" w:eastAsiaTheme="minorEastAsia" w:hAnsiTheme="majorHAnsi" w:cs="Calibri"/>
          <w:szCs w:val="20"/>
          <w:lang w:val="es-US" w:eastAsia="es-ES"/>
        </w:rPr>
        <w:footnoteReference w:id="159"/>
      </w:r>
      <w:r w:rsidR="0013380B" w:rsidRPr="00930562">
        <w:rPr>
          <w:rFonts w:asciiTheme="majorHAnsi" w:eastAsiaTheme="minorEastAsia" w:hAnsiTheme="majorHAnsi" w:cs="Calibri"/>
          <w:szCs w:val="20"/>
          <w:lang w:val="es-US" w:eastAsia="es-ES"/>
        </w:rPr>
        <w:t xml:space="preserve"> </w:t>
      </w:r>
      <w:r w:rsidR="00512CC7" w:rsidRPr="00930562">
        <w:rPr>
          <w:rFonts w:asciiTheme="majorHAnsi" w:eastAsiaTheme="minorEastAsia" w:hAnsiTheme="majorHAnsi" w:cs="Calibri"/>
          <w:szCs w:val="20"/>
          <w:lang w:val="es-US" w:eastAsia="es-ES"/>
        </w:rPr>
        <w:t xml:space="preserve">La Comisión considera que las prácticas comprobadas de utilizar el control policial como una labor para la recaudación de ingresos en lugar de seguridad pública y seguridad ciudadana presentarían claras amenazas a los derechos a la vida, la libertad personal y la seguridad, </w:t>
      </w:r>
      <w:r w:rsidR="00462005" w:rsidRPr="00930562">
        <w:rPr>
          <w:rFonts w:asciiTheme="majorHAnsi" w:eastAsiaTheme="minorEastAsia" w:hAnsiTheme="majorHAnsi" w:cs="Calibri"/>
          <w:szCs w:val="20"/>
          <w:lang w:val="es-US" w:eastAsia="es-ES"/>
        </w:rPr>
        <w:t xml:space="preserve">el </w:t>
      </w:r>
      <w:r w:rsidR="00512CC7" w:rsidRPr="00930562">
        <w:rPr>
          <w:rFonts w:asciiTheme="majorHAnsi" w:eastAsiaTheme="minorEastAsia" w:hAnsiTheme="majorHAnsi" w:cs="Calibri"/>
          <w:szCs w:val="20"/>
          <w:lang w:val="es-US" w:eastAsia="es-ES"/>
        </w:rPr>
        <w:t xml:space="preserve">debido proceso, </w:t>
      </w:r>
      <w:r w:rsidR="00462005" w:rsidRPr="00930562">
        <w:rPr>
          <w:rFonts w:asciiTheme="majorHAnsi" w:eastAsiaTheme="minorEastAsia" w:hAnsiTheme="majorHAnsi" w:cs="Calibri"/>
          <w:szCs w:val="20"/>
          <w:lang w:val="es-US" w:eastAsia="es-ES"/>
        </w:rPr>
        <w:t xml:space="preserve">la </w:t>
      </w:r>
      <w:r w:rsidR="00512CC7" w:rsidRPr="00930562">
        <w:rPr>
          <w:rFonts w:asciiTheme="majorHAnsi" w:eastAsiaTheme="minorEastAsia" w:hAnsiTheme="majorHAnsi" w:cs="Calibri"/>
          <w:szCs w:val="20"/>
          <w:lang w:val="es-US" w:eastAsia="es-ES"/>
        </w:rPr>
        <w:t xml:space="preserve">privacidad, </w:t>
      </w:r>
      <w:r w:rsidR="00462005" w:rsidRPr="00930562">
        <w:rPr>
          <w:rFonts w:asciiTheme="majorHAnsi" w:eastAsiaTheme="minorEastAsia" w:hAnsiTheme="majorHAnsi" w:cs="Calibri"/>
          <w:szCs w:val="20"/>
          <w:lang w:val="es-US" w:eastAsia="es-ES"/>
        </w:rPr>
        <w:t xml:space="preserve">el </w:t>
      </w:r>
      <w:r w:rsidR="00512CC7" w:rsidRPr="00930562">
        <w:rPr>
          <w:rFonts w:asciiTheme="majorHAnsi" w:eastAsiaTheme="minorEastAsia" w:hAnsiTheme="majorHAnsi" w:cs="Calibri"/>
          <w:szCs w:val="20"/>
          <w:lang w:val="es-US" w:eastAsia="es-ES"/>
        </w:rPr>
        <w:t xml:space="preserve">respeto por el honor y la dignidad, </w:t>
      </w:r>
      <w:r w:rsidR="00462005" w:rsidRPr="00930562">
        <w:rPr>
          <w:rFonts w:asciiTheme="majorHAnsi" w:eastAsiaTheme="minorEastAsia" w:hAnsiTheme="majorHAnsi" w:cs="Calibri"/>
          <w:szCs w:val="20"/>
          <w:lang w:val="es-US" w:eastAsia="es-ES"/>
        </w:rPr>
        <w:t xml:space="preserve">la </w:t>
      </w:r>
      <w:r w:rsidR="00512CC7" w:rsidRPr="00930562">
        <w:rPr>
          <w:rFonts w:asciiTheme="majorHAnsi" w:eastAsiaTheme="minorEastAsia" w:hAnsiTheme="majorHAnsi" w:cs="Calibri"/>
          <w:szCs w:val="20"/>
          <w:lang w:val="es-US" w:eastAsia="es-ES"/>
        </w:rPr>
        <w:t xml:space="preserve">reunión pacífica y asociación, </w:t>
      </w:r>
      <w:r w:rsidR="00462005" w:rsidRPr="00930562">
        <w:rPr>
          <w:rFonts w:asciiTheme="majorHAnsi" w:eastAsiaTheme="minorEastAsia" w:hAnsiTheme="majorHAnsi" w:cs="Calibri"/>
          <w:szCs w:val="20"/>
          <w:lang w:val="es-US" w:eastAsia="es-ES"/>
        </w:rPr>
        <w:t xml:space="preserve">el </w:t>
      </w:r>
      <w:r w:rsidR="00512CC7" w:rsidRPr="00930562">
        <w:rPr>
          <w:rFonts w:asciiTheme="majorHAnsi" w:eastAsiaTheme="minorEastAsia" w:hAnsiTheme="majorHAnsi" w:cs="Calibri"/>
          <w:szCs w:val="20"/>
          <w:lang w:val="es-US" w:eastAsia="es-ES"/>
        </w:rPr>
        <w:t xml:space="preserve">uso pacífico y disfrute de la propiedad, entre otros, así como </w:t>
      </w:r>
      <w:r w:rsidR="00462005" w:rsidRPr="00930562">
        <w:rPr>
          <w:rFonts w:asciiTheme="majorHAnsi" w:eastAsiaTheme="minorEastAsia" w:hAnsiTheme="majorHAnsi" w:cs="Calibri"/>
          <w:szCs w:val="20"/>
          <w:lang w:val="es-US" w:eastAsia="es-ES"/>
        </w:rPr>
        <w:t xml:space="preserve">la </w:t>
      </w:r>
      <w:r w:rsidR="00512CC7" w:rsidRPr="00930562">
        <w:rPr>
          <w:rFonts w:asciiTheme="majorHAnsi" w:eastAsiaTheme="minorEastAsia" w:hAnsiTheme="majorHAnsi" w:cs="Calibri"/>
          <w:szCs w:val="20"/>
          <w:lang w:val="es-US" w:eastAsia="es-ES"/>
        </w:rPr>
        <w:t>no discriminación.</w:t>
      </w:r>
      <w:r w:rsidR="0013380B" w:rsidRPr="00930562">
        <w:rPr>
          <w:rStyle w:val="FootnoteReference"/>
          <w:rFonts w:asciiTheme="majorHAnsi" w:eastAsiaTheme="minorEastAsia" w:hAnsiTheme="majorHAnsi" w:cs="Calibri"/>
          <w:szCs w:val="20"/>
          <w:lang w:val="es-US" w:eastAsia="es-ES"/>
        </w:rPr>
        <w:footnoteReference w:id="160"/>
      </w:r>
    </w:p>
    <w:p w14:paraId="56447666" w14:textId="6B7B3300" w:rsidR="0013380B" w:rsidRPr="00930562" w:rsidRDefault="00BA22B0" w:rsidP="00724857">
      <w:pPr>
        <w:pStyle w:val="ListParagraph"/>
        <w:numPr>
          <w:ilvl w:val="0"/>
          <w:numId w:val="2"/>
        </w:numPr>
        <w:spacing w:after="240" w:line="240" w:lineRule="auto"/>
        <w:ind w:left="547" w:hanging="547"/>
        <w:contextualSpacing w:val="0"/>
        <w:jc w:val="both"/>
        <w:rPr>
          <w:rFonts w:asciiTheme="majorHAnsi" w:eastAsia="Times New Roman" w:hAnsiTheme="majorHAnsi"/>
          <w:szCs w:val="20"/>
          <w:lang w:val="es-US" w:eastAsia="es-ES"/>
        </w:rPr>
      </w:pPr>
      <w:r w:rsidRPr="00930562">
        <w:rPr>
          <w:rFonts w:asciiTheme="majorHAnsi" w:eastAsia="Times New Roman" w:hAnsiTheme="majorHAnsi"/>
          <w:szCs w:val="20"/>
          <w:lang w:val="es-US" w:eastAsia="es-ES"/>
        </w:rPr>
        <w:t xml:space="preserve">La Comisión </w:t>
      </w:r>
      <w:r w:rsidR="00462005" w:rsidRPr="00930562">
        <w:rPr>
          <w:rFonts w:asciiTheme="majorHAnsi" w:eastAsia="Times New Roman" w:hAnsiTheme="majorHAnsi"/>
          <w:szCs w:val="20"/>
          <w:lang w:val="es-US" w:eastAsia="es-ES"/>
        </w:rPr>
        <w:t xml:space="preserve">nota </w:t>
      </w:r>
      <w:r w:rsidRPr="00930562">
        <w:rPr>
          <w:rFonts w:asciiTheme="majorHAnsi" w:eastAsia="Times New Roman" w:hAnsiTheme="majorHAnsi"/>
          <w:szCs w:val="20"/>
          <w:lang w:val="es-US" w:eastAsia="es-ES"/>
        </w:rPr>
        <w:t>que múltiples organismos internacionales han expresado su preocupación por las prácticas de discriminación racial en los EE.UU. Por ejemplo, el Comité de Derechos Humanos de la ONU instó al Estado a eliminar la práctica perfiles raciales por parte las autoridades encargadas de</w:t>
      </w:r>
      <w:r w:rsidR="00462005" w:rsidRPr="00930562">
        <w:rPr>
          <w:rFonts w:asciiTheme="majorHAnsi" w:eastAsia="Times New Roman" w:hAnsiTheme="majorHAnsi"/>
          <w:szCs w:val="20"/>
          <w:lang w:val="es-US" w:eastAsia="es-ES"/>
        </w:rPr>
        <w:t xml:space="preserve"> </w:t>
      </w:r>
      <w:r w:rsidRPr="00930562">
        <w:rPr>
          <w:rFonts w:asciiTheme="majorHAnsi" w:eastAsia="Times New Roman" w:hAnsiTheme="majorHAnsi"/>
          <w:szCs w:val="20"/>
          <w:lang w:val="es-US" w:eastAsia="es-ES"/>
        </w:rPr>
        <w:t>l</w:t>
      </w:r>
      <w:r w:rsidR="00462005" w:rsidRPr="00930562">
        <w:rPr>
          <w:rFonts w:asciiTheme="majorHAnsi" w:eastAsia="Times New Roman" w:hAnsiTheme="majorHAnsi"/>
          <w:szCs w:val="20"/>
          <w:lang w:val="es-US" w:eastAsia="es-ES"/>
        </w:rPr>
        <w:t>a aplicación</w:t>
      </w:r>
      <w:r w:rsidRPr="00930562">
        <w:rPr>
          <w:rFonts w:asciiTheme="majorHAnsi" w:eastAsia="Times New Roman" w:hAnsiTheme="majorHAnsi"/>
          <w:szCs w:val="20"/>
          <w:lang w:val="es-US" w:eastAsia="es-ES"/>
        </w:rPr>
        <w:t xml:space="preserve"> de la ley, la cual considera que continúa siendo </w:t>
      </w:r>
      <w:r w:rsidR="00462005" w:rsidRPr="00930562">
        <w:rPr>
          <w:rFonts w:asciiTheme="majorHAnsi" w:eastAsia="Times New Roman" w:hAnsiTheme="majorHAnsi"/>
          <w:szCs w:val="20"/>
          <w:lang w:val="es-US" w:eastAsia="es-ES"/>
        </w:rPr>
        <w:t>una práctica común de</w:t>
      </w:r>
      <w:r w:rsidRPr="00930562">
        <w:rPr>
          <w:rFonts w:asciiTheme="majorHAnsi" w:eastAsia="Times New Roman" w:hAnsiTheme="majorHAnsi"/>
          <w:szCs w:val="20"/>
          <w:lang w:val="es-US" w:eastAsia="es-ES"/>
        </w:rPr>
        <w:t xml:space="preserve"> los muchos organismos de control. Del mismo modo, el Comité para la Eliminación de la Discriminación Racial (CEDR) ha </w:t>
      </w:r>
      <w:r w:rsidR="00462005" w:rsidRPr="00930562">
        <w:rPr>
          <w:rFonts w:asciiTheme="majorHAnsi" w:eastAsia="Times New Roman" w:hAnsiTheme="majorHAnsi"/>
          <w:szCs w:val="20"/>
          <w:lang w:val="es-US" w:eastAsia="es-ES"/>
        </w:rPr>
        <w:t>llamado a poner fin a la práctica de implementación de perfiles raciales con base en raza o etnia de grupos históricamente discriminados por parte de los</w:t>
      </w:r>
      <w:r w:rsidRPr="00930562">
        <w:rPr>
          <w:rFonts w:asciiTheme="majorHAnsi" w:eastAsia="Times New Roman" w:hAnsiTheme="majorHAnsi"/>
          <w:szCs w:val="20"/>
          <w:lang w:val="es-US" w:eastAsia="es-ES"/>
        </w:rPr>
        <w:t xml:space="preserve"> funcionarios encargados de hacer cumplir la ley.</w:t>
      </w:r>
      <w:r w:rsidR="0013380B" w:rsidRPr="00930562">
        <w:rPr>
          <w:rStyle w:val="FootnoteReference"/>
          <w:rFonts w:asciiTheme="majorHAnsi" w:eastAsia="Times New Roman" w:hAnsiTheme="majorHAnsi"/>
          <w:szCs w:val="20"/>
          <w:lang w:val="es-US" w:eastAsia="es-ES"/>
        </w:rPr>
        <w:footnoteReference w:id="161"/>
      </w:r>
      <w:r w:rsidR="0013380B" w:rsidRPr="00930562">
        <w:rPr>
          <w:rFonts w:asciiTheme="majorHAnsi" w:eastAsia="Times New Roman" w:hAnsiTheme="majorHAnsi"/>
          <w:szCs w:val="20"/>
          <w:lang w:val="es-US" w:eastAsia="es-ES"/>
        </w:rPr>
        <w:t xml:space="preserve"> </w:t>
      </w:r>
      <w:r w:rsidRPr="00930562">
        <w:rPr>
          <w:rFonts w:asciiTheme="majorHAnsi" w:eastAsia="Times New Roman" w:hAnsiTheme="majorHAnsi"/>
          <w:szCs w:val="20"/>
          <w:lang w:val="es-US" w:eastAsia="es-ES"/>
        </w:rPr>
        <w:t xml:space="preserve">La Comisión hace eco de esta </w:t>
      </w:r>
      <w:r w:rsidR="001F7834" w:rsidRPr="00930562">
        <w:rPr>
          <w:rFonts w:asciiTheme="majorHAnsi" w:eastAsia="Times New Roman" w:hAnsiTheme="majorHAnsi"/>
          <w:szCs w:val="20"/>
          <w:lang w:val="es-US" w:eastAsia="es-ES"/>
        </w:rPr>
        <w:t xml:space="preserve">llamada </w:t>
      </w:r>
      <w:r w:rsidR="004E5C3B" w:rsidRPr="00930562">
        <w:rPr>
          <w:rFonts w:asciiTheme="majorHAnsi" w:eastAsia="Times New Roman" w:hAnsiTheme="majorHAnsi"/>
          <w:szCs w:val="20"/>
          <w:lang w:val="es-US" w:eastAsia="es-ES"/>
        </w:rPr>
        <w:t>instando al E</w:t>
      </w:r>
      <w:r w:rsidRPr="00930562">
        <w:rPr>
          <w:rFonts w:asciiTheme="majorHAnsi" w:eastAsia="Times New Roman" w:hAnsiTheme="majorHAnsi"/>
          <w:szCs w:val="20"/>
          <w:lang w:val="es-US" w:eastAsia="es-ES"/>
        </w:rPr>
        <w:t xml:space="preserve">stado </w:t>
      </w:r>
      <w:r w:rsidR="004E5C3B" w:rsidRPr="00930562">
        <w:rPr>
          <w:rFonts w:asciiTheme="majorHAnsi" w:eastAsia="Times New Roman" w:hAnsiTheme="majorHAnsi"/>
          <w:szCs w:val="20"/>
          <w:lang w:val="es-US" w:eastAsia="es-ES"/>
        </w:rPr>
        <w:t xml:space="preserve">a </w:t>
      </w:r>
      <w:r w:rsidR="001F7834" w:rsidRPr="00930562">
        <w:rPr>
          <w:rFonts w:asciiTheme="majorHAnsi" w:eastAsia="Times New Roman" w:hAnsiTheme="majorHAnsi"/>
          <w:szCs w:val="20"/>
          <w:lang w:val="es-US" w:eastAsia="es-ES"/>
        </w:rPr>
        <w:t xml:space="preserve">examinar y eliminar </w:t>
      </w:r>
      <w:r w:rsidRPr="00930562">
        <w:rPr>
          <w:rFonts w:asciiTheme="majorHAnsi" w:eastAsia="Times New Roman" w:hAnsiTheme="majorHAnsi"/>
          <w:szCs w:val="20"/>
          <w:lang w:val="es-US" w:eastAsia="es-ES"/>
        </w:rPr>
        <w:t xml:space="preserve"> completamente las prácticas y políticas que, ya sea explícita o implícitamente, </w:t>
      </w:r>
      <w:r w:rsidR="001F7834" w:rsidRPr="00930562">
        <w:rPr>
          <w:rFonts w:asciiTheme="majorHAnsi" w:eastAsia="Times New Roman" w:hAnsiTheme="majorHAnsi"/>
          <w:szCs w:val="20"/>
          <w:lang w:val="es-US" w:eastAsia="es-ES"/>
        </w:rPr>
        <w:t>resultan en</w:t>
      </w:r>
      <w:r w:rsidRPr="00930562">
        <w:rPr>
          <w:rFonts w:asciiTheme="majorHAnsi" w:eastAsia="Times New Roman" w:hAnsiTheme="majorHAnsi"/>
          <w:szCs w:val="20"/>
          <w:lang w:val="es-US" w:eastAsia="es-ES"/>
        </w:rPr>
        <w:t xml:space="preserve"> </w:t>
      </w:r>
      <w:r w:rsidR="004E5C3B" w:rsidRPr="00930562">
        <w:rPr>
          <w:rFonts w:asciiTheme="majorHAnsi" w:eastAsia="Times New Roman" w:hAnsiTheme="majorHAnsi"/>
          <w:szCs w:val="20"/>
          <w:lang w:val="es-US" w:eastAsia="es-ES"/>
        </w:rPr>
        <w:t xml:space="preserve"> </w:t>
      </w:r>
      <w:r w:rsidRPr="00930562">
        <w:rPr>
          <w:rFonts w:asciiTheme="majorHAnsi" w:eastAsia="Times New Roman" w:hAnsiTheme="majorHAnsi"/>
          <w:szCs w:val="20"/>
          <w:lang w:val="es-US" w:eastAsia="es-ES"/>
        </w:rPr>
        <w:t>perfil</w:t>
      </w:r>
      <w:r w:rsidR="004E5C3B" w:rsidRPr="00930562">
        <w:rPr>
          <w:rFonts w:asciiTheme="majorHAnsi" w:eastAsia="Times New Roman" w:hAnsiTheme="majorHAnsi"/>
          <w:szCs w:val="20"/>
          <w:lang w:val="es-US" w:eastAsia="es-ES"/>
        </w:rPr>
        <w:t>es</w:t>
      </w:r>
      <w:r w:rsidRPr="00930562">
        <w:rPr>
          <w:rFonts w:asciiTheme="majorHAnsi" w:eastAsia="Times New Roman" w:hAnsiTheme="majorHAnsi"/>
          <w:szCs w:val="20"/>
          <w:lang w:val="es-US" w:eastAsia="es-ES"/>
        </w:rPr>
        <w:t xml:space="preserve"> racial</w:t>
      </w:r>
      <w:r w:rsidR="004E5C3B" w:rsidRPr="00930562">
        <w:rPr>
          <w:rFonts w:asciiTheme="majorHAnsi" w:eastAsia="Times New Roman" w:hAnsiTheme="majorHAnsi"/>
          <w:szCs w:val="20"/>
          <w:lang w:val="es-US" w:eastAsia="es-ES"/>
        </w:rPr>
        <w:t>es</w:t>
      </w:r>
      <w:r w:rsidRPr="00930562">
        <w:rPr>
          <w:rFonts w:asciiTheme="majorHAnsi" w:eastAsia="Times New Roman" w:hAnsiTheme="majorHAnsi"/>
          <w:szCs w:val="20"/>
          <w:lang w:val="es-US" w:eastAsia="es-ES"/>
        </w:rPr>
        <w:t xml:space="preserve"> y  un trato desigual </w:t>
      </w:r>
      <w:r w:rsidR="001F7834" w:rsidRPr="00930562">
        <w:rPr>
          <w:rFonts w:asciiTheme="majorHAnsi" w:eastAsia="Times New Roman" w:hAnsiTheme="majorHAnsi"/>
          <w:szCs w:val="20"/>
          <w:lang w:val="es-US" w:eastAsia="es-ES"/>
        </w:rPr>
        <w:t xml:space="preserve">por motivos de raza </w:t>
      </w:r>
      <w:r w:rsidRPr="00930562">
        <w:rPr>
          <w:rFonts w:asciiTheme="majorHAnsi" w:eastAsia="Times New Roman" w:hAnsiTheme="majorHAnsi"/>
          <w:szCs w:val="20"/>
          <w:lang w:val="es-US" w:eastAsia="es-ES"/>
        </w:rPr>
        <w:t xml:space="preserve">por parte de las </w:t>
      </w:r>
      <w:r w:rsidR="004E5C3B" w:rsidRPr="00930562">
        <w:rPr>
          <w:rFonts w:asciiTheme="majorHAnsi" w:eastAsia="Times New Roman" w:hAnsiTheme="majorHAnsi"/>
          <w:szCs w:val="20"/>
          <w:lang w:val="es-US" w:eastAsia="es-ES"/>
        </w:rPr>
        <w:t>autoridades</w:t>
      </w:r>
      <w:r w:rsidRPr="00930562">
        <w:rPr>
          <w:rFonts w:asciiTheme="majorHAnsi" w:eastAsia="Times New Roman" w:hAnsiTheme="majorHAnsi"/>
          <w:szCs w:val="20"/>
          <w:lang w:val="es-US" w:eastAsia="es-ES"/>
        </w:rPr>
        <w:t>.</w:t>
      </w:r>
    </w:p>
    <w:p w14:paraId="1B7F1726" w14:textId="77777777" w:rsidR="0013380B" w:rsidRPr="00930562" w:rsidRDefault="0013380B" w:rsidP="001E382F">
      <w:pPr>
        <w:pStyle w:val="Heading4"/>
        <w:rPr>
          <w:lang w:val="es-US"/>
        </w:rPr>
      </w:pPr>
      <w:bookmarkStart w:id="71" w:name="_Toc511837811"/>
      <w:bookmarkStart w:id="72" w:name="_Toc511902984"/>
      <w:bookmarkStart w:id="73" w:name="_Toc517779232"/>
      <w:bookmarkStart w:id="74" w:name="_Toc531514463"/>
      <w:r w:rsidRPr="00930562">
        <w:rPr>
          <w:lang w:val="es-US"/>
        </w:rPr>
        <w:lastRenderedPageBreak/>
        <w:t>Militariza</w:t>
      </w:r>
      <w:r w:rsidR="002E2789" w:rsidRPr="00930562">
        <w:rPr>
          <w:lang w:val="es-US"/>
        </w:rPr>
        <w:t>ción de las fuerzas policiales</w:t>
      </w:r>
      <w:bookmarkEnd w:id="71"/>
      <w:bookmarkEnd w:id="72"/>
      <w:bookmarkEnd w:id="73"/>
      <w:bookmarkEnd w:id="74"/>
    </w:p>
    <w:p w14:paraId="75A7DC73" w14:textId="33801602" w:rsidR="0013380B" w:rsidRPr="00930562" w:rsidRDefault="00440138" w:rsidP="00724857">
      <w:pPr>
        <w:pStyle w:val="ListParagraph"/>
        <w:numPr>
          <w:ilvl w:val="0"/>
          <w:numId w:val="2"/>
        </w:numPr>
        <w:spacing w:after="240" w:line="240" w:lineRule="auto"/>
        <w:ind w:left="547" w:hanging="547"/>
        <w:contextualSpacing w:val="0"/>
        <w:jc w:val="both"/>
        <w:rPr>
          <w:rFonts w:asciiTheme="majorHAnsi" w:eastAsia="Times New Roman" w:hAnsiTheme="majorHAnsi"/>
          <w:szCs w:val="20"/>
          <w:lang w:val="es-US"/>
        </w:rPr>
      </w:pPr>
      <w:bookmarkStart w:id="75" w:name="_Ref507153340"/>
      <w:r w:rsidRPr="00930562">
        <w:rPr>
          <w:rFonts w:asciiTheme="majorHAnsi" w:hAnsiTheme="majorHAnsi"/>
          <w:szCs w:val="20"/>
          <w:lang w:val="es-US"/>
        </w:rPr>
        <w:t>Información proporcionada a la Comisión indica que en las últimas décadas muchos departamentos policiales locales en los EE.UU. se han militarizado</w:t>
      </w:r>
      <w:r w:rsidR="001F7834" w:rsidRPr="00930562">
        <w:rPr>
          <w:rFonts w:asciiTheme="majorHAnsi" w:hAnsiTheme="majorHAnsi"/>
          <w:szCs w:val="20"/>
          <w:lang w:val="es-US"/>
        </w:rPr>
        <w:t xml:space="preserve"> fuertemente</w:t>
      </w:r>
      <w:r w:rsidR="00A4321C" w:rsidRPr="00930562">
        <w:rPr>
          <w:rStyle w:val="FootnoteReference"/>
          <w:rFonts w:asciiTheme="majorHAnsi" w:hAnsiTheme="majorHAnsi"/>
          <w:szCs w:val="20"/>
          <w:lang w:val="es-US"/>
        </w:rPr>
        <w:footnoteReference w:id="162"/>
      </w:r>
      <w:r w:rsidRPr="00930562">
        <w:rPr>
          <w:rFonts w:asciiTheme="majorHAnsi" w:hAnsiTheme="majorHAnsi"/>
          <w:szCs w:val="20"/>
          <w:lang w:val="es-US"/>
        </w:rPr>
        <w:t xml:space="preserve"> y que el uso de equipamiento de tipo militar </w:t>
      </w:r>
      <w:r w:rsidR="001F7834" w:rsidRPr="00930562">
        <w:rPr>
          <w:rFonts w:asciiTheme="majorHAnsi" w:hAnsiTheme="majorHAnsi"/>
          <w:szCs w:val="20"/>
          <w:lang w:val="es-US"/>
        </w:rPr>
        <w:t xml:space="preserve">SWAT ("Armamentos y tácticas especiales") </w:t>
      </w:r>
      <w:r w:rsidRPr="00930562">
        <w:rPr>
          <w:rFonts w:asciiTheme="majorHAnsi" w:hAnsiTheme="majorHAnsi"/>
          <w:szCs w:val="20"/>
          <w:lang w:val="es-US"/>
        </w:rPr>
        <w:t xml:space="preserve">en redadas y operaciones similares </w:t>
      </w:r>
      <w:r w:rsidR="00A4321C" w:rsidRPr="00930562">
        <w:rPr>
          <w:rFonts w:asciiTheme="majorHAnsi" w:hAnsiTheme="majorHAnsi"/>
          <w:szCs w:val="20"/>
          <w:lang w:val="es-US"/>
        </w:rPr>
        <w:t>es</w:t>
      </w:r>
      <w:r w:rsidRPr="00930562">
        <w:rPr>
          <w:rFonts w:asciiTheme="majorHAnsi" w:hAnsiTheme="majorHAnsi"/>
          <w:szCs w:val="20"/>
          <w:lang w:val="es-US"/>
        </w:rPr>
        <w:t xml:space="preserve"> desproporcionad</w:t>
      </w:r>
      <w:r w:rsidR="00A4321C" w:rsidRPr="00930562">
        <w:rPr>
          <w:rFonts w:asciiTheme="majorHAnsi" w:hAnsiTheme="majorHAnsi"/>
          <w:szCs w:val="20"/>
          <w:lang w:val="es-US"/>
        </w:rPr>
        <w:t xml:space="preserve">amente utilizado </w:t>
      </w:r>
      <w:r w:rsidRPr="00930562">
        <w:rPr>
          <w:rFonts w:asciiTheme="majorHAnsi" w:hAnsiTheme="majorHAnsi"/>
          <w:szCs w:val="20"/>
          <w:lang w:val="es-US"/>
        </w:rPr>
        <w:t>contra grupos históricamente marginados</w:t>
      </w:r>
      <w:r w:rsidR="0013380B" w:rsidRPr="00930562">
        <w:rPr>
          <w:rFonts w:asciiTheme="majorHAnsi" w:hAnsiTheme="majorHAnsi"/>
          <w:szCs w:val="20"/>
          <w:lang w:val="es-US"/>
        </w:rPr>
        <w:t>.</w:t>
      </w:r>
      <w:r w:rsidR="0013380B" w:rsidRPr="00930562">
        <w:rPr>
          <w:rStyle w:val="FootnoteReference"/>
          <w:rFonts w:asciiTheme="majorHAnsi" w:hAnsiTheme="majorHAnsi"/>
          <w:szCs w:val="20"/>
          <w:lang w:val="es-US"/>
        </w:rPr>
        <w:footnoteReference w:id="163"/>
      </w:r>
      <w:r w:rsidR="0013380B" w:rsidRPr="00930562">
        <w:rPr>
          <w:rFonts w:asciiTheme="majorHAnsi" w:hAnsiTheme="majorHAnsi"/>
          <w:szCs w:val="20"/>
          <w:lang w:val="es-US"/>
        </w:rPr>
        <w:t xml:space="preserve"> </w:t>
      </w:r>
      <w:r w:rsidR="00A4321C" w:rsidRPr="00930562">
        <w:rPr>
          <w:rFonts w:asciiTheme="majorHAnsi" w:hAnsiTheme="majorHAnsi"/>
          <w:szCs w:val="20"/>
          <w:lang w:val="es-US"/>
        </w:rPr>
        <w:t>Una investigación reciente de</w:t>
      </w:r>
      <w:r w:rsidR="008A35EE" w:rsidRPr="00930562">
        <w:rPr>
          <w:rFonts w:asciiTheme="majorHAnsi" w:hAnsiTheme="majorHAnsi"/>
          <w:szCs w:val="20"/>
          <w:lang w:val="es-US"/>
        </w:rPr>
        <w:t>l</w:t>
      </w:r>
      <w:r w:rsidR="00A4321C" w:rsidRPr="00930562">
        <w:rPr>
          <w:rFonts w:asciiTheme="majorHAnsi" w:hAnsiTheme="majorHAnsi"/>
          <w:szCs w:val="20"/>
          <w:lang w:val="es-US"/>
        </w:rPr>
        <w:t xml:space="preserve"> A</w:t>
      </w:r>
      <w:r w:rsidR="0013380B" w:rsidRPr="00930562">
        <w:rPr>
          <w:rFonts w:asciiTheme="majorHAnsi" w:hAnsiTheme="majorHAnsi"/>
          <w:szCs w:val="20"/>
          <w:lang w:val="es-US"/>
        </w:rPr>
        <w:t>CLU</w:t>
      </w:r>
      <w:r w:rsidR="00A4321C" w:rsidRPr="00930562">
        <w:rPr>
          <w:rFonts w:asciiTheme="majorHAnsi" w:hAnsiTheme="majorHAnsi"/>
          <w:szCs w:val="20"/>
          <w:lang w:val="es-US"/>
        </w:rPr>
        <w:t xml:space="preserve"> determinó que el 42 por ciento de las personas afectadas por un despliegue de SWAT para ejecutar una orden de registro eran negras y el 12 por ciento eran latinas; </w:t>
      </w:r>
      <w:r w:rsidR="0008466B" w:rsidRPr="00930562">
        <w:rPr>
          <w:rFonts w:asciiTheme="majorHAnsi" w:hAnsiTheme="majorHAnsi"/>
          <w:szCs w:val="20"/>
          <w:lang w:val="es-US"/>
        </w:rPr>
        <w:t>sobre</w:t>
      </w:r>
      <w:r w:rsidR="00A4321C" w:rsidRPr="00930562">
        <w:rPr>
          <w:rFonts w:asciiTheme="majorHAnsi" w:hAnsiTheme="majorHAnsi"/>
          <w:szCs w:val="20"/>
          <w:lang w:val="es-US"/>
        </w:rPr>
        <w:t xml:space="preserve"> despliegues en los que todos los individuos afectados </w:t>
      </w:r>
      <w:r w:rsidR="0008466B" w:rsidRPr="00930562">
        <w:rPr>
          <w:rFonts w:asciiTheme="majorHAnsi" w:hAnsiTheme="majorHAnsi"/>
          <w:szCs w:val="20"/>
          <w:lang w:val="es-US"/>
        </w:rPr>
        <w:t>eran</w:t>
      </w:r>
      <w:r w:rsidR="00A4321C" w:rsidRPr="00930562">
        <w:rPr>
          <w:rFonts w:asciiTheme="majorHAnsi" w:hAnsiTheme="majorHAnsi"/>
          <w:szCs w:val="20"/>
          <w:lang w:val="es-US"/>
        </w:rPr>
        <w:t xml:space="preserve"> minorías, el 68 por ciento fueron casos de drogas y el 61 por ciento de todas las personas afectadas por redadas SWAT </w:t>
      </w:r>
      <w:r w:rsidR="0008466B" w:rsidRPr="00930562">
        <w:rPr>
          <w:rFonts w:asciiTheme="majorHAnsi" w:hAnsiTheme="majorHAnsi"/>
          <w:szCs w:val="20"/>
          <w:lang w:val="es-US"/>
        </w:rPr>
        <w:t>por</w:t>
      </w:r>
      <w:r w:rsidR="00A4321C" w:rsidRPr="00930562">
        <w:rPr>
          <w:rFonts w:asciiTheme="majorHAnsi" w:hAnsiTheme="majorHAnsi"/>
          <w:szCs w:val="20"/>
          <w:lang w:val="es-US"/>
        </w:rPr>
        <w:t xml:space="preserve"> casos de drogas fueron minorías</w:t>
      </w:r>
      <w:r w:rsidR="0013380B" w:rsidRPr="00930562">
        <w:rPr>
          <w:rFonts w:asciiTheme="majorHAnsi" w:hAnsiTheme="majorHAnsi"/>
          <w:szCs w:val="20"/>
          <w:lang w:val="es-US"/>
        </w:rPr>
        <w:t>.</w:t>
      </w:r>
      <w:r w:rsidR="0013380B" w:rsidRPr="00930562">
        <w:rPr>
          <w:rStyle w:val="FootnoteReference"/>
          <w:rFonts w:asciiTheme="majorHAnsi" w:hAnsiTheme="majorHAnsi"/>
          <w:szCs w:val="20"/>
          <w:lang w:val="es-US"/>
        </w:rPr>
        <w:footnoteReference w:id="164"/>
      </w:r>
      <w:r w:rsidR="0013380B" w:rsidRPr="00930562">
        <w:rPr>
          <w:rFonts w:asciiTheme="majorHAnsi" w:hAnsiTheme="majorHAnsi"/>
          <w:szCs w:val="20"/>
          <w:lang w:val="es-US"/>
        </w:rPr>
        <w:t xml:space="preserve"> </w:t>
      </w:r>
      <w:r w:rsidR="0008466B" w:rsidRPr="00930562">
        <w:rPr>
          <w:rFonts w:asciiTheme="majorHAnsi" w:hAnsiTheme="majorHAnsi"/>
          <w:szCs w:val="20"/>
          <w:lang w:val="es-US"/>
        </w:rPr>
        <w:t>Adicionalmente</w:t>
      </w:r>
      <w:r w:rsidR="0013380B" w:rsidRPr="00930562">
        <w:rPr>
          <w:rFonts w:asciiTheme="majorHAnsi" w:hAnsiTheme="majorHAnsi"/>
          <w:szCs w:val="20"/>
          <w:lang w:val="es-US"/>
        </w:rPr>
        <w:t xml:space="preserve">, </w:t>
      </w:r>
      <w:r w:rsidR="0008466B" w:rsidRPr="00930562">
        <w:rPr>
          <w:rFonts w:asciiTheme="majorHAnsi" w:hAnsiTheme="majorHAnsi"/>
          <w:szCs w:val="20"/>
          <w:lang w:val="es-US"/>
        </w:rPr>
        <w:t>el</w:t>
      </w:r>
      <w:r w:rsidR="008A35EE" w:rsidRPr="00930562">
        <w:rPr>
          <w:rFonts w:asciiTheme="majorHAnsi" w:hAnsiTheme="majorHAnsi"/>
          <w:szCs w:val="20"/>
          <w:lang w:val="es-US"/>
        </w:rPr>
        <w:t xml:space="preserve"> </w:t>
      </w:r>
      <w:r w:rsidR="0008466B" w:rsidRPr="00930562">
        <w:rPr>
          <w:rFonts w:asciiTheme="majorHAnsi" w:hAnsiTheme="majorHAnsi"/>
          <w:szCs w:val="20"/>
          <w:lang w:val="es-US"/>
        </w:rPr>
        <w:t xml:space="preserve">79 por ciento de los incidentes sobre los que ACLU indagó involucraron el uso de un equipo SWAT para registrar la vivienda de una persona y más del 60 por ciento de los casos involucraron allanamientos por </w:t>
      </w:r>
      <w:r w:rsidR="0008466B" w:rsidRPr="00930562">
        <w:rPr>
          <w:rFonts w:asciiTheme="majorHAnsi" w:eastAsia="Times New Roman" w:hAnsiTheme="majorHAnsi"/>
          <w:szCs w:val="20"/>
          <w:lang w:val="es-US" w:eastAsia="es-ES"/>
        </w:rPr>
        <w:t>drogas</w:t>
      </w:r>
      <w:r w:rsidR="0008466B" w:rsidRPr="00930562">
        <w:rPr>
          <w:rFonts w:asciiTheme="majorHAnsi" w:hAnsiTheme="majorHAnsi"/>
          <w:szCs w:val="20"/>
          <w:lang w:val="es-US"/>
        </w:rPr>
        <w:t>.</w:t>
      </w:r>
      <w:r w:rsidR="0013380B" w:rsidRPr="00930562">
        <w:rPr>
          <w:rStyle w:val="FootnoteReference"/>
          <w:rFonts w:asciiTheme="majorHAnsi" w:hAnsiTheme="majorHAnsi"/>
          <w:szCs w:val="20"/>
          <w:lang w:val="es-US"/>
        </w:rPr>
        <w:footnoteReference w:id="165"/>
      </w:r>
      <w:r w:rsidR="0013380B" w:rsidRPr="00930562">
        <w:rPr>
          <w:rFonts w:asciiTheme="majorHAnsi" w:hAnsiTheme="majorHAnsi"/>
          <w:szCs w:val="20"/>
          <w:lang w:val="es-US"/>
        </w:rPr>
        <w:t xml:space="preserve"> </w:t>
      </w:r>
      <w:r w:rsidR="0008466B" w:rsidRPr="00930562">
        <w:rPr>
          <w:rFonts w:asciiTheme="majorHAnsi" w:hAnsiTheme="majorHAnsi"/>
          <w:szCs w:val="20"/>
          <w:lang w:val="es-US"/>
        </w:rPr>
        <w:t xml:space="preserve">Según </w:t>
      </w:r>
      <w:r w:rsidR="00AC4187" w:rsidRPr="00930562">
        <w:rPr>
          <w:rFonts w:asciiTheme="majorHAnsi" w:hAnsiTheme="majorHAnsi"/>
          <w:szCs w:val="20"/>
          <w:lang w:val="es-US"/>
        </w:rPr>
        <w:t xml:space="preserve">la </w:t>
      </w:r>
      <w:r w:rsidR="0008466B" w:rsidRPr="00930562">
        <w:rPr>
          <w:rFonts w:asciiTheme="majorHAnsi" w:hAnsiTheme="majorHAnsi"/>
          <w:szCs w:val="20"/>
          <w:lang w:val="es-US"/>
        </w:rPr>
        <w:t>ACLU, la policía estadounidense se ha militarizado innecesaria y peligrosamente</w:t>
      </w:r>
      <w:r w:rsidR="001F7834" w:rsidRPr="00930562">
        <w:rPr>
          <w:rFonts w:asciiTheme="majorHAnsi" w:hAnsiTheme="majorHAnsi"/>
          <w:szCs w:val="20"/>
          <w:lang w:val="es-US"/>
        </w:rPr>
        <w:t>,</w:t>
      </w:r>
      <w:r w:rsidR="0008466B" w:rsidRPr="00930562">
        <w:rPr>
          <w:rFonts w:asciiTheme="majorHAnsi" w:hAnsiTheme="majorHAnsi"/>
          <w:szCs w:val="20"/>
          <w:lang w:val="es-US"/>
        </w:rPr>
        <w:t xml:space="preserve"> y en los municipios con mayor cantidad de equipamiento militar, los agentes policiales actuaron de manera más agresiva y adoptaron una mentalidad de "guerrero", en lugar de verse a sí mismos como protectores de una comunidad.</w:t>
      </w:r>
      <w:r w:rsidR="0013380B" w:rsidRPr="00930562">
        <w:rPr>
          <w:rFonts w:asciiTheme="majorHAnsi" w:hAnsiTheme="majorHAnsi"/>
          <w:szCs w:val="20"/>
          <w:vertAlign w:val="superscript"/>
          <w:lang w:val="es-US"/>
        </w:rPr>
        <w:footnoteReference w:id="166"/>
      </w:r>
      <w:bookmarkEnd w:id="75"/>
    </w:p>
    <w:p w14:paraId="43C12B34" w14:textId="3560B3FE" w:rsidR="0013380B" w:rsidRPr="00930562" w:rsidRDefault="002E2C0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bookmarkStart w:id="77" w:name="_Ref504669959"/>
      <w:r w:rsidRPr="00930562">
        <w:rPr>
          <w:rFonts w:asciiTheme="majorHAnsi" w:hAnsiTheme="majorHAnsi"/>
          <w:szCs w:val="20"/>
          <w:lang w:val="es-US"/>
        </w:rPr>
        <w:t xml:space="preserve">El 18 de mayo de 2015 el presidente Barack Obama anunció nuevas restricciones a la transferencia de equipo militar a los departamentos policiales locales </w:t>
      </w:r>
      <w:r w:rsidR="002E3B50" w:rsidRPr="00930562">
        <w:rPr>
          <w:rFonts w:asciiTheme="majorHAnsi" w:hAnsiTheme="majorHAnsi"/>
          <w:szCs w:val="20"/>
          <w:lang w:val="es-US"/>
        </w:rPr>
        <w:t xml:space="preserve">a la luz de </w:t>
      </w:r>
      <w:r w:rsidRPr="00930562">
        <w:rPr>
          <w:rFonts w:asciiTheme="majorHAnsi" w:hAnsiTheme="majorHAnsi"/>
          <w:szCs w:val="20"/>
          <w:lang w:val="es-US"/>
        </w:rPr>
        <w:t xml:space="preserve">las preocupaciones </w:t>
      </w:r>
      <w:r w:rsidR="002E3B50" w:rsidRPr="00930562">
        <w:rPr>
          <w:rFonts w:asciiTheme="majorHAnsi" w:hAnsiTheme="majorHAnsi"/>
          <w:szCs w:val="20"/>
          <w:lang w:val="es-US"/>
        </w:rPr>
        <w:t xml:space="preserve">respecto del control policial en </w:t>
      </w:r>
      <w:r w:rsidRPr="00930562">
        <w:rPr>
          <w:rFonts w:asciiTheme="majorHAnsi" w:hAnsiTheme="majorHAnsi"/>
          <w:szCs w:val="20"/>
          <w:lang w:val="es-US"/>
        </w:rPr>
        <w:t>protestas en Ferguson, Misuri y Baltimore, Maryland, entre otros</w:t>
      </w:r>
      <w:r w:rsidR="0013380B" w:rsidRPr="00930562">
        <w:rPr>
          <w:rFonts w:asciiTheme="majorHAnsi" w:hAnsiTheme="majorHAnsi"/>
          <w:szCs w:val="20"/>
          <w:lang w:val="es-US"/>
        </w:rPr>
        <w:t>.</w:t>
      </w:r>
      <w:r w:rsidR="0013380B" w:rsidRPr="00930562">
        <w:rPr>
          <w:rStyle w:val="FootnoteReference"/>
          <w:rFonts w:asciiTheme="majorHAnsi" w:hAnsiTheme="majorHAnsi"/>
          <w:szCs w:val="20"/>
          <w:lang w:val="es-US"/>
        </w:rPr>
        <w:footnoteReference w:id="167"/>
      </w:r>
      <w:r w:rsidR="0013380B" w:rsidRPr="00930562">
        <w:rPr>
          <w:rFonts w:asciiTheme="majorHAnsi" w:hAnsiTheme="majorHAnsi"/>
          <w:szCs w:val="20"/>
          <w:lang w:val="es-US"/>
        </w:rPr>
        <w:t xml:space="preserve"> </w:t>
      </w:r>
      <w:r w:rsidR="002E3B50" w:rsidRPr="00930562">
        <w:rPr>
          <w:rFonts w:asciiTheme="majorHAnsi" w:hAnsiTheme="majorHAnsi"/>
          <w:szCs w:val="20"/>
          <w:lang w:val="es-US"/>
        </w:rPr>
        <w:t>El Decreto Ejecutivo</w:t>
      </w:r>
      <w:r w:rsidR="0013380B" w:rsidRPr="00930562">
        <w:rPr>
          <w:rFonts w:asciiTheme="majorHAnsi" w:hAnsiTheme="majorHAnsi"/>
          <w:szCs w:val="20"/>
          <w:lang w:val="es-US"/>
        </w:rPr>
        <w:t xml:space="preserve"> (EO 13688)</w:t>
      </w:r>
      <w:r w:rsidR="002E3B50" w:rsidRPr="00930562">
        <w:rPr>
          <w:rFonts w:asciiTheme="majorHAnsi" w:hAnsiTheme="majorHAnsi"/>
          <w:lang w:val="es-US"/>
        </w:rPr>
        <w:t xml:space="preserve"> </w:t>
      </w:r>
      <w:r w:rsidR="002E3B50" w:rsidRPr="00930562">
        <w:rPr>
          <w:rFonts w:asciiTheme="majorHAnsi" w:hAnsiTheme="majorHAnsi"/>
          <w:szCs w:val="20"/>
          <w:lang w:val="es-US"/>
        </w:rPr>
        <w:t xml:space="preserve">creó un grupo de trabajo </w:t>
      </w:r>
      <w:r w:rsidR="001F7834" w:rsidRPr="00930562">
        <w:rPr>
          <w:rFonts w:asciiTheme="majorHAnsi" w:hAnsiTheme="majorHAnsi"/>
          <w:szCs w:val="20"/>
          <w:lang w:val="es-US"/>
        </w:rPr>
        <w:t xml:space="preserve">de agencia federal </w:t>
      </w:r>
      <w:r w:rsidR="002E3B50" w:rsidRPr="00930562">
        <w:rPr>
          <w:rFonts w:asciiTheme="majorHAnsi" w:hAnsiTheme="majorHAnsi"/>
          <w:szCs w:val="20"/>
          <w:lang w:val="es-US"/>
        </w:rPr>
        <w:t>para supervisar e implementar protocolos en torno al uso de las armas militares proporcionadas a la policía por el gobierno federal.</w:t>
      </w:r>
      <w:r w:rsidR="0013380B" w:rsidRPr="00930562">
        <w:rPr>
          <w:rStyle w:val="FootnoteReference"/>
          <w:rFonts w:asciiTheme="majorHAnsi" w:hAnsiTheme="majorHAnsi"/>
          <w:szCs w:val="20"/>
          <w:lang w:val="es-US"/>
        </w:rPr>
        <w:footnoteReference w:id="168"/>
      </w:r>
      <w:r w:rsidR="0013380B" w:rsidRPr="00930562">
        <w:rPr>
          <w:rFonts w:asciiTheme="majorHAnsi" w:hAnsiTheme="majorHAnsi"/>
          <w:szCs w:val="20"/>
          <w:lang w:val="es-US"/>
        </w:rPr>
        <w:t xml:space="preserve"> </w:t>
      </w:r>
      <w:r w:rsidR="002E3B50" w:rsidRPr="00930562">
        <w:rPr>
          <w:rFonts w:asciiTheme="majorHAnsi" w:hAnsiTheme="majorHAnsi"/>
          <w:szCs w:val="20"/>
          <w:lang w:val="es-US"/>
        </w:rPr>
        <w:t>En ese momento</w:t>
      </w:r>
      <w:r w:rsidR="0013380B" w:rsidRPr="00930562">
        <w:rPr>
          <w:rFonts w:asciiTheme="majorHAnsi" w:hAnsiTheme="majorHAnsi"/>
          <w:szCs w:val="20"/>
          <w:lang w:val="es-US"/>
        </w:rPr>
        <w:t xml:space="preserve">, </w:t>
      </w:r>
      <w:r w:rsidR="002E3B50" w:rsidRPr="00930562">
        <w:rPr>
          <w:rFonts w:asciiTheme="majorHAnsi" w:hAnsiTheme="majorHAnsi"/>
          <w:szCs w:val="20"/>
          <w:lang w:val="es-US"/>
        </w:rPr>
        <w:t xml:space="preserve">la decisión fue recibida con </w:t>
      </w:r>
      <w:r w:rsidR="0013380B" w:rsidRPr="00930562">
        <w:rPr>
          <w:rFonts w:asciiTheme="majorHAnsi" w:hAnsiTheme="majorHAnsi"/>
          <w:szCs w:val="20"/>
          <w:lang w:val="es-US"/>
        </w:rPr>
        <w:t>optimism</w:t>
      </w:r>
      <w:r w:rsidR="002E3B50" w:rsidRPr="00930562">
        <w:rPr>
          <w:rFonts w:asciiTheme="majorHAnsi" w:hAnsiTheme="majorHAnsi"/>
          <w:szCs w:val="20"/>
          <w:lang w:val="es-US"/>
        </w:rPr>
        <w:t>o</w:t>
      </w:r>
      <w:r w:rsidR="0013380B" w:rsidRPr="00930562">
        <w:rPr>
          <w:rFonts w:asciiTheme="majorHAnsi" w:hAnsiTheme="majorHAnsi"/>
          <w:szCs w:val="20"/>
          <w:lang w:val="es-US"/>
        </w:rPr>
        <w:t>.</w:t>
      </w:r>
      <w:r w:rsidR="0013380B" w:rsidRPr="00930562">
        <w:rPr>
          <w:rStyle w:val="FootnoteReference"/>
          <w:rFonts w:asciiTheme="majorHAnsi" w:hAnsiTheme="majorHAnsi"/>
          <w:szCs w:val="20"/>
          <w:lang w:val="es-US"/>
        </w:rPr>
        <w:footnoteReference w:id="169"/>
      </w:r>
      <w:r w:rsidR="0013380B" w:rsidRPr="00930562">
        <w:rPr>
          <w:rFonts w:asciiTheme="majorHAnsi" w:hAnsiTheme="majorHAnsi"/>
          <w:szCs w:val="20"/>
          <w:lang w:val="es-US"/>
        </w:rPr>
        <w:t xml:space="preserve"> </w:t>
      </w:r>
      <w:r w:rsidR="002E3B50" w:rsidRPr="00930562">
        <w:rPr>
          <w:rFonts w:asciiTheme="majorHAnsi" w:hAnsiTheme="majorHAnsi"/>
          <w:szCs w:val="20"/>
          <w:lang w:val="es-US"/>
        </w:rPr>
        <w:t>El 28 de agosto de</w:t>
      </w:r>
      <w:r w:rsidR="0013380B" w:rsidRPr="00930562">
        <w:rPr>
          <w:rFonts w:asciiTheme="majorHAnsi" w:hAnsiTheme="majorHAnsi"/>
          <w:szCs w:val="20"/>
          <w:lang w:val="es-US"/>
        </w:rPr>
        <w:t xml:space="preserve"> </w:t>
      </w:r>
      <w:r w:rsidR="0013380B" w:rsidRPr="00930562">
        <w:rPr>
          <w:rFonts w:asciiTheme="majorHAnsi" w:hAnsiTheme="majorHAnsi"/>
          <w:szCs w:val="20"/>
          <w:lang w:val="es-US"/>
        </w:rPr>
        <w:lastRenderedPageBreak/>
        <w:t>2017</w:t>
      </w:r>
      <w:r w:rsidR="002E3B50" w:rsidRPr="00930562">
        <w:rPr>
          <w:rFonts w:asciiTheme="majorHAnsi" w:hAnsiTheme="majorHAnsi"/>
          <w:szCs w:val="20"/>
          <w:lang w:val="es-US"/>
        </w:rPr>
        <w:t xml:space="preserve"> el</w:t>
      </w:r>
      <w:r w:rsidR="0013380B" w:rsidRPr="00930562">
        <w:rPr>
          <w:rFonts w:asciiTheme="majorHAnsi" w:hAnsiTheme="majorHAnsi"/>
          <w:szCs w:val="20"/>
          <w:lang w:val="es-US"/>
        </w:rPr>
        <w:t xml:space="preserve"> </w:t>
      </w:r>
      <w:r w:rsidR="00B41EFF">
        <w:rPr>
          <w:rFonts w:asciiTheme="majorHAnsi" w:hAnsiTheme="majorHAnsi"/>
          <w:szCs w:val="20"/>
          <w:lang w:val="es-US"/>
        </w:rPr>
        <w:t>P</w:t>
      </w:r>
      <w:r w:rsidR="0013380B" w:rsidRPr="00930562">
        <w:rPr>
          <w:rFonts w:asciiTheme="majorHAnsi" w:hAnsiTheme="majorHAnsi"/>
          <w:szCs w:val="20"/>
          <w:lang w:val="es-US"/>
        </w:rPr>
        <w:t>resident</w:t>
      </w:r>
      <w:r w:rsidR="002E3B50" w:rsidRPr="00930562">
        <w:rPr>
          <w:rFonts w:asciiTheme="majorHAnsi" w:hAnsiTheme="majorHAnsi"/>
          <w:szCs w:val="20"/>
          <w:lang w:val="es-US"/>
        </w:rPr>
        <w:t>e</w:t>
      </w:r>
      <w:r w:rsidR="0013380B" w:rsidRPr="00930562">
        <w:rPr>
          <w:rFonts w:asciiTheme="majorHAnsi" w:hAnsiTheme="majorHAnsi"/>
          <w:szCs w:val="20"/>
          <w:lang w:val="es-US"/>
        </w:rPr>
        <w:t xml:space="preserve"> Donald Trump </w:t>
      </w:r>
      <w:r w:rsidR="002E3B50" w:rsidRPr="00930562">
        <w:rPr>
          <w:rFonts w:asciiTheme="majorHAnsi" w:hAnsiTheme="majorHAnsi"/>
          <w:szCs w:val="20"/>
          <w:lang w:val="es-US"/>
        </w:rPr>
        <w:t>derogó el Decreto</w:t>
      </w:r>
      <w:r w:rsidR="0013380B" w:rsidRPr="00930562">
        <w:rPr>
          <w:rFonts w:asciiTheme="majorHAnsi" w:hAnsiTheme="majorHAnsi"/>
          <w:szCs w:val="20"/>
          <w:lang w:val="es-US"/>
        </w:rPr>
        <w:t xml:space="preserve"> </w:t>
      </w:r>
      <w:r w:rsidR="002E3B50" w:rsidRPr="00930562">
        <w:rPr>
          <w:rFonts w:asciiTheme="majorHAnsi" w:hAnsiTheme="majorHAnsi"/>
          <w:szCs w:val="20"/>
          <w:lang w:val="es-US"/>
        </w:rPr>
        <w:t>1</w:t>
      </w:r>
      <w:r w:rsidR="0013380B" w:rsidRPr="00930562">
        <w:rPr>
          <w:rFonts w:asciiTheme="majorHAnsi" w:hAnsiTheme="majorHAnsi"/>
          <w:szCs w:val="20"/>
          <w:lang w:val="es-US"/>
        </w:rPr>
        <w:t>3688</w:t>
      </w:r>
      <w:r w:rsidR="001F7834" w:rsidRPr="00930562">
        <w:rPr>
          <w:rFonts w:asciiTheme="majorHAnsi" w:hAnsiTheme="majorHAnsi"/>
          <w:szCs w:val="20"/>
          <w:lang w:val="es-US"/>
        </w:rPr>
        <w:t>,</w:t>
      </w:r>
      <w:r w:rsidR="002E3B50" w:rsidRPr="00930562">
        <w:rPr>
          <w:rFonts w:asciiTheme="majorHAnsi" w:hAnsiTheme="majorHAnsi"/>
          <w:szCs w:val="20"/>
          <w:lang w:val="es-US"/>
        </w:rPr>
        <w:t xml:space="preserve"> eliminando dichas restricciones de transferencia y supervisión de equipo militar</w:t>
      </w:r>
      <w:r w:rsidR="0013380B" w:rsidRPr="00930562">
        <w:rPr>
          <w:rFonts w:asciiTheme="majorHAnsi" w:hAnsiTheme="majorHAnsi"/>
          <w:szCs w:val="20"/>
          <w:lang w:val="es-US"/>
        </w:rPr>
        <w:t>.</w:t>
      </w:r>
      <w:r w:rsidR="0013380B" w:rsidRPr="00930562">
        <w:rPr>
          <w:rStyle w:val="FootnoteReference"/>
          <w:rFonts w:asciiTheme="majorHAnsi" w:hAnsiTheme="majorHAnsi"/>
          <w:szCs w:val="20"/>
          <w:lang w:val="es-US"/>
        </w:rPr>
        <w:footnoteReference w:id="170"/>
      </w:r>
      <w:bookmarkEnd w:id="77"/>
      <w:r w:rsidR="0013380B" w:rsidRPr="00930562">
        <w:rPr>
          <w:rFonts w:asciiTheme="majorHAnsi" w:hAnsiTheme="majorHAnsi"/>
          <w:szCs w:val="20"/>
          <w:lang w:val="es-US"/>
        </w:rPr>
        <w:t xml:space="preserve"> </w:t>
      </w:r>
    </w:p>
    <w:p w14:paraId="641FC8FC" w14:textId="58524E47" w:rsidR="0013380B" w:rsidRPr="00930562" w:rsidRDefault="00722F0C"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bookmarkStart w:id="78" w:name="_Ref507153342"/>
      <w:r w:rsidRPr="00930562">
        <w:rPr>
          <w:rFonts w:asciiTheme="majorHAnsi" w:hAnsiTheme="majorHAnsi" w:cs="Cambria"/>
          <w:szCs w:val="20"/>
          <w:lang w:val="es-US" w:eastAsia="zh-CN"/>
        </w:rPr>
        <w:t xml:space="preserve">En 2015 la Comisión señaló que la principal preocupación respecto al uso excesivo o arbitrario de la fuerza por parte de las autoridades policiales en los EE.UU. es la "militarización" de la policía en </w:t>
      </w:r>
      <w:r w:rsidR="0083677D" w:rsidRPr="00930562">
        <w:rPr>
          <w:rFonts w:asciiTheme="majorHAnsi" w:hAnsiTheme="majorHAnsi" w:cs="Cambria"/>
          <w:szCs w:val="20"/>
          <w:lang w:val="es-US" w:eastAsia="zh-CN"/>
        </w:rPr>
        <w:t>cuanto</w:t>
      </w:r>
      <w:r w:rsidRPr="00930562">
        <w:rPr>
          <w:rFonts w:asciiTheme="majorHAnsi" w:hAnsiTheme="majorHAnsi" w:cs="Cambria"/>
          <w:szCs w:val="20"/>
          <w:lang w:val="es-US" w:eastAsia="zh-CN"/>
        </w:rPr>
        <w:t xml:space="preserve"> </w:t>
      </w:r>
      <w:r w:rsidR="0083677D" w:rsidRPr="00930562">
        <w:rPr>
          <w:rFonts w:asciiTheme="majorHAnsi" w:hAnsiTheme="majorHAnsi" w:cs="Cambria"/>
          <w:szCs w:val="20"/>
          <w:lang w:val="es-US" w:eastAsia="zh-CN"/>
        </w:rPr>
        <w:t>a</w:t>
      </w:r>
      <w:r w:rsidRPr="00930562">
        <w:rPr>
          <w:rFonts w:asciiTheme="majorHAnsi" w:hAnsiTheme="majorHAnsi" w:cs="Cambria"/>
          <w:szCs w:val="20"/>
          <w:lang w:val="es-US" w:eastAsia="zh-CN"/>
        </w:rPr>
        <w:t xml:space="preserve"> equipo, capacitación, protocolos utilizados y la dificultad de procesar</w:t>
      </w:r>
      <w:r w:rsidR="0083677D" w:rsidRPr="00930562">
        <w:rPr>
          <w:rFonts w:asciiTheme="majorHAnsi" w:hAnsiTheme="majorHAnsi" w:cs="Cambria"/>
          <w:szCs w:val="20"/>
          <w:lang w:val="es-US" w:eastAsia="zh-CN"/>
        </w:rPr>
        <w:t xml:space="preserve"> y</w:t>
      </w:r>
      <w:r w:rsidRPr="00930562">
        <w:rPr>
          <w:rFonts w:asciiTheme="majorHAnsi" w:hAnsiTheme="majorHAnsi" w:cs="Cambria"/>
          <w:szCs w:val="20"/>
          <w:lang w:val="es-US" w:eastAsia="zh-CN"/>
        </w:rPr>
        <w:t xml:space="preserve"> </w:t>
      </w:r>
      <w:r w:rsidR="0083677D" w:rsidRPr="00930562">
        <w:rPr>
          <w:rFonts w:asciiTheme="majorHAnsi" w:hAnsiTheme="majorHAnsi" w:cs="Cambria"/>
          <w:szCs w:val="20"/>
          <w:lang w:val="es-US" w:eastAsia="zh-CN"/>
        </w:rPr>
        <w:t>determinar</w:t>
      </w:r>
      <w:r w:rsidR="001F7834" w:rsidRPr="00930562">
        <w:rPr>
          <w:rFonts w:asciiTheme="majorHAnsi" w:hAnsiTheme="majorHAnsi" w:cs="Cambria"/>
          <w:szCs w:val="20"/>
          <w:lang w:val="es-US" w:eastAsia="zh-CN"/>
        </w:rPr>
        <w:t xml:space="preserve"> la</w:t>
      </w:r>
      <w:r w:rsidRPr="00930562">
        <w:rPr>
          <w:rFonts w:asciiTheme="majorHAnsi" w:hAnsiTheme="majorHAnsi" w:cs="Cambria"/>
          <w:szCs w:val="20"/>
          <w:lang w:val="es-US" w:eastAsia="zh-CN"/>
        </w:rPr>
        <w:t xml:space="preserve"> responsa</w:t>
      </w:r>
      <w:r w:rsidR="0083677D" w:rsidRPr="00930562">
        <w:rPr>
          <w:rFonts w:asciiTheme="majorHAnsi" w:hAnsiTheme="majorHAnsi" w:cs="Cambria"/>
          <w:szCs w:val="20"/>
          <w:lang w:val="es-US" w:eastAsia="zh-CN"/>
        </w:rPr>
        <w:t xml:space="preserve">bilidad penal de los agentes policiales </w:t>
      </w:r>
      <w:r w:rsidRPr="00930562">
        <w:rPr>
          <w:rFonts w:asciiTheme="majorHAnsi" w:hAnsiTheme="majorHAnsi" w:cs="Cambria"/>
          <w:szCs w:val="20"/>
          <w:lang w:val="es-US" w:eastAsia="zh-CN"/>
        </w:rPr>
        <w:t>culpables de abuso o uso excesivo de la fuerza.</w:t>
      </w:r>
      <w:r w:rsidR="0013380B" w:rsidRPr="00930562">
        <w:rPr>
          <w:rFonts w:asciiTheme="majorHAnsi" w:hAnsiTheme="majorHAnsi"/>
          <w:szCs w:val="20"/>
          <w:vertAlign w:val="superscript"/>
          <w:lang w:val="es-US" w:eastAsia="zh-CN"/>
        </w:rPr>
        <w:footnoteReference w:id="171"/>
      </w:r>
      <w:r w:rsidR="0083677D" w:rsidRPr="00930562">
        <w:rPr>
          <w:rFonts w:asciiTheme="majorHAnsi" w:hAnsiTheme="majorHAnsi" w:cs="Cambria"/>
          <w:szCs w:val="20"/>
          <w:lang w:val="es-US" w:eastAsia="zh-CN"/>
        </w:rPr>
        <w:t xml:space="preserve"> La Comisión nota con </w:t>
      </w:r>
      <w:r w:rsidR="0083677D" w:rsidRPr="00930562">
        <w:rPr>
          <w:rFonts w:asciiTheme="majorHAnsi" w:hAnsiTheme="majorHAnsi"/>
          <w:szCs w:val="20"/>
          <w:lang w:val="es-US"/>
        </w:rPr>
        <w:t>preocupación</w:t>
      </w:r>
      <w:r w:rsidR="0083677D" w:rsidRPr="00930562">
        <w:rPr>
          <w:rFonts w:asciiTheme="majorHAnsi" w:hAnsiTheme="majorHAnsi" w:cs="Cambria"/>
          <w:szCs w:val="20"/>
          <w:lang w:val="es-US" w:eastAsia="zh-CN"/>
        </w:rPr>
        <w:t xml:space="preserve"> información recibida respecto de que tras la revocación del Decreto 13688, los departamentos policiales recibirán nuevamente vehículos armados, armas de alto calibre y municiones, granadas, uniformes de camuflaje y otros equipos militares,</w:t>
      </w:r>
      <w:r w:rsidR="00C32895" w:rsidRPr="00930562">
        <w:rPr>
          <w:rStyle w:val="FootnoteReference"/>
          <w:rFonts w:asciiTheme="majorHAnsi" w:hAnsiTheme="majorHAnsi" w:cs="Cambria"/>
          <w:szCs w:val="20"/>
          <w:lang w:val="es-US" w:eastAsia="zh-CN"/>
        </w:rPr>
        <w:footnoteReference w:id="172"/>
      </w:r>
      <w:r w:rsidR="0083677D" w:rsidRPr="00930562">
        <w:rPr>
          <w:rFonts w:asciiTheme="majorHAnsi" w:hAnsiTheme="majorHAnsi" w:cs="Cambria"/>
          <w:szCs w:val="20"/>
          <w:lang w:val="es-US" w:eastAsia="zh-CN"/>
        </w:rPr>
        <w:t xml:space="preserve"> lo cual plantea inquietudes sobre un posible aumento del uso excesivo de fuerza y ​​vigilancia policial en situaciones de protesta</w:t>
      </w:r>
      <w:r w:rsidR="001F7834" w:rsidRPr="00930562">
        <w:rPr>
          <w:rFonts w:asciiTheme="majorHAnsi" w:hAnsiTheme="majorHAnsi" w:cs="Cambria"/>
          <w:szCs w:val="20"/>
          <w:lang w:val="es-US" w:eastAsia="zh-CN"/>
        </w:rPr>
        <w:t>,</w:t>
      </w:r>
      <w:r w:rsidR="0083677D" w:rsidRPr="00930562">
        <w:rPr>
          <w:rFonts w:asciiTheme="majorHAnsi" w:hAnsiTheme="majorHAnsi" w:cs="Cambria"/>
          <w:szCs w:val="20"/>
          <w:lang w:val="es-US" w:eastAsia="zh-CN"/>
        </w:rPr>
        <w:t xml:space="preserve"> contrarios al derecho internacional</w:t>
      </w:r>
      <w:r w:rsidR="0083677D" w:rsidRPr="00930562">
        <w:rPr>
          <w:rFonts w:asciiTheme="majorHAnsi" w:hAnsiTheme="majorHAnsi" w:cs="Arial"/>
          <w:color w:val="212121"/>
          <w:shd w:val="clear" w:color="auto" w:fill="FFFFFF"/>
          <w:lang w:val="es-US"/>
        </w:rPr>
        <w:t>.</w:t>
      </w:r>
      <w:r w:rsidR="0013380B" w:rsidRPr="00930562">
        <w:rPr>
          <w:rStyle w:val="FootnoteReference"/>
          <w:rFonts w:asciiTheme="majorHAnsi" w:hAnsiTheme="majorHAnsi" w:cs="Cambria"/>
          <w:szCs w:val="20"/>
          <w:lang w:val="es-US" w:eastAsia="zh-CN"/>
        </w:rPr>
        <w:footnoteReference w:id="173"/>
      </w:r>
      <w:r w:rsidR="0013380B" w:rsidRPr="00930562">
        <w:rPr>
          <w:rFonts w:asciiTheme="majorHAnsi" w:hAnsiTheme="majorHAnsi"/>
          <w:szCs w:val="20"/>
          <w:lang w:val="es-US"/>
        </w:rPr>
        <w:t xml:space="preserve"> </w:t>
      </w:r>
      <w:r w:rsidR="0083677D" w:rsidRPr="00930562">
        <w:rPr>
          <w:rFonts w:asciiTheme="majorHAnsi" w:hAnsiTheme="majorHAnsi"/>
          <w:szCs w:val="20"/>
          <w:lang w:val="es-US"/>
        </w:rPr>
        <w:t>Esto es particularmente preocupante a la luz de la información recibida por la Comisión que indica que la Oficina de Rendición de Cuentas del Gobierno (</w:t>
      </w:r>
      <w:r w:rsidR="0083677D" w:rsidRPr="00930562">
        <w:rPr>
          <w:rFonts w:asciiTheme="majorHAnsi" w:hAnsiTheme="majorHAnsi"/>
          <w:i/>
          <w:szCs w:val="20"/>
          <w:lang w:val="es-US"/>
        </w:rPr>
        <w:t>GAO</w:t>
      </w:r>
      <w:r w:rsidR="0083677D" w:rsidRPr="00930562">
        <w:rPr>
          <w:rFonts w:asciiTheme="majorHAnsi" w:hAnsiTheme="majorHAnsi"/>
          <w:szCs w:val="20"/>
          <w:lang w:val="es-US"/>
        </w:rPr>
        <w:t xml:space="preserve">, por sus siglas en inglés) recientemente </w:t>
      </w:r>
      <w:r w:rsidR="001F7834" w:rsidRPr="00930562">
        <w:rPr>
          <w:rFonts w:asciiTheme="majorHAnsi" w:hAnsiTheme="majorHAnsi"/>
          <w:szCs w:val="20"/>
          <w:lang w:val="es-US"/>
        </w:rPr>
        <w:t xml:space="preserve">concluyó </w:t>
      </w:r>
      <w:r w:rsidR="0083677D" w:rsidRPr="00930562">
        <w:rPr>
          <w:rFonts w:asciiTheme="majorHAnsi" w:hAnsiTheme="majorHAnsi"/>
          <w:szCs w:val="20"/>
          <w:lang w:val="es-US"/>
        </w:rPr>
        <w:t>que el Pentágono no verifica la cantidad de armas militares transferidas a través del programa 1033 y que el</w:t>
      </w:r>
      <w:r w:rsidR="001F7834" w:rsidRPr="00930562">
        <w:rPr>
          <w:rFonts w:asciiTheme="majorHAnsi" w:hAnsiTheme="majorHAnsi"/>
          <w:szCs w:val="20"/>
          <w:lang w:val="es-US"/>
        </w:rPr>
        <w:t xml:space="preserve"> Departamento de Defensa</w:t>
      </w:r>
      <w:r w:rsidR="0083677D" w:rsidRPr="00930562">
        <w:rPr>
          <w:rFonts w:asciiTheme="majorHAnsi" w:hAnsiTheme="majorHAnsi"/>
          <w:szCs w:val="20"/>
          <w:lang w:val="es-US"/>
        </w:rPr>
        <w:t xml:space="preserve"> </w:t>
      </w:r>
      <w:r w:rsidR="00980FAD" w:rsidRPr="00930562">
        <w:rPr>
          <w:rFonts w:asciiTheme="majorHAnsi" w:hAnsiTheme="majorHAnsi"/>
          <w:szCs w:val="20"/>
          <w:lang w:val="es-US"/>
        </w:rPr>
        <w:t>(en adelante “</w:t>
      </w:r>
      <w:r w:rsidR="0083677D" w:rsidRPr="00930562">
        <w:rPr>
          <w:rFonts w:asciiTheme="majorHAnsi" w:hAnsiTheme="majorHAnsi"/>
          <w:szCs w:val="20"/>
          <w:lang w:val="es-US"/>
        </w:rPr>
        <w:t>DOD</w:t>
      </w:r>
      <w:r w:rsidR="00980FAD" w:rsidRPr="00930562">
        <w:rPr>
          <w:rFonts w:asciiTheme="majorHAnsi" w:hAnsiTheme="majorHAnsi"/>
          <w:szCs w:val="20"/>
          <w:lang w:val="es-US"/>
        </w:rPr>
        <w:t xml:space="preserve">”), </w:t>
      </w:r>
      <w:r w:rsidR="0083677D" w:rsidRPr="00930562">
        <w:rPr>
          <w:rFonts w:asciiTheme="majorHAnsi" w:hAnsiTheme="majorHAnsi"/>
          <w:szCs w:val="20"/>
          <w:lang w:val="es-US"/>
        </w:rPr>
        <w:t xml:space="preserve"> "carece de garantías razonables en su capacidad de prevenir, detectar y responder a posibles fraudes y minimizar los riesgos de seguridad </w:t>
      </w:r>
      <w:r w:rsidR="009B7B19" w:rsidRPr="00930562">
        <w:rPr>
          <w:rFonts w:asciiTheme="majorHAnsi" w:hAnsiTheme="majorHAnsi"/>
          <w:szCs w:val="20"/>
          <w:lang w:val="es-US"/>
        </w:rPr>
        <w:t>que conlleva</w:t>
      </w:r>
      <w:r w:rsidR="0013380B" w:rsidRPr="00930562">
        <w:rPr>
          <w:rFonts w:asciiTheme="majorHAnsi" w:hAnsiTheme="majorHAnsi"/>
          <w:szCs w:val="20"/>
          <w:lang w:val="es-US"/>
        </w:rPr>
        <w:t>.”</w:t>
      </w:r>
      <w:r w:rsidR="0013380B" w:rsidRPr="00930562">
        <w:rPr>
          <w:rStyle w:val="FootnoteReference"/>
          <w:rFonts w:asciiTheme="majorHAnsi" w:hAnsiTheme="majorHAnsi"/>
          <w:szCs w:val="20"/>
          <w:lang w:val="es-US"/>
        </w:rPr>
        <w:footnoteReference w:id="174"/>
      </w:r>
      <w:bookmarkEnd w:id="78"/>
      <w:r w:rsidR="0013380B" w:rsidRPr="00930562">
        <w:rPr>
          <w:rFonts w:asciiTheme="majorHAnsi" w:hAnsiTheme="majorHAnsi"/>
          <w:szCs w:val="20"/>
          <w:lang w:val="es-US"/>
        </w:rPr>
        <w:t xml:space="preserve"> </w:t>
      </w:r>
      <w:r w:rsidR="009B7B19" w:rsidRPr="00930562">
        <w:rPr>
          <w:rFonts w:asciiTheme="majorHAnsi" w:hAnsiTheme="majorHAnsi"/>
          <w:szCs w:val="20"/>
          <w:lang w:val="es-US"/>
        </w:rPr>
        <w:t xml:space="preserve">La Comisión hace un llamado al Estado para que tome las medidas necesarias para detener y revertir la militarización de los departamentos policiales, así como estudiar más a fondo y tomar medidas correctivas a la luz del efecto racialmente desproporcionado de la policía militarizada sobre los afroamericanos y otros grupos históricamente marginados. </w:t>
      </w:r>
    </w:p>
    <w:p w14:paraId="326E6801" w14:textId="77777777" w:rsidR="0013380B" w:rsidRPr="00930562" w:rsidRDefault="00294637" w:rsidP="001E382F">
      <w:pPr>
        <w:pStyle w:val="Heading4"/>
        <w:rPr>
          <w:lang w:val="es-US"/>
        </w:rPr>
      </w:pPr>
      <w:bookmarkStart w:id="79" w:name="_Ref507664995"/>
      <w:bookmarkStart w:id="80" w:name="_Ref507665005"/>
      <w:bookmarkStart w:id="81" w:name="_Toc511837812"/>
      <w:bookmarkStart w:id="82" w:name="_Toc511902985"/>
      <w:bookmarkStart w:id="83" w:name="_Toc517779233"/>
      <w:bookmarkStart w:id="84" w:name="_Toc531514464"/>
      <w:r w:rsidRPr="00930562">
        <w:rPr>
          <w:lang w:val="es-US"/>
        </w:rPr>
        <w:lastRenderedPageBreak/>
        <w:t>Uso excesivo de la fuerza policial</w:t>
      </w:r>
      <w:bookmarkEnd w:id="79"/>
      <w:bookmarkEnd w:id="80"/>
      <w:bookmarkEnd w:id="81"/>
      <w:bookmarkEnd w:id="82"/>
      <w:bookmarkEnd w:id="83"/>
      <w:bookmarkEnd w:id="84"/>
    </w:p>
    <w:p w14:paraId="5098BCE3" w14:textId="0164666C" w:rsidR="0013380B" w:rsidRPr="00930562" w:rsidRDefault="006C4CE8"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rPr>
        <w:t>En los últimos años</w:t>
      </w:r>
      <w:r w:rsidR="00A53777" w:rsidRPr="00930562">
        <w:rPr>
          <w:rFonts w:asciiTheme="majorHAnsi" w:hAnsiTheme="majorHAnsi"/>
          <w:szCs w:val="20"/>
          <w:lang w:val="es-US"/>
        </w:rPr>
        <w:t xml:space="preserve"> de manera constante tanto</w:t>
      </w:r>
      <w:r w:rsidRPr="00930562">
        <w:rPr>
          <w:rFonts w:asciiTheme="majorHAnsi" w:hAnsiTheme="majorHAnsi"/>
          <w:szCs w:val="20"/>
          <w:lang w:val="es-US"/>
        </w:rPr>
        <w:t xml:space="preserve"> la Comisión</w:t>
      </w:r>
      <w:r w:rsidR="00A53777" w:rsidRPr="00930562">
        <w:rPr>
          <w:rFonts w:asciiTheme="majorHAnsi" w:hAnsiTheme="majorHAnsi"/>
          <w:szCs w:val="20"/>
          <w:lang w:val="es-US"/>
        </w:rPr>
        <w:t>,</w:t>
      </w:r>
      <w:r w:rsidRPr="00930562">
        <w:rPr>
          <w:rStyle w:val="FootnoteReference"/>
          <w:rFonts w:asciiTheme="majorHAnsi" w:hAnsiTheme="majorHAnsi"/>
          <w:szCs w:val="20"/>
          <w:lang w:val="es-US"/>
        </w:rPr>
        <w:footnoteReference w:id="175"/>
      </w:r>
      <w:r w:rsidR="00A53777" w:rsidRPr="00930562">
        <w:rPr>
          <w:rFonts w:asciiTheme="majorHAnsi" w:hAnsiTheme="majorHAnsi"/>
          <w:szCs w:val="20"/>
          <w:lang w:val="es-US"/>
        </w:rPr>
        <w:t xml:space="preserve"> como </w:t>
      </w:r>
      <w:r w:rsidRPr="00930562">
        <w:rPr>
          <w:rFonts w:asciiTheme="majorHAnsi" w:hAnsiTheme="majorHAnsi"/>
          <w:szCs w:val="20"/>
          <w:lang w:val="es-US"/>
        </w:rPr>
        <w:t>otros órganos de derechos humanos</w:t>
      </w:r>
      <w:r w:rsidR="00A53777" w:rsidRPr="00930562">
        <w:rPr>
          <w:rFonts w:asciiTheme="majorHAnsi" w:hAnsiTheme="majorHAnsi"/>
          <w:szCs w:val="20"/>
          <w:lang w:val="es-US"/>
        </w:rPr>
        <w:t>,</w:t>
      </w:r>
      <w:r w:rsidRPr="00930562">
        <w:rPr>
          <w:rStyle w:val="FootnoteReference"/>
          <w:rFonts w:asciiTheme="majorHAnsi" w:hAnsiTheme="majorHAnsi"/>
          <w:szCs w:val="20"/>
          <w:lang w:val="es-US"/>
        </w:rPr>
        <w:footnoteReference w:id="176"/>
      </w:r>
      <w:r w:rsidRPr="00930562">
        <w:rPr>
          <w:rFonts w:asciiTheme="majorHAnsi" w:hAnsiTheme="majorHAnsi"/>
          <w:szCs w:val="20"/>
          <w:lang w:val="es-US"/>
        </w:rPr>
        <w:t xml:space="preserve"> ha </w:t>
      </w:r>
      <w:r w:rsidR="00A53777" w:rsidRPr="00930562">
        <w:rPr>
          <w:rFonts w:asciiTheme="majorHAnsi" w:hAnsiTheme="majorHAnsi"/>
          <w:szCs w:val="20"/>
          <w:lang w:val="es-US"/>
        </w:rPr>
        <w:t>alertado</w:t>
      </w:r>
      <w:r w:rsidRPr="00930562">
        <w:rPr>
          <w:rFonts w:asciiTheme="majorHAnsi" w:hAnsiTheme="majorHAnsi"/>
          <w:szCs w:val="20"/>
          <w:lang w:val="es-US"/>
        </w:rPr>
        <w:t xml:space="preserve"> sobre </w:t>
      </w:r>
      <w:r w:rsidRPr="00930562">
        <w:rPr>
          <w:rFonts w:asciiTheme="majorHAnsi" w:hAnsiTheme="majorHAnsi" w:cs="Cambria"/>
          <w:szCs w:val="20"/>
          <w:lang w:val="es-US" w:eastAsia="zh-CN"/>
        </w:rPr>
        <w:t>la</w:t>
      </w:r>
      <w:r w:rsidRPr="00930562">
        <w:rPr>
          <w:rFonts w:asciiTheme="majorHAnsi" w:hAnsiTheme="majorHAnsi"/>
          <w:szCs w:val="20"/>
          <w:lang w:val="es-US"/>
        </w:rPr>
        <w:t xml:space="preserve"> brutalidad policial y el uso excesivo de la fuerza por parte de funcionarios policiales contra los afroamericanos en los Estados Unidos y ha</w:t>
      </w:r>
      <w:r w:rsidR="001F7834" w:rsidRPr="00930562">
        <w:rPr>
          <w:rFonts w:asciiTheme="majorHAnsi" w:hAnsiTheme="majorHAnsi"/>
          <w:szCs w:val="20"/>
          <w:lang w:val="es-US"/>
        </w:rPr>
        <w:t xml:space="preserve"> llamado</w:t>
      </w:r>
      <w:r w:rsidRPr="00930562">
        <w:rPr>
          <w:rFonts w:asciiTheme="majorHAnsi" w:hAnsiTheme="majorHAnsi"/>
          <w:szCs w:val="20"/>
          <w:lang w:val="es-US"/>
        </w:rPr>
        <w:t xml:space="preserve"> al Estado asegur</w:t>
      </w:r>
      <w:r w:rsidR="001F7834" w:rsidRPr="00930562">
        <w:rPr>
          <w:rFonts w:asciiTheme="majorHAnsi" w:hAnsiTheme="majorHAnsi"/>
          <w:szCs w:val="20"/>
          <w:lang w:val="es-US"/>
        </w:rPr>
        <w:t>ar</w:t>
      </w:r>
      <w:r w:rsidRPr="00930562">
        <w:rPr>
          <w:rFonts w:asciiTheme="majorHAnsi" w:hAnsiTheme="majorHAnsi"/>
          <w:szCs w:val="20"/>
          <w:lang w:val="es-US"/>
        </w:rPr>
        <w:t xml:space="preserve"> </w:t>
      </w:r>
      <w:r w:rsidR="001F7834" w:rsidRPr="00930562">
        <w:rPr>
          <w:rFonts w:asciiTheme="majorHAnsi" w:hAnsiTheme="majorHAnsi"/>
          <w:szCs w:val="20"/>
          <w:lang w:val="es-US"/>
        </w:rPr>
        <w:t xml:space="preserve"> </w:t>
      </w:r>
      <w:r w:rsidRPr="00930562">
        <w:rPr>
          <w:rFonts w:asciiTheme="majorHAnsi" w:hAnsiTheme="majorHAnsi"/>
          <w:szCs w:val="20"/>
          <w:lang w:val="es-US"/>
        </w:rPr>
        <w:t>que estos eventos sea</w:t>
      </w:r>
      <w:r w:rsidR="001F7834" w:rsidRPr="00930562">
        <w:rPr>
          <w:rFonts w:asciiTheme="majorHAnsi" w:hAnsiTheme="majorHAnsi"/>
          <w:szCs w:val="20"/>
          <w:lang w:val="es-US"/>
        </w:rPr>
        <w:t>n</w:t>
      </w:r>
      <w:r w:rsidRPr="00930562">
        <w:rPr>
          <w:rFonts w:asciiTheme="majorHAnsi" w:hAnsiTheme="majorHAnsi"/>
          <w:szCs w:val="20"/>
          <w:lang w:val="es-US"/>
        </w:rPr>
        <w:t xml:space="preserve"> prevenidos, investigados, procesados ​​y sancionados.</w:t>
      </w:r>
      <w:r w:rsidR="0013380B" w:rsidRPr="00930562">
        <w:rPr>
          <w:rStyle w:val="FootnoteReference"/>
          <w:rFonts w:asciiTheme="majorHAnsi" w:hAnsiTheme="majorHAnsi"/>
          <w:szCs w:val="20"/>
          <w:lang w:val="es-US"/>
        </w:rPr>
        <w:footnoteReference w:id="177"/>
      </w:r>
      <w:r w:rsidR="0013380B" w:rsidRPr="00930562">
        <w:rPr>
          <w:rFonts w:asciiTheme="majorHAnsi" w:hAnsiTheme="majorHAnsi"/>
          <w:szCs w:val="20"/>
          <w:lang w:val="es-US"/>
        </w:rPr>
        <w:t xml:space="preserve"> </w:t>
      </w:r>
      <w:r w:rsidRPr="00930562">
        <w:rPr>
          <w:rFonts w:asciiTheme="majorHAnsi" w:hAnsiTheme="majorHAnsi"/>
          <w:szCs w:val="20"/>
          <w:lang w:val="es-US"/>
        </w:rPr>
        <w:t xml:space="preserve">El uso excesivo de la fuerza, en particular contra civiles desarmados, plantea problemas de discriminación racial y ocurre en un entorno legal permisivo que consiente el uso excesivo de la fuerza y ​​evita la rendición de cuentas. Esta sección </w:t>
      </w:r>
      <w:r w:rsidR="001F7834" w:rsidRPr="00930562">
        <w:rPr>
          <w:rFonts w:asciiTheme="majorHAnsi" w:hAnsiTheme="majorHAnsi"/>
          <w:szCs w:val="20"/>
          <w:lang w:val="es-US"/>
        </w:rPr>
        <w:t xml:space="preserve">explora </w:t>
      </w:r>
      <w:r w:rsidRPr="00930562">
        <w:rPr>
          <w:rFonts w:asciiTheme="majorHAnsi" w:hAnsiTheme="majorHAnsi"/>
          <w:szCs w:val="20"/>
          <w:lang w:val="es-US"/>
        </w:rPr>
        <w:t>varios temas clave</w:t>
      </w:r>
      <w:r w:rsidR="00193914" w:rsidRPr="00930562">
        <w:rPr>
          <w:rFonts w:asciiTheme="majorHAnsi" w:hAnsiTheme="majorHAnsi"/>
          <w:szCs w:val="20"/>
          <w:lang w:val="es-US"/>
        </w:rPr>
        <w:t>s</w:t>
      </w:r>
      <w:r w:rsidRPr="00930562">
        <w:rPr>
          <w:rFonts w:asciiTheme="majorHAnsi" w:hAnsiTheme="majorHAnsi"/>
          <w:szCs w:val="20"/>
          <w:lang w:val="es-US"/>
        </w:rPr>
        <w:t xml:space="preserve"> relacionados con el uso excesivo de la fuerza.</w:t>
      </w:r>
      <w:r w:rsidR="0013380B" w:rsidRPr="00930562">
        <w:rPr>
          <w:rFonts w:asciiTheme="majorHAnsi" w:hAnsiTheme="majorHAnsi"/>
          <w:szCs w:val="20"/>
          <w:lang w:val="es-US"/>
        </w:rPr>
        <w:t xml:space="preserve"> </w:t>
      </w:r>
    </w:p>
    <w:p w14:paraId="0E933818" w14:textId="7E608510" w:rsidR="0013380B" w:rsidRPr="00930562" w:rsidRDefault="00EA2805"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rPr>
        <w:t>Como aspecto esencial, la</w:t>
      </w:r>
      <w:r w:rsidR="0013380B" w:rsidRPr="00930562">
        <w:rPr>
          <w:rFonts w:asciiTheme="majorHAnsi" w:hAnsiTheme="majorHAnsi"/>
          <w:szCs w:val="20"/>
          <w:lang w:val="es-US"/>
        </w:rPr>
        <w:t xml:space="preserve"> Comisi</w:t>
      </w:r>
      <w:r w:rsidRPr="00930562">
        <w:rPr>
          <w:rFonts w:asciiTheme="majorHAnsi" w:hAnsiTheme="majorHAnsi"/>
          <w:szCs w:val="20"/>
          <w:lang w:val="es-US"/>
        </w:rPr>
        <w:t>ó</w:t>
      </w:r>
      <w:r w:rsidR="0013380B" w:rsidRPr="00930562">
        <w:rPr>
          <w:rFonts w:asciiTheme="majorHAnsi" w:hAnsiTheme="majorHAnsi"/>
          <w:szCs w:val="20"/>
          <w:lang w:val="es-US"/>
        </w:rPr>
        <w:t xml:space="preserve">n </w:t>
      </w:r>
      <w:r w:rsidRPr="00930562">
        <w:rPr>
          <w:rFonts w:asciiTheme="majorHAnsi" w:hAnsiTheme="majorHAnsi"/>
          <w:szCs w:val="20"/>
          <w:lang w:val="es-US"/>
        </w:rPr>
        <w:t xml:space="preserve">nota que no existe una base de datos federal </w:t>
      </w:r>
      <w:r w:rsidR="001F7834" w:rsidRPr="00930562">
        <w:rPr>
          <w:rFonts w:asciiTheme="majorHAnsi" w:hAnsiTheme="majorHAnsi"/>
          <w:szCs w:val="20"/>
          <w:lang w:val="es-US"/>
        </w:rPr>
        <w:t xml:space="preserve">obligatoria </w:t>
      </w:r>
      <w:r w:rsidRPr="00930562">
        <w:rPr>
          <w:rFonts w:asciiTheme="majorHAnsi" w:hAnsiTheme="majorHAnsi"/>
          <w:szCs w:val="20"/>
          <w:lang w:val="es-US"/>
        </w:rPr>
        <w:t>destinada a rastrear la violencia policial y los homicidios</w:t>
      </w:r>
      <w:r w:rsidR="0013380B" w:rsidRPr="00930562">
        <w:rPr>
          <w:rFonts w:asciiTheme="majorHAnsi" w:hAnsiTheme="majorHAnsi"/>
          <w:szCs w:val="20"/>
          <w:lang w:val="es-US"/>
        </w:rPr>
        <w:t>;</w:t>
      </w:r>
      <w:r w:rsidR="0013380B" w:rsidRPr="00930562">
        <w:rPr>
          <w:rStyle w:val="FootnoteReference"/>
          <w:rFonts w:asciiTheme="majorHAnsi" w:hAnsiTheme="majorHAnsi"/>
          <w:szCs w:val="20"/>
          <w:lang w:val="es-US"/>
        </w:rPr>
        <w:footnoteReference w:id="178"/>
      </w:r>
      <w:r w:rsidR="0013380B" w:rsidRPr="00930562">
        <w:rPr>
          <w:rFonts w:asciiTheme="majorHAnsi" w:hAnsiTheme="majorHAnsi"/>
          <w:szCs w:val="20"/>
          <w:lang w:val="es-US"/>
        </w:rPr>
        <w:t xml:space="preserve"> </w:t>
      </w:r>
      <w:r w:rsidRPr="00930562">
        <w:rPr>
          <w:rFonts w:asciiTheme="majorHAnsi" w:hAnsiTheme="majorHAnsi"/>
          <w:szCs w:val="20"/>
          <w:lang w:val="es-US"/>
        </w:rPr>
        <w:t>la ausencia de datos oficiales plantea inquietudes relacionadas con el deber del Estado de ejercer la debida diligencia</w:t>
      </w:r>
      <w:r w:rsidR="0013380B" w:rsidRPr="00930562">
        <w:rPr>
          <w:rFonts w:asciiTheme="majorHAnsi" w:hAnsiTheme="majorHAnsi"/>
          <w:szCs w:val="20"/>
          <w:lang w:val="es-US"/>
        </w:rPr>
        <w:t>.</w:t>
      </w:r>
      <w:r w:rsidR="0013380B" w:rsidRPr="00930562">
        <w:rPr>
          <w:rStyle w:val="FootnoteReference"/>
          <w:rFonts w:asciiTheme="majorHAnsi" w:hAnsiTheme="majorHAnsi"/>
          <w:szCs w:val="20"/>
          <w:lang w:val="es-US"/>
        </w:rPr>
        <w:footnoteReference w:id="179"/>
      </w:r>
      <w:r w:rsidRPr="00930562">
        <w:rPr>
          <w:rFonts w:asciiTheme="majorHAnsi" w:hAnsiTheme="majorHAnsi"/>
          <w:szCs w:val="20"/>
          <w:lang w:val="es-US"/>
        </w:rPr>
        <w:t xml:space="preserve"> No obstante, según información pública los EE.UU. registran constantemente altos niveles de violencia policial</w:t>
      </w:r>
      <w:r w:rsidR="0013380B" w:rsidRPr="00930562">
        <w:rPr>
          <w:rFonts w:asciiTheme="majorHAnsi" w:hAnsiTheme="majorHAnsi"/>
          <w:szCs w:val="20"/>
          <w:lang w:val="es-US"/>
        </w:rPr>
        <w:t xml:space="preserve">: </w:t>
      </w:r>
      <w:r w:rsidRPr="00930562">
        <w:rPr>
          <w:rFonts w:asciiTheme="majorHAnsi" w:hAnsiTheme="majorHAnsi"/>
          <w:szCs w:val="20"/>
          <w:lang w:val="es-US"/>
        </w:rPr>
        <w:t xml:space="preserve">informes indican que la policía asesina aproximadamente </w:t>
      </w:r>
      <w:r w:rsidR="001F7834" w:rsidRPr="00930562">
        <w:rPr>
          <w:rFonts w:asciiTheme="majorHAnsi" w:hAnsiTheme="majorHAnsi"/>
          <w:szCs w:val="20"/>
          <w:lang w:val="es-US"/>
        </w:rPr>
        <w:t>a</w:t>
      </w:r>
      <w:r w:rsidR="0013380B" w:rsidRPr="00930562">
        <w:rPr>
          <w:rFonts w:asciiTheme="majorHAnsi" w:hAnsiTheme="majorHAnsi"/>
          <w:szCs w:val="20"/>
          <w:lang w:val="es-US"/>
        </w:rPr>
        <w:t xml:space="preserve"> 1</w:t>
      </w:r>
      <w:r w:rsidRPr="00930562">
        <w:rPr>
          <w:rFonts w:asciiTheme="majorHAnsi" w:hAnsiTheme="majorHAnsi"/>
          <w:szCs w:val="20"/>
          <w:lang w:val="es-US"/>
        </w:rPr>
        <w:t>.</w:t>
      </w:r>
      <w:r w:rsidR="0013380B" w:rsidRPr="00930562">
        <w:rPr>
          <w:rFonts w:asciiTheme="majorHAnsi" w:hAnsiTheme="majorHAnsi"/>
          <w:szCs w:val="20"/>
          <w:lang w:val="es-US"/>
        </w:rPr>
        <w:t xml:space="preserve">000 </w:t>
      </w:r>
      <w:r w:rsidRPr="00930562">
        <w:rPr>
          <w:rFonts w:asciiTheme="majorHAnsi" w:hAnsiTheme="majorHAnsi"/>
          <w:szCs w:val="20"/>
          <w:lang w:val="es-US"/>
        </w:rPr>
        <w:t>personas y hiere más de</w:t>
      </w:r>
      <w:r w:rsidR="0013380B" w:rsidRPr="00930562">
        <w:rPr>
          <w:rFonts w:asciiTheme="majorHAnsi" w:hAnsiTheme="majorHAnsi"/>
          <w:szCs w:val="20"/>
          <w:lang w:val="es-US"/>
        </w:rPr>
        <w:t xml:space="preserve"> 50</w:t>
      </w:r>
      <w:r w:rsidRPr="00930562">
        <w:rPr>
          <w:rFonts w:asciiTheme="majorHAnsi" w:hAnsiTheme="majorHAnsi"/>
          <w:szCs w:val="20"/>
          <w:lang w:val="es-US"/>
        </w:rPr>
        <w:t>.</w:t>
      </w:r>
      <w:r w:rsidR="0013380B" w:rsidRPr="00930562">
        <w:rPr>
          <w:rFonts w:asciiTheme="majorHAnsi" w:hAnsiTheme="majorHAnsi"/>
          <w:szCs w:val="20"/>
          <w:lang w:val="es-US"/>
        </w:rPr>
        <w:t xml:space="preserve">000 </w:t>
      </w:r>
      <w:r w:rsidRPr="00930562">
        <w:rPr>
          <w:rFonts w:asciiTheme="majorHAnsi" w:hAnsiTheme="majorHAnsi"/>
          <w:szCs w:val="20"/>
          <w:lang w:val="es-US"/>
        </w:rPr>
        <w:t>cada año en promedio</w:t>
      </w:r>
      <w:r w:rsidR="0013380B" w:rsidRPr="00930562">
        <w:rPr>
          <w:rFonts w:asciiTheme="majorHAnsi" w:hAnsiTheme="majorHAnsi"/>
          <w:szCs w:val="20"/>
          <w:lang w:val="es-US"/>
        </w:rPr>
        <w:t>.</w:t>
      </w:r>
      <w:r w:rsidR="0013380B" w:rsidRPr="00930562">
        <w:rPr>
          <w:rFonts w:asciiTheme="majorHAnsi" w:hAnsiTheme="majorHAnsi"/>
          <w:vertAlign w:val="superscript"/>
          <w:lang w:val="es-US"/>
        </w:rPr>
        <w:footnoteReference w:id="180"/>
      </w:r>
      <w:r w:rsidR="003F4267" w:rsidRPr="00930562">
        <w:rPr>
          <w:rFonts w:asciiTheme="majorHAnsi" w:hAnsiTheme="majorHAnsi"/>
          <w:szCs w:val="20"/>
          <w:lang w:val="es-US"/>
        </w:rPr>
        <w:t xml:space="preserve"> En 2017 al menos 987 personas fueron asesinadas a balazos por agentes policiales, incluidos más de 300 que huían de los oficiales cuando les dispar</w:t>
      </w:r>
      <w:r w:rsidR="001F7834" w:rsidRPr="00930562">
        <w:rPr>
          <w:rFonts w:asciiTheme="majorHAnsi" w:hAnsiTheme="majorHAnsi"/>
          <w:szCs w:val="20"/>
          <w:lang w:val="es-US"/>
        </w:rPr>
        <w:t>aron</w:t>
      </w:r>
      <w:r w:rsidR="003F4267" w:rsidRPr="00930562">
        <w:rPr>
          <w:rFonts w:asciiTheme="majorHAnsi" w:hAnsiTheme="majorHAnsi"/>
          <w:szCs w:val="20"/>
          <w:lang w:val="es-US"/>
        </w:rPr>
        <w:t>.</w:t>
      </w:r>
      <w:r w:rsidR="003F4267" w:rsidRPr="00930562">
        <w:rPr>
          <w:rFonts w:asciiTheme="majorHAnsi" w:hAnsiTheme="majorHAnsi"/>
          <w:vertAlign w:val="superscript"/>
          <w:lang w:val="es-US"/>
        </w:rPr>
        <w:footnoteReference w:id="181"/>
      </w:r>
      <w:r w:rsidR="003F4267" w:rsidRPr="00930562">
        <w:rPr>
          <w:rFonts w:asciiTheme="majorHAnsi" w:hAnsiTheme="majorHAnsi"/>
          <w:szCs w:val="20"/>
          <w:lang w:val="es-US"/>
        </w:rPr>
        <w:t xml:space="preserve">  La cifra anual de homicidios policiales registrados en los Estados Unidos es mucho más alt</w:t>
      </w:r>
      <w:r w:rsidR="001F7834" w:rsidRPr="00930562">
        <w:rPr>
          <w:rFonts w:asciiTheme="majorHAnsi" w:hAnsiTheme="majorHAnsi"/>
          <w:szCs w:val="20"/>
          <w:lang w:val="es-US"/>
        </w:rPr>
        <w:t>a</w:t>
      </w:r>
      <w:r w:rsidR="003F4267" w:rsidRPr="00930562">
        <w:rPr>
          <w:rFonts w:asciiTheme="majorHAnsi" w:hAnsiTheme="majorHAnsi"/>
          <w:szCs w:val="20"/>
          <w:lang w:val="es-US"/>
        </w:rPr>
        <w:t>, tanto en términos per cápita como en términos absolutos que en otros países desarrollados. Por ejemplo, un estudio indic</w:t>
      </w:r>
      <w:r w:rsidR="001F7834" w:rsidRPr="00930562">
        <w:rPr>
          <w:rFonts w:asciiTheme="majorHAnsi" w:hAnsiTheme="majorHAnsi"/>
          <w:szCs w:val="20"/>
          <w:lang w:val="es-US"/>
        </w:rPr>
        <w:t>ó</w:t>
      </w:r>
      <w:r w:rsidR="003F4267" w:rsidRPr="00930562">
        <w:rPr>
          <w:rFonts w:asciiTheme="majorHAnsi" w:hAnsiTheme="majorHAnsi"/>
          <w:szCs w:val="20"/>
          <w:lang w:val="es-US"/>
        </w:rPr>
        <w:t xml:space="preserve"> que mientras los EE.UU. registran un promedio de 3.11 asesinatos </w:t>
      </w:r>
      <w:r w:rsidR="00652822" w:rsidRPr="00930562">
        <w:rPr>
          <w:rFonts w:asciiTheme="majorHAnsi" w:hAnsiTheme="majorHAnsi"/>
          <w:szCs w:val="20"/>
          <w:lang w:val="es-US"/>
        </w:rPr>
        <w:t xml:space="preserve">por </w:t>
      </w:r>
      <w:r w:rsidR="003F4267" w:rsidRPr="00930562">
        <w:rPr>
          <w:rFonts w:asciiTheme="majorHAnsi" w:hAnsiTheme="majorHAnsi"/>
          <w:szCs w:val="20"/>
          <w:lang w:val="es-US"/>
        </w:rPr>
        <w:t xml:space="preserve">cada millón de personas, Australia, el país </w:t>
      </w:r>
      <w:r w:rsidR="003F4267" w:rsidRPr="00930562">
        <w:rPr>
          <w:rFonts w:asciiTheme="majorHAnsi" w:hAnsiTheme="majorHAnsi"/>
          <w:szCs w:val="20"/>
          <w:lang w:val="es-US"/>
        </w:rPr>
        <w:lastRenderedPageBreak/>
        <w:t xml:space="preserve">desarrollado con el segundo número más alto de asesinatos policiales, registra sólo 0.21 asesinatos </w:t>
      </w:r>
      <w:r w:rsidR="00652822" w:rsidRPr="00930562">
        <w:rPr>
          <w:rFonts w:asciiTheme="majorHAnsi" w:hAnsiTheme="majorHAnsi"/>
          <w:szCs w:val="20"/>
          <w:lang w:val="es-US"/>
        </w:rPr>
        <w:t xml:space="preserve">por </w:t>
      </w:r>
      <w:r w:rsidR="003F4267" w:rsidRPr="00930562">
        <w:rPr>
          <w:rFonts w:asciiTheme="majorHAnsi" w:hAnsiTheme="majorHAnsi"/>
          <w:szCs w:val="20"/>
          <w:lang w:val="es-US"/>
        </w:rPr>
        <w:t>cada millón de personas.</w:t>
      </w:r>
      <w:r w:rsidR="0013380B" w:rsidRPr="00930562">
        <w:rPr>
          <w:rFonts w:asciiTheme="majorHAnsi" w:hAnsiTheme="majorHAnsi"/>
          <w:vertAlign w:val="superscript"/>
          <w:lang w:val="es-US"/>
        </w:rPr>
        <w:footnoteReference w:id="182"/>
      </w:r>
    </w:p>
    <w:p w14:paraId="40DBAC36" w14:textId="2BB0D5F3" w:rsidR="0013380B" w:rsidRPr="00930562" w:rsidRDefault="00B13D83"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bookmarkStart w:id="85" w:name="_Ref507586161"/>
      <w:r w:rsidRPr="00930562">
        <w:rPr>
          <w:rFonts w:asciiTheme="majorHAnsi" w:hAnsiTheme="majorHAnsi"/>
          <w:szCs w:val="20"/>
          <w:lang w:val="es-US"/>
        </w:rPr>
        <w:t xml:space="preserve"> </w:t>
      </w:r>
      <w:r w:rsidR="003F4267" w:rsidRPr="00930562">
        <w:rPr>
          <w:rFonts w:asciiTheme="majorHAnsi" w:hAnsiTheme="majorHAnsi"/>
          <w:szCs w:val="20"/>
          <w:lang w:val="es-US"/>
        </w:rPr>
        <w:t xml:space="preserve">En este panorama, el uso permanente y desproporcionado de la fuerza excesiva por parte de agentes policiales contra los afroamericanos es particularmente preocupante; si bien  representan sólo el 13 por ciento de la población de los EE.UU., los </w:t>
      </w:r>
      <w:r w:rsidR="00103892" w:rsidRPr="00930562">
        <w:rPr>
          <w:rFonts w:asciiTheme="majorHAnsi" w:hAnsiTheme="majorHAnsi"/>
          <w:szCs w:val="20"/>
          <w:lang w:val="es-US"/>
        </w:rPr>
        <w:t>afroamerican</w:t>
      </w:r>
      <w:r w:rsidR="003F4267" w:rsidRPr="00930562">
        <w:rPr>
          <w:rFonts w:asciiTheme="majorHAnsi" w:hAnsiTheme="majorHAnsi"/>
          <w:szCs w:val="20"/>
          <w:lang w:val="es-US"/>
        </w:rPr>
        <w:t>os constituyeron el 23 por ciento de las víctimas de los homicidios policiales en 2017.</w:t>
      </w:r>
      <w:r w:rsidR="0013380B" w:rsidRPr="00930562">
        <w:rPr>
          <w:rStyle w:val="FootnoteReference"/>
          <w:rFonts w:asciiTheme="majorHAnsi" w:hAnsiTheme="majorHAnsi"/>
          <w:szCs w:val="20"/>
          <w:lang w:val="es-US"/>
        </w:rPr>
        <w:footnoteReference w:id="183"/>
      </w:r>
      <w:r w:rsidR="0013380B" w:rsidRPr="00930562">
        <w:rPr>
          <w:rFonts w:asciiTheme="majorHAnsi" w:hAnsiTheme="majorHAnsi"/>
          <w:szCs w:val="20"/>
          <w:lang w:val="es-US"/>
        </w:rPr>
        <w:t xml:space="preserve"> </w:t>
      </w:r>
      <w:r w:rsidR="00652822" w:rsidRPr="00930562">
        <w:rPr>
          <w:rFonts w:asciiTheme="majorHAnsi" w:hAnsiTheme="majorHAnsi"/>
          <w:szCs w:val="20"/>
          <w:lang w:val="es-US"/>
        </w:rPr>
        <w:t xml:space="preserve">Los afroamericanos constituyeron el </w:t>
      </w:r>
      <w:r w:rsidR="003F4267" w:rsidRPr="00930562">
        <w:rPr>
          <w:rFonts w:asciiTheme="majorHAnsi" w:hAnsiTheme="majorHAnsi"/>
          <w:szCs w:val="20"/>
          <w:lang w:val="es-US"/>
        </w:rPr>
        <w:t>24 por ciento de</w:t>
      </w:r>
      <w:r w:rsidR="00652822" w:rsidRPr="00930562">
        <w:rPr>
          <w:rFonts w:asciiTheme="majorHAnsi" w:hAnsiTheme="majorHAnsi"/>
          <w:szCs w:val="20"/>
          <w:lang w:val="es-US"/>
        </w:rPr>
        <w:t xml:space="preserve"> las víctimas de</w:t>
      </w:r>
      <w:r w:rsidR="003F4267" w:rsidRPr="00930562">
        <w:rPr>
          <w:rFonts w:asciiTheme="majorHAnsi" w:hAnsiTheme="majorHAnsi"/>
          <w:szCs w:val="20"/>
          <w:lang w:val="es-US"/>
        </w:rPr>
        <w:t xml:space="preserve"> todos los homicidios policiales en 2016</w:t>
      </w:r>
      <w:r w:rsidRPr="00930562">
        <w:rPr>
          <w:rFonts w:asciiTheme="majorHAnsi" w:hAnsiTheme="majorHAnsi"/>
          <w:szCs w:val="20"/>
          <w:lang w:val="es-US"/>
        </w:rPr>
        <w:t xml:space="preserve"> </w:t>
      </w:r>
      <w:r w:rsidR="003F4267" w:rsidRPr="00930562">
        <w:rPr>
          <w:rFonts w:asciiTheme="majorHAnsi" w:hAnsiTheme="majorHAnsi"/>
          <w:szCs w:val="20"/>
          <w:lang w:val="es-US"/>
        </w:rPr>
        <w:t xml:space="preserve">y </w:t>
      </w:r>
      <w:r w:rsidRPr="00930562">
        <w:rPr>
          <w:rFonts w:asciiTheme="majorHAnsi" w:hAnsiTheme="majorHAnsi"/>
          <w:szCs w:val="20"/>
          <w:lang w:val="es-US"/>
        </w:rPr>
        <w:t xml:space="preserve">también </w:t>
      </w:r>
      <w:r w:rsidR="003F4267" w:rsidRPr="00930562">
        <w:rPr>
          <w:rFonts w:asciiTheme="majorHAnsi" w:hAnsiTheme="majorHAnsi"/>
          <w:szCs w:val="20"/>
          <w:lang w:val="es-US"/>
        </w:rPr>
        <w:t>el 26 por ciento de todos los homicidios policiales en 2015</w:t>
      </w:r>
      <w:r w:rsidRPr="00930562">
        <w:rPr>
          <w:rFonts w:asciiTheme="majorHAnsi" w:hAnsiTheme="majorHAnsi"/>
          <w:szCs w:val="20"/>
          <w:lang w:val="es-US"/>
        </w:rPr>
        <w:t>.</w:t>
      </w:r>
      <w:r w:rsidR="0013380B" w:rsidRPr="00930562">
        <w:rPr>
          <w:rStyle w:val="FootnoteReference"/>
          <w:rFonts w:asciiTheme="majorHAnsi" w:hAnsiTheme="majorHAnsi"/>
          <w:szCs w:val="20"/>
          <w:lang w:val="es-US"/>
        </w:rPr>
        <w:footnoteReference w:id="184"/>
      </w:r>
      <w:r w:rsidR="0013380B" w:rsidRPr="00930562">
        <w:rPr>
          <w:rFonts w:asciiTheme="majorHAnsi" w:hAnsiTheme="majorHAnsi"/>
          <w:szCs w:val="20"/>
          <w:lang w:val="es-US"/>
        </w:rPr>
        <w:t xml:space="preserve"> </w:t>
      </w:r>
      <w:r w:rsidR="00652822" w:rsidRPr="00930562">
        <w:rPr>
          <w:rFonts w:asciiTheme="majorHAnsi" w:hAnsiTheme="majorHAnsi"/>
          <w:szCs w:val="20"/>
          <w:lang w:val="es-US"/>
        </w:rPr>
        <w:t>Cuando se</w:t>
      </w:r>
      <w:r w:rsidRPr="00930562">
        <w:rPr>
          <w:rFonts w:asciiTheme="majorHAnsi" w:hAnsiTheme="majorHAnsi"/>
          <w:szCs w:val="20"/>
          <w:lang w:val="es-US"/>
        </w:rPr>
        <w:t xml:space="preserve"> toman en cuenta los homicidios de civiles desarmados, las estadísticas son aún más </w:t>
      </w:r>
      <w:r w:rsidR="00652822" w:rsidRPr="00930562">
        <w:rPr>
          <w:rFonts w:asciiTheme="majorHAnsi" w:hAnsiTheme="majorHAnsi"/>
          <w:szCs w:val="20"/>
          <w:lang w:val="es-US"/>
        </w:rPr>
        <w:t>impactantes</w:t>
      </w:r>
      <w:r w:rsidRPr="00930562">
        <w:rPr>
          <w:rFonts w:asciiTheme="majorHAnsi" w:hAnsiTheme="majorHAnsi"/>
          <w:szCs w:val="20"/>
          <w:lang w:val="es-US"/>
        </w:rPr>
        <w:t>; por ejemplo, estadísticas de la sociedad civil indican que en 2015 más del 34 por ciento de los civiles desarmados asesinados por agentes de policía eran negros</w:t>
      </w:r>
      <w:r w:rsidR="0013380B" w:rsidRPr="00930562">
        <w:rPr>
          <w:rFonts w:asciiTheme="majorHAnsi" w:hAnsiTheme="majorHAnsi"/>
          <w:szCs w:val="20"/>
          <w:lang w:val="es-US"/>
        </w:rPr>
        <w:t>.</w:t>
      </w:r>
      <w:r w:rsidR="0013380B" w:rsidRPr="00930562">
        <w:rPr>
          <w:rFonts w:asciiTheme="majorHAnsi" w:hAnsiTheme="majorHAnsi"/>
          <w:szCs w:val="20"/>
          <w:vertAlign w:val="superscript"/>
          <w:lang w:val="es-US"/>
        </w:rPr>
        <w:footnoteReference w:id="185"/>
      </w:r>
      <w:r w:rsidR="0013380B" w:rsidRPr="00930562">
        <w:rPr>
          <w:rFonts w:asciiTheme="majorHAnsi" w:hAnsiTheme="majorHAnsi"/>
          <w:szCs w:val="20"/>
          <w:lang w:val="es-US"/>
        </w:rPr>
        <w:t xml:space="preserve"> </w:t>
      </w:r>
      <w:r w:rsidRPr="00930562">
        <w:rPr>
          <w:rFonts w:asciiTheme="majorHAnsi" w:hAnsiTheme="majorHAnsi"/>
          <w:szCs w:val="20"/>
          <w:lang w:val="es-US"/>
        </w:rPr>
        <w:t>Otras investigaciones indican que los hombres negros tienen casi tres veces más probabilidades de ser asesinados por la fuerza policial</w:t>
      </w:r>
      <w:r w:rsidR="00652822" w:rsidRPr="00930562">
        <w:rPr>
          <w:rFonts w:asciiTheme="majorHAnsi" w:hAnsiTheme="majorHAnsi"/>
          <w:szCs w:val="20"/>
          <w:lang w:val="es-US"/>
        </w:rPr>
        <w:t>,</w:t>
      </w:r>
      <w:r w:rsidRPr="00930562">
        <w:rPr>
          <w:rFonts w:asciiTheme="majorHAnsi" w:hAnsiTheme="majorHAnsi"/>
          <w:szCs w:val="20"/>
          <w:lang w:val="es-US"/>
        </w:rPr>
        <w:t xml:space="preserve"> y los hombres hispanos tienen casi el doble en comparación con los hombres blancos</w:t>
      </w:r>
      <w:r w:rsidR="0013380B" w:rsidRPr="00930562">
        <w:rPr>
          <w:rFonts w:asciiTheme="majorHAnsi" w:hAnsiTheme="majorHAnsi"/>
          <w:szCs w:val="20"/>
          <w:lang w:val="es-US"/>
        </w:rPr>
        <w:t>.</w:t>
      </w:r>
      <w:r w:rsidR="0013380B" w:rsidRPr="00930562">
        <w:rPr>
          <w:rStyle w:val="FootnoteReference"/>
          <w:rFonts w:asciiTheme="majorHAnsi" w:hAnsiTheme="majorHAnsi"/>
          <w:szCs w:val="20"/>
          <w:lang w:val="es-US"/>
        </w:rPr>
        <w:footnoteReference w:id="186"/>
      </w:r>
      <w:r w:rsidR="0013380B" w:rsidRPr="00930562">
        <w:rPr>
          <w:rFonts w:asciiTheme="majorHAnsi" w:hAnsiTheme="majorHAnsi"/>
          <w:szCs w:val="20"/>
          <w:lang w:val="es-US"/>
        </w:rPr>
        <w:t xml:space="preserve"> </w:t>
      </w:r>
      <w:r w:rsidRPr="00930562">
        <w:rPr>
          <w:rFonts w:asciiTheme="majorHAnsi" w:hAnsiTheme="majorHAnsi"/>
          <w:szCs w:val="20"/>
          <w:lang w:val="es-US"/>
        </w:rPr>
        <w:t xml:space="preserve">Estas desigualdades no son anomalías, y tampoco son el resultado de tasas de criminalidad diferentes; </w:t>
      </w:r>
      <w:r w:rsidR="00652822" w:rsidRPr="00930562">
        <w:rPr>
          <w:rFonts w:asciiTheme="majorHAnsi" w:hAnsiTheme="majorHAnsi"/>
          <w:szCs w:val="20"/>
          <w:lang w:val="es-US"/>
        </w:rPr>
        <w:t>un estudio encontró</w:t>
      </w:r>
      <w:r w:rsidRPr="00930562">
        <w:rPr>
          <w:rFonts w:asciiTheme="majorHAnsi" w:hAnsiTheme="majorHAnsi"/>
          <w:szCs w:val="20"/>
          <w:lang w:val="es-US"/>
        </w:rPr>
        <w:t xml:space="preserve"> que, controlando las diferencias en las tasas de criminalidad por raza, la probabilidad de que una persona afroamericana desarmada sea baleada por la policía es 3.49 veces mayor que la probabilidad de que la policía dispare a una persona</w:t>
      </w:r>
      <w:r w:rsidR="00652822" w:rsidRPr="00930562">
        <w:rPr>
          <w:rFonts w:asciiTheme="majorHAnsi" w:hAnsiTheme="majorHAnsi"/>
          <w:szCs w:val="20"/>
          <w:lang w:val="es-US"/>
        </w:rPr>
        <w:t xml:space="preserve"> blanca</w:t>
      </w:r>
      <w:r w:rsidRPr="00930562">
        <w:rPr>
          <w:rFonts w:asciiTheme="majorHAnsi" w:hAnsiTheme="majorHAnsi"/>
          <w:szCs w:val="20"/>
          <w:lang w:val="es-US"/>
        </w:rPr>
        <w:t xml:space="preserve"> desarmada.</w:t>
      </w:r>
      <w:r w:rsidR="0013380B" w:rsidRPr="00930562">
        <w:rPr>
          <w:rStyle w:val="FootnoteReference"/>
          <w:rFonts w:asciiTheme="majorHAnsi" w:hAnsiTheme="majorHAnsi"/>
          <w:szCs w:val="20"/>
          <w:lang w:val="es-US"/>
        </w:rPr>
        <w:footnoteReference w:id="187"/>
      </w:r>
      <w:bookmarkEnd w:id="85"/>
      <w:r w:rsidR="003F4267" w:rsidRPr="00930562">
        <w:rPr>
          <w:rFonts w:asciiTheme="majorHAnsi" w:hAnsiTheme="majorHAnsi"/>
          <w:szCs w:val="20"/>
          <w:lang w:val="es-US"/>
        </w:rPr>
        <w:t xml:space="preserve">   </w:t>
      </w:r>
    </w:p>
    <w:p w14:paraId="466A75FF" w14:textId="2D5713E0" w:rsidR="0013380B" w:rsidRPr="00930562" w:rsidRDefault="007F237F"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bookmarkStart w:id="86" w:name="_Ref507077640"/>
      <w:r w:rsidRPr="00930562">
        <w:rPr>
          <w:rFonts w:asciiTheme="majorHAnsi" w:hAnsiTheme="majorHAnsi"/>
          <w:szCs w:val="20"/>
          <w:lang w:val="es-US"/>
        </w:rPr>
        <w:t xml:space="preserve">Si bien se dispone de poca información sistemática sobre el alcance del problema, el uso excesivo de la fuerza policial contra los afroamericanos es un problema de larga data en los Estados Unidos. En el período anterior a la guerra, las patrullas de esclavos tenían el poder de ejercer violencia física contra individuos negros sospechosos de ser esclavos fugitivos. En tiempos más recientes, las imágenes y transmisiones televisivas de policías golpeando a  manifestantes negros con porras ayudaron a impulsar a la opinión pública a favor del Movimiento por los Derechos Civiles durante la </w:t>
      </w:r>
      <w:r w:rsidRPr="00930562">
        <w:rPr>
          <w:rFonts w:asciiTheme="majorHAnsi" w:hAnsiTheme="majorHAnsi"/>
          <w:szCs w:val="20"/>
          <w:lang w:val="es-US"/>
        </w:rPr>
        <w:lastRenderedPageBreak/>
        <w:t>década de 1960. En 1992 la golpiza de Rodney King por parte de la policía de Los Ángeles provocó disturbios generalizados (los "disturbios de Los Ángeles") entre los manifestantes consternados por la paliza y la absolución de los oficiales responsables. La Comisión recibió información sobre el asesinato de Tesfaye Mokuria en 1992 por parte de agentes policiales de Dallas en presencia de sus hijos y en su casa.</w:t>
      </w:r>
      <w:r w:rsidRPr="00930562">
        <w:rPr>
          <w:rFonts w:asciiTheme="majorHAnsi" w:hAnsiTheme="majorHAnsi"/>
          <w:lang w:val="es-US"/>
        </w:rPr>
        <w:t xml:space="preserve"> </w:t>
      </w:r>
      <w:r w:rsidRPr="00930562">
        <w:rPr>
          <w:rFonts w:asciiTheme="majorHAnsi" w:hAnsiTheme="majorHAnsi"/>
          <w:vertAlign w:val="superscript"/>
          <w:lang w:val="es-US"/>
        </w:rPr>
        <w:footnoteReference w:id="188"/>
      </w:r>
      <w:r w:rsidRPr="00930562">
        <w:rPr>
          <w:rFonts w:asciiTheme="majorHAnsi" w:hAnsiTheme="majorHAnsi"/>
          <w:szCs w:val="20"/>
          <w:lang w:val="es-US"/>
        </w:rPr>
        <w:t xml:space="preserve"> En 1999</w:t>
      </w:r>
      <w:r w:rsidR="00652822" w:rsidRPr="00930562">
        <w:rPr>
          <w:rFonts w:asciiTheme="majorHAnsi" w:hAnsiTheme="majorHAnsi"/>
          <w:szCs w:val="20"/>
          <w:lang w:val="es-US"/>
        </w:rPr>
        <w:t>,</w:t>
      </w:r>
      <w:r w:rsidRPr="00930562">
        <w:rPr>
          <w:rFonts w:asciiTheme="majorHAnsi" w:hAnsiTheme="majorHAnsi"/>
          <w:szCs w:val="20"/>
          <w:lang w:val="es-US"/>
        </w:rPr>
        <w:t xml:space="preserve"> la policía de Nueva York le disparó 41 veces a Amadou Diallo mientras se sacaba la billetera de la chaqueta, en un caso que provocó </w:t>
      </w:r>
      <w:r w:rsidR="00565D4D" w:rsidRPr="00930562">
        <w:rPr>
          <w:rFonts w:asciiTheme="majorHAnsi" w:hAnsiTheme="majorHAnsi"/>
          <w:szCs w:val="20"/>
          <w:lang w:val="es-US"/>
        </w:rPr>
        <w:t>indignación</w:t>
      </w:r>
      <w:r w:rsidRPr="00930562">
        <w:rPr>
          <w:rFonts w:asciiTheme="majorHAnsi" w:hAnsiTheme="majorHAnsi"/>
          <w:szCs w:val="20"/>
          <w:lang w:val="es-US"/>
        </w:rPr>
        <w:t xml:space="preserve"> pública.</w:t>
      </w:r>
      <w:r w:rsidR="0013380B" w:rsidRPr="00930562">
        <w:rPr>
          <w:rFonts w:asciiTheme="majorHAnsi" w:hAnsiTheme="majorHAnsi"/>
          <w:vertAlign w:val="superscript"/>
          <w:lang w:val="es-US"/>
        </w:rPr>
        <w:footnoteReference w:id="189"/>
      </w:r>
      <w:r w:rsidR="0013380B" w:rsidRPr="00930562">
        <w:rPr>
          <w:rFonts w:asciiTheme="majorHAnsi" w:hAnsiTheme="majorHAnsi"/>
          <w:szCs w:val="20"/>
          <w:lang w:val="es-US"/>
        </w:rPr>
        <w:t xml:space="preserve"> </w:t>
      </w:r>
      <w:r w:rsidRPr="00930562">
        <w:rPr>
          <w:rFonts w:asciiTheme="majorHAnsi" w:hAnsiTheme="majorHAnsi"/>
          <w:szCs w:val="20"/>
          <w:lang w:val="es-US"/>
        </w:rPr>
        <w:t xml:space="preserve">La Comisión toma nota de información que indica que una de los más importantes razones para la visibilidad pública y notoriedad del problema de la violencia policial en la actualidad es la disponibilidad y uso generalizados de cámaras de teléfonos celulares y cámaras </w:t>
      </w:r>
      <w:r w:rsidR="00652822" w:rsidRPr="00930562">
        <w:rPr>
          <w:rFonts w:asciiTheme="majorHAnsi" w:hAnsiTheme="majorHAnsi"/>
          <w:szCs w:val="20"/>
          <w:lang w:val="es-US"/>
        </w:rPr>
        <w:t xml:space="preserve">policiales </w:t>
      </w:r>
      <w:r w:rsidRPr="00930562">
        <w:rPr>
          <w:rFonts w:asciiTheme="majorHAnsi" w:hAnsiTheme="majorHAnsi"/>
          <w:szCs w:val="20"/>
          <w:lang w:val="es-US"/>
        </w:rPr>
        <w:t>corporales para registrar incidentes de violencia policial</w:t>
      </w:r>
      <w:r w:rsidR="00652822" w:rsidRPr="00930562">
        <w:rPr>
          <w:rFonts w:asciiTheme="majorHAnsi" w:hAnsiTheme="majorHAnsi"/>
          <w:szCs w:val="20"/>
          <w:lang w:val="es-US"/>
        </w:rPr>
        <w:t>, así como</w:t>
      </w:r>
      <w:r w:rsidRPr="00930562">
        <w:rPr>
          <w:rFonts w:asciiTheme="majorHAnsi" w:hAnsiTheme="majorHAnsi"/>
          <w:szCs w:val="20"/>
          <w:lang w:val="es-US"/>
        </w:rPr>
        <w:t xml:space="preserve"> la existencia de </w:t>
      </w:r>
      <w:r w:rsidR="00565D4D" w:rsidRPr="00930562">
        <w:rPr>
          <w:rFonts w:asciiTheme="majorHAnsi" w:hAnsiTheme="majorHAnsi"/>
          <w:szCs w:val="20"/>
          <w:lang w:val="es-US"/>
        </w:rPr>
        <w:t xml:space="preserve">por lo menos </w:t>
      </w:r>
      <w:r w:rsidRPr="00930562">
        <w:rPr>
          <w:rFonts w:asciiTheme="majorHAnsi" w:hAnsiTheme="majorHAnsi"/>
          <w:szCs w:val="20"/>
          <w:lang w:val="es-US"/>
        </w:rPr>
        <w:t>algun</w:t>
      </w:r>
      <w:r w:rsidR="00565D4D" w:rsidRPr="00930562">
        <w:rPr>
          <w:rFonts w:asciiTheme="majorHAnsi" w:hAnsiTheme="majorHAnsi"/>
          <w:szCs w:val="20"/>
          <w:lang w:val="es-US"/>
        </w:rPr>
        <w:t>a</w:t>
      </w:r>
      <w:r w:rsidRPr="00930562">
        <w:rPr>
          <w:rFonts w:asciiTheme="majorHAnsi" w:hAnsiTheme="majorHAnsi"/>
          <w:szCs w:val="20"/>
          <w:lang w:val="es-US"/>
        </w:rPr>
        <w:t xml:space="preserve">s estadísticas sobre </w:t>
      </w:r>
      <w:r w:rsidR="00652822" w:rsidRPr="00930562">
        <w:rPr>
          <w:rFonts w:asciiTheme="majorHAnsi" w:hAnsiTheme="majorHAnsi"/>
          <w:szCs w:val="20"/>
          <w:lang w:val="es-US"/>
        </w:rPr>
        <w:t>la prevalencia</w:t>
      </w:r>
      <w:r w:rsidR="00565D4D" w:rsidRPr="00930562">
        <w:rPr>
          <w:rFonts w:asciiTheme="majorHAnsi" w:hAnsiTheme="majorHAnsi"/>
          <w:szCs w:val="20"/>
          <w:lang w:val="es-US"/>
        </w:rPr>
        <w:t xml:space="preserve"> del</w:t>
      </w:r>
      <w:r w:rsidR="0013380B" w:rsidRPr="00930562">
        <w:rPr>
          <w:rFonts w:asciiTheme="majorHAnsi" w:hAnsiTheme="majorHAnsi"/>
          <w:szCs w:val="20"/>
          <w:lang w:val="es-US"/>
        </w:rPr>
        <w:t xml:space="preserve"> problem</w:t>
      </w:r>
      <w:r w:rsidR="00565D4D" w:rsidRPr="00930562">
        <w:rPr>
          <w:rFonts w:asciiTheme="majorHAnsi" w:hAnsiTheme="majorHAnsi"/>
          <w:szCs w:val="20"/>
          <w:lang w:val="es-US"/>
        </w:rPr>
        <w:t>a</w:t>
      </w:r>
      <w:r w:rsidR="0013380B" w:rsidRPr="00930562">
        <w:rPr>
          <w:rFonts w:asciiTheme="majorHAnsi" w:hAnsiTheme="majorHAnsi"/>
          <w:szCs w:val="20"/>
          <w:lang w:val="es-US"/>
        </w:rPr>
        <w:t>.</w:t>
      </w:r>
      <w:r w:rsidR="0013380B" w:rsidRPr="00930562">
        <w:rPr>
          <w:rFonts w:asciiTheme="majorHAnsi" w:hAnsiTheme="majorHAnsi"/>
          <w:vertAlign w:val="superscript"/>
          <w:lang w:val="es-US"/>
        </w:rPr>
        <w:footnoteReference w:id="190"/>
      </w:r>
      <w:r w:rsidR="0013380B" w:rsidRPr="00930562">
        <w:rPr>
          <w:rFonts w:asciiTheme="majorHAnsi" w:hAnsiTheme="majorHAnsi"/>
          <w:szCs w:val="20"/>
          <w:lang w:val="es-US"/>
        </w:rPr>
        <w:t xml:space="preserve"> </w:t>
      </w:r>
      <w:r w:rsidR="00565D4D" w:rsidRPr="00930562">
        <w:rPr>
          <w:rFonts w:asciiTheme="majorHAnsi" w:hAnsiTheme="majorHAnsi"/>
          <w:szCs w:val="20"/>
          <w:lang w:val="es-US"/>
        </w:rPr>
        <w:t xml:space="preserve">Una vez más la Comisión destaca la importancia de recopilar datos sobre el alcance del problema </w:t>
      </w:r>
      <w:r w:rsidR="00652822" w:rsidRPr="00930562">
        <w:rPr>
          <w:rFonts w:asciiTheme="majorHAnsi" w:hAnsiTheme="majorHAnsi"/>
          <w:szCs w:val="20"/>
          <w:lang w:val="es-US"/>
        </w:rPr>
        <w:t>e</w:t>
      </w:r>
      <w:r w:rsidR="00565D4D" w:rsidRPr="00930562">
        <w:rPr>
          <w:rFonts w:asciiTheme="majorHAnsi" w:hAnsiTheme="majorHAnsi"/>
          <w:szCs w:val="20"/>
          <w:lang w:val="es-US"/>
        </w:rPr>
        <w:t xml:space="preserve"> </w:t>
      </w:r>
      <w:r w:rsidR="00652822" w:rsidRPr="00930562">
        <w:rPr>
          <w:rFonts w:asciiTheme="majorHAnsi" w:hAnsiTheme="majorHAnsi"/>
          <w:szCs w:val="20"/>
          <w:lang w:val="es-US"/>
        </w:rPr>
        <w:t xml:space="preserve"> incentivar </w:t>
      </w:r>
      <w:r w:rsidR="00565D4D" w:rsidRPr="00930562">
        <w:rPr>
          <w:rFonts w:asciiTheme="majorHAnsi" w:hAnsiTheme="majorHAnsi"/>
          <w:szCs w:val="20"/>
          <w:lang w:val="es-US"/>
        </w:rPr>
        <w:t>el interés de la atención pública</w:t>
      </w:r>
      <w:r w:rsidR="00652822" w:rsidRPr="00930562">
        <w:rPr>
          <w:rFonts w:asciiTheme="majorHAnsi" w:hAnsiTheme="majorHAnsi"/>
          <w:szCs w:val="20"/>
          <w:lang w:val="es-US"/>
        </w:rPr>
        <w:t xml:space="preserve"> sobre el mismo</w:t>
      </w:r>
      <w:r w:rsidR="00565D4D" w:rsidRPr="00930562">
        <w:rPr>
          <w:rFonts w:asciiTheme="majorHAnsi" w:hAnsiTheme="majorHAnsi"/>
          <w:szCs w:val="20"/>
          <w:lang w:val="es-US"/>
        </w:rPr>
        <w:t xml:space="preserve">. </w:t>
      </w:r>
      <w:bookmarkEnd w:id="86"/>
    </w:p>
    <w:p w14:paraId="7D3DA46E" w14:textId="1035F7F2" w:rsidR="0013380B" w:rsidRPr="00930562" w:rsidRDefault="00F77A4C"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rPr>
        <w:t>La Comisión considera pertinente señalar que los afroamericanos no son el único grupo desproporcionadamente objeto de violencia policial, y que las identidades</w:t>
      </w:r>
      <w:r w:rsidR="00652822" w:rsidRPr="00930562">
        <w:rPr>
          <w:rFonts w:asciiTheme="majorHAnsi" w:hAnsiTheme="majorHAnsi"/>
          <w:szCs w:val="20"/>
          <w:lang w:val="es-US"/>
        </w:rPr>
        <w:t xml:space="preserve"> interseccionales</w:t>
      </w:r>
      <w:r w:rsidRPr="00930562">
        <w:rPr>
          <w:rFonts w:asciiTheme="majorHAnsi" w:hAnsiTheme="majorHAnsi"/>
          <w:szCs w:val="20"/>
          <w:lang w:val="es-US"/>
        </w:rPr>
        <w:t xml:space="preserve"> pueden resultar en un aumento del riesgo de que una persona negra esté expuesta a la violencia policial. </w:t>
      </w:r>
      <w:r w:rsidR="00652822" w:rsidRPr="00930562">
        <w:rPr>
          <w:rFonts w:asciiTheme="majorHAnsi" w:hAnsiTheme="majorHAnsi"/>
          <w:szCs w:val="20"/>
          <w:lang w:val="es-US"/>
        </w:rPr>
        <w:t xml:space="preserve">La </w:t>
      </w:r>
      <w:r w:rsidRPr="00930562">
        <w:rPr>
          <w:rFonts w:asciiTheme="majorHAnsi" w:hAnsiTheme="majorHAnsi"/>
          <w:szCs w:val="20"/>
          <w:lang w:val="es-US"/>
        </w:rPr>
        <w:t>información recibida por la Comisión en las audiencias públicas</w:t>
      </w:r>
      <w:r w:rsidR="00652822" w:rsidRPr="00930562">
        <w:rPr>
          <w:rFonts w:asciiTheme="majorHAnsi" w:hAnsiTheme="majorHAnsi"/>
          <w:szCs w:val="20"/>
          <w:lang w:val="es-US"/>
        </w:rPr>
        <w:t xml:space="preserve"> indica que</w:t>
      </w:r>
      <w:r w:rsidRPr="00930562">
        <w:rPr>
          <w:rFonts w:asciiTheme="majorHAnsi" w:hAnsiTheme="majorHAnsi"/>
          <w:szCs w:val="20"/>
          <w:lang w:val="es-US"/>
        </w:rPr>
        <w:t xml:space="preserve"> grupos como los indígenas americanos, los hispanos, los trabajadores migrantes, las personas en situación de calle y las personas con discapacidad sufren la violencia policial de manera desproporcionada.</w:t>
      </w:r>
      <w:r w:rsidR="0013380B" w:rsidRPr="00930562">
        <w:rPr>
          <w:rStyle w:val="FootnoteReference"/>
          <w:rFonts w:asciiTheme="majorHAnsi" w:hAnsiTheme="majorHAnsi"/>
          <w:szCs w:val="20"/>
          <w:lang w:val="es-US"/>
        </w:rPr>
        <w:footnoteReference w:id="191"/>
      </w:r>
      <w:r w:rsidR="0013380B" w:rsidRPr="00930562">
        <w:rPr>
          <w:rFonts w:asciiTheme="majorHAnsi" w:hAnsiTheme="majorHAnsi"/>
          <w:szCs w:val="20"/>
          <w:lang w:val="es-US"/>
        </w:rPr>
        <w:t xml:space="preserve"> </w:t>
      </w:r>
      <w:r w:rsidRPr="00930562">
        <w:rPr>
          <w:rFonts w:asciiTheme="majorHAnsi" w:hAnsiTheme="majorHAnsi"/>
          <w:szCs w:val="20"/>
          <w:lang w:val="es-US"/>
        </w:rPr>
        <w:t>La Comisión ha señalado anteriormente la ausencia generalizada de políticas policiales eficientes y efectivas para abordar la violencia contra grupos que tradicionalmente han experimentado discriminación y marginación,</w:t>
      </w:r>
      <w:r w:rsidR="00652822" w:rsidRPr="00930562">
        <w:rPr>
          <w:rFonts w:asciiTheme="majorHAnsi" w:hAnsiTheme="majorHAnsi"/>
          <w:szCs w:val="20"/>
          <w:lang w:val="es-US"/>
        </w:rPr>
        <w:t xml:space="preserve"> tal</w:t>
      </w:r>
      <w:r w:rsidR="00103892" w:rsidRPr="00930562">
        <w:rPr>
          <w:rFonts w:asciiTheme="majorHAnsi" w:hAnsiTheme="majorHAnsi"/>
          <w:szCs w:val="20"/>
          <w:lang w:val="es-US"/>
        </w:rPr>
        <w:t>es</w:t>
      </w:r>
      <w:r w:rsidRPr="00930562">
        <w:rPr>
          <w:rFonts w:asciiTheme="majorHAnsi" w:hAnsiTheme="majorHAnsi"/>
          <w:szCs w:val="20"/>
          <w:lang w:val="es-US"/>
        </w:rPr>
        <w:t xml:space="preserve"> como mujeres, niños y adolescentes, afrodescendientes, poblaciones indígenas y trabajadores migrantes y sus familias, entre otros.</w:t>
      </w:r>
      <w:r w:rsidR="0013380B" w:rsidRPr="00930562">
        <w:rPr>
          <w:rStyle w:val="FootnoteReference"/>
          <w:rFonts w:asciiTheme="majorHAnsi" w:hAnsiTheme="majorHAnsi"/>
          <w:szCs w:val="20"/>
          <w:lang w:val="es-US"/>
        </w:rPr>
        <w:footnoteReference w:id="192"/>
      </w:r>
      <w:r w:rsidR="0013380B" w:rsidRPr="00930562">
        <w:rPr>
          <w:rFonts w:asciiTheme="majorHAnsi" w:hAnsiTheme="majorHAnsi"/>
          <w:szCs w:val="20"/>
          <w:lang w:val="es-US"/>
        </w:rPr>
        <w:t> </w:t>
      </w:r>
    </w:p>
    <w:p w14:paraId="072F7E14" w14:textId="29BCA679" w:rsidR="001361B3" w:rsidRPr="00930562" w:rsidRDefault="001361B3"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rPr>
        <w:t xml:space="preserve">Este tema ha sido objeto de considerable atención a nivel internacional en los últimos años. Entre otros, el Comité de Derechos Humanos de la ONU ha </w:t>
      </w:r>
      <w:r w:rsidR="00652822" w:rsidRPr="00930562">
        <w:rPr>
          <w:rFonts w:asciiTheme="majorHAnsi" w:hAnsiTheme="majorHAnsi"/>
          <w:szCs w:val="20"/>
          <w:lang w:val="es-US"/>
        </w:rPr>
        <w:t xml:space="preserve">señalado </w:t>
      </w:r>
      <w:r w:rsidRPr="00930562">
        <w:rPr>
          <w:rFonts w:asciiTheme="majorHAnsi" w:hAnsiTheme="majorHAnsi"/>
          <w:szCs w:val="20"/>
          <w:lang w:val="es-US"/>
        </w:rPr>
        <w:t>su preocupación por el uso excesivo de la fuerza en la ciudad de Chicago y ha solicitado reformas</w:t>
      </w:r>
      <w:r w:rsidR="0013380B" w:rsidRPr="00930562">
        <w:rPr>
          <w:rFonts w:asciiTheme="majorHAnsi" w:hAnsiTheme="majorHAnsi"/>
          <w:szCs w:val="20"/>
          <w:lang w:val="es-US"/>
        </w:rPr>
        <w:t>;</w:t>
      </w:r>
      <w:r w:rsidR="0013380B" w:rsidRPr="00930562">
        <w:rPr>
          <w:rStyle w:val="FootnoteReference"/>
          <w:rFonts w:asciiTheme="majorHAnsi" w:hAnsiTheme="majorHAnsi"/>
          <w:szCs w:val="20"/>
          <w:lang w:val="es-US"/>
        </w:rPr>
        <w:footnoteReference w:id="193"/>
      </w:r>
      <w:r w:rsidR="0013380B" w:rsidRPr="00930562">
        <w:rPr>
          <w:rFonts w:asciiTheme="majorHAnsi" w:hAnsiTheme="majorHAnsi"/>
          <w:szCs w:val="20"/>
          <w:lang w:val="es-US"/>
        </w:rPr>
        <w:t xml:space="preserve"> </w:t>
      </w:r>
      <w:r w:rsidRPr="00930562">
        <w:rPr>
          <w:rFonts w:asciiTheme="majorHAnsi" w:hAnsiTheme="majorHAnsi"/>
          <w:szCs w:val="20"/>
          <w:lang w:val="es-US"/>
        </w:rPr>
        <w:t>el</w:t>
      </w:r>
      <w:r w:rsidR="0013380B" w:rsidRPr="00930562">
        <w:rPr>
          <w:rFonts w:asciiTheme="majorHAnsi" w:hAnsiTheme="majorHAnsi"/>
          <w:szCs w:val="20"/>
          <w:lang w:val="es-US"/>
        </w:rPr>
        <w:t xml:space="preserve"> CERD </w:t>
      </w:r>
      <w:r w:rsidRPr="00930562">
        <w:rPr>
          <w:rFonts w:asciiTheme="majorHAnsi" w:hAnsiTheme="majorHAnsi"/>
          <w:szCs w:val="20"/>
          <w:lang w:val="es-US"/>
        </w:rPr>
        <w:t xml:space="preserve">ha expresado su preocupación </w:t>
      </w:r>
      <w:r w:rsidRPr="00930562">
        <w:rPr>
          <w:rFonts w:asciiTheme="majorHAnsi" w:hAnsiTheme="majorHAnsi"/>
          <w:szCs w:val="20"/>
          <w:lang w:val="es-US"/>
        </w:rPr>
        <w:lastRenderedPageBreak/>
        <w:t>por la brutalidad policial y el uso excesivo de la fuerza contra los afroamericanos y contra los inmigrantes indocumentados tanto dentro como cerca de la frontera de EE.UU. y México</w:t>
      </w:r>
      <w:r w:rsidR="0013380B" w:rsidRPr="00930562">
        <w:rPr>
          <w:rFonts w:asciiTheme="majorHAnsi" w:hAnsiTheme="majorHAnsi"/>
          <w:szCs w:val="20"/>
          <w:lang w:val="es-US"/>
        </w:rPr>
        <w:t>;</w:t>
      </w:r>
      <w:r w:rsidR="0013380B" w:rsidRPr="00930562">
        <w:rPr>
          <w:rStyle w:val="FootnoteReference"/>
          <w:rFonts w:asciiTheme="majorHAnsi" w:hAnsiTheme="majorHAnsi"/>
          <w:szCs w:val="20"/>
          <w:lang w:val="es-US"/>
        </w:rPr>
        <w:footnoteReference w:id="194"/>
      </w:r>
      <w:r w:rsidR="0013380B" w:rsidRPr="00930562">
        <w:rPr>
          <w:rFonts w:asciiTheme="majorHAnsi" w:hAnsiTheme="majorHAnsi"/>
          <w:szCs w:val="20"/>
          <w:lang w:val="es-US"/>
        </w:rPr>
        <w:t xml:space="preserve"> </w:t>
      </w:r>
      <w:r w:rsidRPr="00930562">
        <w:rPr>
          <w:rFonts w:asciiTheme="majorHAnsi" w:hAnsiTheme="majorHAnsi"/>
          <w:szCs w:val="20"/>
          <w:lang w:val="es-US"/>
        </w:rPr>
        <w:t>y el Grupo de Trabajo de Expertos de Naciones Unidas sobre  afrodescendientes ha expresado su preocupación por los niveles "alarmantes" de brutalidad policial y uso excesivo de la fuerza por parte de los funcionarios policiales</w:t>
      </w:r>
      <w:r w:rsidR="0013380B" w:rsidRPr="00930562">
        <w:rPr>
          <w:rFonts w:asciiTheme="majorHAnsi" w:hAnsiTheme="majorHAnsi"/>
          <w:szCs w:val="20"/>
          <w:lang w:val="es-US"/>
        </w:rPr>
        <w:t>.</w:t>
      </w:r>
      <w:r w:rsidR="0013380B" w:rsidRPr="00930562">
        <w:rPr>
          <w:rFonts w:asciiTheme="majorHAnsi" w:hAnsiTheme="majorHAnsi"/>
          <w:vertAlign w:val="superscript"/>
          <w:lang w:val="es-US"/>
        </w:rPr>
        <w:footnoteReference w:id="195"/>
      </w:r>
      <w:r w:rsidRPr="00930562">
        <w:rPr>
          <w:rFonts w:asciiTheme="majorHAnsi" w:hAnsiTheme="majorHAnsi"/>
          <w:szCs w:val="20"/>
          <w:lang w:val="es-US"/>
        </w:rPr>
        <w:t xml:space="preserve"> En este tema, el </w:t>
      </w:r>
      <w:r w:rsidR="00652822" w:rsidRPr="00930562">
        <w:rPr>
          <w:rFonts w:asciiTheme="majorHAnsi" w:hAnsiTheme="majorHAnsi"/>
          <w:szCs w:val="20"/>
          <w:lang w:val="es-US"/>
        </w:rPr>
        <w:t>R</w:t>
      </w:r>
      <w:r w:rsidRPr="00930562">
        <w:rPr>
          <w:rFonts w:asciiTheme="majorHAnsi" w:hAnsiTheme="majorHAnsi"/>
          <w:szCs w:val="20"/>
          <w:lang w:val="es-US"/>
        </w:rPr>
        <w:t xml:space="preserve">elator </w:t>
      </w:r>
      <w:r w:rsidR="00652822" w:rsidRPr="00930562">
        <w:rPr>
          <w:rFonts w:asciiTheme="majorHAnsi" w:hAnsiTheme="majorHAnsi"/>
          <w:szCs w:val="20"/>
          <w:lang w:val="es-US"/>
        </w:rPr>
        <w:t>E</w:t>
      </w:r>
      <w:r w:rsidRPr="00930562">
        <w:rPr>
          <w:rFonts w:asciiTheme="majorHAnsi" w:hAnsiTheme="majorHAnsi"/>
          <w:szCs w:val="20"/>
          <w:lang w:val="es-US"/>
        </w:rPr>
        <w:t>special de la ONU sobre ejecuciones extrajudiciales, sumarias y arbitrarias ha señalado que "por momentos la policía ejerce niveles más altos de violencia contra ciertos grupos de personas, basados ​​en el racismo institucional. La discriminación</w:t>
      </w:r>
      <w:r w:rsidR="00652822" w:rsidRPr="00930562">
        <w:rPr>
          <w:rFonts w:asciiTheme="majorHAnsi" w:hAnsiTheme="majorHAnsi"/>
          <w:szCs w:val="20"/>
          <w:lang w:val="es-US"/>
        </w:rPr>
        <w:t xml:space="preserve"> [...]</w:t>
      </w:r>
      <w:r w:rsidRPr="00930562">
        <w:rPr>
          <w:rFonts w:asciiTheme="majorHAnsi" w:hAnsiTheme="majorHAnsi"/>
          <w:szCs w:val="20"/>
          <w:lang w:val="es-US"/>
        </w:rPr>
        <w:t xml:space="preserve"> también [...] </w:t>
      </w:r>
      <w:r w:rsidR="00652822" w:rsidRPr="00930562">
        <w:rPr>
          <w:rFonts w:asciiTheme="majorHAnsi" w:hAnsiTheme="majorHAnsi"/>
          <w:szCs w:val="20"/>
          <w:lang w:val="es-US"/>
        </w:rPr>
        <w:t>impact</w:t>
      </w:r>
      <w:r w:rsidRPr="00930562">
        <w:rPr>
          <w:rFonts w:asciiTheme="majorHAnsi" w:hAnsiTheme="majorHAnsi"/>
          <w:szCs w:val="20"/>
          <w:lang w:val="es-US"/>
        </w:rPr>
        <w:t xml:space="preserve">a los patrones de </w:t>
      </w:r>
      <w:r w:rsidR="00652822" w:rsidRPr="00930562">
        <w:rPr>
          <w:rFonts w:asciiTheme="majorHAnsi" w:hAnsiTheme="majorHAnsi"/>
          <w:szCs w:val="20"/>
          <w:lang w:val="es-US"/>
        </w:rPr>
        <w:t>rendición de cuentas</w:t>
      </w:r>
      <w:r w:rsidR="0013380B" w:rsidRPr="00930562">
        <w:rPr>
          <w:rFonts w:asciiTheme="majorHAnsi" w:hAnsiTheme="majorHAnsi"/>
          <w:szCs w:val="20"/>
          <w:lang w:val="es-US"/>
        </w:rPr>
        <w:t>.”</w:t>
      </w:r>
      <w:r w:rsidR="0013380B" w:rsidRPr="00930562">
        <w:rPr>
          <w:rFonts w:asciiTheme="majorHAnsi" w:hAnsiTheme="majorHAnsi"/>
          <w:szCs w:val="20"/>
          <w:vertAlign w:val="superscript"/>
          <w:lang w:val="es-US"/>
        </w:rPr>
        <w:footnoteReference w:id="196"/>
      </w:r>
    </w:p>
    <w:p w14:paraId="44048627" w14:textId="22749A01" w:rsidR="001C3229" w:rsidRPr="00930562" w:rsidRDefault="00BE153F"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rPr>
        <w:t xml:space="preserve">Información disponible indica que la fuerza excesiva es posible debido a un marco jurídico inadecuado para garantizar que el uso de la fuerza por parte de las fuerzas del orden en los </w:t>
      </w:r>
      <w:r w:rsidR="00103892" w:rsidRPr="00930562">
        <w:rPr>
          <w:rFonts w:asciiTheme="majorHAnsi" w:hAnsiTheme="majorHAnsi"/>
          <w:szCs w:val="20"/>
          <w:lang w:val="es-US"/>
        </w:rPr>
        <w:t>Estados Unidos</w:t>
      </w:r>
      <w:r w:rsidRPr="00930562">
        <w:rPr>
          <w:rFonts w:asciiTheme="majorHAnsi" w:hAnsiTheme="majorHAnsi"/>
          <w:szCs w:val="20"/>
          <w:lang w:val="es-US"/>
        </w:rPr>
        <w:t xml:space="preserve"> cumpla con el derecho internacional. La Comisión observa con preocupación los análisis de la sociedad civil que indican que actualmente no hay leyes estatales que cumplan con las obligaciones internacionales de los Estados Unidos </w:t>
      </w:r>
      <w:r w:rsidR="001C3229" w:rsidRPr="00930562">
        <w:rPr>
          <w:rFonts w:asciiTheme="majorHAnsi" w:hAnsiTheme="majorHAnsi"/>
          <w:szCs w:val="20"/>
          <w:lang w:val="es-US"/>
        </w:rPr>
        <w:t>en lo que</w:t>
      </w:r>
      <w:r w:rsidRPr="00930562">
        <w:rPr>
          <w:rFonts w:asciiTheme="majorHAnsi" w:hAnsiTheme="majorHAnsi"/>
          <w:szCs w:val="20"/>
          <w:lang w:val="es-US"/>
        </w:rPr>
        <w:t xml:space="preserve"> respect</w:t>
      </w:r>
      <w:r w:rsidR="001C3229" w:rsidRPr="00930562">
        <w:rPr>
          <w:rFonts w:asciiTheme="majorHAnsi" w:hAnsiTheme="majorHAnsi"/>
          <w:szCs w:val="20"/>
          <w:lang w:val="es-US"/>
        </w:rPr>
        <w:t>a</w:t>
      </w:r>
      <w:r w:rsidRPr="00930562">
        <w:rPr>
          <w:rFonts w:asciiTheme="majorHAnsi" w:hAnsiTheme="majorHAnsi"/>
          <w:szCs w:val="20"/>
          <w:lang w:val="es-US"/>
        </w:rPr>
        <w:t xml:space="preserve"> al uso de la fuerza.</w:t>
      </w:r>
      <w:r w:rsidR="0013380B" w:rsidRPr="00930562">
        <w:rPr>
          <w:rFonts w:asciiTheme="majorHAnsi" w:hAnsiTheme="majorHAnsi"/>
          <w:vertAlign w:val="superscript"/>
          <w:lang w:val="es-US"/>
        </w:rPr>
        <w:footnoteReference w:id="197"/>
      </w:r>
      <w:r w:rsidR="0013380B" w:rsidRPr="00930562">
        <w:rPr>
          <w:rFonts w:asciiTheme="majorHAnsi" w:hAnsiTheme="majorHAnsi"/>
          <w:lang w:val="es-US"/>
        </w:rPr>
        <w:t xml:space="preserve"> </w:t>
      </w:r>
      <w:r w:rsidR="001C3229" w:rsidRPr="00930562">
        <w:rPr>
          <w:rFonts w:asciiTheme="majorHAnsi" w:hAnsiTheme="majorHAnsi"/>
          <w:szCs w:val="20"/>
          <w:lang w:val="es-US"/>
        </w:rPr>
        <w:t>Adicionalmente,</w:t>
      </w:r>
      <w:r w:rsidR="0013380B" w:rsidRPr="00930562">
        <w:rPr>
          <w:rFonts w:asciiTheme="majorHAnsi" w:hAnsiTheme="majorHAnsi"/>
          <w:szCs w:val="20"/>
          <w:lang w:val="es-US"/>
        </w:rPr>
        <w:t xml:space="preserve"> </w:t>
      </w:r>
      <w:r w:rsidR="001C3229" w:rsidRPr="00930562">
        <w:rPr>
          <w:rFonts w:asciiTheme="majorHAnsi" w:hAnsiTheme="majorHAnsi"/>
          <w:szCs w:val="20"/>
          <w:lang w:val="es-US"/>
        </w:rPr>
        <w:t>desde la publicación del informe mencionado anteriormente que ordenó que se ajustaran las normas de los estados al derecho internacional, los estados no han aprobado leyes sobre el uso de la fuerza.</w:t>
      </w:r>
      <w:r w:rsidR="0013380B" w:rsidRPr="00930562">
        <w:rPr>
          <w:rFonts w:asciiTheme="majorHAnsi" w:hAnsiTheme="majorHAnsi"/>
          <w:vertAlign w:val="superscript"/>
          <w:lang w:val="es-US"/>
        </w:rPr>
        <w:footnoteReference w:id="198"/>
      </w:r>
      <w:r w:rsidR="0013380B" w:rsidRPr="00930562">
        <w:rPr>
          <w:rFonts w:asciiTheme="majorHAnsi" w:hAnsiTheme="majorHAnsi"/>
          <w:szCs w:val="20"/>
          <w:lang w:val="es-US"/>
        </w:rPr>
        <w:t xml:space="preserve"> </w:t>
      </w:r>
      <w:r w:rsidR="001C3229" w:rsidRPr="00930562">
        <w:rPr>
          <w:rFonts w:asciiTheme="majorHAnsi" w:hAnsiTheme="majorHAnsi"/>
          <w:szCs w:val="20"/>
          <w:lang w:val="es-US"/>
        </w:rPr>
        <w:t>A nivel federal, el caso de la Corte Suprema Tennessee v. Garner y la jurisprudencia posterior permiten el uso de fuerza letal por parte de las fuerzas policiales en circunstancias distintas a las permitidas por el derecho internacional.</w:t>
      </w:r>
      <w:r w:rsidR="0013380B" w:rsidRPr="00930562">
        <w:rPr>
          <w:rFonts w:asciiTheme="majorHAnsi" w:hAnsiTheme="majorHAnsi"/>
          <w:vertAlign w:val="superscript"/>
          <w:lang w:val="es-US"/>
        </w:rPr>
        <w:footnoteReference w:id="199"/>
      </w:r>
      <w:r w:rsidR="001C3229" w:rsidRPr="00930562">
        <w:rPr>
          <w:rFonts w:asciiTheme="majorHAnsi" w:hAnsiTheme="majorHAnsi"/>
          <w:szCs w:val="20"/>
          <w:lang w:val="es-US"/>
        </w:rPr>
        <w:t xml:space="preserve"> De hecho, un caso reciente de un oficial blanco despedido de su trabajo por no haber disparado su arma contra un hombre negro "visiblemente angustiado", sino más bien</w:t>
      </w:r>
      <w:r w:rsidR="00652822" w:rsidRPr="00930562">
        <w:rPr>
          <w:rFonts w:asciiTheme="majorHAnsi" w:hAnsiTheme="majorHAnsi"/>
          <w:szCs w:val="20"/>
          <w:lang w:val="es-US"/>
        </w:rPr>
        <w:t xml:space="preserve"> haberse</w:t>
      </w:r>
      <w:r w:rsidR="001C3229" w:rsidRPr="00930562">
        <w:rPr>
          <w:rFonts w:asciiTheme="majorHAnsi" w:hAnsiTheme="majorHAnsi"/>
          <w:szCs w:val="20"/>
          <w:lang w:val="es-US"/>
        </w:rPr>
        <w:t xml:space="preserve"> limit</w:t>
      </w:r>
      <w:r w:rsidR="00652822" w:rsidRPr="00930562">
        <w:rPr>
          <w:rFonts w:asciiTheme="majorHAnsi" w:hAnsiTheme="majorHAnsi"/>
          <w:szCs w:val="20"/>
          <w:lang w:val="es-US"/>
        </w:rPr>
        <w:t>ado</w:t>
      </w:r>
      <w:r w:rsidR="001C3229" w:rsidRPr="00930562">
        <w:rPr>
          <w:rFonts w:asciiTheme="majorHAnsi" w:hAnsiTheme="majorHAnsi"/>
          <w:szCs w:val="20"/>
          <w:lang w:val="es-US"/>
        </w:rPr>
        <w:t xml:space="preserve"> </w:t>
      </w:r>
      <w:r w:rsidR="00660633" w:rsidRPr="00930562">
        <w:rPr>
          <w:rFonts w:asciiTheme="majorHAnsi" w:hAnsiTheme="majorHAnsi"/>
          <w:szCs w:val="20"/>
          <w:lang w:val="es-US"/>
        </w:rPr>
        <w:t>a mitigar la</w:t>
      </w:r>
      <w:r w:rsidR="001C3229" w:rsidRPr="00930562">
        <w:rPr>
          <w:rFonts w:asciiTheme="majorHAnsi" w:hAnsiTheme="majorHAnsi"/>
          <w:szCs w:val="20"/>
          <w:lang w:val="es-US"/>
        </w:rPr>
        <w:t xml:space="preserve"> situación, </w:t>
      </w:r>
      <w:r w:rsidR="00660633" w:rsidRPr="00930562">
        <w:rPr>
          <w:rFonts w:asciiTheme="majorHAnsi" w:hAnsiTheme="majorHAnsi"/>
          <w:szCs w:val="20"/>
          <w:lang w:val="es-US"/>
        </w:rPr>
        <w:t>evidenció</w:t>
      </w:r>
      <w:r w:rsidR="001C3229" w:rsidRPr="00930562">
        <w:rPr>
          <w:rFonts w:asciiTheme="majorHAnsi" w:hAnsiTheme="majorHAnsi"/>
          <w:szCs w:val="20"/>
          <w:lang w:val="es-US"/>
        </w:rPr>
        <w:t xml:space="preserve"> hasta qué punto la legislación y la práctica estadounidenses pueden favorecer el uso </w:t>
      </w:r>
      <w:r w:rsidR="001C3229" w:rsidRPr="00930562">
        <w:rPr>
          <w:rFonts w:asciiTheme="majorHAnsi" w:hAnsiTheme="majorHAnsi"/>
          <w:szCs w:val="20"/>
          <w:lang w:val="es-US"/>
        </w:rPr>
        <w:lastRenderedPageBreak/>
        <w:t xml:space="preserve">de la fuerza incluso cuando </w:t>
      </w:r>
      <w:r w:rsidR="00660633" w:rsidRPr="00930562">
        <w:rPr>
          <w:rFonts w:asciiTheme="majorHAnsi" w:hAnsiTheme="majorHAnsi"/>
          <w:szCs w:val="20"/>
          <w:lang w:val="es-US"/>
        </w:rPr>
        <w:t>sea</w:t>
      </w:r>
      <w:r w:rsidR="001C3229" w:rsidRPr="00930562">
        <w:rPr>
          <w:rFonts w:asciiTheme="majorHAnsi" w:hAnsiTheme="majorHAnsi"/>
          <w:szCs w:val="20"/>
          <w:lang w:val="es-US"/>
        </w:rPr>
        <w:t xml:space="preserve"> </w:t>
      </w:r>
      <w:r w:rsidR="00660633" w:rsidRPr="00930562">
        <w:rPr>
          <w:rFonts w:asciiTheme="majorHAnsi" w:hAnsiTheme="majorHAnsi"/>
          <w:szCs w:val="20"/>
          <w:lang w:val="es-US"/>
        </w:rPr>
        <w:t>in</w:t>
      </w:r>
      <w:r w:rsidR="001C3229" w:rsidRPr="00930562">
        <w:rPr>
          <w:rFonts w:asciiTheme="majorHAnsi" w:hAnsiTheme="majorHAnsi"/>
          <w:szCs w:val="20"/>
          <w:lang w:val="es-US"/>
        </w:rPr>
        <w:t>necesario.</w:t>
      </w:r>
      <w:r w:rsidR="00660633" w:rsidRPr="00930562">
        <w:rPr>
          <w:rStyle w:val="FootnoteReference"/>
          <w:rFonts w:asciiTheme="majorHAnsi" w:hAnsiTheme="majorHAnsi"/>
          <w:szCs w:val="20"/>
          <w:lang w:val="es-US"/>
        </w:rPr>
        <w:t xml:space="preserve"> </w:t>
      </w:r>
      <w:r w:rsidR="00660633" w:rsidRPr="00930562">
        <w:rPr>
          <w:rStyle w:val="FootnoteReference"/>
          <w:rFonts w:asciiTheme="majorHAnsi" w:hAnsiTheme="majorHAnsi"/>
          <w:szCs w:val="20"/>
          <w:lang w:val="es-US"/>
        </w:rPr>
        <w:footnoteReference w:id="200"/>
      </w:r>
      <w:r w:rsidR="001C3229" w:rsidRPr="00930562">
        <w:rPr>
          <w:rFonts w:asciiTheme="majorHAnsi" w:hAnsiTheme="majorHAnsi"/>
          <w:szCs w:val="20"/>
          <w:lang w:val="es-US"/>
        </w:rPr>
        <w:t xml:space="preserve"> Esta cuestión se abordará en mayor detalle en el Capítulo III.</w:t>
      </w:r>
      <w:r w:rsidR="0013380B" w:rsidRPr="00930562">
        <w:rPr>
          <w:rFonts w:asciiTheme="majorHAnsi" w:hAnsiTheme="majorHAnsi"/>
          <w:szCs w:val="20"/>
          <w:lang w:val="es-US"/>
        </w:rPr>
        <w:t xml:space="preserve"> </w:t>
      </w:r>
    </w:p>
    <w:p w14:paraId="638E1B9B" w14:textId="446AA849" w:rsidR="00A9384E" w:rsidRPr="00930562" w:rsidRDefault="000042EB"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rPr>
        <w:t>En los últimos años, la Comisión ha recibido amplia información sobre asesinatos policiales en los EE.UU. Después de los asesinatos de Eric Garner en Long Island y de Michael Brown en Ferguson, Misuri en el verano de 2014, la Comisión consideró que dichos casos "representan la continuación de un preocupante patrón de uso excesivo de la fuerza por parte de los agentes policiales hacia los afroamericanos y otras personas de color ", e" instó al Estado a prestar mayor atención a los posibles vínculos entre estos casos y casos pasados ​​que demostraron un patrón de uso excesiv</w:t>
      </w:r>
      <w:r w:rsidR="00652822" w:rsidRPr="00930562">
        <w:rPr>
          <w:rFonts w:asciiTheme="majorHAnsi" w:hAnsiTheme="majorHAnsi"/>
          <w:szCs w:val="20"/>
          <w:lang w:val="es-US"/>
        </w:rPr>
        <w:t>o</w:t>
      </w:r>
      <w:r w:rsidRPr="00930562">
        <w:rPr>
          <w:rFonts w:asciiTheme="majorHAnsi" w:hAnsiTheme="majorHAnsi"/>
          <w:szCs w:val="20"/>
          <w:lang w:val="es-US"/>
        </w:rPr>
        <w:t xml:space="preserve"> de la fuerza contra personas de color</w:t>
      </w:r>
      <w:r w:rsidR="0013380B" w:rsidRPr="00930562">
        <w:rPr>
          <w:rFonts w:asciiTheme="majorHAnsi" w:hAnsiTheme="majorHAnsi"/>
          <w:szCs w:val="20"/>
          <w:lang w:val="es-US"/>
        </w:rPr>
        <w:t>.”</w:t>
      </w:r>
      <w:r w:rsidR="0013380B" w:rsidRPr="00930562">
        <w:rPr>
          <w:rFonts w:asciiTheme="majorHAnsi" w:hAnsiTheme="majorHAnsi"/>
          <w:vertAlign w:val="superscript"/>
          <w:lang w:val="es-US"/>
        </w:rPr>
        <w:footnoteReference w:id="201"/>
      </w:r>
      <w:r w:rsidR="0013380B" w:rsidRPr="00930562">
        <w:rPr>
          <w:rFonts w:asciiTheme="majorHAnsi" w:hAnsiTheme="majorHAnsi"/>
          <w:szCs w:val="20"/>
          <w:lang w:val="es-US"/>
        </w:rPr>
        <w:t xml:space="preserve"> </w:t>
      </w:r>
      <w:r w:rsidRPr="00930562">
        <w:rPr>
          <w:rFonts w:asciiTheme="majorHAnsi" w:hAnsiTheme="majorHAnsi"/>
          <w:szCs w:val="20"/>
          <w:lang w:val="es-US"/>
        </w:rPr>
        <w:t>Más tarde</w:t>
      </w:r>
      <w:r w:rsidR="0013380B" w:rsidRPr="00930562">
        <w:rPr>
          <w:rFonts w:asciiTheme="majorHAnsi" w:hAnsiTheme="majorHAnsi"/>
          <w:szCs w:val="20"/>
          <w:lang w:val="es-US"/>
        </w:rPr>
        <w:t xml:space="preserve">, </w:t>
      </w:r>
      <w:r w:rsidRPr="00930562">
        <w:rPr>
          <w:rFonts w:asciiTheme="majorHAnsi" w:hAnsiTheme="majorHAnsi"/>
          <w:szCs w:val="20"/>
          <w:lang w:val="es-US"/>
        </w:rPr>
        <w:t>la</w:t>
      </w:r>
      <w:r w:rsidR="0013380B" w:rsidRPr="00930562">
        <w:rPr>
          <w:rFonts w:asciiTheme="majorHAnsi" w:hAnsiTheme="majorHAnsi"/>
          <w:szCs w:val="20"/>
          <w:lang w:val="es-US"/>
        </w:rPr>
        <w:t xml:space="preserve"> Comisi</w:t>
      </w:r>
      <w:r w:rsidRPr="00930562">
        <w:rPr>
          <w:rFonts w:asciiTheme="majorHAnsi" w:hAnsiTheme="majorHAnsi"/>
          <w:szCs w:val="20"/>
          <w:lang w:val="es-US"/>
        </w:rPr>
        <w:t>ó</w:t>
      </w:r>
      <w:r w:rsidR="0013380B" w:rsidRPr="00930562">
        <w:rPr>
          <w:rFonts w:asciiTheme="majorHAnsi" w:hAnsiTheme="majorHAnsi"/>
          <w:szCs w:val="20"/>
          <w:lang w:val="es-US"/>
        </w:rPr>
        <w:t xml:space="preserve">n </w:t>
      </w:r>
      <w:r w:rsidRPr="00930562">
        <w:rPr>
          <w:rFonts w:asciiTheme="majorHAnsi" w:hAnsiTheme="majorHAnsi"/>
          <w:szCs w:val="20"/>
          <w:lang w:val="es-US"/>
        </w:rPr>
        <w:t xml:space="preserve">manifestó preocupación por el asesinato de Walter Lamar Scott en manos de un policía en </w:t>
      </w:r>
      <w:r w:rsidR="0013380B" w:rsidRPr="00930562">
        <w:rPr>
          <w:rFonts w:asciiTheme="majorHAnsi" w:hAnsiTheme="majorHAnsi"/>
          <w:szCs w:val="20"/>
          <w:lang w:val="es-US"/>
        </w:rPr>
        <w:t>Carolina</w:t>
      </w:r>
      <w:r w:rsidRPr="00930562">
        <w:rPr>
          <w:rFonts w:asciiTheme="majorHAnsi" w:hAnsiTheme="majorHAnsi"/>
          <w:szCs w:val="20"/>
          <w:lang w:val="es-US"/>
        </w:rPr>
        <w:t xml:space="preserve"> del Sur</w:t>
      </w:r>
      <w:r w:rsidR="0013380B" w:rsidRPr="00930562">
        <w:rPr>
          <w:rFonts w:asciiTheme="majorHAnsi" w:hAnsiTheme="majorHAnsi"/>
          <w:szCs w:val="20"/>
          <w:lang w:val="es-US"/>
        </w:rPr>
        <w:t>,</w:t>
      </w:r>
      <w:r w:rsidR="0013380B" w:rsidRPr="00930562">
        <w:rPr>
          <w:rFonts w:asciiTheme="majorHAnsi" w:hAnsiTheme="majorHAnsi"/>
          <w:vertAlign w:val="superscript"/>
          <w:lang w:val="es-US"/>
        </w:rPr>
        <w:footnoteReference w:id="202"/>
      </w:r>
      <w:r w:rsidR="0013380B" w:rsidRPr="00930562">
        <w:rPr>
          <w:rFonts w:asciiTheme="majorHAnsi" w:hAnsiTheme="majorHAnsi"/>
          <w:szCs w:val="20"/>
          <w:lang w:val="es-US"/>
        </w:rPr>
        <w:t xml:space="preserve"> </w:t>
      </w:r>
      <w:r w:rsidRPr="00930562">
        <w:rPr>
          <w:rFonts w:asciiTheme="majorHAnsi" w:hAnsiTheme="majorHAnsi"/>
          <w:szCs w:val="20"/>
          <w:lang w:val="es-US"/>
        </w:rPr>
        <w:t xml:space="preserve">y los asesinatos de </w:t>
      </w:r>
      <w:r w:rsidR="0013380B" w:rsidRPr="00930562">
        <w:rPr>
          <w:rFonts w:asciiTheme="majorHAnsi" w:hAnsiTheme="majorHAnsi"/>
          <w:szCs w:val="20"/>
          <w:lang w:val="es-US"/>
        </w:rPr>
        <w:t xml:space="preserve">Alton Sterling </w:t>
      </w:r>
      <w:r w:rsidRPr="00930562">
        <w:rPr>
          <w:rFonts w:asciiTheme="majorHAnsi" w:hAnsiTheme="majorHAnsi"/>
          <w:szCs w:val="20"/>
          <w:lang w:val="es-US"/>
        </w:rPr>
        <w:t>en</w:t>
      </w:r>
      <w:r w:rsidR="0013380B" w:rsidRPr="00930562">
        <w:rPr>
          <w:rFonts w:asciiTheme="majorHAnsi" w:hAnsiTheme="majorHAnsi"/>
          <w:szCs w:val="20"/>
          <w:lang w:val="es-US"/>
        </w:rPr>
        <w:t xml:space="preserve"> Baton Rouge, Luisiana, </w:t>
      </w:r>
      <w:r w:rsidRPr="00930562">
        <w:rPr>
          <w:rFonts w:asciiTheme="majorHAnsi" w:hAnsiTheme="majorHAnsi"/>
          <w:szCs w:val="20"/>
          <w:lang w:val="es-US"/>
        </w:rPr>
        <w:t xml:space="preserve">y </w:t>
      </w:r>
      <w:r w:rsidR="0013380B" w:rsidRPr="00930562">
        <w:rPr>
          <w:rFonts w:asciiTheme="majorHAnsi" w:hAnsiTheme="majorHAnsi"/>
          <w:szCs w:val="20"/>
          <w:lang w:val="es-US"/>
        </w:rPr>
        <w:t xml:space="preserve">Philando Castile </w:t>
      </w:r>
      <w:r w:rsidRPr="00930562">
        <w:rPr>
          <w:rFonts w:asciiTheme="majorHAnsi" w:hAnsiTheme="majorHAnsi"/>
          <w:szCs w:val="20"/>
          <w:lang w:val="es-US"/>
        </w:rPr>
        <w:t xml:space="preserve">cerca de </w:t>
      </w:r>
      <w:r w:rsidR="0013380B" w:rsidRPr="00930562">
        <w:rPr>
          <w:rFonts w:asciiTheme="majorHAnsi" w:hAnsiTheme="majorHAnsi"/>
          <w:szCs w:val="20"/>
          <w:lang w:val="es-US"/>
        </w:rPr>
        <w:t>St. Paul, Minnesota.</w:t>
      </w:r>
      <w:r w:rsidR="0013380B" w:rsidRPr="00930562">
        <w:rPr>
          <w:rFonts w:asciiTheme="majorHAnsi" w:hAnsiTheme="majorHAnsi"/>
          <w:vertAlign w:val="superscript"/>
          <w:lang w:val="es-US"/>
        </w:rPr>
        <w:footnoteReference w:id="203"/>
      </w:r>
      <w:r w:rsidR="0013380B" w:rsidRPr="00930562">
        <w:rPr>
          <w:rFonts w:asciiTheme="majorHAnsi" w:hAnsiTheme="majorHAnsi"/>
          <w:szCs w:val="20"/>
          <w:lang w:val="es-US"/>
        </w:rPr>
        <w:t xml:space="preserve"> </w:t>
      </w:r>
      <w:r w:rsidR="00652822" w:rsidRPr="00930562">
        <w:rPr>
          <w:rFonts w:asciiTheme="majorHAnsi" w:hAnsiTheme="majorHAnsi"/>
          <w:szCs w:val="20"/>
          <w:lang w:val="es-US"/>
        </w:rPr>
        <w:t>La</w:t>
      </w:r>
      <w:r w:rsidRPr="00930562">
        <w:rPr>
          <w:rFonts w:asciiTheme="majorHAnsi" w:hAnsiTheme="majorHAnsi"/>
          <w:szCs w:val="20"/>
          <w:lang w:val="es-US"/>
        </w:rPr>
        <w:t xml:space="preserve"> Comisión también escuchó testimonios </w:t>
      </w:r>
      <w:r w:rsidR="00652822" w:rsidRPr="00930562">
        <w:rPr>
          <w:rFonts w:asciiTheme="majorHAnsi" w:hAnsiTheme="majorHAnsi"/>
          <w:szCs w:val="20"/>
          <w:lang w:val="es-US"/>
        </w:rPr>
        <w:t>sobre</w:t>
      </w:r>
      <w:r w:rsidRPr="00930562">
        <w:rPr>
          <w:rFonts w:asciiTheme="majorHAnsi" w:hAnsiTheme="majorHAnsi"/>
          <w:szCs w:val="20"/>
          <w:lang w:val="es-US"/>
        </w:rPr>
        <w:t xml:space="preserve"> casos de asesinatos </w:t>
      </w:r>
      <w:r w:rsidR="00A9384E" w:rsidRPr="00930562">
        <w:rPr>
          <w:rFonts w:asciiTheme="majorHAnsi" w:hAnsiTheme="majorHAnsi"/>
          <w:szCs w:val="20"/>
          <w:lang w:val="es-US"/>
        </w:rPr>
        <w:t>cometidos por</w:t>
      </w:r>
      <w:r w:rsidRPr="00930562">
        <w:rPr>
          <w:rFonts w:asciiTheme="majorHAnsi" w:hAnsiTheme="majorHAnsi"/>
          <w:szCs w:val="20"/>
          <w:lang w:val="es-US"/>
        </w:rPr>
        <w:t xml:space="preserve"> policías</w:t>
      </w:r>
      <w:r w:rsidR="00652822" w:rsidRPr="00930562">
        <w:rPr>
          <w:rFonts w:asciiTheme="majorHAnsi" w:hAnsiTheme="majorHAnsi"/>
          <w:szCs w:val="20"/>
          <w:lang w:val="es-US"/>
        </w:rPr>
        <w:t xml:space="preserve"> en sus audiencias públicas</w:t>
      </w:r>
      <w:r w:rsidR="0013380B" w:rsidRPr="00930562">
        <w:rPr>
          <w:rFonts w:asciiTheme="majorHAnsi" w:hAnsiTheme="majorHAnsi"/>
          <w:szCs w:val="20"/>
          <w:lang w:val="es-US"/>
        </w:rPr>
        <w:t xml:space="preserve">, </w:t>
      </w:r>
      <w:r w:rsidR="00A9384E" w:rsidRPr="00930562">
        <w:rPr>
          <w:rFonts w:asciiTheme="majorHAnsi" w:hAnsiTheme="majorHAnsi"/>
          <w:szCs w:val="20"/>
          <w:lang w:val="es-US"/>
        </w:rPr>
        <w:t>incluidos los</w:t>
      </w:r>
      <w:r w:rsidR="0013380B" w:rsidRPr="00930562">
        <w:rPr>
          <w:rFonts w:asciiTheme="majorHAnsi" w:hAnsiTheme="majorHAnsi"/>
          <w:szCs w:val="20"/>
          <w:lang w:val="es-US"/>
        </w:rPr>
        <w:t xml:space="preserve"> cas</w:t>
      </w:r>
      <w:r w:rsidR="00A9384E" w:rsidRPr="00930562">
        <w:rPr>
          <w:rFonts w:asciiTheme="majorHAnsi" w:hAnsiTheme="majorHAnsi"/>
          <w:szCs w:val="20"/>
          <w:lang w:val="es-US"/>
        </w:rPr>
        <w:t>o</w:t>
      </w:r>
      <w:r w:rsidR="0013380B" w:rsidRPr="00930562">
        <w:rPr>
          <w:rFonts w:asciiTheme="majorHAnsi" w:hAnsiTheme="majorHAnsi"/>
          <w:szCs w:val="20"/>
          <w:lang w:val="es-US"/>
        </w:rPr>
        <w:t xml:space="preserve">s </w:t>
      </w:r>
      <w:r w:rsidR="00A9384E" w:rsidRPr="00930562">
        <w:rPr>
          <w:rFonts w:asciiTheme="majorHAnsi" w:hAnsiTheme="majorHAnsi"/>
          <w:szCs w:val="20"/>
          <w:lang w:val="es-US"/>
        </w:rPr>
        <w:t>de</w:t>
      </w:r>
      <w:r w:rsidR="0013380B" w:rsidRPr="00930562">
        <w:rPr>
          <w:rFonts w:asciiTheme="majorHAnsi" w:hAnsiTheme="majorHAnsi"/>
          <w:szCs w:val="20"/>
          <w:lang w:val="es-US"/>
        </w:rPr>
        <w:t xml:space="preserve"> Rekia Boyd, Clinton Allen, Tesfaie Mokuria, Milton Hall, Luis Góngora Pat </w:t>
      </w:r>
      <w:r w:rsidR="00A9384E" w:rsidRPr="00930562">
        <w:rPr>
          <w:rFonts w:asciiTheme="majorHAnsi" w:hAnsiTheme="majorHAnsi"/>
          <w:szCs w:val="20"/>
          <w:lang w:val="es-US"/>
        </w:rPr>
        <w:t>y</w:t>
      </w:r>
      <w:r w:rsidR="0013380B" w:rsidRPr="00930562">
        <w:rPr>
          <w:rFonts w:asciiTheme="majorHAnsi" w:hAnsiTheme="majorHAnsi"/>
          <w:szCs w:val="20"/>
          <w:lang w:val="es-US"/>
        </w:rPr>
        <w:t xml:space="preserve"> Dontre Hamilton.</w:t>
      </w:r>
      <w:r w:rsidR="0013380B" w:rsidRPr="00930562">
        <w:rPr>
          <w:rFonts w:asciiTheme="majorHAnsi" w:hAnsiTheme="majorHAnsi"/>
          <w:vertAlign w:val="superscript"/>
          <w:lang w:val="es-US"/>
        </w:rPr>
        <w:footnoteReference w:id="204"/>
      </w:r>
      <w:r w:rsidR="0013380B" w:rsidRPr="00930562">
        <w:rPr>
          <w:rFonts w:asciiTheme="majorHAnsi" w:hAnsiTheme="majorHAnsi"/>
          <w:szCs w:val="20"/>
          <w:lang w:val="es-US"/>
        </w:rPr>
        <w:t xml:space="preserve"> </w:t>
      </w:r>
      <w:r w:rsidR="00103892" w:rsidRPr="00930562">
        <w:rPr>
          <w:rFonts w:asciiTheme="majorHAnsi" w:hAnsiTheme="majorHAnsi"/>
          <w:szCs w:val="20"/>
          <w:lang w:val="es-US"/>
        </w:rPr>
        <w:t>Durante la redacción de</w:t>
      </w:r>
      <w:r w:rsidR="00A9384E" w:rsidRPr="00930562">
        <w:rPr>
          <w:rFonts w:asciiTheme="majorHAnsi" w:hAnsiTheme="majorHAnsi"/>
          <w:szCs w:val="20"/>
          <w:lang w:val="es-US"/>
        </w:rPr>
        <w:t xml:space="preserve"> este informe, graves homicidios policiales </w:t>
      </w:r>
      <w:r w:rsidR="00103892" w:rsidRPr="00930562">
        <w:rPr>
          <w:rFonts w:asciiTheme="majorHAnsi" w:hAnsiTheme="majorHAnsi"/>
          <w:szCs w:val="20"/>
          <w:lang w:val="es-US"/>
        </w:rPr>
        <w:t xml:space="preserve">han continuado </w:t>
      </w:r>
      <w:r w:rsidR="00A9384E" w:rsidRPr="00930562">
        <w:rPr>
          <w:rFonts w:asciiTheme="majorHAnsi" w:hAnsiTheme="majorHAnsi"/>
          <w:szCs w:val="20"/>
          <w:lang w:val="es-US"/>
        </w:rPr>
        <w:t xml:space="preserve"> ocurriendo</w:t>
      </w:r>
      <w:r w:rsidR="0013380B" w:rsidRPr="00930562">
        <w:rPr>
          <w:rFonts w:asciiTheme="majorHAnsi" w:hAnsiTheme="majorHAnsi"/>
          <w:szCs w:val="20"/>
          <w:lang w:val="es-US"/>
        </w:rPr>
        <w:t xml:space="preserve">; </w:t>
      </w:r>
      <w:r w:rsidR="00A9384E" w:rsidRPr="00930562">
        <w:rPr>
          <w:rFonts w:asciiTheme="majorHAnsi" w:hAnsiTheme="majorHAnsi"/>
          <w:szCs w:val="20"/>
          <w:lang w:val="es-US"/>
        </w:rPr>
        <w:t>por ejemplo</w:t>
      </w:r>
      <w:r w:rsidR="0013380B" w:rsidRPr="00930562">
        <w:rPr>
          <w:rFonts w:asciiTheme="majorHAnsi" w:hAnsiTheme="majorHAnsi"/>
          <w:szCs w:val="20"/>
          <w:lang w:val="es-US"/>
        </w:rPr>
        <w:t xml:space="preserve">, </w:t>
      </w:r>
      <w:r w:rsidR="00A9384E" w:rsidRPr="00930562">
        <w:rPr>
          <w:rFonts w:asciiTheme="majorHAnsi" w:hAnsiTheme="majorHAnsi"/>
          <w:szCs w:val="20"/>
          <w:lang w:val="es-US"/>
        </w:rPr>
        <w:t>e</w:t>
      </w:r>
      <w:r w:rsidR="0013380B" w:rsidRPr="00930562">
        <w:rPr>
          <w:rFonts w:asciiTheme="majorHAnsi" w:hAnsiTheme="majorHAnsi"/>
          <w:szCs w:val="20"/>
          <w:lang w:val="es-US"/>
        </w:rPr>
        <w:t xml:space="preserve">n </w:t>
      </w:r>
      <w:r w:rsidR="00652822" w:rsidRPr="00930562">
        <w:rPr>
          <w:rFonts w:asciiTheme="majorHAnsi" w:hAnsiTheme="majorHAnsi"/>
          <w:szCs w:val="20"/>
          <w:lang w:val="es-US"/>
        </w:rPr>
        <w:t>m</w:t>
      </w:r>
      <w:r w:rsidR="0013380B" w:rsidRPr="00930562">
        <w:rPr>
          <w:rFonts w:asciiTheme="majorHAnsi" w:hAnsiTheme="majorHAnsi"/>
          <w:szCs w:val="20"/>
          <w:lang w:val="es-US"/>
        </w:rPr>
        <w:t>ar</w:t>
      </w:r>
      <w:r w:rsidR="00A9384E" w:rsidRPr="00930562">
        <w:rPr>
          <w:rFonts w:asciiTheme="majorHAnsi" w:hAnsiTheme="majorHAnsi"/>
          <w:szCs w:val="20"/>
          <w:lang w:val="es-US"/>
        </w:rPr>
        <w:t>zo de 2</w:t>
      </w:r>
      <w:r w:rsidR="0013380B" w:rsidRPr="00930562">
        <w:rPr>
          <w:rFonts w:asciiTheme="majorHAnsi" w:hAnsiTheme="majorHAnsi"/>
          <w:szCs w:val="20"/>
          <w:lang w:val="es-US"/>
        </w:rPr>
        <w:t xml:space="preserve">018, </w:t>
      </w:r>
      <w:r w:rsidR="00A9384E" w:rsidRPr="00930562">
        <w:rPr>
          <w:rFonts w:asciiTheme="majorHAnsi" w:hAnsiTheme="majorHAnsi"/>
          <w:szCs w:val="20"/>
          <w:lang w:val="es-US"/>
        </w:rPr>
        <w:t xml:space="preserve">el asesinato de </w:t>
      </w:r>
      <w:r w:rsidR="0013380B" w:rsidRPr="00930562">
        <w:rPr>
          <w:rFonts w:asciiTheme="majorHAnsi" w:hAnsiTheme="majorHAnsi"/>
          <w:szCs w:val="20"/>
          <w:lang w:val="es-US"/>
        </w:rPr>
        <w:t xml:space="preserve">Stephon Clark, </w:t>
      </w:r>
      <w:r w:rsidR="00A9384E" w:rsidRPr="00930562">
        <w:rPr>
          <w:rFonts w:asciiTheme="majorHAnsi" w:hAnsiTheme="majorHAnsi"/>
          <w:szCs w:val="20"/>
          <w:lang w:val="es-US"/>
        </w:rPr>
        <w:t>un padre de</w:t>
      </w:r>
      <w:r w:rsidR="0013380B" w:rsidRPr="00930562">
        <w:rPr>
          <w:rFonts w:asciiTheme="majorHAnsi" w:hAnsiTheme="majorHAnsi"/>
          <w:szCs w:val="20"/>
          <w:lang w:val="es-US"/>
        </w:rPr>
        <w:t xml:space="preserve"> 22</w:t>
      </w:r>
      <w:r w:rsidR="00A9384E" w:rsidRPr="00930562">
        <w:rPr>
          <w:rFonts w:asciiTheme="majorHAnsi" w:hAnsiTheme="majorHAnsi"/>
          <w:szCs w:val="20"/>
          <w:lang w:val="es-US"/>
        </w:rPr>
        <w:t xml:space="preserve"> años de edad de dos niños, a manos de un policía que le disparó mientras hablaba por su celular en el patio trasero de su casa en Sacramento, California, provocó amplia condena pública y protestas</w:t>
      </w:r>
      <w:r w:rsidR="0013380B" w:rsidRPr="00930562">
        <w:rPr>
          <w:rFonts w:asciiTheme="majorHAnsi" w:hAnsiTheme="majorHAnsi"/>
          <w:szCs w:val="20"/>
          <w:lang w:val="es-US"/>
        </w:rPr>
        <w:t>.</w:t>
      </w:r>
      <w:r w:rsidR="0013380B" w:rsidRPr="00930562">
        <w:rPr>
          <w:rFonts w:asciiTheme="majorHAnsi" w:hAnsiTheme="majorHAnsi"/>
          <w:vertAlign w:val="superscript"/>
          <w:lang w:val="es-US"/>
        </w:rPr>
        <w:footnoteReference w:id="205"/>
      </w:r>
    </w:p>
    <w:p w14:paraId="5DC5EAF0" w14:textId="7020871D" w:rsidR="0013380B" w:rsidRPr="00930562" w:rsidRDefault="00E06F8A"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bookmarkStart w:id="87" w:name="_Ref511834986"/>
      <w:bookmarkStart w:id="88" w:name="_Ref507172769"/>
      <w:r w:rsidRPr="00930562">
        <w:rPr>
          <w:rFonts w:asciiTheme="majorHAnsi" w:hAnsiTheme="majorHAnsi"/>
          <w:szCs w:val="20"/>
          <w:lang w:val="es-US"/>
        </w:rPr>
        <w:t>La Comisión también fue informada sobre hecho</w:t>
      </w:r>
      <w:r w:rsidR="001E688B" w:rsidRPr="00930562">
        <w:rPr>
          <w:rFonts w:asciiTheme="majorHAnsi" w:hAnsiTheme="majorHAnsi"/>
          <w:szCs w:val="20"/>
          <w:lang w:val="es-US"/>
        </w:rPr>
        <w:t>s</w:t>
      </w:r>
      <w:r w:rsidRPr="00930562">
        <w:rPr>
          <w:rFonts w:asciiTheme="majorHAnsi" w:hAnsiTheme="majorHAnsi"/>
          <w:szCs w:val="20"/>
          <w:lang w:val="es-US"/>
        </w:rPr>
        <w:t xml:space="preserve"> de violencia policial durante su visita in loco de 2015. Por ejemplo, </w:t>
      </w:r>
      <w:r w:rsidR="00616EC7" w:rsidRPr="00930562">
        <w:rPr>
          <w:rFonts w:asciiTheme="majorHAnsi" w:hAnsiTheme="majorHAnsi"/>
          <w:szCs w:val="20"/>
          <w:lang w:val="es-US"/>
        </w:rPr>
        <w:t xml:space="preserve">en Nueva Orleans </w:t>
      </w:r>
      <w:r w:rsidRPr="00930562">
        <w:rPr>
          <w:rFonts w:asciiTheme="majorHAnsi" w:hAnsiTheme="majorHAnsi"/>
          <w:szCs w:val="20"/>
          <w:lang w:val="es-US"/>
        </w:rPr>
        <w:t>se informó a la delegación sobre la necesidad de cambiar la cultura del uso de excesiv</w:t>
      </w:r>
      <w:r w:rsidR="00616EC7" w:rsidRPr="00930562">
        <w:rPr>
          <w:rFonts w:asciiTheme="majorHAnsi" w:hAnsiTheme="majorHAnsi"/>
          <w:szCs w:val="20"/>
          <w:lang w:val="es-US"/>
        </w:rPr>
        <w:t xml:space="preserve">o de la fuerza policial </w:t>
      </w:r>
      <w:r w:rsidRPr="00930562">
        <w:rPr>
          <w:rFonts w:asciiTheme="majorHAnsi" w:hAnsiTheme="majorHAnsi"/>
          <w:szCs w:val="20"/>
          <w:lang w:val="es-US"/>
        </w:rPr>
        <w:t>para fortalecer los mecanismos de rendición de cuentas y la transparencia en las investigaciones</w:t>
      </w:r>
      <w:r w:rsidR="00616EC7" w:rsidRPr="00930562">
        <w:rPr>
          <w:rFonts w:asciiTheme="majorHAnsi" w:hAnsiTheme="majorHAnsi"/>
          <w:szCs w:val="20"/>
          <w:lang w:val="es-US"/>
        </w:rPr>
        <w:t>.</w:t>
      </w:r>
      <w:r w:rsidR="0013380B" w:rsidRPr="00930562">
        <w:rPr>
          <w:rFonts w:asciiTheme="majorHAnsi" w:hAnsiTheme="majorHAnsi"/>
          <w:vertAlign w:val="superscript"/>
          <w:lang w:val="es-US"/>
        </w:rPr>
        <w:footnoteReference w:id="206"/>
      </w:r>
      <w:r w:rsidR="0013380B" w:rsidRPr="00930562">
        <w:rPr>
          <w:rFonts w:asciiTheme="majorHAnsi" w:hAnsiTheme="majorHAnsi"/>
          <w:szCs w:val="20"/>
          <w:lang w:val="es-US"/>
        </w:rPr>
        <w:t xml:space="preserve"> </w:t>
      </w:r>
      <w:r w:rsidR="00616EC7" w:rsidRPr="00930562">
        <w:rPr>
          <w:rFonts w:asciiTheme="majorHAnsi" w:hAnsiTheme="majorHAnsi"/>
          <w:szCs w:val="20"/>
          <w:lang w:val="es-US"/>
        </w:rPr>
        <w:t>De igual manera</w:t>
      </w:r>
      <w:r w:rsidR="0013380B" w:rsidRPr="00930562">
        <w:rPr>
          <w:rFonts w:asciiTheme="majorHAnsi" w:hAnsiTheme="majorHAnsi"/>
          <w:szCs w:val="20"/>
          <w:lang w:val="es-US"/>
        </w:rPr>
        <w:t>,</w:t>
      </w:r>
      <w:r w:rsidR="00616EC7" w:rsidRPr="00930562">
        <w:rPr>
          <w:rFonts w:asciiTheme="majorHAnsi" w:hAnsiTheme="majorHAnsi"/>
          <w:szCs w:val="20"/>
          <w:lang w:val="es-US"/>
        </w:rPr>
        <w:t xml:space="preserve"> durante su reunión con el gobierno local y las autoridades policiales de la ciudad de Orlando, la delegación fue informada sobre varias políticas adoptadas para prevenir el uso excesivo de la fuerza policial, incluyendo una política integral para prevenir la discriminación racial, esfuerzos para construir </w:t>
      </w:r>
      <w:r w:rsidR="00616EC7" w:rsidRPr="00930562">
        <w:rPr>
          <w:rFonts w:asciiTheme="majorHAnsi" w:hAnsiTheme="majorHAnsi"/>
          <w:szCs w:val="20"/>
          <w:lang w:val="es-US"/>
        </w:rPr>
        <w:lastRenderedPageBreak/>
        <w:t xml:space="preserve">confianza y relaciones con las comunidades que patrullan, medidas para aumentar el acceso a la información sobre </w:t>
      </w:r>
      <w:r w:rsidR="00652822" w:rsidRPr="00930562">
        <w:rPr>
          <w:rFonts w:asciiTheme="majorHAnsi" w:hAnsiTheme="majorHAnsi"/>
          <w:szCs w:val="20"/>
          <w:lang w:val="es-US"/>
        </w:rPr>
        <w:t xml:space="preserve">en los </w:t>
      </w:r>
      <w:r w:rsidR="00616EC7" w:rsidRPr="00930562">
        <w:rPr>
          <w:rFonts w:asciiTheme="majorHAnsi" w:hAnsiTheme="majorHAnsi"/>
          <w:szCs w:val="20"/>
          <w:lang w:val="es-US"/>
        </w:rPr>
        <w:t xml:space="preserve">casos que están siendo investigados, alternativas a las detenciones y pasos a seguir para dar seguimiento a las recomendaciones emitidas por el Grupo de Trabajo del Presidente </w:t>
      </w:r>
      <w:r w:rsidR="00652822" w:rsidRPr="00930562">
        <w:rPr>
          <w:rFonts w:asciiTheme="majorHAnsi" w:hAnsiTheme="majorHAnsi"/>
          <w:szCs w:val="20"/>
          <w:lang w:val="es-US"/>
        </w:rPr>
        <w:t xml:space="preserve">Obama </w:t>
      </w:r>
      <w:r w:rsidR="00616EC7" w:rsidRPr="00930562">
        <w:rPr>
          <w:rFonts w:asciiTheme="majorHAnsi" w:hAnsiTheme="majorHAnsi"/>
          <w:szCs w:val="20"/>
          <w:lang w:val="es-US"/>
        </w:rPr>
        <w:t>sobre Control Policial en el Siglo XXI.</w:t>
      </w:r>
      <w:r w:rsidR="0013380B" w:rsidRPr="00930562">
        <w:rPr>
          <w:rFonts w:asciiTheme="majorHAnsi" w:hAnsiTheme="majorHAnsi"/>
          <w:szCs w:val="20"/>
          <w:lang w:val="es-US"/>
        </w:rPr>
        <w:t xml:space="preserve"> </w:t>
      </w:r>
      <w:bookmarkEnd w:id="87"/>
      <w:bookmarkEnd w:id="88"/>
    </w:p>
    <w:p w14:paraId="0CD2ED08" w14:textId="77777777" w:rsidR="0013380B" w:rsidRDefault="00616EC7"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rPr>
        <w:t>En una audiencia de octubre de 2015 sobre uso excesivo de la fuerza contra a</w:t>
      </w:r>
      <w:r w:rsidR="0013380B" w:rsidRPr="00930562">
        <w:rPr>
          <w:rFonts w:asciiTheme="majorHAnsi" w:hAnsiTheme="majorHAnsi"/>
          <w:szCs w:val="20"/>
          <w:lang w:val="es-US"/>
        </w:rPr>
        <w:t>fr</w:t>
      </w:r>
      <w:r w:rsidRPr="00930562">
        <w:rPr>
          <w:rFonts w:asciiTheme="majorHAnsi" w:hAnsiTheme="majorHAnsi"/>
          <w:szCs w:val="20"/>
          <w:lang w:val="es-US"/>
        </w:rPr>
        <w:t>oamericanos</w:t>
      </w:r>
      <w:r w:rsidR="0013380B" w:rsidRPr="00930562">
        <w:rPr>
          <w:rFonts w:asciiTheme="majorHAnsi" w:hAnsiTheme="majorHAnsi"/>
          <w:szCs w:val="20"/>
          <w:lang w:val="es-US"/>
        </w:rPr>
        <w:t xml:space="preserve">, </w:t>
      </w:r>
      <w:r w:rsidRPr="00930562">
        <w:rPr>
          <w:rFonts w:asciiTheme="majorHAnsi" w:hAnsiTheme="majorHAnsi"/>
          <w:szCs w:val="20"/>
          <w:lang w:val="es-US"/>
        </w:rPr>
        <w:t>la Com</w:t>
      </w:r>
      <w:r w:rsidR="0013380B" w:rsidRPr="00930562">
        <w:rPr>
          <w:rFonts w:asciiTheme="majorHAnsi" w:hAnsiTheme="majorHAnsi"/>
          <w:szCs w:val="20"/>
          <w:lang w:val="es-US"/>
        </w:rPr>
        <w:t>isi</w:t>
      </w:r>
      <w:r w:rsidRPr="00930562">
        <w:rPr>
          <w:rFonts w:asciiTheme="majorHAnsi" w:hAnsiTheme="majorHAnsi"/>
          <w:szCs w:val="20"/>
          <w:lang w:val="es-US"/>
        </w:rPr>
        <w:t>ó</w:t>
      </w:r>
      <w:r w:rsidR="0013380B" w:rsidRPr="00930562">
        <w:rPr>
          <w:rFonts w:asciiTheme="majorHAnsi" w:hAnsiTheme="majorHAnsi"/>
          <w:szCs w:val="20"/>
          <w:lang w:val="es-US"/>
        </w:rPr>
        <w:t xml:space="preserve">n </w:t>
      </w:r>
      <w:r w:rsidRPr="00930562">
        <w:rPr>
          <w:rFonts w:asciiTheme="majorHAnsi" w:hAnsiTheme="majorHAnsi"/>
          <w:szCs w:val="20"/>
          <w:lang w:val="es-US"/>
        </w:rPr>
        <w:t xml:space="preserve">escuchó el testimonio de </w:t>
      </w:r>
      <w:r w:rsidR="0013380B" w:rsidRPr="00930562">
        <w:rPr>
          <w:rFonts w:asciiTheme="majorHAnsi" w:hAnsiTheme="majorHAnsi"/>
          <w:szCs w:val="20"/>
          <w:lang w:val="es-US"/>
        </w:rPr>
        <w:t xml:space="preserve">Martinez Sutton, </w:t>
      </w:r>
      <w:r w:rsidRPr="00930562">
        <w:rPr>
          <w:rFonts w:asciiTheme="majorHAnsi" w:hAnsiTheme="majorHAnsi"/>
          <w:szCs w:val="20"/>
          <w:lang w:val="es-US"/>
        </w:rPr>
        <w:t xml:space="preserve">hermano de </w:t>
      </w:r>
      <w:r w:rsidR="0013380B" w:rsidRPr="00930562">
        <w:rPr>
          <w:rFonts w:asciiTheme="majorHAnsi" w:hAnsiTheme="majorHAnsi"/>
          <w:szCs w:val="20"/>
          <w:lang w:val="es-US"/>
        </w:rPr>
        <w:t xml:space="preserve">Rekia Boyd: </w:t>
      </w:r>
    </w:p>
    <w:tbl>
      <w:tblPr>
        <w:tblStyle w:val="TableGrid"/>
        <w:tblW w:w="0" w:type="auto"/>
        <w:tblLook w:val="04A0" w:firstRow="1" w:lastRow="0" w:firstColumn="1" w:lastColumn="0" w:noHBand="0" w:noVBand="1"/>
      </w:tblPr>
      <w:tblGrid>
        <w:gridCol w:w="7848"/>
      </w:tblGrid>
      <w:tr w:rsidR="008B60B8" w:rsidRPr="005E5B1C" w14:paraId="00CFD5FB" w14:textId="77777777" w:rsidTr="0083030A">
        <w:tc>
          <w:tcPr>
            <w:tcW w:w="7848" w:type="dxa"/>
            <w:shd w:val="clear" w:color="auto" w:fill="D9D9D9" w:themeFill="background1" w:themeFillShade="D9"/>
          </w:tcPr>
          <w:p w14:paraId="62470ED8" w14:textId="2F32217E" w:rsidR="008B60B8" w:rsidRPr="008B60B8" w:rsidRDefault="0083030A" w:rsidP="0083030A">
            <w:pPr>
              <w:pStyle w:val="ListParagraph"/>
              <w:spacing w:after="240"/>
              <w:ind w:left="288" w:right="288"/>
              <w:contextualSpacing w:val="0"/>
              <w:jc w:val="both"/>
              <w:rPr>
                <w:rFonts w:asciiTheme="majorHAnsi" w:hAnsiTheme="majorHAnsi"/>
                <w:szCs w:val="18"/>
                <w:lang w:val="es-US"/>
              </w:rPr>
            </w:pPr>
            <w:r>
              <w:rPr>
                <w:rFonts w:asciiTheme="majorHAnsi" w:hAnsiTheme="majorHAnsi"/>
                <w:szCs w:val="18"/>
                <w:lang w:val="es-US"/>
              </w:rPr>
              <w:br/>
            </w:r>
            <w:r w:rsidR="008B60B8" w:rsidRPr="008B60B8">
              <w:rPr>
                <w:rFonts w:asciiTheme="majorHAnsi" w:hAnsiTheme="majorHAnsi"/>
                <w:szCs w:val="18"/>
                <w:lang w:val="es-US"/>
              </w:rPr>
              <w:t>El 21 de marzo de 2012 mi hermana Rekia Boyd estaba disfrutando el día en Douglas Park, en el lado oeste de Chicago. Ella me llamó para avisarme que no regresaría a casa esa noche. No supe que en realidad ella quiso decir que se iba para siempre.</w:t>
            </w:r>
          </w:p>
          <w:p w14:paraId="5B11727F" w14:textId="77777777" w:rsidR="008B60B8" w:rsidRPr="008B60B8" w:rsidRDefault="008B60B8" w:rsidP="0083030A">
            <w:pPr>
              <w:pStyle w:val="ListParagraph"/>
              <w:spacing w:after="240"/>
              <w:ind w:left="288" w:right="288"/>
              <w:contextualSpacing w:val="0"/>
              <w:jc w:val="both"/>
              <w:rPr>
                <w:rFonts w:asciiTheme="majorHAnsi" w:hAnsiTheme="majorHAnsi"/>
                <w:szCs w:val="18"/>
                <w:lang w:val="es-US"/>
              </w:rPr>
            </w:pPr>
            <w:r w:rsidRPr="008B60B8">
              <w:rPr>
                <w:rFonts w:asciiTheme="majorHAnsi" w:hAnsiTheme="majorHAnsi"/>
                <w:szCs w:val="18"/>
                <w:lang w:val="es-US"/>
              </w:rPr>
              <w:t>Rekia y otros tres amigos salieron del parque y caminaron a una tienda. En el camino, se encontraron con el oficial [...] fuera de servicio Dante Servin, [quien] intercambió palabras con el grupo [y comenzó a disparar su arma]. Antonio Cross recibió un disparo en la mano y mi hermana recibió un disparo en la cabeza. La razón por la que está muerta es porque [al oficial] no le gustó el ruido que estaba saliendo del parque que está cerca de donde vivía.</w:t>
            </w:r>
          </w:p>
          <w:p w14:paraId="47625FE8" w14:textId="77777777" w:rsidR="008B60B8" w:rsidRPr="008B60B8" w:rsidRDefault="008B60B8" w:rsidP="0083030A">
            <w:pPr>
              <w:pStyle w:val="ListParagraph"/>
              <w:spacing w:after="240"/>
              <w:ind w:left="288" w:right="288"/>
              <w:contextualSpacing w:val="0"/>
              <w:jc w:val="both"/>
              <w:rPr>
                <w:rFonts w:asciiTheme="majorHAnsi" w:hAnsiTheme="majorHAnsi"/>
                <w:szCs w:val="18"/>
                <w:lang w:val="es-US"/>
              </w:rPr>
            </w:pPr>
            <w:r w:rsidRPr="008B60B8">
              <w:rPr>
                <w:rFonts w:asciiTheme="majorHAnsi" w:hAnsiTheme="majorHAnsi"/>
                <w:szCs w:val="18"/>
                <w:lang w:val="es-US"/>
              </w:rPr>
              <w:t xml:space="preserve">Se consideró un tiroteo justificado, aunque no tenían con qué justificarlo. No había [...] arma alguna entre las personas del grupo, ni alguien del grupo estaba siendo confrontativo, entonces, ¿dónde está la justificación? Conocí a Dante cara a cara unos meses más tarde [...] Le dije que quería que se muriera por haber matado a mi hermana. Me dijo que lo mejor que yo podía hacer era demandar a la ciudad, aceptar dinero y cuidar a mi familia y dejarlo todo como estaba. Cuando le hice saber que yo pensaba lo contrario, él me dijo: "Está bien, si esto es lo que quieres", como si supiera que quedaría libre. </w:t>
            </w:r>
          </w:p>
          <w:p w14:paraId="24062518" w14:textId="77777777" w:rsidR="008B60B8" w:rsidRPr="008B60B8" w:rsidRDefault="008B60B8" w:rsidP="0083030A">
            <w:pPr>
              <w:pStyle w:val="ListParagraph"/>
              <w:spacing w:after="240"/>
              <w:ind w:left="288" w:right="288"/>
              <w:contextualSpacing w:val="0"/>
              <w:jc w:val="both"/>
              <w:rPr>
                <w:rFonts w:asciiTheme="majorHAnsi" w:hAnsiTheme="majorHAnsi"/>
                <w:szCs w:val="18"/>
                <w:lang w:val="es-US"/>
              </w:rPr>
            </w:pPr>
            <w:r w:rsidRPr="008B60B8">
              <w:rPr>
                <w:rFonts w:asciiTheme="majorHAnsi" w:hAnsiTheme="majorHAnsi"/>
                <w:szCs w:val="18"/>
                <w:lang w:val="es-US"/>
              </w:rPr>
              <w:t>El 20 de abril de 2015 [el policía] fue declarado inocente. Ellos [lo]  acusaron de homicidio involuntario. El juez Porter declaró que los cargos no deberían haber sido otra cosa que asesinatos. Dijo que los fiscales habían fallado en proporcionar los cargos adecuados.</w:t>
            </w:r>
          </w:p>
          <w:p w14:paraId="1AC9CD15" w14:textId="6A9A65D0" w:rsidR="008B60B8" w:rsidRPr="008B60B8" w:rsidRDefault="008B60B8" w:rsidP="0083030A">
            <w:pPr>
              <w:pStyle w:val="ListParagraph"/>
              <w:spacing w:after="240"/>
              <w:ind w:left="288" w:right="288"/>
              <w:contextualSpacing w:val="0"/>
              <w:jc w:val="both"/>
              <w:rPr>
                <w:rFonts w:asciiTheme="majorHAnsi" w:hAnsiTheme="majorHAnsi"/>
                <w:szCs w:val="18"/>
                <w:lang w:val="es-US"/>
              </w:rPr>
            </w:pPr>
            <w:r w:rsidRPr="008B60B8">
              <w:rPr>
                <w:rFonts w:asciiTheme="majorHAnsi" w:hAnsiTheme="majorHAnsi"/>
                <w:szCs w:val="18"/>
                <w:lang w:val="es-US"/>
              </w:rPr>
              <w:t xml:space="preserve">El dolor que siento en mi corazón nunca se podrá sanar a causa del trauma psicológico que se reproduce en mi cabeza constantemente. No se nos ofreció ayuda para calmar el dolor que sentimos tanto yo como mi familia, no se nos ofreció servicios de salud mental, ni siquiera una disculpa por arrebatar a mi hermana de esta tierra. Aún no disminuye el hostigamiento </w:t>
            </w:r>
            <w:r w:rsidR="0083030A">
              <w:rPr>
                <w:rFonts w:asciiTheme="majorHAnsi" w:hAnsiTheme="majorHAnsi"/>
                <w:szCs w:val="18"/>
                <w:lang w:val="es-US"/>
              </w:rPr>
              <w:br/>
            </w:r>
            <w:r w:rsidR="0083030A">
              <w:rPr>
                <w:rFonts w:asciiTheme="majorHAnsi" w:hAnsiTheme="majorHAnsi"/>
                <w:szCs w:val="18"/>
                <w:lang w:val="es-US"/>
              </w:rPr>
              <w:br/>
            </w:r>
            <w:r w:rsidR="0083030A">
              <w:rPr>
                <w:rFonts w:asciiTheme="majorHAnsi" w:hAnsiTheme="majorHAnsi"/>
                <w:szCs w:val="18"/>
                <w:lang w:val="es-US"/>
              </w:rPr>
              <w:lastRenderedPageBreak/>
              <w:br/>
            </w:r>
            <w:r w:rsidRPr="008B60B8">
              <w:rPr>
                <w:rFonts w:asciiTheme="majorHAnsi" w:hAnsiTheme="majorHAnsi"/>
                <w:szCs w:val="18"/>
                <w:lang w:val="es-US"/>
              </w:rPr>
              <w:t>constante que recibo de los agentes policiales por hablar sobre esta pérdida. A veces siento que soy el siguiente en morir y que puede suceder en cualquier momento. El dolor en los ojos de mi madre, junto con el flujo constante de lágrimas, nunca termina. ¿Cómo puedo secar un río de lágrimas con Kleenex? Es difícil explicar a mis hijos y mis sobrinas y sobrinos que su tía nunca volverá a casa. Es difícil, especialmente los más pequeños que siempre esperan que ella entre por la puerta. En la búsqueda de respuestas, me acaban de presentar más problemas que parecen no tener soluciones.</w:t>
            </w:r>
          </w:p>
          <w:p w14:paraId="3A664773" w14:textId="4040BB32" w:rsidR="008B60B8" w:rsidRPr="008B60B8" w:rsidRDefault="008B60B8" w:rsidP="0083030A">
            <w:pPr>
              <w:pStyle w:val="ListParagraph"/>
              <w:spacing w:after="240"/>
              <w:ind w:left="360" w:right="288"/>
              <w:rPr>
                <w:rFonts w:asciiTheme="majorHAnsi" w:hAnsiTheme="majorHAnsi"/>
                <w:szCs w:val="20"/>
                <w:lang w:val="es-US"/>
              </w:rPr>
            </w:pPr>
            <w:r w:rsidRPr="008B60B8">
              <w:rPr>
                <w:rFonts w:asciiTheme="majorHAnsi" w:hAnsiTheme="majorHAnsi"/>
                <w:szCs w:val="18"/>
                <w:lang w:val="es-US"/>
              </w:rPr>
              <w:t>Todavía estoy tratando de encontrar justicia, pero ¿qué es la justicia? Para mí, es sólo hielo para adormecer la situación. Todavía estoy tratando de encontrar respuestas y espero que todos ustedes puedan ayudarme.</w:t>
            </w:r>
            <w:r w:rsidRPr="00930562">
              <w:rPr>
                <w:rStyle w:val="FootnoteReference"/>
                <w:rFonts w:asciiTheme="majorHAnsi" w:hAnsiTheme="majorHAnsi"/>
                <w:szCs w:val="18"/>
                <w:lang w:val="es-US"/>
              </w:rPr>
              <w:footnoteReference w:id="207"/>
            </w:r>
            <w:r w:rsidRPr="008B60B8">
              <w:rPr>
                <w:rFonts w:asciiTheme="majorHAnsi" w:hAnsiTheme="majorHAnsi"/>
                <w:szCs w:val="18"/>
                <w:lang w:val="es-US"/>
              </w:rPr>
              <w:t xml:space="preserve"> </w:t>
            </w:r>
          </w:p>
        </w:tc>
      </w:tr>
    </w:tbl>
    <w:p w14:paraId="328E39BD" w14:textId="77777777" w:rsidR="00E22A11" w:rsidRPr="00930562" w:rsidRDefault="00E22A11" w:rsidP="00E22A11">
      <w:pPr>
        <w:spacing w:after="0" w:line="240" w:lineRule="auto"/>
        <w:ind w:left="1166" w:right="619"/>
        <w:jc w:val="both"/>
        <w:rPr>
          <w:rFonts w:asciiTheme="majorHAnsi" w:hAnsiTheme="majorHAnsi"/>
          <w:szCs w:val="18"/>
          <w:lang w:val="es-US"/>
        </w:rPr>
      </w:pPr>
    </w:p>
    <w:p w14:paraId="4BB17E99" w14:textId="0C07F2CD" w:rsidR="0013380B" w:rsidRPr="00930562" w:rsidRDefault="006A78C7"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rPr>
        <w:t>En la misma audiencia</w:t>
      </w:r>
      <w:r w:rsidR="0013380B" w:rsidRPr="00930562">
        <w:rPr>
          <w:rFonts w:asciiTheme="majorHAnsi" w:hAnsiTheme="majorHAnsi"/>
          <w:szCs w:val="20"/>
          <w:lang w:val="es-US"/>
        </w:rPr>
        <w:t xml:space="preserve">, </w:t>
      </w:r>
      <w:r w:rsidRPr="00930562">
        <w:rPr>
          <w:rFonts w:asciiTheme="majorHAnsi" w:hAnsiTheme="majorHAnsi"/>
          <w:szCs w:val="20"/>
          <w:lang w:val="es-US"/>
        </w:rPr>
        <w:t xml:space="preserve">la </w:t>
      </w:r>
      <w:r w:rsidR="0013380B" w:rsidRPr="00930562">
        <w:rPr>
          <w:rFonts w:asciiTheme="majorHAnsi" w:hAnsiTheme="majorHAnsi"/>
          <w:szCs w:val="20"/>
          <w:lang w:val="es-US"/>
        </w:rPr>
        <w:t>Comis</w:t>
      </w:r>
      <w:r w:rsidRPr="00930562">
        <w:rPr>
          <w:rFonts w:asciiTheme="majorHAnsi" w:hAnsiTheme="majorHAnsi"/>
          <w:szCs w:val="20"/>
          <w:lang w:val="es-US"/>
        </w:rPr>
        <w:t>ió</w:t>
      </w:r>
      <w:r w:rsidR="0013380B" w:rsidRPr="00930562">
        <w:rPr>
          <w:rFonts w:asciiTheme="majorHAnsi" w:hAnsiTheme="majorHAnsi"/>
          <w:szCs w:val="20"/>
          <w:lang w:val="es-US"/>
        </w:rPr>
        <w:t xml:space="preserve">n </w:t>
      </w:r>
      <w:r w:rsidR="002C0258" w:rsidRPr="00930562">
        <w:rPr>
          <w:rFonts w:asciiTheme="majorHAnsi" w:hAnsiTheme="majorHAnsi"/>
          <w:szCs w:val="20"/>
          <w:lang w:val="es-US"/>
        </w:rPr>
        <w:t xml:space="preserve">escuchó </w:t>
      </w:r>
      <w:r w:rsidRPr="00930562">
        <w:rPr>
          <w:rFonts w:asciiTheme="majorHAnsi" w:hAnsiTheme="majorHAnsi"/>
          <w:szCs w:val="20"/>
          <w:lang w:val="es-US"/>
        </w:rPr>
        <w:t xml:space="preserve">el testimonio de </w:t>
      </w:r>
      <w:r w:rsidR="0013380B" w:rsidRPr="00930562">
        <w:rPr>
          <w:rFonts w:asciiTheme="majorHAnsi" w:hAnsiTheme="majorHAnsi"/>
          <w:szCs w:val="20"/>
          <w:lang w:val="es-US"/>
        </w:rPr>
        <w:t xml:space="preserve">Collette Flanagan, </w:t>
      </w:r>
      <w:r w:rsidRPr="00930562">
        <w:rPr>
          <w:rFonts w:asciiTheme="majorHAnsi" w:hAnsiTheme="majorHAnsi"/>
          <w:szCs w:val="20"/>
          <w:lang w:val="es-US"/>
        </w:rPr>
        <w:t>madre de</w:t>
      </w:r>
      <w:r w:rsidR="0013380B" w:rsidRPr="00930562">
        <w:rPr>
          <w:rFonts w:asciiTheme="majorHAnsi" w:hAnsiTheme="majorHAnsi"/>
          <w:szCs w:val="20"/>
          <w:lang w:val="es-US"/>
        </w:rPr>
        <w:t xml:space="preserve"> Clinton Allen </w:t>
      </w:r>
      <w:r w:rsidRPr="00930562">
        <w:rPr>
          <w:rFonts w:asciiTheme="majorHAnsi" w:hAnsiTheme="majorHAnsi"/>
          <w:szCs w:val="20"/>
          <w:lang w:val="es-US"/>
        </w:rPr>
        <w:t>y cofundadora de Madres contra la Brutalidad Policial</w:t>
      </w:r>
      <w:r w:rsidR="0013380B" w:rsidRPr="00930562">
        <w:rPr>
          <w:rFonts w:asciiTheme="majorHAnsi" w:hAnsiTheme="majorHAnsi"/>
          <w:szCs w:val="20"/>
          <w:lang w:val="es-US"/>
        </w:rPr>
        <w:t xml:space="preserve">: </w:t>
      </w:r>
    </w:p>
    <w:tbl>
      <w:tblPr>
        <w:tblStyle w:val="TableGrid"/>
        <w:tblW w:w="0" w:type="auto"/>
        <w:jc w:val="right"/>
        <w:tblLook w:val="04A0" w:firstRow="1" w:lastRow="0" w:firstColumn="1" w:lastColumn="0" w:noHBand="0" w:noVBand="1"/>
      </w:tblPr>
      <w:tblGrid>
        <w:gridCol w:w="7848"/>
      </w:tblGrid>
      <w:tr w:rsidR="00D573E3" w:rsidRPr="00930562" w14:paraId="51D4C568" w14:textId="77777777" w:rsidTr="00177AAB">
        <w:trPr>
          <w:jc w:val="right"/>
        </w:trPr>
        <w:tc>
          <w:tcPr>
            <w:tcW w:w="8381" w:type="dxa"/>
            <w:shd w:val="clear" w:color="auto" w:fill="D9D9D9" w:themeFill="background1" w:themeFillShade="D9"/>
          </w:tcPr>
          <w:p w14:paraId="64506928" w14:textId="7A562ED3" w:rsidR="00D573E3" w:rsidRPr="00930562" w:rsidRDefault="00D573E3" w:rsidP="0083030A">
            <w:pPr>
              <w:spacing w:after="240"/>
              <w:ind w:left="288" w:right="288"/>
              <w:jc w:val="both"/>
              <w:rPr>
                <w:rFonts w:asciiTheme="majorHAnsi" w:hAnsiTheme="majorHAnsi"/>
                <w:szCs w:val="18"/>
                <w:lang w:val="es-US"/>
              </w:rPr>
            </w:pPr>
            <w:r w:rsidRPr="00930562">
              <w:rPr>
                <w:rFonts w:asciiTheme="majorHAnsi" w:hAnsiTheme="majorHAnsi"/>
                <w:szCs w:val="18"/>
                <w:lang w:val="es-US"/>
              </w:rPr>
              <w:br/>
              <w:t>El 10 de marzo de 2013 mi único hijo, Clinton Allen, fue asesinado por policías de Dallas. Estaba desarmado y recibió siete disparos. Una vez debajo de su brazo izquierdo mientras estaba con sus manos levantadas, cinco veces en el pecho y una vez a corta distancia en la espalda. El policía que mató a mi hijo hizo exactamente lo que su comportamiento anterior indicó que haría. Contaba en su record con falsificación de registros policiales, haber atropellado con su coche de policía a un sospechoso que estaba huyendo y usando excesivamente la fuerza en su mayoría contra hombres negros. Y finalmente en ese fatídico día se graduó para matar, y mató a mi hijo.</w:t>
            </w:r>
          </w:p>
          <w:p w14:paraId="7BDF1DA9" w14:textId="77777777" w:rsidR="00D573E3" w:rsidRPr="00930562" w:rsidRDefault="00D573E3" w:rsidP="0083030A">
            <w:pPr>
              <w:spacing w:after="240"/>
              <w:ind w:left="288" w:right="288"/>
              <w:jc w:val="both"/>
              <w:rPr>
                <w:rFonts w:asciiTheme="majorHAnsi" w:hAnsiTheme="majorHAnsi"/>
                <w:szCs w:val="18"/>
                <w:lang w:val="es-US"/>
              </w:rPr>
            </w:pPr>
            <w:r w:rsidRPr="00930562">
              <w:rPr>
                <w:rFonts w:asciiTheme="majorHAnsi" w:hAnsiTheme="majorHAnsi"/>
                <w:szCs w:val="18"/>
                <w:lang w:val="es-US"/>
              </w:rPr>
              <w:t>El policía que mató a mi hijo no era apto para ser policía. Tenía una historia muy problemática con el Departamento de Policía de Dallas. Insistimos y logramos que no se le permitiera volver a patrullar con un arma de fuego, pero no ha recibido ningún otro castigo: no hay cargos, no hay acusación, no hay juicio y no ha perdido su sueldo.</w:t>
            </w:r>
          </w:p>
          <w:p w14:paraId="09E5D97A" w14:textId="23EA5097" w:rsidR="00D573E3" w:rsidRPr="00930562" w:rsidRDefault="00D573E3" w:rsidP="0083030A">
            <w:pPr>
              <w:spacing w:after="240"/>
              <w:ind w:left="288" w:right="288"/>
              <w:jc w:val="both"/>
              <w:rPr>
                <w:rFonts w:asciiTheme="majorHAnsi" w:hAnsiTheme="majorHAnsi"/>
                <w:szCs w:val="18"/>
                <w:lang w:val="es-US"/>
              </w:rPr>
            </w:pPr>
            <w:r w:rsidRPr="00930562">
              <w:rPr>
                <w:rFonts w:asciiTheme="majorHAnsi" w:hAnsiTheme="majorHAnsi"/>
                <w:szCs w:val="18"/>
                <w:lang w:val="es-US"/>
              </w:rPr>
              <w:t xml:space="preserve">Mi propia tristeza se convirtió en ira ante la injusticia generalizada y, finalmente, en la determinación de obtener justicia para mi hijo. La brutalidad homicida de la policía es una vergüenza nacional constante. </w:t>
            </w:r>
            <w:r w:rsidR="0083030A">
              <w:rPr>
                <w:rFonts w:asciiTheme="majorHAnsi" w:hAnsiTheme="majorHAnsi"/>
                <w:szCs w:val="18"/>
                <w:lang w:val="es-US"/>
              </w:rPr>
              <w:br/>
            </w:r>
            <w:r w:rsidR="0083030A">
              <w:rPr>
                <w:rFonts w:asciiTheme="majorHAnsi" w:hAnsiTheme="majorHAnsi"/>
                <w:szCs w:val="18"/>
                <w:lang w:val="es-US"/>
              </w:rPr>
              <w:br/>
            </w:r>
            <w:r w:rsidR="0083030A">
              <w:rPr>
                <w:rFonts w:asciiTheme="majorHAnsi" w:hAnsiTheme="majorHAnsi"/>
                <w:szCs w:val="18"/>
                <w:lang w:val="es-US"/>
              </w:rPr>
              <w:lastRenderedPageBreak/>
              <w:br/>
            </w:r>
            <w:r w:rsidRPr="00930562">
              <w:rPr>
                <w:rFonts w:asciiTheme="majorHAnsi" w:hAnsiTheme="majorHAnsi"/>
                <w:szCs w:val="18"/>
                <w:lang w:val="es-US"/>
              </w:rPr>
              <w:t>Estoy decidida a obtener justicia para mi hijo y para otros cuyas vidas y futuro han sido robadas por los mismos funcionarios que han jurado protegernos y servirnos, pero necesito que esta Comisión obligue a mi país a cumplir su obligación de respetar los derechos humanos. Madres contra la Brutalidad Policial necesita de su ayuda para restaurar el contrato social que la violencia policial ha destrozado en las calles de nuestras ciudades. Rezo para que volvamos a tejer el contrato social antes de que se pierdan más vidas. Gracias.</w:t>
            </w:r>
            <w:r w:rsidRPr="00930562">
              <w:rPr>
                <w:rStyle w:val="FootnoteReference"/>
                <w:rFonts w:asciiTheme="majorHAnsi" w:hAnsiTheme="majorHAnsi"/>
                <w:szCs w:val="18"/>
                <w:lang w:val="es-US"/>
              </w:rPr>
              <w:footnoteReference w:id="208"/>
            </w:r>
            <w:r w:rsidRPr="00930562">
              <w:rPr>
                <w:rFonts w:asciiTheme="majorHAnsi" w:hAnsiTheme="majorHAnsi"/>
                <w:szCs w:val="18"/>
                <w:lang w:val="es-US"/>
              </w:rPr>
              <w:t xml:space="preserve"> </w:t>
            </w:r>
          </w:p>
        </w:tc>
      </w:tr>
    </w:tbl>
    <w:p w14:paraId="1A19B2D0" w14:textId="77777777" w:rsidR="00D573E3" w:rsidRPr="00930562" w:rsidRDefault="00D573E3" w:rsidP="00177AAB">
      <w:pPr>
        <w:spacing w:after="0" w:line="240" w:lineRule="auto"/>
        <w:jc w:val="both"/>
        <w:rPr>
          <w:rFonts w:asciiTheme="majorHAnsi" w:hAnsiTheme="majorHAnsi"/>
          <w:szCs w:val="20"/>
          <w:lang w:val="es-US"/>
        </w:rPr>
      </w:pPr>
    </w:p>
    <w:p w14:paraId="46AE320D" w14:textId="49F9A4C3" w:rsidR="0013380B" w:rsidRPr="00930562" w:rsidRDefault="004E0482" w:rsidP="00724857">
      <w:pPr>
        <w:pStyle w:val="ListParagraph"/>
        <w:numPr>
          <w:ilvl w:val="0"/>
          <w:numId w:val="2"/>
        </w:numPr>
        <w:spacing w:after="240" w:line="240" w:lineRule="auto"/>
        <w:ind w:left="547" w:hanging="547"/>
        <w:contextualSpacing w:val="0"/>
        <w:jc w:val="both"/>
        <w:rPr>
          <w:rFonts w:asciiTheme="majorHAnsi" w:eastAsia="Times New Roman" w:hAnsiTheme="majorHAnsi"/>
          <w:szCs w:val="20"/>
          <w:lang w:val="es-US"/>
        </w:rPr>
      </w:pPr>
      <w:r w:rsidRPr="00930562">
        <w:rPr>
          <w:rFonts w:asciiTheme="majorHAnsi" w:eastAsia="Times New Roman" w:hAnsiTheme="majorHAnsi"/>
          <w:szCs w:val="20"/>
          <w:lang w:val="es-US"/>
        </w:rPr>
        <w:t>Anteriormente</w:t>
      </w:r>
      <w:r w:rsidR="001E688B" w:rsidRPr="00930562">
        <w:rPr>
          <w:rFonts w:asciiTheme="majorHAnsi" w:eastAsia="Times New Roman" w:hAnsiTheme="majorHAnsi"/>
          <w:szCs w:val="20"/>
          <w:lang w:val="es-US"/>
        </w:rPr>
        <w:t xml:space="preserve"> la</w:t>
      </w:r>
      <w:r w:rsidRPr="00930562">
        <w:rPr>
          <w:rFonts w:asciiTheme="majorHAnsi" w:eastAsia="Times New Roman" w:hAnsiTheme="majorHAnsi"/>
          <w:szCs w:val="20"/>
          <w:lang w:val="es-US"/>
        </w:rPr>
        <w:t xml:space="preserve"> Comisión ha tomado en cuenta información que indica que el uso de cámaras corporales por parte de agentes de policía tiene un efecto disuasorio; por ejemplo, California registró un descenso de 59 por ciento en el uso de la fuerza y ​​una caída de casi el 90 por ciento en las denuncias sobre el uso excesivo de la fuerza tras la adopción de cámaras corporales</w:t>
      </w:r>
      <w:r w:rsidR="0013380B" w:rsidRPr="00930562">
        <w:rPr>
          <w:rFonts w:asciiTheme="majorHAnsi" w:eastAsia="Times New Roman" w:hAnsiTheme="majorHAnsi"/>
          <w:szCs w:val="20"/>
          <w:lang w:val="es-US"/>
        </w:rPr>
        <w:t>.</w:t>
      </w:r>
      <w:r w:rsidR="0013380B" w:rsidRPr="00930562">
        <w:rPr>
          <w:rStyle w:val="FootnoteReference"/>
          <w:rFonts w:asciiTheme="majorHAnsi" w:eastAsia="Times New Roman" w:hAnsiTheme="majorHAnsi"/>
          <w:szCs w:val="20"/>
          <w:lang w:val="es-US"/>
        </w:rPr>
        <w:footnoteReference w:id="209"/>
      </w:r>
      <w:r w:rsidR="0013380B" w:rsidRPr="00930562">
        <w:rPr>
          <w:rFonts w:asciiTheme="majorHAnsi" w:eastAsia="Times New Roman" w:hAnsiTheme="majorHAnsi"/>
          <w:szCs w:val="20"/>
          <w:lang w:val="es-US"/>
        </w:rPr>
        <w:t xml:space="preserve"> </w:t>
      </w:r>
      <w:r w:rsidR="003D13D5" w:rsidRPr="00930562">
        <w:rPr>
          <w:rFonts w:asciiTheme="majorHAnsi" w:eastAsia="Times New Roman" w:hAnsiTheme="majorHAnsi"/>
          <w:szCs w:val="20"/>
          <w:lang w:val="es-US"/>
        </w:rPr>
        <w:t>N</w:t>
      </w:r>
      <w:r w:rsidRPr="00930562">
        <w:rPr>
          <w:rFonts w:asciiTheme="majorHAnsi" w:eastAsia="Times New Roman" w:hAnsiTheme="majorHAnsi"/>
          <w:szCs w:val="20"/>
          <w:lang w:val="es-US"/>
        </w:rPr>
        <w:t xml:space="preserve">o obstante, la Comisión también ha expresado su preocupación </w:t>
      </w:r>
      <w:r w:rsidR="003D13D5" w:rsidRPr="00930562">
        <w:rPr>
          <w:rFonts w:asciiTheme="majorHAnsi" w:eastAsia="Times New Roman" w:hAnsiTheme="majorHAnsi"/>
          <w:szCs w:val="20"/>
          <w:lang w:val="es-US"/>
        </w:rPr>
        <w:t>por el hecho de</w:t>
      </w:r>
      <w:r w:rsidRPr="00930562">
        <w:rPr>
          <w:rFonts w:asciiTheme="majorHAnsi" w:eastAsia="Times New Roman" w:hAnsiTheme="majorHAnsi"/>
          <w:szCs w:val="20"/>
          <w:lang w:val="es-US"/>
        </w:rPr>
        <w:t xml:space="preserve"> que las cámaras corporales puedan causar violaciones del derecho a la privacidad del funcionario o las </w:t>
      </w:r>
      <w:r w:rsidRPr="00930562">
        <w:rPr>
          <w:rFonts w:asciiTheme="majorHAnsi" w:hAnsiTheme="majorHAnsi"/>
          <w:szCs w:val="20"/>
          <w:lang w:val="es-US"/>
        </w:rPr>
        <w:t>víctimas</w:t>
      </w:r>
      <w:r w:rsidRPr="00930562">
        <w:rPr>
          <w:rFonts w:asciiTheme="majorHAnsi" w:eastAsia="Times New Roman" w:hAnsiTheme="majorHAnsi"/>
          <w:szCs w:val="20"/>
          <w:lang w:val="es-US"/>
        </w:rPr>
        <w:t>, las controversias sobre si las cámaras podrían ser manipuladas por los funcionarios y las preocupaciones sobre el almacenamiento seguro de las imágenes.</w:t>
      </w:r>
      <w:r w:rsidR="0013380B" w:rsidRPr="00930562">
        <w:rPr>
          <w:rStyle w:val="FootnoteReference"/>
          <w:rFonts w:asciiTheme="majorHAnsi" w:eastAsia="Times New Roman" w:hAnsiTheme="majorHAnsi"/>
          <w:szCs w:val="20"/>
          <w:lang w:val="es-US"/>
        </w:rPr>
        <w:footnoteReference w:id="210"/>
      </w:r>
      <w:r w:rsidR="0013380B" w:rsidRPr="00930562">
        <w:rPr>
          <w:rFonts w:asciiTheme="majorHAnsi" w:eastAsia="Times New Roman" w:hAnsiTheme="majorHAnsi"/>
          <w:szCs w:val="20"/>
          <w:lang w:val="es-US"/>
        </w:rPr>
        <w:t xml:space="preserve"> </w:t>
      </w:r>
      <w:r w:rsidR="003D13D5" w:rsidRPr="00930562">
        <w:rPr>
          <w:rFonts w:asciiTheme="majorHAnsi" w:eastAsia="Times New Roman" w:hAnsiTheme="majorHAnsi"/>
          <w:szCs w:val="20"/>
          <w:lang w:val="es-US"/>
        </w:rPr>
        <w:t xml:space="preserve">La Comisión ha recibido preocupaciones similares de organizaciones de la sociedad civil, que argumentan que el uso de cámaras corporales policiales puede aumentar las ya existentes altas tasas de detenciones de afrodescendientes y otros miembros de grupos históricamente marginados tras irregularidades detectadas que incluyen el no encender la cámara o poner el material </w:t>
      </w:r>
      <w:r w:rsidR="002C0258" w:rsidRPr="00930562">
        <w:rPr>
          <w:rFonts w:asciiTheme="majorHAnsi" w:eastAsia="Times New Roman" w:hAnsiTheme="majorHAnsi"/>
          <w:szCs w:val="20"/>
          <w:lang w:val="es-US"/>
        </w:rPr>
        <w:t xml:space="preserve">a disposición </w:t>
      </w:r>
      <w:r w:rsidR="003D13D5" w:rsidRPr="00930562">
        <w:rPr>
          <w:rFonts w:asciiTheme="majorHAnsi" w:eastAsia="Times New Roman" w:hAnsiTheme="majorHAnsi"/>
          <w:szCs w:val="20"/>
          <w:lang w:val="es-US"/>
        </w:rPr>
        <w:t xml:space="preserve">cuando contradice la versión oficial de cómo sucedieron los hechos; argumentaron que la policía pone a disposición imágenes de la cámara del cuerpo cuando proporciona pruebas </w:t>
      </w:r>
      <w:r w:rsidR="002C0258" w:rsidRPr="00930562">
        <w:rPr>
          <w:rFonts w:asciiTheme="majorHAnsi" w:eastAsia="Times New Roman" w:hAnsiTheme="majorHAnsi"/>
          <w:szCs w:val="20"/>
          <w:lang w:val="es-US"/>
        </w:rPr>
        <w:t xml:space="preserve">de </w:t>
      </w:r>
      <w:r w:rsidR="003D13D5" w:rsidRPr="00930562">
        <w:rPr>
          <w:rFonts w:asciiTheme="majorHAnsi" w:eastAsia="Times New Roman" w:hAnsiTheme="majorHAnsi"/>
          <w:szCs w:val="20"/>
          <w:lang w:val="es-US"/>
        </w:rPr>
        <w:t>la comisión de delitos menores</w:t>
      </w:r>
      <w:r w:rsidR="0013380B" w:rsidRPr="00930562">
        <w:rPr>
          <w:rFonts w:asciiTheme="majorHAnsi" w:eastAsia="Times New Roman" w:hAnsiTheme="majorHAnsi"/>
          <w:szCs w:val="20"/>
          <w:lang w:val="es-US"/>
        </w:rPr>
        <w:t>.</w:t>
      </w:r>
      <w:r w:rsidR="0013380B" w:rsidRPr="00930562">
        <w:rPr>
          <w:rStyle w:val="FootnoteReference"/>
          <w:rFonts w:asciiTheme="majorHAnsi" w:eastAsia="Times New Roman" w:hAnsiTheme="majorHAnsi"/>
          <w:szCs w:val="20"/>
          <w:lang w:val="es-US"/>
        </w:rPr>
        <w:footnoteReference w:id="211"/>
      </w:r>
    </w:p>
    <w:p w14:paraId="08856EFB" w14:textId="2893DE9D" w:rsidR="005B672D" w:rsidRPr="00930562" w:rsidRDefault="00413DCA"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rPr>
        <w:t>A la luz de esta información, la Comisión reitera su grave preocupación por la existencia de un preocupante patrón de uso excesivo de la fuerza por parte de la policía hacia los afroamericanos y otros miembros de grupos históricamente marginados en los Estados Unidos.</w:t>
      </w:r>
      <w:r w:rsidR="0013380B" w:rsidRPr="00930562">
        <w:rPr>
          <w:rStyle w:val="FootnoteReference"/>
          <w:rFonts w:asciiTheme="majorHAnsi" w:hAnsiTheme="majorHAnsi"/>
          <w:szCs w:val="20"/>
          <w:lang w:val="es-US"/>
        </w:rPr>
        <w:footnoteReference w:id="212"/>
      </w:r>
      <w:r w:rsidR="0013380B" w:rsidRPr="00930562">
        <w:rPr>
          <w:rFonts w:asciiTheme="majorHAnsi" w:hAnsiTheme="majorHAnsi"/>
          <w:szCs w:val="20"/>
          <w:lang w:val="es-US"/>
        </w:rPr>
        <w:t xml:space="preserve"> </w:t>
      </w:r>
      <w:r w:rsidRPr="00930562">
        <w:rPr>
          <w:rFonts w:asciiTheme="majorHAnsi" w:hAnsiTheme="majorHAnsi"/>
          <w:szCs w:val="20"/>
          <w:lang w:val="es-US"/>
        </w:rPr>
        <w:t xml:space="preserve">La Comisión considera que este es un problema estructural e insta al Estado a investigar </w:t>
      </w:r>
      <w:r w:rsidRPr="00930562">
        <w:rPr>
          <w:rFonts w:asciiTheme="majorHAnsi" w:hAnsiTheme="majorHAnsi"/>
          <w:szCs w:val="20"/>
          <w:lang w:val="es-US"/>
        </w:rPr>
        <w:lastRenderedPageBreak/>
        <w:t xml:space="preserve">los vínculos que existen entre los casos de violencia policial con el fin de adoptar de manera coordinada medidas legislativas, normativas e institucionales </w:t>
      </w:r>
      <w:r w:rsidR="002C0258" w:rsidRPr="00930562">
        <w:rPr>
          <w:rFonts w:asciiTheme="majorHAnsi" w:hAnsiTheme="majorHAnsi"/>
          <w:szCs w:val="20"/>
          <w:lang w:val="es-US"/>
        </w:rPr>
        <w:t xml:space="preserve">diseñadas </w:t>
      </w:r>
      <w:r w:rsidRPr="00930562">
        <w:rPr>
          <w:rFonts w:asciiTheme="majorHAnsi" w:hAnsiTheme="majorHAnsi"/>
          <w:szCs w:val="20"/>
          <w:lang w:val="es-US"/>
        </w:rPr>
        <w:t>para eliminar la discriminación racial, inclu</w:t>
      </w:r>
      <w:r w:rsidR="002C0258" w:rsidRPr="00930562">
        <w:rPr>
          <w:rFonts w:asciiTheme="majorHAnsi" w:hAnsiTheme="majorHAnsi"/>
          <w:szCs w:val="20"/>
          <w:lang w:val="es-US"/>
        </w:rPr>
        <w:t>yendo las</w:t>
      </w:r>
      <w:r w:rsidRPr="00930562">
        <w:rPr>
          <w:rFonts w:asciiTheme="majorHAnsi" w:hAnsiTheme="majorHAnsi"/>
          <w:szCs w:val="20"/>
          <w:lang w:val="es-US"/>
        </w:rPr>
        <w:t xml:space="preserve"> medidas para proteger y garantizar el derecho a no discriminación.</w:t>
      </w:r>
      <w:r w:rsidR="0013380B" w:rsidRPr="00930562">
        <w:rPr>
          <w:rStyle w:val="FootnoteReference"/>
          <w:rFonts w:asciiTheme="majorHAnsi" w:hAnsiTheme="majorHAnsi"/>
          <w:szCs w:val="20"/>
          <w:lang w:val="es-US"/>
        </w:rPr>
        <w:footnoteReference w:id="213"/>
      </w:r>
    </w:p>
    <w:p w14:paraId="01FF4B3C" w14:textId="77777777" w:rsidR="005B672D" w:rsidRPr="00930562" w:rsidRDefault="005B672D" w:rsidP="001E382F">
      <w:pPr>
        <w:pStyle w:val="Heading4"/>
        <w:rPr>
          <w:lang w:val="es-US"/>
        </w:rPr>
      </w:pPr>
      <w:bookmarkStart w:id="89" w:name="_Toc517779234"/>
      <w:bookmarkStart w:id="90" w:name="_Toc531514465"/>
      <w:bookmarkStart w:id="91" w:name="_Toc511837813"/>
      <w:bookmarkStart w:id="92" w:name="_Toc511902986"/>
      <w:r w:rsidRPr="00930562">
        <w:rPr>
          <w:lang w:val="es-US"/>
        </w:rPr>
        <w:t>Impunidad en casos de asesinatos policiales</w:t>
      </w:r>
      <w:bookmarkEnd w:id="89"/>
      <w:bookmarkEnd w:id="90"/>
      <w:r w:rsidRPr="00930562">
        <w:rPr>
          <w:lang w:val="es-US"/>
        </w:rPr>
        <w:t xml:space="preserve"> </w:t>
      </w:r>
      <w:bookmarkEnd w:id="91"/>
      <w:bookmarkEnd w:id="92"/>
    </w:p>
    <w:p w14:paraId="39F5EB2E" w14:textId="2D11936F"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bookmarkStart w:id="93" w:name="_Ref507429957"/>
      <w:r w:rsidRPr="00930562">
        <w:rPr>
          <w:rFonts w:asciiTheme="majorHAnsi" w:hAnsiTheme="majorHAnsi" w:cs="Times"/>
          <w:szCs w:val="20"/>
          <w:lang w:val="es-US"/>
        </w:rPr>
        <w:t xml:space="preserve">La Comisión ha recibido información que indica que la injusticia que se perpetúa debido al patrón de discriminación racial en los homicidios policiales se ve agravada por un patrón de impunidad en los casos de homicidios policiales de afroamericanos. En este sentido, la </w:t>
      </w:r>
      <w:r w:rsidRPr="00930562">
        <w:rPr>
          <w:rFonts w:asciiTheme="majorHAnsi" w:hAnsiTheme="majorHAnsi"/>
          <w:szCs w:val="20"/>
          <w:lang w:val="es-US"/>
        </w:rPr>
        <w:t xml:space="preserve">Comisión hace eco de la preocupación expresada por el Grupo de Trabajo de Expertos de Naciones Unidas sobre </w:t>
      </w:r>
      <w:r w:rsidR="00710583" w:rsidRPr="00930562">
        <w:rPr>
          <w:rFonts w:asciiTheme="majorHAnsi" w:hAnsiTheme="majorHAnsi"/>
          <w:szCs w:val="20"/>
          <w:lang w:val="es-US"/>
        </w:rPr>
        <w:t>los A</w:t>
      </w:r>
      <w:r w:rsidRPr="00930562">
        <w:rPr>
          <w:rFonts w:asciiTheme="majorHAnsi" w:hAnsiTheme="majorHAnsi"/>
          <w:szCs w:val="20"/>
          <w:lang w:val="es-US"/>
        </w:rPr>
        <w:t>fro</w:t>
      </w:r>
      <w:r w:rsidR="00710583" w:rsidRPr="00930562">
        <w:rPr>
          <w:rFonts w:asciiTheme="majorHAnsi" w:hAnsiTheme="majorHAnsi"/>
          <w:szCs w:val="20"/>
          <w:lang w:val="es-US"/>
        </w:rPr>
        <w:t>descendientes</w:t>
      </w:r>
      <w:r w:rsidRPr="00930562">
        <w:rPr>
          <w:rFonts w:asciiTheme="majorHAnsi" w:hAnsiTheme="majorHAnsi"/>
          <w:szCs w:val="20"/>
          <w:lang w:val="es-US"/>
        </w:rPr>
        <w:t xml:space="preserve"> respecto de “los alarmantes niveles de brutalidad policial y uso excesivo de la fuerza letal por parte de los funcionarios policiales</w:t>
      </w:r>
      <w:r w:rsidR="00710583" w:rsidRPr="00930562">
        <w:rPr>
          <w:rFonts w:asciiTheme="majorHAnsi" w:hAnsiTheme="majorHAnsi"/>
          <w:szCs w:val="20"/>
          <w:lang w:val="es-US"/>
        </w:rPr>
        <w:t xml:space="preserve">, </w:t>
      </w:r>
      <w:r w:rsidRPr="00930562">
        <w:rPr>
          <w:rFonts w:asciiTheme="majorHAnsi" w:hAnsiTheme="majorHAnsi"/>
          <w:szCs w:val="20"/>
          <w:lang w:val="es-US"/>
        </w:rPr>
        <w:t>cometidos con impunidad contra los afrodescendientes en los Estados Unidos.”</w:t>
      </w:r>
      <w:r w:rsidRPr="00930562">
        <w:rPr>
          <w:rFonts w:asciiTheme="majorHAnsi" w:hAnsiTheme="majorHAnsi"/>
          <w:szCs w:val="20"/>
          <w:vertAlign w:val="superscript"/>
          <w:lang w:val="es-US"/>
        </w:rPr>
        <w:footnoteReference w:id="214"/>
      </w:r>
      <w:r w:rsidRPr="00930562">
        <w:rPr>
          <w:rFonts w:asciiTheme="majorHAnsi" w:hAnsiTheme="majorHAnsi"/>
          <w:szCs w:val="20"/>
          <w:lang w:val="es-US"/>
        </w:rPr>
        <w:t xml:space="preserve"> La sociedad civil también señala que "en el sistema actual, continúa siendo una tarea casi imposible responsabilizar a los oficiales y departamentos policiales por el uso excesivo de la fuerza, en particular contra las comunidades marginadas de color</w:t>
      </w:r>
      <w:r w:rsidR="00710583" w:rsidRPr="00930562">
        <w:rPr>
          <w:rFonts w:asciiTheme="majorHAnsi" w:hAnsiTheme="majorHAnsi"/>
          <w:szCs w:val="20"/>
          <w:lang w:val="es-US"/>
        </w:rPr>
        <w:t>, [...</w:t>
      </w:r>
      <w:proofErr w:type="gramStart"/>
      <w:r w:rsidR="00710583" w:rsidRPr="00930562">
        <w:rPr>
          <w:rFonts w:asciiTheme="majorHAnsi" w:hAnsiTheme="majorHAnsi"/>
          <w:szCs w:val="20"/>
          <w:lang w:val="es-US"/>
        </w:rPr>
        <w:t>]</w:t>
      </w:r>
      <w:r w:rsidRPr="00930562">
        <w:rPr>
          <w:rFonts w:asciiTheme="majorHAnsi" w:hAnsiTheme="majorHAnsi"/>
          <w:szCs w:val="20"/>
          <w:lang w:val="es-US"/>
        </w:rPr>
        <w:t>y</w:t>
      </w:r>
      <w:proofErr w:type="gramEnd"/>
      <w:r w:rsidR="00710583" w:rsidRPr="00930562">
        <w:rPr>
          <w:rFonts w:asciiTheme="majorHAnsi" w:hAnsiTheme="majorHAnsi"/>
          <w:szCs w:val="20"/>
          <w:lang w:val="es-US"/>
        </w:rPr>
        <w:t xml:space="preserve"> </w:t>
      </w:r>
      <w:r w:rsidRPr="00930562">
        <w:rPr>
          <w:rFonts w:asciiTheme="majorHAnsi" w:hAnsiTheme="majorHAnsi"/>
          <w:szCs w:val="20"/>
          <w:lang w:val="es-US"/>
        </w:rPr>
        <w:t>sigue habiendo severos vacíos en los sistemas reguladores y de denuncia por el uso de la fuerza por parte de los agentes policiales.”</w:t>
      </w:r>
      <w:r w:rsidRPr="00930562">
        <w:rPr>
          <w:rFonts w:asciiTheme="majorHAnsi" w:hAnsiTheme="majorHAnsi"/>
          <w:szCs w:val="20"/>
          <w:vertAlign w:val="superscript"/>
          <w:lang w:val="es-US"/>
        </w:rPr>
        <w:footnoteReference w:id="215"/>
      </w:r>
      <w:r w:rsidRPr="00930562">
        <w:rPr>
          <w:rFonts w:asciiTheme="majorHAnsi" w:hAnsiTheme="majorHAnsi"/>
          <w:szCs w:val="20"/>
          <w:lang w:val="es-US"/>
        </w:rPr>
        <w:t xml:space="preserve"> </w:t>
      </w:r>
      <w:bookmarkEnd w:id="93"/>
      <w:r w:rsidRPr="00930562">
        <w:rPr>
          <w:rFonts w:asciiTheme="majorHAnsi" w:hAnsiTheme="majorHAnsi"/>
          <w:szCs w:val="20"/>
          <w:lang w:val="es-US"/>
        </w:rPr>
        <w:t>La Comisión considera que la impunidad en estos casos fomenta un entorno en el que se toleran la violencia y los abusos policiales y sirve para sustentar un trato diferente por motivos de raza.</w:t>
      </w:r>
    </w:p>
    <w:p w14:paraId="2A4C07E6" w14:textId="73AC6490"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rPr>
        <w:t xml:space="preserve">La Comisión resalta el </w:t>
      </w:r>
      <w:r w:rsidR="001E688B" w:rsidRPr="00930562">
        <w:rPr>
          <w:rFonts w:asciiTheme="majorHAnsi" w:hAnsiTheme="majorHAnsi"/>
          <w:szCs w:val="20"/>
          <w:lang w:val="es-US"/>
        </w:rPr>
        <w:t>baj</w:t>
      </w:r>
      <w:r w:rsidRPr="00930562">
        <w:rPr>
          <w:rFonts w:asciiTheme="majorHAnsi" w:hAnsiTheme="majorHAnsi"/>
          <w:szCs w:val="20"/>
          <w:lang w:val="es-US"/>
        </w:rPr>
        <w:t>o número de casos en que los policías han sido responsabilizados por los asesinatos de afroamericanos en los EE.UU. Una investigación descubrió que en miles de asesinatos</w:t>
      </w:r>
      <w:r w:rsidRPr="00930562">
        <w:rPr>
          <w:rFonts w:asciiTheme="majorHAnsi" w:hAnsiTheme="majorHAnsi"/>
          <w:lang w:val="es-US"/>
        </w:rPr>
        <w:t xml:space="preserve"> relacionados con la policía entre 2005 y 2015, sólo 54 policías fueron acusados ​​alguna vez por un crimen y la mayoría finalmente quedó libre o fue declarado inocente.</w:t>
      </w:r>
      <w:r w:rsidRPr="00930562">
        <w:rPr>
          <w:rFonts w:asciiTheme="majorHAnsi" w:hAnsiTheme="majorHAnsi"/>
          <w:vertAlign w:val="superscript"/>
          <w:lang w:val="es-US"/>
        </w:rPr>
        <w:footnoteReference w:id="216"/>
      </w:r>
      <w:r w:rsidRPr="00930562">
        <w:rPr>
          <w:rFonts w:asciiTheme="majorHAnsi" w:hAnsiTheme="majorHAnsi"/>
          <w:lang w:val="es-US"/>
        </w:rPr>
        <w:t xml:space="preserve"> La investigación señaló que para presentar cargos contra un policía, los hechos deben ser de carácter excepcional: "una víctima recibió un disparo en la espalda, existe una grabación de video del incidente, testimonios incriminatorios de otros oficiales o acusaciones de encubrimiento" -aunque incluso en estos casos, las condenas son escasas. En los casos en que </w:t>
      </w:r>
      <w:r w:rsidRPr="00930562">
        <w:rPr>
          <w:rFonts w:asciiTheme="majorHAnsi" w:hAnsiTheme="majorHAnsi"/>
          <w:lang w:val="es-US"/>
        </w:rPr>
        <w:lastRenderedPageBreak/>
        <w:t>policías son condenados por uso excesivo de la fuerza contra civiles, las sentencias tienden a ser mucho más ligeras: un promedio de cuatro años de prisión, pero a veces tan solo semanas.</w:t>
      </w:r>
      <w:r w:rsidRPr="00930562">
        <w:rPr>
          <w:rFonts w:asciiTheme="majorHAnsi" w:hAnsiTheme="majorHAnsi"/>
          <w:vertAlign w:val="superscript"/>
          <w:lang w:val="es-US"/>
        </w:rPr>
        <w:footnoteReference w:id="217"/>
      </w:r>
      <w:r w:rsidRPr="00930562">
        <w:rPr>
          <w:rFonts w:asciiTheme="majorHAnsi" w:hAnsiTheme="majorHAnsi"/>
          <w:lang w:val="es-US"/>
        </w:rPr>
        <w:t xml:space="preserve"> Las bases de datos de un documento indican que los oficiales involucrados en una de cada seis muertes registradas durante el primer trimestre de 2015 hab</w:t>
      </w:r>
      <w:r w:rsidR="001E688B" w:rsidRPr="00930562">
        <w:rPr>
          <w:rFonts w:asciiTheme="majorHAnsi" w:hAnsiTheme="majorHAnsi"/>
          <w:lang w:val="es-US"/>
        </w:rPr>
        <w:t>r</w:t>
      </w:r>
      <w:r w:rsidRPr="00930562">
        <w:rPr>
          <w:rFonts w:asciiTheme="majorHAnsi" w:hAnsiTheme="majorHAnsi"/>
          <w:lang w:val="es-US"/>
        </w:rPr>
        <w:t xml:space="preserve">ían sido absueltos de </w:t>
      </w:r>
      <w:r w:rsidR="00153E0D" w:rsidRPr="00930562">
        <w:rPr>
          <w:rFonts w:asciiTheme="majorHAnsi" w:hAnsiTheme="majorHAnsi"/>
          <w:lang w:val="es-US"/>
        </w:rPr>
        <w:t>malas conductas</w:t>
      </w:r>
      <w:r w:rsidRPr="00930562">
        <w:rPr>
          <w:rFonts w:asciiTheme="majorHAnsi" w:hAnsiTheme="majorHAnsi"/>
          <w:lang w:val="es-US"/>
        </w:rPr>
        <w:t xml:space="preserve"> y hab</w:t>
      </w:r>
      <w:r w:rsidR="001E688B" w:rsidRPr="00930562">
        <w:rPr>
          <w:rFonts w:asciiTheme="majorHAnsi" w:hAnsiTheme="majorHAnsi"/>
          <w:lang w:val="es-US"/>
        </w:rPr>
        <w:t>r</w:t>
      </w:r>
      <w:r w:rsidRPr="00930562">
        <w:rPr>
          <w:rFonts w:asciiTheme="majorHAnsi" w:hAnsiTheme="majorHAnsi"/>
          <w:lang w:val="es-US"/>
        </w:rPr>
        <w:t>ían regresado al trabajo dentro del año y en la mayoría de los casos el público no fue notificado a través de declaraciones oficiales o medios locales.</w:t>
      </w:r>
      <w:r w:rsidRPr="00930562">
        <w:rPr>
          <w:rFonts w:asciiTheme="majorHAnsi" w:hAnsiTheme="majorHAnsi"/>
          <w:vertAlign w:val="superscript"/>
          <w:lang w:val="es-US"/>
        </w:rPr>
        <w:footnoteReference w:id="218"/>
      </w:r>
      <w:r w:rsidRPr="00930562">
        <w:rPr>
          <w:rFonts w:asciiTheme="majorHAnsi" w:hAnsiTheme="majorHAnsi"/>
          <w:lang w:val="es-US"/>
        </w:rPr>
        <w:t xml:space="preserve"> Otro informe de 2015 señaló que un mayor número de policías hab</w:t>
      </w:r>
      <w:r w:rsidR="001E688B" w:rsidRPr="00930562">
        <w:rPr>
          <w:rFonts w:asciiTheme="majorHAnsi" w:hAnsiTheme="majorHAnsi"/>
          <w:lang w:val="es-US"/>
        </w:rPr>
        <w:t>r</w:t>
      </w:r>
      <w:r w:rsidRPr="00930562">
        <w:rPr>
          <w:rFonts w:asciiTheme="majorHAnsi" w:hAnsiTheme="majorHAnsi"/>
          <w:lang w:val="es-US"/>
        </w:rPr>
        <w:t>ían sido acusados de asesinatos más que ningún otro año, sin embargo ninguno fue encontrado culpable de asesinato u homicidio.</w:t>
      </w:r>
      <w:r w:rsidRPr="00930562">
        <w:rPr>
          <w:rFonts w:asciiTheme="majorHAnsi" w:hAnsiTheme="majorHAnsi"/>
          <w:vertAlign w:val="superscript"/>
          <w:lang w:val="es-US"/>
        </w:rPr>
        <w:footnoteReference w:id="219"/>
      </w:r>
      <w:r w:rsidRPr="00930562">
        <w:rPr>
          <w:rFonts w:asciiTheme="majorHAnsi" w:hAnsiTheme="majorHAnsi"/>
          <w:lang w:val="es-US"/>
        </w:rPr>
        <w:t xml:space="preserve"> Y otro</w:t>
      </w:r>
      <w:r w:rsidRPr="00930562">
        <w:rPr>
          <w:rFonts w:asciiTheme="majorHAnsi" w:hAnsiTheme="majorHAnsi"/>
          <w:color w:val="212121"/>
          <w:lang w:val="es-US"/>
        </w:rPr>
        <w:t xml:space="preserve"> </w:t>
      </w:r>
      <w:r w:rsidRPr="00930562">
        <w:rPr>
          <w:rFonts w:asciiTheme="majorHAnsi" w:hAnsiTheme="majorHAnsi"/>
          <w:lang w:val="es-US"/>
        </w:rPr>
        <w:t>estudio que monitoreó los resultados de trece casos de asesinatos policiales capturados en video</w:t>
      </w:r>
      <w:r w:rsidR="00153E0D" w:rsidRPr="00930562">
        <w:rPr>
          <w:rFonts w:asciiTheme="majorHAnsi" w:hAnsiTheme="majorHAnsi"/>
          <w:lang w:val="es-US"/>
        </w:rPr>
        <w:t>,</w:t>
      </w:r>
      <w:r w:rsidRPr="00930562">
        <w:rPr>
          <w:rFonts w:asciiTheme="majorHAnsi" w:hAnsiTheme="majorHAnsi"/>
          <w:lang w:val="es-US"/>
        </w:rPr>
        <w:t xml:space="preserve"> y que provocaron protestas públicas entre 2014 y 2016</w:t>
      </w:r>
      <w:r w:rsidR="00153E0D" w:rsidRPr="00930562">
        <w:rPr>
          <w:rFonts w:asciiTheme="majorHAnsi" w:hAnsiTheme="majorHAnsi"/>
          <w:lang w:val="es-US"/>
        </w:rPr>
        <w:t xml:space="preserve">, </w:t>
      </w:r>
      <w:r w:rsidRPr="00930562">
        <w:rPr>
          <w:rFonts w:asciiTheme="majorHAnsi" w:hAnsiTheme="majorHAnsi"/>
          <w:lang w:val="es-US"/>
        </w:rPr>
        <w:t>concluyó que se presentaron cargos penales contra policías en menos de la mitad de los casos.</w:t>
      </w:r>
      <w:r w:rsidRPr="00930562">
        <w:rPr>
          <w:rFonts w:asciiTheme="majorHAnsi" w:hAnsiTheme="majorHAnsi"/>
          <w:vertAlign w:val="superscript"/>
          <w:lang w:val="es-US"/>
        </w:rPr>
        <w:footnoteReference w:id="220"/>
      </w:r>
      <w:r w:rsidRPr="00930562">
        <w:rPr>
          <w:rFonts w:asciiTheme="majorHAnsi" w:hAnsiTheme="majorHAnsi"/>
          <w:lang w:val="es-US"/>
        </w:rPr>
        <w:t xml:space="preserve"> </w:t>
      </w:r>
    </w:p>
    <w:p w14:paraId="41D7D846" w14:textId="3A91C0D0"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bookmarkStart w:id="94" w:name="_Ref507429959"/>
      <w:r w:rsidRPr="00930562">
        <w:rPr>
          <w:rFonts w:asciiTheme="majorHAnsi" w:hAnsiTheme="majorHAnsi"/>
          <w:lang w:val="es-US"/>
        </w:rPr>
        <w:t xml:space="preserve">La Comisión ha previamente denunciado un "patrón reiterado de impunidad en los homicidios de afrodescendientes por parte de la policía en los Estados Unidos", a la luz del fracaso en llevar a la justicia los casos de </w:t>
      </w:r>
      <w:r w:rsidRPr="00930562">
        <w:rPr>
          <w:rFonts w:asciiTheme="majorHAnsi" w:hAnsiTheme="majorHAnsi"/>
          <w:szCs w:val="20"/>
          <w:lang w:val="es-US"/>
        </w:rPr>
        <w:t xml:space="preserve">policías implicados en los homicidios de Michael Brown, Eric Garner, Tamir Rice, y Freddie Gray, entre otros. En ese momento, la Comisión instó </w:t>
      </w:r>
      <w:r w:rsidR="00153E0D" w:rsidRPr="00930562">
        <w:rPr>
          <w:rFonts w:asciiTheme="majorHAnsi" w:hAnsiTheme="majorHAnsi"/>
          <w:szCs w:val="20"/>
          <w:lang w:val="es-US"/>
        </w:rPr>
        <w:t xml:space="preserve">a </w:t>
      </w:r>
      <w:r w:rsidRPr="00930562">
        <w:rPr>
          <w:rFonts w:asciiTheme="majorHAnsi" w:hAnsiTheme="majorHAnsi"/>
          <w:szCs w:val="20"/>
          <w:lang w:val="es-US"/>
        </w:rPr>
        <w:t>que se lleve adelante una investigación inmediata, exhaustiva, independiente e imparcial de estos casos, garantizando el acceso a la justicia a las víctimas</w:t>
      </w:r>
      <w:r w:rsidRPr="00930562">
        <w:rPr>
          <w:rFonts w:asciiTheme="majorHAnsi" w:hAnsiTheme="majorHAnsi"/>
          <w:szCs w:val="20"/>
          <w:vertAlign w:val="superscript"/>
          <w:lang w:val="es-US"/>
        </w:rPr>
        <w:footnoteReference w:id="221"/>
      </w:r>
      <w:r w:rsidRPr="00930562">
        <w:rPr>
          <w:rFonts w:asciiTheme="majorHAnsi" w:hAnsiTheme="majorHAnsi"/>
          <w:szCs w:val="20"/>
          <w:lang w:val="es-US"/>
        </w:rPr>
        <w:t xml:space="preserve"> y considerando que una respuesta ineficaz del Estado puede dar lugar a altos niveles de impunidad, llevando a la repetición crónica de hechos de uso excesivo de la fuerza por parte de la policía, y dejando a las víctimas y sus familias indefensas.</w:t>
      </w:r>
      <w:r w:rsidRPr="00930562">
        <w:rPr>
          <w:rFonts w:asciiTheme="majorHAnsi" w:hAnsiTheme="majorHAnsi"/>
          <w:szCs w:val="20"/>
          <w:vertAlign w:val="superscript"/>
          <w:lang w:val="es-US"/>
        </w:rPr>
        <w:footnoteReference w:id="222"/>
      </w:r>
      <w:bookmarkEnd w:id="94"/>
    </w:p>
    <w:p w14:paraId="1090C77B" w14:textId="160FD9D9"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rPr>
        <w:t xml:space="preserve">Desde su visita in loco a EE.UU. en 2015, la Comisión ha continuado recibiendo información que </w:t>
      </w:r>
      <w:r w:rsidR="00153E0D" w:rsidRPr="00930562">
        <w:rPr>
          <w:rFonts w:asciiTheme="majorHAnsi" w:hAnsiTheme="majorHAnsi"/>
          <w:szCs w:val="20"/>
          <w:lang w:val="es-US"/>
        </w:rPr>
        <w:t xml:space="preserve">demuestra </w:t>
      </w:r>
      <w:r w:rsidRPr="00930562">
        <w:rPr>
          <w:rFonts w:asciiTheme="majorHAnsi" w:hAnsiTheme="majorHAnsi"/>
          <w:szCs w:val="20"/>
          <w:lang w:val="es-US"/>
        </w:rPr>
        <w:t xml:space="preserve">la existencia de un patrón de impunidad para policías involucrados en asesinatos, incluyendo los casos recientes de Philando Castile, Terence Crutcher, Alton Sterling, y Anthony </w:t>
      </w:r>
      <w:r w:rsidRPr="00930562">
        <w:rPr>
          <w:rFonts w:asciiTheme="majorHAnsi" w:hAnsiTheme="majorHAnsi"/>
          <w:szCs w:val="20"/>
          <w:lang w:val="es-US"/>
        </w:rPr>
        <w:lastRenderedPageBreak/>
        <w:t xml:space="preserve">Lamar Smith. Todos estos casos terminaron ya sea sin procesamiento del policía responsable o con la absolución obtenida en el juicio. </w:t>
      </w:r>
      <w:r w:rsidRPr="00930562">
        <w:rPr>
          <w:rFonts w:asciiTheme="majorHAnsi" w:hAnsiTheme="majorHAnsi"/>
          <w:szCs w:val="20"/>
          <w:vertAlign w:val="superscript"/>
          <w:lang w:val="es-US"/>
        </w:rPr>
        <w:footnoteReference w:id="223"/>
      </w:r>
      <w:r w:rsidRPr="00930562">
        <w:rPr>
          <w:rFonts w:asciiTheme="majorHAnsi" w:hAnsiTheme="majorHAnsi"/>
          <w:szCs w:val="20"/>
          <w:lang w:val="es-US"/>
        </w:rPr>
        <w:t xml:space="preserve"> </w:t>
      </w:r>
    </w:p>
    <w:p w14:paraId="1D416931" w14:textId="77777777"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szCs w:val="20"/>
          <w:lang w:val="es-US"/>
        </w:rPr>
        <w:t>La Comisión nota que la impunidad en casos de homicidios policiales tiene un profundo impacto en las familias de las víctimas, contribuye a la desconfianza entre las comunidades y los departamentos policiales, y en última instancia</w:t>
      </w:r>
      <w:r w:rsidRPr="00930562">
        <w:rPr>
          <w:rFonts w:asciiTheme="majorHAnsi" w:hAnsiTheme="majorHAnsi"/>
          <w:lang w:val="es-US"/>
        </w:rPr>
        <w:t xml:space="preserve"> debilita el estado de derecho. La Comisión  ha recibido extensos testimonios de familiares de víctimas de violencia policial acerca de los efectos a largo plazo de los asesinatos tanto en ellos, como en sus familias y comunidades. Por ejemplo Collette Flanagan, madre de Clinton Allen (asesinado el 10 de marzo de 2013 por un policía de Dallas) y cofundadora de Madres contra la Brutalidad Policial, en una audiencia pública testificó: </w:t>
      </w:r>
    </w:p>
    <w:tbl>
      <w:tblPr>
        <w:tblStyle w:val="TableGrid"/>
        <w:tblW w:w="0" w:type="auto"/>
        <w:jc w:val="right"/>
        <w:tblLook w:val="04A0" w:firstRow="1" w:lastRow="0" w:firstColumn="1" w:lastColumn="0" w:noHBand="0" w:noVBand="1"/>
      </w:tblPr>
      <w:tblGrid>
        <w:gridCol w:w="7848"/>
      </w:tblGrid>
      <w:tr w:rsidR="00D573E3" w:rsidRPr="005E5B1C" w14:paraId="453ADCE0" w14:textId="77777777" w:rsidTr="00177AAB">
        <w:trPr>
          <w:jc w:val="right"/>
        </w:trPr>
        <w:tc>
          <w:tcPr>
            <w:tcW w:w="8406" w:type="dxa"/>
            <w:shd w:val="clear" w:color="auto" w:fill="D9D9D9" w:themeFill="background1" w:themeFillShade="D9"/>
          </w:tcPr>
          <w:p w14:paraId="6CA9FB1D" w14:textId="17A434D6" w:rsidR="00D573E3" w:rsidRPr="00930562" w:rsidRDefault="00D573E3" w:rsidP="0083030A">
            <w:pPr>
              <w:spacing w:after="240"/>
              <w:ind w:left="288" w:right="288"/>
              <w:jc w:val="both"/>
              <w:rPr>
                <w:rFonts w:asciiTheme="majorHAnsi" w:hAnsiTheme="majorHAnsi"/>
                <w:lang w:val="es-US"/>
              </w:rPr>
            </w:pPr>
            <w:r w:rsidRPr="00930562">
              <w:rPr>
                <w:rFonts w:asciiTheme="majorHAnsi" w:hAnsiTheme="majorHAnsi"/>
                <w:lang w:val="es-US"/>
              </w:rPr>
              <w:br/>
              <w:t xml:space="preserve">Cuando pierdes un hijo, es el hecho más devastador que te puede ocurrir en toda tu vida. Pero cuando pierdes un hijo producto de la violencia policial se quiebra el contrato social, destruyendo tu comprensión cotidiana y tu fe en tu país. El grado de traición es tan horrible que literalmente cambia tu ADN. Perder a un hijo de esta manera te deja desamparado y sin esperanza. Pierdes tu deseo de vivir y luchas todos los días por existir [. . . .] Comparto esto con ustedes porque quiero que entiendan que cuando nuestros hijos son asesinados injustamente por la policía por el color de su piel, el caos que sufren nuestras familias [. . . .] es como un poderoso tsunami que destroza a tu familia a pedazos. La muerte de Clinton ha reducido al padre de Clinton ala mitad del hombre que una vez fue. Su abuela literalmente murió con el corazón roto a los 69 años. </w:t>
            </w:r>
          </w:p>
          <w:p w14:paraId="5287F7D1" w14:textId="29716224" w:rsidR="00D573E3" w:rsidRPr="00930562" w:rsidRDefault="00D573E3" w:rsidP="0083030A">
            <w:pPr>
              <w:spacing w:after="240"/>
              <w:ind w:left="288" w:right="288"/>
              <w:jc w:val="both"/>
              <w:rPr>
                <w:rFonts w:asciiTheme="majorHAnsi" w:hAnsiTheme="majorHAnsi"/>
                <w:lang w:val="es-US"/>
              </w:rPr>
            </w:pPr>
            <w:r w:rsidRPr="00930562">
              <w:rPr>
                <w:rFonts w:asciiTheme="majorHAnsi" w:hAnsiTheme="majorHAnsi"/>
                <w:lang w:val="es-US"/>
              </w:rPr>
              <w:t>¿Puedes imaginarte lo que es que te digan que tendrás que vivir con el hecho de que tu hijo ya no está y que nadie va a ayudarte a obtener justicia porque su asesino es un policía?</w:t>
            </w:r>
            <w:r w:rsidRPr="00930562">
              <w:rPr>
                <w:vertAlign w:val="superscript"/>
                <w:lang w:val="es-US"/>
              </w:rPr>
              <w:footnoteReference w:id="224"/>
            </w:r>
          </w:p>
        </w:tc>
      </w:tr>
    </w:tbl>
    <w:p w14:paraId="7DEEF610" w14:textId="77777777" w:rsidR="00D573E3" w:rsidRPr="00930562" w:rsidRDefault="00D573E3" w:rsidP="00177AAB">
      <w:pPr>
        <w:spacing w:after="0" w:line="240" w:lineRule="auto"/>
        <w:jc w:val="both"/>
        <w:rPr>
          <w:rFonts w:asciiTheme="majorHAnsi" w:hAnsiTheme="majorHAnsi"/>
          <w:lang w:val="es-US"/>
        </w:rPr>
      </w:pPr>
    </w:p>
    <w:p w14:paraId="3BBACAA8" w14:textId="2B7F1C8C"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En la misma audiencia, Sara Mokuria, hija de Tesfaye Mokuria (asesinado en 1993 en su propia casa por policías</w:t>
      </w:r>
      <w:r w:rsidR="00153E0D" w:rsidRPr="00930562">
        <w:rPr>
          <w:rFonts w:asciiTheme="majorHAnsi" w:hAnsiTheme="majorHAnsi"/>
          <w:lang w:val="es-US"/>
        </w:rPr>
        <w:t xml:space="preserve"> de Dallas</w:t>
      </w:r>
      <w:r w:rsidRPr="00930562">
        <w:rPr>
          <w:rFonts w:asciiTheme="majorHAnsi" w:hAnsiTheme="majorHAnsi"/>
          <w:lang w:val="es-US"/>
        </w:rPr>
        <w:t xml:space="preserve">) y cofundadora de Madres contra la Brutalidad Policial, expresó: </w:t>
      </w:r>
    </w:p>
    <w:tbl>
      <w:tblPr>
        <w:tblStyle w:val="TableGrid"/>
        <w:tblW w:w="0" w:type="auto"/>
        <w:jc w:val="right"/>
        <w:tblLook w:val="04A0" w:firstRow="1" w:lastRow="0" w:firstColumn="1" w:lastColumn="0" w:noHBand="0" w:noVBand="1"/>
      </w:tblPr>
      <w:tblGrid>
        <w:gridCol w:w="7848"/>
      </w:tblGrid>
      <w:tr w:rsidR="00D573E3" w:rsidRPr="00930562" w14:paraId="4187DBFF" w14:textId="77777777" w:rsidTr="0083030A">
        <w:trPr>
          <w:jc w:val="right"/>
        </w:trPr>
        <w:tc>
          <w:tcPr>
            <w:tcW w:w="8406" w:type="dxa"/>
            <w:shd w:val="clear" w:color="auto" w:fill="D9D9D9" w:themeFill="background1" w:themeFillShade="D9"/>
          </w:tcPr>
          <w:p w14:paraId="4AF7DBEE" w14:textId="49095BC7" w:rsidR="00D573E3" w:rsidRPr="00930562" w:rsidRDefault="00D573E3" w:rsidP="0083030A">
            <w:pPr>
              <w:spacing w:after="240"/>
              <w:ind w:left="288" w:right="288"/>
              <w:jc w:val="both"/>
              <w:rPr>
                <w:rFonts w:asciiTheme="majorHAnsi" w:hAnsiTheme="majorHAnsi"/>
                <w:lang w:val="es-US"/>
              </w:rPr>
            </w:pPr>
            <w:r w:rsidRPr="00930562">
              <w:rPr>
                <w:rFonts w:asciiTheme="majorHAnsi" w:hAnsiTheme="majorHAnsi"/>
                <w:lang w:val="es-US"/>
              </w:rPr>
              <w:lastRenderedPageBreak/>
              <w:br/>
              <w:t xml:space="preserve">Mi padre no falleció. Él fue asesinado frente a toda nuestra familia por policías de Dallas que todavía están en la fuerza policial de Dallas. Yo tenía diez años cuando vi caer su cuerpo, acribillado a balazos. Estaba parada detrás de él. Vi como la sangre brotaba de su boca, mientras mi madre, que sostenía a mi hermana de un año en una mano, agarró el pie de mi padre con la otra mano y gemía y lloraba. Yo, desde mi inocente infancia, le pedí al oficial que llamara al 911 para ayudarlo. El oficial me indicó que me quitara el pijama y me pusiera ropa, me subieron al automóvil de un oficial y me dijeron que no podría ver a mi madre hasta que hiciera una declaración. No pude ver a mi madre y mi hermana durante horas. Mi madre luchó durante dos años para que mi hermana y yo fuéramos consideradas elegibles de recibir sesiones de terapia a través del Programa de Compensación para Víctimas del Crimen. Los amigos de mi madre limpiaron la sangre de mi padre y repararon las alfombras en nuestros hogares, porque la mayoría de la gente no sabe que las familias desconsoladas y en duelo no sólo deben identificar los cuerpos sin vida de sus seres queridos, sino también limpiar la sangre salpicada a través de las escenas de crímenes de nuestros hogares. </w:t>
            </w:r>
          </w:p>
          <w:p w14:paraId="0A9998CE" w14:textId="6C6BD66B" w:rsidR="00D573E3" w:rsidRPr="00930562" w:rsidRDefault="00D573E3" w:rsidP="0083030A">
            <w:pPr>
              <w:spacing w:after="240"/>
              <w:ind w:left="288" w:right="288"/>
              <w:jc w:val="both"/>
              <w:rPr>
                <w:rFonts w:asciiTheme="majorHAnsi" w:hAnsiTheme="majorHAnsi"/>
                <w:lang w:val="es-US"/>
              </w:rPr>
            </w:pPr>
            <w:r w:rsidRPr="00930562">
              <w:rPr>
                <w:rFonts w:asciiTheme="majorHAnsi" w:hAnsiTheme="majorHAnsi"/>
                <w:lang w:val="es-US"/>
              </w:rPr>
              <w:t>Es difícil explicar cómo este trauma impactó a mi familia y mi vida. Literalmente me formó en la mujer que soy hoy. Me sobresalto al escuchar ruidos fuertes cuando la gente se me acerca demasiado rápido. Me asusta. La mayoría de las personas piensan que es gracioso, pero es un síntoma de estrés postraumático. Este tipo de trauma ha afectado todo, desde mi memoria hasta mi salud física. El impacto físico, emocional, económico y social en las familias es inconmensurable. El trauma se propaga por toda la comunidad.</w:t>
            </w:r>
            <w:r w:rsidRPr="00930562">
              <w:rPr>
                <w:vertAlign w:val="superscript"/>
                <w:lang w:val="es-US"/>
              </w:rPr>
              <w:footnoteReference w:id="225"/>
            </w:r>
            <w:r w:rsidRPr="00930562">
              <w:rPr>
                <w:rFonts w:asciiTheme="majorHAnsi" w:hAnsiTheme="majorHAnsi"/>
                <w:lang w:val="es-US"/>
              </w:rPr>
              <w:t xml:space="preserve"> </w:t>
            </w:r>
          </w:p>
        </w:tc>
      </w:tr>
    </w:tbl>
    <w:p w14:paraId="7DCEB566" w14:textId="77777777" w:rsidR="00D573E3" w:rsidRPr="00930562" w:rsidRDefault="00D573E3" w:rsidP="00177AAB">
      <w:pPr>
        <w:spacing w:after="0" w:line="240" w:lineRule="auto"/>
        <w:jc w:val="both"/>
        <w:rPr>
          <w:rFonts w:asciiTheme="majorHAnsi" w:hAnsiTheme="majorHAnsi"/>
          <w:lang w:val="es-US"/>
        </w:rPr>
      </w:pPr>
    </w:p>
    <w:p w14:paraId="16E93911" w14:textId="686BAA45"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La Comisión además toma nota de la muerte de Erica Garner, hija de Eric Garner, el 30 de diciembre de 2017 debido a causas potencialmente relacionadas con la muerte de su padre. Erica Garner tenía 27 años y, según lo informado, murió una semana después de ser inducida a un</w:t>
      </w:r>
      <w:r w:rsidR="001E688B" w:rsidRPr="00930562">
        <w:rPr>
          <w:rFonts w:asciiTheme="majorHAnsi" w:hAnsiTheme="majorHAnsi"/>
          <w:lang w:val="es-US"/>
        </w:rPr>
        <w:t>a</w:t>
      </w:r>
      <w:r w:rsidRPr="00930562">
        <w:rPr>
          <w:rFonts w:asciiTheme="majorHAnsi" w:hAnsiTheme="majorHAnsi"/>
          <w:lang w:val="es-US"/>
        </w:rPr>
        <w:t xml:space="preserve"> coma tras un episodio que precipitó un fuerte ataque cardíaco.</w:t>
      </w:r>
      <w:r w:rsidRPr="00930562">
        <w:rPr>
          <w:rFonts w:asciiTheme="majorHAnsi" w:hAnsiTheme="majorHAnsi"/>
          <w:vertAlign w:val="superscript"/>
          <w:lang w:val="es-US"/>
        </w:rPr>
        <w:footnoteReference w:id="226"/>
      </w:r>
      <w:r w:rsidRPr="00930562">
        <w:rPr>
          <w:rFonts w:asciiTheme="majorHAnsi" w:hAnsiTheme="majorHAnsi"/>
          <w:lang w:val="es-US"/>
        </w:rPr>
        <w:t xml:space="preserve"> La Comisión supo que ese mes ella se había referido públicamente al estrés que había experimentado en su lucha por la justicia racial; ella había dicho: "Est</w:t>
      </w:r>
      <w:r w:rsidR="00153E0D" w:rsidRPr="00930562">
        <w:rPr>
          <w:rFonts w:asciiTheme="majorHAnsi" w:hAnsiTheme="majorHAnsi"/>
          <w:lang w:val="es-US"/>
        </w:rPr>
        <w:t xml:space="preserve">a situación te </w:t>
      </w:r>
      <w:r w:rsidR="001E688B" w:rsidRPr="00930562">
        <w:rPr>
          <w:rFonts w:asciiTheme="majorHAnsi" w:hAnsiTheme="majorHAnsi"/>
          <w:lang w:val="es-US"/>
        </w:rPr>
        <w:t>golpea y reduce</w:t>
      </w:r>
      <w:r w:rsidR="00153E0D" w:rsidRPr="00930562">
        <w:rPr>
          <w:rFonts w:asciiTheme="majorHAnsi" w:hAnsiTheme="majorHAnsi"/>
          <w:lang w:val="es-US"/>
        </w:rPr>
        <w:t>.</w:t>
      </w:r>
      <w:r w:rsidRPr="00930562">
        <w:rPr>
          <w:rFonts w:asciiTheme="majorHAnsi" w:hAnsiTheme="majorHAnsi"/>
          <w:lang w:val="es-US"/>
        </w:rPr>
        <w:t xml:space="preserve"> El sistema te golpea hasta lugares donde no puedes ganar".</w:t>
      </w:r>
      <w:r w:rsidRPr="00930562">
        <w:rPr>
          <w:rFonts w:asciiTheme="majorHAnsi" w:hAnsiTheme="majorHAnsi"/>
          <w:vertAlign w:val="superscript"/>
          <w:lang w:val="es-US"/>
        </w:rPr>
        <w:footnoteReference w:id="227"/>
      </w:r>
    </w:p>
    <w:p w14:paraId="67506FEC" w14:textId="0570190C"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lang w:val="es-US"/>
        </w:rPr>
      </w:pPr>
      <w:bookmarkStart w:id="95" w:name="_Ref507429069"/>
      <w:r w:rsidRPr="00930562">
        <w:rPr>
          <w:rFonts w:asciiTheme="majorHAnsi" w:eastAsia="Times New Roman" w:hAnsiTheme="majorHAnsi"/>
          <w:lang w:val="es-US" w:eastAsia="es-ES"/>
        </w:rPr>
        <w:lastRenderedPageBreak/>
        <w:t>La Comisión ha recibido información que indica que el papel que desempeñan los grandes jurados y fiscales en el sistema de justicia penal podría estar agravando los problemas de impunidad policial. Si bien la evidencia sobre el papel de los grandes jurados difiere, las investigaciones han concluido que el carácter privado</w:t>
      </w:r>
      <w:r w:rsidR="00153E0D" w:rsidRPr="00930562">
        <w:rPr>
          <w:rFonts w:asciiTheme="majorHAnsi" w:eastAsia="Times New Roman" w:hAnsiTheme="majorHAnsi"/>
          <w:lang w:val="es-US" w:eastAsia="es-ES"/>
        </w:rPr>
        <w:t>,</w:t>
      </w:r>
      <w:r w:rsidRPr="00930562">
        <w:rPr>
          <w:rFonts w:asciiTheme="majorHAnsi" w:eastAsia="Times New Roman" w:hAnsiTheme="majorHAnsi"/>
          <w:lang w:val="es-US" w:eastAsia="es-ES"/>
        </w:rPr>
        <w:t xml:space="preserve"> propio de los grandes jurados y deliberaciones, la </w:t>
      </w:r>
      <w:r w:rsidRPr="00930562">
        <w:rPr>
          <w:rFonts w:asciiTheme="majorHAnsi" w:hAnsiTheme="majorHAnsi"/>
          <w:lang w:val="es-US"/>
        </w:rPr>
        <w:t xml:space="preserve">ausencia de procesos de selección transparentes, la falta de diversidad en los grupos de jurados y el papel de los fiscales en guiar el proceso del gran jurado e instruir sobre la ley son factores que </w:t>
      </w:r>
      <w:r w:rsidR="00153E0D" w:rsidRPr="00930562">
        <w:rPr>
          <w:rFonts w:asciiTheme="majorHAnsi" w:hAnsiTheme="majorHAnsi"/>
          <w:lang w:val="es-US"/>
        </w:rPr>
        <w:t>pueden impactar</w:t>
      </w:r>
      <w:r w:rsidRPr="00930562">
        <w:rPr>
          <w:rFonts w:asciiTheme="majorHAnsi" w:hAnsiTheme="majorHAnsi"/>
          <w:lang w:val="es-US"/>
        </w:rPr>
        <w:t xml:space="preserve"> la probabilidad de que un gran jurado decida no aplicar cargos penales contra agentes de policía en casos de homicidios.</w:t>
      </w:r>
      <w:r w:rsidRPr="00930562">
        <w:rPr>
          <w:rFonts w:asciiTheme="majorHAnsi" w:hAnsiTheme="majorHAnsi"/>
          <w:vertAlign w:val="superscript"/>
          <w:lang w:val="es-US"/>
        </w:rPr>
        <w:footnoteReference w:id="228"/>
      </w:r>
      <w:r w:rsidRPr="00930562">
        <w:rPr>
          <w:rFonts w:asciiTheme="majorHAnsi" w:hAnsiTheme="majorHAnsi"/>
          <w:lang w:val="es-US"/>
        </w:rPr>
        <w:t xml:space="preserve"> Si bien no hay datos nacionales y estudios sistemáticos de este fenómeno, una investigación descubrió, por ejemplo, que durante un período de cuatro años los grandes jurados en Dallas, Texas, se negaron a procesar a 174 de los 175 policías que estaban siendo investigados.</w:t>
      </w:r>
      <w:r w:rsidRPr="00930562">
        <w:rPr>
          <w:rFonts w:asciiTheme="majorHAnsi" w:hAnsiTheme="majorHAnsi"/>
          <w:vertAlign w:val="superscript"/>
          <w:lang w:val="es-US"/>
        </w:rPr>
        <w:footnoteReference w:id="229"/>
      </w:r>
      <w:bookmarkEnd w:id="95"/>
      <w:r w:rsidRPr="00930562">
        <w:rPr>
          <w:rFonts w:asciiTheme="majorHAnsi" w:hAnsiTheme="majorHAnsi"/>
          <w:lang w:val="es-US"/>
        </w:rPr>
        <w:t xml:space="preserve"> </w:t>
      </w:r>
    </w:p>
    <w:p w14:paraId="78CD8E53" w14:textId="5BE1D375"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lang w:val="es-US"/>
        </w:rPr>
      </w:pPr>
      <w:bookmarkStart w:id="96" w:name="_Ref507429070"/>
      <w:r w:rsidRPr="00930562">
        <w:rPr>
          <w:rFonts w:asciiTheme="majorHAnsi" w:hAnsiTheme="majorHAnsi"/>
          <w:lang w:val="es-US"/>
        </w:rPr>
        <w:t xml:space="preserve">Con respecto al rol de los fiscales, la Comisión ha recibido información de la sociedad civil que indica que "los fiscales cuyos trabajos dependen de tener buenas relaciones con la policía para realizar su tarea de manera efectiva son reacios a presentar cargos y utilizan una serie de tácticas, como el uso de procesos de </w:t>
      </w:r>
      <w:r w:rsidR="00153E0D" w:rsidRPr="00930562">
        <w:rPr>
          <w:rFonts w:asciiTheme="majorHAnsi" w:hAnsiTheme="majorHAnsi"/>
          <w:lang w:val="es-US"/>
        </w:rPr>
        <w:t xml:space="preserve">gran </w:t>
      </w:r>
      <w:r w:rsidRPr="00930562">
        <w:rPr>
          <w:rFonts w:asciiTheme="majorHAnsi" w:hAnsiTheme="majorHAnsi"/>
          <w:lang w:val="es-US"/>
        </w:rPr>
        <w:t xml:space="preserve">jurado deficientes, acuerdos ventajosos y recomendaciones de sentencias desproporcionadamente bajas- para blindar a la policía de </w:t>
      </w:r>
      <w:r w:rsidR="00153E0D" w:rsidRPr="00930562">
        <w:rPr>
          <w:rFonts w:asciiTheme="majorHAnsi" w:hAnsiTheme="majorHAnsi"/>
          <w:lang w:val="es-US"/>
        </w:rPr>
        <w:t>tod</w:t>
      </w:r>
      <w:r w:rsidRPr="00930562">
        <w:rPr>
          <w:rFonts w:asciiTheme="majorHAnsi" w:hAnsiTheme="majorHAnsi"/>
          <w:lang w:val="es-US"/>
        </w:rPr>
        <w:t>a responsabilidad.”</w:t>
      </w:r>
      <w:r w:rsidRPr="00930562">
        <w:rPr>
          <w:rFonts w:asciiTheme="majorHAnsi" w:hAnsiTheme="majorHAnsi"/>
          <w:vertAlign w:val="superscript"/>
          <w:lang w:val="es-US"/>
        </w:rPr>
        <w:footnoteReference w:id="230"/>
      </w:r>
      <w:r w:rsidRPr="00930562">
        <w:rPr>
          <w:rFonts w:asciiTheme="majorHAnsi" w:hAnsiTheme="majorHAnsi"/>
          <w:lang w:val="es-US"/>
        </w:rPr>
        <w:t xml:space="preserve"> Información disponible indica que debido a que el inicio de una investigación criminal depende de la discrecionalidad </w:t>
      </w:r>
      <w:r w:rsidR="00153E0D" w:rsidRPr="00930562">
        <w:rPr>
          <w:rFonts w:asciiTheme="majorHAnsi" w:hAnsiTheme="majorHAnsi"/>
          <w:lang w:val="es-US"/>
        </w:rPr>
        <w:t>de la fiscalía</w:t>
      </w:r>
      <w:r w:rsidRPr="00930562">
        <w:rPr>
          <w:rFonts w:asciiTheme="majorHAnsi" w:hAnsiTheme="majorHAnsi"/>
          <w:lang w:val="es-US"/>
        </w:rPr>
        <w:t xml:space="preserve">, "la cual </w:t>
      </w:r>
      <w:r w:rsidR="00153E0D" w:rsidRPr="00930562">
        <w:rPr>
          <w:rFonts w:asciiTheme="majorHAnsi" w:hAnsiTheme="majorHAnsi"/>
          <w:lang w:val="es-US"/>
        </w:rPr>
        <w:t xml:space="preserve">a </w:t>
      </w:r>
      <w:r w:rsidRPr="00930562">
        <w:rPr>
          <w:rFonts w:asciiTheme="majorHAnsi" w:hAnsiTheme="majorHAnsi"/>
          <w:lang w:val="es-US"/>
        </w:rPr>
        <w:t>menudo se ve afectada por restricciones de recursos, presión de los sindicatos policiales y parcialidad a favor de la policía debido a la relación de trabajo entre fiscales y funcionarios", es menos probable que los fiscales presenten cargos contra policías en comparación con civiles.</w:t>
      </w:r>
      <w:r w:rsidRPr="00930562">
        <w:rPr>
          <w:rFonts w:asciiTheme="majorHAnsi" w:hAnsiTheme="majorHAnsi"/>
          <w:vertAlign w:val="superscript"/>
          <w:lang w:val="es-US"/>
        </w:rPr>
        <w:footnoteReference w:id="231"/>
      </w:r>
      <w:r w:rsidRPr="00930562">
        <w:rPr>
          <w:rFonts w:asciiTheme="majorHAnsi" w:hAnsiTheme="majorHAnsi"/>
          <w:lang w:val="es-US"/>
        </w:rPr>
        <w:t xml:space="preserve"> Adicionalmente, información disponible </w:t>
      </w:r>
      <w:r w:rsidR="00153E0D" w:rsidRPr="00930562">
        <w:rPr>
          <w:rFonts w:asciiTheme="majorHAnsi" w:hAnsiTheme="majorHAnsi"/>
          <w:lang w:val="es-US"/>
        </w:rPr>
        <w:t>indica que</w:t>
      </w:r>
      <w:r w:rsidRPr="00930562">
        <w:rPr>
          <w:rFonts w:asciiTheme="majorHAnsi" w:hAnsiTheme="majorHAnsi"/>
          <w:lang w:val="es-US"/>
        </w:rPr>
        <w:t xml:space="preserve"> la dificultad de poder probar cargos penales contra </w:t>
      </w:r>
      <w:r w:rsidRPr="00930562">
        <w:rPr>
          <w:rFonts w:asciiTheme="majorHAnsi" w:hAnsiTheme="majorHAnsi"/>
          <w:lang w:val="es-US"/>
        </w:rPr>
        <w:lastRenderedPageBreak/>
        <w:t xml:space="preserve">policías y las usualmente breves sentencias dictadas en caso de </w:t>
      </w:r>
      <w:r w:rsidR="00153E0D" w:rsidRPr="00930562">
        <w:rPr>
          <w:rFonts w:asciiTheme="majorHAnsi" w:hAnsiTheme="majorHAnsi"/>
          <w:lang w:val="es-US"/>
        </w:rPr>
        <w:t xml:space="preserve">existir </w:t>
      </w:r>
      <w:r w:rsidRPr="00930562">
        <w:rPr>
          <w:rFonts w:asciiTheme="majorHAnsi" w:hAnsiTheme="majorHAnsi"/>
          <w:lang w:val="es-US"/>
        </w:rPr>
        <w:t>condena</w:t>
      </w:r>
      <w:r w:rsidR="00153E0D" w:rsidRPr="00930562">
        <w:rPr>
          <w:rFonts w:asciiTheme="majorHAnsi" w:hAnsiTheme="majorHAnsi"/>
          <w:lang w:val="es-US"/>
        </w:rPr>
        <w:t>, fallan en</w:t>
      </w:r>
      <w:r w:rsidRPr="00930562">
        <w:rPr>
          <w:rFonts w:asciiTheme="majorHAnsi" w:hAnsiTheme="majorHAnsi"/>
          <w:lang w:val="es-US"/>
        </w:rPr>
        <w:t xml:space="preserve"> disuadir la violencia policial.</w:t>
      </w:r>
      <w:r w:rsidRPr="00930562">
        <w:rPr>
          <w:rFonts w:asciiTheme="majorHAnsi" w:hAnsiTheme="majorHAnsi"/>
          <w:vertAlign w:val="superscript"/>
          <w:lang w:val="es-US"/>
        </w:rPr>
        <w:footnoteReference w:id="232"/>
      </w:r>
      <w:bookmarkEnd w:id="96"/>
    </w:p>
    <w:p w14:paraId="462A2EB4" w14:textId="341C3D7E"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lang w:val="es-US"/>
        </w:rPr>
      </w:pPr>
      <w:bookmarkStart w:id="97" w:name="_Ref507429434"/>
      <w:r w:rsidRPr="00930562">
        <w:rPr>
          <w:rFonts w:asciiTheme="majorHAnsi" w:hAnsiTheme="majorHAnsi"/>
          <w:lang w:val="es-US"/>
        </w:rPr>
        <w:t>La Comisión afirma que las áreas de asuntos internos de los departamentos policiales constituyen importantes mecanismos de control y contribuyen a la recopilación de estadísticas oficiales sobre denuncias disciplinarias; sin embargo, ha recibido información que indica que las investigaciones internas sobre homicidios policiales tienden a ser soluciones ineficaces en la práctica, ya que son costosas, prolongadas y no transparentes.</w:t>
      </w:r>
      <w:r w:rsidRPr="00930562">
        <w:rPr>
          <w:rFonts w:asciiTheme="majorHAnsi" w:hAnsiTheme="majorHAnsi"/>
          <w:vertAlign w:val="superscript"/>
          <w:lang w:val="es-US"/>
        </w:rPr>
        <w:footnoteReference w:id="233"/>
      </w:r>
      <w:r w:rsidRPr="00930562">
        <w:rPr>
          <w:rFonts w:asciiTheme="majorHAnsi" w:hAnsiTheme="majorHAnsi"/>
          <w:lang w:val="es-US"/>
        </w:rPr>
        <w:t xml:space="preserve"> En particular, las investigaciones internas rara vez ofrecen resultados positivos para las víctimas. Por ejemplo, información de la Oficina de Estadísticas Judiciales indica que el 92 por ciento de las denuncias por el uso de fuerza presentadas ante grandes agencias </w:t>
      </w:r>
      <w:r w:rsidR="00B83C8B" w:rsidRPr="00930562">
        <w:rPr>
          <w:rFonts w:asciiTheme="majorHAnsi" w:hAnsiTheme="majorHAnsi"/>
          <w:lang w:val="es-US"/>
        </w:rPr>
        <w:t xml:space="preserve">de control </w:t>
      </w:r>
      <w:r w:rsidRPr="00930562">
        <w:rPr>
          <w:rFonts w:asciiTheme="majorHAnsi" w:hAnsiTheme="majorHAnsi"/>
          <w:lang w:val="es-US"/>
        </w:rPr>
        <w:t>estatales y locales fueron desestimadas.</w:t>
      </w:r>
      <w:r w:rsidRPr="00930562">
        <w:rPr>
          <w:rFonts w:asciiTheme="majorHAnsi" w:hAnsiTheme="majorHAnsi"/>
          <w:vertAlign w:val="superscript"/>
          <w:lang w:val="es-US"/>
        </w:rPr>
        <w:footnoteReference w:id="234"/>
      </w:r>
      <w:r w:rsidRPr="00930562">
        <w:rPr>
          <w:rFonts w:asciiTheme="majorHAnsi" w:hAnsiTheme="majorHAnsi"/>
          <w:lang w:val="es-US"/>
        </w:rPr>
        <w:t xml:space="preserve"> Muchos departamentos de policía municipal</w:t>
      </w:r>
      <w:r w:rsidR="00B83C8B" w:rsidRPr="00930562">
        <w:rPr>
          <w:rFonts w:asciiTheme="majorHAnsi" w:hAnsiTheme="majorHAnsi"/>
          <w:lang w:val="es-US"/>
        </w:rPr>
        <w:t>es</w:t>
      </w:r>
      <w:r w:rsidRPr="00930562">
        <w:rPr>
          <w:rFonts w:asciiTheme="majorHAnsi" w:hAnsiTheme="majorHAnsi"/>
          <w:lang w:val="es-US"/>
        </w:rPr>
        <w:t xml:space="preserve"> en los EE.UU. ni siquiera tienen un departamento de asuntos internos independiente.</w:t>
      </w:r>
      <w:r w:rsidRPr="00930562">
        <w:rPr>
          <w:rFonts w:asciiTheme="majorHAnsi" w:hAnsiTheme="majorHAnsi"/>
          <w:vertAlign w:val="superscript"/>
          <w:lang w:val="es-US"/>
        </w:rPr>
        <w:footnoteReference w:id="235"/>
      </w:r>
      <w:r w:rsidRPr="00930562">
        <w:rPr>
          <w:rFonts w:asciiTheme="majorHAnsi" w:hAnsiTheme="majorHAnsi"/>
          <w:lang w:val="es-US"/>
        </w:rPr>
        <w:t xml:space="preserve"> A nivel estatal, </w:t>
      </w:r>
      <w:r w:rsidR="00B83C8B" w:rsidRPr="00930562">
        <w:rPr>
          <w:rFonts w:asciiTheme="majorHAnsi" w:hAnsiTheme="majorHAnsi"/>
          <w:lang w:val="es-US"/>
        </w:rPr>
        <w:t>la ley limita</w:t>
      </w:r>
      <w:r w:rsidRPr="00930562">
        <w:rPr>
          <w:rFonts w:asciiTheme="majorHAnsi" w:hAnsiTheme="majorHAnsi"/>
          <w:lang w:val="es-US"/>
        </w:rPr>
        <w:t xml:space="preserve"> el tiempo, el lugar y la forma de presentar las denuncias y las agencias policiales desalientan dichos informes.</w:t>
      </w:r>
      <w:r w:rsidRPr="00930562">
        <w:rPr>
          <w:rFonts w:asciiTheme="majorHAnsi" w:hAnsiTheme="majorHAnsi"/>
          <w:vertAlign w:val="superscript"/>
          <w:lang w:val="es-US"/>
        </w:rPr>
        <w:footnoteReference w:id="236"/>
      </w:r>
      <w:r w:rsidRPr="00930562">
        <w:rPr>
          <w:rFonts w:asciiTheme="majorHAnsi" w:hAnsiTheme="majorHAnsi"/>
          <w:lang w:val="es-US"/>
        </w:rPr>
        <w:t xml:space="preserve"> Las investigaciones internas también pueden verse obstaculizadas por problemas con los testigos y la cultura del secreto propia de los departamentos.</w:t>
      </w:r>
      <w:r w:rsidRPr="00930562">
        <w:rPr>
          <w:rFonts w:asciiTheme="majorHAnsi" w:hAnsiTheme="majorHAnsi"/>
          <w:vertAlign w:val="superscript"/>
          <w:lang w:val="es-US"/>
        </w:rPr>
        <w:footnoteReference w:id="237"/>
      </w:r>
      <w:r w:rsidRPr="00930562">
        <w:rPr>
          <w:rFonts w:asciiTheme="majorHAnsi" w:hAnsiTheme="majorHAnsi"/>
          <w:lang w:val="es-US"/>
        </w:rPr>
        <w:t xml:space="preserve"> En algunos estados, los policías gozan de protecciones especiales en las investigaciones por mal comportamiento.</w:t>
      </w:r>
      <w:r w:rsidRPr="00930562">
        <w:rPr>
          <w:rFonts w:asciiTheme="majorHAnsi" w:hAnsiTheme="majorHAnsi"/>
          <w:vertAlign w:val="superscript"/>
          <w:lang w:val="es-US"/>
        </w:rPr>
        <w:footnoteReference w:id="238"/>
      </w:r>
      <w:r w:rsidRPr="00930562">
        <w:rPr>
          <w:rFonts w:asciiTheme="majorHAnsi" w:hAnsiTheme="majorHAnsi"/>
          <w:lang w:val="es-US"/>
        </w:rPr>
        <w:t xml:space="preserve"> Estas cuestiones se examinan con más detalle en el Capítulo </w:t>
      </w:r>
      <w:r w:rsidR="001E688B" w:rsidRPr="00930562">
        <w:rPr>
          <w:rFonts w:asciiTheme="majorHAnsi" w:hAnsiTheme="majorHAnsi"/>
          <w:lang w:val="es-US"/>
        </w:rPr>
        <w:t>3</w:t>
      </w:r>
      <w:r w:rsidRPr="00930562">
        <w:rPr>
          <w:rFonts w:asciiTheme="majorHAnsi" w:hAnsiTheme="majorHAnsi"/>
          <w:lang w:val="es-US"/>
        </w:rPr>
        <w:t xml:space="preserve">.  </w:t>
      </w:r>
      <w:bookmarkEnd w:id="97"/>
    </w:p>
    <w:p w14:paraId="6F411613" w14:textId="6A19805C"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lang w:val="es-US"/>
        </w:rPr>
      </w:pPr>
      <w:bookmarkStart w:id="98" w:name="_Ref511222838"/>
      <w:r w:rsidRPr="00930562">
        <w:rPr>
          <w:rFonts w:asciiTheme="majorHAnsi" w:hAnsiTheme="majorHAnsi"/>
          <w:lang w:val="es-US"/>
        </w:rPr>
        <w:t xml:space="preserve">La Comisión ha recibido información acerca del papel y el funcionamiento de los mecanismos civiles de supervisión para monitorear a la policía, lo cual puede involucrar a la comunidad en la rendición de cuentas policial y </w:t>
      </w:r>
      <w:r w:rsidRPr="00930562">
        <w:rPr>
          <w:rFonts w:asciiTheme="majorHAnsi" w:hAnsiTheme="majorHAnsi"/>
          <w:lang w:val="es-US"/>
        </w:rPr>
        <w:lastRenderedPageBreak/>
        <w:t xml:space="preserve">garantizar mayor independencia </w:t>
      </w:r>
      <w:r w:rsidR="00837AD3" w:rsidRPr="00930562">
        <w:rPr>
          <w:rFonts w:asciiTheme="majorHAnsi" w:hAnsiTheme="majorHAnsi"/>
          <w:lang w:val="es-US"/>
        </w:rPr>
        <w:t xml:space="preserve">de los departamentos de asuntos internos </w:t>
      </w:r>
      <w:r w:rsidRPr="00930562">
        <w:rPr>
          <w:rFonts w:asciiTheme="majorHAnsi" w:hAnsiTheme="majorHAnsi"/>
          <w:lang w:val="es-US"/>
        </w:rPr>
        <w:t>en la revisión de denuncias contra policías.</w:t>
      </w:r>
      <w:r w:rsidRPr="00930562">
        <w:rPr>
          <w:rFonts w:asciiTheme="majorHAnsi" w:hAnsiTheme="majorHAnsi"/>
          <w:vertAlign w:val="superscript"/>
          <w:lang w:val="es-US"/>
        </w:rPr>
        <w:footnoteReference w:id="239"/>
      </w:r>
      <w:r w:rsidRPr="00930562">
        <w:rPr>
          <w:rFonts w:asciiTheme="majorHAnsi" w:hAnsiTheme="majorHAnsi"/>
          <w:lang w:val="es-US"/>
        </w:rPr>
        <w:t xml:space="preserve"> Un </w:t>
      </w:r>
      <w:r w:rsidR="00837AD3" w:rsidRPr="00930562">
        <w:rPr>
          <w:rFonts w:asciiTheme="majorHAnsi" w:hAnsiTheme="majorHAnsi"/>
          <w:lang w:val="es-US"/>
        </w:rPr>
        <w:t xml:space="preserve">estudio </w:t>
      </w:r>
      <w:r w:rsidRPr="00930562">
        <w:rPr>
          <w:rFonts w:asciiTheme="majorHAnsi" w:hAnsiTheme="majorHAnsi"/>
          <w:lang w:val="es-US"/>
        </w:rPr>
        <w:t>indicó que “algún tipo de supervisión civil es probablemente la mejor manera de obtener legitimidad con la comunidad, independientemente de que los sistemas internos para gestionar las denuncias de la policía también puedan ser efectivos.”</w:t>
      </w:r>
      <w:r w:rsidRPr="00930562">
        <w:rPr>
          <w:rFonts w:asciiTheme="majorHAnsi" w:hAnsiTheme="majorHAnsi"/>
          <w:vertAlign w:val="superscript"/>
          <w:lang w:val="es-US"/>
        </w:rPr>
        <w:footnoteReference w:id="240"/>
      </w:r>
      <w:r w:rsidRPr="00930562">
        <w:rPr>
          <w:rFonts w:asciiTheme="majorHAnsi" w:hAnsiTheme="majorHAnsi"/>
          <w:lang w:val="es-US"/>
        </w:rPr>
        <w:t xml:space="preserve"> No obstante, los órganos civiles p</w:t>
      </w:r>
      <w:r w:rsidR="00837AD3" w:rsidRPr="00930562">
        <w:rPr>
          <w:rFonts w:asciiTheme="majorHAnsi" w:hAnsiTheme="majorHAnsi"/>
          <w:lang w:val="es-US"/>
        </w:rPr>
        <w:t>ueden</w:t>
      </w:r>
      <w:r w:rsidRPr="00930562">
        <w:rPr>
          <w:rFonts w:asciiTheme="majorHAnsi" w:hAnsiTheme="majorHAnsi"/>
          <w:lang w:val="es-US"/>
        </w:rPr>
        <w:t xml:space="preserve"> estar limitados por la imparcialidad y la capacidad de sus miembros, así como también por la influencia oficial y la autoridad de la junta directiva </w:t>
      </w:r>
      <w:r w:rsidR="00837AD3" w:rsidRPr="00930562">
        <w:rPr>
          <w:rFonts w:asciiTheme="majorHAnsi" w:hAnsiTheme="majorHAnsi"/>
          <w:lang w:val="es-US"/>
        </w:rPr>
        <w:t>frente</w:t>
      </w:r>
      <w:r w:rsidRPr="00930562">
        <w:rPr>
          <w:rFonts w:asciiTheme="majorHAnsi" w:hAnsiTheme="majorHAnsi"/>
          <w:lang w:val="es-US"/>
        </w:rPr>
        <w:t xml:space="preserve"> al departamento de policía, entre otros factores.</w:t>
      </w:r>
      <w:r w:rsidRPr="00930562">
        <w:rPr>
          <w:rFonts w:asciiTheme="majorHAnsi" w:hAnsiTheme="majorHAnsi"/>
          <w:vertAlign w:val="superscript"/>
          <w:lang w:val="es-US"/>
        </w:rPr>
        <w:footnoteReference w:id="241"/>
      </w:r>
      <w:bookmarkEnd w:id="98"/>
    </w:p>
    <w:p w14:paraId="2EF8D276" w14:textId="76491645"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lang w:val="es-US"/>
        </w:rPr>
      </w:pPr>
      <w:bookmarkStart w:id="99" w:name="_Ref507431642"/>
      <w:r w:rsidRPr="00930562">
        <w:rPr>
          <w:rFonts w:asciiTheme="majorHAnsi" w:hAnsiTheme="majorHAnsi"/>
          <w:lang w:val="es-US"/>
        </w:rPr>
        <w:t>La Comisión ha recibido información sobre los obstáculos que existen para lograr sentencias efectivas de</w:t>
      </w:r>
      <w:r w:rsidR="002A26CF" w:rsidRPr="00930562">
        <w:rPr>
          <w:rFonts w:asciiTheme="majorHAnsi" w:hAnsiTheme="majorHAnsi"/>
          <w:lang w:val="es-US"/>
        </w:rPr>
        <w:t xml:space="preserve">rivadas de </w:t>
      </w:r>
      <w:r w:rsidRPr="00930562">
        <w:rPr>
          <w:rFonts w:asciiTheme="majorHAnsi" w:hAnsiTheme="majorHAnsi"/>
          <w:lang w:val="es-US"/>
        </w:rPr>
        <w:t xml:space="preserve">demandas civiles contra policías, y también información que indica que las demandas civiles en general no suelen ser soluciones efectivas. En general, las víctimas pueden demandar a policías </w:t>
      </w:r>
      <w:r w:rsidR="002A26CF" w:rsidRPr="00930562">
        <w:rPr>
          <w:rFonts w:asciiTheme="majorHAnsi" w:hAnsiTheme="majorHAnsi"/>
          <w:lang w:val="es-US"/>
        </w:rPr>
        <w:t xml:space="preserve">en lo individual </w:t>
      </w:r>
      <w:r w:rsidRPr="00930562">
        <w:rPr>
          <w:rFonts w:asciiTheme="majorHAnsi" w:hAnsiTheme="majorHAnsi"/>
          <w:lang w:val="es-US"/>
        </w:rPr>
        <w:t xml:space="preserve">en sus capacidades personales, departamentos de policía o municipalidades para obtener </w:t>
      </w:r>
      <w:r w:rsidR="002A26CF" w:rsidRPr="00930562">
        <w:rPr>
          <w:rFonts w:asciiTheme="majorHAnsi" w:hAnsiTheme="majorHAnsi"/>
          <w:lang w:val="es-US"/>
        </w:rPr>
        <w:t xml:space="preserve">compensación </w:t>
      </w:r>
      <w:r w:rsidRPr="00930562">
        <w:rPr>
          <w:rFonts w:asciiTheme="majorHAnsi" w:hAnsiTheme="majorHAnsi"/>
          <w:lang w:val="es-US"/>
        </w:rPr>
        <w:t>monetaria debido al uso excesivo de la fuerza. Los demandantes p</w:t>
      </w:r>
      <w:r w:rsidR="002A26CF" w:rsidRPr="00930562">
        <w:rPr>
          <w:rFonts w:asciiTheme="majorHAnsi" w:hAnsiTheme="majorHAnsi"/>
          <w:lang w:val="es-US"/>
        </w:rPr>
        <w:t>uede</w:t>
      </w:r>
      <w:r w:rsidRPr="00930562">
        <w:rPr>
          <w:rFonts w:asciiTheme="majorHAnsi" w:hAnsiTheme="majorHAnsi"/>
          <w:lang w:val="es-US"/>
        </w:rPr>
        <w:t>n enfrentar una serie de obstáculos de procedimiento para presentar una demanda, incluidos los plazos de prescripción, la duración estricta y los requisitos para alegatos, la imposibilidad de contratar un abogado y el temor a represalias por parte de los departamentos de policía.</w:t>
      </w:r>
      <w:r w:rsidRPr="00930562">
        <w:rPr>
          <w:rFonts w:asciiTheme="majorHAnsi" w:hAnsiTheme="majorHAnsi"/>
          <w:vertAlign w:val="superscript"/>
          <w:lang w:val="es-US"/>
        </w:rPr>
        <w:footnoteReference w:id="242"/>
      </w:r>
      <w:r w:rsidRPr="00930562">
        <w:rPr>
          <w:rFonts w:asciiTheme="majorHAnsi" w:hAnsiTheme="majorHAnsi"/>
          <w:lang w:val="es-US"/>
        </w:rPr>
        <w:t xml:space="preserve"> Sin embargo, la evidencia sugiere que los policías raramente son considerados responsables en demandas civiles.</w:t>
      </w:r>
      <w:r w:rsidRPr="00930562">
        <w:rPr>
          <w:rFonts w:asciiTheme="majorHAnsi" w:hAnsiTheme="majorHAnsi"/>
          <w:vertAlign w:val="superscript"/>
          <w:lang w:val="es-US"/>
        </w:rPr>
        <w:t xml:space="preserve"> </w:t>
      </w:r>
      <w:r w:rsidRPr="00930562">
        <w:rPr>
          <w:rFonts w:asciiTheme="majorHAnsi" w:hAnsiTheme="majorHAnsi"/>
          <w:vertAlign w:val="superscript"/>
          <w:lang w:val="es-US"/>
        </w:rPr>
        <w:footnoteReference w:id="243"/>
      </w:r>
      <w:r w:rsidRPr="00930562">
        <w:rPr>
          <w:rFonts w:asciiTheme="majorHAnsi" w:hAnsiTheme="majorHAnsi"/>
          <w:lang w:val="es-US"/>
        </w:rPr>
        <w:t xml:space="preserve"> Además, muchos casos de mala conducta policial terminan en acuerdos extrajudiciales, lo que significa que los oficiales acusados o los departamentos de policía no tienen que reconocer la mala conducta, limitando la responsabilidad plena.</w:t>
      </w:r>
      <w:r w:rsidRPr="00930562">
        <w:rPr>
          <w:rFonts w:asciiTheme="majorHAnsi" w:hAnsiTheme="majorHAnsi"/>
          <w:vertAlign w:val="superscript"/>
          <w:lang w:val="es-US"/>
        </w:rPr>
        <w:footnoteReference w:id="244"/>
      </w:r>
      <w:bookmarkEnd w:id="99"/>
    </w:p>
    <w:p w14:paraId="3D1E9AB9" w14:textId="17B3FA16"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lang w:val="es-US"/>
        </w:rPr>
      </w:pPr>
      <w:bookmarkStart w:id="100" w:name="_Ref507506137"/>
      <w:r w:rsidRPr="00930562">
        <w:rPr>
          <w:rFonts w:asciiTheme="majorHAnsi" w:hAnsiTheme="majorHAnsi"/>
          <w:lang w:val="es-US"/>
        </w:rPr>
        <w:t>Un aspecto clave identificado de la información recibida por la Comisión sobre la eficacia de las demandas civiles es la cuestión de quién paga por la falta policial cometida.</w:t>
      </w:r>
      <w:r w:rsidRPr="00930562">
        <w:rPr>
          <w:rFonts w:asciiTheme="majorHAnsi" w:hAnsiTheme="majorHAnsi"/>
          <w:vertAlign w:val="superscript"/>
          <w:lang w:val="es-US"/>
        </w:rPr>
        <w:footnoteReference w:id="245"/>
      </w:r>
      <w:r w:rsidRPr="00930562">
        <w:rPr>
          <w:rFonts w:asciiTheme="majorHAnsi" w:hAnsiTheme="majorHAnsi"/>
          <w:lang w:val="es-US"/>
        </w:rPr>
        <w:t xml:space="preserve"> En resumen, cuando un demandante obtiene sentencia contra un oficial o departamento policial, la municipalidad generalmente indemniza al policía y paga la indemnización por daños y </w:t>
      </w:r>
      <w:r w:rsidRPr="00930562">
        <w:rPr>
          <w:rFonts w:asciiTheme="majorHAnsi" w:hAnsiTheme="majorHAnsi"/>
          <w:lang w:val="es-US"/>
        </w:rPr>
        <w:lastRenderedPageBreak/>
        <w:t>perjuicios con dinero de los impuestos recaudados. De hecho, la mayoría de los departamentos policiales ni siquiera saben cuánto una ciudad ha pagado por el mal comportamiento policial, o por</w:t>
      </w:r>
      <w:r w:rsidR="00CD3D45" w:rsidRPr="00930562">
        <w:rPr>
          <w:rFonts w:asciiTheme="majorHAnsi" w:hAnsiTheme="majorHAnsi"/>
          <w:lang w:val="es-US"/>
        </w:rPr>
        <w:t xml:space="preserve"> el de aquellos en los que </w:t>
      </w:r>
      <w:r w:rsidRPr="00930562">
        <w:rPr>
          <w:rFonts w:asciiTheme="majorHAnsi" w:hAnsiTheme="majorHAnsi"/>
          <w:lang w:val="es-US"/>
        </w:rPr>
        <w:t>se llegó a un acuerdo.</w:t>
      </w:r>
      <w:r w:rsidRPr="00930562">
        <w:rPr>
          <w:rFonts w:asciiTheme="majorHAnsi" w:hAnsiTheme="majorHAnsi"/>
          <w:vertAlign w:val="superscript"/>
          <w:lang w:val="es-US"/>
        </w:rPr>
        <w:footnoteReference w:id="246"/>
      </w:r>
      <w:r w:rsidRPr="00930562">
        <w:rPr>
          <w:rFonts w:asciiTheme="majorHAnsi" w:hAnsiTheme="majorHAnsi"/>
          <w:lang w:val="es-US"/>
        </w:rPr>
        <w:t xml:space="preserve"> Mientras tanto, el costo es alto: las diez ciudades de EE.UU. con los departamentos policiales más grandes pagaron $1.02 mil millones entre 2010 y 2015 sólo por golpizas, tiroteos y encarcelamiento injusto.</w:t>
      </w:r>
      <w:r w:rsidRPr="00930562">
        <w:rPr>
          <w:rFonts w:asciiTheme="majorHAnsi" w:hAnsiTheme="majorHAnsi"/>
          <w:vertAlign w:val="superscript"/>
          <w:lang w:val="es-US"/>
        </w:rPr>
        <w:footnoteReference w:id="247"/>
      </w:r>
      <w:bookmarkEnd w:id="100"/>
      <w:r w:rsidRPr="00930562">
        <w:rPr>
          <w:rFonts w:asciiTheme="majorHAnsi" w:hAnsiTheme="majorHAnsi"/>
          <w:lang w:val="es-US"/>
        </w:rPr>
        <w:t xml:space="preserve"> </w:t>
      </w:r>
    </w:p>
    <w:p w14:paraId="5A228472" w14:textId="32E099A9"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lang w:val="es-US"/>
        </w:rPr>
      </w:pPr>
      <w:bookmarkStart w:id="101" w:name="_Ref507430107"/>
      <w:r w:rsidRPr="00930562">
        <w:rPr>
          <w:rFonts w:asciiTheme="majorHAnsi" w:hAnsiTheme="majorHAnsi"/>
          <w:lang w:val="es-US"/>
        </w:rPr>
        <w:t xml:space="preserve">Además, la capacidad del gobierno federal </w:t>
      </w:r>
      <w:r w:rsidR="004A4BB1" w:rsidRPr="00930562">
        <w:rPr>
          <w:rFonts w:asciiTheme="majorHAnsi" w:hAnsiTheme="majorHAnsi"/>
          <w:lang w:val="es-US"/>
        </w:rPr>
        <w:t xml:space="preserve">es limitada </w:t>
      </w:r>
      <w:r w:rsidRPr="00930562">
        <w:rPr>
          <w:rFonts w:asciiTheme="majorHAnsi" w:hAnsiTheme="majorHAnsi"/>
          <w:lang w:val="es-US"/>
        </w:rPr>
        <w:t xml:space="preserve">para enjuiciar los casos de violencia policial en los casos en que los procesos penales estatales y locales fracasan. </w:t>
      </w:r>
      <w:r w:rsidR="004A4BB1" w:rsidRPr="00930562">
        <w:rPr>
          <w:rFonts w:asciiTheme="majorHAnsi" w:hAnsiTheme="majorHAnsi"/>
          <w:lang w:val="es-US"/>
        </w:rPr>
        <w:t>Si bien</w:t>
      </w:r>
      <w:r w:rsidRPr="00930562">
        <w:rPr>
          <w:rFonts w:asciiTheme="majorHAnsi" w:hAnsiTheme="majorHAnsi"/>
          <w:lang w:val="es-US"/>
        </w:rPr>
        <w:t xml:space="preserve"> el gobierno federal está facultado para iniciar procesos </w:t>
      </w:r>
      <w:r w:rsidR="004A4BB1" w:rsidRPr="00930562">
        <w:rPr>
          <w:rFonts w:asciiTheme="majorHAnsi" w:hAnsiTheme="majorHAnsi"/>
          <w:lang w:val="es-US"/>
        </w:rPr>
        <w:t xml:space="preserve">federales </w:t>
      </w:r>
      <w:r w:rsidRPr="00930562">
        <w:rPr>
          <w:rFonts w:asciiTheme="majorHAnsi" w:hAnsiTheme="majorHAnsi"/>
          <w:lang w:val="es-US"/>
        </w:rPr>
        <w:t xml:space="preserve">penales </w:t>
      </w:r>
      <w:r w:rsidR="004A4BB1" w:rsidRPr="00930562">
        <w:rPr>
          <w:rFonts w:asciiTheme="majorHAnsi" w:hAnsiTheme="majorHAnsi"/>
          <w:lang w:val="es-US"/>
        </w:rPr>
        <w:t>sobre derechos civiles con base en</w:t>
      </w:r>
      <w:r w:rsidRPr="00930562">
        <w:rPr>
          <w:rFonts w:asciiTheme="majorHAnsi" w:hAnsiTheme="majorHAnsi"/>
          <w:lang w:val="es-US"/>
        </w:rPr>
        <w:t xml:space="preserve"> 18 U.S.C. § 242 ("Privación de derechos en apariencia de legalidad")</w:t>
      </w:r>
      <w:r w:rsidRPr="00930562">
        <w:rPr>
          <w:rFonts w:asciiTheme="majorHAnsi" w:hAnsiTheme="majorHAnsi"/>
          <w:vertAlign w:val="superscript"/>
          <w:lang w:val="es-US"/>
        </w:rPr>
        <w:footnoteReference w:id="248"/>
      </w:r>
      <w:r w:rsidRPr="00930562">
        <w:rPr>
          <w:rFonts w:asciiTheme="majorHAnsi" w:hAnsiTheme="majorHAnsi"/>
          <w:lang w:val="es-US"/>
        </w:rPr>
        <w:t xml:space="preserve">, muy pocos casos llegan a </w:t>
      </w:r>
      <w:r w:rsidR="004A4BB1" w:rsidRPr="00930562">
        <w:rPr>
          <w:rFonts w:asciiTheme="majorHAnsi" w:hAnsiTheme="majorHAnsi"/>
          <w:lang w:val="es-US"/>
        </w:rPr>
        <w:t>ser enjuiciados</w:t>
      </w:r>
      <w:r w:rsidRPr="00930562">
        <w:rPr>
          <w:rFonts w:asciiTheme="majorHAnsi" w:hAnsiTheme="majorHAnsi"/>
          <w:lang w:val="es-US"/>
        </w:rPr>
        <w:t xml:space="preserve">. Esto parece responder a una barrera probatoria extremadamente alta, es decir que para demostrar conducta deliberada, el gobierno debe probar la intención específica </w:t>
      </w:r>
      <w:r w:rsidR="004A4BB1" w:rsidRPr="00930562">
        <w:rPr>
          <w:rFonts w:asciiTheme="majorHAnsi" w:hAnsiTheme="majorHAnsi"/>
          <w:lang w:val="es-US"/>
        </w:rPr>
        <w:t xml:space="preserve">(dolo) </w:t>
      </w:r>
      <w:r w:rsidRPr="00930562">
        <w:rPr>
          <w:rFonts w:asciiTheme="majorHAnsi" w:hAnsiTheme="majorHAnsi"/>
          <w:lang w:val="es-US"/>
        </w:rPr>
        <w:t xml:space="preserve">del acusado de cometer un </w:t>
      </w:r>
      <w:r w:rsidR="004A4BB1" w:rsidRPr="00930562">
        <w:rPr>
          <w:rFonts w:asciiTheme="majorHAnsi" w:hAnsiTheme="majorHAnsi"/>
          <w:lang w:val="es-US"/>
        </w:rPr>
        <w:t xml:space="preserve">acto </w:t>
      </w:r>
      <w:r w:rsidRPr="00930562">
        <w:rPr>
          <w:rFonts w:asciiTheme="majorHAnsi" w:hAnsiTheme="majorHAnsi"/>
          <w:lang w:val="es-US"/>
        </w:rPr>
        <w:t xml:space="preserve">ilícito. Históricamente, esto ha </w:t>
      </w:r>
      <w:r w:rsidR="004A4BB1" w:rsidRPr="00930562">
        <w:rPr>
          <w:rFonts w:asciiTheme="majorHAnsi" w:hAnsiTheme="majorHAnsi"/>
          <w:lang w:val="es-US"/>
        </w:rPr>
        <w:t>significado</w:t>
      </w:r>
      <w:r w:rsidRPr="00930562">
        <w:rPr>
          <w:rFonts w:asciiTheme="majorHAnsi" w:hAnsiTheme="majorHAnsi"/>
          <w:lang w:val="es-US"/>
        </w:rPr>
        <w:t xml:space="preserve"> que los fiscales "rara vez podían demostrar a un jurado que incluso un miembro del Ku Klux Klans había linchado a su víctima con el propósito de privar</w:t>
      </w:r>
      <w:r w:rsidR="004A4BB1" w:rsidRPr="00930562">
        <w:rPr>
          <w:rFonts w:asciiTheme="majorHAnsi" w:hAnsiTheme="majorHAnsi"/>
          <w:lang w:val="es-US"/>
        </w:rPr>
        <w:t>la</w:t>
      </w:r>
      <w:r w:rsidRPr="00930562">
        <w:rPr>
          <w:rFonts w:asciiTheme="majorHAnsi" w:hAnsiTheme="majorHAnsi"/>
          <w:lang w:val="es-US"/>
        </w:rPr>
        <w:t xml:space="preserve"> de sus derechos.”</w:t>
      </w:r>
      <w:r w:rsidRPr="00930562">
        <w:rPr>
          <w:rFonts w:asciiTheme="majorHAnsi" w:hAnsiTheme="majorHAnsi"/>
          <w:vertAlign w:val="superscript"/>
          <w:lang w:val="es-US"/>
        </w:rPr>
        <w:footnoteReference w:id="249"/>
      </w:r>
      <w:r w:rsidRPr="00930562">
        <w:rPr>
          <w:rFonts w:asciiTheme="majorHAnsi" w:hAnsiTheme="majorHAnsi"/>
          <w:lang w:val="es-US"/>
        </w:rPr>
        <w:t xml:space="preserve"> El ex Fiscal General Eric Holder, quien supervisó la investigación en Ferguson, entre otros, ha declarado que las leyes federales de derechos civiles requieren un estándar de prueba que es demasiado alto y ha dicho que es necesario cambiar la ley.</w:t>
      </w:r>
      <w:r w:rsidRPr="00930562">
        <w:rPr>
          <w:rFonts w:asciiTheme="majorHAnsi" w:hAnsiTheme="majorHAnsi"/>
          <w:vertAlign w:val="superscript"/>
          <w:lang w:val="es-US"/>
        </w:rPr>
        <w:footnoteReference w:id="250"/>
      </w:r>
      <w:r w:rsidRPr="00930562">
        <w:rPr>
          <w:rFonts w:asciiTheme="majorHAnsi" w:hAnsiTheme="majorHAnsi"/>
          <w:lang w:val="es-US"/>
        </w:rPr>
        <w:t xml:space="preserve"> Además, los recursos limitados pueden </w:t>
      </w:r>
      <w:r w:rsidR="004A4BB1" w:rsidRPr="00930562">
        <w:rPr>
          <w:rFonts w:asciiTheme="majorHAnsi" w:hAnsiTheme="majorHAnsi"/>
          <w:lang w:val="es-US"/>
        </w:rPr>
        <w:t xml:space="preserve">restringir </w:t>
      </w:r>
      <w:r w:rsidRPr="00930562">
        <w:rPr>
          <w:rFonts w:asciiTheme="majorHAnsi" w:hAnsiTheme="majorHAnsi"/>
          <w:lang w:val="es-US"/>
        </w:rPr>
        <w:t xml:space="preserve">la capacidad del </w:t>
      </w:r>
      <w:r w:rsidR="004A4BB1" w:rsidRPr="00930562">
        <w:rPr>
          <w:rFonts w:asciiTheme="majorHAnsi" w:hAnsiTheme="majorHAnsi"/>
          <w:lang w:val="es-US"/>
        </w:rPr>
        <w:t xml:space="preserve">Departamento </w:t>
      </w:r>
      <w:r w:rsidRPr="00930562">
        <w:rPr>
          <w:rFonts w:asciiTheme="majorHAnsi" w:hAnsiTheme="majorHAnsi"/>
          <w:lang w:val="es-US"/>
        </w:rPr>
        <w:t xml:space="preserve">de Justicia </w:t>
      </w:r>
      <w:r w:rsidR="004A4BB1" w:rsidRPr="00930562">
        <w:rPr>
          <w:rFonts w:asciiTheme="majorHAnsi" w:hAnsiTheme="majorHAnsi"/>
          <w:lang w:val="es-US"/>
        </w:rPr>
        <w:t xml:space="preserve">para </w:t>
      </w:r>
      <w:r w:rsidRPr="00930562">
        <w:rPr>
          <w:rFonts w:asciiTheme="majorHAnsi" w:hAnsiTheme="majorHAnsi"/>
          <w:lang w:val="es-US"/>
        </w:rPr>
        <w:t>investigar y hacer cumplir las leyes federales contra la discriminación.</w:t>
      </w:r>
      <w:r w:rsidRPr="00930562">
        <w:rPr>
          <w:rFonts w:asciiTheme="majorHAnsi" w:hAnsiTheme="majorHAnsi"/>
          <w:vertAlign w:val="superscript"/>
          <w:lang w:val="es-US"/>
        </w:rPr>
        <w:footnoteReference w:id="251"/>
      </w:r>
      <w:bookmarkEnd w:id="101"/>
    </w:p>
    <w:p w14:paraId="24E9902C" w14:textId="36B05E25"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 xml:space="preserve">La información recibida por la Comisión indica que la ausencia de rendición de cuentas por parte de la policía no sólo </w:t>
      </w:r>
      <w:r w:rsidR="003D375C" w:rsidRPr="00930562">
        <w:rPr>
          <w:rFonts w:asciiTheme="majorHAnsi" w:hAnsiTheme="majorHAnsi"/>
          <w:lang w:val="es-US"/>
        </w:rPr>
        <w:t>no logra</w:t>
      </w:r>
      <w:r w:rsidRPr="00930562">
        <w:rPr>
          <w:rFonts w:asciiTheme="majorHAnsi" w:hAnsiTheme="majorHAnsi"/>
          <w:lang w:val="es-US"/>
        </w:rPr>
        <w:t xml:space="preserve"> disuadir la violencia policial, sino que también agrava seriamente las relaciones entre la policía y la comunidad. Durante audiencias públicas en 2015, los representantes de Madres contra la Brutalidad Policial, con sede en Dallas, Texas, citaron una encuesta realizada por ellos que encontró que sólo el 12 </w:t>
      </w:r>
      <w:r w:rsidRPr="00930562">
        <w:rPr>
          <w:rFonts w:asciiTheme="majorHAnsi" w:hAnsiTheme="majorHAnsi"/>
          <w:lang w:val="es-US"/>
        </w:rPr>
        <w:lastRenderedPageBreak/>
        <w:t xml:space="preserve">por ciento de los encuestados negros en Dallas sentía un gran respeto por la policía, mientras que un tercio dijo </w:t>
      </w:r>
      <w:r w:rsidR="003D375C" w:rsidRPr="00930562">
        <w:rPr>
          <w:rFonts w:asciiTheme="majorHAnsi" w:hAnsiTheme="majorHAnsi"/>
          <w:lang w:val="es-US"/>
        </w:rPr>
        <w:t xml:space="preserve">apenas </w:t>
      </w:r>
      <w:r w:rsidRPr="00930562">
        <w:rPr>
          <w:rFonts w:asciiTheme="majorHAnsi" w:hAnsiTheme="majorHAnsi"/>
          <w:lang w:val="es-US"/>
        </w:rPr>
        <w:t>tener un mínimo de respeto por la policía y que no se sentían cómodos llamando a la policía cuando tienen un problema.</w:t>
      </w:r>
      <w:r w:rsidRPr="00930562">
        <w:rPr>
          <w:rFonts w:asciiTheme="majorHAnsi" w:hAnsiTheme="majorHAnsi"/>
          <w:vertAlign w:val="superscript"/>
          <w:lang w:val="es-US"/>
        </w:rPr>
        <w:footnoteReference w:id="252"/>
      </w:r>
      <w:r w:rsidRPr="00930562">
        <w:rPr>
          <w:rFonts w:asciiTheme="majorHAnsi" w:hAnsiTheme="majorHAnsi"/>
          <w:lang w:val="es-US"/>
        </w:rPr>
        <w:t xml:space="preserve"> </w:t>
      </w:r>
    </w:p>
    <w:p w14:paraId="2F4CB34A" w14:textId="719BD23C"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 xml:space="preserve">Asimismo, durante su visita a Ferguson, Misuri, la Comisión fue informada sobre el alto nivel de desconfianza de la comunidad por la policía y otras autoridades gubernamentales, puestas de manifiesto por los continuos conflictos en torno al caso Michael Brown. Por ejemplo, la Comisión fue informada sobre la degradación al monumento en memoria de Michael Brown en Canfield, Misuri, incluidas denuncias de robo de osos de peluche y otros </w:t>
      </w:r>
      <w:r w:rsidR="001D3725" w:rsidRPr="00930562">
        <w:rPr>
          <w:rFonts w:asciiTheme="majorHAnsi" w:hAnsiTheme="majorHAnsi"/>
          <w:lang w:val="es-US"/>
        </w:rPr>
        <w:t xml:space="preserve">objetos de </w:t>
      </w:r>
      <w:r w:rsidRPr="00930562">
        <w:rPr>
          <w:rFonts w:asciiTheme="majorHAnsi" w:hAnsiTheme="majorHAnsi"/>
          <w:lang w:val="es-US"/>
        </w:rPr>
        <w:t xml:space="preserve">recuerdo del monumento. Esta situación ha llevado a que los miembros de la comunidad describan lo que observan como una falta de esfuerzo por parte de la policía por establecer y desarrollar relaciones constructivas con comunidades afroamericanas y de ingresos bajos y una "cultura de protección del departamento policial, </w:t>
      </w:r>
      <w:r w:rsidR="001D3725" w:rsidRPr="00930562">
        <w:rPr>
          <w:rFonts w:asciiTheme="majorHAnsi" w:hAnsiTheme="majorHAnsi"/>
          <w:lang w:val="es-US"/>
        </w:rPr>
        <w:t>sin importar</w:t>
      </w:r>
      <w:r w:rsidRPr="00930562">
        <w:rPr>
          <w:rFonts w:asciiTheme="majorHAnsi" w:hAnsiTheme="majorHAnsi"/>
          <w:lang w:val="es-US"/>
        </w:rPr>
        <w:t xml:space="preserve"> lo que hagan.”</w:t>
      </w:r>
      <w:r w:rsidRPr="00930562">
        <w:rPr>
          <w:rFonts w:asciiTheme="majorHAnsi" w:hAnsiTheme="majorHAnsi"/>
          <w:vertAlign w:val="superscript"/>
          <w:lang w:val="es-US"/>
        </w:rPr>
        <w:footnoteReference w:id="253"/>
      </w:r>
    </w:p>
    <w:p w14:paraId="2C86E66A" w14:textId="77777777" w:rsidR="005B672D" w:rsidRPr="00930562" w:rsidRDefault="005B672D" w:rsidP="001E382F">
      <w:pPr>
        <w:pStyle w:val="Heading4"/>
        <w:rPr>
          <w:lang w:val="es-US"/>
        </w:rPr>
      </w:pPr>
      <w:bookmarkStart w:id="102" w:name="_Toc511837814"/>
      <w:bookmarkStart w:id="103" w:name="_Toc511902987"/>
      <w:bookmarkStart w:id="104" w:name="_Toc517779235"/>
      <w:bookmarkStart w:id="105" w:name="_Toc531514466"/>
      <w:r w:rsidRPr="00930562">
        <w:rPr>
          <w:lang w:val="es-US"/>
        </w:rPr>
        <w:t>Respuestas de la policía a las protesta</w:t>
      </w:r>
      <w:bookmarkEnd w:id="102"/>
      <w:bookmarkEnd w:id="103"/>
      <w:r w:rsidRPr="00930562">
        <w:rPr>
          <w:lang w:val="es-US"/>
        </w:rPr>
        <w:t>s</w:t>
      </w:r>
      <w:bookmarkEnd w:id="104"/>
      <w:bookmarkEnd w:id="105"/>
    </w:p>
    <w:p w14:paraId="4E4243C1" w14:textId="11A414B4"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lang w:val="es-US"/>
        </w:rPr>
      </w:pPr>
      <w:bookmarkStart w:id="106" w:name="_Ref507405582"/>
      <w:r w:rsidRPr="00930562">
        <w:rPr>
          <w:rFonts w:asciiTheme="majorHAnsi" w:hAnsiTheme="majorHAnsi"/>
          <w:lang w:val="es-US"/>
        </w:rPr>
        <w:t xml:space="preserve">La Comisión ha recibido información acerca de respuestas desproporcionadas de la policía durante las protestas y sobre un control policial </w:t>
      </w:r>
      <w:r w:rsidR="008E27F6" w:rsidRPr="00930562">
        <w:rPr>
          <w:rFonts w:asciiTheme="majorHAnsi" w:hAnsiTheme="majorHAnsi"/>
          <w:lang w:val="es-US"/>
        </w:rPr>
        <w:t>excesivo</w:t>
      </w:r>
      <w:r w:rsidRPr="00930562">
        <w:rPr>
          <w:rFonts w:asciiTheme="majorHAnsi" w:hAnsiTheme="majorHAnsi"/>
          <w:lang w:val="es-US"/>
        </w:rPr>
        <w:t xml:space="preserve"> ejercido sobre manifestantes afroamericanos.</w:t>
      </w:r>
      <w:r w:rsidRPr="00930562">
        <w:rPr>
          <w:rFonts w:asciiTheme="majorHAnsi" w:hAnsiTheme="majorHAnsi"/>
          <w:vertAlign w:val="superscript"/>
          <w:lang w:val="es-US"/>
        </w:rPr>
        <w:t xml:space="preserve"> </w:t>
      </w:r>
      <w:r w:rsidRPr="00930562">
        <w:rPr>
          <w:rFonts w:asciiTheme="majorHAnsi" w:hAnsiTheme="majorHAnsi"/>
          <w:vertAlign w:val="superscript"/>
          <w:lang w:val="es-US"/>
        </w:rPr>
        <w:footnoteReference w:id="254"/>
      </w:r>
      <w:r w:rsidRPr="00930562">
        <w:rPr>
          <w:rFonts w:asciiTheme="majorHAnsi" w:hAnsiTheme="majorHAnsi"/>
          <w:lang w:val="es-US"/>
        </w:rPr>
        <w:t xml:space="preserve"> En particular, los hechos durante las protestas en Ferguson, Misuri, destacan en este informe una serie de temas transversales que incluyen cuestiones de no discriminación, uso excesivo de la fuerza y militarización policial. La Comisión se refiere a información recibida que indica que muchas de las preocupaciones expresadas a continuación sobre la situación particular de Ferguson aplican de manera generaliza en los Estados Unidos; </w:t>
      </w:r>
      <w:r w:rsidRPr="00930562">
        <w:rPr>
          <w:rFonts w:asciiTheme="majorHAnsi" w:hAnsiTheme="majorHAnsi"/>
          <w:vertAlign w:val="superscript"/>
          <w:lang w:val="es-US"/>
        </w:rPr>
        <w:footnoteReference w:id="255"/>
      </w:r>
      <w:r w:rsidRPr="00930562">
        <w:rPr>
          <w:rFonts w:asciiTheme="majorHAnsi" w:hAnsiTheme="majorHAnsi"/>
          <w:lang w:val="es-US"/>
        </w:rPr>
        <w:t xml:space="preserve"> en este sentido, se toma en cuenta lo señalado por el Relator Especial de las Naciones Unidas sobre el derecho a la libertad de reunión pacífica y de asociación acerca de denuncias por el uso excesivo de la fuerza policial en la detención</w:t>
      </w:r>
      <w:r w:rsidR="001419BC" w:rsidRPr="00930562">
        <w:rPr>
          <w:rFonts w:asciiTheme="majorHAnsi" w:hAnsiTheme="majorHAnsi"/>
          <w:lang w:val="es-US"/>
        </w:rPr>
        <w:t xml:space="preserve"> </w:t>
      </w:r>
      <w:r w:rsidRPr="00930562">
        <w:rPr>
          <w:rFonts w:asciiTheme="majorHAnsi" w:hAnsiTheme="majorHAnsi"/>
          <w:lang w:val="es-US"/>
        </w:rPr>
        <w:t>arbitraria de manifestantes por infracciones menores, como saltar en veredas abarrotadas de gente, abruma</w:t>
      </w:r>
      <w:r w:rsidR="001419BC" w:rsidRPr="00930562">
        <w:rPr>
          <w:rFonts w:asciiTheme="majorHAnsi" w:hAnsiTheme="majorHAnsi"/>
          <w:lang w:val="es-US"/>
        </w:rPr>
        <w:t>r a la</w:t>
      </w:r>
      <w:r w:rsidRPr="00930562">
        <w:rPr>
          <w:rFonts w:asciiTheme="majorHAnsi" w:hAnsiTheme="majorHAnsi"/>
          <w:lang w:val="es-US"/>
        </w:rPr>
        <w:t xml:space="preserve"> presencia policial en </w:t>
      </w:r>
      <w:r w:rsidRPr="00930562">
        <w:rPr>
          <w:rFonts w:asciiTheme="majorHAnsi" w:hAnsiTheme="majorHAnsi"/>
          <w:lang w:val="es-US"/>
        </w:rPr>
        <w:lastRenderedPageBreak/>
        <w:t>las protestas y otros actos de intimidación</w:t>
      </w:r>
      <w:r w:rsidR="001419BC" w:rsidRPr="00930562">
        <w:rPr>
          <w:rFonts w:asciiTheme="majorHAnsi" w:hAnsiTheme="majorHAnsi"/>
          <w:lang w:val="es-US"/>
        </w:rPr>
        <w:t>, así como</w:t>
      </w:r>
      <w:r w:rsidRPr="00930562">
        <w:rPr>
          <w:rFonts w:asciiTheme="majorHAnsi" w:hAnsiTheme="majorHAnsi"/>
          <w:lang w:val="es-US"/>
        </w:rPr>
        <w:t xml:space="preserve"> dirigir los arrestos y abusos </w:t>
      </w:r>
      <w:r w:rsidR="001419BC" w:rsidRPr="00930562">
        <w:rPr>
          <w:rFonts w:asciiTheme="majorHAnsi" w:hAnsiTheme="majorHAnsi"/>
          <w:lang w:val="es-US"/>
        </w:rPr>
        <w:t>con base en</w:t>
      </w:r>
      <w:r w:rsidRPr="00930562">
        <w:rPr>
          <w:rFonts w:asciiTheme="majorHAnsi" w:hAnsiTheme="majorHAnsi"/>
          <w:lang w:val="es-US"/>
        </w:rPr>
        <w:t xml:space="preserve"> </w:t>
      </w:r>
      <w:r w:rsidR="001419BC" w:rsidRPr="00930562">
        <w:rPr>
          <w:rFonts w:asciiTheme="majorHAnsi" w:hAnsiTheme="majorHAnsi"/>
          <w:lang w:val="es-US"/>
        </w:rPr>
        <w:t>la</w:t>
      </w:r>
      <w:r w:rsidRPr="00930562">
        <w:rPr>
          <w:rFonts w:asciiTheme="majorHAnsi" w:hAnsiTheme="majorHAnsi"/>
          <w:lang w:val="es-US"/>
        </w:rPr>
        <w:t xml:space="preserve"> raza o etnia.</w:t>
      </w:r>
      <w:r w:rsidRPr="00930562">
        <w:rPr>
          <w:rFonts w:asciiTheme="majorHAnsi" w:hAnsiTheme="majorHAnsi"/>
          <w:vertAlign w:val="superscript"/>
          <w:lang w:val="es-US"/>
        </w:rPr>
        <w:footnoteReference w:id="256"/>
      </w:r>
      <w:bookmarkEnd w:id="106"/>
    </w:p>
    <w:p w14:paraId="5F2E1562" w14:textId="7590F7A8"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lang w:val="es-US"/>
        </w:rPr>
      </w:pPr>
      <w:bookmarkStart w:id="107" w:name="_Ref507406888"/>
      <w:r w:rsidRPr="00930562">
        <w:rPr>
          <w:rFonts w:asciiTheme="majorHAnsi" w:hAnsiTheme="majorHAnsi"/>
          <w:lang w:val="es-US"/>
        </w:rPr>
        <w:t xml:space="preserve">Durante su visita in loco a Ferguson, la Comisión recibió información sobre protestas ocurridas tras el asesinato de Michael Brown en agosto de 2014, y el anuncio </w:t>
      </w:r>
      <w:r w:rsidR="005408A9" w:rsidRPr="00930562">
        <w:rPr>
          <w:rFonts w:asciiTheme="majorHAnsi" w:hAnsiTheme="majorHAnsi"/>
          <w:lang w:val="es-US"/>
        </w:rPr>
        <w:t>de</w:t>
      </w:r>
      <w:r w:rsidRPr="00930562">
        <w:rPr>
          <w:rFonts w:asciiTheme="majorHAnsi" w:hAnsiTheme="majorHAnsi"/>
          <w:lang w:val="es-US"/>
        </w:rPr>
        <w:t xml:space="preserve"> 24 de noviembre de 2014 sobre la decisión de no procesar a Darren Wilson, el policía blanco responsable de su muerte, así como la fuerte crítica de la opinión pública por la reacción de la policía a estas protestas.</w:t>
      </w:r>
      <w:r w:rsidRPr="00930562">
        <w:rPr>
          <w:rFonts w:asciiTheme="majorHAnsi" w:hAnsiTheme="majorHAnsi"/>
          <w:vertAlign w:val="superscript"/>
          <w:lang w:val="es-US"/>
        </w:rPr>
        <w:footnoteReference w:id="257"/>
      </w:r>
      <w:r w:rsidRPr="00930562">
        <w:rPr>
          <w:rFonts w:asciiTheme="majorHAnsi" w:hAnsiTheme="majorHAnsi"/>
          <w:lang w:val="es-US"/>
        </w:rPr>
        <w:t xml:space="preserve"> Por lo menos 212 personas fueron arrestadas durante las protestas, en su gran mayoría acusados de “negarse a dispersarse.”</w:t>
      </w:r>
      <w:r w:rsidRPr="00930562">
        <w:rPr>
          <w:rFonts w:asciiTheme="majorHAnsi" w:hAnsiTheme="majorHAnsi"/>
          <w:vertAlign w:val="superscript"/>
          <w:lang w:val="es-US"/>
        </w:rPr>
        <w:footnoteReference w:id="258"/>
      </w:r>
      <w:r w:rsidRPr="00930562">
        <w:rPr>
          <w:rFonts w:asciiTheme="majorHAnsi" w:hAnsiTheme="majorHAnsi"/>
          <w:lang w:val="es-US"/>
        </w:rPr>
        <w:t xml:space="preserve"> La CIDH recibió información sobre uso excesivo de gases lacrimógenos y violencia contra afroamericanos como mecanismo de control y/o dispersión durante las protestas, incluso durante protestas pacíficas, detención arbitraria de manifestantes y falta de respeto a los lugares identificados como refugios, incluidos los lugares de culto. La delegación expresó preocupación por denuncias recibidas según las cuales la policía de Ferguson ignoró deliberadamente a los manifestantes blancos y se centró en la detención y el uso de la fuerza contra los manifestantes negros durante las protestas.</w:t>
      </w:r>
      <w:r w:rsidRPr="00930562">
        <w:rPr>
          <w:rFonts w:asciiTheme="majorHAnsi" w:hAnsiTheme="majorHAnsi"/>
          <w:vertAlign w:val="superscript"/>
          <w:lang w:val="es-US"/>
        </w:rPr>
        <w:footnoteReference w:id="259"/>
      </w:r>
      <w:bookmarkEnd w:id="107"/>
      <w:r w:rsidRPr="00930562">
        <w:rPr>
          <w:rFonts w:asciiTheme="majorHAnsi" w:hAnsiTheme="majorHAnsi"/>
          <w:lang w:val="es-US"/>
        </w:rPr>
        <w:t xml:space="preserve"> </w:t>
      </w:r>
    </w:p>
    <w:p w14:paraId="05F73B61" w14:textId="34AFD998"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 xml:space="preserve">La imposición de restricciones al derecho a la protesta, incluidos toques de queda y áreas de protesta designadas, así como restricciones a la presencia y rango de acción de medios de comunicación y observadores de derechos humanos en las protestas pueden tener un efecto intimidatorio para el ejercicio de la libertad de expresión. </w:t>
      </w:r>
      <w:r w:rsidRPr="00930562">
        <w:rPr>
          <w:rFonts w:asciiTheme="majorHAnsi" w:hAnsiTheme="majorHAnsi"/>
          <w:vertAlign w:val="superscript"/>
          <w:lang w:val="es-US"/>
        </w:rPr>
        <w:footnoteReference w:id="260"/>
      </w:r>
      <w:r w:rsidRPr="00930562">
        <w:rPr>
          <w:rFonts w:asciiTheme="majorHAnsi" w:hAnsiTheme="majorHAnsi"/>
          <w:lang w:val="es-US"/>
        </w:rPr>
        <w:t xml:space="preserve"> De hecho, un tribunal federal concluyó que la aplicación de la "norma cinco segundos/mantenga el paso" (“keep walking/five-second rule”) durante las protestas en Ferguson, según la cual los manifestantes tenían que moverse constantemente durante las protestas o </w:t>
      </w:r>
      <w:r w:rsidR="007E1AEE" w:rsidRPr="00930562">
        <w:rPr>
          <w:rFonts w:asciiTheme="majorHAnsi" w:hAnsiTheme="majorHAnsi"/>
          <w:lang w:val="es-US"/>
        </w:rPr>
        <w:t>enfrentar la</w:t>
      </w:r>
      <w:r w:rsidRPr="00930562">
        <w:rPr>
          <w:rFonts w:asciiTheme="majorHAnsi" w:hAnsiTheme="majorHAnsi"/>
          <w:lang w:val="es-US"/>
        </w:rPr>
        <w:t xml:space="preserve"> detención, era inconstitucional.</w:t>
      </w:r>
      <w:r w:rsidRPr="00930562">
        <w:rPr>
          <w:rFonts w:asciiTheme="majorHAnsi" w:hAnsiTheme="majorHAnsi"/>
          <w:vertAlign w:val="superscript"/>
          <w:lang w:val="es-US"/>
        </w:rPr>
        <w:footnoteReference w:id="261"/>
      </w:r>
    </w:p>
    <w:p w14:paraId="78ADA57E" w14:textId="55477BFF"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 xml:space="preserve">Durante una audiencia sobre racismo en el sistema de justicia penal de EE.UU. un </w:t>
      </w:r>
      <w:r w:rsidR="007E1AEE" w:rsidRPr="00930562">
        <w:rPr>
          <w:rFonts w:asciiTheme="majorHAnsi" w:hAnsiTheme="majorHAnsi"/>
          <w:lang w:val="es-US"/>
        </w:rPr>
        <w:t xml:space="preserve">solicitante </w:t>
      </w:r>
      <w:r w:rsidRPr="00930562">
        <w:rPr>
          <w:rFonts w:asciiTheme="majorHAnsi" w:hAnsiTheme="majorHAnsi"/>
          <w:lang w:val="es-US"/>
        </w:rPr>
        <w:t xml:space="preserve">del Comité de Abogados Defensores por los Derechos </w:t>
      </w:r>
      <w:r w:rsidRPr="00930562">
        <w:rPr>
          <w:rFonts w:asciiTheme="majorHAnsi" w:hAnsiTheme="majorHAnsi"/>
          <w:lang w:val="es-US"/>
        </w:rPr>
        <w:lastRenderedPageBreak/>
        <w:t xml:space="preserve">Civiles </w:t>
      </w:r>
      <w:r w:rsidR="007E1AEE" w:rsidRPr="00930562">
        <w:rPr>
          <w:rFonts w:asciiTheme="majorHAnsi" w:hAnsiTheme="majorHAnsi"/>
          <w:lang w:val="es-US"/>
        </w:rPr>
        <w:t>B</w:t>
      </w:r>
      <w:r w:rsidRPr="00930562">
        <w:rPr>
          <w:rFonts w:asciiTheme="majorHAnsi" w:hAnsiTheme="majorHAnsi"/>
          <w:lang w:val="es-US"/>
        </w:rPr>
        <w:t>ajo la Ley (</w:t>
      </w:r>
      <w:r w:rsidRPr="00930562">
        <w:rPr>
          <w:rFonts w:asciiTheme="majorHAnsi" w:hAnsiTheme="majorHAnsi"/>
          <w:i/>
          <w:lang w:val="es-US"/>
        </w:rPr>
        <w:t>Lawyers’ Committee for Civil Rights Under Law</w:t>
      </w:r>
      <w:r w:rsidRPr="00930562">
        <w:rPr>
          <w:rFonts w:asciiTheme="majorHAnsi" w:hAnsiTheme="majorHAnsi"/>
          <w:lang w:val="es-US"/>
        </w:rPr>
        <w:t>) manifestó:</w:t>
      </w:r>
    </w:p>
    <w:tbl>
      <w:tblPr>
        <w:tblStyle w:val="TableGrid"/>
        <w:tblW w:w="0" w:type="auto"/>
        <w:tblInd w:w="648" w:type="dxa"/>
        <w:shd w:val="clear" w:color="auto" w:fill="D9D9D9" w:themeFill="background1" w:themeFillShade="D9"/>
        <w:tblLook w:val="04A0" w:firstRow="1" w:lastRow="0" w:firstColumn="1" w:lastColumn="0" w:noHBand="0" w:noVBand="1"/>
      </w:tblPr>
      <w:tblGrid>
        <w:gridCol w:w="7200"/>
      </w:tblGrid>
      <w:tr w:rsidR="00E00D6E" w:rsidRPr="005E5B1C" w14:paraId="5A0D0A57" w14:textId="77777777" w:rsidTr="00E00D6E">
        <w:tc>
          <w:tcPr>
            <w:tcW w:w="8406" w:type="dxa"/>
            <w:shd w:val="clear" w:color="auto" w:fill="D9D9D9" w:themeFill="background1" w:themeFillShade="D9"/>
          </w:tcPr>
          <w:p w14:paraId="204D8C53" w14:textId="155AD165" w:rsidR="00E00D6E" w:rsidRPr="00930562" w:rsidRDefault="00E00D6E" w:rsidP="00B554A4">
            <w:pPr>
              <w:spacing w:after="240"/>
              <w:ind w:left="288" w:right="288"/>
              <w:jc w:val="both"/>
              <w:rPr>
                <w:rFonts w:asciiTheme="majorHAnsi" w:hAnsiTheme="majorHAnsi"/>
                <w:lang w:val="es-US"/>
              </w:rPr>
            </w:pPr>
            <w:r w:rsidRPr="00930562">
              <w:rPr>
                <w:rFonts w:asciiTheme="majorHAnsi" w:hAnsiTheme="majorHAnsi"/>
                <w:lang w:val="es-US"/>
              </w:rPr>
              <w:br/>
              <w:t>En lugar de atender sus quejas e inquietudes, los manifestantes legítimos [en Ferguson, Misuri] fueron recibidos con una dura respuesta militarizada por parte de las fuerzas policiales locales y estatales. Ellos fueron encarcelados sin causa, golpeados hasta quedar inconscientes, cegados por gases lacrimógenos y gas pimienta y fueron violados en sus derechos humanos y constitucionales cada día a través de todo tipo de pronunciamientos sobre nuevas políticas y toques de queda. Lamentablemente, esta no es la primera vez y no será la última vez que la policía abusa de su fuerza de manera especial contra comunidades de color, asesina ilegalmente a hombres negros desarmados o reprime protestas legítimas. Esta práctica se ha convertido en la nueva norma en todos los Estados Unidos.</w:t>
            </w:r>
            <w:r w:rsidRPr="00930562">
              <w:rPr>
                <w:rFonts w:asciiTheme="majorHAnsi" w:hAnsiTheme="majorHAnsi"/>
                <w:vertAlign w:val="superscript"/>
                <w:lang w:val="es-US"/>
              </w:rPr>
              <w:footnoteReference w:id="262"/>
            </w:r>
          </w:p>
        </w:tc>
      </w:tr>
    </w:tbl>
    <w:p w14:paraId="55A7406C" w14:textId="77777777" w:rsidR="00E00D6E" w:rsidRPr="00930562" w:rsidRDefault="00E00D6E" w:rsidP="00E00D6E">
      <w:pPr>
        <w:spacing w:after="0" w:line="240" w:lineRule="auto"/>
        <w:jc w:val="both"/>
        <w:rPr>
          <w:rFonts w:asciiTheme="majorHAnsi" w:hAnsiTheme="majorHAnsi"/>
          <w:lang w:val="es-US"/>
        </w:rPr>
      </w:pPr>
    </w:p>
    <w:p w14:paraId="3DAB25B5" w14:textId="0E583004"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eastAsiaTheme="minorHAnsi" w:hAnsiTheme="majorHAnsi"/>
          <w:lang w:val="es-US"/>
        </w:rPr>
      </w:pPr>
      <w:r w:rsidRPr="00930562">
        <w:rPr>
          <w:rFonts w:asciiTheme="majorHAnsi" w:hAnsiTheme="majorHAnsi"/>
          <w:lang w:val="es-US"/>
        </w:rPr>
        <w:t>En noviembre de 2014 tuvieron lugar en todo el país nuevas protestas tras la decisión de un gran jurado de no procesar al policía responsable de la muerte de Michael Brown. En California fueron arrestadas al menos 180 personas en protestas.</w:t>
      </w:r>
      <w:r w:rsidRPr="00930562">
        <w:rPr>
          <w:rFonts w:asciiTheme="majorHAnsi" w:hAnsiTheme="majorHAnsi"/>
          <w:vertAlign w:val="superscript"/>
          <w:lang w:val="es-US"/>
        </w:rPr>
        <w:footnoteReference w:id="263"/>
      </w:r>
      <w:r w:rsidRPr="00930562">
        <w:rPr>
          <w:rFonts w:asciiTheme="majorHAnsi" w:hAnsiTheme="majorHAnsi"/>
          <w:lang w:val="es-US"/>
        </w:rPr>
        <w:t xml:space="preserve"> En diciembre</w:t>
      </w:r>
      <w:r w:rsidR="00264225" w:rsidRPr="00930562">
        <w:rPr>
          <w:rFonts w:asciiTheme="majorHAnsi" w:hAnsiTheme="majorHAnsi"/>
          <w:lang w:val="es-US"/>
        </w:rPr>
        <w:t>,</w:t>
      </w:r>
      <w:r w:rsidRPr="00930562">
        <w:rPr>
          <w:rFonts w:asciiTheme="majorHAnsi" w:hAnsiTheme="majorHAnsi"/>
          <w:lang w:val="es-US"/>
        </w:rPr>
        <w:t xml:space="preserve"> la policía de Nueva York reportó el arresto de al menos 200 personas durante las protestas contra la decisión de un gran jurado de no procesar al policía responsable de la muerte de Eric Garner. La mayoría de las detenciones de los manifestantes fueron por cargos de desorden público y negativa a dispersarse.</w:t>
      </w:r>
      <w:r w:rsidRPr="00930562">
        <w:rPr>
          <w:rFonts w:asciiTheme="majorHAnsi" w:hAnsiTheme="majorHAnsi"/>
          <w:vertAlign w:val="superscript"/>
          <w:lang w:val="es-US"/>
        </w:rPr>
        <w:footnoteReference w:id="264"/>
      </w:r>
    </w:p>
    <w:p w14:paraId="69D26D37" w14:textId="221BD375"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lang w:val="es-US"/>
        </w:rPr>
      </w:pPr>
      <w:bookmarkStart w:id="108" w:name="_Ref511835816"/>
      <w:r w:rsidRPr="00930562">
        <w:rPr>
          <w:rFonts w:asciiTheme="majorHAnsi" w:hAnsiTheme="majorHAnsi"/>
          <w:lang w:val="es-US"/>
        </w:rPr>
        <w:t xml:space="preserve">Las protestas en Ferguson tras el asesinato de Michael Brown </w:t>
      </w:r>
      <w:r w:rsidR="00264225" w:rsidRPr="00930562">
        <w:rPr>
          <w:rFonts w:asciiTheme="majorHAnsi" w:hAnsiTheme="majorHAnsi"/>
          <w:lang w:val="es-US"/>
        </w:rPr>
        <w:t>también subrayaron</w:t>
      </w:r>
      <w:r w:rsidRPr="00930562">
        <w:rPr>
          <w:rFonts w:asciiTheme="majorHAnsi" w:hAnsiTheme="majorHAnsi"/>
          <w:lang w:val="es-US"/>
        </w:rPr>
        <w:t xml:space="preserve"> el preocupante nivel de militarización de la policía municipal, que dio lugar a una </w:t>
      </w:r>
      <w:r w:rsidR="00264225" w:rsidRPr="00930562">
        <w:rPr>
          <w:rFonts w:asciiTheme="majorHAnsi" w:hAnsiTheme="majorHAnsi"/>
          <w:lang w:val="es-US"/>
        </w:rPr>
        <w:t>revisión</w:t>
      </w:r>
      <w:r w:rsidRPr="00930562">
        <w:rPr>
          <w:rFonts w:asciiTheme="majorHAnsi" w:hAnsiTheme="majorHAnsi"/>
          <w:lang w:val="es-US"/>
        </w:rPr>
        <w:t xml:space="preserve"> </w:t>
      </w:r>
      <w:r w:rsidR="00264225" w:rsidRPr="00930562">
        <w:rPr>
          <w:rFonts w:asciiTheme="majorHAnsi" w:hAnsiTheme="majorHAnsi"/>
          <w:lang w:val="es-US"/>
        </w:rPr>
        <w:t>a nivel</w:t>
      </w:r>
      <w:r w:rsidRPr="00930562">
        <w:rPr>
          <w:rFonts w:asciiTheme="majorHAnsi" w:hAnsiTheme="majorHAnsi"/>
          <w:lang w:val="es-US"/>
        </w:rPr>
        <w:t xml:space="preserve"> federal sobre los programas que brinda</w:t>
      </w:r>
      <w:r w:rsidR="00264225" w:rsidRPr="00930562">
        <w:rPr>
          <w:rFonts w:asciiTheme="majorHAnsi" w:hAnsiTheme="majorHAnsi"/>
          <w:lang w:val="es-US"/>
        </w:rPr>
        <w:t>n</w:t>
      </w:r>
      <w:r w:rsidRPr="00930562">
        <w:rPr>
          <w:rFonts w:asciiTheme="majorHAnsi" w:hAnsiTheme="majorHAnsi"/>
          <w:lang w:val="es-US"/>
        </w:rPr>
        <w:t xml:space="preserve"> equipo militar a los departamentos policiales.</w:t>
      </w:r>
      <w:r w:rsidRPr="00930562">
        <w:rPr>
          <w:rFonts w:asciiTheme="majorHAnsi" w:hAnsiTheme="majorHAnsi"/>
          <w:vertAlign w:val="superscript"/>
          <w:lang w:val="es-US"/>
        </w:rPr>
        <w:footnoteReference w:id="265"/>
      </w:r>
      <w:r w:rsidRPr="00930562">
        <w:rPr>
          <w:rFonts w:asciiTheme="majorHAnsi" w:hAnsiTheme="majorHAnsi"/>
          <w:lang w:val="es-US"/>
        </w:rPr>
        <w:t xml:space="preserve"> Durante dichas protestas, informes oficiales indicaron que la policía utilizó vehículos blindados, dispositivos de control de ruido de multitudes, escopetas, rifles M-4, balas de goma y gas lacrimógeno.</w:t>
      </w:r>
      <w:r w:rsidRPr="00930562">
        <w:rPr>
          <w:rFonts w:asciiTheme="majorHAnsi" w:hAnsiTheme="majorHAnsi"/>
          <w:vertAlign w:val="superscript"/>
          <w:lang w:val="es-US"/>
        </w:rPr>
        <w:footnoteReference w:id="266"/>
      </w:r>
      <w:r w:rsidRPr="00930562">
        <w:rPr>
          <w:rFonts w:asciiTheme="majorHAnsi" w:hAnsiTheme="majorHAnsi"/>
          <w:lang w:val="es-US"/>
        </w:rPr>
        <w:t xml:space="preserve"> </w:t>
      </w:r>
      <w:r w:rsidR="00264225" w:rsidRPr="00930562">
        <w:rPr>
          <w:rFonts w:asciiTheme="majorHAnsi" w:hAnsiTheme="majorHAnsi"/>
          <w:lang w:val="es-US"/>
        </w:rPr>
        <w:t xml:space="preserve">El uso de </w:t>
      </w:r>
      <w:r w:rsidRPr="00930562">
        <w:rPr>
          <w:rFonts w:asciiTheme="majorHAnsi" w:hAnsiTheme="majorHAnsi"/>
          <w:lang w:val="es-US"/>
        </w:rPr>
        <w:t>equip</w:t>
      </w:r>
      <w:r w:rsidR="00264225" w:rsidRPr="00930562">
        <w:rPr>
          <w:rFonts w:asciiTheme="majorHAnsi" w:hAnsiTheme="majorHAnsi"/>
          <w:lang w:val="es-US"/>
        </w:rPr>
        <w:t>o</w:t>
      </w:r>
      <w:r w:rsidRPr="00930562">
        <w:rPr>
          <w:rFonts w:asciiTheme="majorHAnsi" w:hAnsiTheme="majorHAnsi"/>
          <w:lang w:val="es-US"/>
        </w:rPr>
        <w:t xml:space="preserve"> anti-motines y armas de uso militar en manifestaciones pacíficas puede ser interpretado </w:t>
      </w:r>
      <w:r w:rsidRPr="00930562">
        <w:rPr>
          <w:rFonts w:asciiTheme="majorHAnsi" w:hAnsiTheme="majorHAnsi"/>
          <w:lang w:val="es-US"/>
        </w:rPr>
        <w:lastRenderedPageBreak/>
        <w:t>también como una forma de intimidación a los manifestantes que ejercen su derecho a la reunión pacífica</w:t>
      </w:r>
      <w:r w:rsidR="00264225" w:rsidRPr="00930562">
        <w:rPr>
          <w:rFonts w:asciiTheme="majorHAnsi" w:hAnsiTheme="majorHAnsi"/>
          <w:lang w:val="es-US"/>
        </w:rPr>
        <w:t>,</w:t>
      </w:r>
      <w:r w:rsidRPr="00930562">
        <w:rPr>
          <w:rFonts w:asciiTheme="majorHAnsi" w:hAnsiTheme="majorHAnsi"/>
          <w:lang w:val="es-US"/>
        </w:rPr>
        <w:t xml:space="preserve"> y puede provocar una escalada de violencia, en lugar de </w:t>
      </w:r>
      <w:r w:rsidR="00264225" w:rsidRPr="00930562">
        <w:rPr>
          <w:rFonts w:asciiTheme="majorHAnsi" w:hAnsiTheme="majorHAnsi"/>
          <w:lang w:val="es-US"/>
        </w:rPr>
        <w:t>su</w:t>
      </w:r>
      <w:r w:rsidRPr="00930562">
        <w:rPr>
          <w:rFonts w:asciiTheme="majorHAnsi" w:hAnsiTheme="majorHAnsi"/>
          <w:lang w:val="es-US"/>
        </w:rPr>
        <w:t xml:space="preserve"> disminución.</w:t>
      </w:r>
      <w:r w:rsidRPr="00930562">
        <w:rPr>
          <w:rFonts w:asciiTheme="majorHAnsi" w:hAnsiTheme="majorHAnsi"/>
          <w:vertAlign w:val="superscript"/>
          <w:lang w:val="es-US"/>
        </w:rPr>
        <w:footnoteReference w:id="267"/>
      </w:r>
      <w:bookmarkEnd w:id="108"/>
    </w:p>
    <w:p w14:paraId="48B4B65D" w14:textId="1D718309"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En abril de 2015 tuvieron lugar protestas en Baltimore y en todo el país tras la muerte de Freddie Gray, de 25 años de edad, debido a una lesión en la médula espinal mientras se encontraba bajo custodia policial. Se informó que por lo menos 486 personas fueron detenidas durante las protestas.</w:t>
      </w:r>
      <w:r w:rsidRPr="00930562">
        <w:rPr>
          <w:rFonts w:asciiTheme="majorHAnsi" w:hAnsiTheme="majorHAnsi"/>
          <w:vertAlign w:val="superscript"/>
          <w:lang w:val="es-US"/>
        </w:rPr>
        <w:footnoteReference w:id="268"/>
      </w:r>
      <w:r w:rsidRPr="00930562">
        <w:rPr>
          <w:rFonts w:asciiTheme="majorHAnsi" w:hAnsiTheme="majorHAnsi"/>
          <w:lang w:val="es-US"/>
        </w:rPr>
        <w:t xml:space="preserve"> El 27 de abril de 2015 el gobernador de Maryland declaró el estado de emergencia y ordenó el despliegue de la Guardia Nacional. Por lo menos 100 personas fueron arrestadas en protestas en Nueva York.</w:t>
      </w:r>
      <w:r w:rsidRPr="00930562">
        <w:rPr>
          <w:rFonts w:asciiTheme="majorHAnsi" w:hAnsiTheme="majorHAnsi"/>
          <w:vertAlign w:val="superscript"/>
          <w:lang w:val="es-US"/>
        </w:rPr>
        <w:footnoteReference w:id="269"/>
      </w:r>
      <w:r w:rsidRPr="00930562">
        <w:rPr>
          <w:rFonts w:asciiTheme="majorHAnsi" w:hAnsiTheme="majorHAnsi"/>
          <w:lang w:val="es-US"/>
        </w:rPr>
        <w:t xml:space="preserve"> Según los informes oficiales, durante las protestas se registraron agresiones y detenciones de periodistas por parte de la policía. El alcalde de Baltimore también ordenó un toque de queda que estuvo vigente desde el 28 de abril hasta el 3 de mayo. El toque de queda, vigente en toda la ciudad, no se aplicó a periodistas, personal militar y policías que podían circular libremente por la ciudad entre 10:00 pm y 5:00 am, </w:t>
      </w:r>
      <w:r w:rsidR="005C0313" w:rsidRPr="00930562">
        <w:rPr>
          <w:rFonts w:asciiTheme="majorHAnsi" w:hAnsiTheme="majorHAnsi"/>
          <w:lang w:val="es-US"/>
        </w:rPr>
        <w:t xml:space="preserve">mientras que </w:t>
      </w:r>
      <w:r w:rsidRPr="00930562">
        <w:rPr>
          <w:rFonts w:asciiTheme="majorHAnsi" w:hAnsiTheme="majorHAnsi"/>
          <w:lang w:val="es-US"/>
        </w:rPr>
        <w:t>la circulación para el resto de los ciudadanos estuvo restringido.</w:t>
      </w:r>
      <w:r w:rsidRPr="00930562">
        <w:rPr>
          <w:rFonts w:asciiTheme="majorHAnsi" w:hAnsiTheme="majorHAnsi"/>
          <w:vertAlign w:val="superscript"/>
          <w:lang w:val="es-US"/>
        </w:rPr>
        <w:footnoteReference w:id="270"/>
      </w:r>
    </w:p>
    <w:p w14:paraId="57C4F064" w14:textId="60D23DE6"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lang w:val="es-US"/>
        </w:rPr>
      </w:pPr>
      <w:bookmarkStart w:id="109" w:name="_Ref507405594"/>
      <w:r w:rsidRPr="00930562">
        <w:rPr>
          <w:rFonts w:asciiTheme="majorHAnsi" w:hAnsiTheme="majorHAnsi"/>
          <w:lang w:val="es-US"/>
        </w:rPr>
        <w:t xml:space="preserve">La Comisión observa que de acuerdo a informes recibidos </w:t>
      </w:r>
      <w:r w:rsidR="005907EA" w:rsidRPr="00930562">
        <w:rPr>
          <w:rFonts w:asciiTheme="majorHAnsi" w:hAnsiTheme="majorHAnsi"/>
          <w:lang w:val="es-US"/>
        </w:rPr>
        <w:t xml:space="preserve">la respuesta </w:t>
      </w:r>
      <w:r w:rsidRPr="00930562">
        <w:rPr>
          <w:rFonts w:asciiTheme="majorHAnsi" w:hAnsiTheme="majorHAnsi"/>
          <w:lang w:val="es-US"/>
        </w:rPr>
        <w:t xml:space="preserve">de la policía </w:t>
      </w:r>
      <w:r w:rsidR="005907EA" w:rsidRPr="00930562">
        <w:rPr>
          <w:rFonts w:asciiTheme="majorHAnsi" w:hAnsiTheme="majorHAnsi"/>
          <w:lang w:val="es-US"/>
        </w:rPr>
        <w:t>a</w:t>
      </w:r>
      <w:r w:rsidRPr="00930562">
        <w:rPr>
          <w:rFonts w:asciiTheme="majorHAnsi" w:hAnsiTheme="majorHAnsi"/>
          <w:lang w:val="es-US"/>
        </w:rPr>
        <w:t xml:space="preserve"> las protestas, así como la relación entre la comunidad y la policía, parecen no haber mejorado en Ferguson desde las protestas de 2014 y la posterior investigación del </w:t>
      </w:r>
      <w:r w:rsidR="005907EA" w:rsidRPr="00930562">
        <w:rPr>
          <w:rFonts w:asciiTheme="majorHAnsi" w:hAnsiTheme="majorHAnsi"/>
          <w:lang w:val="es-US"/>
        </w:rPr>
        <w:t xml:space="preserve">Departamento </w:t>
      </w:r>
      <w:r w:rsidRPr="00930562">
        <w:rPr>
          <w:rFonts w:asciiTheme="majorHAnsi" w:hAnsiTheme="majorHAnsi"/>
          <w:lang w:val="es-US"/>
        </w:rPr>
        <w:t>de Justicia. En septiembre de 2017 miles de personas protestaron en Ferguson por la absolución de un policía que en 2011 asesinó a Anthony Lamar Smith, un hombre negro que se encontraba desarmado.</w:t>
      </w:r>
      <w:r w:rsidRPr="00930562">
        <w:rPr>
          <w:rFonts w:asciiTheme="majorHAnsi" w:hAnsiTheme="majorHAnsi"/>
          <w:vertAlign w:val="superscript"/>
          <w:lang w:val="es-US"/>
        </w:rPr>
        <w:footnoteReference w:id="271"/>
      </w:r>
      <w:r w:rsidRPr="00930562">
        <w:rPr>
          <w:rFonts w:asciiTheme="majorHAnsi" w:hAnsiTheme="majorHAnsi"/>
          <w:lang w:val="es-US"/>
        </w:rPr>
        <w:t xml:space="preserve"> Informes de prensa indicaron que policías se burlaron de los manifestantes mientras realizaban detenciones en masa recitando "¿De quiénes son las calles? ¡Nuestras calles!" y exhibieron un despliegue militarizado y abrumador en respuesta a las protestas, lo cual provocó que un ex investigador del </w:t>
      </w:r>
      <w:r w:rsidR="005907EA" w:rsidRPr="00930562">
        <w:rPr>
          <w:rFonts w:asciiTheme="majorHAnsi" w:hAnsiTheme="majorHAnsi"/>
          <w:lang w:val="es-US"/>
        </w:rPr>
        <w:t xml:space="preserve">Departamento </w:t>
      </w:r>
      <w:r w:rsidRPr="00930562">
        <w:rPr>
          <w:rFonts w:asciiTheme="majorHAnsi" w:hAnsiTheme="majorHAnsi"/>
          <w:lang w:val="es-US"/>
        </w:rPr>
        <w:t>de Justicia declarara: "No se puede legislar la cordialidad.”</w:t>
      </w:r>
      <w:r w:rsidRPr="00930562">
        <w:rPr>
          <w:rFonts w:asciiTheme="majorHAnsi" w:hAnsiTheme="majorHAnsi"/>
          <w:vertAlign w:val="superscript"/>
          <w:lang w:val="es-US"/>
        </w:rPr>
        <w:footnoteReference w:id="272"/>
      </w:r>
      <w:r w:rsidRPr="00930562">
        <w:rPr>
          <w:rFonts w:asciiTheme="majorHAnsi" w:hAnsiTheme="majorHAnsi"/>
          <w:lang w:val="es-US"/>
        </w:rPr>
        <w:t xml:space="preserve"> La Comisión </w:t>
      </w:r>
      <w:r w:rsidR="005907EA" w:rsidRPr="00930562">
        <w:rPr>
          <w:rFonts w:asciiTheme="majorHAnsi" w:hAnsiTheme="majorHAnsi"/>
          <w:lang w:val="es-US"/>
        </w:rPr>
        <w:t>toma nota de</w:t>
      </w:r>
      <w:r w:rsidRPr="00930562">
        <w:rPr>
          <w:rFonts w:asciiTheme="majorHAnsi" w:hAnsiTheme="majorHAnsi"/>
          <w:lang w:val="es-US"/>
        </w:rPr>
        <w:t xml:space="preserve"> informes recientes que indican que el </w:t>
      </w:r>
      <w:r w:rsidR="005907EA" w:rsidRPr="00930562">
        <w:rPr>
          <w:rFonts w:asciiTheme="majorHAnsi" w:hAnsiTheme="majorHAnsi"/>
          <w:lang w:val="es-US"/>
        </w:rPr>
        <w:t xml:space="preserve">Departamento </w:t>
      </w:r>
      <w:r w:rsidRPr="00930562">
        <w:rPr>
          <w:rFonts w:asciiTheme="majorHAnsi" w:hAnsiTheme="majorHAnsi"/>
          <w:lang w:val="es-US"/>
        </w:rPr>
        <w:t xml:space="preserve">de Justicia ha abierto una </w:t>
      </w:r>
      <w:r w:rsidRPr="00930562">
        <w:rPr>
          <w:rFonts w:asciiTheme="majorHAnsi" w:hAnsiTheme="majorHAnsi"/>
          <w:lang w:val="es-US"/>
        </w:rPr>
        <w:lastRenderedPageBreak/>
        <w:t>investigación sobre e</w:t>
      </w:r>
      <w:r w:rsidR="00376AF9" w:rsidRPr="00930562">
        <w:rPr>
          <w:rFonts w:asciiTheme="majorHAnsi" w:hAnsiTheme="majorHAnsi"/>
          <w:lang w:val="es-US"/>
        </w:rPr>
        <w:t xml:space="preserve">l </w:t>
      </w:r>
      <w:r w:rsidR="00235E19" w:rsidRPr="00930562">
        <w:rPr>
          <w:rFonts w:asciiTheme="majorHAnsi" w:hAnsiTheme="majorHAnsi"/>
          <w:lang w:val="es-US"/>
        </w:rPr>
        <w:t>actuar de la policía</w:t>
      </w:r>
      <w:r w:rsidRPr="00930562">
        <w:rPr>
          <w:rFonts w:asciiTheme="majorHAnsi" w:hAnsiTheme="majorHAnsi"/>
          <w:lang w:val="es-US"/>
        </w:rPr>
        <w:t xml:space="preserve"> de St. Louis durante dichas protestas.</w:t>
      </w:r>
      <w:r w:rsidRPr="00930562">
        <w:rPr>
          <w:rFonts w:asciiTheme="majorHAnsi" w:hAnsiTheme="majorHAnsi"/>
          <w:vertAlign w:val="superscript"/>
          <w:lang w:val="es-US"/>
        </w:rPr>
        <w:footnoteReference w:id="273"/>
      </w:r>
      <w:bookmarkEnd w:id="109"/>
      <w:r w:rsidRPr="00930562">
        <w:rPr>
          <w:rFonts w:asciiTheme="majorHAnsi" w:hAnsiTheme="majorHAnsi"/>
          <w:lang w:val="es-US"/>
        </w:rPr>
        <w:t xml:space="preserve">  </w:t>
      </w:r>
    </w:p>
    <w:p w14:paraId="394707AB" w14:textId="236FECD0"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lang w:val="es-US"/>
        </w:rPr>
      </w:pPr>
      <w:bookmarkStart w:id="110" w:name="_Ref511835853"/>
      <w:r w:rsidRPr="00930562">
        <w:rPr>
          <w:rFonts w:asciiTheme="majorHAnsi" w:hAnsiTheme="majorHAnsi"/>
          <w:lang w:val="es-US"/>
        </w:rPr>
        <w:t xml:space="preserve">Finalmente, la Comisión observa con preocupación información recibida relacionada con el aumento de la vigilancia sobre activistas </w:t>
      </w:r>
      <w:r w:rsidR="001B19EF" w:rsidRPr="00930562">
        <w:rPr>
          <w:rFonts w:asciiTheme="majorHAnsi" w:hAnsiTheme="majorHAnsi"/>
          <w:lang w:val="es-US"/>
        </w:rPr>
        <w:t xml:space="preserve">de </w:t>
      </w:r>
      <w:r w:rsidRPr="00930562">
        <w:rPr>
          <w:rFonts w:asciiTheme="majorHAnsi" w:hAnsiTheme="majorHAnsi"/>
          <w:lang w:val="es-US"/>
        </w:rPr>
        <w:t xml:space="preserve">la justicia racial por parte de </w:t>
      </w:r>
      <w:r w:rsidR="001B19EF" w:rsidRPr="00930562">
        <w:rPr>
          <w:rFonts w:asciiTheme="majorHAnsi" w:hAnsiTheme="majorHAnsi"/>
          <w:lang w:val="es-US"/>
        </w:rPr>
        <w:t xml:space="preserve">agencias </w:t>
      </w:r>
      <w:r w:rsidRPr="00930562">
        <w:rPr>
          <w:rFonts w:asciiTheme="majorHAnsi" w:hAnsiTheme="majorHAnsi"/>
          <w:lang w:val="es-US"/>
        </w:rPr>
        <w:t>nacionales de control como el FBI,</w:t>
      </w:r>
      <w:r w:rsidRPr="00930562">
        <w:rPr>
          <w:rFonts w:asciiTheme="majorHAnsi" w:hAnsiTheme="majorHAnsi"/>
          <w:vertAlign w:val="superscript"/>
          <w:lang w:val="es-US"/>
        </w:rPr>
        <w:footnoteReference w:id="274"/>
      </w:r>
      <w:r w:rsidRPr="00930562">
        <w:rPr>
          <w:rFonts w:asciiTheme="majorHAnsi" w:hAnsiTheme="majorHAnsi"/>
          <w:lang w:val="es-US"/>
        </w:rPr>
        <w:t xml:space="preserve"> </w:t>
      </w:r>
      <w:r w:rsidR="001B19EF" w:rsidRPr="00930562">
        <w:rPr>
          <w:rFonts w:asciiTheme="majorHAnsi" w:hAnsiTheme="majorHAnsi"/>
          <w:lang w:val="es-US"/>
        </w:rPr>
        <w:t>así como</w:t>
      </w:r>
      <w:r w:rsidRPr="00930562">
        <w:rPr>
          <w:rFonts w:asciiTheme="majorHAnsi" w:hAnsiTheme="majorHAnsi"/>
          <w:lang w:val="es-US"/>
        </w:rPr>
        <w:t xml:space="preserve"> la denominación otorgada a estos grupos como "</w:t>
      </w:r>
      <w:r w:rsidR="001B19EF" w:rsidRPr="00930562">
        <w:rPr>
          <w:rFonts w:asciiTheme="majorHAnsi" w:hAnsiTheme="majorHAnsi"/>
          <w:lang w:val="es-US"/>
        </w:rPr>
        <w:t>E</w:t>
      </w:r>
      <w:r w:rsidRPr="00930562">
        <w:rPr>
          <w:rFonts w:asciiTheme="majorHAnsi" w:hAnsiTheme="majorHAnsi"/>
          <w:lang w:val="es-US"/>
        </w:rPr>
        <w:t xml:space="preserve">xtremistas de </w:t>
      </w:r>
      <w:r w:rsidR="001B19EF" w:rsidRPr="00930562">
        <w:rPr>
          <w:rFonts w:asciiTheme="majorHAnsi" w:hAnsiTheme="majorHAnsi"/>
          <w:lang w:val="es-US"/>
        </w:rPr>
        <w:t>I</w:t>
      </w:r>
      <w:r w:rsidRPr="00930562">
        <w:rPr>
          <w:rFonts w:asciiTheme="majorHAnsi" w:hAnsiTheme="majorHAnsi"/>
          <w:lang w:val="es-US"/>
        </w:rPr>
        <w:t xml:space="preserve">dentidad </w:t>
      </w:r>
      <w:r w:rsidR="001B19EF" w:rsidRPr="00930562">
        <w:rPr>
          <w:rFonts w:asciiTheme="majorHAnsi" w:hAnsiTheme="majorHAnsi"/>
          <w:lang w:val="es-US"/>
        </w:rPr>
        <w:t>N</w:t>
      </w:r>
      <w:r w:rsidRPr="00930562">
        <w:rPr>
          <w:rFonts w:asciiTheme="majorHAnsi" w:hAnsiTheme="majorHAnsi"/>
          <w:lang w:val="es-US"/>
        </w:rPr>
        <w:t>egra."</w:t>
      </w:r>
      <w:r w:rsidRPr="00930562">
        <w:rPr>
          <w:rFonts w:asciiTheme="majorHAnsi" w:hAnsiTheme="majorHAnsi"/>
          <w:vertAlign w:val="superscript"/>
          <w:lang w:val="es-US"/>
        </w:rPr>
        <w:footnoteReference w:id="275"/>
      </w:r>
      <w:r w:rsidRPr="00930562">
        <w:rPr>
          <w:rFonts w:asciiTheme="majorHAnsi" w:hAnsiTheme="majorHAnsi"/>
          <w:lang w:val="es-US"/>
        </w:rPr>
        <w:t xml:space="preserve"> La Comisión observa que la estigmatización de los activistas contra el racismo no es un fenómeno nuevo en los EE.UU.; durante el movimiento por los derechos civiles de la década de 1960, activistas como el </w:t>
      </w:r>
      <w:r w:rsidR="001B19EF" w:rsidRPr="00930562">
        <w:rPr>
          <w:rFonts w:asciiTheme="majorHAnsi" w:hAnsiTheme="majorHAnsi"/>
          <w:lang w:val="es-US"/>
        </w:rPr>
        <w:t>R</w:t>
      </w:r>
      <w:r w:rsidRPr="00930562">
        <w:rPr>
          <w:rFonts w:asciiTheme="majorHAnsi" w:hAnsiTheme="majorHAnsi"/>
          <w:lang w:val="es-US"/>
        </w:rPr>
        <w:t xml:space="preserve">everendo Dr. Martin Luther King, Jr. y los miembros del </w:t>
      </w:r>
      <w:r w:rsidR="001B19EF" w:rsidRPr="00930562">
        <w:rPr>
          <w:rFonts w:asciiTheme="majorHAnsi" w:hAnsiTheme="majorHAnsi"/>
          <w:lang w:val="es-US"/>
        </w:rPr>
        <w:t>Partido Pantera Negra (</w:t>
      </w:r>
      <w:r w:rsidRPr="00930562">
        <w:rPr>
          <w:rFonts w:asciiTheme="majorHAnsi" w:hAnsiTheme="majorHAnsi"/>
          <w:lang w:val="es-US"/>
        </w:rPr>
        <w:t>Black Panther Party</w:t>
      </w:r>
      <w:r w:rsidR="001B19EF" w:rsidRPr="00930562">
        <w:rPr>
          <w:rFonts w:asciiTheme="majorHAnsi" w:hAnsiTheme="majorHAnsi"/>
          <w:lang w:val="es-US"/>
        </w:rPr>
        <w:t>)</w:t>
      </w:r>
      <w:r w:rsidRPr="00930562">
        <w:rPr>
          <w:rFonts w:asciiTheme="majorHAnsi" w:hAnsiTheme="majorHAnsi"/>
          <w:lang w:val="es-US"/>
        </w:rPr>
        <w:t xml:space="preserve"> fueron blanco de ataques de una forma similar a través del "Cointelpro" del FBI ("programa de contrainteligencia").</w:t>
      </w:r>
      <w:r w:rsidRPr="00930562">
        <w:rPr>
          <w:rFonts w:asciiTheme="majorHAnsi" w:hAnsiTheme="majorHAnsi"/>
          <w:vertAlign w:val="superscript"/>
          <w:lang w:val="es-US"/>
        </w:rPr>
        <w:footnoteReference w:id="276"/>
      </w:r>
      <w:r w:rsidRPr="00930562">
        <w:rPr>
          <w:rFonts w:asciiTheme="majorHAnsi" w:hAnsiTheme="majorHAnsi"/>
          <w:lang w:val="es-US"/>
        </w:rPr>
        <w:t xml:space="preserve"> La Comisión observa que, entre otros efectos perjudiciales del aumento de la vigilancia sobre los movimientos de justicia racial, este control tiene también el efecto de aumentar las posibilidades de que sus objetivos sean estigmatizados y criminalizados, exponiéndolos a un mayor riesgo de violencia (por ejemplo, en el contexto de redadas) y un efecto paralizador sobre la libertad de expresión y la libertad de </w:t>
      </w:r>
      <w:r w:rsidR="008D146F" w:rsidRPr="00930562">
        <w:rPr>
          <w:rFonts w:asciiTheme="majorHAnsi" w:hAnsiTheme="majorHAnsi"/>
          <w:lang w:val="es-US"/>
        </w:rPr>
        <w:t>asociación</w:t>
      </w:r>
      <w:r w:rsidRPr="00930562">
        <w:rPr>
          <w:rFonts w:asciiTheme="majorHAnsi" w:hAnsiTheme="majorHAnsi"/>
          <w:lang w:val="es-US"/>
        </w:rPr>
        <w:t xml:space="preserve">. </w:t>
      </w:r>
      <w:bookmarkEnd w:id="110"/>
    </w:p>
    <w:p w14:paraId="74FDEEB4" w14:textId="0580C2B0"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b/>
          <w:sz w:val="24"/>
          <w:szCs w:val="20"/>
          <w:lang w:val="es-US"/>
        </w:rPr>
      </w:pPr>
      <w:r w:rsidRPr="00930562">
        <w:rPr>
          <w:rFonts w:asciiTheme="majorHAnsi" w:hAnsiTheme="majorHAnsi"/>
          <w:lang w:val="es-US"/>
        </w:rPr>
        <w:t xml:space="preserve">A la luz de lo señalado anteriormente, la Comisión hace un llamado al Estado para que garantice el derecho a la libertad de expresión y de </w:t>
      </w:r>
      <w:r w:rsidR="008D146F" w:rsidRPr="00930562">
        <w:rPr>
          <w:rFonts w:asciiTheme="majorHAnsi" w:hAnsiTheme="majorHAnsi"/>
          <w:lang w:val="es-US"/>
        </w:rPr>
        <w:t>asociación</w:t>
      </w:r>
      <w:r w:rsidRPr="00930562">
        <w:rPr>
          <w:rFonts w:asciiTheme="majorHAnsi" w:hAnsiTheme="majorHAnsi"/>
          <w:lang w:val="es-US"/>
        </w:rPr>
        <w:t xml:space="preserve"> y, en particular, para garantizar su cumplimiento libre de disc</w:t>
      </w:r>
      <w:r w:rsidR="009540AB" w:rsidRPr="00930562">
        <w:rPr>
          <w:rFonts w:asciiTheme="majorHAnsi" w:hAnsiTheme="majorHAnsi"/>
          <w:lang w:val="es-US"/>
        </w:rPr>
        <w:t>r</w:t>
      </w:r>
      <w:r w:rsidRPr="00930562">
        <w:rPr>
          <w:rFonts w:asciiTheme="majorHAnsi" w:hAnsiTheme="majorHAnsi"/>
          <w:lang w:val="es-US"/>
        </w:rPr>
        <w:t>iminación por razones de raza u otros motivos prohibidos.</w:t>
      </w:r>
      <w:bookmarkStart w:id="111" w:name="_Toc511837815"/>
      <w:bookmarkStart w:id="112" w:name="_Toc511902988"/>
      <w:r w:rsidR="0098763C" w:rsidRPr="00930562">
        <w:rPr>
          <w:rFonts w:asciiTheme="majorHAnsi" w:hAnsiTheme="majorHAnsi"/>
          <w:lang w:val="es-US"/>
        </w:rPr>
        <w:t xml:space="preserve"> </w:t>
      </w:r>
    </w:p>
    <w:p w14:paraId="4CBB6973" w14:textId="69B28FE4" w:rsidR="005B672D" w:rsidRPr="00930562" w:rsidRDefault="005B672D" w:rsidP="0083030A">
      <w:pPr>
        <w:pStyle w:val="Heading3"/>
        <w:ind w:left="540" w:hanging="540"/>
        <w:rPr>
          <w:lang w:val="es-US"/>
        </w:rPr>
      </w:pPr>
      <w:bookmarkStart w:id="113" w:name="_Toc517779236"/>
      <w:bookmarkStart w:id="114" w:name="_Toc531514467"/>
      <w:r w:rsidRPr="00930562">
        <w:rPr>
          <w:lang w:val="es-US"/>
        </w:rPr>
        <w:t xml:space="preserve">Aspectos de la </w:t>
      </w:r>
      <w:r w:rsidR="00E73016" w:rsidRPr="00930562">
        <w:rPr>
          <w:lang w:val="es-US"/>
        </w:rPr>
        <w:t>discriminación racial en el sistema de justicia penal</w:t>
      </w:r>
      <w:bookmarkEnd w:id="111"/>
      <w:bookmarkEnd w:id="112"/>
      <w:bookmarkEnd w:id="113"/>
      <w:bookmarkEnd w:id="114"/>
    </w:p>
    <w:p w14:paraId="4CC93692" w14:textId="03BF60D0"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La Comisión continúa preocupada por la existencia de discriminación racial en el sistema de justicia penal, desde el momento de la detención hasta los juicios penales y la imposición de sentencias, así como las desigualdades en las condenas y la representación excesiva de afroamericanos y otros grupos históricamente marginados en centros penitenciarios y cárceles.</w:t>
      </w:r>
      <w:r w:rsidRPr="00930562">
        <w:rPr>
          <w:rFonts w:asciiTheme="majorHAnsi" w:hAnsiTheme="majorHAnsi"/>
          <w:vertAlign w:val="superscript"/>
          <w:lang w:val="es-US"/>
        </w:rPr>
        <w:footnoteReference w:id="277"/>
      </w:r>
      <w:r w:rsidRPr="00930562">
        <w:rPr>
          <w:rFonts w:asciiTheme="majorHAnsi" w:hAnsiTheme="majorHAnsi"/>
          <w:lang w:val="es-US"/>
        </w:rPr>
        <w:t xml:space="preserve"> </w:t>
      </w:r>
      <w:r w:rsidRPr="00930562">
        <w:rPr>
          <w:rFonts w:asciiTheme="majorHAnsi" w:hAnsiTheme="majorHAnsi"/>
          <w:lang w:val="es-US"/>
        </w:rPr>
        <w:lastRenderedPageBreak/>
        <w:t xml:space="preserve">La Comisión observa que el racismo en cada etapa del proceso de justicia penal tiende a crear un círculo vicioso, donde las desigualdades en el control policial, los arrestos y la detención preventiva generan disparidades en las acusaciones y condenas, y eventualmente en las tasas de encarcelamiento y re encarcelamiento. A la luz de este preocupante panorama, la Comisión </w:t>
      </w:r>
      <w:r w:rsidR="006652C2" w:rsidRPr="00930562">
        <w:rPr>
          <w:rFonts w:asciiTheme="majorHAnsi" w:hAnsiTheme="majorHAnsi"/>
          <w:lang w:val="es-US"/>
        </w:rPr>
        <w:t xml:space="preserve">subraya </w:t>
      </w:r>
      <w:r w:rsidRPr="00930562">
        <w:rPr>
          <w:rFonts w:asciiTheme="majorHAnsi" w:hAnsiTheme="majorHAnsi"/>
          <w:lang w:val="es-US"/>
        </w:rPr>
        <w:t xml:space="preserve">la obligación del Estado de abordar esta cuestión estructural de manera integral, en cumplimiento de sus obligaciones internacionales en materia de no discriminación, </w:t>
      </w:r>
      <w:r w:rsidR="006652C2" w:rsidRPr="00930562">
        <w:rPr>
          <w:rFonts w:asciiTheme="majorHAnsi" w:hAnsiTheme="majorHAnsi"/>
          <w:lang w:val="es-US"/>
        </w:rPr>
        <w:t>debido proceso</w:t>
      </w:r>
      <w:r w:rsidRPr="00930562">
        <w:rPr>
          <w:rFonts w:asciiTheme="majorHAnsi" w:hAnsiTheme="majorHAnsi"/>
          <w:lang w:val="es-US"/>
        </w:rPr>
        <w:t xml:space="preserve"> y garantías judiciales y </w:t>
      </w:r>
      <w:r w:rsidR="006652C2" w:rsidRPr="00930562">
        <w:rPr>
          <w:rFonts w:asciiTheme="majorHAnsi" w:hAnsiTheme="majorHAnsi"/>
          <w:lang w:val="es-US"/>
        </w:rPr>
        <w:t>hace un llamado a</w:t>
      </w:r>
      <w:r w:rsidRPr="00930562">
        <w:rPr>
          <w:rFonts w:asciiTheme="majorHAnsi" w:hAnsiTheme="majorHAnsi"/>
          <w:lang w:val="es-US"/>
        </w:rPr>
        <w:t xml:space="preserve"> que se lleven a cabo acciones integrales para abordar estos problemas, de acuerdo con las consideraciones de los Capítulos </w:t>
      </w:r>
      <w:r w:rsidR="00815633" w:rsidRPr="00930562">
        <w:rPr>
          <w:rFonts w:asciiTheme="majorHAnsi" w:hAnsiTheme="majorHAnsi"/>
          <w:lang w:val="es-US"/>
        </w:rPr>
        <w:t>3</w:t>
      </w:r>
      <w:r w:rsidRPr="00930562">
        <w:rPr>
          <w:rFonts w:asciiTheme="majorHAnsi" w:hAnsiTheme="majorHAnsi"/>
          <w:lang w:val="es-US"/>
        </w:rPr>
        <w:t xml:space="preserve"> y </w:t>
      </w:r>
      <w:r w:rsidR="00815633" w:rsidRPr="00930562">
        <w:rPr>
          <w:rFonts w:asciiTheme="majorHAnsi" w:hAnsiTheme="majorHAnsi"/>
          <w:lang w:val="es-US"/>
        </w:rPr>
        <w:t>4</w:t>
      </w:r>
      <w:r w:rsidRPr="00930562">
        <w:rPr>
          <w:rFonts w:asciiTheme="majorHAnsi" w:hAnsiTheme="majorHAnsi"/>
          <w:lang w:val="es-US"/>
        </w:rPr>
        <w:t xml:space="preserve">. </w:t>
      </w:r>
    </w:p>
    <w:p w14:paraId="5E3F580D" w14:textId="77777777" w:rsidR="005B672D" w:rsidRPr="00930562" w:rsidRDefault="005B672D" w:rsidP="00724857">
      <w:pPr>
        <w:pStyle w:val="Heading4"/>
        <w:numPr>
          <w:ilvl w:val="0"/>
          <w:numId w:val="14"/>
        </w:numPr>
        <w:ind w:left="540" w:hanging="540"/>
        <w:rPr>
          <w:lang w:val="es-US"/>
        </w:rPr>
      </w:pPr>
      <w:bookmarkStart w:id="115" w:name="_Toc517779237"/>
      <w:bookmarkStart w:id="116" w:name="_Toc531514468"/>
      <w:bookmarkStart w:id="117" w:name="_Ref507665030"/>
      <w:bookmarkStart w:id="118" w:name="_Toc511837816"/>
      <w:bookmarkStart w:id="119" w:name="_Toc511902989"/>
      <w:r w:rsidRPr="00930562">
        <w:rPr>
          <w:lang w:val="es-US"/>
        </w:rPr>
        <w:t>Desigualdades raciales en las detenciones</w:t>
      </w:r>
      <w:bookmarkEnd w:id="115"/>
      <w:bookmarkEnd w:id="116"/>
      <w:r w:rsidRPr="00930562">
        <w:rPr>
          <w:lang w:val="es-US"/>
        </w:rPr>
        <w:t xml:space="preserve"> </w:t>
      </w:r>
      <w:bookmarkEnd w:id="117"/>
      <w:bookmarkEnd w:id="118"/>
      <w:bookmarkEnd w:id="119"/>
    </w:p>
    <w:p w14:paraId="3F21E2D5" w14:textId="1599507E"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 xml:space="preserve">La Comisión continúa seriamente preocupada por informes recibidos que dan cuenta de desigualdades raciales en el número y tipo de detenciones en los EE.UU. Observa que esta situación está estrechamente relacionada con la discriminación en el </w:t>
      </w:r>
      <w:r w:rsidR="00AD0E88" w:rsidRPr="00930562">
        <w:rPr>
          <w:rFonts w:asciiTheme="majorHAnsi" w:hAnsiTheme="majorHAnsi"/>
          <w:lang w:val="es-US"/>
        </w:rPr>
        <w:t xml:space="preserve">control </w:t>
      </w:r>
      <w:r w:rsidRPr="00930562">
        <w:rPr>
          <w:rFonts w:asciiTheme="majorHAnsi" w:hAnsiTheme="majorHAnsi"/>
          <w:lang w:val="es-US"/>
        </w:rPr>
        <w:t xml:space="preserve">policial, lo que </w:t>
      </w:r>
      <w:r w:rsidR="00AD0E88" w:rsidRPr="00930562">
        <w:rPr>
          <w:rFonts w:asciiTheme="majorHAnsi" w:hAnsiTheme="majorHAnsi"/>
          <w:lang w:val="es-US"/>
        </w:rPr>
        <w:t xml:space="preserve">facilita las </w:t>
      </w:r>
      <w:r w:rsidRPr="00930562">
        <w:rPr>
          <w:rFonts w:asciiTheme="majorHAnsi" w:hAnsiTheme="majorHAnsi"/>
          <w:lang w:val="es-US"/>
        </w:rPr>
        <w:t xml:space="preserve">desigualdades en las decisiones de la justicia penal </w:t>
      </w:r>
      <w:r w:rsidR="00AD0E88" w:rsidRPr="00930562">
        <w:rPr>
          <w:rFonts w:asciiTheme="majorHAnsi" w:hAnsiTheme="majorHAnsi"/>
          <w:lang w:val="es-US"/>
        </w:rPr>
        <w:t xml:space="preserve">para </w:t>
      </w:r>
      <w:r w:rsidRPr="00930562">
        <w:rPr>
          <w:rFonts w:asciiTheme="majorHAnsi" w:hAnsiTheme="majorHAnsi"/>
          <w:lang w:val="es-US"/>
        </w:rPr>
        <w:t xml:space="preserve">los afroamericanos. La Comisión reitera la necesidad de llevar adelante </w:t>
      </w:r>
      <w:r w:rsidR="00815633" w:rsidRPr="00930562">
        <w:rPr>
          <w:rFonts w:asciiTheme="majorHAnsi" w:hAnsiTheme="majorHAnsi"/>
          <w:lang w:val="es-US"/>
        </w:rPr>
        <w:t xml:space="preserve">una </w:t>
      </w:r>
      <w:r w:rsidRPr="00930562">
        <w:rPr>
          <w:rFonts w:asciiTheme="majorHAnsi" w:hAnsiTheme="majorHAnsi"/>
          <w:lang w:val="es-US"/>
        </w:rPr>
        <w:t>mayor cantidad de investigaciones sobre enfoques alternativos a la criminalización excesiva y a las detenciones, especialmente como consecuencia de delitos menores, considerando el impacto negativo que tiene contar con antecedentes penales en el plan de vida de las personas afectadas.</w:t>
      </w:r>
      <w:r w:rsidRPr="00930562">
        <w:rPr>
          <w:rFonts w:asciiTheme="majorHAnsi" w:hAnsiTheme="majorHAnsi"/>
          <w:vertAlign w:val="superscript"/>
          <w:lang w:val="es-US"/>
        </w:rPr>
        <w:footnoteReference w:id="278"/>
      </w:r>
    </w:p>
    <w:p w14:paraId="54054DC3" w14:textId="56793D56"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 xml:space="preserve">La Comisión observa con preocupación el papel sesgado, ya sea implícito o explícito, contra los afroamericanos en las tasas diferenciales de arrestos. El poder de la policía para detener, </w:t>
      </w:r>
      <w:r w:rsidR="00C46CF9" w:rsidRPr="00930562">
        <w:rPr>
          <w:rFonts w:asciiTheme="majorHAnsi" w:hAnsiTheme="majorHAnsi"/>
          <w:lang w:val="es-US"/>
        </w:rPr>
        <w:t>p</w:t>
      </w:r>
      <w:r w:rsidRPr="00930562">
        <w:rPr>
          <w:rFonts w:asciiTheme="majorHAnsi" w:hAnsiTheme="majorHAnsi"/>
          <w:lang w:val="es-US"/>
        </w:rPr>
        <w:t>e</w:t>
      </w:r>
      <w:r w:rsidR="00C46CF9" w:rsidRPr="00930562">
        <w:rPr>
          <w:rFonts w:asciiTheme="majorHAnsi" w:hAnsiTheme="majorHAnsi"/>
          <w:lang w:val="es-US"/>
        </w:rPr>
        <w:t>s</w:t>
      </w:r>
      <w:r w:rsidRPr="00930562">
        <w:rPr>
          <w:rFonts w:asciiTheme="majorHAnsi" w:hAnsiTheme="majorHAnsi"/>
          <w:lang w:val="es-US"/>
        </w:rPr>
        <w:t>quisar y efectuar arrestos es discrecional, y existe fuerte evidencia de que este poder se usa de manera desproporcionada contra los hombres negros.</w:t>
      </w:r>
      <w:r w:rsidRPr="00930562">
        <w:rPr>
          <w:rFonts w:asciiTheme="majorHAnsi" w:hAnsiTheme="majorHAnsi"/>
          <w:vertAlign w:val="superscript"/>
          <w:lang w:val="es-US"/>
        </w:rPr>
        <w:footnoteReference w:id="279"/>
      </w:r>
      <w:r w:rsidRPr="00930562">
        <w:rPr>
          <w:rFonts w:asciiTheme="majorHAnsi" w:hAnsiTheme="majorHAnsi"/>
          <w:lang w:val="es-US"/>
        </w:rPr>
        <w:t xml:space="preserve"> La </w:t>
      </w:r>
      <w:r w:rsidR="00C46CF9" w:rsidRPr="00930562">
        <w:rPr>
          <w:rFonts w:asciiTheme="majorHAnsi" w:hAnsiTheme="majorHAnsi"/>
          <w:lang w:val="es-US"/>
        </w:rPr>
        <w:t xml:space="preserve">disparidad </w:t>
      </w:r>
      <w:r w:rsidRPr="00930562">
        <w:rPr>
          <w:rFonts w:asciiTheme="majorHAnsi" w:hAnsiTheme="majorHAnsi"/>
          <w:lang w:val="es-US"/>
        </w:rPr>
        <w:t xml:space="preserve">racial en las detenciones es evidente tanto a nivel general como en los arrestos producto de pesquisas y controles. Por ejemplo, una investigación sobre estadísticas del FBI encontró que los </w:t>
      </w:r>
      <w:r w:rsidR="00815633" w:rsidRPr="00930562">
        <w:rPr>
          <w:rFonts w:asciiTheme="majorHAnsi" w:hAnsiTheme="majorHAnsi"/>
          <w:lang w:val="es-US"/>
        </w:rPr>
        <w:t>afroamericanos</w:t>
      </w:r>
      <w:r w:rsidRPr="00930562">
        <w:rPr>
          <w:rFonts w:asciiTheme="majorHAnsi" w:hAnsiTheme="majorHAnsi"/>
          <w:lang w:val="es-US"/>
        </w:rPr>
        <w:t xml:space="preserve"> son más propensos que otros a ser arrestados en casi todas las ciudades por casi cualquier tipo de delito, desde asesinatos y ataques hasta vagancia y posesión de marihuana. Sólo 173 de los 3.538 departamentos policiales examinados (4.9%) arrestaron </w:t>
      </w:r>
      <w:r w:rsidR="00C46CF9" w:rsidRPr="00930562">
        <w:rPr>
          <w:rFonts w:asciiTheme="majorHAnsi" w:hAnsiTheme="majorHAnsi"/>
          <w:lang w:val="es-US"/>
        </w:rPr>
        <w:t xml:space="preserve">a </w:t>
      </w:r>
      <w:r w:rsidRPr="00930562">
        <w:rPr>
          <w:rFonts w:asciiTheme="majorHAnsi" w:hAnsiTheme="majorHAnsi"/>
          <w:lang w:val="es-US"/>
        </w:rPr>
        <w:t xml:space="preserve">personas negras a un ritmo igual o menor que otros </w:t>
      </w:r>
      <w:r w:rsidRPr="00930562">
        <w:rPr>
          <w:rFonts w:asciiTheme="majorHAnsi" w:hAnsiTheme="majorHAnsi"/>
          <w:lang w:val="es-US"/>
        </w:rPr>
        <w:lastRenderedPageBreak/>
        <w:t>grupos raciales.</w:t>
      </w:r>
      <w:r w:rsidRPr="00930562">
        <w:rPr>
          <w:rFonts w:asciiTheme="majorHAnsi" w:hAnsiTheme="majorHAnsi"/>
          <w:vertAlign w:val="superscript"/>
          <w:lang w:val="es-US"/>
        </w:rPr>
        <w:footnoteReference w:id="280"/>
      </w:r>
      <w:r w:rsidRPr="00930562">
        <w:rPr>
          <w:rFonts w:asciiTheme="majorHAnsi" w:hAnsiTheme="majorHAnsi"/>
          <w:lang w:val="es-US"/>
        </w:rPr>
        <w:t xml:space="preserve"> Con respecto a los arrestos por </w:t>
      </w:r>
      <w:r w:rsidR="0039575D" w:rsidRPr="00930562">
        <w:rPr>
          <w:rFonts w:asciiTheme="majorHAnsi" w:hAnsiTheme="majorHAnsi"/>
          <w:lang w:val="es-US"/>
        </w:rPr>
        <w:t>detenciones</w:t>
      </w:r>
      <w:r w:rsidRPr="00930562">
        <w:rPr>
          <w:rFonts w:asciiTheme="majorHAnsi" w:hAnsiTheme="majorHAnsi"/>
          <w:lang w:val="es-US"/>
        </w:rPr>
        <w:t xml:space="preserve">, un estudio sobre los resultados de </w:t>
      </w:r>
      <w:r w:rsidR="0039575D" w:rsidRPr="00930562">
        <w:rPr>
          <w:rFonts w:asciiTheme="majorHAnsi" w:hAnsiTheme="majorHAnsi"/>
          <w:lang w:val="es-US"/>
        </w:rPr>
        <w:t xml:space="preserve">detenciones </w:t>
      </w:r>
      <w:r w:rsidRPr="00930562">
        <w:rPr>
          <w:rFonts w:asciiTheme="majorHAnsi" w:hAnsiTheme="majorHAnsi"/>
          <w:lang w:val="es-US"/>
        </w:rPr>
        <w:t xml:space="preserve">de tráfico </w:t>
      </w:r>
      <w:r w:rsidR="0039575D" w:rsidRPr="00930562">
        <w:rPr>
          <w:rFonts w:asciiTheme="majorHAnsi" w:hAnsiTheme="majorHAnsi"/>
          <w:lang w:val="es-US"/>
        </w:rPr>
        <w:t>de</w:t>
      </w:r>
      <w:r w:rsidRPr="00930562">
        <w:rPr>
          <w:rFonts w:asciiTheme="majorHAnsi" w:hAnsiTheme="majorHAnsi"/>
          <w:lang w:val="es-US"/>
        </w:rPr>
        <w:t xml:space="preserve"> la Oficina de Estadísticas Judiciales demostró que los conductores negros (4.5%) tenían el doble de probabilidades de ser arrestados durante una parada de tráfico; por el contrario, los blancos (18.6%) eran más propensos que los negros (13.7%) a </w:t>
      </w:r>
      <w:r w:rsidR="0039575D" w:rsidRPr="00930562">
        <w:rPr>
          <w:rFonts w:asciiTheme="majorHAnsi" w:hAnsiTheme="majorHAnsi"/>
          <w:lang w:val="es-US"/>
        </w:rPr>
        <w:t>ser liberados</w:t>
      </w:r>
      <w:r w:rsidRPr="00930562">
        <w:rPr>
          <w:rFonts w:asciiTheme="majorHAnsi" w:hAnsiTheme="majorHAnsi"/>
          <w:lang w:val="es-US"/>
        </w:rPr>
        <w:t xml:space="preserve"> </w:t>
      </w:r>
      <w:r w:rsidR="0039575D" w:rsidRPr="00930562">
        <w:rPr>
          <w:rFonts w:asciiTheme="majorHAnsi" w:hAnsiTheme="majorHAnsi"/>
          <w:lang w:val="es-US"/>
        </w:rPr>
        <w:t xml:space="preserve">con </w:t>
      </w:r>
      <w:r w:rsidRPr="00930562">
        <w:rPr>
          <w:rFonts w:asciiTheme="majorHAnsi" w:hAnsiTheme="majorHAnsi"/>
          <w:lang w:val="es-US"/>
        </w:rPr>
        <w:t>una advertencia verbal de la policía,</w:t>
      </w:r>
      <w:r w:rsidRPr="00930562">
        <w:rPr>
          <w:rFonts w:asciiTheme="majorHAnsi" w:hAnsiTheme="majorHAnsi"/>
          <w:vertAlign w:val="superscript"/>
          <w:lang w:val="es-US"/>
        </w:rPr>
        <w:footnoteReference w:id="281"/>
      </w:r>
      <w:r w:rsidRPr="00930562">
        <w:rPr>
          <w:rFonts w:asciiTheme="majorHAnsi" w:hAnsiTheme="majorHAnsi"/>
          <w:lang w:val="es-US"/>
        </w:rPr>
        <w:t xml:space="preserve"> evidenciando un trato diferencia</w:t>
      </w:r>
      <w:r w:rsidR="0039575D" w:rsidRPr="00930562">
        <w:rPr>
          <w:rFonts w:asciiTheme="majorHAnsi" w:hAnsiTheme="majorHAnsi"/>
          <w:lang w:val="es-US"/>
        </w:rPr>
        <w:t>do</w:t>
      </w:r>
      <w:r w:rsidRPr="00930562">
        <w:rPr>
          <w:rFonts w:asciiTheme="majorHAnsi" w:hAnsiTheme="majorHAnsi"/>
          <w:lang w:val="es-US"/>
        </w:rPr>
        <w:t xml:space="preserve">, ya sea implícito o explícito, por parte de la policía hacia los conductores </w:t>
      </w:r>
      <w:r w:rsidR="002947D7" w:rsidRPr="00930562">
        <w:rPr>
          <w:rFonts w:asciiTheme="majorHAnsi" w:hAnsiTheme="majorHAnsi"/>
          <w:lang w:val="es-US"/>
        </w:rPr>
        <w:t>afroamericanos</w:t>
      </w:r>
      <w:r w:rsidRPr="00930562">
        <w:rPr>
          <w:rFonts w:asciiTheme="majorHAnsi" w:hAnsiTheme="majorHAnsi"/>
          <w:lang w:val="es-US"/>
        </w:rPr>
        <w:t xml:space="preserve">.  </w:t>
      </w:r>
    </w:p>
    <w:p w14:paraId="10CF9956" w14:textId="4F8865C2"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eastAsiaTheme="minorEastAsia" w:hAnsiTheme="majorHAnsi" w:cs="Calibri"/>
          <w:lang w:val="es-US" w:eastAsia="es-ES"/>
        </w:rPr>
        <w:t>Anteriormente la Comisión ha señalado que la guerra contra las drogas exacerba las d</w:t>
      </w:r>
      <w:r w:rsidR="005667EE" w:rsidRPr="00930562">
        <w:rPr>
          <w:rFonts w:asciiTheme="majorHAnsi" w:eastAsiaTheme="minorEastAsia" w:hAnsiTheme="majorHAnsi" w:cs="Calibri"/>
          <w:lang w:val="es-US" w:eastAsia="es-ES"/>
        </w:rPr>
        <w:t>isparidades</w:t>
      </w:r>
      <w:r w:rsidRPr="00930562">
        <w:rPr>
          <w:rFonts w:asciiTheme="majorHAnsi" w:eastAsiaTheme="minorEastAsia" w:hAnsiTheme="majorHAnsi" w:cs="Calibri"/>
          <w:lang w:val="es-US" w:eastAsia="es-ES"/>
        </w:rPr>
        <w:t xml:space="preserve"> raciales en las detenciones. La policía </w:t>
      </w:r>
      <w:r w:rsidR="005667EE" w:rsidRPr="00930562">
        <w:rPr>
          <w:rFonts w:asciiTheme="majorHAnsi" w:eastAsiaTheme="minorEastAsia" w:hAnsiTheme="majorHAnsi" w:cs="Calibri"/>
          <w:lang w:val="es-US" w:eastAsia="es-ES"/>
        </w:rPr>
        <w:t xml:space="preserve">tiene </w:t>
      </w:r>
      <w:r w:rsidRPr="00930562">
        <w:rPr>
          <w:rFonts w:asciiTheme="majorHAnsi" w:eastAsiaTheme="minorEastAsia" w:hAnsiTheme="majorHAnsi" w:cs="Calibri"/>
          <w:lang w:val="es-US" w:eastAsia="es-ES"/>
        </w:rPr>
        <w:t xml:space="preserve">como objetivo </w:t>
      </w:r>
      <w:r w:rsidR="005667EE" w:rsidRPr="00930562">
        <w:rPr>
          <w:rFonts w:asciiTheme="majorHAnsi" w:eastAsiaTheme="minorEastAsia" w:hAnsiTheme="majorHAnsi" w:cs="Calibri"/>
          <w:lang w:val="es-US" w:eastAsia="es-ES"/>
        </w:rPr>
        <w:t xml:space="preserve">a </w:t>
      </w:r>
      <w:r w:rsidRPr="00930562">
        <w:rPr>
          <w:rFonts w:asciiTheme="majorHAnsi" w:eastAsiaTheme="minorEastAsia" w:hAnsiTheme="majorHAnsi" w:cs="Calibri"/>
          <w:lang w:val="es-US" w:eastAsia="es-ES"/>
        </w:rPr>
        <w:t xml:space="preserve">los barrios </w:t>
      </w:r>
      <w:r w:rsidR="002947D7" w:rsidRPr="00930562">
        <w:rPr>
          <w:rFonts w:asciiTheme="majorHAnsi" w:eastAsiaTheme="minorEastAsia" w:hAnsiTheme="majorHAnsi" w:cs="Calibri"/>
          <w:lang w:val="es-US" w:eastAsia="es-ES"/>
        </w:rPr>
        <w:t>afroamericanos</w:t>
      </w:r>
      <w:r w:rsidRPr="00930562">
        <w:rPr>
          <w:rFonts w:asciiTheme="majorHAnsi" w:eastAsiaTheme="minorEastAsia" w:hAnsiTheme="majorHAnsi" w:cs="Calibri"/>
          <w:lang w:val="es-US" w:eastAsia="es-ES"/>
        </w:rPr>
        <w:t xml:space="preserve"> pobres para realizar detenciones </w:t>
      </w:r>
      <w:r w:rsidR="005667EE" w:rsidRPr="00930562">
        <w:rPr>
          <w:rFonts w:asciiTheme="majorHAnsi" w:eastAsiaTheme="minorEastAsia" w:hAnsiTheme="majorHAnsi" w:cs="Calibri"/>
          <w:lang w:val="es-US" w:eastAsia="es-ES"/>
        </w:rPr>
        <w:t xml:space="preserve">de bajo nivel </w:t>
      </w:r>
      <w:r w:rsidRPr="00930562">
        <w:rPr>
          <w:rFonts w:asciiTheme="majorHAnsi" w:eastAsiaTheme="minorEastAsia" w:hAnsiTheme="majorHAnsi" w:cs="Calibri"/>
          <w:lang w:val="es-US" w:eastAsia="es-ES"/>
        </w:rPr>
        <w:t xml:space="preserve">por posesión de drogas, canalizando un número desproporcionado de afroamericanos y otras personas de color al sistema de justicia penal. Un estudio reveló que entre 1980 y 2007 los </w:t>
      </w:r>
      <w:r w:rsidR="002947D7" w:rsidRPr="00930562">
        <w:rPr>
          <w:rFonts w:asciiTheme="majorHAnsi" w:eastAsiaTheme="minorEastAsia" w:hAnsiTheme="majorHAnsi" w:cs="Calibri"/>
          <w:lang w:val="es-US" w:eastAsia="es-ES"/>
        </w:rPr>
        <w:t>afroamericanos</w:t>
      </w:r>
      <w:r w:rsidRPr="00930562">
        <w:rPr>
          <w:rFonts w:asciiTheme="majorHAnsi" w:eastAsiaTheme="minorEastAsia" w:hAnsiTheme="majorHAnsi" w:cs="Calibri"/>
          <w:lang w:val="es-US" w:eastAsia="es-ES"/>
        </w:rPr>
        <w:t xml:space="preserve"> fueron arrestados en todo el país por cargos de drogas a tasas </w:t>
      </w:r>
      <w:r w:rsidR="005667EE" w:rsidRPr="00930562">
        <w:rPr>
          <w:rFonts w:asciiTheme="majorHAnsi" w:eastAsiaTheme="minorEastAsia" w:hAnsiTheme="majorHAnsi" w:cs="Calibri"/>
          <w:lang w:val="es-US" w:eastAsia="es-ES"/>
        </w:rPr>
        <w:t>relativas a la población</w:t>
      </w:r>
      <w:r w:rsidR="005667EE" w:rsidRPr="00930562" w:rsidDel="005667EE">
        <w:rPr>
          <w:rFonts w:asciiTheme="majorHAnsi" w:eastAsiaTheme="minorEastAsia" w:hAnsiTheme="majorHAnsi" w:cs="Calibri"/>
          <w:lang w:val="es-US" w:eastAsia="es-ES"/>
        </w:rPr>
        <w:t xml:space="preserve"> </w:t>
      </w:r>
      <w:r w:rsidRPr="00930562">
        <w:rPr>
          <w:rFonts w:asciiTheme="majorHAnsi" w:eastAsiaTheme="minorEastAsia" w:hAnsiTheme="majorHAnsi" w:cs="Calibri"/>
          <w:lang w:val="es-US" w:eastAsia="es-ES"/>
        </w:rPr>
        <w:t xml:space="preserve">que fueron </w:t>
      </w:r>
      <w:r w:rsidR="005667EE" w:rsidRPr="00930562">
        <w:rPr>
          <w:rFonts w:asciiTheme="majorHAnsi" w:eastAsiaTheme="minorEastAsia" w:hAnsiTheme="majorHAnsi" w:cs="Calibri"/>
          <w:lang w:val="es-US" w:eastAsia="es-ES"/>
        </w:rPr>
        <w:t xml:space="preserve">de </w:t>
      </w:r>
      <w:r w:rsidRPr="00930562">
        <w:rPr>
          <w:rFonts w:asciiTheme="majorHAnsi" w:eastAsiaTheme="minorEastAsia" w:hAnsiTheme="majorHAnsi" w:cs="Calibri"/>
          <w:lang w:val="es-US" w:eastAsia="es-ES"/>
        </w:rPr>
        <w:t xml:space="preserve">2.8 a 5.5 veces </w:t>
      </w:r>
      <w:r w:rsidRPr="00930562">
        <w:rPr>
          <w:rFonts w:asciiTheme="majorHAnsi" w:hAnsiTheme="majorHAnsi"/>
          <w:lang w:val="es-US"/>
        </w:rPr>
        <w:t>más altas que las correspondientes a detenciones de blancos.</w:t>
      </w:r>
      <w:r w:rsidRPr="00930562">
        <w:rPr>
          <w:rFonts w:asciiTheme="majorHAnsi" w:hAnsiTheme="majorHAnsi"/>
          <w:vertAlign w:val="superscript"/>
          <w:lang w:val="es-US"/>
        </w:rPr>
        <w:footnoteReference w:id="282"/>
      </w:r>
      <w:r w:rsidRPr="00930562">
        <w:rPr>
          <w:rFonts w:asciiTheme="majorHAnsi" w:hAnsiTheme="majorHAnsi"/>
          <w:lang w:val="es-US"/>
        </w:rPr>
        <w:t xml:space="preserve"> Una vez que llegan al juzgado, la evidencia indica que los jueces son más estrictos con los delincuentes </w:t>
      </w:r>
      <w:r w:rsidR="005667EE" w:rsidRPr="00930562">
        <w:rPr>
          <w:rFonts w:asciiTheme="majorHAnsi" w:hAnsiTheme="majorHAnsi"/>
          <w:lang w:val="es-US"/>
        </w:rPr>
        <w:t xml:space="preserve">negros </w:t>
      </w:r>
      <w:r w:rsidRPr="00930562">
        <w:rPr>
          <w:rFonts w:asciiTheme="majorHAnsi" w:hAnsiTheme="majorHAnsi"/>
          <w:lang w:val="es-US"/>
        </w:rPr>
        <w:t xml:space="preserve">involucrados en asuntos de drogas en </w:t>
      </w:r>
      <w:r w:rsidR="005667EE" w:rsidRPr="00930562">
        <w:rPr>
          <w:rFonts w:asciiTheme="majorHAnsi" w:hAnsiTheme="majorHAnsi"/>
          <w:lang w:val="es-US"/>
        </w:rPr>
        <w:t xml:space="preserve">toda </w:t>
      </w:r>
      <w:r w:rsidRPr="00930562">
        <w:rPr>
          <w:rFonts w:asciiTheme="majorHAnsi" w:hAnsiTheme="majorHAnsi"/>
          <w:lang w:val="es-US"/>
        </w:rPr>
        <w:t>etapa del proceso.</w:t>
      </w:r>
      <w:r w:rsidRPr="00930562">
        <w:rPr>
          <w:rFonts w:asciiTheme="majorHAnsi" w:hAnsiTheme="majorHAnsi"/>
          <w:vertAlign w:val="superscript"/>
          <w:lang w:val="es-US"/>
        </w:rPr>
        <w:footnoteReference w:id="283"/>
      </w:r>
      <w:r w:rsidRPr="00930562">
        <w:rPr>
          <w:rFonts w:asciiTheme="majorHAnsi" w:hAnsiTheme="majorHAnsi"/>
          <w:lang w:val="es-US"/>
        </w:rPr>
        <w:t xml:space="preserve"> A este respecto, la Comisión </w:t>
      </w:r>
      <w:r w:rsidR="000878F7" w:rsidRPr="00930562">
        <w:rPr>
          <w:rFonts w:asciiTheme="majorHAnsi" w:hAnsiTheme="majorHAnsi"/>
          <w:lang w:val="es-US"/>
        </w:rPr>
        <w:t xml:space="preserve">recuerda </w:t>
      </w:r>
      <w:r w:rsidRPr="00930562">
        <w:rPr>
          <w:rFonts w:asciiTheme="majorHAnsi" w:hAnsiTheme="majorHAnsi"/>
          <w:lang w:val="es-US"/>
        </w:rPr>
        <w:t>su preocupación "por la adopción de medidas estatales que pretenden castigar la conducta relacionada con las drogas -especialmente delitos menores relacionados con las drogas, como el consumo y la posesión para uso personal- y encuentra</w:t>
      </w:r>
      <w:r w:rsidR="000878F7" w:rsidRPr="00930562">
        <w:rPr>
          <w:rFonts w:asciiTheme="majorHAnsi" w:hAnsiTheme="majorHAnsi"/>
          <w:lang w:val="es-US"/>
        </w:rPr>
        <w:t xml:space="preserve"> </w:t>
      </w:r>
      <w:r w:rsidRPr="00930562">
        <w:rPr>
          <w:rFonts w:asciiTheme="majorHAnsi" w:hAnsiTheme="majorHAnsi"/>
          <w:lang w:val="es-US"/>
        </w:rPr>
        <w:t>preocupante [</w:t>
      </w:r>
      <w:r w:rsidR="000878F7" w:rsidRPr="00930562">
        <w:rPr>
          <w:rFonts w:asciiTheme="majorHAnsi" w:hAnsiTheme="majorHAnsi"/>
          <w:lang w:val="es-US"/>
        </w:rPr>
        <w:t>un</w:t>
      </w:r>
      <w:r w:rsidRPr="00930562">
        <w:rPr>
          <w:rFonts w:asciiTheme="majorHAnsi" w:hAnsiTheme="majorHAnsi"/>
          <w:lang w:val="es-US"/>
        </w:rPr>
        <w:t xml:space="preserve"> aparente] aumento en el número de las personas privadas de libertad por actos delictivos relacionados con las drogas”, así como el tratamiento de los consumidores de drogas, “basados en una lógica de represión y criminalización en lugar de</w:t>
      </w:r>
      <w:r w:rsidR="000878F7" w:rsidRPr="00930562">
        <w:rPr>
          <w:rFonts w:asciiTheme="majorHAnsi" w:hAnsiTheme="majorHAnsi"/>
          <w:lang w:val="es-US"/>
        </w:rPr>
        <w:t xml:space="preserve"> […]</w:t>
      </w:r>
      <w:r w:rsidRPr="00930562">
        <w:rPr>
          <w:rFonts w:asciiTheme="majorHAnsi" w:hAnsiTheme="majorHAnsi"/>
          <w:lang w:val="es-US"/>
        </w:rPr>
        <w:t xml:space="preserve"> un enfoque de salud pública”.</w:t>
      </w:r>
      <w:r w:rsidRPr="00930562">
        <w:rPr>
          <w:rFonts w:asciiTheme="majorHAnsi" w:hAnsiTheme="majorHAnsi"/>
          <w:vertAlign w:val="superscript"/>
          <w:lang w:val="es-US"/>
        </w:rPr>
        <w:footnoteReference w:id="284"/>
      </w:r>
      <w:r w:rsidRPr="00930562">
        <w:rPr>
          <w:rFonts w:asciiTheme="majorHAnsi" w:hAnsiTheme="majorHAnsi"/>
          <w:lang w:val="es-US"/>
        </w:rPr>
        <w:t xml:space="preserve"> La Comisión recuerda que estas políticas de criminalización por posesión y consumo de drogas</w:t>
      </w:r>
      <w:r w:rsidR="000878F7" w:rsidRPr="00930562">
        <w:rPr>
          <w:rFonts w:asciiTheme="majorHAnsi" w:hAnsiTheme="majorHAnsi"/>
          <w:lang w:val="es-US"/>
        </w:rPr>
        <w:t xml:space="preserve">, </w:t>
      </w:r>
      <w:r w:rsidRPr="00930562">
        <w:rPr>
          <w:rFonts w:asciiTheme="majorHAnsi" w:hAnsiTheme="majorHAnsi"/>
          <w:lang w:val="es-US"/>
        </w:rPr>
        <w:t xml:space="preserve">considerados </w:t>
      </w:r>
      <w:r w:rsidR="000878F7" w:rsidRPr="00930562">
        <w:rPr>
          <w:rFonts w:asciiTheme="majorHAnsi" w:hAnsiTheme="majorHAnsi"/>
          <w:lang w:val="es-US"/>
        </w:rPr>
        <w:t xml:space="preserve">como </w:t>
      </w:r>
      <w:r w:rsidRPr="00930562">
        <w:rPr>
          <w:rFonts w:asciiTheme="majorHAnsi" w:hAnsiTheme="majorHAnsi"/>
          <w:lang w:val="es-US"/>
        </w:rPr>
        <w:t>delitos</w:t>
      </w:r>
      <w:r w:rsidR="000878F7" w:rsidRPr="00930562">
        <w:rPr>
          <w:rFonts w:asciiTheme="majorHAnsi" w:hAnsiTheme="majorHAnsi"/>
          <w:lang w:val="es-US"/>
        </w:rPr>
        <w:t xml:space="preserve">, </w:t>
      </w:r>
      <w:r w:rsidRPr="00930562">
        <w:rPr>
          <w:rFonts w:asciiTheme="majorHAnsi" w:hAnsiTheme="majorHAnsi"/>
          <w:lang w:val="es-US"/>
        </w:rPr>
        <w:t>han tenido un impacto negativo desproporcionado también en las mujeres.</w:t>
      </w:r>
      <w:r w:rsidRPr="00930562">
        <w:rPr>
          <w:rFonts w:asciiTheme="majorHAnsi" w:hAnsiTheme="majorHAnsi"/>
          <w:vertAlign w:val="superscript"/>
          <w:lang w:val="es-US"/>
        </w:rPr>
        <w:footnoteReference w:id="285"/>
      </w:r>
      <w:r w:rsidRPr="00930562">
        <w:rPr>
          <w:rFonts w:asciiTheme="majorHAnsi" w:hAnsiTheme="majorHAnsi"/>
          <w:lang w:val="es-US"/>
        </w:rPr>
        <w:t xml:space="preserve"> La Comisión destaca que el Estado debería tener en cuenta </w:t>
      </w:r>
      <w:r w:rsidRPr="00930562">
        <w:rPr>
          <w:rFonts w:asciiTheme="majorHAnsi" w:hAnsiTheme="majorHAnsi"/>
          <w:lang w:val="es-US"/>
        </w:rPr>
        <w:lastRenderedPageBreak/>
        <w:t>enfoques menos restrictivos, como la despenalización del uso y la posesión de drogas para uso personal.</w:t>
      </w:r>
      <w:r w:rsidRPr="00930562">
        <w:rPr>
          <w:rFonts w:asciiTheme="majorHAnsi" w:hAnsiTheme="majorHAnsi"/>
          <w:vertAlign w:val="superscript"/>
          <w:lang w:val="es-US"/>
        </w:rPr>
        <w:footnoteReference w:id="286"/>
      </w:r>
    </w:p>
    <w:p w14:paraId="073A4486" w14:textId="08A74530"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lang w:val="es-US"/>
        </w:rPr>
      </w:pPr>
      <w:bookmarkStart w:id="120" w:name="_Ref511150058"/>
      <w:r w:rsidRPr="00930562">
        <w:rPr>
          <w:rFonts w:asciiTheme="majorHAnsi" w:hAnsiTheme="majorHAnsi"/>
          <w:lang w:val="es-US"/>
        </w:rPr>
        <w:t>El impacto desproporcionado de las detenciones de afroamericanos se ve agravado por los efectos de la detención preventiva, que afecta</w:t>
      </w:r>
      <w:r w:rsidR="004847A8" w:rsidRPr="00930562">
        <w:rPr>
          <w:rFonts w:asciiTheme="majorHAnsi" w:hAnsiTheme="majorHAnsi"/>
          <w:lang w:val="es-US"/>
        </w:rPr>
        <w:t>n</w:t>
      </w:r>
      <w:r w:rsidRPr="00930562">
        <w:rPr>
          <w:rFonts w:asciiTheme="majorHAnsi" w:hAnsiTheme="majorHAnsi"/>
          <w:lang w:val="es-US"/>
        </w:rPr>
        <w:t xml:space="preserve"> de manera des</w:t>
      </w:r>
      <w:r w:rsidR="004847A8" w:rsidRPr="00930562">
        <w:rPr>
          <w:rFonts w:asciiTheme="majorHAnsi" w:hAnsiTheme="majorHAnsi"/>
          <w:lang w:val="es-US"/>
        </w:rPr>
        <w:t>proporcionada</w:t>
      </w:r>
      <w:r w:rsidRPr="00930562">
        <w:rPr>
          <w:rFonts w:asciiTheme="majorHAnsi" w:hAnsiTheme="majorHAnsi"/>
          <w:lang w:val="es-US"/>
        </w:rPr>
        <w:t xml:space="preserve"> a quienes no pueden pagar la fianza. La información indica que a nivel nacional, aproximadamente el 62 por ciento de todas las personas encarceladas</w:t>
      </w:r>
      <w:r w:rsidR="004847A8" w:rsidRPr="00930562">
        <w:rPr>
          <w:rFonts w:asciiTheme="majorHAnsi" w:hAnsiTheme="majorHAnsi"/>
          <w:lang w:val="es-US"/>
        </w:rPr>
        <w:t>,</w:t>
      </w:r>
      <w:r w:rsidRPr="00930562">
        <w:rPr>
          <w:rFonts w:asciiTheme="majorHAnsi" w:hAnsiTheme="majorHAnsi"/>
          <w:lang w:val="es-US"/>
        </w:rPr>
        <w:t xml:space="preserve"> en</w:t>
      </w:r>
      <w:r w:rsidR="004847A8" w:rsidRPr="00930562">
        <w:rPr>
          <w:rFonts w:asciiTheme="majorHAnsi" w:hAnsiTheme="majorHAnsi"/>
          <w:lang w:val="es-US"/>
        </w:rPr>
        <w:t xml:space="preserve"> cualquier</w:t>
      </w:r>
      <w:r w:rsidRPr="00930562">
        <w:rPr>
          <w:rFonts w:asciiTheme="majorHAnsi" w:hAnsiTheme="majorHAnsi"/>
          <w:lang w:val="es-US"/>
        </w:rPr>
        <w:t xml:space="preserve"> momento determinado</w:t>
      </w:r>
      <w:r w:rsidR="004847A8" w:rsidRPr="00930562">
        <w:rPr>
          <w:rFonts w:asciiTheme="majorHAnsi" w:hAnsiTheme="majorHAnsi"/>
          <w:lang w:val="es-US"/>
        </w:rPr>
        <w:t>,</w:t>
      </w:r>
      <w:r w:rsidRPr="00930562">
        <w:rPr>
          <w:rFonts w:asciiTheme="majorHAnsi" w:hAnsiTheme="majorHAnsi"/>
          <w:lang w:val="es-US"/>
        </w:rPr>
        <w:t xml:space="preserve"> se encuentran en prisión preventiva acusados de delitos no violentos</w:t>
      </w:r>
      <w:r w:rsidR="004847A8" w:rsidRPr="00930562">
        <w:rPr>
          <w:rFonts w:asciiTheme="majorHAnsi" w:hAnsiTheme="majorHAnsi"/>
          <w:lang w:val="es-US"/>
        </w:rPr>
        <w:t>,</w:t>
      </w:r>
      <w:r w:rsidRPr="00930562">
        <w:rPr>
          <w:rFonts w:asciiTheme="majorHAnsi" w:hAnsiTheme="majorHAnsi"/>
          <w:lang w:val="es-US"/>
        </w:rPr>
        <w:t xml:space="preserve"> y en su mayoría están encarcelados no porque sean un peligro para la comunidad</w:t>
      </w:r>
      <w:r w:rsidR="004847A8" w:rsidRPr="00930562">
        <w:rPr>
          <w:rFonts w:asciiTheme="majorHAnsi" w:hAnsiTheme="majorHAnsi"/>
          <w:lang w:val="es-US"/>
        </w:rPr>
        <w:t xml:space="preserve"> </w:t>
      </w:r>
      <w:r w:rsidRPr="00930562">
        <w:rPr>
          <w:rFonts w:asciiTheme="majorHAnsi" w:hAnsiTheme="majorHAnsi"/>
          <w:lang w:val="es-US"/>
        </w:rPr>
        <w:t>sino porque no pueden pagar la fianza.</w:t>
      </w:r>
      <w:r w:rsidRPr="00930562">
        <w:rPr>
          <w:rFonts w:asciiTheme="majorHAnsi" w:hAnsiTheme="majorHAnsi"/>
          <w:vertAlign w:val="superscript"/>
          <w:lang w:val="es-US"/>
        </w:rPr>
        <w:footnoteReference w:id="287"/>
      </w:r>
      <w:r w:rsidRPr="00930562">
        <w:rPr>
          <w:rFonts w:asciiTheme="majorHAnsi" w:hAnsiTheme="majorHAnsi"/>
          <w:lang w:val="es-US"/>
        </w:rPr>
        <w:t xml:space="preserve"> Dado que los afroamericanos y los hispanos están sobrerrepresentados entre los pobres, también están sobrerrepresentados entre los detenidos con prisión preventiva: constituyen el 30 por ciento de la población a nivel nacional, pero representan el 50 por ciento de todos los detenidos con prisión preventiva.</w:t>
      </w:r>
      <w:r w:rsidRPr="00930562">
        <w:rPr>
          <w:rFonts w:asciiTheme="majorHAnsi" w:hAnsiTheme="majorHAnsi"/>
          <w:vertAlign w:val="superscript"/>
          <w:lang w:val="es-US"/>
        </w:rPr>
        <w:footnoteReference w:id="288"/>
      </w:r>
      <w:r w:rsidRPr="00930562">
        <w:rPr>
          <w:rFonts w:asciiTheme="majorHAnsi" w:hAnsiTheme="majorHAnsi"/>
          <w:lang w:val="es-US"/>
        </w:rPr>
        <w:t xml:space="preserve"> La evidencia también indica que las decisiones de los jueces están afectadas de sesgo racial al momento de establecer fianzas económicas, cuyos montos impactan de manera desproporcionada a los negros.</w:t>
      </w:r>
      <w:r w:rsidRPr="00930562">
        <w:rPr>
          <w:rFonts w:asciiTheme="majorHAnsi" w:hAnsiTheme="majorHAnsi"/>
          <w:vertAlign w:val="superscript"/>
          <w:lang w:val="es-US"/>
        </w:rPr>
        <w:footnoteReference w:id="289"/>
      </w:r>
      <w:r w:rsidRPr="00930562">
        <w:rPr>
          <w:rFonts w:asciiTheme="majorHAnsi" w:hAnsiTheme="majorHAnsi"/>
          <w:lang w:val="es-US"/>
        </w:rPr>
        <w:t xml:space="preserve"> La d</w:t>
      </w:r>
      <w:r w:rsidR="004847A8" w:rsidRPr="00930562">
        <w:rPr>
          <w:rFonts w:asciiTheme="majorHAnsi" w:hAnsiTheme="majorHAnsi"/>
          <w:lang w:val="es-US"/>
        </w:rPr>
        <w:t>isparidad</w:t>
      </w:r>
      <w:r w:rsidRPr="00930562">
        <w:rPr>
          <w:rFonts w:asciiTheme="majorHAnsi" w:hAnsiTheme="majorHAnsi"/>
          <w:lang w:val="es-US"/>
        </w:rPr>
        <w:t xml:space="preserve"> racial en la detención preventiva, agravada por la pobreza, perpetúa un círculo vicioso que conduce a disparidades en la encarcelación: investigaciones indican que incluso un fin de semana en prisión preventiva aumenta la probabilidad de que un acusado de bajo riesgo cometa un delito cuando sea liberado</w:t>
      </w:r>
      <w:r w:rsidR="004847A8" w:rsidRPr="00930562">
        <w:rPr>
          <w:rFonts w:asciiTheme="majorHAnsi" w:hAnsiTheme="majorHAnsi"/>
          <w:lang w:val="es-US"/>
        </w:rPr>
        <w:t xml:space="preserve"> o se pierda una cita en la corte</w:t>
      </w:r>
      <w:r w:rsidRPr="00930562">
        <w:rPr>
          <w:rFonts w:asciiTheme="majorHAnsi" w:hAnsiTheme="majorHAnsi"/>
          <w:lang w:val="es-US"/>
        </w:rPr>
        <w:t>; y esta probabilidad aumenta conforme el acusado permanezca detenido.</w:t>
      </w:r>
      <w:r w:rsidRPr="00930562">
        <w:rPr>
          <w:rFonts w:asciiTheme="majorHAnsi" w:hAnsiTheme="majorHAnsi"/>
          <w:vertAlign w:val="superscript"/>
          <w:lang w:val="es-US"/>
        </w:rPr>
        <w:footnoteReference w:id="290"/>
      </w:r>
      <w:bookmarkEnd w:id="120"/>
      <w:r w:rsidRPr="00930562">
        <w:rPr>
          <w:rFonts w:asciiTheme="majorHAnsi" w:hAnsiTheme="majorHAnsi"/>
          <w:lang w:val="es-US"/>
        </w:rPr>
        <w:t xml:space="preserve"> </w:t>
      </w:r>
    </w:p>
    <w:p w14:paraId="616378B5" w14:textId="32E0816E"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 xml:space="preserve">La Comisión también expresa su preocupación por el uso de la prisión preventiva de manera prolongada hacia personas que no pueden pagar la fianza y las denuncias por la utilización del régimen de aislamiento en prisión preventiva, incluidos </w:t>
      </w:r>
      <w:r w:rsidR="00BC7734" w:rsidRPr="00930562">
        <w:rPr>
          <w:rFonts w:asciiTheme="majorHAnsi" w:hAnsiTheme="majorHAnsi"/>
          <w:lang w:val="es-US"/>
        </w:rPr>
        <w:t xml:space="preserve">los </w:t>
      </w:r>
      <w:r w:rsidRPr="00930562">
        <w:rPr>
          <w:rFonts w:asciiTheme="majorHAnsi" w:hAnsiTheme="majorHAnsi"/>
          <w:lang w:val="es-US"/>
        </w:rPr>
        <w:t>adolescentes.</w:t>
      </w:r>
      <w:r w:rsidRPr="00930562">
        <w:rPr>
          <w:rFonts w:asciiTheme="majorHAnsi" w:hAnsiTheme="majorHAnsi"/>
          <w:vertAlign w:val="superscript"/>
          <w:lang w:val="es-US"/>
        </w:rPr>
        <w:footnoteReference w:id="291"/>
      </w:r>
      <w:r w:rsidRPr="00930562">
        <w:rPr>
          <w:rFonts w:asciiTheme="majorHAnsi" w:hAnsiTheme="majorHAnsi"/>
          <w:lang w:val="es-US"/>
        </w:rPr>
        <w:t xml:space="preserve"> Estas prácticas suelen impactar de manera desproporcionada a los pobres, a los jóvenes y a las personas con discapacidades mentales.</w:t>
      </w:r>
      <w:r w:rsidRPr="00930562">
        <w:rPr>
          <w:rFonts w:asciiTheme="majorHAnsi" w:hAnsiTheme="majorHAnsi"/>
          <w:vertAlign w:val="superscript"/>
          <w:lang w:val="es-US"/>
        </w:rPr>
        <w:footnoteReference w:id="292"/>
      </w:r>
      <w:r w:rsidRPr="00930562">
        <w:rPr>
          <w:rFonts w:asciiTheme="majorHAnsi" w:hAnsiTheme="majorHAnsi"/>
          <w:lang w:val="es-US"/>
        </w:rPr>
        <w:t xml:space="preserve"> A este respecto, el caso de Kalief Browder es emblemático. Browder, un joven afroamericano del Bronx, fue </w:t>
      </w:r>
      <w:r w:rsidRPr="00930562">
        <w:rPr>
          <w:rFonts w:asciiTheme="majorHAnsi" w:hAnsiTheme="majorHAnsi"/>
          <w:lang w:val="es-US"/>
        </w:rPr>
        <w:lastRenderedPageBreak/>
        <w:t>arrestado a la edad de 16 años por un crimen el cual él insistió no había cometido. Fue colocado en prisión preventiva en Rikers Island, Nueva York, por más de tres años—de los cuales aproximadamente dos años estuvo en régimen de aislamiento— mientras se negaba a declararse culpable de los cargos de los que se l</w:t>
      </w:r>
      <w:r w:rsidR="00653669" w:rsidRPr="00930562">
        <w:rPr>
          <w:rFonts w:asciiTheme="majorHAnsi" w:hAnsiTheme="majorHAnsi"/>
          <w:lang w:val="es-US"/>
        </w:rPr>
        <w:t>e</w:t>
      </w:r>
      <w:r w:rsidRPr="00930562">
        <w:rPr>
          <w:rFonts w:asciiTheme="majorHAnsi" w:hAnsiTheme="majorHAnsi"/>
          <w:lang w:val="es-US"/>
        </w:rPr>
        <w:t xml:space="preserve"> acusaba sin juicio previo</w:t>
      </w:r>
      <w:r w:rsidR="00653669" w:rsidRPr="00930562">
        <w:rPr>
          <w:rFonts w:asciiTheme="majorHAnsi" w:hAnsiTheme="majorHAnsi"/>
          <w:lang w:val="es-US"/>
        </w:rPr>
        <w:t xml:space="preserve">, </w:t>
      </w:r>
      <w:r w:rsidRPr="00930562">
        <w:rPr>
          <w:rFonts w:asciiTheme="majorHAnsi" w:hAnsiTheme="majorHAnsi"/>
          <w:lang w:val="es-US"/>
        </w:rPr>
        <w:t xml:space="preserve"> y demoras eternas en los tribunales impidieron la realización de un juicio. Finalmente, fue liberado después de que los fiscales retiraran los cargos en su contra. Sufrió serios problemas de salud mental durante y con posterioridad al </w:t>
      </w:r>
      <w:r w:rsidR="00653669" w:rsidRPr="00930562">
        <w:rPr>
          <w:rFonts w:asciiTheme="majorHAnsi" w:hAnsiTheme="majorHAnsi"/>
          <w:lang w:val="es-US"/>
        </w:rPr>
        <w:t>encarcelamiento</w:t>
      </w:r>
      <w:r w:rsidRPr="00930562">
        <w:rPr>
          <w:rFonts w:asciiTheme="majorHAnsi" w:hAnsiTheme="majorHAnsi"/>
          <w:lang w:val="es-US"/>
        </w:rPr>
        <w:t>, los cuales él atribuyó a la violencia que experimentó en Rikers y al tiempo que perma</w:t>
      </w:r>
      <w:r w:rsidR="0083030A">
        <w:rPr>
          <w:rFonts w:asciiTheme="majorHAnsi" w:hAnsiTheme="majorHAnsi"/>
          <w:lang w:val="es-US"/>
        </w:rPr>
        <w:t>neció en régimen de aislamiento</w:t>
      </w:r>
      <w:r w:rsidR="00653669" w:rsidRPr="00930562">
        <w:rPr>
          <w:rFonts w:asciiTheme="majorHAnsi" w:hAnsiTheme="majorHAnsi"/>
          <w:lang w:val="es-US"/>
        </w:rPr>
        <w:t>,</w:t>
      </w:r>
      <w:r w:rsidR="0083030A">
        <w:rPr>
          <w:rFonts w:asciiTheme="majorHAnsi" w:hAnsiTheme="majorHAnsi"/>
          <w:lang w:val="es-US"/>
        </w:rPr>
        <w:t xml:space="preserve"> </w:t>
      </w:r>
      <w:r w:rsidRPr="00930562">
        <w:rPr>
          <w:rFonts w:asciiTheme="majorHAnsi" w:hAnsiTheme="majorHAnsi"/>
          <w:lang w:val="es-US"/>
        </w:rPr>
        <w:t>y en 2015 a la edad de 22 años se suicidó.</w:t>
      </w:r>
      <w:r w:rsidRPr="00930562">
        <w:rPr>
          <w:rFonts w:asciiTheme="majorHAnsi" w:hAnsiTheme="majorHAnsi"/>
          <w:vertAlign w:val="superscript"/>
          <w:lang w:val="es-US"/>
        </w:rPr>
        <w:footnoteReference w:id="293"/>
      </w:r>
      <w:r w:rsidRPr="00930562">
        <w:rPr>
          <w:rFonts w:asciiTheme="majorHAnsi" w:hAnsiTheme="majorHAnsi"/>
          <w:lang w:val="es-US"/>
        </w:rPr>
        <w:t xml:space="preserve"> Sobre este tema, la Comisión re</w:t>
      </w:r>
      <w:r w:rsidR="00653669" w:rsidRPr="00930562">
        <w:rPr>
          <w:rFonts w:asciiTheme="majorHAnsi" w:hAnsiTheme="majorHAnsi"/>
          <w:lang w:val="es-US"/>
        </w:rPr>
        <w:t>iter</w:t>
      </w:r>
      <w:r w:rsidRPr="00930562">
        <w:rPr>
          <w:rFonts w:asciiTheme="majorHAnsi" w:hAnsiTheme="majorHAnsi"/>
          <w:lang w:val="es-US"/>
        </w:rPr>
        <w:t>a que los estándares internacionales indican que el régimen de a</w:t>
      </w:r>
      <w:r w:rsidR="00E03491" w:rsidRPr="00930562">
        <w:rPr>
          <w:rFonts w:asciiTheme="majorHAnsi" w:hAnsiTheme="majorHAnsi"/>
          <w:lang w:val="es-US"/>
        </w:rPr>
        <w:t xml:space="preserve">islamiento prologando debe </w:t>
      </w:r>
      <w:r w:rsidRPr="00930562">
        <w:rPr>
          <w:rFonts w:asciiTheme="majorHAnsi" w:hAnsiTheme="majorHAnsi"/>
          <w:lang w:val="es-US"/>
        </w:rPr>
        <w:t>estar absolutamente prohibido para niños menores de 18 años y que, en cualquier caso, los efectos y daños psicológicos del aislamiento pueden ser irreversibles cuando éste se extiende por un período superior a los 15 días.</w:t>
      </w:r>
      <w:r w:rsidRPr="00930562">
        <w:rPr>
          <w:rFonts w:asciiTheme="majorHAnsi" w:hAnsiTheme="majorHAnsi"/>
          <w:vertAlign w:val="superscript"/>
          <w:lang w:val="es-US"/>
        </w:rPr>
        <w:footnoteReference w:id="294"/>
      </w:r>
    </w:p>
    <w:p w14:paraId="401AA227" w14:textId="3FD3A91B" w:rsidR="005B672D" w:rsidRPr="00930562" w:rsidRDefault="005B672D" w:rsidP="00724857">
      <w:pPr>
        <w:pStyle w:val="Heading4"/>
        <w:numPr>
          <w:ilvl w:val="0"/>
          <w:numId w:val="14"/>
        </w:numPr>
        <w:ind w:left="540" w:hanging="540"/>
        <w:rPr>
          <w:lang w:val="es-US"/>
        </w:rPr>
      </w:pPr>
      <w:bookmarkStart w:id="121" w:name="_Ref507665051"/>
      <w:bookmarkStart w:id="122" w:name="_Toc511837817"/>
      <w:bookmarkStart w:id="123" w:name="_Toc511902990"/>
      <w:bookmarkStart w:id="124" w:name="_Toc517779238"/>
      <w:bookmarkStart w:id="125" w:name="_Toc531514469"/>
      <w:r w:rsidRPr="00930562">
        <w:rPr>
          <w:lang w:val="es-US"/>
        </w:rPr>
        <w:t>D</w:t>
      </w:r>
      <w:r w:rsidR="00AE2880" w:rsidRPr="00930562">
        <w:rPr>
          <w:lang w:val="es-US"/>
        </w:rPr>
        <w:t>isparidade</w:t>
      </w:r>
      <w:r w:rsidRPr="00930562">
        <w:rPr>
          <w:lang w:val="es-US"/>
        </w:rPr>
        <w:t>s raciales en el acceso a la defensa legal, alegatos</w:t>
      </w:r>
      <w:r w:rsidR="00AE2880" w:rsidRPr="00930562">
        <w:rPr>
          <w:lang w:val="es-US"/>
        </w:rPr>
        <w:t xml:space="preserve">, </w:t>
      </w:r>
      <w:r w:rsidRPr="00930562">
        <w:rPr>
          <w:lang w:val="es-US"/>
        </w:rPr>
        <w:t>sentencias,</w:t>
      </w:r>
      <w:bookmarkEnd w:id="121"/>
      <w:bookmarkEnd w:id="122"/>
      <w:bookmarkEnd w:id="123"/>
      <w:r w:rsidRPr="00930562">
        <w:rPr>
          <w:lang w:val="es-US"/>
        </w:rPr>
        <w:t xml:space="preserve"> encarcelamiento y re-encarcelamiento</w:t>
      </w:r>
      <w:bookmarkEnd w:id="124"/>
      <w:bookmarkEnd w:id="125"/>
    </w:p>
    <w:p w14:paraId="135F7F0F" w14:textId="1739992A"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eastAsia="Times New Roman" w:hAnsiTheme="majorHAnsi" w:cs="Courier New"/>
          <w:szCs w:val="20"/>
          <w:lang w:val="es-US" w:eastAsia="es-ES"/>
        </w:rPr>
        <w:t xml:space="preserve">La Comisión permanece preocupada dado que las </w:t>
      </w:r>
      <w:r w:rsidR="0052790E" w:rsidRPr="00930562">
        <w:rPr>
          <w:rFonts w:asciiTheme="majorHAnsi" w:eastAsia="Times New Roman" w:hAnsiTheme="majorHAnsi" w:cs="Courier New"/>
          <w:szCs w:val="20"/>
          <w:lang w:val="es-US" w:eastAsia="es-ES"/>
        </w:rPr>
        <w:t xml:space="preserve">disparidades </w:t>
      </w:r>
      <w:r w:rsidRPr="00930562">
        <w:rPr>
          <w:rFonts w:asciiTheme="majorHAnsi" w:eastAsia="Times New Roman" w:hAnsiTheme="majorHAnsi" w:cs="Courier New"/>
          <w:szCs w:val="20"/>
          <w:lang w:val="es-US" w:eastAsia="es-ES"/>
        </w:rPr>
        <w:t>raciales han impregnado todo el aparato del sistema de justicia penal.</w:t>
      </w:r>
      <w:r w:rsidRPr="00930562">
        <w:rPr>
          <w:rFonts w:asciiTheme="majorHAnsi" w:eastAsia="Times New Roman" w:hAnsiTheme="majorHAnsi" w:cs="Courier New"/>
          <w:szCs w:val="20"/>
          <w:vertAlign w:val="superscript"/>
          <w:lang w:val="es-US" w:eastAsia="es-ES"/>
        </w:rPr>
        <w:footnoteReference w:id="295"/>
      </w:r>
      <w:r w:rsidRPr="00930562">
        <w:rPr>
          <w:rFonts w:asciiTheme="majorHAnsi" w:eastAsia="Times New Roman" w:hAnsiTheme="majorHAnsi" w:cs="Courier New"/>
          <w:szCs w:val="20"/>
          <w:lang w:val="es-US" w:eastAsia="es-ES"/>
        </w:rPr>
        <w:t xml:space="preserve"> La Comisión ha recibido información acerca de </w:t>
      </w:r>
      <w:r w:rsidR="0052790E" w:rsidRPr="00930562">
        <w:rPr>
          <w:rFonts w:asciiTheme="majorHAnsi" w:eastAsia="Times New Roman" w:hAnsiTheme="majorHAnsi" w:cs="Courier New"/>
          <w:szCs w:val="20"/>
          <w:lang w:val="es-US" w:eastAsia="es-ES"/>
        </w:rPr>
        <w:t xml:space="preserve">disparidades </w:t>
      </w:r>
      <w:r w:rsidRPr="00930562">
        <w:rPr>
          <w:rFonts w:asciiTheme="majorHAnsi" w:eastAsia="Times New Roman" w:hAnsiTheme="majorHAnsi" w:cs="Courier New"/>
          <w:szCs w:val="20"/>
          <w:lang w:val="es-US" w:eastAsia="es-ES"/>
        </w:rPr>
        <w:t xml:space="preserve">raciales en el acceso a un abogado en procesos penales; en la negociación y las </w:t>
      </w:r>
      <w:r w:rsidRPr="00930562">
        <w:rPr>
          <w:rFonts w:asciiTheme="majorHAnsi" w:hAnsiTheme="majorHAnsi"/>
          <w:lang w:val="es-US"/>
        </w:rPr>
        <w:t xml:space="preserve">condiciones asociadas a los acuerdos para rebajas de penas; en las tasas de encarcelamiento y sentencia; y </w:t>
      </w:r>
      <w:r w:rsidR="0052790E" w:rsidRPr="00930562">
        <w:rPr>
          <w:rFonts w:asciiTheme="majorHAnsi" w:hAnsiTheme="majorHAnsi"/>
          <w:lang w:val="es-US"/>
        </w:rPr>
        <w:t xml:space="preserve">en </w:t>
      </w:r>
      <w:r w:rsidRPr="00930562">
        <w:rPr>
          <w:rFonts w:asciiTheme="majorHAnsi" w:hAnsiTheme="majorHAnsi"/>
          <w:lang w:val="es-US"/>
        </w:rPr>
        <w:t xml:space="preserve">las tasas de re-encarcelamiento, incluso sobre la base de violaciones a la libertad condicional. La Comisión hace eco de las preocupaciones expresadas por CERD </w:t>
      </w:r>
      <w:r w:rsidR="0052790E" w:rsidRPr="00930562">
        <w:rPr>
          <w:rFonts w:asciiTheme="majorHAnsi" w:hAnsiTheme="majorHAnsi"/>
          <w:lang w:val="es-US"/>
        </w:rPr>
        <w:t>con relación a que</w:t>
      </w:r>
      <w:r w:rsidRPr="00930562">
        <w:rPr>
          <w:rFonts w:asciiTheme="majorHAnsi" w:hAnsiTheme="majorHAnsi"/>
          <w:lang w:val="es-US"/>
        </w:rPr>
        <w:t xml:space="preserve"> los afroamericanos continúan siendo detenidos de manera desproporcionada, encarcelados y sometidos a condenas más severas, incluida la cadena perpetua sin posibilidad de libertad condicional y la pena de muerte, y esta situación se ve agravada por el ejercicio del poder discrecional de los </w:t>
      </w:r>
      <w:r w:rsidRPr="00930562">
        <w:rPr>
          <w:rFonts w:asciiTheme="majorHAnsi" w:hAnsiTheme="majorHAnsi"/>
          <w:lang w:val="es-US"/>
        </w:rPr>
        <w:lastRenderedPageBreak/>
        <w:t>fiscales, la aplicación</w:t>
      </w:r>
      <w:r w:rsidR="0052790E" w:rsidRPr="00930562">
        <w:rPr>
          <w:rFonts w:asciiTheme="majorHAnsi" w:hAnsiTheme="majorHAnsi"/>
          <w:lang w:val="es-US"/>
        </w:rPr>
        <w:t xml:space="preserve"> obligatoria</w:t>
      </w:r>
      <w:r w:rsidRPr="00930562">
        <w:rPr>
          <w:rFonts w:asciiTheme="majorHAnsi" w:hAnsiTheme="majorHAnsi"/>
          <w:lang w:val="es-US"/>
        </w:rPr>
        <w:t xml:space="preserve"> de</w:t>
      </w:r>
      <w:r w:rsidR="0052790E" w:rsidRPr="00930562">
        <w:rPr>
          <w:rFonts w:asciiTheme="majorHAnsi" w:hAnsiTheme="majorHAnsi"/>
          <w:lang w:val="es-US"/>
        </w:rPr>
        <w:t xml:space="preserve"> las políticas de</w:t>
      </w:r>
      <w:r w:rsidRPr="00930562">
        <w:rPr>
          <w:rFonts w:asciiTheme="majorHAnsi" w:hAnsiTheme="majorHAnsi"/>
          <w:lang w:val="es-US"/>
        </w:rPr>
        <w:t xml:space="preserve"> sentenci</w:t>
      </w:r>
      <w:r w:rsidR="0052790E" w:rsidRPr="00930562">
        <w:rPr>
          <w:rFonts w:asciiTheme="majorHAnsi" w:hAnsiTheme="majorHAnsi"/>
          <w:lang w:val="es-US"/>
        </w:rPr>
        <w:t xml:space="preserve">ar </w:t>
      </w:r>
      <w:r w:rsidRPr="00930562">
        <w:rPr>
          <w:rFonts w:asciiTheme="majorHAnsi" w:hAnsiTheme="majorHAnsi"/>
          <w:lang w:val="es-US"/>
        </w:rPr>
        <w:t xml:space="preserve">delitos </w:t>
      </w:r>
      <w:r w:rsidR="0052790E" w:rsidRPr="00930562">
        <w:rPr>
          <w:rFonts w:asciiTheme="majorHAnsi" w:hAnsiTheme="majorHAnsi"/>
          <w:lang w:val="es-US"/>
        </w:rPr>
        <w:t xml:space="preserve"> menores </w:t>
      </w:r>
      <w:r w:rsidRPr="00930562">
        <w:rPr>
          <w:rFonts w:asciiTheme="majorHAnsi" w:hAnsiTheme="majorHAnsi"/>
          <w:lang w:val="es-US"/>
        </w:rPr>
        <w:t>relacionados con el uso de drogas y las leyes de reincidencia.</w:t>
      </w:r>
      <w:r w:rsidRPr="00930562">
        <w:rPr>
          <w:rFonts w:asciiTheme="majorHAnsi" w:hAnsiTheme="majorHAnsi"/>
          <w:vertAlign w:val="superscript"/>
          <w:lang w:val="es-US"/>
        </w:rPr>
        <w:footnoteReference w:id="296"/>
      </w:r>
      <w:r w:rsidRPr="00930562">
        <w:rPr>
          <w:rFonts w:asciiTheme="majorHAnsi" w:hAnsiTheme="majorHAnsi"/>
          <w:lang w:val="es-US"/>
        </w:rPr>
        <w:t xml:space="preserve"> </w:t>
      </w:r>
    </w:p>
    <w:p w14:paraId="519A1061" w14:textId="18A90C01"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La Comisión ha recibido información sobre las d</w:t>
      </w:r>
      <w:r w:rsidR="0052790E" w:rsidRPr="00930562">
        <w:rPr>
          <w:rFonts w:asciiTheme="majorHAnsi" w:hAnsiTheme="majorHAnsi"/>
          <w:lang w:val="es-US"/>
        </w:rPr>
        <w:t>isparidade</w:t>
      </w:r>
      <w:r w:rsidRPr="00930562">
        <w:rPr>
          <w:rFonts w:asciiTheme="majorHAnsi" w:hAnsiTheme="majorHAnsi"/>
          <w:lang w:val="es-US"/>
        </w:rPr>
        <w:t>s en el acceso a los abogados en los procedimientos penales.</w:t>
      </w:r>
      <w:r w:rsidRPr="00930562">
        <w:rPr>
          <w:rFonts w:asciiTheme="majorHAnsi" w:hAnsiTheme="majorHAnsi"/>
          <w:vertAlign w:val="superscript"/>
          <w:lang w:val="es-US"/>
        </w:rPr>
        <w:footnoteReference w:id="297"/>
      </w:r>
      <w:r w:rsidRPr="00930562">
        <w:rPr>
          <w:rFonts w:asciiTheme="majorHAnsi" w:hAnsiTheme="majorHAnsi"/>
          <w:lang w:val="es-US"/>
        </w:rPr>
        <w:t xml:space="preserve"> Estas cuestiones están estrechamente relacionadas con la pobreza y los problemas de acceso y calidad a la defensa </w:t>
      </w:r>
      <w:r w:rsidR="0052790E" w:rsidRPr="00930562">
        <w:rPr>
          <w:rFonts w:asciiTheme="majorHAnsi" w:hAnsiTheme="majorHAnsi"/>
          <w:lang w:val="es-US"/>
        </w:rPr>
        <w:t xml:space="preserve">legal </w:t>
      </w:r>
      <w:r w:rsidRPr="00930562">
        <w:rPr>
          <w:rFonts w:asciiTheme="majorHAnsi" w:hAnsiTheme="majorHAnsi"/>
          <w:lang w:val="es-US"/>
        </w:rPr>
        <w:t>para acusados indigentes; no obstante, incluso entre los acusados</w:t>
      </w:r>
      <w:r w:rsidR="0052790E" w:rsidRPr="00930562">
        <w:rPr>
          <w:rFonts w:asciiTheme="majorHAnsi" w:hAnsiTheme="majorHAnsi"/>
          <w:lang w:val="es-US"/>
        </w:rPr>
        <w:t xml:space="preserve"> </w:t>
      </w:r>
      <w:r w:rsidRPr="00930562">
        <w:rPr>
          <w:rFonts w:asciiTheme="majorHAnsi" w:hAnsiTheme="majorHAnsi"/>
          <w:lang w:val="es-US"/>
        </w:rPr>
        <w:t>indigentes, los afroamericanos se ven desproporcionadamente afectados por la falta de acceso a un abogado.</w:t>
      </w:r>
      <w:r w:rsidRPr="00930562">
        <w:rPr>
          <w:rFonts w:asciiTheme="majorHAnsi" w:hAnsiTheme="majorHAnsi"/>
          <w:vertAlign w:val="superscript"/>
          <w:lang w:val="es-US"/>
        </w:rPr>
        <w:footnoteReference w:id="298"/>
      </w:r>
      <w:r w:rsidRPr="00930562">
        <w:rPr>
          <w:rFonts w:asciiTheme="majorHAnsi" w:hAnsiTheme="majorHAnsi"/>
          <w:lang w:val="es-US"/>
        </w:rPr>
        <w:t xml:space="preserve"> La falta de acceso a la defensa </w:t>
      </w:r>
      <w:r w:rsidR="0052790E" w:rsidRPr="00930562">
        <w:rPr>
          <w:rFonts w:asciiTheme="majorHAnsi" w:hAnsiTheme="majorHAnsi"/>
          <w:lang w:val="es-US"/>
        </w:rPr>
        <w:t xml:space="preserve">legal </w:t>
      </w:r>
      <w:r w:rsidRPr="00930562">
        <w:rPr>
          <w:rFonts w:asciiTheme="majorHAnsi" w:hAnsiTheme="majorHAnsi"/>
          <w:lang w:val="es-US"/>
        </w:rPr>
        <w:t>pone en peligro el derecho al debido proceso en general</w:t>
      </w:r>
      <w:r w:rsidRPr="00930562">
        <w:rPr>
          <w:rFonts w:asciiTheme="majorHAnsi" w:hAnsiTheme="majorHAnsi"/>
          <w:vertAlign w:val="superscript"/>
          <w:lang w:val="es-US"/>
        </w:rPr>
        <w:footnoteReference w:id="299"/>
      </w:r>
      <w:r w:rsidRPr="00930562">
        <w:rPr>
          <w:rFonts w:asciiTheme="majorHAnsi" w:hAnsiTheme="majorHAnsi"/>
          <w:lang w:val="es-US"/>
        </w:rPr>
        <w:t xml:space="preserve"> e impacta sobre la capacidad de los acusados de negociar</w:t>
      </w:r>
      <w:r w:rsidR="0052790E" w:rsidRPr="00930562">
        <w:rPr>
          <w:rFonts w:asciiTheme="majorHAnsi" w:hAnsiTheme="majorHAnsi"/>
          <w:lang w:val="es-US"/>
        </w:rPr>
        <w:t>,</w:t>
      </w:r>
      <w:r w:rsidRPr="00930562">
        <w:rPr>
          <w:rFonts w:asciiTheme="majorHAnsi" w:hAnsiTheme="majorHAnsi"/>
          <w:lang w:val="es-US"/>
        </w:rPr>
        <w:t xml:space="preserve"> en igualdad de condiciones</w:t>
      </w:r>
      <w:r w:rsidR="0052790E" w:rsidRPr="00930562">
        <w:rPr>
          <w:rFonts w:asciiTheme="majorHAnsi" w:hAnsiTheme="majorHAnsi"/>
          <w:lang w:val="es-US"/>
        </w:rPr>
        <w:t>,</w:t>
      </w:r>
      <w:r w:rsidRPr="00930562">
        <w:rPr>
          <w:rFonts w:asciiTheme="majorHAnsi" w:hAnsiTheme="majorHAnsi"/>
          <w:lang w:val="es-US"/>
        </w:rPr>
        <w:t xml:space="preserve"> un proceso de </w:t>
      </w:r>
      <w:r w:rsidR="00644B62" w:rsidRPr="00930562">
        <w:rPr>
          <w:rFonts w:asciiTheme="majorHAnsi" w:hAnsiTheme="majorHAnsi"/>
          <w:lang w:val="es-US"/>
        </w:rPr>
        <w:t>conmutació</w:t>
      </w:r>
      <w:r w:rsidRPr="00930562">
        <w:rPr>
          <w:rFonts w:asciiTheme="majorHAnsi" w:hAnsiTheme="majorHAnsi"/>
          <w:lang w:val="es-US"/>
        </w:rPr>
        <w:t xml:space="preserve">n de la </w:t>
      </w:r>
      <w:r w:rsidR="00644B62" w:rsidRPr="00930562">
        <w:rPr>
          <w:rFonts w:asciiTheme="majorHAnsi" w:hAnsiTheme="majorHAnsi"/>
          <w:lang w:val="es-US"/>
        </w:rPr>
        <w:t>pena</w:t>
      </w:r>
      <w:r w:rsidRPr="00930562">
        <w:rPr>
          <w:rFonts w:asciiTheme="majorHAnsi" w:hAnsiTheme="majorHAnsi"/>
          <w:lang w:val="es-US"/>
        </w:rPr>
        <w:t>.</w:t>
      </w:r>
    </w:p>
    <w:p w14:paraId="1E734058" w14:textId="44285D20"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El efecto de la falta de acceso a una defensa le</w:t>
      </w:r>
      <w:r w:rsidR="00644B62" w:rsidRPr="00930562">
        <w:rPr>
          <w:rFonts w:asciiTheme="majorHAnsi" w:hAnsiTheme="majorHAnsi"/>
          <w:lang w:val="es-US"/>
        </w:rPr>
        <w:t>gal</w:t>
      </w:r>
      <w:r w:rsidRPr="00930562">
        <w:rPr>
          <w:rFonts w:asciiTheme="majorHAnsi" w:hAnsiTheme="majorHAnsi"/>
          <w:lang w:val="es-US"/>
        </w:rPr>
        <w:t xml:space="preserve"> de calidad se ve agravado por el poder de los fiscales para decidir si y cómo presentarán cargos</w:t>
      </w:r>
      <w:r w:rsidR="00644B62" w:rsidRPr="00930562">
        <w:rPr>
          <w:rFonts w:asciiTheme="majorHAnsi" w:hAnsiTheme="majorHAnsi"/>
          <w:lang w:val="es-US"/>
        </w:rPr>
        <w:t xml:space="preserve"> de delitos</w:t>
      </w:r>
      <w:r w:rsidRPr="00930562">
        <w:rPr>
          <w:rFonts w:asciiTheme="majorHAnsi" w:hAnsiTheme="majorHAnsi"/>
          <w:lang w:val="es-US"/>
        </w:rPr>
        <w:t xml:space="preserve"> o no contra los acusados. La información indica que este poder, que no está sujeto a revisión, puede ser ejercido de una manera discriminatoria en razón de raza. Por ejemplo, </w:t>
      </w:r>
      <w:r w:rsidR="00644B62" w:rsidRPr="00930562">
        <w:rPr>
          <w:rFonts w:asciiTheme="majorHAnsi" w:hAnsiTheme="majorHAnsi"/>
          <w:lang w:val="es-US"/>
        </w:rPr>
        <w:t>un estudio</w:t>
      </w:r>
      <w:r w:rsidRPr="00930562">
        <w:rPr>
          <w:rFonts w:asciiTheme="majorHAnsi" w:hAnsiTheme="majorHAnsi"/>
          <w:lang w:val="es-US"/>
        </w:rPr>
        <w:t xml:space="preserve"> demostró que fiscales acusan de delitos a hombres negros con penas obligatorias con el doble de frecuencia que lo hacen cuando se trata de hombres blancos.</w:t>
      </w:r>
      <w:r w:rsidRPr="00930562">
        <w:rPr>
          <w:rFonts w:asciiTheme="majorHAnsi" w:hAnsiTheme="majorHAnsi"/>
          <w:vertAlign w:val="superscript"/>
          <w:lang w:val="es-US"/>
        </w:rPr>
        <w:footnoteReference w:id="300"/>
      </w:r>
      <w:r w:rsidRPr="00930562">
        <w:rPr>
          <w:rFonts w:asciiTheme="majorHAnsi" w:hAnsiTheme="majorHAnsi"/>
          <w:lang w:val="es-US"/>
        </w:rPr>
        <w:t xml:space="preserve"> Los fiscales también controlan el proceso de negociación </w:t>
      </w:r>
      <w:r w:rsidRPr="00930562">
        <w:rPr>
          <w:rFonts w:asciiTheme="majorHAnsi" w:eastAsia="Times New Roman" w:hAnsiTheme="majorHAnsi"/>
          <w:lang w:val="es-US" w:eastAsia="es-ES"/>
        </w:rPr>
        <w:t xml:space="preserve">para </w:t>
      </w:r>
      <w:r w:rsidR="00644B62" w:rsidRPr="00930562">
        <w:rPr>
          <w:rFonts w:asciiTheme="majorHAnsi" w:eastAsia="Times New Roman" w:hAnsiTheme="majorHAnsi"/>
          <w:lang w:val="es-US" w:eastAsia="es-ES"/>
        </w:rPr>
        <w:t xml:space="preserve">conmutación </w:t>
      </w:r>
      <w:r w:rsidRPr="00930562">
        <w:rPr>
          <w:rFonts w:asciiTheme="majorHAnsi" w:eastAsia="Times New Roman" w:hAnsiTheme="majorHAnsi"/>
          <w:lang w:val="es-US" w:eastAsia="es-ES"/>
        </w:rPr>
        <w:t>de penas</w:t>
      </w:r>
      <w:r w:rsidRPr="00930562">
        <w:rPr>
          <w:rFonts w:asciiTheme="majorHAnsi" w:hAnsiTheme="majorHAnsi"/>
          <w:lang w:val="es-US"/>
        </w:rPr>
        <w:t>, lo que significa que toman decisiones discrecionales y que en gran medida no están sujetas a revisión sobre qué tipo de sanciones aplicar y contra qué acusados.</w:t>
      </w:r>
      <w:bookmarkStart w:id="126" w:name="_Ref507171639"/>
      <w:r w:rsidRPr="00930562">
        <w:rPr>
          <w:rFonts w:asciiTheme="majorHAnsi" w:hAnsiTheme="majorHAnsi"/>
          <w:vertAlign w:val="superscript"/>
          <w:lang w:val="es-US"/>
        </w:rPr>
        <w:footnoteReference w:id="301"/>
      </w:r>
      <w:bookmarkEnd w:id="126"/>
      <w:r w:rsidRPr="00930562">
        <w:rPr>
          <w:rFonts w:asciiTheme="majorHAnsi" w:hAnsiTheme="majorHAnsi"/>
          <w:lang w:val="es-US"/>
        </w:rPr>
        <w:t xml:space="preserve"> Este poder sobre cargos y sanciones penales </w:t>
      </w:r>
      <w:r w:rsidR="00644B62" w:rsidRPr="00930562">
        <w:rPr>
          <w:rFonts w:asciiTheme="majorHAnsi" w:hAnsiTheme="majorHAnsi"/>
          <w:lang w:val="es-US"/>
        </w:rPr>
        <w:t>se amplí</w:t>
      </w:r>
      <w:r w:rsidRPr="00930562">
        <w:rPr>
          <w:rFonts w:asciiTheme="majorHAnsi" w:hAnsiTheme="majorHAnsi"/>
          <w:lang w:val="es-US"/>
        </w:rPr>
        <w:t xml:space="preserve">a por el hecho de que el 97 por ciento de las condenas federales y el 94 por ciento </w:t>
      </w:r>
      <w:r w:rsidRPr="00930562">
        <w:rPr>
          <w:rFonts w:asciiTheme="majorHAnsi" w:hAnsiTheme="majorHAnsi"/>
          <w:lang w:val="es-US"/>
        </w:rPr>
        <w:lastRenderedPageBreak/>
        <w:t>de las condenas estatales son el resultado de declaraciones de culpabilidad, sin juicio previo.</w:t>
      </w:r>
      <w:r w:rsidRPr="00930562">
        <w:rPr>
          <w:rFonts w:asciiTheme="majorHAnsi" w:hAnsiTheme="majorHAnsi"/>
          <w:vertAlign w:val="superscript"/>
          <w:lang w:val="es-US"/>
        </w:rPr>
        <w:footnoteReference w:id="302"/>
      </w:r>
    </w:p>
    <w:p w14:paraId="0998A23A" w14:textId="56F17F90"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La información recibida por la Comisión indica la existencia de significativas d</w:t>
      </w:r>
      <w:r w:rsidR="00DA2298" w:rsidRPr="00930562">
        <w:rPr>
          <w:rFonts w:asciiTheme="majorHAnsi" w:hAnsiTheme="majorHAnsi"/>
          <w:lang w:val="es-US"/>
        </w:rPr>
        <w:t>isparidad</w:t>
      </w:r>
      <w:r w:rsidRPr="00930562">
        <w:rPr>
          <w:rFonts w:asciiTheme="majorHAnsi" w:hAnsiTheme="majorHAnsi"/>
          <w:lang w:val="es-US"/>
        </w:rPr>
        <w:t>es raciales en las decisiones sobre las sentencias en los Estados Unidos.</w:t>
      </w:r>
      <w:r w:rsidRPr="00930562">
        <w:rPr>
          <w:rFonts w:asciiTheme="majorHAnsi" w:hAnsiTheme="majorHAnsi"/>
          <w:vertAlign w:val="superscript"/>
          <w:lang w:val="es-US"/>
        </w:rPr>
        <w:footnoteReference w:id="303"/>
      </w:r>
      <w:r w:rsidRPr="00930562">
        <w:rPr>
          <w:rFonts w:asciiTheme="majorHAnsi" w:hAnsiTheme="majorHAnsi"/>
          <w:lang w:val="es-US"/>
        </w:rPr>
        <w:t xml:space="preserve"> Las sentencias impuestas a hombres </w:t>
      </w:r>
      <w:r w:rsidR="00781A61" w:rsidRPr="00930562">
        <w:rPr>
          <w:rFonts w:asciiTheme="majorHAnsi" w:hAnsiTheme="majorHAnsi"/>
          <w:lang w:val="es-US"/>
        </w:rPr>
        <w:t>afroamericanos</w:t>
      </w:r>
      <w:r w:rsidRPr="00930562">
        <w:rPr>
          <w:rFonts w:asciiTheme="majorHAnsi" w:hAnsiTheme="majorHAnsi"/>
          <w:lang w:val="es-US"/>
        </w:rPr>
        <w:t xml:space="preserve"> en el sistema penal federal son casi un 20 por ciento más extensas que las impuestas a hombres blancos condenados por delitos similares.</w:t>
      </w:r>
      <w:r w:rsidRPr="00930562">
        <w:rPr>
          <w:rFonts w:asciiTheme="majorHAnsi" w:hAnsiTheme="majorHAnsi"/>
          <w:vertAlign w:val="superscript"/>
          <w:lang w:val="es-US"/>
        </w:rPr>
        <w:footnoteReference w:id="304"/>
      </w:r>
      <w:r w:rsidRPr="00930562">
        <w:rPr>
          <w:rFonts w:asciiTheme="majorHAnsi" w:hAnsiTheme="majorHAnsi"/>
          <w:lang w:val="es-US"/>
        </w:rPr>
        <w:t xml:space="preserve"> Los procesados</w:t>
      </w:r>
      <w:r w:rsidR="00DA2298" w:rsidRPr="00930562">
        <w:rPr>
          <w:rFonts w:asciiTheme="majorHAnsi" w:hAnsiTheme="majorHAnsi"/>
          <w:lang w:val="es-US"/>
        </w:rPr>
        <w:t xml:space="preserve"> </w:t>
      </w:r>
      <w:r w:rsidRPr="00930562">
        <w:rPr>
          <w:rFonts w:asciiTheme="majorHAnsi" w:hAnsiTheme="majorHAnsi"/>
          <w:lang w:val="es-US"/>
        </w:rPr>
        <w:t>negros e hispanos son significativamente más propensos a ser encarcelados que los procesados</w:t>
      </w:r>
      <w:r w:rsidR="000D277F" w:rsidRPr="00930562">
        <w:rPr>
          <w:rFonts w:asciiTheme="majorHAnsi" w:hAnsiTheme="majorHAnsi"/>
          <w:lang w:val="es-US"/>
        </w:rPr>
        <w:t xml:space="preserve"> </w:t>
      </w:r>
      <w:r w:rsidRPr="00930562">
        <w:rPr>
          <w:rFonts w:asciiTheme="majorHAnsi" w:hAnsiTheme="majorHAnsi"/>
          <w:lang w:val="es-US"/>
        </w:rPr>
        <w:t>blancos comparables, y en algunas jurisdicciones reciben sentencias más largas que sus colegas blancos.</w:t>
      </w:r>
      <w:r w:rsidRPr="00930562">
        <w:rPr>
          <w:rFonts w:asciiTheme="majorHAnsi" w:hAnsiTheme="majorHAnsi"/>
          <w:vertAlign w:val="superscript"/>
          <w:lang w:val="es-US"/>
        </w:rPr>
        <w:footnoteReference w:id="305"/>
      </w:r>
      <w:r w:rsidRPr="00930562">
        <w:rPr>
          <w:rFonts w:asciiTheme="majorHAnsi" w:hAnsiTheme="majorHAnsi"/>
          <w:lang w:val="es-US"/>
        </w:rPr>
        <w:t xml:space="preserve"> Un estudio reciente concluyó que casi la mitad de los condados de Florida condena a </w:t>
      </w:r>
      <w:r w:rsidR="00781A61" w:rsidRPr="00930562">
        <w:rPr>
          <w:rFonts w:asciiTheme="majorHAnsi" w:hAnsiTheme="majorHAnsi"/>
          <w:lang w:val="es-US"/>
        </w:rPr>
        <w:t>afroamericanos</w:t>
      </w:r>
      <w:r w:rsidRPr="00930562">
        <w:rPr>
          <w:rFonts w:asciiTheme="majorHAnsi" w:hAnsiTheme="majorHAnsi"/>
          <w:lang w:val="es-US"/>
        </w:rPr>
        <w:t xml:space="preserve"> acusados por delitos graves de posesión de drogas más del doble de tiempo que a los blancos, </w:t>
      </w:r>
      <w:r w:rsidR="000D277F" w:rsidRPr="00930562">
        <w:rPr>
          <w:rFonts w:asciiTheme="majorHAnsi" w:hAnsiTheme="majorHAnsi"/>
          <w:lang w:val="es-US"/>
        </w:rPr>
        <w:t xml:space="preserve">aún y </w:t>
      </w:r>
      <w:r w:rsidRPr="00930562">
        <w:rPr>
          <w:rFonts w:asciiTheme="majorHAnsi" w:hAnsiTheme="majorHAnsi"/>
          <w:lang w:val="es-US"/>
        </w:rPr>
        <w:t>cuando sus antecedentes (contados a través de un sistema de "puntos") sean los mismos. En toda la Florida, cuando un procesado blanco y otro negro obtienen los mismos puntos por el mismo delito, los jueces otorgan al negro una sentencia de prisión más larga en el 60 por ciento de los casos de delitos graves.</w:t>
      </w:r>
      <w:r w:rsidRPr="00930562">
        <w:rPr>
          <w:rFonts w:asciiTheme="majorHAnsi" w:hAnsiTheme="majorHAnsi"/>
          <w:vertAlign w:val="superscript"/>
          <w:lang w:val="es-US"/>
        </w:rPr>
        <w:footnoteReference w:id="306"/>
      </w:r>
      <w:r w:rsidRPr="00930562">
        <w:rPr>
          <w:rFonts w:asciiTheme="majorHAnsi" w:hAnsiTheme="majorHAnsi"/>
          <w:lang w:val="es-US"/>
        </w:rPr>
        <w:t xml:space="preserve"> En todo el sistema federal, los hombres negros procesados</w:t>
      </w:r>
      <w:r w:rsidR="000D277F" w:rsidRPr="00930562">
        <w:rPr>
          <w:rFonts w:asciiTheme="majorHAnsi" w:hAnsiTheme="majorHAnsi"/>
          <w:lang w:val="es-US"/>
        </w:rPr>
        <w:t xml:space="preserve"> </w:t>
      </w:r>
      <w:r w:rsidRPr="00930562">
        <w:rPr>
          <w:rFonts w:asciiTheme="majorHAnsi" w:hAnsiTheme="majorHAnsi"/>
          <w:lang w:val="es-US"/>
        </w:rPr>
        <w:t>reciben sentencias más largas que los procesados</w:t>
      </w:r>
      <w:r w:rsidR="000D277F" w:rsidRPr="00930562">
        <w:rPr>
          <w:rFonts w:asciiTheme="majorHAnsi" w:hAnsiTheme="majorHAnsi"/>
          <w:lang w:val="es-US"/>
        </w:rPr>
        <w:t xml:space="preserve"> </w:t>
      </w:r>
      <w:r w:rsidRPr="00930562">
        <w:rPr>
          <w:rFonts w:asciiTheme="majorHAnsi" w:hAnsiTheme="majorHAnsi"/>
          <w:lang w:val="es-US"/>
        </w:rPr>
        <w:t>blancos detenidos por los mismos delitos y con antecedentes penales similares.</w:t>
      </w:r>
      <w:r w:rsidRPr="00930562">
        <w:rPr>
          <w:rFonts w:asciiTheme="majorHAnsi" w:hAnsiTheme="majorHAnsi"/>
          <w:vertAlign w:val="superscript"/>
          <w:lang w:val="es-US"/>
        </w:rPr>
        <w:footnoteReference w:id="307"/>
      </w:r>
      <w:r w:rsidRPr="00930562">
        <w:rPr>
          <w:rFonts w:asciiTheme="majorHAnsi" w:hAnsiTheme="majorHAnsi"/>
          <w:lang w:val="es-US"/>
        </w:rPr>
        <w:t xml:space="preserve"> La raza también juega un papel importante en la decisión de qué tipo de casos de homicidio resulta en condenas a muerte. </w:t>
      </w:r>
      <w:r w:rsidRPr="00930562">
        <w:rPr>
          <w:rFonts w:asciiTheme="majorHAnsi" w:hAnsiTheme="majorHAnsi"/>
          <w:vertAlign w:val="superscript"/>
          <w:lang w:val="es-US"/>
        </w:rPr>
        <w:footnoteReference w:id="308"/>
      </w:r>
    </w:p>
    <w:p w14:paraId="37A2F657" w14:textId="31048DC8"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eastAsia="Times New Roman" w:hAnsiTheme="majorHAnsi"/>
          <w:lang w:val="es-US" w:eastAsia="es-ES"/>
        </w:rPr>
      </w:pPr>
      <w:bookmarkStart w:id="127" w:name="_Ref507586178"/>
      <w:r w:rsidRPr="00930562">
        <w:rPr>
          <w:rFonts w:asciiTheme="majorHAnsi" w:hAnsiTheme="majorHAnsi"/>
          <w:lang w:val="es-US"/>
        </w:rPr>
        <w:t xml:space="preserve">La Comisión recuerda que los Estados Unidos tienen la tasa más alta de encarcelamiento del mundo, con un número aproximado de 719 </w:t>
      </w:r>
      <w:r w:rsidRPr="00930562">
        <w:rPr>
          <w:rFonts w:asciiTheme="majorHAnsi" w:hAnsiTheme="majorHAnsi"/>
          <w:lang w:val="es-US"/>
        </w:rPr>
        <w:lastRenderedPageBreak/>
        <w:t>prisioneros por cada 100.000 residentes,</w:t>
      </w:r>
      <w:r w:rsidRPr="00930562">
        <w:rPr>
          <w:rFonts w:asciiTheme="majorHAnsi" w:hAnsiTheme="majorHAnsi"/>
          <w:vertAlign w:val="superscript"/>
          <w:lang w:val="es-US"/>
        </w:rPr>
        <w:footnoteReference w:id="309"/>
      </w:r>
      <w:r w:rsidRPr="00930562">
        <w:rPr>
          <w:rFonts w:asciiTheme="majorHAnsi" w:hAnsiTheme="majorHAnsi"/>
          <w:lang w:val="es-US"/>
        </w:rPr>
        <w:t xml:space="preserve"> </w:t>
      </w:r>
      <w:r w:rsidR="008E557A" w:rsidRPr="00930562">
        <w:rPr>
          <w:rFonts w:asciiTheme="majorHAnsi" w:hAnsiTheme="majorHAnsi"/>
          <w:lang w:val="es-US"/>
        </w:rPr>
        <w:t>más de</w:t>
      </w:r>
      <w:r w:rsidRPr="00930562">
        <w:rPr>
          <w:rFonts w:asciiTheme="majorHAnsi" w:hAnsiTheme="majorHAnsi"/>
          <w:lang w:val="es-US"/>
        </w:rPr>
        <w:t xml:space="preserve"> cinco veces más alta que la mayoría de los países del mundo.</w:t>
      </w:r>
      <w:r w:rsidRPr="00930562">
        <w:rPr>
          <w:rFonts w:asciiTheme="majorHAnsi" w:eastAsia="Times New Roman" w:hAnsiTheme="majorHAnsi"/>
          <w:vertAlign w:val="superscript"/>
          <w:lang w:val="es-US" w:eastAsia="es-ES"/>
        </w:rPr>
        <w:footnoteReference w:id="310"/>
      </w:r>
      <w:r w:rsidRPr="00930562">
        <w:rPr>
          <w:rFonts w:asciiTheme="majorHAnsi" w:eastAsia="Times New Roman" w:hAnsiTheme="majorHAnsi"/>
          <w:lang w:val="es-US" w:eastAsia="es-ES"/>
        </w:rPr>
        <w:t xml:space="preserve"> </w:t>
      </w:r>
      <w:r w:rsidRPr="00930562">
        <w:rPr>
          <w:rFonts w:asciiTheme="majorHAnsi" w:hAnsiTheme="majorHAnsi"/>
          <w:bCs/>
          <w:lang w:val="es-US"/>
        </w:rPr>
        <w:t xml:space="preserve">Además del </w:t>
      </w:r>
      <w:r w:rsidRPr="00930562">
        <w:rPr>
          <w:rFonts w:asciiTheme="majorHAnsi" w:hAnsiTheme="majorHAnsi"/>
          <w:lang w:val="es-US"/>
        </w:rPr>
        <w:t>1,3 millón de personas encarceladas en prisiones estatales, aproximadamente 1 millón más se encuentra privada de su libertad en algún momento de su vida en penitenciarias federales, cárceles locales, centros de detención migratorios y otros centros de detención.</w:t>
      </w:r>
      <w:r w:rsidRPr="00930562">
        <w:rPr>
          <w:rFonts w:asciiTheme="majorHAnsi" w:hAnsiTheme="majorHAnsi"/>
          <w:vertAlign w:val="superscript"/>
          <w:lang w:val="es-US"/>
        </w:rPr>
        <w:footnoteReference w:id="311"/>
      </w:r>
      <w:r w:rsidRPr="00930562">
        <w:rPr>
          <w:rFonts w:asciiTheme="majorHAnsi" w:hAnsiTheme="majorHAnsi"/>
          <w:lang w:val="es-US"/>
        </w:rPr>
        <w:t xml:space="preserve"> La Comisión observa</w:t>
      </w:r>
      <w:r w:rsidR="008E557A" w:rsidRPr="00930562">
        <w:rPr>
          <w:rFonts w:asciiTheme="majorHAnsi" w:hAnsiTheme="majorHAnsi"/>
          <w:lang w:val="es-US"/>
        </w:rPr>
        <w:t>,</w:t>
      </w:r>
      <w:r w:rsidRPr="00930562">
        <w:rPr>
          <w:rFonts w:asciiTheme="majorHAnsi" w:hAnsiTheme="majorHAnsi"/>
          <w:lang w:val="es-US"/>
        </w:rPr>
        <w:t xml:space="preserve"> sin embargo</w:t>
      </w:r>
      <w:r w:rsidR="008E557A" w:rsidRPr="00930562">
        <w:rPr>
          <w:rFonts w:asciiTheme="majorHAnsi" w:hAnsiTheme="majorHAnsi"/>
          <w:lang w:val="es-US"/>
        </w:rPr>
        <w:t>,</w:t>
      </w:r>
      <w:r w:rsidRPr="00930562">
        <w:rPr>
          <w:rFonts w:asciiTheme="majorHAnsi" w:hAnsiTheme="majorHAnsi"/>
          <w:lang w:val="es-US"/>
        </w:rPr>
        <w:t xml:space="preserve"> que la tasa general de encarcelamiento ha ido disminuyendo desde 2007— de aproximadamente 1 en 100 adultos a 1 en 115</w:t>
      </w:r>
      <w:r w:rsidR="008E557A" w:rsidRPr="00930562">
        <w:rPr>
          <w:rFonts w:asciiTheme="majorHAnsi" w:hAnsiTheme="majorHAnsi"/>
          <w:lang w:val="es-US"/>
        </w:rPr>
        <w:t>-</w:t>
      </w:r>
      <w:r w:rsidRPr="00930562">
        <w:rPr>
          <w:rFonts w:asciiTheme="majorHAnsi" w:hAnsiTheme="majorHAnsi"/>
          <w:lang w:val="es-US"/>
        </w:rPr>
        <w:t>, en gran parte debido a iniciativas de reforma a nivel estatal.</w:t>
      </w:r>
      <w:r w:rsidRPr="00930562">
        <w:rPr>
          <w:rFonts w:asciiTheme="majorHAnsi" w:hAnsiTheme="majorHAnsi"/>
          <w:vertAlign w:val="superscript"/>
          <w:lang w:val="es-US"/>
        </w:rPr>
        <w:footnoteReference w:id="312"/>
      </w:r>
      <w:r w:rsidRPr="00930562">
        <w:rPr>
          <w:rFonts w:asciiTheme="majorHAnsi" w:hAnsiTheme="majorHAnsi"/>
          <w:lang w:val="es-US"/>
        </w:rPr>
        <w:t xml:space="preserve"> Entre la población encarcelada, l</w:t>
      </w:r>
      <w:r w:rsidR="00F34579" w:rsidRPr="00930562">
        <w:rPr>
          <w:rFonts w:asciiTheme="majorHAnsi" w:hAnsiTheme="majorHAnsi"/>
          <w:lang w:val="es-US"/>
        </w:rPr>
        <w:t>os afroamericanos</w:t>
      </w:r>
      <w:r w:rsidRPr="00930562">
        <w:rPr>
          <w:rFonts w:asciiTheme="majorHAnsi" w:hAnsiTheme="majorHAnsi"/>
          <w:lang w:val="es-US"/>
        </w:rPr>
        <w:t xml:space="preserve">, los hispanos y los </w:t>
      </w:r>
      <w:r w:rsidR="00B05D33" w:rsidRPr="00930562">
        <w:rPr>
          <w:rFonts w:asciiTheme="majorHAnsi" w:hAnsiTheme="majorHAnsi"/>
          <w:lang w:val="es-US"/>
        </w:rPr>
        <w:t>integrantes de pueblos indígenas</w:t>
      </w:r>
      <w:r w:rsidRPr="00930562">
        <w:rPr>
          <w:rFonts w:asciiTheme="majorHAnsi" w:hAnsiTheme="majorHAnsi"/>
          <w:lang w:val="es-US"/>
        </w:rPr>
        <w:t xml:space="preserve"> están extremadamente sobrerrepresentados en relación con el porcentaje </w:t>
      </w:r>
      <w:r w:rsidR="008E557A" w:rsidRPr="00930562">
        <w:rPr>
          <w:rFonts w:asciiTheme="majorHAnsi" w:hAnsiTheme="majorHAnsi"/>
          <w:lang w:val="es-US"/>
        </w:rPr>
        <w:t xml:space="preserve">del total </w:t>
      </w:r>
      <w:r w:rsidRPr="00930562">
        <w:rPr>
          <w:rFonts w:asciiTheme="majorHAnsi" w:hAnsiTheme="majorHAnsi"/>
          <w:lang w:val="es-US"/>
        </w:rPr>
        <w:t>de la población.</w:t>
      </w:r>
      <w:r w:rsidRPr="00930562">
        <w:rPr>
          <w:rFonts w:asciiTheme="majorHAnsi" w:hAnsiTheme="majorHAnsi"/>
          <w:vertAlign w:val="superscript"/>
          <w:lang w:val="es-US"/>
        </w:rPr>
        <w:footnoteReference w:id="313"/>
      </w:r>
      <w:r w:rsidRPr="00930562">
        <w:rPr>
          <w:rFonts w:asciiTheme="majorHAnsi" w:hAnsiTheme="majorHAnsi"/>
          <w:lang w:val="es-US"/>
        </w:rPr>
        <w:t xml:space="preserve"> Si bien los afroamericanos constituyen el 13 por ciento de la población de los EE.UU., éstos representan el 38 por ciento de la población encarcelada.</w:t>
      </w:r>
      <w:r w:rsidRPr="00930562">
        <w:rPr>
          <w:rFonts w:asciiTheme="majorHAnsi" w:hAnsiTheme="majorHAnsi"/>
          <w:vertAlign w:val="superscript"/>
          <w:lang w:val="es-US"/>
        </w:rPr>
        <w:footnoteReference w:id="314"/>
      </w:r>
      <w:r w:rsidRPr="00930562">
        <w:rPr>
          <w:rFonts w:asciiTheme="majorHAnsi" w:hAnsiTheme="majorHAnsi"/>
          <w:lang w:val="es-US"/>
        </w:rPr>
        <w:t xml:space="preserve"> Esta gravísima desigualdad también se extiende a los condenados a muerte: los afroamericanos constituyen el 41</w:t>
      </w:r>
      <w:r w:rsidR="00A3374D" w:rsidRPr="00930562">
        <w:rPr>
          <w:rFonts w:asciiTheme="majorHAnsi" w:hAnsiTheme="majorHAnsi"/>
          <w:lang w:val="es-US"/>
        </w:rPr>
        <w:t>.</w:t>
      </w:r>
      <w:r w:rsidRPr="00930562">
        <w:rPr>
          <w:rFonts w:asciiTheme="majorHAnsi" w:hAnsiTheme="majorHAnsi"/>
          <w:lang w:val="es-US"/>
        </w:rPr>
        <w:t>65 por ciento de la población condenada a muerte y el 34</w:t>
      </w:r>
      <w:r w:rsidR="00A3374D" w:rsidRPr="00930562">
        <w:rPr>
          <w:rFonts w:asciiTheme="majorHAnsi" w:hAnsiTheme="majorHAnsi"/>
          <w:lang w:val="es-US"/>
        </w:rPr>
        <w:t>.</w:t>
      </w:r>
      <w:r w:rsidRPr="00930562">
        <w:rPr>
          <w:rFonts w:asciiTheme="majorHAnsi" w:hAnsiTheme="majorHAnsi"/>
          <w:lang w:val="es-US"/>
        </w:rPr>
        <w:t>5 por ciento de los condenados</w:t>
      </w:r>
      <w:r w:rsidR="00A3374D" w:rsidRPr="00930562">
        <w:rPr>
          <w:rFonts w:asciiTheme="majorHAnsi" w:hAnsiTheme="majorHAnsi"/>
          <w:lang w:val="es-US"/>
        </w:rPr>
        <w:t xml:space="preserve"> </w:t>
      </w:r>
      <w:r w:rsidRPr="00930562">
        <w:rPr>
          <w:rFonts w:asciiTheme="majorHAnsi" w:hAnsiTheme="majorHAnsi"/>
          <w:lang w:val="es-US"/>
        </w:rPr>
        <w:t>ejecutados en los EE.UU. desde 1976.</w:t>
      </w:r>
      <w:r w:rsidRPr="00930562">
        <w:rPr>
          <w:rFonts w:asciiTheme="majorHAnsi" w:hAnsiTheme="majorHAnsi"/>
          <w:bCs/>
          <w:vertAlign w:val="superscript"/>
          <w:lang w:val="es-US"/>
        </w:rPr>
        <w:footnoteReference w:id="315"/>
      </w:r>
      <w:r w:rsidRPr="00930562">
        <w:rPr>
          <w:rFonts w:asciiTheme="majorHAnsi" w:hAnsiTheme="majorHAnsi"/>
          <w:lang w:val="es-US"/>
        </w:rPr>
        <w:t xml:space="preserve"> Por el contrario, los blancos constituyen el 64 por ciento de la población nacional y sólo el 39 por ciento de la población encarcelada; los hispanos constituyen el 16 por ciento de la población nacional y el 19 por ciento de la población encarcelada.</w:t>
      </w:r>
      <w:r w:rsidRPr="00930562">
        <w:rPr>
          <w:rFonts w:asciiTheme="majorHAnsi" w:hAnsiTheme="majorHAnsi"/>
          <w:bCs/>
          <w:lang w:val="es-US"/>
        </w:rPr>
        <w:t xml:space="preserve"> </w:t>
      </w:r>
      <w:r w:rsidRPr="00930562">
        <w:rPr>
          <w:rFonts w:asciiTheme="majorHAnsi" w:eastAsia="Times New Roman" w:hAnsiTheme="majorHAnsi"/>
          <w:lang w:val="es-US" w:eastAsia="es-ES"/>
        </w:rPr>
        <w:t xml:space="preserve">En consecuencia, mientras que la tasa general de encarcelamiento de los blancos es de 450 cada 100.000, la tasa de encarcelamiento de los negros es 2.306 </w:t>
      </w:r>
      <w:r w:rsidR="00A3374D" w:rsidRPr="00930562">
        <w:rPr>
          <w:rFonts w:asciiTheme="majorHAnsi" w:eastAsia="Times New Roman" w:hAnsiTheme="majorHAnsi"/>
          <w:lang w:val="es-US" w:eastAsia="es-ES"/>
        </w:rPr>
        <w:t xml:space="preserve">por </w:t>
      </w:r>
      <w:r w:rsidRPr="00930562">
        <w:rPr>
          <w:rFonts w:asciiTheme="majorHAnsi" w:eastAsia="Times New Roman" w:hAnsiTheme="majorHAnsi"/>
          <w:lang w:val="es-US" w:eastAsia="es-ES"/>
        </w:rPr>
        <w:t>cada 100.000.</w:t>
      </w:r>
      <w:r w:rsidRPr="00930562">
        <w:rPr>
          <w:rFonts w:asciiTheme="majorHAnsi" w:eastAsia="Times New Roman" w:hAnsiTheme="majorHAnsi"/>
          <w:vertAlign w:val="superscript"/>
          <w:lang w:val="es-US" w:eastAsia="es-ES"/>
        </w:rPr>
        <w:footnoteReference w:id="316"/>
      </w:r>
      <w:r w:rsidRPr="00930562">
        <w:rPr>
          <w:rFonts w:asciiTheme="majorHAnsi" w:eastAsia="Times New Roman" w:hAnsiTheme="majorHAnsi"/>
          <w:lang w:val="es-US" w:eastAsia="es-ES"/>
        </w:rPr>
        <w:t xml:space="preserve"> En las prisiones estatales, los afroamericanos están encarcelados en todo el país a una tasa cinco veces más alta que los blancos</w:t>
      </w:r>
      <w:r w:rsidR="00A3374D" w:rsidRPr="00930562">
        <w:rPr>
          <w:rFonts w:asciiTheme="majorHAnsi" w:eastAsia="Times New Roman" w:hAnsiTheme="majorHAnsi"/>
          <w:lang w:val="es-US" w:eastAsia="es-ES"/>
        </w:rPr>
        <w:t>,</w:t>
      </w:r>
      <w:r w:rsidRPr="00930562">
        <w:rPr>
          <w:rFonts w:asciiTheme="majorHAnsi" w:eastAsia="Times New Roman" w:hAnsiTheme="majorHAnsi"/>
          <w:lang w:val="es-US" w:eastAsia="es-ES"/>
        </w:rPr>
        <w:t xml:space="preserve"> y en cinco estados a una tasa al menos diez veces más alta.</w:t>
      </w:r>
      <w:r w:rsidRPr="00930562">
        <w:rPr>
          <w:rFonts w:asciiTheme="majorHAnsi" w:eastAsia="Times New Roman" w:hAnsiTheme="majorHAnsi"/>
          <w:vertAlign w:val="superscript"/>
          <w:lang w:val="es-US" w:eastAsia="es-ES"/>
        </w:rPr>
        <w:footnoteReference w:id="317"/>
      </w:r>
      <w:bookmarkEnd w:id="127"/>
      <w:r w:rsidRPr="00930562">
        <w:rPr>
          <w:rFonts w:asciiTheme="majorHAnsi" w:hAnsiTheme="majorHAnsi"/>
          <w:lang w:val="es-US"/>
        </w:rPr>
        <w:t xml:space="preserve">  </w:t>
      </w:r>
    </w:p>
    <w:p w14:paraId="51502089" w14:textId="5F2089A0"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eastAsia="Times New Roman" w:hAnsiTheme="majorHAnsi"/>
          <w:lang w:val="es-US" w:eastAsia="es-ES"/>
        </w:rPr>
        <w:t>La Comisión reit</w:t>
      </w:r>
      <w:r w:rsidR="00A3374D" w:rsidRPr="00930562">
        <w:rPr>
          <w:rFonts w:asciiTheme="majorHAnsi" w:eastAsia="Times New Roman" w:hAnsiTheme="majorHAnsi"/>
          <w:lang w:val="es-US" w:eastAsia="es-ES"/>
        </w:rPr>
        <w:t>era</w:t>
      </w:r>
      <w:r w:rsidRPr="00930562">
        <w:rPr>
          <w:rFonts w:asciiTheme="majorHAnsi" w:eastAsia="Times New Roman" w:hAnsiTheme="majorHAnsi"/>
          <w:lang w:val="es-US" w:eastAsia="es-ES"/>
        </w:rPr>
        <w:t xml:space="preserve"> su preocupación por la alta tasa de encarcelamiento en EE.UU a causa de delitos no violentos relacionados con las drogas.  Llama al Estado a que establezca una política integral de drogas con </w:t>
      </w:r>
      <w:r w:rsidR="00A3374D" w:rsidRPr="00930562">
        <w:rPr>
          <w:rFonts w:asciiTheme="majorHAnsi" w:eastAsia="Times New Roman" w:hAnsiTheme="majorHAnsi"/>
          <w:lang w:val="es-US" w:eastAsia="es-ES"/>
        </w:rPr>
        <w:t>enf</w:t>
      </w:r>
      <w:r w:rsidRPr="00930562">
        <w:rPr>
          <w:rFonts w:asciiTheme="majorHAnsi" w:eastAsia="Times New Roman" w:hAnsiTheme="majorHAnsi"/>
          <w:lang w:val="es-US" w:eastAsia="es-ES"/>
        </w:rPr>
        <w:t>o</w:t>
      </w:r>
      <w:r w:rsidR="00A3374D" w:rsidRPr="00930562">
        <w:rPr>
          <w:rFonts w:asciiTheme="majorHAnsi" w:eastAsia="Times New Roman" w:hAnsiTheme="majorHAnsi"/>
          <w:lang w:val="es-US" w:eastAsia="es-ES"/>
        </w:rPr>
        <w:t>que</w:t>
      </w:r>
      <w:r w:rsidRPr="00930562">
        <w:rPr>
          <w:rFonts w:asciiTheme="majorHAnsi" w:eastAsia="Times New Roman" w:hAnsiTheme="majorHAnsi"/>
          <w:lang w:val="es-US" w:eastAsia="es-ES"/>
        </w:rPr>
        <w:t xml:space="preserve"> en la reinserción social, asegurando tratamiento para </w:t>
      </w:r>
      <w:r w:rsidR="00A3374D" w:rsidRPr="00930562">
        <w:rPr>
          <w:rFonts w:asciiTheme="majorHAnsi" w:eastAsia="Times New Roman" w:hAnsiTheme="majorHAnsi"/>
          <w:lang w:val="es-US" w:eastAsia="es-ES"/>
        </w:rPr>
        <w:t xml:space="preserve">las </w:t>
      </w:r>
      <w:r w:rsidRPr="00930562">
        <w:rPr>
          <w:rFonts w:asciiTheme="majorHAnsi" w:hAnsiTheme="majorHAnsi"/>
          <w:lang w:val="es-US"/>
        </w:rPr>
        <w:t xml:space="preserve">personas que han sido </w:t>
      </w:r>
      <w:r w:rsidRPr="00930562">
        <w:rPr>
          <w:rFonts w:asciiTheme="majorHAnsi" w:hAnsiTheme="majorHAnsi"/>
          <w:lang w:val="es-US"/>
        </w:rPr>
        <w:lastRenderedPageBreak/>
        <w:t>arrestadas por uso o posesión de drogas o que han cometido delitos menores relacionados con el uso de droga o la dependencia, y que lo haga desde un enfoque de salud pública en lugar de una lógica de represión o criminalización. El Estado debe evitar que las personas, en casos de consumo o posesión de drogas para uso personal, sean sometidas a medidas de privación de libertad o ingresen al sistema de justicia penal.</w:t>
      </w:r>
      <w:r w:rsidRPr="00930562">
        <w:rPr>
          <w:rFonts w:asciiTheme="majorHAnsi" w:hAnsiTheme="majorHAnsi"/>
          <w:vertAlign w:val="superscript"/>
          <w:lang w:val="es-US"/>
        </w:rPr>
        <w:footnoteReference w:id="318"/>
      </w:r>
    </w:p>
    <w:p w14:paraId="09FD1971" w14:textId="2F4AB874"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eastAsia="Times New Roman" w:hAnsiTheme="majorHAnsi"/>
          <w:lang w:val="es-US" w:eastAsia="es-ES"/>
        </w:rPr>
      </w:pPr>
      <w:r w:rsidRPr="00930562">
        <w:rPr>
          <w:rFonts w:asciiTheme="majorHAnsi" w:hAnsiTheme="majorHAnsi"/>
          <w:lang w:val="es-US"/>
        </w:rPr>
        <w:t>La Comisión reitera su preocupación por las condiciones de detención en los Estados Unidos.</w:t>
      </w:r>
      <w:r w:rsidRPr="00930562">
        <w:rPr>
          <w:rFonts w:asciiTheme="majorHAnsi" w:hAnsiTheme="majorHAnsi"/>
          <w:vertAlign w:val="superscript"/>
          <w:lang w:val="es-US"/>
        </w:rPr>
        <w:footnoteReference w:id="319"/>
      </w:r>
      <w:r w:rsidRPr="00930562">
        <w:rPr>
          <w:rFonts w:asciiTheme="majorHAnsi" w:hAnsiTheme="majorHAnsi"/>
          <w:lang w:val="es-US"/>
        </w:rPr>
        <w:t xml:space="preserve"> Durante su visita a Nueva Orleans, la delegación recibió testimonios de madres de hombres </w:t>
      </w:r>
      <w:r w:rsidR="00B05D33" w:rsidRPr="00930562">
        <w:rPr>
          <w:rFonts w:asciiTheme="majorHAnsi" w:hAnsiTheme="majorHAnsi"/>
          <w:lang w:val="es-US"/>
        </w:rPr>
        <w:t>afroamericanos</w:t>
      </w:r>
      <w:r w:rsidRPr="00930562">
        <w:rPr>
          <w:rFonts w:asciiTheme="majorHAnsi" w:eastAsia="Times New Roman" w:hAnsiTheme="majorHAnsi"/>
          <w:lang w:val="es-US" w:eastAsia="es-ES"/>
        </w:rPr>
        <w:t xml:space="preserve"> encarcelados en pésimas condiciones, enfrentando incluso </w:t>
      </w:r>
      <w:r w:rsidR="00A3374D" w:rsidRPr="00930562">
        <w:rPr>
          <w:rFonts w:asciiTheme="majorHAnsi" w:eastAsia="Times New Roman" w:hAnsiTheme="majorHAnsi"/>
          <w:lang w:val="es-US" w:eastAsia="es-ES"/>
        </w:rPr>
        <w:t>barreras</w:t>
      </w:r>
      <w:r w:rsidRPr="00930562">
        <w:rPr>
          <w:rFonts w:asciiTheme="majorHAnsi" w:eastAsia="Times New Roman" w:hAnsiTheme="majorHAnsi"/>
          <w:lang w:val="es-US" w:eastAsia="es-ES"/>
        </w:rPr>
        <w:t xml:space="preserve"> para acceder a los servicios médicos necesarios.</w:t>
      </w:r>
      <w:r w:rsidRPr="00930562">
        <w:rPr>
          <w:rFonts w:asciiTheme="majorHAnsi" w:eastAsia="Times New Roman" w:hAnsiTheme="majorHAnsi"/>
          <w:vertAlign w:val="superscript"/>
          <w:lang w:val="es-US" w:eastAsia="es-ES"/>
        </w:rPr>
        <w:footnoteReference w:id="320"/>
      </w:r>
      <w:r w:rsidRPr="00930562">
        <w:rPr>
          <w:rFonts w:asciiTheme="majorHAnsi" w:eastAsia="Times New Roman" w:hAnsiTheme="majorHAnsi"/>
          <w:lang w:val="es-US" w:eastAsia="es-ES"/>
        </w:rPr>
        <w:t xml:space="preserve"> Otros órganos de derechos humanos han indicado que existen serias barreras para acceder a los servicios médicos, incluido el tratamiento de salud mental, durante la detención.</w:t>
      </w:r>
      <w:r w:rsidRPr="00930562">
        <w:rPr>
          <w:rFonts w:asciiTheme="majorHAnsi" w:eastAsia="Times New Roman" w:hAnsiTheme="majorHAnsi"/>
          <w:vertAlign w:val="superscript"/>
          <w:lang w:val="es-US" w:eastAsia="es-ES"/>
        </w:rPr>
        <w:t xml:space="preserve"> </w:t>
      </w:r>
      <w:r w:rsidRPr="00930562">
        <w:rPr>
          <w:rFonts w:asciiTheme="majorHAnsi" w:eastAsia="Times New Roman" w:hAnsiTheme="majorHAnsi"/>
          <w:vertAlign w:val="superscript"/>
          <w:lang w:val="es-US" w:eastAsia="es-ES"/>
        </w:rPr>
        <w:footnoteReference w:id="321"/>
      </w:r>
      <w:r w:rsidRPr="00930562">
        <w:rPr>
          <w:rFonts w:asciiTheme="majorHAnsi" w:eastAsia="Times New Roman" w:hAnsiTheme="majorHAnsi"/>
          <w:lang w:val="es-US" w:eastAsia="es-ES"/>
        </w:rPr>
        <w:t xml:space="preserve"> Del mismo modo, la información disponible indica que los afroamericanos están desproporcionadamente sujetos a regímenes de aislamiento.</w:t>
      </w:r>
      <w:r w:rsidRPr="00930562">
        <w:rPr>
          <w:rFonts w:asciiTheme="majorHAnsi" w:eastAsia="Times New Roman" w:hAnsiTheme="majorHAnsi"/>
          <w:vertAlign w:val="superscript"/>
          <w:lang w:val="es-US" w:eastAsia="es-ES"/>
        </w:rPr>
        <w:footnoteReference w:id="322"/>
      </w:r>
      <w:r w:rsidRPr="00930562">
        <w:rPr>
          <w:rFonts w:asciiTheme="majorHAnsi" w:eastAsia="Times New Roman" w:hAnsiTheme="majorHAnsi"/>
          <w:lang w:val="es-US" w:eastAsia="es-ES"/>
        </w:rPr>
        <w:t xml:space="preserve"> A este respecto, la Comisión reitera que la prohibición de la tortura y los tratos crueles, inhumanos y degradantes no puede ser </w:t>
      </w:r>
      <w:r w:rsidR="00A3374D" w:rsidRPr="00930562">
        <w:rPr>
          <w:rFonts w:asciiTheme="majorHAnsi" w:eastAsia="Times New Roman" w:hAnsiTheme="majorHAnsi"/>
          <w:lang w:val="es-US" w:eastAsia="es-ES"/>
        </w:rPr>
        <w:t>abrogad</w:t>
      </w:r>
      <w:r w:rsidRPr="00930562">
        <w:rPr>
          <w:rFonts w:asciiTheme="majorHAnsi" w:eastAsia="Times New Roman" w:hAnsiTheme="majorHAnsi"/>
          <w:lang w:val="es-US" w:eastAsia="es-ES"/>
        </w:rPr>
        <w:t>a y es de aplicación universal, por lo que los Estados deben adoptar medidas firmes y concretas para eliminar el uso de</w:t>
      </w:r>
      <w:r w:rsidR="00A3374D" w:rsidRPr="00930562">
        <w:rPr>
          <w:rFonts w:asciiTheme="majorHAnsi" w:eastAsia="Times New Roman" w:hAnsiTheme="majorHAnsi"/>
          <w:lang w:val="es-US" w:eastAsia="es-ES"/>
        </w:rPr>
        <w:t>l</w:t>
      </w:r>
      <w:r w:rsidRPr="00930562">
        <w:rPr>
          <w:rFonts w:asciiTheme="majorHAnsi" w:eastAsia="Times New Roman" w:hAnsiTheme="majorHAnsi"/>
          <w:lang w:val="es-US" w:eastAsia="es-ES"/>
        </w:rPr>
        <w:t xml:space="preserve"> aislamiento prolongado o indefinido bajo cualquier circunstancia. </w:t>
      </w:r>
      <w:r w:rsidRPr="00930562">
        <w:rPr>
          <w:rFonts w:asciiTheme="majorHAnsi" w:eastAsia="Times New Roman" w:hAnsiTheme="majorHAnsi"/>
          <w:vertAlign w:val="superscript"/>
          <w:lang w:val="es-US" w:eastAsia="es-ES"/>
        </w:rPr>
        <w:footnoteReference w:id="323"/>
      </w:r>
    </w:p>
    <w:p w14:paraId="35F8FDE3" w14:textId="53ED586D"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eastAsia="Times New Roman" w:hAnsiTheme="majorHAnsi"/>
          <w:lang w:val="es-US" w:eastAsia="es-ES"/>
        </w:rPr>
      </w:pPr>
      <w:r w:rsidRPr="00930562">
        <w:rPr>
          <w:rFonts w:asciiTheme="majorHAnsi" w:eastAsia="Times New Roman" w:hAnsiTheme="majorHAnsi"/>
          <w:lang w:val="es-US" w:eastAsia="es-ES"/>
        </w:rPr>
        <w:t xml:space="preserve">Información disponible indica que los afroamericanos también son encarcelados de manera desproporcionada a menudo por infracciones a la libertad condicional e infracciones similares. </w:t>
      </w:r>
      <w:r w:rsidR="00A3374D" w:rsidRPr="00930562">
        <w:rPr>
          <w:rFonts w:asciiTheme="majorHAnsi" w:eastAsia="Times New Roman" w:hAnsiTheme="majorHAnsi"/>
          <w:lang w:val="es-US" w:eastAsia="es-ES"/>
        </w:rPr>
        <w:t>Hasta</w:t>
      </w:r>
      <w:r w:rsidRPr="00930562">
        <w:rPr>
          <w:rFonts w:asciiTheme="majorHAnsi" w:eastAsia="Times New Roman" w:hAnsiTheme="majorHAnsi"/>
          <w:lang w:val="es-US" w:eastAsia="es-ES"/>
        </w:rPr>
        <w:t xml:space="preserve"> 2015 un tercio de los 4,65 millones de personas en los E</w:t>
      </w:r>
      <w:r w:rsidR="00B05D33" w:rsidRPr="00930562">
        <w:rPr>
          <w:rFonts w:asciiTheme="majorHAnsi" w:eastAsia="Times New Roman" w:hAnsiTheme="majorHAnsi"/>
          <w:lang w:val="es-US" w:eastAsia="es-ES"/>
        </w:rPr>
        <w:t>stados Unidos</w:t>
      </w:r>
      <w:r w:rsidRPr="00930562">
        <w:rPr>
          <w:rFonts w:asciiTheme="majorHAnsi" w:eastAsia="Times New Roman" w:hAnsiTheme="majorHAnsi"/>
          <w:lang w:val="es-US" w:eastAsia="es-ES"/>
        </w:rPr>
        <w:t xml:space="preserve"> que se encontraban bajo alguna </w:t>
      </w:r>
      <w:r w:rsidRPr="00930562">
        <w:rPr>
          <w:rFonts w:asciiTheme="majorHAnsi" w:hAnsiTheme="majorHAnsi"/>
          <w:lang w:val="es-US"/>
        </w:rPr>
        <w:t>forma</w:t>
      </w:r>
      <w:r w:rsidRPr="00930562">
        <w:rPr>
          <w:rFonts w:asciiTheme="majorHAnsi" w:eastAsia="Times New Roman" w:hAnsiTheme="majorHAnsi"/>
          <w:lang w:val="es-US" w:eastAsia="es-ES"/>
        </w:rPr>
        <w:t xml:space="preserve"> de libertad condicional o libertad vigilada eran de raza negra</w:t>
      </w:r>
      <w:r w:rsidR="00A3374D" w:rsidRPr="00930562">
        <w:rPr>
          <w:rFonts w:asciiTheme="majorHAnsi" w:eastAsia="Times New Roman" w:hAnsiTheme="majorHAnsi"/>
          <w:lang w:val="es-US" w:eastAsia="es-ES"/>
        </w:rPr>
        <w:t>, a</w:t>
      </w:r>
      <w:r w:rsidR="00B05D33" w:rsidRPr="00930562">
        <w:rPr>
          <w:rFonts w:asciiTheme="majorHAnsi" w:eastAsia="Times New Roman" w:hAnsiTheme="majorHAnsi"/>
          <w:lang w:val="es-US" w:eastAsia="es-ES"/>
        </w:rPr>
        <w:t>ú</w:t>
      </w:r>
      <w:r w:rsidR="00A3374D" w:rsidRPr="00930562">
        <w:rPr>
          <w:rFonts w:asciiTheme="majorHAnsi" w:eastAsia="Times New Roman" w:hAnsiTheme="majorHAnsi"/>
          <w:lang w:val="es-US" w:eastAsia="es-ES"/>
        </w:rPr>
        <w:t xml:space="preserve">n y cuando los </w:t>
      </w:r>
      <w:r w:rsidR="00B05D33" w:rsidRPr="00930562">
        <w:rPr>
          <w:rFonts w:asciiTheme="majorHAnsi" w:eastAsia="Times New Roman" w:hAnsiTheme="majorHAnsi"/>
          <w:lang w:val="es-US" w:eastAsia="es-ES"/>
        </w:rPr>
        <w:t>afroamericanos</w:t>
      </w:r>
      <w:r w:rsidR="00A3374D" w:rsidRPr="00930562">
        <w:rPr>
          <w:rFonts w:asciiTheme="majorHAnsi" w:eastAsia="Times New Roman" w:hAnsiTheme="majorHAnsi"/>
          <w:lang w:val="es-US" w:eastAsia="es-ES"/>
        </w:rPr>
        <w:t xml:space="preserve"> sólo representan el 13 por ciento de la población</w:t>
      </w:r>
      <w:r w:rsidRPr="00930562">
        <w:rPr>
          <w:rFonts w:asciiTheme="majorHAnsi" w:eastAsia="Times New Roman" w:hAnsiTheme="majorHAnsi"/>
          <w:lang w:val="es-US" w:eastAsia="es-ES"/>
        </w:rPr>
        <w:t xml:space="preserve">. Además, los afroamericanos son enviados o devueltos a prisión </w:t>
      </w:r>
      <w:r w:rsidRPr="00930562">
        <w:rPr>
          <w:rFonts w:asciiTheme="majorHAnsi" w:eastAsia="Times New Roman" w:hAnsiTheme="majorHAnsi"/>
          <w:lang w:val="es-US" w:eastAsia="es-ES"/>
        </w:rPr>
        <w:lastRenderedPageBreak/>
        <w:t>por violaciones a la libertad condicional y a la libertad vigilada a tasas mucho más altas que los blancos.</w:t>
      </w:r>
      <w:r w:rsidRPr="00930562">
        <w:rPr>
          <w:rFonts w:asciiTheme="majorHAnsi" w:eastAsia="Times New Roman" w:hAnsiTheme="majorHAnsi"/>
          <w:vertAlign w:val="superscript"/>
          <w:lang w:val="es-US" w:eastAsia="es-ES"/>
        </w:rPr>
        <w:t xml:space="preserve"> </w:t>
      </w:r>
      <w:r w:rsidRPr="00930562">
        <w:rPr>
          <w:rFonts w:asciiTheme="majorHAnsi" w:eastAsia="Times New Roman" w:hAnsiTheme="majorHAnsi"/>
          <w:vertAlign w:val="superscript"/>
          <w:lang w:val="es-US" w:eastAsia="es-ES"/>
        </w:rPr>
        <w:footnoteReference w:id="324"/>
      </w:r>
    </w:p>
    <w:p w14:paraId="2C30C090" w14:textId="77777777" w:rsidR="005B672D" w:rsidRPr="00930562" w:rsidRDefault="005B672D" w:rsidP="00724857">
      <w:pPr>
        <w:pStyle w:val="Heading4"/>
        <w:numPr>
          <w:ilvl w:val="0"/>
          <w:numId w:val="14"/>
        </w:numPr>
        <w:ind w:left="540" w:hanging="540"/>
        <w:rPr>
          <w:lang w:val="es-US"/>
        </w:rPr>
      </w:pPr>
      <w:bookmarkStart w:id="128" w:name="_Toc517779239"/>
      <w:bookmarkStart w:id="129" w:name="_Toc531514470"/>
      <w:bookmarkStart w:id="130" w:name="_Toc511837818"/>
      <w:bookmarkStart w:id="131" w:name="_Toc511902991"/>
      <w:r w:rsidRPr="00930562">
        <w:rPr>
          <w:lang w:val="es-US"/>
        </w:rPr>
        <w:t>Consecuencias del contacto con el sistema de justicia penal</w:t>
      </w:r>
      <w:bookmarkEnd w:id="128"/>
      <w:bookmarkEnd w:id="129"/>
      <w:r w:rsidRPr="00930562">
        <w:rPr>
          <w:lang w:val="es-US"/>
        </w:rPr>
        <w:t xml:space="preserve"> </w:t>
      </w:r>
      <w:bookmarkEnd w:id="130"/>
      <w:bookmarkEnd w:id="131"/>
    </w:p>
    <w:p w14:paraId="655818A5" w14:textId="1273B4CF"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eastAsia="Times New Roman" w:hAnsiTheme="majorHAnsi"/>
          <w:lang w:val="es-US" w:eastAsia="es-ES"/>
        </w:rPr>
      </w:pPr>
      <w:r w:rsidRPr="00930562">
        <w:rPr>
          <w:rFonts w:asciiTheme="majorHAnsi" w:hAnsiTheme="majorHAnsi"/>
          <w:lang w:val="es-US"/>
        </w:rPr>
        <w:t xml:space="preserve">La Comisión ha recibido información sobre las consecuencias a largo plazo del contacto con el sistema de justicia penal, en particular </w:t>
      </w:r>
      <w:r w:rsidR="004E500A" w:rsidRPr="00930562">
        <w:rPr>
          <w:rFonts w:asciiTheme="majorHAnsi" w:hAnsiTheme="majorHAnsi"/>
          <w:lang w:val="es-US"/>
        </w:rPr>
        <w:t>d</w:t>
      </w:r>
      <w:r w:rsidRPr="00930562">
        <w:rPr>
          <w:rFonts w:asciiTheme="majorHAnsi" w:hAnsiTheme="majorHAnsi"/>
          <w:lang w:val="es-US"/>
        </w:rPr>
        <w:t xml:space="preserve">el efecto duradero de las condenas por delitos graves para el acceso a los </w:t>
      </w:r>
      <w:r w:rsidRPr="00930562">
        <w:rPr>
          <w:rFonts w:asciiTheme="majorHAnsi" w:eastAsia="Times New Roman" w:hAnsiTheme="majorHAnsi"/>
          <w:lang w:val="es-US" w:eastAsia="es-ES"/>
        </w:rPr>
        <w:t>derechos civiles y políticos, como votar, así como sobre el acceso a la vivienda, el empleo y beneficios públicos.</w:t>
      </w:r>
      <w:r w:rsidRPr="00930562">
        <w:rPr>
          <w:rFonts w:asciiTheme="majorHAnsi" w:eastAsia="Times New Roman" w:hAnsiTheme="majorHAnsi"/>
          <w:vertAlign w:val="superscript"/>
          <w:lang w:val="es-US" w:eastAsia="es-ES"/>
        </w:rPr>
        <w:footnoteReference w:id="325"/>
      </w:r>
      <w:r w:rsidRPr="00930562">
        <w:rPr>
          <w:rFonts w:asciiTheme="majorHAnsi" w:eastAsia="Times New Roman" w:hAnsiTheme="majorHAnsi"/>
          <w:lang w:val="es-US" w:eastAsia="es-ES"/>
        </w:rPr>
        <w:t xml:space="preserve"> Esta restricción en el acceso a los derechos como consecuencia de antecedentes penales anteriores ha sido definid</w:t>
      </w:r>
      <w:r w:rsidR="0063255B" w:rsidRPr="00930562">
        <w:rPr>
          <w:rFonts w:asciiTheme="majorHAnsi" w:eastAsia="Times New Roman" w:hAnsiTheme="majorHAnsi"/>
          <w:lang w:val="es-US" w:eastAsia="es-ES"/>
        </w:rPr>
        <w:t>a</w:t>
      </w:r>
      <w:r w:rsidRPr="00930562">
        <w:rPr>
          <w:rFonts w:asciiTheme="majorHAnsi" w:eastAsia="Times New Roman" w:hAnsiTheme="majorHAnsi"/>
          <w:lang w:val="es-US" w:eastAsia="es-ES"/>
        </w:rPr>
        <w:t xml:space="preserve"> como un tipo de ciudadanía de segunda clase.</w:t>
      </w:r>
      <w:r w:rsidRPr="00930562">
        <w:rPr>
          <w:rFonts w:asciiTheme="majorHAnsi" w:eastAsia="Times New Roman" w:hAnsiTheme="majorHAnsi"/>
          <w:vertAlign w:val="superscript"/>
          <w:lang w:val="es-US" w:eastAsia="es-ES"/>
        </w:rPr>
        <w:footnoteReference w:id="326"/>
      </w:r>
    </w:p>
    <w:p w14:paraId="7FB664F4" w14:textId="2E5A7928"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eastAsia="Times New Roman" w:hAnsiTheme="majorHAnsi"/>
          <w:lang w:val="es-US" w:eastAsia="es-ES"/>
        </w:rPr>
        <w:t>Con respecto a los derechos políticos, tanto en audiencias públicas como durante su visita in loco, la Comisión recibió información sobre el problema de la privación de derechos como consecuencia de delitos graves. Según la información recibida,</w:t>
      </w:r>
      <w:r w:rsidR="004E500A" w:rsidRPr="00930562">
        <w:rPr>
          <w:rFonts w:asciiTheme="majorHAnsi" w:eastAsia="Times New Roman" w:hAnsiTheme="majorHAnsi"/>
          <w:lang w:val="es-US" w:eastAsia="es-ES"/>
        </w:rPr>
        <w:t xml:space="preserve"> a</w:t>
      </w:r>
      <w:r w:rsidRPr="00930562">
        <w:rPr>
          <w:rFonts w:asciiTheme="majorHAnsi" w:eastAsia="Times New Roman" w:hAnsiTheme="majorHAnsi"/>
          <w:lang w:val="es-US" w:eastAsia="es-ES"/>
        </w:rPr>
        <w:t xml:space="preserve"> </w:t>
      </w:r>
      <w:r w:rsidR="004E500A" w:rsidRPr="00930562">
        <w:rPr>
          <w:rFonts w:asciiTheme="majorHAnsi" w:eastAsia="Times New Roman" w:hAnsiTheme="majorHAnsi"/>
          <w:lang w:val="es-US" w:eastAsia="es-ES"/>
        </w:rPr>
        <w:t xml:space="preserve">un estimado de </w:t>
      </w:r>
      <w:r w:rsidRPr="00930562">
        <w:rPr>
          <w:rFonts w:asciiTheme="majorHAnsi" w:eastAsia="Times New Roman" w:hAnsiTheme="majorHAnsi"/>
          <w:lang w:val="es-US" w:eastAsia="es-ES"/>
        </w:rPr>
        <w:t xml:space="preserve">5.8 millones de personas en los Estados Unidos se les niega el derecho a votar debido a condenas por delitos graves; de estos, 2.2 millones son negros. Esto significa que aproximadamente el 7.7 por ciento de los afroamericanos en edad de votar tienen </w:t>
      </w:r>
      <w:r w:rsidR="004E500A" w:rsidRPr="00930562">
        <w:rPr>
          <w:rFonts w:asciiTheme="majorHAnsi" w:eastAsia="Times New Roman" w:hAnsiTheme="majorHAnsi"/>
          <w:lang w:val="es-US" w:eastAsia="es-ES"/>
        </w:rPr>
        <w:t xml:space="preserve">legalmente </w:t>
      </w:r>
      <w:r w:rsidRPr="00930562">
        <w:rPr>
          <w:rFonts w:asciiTheme="majorHAnsi" w:eastAsia="Times New Roman" w:hAnsiTheme="majorHAnsi"/>
          <w:lang w:val="es-US" w:eastAsia="es-ES"/>
        </w:rPr>
        <w:t>prohibido votar, en contraste con el 2.5 por ciento</w:t>
      </w:r>
      <w:r w:rsidRPr="00930562">
        <w:rPr>
          <w:rFonts w:asciiTheme="majorHAnsi" w:hAnsiTheme="majorHAnsi"/>
          <w:lang w:val="es-US"/>
        </w:rPr>
        <w:t xml:space="preserve"> de la población general.</w:t>
      </w:r>
      <w:r w:rsidRPr="00930562">
        <w:rPr>
          <w:rFonts w:asciiTheme="majorHAnsi" w:hAnsiTheme="majorHAnsi"/>
          <w:vertAlign w:val="superscript"/>
          <w:lang w:val="es-US"/>
        </w:rPr>
        <w:footnoteReference w:id="327"/>
      </w:r>
      <w:r w:rsidRPr="00930562">
        <w:rPr>
          <w:rFonts w:asciiTheme="majorHAnsi" w:hAnsiTheme="majorHAnsi"/>
          <w:lang w:val="es-US"/>
        </w:rPr>
        <w:t xml:space="preserve"> Asimismo, durante su visita a Sanford y Miami, Florida, en 2015, la Comisión fue informada sobre problemas de encarcelamiento masivo y privación de derechos del voto debido a delitos graves que afectan a afroamericanos, lo cual limita el pleno ejercicio de los derechos democráticos y de ciudadanía de estas comunidades. En ese momento, la Comisión opinó que las "condenas en sí mismas son sospechosas debido al racismo estructural".</w:t>
      </w:r>
      <w:r w:rsidRPr="00930562">
        <w:rPr>
          <w:rFonts w:asciiTheme="majorHAnsi" w:eastAsia="Times New Roman" w:hAnsiTheme="majorHAnsi"/>
          <w:vertAlign w:val="superscript"/>
          <w:lang w:val="es-US" w:eastAsia="es-ES"/>
        </w:rPr>
        <w:footnoteReference w:id="328"/>
      </w:r>
      <w:r w:rsidRPr="00930562">
        <w:rPr>
          <w:rFonts w:asciiTheme="majorHAnsi" w:eastAsia="Times New Roman" w:hAnsiTheme="majorHAnsi"/>
          <w:lang w:val="es-US" w:eastAsia="es-ES"/>
        </w:rPr>
        <w:t xml:space="preserve"> </w:t>
      </w:r>
      <w:r w:rsidRPr="00930562">
        <w:rPr>
          <w:rFonts w:asciiTheme="majorHAnsi" w:hAnsiTheme="majorHAnsi"/>
          <w:lang w:val="es-US"/>
        </w:rPr>
        <w:t>Estos problemas deben ser analizado</w:t>
      </w:r>
      <w:r w:rsidR="004E500A" w:rsidRPr="00930562">
        <w:rPr>
          <w:rFonts w:asciiTheme="majorHAnsi" w:hAnsiTheme="majorHAnsi"/>
          <w:lang w:val="es-US"/>
        </w:rPr>
        <w:t>s</w:t>
      </w:r>
      <w:r w:rsidRPr="00930562">
        <w:rPr>
          <w:rFonts w:asciiTheme="majorHAnsi" w:hAnsiTheme="majorHAnsi"/>
          <w:lang w:val="es-US"/>
        </w:rPr>
        <w:t xml:space="preserve"> dentro del contexto más amplio de discriminación en el acceso al derecho </w:t>
      </w:r>
      <w:r w:rsidR="004E500A" w:rsidRPr="00930562">
        <w:rPr>
          <w:rFonts w:asciiTheme="majorHAnsi" w:hAnsiTheme="majorHAnsi"/>
          <w:lang w:val="es-US"/>
        </w:rPr>
        <w:t>al</w:t>
      </w:r>
      <w:r w:rsidRPr="00930562">
        <w:rPr>
          <w:rFonts w:asciiTheme="majorHAnsi" w:hAnsiTheme="majorHAnsi"/>
          <w:lang w:val="es-US"/>
        </w:rPr>
        <w:t xml:space="preserve"> voto</w:t>
      </w:r>
      <w:r w:rsidRPr="00930562">
        <w:rPr>
          <w:rFonts w:asciiTheme="majorHAnsi" w:eastAsia="Times New Roman" w:hAnsiTheme="majorHAnsi"/>
          <w:lang w:val="es-US" w:eastAsia="es-ES"/>
        </w:rPr>
        <w:t>.</w:t>
      </w:r>
      <w:r w:rsidRPr="00930562">
        <w:rPr>
          <w:rFonts w:asciiTheme="majorHAnsi" w:eastAsia="Times New Roman" w:hAnsiTheme="majorHAnsi"/>
          <w:vertAlign w:val="superscript"/>
          <w:lang w:val="es-US" w:eastAsia="es-ES"/>
        </w:rPr>
        <w:footnoteReference w:id="329"/>
      </w:r>
    </w:p>
    <w:p w14:paraId="134BDDE1" w14:textId="4704405E"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eastAsia="Times New Roman" w:hAnsiTheme="majorHAnsi"/>
          <w:lang w:val="es-US" w:eastAsia="es-ES"/>
        </w:rPr>
      </w:pPr>
      <w:r w:rsidRPr="00930562">
        <w:rPr>
          <w:rFonts w:asciiTheme="majorHAnsi" w:hAnsiTheme="majorHAnsi"/>
          <w:lang w:val="es-US"/>
        </w:rPr>
        <w:lastRenderedPageBreak/>
        <w:t xml:space="preserve">La Comisión recibió información adicional </w:t>
      </w:r>
      <w:r w:rsidRPr="00930562">
        <w:rPr>
          <w:rFonts w:asciiTheme="majorHAnsi" w:eastAsia="Times New Roman" w:hAnsiTheme="majorHAnsi"/>
          <w:lang w:val="es-US" w:eastAsia="es-ES"/>
        </w:rPr>
        <w:t xml:space="preserve">sobre </w:t>
      </w:r>
      <w:r w:rsidR="0063255B" w:rsidRPr="00930562">
        <w:rPr>
          <w:rFonts w:asciiTheme="majorHAnsi" w:eastAsia="Times New Roman" w:hAnsiTheme="majorHAnsi"/>
          <w:lang w:val="es-US" w:eastAsia="es-ES"/>
        </w:rPr>
        <w:t xml:space="preserve">la </w:t>
      </w:r>
      <w:r w:rsidRPr="00930562">
        <w:rPr>
          <w:rFonts w:asciiTheme="majorHAnsi" w:eastAsia="Times New Roman" w:hAnsiTheme="majorHAnsi"/>
          <w:lang w:val="es-US" w:eastAsia="es-ES"/>
        </w:rPr>
        <w:t>falta de claridad de las leyes estatales en lo que respecta a la privación de derechos por delitos graves y legislación federal propuesta para corregir esta situación y así resta</w:t>
      </w:r>
      <w:r w:rsidR="004E500A" w:rsidRPr="00930562">
        <w:rPr>
          <w:rFonts w:asciiTheme="majorHAnsi" w:eastAsia="Times New Roman" w:hAnsiTheme="majorHAnsi"/>
          <w:lang w:val="es-US" w:eastAsia="es-ES"/>
        </w:rPr>
        <w:t>urar</w:t>
      </w:r>
      <w:r w:rsidRPr="00930562">
        <w:rPr>
          <w:rFonts w:asciiTheme="majorHAnsi" w:eastAsia="Times New Roman" w:hAnsiTheme="majorHAnsi"/>
          <w:lang w:val="es-US" w:eastAsia="es-ES"/>
        </w:rPr>
        <w:t xml:space="preserve"> los derechos de voto de las personas condenadas por delitos graves, incluido el proyecto de Ley de Restauración Democrática.</w:t>
      </w:r>
      <w:r w:rsidRPr="00930562">
        <w:rPr>
          <w:rFonts w:asciiTheme="majorHAnsi" w:eastAsia="Times New Roman" w:hAnsiTheme="majorHAnsi"/>
          <w:vertAlign w:val="superscript"/>
          <w:lang w:val="es-US" w:eastAsia="es-ES"/>
        </w:rPr>
        <w:footnoteReference w:id="330"/>
      </w:r>
      <w:r w:rsidRPr="00930562">
        <w:rPr>
          <w:rFonts w:asciiTheme="majorHAnsi" w:eastAsia="Times New Roman" w:hAnsiTheme="majorHAnsi"/>
          <w:lang w:val="es-US" w:eastAsia="es-ES"/>
        </w:rPr>
        <w:t xml:space="preserve"> Sobre este asunto, se observan buenas prácticas a nivel estatal; por ejemplo, en 2016 por medio de un Decreto Ejecutivo, Virginia restauró los derechos de voto a aproximadamente 206.000 ciudadanos, en su mayoría afroamericanos.</w:t>
      </w:r>
      <w:r w:rsidRPr="00930562">
        <w:rPr>
          <w:rFonts w:asciiTheme="majorHAnsi" w:eastAsia="Times New Roman" w:hAnsiTheme="majorHAnsi"/>
          <w:vertAlign w:val="superscript"/>
          <w:lang w:val="es-US" w:eastAsia="es-ES"/>
        </w:rPr>
        <w:footnoteReference w:id="331"/>
      </w:r>
      <w:r w:rsidRPr="00930562">
        <w:rPr>
          <w:rFonts w:asciiTheme="majorHAnsi" w:eastAsia="Times New Roman" w:hAnsiTheme="majorHAnsi"/>
          <w:lang w:val="es-US" w:eastAsia="es-ES"/>
        </w:rPr>
        <w:t xml:space="preserve"> En ese momento, la Comisión destacó que "en los casos en que la condena [...] es el fundamento para suspender el derecho de voto, el período de tal suspensión debe ser proporcional a la ofensa y la sentencia", y recomendó adoptar "medidas apropiadas en otros estados para [restaurar] los derechos de voto a los ciudadanos que han cumplido sus sentencias y a aquellos que se encuentran en libertad condicional", especialmente a la luz del efecto discriminatorio racial de esta práctica.</w:t>
      </w:r>
      <w:r w:rsidRPr="00930562">
        <w:rPr>
          <w:rFonts w:asciiTheme="majorHAnsi" w:eastAsia="Times New Roman" w:hAnsiTheme="majorHAnsi"/>
          <w:vertAlign w:val="superscript"/>
          <w:lang w:val="es-US" w:eastAsia="es-ES"/>
        </w:rPr>
        <w:footnoteReference w:id="332"/>
      </w:r>
      <w:r w:rsidRPr="00930562">
        <w:rPr>
          <w:rFonts w:asciiTheme="majorHAnsi" w:eastAsia="Times New Roman" w:hAnsiTheme="majorHAnsi"/>
          <w:lang w:val="es-US" w:eastAsia="es-ES"/>
        </w:rPr>
        <w:t xml:space="preserve"> Dado el impacto desproporcionado de la privación de derechos por delitos graves en las comunidades afroamericanas, y la importancia fundamental del derecho al voto en un sistema democrático, la Comisión reitera la necesidad de implementar una reforma.</w:t>
      </w:r>
      <w:r w:rsidRPr="00930562">
        <w:rPr>
          <w:rFonts w:asciiTheme="majorHAnsi" w:eastAsia="Times New Roman" w:hAnsiTheme="majorHAnsi"/>
          <w:vertAlign w:val="superscript"/>
          <w:lang w:val="es-US" w:eastAsia="es-ES"/>
        </w:rPr>
        <w:footnoteReference w:id="333"/>
      </w:r>
    </w:p>
    <w:p w14:paraId="608BB051" w14:textId="3ECE3E8C"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lang w:val="es-US"/>
        </w:rPr>
      </w:pPr>
      <w:bookmarkStart w:id="132" w:name="_Ref504656720"/>
      <w:bookmarkStart w:id="133" w:name="_Ref511835933"/>
      <w:r w:rsidRPr="00930562">
        <w:rPr>
          <w:rFonts w:asciiTheme="majorHAnsi" w:eastAsia="Times New Roman" w:hAnsiTheme="majorHAnsi"/>
          <w:lang w:val="es-US" w:eastAsia="es-ES"/>
        </w:rPr>
        <w:t>Las condenas por delitos graves también pueden limitar el acceso de las personas al trabajo y otros derechos económicos, sociales y culturales a lo largo de sus vidas. En una audiencia pública, la Comisión recibió información del Estado sobre "una larga historia de denuncias" dirigidas a la Comisión de Igualdad de Oportunidades en el Empleo (EEOC, por sus siglas en inglés) sobre discriminación contra personas</w:t>
      </w:r>
      <w:r w:rsidRPr="00930562">
        <w:rPr>
          <w:rFonts w:asciiTheme="majorHAnsi" w:hAnsiTheme="majorHAnsi"/>
          <w:lang w:val="es-US"/>
        </w:rPr>
        <w:t xml:space="preserve"> con antecedentes </w:t>
      </w:r>
      <w:r w:rsidR="004E500A" w:rsidRPr="00930562">
        <w:rPr>
          <w:rFonts w:asciiTheme="majorHAnsi" w:hAnsiTheme="majorHAnsi"/>
          <w:lang w:val="es-US"/>
        </w:rPr>
        <w:t xml:space="preserve">penales </w:t>
      </w:r>
      <w:r w:rsidRPr="00930562">
        <w:rPr>
          <w:rFonts w:asciiTheme="majorHAnsi" w:hAnsiTheme="majorHAnsi"/>
          <w:lang w:val="es-US"/>
        </w:rPr>
        <w:t>por condenas por delitos graves, y medidas adoptadas por la EEOC para investigar y proporcionar orientación normativa sobre esta cuestión.</w:t>
      </w:r>
      <w:r w:rsidRPr="00930562">
        <w:rPr>
          <w:rFonts w:asciiTheme="majorHAnsi" w:hAnsiTheme="majorHAnsi"/>
          <w:vertAlign w:val="superscript"/>
          <w:lang w:val="es-US"/>
        </w:rPr>
        <w:footnoteReference w:id="334"/>
      </w:r>
      <w:r w:rsidRPr="00930562">
        <w:rPr>
          <w:rFonts w:asciiTheme="majorHAnsi" w:hAnsiTheme="majorHAnsi"/>
          <w:lang w:val="es-US"/>
        </w:rPr>
        <w:t xml:space="preserve">  Información sobre este tema indica que la discriminación contra personas negras con antecedentes penales es ciertamente más severa que contra personas blancas con antecedentes penales. Por ejemplo, </w:t>
      </w:r>
      <w:r w:rsidRPr="00930562">
        <w:rPr>
          <w:rFonts w:asciiTheme="majorHAnsi" w:hAnsiTheme="majorHAnsi"/>
          <w:lang w:val="es-US"/>
        </w:rPr>
        <w:lastRenderedPageBreak/>
        <w:t>una investigación determinó que los hombres blancos con antecedentes penales recibieron respuestas más positivas de los empleadores que los hombres negros sin antecedentes penales.</w:t>
      </w:r>
      <w:r w:rsidRPr="00930562">
        <w:rPr>
          <w:rFonts w:asciiTheme="majorHAnsi" w:hAnsiTheme="majorHAnsi"/>
          <w:vertAlign w:val="superscript"/>
          <w:lang w:val="es-US"/>
        </w:rPr>
        <w:footnoteReference w:id="335"/>
      </w:r>
      <w:r w:rsidRPr="00930562">
        <w:rPr>
          <w:rFonts w:asciiTheme="majorHAnsi" w:hAnsiTheme="majorHAnsi"/>
          <w:lang w:val="es-US"/>
        </w:rPr>
        <w:t xml:space="preserve"> Del mismo modo, existe una serie de leyes y políticas que tiende a excluir a personas con previas condenas por delitos graves relacionados con las drogas del acceso a la vivienda</w:t>
      </w:r>
      <w:r w:rsidRPr="00930562">
        <w:rPr>
          <w:rFonts w:asciiTheme="majorHAnsi" w:hAnsiTheme="majorHAnsi"/>
          <w:vertAlign w:val="superscript"/>
          <w:lang w:val="es-US"/>
        </w:rPr>
        <w:footnoteReference w:id="336"/>
      </w:r>
      <w:r w:rsidRPr="00930562">
        <w:rPr>
          <w:rFonts w:asciiTheme="majorHAnsi" w:hAnsiTheme="majorHAnsi"/>
          <w:lang w:val="es-US"/>
        </w:rPr>
        <w:t xml:space="preserve"> y las prestaciones sociales.</w:t>
      </w:r>
      <w:r w:rsidRPr="00930562">
        <w:rPr>
          <w:rFonts w:asciiTheme="majorHAnsi" w:hAnsiTheme="majorHAnsi"/>
          <w:vertAlign w:val="superscript"/>
          <w:lang w:val="es-US"/>
        </w:rPr>
        <w:footnoteReference w:id="337"/>
      </w:r>
      <w:r w:rsidRPr="00930562">
        <w:rPr>
          <w:rFonts w:asciiTheme="majorHAnsi" w:hAnsiTheme="majorHAnsi"/>
          <w:lang w:val="es-US"/>
        </w:rPr>
        <w:t xml:space="preserve"> Estas disposiciones tienen importantes consecuencias sobre la pobreza y el acceso a los derechos. </w:t>
      </w:r>
    </w:p>
    <w:p w14:paraId="69F7FA60" w14:textId="77777777" w:rsidR="005B672D" w:rsidRPr="00930562" w:rsidRDefault="005B672D" w:rsidP="0083030A">
      <w:pPr>
        <w:pStyle w:val="Heading3"/>
        <w:ind w:left="540" w:hanging="540"/>
        <w:rPr>
          <w:lang w:val="es-US"/>
        </w:rPr>
      </w:pPr>
      <w:bookmarkStart w:id="134" w:name="_Toc511837819"/>
      <w:bookmarkStart w:id="135" w:name="_Toc511902992"/>
      <w:bookmarkStart w:id="136" w:name="_Toc517779240"/>
      <w:bookmarkStart w:id="137" w:name="_Toc531514471"/>
      <w:bookmarkEnd w:id="132"/>
      <w:bookmarkEnd w:id="133"/>
      <w:r w:rsidRPr="00930562">
        <w:rPr>
          <w:lang w:val="es-US"/>
        </w:rPr>
        <w:t>Cuestiones estructurales relacionadas con la discriminación racial</w:t>
      </w:r>
      <w:bookmarkEnd w:id="134"/>
      <w:bookmarkEnd w:id="135"/>
      <w:bookmarkEnd w:id="136"/>
      <w:bookmarkEnd w:id="137"/>
    </w:p>
    <w:p w14:paraId="234D72D0" w14:textId="3227A494"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eastAsia="Times New Roman" w:hAnsiTheme="majorHAnsi" w:cs="Courier New"/>
          <w:color w:val="212121"/>
          <w:lang w:val="es-US" w:eastAsia="es-MX"/>
        </w:rPr>
      </w:pPr>
      <w:r w:rsidRPr="00930562">
        <w:rPr>
          <w:rFonts w:asciiTheme="majorHAnsi" w:eastAsia="Times New Roman" w:hAnsiTheme="majorHAnsi" w:cs="Courier New"/>
          <w:lang w:val="es-US" w:eastAsia="es-MX"/>
        </w:rPr>
        <w:t xml:space="preserve">Como ha sido señalado a lo largo de este informe, la discriminación racial contra los afroamericanos en los Estados Unidos </w:t>
      </w:r>
      <w:r w:rsidRPr="00930562">
        <w:rPr>
          <w:rFonts w:asciiTheme="majorHAnsi" w:eastAsia="Times New Roman" w:hAnsiTheme="majorHAnsi"/>
          <w:lang w:val="es-US" w:eastAsia="es-ES"/>
        </w:rPr>
        <w:t>es</w:t>
      </w:r>
      <w:r w:rsidRPr="00930562">
        <w:rPr>
          <w:rFonts w:asciiTheme="majorHAnsi" w:eastAsia="Times New Roman" w:hAnsiTheme="majorHAnsi" w:cs="Courier New"/>
          <w:lang w:val="es-US" w:eastAsia="es-MX"/>
        </w:rPr>
        <w:t xml:space="preserve"> de carácter estructural y, por tanto, afecta prácticamente </w:t>
      </w:r>
      <w:r w:rsidR="004E500A" w:rsidRPr="00930562">
        <w:rPr>
          <w:rFonts w:asciiTheme="majorHAnsi" w:eastAsia="Times New Roman" w:hAnsiTheme="majorHAnsi" w:cs="Courier New"/>
          <w:lang w:val="es-US" w:eastAsia="es-MX"/>
        </w:rPr>
        <w:t>todo</w:t>
      </w:r>
      <w:r w:rsidRPr="00930562">
        <w:rPr>
          <w:rFonts w:asciiTheme="majorHAnsi" w:eastAsia="Times New Roman" w:hAnsiTheme="majorHAnsi" w:cs="Courier New"/>
          <w:lang w:val="es-US" w:eastAsia="es-MX"/>
        </w:rPr>
        <w:t xml:space="preserve"> aspecto de sus vidas. Si bien una consideración completa de las dimensiones de la discriminación estructural contra los afroamericanos en los EE.UU. excede el alcance de este informe, esta sección aborda varios temas que están estrechamente vinculados con los asuntos de control policial y el uso de la fuerza, así como el impacto del sistema de justicia penal en los afroamericanos.  </w:t>
      </w:r>
    </w:p>
    <w:p w14:paraId="6D3A5613" w14:textId="6DA64D83" w:rsidR="005B672D" w:rsidRPr="00930562" w:rsidRDefault="005B672D" w:rsidP="00724857">
      <w:pPr>
        <w:pStyle w:val="Heading4"/>
        <w:numPr>
          <w:ilvl w:val="0"/>
          <w:numId w:val="15"/>
        </w:numPr>
        <w:ind w:left="540" w:hanging="540"/>
        <w:rPr>
          <w:lang w:val="es-US"/>
        </w:rPr>
      </w:pPr>
      <w:bookmarkStart w:id="138" w:name="_Toc517779241"/>
      <w:bookmarkStart w:id="139" w:name="_Toc531514472"/>
      <w:bookmarkStart w:id="140" w:name="_Toc511837820"/>
      <w:bookmarkStart w:id="141" w:name="_Toc511902993"/>
      <w:r w:rsidRPr="00930562">
        <w:rPr>
          <w:lang w:val="es-US"/>
        </w:rPr>
        <w:t>Contexto Social: Estigma, discursos y crímenes motivados por odio</w:t>
      </w:r>
      <w:bookmarkEnd w:id="138"/>
      <w:bookmarkEnd w:id="139"/>
      <w:r w:rsidRPr="00930562">
        <w:rPr>
          <w:lang w:val="es-US"/>
        </w:rPr>
        <w:t xml:space="preserve"> </w:t>
      </w:r>
      <w:bookmarkEnd w:id="140"/>
      <w:bookmarkEnd w:id="141"/>
    </w:p>
    <w:p w14:paraId="44D640B3" w14:textId="2AE2EA27"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lang w:val="es-US"/>
        </w:rPr>
      </w:pPr>
      <w:bookmarkStart w:id="142" w:name="_Ref507431987"/>
      <w:r w:rsidRPr="00930562">
        <w:rPr>
          <w:rFonts w:asciiTheme="majorHAnsi" w:hAnsiTheme="majorHAnsi"/>
          <w:lang w:val="es-US"/>
        </w:rPr>
        <w:t xml:space="preserve">La Comisión se encuentra seriamente preocupada por informes recibidos que indican </w:t>
      </w:r>
      <w:r w:rsidR="00153144" w:rsidRPr="00930562">
        <w:rPr>
          <w:rFonts w:asciiTheme="majorHAnsi" w:hAnsiTheme="majorHAnsi"/>
          <w:lang w:val="es-US"/>
        </w:rPr>
        <w:t>el aumento en c</w:t>
      </w:r>
      <w:r w:rsidRPr="00930562">
        <w:rPr>
          <w:rFonts w:asciiTheme="majorHAnsi" w:hAnsiTheme="majorHAnsi"/>
          <w:lang w:val="es-US"/>
        </w:rPr>
        <w:t>ifras</w:t>
      </w:r>
      <w:r w:rsidR="00153144" w:rsidRPr="00930562">
        <w:rPr>
          <w:rFonts w:asciiTheme="majorHAnsi" w:hAnsiTheme="majorHAnsi"/>
          <w:lang w:val="es-US"/>
        </w:rPr>
        <w:t xml:space="preserve"> </w:t>
      </w:r>
      <w:r w:rsidRPr="00930562">
        <w:rPr>
          <w:rFonts w:asciiTheme="majorHAnsi" w:hAnsiTheme="majorHAnsi"/>
          <w:lang w:val="es-US"/>
        </w:rPr>
        <w:t>de crímenes motivados por odio en los EE.UU</w:t>
      </w:r>
      <w:r w:rsidR="00153144" w:rsidRPr="00930562">
        <w:rPr>
          <w:rFonts w:asciiTheme="majorHAnsi" w:hAnsiTheme="majorHAnsi"/>
          <w:lang w:val="es-US"/>
        </w:rPr>
        <w:t>.</w:t>
      </w:r>
      <w:r w:rsidRPr="00930562">
        <w:rPr>
          <w:rFonts w:asciiTheme="majorHAnsi" w:hAnsiTheme="majorHAnsi"/>
          <w:lang w:val="es-US"/>
        </w:rPr>
        <w:t xml:space="preserve"> y por acrecentamientos alarmantes de discurso de odio en los EE. UU. Este aumento ha sido particularmente evidente en 2016 y 2017. Recientemente la Oficina Federal de Investigaciones (FBI) informó que se trata de la cifra más alta en los últimos cinco años de crímenes de odio, con 6.121 en 2016, lo cual representa un aumento del cinco por ciento con </w:t>
      </w:r>
      <w:r w:rsidRPr="00930562">
        <w:rPr>
          <w:rFonts w:asciiTheme="majorHAnsi" w:hAnsiTheme="majorHAnsi"/>
          <w:lang w:val="es-US"/>
        </w:rPr>
        <w:lastRenderedPageBreak/>
        <w:t>respecto a 2015, cuando se reportaron 5.818 delitos de este tipo.</w:t>
      </w:r>
      <w:r w:rsidRPr="00930562">
        <w:rPr>
          <w:rFonts w:asciiTheme="majorHAnsi" w:hAnsiTheme="majorHAnsi"/>
          <w:vertAlign w:val="superscript"/>
          <w:lang w:val="es-US"/>
        </w:rPr>
        <w:footnoteReference w:id="338"/>
      </w:r>
      <w:r w:rsidRPr="00930562">
        <w:rPr>
          <w:rFonts w:asciiTheme="majorHAnsi" w:hAnsiTheme="majorHAnsi"/>
          <w:lang w:val="es-US"/>
        </w:rPr>
        <w:t xml:space="preserve">  Es importante señalar, </w:t>
      </w:r>
      <w:r w:rsidRPr="00930562">
        <w:rPr>
          <w:rFonts w:asciiTheme="majorHAnsi" w:eastAsia="Times New Roman" w:hAnsiTheme="majorHAnsi" w:cs="Courier New"/>
          <w:lang w:val="es-US" w:eastAsia="es-MX"/>
        </w:rPr>
        <w:t>no</w:t>
      </w:r>
      <w:r w:rsidRPr="00930562">
        <w:rPr>
          <w:rFonts w:asciiTheme="majorHAnsi" w:hAnsiTheme="majorHAnsi"/>
          <w:lang w:val="es-US"/>
        </w:rPr>
        <w:t xml:space="preserve"> obstante, que el 88 por ciento de las agencias policiales participantes no reportaron crímenes de odio en sus jurisdicciones, lo cual indica que los esfuerzos para la recopilación de datos continúan siendo un </w:t>
      </w:r>
      <w:r w:rsidR="00153144" w:rsidRPr="00930562">
        <w:rPr>
          <w:rFonts w:asciiTheme="majorHAnsi" w:hAnsiTheme="majorHAnsi"/>
          <w:lang w:val="es-US"/>
        </w:rPr>
        <w:t>desafío</w:t>
      </w:r>
      <w:r w:rsidRPr="00930562">
        <w:rPr>
          <w:rFonts w:asciiTheme="majorHAnsi" w:hAnsiTheme="majorHAnsi"/>
          <w:lang w:val="es-US"/>
        </w:rPr>
        <w:t xml:space="preserve">. En comparación, la Oficina de Estadísticas Judiciales, un ente estatal que también forma parte del </w:t>
      </w:r>
      <w:r w:rsidR="00153144" w:rsidRPr="00930562">
        <w:rPr>
          <w:rFonts w:asciiTheme="majorHAnsi" w:hAnsiTheme="majorHAnsi"/>
          <w:lang w:val="es-US"/>
        </w:rPr>
        <w:t xml:space="preserve">Departamento </w:t>
      </w:r>
      <w:r w:rsidRPr="00930562">
        <w:rPr>
          <w:rFonts w:asciiTheme="majorHAnsi" w:hAnsiTheme="majorHAnsi"/>
          <w:lang w:val="es-US"/>
        </w:rPr>
        <w:t>de Justicia, estima un promedio anual de 250.000 delitos motivados por odio, casi 40 veces más que la cifra reportada por el FBI.</w:t>
      </w:r>
      <w:r w:rsidRPr="00930562">
        <w:rPr>
          <w:rFonts w:asciiTheme="majorHAnsi" w:hAnsiTheme="majorHAnsi"/>
          <w:vertAlign w:val="superscript"/>
          <w:lang w:val="es-US"/>
        </w:rPr>
        <w:footnoteReference w:id="339"/>
      </w:r>
      <w:r w:rsidRPr="00930562">
        <w:rPr>
          <w:rFonts w:asciiTheme="majorHAnsi" w:hAnsiTheme="majorHAnsi"/>
          <w:lang w:val="es-US"/>
        </w:rPr>
        <w:t xml:space="preserve"> Según el informe del FBI, alrededor del 58 por ciento de los crímenes de odio reportados en 2016 fueron motivados por motivos de raza, etnia u origen nacional.</w:t>
      </w:r>
      <w:r w:rsidRPr="00930562">
        <w:rPr>
          <w:rFonts w:asciiTheme="majorHAnsi" w:hAnsiTheme="majorHAnsi"/>
          <w:vertAlign w:val="superscript"/>
          <w:lang w:val="es-US"/>
        </w:rPr>
        <w:footnoteReference w:id="340"/>
      </w:r>
      <w:r w:rsidRPr="00930562">
        <w:rPr>
          <w:rFonts w:asciiTheme="majorHAnsi" w:hAnsiTheme="majorHAnsi"/>
          <w:lang w:val="es-US"/>
        </w:rPr>
        <w:t xml:space="preserve"> La Comisión expresa su preocupación por la dificultad demostrada para procesar y, cuando correspond</w:t>
      </w:r>
      <w:r w:rsidR="00153144" w:rsidRPr="00930562">
        <w:rPr>
          <w:rFonts w:asciiTheme="majorHAnsi" w:hAnsiTheme="majorHAnsi"/>
          <w:lang w:val="es-US"/>
        </w:rPr>
        <w:t>e</w:t>
      </w:r>
      <w:r w:rsidRPr="00930562">
        <w:rPr>
          <w:rFonts w:asciiTheme="majorHAnsi" w:hAnsiTheme="majorHAnsi"/>
          <w:lang w:val="es-US"/>
        </w:rPr>
        <w:t xml:space="preserve">, lograr condenas por crímenes de odio como consecuencia de una variedad de factores, incluyendo lagunas en las leyes estatales, la falta de recursos federales para procesar, así como la dificultad de probar </w:t>
      </w:r>
      <w:r w:rsidR="00153144" w:rsidRPr="00930562">
        <w:rPr>
          <w:rFonts w:asciiTheme="majorHAnsi" w:hAnsiTheme="majorHAnsi"/>
          <w:lang w:val="es-US"/>
        </w:rPr>
        <w:t xml:space="preserve">la intención </w:t>
      </w:r>
      <w:r w:rsidRPr="00930562">
        <w:rPr>
          <w:rFonts w:asciiTheme="majorHAnsi" w:hAnsiTheme="majorHAnsi"/>
          <w:lang w:val="es-US"/>
        </w:rPr>
        <w:t>del perpetrador dolo) de cometer un crimen de odio.</w:t>
      </w:r>
      <w:r w:rsidRPr="00930562">
        <w:rPr>
          <w:rFonts w:asciiTheme="majorHAnsi" w:hAnsiTheme="majorHAnsi"/>
          <w:vertAlign w:val="superscript"/>
          <w:lang w:val="es-US"/>
        </w:rPr>
        <w:footnoteReference w:id="341"/>
      </w:r>
      <w:r w:rsidRPr="00930562">
        <w:rPr>
          <w:rFonts w:asciiTheme="majorHAnsi" w:hAnsiTheme="majorHAnsi"/>
          <w:lang w:val="es-US"/>
        </w:rPr>
        <w:t xml:space="preserve"> La Comisión considera que el amplio contexto social de crecientes expresiones de odio e intolerancia contra los afroamericanos (así como contra otros grupos históricamente marginados, incluidos musulmanes, inmigrantes y judíos) no puede ser separado en su consideración de las otras situaciones de discriminación descritas en este informe, ya que de manera particular afectan las obligaciones del Estado con respecto a la no discriminación y la protección igual</w:t>
      </w:r>
      <w:r w:rsidR="00153144" w:rsidRPr="00930562">
        <w:rPr>
          <w:rFonts w:asciiTheme="majorHAnsi" w:hAnsiTheme="majorHAnsi"/>
          <w:lang w:val="es-US"/>
        </w:rPr>
        <w:t xml:space="preserve">itaria </w:t>
      </w:r>
      <w:r w:rsidRPr="00930562">
        <w:rPr>
          <w:rFonts w:asciiTheme="majorHAnsi" w:hAnsiTheme="majorHAnsi"/>
          <w:lang w:val="es-US"/>
        </w:rPr>
        <w:t>de la ley.</w:t>
      </w:r>
    </w:p>
    <w:bookmarkEnd w:id="142"/>
    <w:p w14:paraId="6A7CFC26" w14:textId="487A9FE5"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En este contexto</w:t>
      </w:r>
      <w:r w:rsidR="009C05C4" w:rsidRPr="00930562">
        <w:rPr>
          <w:rFonts w:asciiTheme="majorHAnsi" w:hAnsiTheme="majorHAnsi"/>
          <w:lang w:val="es-US"/>
        </w:rPr>
        <w:t xml:space="preserve"> de</w:t>
      </w:r>
      <w:r w:rsidRPr="00930562">
        <w:rPr>
          <w:rFonts w:asciiTheme="majorHAnsi" w:hAnsiTheme="majorHAnsi"/>
          <w:lang w:val="es-US"/>
        </w:rPr>
        <w:t xml:space="preserve"> impactantes manifestaciones de odio, </w:t>
      </w:r>
      <w:r w:rsidR="009C05C4" w:rsidRPr="00930562">
        <w:rPr>
          <w:rFonts w:asciiTheme="majorHAnsi" w:hAnsiTheme="majorHAnsi"/>
          <w:lang w:val="es-US"/>
        </w:rPr>
        <w:t>destaca</w:t>
      </w:r>
      <w:r w:rsidRPr="00930562">
        <w:rPr>
          <w:rFonts w:asciiTheme="majorHAnsi" w:hAnsiTheme="majorHAnsi"/>
          <w:lang w:val="es-US"/>
        </w:rPr>
        <w:t xml:space="preserve"> la masacre ocurrida en la Iglesia Metodista Episcopal </w:t>
      </w:r>
      <w:r w:rsidRPr="00930562">
        <w:rPr>
          <w:rFonts w:asciiTheme="majorHAnsi" w:hAnsiTheme="majorHAnsi"/>
          <w:i/>
          <w:lang w:val="es-US"/>
        </w:rPr>
        <w:t>Emanuel African</w:t>
      </w:r>
      <w:r w:rsidRPr="00930562">
        <w:rPr>
          <w:rFonts w:asciiTheme="majorHAnsi" w:hAnsiTheme="majorHAnsi"/>
          <w:lang w:val="es-US"/>
        </w:rPr>
        <w:t xml:space="preserve"> (una iglesia históricamente negra) en Charleston, Carolina del Sur en abril de 2015, en la que un hombre blanco supremacista asesinó con un arma de fuego a nueve fieles negros durante la misa dominical.</w:t>
      </w:r>
      <w:r w:rsidRPr="00930562">
        <w:rPr>
          <w:rFonts w:asciiTheme="majorHAnsi" w:hAnsiTheme="majorHAnsi"/>
          <w:vertAlign w:val="superscript"/>
          <w:lang w:val="es-US"/>
        </w:rPr>
        <w:footnoteReference w:id="342"/>
      </w:r>
      <w:r w:rsidRPr="00930562">
        <w:rPr>
          <w:rFonts w:asciiTheme="majorHAnsi" w:hAnsiTheme="majorHAnsi"/>
          <w:lang w:val="es-US"/>
        </w:rPr>
        <w:t xml:space="preserve"> Las creencias de supremac</w:t>
      </w:r>
      <w:r w:rsidR="009C05C4" w:rsidRPr="00930562">
        <w:rPr>
          <w:rFonts w:asciiTheme="majorHAnsi" w:hAnsiTheme="majorHAnsi"/>
          <w:lang w:val="es-US"/>
        </w:rPr>
        <w:t>ía</w:t>
      </w:r>
      <w:r w:rsidRPr="00930562">
        <w:rPr>
          <w:rFonts w:asciiTheme="majorHAnsi" w:hAnsiTheme="majorHAnsi"/>
          <w:lang w:val="es-US"/>
        </w:rPr>
        <w:t xml:space="preserve"> blanc</w:t>
      </w:r>
      <w:r w:rsidR="009C05C4" w:rsidRPr="00930562">
        <w:rPr>
          <w:rFonts w:asciiTheme="majorHAnsi" w:hAnsiTheme="majorHAnsi"/>
          <w:lang w:val="es-US"/>
        </w:rPr>
        <w:t>a</w:t>
      </w:r>
      <w:r w:rsidRPr="00930562">
        <w:rPr>
          <w:rFonts w:asciiTheme="majorHAnsi" w:hAnsiTheme="majorHAnsi"/>
          <w:lang w:val="es-US"/>
        </w:rPr>
        <w:t xml:space="preserve"> </w:t>
      </w:r>
      <w:r w:rsidR="009C05C4" w:rsidRPr="00930562">
        <w:rPr>
          <w:rFonts w:asciiTheme="majorHAnsi" w:hAnsiTheme="majorHAnsi"/>
          <w:lang w:val="es-US"/>
        </w:rPr>
        <w:t xml:space="preserve">del </w:t>
      </w:r>
      <w:r w:rsidRPr="00930562">
        <w:rPr>
          <w:rFonts w:asciiTheme="majorHAnsi" w:hAnsiTheme="majorHAnsi"/>
          <w:lang w:val="es-US"/>
        </w:rPr>
        <w:t>autor del tiroteo están bien documentadas;</w:t>
      </w:r>
      <w:r w:rsidRPr="00930562">
        <w:rPr>
          <w:rFonts w:asciiTheme="majorHAnsi" w:hAnsiTheme="majorHAnsi"/>
          <w:vertAlign w:val="superscript"/>
          <w:lang w:val="es-US"/>
        </w:rPr>
        <w:footnoteReference w:id="343"/>
      </w:r>
      <w:r w:rsidRPr="00930562">
        <w:rPr>
          <w:rFonts w:asciiTheme="majorHAnsi" w:hAnsiTheme="majorHAnsi"/>
          <w:lang w:val="es-US"/>
        </w:rPr>
        <w:t xml:space="preserve"> se determinó que se trató de un crimen de odio federal y el perpetrador fue sentenciado a la pena capital en el proceso federal y a nueve cadenas perpetuas en los procesos estatales.</w:t>
      </w:r>
      <w:r w:rsidRPr="00930562">
        <w:rPr>
          <w:rFonts w:asciiTheme="majorHAnsi" w:hAnsiTheme="majorHAnsi"/>
          <w:vertAlign w:val="superscript"/>
          <w:lang w:val="es-US"/>
        </w:rPr>
        <w:footnoteReference w:id="344"/>
      </w:r>
      <w:r w:rsidRPr="00930562">
        <w:rPr>
          <w:rFonts w:asciiTheme="majorHAnsi" w:hAnsiTheme="majorHAnsi"/>
          <w:lang w:val="es-US"/>
        </w:rPr>
        <w:t xml:space="preserve"> Esta tragedia también llevó a un </w:t>
      </w:r>
      <w:r w:rsidRPr="00930562">
        <w:rPr>
          <w:rFonts w:asciiTheme="majorHAnsi" w:hAnsiTheme="majorHAnsi"/>
          <w:lang w:val="es-US"/>
        </w:rPr>
        <w:lastRenderedPageBreak/>
        <w:t>resurgimiento del movimiento que aboga por eliminar la bandera confederada que se exhibe en edificios públicos en estados como Carolina del Sur.</w:t>
      </w:r>
      <w:r w:rsidRPr="00930562">
        <w:rPr>
          <w:rFonts w:asciiTheme="majorHAnsi" w:hAnsiTheme="majorHAnsi"/>
          <w:vertAlign w:val="superscript"/>
          <w:lang w:val="es-US"/>
        </w:rPr>
        <w:footnoteReference w:id="345"/>
      </w:r>
    </w:p>
    <w:p w14:paraId="57E237F0" w14:textId="4CFFF665"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eastAsiaTheme="minorHAnsi" w:hAnsiTheme="majorHAnsi"/>
          <w:b/>
          <w:bCs/>
          <w:sz w:val="16"/>
          <w:lang w:val="es-US"/>
        </w:rPr>
      </w:pPr>
      <w:r w:rsidRPr="00930562">
        <w:rPr>
          <w:rFonts w:asciiTheme="majorHAnsi" w:hAnsiTheme="majorHAnsi"/>
          <w:lang w:val="es-US"/>
        </w:rPr>
        <w:t xml:space="preserve">La Comisión también destaca los eventos ocurridos en Charlottesville, Virginia, entre el 11 y 12 de agosto de 2017, </w:t>
      </w:r>
      <w:r w:rsidR="009C05C4" w:rsidRPr="00930562">
        <w:rPr>
          <w:rFonts w:asciiTheme="majorHAnsi" w:hAnsiTheme="majorHAnsi"/>
          <w:lang w:val="es-US"/>
        </w:rPr>
        <w:t>en el que</w:t>
      </w:r>
      <w:r w:rsidRPr="00930562">
        <w:rPr>
          <w:rFonts w:asciiTheme="majorHAnsi" w:hAnsiTheme="majorHAnsi"/>
          <w:lang w:val="es-US"/>
        </w:rPr>
        <w:t xml:space="preserve"> cientos de personas pertenecientes a grupos nacionalistas blancos participaron de una manifestación denominada "Unite the Right" (“Unir </w:t>
      </w:r>
      <w:r w:rsidR="009C05C4" w:rsidRPr="00930562">
        <w:rPr>
          <w:rFonts w:asciiTheme="majorHAnsi" w:hAnsiTheme="majorHAnsi"/>
          <w:lang w:val="es-US"/>
        </w:rPr>
        <w:t xml:space="preserve">a </w:t>
      </w:r>
      <w:r w:rsidRPr="00930562">
        <w:rPr>
          <w:rFonts w:asciiTheme="majorHAnsi" w:hAnsiTheme="majorHAnsi"/>
          <w:lang w:val="es-US"/>
        </w:rPr>
        <w:t>la Derecha”).</w:t>
      </w:r>
      <w:r w:rsidRPr="00930562">
        <w:rPr>
          <w:rFonts w:asciiTheme="majorHAnsi" w:hAnsiTheme="majorHAnsi"/>
          <w:vertAlign w:val="superscript"/>
          <w:lang w:val="es-US"/>
        </w:rPr>
        <w:footnoteReference w:id="346"/>
      </w:r>
      <w:r w:rsidRPr="00930562">
        <w:rPr>
          <w:rFonts w:asciiTheme="majorHAnsi" w:hAnsiTheme="majorHAnsi"/>
          <w:lang w:val="es-US"/>
        </w:rPr>
        <w:t xml:space="preserve"> Estas personas pertenecían a varios grupos de supremacía blanca motivados por el odio, entre los que había neonazis y miembros del Ku Klux Klan,</w:t>
      </w:r>
      <w:r w:rsidR="009C05C4" w:rsidRPr="00930562">
        <w:rPr>
          <w:rFonts w:asciiTheme="majorHAnsi" w:hAnsiTheme="majorHAnsi"/>
          <w:lang w:val="es-US"/>
        </w:rPr>
        <w:t xml:space="preserve"> y</w:t>
      </w:r>
      <w:r w:rsidRPr="00930562">
        <w:rPr>
          <w:rFonts w:asciiTheme="majorHAnsi" w:hAnsiTheme="majorHAnsi"/>
          <w:lang w:val="es-US"/>
        </w:rPr>
        <w:t xml:space="preserve"> expresaron su intolerancia y odio contra grupos de negros, judíos e inmigrantes. El 12 de agosto se produjeron violentos enfrentamientos durante la manifestación en Charlottesville.</w:t>
      </w:r>
      <w:r w:rsidR="009C05C4" w:rsidRPr="00930562">
        <w:rPr>
          <w:rFonts w:asciiTheme="majorHAnsi" w:hAnsiTheme="majorHAnsi"/>
          <w:lang w:val="es-US"/>
        </w:rPr>
        <w:t xml:space="preserve"> </w:t>
      </w:r>
      <w:r w:rsidRPr="00930562">
        <w:rPr>
          <w:rFonts w:asciiTheme="majorHAnsi" w:hAnsiTheme="majorHAnsi"/>
          <w:lang w:val="es-US"/>
        </w:rPr>
        <w:t xml:space="preserve">Un manifestante de "Unite the Right" arrojó su automóvil contra una multitud de manifestantes </w:t>
      </w:r>
      <w:r w:rsidR="009C05C4" w:rsidRPr="00930562">
        <w:rPr>
          <w:rFonts w:asciiTheme="majorHAnsi" w:hAnsiTheme="majorHAnsi"/>
          <w:lang w:val="es-US"/>
        </w:rPr>
        <w:t>opositores</w:t>
      </w:r>
      <w:r w:rsidRPr="00930562">
        <w:rPr>
          <w:rFonts w:asciiTheme="majorHAnsi" w:hAnsiTheme="majorHAnsi"/>
          <w:lang w:val="es-US"/>
        </w:rPr>
        <w:t>, resultando en la muerte de</w:t>
      </w:r>
      <w:r w:rsidRPr="00930562">
        <w:rPr>
          <w:rFonts w:asciiTheme="majorHAnsi" w:eastAsiaTheme="minorHAnsi" w:hAnsiTheme="majorHAnsi"/>
          <w:bCs/>
          <w:lang w:val="es-US"/>
        </w:rPr>
        <w:t xml:space="preserve"> la manifestante Heather Heyer. Al menos otros diecinueve manifestantes </w:t>
      </w:r>
      <w:r w:rsidR="009C05C4" w:rsidRPr="00930562">
        <w:rPr>
          <w:rFonts w:asciiTheme="majorHAnsi" w:eastAsiaTheme="minorHAnsi" w:hAnsiTheme="majorHAnsi"/>
          <w:bCs/>
          <w:lang w:val="es-US"/>
        </w:rPr>
        <w:t xml:space="preserve">opositores </w:t>
      </w:r>
      <w:r w:rsidRPr="00930562">
        <w:rPr>
          <w:rFonts w:asciiTheme="majorHAnsi" w:eastAsiaTheme="minorHAnsi" w:hAnsiTheme="majorHAnsi"/>
          <w:bCs/>
          <w:lang w:val="es-US"/>
        </w:rPr>
        <w:t>resultaron heridos, incluido DeAndre Harris, un afro estadounidense que fue golpeado violentamente por supremacistas blancos mientras la policía observaba la escena.</w:t>
      </w:r>
      <w:r w:rsidRPr="00930562">
        <w:rPr>
          <w:rFonts w:asciiTheme="majorHAnsi" w:hAnsiTheme="majorHAnsi"/>
          <w:vertAlign w:val="superscript"/>
          <w:lang w:val="es-US"/>
        </w:rPr>
        <w:footnoteReference w:id="347"/>
      </w:r>
      <w:r w:rsidRPr="00930562">
        <w:rPr>
          <w:rFonts w:asciiTheme="majorHAnsi" w:eastAsiaTheme="minorHAnsi" w:hAnsiTheme="majorHAnsi"/>
          <w:bCs/>
          <w:lang w:val="es-US"/>
        </w:rPr>
        <w:t xml:space="preserve"> Los manifestantes </w:t>
      </w:r>
      <w:r w:rsidR="009C05C4" w:rsidRPr="00930562">
        <w:rPr>
          <w:rFonts w:asciiTheme="majorHAnsi" w:eastAsiaTheme="minorHAnsi" w:hAnsiTheme="majorHAnsi"/>
          <w:bCs/>
          <w:lang w:val="es-US"/>
        </w:rPr>
        <w:t xml:space="preserve">opositores </w:t>
      </w:r>
      <w:r w:rsidRPr="00930562">
        <w:rPr>
          <w:rFonts w:asciiTheme="majorHAnsi" w:eastAsiaTheme="minorHAnsi" w:hAnsiTheme="majorHAnsi"/>
          <w:bCs/>
          <w:lang w:val="es-US"/>
        </w:rPr>
        <w:t>que estuvieron presentes en los enfrentamientos y los medios de comunicación cuestionaron el papel de la policía en la manifestación, afirmando que la policía se mantuvo al margen mientras los nacionalistas blancos golpeaban a la gente, que sólo algunos fueron arrestados y que casi ninguno ha sido condenado hasta la fecha.</w:t>
      </w:r>
      <w:r w:rsidRPr="00930562">
        <w:rPr>
          <w:rFonts w:asciiTheme="majorHAnsi" w:hAnsiTheme="majorHAnsi"/>
          <w:vertAlign w:val="superscript"/>
          <w:lang w:val="es-US"/>
        </w:rPr>
        <w:footnoteReference w:id="348"/>
      </w:r>
      <w:r w:rsidRPr="00930562">
        <w:rPr>
          <w:rFonts w:asciiTheme="majorHAnsi" w:eastAsiaTheme="minorHAnsi" w:hAnsiTheme="majorHAnsi"/>
          <w:bCs/>
          <w:lang w:val="es-US"/>
        </w:rPr>
        <w:t xml:space="preserve"> La Comisión </w:t>
      </w:r>
      <w:r w:rsidR="009C05C4" w:rsidRPr="00930562">
        <w:rPr>
          <w:rFonts w:asciiTheme="majorHAnsi" w:eastAsiaTheme="minorHAnsi" w:hAnsiTheme="majorHAnsi"/>
          <w:bCs/>
          <w:lang w:val="es-US"/>
        </w:rPr>
        <w:t xml:space="preserve">nota </w:t>
      </w:r>
      <w:r w:rsidRPr="00930562">
        <w:rPr>
          <w:rFonts w:asciiTheme="majorHAnsi" w:eastAsiaTheme="minorHAnsi" w:hAnsiTheme="majorHAnsi"/>
          <w:bCs/>
          <w:lang w:val="es-US"/>
        </w:rPr>
        <w:t>que se han presentado cargos penales contra algunos de los participantes del enfrentamiento acusados de matar o herir, respectivamente, a Heather Heyer y DeAndre Harris, y reitera la necesidad de que se garantice una investigación completa, el procesamiento y, si correspond</w:t>
      </w:r>
      <w:r w:rsidR="009C05C4" w:rsidRPr="00930562">
        <w:rPr>
          <w:rFonts w:asciiTheme="majorHAnsi" w:eastAsiaTheme="minorHAnsi" w:hAnsiTheme="majorHAnsi"/>
          <w:bCs/>
          <w:lang w:val="es-US"/>
        </w:rPr>
        <w:t>e</w:t>
      </w:r>
      <w:r w:rsidRPr="00930562">
        <w:rPr>
          <w:rFonts w:asciiTheme="majorHAnsi" w:eastAsiaTheme="minorHAnsi" w:hAnsiTheme="majorHAnsi"/>
          <w:bCs/>
          <w:lang w:val="es-US"/>
        </w:rPr>
        <w:t>, la aplicación de sanciones por estos eventos.</w:t>
      </w:r>
      <w:r w:rsidRPr="00930562">
        <w:rPr>
          <w:rFonts w:asciiTheme="majorHAnsi" w:hAnsiTheme="majorHAnsi"/>
          <w:vertAlign w:val="superscript"/>
          <w:lang w:val="es-US"/>
        </w:rPr>
        <w:footnoteReference w:id="349"/>
      </w:r>
    </w:p>
    <w:p w14:paraId="1C88CEE0" w14:textId="66AA6C54"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sz w:val="16"/>
          <w:lang w:val="es-US"/>
        </w:rPr>
      </w:pPr>
      <w:r w:rsidRPr="00930562">
        <w:rPr>
          <w:rFonts w:asciiTheme="majorHAnsi" w:hAnsiTheme="majorHAnsi"/>
          <w:lang w:val="es-US"/>
        </w:rPr>
        <w:lastRenderedPageBreak/>
        <w:t>La Comisión observa además que la manifestación "</w:t>
      </w:r>
      <w:r w:rsidRPr="00930562">
        <w:rPr>
          <w:rFonts w:asciiTheme="majorHAnsi" w:eastAsiaTheme="minorHAnsi" w:hAnsiTheme="majorHAnsi"/>
          <w:bCs/>
          <w:i/>
          <w:lang w:val="es-US"/>
        </w:rPr>
        <w:t>Unite the Right</w:t>
      </w:r>
      <w:r w:rsidRPr="00930562">
        <w:rPr>
          <w:rFonts w:asciiTheme="majorHAnsi" w:hAnsiTheme="majorHAnsi"/>
          <w:lang w:val="es-US"/>
        </w:rPr>
        <w:t>" se realizó para protestar contra el plan de la ciudad de eliminar un monumento del antiguo tribunal de justicia de la ciudad que pertenecía a la época de la Confederación.</w:t>
      </w:r>
      <w:r w:rsidRPr="00930562">
        <w:rPr>
          <w:rFonts w:asciiTheme="majorHAnsi" w:hAnsiTheme="majorHAnsi"/>
          <w:vertAlign w:val="superscript"/>
          <w:lang w:val="es-US"/>
        </w:rPr>
        <w:footnoteReference w:id="350"/>
      </w:r>
      <w:r w:rsidRPr="00930562">
        <w:rPr>
          <w:rFonts w:asciiTheme="majorHAnsi" w:hAnsiTheme="majorHAnsi"/>
          <w:lang w:val="es-US"/>
        </w:rPr>
        <w:t xml:space="preserve"> Ese monumento, al igual que muchos otros que existen en todo el país</w:t>
      </w:r>
      <w:r w:rsidRPr="00930562">
        <w:rPr>
          <w:rFonts w:asciiTheme="majorHAnsi" w:hAnsiTheme="majorHAnsi"/>
          <w:vertAlign w:val="superscript"/>
          <w:lang w:val="es-US"/>
        </w:rPr>
        <w:footnoteReference w:id="351"/>
      </w:r>
      <w:r w:rsidRPr="00930562">
        <w:rPr>
          <w:rFonts w:asciiTheme="majorHAnsi" w:hAnsiTheme="majorHAnsi"/>
          <w:lang w:val="es-US"/>
        </w:rPr>
        <w:t xml:space="preserve">, rinde homenaje a los líderes políticos defensores de la esclavitud, sin duda la violación de derechos humanos más grave jamás consumada en los EE.UU. Las actuales </w:t>
      </w:r>
      <w:r w:rsidR="009D0DDC" w:rsidRPr="00930562">
        <w:rPr>
          <w:rFonts w:asciiTheme="majorHAnsi" w:hAnsiTheme="majorHAnsi"/>
          <w:lang w:val="es-US"/>
        </w:rPr>
        <w:t xml:space="preserve">disputas </w:t>
      </w:r>
      <w:r w:rsidRPr="00930562">
        <w:rPr>
          <w:rFonts w:asciiTheme="majorHAnsi" w:hAnsiTheme="majorHAnsi"/>
          <w:lang w:val="es-US"/>
        </w:rPr>
        <w:t>respecto de estos monumentos resaltan que el Estado aún no ha cumplido con su obligación de promover la memoria</w:t>
      </w:r>
      <w:r w:rsidR="009D0DDC" w:rsidRPr="00930562">
        <w:rPr>
          <w:rFonts w:asciiTheme="majorHAnsi" w:hAnsiTheme="majorHAnsi"/>
          <w:lang w:val="es-US"/>
        </w:rPr>
        <w:t>,</w:t>
      </w:r>
      <w:r w:rsidRPr="00930562">
        <w:rPr>
          <w:rFonts w:asciiTheme="majorHAnsi" w:hAnsiTheme="majorHAnsi"/>
          <w:lang w:val="es-US"/>
        </w:rPr>
        <w:t xml:space="preserve"> la verdad y </w:t>
      </w:r>
      <w:r w:rsidR="009D0DDC" w:rsidRPr="00930562">
        <w:rPr>
          <w:rFonts w:asciiTheme="majorHAnsi" w:hAnsiTheme="majorHAnsi"/>
          <w:lang w:val="es-US"/>
        </w:rPr>
        <w:t xml:space="preserve">la </w:t>
      </w:r>
      <w:r w:rsidRPr="00930562">
        <w:rPr>
          <w:rFonts w:asciiTheme="majorHAnsi" w:hAnsiTheme="majorHAnsi"/>
          <w:lang w:val="es-US"/>
        </w:rPr>
        <w:t xml:space="preserve">justicia respecto de graves violaciones de los derechos humanos cometidas contra afrodescendientes en los Estados Unidos. </w:t>
      </w:r>
      <w:r w:rsidR="009D0DDC" w:rsidRPr="00930562">
        <w:rPr>
          <w:rFonts w:asciiTheme="majorHAnsi" w:hAnsiTheme="majorHAnsi"/>
          <w:lang w:val="es-US"/>
        </w:rPr>
        <w:t>Los estándares</w:t>
      </w:r>
      <w:r w:rsidRPr="00930562">
        <w:rPr>
          <w:rFonts w:asciiTheme="majorHAnsi" w:hAnsiTheme="majorHAnsi"/>
          <w:lang w:val="es-US"/>
        </w:rPr>
        <w:t xml:space="preserve"> interamerican</w:t>
      </w:r>
      <w:r w:rsidR="009D0DDC" w:rsidRPr="00930562">
        <w:rPr>
          <w:rFonts w:asciiTheme="majorHAnsi" w:hAnsiTheme="majorHAnsi"/>
          <w:lang w:val="es-US"/>
        </w:rPr>
        <w:t>o</w:t>
      </w:r>
      <w:r w:rsidRPr="00930562">
        <w:rPr>
          <w:rFonts w:asciiTheme="majorHAnsi" w:hAnsiTheme="majorHAnsi"/>
          <w:lang w:val="es-US"/>
        </w:rPr>
        <w:t>s claramente establecen que los Estados deben reconocer graves violaciones de derechos humanos y crímenes de lesa humanidad, promover el derecho a la verdad y promover reparaciones adecuadas para las víctimas, incluyendo la garantía de no repetición de las violaciones.</w:t>
      </w:r>
      <w:r w:rsidRPr="00930562">
        <w:rPr>
          <w:rFonts w:asciiTheme="majorHAnsi" w:hAnsiTheme="majorHAnsi"/>
          <w:vertAlign w:val="superscript"/>
          <w:lang w:val="es-US"/>
        </w:rPr>
        <w:footnoteReference w:id="352"/>
      </w:r>
      <w:r w:rsidRPr="00930562">
        <w:rPr>
          <w:rFonts w:asciiTheme="majorHAnsi" w:hAnsiTheme="majorHAnsi"/>
          <w:lang w:val="es-US"/>
        </w:rPr>
        <w:t xml:space="preserve"> Est</w:t>
      </w:r>
      <w:r w:rsidR="009D0DDC" w:rsidRPr="00930562">
        <w:rPr>
          <w:rFonts w:asciiTheme="majorHAnsi" w:hAnsiTheme="majorHAnsi"/>
          <w:lang w:val="es-US"/>
        </w:rPr>
        <w:t>o</w:t>
      </w:r>
      <w:r w:rsidRPr="00930562">
        <w:rPr>
          <w:rFonts w:asciiTheme="majorHAnsi" w:hAnsiTheme="majorHAnsi"/>
          <w:lang w:val="es-US"/>
        </w:rPr>
        <w:t xml:space="preserve"> incluye la eliminación de los homenajes públicos a quienes fueron responsables de graves violaciones a los derechos humanos así como promover la memoria de las víctimas, que es también un tipo de reparación simbólica.</w:t>
      </w:r>
    </w:p>
    <w:p w14:paraId="4775354D" w14:textId="488DB2A9" w:rsidR="005B672D" w:rsidRPr="00930562" w:rsidRDefault="005B672D" w:rsidP="001E382F">
      <w:pPr>
        <w:pStyle w:val="Heading4"/>
        <w:rPr>
          <w:lang w:val="es-US"/>
        </w:rPr>
      </w:pPr>
      <w:bookmarkStart w:id="143" w:name="_Toc511837821"/>
      <w:bookmarkStart w:id="144" w:name="_Toc511902994"/>
      <w:bookmarkStart w:id="145" w:name="_Toc517779242"/>
      <w:bookmarkStart w:id="146" w:name="_Toc531514473"/>
      <w:r w:rsidRPr="00930562">
        <w:rPr>
          <w:lang w:val="es-US"/>
        </w:rPr>
        <w:t>Leyes “</w:t>
      </w:r>
      <w:r w:rsidRPr="00930562">
        <w:rPr>
          <w:i/>
          <w:lang w:val="es-US"/>
        </w:rPr>
        <w:t>Stand Your Ground</w:t>
      </w:r>
      <w:r w:rsidRPr="00930562">
        <w:rPr>
          <w:lang w:val="es-US"/>
        </w:rPr>
        <w:t xml:space="preserve">” y violencia por parte de </w:t>
      </w:r>
      <w:bookmarkEnd w:id="143"/>
      <w:bookmarkEnd w:id="144"/>
      <w:r w:rsidRPr="00930562">
        <w:rPr>
          <w:lang w:val="es-US"/>
        </w:rPr>
        <w:t>ciudadanos comunes</w:t>
      </w:r>
      <w:bookmarkEnd w:id="145"/>
      <w:bookmarkEnd w:id="146"/>
    </w:p>
    <w:p w14:paraId="768AA136" w14:textId="0A72B2C7"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eastAsia="Times New Roman" w:hAnsiTheme="majorHAnsi"/>
          <w:sz w:val="16"/>
          <w:lang w:val="es-US" w:eastAsia="es-ES"/>
        </w:rPr>
      </w:pPr>
      <w:r w:rsidRPr="00930562">
        <w:rPr>
          <w:rFonts w:asciiTheme="majorHAnsi" w:eastAsia="Times New Roman" w:hAnsiTheme="majorHAnsi"/>
          <w:lang w:val="es-US" w:eastAsia="es-ES"/>
        </w:rPr>
        <w:t>La Comisión se encuentra preocupada por las leyes denominadas "</w:t>
      </w:r>
      <w:r w:rsidRPr="00930562">
        <w:rPr>
          <w:rFonts w:asciiTheme="majorHAnsi" w:eastAsia="Times New Roman" w:hAnsiTheme="majorHAnsi"/>
          <w:i/>
          <w:lang w:val="es-US" w:eastAsia="es-ES"/>
        </w:rPr>
        <w:t>Stand Your Ground"</w:t>
      </w:r>
      <w:r w:rsidRPr="00930562">
        <w:rPr>
          <w:rFonts w:asciiTheme="majorHAnsi" w:eastAsia="Times New Roman" w:hAnsiTheme="majorHAnsi"/>
          <w:lang w:val="es-US" w:eastAsia="es-ES"/>
        </w:rPr>
        <w:t xml:space="preserve"> (SYG, por sus siglas en inglés), aún vigentes en al menos 29 estados de los Estados Unidos, que permiten a los civiles utilizar la fuerza letal </w:t>
      </w:r>
      <w:r w:rsidRPr="00930562">
        <w:rPr>
          <w:rFonts w:asciiTheme="majorHAnsi" w:hAnsiTheme="majorHAnsi"/>
          <w:lang w:val="es-US"/>
        </w:rPr>
        <w:t>contra</w:t>
      </w:r>
      <w:r w:rsidRPr="00930562">
        <w:rPr>
          <w:rFonts w:asciiTheme="majorHAnsi" w:eastAsia="Times New Roman" w:hAnsiTheme="majorHAnsi"/>
          <w:lang w:val="es-US" w:eastAsia="es-ES"/>
        </w:rPr>
        <w:t xml:space="preserve"> otros civiles aunque no sea estrictamente en defensa propia. Muchas leyes estatales aplican un estándar objetivo y razonable para el ejercicio de la legítima defensa, el cual en virtud del derecho internacional, debe acogerse a los principios de excepcionalidad, necesidad y proporcionalidad.</w:t>
      </w:r>
      <w:r w:rsidRPr="00930562">
        <w:rPr>
          <w:rFonts w:asciiTheme="majorHAnsi" w:eastAsia="Times New Roman" w:hAnsiTheme="majorHAnsi"/>
          <w:vertAlign w:val="superscript"/>
          <w:lang w:val="es-US" w:eastAsia="es-ES"/>
        </w:rPr>
        <w:footnoteReference w:id="353"/>
      </w:r>
      <w:r w:rsidRPr="00930562">
        <w:rPr>
          <w:rFonts w:asciiTheme="majorHAnsi" w:eastAsia="Times New Roman" w:hAnsiTheme="majorHAnsi"/>
          <w:lang w:val="es-US" w:eastAsia="es-ES"/>
        </w:rPr>
        <w:t xml:space="preserve"> Sin embargo, los estados que adoptan estas leyes permiten que una persona "se mantenga firme" y enfrente fuerza con </w:t>
      </w:r>
      <w:r w:rsidRPr="00930562">
        <w:rPr>
          <w:rFonts w:asciiTheme="majorHAnsi" w:eastAsia="Times New Roman" w:hAnsiTheme="majorHAnsi"/>
          <w:lang w:val="es-US" w:eastAsia="es-ES"/>
        </w:rPr>
        <w:lastRenderedPageBreak/>
        <w:t>fuerza, incluida la fuerza letal.</w:t>
      </w:r>
      <w:r w:rsidRPr="00930562">
        <w:rPr>
          <w:rFonts w:asciiTheme="majorHAnsi" w:eastAsia="Times New Roman" w:hAnsiTheme="majorHAnsi"/>
          <w:sz w:val="16"/>
          <w:vertAlign w:val="superscript"/>
          <w:lang w:val="es-US" w:eastAsia="es-ES"/>
        </w:rPr>
        <w:t xml:space="preserve"> </w:t>
      </w:r>
      <w:r w:rsidRPr="00930562">
        <w:rPr>
          <w:rFonts w:asciiTheme="majorHAnsi" w:eastAsia="Times New Roman" w:hAnsiTheme="majorHAnsi"/>
          <w:vertAlign w:val="superscript"/>
          <w:lang w:val="es-US" w:eastAsia="es-ES"/>
        </w:rPr>
        <w:footnoteReference w:id="354"/>
      </w:r>
      <w:r w:rsidRPr="00930562">
        <w:rPr>
          <w:rFonts w:asciiTheme="majorHAnsi" w:eastAsia="Times New Roman" w:hAnsiTheme="majorHAnsi"/>
          <w:lang w:val="es-US" w:eastAsia="es-ES"/>
        </w:rPr>
        <w:t xml:space="preserve"> Las leyes SYG generalmente establecen que, bajo ciertas circunstancias fuera del propio hogar,</w:t>
      </w:r>
      <w:r w:rsidRPr="00930562">
        <w:rPr>
          <w:rFonts w:asciiTheme="majorHAnsi" w:hAnsiTheme="majorHAnsi"/>
          <w:sz w:val="16"/>
          <w:vertAlign w:val="superscript"/>
          <w:lang w:val="es-US"/>
        </w:rPr>
        <w:t xml:space="preserve"> </w:t>
      </w:r>
      <w:r w:rsidRPr="00930562">
        <w:rPr>
          <w:rFonts w:asciiTheme="majorHAnsi" w:hAnsiTheme="majorHAnsi"/>
          <w:vertAlign w:val="superscript"/>
          <w:lang w:val="es-US"/>
        </w:rPr>
        <w:footnoteReference w:id="355"/>
      </w:r>
      <w:r w:rsidRPr="00930562">
        <w:rPr>
          <w:rFonts w:asciiTheme="majorHAnsi" w:eastAsia="Times New Roman" w:hAnsiTheme="majorHAnsi"/>
          <w:lang w:val="es-US" w:eastAsia="es-ES"/>
        </w:rPr>
        <w:t xml:space="preserve"> las personas pueden usar la fuerza para defenderse sin intentar antes retirarse de la zona de peligro. </w:t>
      </w:r>
      <w:r w:rsidR="00F32001" w:rsidRPr="00930562">
        <w:rPr>
          <w:rFonts w:asciiTheme="majorHAnsi" w:eastAsia="Times New Roman" w:hAnsiTheme="majorHAnsi"/>
          <w:lang w:val="es-US" w:eastAsia="es-ES"/>
        </w:rPr>
        <w:t>Así</w:t>
      </w:r>
      <w:r w:rsidRPr="00930562">
        <w:rPr>
          <w:rFonts w:asciiTheme="majorHAnsi" w:eastAsia="Times New Roman" w:hAnsiTheme="majorHAnsi"/>
          <w:lang w:val="es-US" w:eastAsia="es-ES"/>
        </w:rPr>
        <w:t xml:space="preserve">, estas leyes autorizan a las personas a auto defenderse utilizando una fuerza desproporcionada que, </w:t>
      </w:r>
      <w:r w:rsidR="00F32001" w:rsidRPr="00930562">
        <w:rPr>
          <w:rFonts w:asciiTheme="majorHAnsi" w:eastAsia="Times New Roman" w:hAnsiTheme="majorHAnsi"/>
          <w:lang w:val="es-US" w:eastAsia="es-ES"/>
        </w:rPr>
        <w:t>por consecuencia</w:t>
      </w:r>
      <w:r w:rsidRPr="00930562">
        <w:rPr>
          <w:rFonts w:asciiTheme="majorHAnsi" w:eastAsia="Times New Roman" w:hAnsiTheme="majorHAnsi"/>
          <w:lang w:val="es-US" w:eastAsia="es-ES"/>
        </w:rPr>
        <w:t xml:space="preserve"> resulta injustificada, y proveen de defensa legal al delito de homicidio y a la responsabilidad civil por homicidios.</w:t>
      </w:r>
    </w:p>
    <w:p w14:paraId="3F579771" w14:textId="7C9348F9"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eastAsia="Times New Roman" w:hAnsiTheme="majorHAnsi"/>
          <w:lang w:val="es-US" w:eastAsia="es-ES"/>
        </w:rPr>
      </w:pPr>
      <w:r w:rsidRPr="00930562">
        <w:rPr>
          <w:rFonts w:asciiTheme="majorHAnsi" w:eastAsia="Times New Roman" w:hAnsiTheme="majorHAnsi"/>
          <w:lang w:val="es-US" w:eastAsia="es-ES"/>
        </w:rPr>
        <w:t>La Comisión ha recibido información que evidencia relación entre la introducción de las leyes SYG y el aumento de las tasas de homicidio en muchos estados.</w:t>
      </w:r>
      <w:r w:rsidRPr="00930562">
        <w:rPr>
          <w:rFonts w:asciiTheme="majorHAnsi" w:eastAsia="Times New Roman" w:hAnsiTheme="majorHAnsi"/>
          <w:vertAlign w:val="superscript"/>
          <w:lang w:val="es-US" w:eastAsia="es-ES"/>
        </w:rPr>
        <w:footnoteReference w:id="356"/>
      </w:r>
      <w:r w:rsidRPr="00930562">
        <w:rPr>
          <w:rFonts w:asciiTheme="majorHAnsi" w:eastAsia="Times New Roman" w:hAnsiTheme="majorHAnsi"/>
          <w:lang w:val="es-US" w:eastAsia="es-ES"/>
        </w:rPr>
        <w:t xml:space="preserve"> En este contexto, la Comisión de Derechos Civiles de EE.UU., creada por el Congreso, descubrió en un estudio que las leyes SYG benefician más a los blancos que a los negros, son innecesarias y causan que los hombres no blancos vivan con miedo.</w:t>
      </w:r>
      <w:r w:rsidRPr="00930562">
        <w:rPr>
          <w:rFonts w:asciiTheme="majorHAnsi" w:eastAsia="Times New Roman" w:hAnsiTheme="majorHAnsi"/>
          <w:vertAlign w:val="superscript"/>
          <w:lang w:val="es-US" w:eastAsia="es-ES"/>
        </w:rPr>
        <w:footnoteReference w:id="357"/>
      </w:r>
      <w:r w:rsidRPr="00930562">
        <w:rPr>
          <w:rFonts w:asciiTheme="majorHAnsi" w:eastAsia="Times New Roman" w:hAnsiTheme="majorHAnsi"/>
          <w:lang w:val="es-US" w:eastAsia="es-ES"/>
        </w:rPr>
        <w:t xml:space="preserve"> </w:t>
      </w:r>
      <w:r w:rsidR="00B11EA9" w:rsidRPr="00930562">
        <w:rPr>
          <w:rFonts w:asciiTheme="majorHAnsi" w:eastAsia="Times New Roman" w:hAnsiTheme="majorHAnsi"/>
          <w:lang w:val="es-US" w:eastAsia="es-ES"/>
        </w:rPr>
        <w:t>Los e</w:t>
      </w:r>
      <w:r w:rsidRPr="00930562">
        <w:rPr>
          <w:rFonts w:asciiTheme="majorHAnsi" w:eastAsia="Times New Roman" w:hAnsiTheme="majorHAnsi"/>
          <w:lang w:val="es-US" w:eastAsia="es-ES"/>
        </w:rPr>
        <w:t>xpertos indicaron que la aplicación sesgada por motivos de raza de las leyes SYG debería atribuirse al racismo y al prejuicio ya "generalizados" en el sistema de justicia penal.</w:t>
      </w:r>
      <w:r w:rsidRPr="00930562">
        <w:rPr>
          <w:rFonts w:asciiTheme="majorHAnsi" w:eastAsia="Times New Roman" w:hAnsiTheme="majorHAnsi"/>
          <w:vertAlign w:val="superscript"/>
          <w:lang w:val="es-US" w:eastAsia="es-ES"/>
        </w:rPr>
        <w:footnoteReference w:id="358"/>
      </w:r>
      <w:r w:rsidRPr="00930562">
        <w:rPr>
          <w:rFonts w:asciiTheme="majorHAnsi" w:eastAsia="Times New Roman" w:hAnsiTheme="majorHAnsi"/>
          <w:lang w:val="es-US" w:eastAsia="es-ES"/>
        </w:rPr>
        <w:t xml:space="preserve"> </w:t>
      </w:r>
    </w:p>
    <w:p w14:paraId="1E59A996" w14:textId="59316DD1"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eastAsia="Times New Roman" w:hAnsiTheme="majorHAnsi"/>
          <w:lang w:val="es-US" w:eastAsia="es-ES"/>
        </w:rPr>
      </w:pPr>
      <w:r w:rsidRPr="00930562">
        <w:rPr>
          <w:rFonts w:asciiTheme="majorHAnsi" w:eastAsia="Times New Roman" w:hAnsiTheme="majorHAnsi"/>
          <w:lang w:val="es-US" w:eastAsia="es-ES"/>
        </w:rPr>
        <w:t xml:space="preserve">Durante una audiencia en 2014 la Comisión fue informada sobre la aplicación inconsistente y discriminatoria de las leyes SYG y recibió informes de primera mano sobre el impacto de estas leyes. Los </w:t>
      </w:r>
      <w:r w:rsidR="009604F2" w:rsidRPr="00930562">
        <w:rPr>
          <w:rFonts w:asciiTheme="majorHAnsi" w:eastAsia="Times New Roman" w:hAnsiTheme="majorHAnsi"/>
          <w:lang w:val="es-US" w:eastAsia="es-ES"/>
        </w:rPr>
        <w:t xml:space="preserve">solicitantes </w:t>
      </w:r>
      <w:r w:rsidRPr="00930562">
        <w:rPr>
          <w:rFonts w:asciiTheme="majorHAnsi" w:eastAsia="Times New Roman" w:hAnsiTheme="majorHAnsi"/>
          <w:lang w:val="es-US" w:eastAsia="es-ES"/>
        </w:rPr>
        <w:t xml:space="preserve">argumentaron que estas leyes afectan negativa y desproporcionadamente a los afroamericanos y otros grupos históricamente marginados al legitimar una actitud de "disparar primero" que se usa contra víctimas </w:t>
      </w:r>
      <w:r w:rsidR="00F123E6" w:rsidRPr="00930562">
        <w:rPr>
          <w:rFonts w:asciiTheme="majorHAnsi" w:eastAsia="Times New Roman" w:hAnsiTheme="majorHAnsi"/>
          <w:lang w:val="es-US" w:eastAsia="es-ES"/>
        </w:rPr>
        <w:t>afroamerican</w:t>
      </w:r>
      <w:r w:rsidRPr="00930562">
        <w:rPr>
          <w:rFonts w:asciiTheme="majorHAnsi" w:eastAsia="Times New Roman" w:hAnsiTheme="majorHAnsi"/>
          <w:lang w:val="es-US" w:eastAsia="es-ES"/>
        </w:rPr>
        <w:t xml:space="preserve">as </w:t>
      </w:r>
      <w:r w:rsidR="009604F2" w:rsidRPr="00930562">
        <w:rPr>
          <w:rFonts w:asciiTheme="majorHAnsi" w:eastAsia="Times New Roman" w:hAnsiTheme="majorHAnsi"/>
          <w:lang w:val="es-US" w:eastAsia="es-ES"/>
        </w:rPr>
        <w:t>con base en</w:t>
      </w:r>
      <w:r w:rsidRPr="00930562">
        <w:rPr>
          <w:rFonts w:asciiTheme="majorHAnsi" w:eastAsia="Times New Roman" w:hAnsiTheme="majorHAnsi"/>
          <w:lang w:val="es-US" w:eastAsia="es-ES"/>
        </w:rPr>
        <w:t xml:space="preserve"> sesgos</w:t>
      </w:r>
      <w:r w:rsidR="009604F2" w:rsidRPr="00930562">
        <w:rPr>
          <w:rFonts w:asciiTheme="majorHAnsi" w:eastAsia="Times New Roman" w:hAnsiTheme="majorHAnsi"/>
          <w:lang w:val="es-US" w:eastAsia="es-ES"/>
        </w:rPr>
        <w:t xml:space="preserve"> y</w:t>
      </w:r>
      <w:r w:rsidRPr="00930562">
        <w:rPr>
          <w:rFonts w:asciiTheme="majorHAnsi" w:eastAsia="Times New Roman" w:hAnsiTheme="majorHAnsi"/>
          <w:lang w:val="es-US" w:eastAsia="es-ES"/>
        </w:rPr>
        <w:t xml:space="preserve"> prejuicios contra ellos.</w:t>
      </w:r>
      <w:r w:rsidRPr="00930562">
        <w:rPr>
          <w:rFonts w:asciiTheme="majorHAnsi" w:eastAsia="Times New Roman" w:hAnsiTheme="majorHAnsi"/>
          <w:vertAlign w:val="superscript"/>
          <w:lang w:val="es-US" w:eastAsia="es-ES"/>
        </w:rPr>
        <w:footnoteReference w:id="359"/>
      </w:r>
      <w:r w:rsidRPr="00930562">
        <w:rPr>
          <w:rFonts w:asciiTheme="majorHAnsi" w:eastAsia="Times New Roman" w:hAnsiTheme="majorHAnsi"/>
          <w:lang w:val="es-US" w:eastAsia="es-ES"/>
        </w:rPr>
        <w:t xml:space="preserve"> En este sentido, Ron Davis, el padre de Jordan Davis, un adolescente </w:t>
      </w:r>
      <w:r w:rsidR="00F123E6" w:rsidRPr="00930562">
        <w:rPr>
          <w:rFonts w:asciiTheme="majorHAnsi" w:eastAsia="Times New Roman" w:hAnsiTheme="majorHAnsi"/>
          <w:lang w:val="es-US" w:eastAsia="es-ES"/>
        </w:rPr>
        <w:t>afroamericano</w:t>
      </w:r>
      <w:r w:rsidRPr="00930562">
        <w:rPr>
          <w:rFonts w:asciiTheme="majorHAnsi" w:eastAsia="Times New Roman" w:hAnsiTheme="majorHAnsi"/>
          <w:lang w:val="es-US" w:eastAsia="es-ES"/>
        </w:rPr>
        <w:t xml:space="preserve"> asesinado</w:t>
      </w:r>
      <w:r w:rsidRPr="00930562">
        <w:rPr>
          <w:rFonts w:asciiTheme="majorHAnsi" w:hAnsiTheme="majorHAnsi"/>
          <w:lang w:val="es-US"/>
        </w:rPr>
        <w:t xml:space="preserve"> el 23 de noviembre de 2012 en Jacksonville, Florida,</w:t>
      </w:r>
      <w:r w:rsidRPr="00930562">
        <w:rPr>
          <w:rFonts w:asciiTheme="majorHAnsi" w:hAnsiTheme="majorHAnsi"/>
          <w:vertAlign w:val="superscript"/>
          <w:lang w:val="es-US"/>
        </w:rPr>
        <w:footnoteReference w:id="360"/>
      </w:r>
      <w:r w:rsidRPr="00930562">
        <w:rPr>
          <w:rFonts w:asciiTheme="majorHAnsi" w:hAnsiTheme="majorHAnsi"/>
          <w:lang w:val="es-US"/>
        </w:rPr>
        <w:t xml:space="preserve"> declaró en la audiencia:</w:t>
      </w:r>
    </w:p>
    <w:tbl>
      <w:tblPr>
        <w:tblStyle w:val="TableGrid"/>
        <w:tblW w:w="0" w:type="auto"/>
        <w:tblInd w:w="648" w:type="dxa"/>
        <w:shd w:val="clear" w:color="auto" w:fill="D9D9D9" w:themeFill="background1" w:themeFillShade="D9"/>
        <w:tblLook w:val="04A0" w:firstRow="1" w:lastRow="0" w:firstColumn="1" w:lastColumn="0" w:noHBand="0" w:noVBand="1"/>
      </w:tblPr>
      <w:tblGrid>
        <w:gridCol w:w="7200"/>
      </w:tblGrid>
      <w:tr w:rsidR="00E00D6E" w:rsidRPr="005E5B1C" w14:paraId="3D751673" w14:textId="77777777" w:rsidTr="00E00D6E">
        <w:tc>
          <w:tcPr>
            <w:tcW w:w="8406" w:type="dxa"/>
            <w:shd w:val="clear" w:color="auto" w:fill="D9D9D9" w:themeFill="background1" w:themeFillShade="D9"/>
          </w:tcPr>
          <w:p w14:paraId="68F94265" w14:textId="152FD971" w:rsidR="00E00D6E" w:rsidRPr="00930562" w:rsidRDefault="00E00D6E" w:rsidP="00E00D6E">
            <w:pPr>
              <w:spacing w:after="240"/>
              <w:ind w:left="288" w:right="288"/>
              <w:jc w:val="both"/>
              <w:rPr>
                <w:rFonts w:asciiTheme="majorHAnsi" w:hAnsiTheme="majorHAnsi"/>
                <w:lang w:val="es-US"/>
              </w:rPr>
            </w:pPr>
            <w:r w:rsidRPr="00930562">
              <w:rPr>
                <w:rFonts w:asciiTheme="majorHAnsi" w:hAnsiTheme="majorHAnsi"/>
                <w:lang w:val="es-US"/>
              </w:rPr>
              <w:lastRenderedPageBreak/>
              <w:br/>
              <w:t>Estas leyes toman en cuenta los miedos de otras personas y los prejuicios de otras personas a lo largo de la vida de tu hijo desarmado o de tu ser querido. Se trata de lo que ellos creen que tienes, no tienes que tener un arma siempre que yo crea que tienes un arma, entonces sí es razonable para el que dispara y eso es todo lo que tienen que probar [...] Todos tenemos ciertos prejuicios. [...] Tal vez no tienes amigos afroamericanos, amigos hispanos, por lo tanto puedes tener un prejuicio en tu mente, [cuando caminas por la calle y ves gente de color reunida en la esquina] tienes un poco prejuicio que [te dice], tú sabes, "tal vez debería cruzar la calle". [...] Sin embargo, eso no te autoriza a que tus ciudadanos saquen armas y disparen contra personas y maten a personas con base en estos prejuicios, con base en estos miedos.</w:t>
            </w:r>
            <w:r w:rsidRPr="00930562">
              <w:rPr>
                <w:vertAlign w:val="superscript"/>
                <w:lang w:val="es-US"/>
              </w:rPr>
              <w:footnoteReference w:id="361"/>
            </w:r>
          </w:p>
        </w:tc>
      </w:tr>
    </w:tbl>
    <w:p w14:paraId="581FC9D6" w14:textId="77777777" w:rsidR="00E00D6E" w:rsidRPr="00930562" w:rsidRDefault="00E00D6E" w:rsidP="00E00D6E">
      <w:pPr>
        <w:spacing w:after="0" w:line="240" w:lineRule="auto"/>
        <w:jc w:val="both"/>
        <w:rPr>
          <w:rFonts w:asciiTheme="majorHAnsi" w:eastAsia="Times New Roman" w:hAnsiTheme="majorHAnsi"/>
          <w:lang w:val="es-US" w:eastAsia="es-ES"/>
        </w:rPr>
      </w:pPr>
    </w:p>
    <w:p w14:paraId="358B5E8A" w14:textId="77777777"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eastAsia="Times New Roman" w:hAnsiTheme="majorHAnsi"/>
          <w:lang w:val="es-US"/>
        </w:rPr>
      </w:pPr>
      <w:r w:rsidRPr="00930562">
        <w:rPr>
          <w:rFonts w:asciiTheme="majorHAnsi" w:hAnsiTheme="majorHAnsi"/>
          <w:lang w:val="es-US"/>
        </w:rPr>
        <w:t xml:space="preserve">Sabrina Fulton, </w:t>
      </w:r>
      <w:r w:rsidRPr="00930562">
        <w:rPr>
          <w:rFonts w:asciiTheme="majorHAnsi" w:eastAsia="Times New Roman" w:hAnsiTheme="majorHAnsi"/>
          <w:lang w:val="es-US" w:eastAsia="es-ES"/>
        </w:rPr>
        <w:t>madre</w:t>
      </w:r>
      <w:r w:rsidRPr="00930562">
        <w:rPr>
          <w:rFonts w:asciiTheme="majorHAnsi" w:hAnsiTheme="majorHAnsi"/>
          <w:lang w:val="es-US"/>
        </w:rPr>
        <w:t xml:space="preserve"> de Trayvon Martin,</w:t>
      </w:r>
      <w:r w:rsidRPr="00930562">
        <w:rPr>
          <w:rFonts w:asciiTheme="majorHAnsi" w:hAnsiTheme="majorHAnsi"/>
          <w:vertAlign w:val="superscript"/>
          <w:lang w:val="es-US"/>
        </w:rPr>
        <w:footnoteReference w:id="362"/>
      </w:r>
      <w:r w:rsidRPr="00930562">
        <w:rPr>
          <w:rFonts w:asciiTheme="majorHAnsi" w:hAnsiTheme="majorHAnsi"/>
          <w:lang w:val="es-US"/>
        </w:rPr>
        <w:t xml:space="preserve"> expresó en la audiencia:</w:t>
      </w:r>
    </w:p>
    <w:tbl>
      <w:tblPr>
        <w:tblStyle w:val="TableGrid"/>
        <w:tblW w:w="0" w:type="auto"/>
        <w:tblInd w:w="648" w:type="dxa"/>
        <w:tblLook w:val="04A0" w:firstRow="1" w:lastRow="0" w:firstColumn="1" w:lastColumn="0" w:noHBand="0" w:noVBand="1"/>
      </w:tblPr>
      <w:tblGrid>
        <w:gridCol w:w="7200"/>
      </w:tblGrid>
      <w:tr w:rsidR="00E00D6E" w:rsidRPr="00930562" w14:paraId="26FB7214" w14:textId="77777777" w:rsidTr="00E00D6E">
        <w:tc>
          <w:tcPr>
            <w:tcW w:w="8406" w:type="dxa"/>
            <w:shd w:val="clear" w:color="auto" w:fill="D9D9D9" w:themeFill="background1" w:themeFillShade="D9"/>
          </w:tcPr>
          <w:p w14:paraId="1707F2D4" w14:textId="23A05594" w:rsidR="00E00D6E" w:rsidRPr="00930562" w:rsidRDefault="00E00D6E" w:rsidP="00E00D6E">
            <w:pPr>
              <w:spacing w:after="240"/>
              <w:ind w:left="288" w:right="288"/>
              <w:jc w:val="both"/>
              <w:rPr>
                <w:rFonts w:asciiTheme="majorHAnsi" w:hAnsiTheme="majorHAnsi"/>
                <w:lang w:val="es-US"/>
              </w:rPr>
            </w:pPr>
            <w:r w:rsidRPr="00930562">
              <w:rPr>
                <w:rFonts w:asciiTheme="majorHAnsi" w:eastAsia="Times New Roman" w:hAnsiTheme="majorHAnsi"/>
                <w:lang w:val="es-US"/>
              </w:rPr>
              <w:br/>
            </w:r>
            <w:r w:rsidRPr="00930562">
              <w:rPr>
                <w:rFonts w:asciiTheme="majorHAnsi" w:hAnsiTheme="majorHAnsi"/>
                <w:lang w:val="es-US"/>
              </w:rPr>
              <w:t>Es muy difícil como padres identificarse con una ley que otorga tanta autoridad a una persona con una arma de fuego [...] Cuando un niño de 17 años se encuentra simplemente caminando dentro de en una comunidad cercada desde la tienda, sin ninguna arma, sólo con una bebida y dulces, y está en peligro, eso me plantea un problema como madre y también debería representar un problema para otras madres y padres. Lo que esta ley nos dice es que no hay nada que podamos decirles a nuestros adolescentes hoy. ¿Cuántos de nuestros adolescentes caminan a casa desde la tienda, desde el parque, desde la escuela y ahora tienen que preocuparse de que alguien los perciba como delincuentes? [...] Así que me pongo firme y espero ser la voz de muchos de esos padres y madres preocupados que claman que esto tiene que parar, esta violencia armada tiene que detenerse, este método de 'disparar primero y hacer preguntas más tarde' tiene que parar [ ...] Tiene que haber una mejor manera.</w:t>
            </w:r>
            <w:r w:rsidRPr="00930562">
              <w:rPr>
                <w:rFonts w:asciiTheme="majorHAnsi" w:hAnsiTheme="majorHAnsi"/>
                <w:vertAlign w:val="superscript"/>
                <w:lang w:val="es-US"/>
              </w:rPr>
              <w:footnoteReference w:id="363"/>
            </w:r>
          </w:p>
        </w:tc>
      </w:tr>
    </w:tbl>
    <w:p w14:paraId="21D08E28" w14:textId="77777777" w:rsidR="00E00D6E" w:rsidRPr="00930562" w:rsidRDefault="00E00D6E" w:rsidP="00E00D6E">
      <w:pPr>
        <w:spacing w:after="0" w:line="240" w:lineRule="auto"/>
        <w:jc w:val="both"/>
        <w:rPr>
          <w:rFonts w:asciiTheme="majorHAnsi" w:eastAsia="Times New Roman" w:hAnsiTheme="majorHAnsi"/>
          <w:lang w:val="es-US"/>
        </w:rPr>
      </w:pPr>
    </w:p>
    <w:p w14:paraId="157C1676" w14:textId="19E09788"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eastAsia="Times New Roman" w:hAnsiTheme="majorHAnsi"/>
          <w:sz w:val="18"/>
          <w:lang w:val="es-US"/>
        </w:rPr>
      </w:pPr>
      <w:r w:rsidRPr="00930562">
        <w:rPr>
          <w:rFonts w:asciiTheme="majorHAnsi" w:eastAsia="Times New Roman" w:hAnsiTheme="majorHAnsi"/>
          <w:lang w:val="es-US"/>
        </w:rPr>
        <w:t>La Comisión recibió información</w:t>
      </w:r>
      <w:r w:rsidR="005C254B" w:rsidRPr="00930562">
        <w:rPr>
          <w:rFonts w:asciiTheme="majorHAnsi" w:eastAsia="Times New Roman" w:hAnsiTheme="majorHAnsi"/>
          <w:lang w:val="es-US"/>
        </w:rPr>
        <w:t xml:space="preserve"> preocupante</w:t>
      </w:r>
      <w:r w:rsidRPr="00930562">
        <w:rPr>
          <w:rFonts w:asciiTheme="majorHAnsi" w:eastAsia="Times New Roman" w:hAnsiTheme="majorHAnsi"/>
          <w:lang w:val="es-US"/>
        </w:rPr>
        <w:t xml:space="preserve"> relativa a la aparente aplicación diferenciada de las leyes SYG a hombres blancos y mujeres negras. En particular, se </w:t>
      </w:r>
      <w:r w:rsidR="00F123E6" w:rsidRPr="00930562">
        <w:rPr>
          <w:rFonts w:asciiTheme="majorHAnsi" w:eastAsia="Times New Roman" w:hAnsiTheme="majorHAnsi"/>
          <w:lang w:val="es-US"/>
        </w:rPr>
        <w:t>presentó para la atención de la CIDH</w:t>
      </w:r>
      <w:r w:rsidRPr="00930562">
        <w:rPr>
          <w:rFonts w:asciiTheme="majorHAnsi" w:eastAsia="Times New Roman" w:hAnsiTheme="majorHAnsi"/>
          <w:lang w:val="es-US"/>
        </w:rPr>
        <w:t xml:space="preserve"> el caso de Marissa Alexander. Alexander fue </w:t>
      </w:r>
      <w:r w:rsidR="003916BF" w:rsidRPr="00930562">
        <w:rPr>
          <w:rFonts w:asciiTheme="majorHAnsi" w:eastAsia="Times New Roman" w:hAnsiTheme="majorHAnsi"/>
          <w:lang w:val="es-US"/>
        </w:rPr>
        <w:t>condenada</w:t>
      </w:r>
      <w:r w:rsidRPr="00930562">
        <w:rPr>
          <w:rFonts w:asciiTheme="majorHAnsi" w:eastAsia="Times New Roman" w:hAnsiTheme="majorHAnsi"/>
          <w:lang w:val="es-US"/>
        </w:rPr>
        <w:t xml:space="preserve"> por disparar un tiro de advertencia a su esposo en su casa, quien la había amenazado nueve días después de dar a luz a su hijo. </w:t>
      </w:r>
      <w:r w:rsidRPr="00930562">
        <w:rPr>
          <w:rFonts w:asciiTheme="majorHAnsi" w:hAnsiTheme="majorHAnsi"/>
          <w:lang w:val="es-US"/>
        </w:rPr>
        <w:t>Después</w:t>
      </w:r>
      <w:r w:rsidRPr="00930562">
        <w:rPr>
          <w:rFonts w:asciiTheme="majorHAnsi" w:eastAsia="Times New Roman" w:hAnsiTheme="majorHAnsi"/>
          <w:lang w:val="es-US"/>
        </w:rPr>
        <w:t xml:space="preserve"> de que el juez rechazara su invocación a las leyes SYG, fue primero sentenciada a 20 años de prisión aplicando una ley de Florida de condena obligatoria. La denegación a su</w:t>
      </w:r>
      <w:r w:rsidR="003916BF" w:rsidRPr="00930562">
        <w:rPr>
          <w:rFonts w:asciiTheme="majorHAnsi" w:eastAsia="Times New Roman" w:hAnsiTheme="majorHAnsi"/>
          <w:lang w:val="es-US"/>
        </w:rPr>
        <w:t xml:space="preserve"> defensa justificada en </w:t>
      </w:r>
      <w:r w:rsidRPr="00930562">
        <w:rPr>
          <w:rFonts w:asciiTheme="majorHAnsi" w:eastAsia="Times New Roman" w:hAnsiTheme="majorHAnsi"/>
          <w:lang w:val="es-US"/>
        </w:rPr>
        <w:t>las leyes SYG en su caso fue denunciada ampliamente por la sociedad civil como discriminatori</w:t>
      </w:r>
      <w:r w:rsidR="003916BF" w:rsidRPr="00930562">
        <w:rPr>
          <w:rFonts w:asciiTheme="majorHAnsi" w:eastAsia="Times New Roman" w:hAnsiTheme="majorHAnsi"/>
          <w:lang w:val="es-US"/>
        </w:rPr>
        <w:t>a</w:t>
      </w:r>
      <w:r w:rsidRPr="00930562">
        <w:rPr>
          <w:rFonts w:asciiTheme="majorHAnsi" w:eastAsia="Times New Roman" w:hAnsiTheme="majorHAnsi"/>
          <w:lang w:val="es-US"/>
        </w:rPr>
        <w:t xml:space="preserve">, ya que "en procedimientos penales las mujeres negras son a menudo </w:t>
      </w:r>
      <w:r w:rsidR="003916BF" w:rsidRPr="00930562">
        <w:rPr>
          <w:rFonts w:asciiTheme="majorHAnsi" w:eastAsia="Times New Roman" w:hAnsiTheme="majorHAnsi"/>
          <w:lang w:val="es-US"/>
        </w:rPr>
        <w:t xml:space="preserve">caracterizadas </w:t>
      </w:r>
      <w:r w:rsidRPr="00930562">
        <w:rPr>
          <w:rFonts w:asciiTheme="majorHAnsi" w:eastAsia="Times New Roman" w:hAnsiTheme="majorHAnsi"/>
          <w:lang w:val="es-US"/>
        </w:rPr>
        <w:t>como agresivas, dominantes e incapaces de ser victimizadas".</w:t>
      </w:r>
      <w:r w:rsidRPr="00930562">
        <w:rPr>
          <w:rFonts w:asciiTheme="majorHAnsi" w:eastAsia="Times New Roman" w:hAnsiTheme="majorHAnsi"/>
          <w:vertAlign w:val="superscript"/>
          <w:lang w:val="es-US"/>
        </w:rPr>
        <w:footnoteReference w:id="364"/>
      </w:r>
      <w:r w:rsidRPr="00930562">
        <w:rPr>
          <w:rFonts w:asciiTheme="majorHAnsi" w:eastAsia="Times New Roman" w:hAnsiTheme="majorHAnsi"/>
          <w:lang w:val="es-US"/>
        </w:rPr>
        <w:t xml:space="preserve"> La condena inicial de Alexander fue finalmente revocada y liberada del sistema de </w:t>
      </w:r>
      <w:r w:rsidR="00B635BB" w:rsidRPr="00930562">
        <w:rPr>
          <w:rFonts w:asciiTheme="majorHAnsi" w:eastAsia="Times New Roman" w:hAnsiTheme="majorHAnsi"/>
          <w:lang w:val="es-US"/>
        </w:rPr>
        <w:t xml:space="preserve">supervisión </w:t>
      </w:r>
      <w:r w:rsidRPr="00930562">
        <w:rPr>
          <w:rFonts w:asciiTheme="majorHAnsi" w:eastAsia="Times New Roman" w:hAnsiTheme="majorHAnsi"/>
          <w:lang w:val="es-US"/>
        </w:rPr>
        <w:t>en 2017.</w:t>
      </w:r>
      <w:r w:rsidRPr="00930562">
        <w:rPr>
          <w:rFonts w:asciiTheme="majorHAnsi" w:eastAsia="Times New Roman" w:hAnsiTheme="majorHAnsi"/>
          <w:vertAlign w:val="superscript"/>
          <w:lang w:val="es-US"/>
        </w:rPr>
        <w:footnoteReference w:id="365"/>
      </w:r>
    </w:p>
    <w:p w14:paraId="547673C0" w14:textId="19A65ED7"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eastAsia="Times New Roman" w:hAnsiTheme="majorHAnsi"/>
          <w:lang w:val="es-US"/>
        </w:rPr>
      </w:pPr>
      <w:r w:rsidRPr="00930562">
        <w:rPr>
          <w:rFonts w:asciiTheme="majorHAnsi" w:eastAsia="Times New Roman" w:hAnsiTheme="majorHAnsi"/>
          <w:lang w:val="es-US" w:eastAsia="es-ES"/>
        </w:rPr>
        <w:t xml:space="preserve">La Comisión recibió información adicional sobre la aplicación inconsistente y discriminatoria de las </w:t>
      </w:r>
      <w:r w:rsidRPr="00930562">
        <w:rPr>
          <w:rFonts w:asciiTheme="majorHAnsi" w:eastAsia="Times New Roman" w:hAnsiTheme="majorHAnsi"/>
          <w:lang w:val="es-US"/>
        </w:rPr>
        <w:t>leyes</w:t>
      </w:r>
      <w:r w:rsidRPr="00930562">
        <w:rPr>
          <w:rFonts w:asciiTheme="majorHAnsi" w:eastAsia="Times New Roman" w:hAnsiTheme="majorHAnsi"/>
          <w:lang w:val="es-US" w:eastAsia="es-ES"/>
        </w:rPr>
        <w:t xml:space="preserve"> SYG durante su visita de 2015 a Orlando y Sanford, Florida.</w:t>
      </w:r>
      <w:r w:rsidRPr="00930562">
        <w:rPr>
          <w:rFonts w:asciiTheme="majorHAnsi" w:eastAsia="Times New Roman" w:hAnsiTheme="majorHAnsi"/>
          <w:vertAlign w:val="superscript"/>
          <w:lang w:val="es-US" w:eastAsia="es-ES"/>
        </w:rPr>
        <w:footnoteReference w:id="366"/>
      </w:r>
      <w:r w:rsidRPr="00930562">
        <w:rPr>
          <w:rFonts w:asciiTheme="majorHAnsi" w:eastAsia="Times New Roman" w:hAnsiTheme="majorHAnsi"/>
          <w:lang w:val="es-US" w:eastAsia="es-ES"/>
        </w:rPr>
        <w:t xml:space="preserve"> A la luz de la información mencionada anteriormente, la Comisión </w:t>
      </w:r>
      <w:r w:rsidR="00597E67" w:rsidRPr="00930562">
        <w:rPr>
          <w:rFonts w:asciiTheme="majorHAnsi" w:eastAsia="Times New Roman" w:hAnsiTheme="majorHAnsi"/>
          <w:lang w:val="es-US" w:eastAsia="es-ES"/>
        </w:rPr>
        <w:t xml:space="preserve">hace un llamado a </w:t>
      </w:r>
      <w:r w:rsidRPr="00930562">
        <w:rPr>
          <w:rFonts w:asciiTheme="majorHAnsi" w:eastAsia="Times New Roman" w:hAnsiTheme="majorHAnsi"/>
          <w:lang w:val="es-US" w:eastAsia="es-ES"/>
        </w:rPr>
        <w:t>la revisión de las leyes</w:t>
      </w:r>
      <w:r w:rsidRPr="00930562">
        <w:rPr>
          <w:rFonts w:asciiTheme="majorHAnsi" w:eastAsia="Times New Roman" w:hAnsiTheme="majorHAnsi"/>
          <w:i/>
          <w:lang w:val="es-US" w:eastAsia="es-ES"/>
        </w:rPr>
        <w:t xml:space="preserve"> “Stand Your Ground”</w:t>
      </w:r>
      <w:r w:rsidRPr="00930562">
        <w:rPr>
          <w:rFonts w:asciiTheme="majorHAnsi" w:eastAsia="Times New Roman" w:hAnsiTheme="majorHAnsi"/>
          <w:lang w:val="es-US" w:eastAsia="es-ES"/>
        </w:rPr>
        <w:t xml:space="preserve"> y </w:t>
      </w:r>
      <w:r w:rsidR="00597E67" w:rsidRPr="00930562">
        <w:rPr>
          <w:rFonts w:asciiTheme="majorHAnsi" w:eastAsia="Times New Roman" w:hAnsiTheme="majorHAnsi"/>
          <w:lang w:val="es-US" w:eastAsia="es-ES"/>
        </w:rPr>
        <w:t xml:space="preserve">a </w:t>
      </w:r>
      <w:r w:rsidRPr="00930562">
        <w:rPr>
          <w:rFonts w:asciiTheme="majorHAnsi" w:eastAsia="Times New Roman" w:hAnsiTheme="majorHAnsi"/>
          <w:lang w:val="es-US" w:eastAsia="es-ES"/>
        </w:rPr>
        <w:t>la eliminación del sesgo racial en los procedimientos judiciales.</w:t>
      </w:r>
      <w:r w:rsidRPr="00930562">
        <w:rPr>
          <w:rFonts w:asciiTheme="majorHAnsi" w:eastAsia="Times New Roman" w:hAnsiTheme="majorHAnsi"/>
          <w:vertAlign w:val="superscript"/>
          <w:lang w:val="es-US" w:eastAsia="es-ES"/>
        </w:rPr>
        <w:footnoteReference w:id="367"/>
      </w:r>
    </w:p>
    <w:p w14:paraId="5F436025" w14:textId="75F32B46" w:rsidR="005B672D" w:rsidRPr="00930562" w:rsidRDefault="005B672D" w:rsidP="001E382F">
      <w:pPr>
        <w:pStyle w:val="Heading4"/>
        <w:rPr>
          <w:lang w:val="es-US"/>
        </w:rPr>
      </w:pPr>
      <w:bookmarkStart w:id="147" w:name="_Toc511837822"/>
      <w:bookmarkStart w:id="148" w:name="_Toc511902995"/>
      <w:bookmarkStart w:id="149" w:name="_Toc517779243"/>
      <w:bookmarkStart w:id="150" w:name="_Toc531514474"/>
      <w:r w:rsidRPr="00930562">
        <w:rPr>
          <w:lang w:val="es-US"/>
        </w:rPr>
        <w:t>Discriminación Intersec</w:t>
      </w:r>
      <w:r w:rsidR="00AA4364" w:rsidRPr="00930562">
        <w:rPr>
          <w:lang w:val="es-US"/>
        </w:rPr>
        <w:t>ccion</w:t>
      </w:r>
      <w:r w:rsidRPr="00930562">
        <w:rPr>
          <w:lang w:val="es-US"/>
        </w:rPr>
        <w:t>al: Mujeres, personas con discapacidad y personas LGBTI</w:t>
      </w:r>
      <w:bookmarkEnd w:id="147"/>
      <w:bookmarkEnd w:id="148"/>
      <w:bookmarkEnd w:id="149"/>
      <w:bookmarkEnd w:id="150"/>
    </w:p>
    <w:p w14:paraId="36CC4BA6" w14:textId="628C7AE2"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eastAsia="Times New Roman" w:hAnsiTheme="majorHAnsi"/>
          <w:lang w:val="es-US" w:eastAsia="es-ES"/>
        </w:rPr>
      </w:pPr>
      <w:r w:rsidRPr="00930562">
        <w:rPr>
          <w:rFonts w:asciiTheme="majorHAnsi" w:hAnsiTheme="majorHAnsi"/>
          <w:bCs/>
          <w:lang w:val="es-US"/>
        </w:rPr>
        <w:t xml:space="preserve">La Comisión recuerda que la discriminación por motivos de raza es inseparable de la discriminación y se puede </w:t>
      </w:r>
      <w:r w:rsidR="002B48B3" w:rsidRPr="00930562">
        <w:rPr>
          <w:rFonts w:asciiTheme="majorHAnsi" w:hAnsiTheme="majorHAnsi"/>
          <w:bCs/>
          <w:lang w:val="es-US"/>
        </w:rPr>
        <w:t xml:space="preserve">verse </w:t>
      </w:r>
      <w:r w:rsidRPr="00930562">
        <w:rPr>
          <w:rFonts w:asciiTheme="majorHAnsi" w:hAnsiTheme="majorHAnsi"/>
          <w:bCs/>
          <w:lang w:val="es-US"/>
        </w:rPr>
        <w:t>agrava</w:t>
      </w:r>
      <w:r w:rsidR="002B48B3" w:rsidRPr="00930562">
        <w:rPr>
          <w:rFonts w:asciiTheme="majorHAnsi" w:hAnsiTheme="majorHAnsi"/>
          <w:bCs/>
          <w:lang w:val="es-US"/>
        </w:rPr>
        <w:t xml:space="preserve">da </w:t>
      </w:r>
      <w:r w:rsidRPr="00930562">
        <w:rPr>
          <w:rFonts w:asciiTheme="majorHAnsi" w:hAnsiTheme="majorHAnsi"/>
          <w:bCs/>
          <w:lang w:val="es-US"/>
        </w:rPr>
        <w:t xml:space="preserve">sobre la base de otros aspectos de la identidad. En el contexto de violencia </w:t>
      </w:r>
      <w:r w:rsidRPr="00930562">
        <w:rPr>
          <w:rFonts w:asciiTheme="majorHAnsi" w:eastAsia="Times New Roman" w:hAnsiTheme="majorHAnsi"/>
          <w:lang w:val="es-US" w:eastAsia="es-ES"/>
        </w:rPr>
        <w:t xml:space="preserve">policial, la Comisión ha recibido información sustantiva que indica que factores como género, discapacidad (en particular enfermedad mental), situación de indigencia, edad e identidad LGBTI pueden tener un impacto diferencial en la interacción de una persona con el sistema de orden público y el sistema de justicia. </w:t>
      </w:r>
    </w:p>
    <w:p w14:paraId="567F01D6" w14:textId="1BC567EA"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bCs/>
          <w:sz w:val="16"/>
          <w:lang w:val="es-US"/>
        </w:rPr>
      </w:pPr>
      <w:r w:rsidRPr="00930562">
        <w:rPr>
          <w:rFonts w:asciiTheme="majorHAnsi" w:eastAsia="Times New Roman" w:hAnsiTheme="majorHAnsi"/>
          <w:lang w:val="es-US" w:eastAsia="es-ES"/>
        </w:rPr>
        <w:t>En lo que respecta al género, la Comisión toma nota de información que indica el impacto diferencia</w:t>
      </w:r>
      <w:r w:rsidR="00D606EB" w:rsidRPr="00930562">
        <w:rPr>
          <w:rFonts w:asciiTheme="majorHAnsi" w:eastAsia="Times New Roman" w:hAnsiTheme="majorHAnsi"/>
          <w:lang w:val="es-US" w:eastAsia="es-ES"/>
        </w:rPr>
        <w:t>do</w:t>
      </w:r>
      <w:r w:rsidRPr="00930562">
        <w:rPr>
          <w:rFonts w:asciiTheme="majorHAnsi" w:eastAsia="Times New Roman" w:hAnsiTheme="majorHAnsi"/>
          <w:lang w:val="es-US" w:eastAsia="es-ES"/>
        </w:rPr>
        <w:t xml:space="preserve"> de la discriminación hacia la mujer en tareas </w:t>
      </w:r>
      <w:r w:rsidRPr="00930562">
        <w:rPr>
          <w:rFonts w:asciiTheme="majorHAnsi" w:eastAsia="Times New Roman" w:hAnsiTheme="majorHAnsi"/>
          <w:lang w:val="es-US" w:eastAsia="es-ES"/>
        </w:rPr>
        <w:lastRenderedPageBreak/>
        <w:t xml:space="preserve">de control policial y en el sistema de justicia. Además de ser víctimas de brutalidad policial y homicidios, también se ven afectadas de manera desproporcionada por la violencia sexual </w:t>
      </w:r>
      <w:r w:rsidR="00D606EB" w:rsidRPr="00930562">
        <w:rPr>
          <w:rFonts w:asciiTheme="majorHAnsi" w:eastAsia="Times New Roman" w:hAnsiTheme="majorHAnsi"/>
          <w:lang w:val="es-US" w:eastAsia="es-ES"/>
        </w:rPr>
        <w:t>perpetra</w:t>
      </w:r>
      <w:r w:rsidRPr="00930562">
        <w:rPr>
          <w:rFonts w:asciiTheme="majorHAnsi" w:eastAsia="Times New Roman" w:hAnsiTheme="majorHAnsi"/>
          <w:lang w:val="es-US" w:eastAsia="es-ES"/>
        </w:rPr>
        <w:t>da por policías</w:t>
      </w:r>
      <w:r w:rsidR="00D606EB" w:rsidRPr="00930562">
        <w:rPr>
          <w:rFonts w:asciiTheme="majorHAnsi" w:eastAsia="Times New Roman" w:hAnsiTheme="majorHAnsi"/>
          <w:lang w:val="es-US" w:eastAsia="es-ES"/>
        </w:rPr>
        <w:t xml:space="preserve">, </w:t>
      </w:r>
      <w:r w:rsidRPr="00930562">
        <w:rPr>
          <w:rFonts w:asciiTheme="majorHAnsi" w:eastAsia="Times New Roman" w:hAnsiTheme="majorHAnsi"/>
          <w:lang w:val="es-US" w:eastAsia="es-ES"/>
        </w:rPr>
        <w:t xml:space="preserve">y familiares </w:t>
      </w:r>
      <w:r w:rsidR="00D606EB" w:rsidRPr="00930562">
        <w:rPr>
          <w:rFonts w:asciiTheme="majorHAnsi" w:eastAsia="Times New Roman" w:hAnsiTheme="majorHAnsi"/>
          <w:lang w:val="es-US" w:eastAsia="es-ES"/>
        </w:rPr>
        <w:t xml:space="preserve">de las </w:t>
      </w:r>
      <w:r w:rsidRPr="00930562">
        <w:rPr>
          <w:rFonts w:asciiTheme="majorHAnsi" w:eastAsia="Times New Roman" w:hAnsiTheme="majorHAnsi"/>
          <w:lang w:val="es-US" w:eastAsia="es-ES"/>
        </w:rPr>
        <w:t>víctimas de</w:t>
      </w:r>
      <w:r w:rsidRPr="00930562">
        <w:rPr>
          <w:rFonts w:asciiTheme="majorHAnsi" w:hAnsiTheme="majorHAnsi"/>
          <w:bCs/>
          <w:lang w:val="es-US"/>
        </w:rPr>
        <w:t xml:space="preserve"> violencia policial sufren </w:t>
      </w:r>
      <w:r w:rsidR="00D606EB" w:rsidRPr="00930562">
        <w:rPr>
          <w:rFonts w:asciiTheme="majorHAnsi" w:hAnsiTheme="majorHAnsi"/>
          <w:bCs/>
          <w:lang w:val="es-US"/>
        </w:rPr>
        <w:t xml:space="preserve">acoso </w:t>
      </w:r>
      <w:r w:rsidRPr="00930562">
        <w:rPr>
          <w:rFonts w:asciiTheme="majorHAnsi" w:hAnsiTheme="majorHAnsi"/>
          <w:bCs/>
          <w:lang w:val="es-US"/>
        </w:rPr>
        <w:t xml:space="preserve">y </w:t>
      </w:r>
      <w:r w:rsidR="00D606EB" w:rsidRPr="00930562">
        <w:rPr>
          <w:rFonts w:asciiTheme="majorHAnsi" w:hAnsiTheme="majorHAnsi"/>
          <w:bCs/>
          <w:lang w:val="es-US"/>
        </w:rPr>
        <w:t xml:space="preserve">enfrentan </w:t>
      </w:r>
      <w:r w:rsidRPr="00930562">
        <w:rPr>
          <w:rFonts w:asciiTheme="majorHAnsi" w:hAnsiTheme="majorHAnsi"/>
          <w:bCs/>
          <w:lang w:val="es-US"/>
        </w:rPr>
        <w:t>barreras en la búsqueda de justicia.</w:t>
      </w:r>
      <w:r w:rsidRPr="00930562">
        <w:rPr>
          <w:rFonts w:asciiTheme="majorHAnsi" w:hAnsiTheme="majorHAnsi"/>
          <w:vertAlign w:val="superscript"/>
          <w:lang w:val="es-US"/>
        </w:rPr>
        <w:footnoteReference w:id="368"/>
      </w:r>
      <w:r w:rsidRPr="00930562">
        <w:rPr>
          <w:rFonts w:asciiTheme="majorHAnsi" w:hAnsiTheme="majorHAnsi"/>
          <w:bCs/>
          <w:lang w:val="es-US"/>
        </w:rPr>
        <w:t xml:space="preserve"> Durante su visita a Nueva Orleans, Luisiana en 2015, la Comisión también fue informada sobre serios problemas que existen en las investigaciones </w:t>
      </w:r>
      <w:r w:rsidR="00D606EB" w:rsidRPr="00930562">
        <w:rPr>
          <w:rFonts w:asciiTheme="majorHAnsi" w:hAnsiTheme="majorHAnsi"/>
          <w:bCs/>
          <w:lang w:val="es-US"/>
        </w:rPr>
        <w:t xml:space="preserve">de la policía </w:t>
      </w:r>
      <w:r w:rsidRPr="00930562">
        <w:rPr>
          <w:rFonts w:asciiTheme="majorHAnsi" w:hAnsiTheme="majorHAnsi"/>
          <w:bCs/>
          <w:lang w:val="es-US"/>
        </w:rPr>
        <w:t>por agresiones sexuales, debido al hecho de que muchos policías no creen en el concepto de violaciones sexuales no violentas. En ese momento, la Comisión consideró que la situación evidencia la necesidad de una mejor capacitación en la debida recepción e investigación de las denuncias.</w:t>
      </w:r>
      <w:r w:rsidRPr="00930562">
        <w:rPr>
          <w:rFonts w:asciiTheme="majorHAnsi" w:hAnsiTheme="majorHAnsi"/>
          <w:bCs/>
          <w:vertAlign w:val="superscript"/>
          <w:lang w:val="es-US"/>
        </w:rPr>
        <w:footnoteReference w:id="369"/>
      </w:r>
      <w:r w:rsidRPr="00930562">
        <w:rPr>
          <w:rFonts w:asciiTheme="majorHAnsi" w:hAnsiTheme="majorHAnsi"/>
          <w:bCs/>
          <w:lang w:val="es-US"/>
        </w:rPr>
        <w:t xml:space="preserve"> La Comisión observa que, en su búsqueda de justicia para sus seres queridos, las mujeres </w:t>
      </w:r>
      <w:r w:rsidR="006A4389" w:rsidRPr="00930562">
        <w:rPr>
          <w:rFonts w:asciiTheme="majorHAnsi" w:hAnsiTheme="majorHAnsi"/>
          <w:bCs/>
          <w:lang w:val="es-US"/>
        </w:rPr>
        <w:t>afroamericanas</w:t>
      </w:r>
      <w:r w:rsidRPr="00930562">
        <w:rPr>
          <w:rFonts w:asciiTheme="majorHAnsi" w:hAnsiTheme="majorHAnsi"/>
          <w:bCs/>
          <w:lang w:val="es-US"/>
        </w:rPr>
        <w:t xml:space="preserve"> también pueden verse afectadas de manera desproporcionada tras los homicidios cometidos por policías, y en vista del impacto económico que las muertes de familiares puede tener en sus hogares.</w:t>
      </w:r>
    </w:p>
    <w:p w14:paraId="6176431C" w14:textId="2FE1DF3C"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bCs/>
          <w:lang w:val="es-US"/>
        </w:rPr>
      </w:pPr>
      <w:r w:rsidRPr="00930562">
        <w:rPr>
          <w:rFonts w:asciiTheme="majorHAnsi" w:hAnsiTheme="majorHAnsi"/>
          <w:bCs/>
          <w:lang w:val="es-US"/>
        </w:rPr>
        <w:t>Información disponible indica que las enfermedades mentales desempeñan un papel desproporcionado en los casos de brutalidad policial y homicidios policiales.</w:t>
      </w:r>
      <w:r w:rsidRPr="00930562">
        <w:rPr>
          <w:rFonts w:asciiTheme="majorHAnsi" w:hAnsiTheme="majorHAnsi"/>
          <w:bCs/>
          <w:sz w:val="16"/>
          <w:vertAlign w:val="superscript"/>
          <w:lang w:val="es-US"/>
        </w:rPr>
        <w:t xml:space="preserve"> </w:t>
      </w:r>
      <w:r w:rsidRPr="00930562">
        <w:rPr>
          <w:rFonts w:asciiTheme="majorHAnsi" w:hAnsiTheme="majorHAnsi"/>
          <w:bCs/>
          <w:vertAlign w:val="superscript"/>
          <w:lang w:val="es-US"/>
        </w:rPr>
        <w:footnoteReference w:id="370"/>
      </w:r>
      <w:r w:rsidRPr="00930562">
        <w:rPr>
          <w:rFonts w:asciiTheme="majorHAnsi" w:hAnsiTheme="majorHAnsi"/>
          <w:bCs/>
          <w:lang w:val="es-US"/>
        </w:rPr>
        <w:t xml:space="preserve">  Por ejemplo, la base de datos de </w:t>
      </w:r>
      <w:r w:rsidRPr="00930562">
        <w:rPr>
          <w:rFonts w:asciiTheme="majorHAnsi" w:hAnsiTheme="majorHAnsi"/>
          <w:bCs/>
          <w:i/>
          <w:lang w:val="es-US"/>
        </w:rPr>
        <w:t>Fatal Force</w:t>
      </w:r>
      <w:r w:rsidRPr="00930562">
        <w:rPr>
          <w:rFonts w:asciiTheme="majorHAnsi" w:hAnsiTheme="majorHAnsi"/>
          <w:bCs/>
          <w:lang w:val="es-US"/>
        </w:rPr>
        <w:t xml:space="preserve"> sobre asesinatos policiales mostró que en una cuarta parte de los homicidios denunciados en 2015, 2016 y 2017, las víctimas mostraron signos de o fueron diagnosticadas con una enfermedad mental.</w:t>
      </w:r>
      <w:r w:rsidRPr="00930562">
        <w:rPr>
          <w:rFonts w:asciiTheme="majorHAnsi" w:hAnsiTheme="majorHAnsi"/>
          <w:bCs/>
          <w:vertAlign w:val="superscript"/>
          <w:lang w:val="es-US"/>
        </w:rPr>
        <w:footnoteReference w:id="371"/>
      </w:r>
      <w:r w:rsidRPr="00930562">
        <w:rPr>
          <w:rFonts w:asciiTheme="majorHAnsi" w:hAnsiTheme="majorHAnsi"/>
          <w:bCs/>
          <w:lang w:val="es-US"/>
        </w:rPr>
        <w:t xml:space="preserve"> Dentro de este elevado número, fuentes periodísticas y la sociedad civil </w:t>
      </w:r>
      <w:r w:rsidR="0003121C" w:rsidRPr="00930562">
        <w:rPr>
          <w:rFonts w:asciiTheme="majorHAnsi" w:hAnsiTheme="majorHAnsi"/>
          <w:bCs/>
          <w:lang w:val="es-US"/>
        </w:rPr>
        <w:t xml:space="preserve">destacan </w:t>
      </w:r>
      <w:r w:rsidRPr="00930562">
        <w:rPr>
          <w:rFonts w:asciiTheme="majorHAnsi" w:hAnsiTheme="majorHAnsi"/>
          <w:bCs/>
          <w:lang w:val="es-US"/>
        </w:rPr>
        <w:t xml:space="preserve">que muchas de las personas asesinadas por la policía sufrían crisis de salud mental, lo que provocaba que familiares u otras personas llamaran a la policía en busca de ayuda. Por ejemplo, Lavall Hall fue asesinado por la policía de Miami Gardens la noche del 5 de febrero de 2015 después de que su madre llamara a la policía al encontrarlo afuera en medio del frío, casi desnudo y agitando una escoba. Hall era esquizofrénico y había estado internado en </w:t>
      </w:r>
      <w:r w:rsidRPr="00930562">
        <w:rPr>
          <w:rFonts w:asciiTheme="majorHAnsi" w:hAnsiTheme="majorHAnsi"/>
          <w:bCs/>
          <w:lang w:val="es-US"/>
        </w:rPr>
        <w:lastRenderedPageBreak/>
        <w:t>un hospital psiquiátrico menos de una semana antes.</w:t>
      </w:r>
      <w:r w:rsidRPr="00930562">
        <w:rPr>
          <w:rFonts w:asciiTheme="majorHAnsi" w:hAnsiTheme="majorHAnsi"/>
          <w:bCs/>
          <w:sz w:val="16"/>
          <w:vertAlign w:val="superscript"/>
          <w:lang w:val="es-US"/>
        </w:rPr>
        <w:t xml:space="preserve"> </w:t>
      </w:r>
      <w:r w:rsidRPr="00930562">
        <w:rPr>
          <w:rFonts w:asciiTheme="majorHAnsi" w:hAnsiTheme="majorHAnsi"/>
          <w:bCs/>
          <w:vertAlign w:val="superscript"/>
          <w:lang w:val="es-US"/>
        </w:rPr>
        <w:footnoteReference w:id="372"/>
      </w:r>
      <w:r w:rsidRPr="00930562">
        <w:rPr>
          <w:rFonts w:asciiTheme="majorHAnsi" w:hAnsiTheme="majorHAnsi"/>
          <w:bCs/>
          <w:lang w:val="es-US"/>
        </w:rPr>
        <w:t xml:space="preserve">  Grupos de la sociedad civil han expresado su preocupación respecto de que este tipo de asesinatos son en gran medida evitables y son el resultado de la falta de formación adecuada de la policía y de los servicios de atención de salud mental para responder de manera apropiada y sin violencia a crisis de salud mental.</w:t>
      </w:r>
      <w:r w:rsidRPr="00930562">
        <w:rPr>
          <w:rFonts w:asciiTheme="majorHAnsi" w:hAnsiTheme="majorHAnsi"/>
          <w:bCs/>
          <w:vertAlign w:val="superscript"/>
          <w:lang w:val="es-US"/>
        </w:rPr>
        <w:footnoteReference w:id="373"/>
      </w:r>
      <w:r w:rsidRPr="00930562">
        <w:rPr>
          <w:rFonts w:asciiTheme="majorHAnsi" w:hAnsiTheme="majorHAnsi"/>
          <w:bCs/>
          <w:lang w:val="es-US"/>
        </w:rPr>
        <w:t xml:space="preserve"> Durante una audiencia en diciembre de 2017, la Comisión recibió información sobre el asesinato a manos de un policía de Dontre Hamilton, un hombre negro de 23 años con antecedentes de enfermedad mental, en Milwaukee, Wisconsin, en 2014.</w:t>
      </w:r>
      <w:r w:rsidRPr="00930562">
        <w:rPr>
          <w:rFonts w:asciiTheme="majorHAnsi" w:hAnsiTheme="majorHAnsi"/>
          <w:bCs/>
          <w:sz w:val="16"/>
          <w:lang w:val="es-US"/>
        </w:rPr>
        <w:t xml:space="preserve"> </w:t>
      </w:r>
      <w:r w:rsidRPr="00930562">
        <w:rPr>
          <w:rFonts w:asciiTheme="majorHAnsi" w:hAnsiTheme="majorHAnsi"/>
          <w:bCs/>
          <w:vertAlign w:val="superscript"/>
          <w:lang w:val="es-US"/>
        </w:rPr>
        <w:footnoteReference w:id="374"/>
      </w:r>
    </w:p>
    <w:p w14:paraId="10F9773F" w14:textId="4DE188F4"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bCs/>
          <w:lang w:val="es-US"/>
        </w:rPr>
      </w:pPr>
      <w:r w:rsidRPr="00930562">
        <w:rPr>
          <w:rFonts w:asciiTheme="majorHAnsi" w:hAnsiTheme="majorHAnsi"/>
          <w:bCs/>
          <w:lang w:val="es-US"/>
        </w:rPr>
        <w:t>La Comisión también ha recibido información respecto de la manera en que las personas en situación de calle sufren de manera desproporcionada la violencia policial. Durante una audiencia de octubre de 2015 sobre el racismo en el sistema judicial de los EE.UU., Mark Fancher de la ACLU de Michigan llamó la atención sobre el caso de Milton Hall, un hombre mentalmente enfermo en situación de calle asesinado por la policía en Milwaukee, Michigan:</w:t>
      </w:r>
      <w:r w:rsidR="00E00D6E" w:rsidRPr="00930562">
        <w:rPr>
          <w:rFonts w:asciiTheme="majorHAnsi" w:hAnsiTheme="majorHAnsi"/>
          <w:bCs/>
          <w:lang w:val="es-US"/>
        </w:rPr>
        <w:t xml:space="preserve"> </w:t>
      </w:r>
    </w:p>
    <w:tbl>
      <w:tblPr>
        <w:tblStyle w:val="TableGrid"/>
        <w:tblW w:w="0" w:type="auto"/>
        <w:tblInd w:w="648" w:type="dxa"/>
        <w:shd w:val="clear" w:color="auto" w:fill="D9D9D9" w:themeFill="background1" w:themeFillShade="D9"/>
        <w:tblLook w:val="04A0" w:firstRow="1" w:lastRow="0" w:firstColumn="1" w:lastColumn="0" w:noHBand="0" w:noVBand="1"/>
      </w:tblPr>
      <w:tblGrid>
        <w:gridCol w:w="7200"/>
      </w:tblGrid>
      <w:tr w:rsidR="00E00D6E" w:rsidRPr="005E5B1C" w14:paraId="5400EB70" w14:textId="77777777" w:rsidTr="00E00D6E">
        <w:tc>
          <w:tcPr>
            <w:tcW w:w="8406" w:type="dxa"/>
            <w:shd w:val="clear" w:color="auto" w:fill="D9D9D9" w:themeFill="background1" w:themeFillShade="D9"/>
          </w:tcPr>
          <w:p w14:paraId="6FA625B1" w14:textId="15E6182E" w:rsidR="00E00D6E" w:rsidRPr="00930562" w:rsidRDefault="00E00D6E" w:rsidP="00E00D6E">
            <w:pPr>
              <w:spacing w:after="240"/>
              <w:ind w:left="288" w:right="288"/>
              <w:jc w:val="both"/>
              <w:rPr>
                <w:rFonts w:asciiTheme="majorHAnsi" w:hAnsiTheme="majorHAnsi"/>
                <w:bCs/>
                <w:lang w:val="es-US"/>
              </w:rPr>
            </w:pPr>
            <w:r w:rsidRPr="00930562">
              <w:rPr>
                <w:rFonts w:asciiTheme="majorHAnsi" w:hAnsiTheme="majorHAnsi"/>
                <w:bCs/>
                <w:lang w:val="es-US"/>
              </w:rPr>
              <w:br/>
              <w:t>Hace poco más de dos años, Milton Hall, un hombre sin hogar de 49 años que padecía una enfermedad mental comenzó a discutir con un empleado de una tienda. Se fue del edificio, y mientras estaba parado en el estacionamiento, fue rodeado por ocho agentes de policía. [...] Los oficiales le dispararon 46 balas al Sr. Hall, y continuaron disparando su cuerpo incluso después de que cayera al piso. En vista de semejante evidencia, ni los fiscales locales ni el [Departamento de Justicia] intentaron procesar a los policías involucrados. El Departamento de Justicia afirmó que "no había pruebas suficientes de mala conducta para dar lugar a un procesamiento penal federal". [...] En este caso, los disparos tipo fusilamiento no solo fueron imprudentes, sino claramente injustificados y toscamente violatorios de los derechos humanos básicos de Hall. [...] Las comunidades que continúan siendo víctimas de estos actos de violencia policial necesitan respuestas a la interrogante de por qué el gobierno federal no está haciendo responsables a los policías de los tiroteos policiales fatales.</w:t>
            </w:r>
            <w:r w:rsidRPr="00930562">
              <w:rPr>
                <w:rFonts w:asciiTheme="majorHAnsi" w:hAnsiTheme="majorHAnsi"/>
                <w:bCs/>
                <w:sz w:val="16"/>
                <w:lang w:val="es-US"/>
              </w:rPr>
              <w:t xml:space="preserve"> </w:t>
            </w:r>
            <w:r w:rsidRPr="00930562">
              <w:rPr>
                <w:rFonts w:asciiTheme="majorHAnsi" w:hAnsiTheme="majorHAnsi"/>
                <w:bCs/>
                <w:vertAlign w:val="superscript"/>
                <w:lang w:val="es-US"/>
              </w:rPr>
              <w:footnoteReference w:id="375"/>
            </w:r>
            <w:r w:rsidRPr="00930562">
              <w:rPr>
                <w:rFonts w:asciiTheme="majorHAnsi" w:hAnsiTheme="majorHAnsi"/>
                <w:lang w:val="es-US"/>
              </w:rPr>
              <w:t xml:space="preserve"> </w:t>
            </w:r>
          </w:p>
        </w:tc>
      </w:tr>
    </w:tbl>
    <w:p w14:paraId="604FDCBE" w14:textId="77777777" w:rsidR="00E00D6E" w:rsidRPr="00930562" w:rsidRDefault="00E00D6E" w:rsidP="00E00D6E">
      <w:pPr>
        <w:spacing w:after="240" w:line="240" w:lineRule="auto"/>
        <w:jc w:val="both"/>
        <w:rPr>
          <w:rFonts w:asciiTheme="majorHAnsi" w:hAnsiTheme="majorHAnsi"/>
          <w:bCs/>
          <w:lang w:val="es-US"/>
        </w:rPr>
      </w:pPr>
    </w:p>
    <w:p w14:paraId="043D2FB6" w14:textId="0C9C8DEA"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bCs/>
          <w:sz w:val="14"/>
          <w:lang w:val="es-US"/>
        </w:rPr>
      </w:pPr>
      <w:r w:rsidRPr="00930562">
        <w:rPr>
          <w:rFonts w:asciiTheme="majorHAnsi" w:hAnsiTheme="majorHAnsi"/>
          <w:bCs/>
          <w:lang w:val="es-US"/>
        </w:rPr>
        <w:t>La Comisión observa que los homicidios policiales tienden a afectar de manera desproporcionada a los jóvenes afroamericanos, incluidos los adolescentes, que son presentados con frecuencia por policías y medios de comunicación como "adultos" como una forma de justificar el uso de la fuerza letal contra ellos. Por ejemplo, la policía de Cleveland mató a Tamir Rice, de 12 años, mientras respondía a una llamada al 911 que informaba que alguien en el parque tenía un arma, aunque la persona que llamaba expresaba que podrían ser "menores" y que el arma podría ser "falsa".</w:t>
      </w:r>
      <w:r w:rsidRPr="00930562">
        <w:rPr>
          <w:rFonts w:asciiTheme="majorHAnsi" w:hAnsiTheme="majorHAnsi"/>
          <w:bCs/>
          <w:vertAlign w:val="superscript"/>
          <w:lang w:val="es-US"/>
        </w:rPr>
        <w:footnoteReference w:id="376"/>
      </w:r>
      <w:r w:rsidRPr="00930562">
        <w:rPr>
          <w:rFonts w:asciiTheme="majorHAnsi" w:hAnsiTheme="majorHAnsi"/>
          <w:bCs/>
          <w:sz w:val="14"/>
          <w:lang w:val="es-US"/>
        </w:rPr>
        <w:t xml:space="preserve"> </w:t>
      </w:r>
      <w:r w:rsidRPr="00930562">
        <w:rPr>
          <w:rFonts w:asciiTheme="majorHAnsi" w:hAnsiTheme="majorHAnsi"/>
          <w:bCs/>
          <w:lang w:val="es-US"/>
        </w:rPr>
        <w:t xml:space="preserve"> Del mismo modo, el policía que disparó a Michael Brown más tarde  defendió</w:t>
      </w:r>
      <w:r w:rsidR="00B7584A" w:rsidRPr="00930562">
        <w:rPr>
          <w:rFonts w:asciiTheme="majorHAnsi" w:hAnsiTheme="majorHAnsi"/>
          <w:bCs/>
          <w:lang w:val="es-US"/>
        </w:rPr>
        <w:t xml:space="preserve"> sus acciones</w:t>
      </w:r>
      <w:r w:rsidRPr="00930562">
        <w:rPr>
          <w:rFonts w:asciiTheme="majorHAnsi" w:hAnsiTheme="majorHAnsi"/>
          <w:bCs/>
          <w:lang w:val="es-US"/>
        </w:rPr>
        <w:t xml:space="preserve"> argumentado que percibió a Brown, de 18 años,  "como un demonio" y que, en comparación con Brown, "se sentía como si tuviera cinco años aferrándose a Hulk Hogan."</w:t>
      </w:r>
      <w:r w:rsidRPr="00930562">
        <w:rPr>
          <w:rFonts w:asciiTheme="majorHAnsi" w:hAnsiTheme="majorHAnsi"/>
          <w:bCs/>
          <w:vertAlign w:val="superscript"/>
          <w:lang w:val="es-US"/>
        </w:rPr>
        <w:footnoteReference w:id="377"/>
      </w:r>
      <w:r w:rsidRPr="00930562">
        <w:rPr>
          <w:rFonts w:asciiTheme="majorHAnsi" w:hAnsiTheme="majorHAnsi"/>
          <w:bCs/>
          <w:lang w:val="es-US"/>
        </w:rPr>
        <w:t xml:space="preserve"> Similarmente, durante su visita a Nueva Orleans, la Comisión recibió informes sobre varios casos de uso excesivo de la fuerza policial contra niños negros, e información sobre su tratamiento como adultos en el sistema de justicia.</w:t>
      </w:r>
      <w:r w:rsidRPr="00930562">
        <w:rPr>
          <w:rFonts w:asciiTheme="majorHAnsi" w:hAnsiTheme="majorHAnsi"/>
          <w:bCs/>
          <w:vertAlign w:val="superscript"/>
          <w:lang w:val="es-US"/>
        </w:rPr>
        <w:footnoteReference w:id="378"/>
      </w:r>
      <w:r w:rsidRPr="00930562">
        <w:rPr>
          <w:rFonts w:asciiTheme="majorHAnsi" w:hAnsiTheme="majorHAnsi"/>
          <w:bCs/>
          <w:lang w:val="es-US"/>
        </w:rPr>
        <w:t xml:space="preserve"> Previamente la Comisión ha resaltado como una tendencia preocupante “la estigmatización y el trato discriminatorio aplicado por los agentes del Estado a ciertos grupos sociales a los que se responsabiliza por la falta de seguridad, incluidos adolescentes varones, personas pertenecientes a grupos tradicionalmente excluidos y </w:t>
      </w:r>
      <w:r w:rsidR="00B7584A" w:rsidRPr="00930562">
        <w:rPr>
          <w:rFonts w:asciiTheme="majorHAnsi" w:hAnsiTheme="majorHAnsi"/>
          <w:bCs/>
          <w:lang w:val="es-US"/>
        </w:rPr>
        <w:t xml:space="preserve">grupos </w:t>
      </w:r>
      <w:r w:rsidRPr="00930562">
        <w:rPr>
          <w:rFonts w:asciiTheme="majorHAnsi" w:hAnsiTheme="majorHAnsi"/>
          <w:bCs/>
          <w:lang w:val="es-US"/>
        </w:rPr>
        <w:t>pobres y afrodescendientes".</w:t>
      </w:r>
      <w:r w:rsidRPr="00930562">
        <w:rPr>
          <w:rFonts w:asciiTheme="majorHAnsi" w:hAnsiTheme="majorHAnsi"/>
          <w:bCs/>
          <w:vertAlign w:val="superscript"/>
          <w:lang w:val="es-US"/>
        </w:rPr>
        <w:footnoteReference w:id="379"/>
      </w:r>
    </w:p>
    <w:p w14:paraId="3A5C1968" w14:textId="071CAC7E"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bCs/>
          <w:lang w:val="es-US"/>
        </w:rPr>
      </w:pPr>
      <w:r w:rsidRPr="00930562">
        <w:rPr>
          <w:rFonts w:asciiTheme="majorHAnsi" w:hAnsiTheme="majorHAnsi"/>
          <w:bCs/>
          <w:lang w:val="es-US"/>
        </w:rPr>
        <w:t>La Comisión también recibió información sobre violencia policial contra personas transgénero. Según una encuesta nacional de 2011, el 60</w:t>
      </w:r>
      <w:r w:rsidR="00B525BF" w:rsidRPr="00930562">
        <w:rPr>
          <w:rFonts w:asciiTheme="majorHAnsi" w:hAnsiTheme="majorHAnsi"/>
          <w:bCs/>
          <w:lang w:val="es-US"/>
        </w:rPr>
        <w:t>%</w:t>
      </w:r>
      <w:r w:rsidRPr="00930562">
        <w:rPr>
          <w:rFonts w:asciiTheme="majorHAnsi" w:hAnsiTheme="majorHAnsi"/>
          <w:bCs/>
          <w:lang w:val="es-US"/>
        </w:rPr>
        <w:t>de todas las personas negras transgénero que interactuaron con la policía informaron haber sufrido acoso o agresión física o sexual, en comparación con el 24</w:t>
      </w:r>
      <w:r w:rsidR="00B525BF" w:rsidRPr="00930562">
        <w:rPr>
          <w:rFonts w:asciiTheme="majorHAnsi" w:hAnsiTheme="majorHAnsi"/>
          <w:bCs/>
          <w:lang w:val="es-US"/>
        </w:rPr>
        <w:t>%</w:t>
      </w:r>
      <w:r w:rsidRPr="00930562">
        <w:rPr>
          <w:rFonts w:asciiTheme="majorHAnsi" w:hAnsiTheme="majorHAnsi"/>
          <w:bCs/>
          <w:lang w:val="es-US"/>
        </w:rPr>
        <w:t>de las personas blancas transgénero.</w:t>
      </w:r>
      <w:r w:rsidRPr="00930562">
        <w:rPr>
          <w:rFonts w:asciiTheme="majorHAnsi" w:hAnsiTheme="majorHAnsi"/>
          <w:bCs/>
          <w:vertAlign w:val="superscript"/>
          <w:lang w:val="es-US"/>
        </w:rPr>
        <w:footnoteReference w:id="380"/>
      </w:r>
      <w:r w:rsidRPr="00930562">
        <w:rPr>
          <w:rFonts w:asciiTheme="majorHAnsi" w:hAnsiTheme="majorHAnsi"/>
          <w:bCs/>
          <w:lang w:val="es-US"/>
        </w:rPr>
        <w:t xml:space="preserve"> Otra investigación mostró que más de una quinta parte (22</w:t>
      </w:r>
      <w:r w:rsidR="00B525BF" w:rsidRPr="00930562">
        <w:rPr>
          <w:rFonts w:asciiTheme="majorHAnsi" w:hAnsiTheme="majorHAnsi"/>
          <w:bCs/>
          <w:lang w:val="es-US"/>
        </w:rPr>
        <w:t>%</w:t>
      </w:r>
      <w:r w:rsidRPr="00930562">
        <w:rPr>
          <w:rFonts w:asciiTheme="majorHAnsi" w:hAnsiTheme="majorHAnsi"/>
          <w:bCs/>
          <w:lang w:val="es-US"/>
        </w:rPr>
        <w:t>) de las personas transgénero que habían interactuado con la policía reportaron acoso policial y el 6</w:t>
      </w:r>
      <w:r w:rsidR="00B525BF" w:rsidRPr="00930562">
        <w:rPr>
          <w:rFonts w:asciiTheme="majorHAnsi" w:hAnsiTheme="majorHAnsi"/>
          <w:bCs/>
          <w:lang w:val="es-US"/>
        </w:rPr>
        <w:t xml:space="preserve">% </w:t>
      </w:r>
      <w:r w:rsidRPr="00930562">
        <w:rPr>
          <w:rFonts w:asciiTheme="majorHAnsi" w:hAnsiTheme="majorHAnsi"/>
          <w:bCs/>
          <w:lang w:val="es-US"/>
        </w:rPr>
        <w:t xml:space="preserve">de las personas transgénero informaron que habían sufrido ataques motivados por prejuicios por parte de la policía. Estas cifras fueron mucho más altas para las personas negras transgénero, que reportaron tasas </w:t>
      </w:r>
      <w:r w:rsidRPr="00930562">
        <w:rPr>
          <w:rFonts w:asciiTheme="majorHAnsi" w:hAnsiTheme="majorHAnsi"/>
          <w:bCs/>
          <w:lang w:val="es-US"/>
        </w:rPr>
        <w:lastRenderedPageBreak/>
        <w:t>significativamente más altas de hostigamiento</w:t>
      </w:r>
      <w:r w:rsidR="00B525BF" w:rsidRPr="00930562">
        <w:rPr>
          <w:rFonts w:asciiTheme="majorHAnsi" w:hAnsiTheme="majorHAnsi"/>
          <w:bCs/>
          <w:lang w:val="es-US"/>
        </w:rPr>
        <w:t xml:space="preserve"> sesgado</w:t>
      </w:r>
      <w:r w:rsidRPr="00930562">
        <w:rPr>
          <w:rFonts w:asciiTheme="majorHAnsi" w:hAnsiTheme="majorHAnsi"/>
          <w:bCs/>
          <w:lang w:val="es-US"/>
        </w:rPr>
        <w:t xml:space="preserve"> y ataque (38</w:t>
      </w:r>
      <w:r w:rsidR="00B525BF" w:rsidRPr="00930562">
        <w:rPr>
          <w:rFonts w:asciiTheme="majorHAnsi" w:hAnsiTheme="majorHAnsi"/>
          <w:bCs/>
          <w:lang w:val="es-US"/>
        </w:rPr>
        <w:t>%</w:t>
      </w:r>
      <w:r w:rsidRPr="00930562">
        <w:rPr>
          <w:rFonts w:asciiTheme="majorHAnsi" w:hAnsiTheme="majorHAnsi"/>
          <w:bCs/>
          <w:lang w:val="es-US"/>
        </w:rPr>
        <w:t>y 15</w:t>
      </w:r>
      <w:r w:rsidR="00B525BF" w:rsidRPr="00930562">
        <w:rPr>
          <w:rFonts w:asciiTheme="majorHAnsi" w:hAnsiTheme="majorHAnsi"/>
          <w:bCs/>
          <w:lang w:val="es-US"/>
        </w:rPr>
        <w:t>%</w:t>
      </w:r>
      <w:r w:rsidRPr="00930562">
        <w:rPr>
          <w:rFonts w:asciiTheme="majorHAnsi" w:hAnsiTheme="majorHAnsi"/>
          <w:bCs/>
          <w:lang w:val="es-US"/>
        </w:rPr>
        <w:t>), respectivamente.</w:t>
      </w:r>
      <w:r w:rsidRPr="00930562">
        <w:rPr>
          <w:rFonts w:asciiTheme="majorHAnsi" w:hAnsiTheme="majorHAnsi"/>
          <w:bCs/>
          <w:vertAlign w:val="superscript"/>
          <w:lang w:val="es-US"/>
        </w:rPr>
        <w:footnoteReference w:id="381"/>
      </w:r>
    </w:p>
    <w:p w14:paraId="7A477EC6" w14:textId="5A9F114C"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bCs/>
          <w:lang w:val="es-US"/>
        </w:rPr>
        <w:t xml:space="preserve">Dado el impacto desproporcionado de la violencia policial en personas con enfermedades mentales y discapacidades, jóvenes, personas LGBTI y mujeres, la Comisión </w:t>
      </w:r>
      <w:r w:rsidR="00257149" w:rsidRPr="00930562">
        <w:rPr>
          <w:rFonts w:asciiTheme="majorHAnsi" w:hAnsiTheme="majorHAnsi"/>
          <w:bCs/>
          <w:lang w:val="es-US"/>
        </w:rPr>
        <w:t xml:space="preserve">llama a </w:t>
      </w:r>
      <w:r w:rsidRPr="00930562">
        <w:rPr>
          <w:rFonts w:asciiTheme="majorHAnsi" w:hAnsiTheme="majorHAnsi"/>
          <w:bCs/>
          <w:lang w:val="es-US"/>
        </w:rPr>
        <w:t xml:space="preserve">que se realicen investigaciones y estudios </w:t>
      </w:r>
      <w:r w:rsidR="00257149" w:rsidRPr="00930562">
        <w:rPr>
          <w:rFonts w:asciiTheme="majorHAnsi" w:hAnsiTheme="majorHAnsi"/>
          <w:bCs/>
          <w:lang w:val="es-US"/>
        </w:rPr>
        <w:t xml:space="preserve">adicionales </w:t>
      </w:r>
      <w:r w:rsidRPr="00930562">
        <w:rPr>
          <w:rFonts w:asciiTheme="majorHAnsi" w:hAnsiTheme="majorHAnsi"/>
          <w:bCs/>
          <w:lang w:val="es-US"/>
        </w:rPr>
        <w:t xml:space="preserve">con el objetivo de evaluar el alcance, </w:t>
      </w:r>
      <w:r w:rsidR="00257149" w:rsidRPr="00930562">
        <w:rPr>
          <w:rFonts w:asciiTheme="majorHAnsi" w:hAnsiTheme="majorHAnsi"/>
          <w:bCs/>
          <w:lang w:val="es-US"/>
        </w:rPr>
        <w:t>la naturaleza</w:t>
      </w:r>
      <w:r w:rsidRPr="00930562">
        <w:rPr>
          <w:rFonts w:asciiTheme="majorHAnsi" w:hAnsiTheme="majorHAnsi"/>
          <w:bCs/>
          <w:lang w:val="es-US"/>
        </w:rPr>
        <w:t xml:space="preserve"> y los efectos diferencia</w:t>
      </w:r>
      <w:r w:rsidR="00257149" w:rsidRPr="00930562">
        <w:rPr>
          <w:rFonts w:asciiTheme="majorHAnsi" w:hAnsiTheme="majorHAnsi"/>
          <w:bCs/>
          <w:lang w:val="es-US"/>
        </w:rPr>
        <w:t>dos</w:t>
      </w:r>
      <w:r w:rsidRPr="00930562">
        <w:rPr>
          <w:rFonts w:asciiTheme="majorHAnsi" w:hAnsiTheme="majorHAnsi"/>
          <w:bCs/>
          <w:lang w:val="es-US"/>
        </w:rPr>
        <w:t xml:space="preserve"> de la violencia policial contra estos grupos y formular políticas públicas efectivas para prevenir la violencia y mitigar sus efectos.</w:t>
      </w:r>
    </w:p>
    <w:p w14:paraId="23D76386" w14:textId="47644B95" w:rsidR="005B672D" w:rsidRPr="00930562" w:rsidRDefault="005B672D" w:rsidP="001E382F">
      <w:pPr>
        <w:pStyle w:val="Heading4"/>
        <w:rPr>
          <w:lang w:val="es-US"/>
        </w:rPr>
      </w:pPr>
      <w:bookmarkStart w:id="151" w:name="_Toc511837823"/>
      <w:bookmarkStart w:id="152" w:name="_Toc511902996"/>
      <w:bookmarkStart w:id="153" w:name="_Toc517779244"/>
      <w:bookmarkStart w:id="154" w:name="_Toc531514475"/>
      <w:r w:rsidRPr="00930562">
        <w:rPr>
          <w:lang w:val="es-US"/>
        </w:rPr>
        <w:t>Pobreza y acceso a la salud, la educación, la vivienda, el trabajo y otros derechos</w:t>
      </w:r>
      <w:bookmarkEnd w:id="151"/>
      <w:bookmarkEnd w:id="152"/>
      <w:bookmarkEnd w:id="153"/>
      <w:bookmarkEnd w:id="154"/>
    </w:p>
    <w:p w14:paraId="1911CD3F" w14:textId="77777777"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La discriminación racial extendida en toda la actuación policial y en el sistema de justicia penal se da en un contexto de discriminación estructural que afecta prácticamente todos los aspectos de la vida.</w:t>
      </w:r>
      <w:r w:rsidRPr="00930562">
        <w:rPr>
          <w:rFonts w:asciiTheme="majorHAnsi" w:hAnsiTheme="majorHAnsi"/>
          <w:vertAlign w:val="superscript"/>
          <w:lang w:val="es-US"/>
        </w:rPr>
        <w:footnoteReference w:id="382"/>
      </w:r>
      <w:r w:rsidRPr="00930562">
        <w:rPr>
          <w:rFonts w:asciiTheme="majorHAnsi" w:hAnsiTheme="majorHAnsi"/>
          <w:lang w:val="es-US"/>
        </w:rPr>
        <w:t xml:space="preserve"> Como ha señalado anteriormente la Comisión, la discriminación histórica y la situación estructural de la pobreza en la que viven muchos afroamericanos son esenciales para muchos de los problemas abordados en este informe, incluida la sobrerrepresentación en las detenciones y en el sistema penitenciario y el acceso desigual a la justicia.</w:t>
      </w:r>
      <w:r w:rsidRPr="00930562">
        <w:rPr>
          <w:rFonts w:asciiTheme="majorHAnsi" w:hAnsiTheme="majorHAnsi"/>
          <w:vertAlign w:val="superscript"/>
          <w:lang w:val="es-US"/>
        </w:rPr>
        <w:footnoteReference w:id="383"/>
      </w:r>
      <w:r w:rsidRPr="00930562">
        <w:rPr>
          <w:rFonts w:asciiTheme="majorHAnsi" w:hAnsiTheme="majorHAnsi"/>
          <w:lang w:val="es-US"/>
        </w:rPr>
        <w:t xml:space="preserve"> La Comisión ha considerado que la persistente situación de pobreza de muchas comunidades negras exacerba los abusos y maltratos desproporcionados de que son objeto por parte del sistema de justicia penal y la policía, lo que a su vez frustra los esfuerzos para superar esa pobreza.</w:t>
      </w:r>
      <w:r w:rsidRPr="00930562">
        <w:rPr>
          <w:rFonts w:asciiTheme="majorHAnsi" w:hAnsiTheme="majorHAnsi"/>
          <w:vertAlign w:val="superscript"/>
          <w:lang w:val="es-US"/>
        </w:rPr>
        <w:footnoteReference w:id="384"/>
      </w:r>
      <w:r w:rsidRPr="00930562">
        <w:rPr>
          <w:rFonts w:asciiTheme="majorHAnsi" w:hAnsiTheme="majorHAnsi"/>
          <w:lang w:val="es-US"/>
        </w:rPr>
        <w:t xml:space="preserve"> Por lo tanto, aunque los afroamericanos en general se ven desproporcionadamente afectados por la violencia policial y la discriminación en el sistema de justicia,</w:t>
      </w:r>
      <w:r w:rsidRPr="00930562">
        <w:rPr>
          <w:rFonts w:asciiTheme="majorHAnsi" w:hAnsiTheme="majorHAnsi"/>
          <w:vertAlign w:val="superscript"/>
          <w:lang w:val="es-US"/>
        </w:rPr>
        <w:footnoteReference w:id="385"/>
      </w:r>
      <w:r w:rsidRPr="00930562">
        <w:rPr>
          <w:rFonts w:asciiTheme="majorHAnsi" w:hAnsiTheme="majorHAnsi"/>
          <w:lang w:val="es-US"/>
        </w:rPr>
        <w:t xml:space="preserve"> son las comunidades afroamericanas pobres las más afectadas.</w:t>
      </w:r>
    </w:p>
    <w:p w14:paraId="5AFB9AE3" w14:textId="742D9169"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Información recibida indica que, si bien los afroamericanos conforman el 13 por ciento de la población de los EE.UU., representan el 23 por ciento de los pobres y el 39 por ciento de personas en situación de calle.</w:t>
      </w:r>
      <w:r w:rsidRPr="00930562">
        <w:rPr>
          <w:rFonts w:asciiTheme="majorHAnsi" w:hAnsiTheme="majorHAnsi"/>
          <w:vertAlign w:val="superscript"/>
          <w:lang w:val="es-US"/>
        </w:rPr>
        <w:footnoteReference w:id="386"/>
      </w:r>
      <w:r w:rsidRPr="00930562">
        <w:rPr>
          <w:rFonts w:asciiTheme="majorHAnsi" w:hAnsiTheme="majorHAnsi"/>
          <w:lang w:val="es-US"/>
        </w:rPr>
        <w:t xml:space="preserve"> La evidencia indica que las comunidades negras pobres (y otras comunidades </w:t>
      </w:r>
      <w:r w:rsidRPr="00930562">
        <w:rPr>
          <w:rFonts w:asciiTheme="majorHAnsi" w:hAnsiTheme="majorHAnsi"/>
          <w:lang w:val="es-US"/>
        </w:rPr>
        <w:lastRenderedPageBreak/>
        <w:t xml:space="preserve">históricamente marginadas) son de manera desproporcionada </w:t>
      </w:r>
      <w:r w:rsidR="008B6BDF" w:rsidRPr="00930562">
        <w:rPr>
          <w:rFonts w:asciiTheme="majorHAnsi" w:hAnsiTheme="majorHAnsi"/>
          <w:lang w:val="es-US"/>
        </w:rPr>
        <w:t xml:space="preserve">objeto </w:t>
      </w:r>
      <w:r w:rsidRPr="00930562">
        <w:rPr>
          <w:rFonts w:asciiTheme="majorHAnsi" w:hAnsiTheme="majorHAnsi"/>
          <w:lang w:val="es-US"/>
        </w:rPr>
        <w:t>de prácticas policiales excesivas, tanto las denominadas de "</w:t>
      </w:r>
      <w:r w:rsidR="008B6BDF" w:rsidRPr="00930562">
        <w:rPr>
          <w:rFonts w:asciiTheme="majorHAnsi" w:hAnsiTheme="majorHAnsi"/>
          <w:lang w:val="es-US"/>
        </w:rPr>
        <w:t>V</w:t>
      </w:r>
      <w:r w:rsidRPr="00930562">
        <w:rPr>
          <w:rFonts w:asciiTheme="majorHAnsi" w:hAnsiTheme="majorHAnsi"/>
          <w:lang w:val="es-US"/>
        </w:rPr>
        <w:t xml:space="preserve">entana </w:t>
      </w:r>
      <w:r w:rsidR="008B6BDF" w:rsidRPr="00930562">
        <w:rPr>
          <w:rFonts w:asciiTheme="majorHAnsi" w:hAnsiTheme="majorHAnsi"/>
          <w:lang w:val="es-US"/>
        </w:rPr>
        <w:t>R</w:t>
      </w:r>
      <w:r w:rsidRPr="00930562">
        <w:rPr>
          <w:rFonts w:asciiTheme="majorHAnsi" w:hAnsiTheme="majorHAnsi"/>
          <w:lang w:val="es-US"/>
        </w:rPr>
        <w:t xml:space="preserve">ota" como de </w:t>
      </w:r>
      <w:r w:rsidR="008B6BDF" w:rsidRPr="00930562">
        <w:rPr>
          <w:rFonts w:asciiTheme="majorHAnsi" w:hAnsiTheme="majorHAnsi"/>
          <w:lang w:val="es-US"/>
        </w:rPr>
        <w:t>control policial con fines de lucro</w:t>
      </w:r>
      <w:r w:rsidRPr="00930562">
        <w:rPr>
          <w:rFonts w:asciiTheme="majorHAnsi" w:hAnsiTheme="majorHAnsi"/>
          <w:lang w:val="es-US"/>
        </w:rPr>
        <w:t xml:space="preserve">. Esta realidad los hace más propensos a convertirse tanto en víctimas de brutalidad policial como a ser </w:t>
      </w:r>
      <w:r w:rsidR="008B6BDF" w:rsidRPr="00930562">
        <w:rPr>
          <w:rFonts w:asciiTheme="majorHAnsi" w:hAnsiTheme="majorHAnsi"/>
          <w:lang w:val="es-US"/>
        </w:rPr>
        <w:t>detenidos</w:t>
      </w:r>
      <w:r w:rsidRPr="00930562">
        <w:rPr>
          <w:rFonts w:asciiTheme="majorHAnsi" w:hAnsiTheme="majorHAnsi"/>
          <w:lang w:val="es-US"/>
        </w:rPr>
        <w:t>. Una vez detenidos, es menos probable que puedan pagar la fianza y, por lo tanto, es más probable que sus vidas familiares y laborales se vean interrumpidas por la prisión preventiva y sean más propensos a volver a delinquir antes de concurrir</w:t>
      </w:r>
      <w:r w:rsidR="008B6BDF" w:rsidRPr="00930562">
        <w:rPr>
          <w:rFonts w:asciiTheme="majorHAnsi" w:hAnsiTheme="majorHAnsi"/>
          <w:lang w:val="es-US"/>
        </w:rPr>
        <w:t xml:space="preserve"> ante un</w:t>
      </w:r>
      <w:r w:rsidRPr="00930562">
        <w:rPr>
          <w:rFonts w:asciiTheme="majorHAnsi" w:hAnsiTheme="majorHAnsi"/>
          <w:lang w:val="es-US"/>
        </w:rPr>
        <w:t xml:space="preserve"> tribunal. Debido a que es menos probable que puedan costear un abogado, es muy factible que estén representados por defensores públicos, quienes brindan un nivel más bajo de asistencia debido a sus recursos limitados. Es estadísticamente más probable que acepten acuerdos para declararse culpables </w:t>
      </w:r>
      <w:r w:rsidR="008B6BDF" w:rsidRPr="00930562">
        <w:rPr>
          <w:rFonts w:asciiTheme="majorHAnsi" w:hAnsiTheme="majorHAnsi"/>
          <w:lang w:val="es-US"/>
        </w:rPr>
        <w:t>para</w:t>
      </w:r>
      <w:r w:rsidRPr="00930562">
        <w:rPr>
          <w:rFonts w:asciiTheme="majorHAnsi" w:hAnsiTheme="majorHAnsi"/>
          <w:lang w:val="es-US"/>
        </w:rPr>
        <w:t xml:space="preserve"> poder dejar la prisión preventiva y tienen más </w:t>
      </w:r>
      <w:r w:rsidR="008B6BDF" w:rsidRPr="00930562">
        <w:rPr>
          <w:rFonts w:asciiTheme="majorHAnsi" w:hAnsiTheme="majorHAnsi"/>
          <w:lang w:val="es-US"/>
        </w:rPr>
        <w:t xml:space="preserve">probabilidad </w:t>
      </w:r>
      <w:r w:rsidRPr="00930562">
        <w:rPr>
          <w:rFonts w:asciiTheme="majorHAnsi" w:hAnsiTheme="majorHAnsi"/>
          <w:lang w:val="es-US"/>
        </w:rPr>
        <w:t>de cumplir condenas de prisión más largas.</w:t>
      </w:r>
      <w:r w:rsidRPr="00930562">
        <w:rPr>
          <w:rFonts w:asciiTheme="majorHAnsi" w:hAnsiTheme="majorHAnsi"/>
          <w:vertAlign w:val="superscript"/>
          <w:lang w:val="es-US"/>
        </w:rPr>
        <w:footnoteReference w:id="387"/>
      </w:r>
      <w:r w:rsidRPr="00930562">
        <w:rPr>
          <w:rFonts w:asciiTheme="majorHAnsi" w:hAnsiTheme="majorHAnsi"/>
          <w:lang w:val="es-US"/>
        </w:rPr>
        <w:t xml:space="preserve"> En consecuencia, el encarcelamiento masivo puede describirse como un "fenómeno racial, espacial y socioeconómico que afecta de manera desproporcionada a los residentes afroamericanos e hispanos de clase baja de espacios urbanos deteriorados".</w:t>
      </w:r>
      <w:r w:rsidRPr="00930562">
        <w:rPr>
          <w:rFonts w:asciiTheme="majorHAnsi" w:hAnsiTheme="majorHAnsi"/>
          <w:vertAlign w:val="superscript"/>
          <w:lang w:val="es-US"/>
        </w:rPr>
        <w:footnoteReference w:id="388"/>
      </w:r>
    </w:p>
    <w:p w14:paraId="0171EEBB" w14:textId="39ADEEC5"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La Comisión señala que estas cuestiones pueden agravarse en contextos de consumo y  dependencia de drogas. Anteriormente ha indicado que para evitar la criminalización de la adicción y evitar la reincidencia, "los Estados deberían tener una red de apoyo social y comunitaria que incluya educación, empleo, vivienda y programas de salud […] estos modelos deberían contar con la asistencia de varias instituciones y un equipo multidisciplinario con una visión integral de la salud psicosocial de los beneficiarios."</w:t>
      </w:r>
      <w:r w:rsidRPr="00930562">
        <w:rPr>
          <w:rFonts w:asciiTheme="majorHAnsi" w:hAnsiTheme="majorHAnsi"/>
          <w:vertAlign w:val="superscript"/>
          <w:lang w:val="es-US"/>
        </w:rPr>
        <w:footnoteReference w:id="389"/>
      </w:r>
      <w:r w:rsidRPr="00930562">
        <w:rPr>
          <w:rFonts w:asciiTheme="majorHAnsi" w:hAnsiTheme="majorHAnsi"/>
          <w:lang w:val="es-US"/>
        </w:rPr>
        <w:t xml:space="preserve"> La Comisión observa con preocupación que el marco legal actual de los Estados Unidos no sólo criminaliza ampliamente la posesión de drogas sino que también, a través de una serie de leyes y prácticas, tiende a excluir a las personas que han sido previamente condenadas de delitos del acceso a la vivienda y la ayuda pública y no previene de manera efectiva la discriminación laboral contra ellas,</w:t>
      </w:r>
      <w:r w:rsidRPr="00930562">
        <w:rPr>
          <w:rFonts w:asciiTheme="majorHAnsi" w:hAnsiTheme="majorHAnsi"/>
          <w:vertAlign w:val="superscript"/>
          <w:lang w:val="es-US"/>
        </w:rPr>
        <w:footnoteReference w:id="390"/>
      </w:r>
      <w:r w:rsidRPr="00930562">
        <w:rPr>
          <w:rFonts w:asciiTheme="majorHAnsi" w:hAnsiTheme="majorHAnsi"/>
          <w:lang w:val="es-US"/>
        </w:rPr>
        <w:t xml:space="preserve"> haciendo en muchos casos difícil, cuando no imposible, el seguimiento a esta recomendación. La Comisión llama al Estado a reformar estas leyes y políticas de manera </w:t>
      </w:r>
      <w:r w:rsidR="001B4C3F" w:rsidRPr="00930562">
        <w:rPr>
          <w:rFonts w:asciiTheme="majorHAnsi" w:hAnsiTheme="majorHAnsi"/>
          <w:lang w:val="es-US"/>
        </w:rPr>
        <w:t>que permita abordar</w:t>
      </w:r>
      <w:r w:rsidRPr="00930562">
        <w:rPr>
          <w:rFonts w:asciiTheme="majorHAnsi" w:hAnsiTheme="majorHAnsi"/>
          <w:lang w:val="es-US"/>
        </w:rPr>
        <w:t xml:space="preserve"> los problemas de la adicción a las drogas desde un enfoque de salud pública y garantizar el acceso y el goce efectivo de los </w:t>
      </w:r>
      <w:r w:rsidRPr="00930562">
        <w:rPr>
          <w:rFonts w:asciiTheme="majorHAnsi" w:hAnsiTheme="majorHAnsi"/>
          <w:lang w:val="es-US"/>
        </w:rPr>
        <w:lastRenderedPageBreak/>
        <w:t>derechos económicos, sociales, culturales y ambientales a todas las personas sujetas a su jurisdicción sin discriminación.</w:t>
      </w:r>
    </w:p>
    <w:p w14:paraId="0AE01D81" w14:textId="30C73F5B" w:rsidR="005B672D" w:rsidRPr="00930562" w:rsidRDefault="005B672D" w:rsidP="00724857">
      <w:pPr>
        <w:keepNext/>
        <w:keepLines/>
        <w:numPr>
          <w:ilvl w:val="0"/>
          <w:numId w:val="1"/>
        </w:numPr>
        <w:spacing w:before="480" w:after="360" w:line="240" w:lineRule="auto"/>
        <w:ind w:left="0" w:firstLine="0"/>
        <w:outlineLvl w:val="1"/>
        <w:rPr>
          <w:rFonts w:asciiTheme="majorHAnsi" w:eastAsiaTheme="majorEastAsia" w:hAnsiTheme="majorHAnsi" w:cstheme="majorBidi"/>
          <w:b/>
          <w:i/>
          <w:sz w:val="28"/>
          <w:lang w:val="es-US"/>
        </w:rPr>
      </w:pPr>
      <w:bookmarkStart w:id="155" w:name="_Toc511837824"/>
      <w:bookmarkStart w:id="156" w:name="_Toc511902997"/>
      <w:bookmarkStart w:id="157" w:name="_Toc517779245"/>
      <w:bookmarkStart w:id="158" w:name="_Toc531514476"/>
      <w:r w:rsidRPr="00930562">
        <w:rPr>
          <w:rFonts w:asciiTheme="majorHAnsi" w:eastAsiaTheme="majorEastAsia" w:hAnsiTheme="majorHAnsi" w:cstheme="majorBidi"/>
          <w:b/>
          <w:i/>
          <w:sz w:val="28"/>
          <w:lang w:val="es-US"/>
        </w:rPr>
        <w:t>Información sobre in</w:t>
      </w:r>
      <w:r w:rsidR="003D6C90">
        <w:rPr>
          <w:rFonts w:asciiTheme="majorHAnsi" w:eastAsiaTheme="majorEastAsia" w:hAnsiTheme="majorHAnsi" w:cstheme="majorBidi"/>
          <w:b/>
          <w:i/>
          <w:sz w:val="28"/>
          <w:lang w:val="es-US"/>
        </w:rPr>
        <w:t>i</w:t>
      </w:r>
      <w:r w:rsidRPr="00930562">
        <w:rPr>
          <w:rFonts w:asciiTheme="majorHAnsi" w:eastAsiaTheme="majorEastAsia" w:hAnsiTheme="majorHAnsi" w:cstheme="majorBidi"/>
          <w:b/>
          <w:i/>
          <w:sz w:val="28"/>
          <w:lang w:val="es-US"/>
        </w:rPr>
        <w:t>ciativas federales</w:t>
      </w:r>
      <w:bookmarkEnd w:id="155"/>
      <w:bookmarkEnd w:id="156"/>
      <w:bookmarkEnd w:id="157"/>
      <w:bookmarkEnd w:id="158"/>
    </w:p>
    <w:p w14:paraId="52D89FBA" w14:textId="3927C4D9"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lang w:val="es-US"/>
        </w:rPr>
        <w:t>En los últimos años, l</w:t>
      </w:r>
      <w:r w:rsidRPr="00930562">
        <w:rPr>
          <w:rFonts w:asciiTheme="majorHAnsi" w:hAnsiTheme="majorHAnsi" w:cs="Times"/>
          <w:szCs w:val="20"/>
          <w:lang w:val="es-US"/>
        </w:rPr>
        <w:t xml:space="preserve">a CIDH ha recibido información del Estado y otras fuentes sobre prácticas policiales e </w:t>
      </w:r>
      <w:r w:rsidRPr="00930562">
        <w:rPr>
          <w:rFonts w:asciiTheme="majorHAnsi" w:hAnsiTheme="majorHAnsi"/>
          <w:lang w:val="es-US"/>
        </w:rPr>
        <w:t>iniciativas</w:t>
      </w:r>
      <w:r w:rsidRPr="00930562">
        <w:rPr>
          <w:rFonts w:asciiTheme="majorHAnsi" w:hAnsiTheme="majorHAnsi" w:cs="Times"/>
          <w:szCs w:val="20"/>
          <w:lang w:val="es-US"/>
        </w:rPr>
        <w:t xml:space="preserve"> de reforma. Si bien la información sobre las acciones del Estado está contenida en el informe,</w:t>
      </w:r>
      <w:r w:rsidRPr="00930562">
        <w:rPr>
          <w:rFonts w:asciiTheme="majorHAnsi" w:hAnsiTheme="majorHAnsi" w:cs="Times"/>
          <w:vertAlign w:val="superscript"/>
          <w:lang w:val="es-US"/>
        </w:rPr>
        <w:footnoteReference w:id="391"/>
      </w:r>
      <w:r w:rsidRPr="00930562">
        <w:rPr>
          <w:rFonts w:asciiTheme="majorHAnsi" w:hAnsiTheme="majorHAnsi" w:cs="Times"/>
          <w:szCs w:val="20"/>
          <w:lang w:val="es-US"/>
        </w:rPr>
        <w:t xml:space="preserve"> la Comisión considera útil considerar aquí las acciones e iniciativas federales que encuentra más relevantes para el problema de la violencia policial, incluyendo principalmente el Grupo de Trabajo del Presidente </w:t>
      </w:r>
      <w:r w:rsidR="00607C84" w:rsidRPr="00930562">
        <w:rPr>
          <w:rFonts w:asciiTheme="majorHAnsi" w:hAnsiTheme="majorHAnsi" w:cs="Times"/>
          <w:szCs w:val="20"/>
          <w:lang w:val="es-US"/>
        </w:rPr>
        <w:t xml:space="preserve">Obama </w:t>
      </w:r>
      <w:r w:rsidRPr="00930562">
        <w:rPr>
          <w:rFonts w:asciiTheme="majorHAnsi" w:hAnsiTheme="majorHAnsi" w:cs="Times"/>
          <w:szCs w:val="20"/>
          <w:lang w:val="es-US"/>
        </w:rPr>
        <w:t xml:space="preserve">sobre Control Policial del Siglo </w:t>
      </w:r>
      <w:r w:rsidR="007562D6" w:rsidRPr="00930562">
        <w:rPr>
          <w:rFonts w:asciiTheme="majorHAnsi" w:hAnsiTheme="majorHAnsi" w:cs="Times"/>
          <w:szCs w:val="20"/>
          <w:lang w:val="es-US"/>
        </w:rPr>
        <w:t>XXI</w:t>
      </w:r>
      <w:r w:rsidRPr="00930562">
        <w:rPr>
          <w:rFonts w:asciiTheme="majorHAnsi" w:hAnsiTheme="majorHAnsi" w:cs="Times"/>
          <w:szCs w:val="20"/>
          <w:lang w:val="es-US"/>
        </w:rPr>
        <w:t xml:space="preserve"> (finalizado en 2015) e investigaciones de los departamentos policiales locales por parte de la División de Derechos Civiles del </w:t>
      </w:r>
      <w:r w:rsidR="00607C84" w:rsidRPr="00930562">
        <w:rPr>
          <w:rFonts w:asciiTheme="majorHAnsi" w:hAnsiTheme="majorHAnsi" w:cs="Times"/>
          <w:szCs w:val="20"/>
          <w:lang w:val="es-US"/>
        </w:rPr>
        <w:t xml:space="preserve">Departamento </w:t>
      </w:r>
      <w:r w:rsidRPr="00930562">
        <w:rPr>
          <w:rFonts w:asciiTheme="majorHAnsi" w:hAnsiTheme="majorHAnsi" w:cs="Times"/>
          <w:szCs w:val="20"/>
          <w:lang w:val="es-US"/>
        </w:rPr>
        <w:t>de Justicia.</w:t>
      </w:r>
    </w:p>
    <w:p w14:paraId="5B747AF2" w14:textId="286E74B9" w:rsidR="005B672D" w:rsidRPr="00930562" w:rsidRDefault="005B672D" w:rsidP="00B41EFF">
      <w:pPr>
        <w:pStyle w:val="Heading3"/>
        <w:numPr>
          <w:ilvl w:val="0"/>
          <w:numId w:val="16"/>
        </w:numPr>
        <w:ind w:left="540" w:hanging="540"/>
        <w:rPr>
          <w:lang w:val="es-US"/>
        </w:rPr>
      </w:pPr>
      <w:bookmarkStart w:id="159" w:name="_Toc511837825"/>
      <w:bookmarkStart w:id="160" w:name="_Toc511902998"/>
      <w:bookmarkStart w:id="161" w:name="_Toc517779246"/>
      <w:bookmarkStart w:id="162" w:name="_Toc531514477"/>
      <w:r w:rsidRPr="00930562">
        <w:rPr>
          <w:lang w:val="es-US"/>
        </w:rPr>
        <w:t xml:space="preserve">Acciones e iniciativas del </w:t>
      </w:r>
      <w:r w:rsidR="00607C84" w:rsidRPr="00930562">
        <w:rPr>
          <w:lang w:val="es-US"/>
        </w:rPr>
        <w:t xml:space="preserve">Departamento </w:t>
      </w:r>
      <w:r w:rsidRPr="00930562">
        <w:rPr>
          <w:lang w:val="es-US"/>
        </w:rPr>
        <w:t>de Justicia</w:t>
      </w:r>
      <w:bookmarkEnd w:id="159"/>
      <w:bookmarkEnd w:id="160"/>
      <w:bookmarkEnd w:id="161"/>
      <w:bookmarkEnd w:id="162"/>
    </w:p>
    <w:p w14:paraId="1E9D8C4E" w14:textId="4A530ABE"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szCs w:val="20"/>
          <w:lang w:val="es-US"/>
        </w:rPr>
        <w:t xml:space="preserve">La Comisión ha recibido información sobre las investigaciones realizadas por el </w:t>
      </w:r>
      <w:r w:rsidR="00FB4704" w:rsidRPr="00930562">
        <w:rPr>
          <w:rFonts w:asciiTheme="majorHAnsi" w:hAnsiTheme="majorHAnsi"/>
          <w:szCs w:val="20"/>
          <w:lang w:val="es-US"/>
        </w:rPr>
        <w:t xml:space="preserve">Departamento </w:t>
      </w:r>
      <w:r w:rsidRPr="00930562">
        <w:rPr>
          <w:rFonts w:asciiTheme="majorHAnsi" w:hAnsiTheme="majorHAnsi"/>
          <w:szCs w:val="20"/>
          <w:lang w:val="es-US"/>
        </w:rPr>
        <w:t xml:space="preserve">de Justicia sobre posibles violaciones a la ley federal por parte de departamentos policiales. La División de Derechos Civiles del </w:t>
      </w:r>
      <w:r w:rsidR="00FB4704" w:rsidRPr="00930562">
        <w:rPr>
          <w:rFonts w:asciiTheme="majorHAnsi" w:hAnsiTheme="majorHAnsi"/>
          <w:szCs w:val="20"/>
          <w:lang w:val="es-US"/>
        </w:rPr>
        <w:t xml:space="preserve">Departamento </w:t>
      </w:r>
      <w:r w:rsidRPr="00930562">
        <w:rPr>
          <w:rFonts w:asciiTheme="majorHAnsi" w:hAnsiTheme="majorHAnsi"/>
          <w:szCs w:val="20"/>
          <w:lang w:val="es-US"/>
        </w:rPr>
        <w:t xml:space="preserve">de Justicia tiene competencia para llevar a cabo tanto investigaciones penales contra </w:t>
      </w:r>
      <w:r w:rsidRPr="00930562">
        <w:rPr>
          <w:rFonts w:asciiTheme="majorHAnsi" w:hAnsiTheme="majorHAnsi"/>
          <w:lang w:val="es-US"/>
        </w:rPr>
        <w:t>agentes del orden público por posibles infracciones a la ley, como investigaciones civiles de "patrones o prácticas" de agencias de aplicación de la ley estatales y locales. Estas investigaciones pueden ser iniciad</w:t>
      </w:r>
      <w:r w:rsidR="007C40B3" w:rsidRPr="00930562">
        <w:rPr>
          <w:rFonts w:asciiTheme="majorHAnsi" w:hAnsiTheme="majorHAnsi"/>
          <w:lang w:val="es-US"/>
        </w:rPr>
        <w:t>a</w:t>
      </w:r>
      <w:r w:rsidRPr="00930562">
        <w:rPr>
          <w:rFonts w:asciiTheme="majorHAnsi" w:hAnsiTheme="majorHAnsi"/>
          <w:lang w:val="es-US"/>
        </w:rPr>
        <w:t>s cuando hay evidencia de la existencia de un patrón o práctica ejercid</w:t>
      </w:r>
      <w:r w:rsidR="007C40B3" w:rsidRPr="00930562">
        <w:rPr>
          <w:rFonts w:asciiTheme="majorHAnsi" w:hAnsiTheme="majorHAnsi"/>
          <w:lang w:val="es-US"/>
        </w:rPr>
        <w:t>a</w:t>
      </w:r>
      <w:r w:rsidRPr="00930562">
        <w:rPr>
          <w:rFonts w:asciiTheme="majorHAnsi" w:hAnsiTheme="majorHAnsi"/>
          <w:lang w:val="es-US"/>
        </w:rPr>
        <w:t xml:space="preserve"> por la agencia de control que viola sistémicamente los derechos protegidos a nivel federal. La División investiga </w:t>
      </w:r>
      <w:r w:rsidR="007C40B3" w:rsidRPr="00930562">
        <w:rPr>
          <w:rFonts w:asciiTheme="majorHAnsi" w:hAnsiTheme="majorHAnsi"/>
          <w:lang w:val="es-US"/>
        </w:rPr>
        <w:t xml:space="preserve">a las </w:t>
      </w:r>
      <w:r w:rsidRPr="00930562">
        <w:rPr>
          <w:rFonts w:asciiTheme="majorHAnsi" w:hAnsiTheme="majorHAnsi"/>
          <w:lang w:val="es-US"/>
        </w:rPr>
        <w:t xml:space="preserve">agencias de control de todo el país por cuestiones que incluyen el uso excesivo de la fuerza; detenciones ilegales, pesquisas o arrestos; y la actuación policial discriminatoria en razón de raza, etnia, origen nacional, género y orientación sexual. Desde 2009, el </w:t>
      </w:r>
      <w:r w:rsidR="007C40B3" w:rsidRPr="00930562">
        <w:rPr>
          <w:rFonts w:asciiTheme="majorHAnsi" w:hAnsiTheme="majorHAnsi"/>
          <w:lang w:val="es-US"/>
        </w:rPr>
        <w:t xml:space="preserve">Departamento de Justicia </w:t>
      </w:r>
      <w:r w:rsidRPr="00930562">
        <w:rPr>
          <w:rFonts w:asciiTheme="majorHAnsi" w:hAnsiTheme="majorHAnsi"/>
          <w:lang w:val="es-US"/>
        </w:rPr>
        <w:t xml:space="preserve">ha abierto 25 investigaciones </w:t>
      </w:r>
      <w:r w:rsidR="007C40B3" w:rsidRPr="00930562">
        <w:rPr>
          <w:rFonts w:asciiTheme="majorHAnsi" w:hAnsiTheme="majorHAnsi"/>
          <w:lang w:val="es-US"/>
        </w:rPr>
        <w:t xml:space="preserve">en torno a </w:t>
      </w:r>
      <w:r w:rsidRPr="00930562">
        <w:rPr>
          <w:rFonts w:asciiTheme="majorHAnsi" w:hAnsiTheme="majorHAnsi"/>
          <w:lang w:val="es-US"/>
        </w:rPr>
        <w:t xml:space="preserve">las agencias de control y ha hecho cumplir 14 decretos federales </w:t>
      </w:r>
      <w:r w:rsidR="007C40B3" w:rsidRPr="00930562">
        <w:rPr>
          <w:rFonts w:asciiTheme="majorHAnsi" w:hAnsiTheme="majorHAnsi"/>
          <w:lang w:val="es-US"/>
        </w:rPr>
        <w:t xml:space="preserve">de </w:t>
      </w:r>
      <w:r w:rsidRPr="00930562">
        <w:rPr>
          <w:rFonts w:asciiTheme="majorHAnsi" w:hAnsiTheme="majorHAnsi"/>
          <w:lang w:val="es-US"/>
        </w:rPr>
        <w:t>consentimiento.</w:t>
      </w:r>
      <w:r w:rsidRPr="00930562">
        <w:rPr>
          <w:rFonts w:asciiTheme="majorHAnsi" w:hAnsiTheme="majorHAnsi"/>
          <w:vertAlign w:val="superscript"/>
          <w:lang w:val="es-US"/>
        </w:rPr>
        <w:footnoteReference w:id="392"/>
      </w:r>
    </w:p>
    <w:p w14:paraId="1D1C3F84" w14:textId="2003140D"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lang w:val="es-US"/>
        </w:rPr>
      </w:pPr>
      <w:bookmarkStart w:id="163" w:name="_Ref507171111"/>
      <w:r w:rsidRPr="00930562">
        <w:rPr>
          <w:rFonts w:asciiTheme="majorHAnsi" w:hAnsiTheme="majorHAnsi"/>
          <w:lang w:val="es-US"/>
        </w:rPr>
        <w:t xml:space="preserve">El </w:t>
      </w:r>
      <w:r w:rsidR="004D2D42" w:rsidRPr="00930562">
        <w:rPr>
          <w:rFonts w:asciiTheme="majorHAnsi" w:hAnsiTheme="majorHAnsi"/>
          <w:lang w:val="es-US"/>
        </w:rPr>
        <w:t xml:space="preserve">Departamento </w:t>
      </w:r>
      <w:r w:rsidRPr="00930562">
        <w:rPr>
          <w:rFonts w:asciiTheme="majorHAnsi" w:hAnsiTheme="majorHAnsi"/>
          <w:lang w:val="es-US"/>
        </w:rPr>
        <w:t xml:space="preserve">de Justicia también brinda orientación a las agencias de control sobre legislación federal. La Comisión destaca la reciente </w:t>
      </w:r>
      <w:r w:rsidRPr="00930562">
        <w:rPr>
          <w:rFonts w:asciiTheme="majorHAnsi" w:hAnsiTheme="majorHAnsi"/>
          <w:lang w:val="es-US"/>
        </w:rPr>
        <w:lastRenderedPageBreak/>
        <w:t xml:space="preserve">publicación actualizada de </w:t>
      </w:r>
      <w:r w:rsidR="004D2D42" w:rsidRPr="00930562">
        <w:rPr>
          <w:rFonts w:asciiTheme="majorHAnsi" w:hAnsiTheme="majorHAnsi"/>
          <w:lang w:val="es-US"/>
        </w:rPr>
        <w:t xml:space="preserve">la </w:t>
      </w:r>
      <w:r w:rsidRPr="00930562">
        <w:rPr>
          <w:rFonts w:asciiTheme="majorHAnsi" w:hAnsiTheme="majorHAnsi"/>
          <w:lang w:val="es-US"/>
        </w:rPr>
        <w:t>“Guía para los organismos de seguridad federal sobre el uso de la raza, etnia, género, origen nacional, religión, orientación sexual e identidad de género.”</w:t>
      </w:r>
      <w:r w:rsidRPr="00930562">
        <w:rPr>
          <w:rFonts w:asciiTheme="majorHAnsi" w:hAnsiTheme="majorHAnsi"/>
          <w:vertAlign w:val="superscript"/>
          <w:lang w:val="es-US"/>
        </w:rPr>
        <w:footnoteReference w:id="393"/>
      </w:r>
      <w:bookmarkEnd w:id="163"/>
    </w:p>
    <w:p w14:paraId="5FBD60C0" w14:textId="7973E23D" w:rsidR="005B672D" w:rsidRPr="00930562" w:rsidRDefault="005B672D" w:rsidP="009C0320">
      <w:pPr>
        <w:pStyle w:val="Heading3"/>
        <w:ind w:left="540" w:hanging="540"/>
        <w:rPr>
          <w:lang w:val="es-US"/>
        </w:rPr>
      </w:pPr>
      <w:bookmarkStart w:id="164" w:name="_Toc517779247"/>
      <w:bookmarkStart w:id="165" w:name="_Toc531514478"/>
      <w:bookmarkStart w:id="166" w:name="_Toc511837826"/>
      <w:bookmarkStart w:id="167" w:name="_Toc511902999"/>
      <w:r w:rsidRPr="00930562">
        <w:rPr>
          <w:lang w:val="es-US"/>
        </w:rPr>
        <w:t>Grupo de Trabajo del Presidente</w:t>
      </w:r>
      <w:r w:rsidR="000207C5" w:rsidRPr="00930562">
        <w:rPr>
          <w:lang w:val="es-US"/>
        </w:rPr>
        <w:t xml:space="preserve"> Obama</w:t>
      </w:r>
      <w:r w:rsidRPr="00930562">
        <w:rPr>
          <w:lang w:val="es-US"/>
        </w:rPr>
        <w:t xml:space="preserve"> sobre Control Policial en el Siglo XXI</w:t>
      </w:r>
      <w:bookmarkEnd w:id="164"/>
      <w:bookmarkEnd w:id="165"/>
      <w:r w:rsidRPr="00930562">
        <w:rPr>
          <w:lang w:val="es-US"/>
        </w:rPr>
        <w:t xml:space="preserve"> </w:t>
      </w:r>
      <w:bookmarkEnd w:id="166"/>
      <w:bookmarkEnd w:id="167"/>
    </w:p>
    <w:p w14:paraId="7F358F9F" w14:textId="4251C34E"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szCs w:val="20"/>
          <w:lang w:val="es-US" w:eastAsia="es-ES"/>
        </w:rPr>
        <w:t xml:space="preserve"> </w:t>
      </w:r>
      <w:r w:rsidRPr="00930562">
        <w:rPr>
          <w:rFonts w:asciiTheme="majorHAnsi" w:hAnsiTheme="majorHAnsi"/>
          <w:szCs w:val="20"/>
          <w:lang w:val="es-US"/>
        </w:rPr>
        <w:t xml:space="preserve">La Comisión ha </w:t>
      </w:r>
      <w:r w:rsidRPr="00930562">
        <w:rPr>
          <w:rFonts w:asciiTheme="majorHAnsi" w:hAnsiTheme="majorHAnsi"/>
          <w:lang w:val="es-US"/>
        </w:rPr>
        <w:t>recibido información sobre los resultados del Grupo de Trabajo del Presidente</w:t>
      </w:r>
      <w:r w:rsidR="000207C5" w:rsidRPr="00930562">
        <w:rPr>
          <w:rFonts w:asciiTheme="majorHAnsi" w:hAnsiTheme="majorHAnsi"/>
          <w:lang w:val="es-US"/>
        </w:rPr>
        <w:t xml:space="preserve"> Obama</w:t>
      </w:r>
      <w:r w:rsidRPr="00930562">
        <w:rPr>
          <w:rFonts w:asciiTheme="majorHAnsi" w:hAnsiTheme="majorHAnsi"/>
          <w:lang w:val="es-US"/>
        </w:rPr>
        <w:t xml:space="preserve"> sobre Control Policial en el Siglo </w:t>
      </w:r>
      <w:r w:rsidR="000207C5" w:rsidRPr="00930562">
        <w:rPr>
          <w:rFonts w:asciiTheme="majorHAnsi" w:hAnsiTheme="majorHAnsi"/>
          <w:lang w:val="es-US"/>
        </w:rPr>
        <w:t>XXI</w:t>
      </w:r>
      <w:r w:rsidRPr="00930562">
        <w:rPr>
          <w:rFonts w:asciiTheme="majorHAnsi" w:hAnsiTheme="majorHAnsi"/>
          <w:vertAlign w:val="superscript"/>
          <w:lang w:val="es-US"/>
        </w:rPr>
        <w:footnoteReference w:id="394"/>
      </w:r>
      <w:r w:rsidRPr="00930562">
        <w:rPr>
          <w:rFonts w:asciiTheme="majorHAnsi" w:hAnsiTheme="majorHAnsi"/>
          <w:lang w:val="es-US"/>
        </w:rPr>
        <w:t xml:space="preserve"> que concluyó en 2015. El Grupo de Trabajo formuló una serie de recomendaciones a los organismos de seguridad de los EE. UU. </w:t>
      </w:r>
      <w:r w:rsidR="004D2D42" w:rsidRPr="00930562">
        <w:rPr>
          <w:rFonts w:asciiTheme="majorHAnsi" w:hAnsiTheme="majorHAnsi"/>
          <w:lang w:val="es-US"/>
        </w:rPr>
        <w:t xml:space="preserve">dirigidas </w:t>
      </w:r>
      <w:r w:rsidRPr="00930562">
        <w:rPr>
          <w:rFonts w:asciiTheme="majorHAnsi" w:hAnsiTheme="majorHAnsi"/>
          <w:lang w:val="es-US"/>
        </w:rPr>
        <w:t xml:space="preserve">a promover </w:t>
      </w:r>
      <w:r w:rsidR="004D2D42" w:rsidRPr="00930562">
        <w:rPr>
          <w:rFonts w:asciiTheme="majorHAnsi" w:hAnsiTheme="majorHAnsi"/>
          <w:lang w:val="es-US"/>
        </w:rPr>
        <w:t xml:space="preserve">la </w:t>
      </w:r>
      <w:r w:rsidRPr="00930562">
        <w:rPr>
          <w:rFonts w:asciiTheme="majorHAnsi" w:hAnsiTheme="majorHAnsi"/>
          <w:lang w:val="es-US"/>
        </w:rPr>
        <w:t>confianza de la comunidad en la policía e incrementar legitimidad. La Comisión observa que el Grupo de Trabajo reconoc</w:t>
      </w:r>
      <w:r w:rsidR="00AC7501" w:rsidRPr="00930562">
        <w:rPr>
          <w:rFonts w:asciiTheme="majorHAnsi" w:hAnsiTheme="majorHAnsi"/>
          <w:lang w:val="es-US"/>
        </w:rPr>
        <w:t>e</w:t>
      </w:r>
      <w:r w:rsidRPr="00930562">
        <w:rPr>
          <w:rFonts w:asciiTheme="majorHAnsi" w:hAnsiTheme="majorHAnsi"/>
          <w:lang w:val="es-US"/>
        </w:rPr>
        <w:t xml:space="preserve"> la necesidad de que los organismos de seguridad "tomen conciencia del papel de la policía en actos de injusticia y discriminación del pasado y del presente y cómo éstos son un obstáculo para promover la confianza de la comunidad"</w:t>
      </w:r>
      <w:r w:rsidRPr="00930562">
        <w:rPr>
          <w:rFonts w:asciiTheme="majorHAnsi" w:hAnsiTheme="majorHAnsi"/>
          <w:vertAlign w:val="superscript"/>
          <w:lang w:val="es-US"/>
        </w:rPr>
        <w:footnoteReference w:id="395"/>
      </w:r>
      <w:r w:rsidRPr="00930562">
        <w:rPr>
          <w:rFonts w:asciiTheme="majorHAnsi" w:hAnsiTheme="majorHAnsi"/>
          <w:lang w:val="es-US"/>
        </w:rPr>
        <w:t xml:space="preserve"> y solicita a las agencias de control que "adopten y hagan cumplir las prácticas que prohíben la creación de perfiles y la discriminación por motivos de raza, etnia, origen nacional, religión, edad, género, identidad/expresión de género, orientación sexual, estatus migratorio, discapacidad, estado actual en materia de vivienda, ocupación o fluidez del idioma.</w:t>
      </w:r>
      <w:r w:rsidR="00AC7501" w:rsidRPr="00930562">
        <w:rPr>
          <w:rFonts w:asciiTheme="majorHAnsi" w:hAnsiTheme="majorHAnsi"/>
          <w:lang w:val="es-US"/>
        </w:rPr>
        <w:t>”</w:t>
      </w:r>
      <w:r w:rsidRPr="00930562">
        <w:rPr>
          <w:rFonts w:asciiTheme="majorHAnsi" w:hAnsiTheme="majorHAnsi"/>
          <w:lang w:val="es-US"/>
        </w:rPr>
        <w:t xml:space="preserve"> </w:t>
      </w:r>
      <w:r w:rsidRPr="00930562">
        <w:rPr>
          <w:rFonts w:asciiTheme="majorHAnsi" w:hAnsiTheme="majorHAnsi"/>
          <w:vertAlign w:val="superscript"/>
          <w:lang w:val="es-US"/>
        </w:rPr>
        <w:footnoteReference w:id="396"/>
      </w:r>
      <w:r w:rsidRPr="00930562">
        <w:rPr>
          <w:rFonts w:asciiTheme="majorHAnsi" w:hAnsiTheme="majorHAnsi"/>
          <w:lang w:val="es-US"/>
        </w:rPr>
        <w:t xml:space="preserve"> </w:t>
      </w:r>
    </w:p>
    <w:p w14:paraId="44D3B9DA" w14:textId="77777777"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sz w:val="24"/>
          <w:lang w:val="es-US"/>
        </w:rPr>
      </w:pPr>
      <w:r w:rsidRPr="00930562">
        <w:rPr>
          <w:rFonts w:asciiTheme="majorHAnsi" w:hAnsiTheme="majorHAnsi"/>
          <w:lang w:val="es-US"/>
        </w:rPr>
        <w:t xml:space="preserve">La Comisión ha recibido información que indica que en cumplimiento de las recomendaciones del Grupo de Trabajo y otras iniciativas de reforma, se han aprobado en los últimos años varias leyes estatales nuevas con el objetivo de abordar las cuestiones relativas al uso excesivo de la fuerza, incluida la creación de grupos de trabajo legislativos sobre el uso de la fuerza letal (estado de Washington), </w:t>
      </w:r>
      <w:r w:rsidRPr="00930562">
        <w:rPr>
          <w:rFonts w:asciiTheme="majorHAnsi" w:hAnsiTheme="majorHAnsi"/>
          <w:vertAlign w:val="superscript"/>
          <w:lang w:val="es-US"/>
        </w:rPr>
        <w:footnoteReference w:id="397"/>
      </w:r>
      <w:r w:rsidRPr="00930562">
        <w:rPr>
          <w:rFonts w:asciiTheme="majorHAnsi" w:hAnsiTheme="majorHAnsi"/>
          <w:lang w:val="es-US"/>
        </w:rPr>
        <w:t xml:space="preserve"> capacitación legal y práctica a nivel estatal (Utah) </w:t>
      </w:r>
      <w:r w:rsidRPr="00930562">
        <w:rPr>
          <w:rFonts w:asciiTheme="majorHAnsi" w:hAnsiTheme="majorHAnsi"/>
          <w:vertAlign w:val="superscript"/>
          <w:lang w:val="es-US"/>
        </w:rPr>
        <w:footnoteReference w:id="398"/>
      </w:r>
      <w:r w:rsidRPr="00930562">
        <w:rPr>
          <w:rFonts w:asciiTheme="majorHAnsi" w:hAnsiTheme="majorHAnsi"/>
          <w:lang w:val="es-US"/>
        </w:rPr>
        <w:t xml:space="preserve"> y prohibición de estrangulamientos y otras formas de violencia potencialmente letales (Colorado y Connecticut), entre otros.</w:t>
      </w:r>
      <w:r w:rsidRPr="00930562">
        <w:rPr>
          <w:rFonts w:asciiTheme="majorHAnsi" w:hAnsiTheme="majorHAnsi"/>
          <w:vertAlign w:val="superscript"/>
          <w:lang w:val="es-US"/>
        </w:rPr>
        <w:footnoteReference w:id="399"/>
      </w:r>
      <w:r w:rsidRPr="00930562">
        <w:rPr>
          <w:rFonts w:asciiTheme="majorHAnsi" w:hAnsiTheme="majorHAnsi"/>
          <w:lang w:val="es-US"/>
        </w:rPr>
        <w:t xml:space="preserve"> La Comisión observa que ninguna de estas leyes coloca a los estados de </w:t>
      </w:r>
      <w:r w:rsidRPr="00930562">
        <w:rPr>
          <w:rFonts w:asciiTheme="majorHAnsi" w:hAnsiTheme="majorHAnsi"/>
          <w:lang w:val="es-US"/>
        </w:rPr>
        <w:lastRenderedPageBreak/>
        <w:t>manera efectiva en armonía con las normas internacionales; no obstante, la Comisión considera que representan un avance e</w:t>
      </w:r>
      <w:r w:rsidRPr="00930562">
        <w:rPr>
          <w:rFonts w:asciiTheme="majorHAnsi" w:hAnsiTheme="majorHAnsi"/>
          <w:szCs w:val="20"/>
          <w:lang w:val="es-US"/>
        </w:rPr>
        <w:t>n la dirección correcta.</w:t>
      </w:r>
      <w:r w:rsidRPr="00930562">
        <w:rPr>
          <w:rFonts w:asciiTheme="majorHAnsi" w:hAnsiTheme="majorHAnsi" w:cstheme="minorHAnsi"/>
          <w:szCs w:val="20"/>
          <w:lang w:val="es-US"/>
        </w:rPr>
        <w:t xml:space="preserve"> </w:t>
      </w:r>
    </w:p>
    <w:p w14:paraId="098DBA0A" w14:textId="4EC63298" w:rsidR="005B672D" w:rsidRPr="00930562" w:rsidRDefault="005B672D" w:rsidP="001E382F">
      <w:pPr>
        <w:pStyle w:val="Heading3"/>
        <w:rPr>
          <w:lang w:val="es-US"/>
        </w:rPr>
      </w:pPr>
      <w:bookmarkStart w:id="168" w:name="_Toc511837827"/>
      <w:bookmarkStart w:id="169" w:name="_Toc511903000"/>
      <w:bookmarkStart w:id="170" w:name="_Toc517779248"/>
      <w:bookmarkStart w:id="171" w:name="_Toc531514479"/>
      <w:r w:rsidRPr="00930562">
        <w:rPr>
          <w:lang w:val="es-US"/>
        </w:rPr>
        <w:t>Policía comunitaria y otras iniciativas</w:t>
      </w:r>
      <w:bookmarkEnd w:id="168"/>
      <w:bookmarkEnd w:id="169"/>
      <w:bookmarkEnd w:id="170"/>
      <w:bookmarkEnd w:id="171"/>
    </w:p>
    <w:p w14:paraId="1D26BCF2" w14:textId="7A4A6E54"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cstheme="minorHAnsi"/>
          <w:lang w:val="es-US"/>
        </w:rPr>
        <w:t>D</w:t>
      </w:r>
      <w:r w:rsidRPr="00930562">
        <w:rPr>
          <w:rFonts w:asciiTheme="majorHAnsi" w:eastAsia="Times New Roman" w:hAnsiTheme="majorHAnsi"/>
          <w:szCs w:val="20"/>
          <w:lang w:val="es-US" w:eastAsia="es-ES"/>
        </w:rPr>
        <w:t xml:space="preserve">urante audiencias públicas en 2014 el Estado también informó a la Comisión sobre diversas iniciativas adoptadas para promover la diversidad en el reclutamiento y la contratación de policías, </w:t>
      </w:r>
      <w:r w:rsidR="00016213" w:rsidRPr="00930562">
        <w:rPr>
          <w:rFonts w:asciiTheme="majorHAnsi" w:eastAsia="Times New Roman" w:hAnsiTheme="majorHAnsi"/>
          <w:szCs w:val="20"/>
          <w:lang w:val="es-US" w:eastAsia="es-ES"/>
        </w:rPr>
        <w:t>con base en la creencia</w:t>
      </w:r>
      <w:r w:rsidRPr="00930562">
        <w:rPr>
          <w:rFonts w:asciiTheme="majorHAnsi" w:eastAsia="Times New Roman" w:hAnsiTheme="majorHAnsi"/>
          <w:szCs w:val="20"/>
          <w:lang w:val="es-US" w:eastAsia="es-ES"/>
        </w:rPr>
        <w:t xml:space="preserve"> de que una fuerza policial más diversa aumentará la legitimidad </w:t>
      </w:r>
      <w:r w:rsidRPr="00930562">
        <w:rPr>
          <w:rFonts w:asciiTheme="majorHAnsi" w:hAnsiTheme="majorHAnsi"/>
          <w:lang w:val="es-US"/>
        </w:rPr>
        <w:t>policial y disminuirá el sesgo en el control policial.</w:t>
      </w:r>
      <w:r w:rsidRPr="00930562">
        <w:rPr>
          <w:rFonts w:asciiTheme="majorHAnsi" w:hAnsiTheme="majorHAnsi"/>
          <w:vertAlign w:val="superscript"/>
          <w:lang w:val="es-US"/>
        </w:rPr>
        <w:footnoteReference w:id="400"/>
      </w:r>
      <w:r w:rsidRPr="00930562">
        <w:rPr>
          <w:rFonts w:asciiTheme="majorHAnsi" w:hAnsiTheme="majorHAnsi"/>
          <w:lang w:val="es-US"/>
        </w:rPr>
        <w:t xml:space="preserve"> Esto, en línea con las conclusiones del Grupo de Trabajo del Presidente </w:t>
      </w:r>
      <w:r w:rsidR="00BB4F54" w:rsidRPr="00930562">
        <w:rPr>
          <w:rFonts w:asciiTheme="majorHAnsi" w:hAnsiTheme="majorHAnsi"/>
          <w:lang w:val="es-US"/>
        </w:rPr>
        <w:t xml:space="preserve">Obama </w:t>
      </w:r>
      <w:r w:rsidRPr="00930562">
        <w:rPr>
          <w:rFonts w:asciiTheme="majorHAnsi" w:hAnsiTheme="majorHAnsi"/>
          <w:lang w:val="es-US"/>
        </w:rPr>
        <w:t>respecto de que "las personas son más propensas a obedecer la ley cu</w:t>
      </w:r>
      <w:r w:rsidR="00016213" w:rsidRPr="00930562">
        <w:rPr>
          <w:rFonts w:asciiTheme="majorHAnsi" w:hAnsiTheme="majorHAnsi"/>
          <w:lang w:val="es-US"/>
        </w:rPr>
        <w:t>a</w:t>
      </w:r>
      <w:r w:rsidRPr="00930562">
        <w:rPr>
          <w:rFonts w:asciiTheme="majorHAnsi" w:hAnsiTheme="majorHAnsi"/>
          <w:lang w:val="es-US"/>
        </w:rPr>
        <w:t>ndo creen que aquellos que la hacen cumplir poseen la autoridad legítima de decirles qué deben hacer [...] La sociedad otorga legitimidad sólo a aquellos a los que cree están actuando de forma procedimentalmente justa".</w:t>
      </w:r>
      <w:r w:rsidRPr="00930562">
        <w:rPr>
          <w:rFonts w:asciiTheme="majorHAnsi" w:hAnsiTheme="majorHAnsi"/>
          <w:vertAlign w:val="superscript"/>
          <w:lang w:val="es-US"/>
        </w:rPr>
        <w:footnoteReference w:id="401"/>
      </w:r>
      <w:r w:rsidRPr="00930562">
        <w:rPr>
          <w:rFonts w:asciiTheme="majorHAnsi" w:hAnsiTheme="majorHAnsi"/>
          <w:lang w:val="es-US"/>
        </w:rPr>
        <w:t xml:space="preserve"> </w:t>
      </w:r>
    </w:p>
    <w:p w14:paraId="722B42F0" w14:textId="4781B5CE"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eastAsia="Times New Roman" w:hAnsiTheme="majorHAnsi"/>
          <w:sz w:val="16"/>
          <w:szCs w:val="20"/>
          <w:lang w:val="es-US" w:eastAsia="es-ES"/>
        </w:rPr>
      </w:pPr>
      <w:r w:rsidRPr="00930562">
        <w:rPr>
          <w:rFonts w:asciiTheme="majorHAnsi" w:hAnsiTheme="majorHAnsi"/>
          <w:lang w:val="es-US"/>
        </w:rPr>
        <w:t>La Comisión también ha recibido información sobre las iniciativas de la Oficina de Servicios Policiales Orientados</w:t>
      </w:r>
      <w:r w:rsidRPr="00930562">
        <w:rPr>
          <w:rFonts w:asciiTheme="majorHAnsi" w:eastAsia="Times New Roman" w:hAnsiTheme="majorHAnsi"/>
          <w:szCs w:val="20"/>
          <w:lang w:val="es-US" w:eastAsia="es-ES"/>
        </w:rPr>
        <w:t xml:space="preserve"> a la Comunidad, entre otras, para promover la policía comunitaria y otras reformas policiales.</w:t>
      </w:r>
      <w:r w:rsidRPr="00930562">
        <w:rPr>
          <w:rFonts w:asciiTheme="majorHAnsi" w:eastAsia="Times New Roman" w:hAnsiTheme="majorHAnsi"/>
          <w:vertAlign w:val="superscript"/>
          <w:lang w:val="es-US" w:eastAsia="es-ES"/>
        </w:rPr>
        <w:footnoteReference w:id="402"/>
      </w:r>
      <w:r w:rsidRPr="00930562">
        <w:rPr>
          <w:rFonts w:asciiTheme="majorHAnsi" w:eastAsia="Times New Roman" w:hAnsiTheme="majorHAnsi"/>
          <w:szCs w:val="20"/>
          <w:lang w:val="es-US" w:eastAsia="es-ES"/>
        </w:rPr>
        <w:t xml:space="preserve"> La Comisión además recibió información de que en septiembre de 2017, el Fiscal General Jeff Sessions anunció cambios significativos a su Iniciativa de Reforma Colaborativa para el Programa de Asistencia Técnica, haciendo referencia a la "relación adversa entre el </w:t>
      </w:r>
      <w:r w:rsidR="002748AF" w:rsidRPr="00930562">
        <w:rPr>
          <w:rFonts w:asciiTheme="majorHAnsi" w:eastAsia="Times New Roman" w:hAnsiTheme="majorHAnsi"/>
          <w:szCs w:val="20"/>
          <w:lang w:val="es-US" w:eastAsia="es-ES"/>
        </w:rPr>
        <w:t xml:space="preserve">Departamento </w:t>
      </w:r>
      <w:r w:rsidRPr="00930562">
        <w:rPr>
          <w:rFonts w:asciiTheme="majorHAnsi" w:eastAsia="Times New Roman" w:hAnsiTheme="majorHAnsi"/>
          <w:szCs w:val="20"/>
          <w:lang w:val="es-US" w:eastAsia="es-ES"/>
        </w:rPr>
        <w:t xml:space="preserve">de Justicia y las agencias policiales participantes" </w:t>
      </w:r>
      <w:r w:rsidR="002748AF" w:rsidRPr="00930562">
        <w:rPr>
          <w:rFonts w:asciiTheme="majorHAnsi" w:eastAsia="Times New Roman" w:hAnsiTheme="majorHAnsi"/>
          <w:szCs w:val="20"/>
          <w:lang w:val="es-US" w:eastAsia="es-ES"/>
        </w:rPr>
        <w:t>generada a partir de</w:t>
      </w:r>
      <w:r w:rsidRPr="00930562">
        <w:rPr>
          <w:rFonts w:asciiTheme="majorHAnsi" w:eastAsia="Times New Roman" w:hAnsiTheme="majorHAnsi"/>
          <w:szCs w:val="20"/>
          <w:lang w:val="es-US" w:eastAsia="es-ES"/>
        </w:rPr>
        <w:t xml:space="preserve"> las investigaciones del </w:t>
      </w:r>
      <w:r w:rsidR="002748AF" w:rsidRPr="00930562">
        <w:rPr>
          <w:rFonts w:asciiTheme="majorHAnsi" w:eastAsia="Times New Roman" w:hAnsiTheme="majorHAnsi"/>
          <w:szCs w:val="20"/>
          <w:lang w:val="es-US" w:eastAsia="es-ES"/>
        </w:rPr>
        <w:t xml:space="preserve">Departamento </w:t>
      </w:r>
      <w:r w:rsidRPr="00930562">
        <w:rPr>
          <w:rFonts w:asciiTheme="majorHAnsi" w:eastAsia="Times New Roman" w:hAnsiTheme="majorHAnsi"/>
          <w:szCs w:val="20"/>
          <w:lang w:val="es-US" w:eastAsia="es-ES"/>
        </w:rPr>
        <w:t>de Justicia y demandas civiles.</w:t>
      </w:r>
      <w:r w:rsidRPr="00930562">
        <w:rPr>
          <w:rFonts w:asciiTheme="majorHAnsi" w:eastAsia="Times New Roman" w:hAnsiTheme="majorHAnsi"/>
          <w:vertAlign w:val="superscript"/>
          <w:lang w:val="es-US" w:eastAsia="es-ES"/>
        </w:rPr>
        <w:footnoteReference w:id="403"/>
      </w:r>
      <w:r w:rsidRPr="00930562">
        <w:rPr>
          <w:rFonts w:asciiTheme="majorHAnsi" w:eastAsia="Times New Roman" w:hAnsiTheme="majorHAnsi"/>
          <w:lang w:val="es-US" w:eastAsia="es-ES"/>
        </w:rPr>
        <w:t xml:space="preserve"> </w:t>
      </w:r>
      <w:r w:rsidRPr="00930562">
        <w:rPr>
          <w:rFonts w:asciiTheme="majorHAnsi" w:eastAsia="Times New Roman" w:hAnsiTheme="majorHAnsi"/>
          <w:szCs w:val="20"/>
          <w:lang w:val="es-US" w:eastAsia="es-ES"/>
        </w:rPr>
        <w:t xml:space="preserve"> Este programa previamente había proporcionado recursos a las agencias de control para abordar cuestiones de uso excesivo de la fuerza, vigilancia policial sesgada y malas relaciones entre la policía y la comunidad; tras los cambios anunciados, el programa ahora se enfocará en "buenas prácticas, reducción del delito y necesidades de campo según lo soliciten específicamente las agencias de control”.</w:t>
      </w:r>
      <w:r w:rsidRPr="00930562">
        <w:rPr>
          <w:rFonts w:asciiTheme="majorHAnsi" w:eastAsia="Times New Roman" w:hAnsiTheme="majorHAnsi"/>
          <w:vertAlign w:val="superscript"/>
          <w:lang w:val="es-US" w:eastAsia="es-ES"/>
        </w:rPr>
        <w:t xml:space="preserve"> </w:t>
      </w:r>
      <w:r w:rsidRPr="00930562">
        <w:rPr>
          <w:rFonts w:asciiTheme="majorHAnsi" w:eastAsia="Times New Roman" w:hAnsiTheme="majorHAnsi"/>
          <w:vertAlign w:val="superscript"/>
          <w:lang w:val="es-US" w:eastAsia="es-ES"/>
        </w:rPr>
        <w:footnoteReference w:id="404"/>
      </w:r>
    </w:p>
    <w:p w14:paraId="00B3E5C8" w14:textId="408DB012" w:rsidR="005B672D" w:rsidRPr="00930562" w:rsidRDefault="005B672D" w:rsidP="00724857">
      <w:pPr>
        <w:keepNext/>
        <w:keepLines/>
        <w:numPr>
          <w:ilvl w:val="0"/>
          <w:numId w:val="1"/>
        </w:numPr>
        <w:spacing w:before="480" w:after="360" w:line="240" w:lineRule="auto"/>
        <w:ind w:left="0" w:firstLine="0"/>
        <w:outlineLvl w:val="1"/>
        <w:rPr>
          <w:rFonts w:asciiTheme="majorHAnsi" w:eastAsiaTheme="majorEastAsia" w:hAnsiTheme="majorHAnsi" w:cstheme="majorBidi"/>
          <w:b/>
          <w:i/>
          <w:sz w:val="28"/>
          <w:lang w:val="es-US"/>
        </w:rPr>
      </w:pPr>
      <w:bookmarkStart w:id="172" w:name="_Toc517779249"/>
      <w:bookmarkStart w:id="173" w:name="_Toc531514480"/>
      <w:bookmarkStart w:id="174" w:name="_Toc511837828"/>
      <w:bookmarkStart w:id="175" w:name="_Toc511903001"/>
      <w:r w:rsidRPr="00930562">
        <w:rPr>
          <w:rFonts w:asciiTheme="majorHAnsi" w:eastAsiaTheme="majorEastAsia" w:hAnsiTheme="majorHAnsi" w:cstheme="majorBidi"/>
          <w:b/>
          <w:i/>
          <w:sz w:val="28"/>
          <w:lang w:val="es-US"/>
        </w:rPr>
        <w:lastRenderedPageBreak/>
        <w:t>Consideraciones de la Comisión</w:t>
      </w:r>
      <w:bookmarkEnd w:id="172"/>
      <w:bookmarkEnd w:id="173"/>
      <w:r w:rsidRPr="00930562">
        <w:rPr>
          <w:rFonts w:asciiTheme="majorHAnsi" w:eastAsiaTheme="majorEastAsia" w:hAnsiTheme="majorHAnsi" w:cstheme="majorBidi"/>
          <w:b/>
          <w:i/>
          <w:sz w:val="28"/>
          <w:lang w:val="es-US"/>
        </w:rPr>
        <w:t xml:space="preserve"> </w:t>
      </w:r>
      <w:bookmarkEnd w:id="174"/>
      <w:bookmarkEnd w:id="175"/>
    </w:p>
    <w:p w14:paraId="1082CF0C" w14:textId="1B09942F"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cs="Times"/>
          <w:szCs w:val="20"/>
          <w:lang w:val="es-US"/>
        </w:rPr>
        <w:t xml:space="preserve">Si bien las iniciativas estatales en los últimos años, incluido el trabajo del Grupo de Trabajo del </w:t>
      </w:r>
      <w:r w:rsidRPr="00930562">
        <w:rPr>
          <w:rFonts w:asciiTheme="majorHAnsi" w:hAnsiTheme="majorHAnsi"/>
          <w:lang w:val="es-US"/>
        </w:rPr>
        <w:t>Presidente</w:t>
      </w:r>
      <w:r w:rsidR="00601ED0" w:rsidRPr="00930562">
        <w:rPr>
          <w:rFonts w:asciiTheme="majorHAnsi" w:hAnsiTheme="majorHAnsi"/>
          <w:lang w:val="es-US"/>
        </w:rPr>
        <w:t xml:space="preserve"> Obama</w:t>
      </w:r>
      <w:r w:rsidRPr="00930562">
        <w:rPr>
          <w:rFonts w:asciiTheme="majorHAnsi" w:hAnsiTheme="majorHAnsi"/>
          <w:lang w:val="es-US"/>
        </w:rPr>
        <w:t xml:space="preserve"> sobre Control Policial del Siglo </w:t>
      </w:r>
      <w:r w:rsidR="00601ED0" w:rsidRPr="00930562">
        <w:rPr>
          <w:rFonts w:asciiTheme="majorHAnsi" w:hAnsiTheme="majorHAnsi"/>
          <w:lang w:val="es-US"/>
        </w:rPr>
        <w:t>XXI</w:t>
      </w:r>
      <w:r w:rsidR="008656BA" w:rsidRPr="00930562">
        <w:rPr>
          <w:rFonts w:asciiTheme="majorHAnsi" w:hAnsiTheme="majorHAnsi"/>
          <w:lang w:val="es-US"/>
        </w:rPr>
        <w:t xml:space="preserve"> </w:t>
      </w:r>
      <w:r w:rsidRPr="00930562">
        <w:rPr>
          <w:rFonts w:asciiTheme="majorHAnsi" w:hAnsiTheme="majorHAnsi"/>
          <w:lang w:val="es-US"/>
        </w:rPr>
        <w:t xml:space="preserve">y las investigaciones de los departamentos policiales de la División de Derechos Civiles del </w:t>
      </w:r>
      <w:r w:rsidR="008656BA" w:rsidRPr="00930562">
        <w:rPr>
          <w:rFonts w:asciiTheme="majorHAnsi" w:hAnsiTheme="majorHAnsi"/>
          <w:lang w:val="es-US"/>
        </w:rPr>
        <w:t xml:space="preserve">Departamento </w:t>
      </w:r>
      <w:r w:rsidRPr="00930562">
        <w:rPr>
          <w:rFonts w:asciiTheme="majorHAnsi" w:hAnsiTheme="majorHAnsi"/>
          <w:lang w:val="es-US"/>
        </w:rPr>
        <w:t>de Justicia, entre otros, han mostrado voluntad política positiva para abordar los problemas descritos en este informe, la Comisión observa con preocupación las recientes prácticas adoptadas en el área del control policial, las cuales a su entender podrían poner en peligro el pleno goce de los derechos humanos de los afroamericanos y otros grupos históricamente marginados en los Estados Unidos.</w:t>
      </w:r>
    </w:p>
    <w:p w14:paraId="054DCB57" w14:textId="6684CF33"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 xml:space="preserve">En primer lugar, a la Comisión le preocupa la posición adoptada por el </w:t>
      </w:r>
      <w:r w:rsidR="008656BA" w:rsidRPr="00930562">
        <w:rPr>
          <w:rFonts w:asciiTheme="majorHAnsi" w:hAnsiTheme="majorHAnsi"/>
          <w:lang w:val="es-US"/>
        </w:rPr>
        <w:t>P</w:t>
      </w:r>
      <w:r w:rsidRPr="00930562">
        <w:rPr>
          <w:rFonts w:asciiTheme="majorHAnsi" w:hAnsiTheme="majorHAnsi"/>
          <w:lang w:val="es-US"/>
        </w:rPr>
        <w:t xml:space="preserve">oder </w:t>
      </w:r>
      <w:r w:rsidR="008656BA" w:rsidRPr="00930562">
        <w:rPr>
          <w:rFonts w:asciiTheme="majorHAnsi" w:hAnsiTheme="majorHAnsi"/>
          <w:lang w:val="es-US"/>
        </w:rPr>
        <w:t>E</w:t>
      </w:r>
      <w:r w:rsidRPr="00930562">
        <w:rPr>
          <w:rFonts w:asciiTheme="majorHAnsi" w:hAnsiTheme="majorHAnsi"/>
          <w:lang w:val="es-US"/>
        </w:rPr>
        <w:t xml:space="preserve">jecutivo de reducir la supervisión federal de la policía. El 20 de enero de 2017,  día en que el </w:t>
      </w:r>
      <w:r w:rsidR="008656BA" w:rsidRPr="00930562">
        <w:rPr>
          <w:rFonts w:asciiTheme="majorHAnsi" w:hAnsiTheme="majorHAnsi"/>
          <w:lang w:val="es-US"/>
        </w:rPr>
        <w:t>P</w:t>
      </w:r>
      <w:r w:rsidRPr="00930562">
        <w:rPr>
          <w:rFonts w:asciiTheme="majorHAnsi" w:hAnsiTheme="majorHAnsi"/>
          <w:lang w:val="es-US"/>
        </w:rPr>
        <w:t>residente Trump asumió el cargo, la Casa Blanca emitió una declaración considerando que "la peligrosa atmósfera en contra de la policía en Estados Unidos es nociva" y anunció la promesa de "darle un fin".</w:t>
      </w:r>
      <w:r w:rsidRPr="00930562">
        <w:rPr>
          <w:rFonts w:asciiTheme="majorHAnsi" w:hAnsiTheme="majorHAnsi"/>
          <w:vertAlign w:val="superscript"/>
          <w:lang w:val="es-US"/>
        </w:rPr>
        <w:footnoteReference w:id="405"/>
      </w:r>
      <w:r w:rsidRPr="00930562">
        <w:rPr>
          <w:rFonts w:asciiTheme="majorHAnsi" w:hAnsiTheme="majorHAnsi"/>
          <w:lang w:val="es-US"/>
        </w:rPr>
        <w:t xml:space="preserve"> En abril, el Fiscal General Jeff Sessions anunció una política para "retirar" demandas e investigaciones de derechos civiles contra la policía, </w:t>
      </w:r>
      <w:r w:rsidR="008656BA" w:rsidRPr="00930562">
        <w:rPr>
          <w:rFonts w:asciiTheme="majorHAnsi" w:hAnsiTheme="majorHAnsi"/>
          <w:lang w:val="es-US"/>
        </w:rPr>
        <w:t>a pesar de</w:t>
      </w:r>
      <w:r w:rsidRPr="00930562">
        <w:rPr>
          <w:rFonts w:asciiTheme="majorHAnsi" w:hAnsiTheme="majorHAnsi"/>
          <w:lang w:val="es-US"/>
        </w:rPr>
        <w:t xml:space="preserve"> la evidencia de prejuicios sistemáticos, </w:t>
      </w:r>
      <w:r w:rsidRPr="00930562">
        <w:rPr>
          <w:rFonts w:asciiTheme="majorHAnsi" w:hAnsiTheme="majorHAnsi"/>
          <w:vertAlign w:val="superscript"/>
          <w:lang w:val="es-US"/>
        </w:rPr>
        <w:footnoteReference w:id="406"/>
      </w:r>
      <w:r w:rsidRPr="00930562">
        <w:rPr>
          <w:rFonts w:asciiTheme="majorHAnsi" w:hAnsiTheme="majorHAnsi"/>
          <w:lang w:val="es-US"/>
        </w:rPr>
        <w:t xml:space="preserve"> llamando al "control </w:t>
      </w:r>
      <w:r w:rsidR="008656BA" w:rsidRPr="00930562">
        <w:rPr>
          <w:rFonts w:asciiTheme="majorHAnsi" w:hAnsiTheme="majorHAnsi"/>
          <w:lang w:val="es-US"/>
        </w:rPr>
        <w:t xml:space="preserve">policial </w:t>
      </w:r>
      <w:r w:rsidRPr="00930562">
        <w:rPr>
          <w:rFonts w:asciiTheme="majorHAnsi" w:hAnsiTheme="majorHAnsi"/>
          <w:lang w:val="es-US"/>
        </w:rPr>
        <w:t>proactivo" y el fin de "intromisiones federales dañinas en el trabajo diario de la policía local".</w:t>
      </w:r>
      <w:r w:rsidRPr="00930562">
        <w:rPr>
          <w:rFonts w:asciiTheme="majorHAnsi" w:hAnsiTheme="majorHAnsi"/>
          <w:vertAlign w:val="superscript"/>
          <w:lang w:val="es-US"/>
        </w:rPr>
        <w:footnoteReference w:id="407"/>
      </w:r>
    </w:p>
    <w:p w14:paraId="147E8EA1" w14:textId="5DC7F302"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lang w:val="es-US"/>
        </w:rPr>
        <w:t xml:space="preserve">Información recibida por la Comisión durante su 166º período de sesiones de diciembre de 2017 indica que el </w:t>
      </w:r>
      <w:r w:rsidR="00886315" w:rsidRPr="00930562">
        <w:rPr>
          <w:rFonts w:asciiTheme="majorHAnsi" w:hAnsiTheme="majorHAnsi"/>
          <w:lang w:val="es-US"/>
        </w:rPr>
        <w:t xml:space="preserve">Departamento </w:t>
      </w:r>
      <w:r w:rsidRPr="00930562">
        <w:rPr>
          <w:rFonts w:asciiTheme="majorHAnsi" w:hAnsiTheme="majorHAnsi"/>
          <w:lang w:val="es-US"/>
        </w:rPr>
        <w:t>de Justicia podría estar efectivamente "retrocediendo" en la aplicación de las leyes que está obligado a hacer cumplir.</w:t>
      </w:r>
      <w:r w:rsidRPr="00930562">
        <w:rPr>
          <w:rFonts w:asciiTheme="majorHAnsi" w:hAnsiTheme="majorHAnsi"/>
          <w:vertAlign w:val="superscript"/>
          <w:lang w:val="es-US"/>
        </w:rPr>
        <w:footnoteReference w:id="408"/>
      </w:r>
      <w:r w:rsidRPr="00930562">
        <w:rPr>
          <w:rFonts w:asciiTheme="majorHAnsi" w:hAnsiTheme="majorHAnsi"/>
          <w:lang w:val="es-US"/>
        </w:rPr>
        <w:t xml:space="preserve"> La Comisión recibió información de que el </w:t>
      </w:r>
      <w:r w:rsidR="00886315" w:rsidRPr="00930562">
        <w:rPr>
          <w:rFonts w:asciiTheme="majorHAnsi" w:hAnsiTheme="majorHAnsi"/>
          <w:lang w:val="es-US"/>
        </w:rPr>
        <w:t xml:space="preserve">Departamento </w:t>
      </w:r>
      <w:r w:rsidRPr="00930562">
        <w:rPr>
          <w:rFonts w:asciiTheme="majorHAnsi" w:hAnsiTheme="majorHAnsi"/>
          <w:lang w:val="es-US"/>
        </w:rPr>
        <w:t xml:space="preserve">ha estado revisando sus procedimientos de abordaje de casos de mal comportamiento policial para permitir acuerdos de </w:t>
      </w:r>
      <w:r w:rsidR="00886315" w:rsidRPr="00930562">
        <w:rPr>
          <w:rFonts w:asciiTheme="majorHAnsi" w:hAnsiTheme="majorHAnsi"/>
          <w:lang w:val="es-US"/>
        </w:rPr>
        <w:t xml:space="preserve">revisión </w:t>
      </w:r>
      <w:r w:rsidRPr="00930562">
        <w:rPr>
          <w:rFonts w:asciiTheme="majorHAnsi" w:hAnsiTheme="majorHAnsi"/>
          <w:lang w:val="es-US"/>
        </w:rPr>
        <w:t>de</w:t>
      </w:r>
      <w:r w:rsidR="00886315" w:rsidRPr="00930562">
        <w:rPr>
          <w:rFonts w:asciiTheme="majorHAnsi" w:hAnsiTheme="majorHAnsi"/>
          <w:lang w:val="es-US"/>
        </w:rPr>
        <w:t>l</w:t>
      </w:r>
      <w:r w:rsidRPr="00930562">
        <w:rPr>
          <w:rFonts w:asciiTheme="majorHAnsi" w:hAnsiTheme="majorHAnsi"/>
          <w:lang w:val="es-US"/>
        </w:rPr>
        <w:t xml:space="preserve"> más alto nivel entre la División de Derechos Civiles</w:t>
      </w:r>
      <w:r w:rsidRPr="00930562">
        <w:rPr>
          <w:rFonts w:asciiTheme="majorHAnsi" w:hAnsiTheme="majorHAnsi"/>
          <w:szCs w:val="20"/>
          <w:lang w:val="es-US"/>
        </w:rPr>
        <w:t xml:space="preserve"> del </w:t>
      </w:r>
      <w:r w:rsidR="00886315" w:rsidRPr="00930562">
        <w:rPr>
          <w:rFonts w:asciiTheme="majorHAnsi" w:hAnsiTheme="majorHAnsi"/>
          <w:szCs w:val="20"/>
          <w:lang w:val="es-US"/>
        </w:rPr>
        <w:t xml:space="preserve">Departamento </w:t>
      </w:r>
      <w:r w:rsidRPr="00930562">
        <w:rPr>
          <w:rFonts w:asciiTheme="majorHAnsi" w:hAnsiTheme="majorHAnsi"/>
          <w:szCs w:val="20"/>
          <w:lang w:val="es-US"/>
        </w:rPr>
        <w:t xml:space="preserve">de Justicia y los departamentos policiales por parte de representantes del </w:t>
      </w:r>
      <w:r w:rsidRPr="00930562">
        <w:rPr>
          <w:rFonts w:asciiTheme="majorHAnsi" w:hAnsiTheme="majorHAnsi"/>
          <w:szCs w:val="20"/>
          <w:lang w:val="es-US"/>
        </w:rPr>
        <w:lastRenderedPageBreak/>
        <w:t>Procurador General,</w:t>
      </w:r>
      <w:r w:rsidRPr="00930562">
        <w:rPr>
          <w:rFonts w:asciiTheme="majorHAnsi" w:hAnsiTheme="majorHAnsi"/>
          <w:sz w:val="14"/>
          <w:szCs w:val="20"/>
          <w:lang w:val="es-US"/>
        </w:rPr>
        <w:t xml:space="preserve"> </w:t>
      </w:r>
      <w:r w:rsidRPr="00930562">
        <w:rPr>
          <w:rFonts w:asciiTheme="majorHAnsi" w:hAnsiTheme="majorHAnsi"/>
          <w:vertAlign w:val="superscript"/>
          <w:lang w:val="es-US"/>
        </w:rPr>
        <w:footnoteReference w:id="409"/>
      </w:r>
      <w:r w:rsidRPr="00930562">
        <w:rPr>
          <w:rFonts w:asciiTheme="majorHAnsi" w:hAnsiTheme="majorHAnsi"/>
          <w:szCs w:val="20"/>
          <w:lang w:val="es-US"/>
        </w:rPr>
        <w:t xml:space="preserve">  lo cual ha provocado preocupación de grupos de la sociedad civil que ven que la actual administración está tratando de modificar o deshacer decretos de consentimiento existentes previamente negociados con los municipios para abordar violaciones constitucionales ya </w:t>
      </w:r>
      <w:r w:rsidR="00886315" w:rsidRPr="00930562">
        <w:rPr>
          <w:rFonts w:asciiTheme="majorHAnsi" w:hAnsiTheme="majorHAnsi"/>
          <w:szCs w:val="20"/>
          <w:lang w:val="es-US"/>
        </w:rPr>
        <w:t xml:space="preserve">encontradas </w:t>
      </w:r>
      <w:r w:rsidRPr="00930562">
        <w:rPr>
          <w:rFonts w:asciiTheme="majorHAnsi" w:hAnsiTheme="majorHAnsi"/>
          <w:szCs w:val="20"/>
          <w:lang w:val="es-US"/>
        </w:rPr>
        <w:t xml:space="preserve">por el </w:t>
      </w:r>
      <w:r w:rsidR="00886315" w:rsidRPr="00930562">
        <w:rPr>
          <w:rFonts w:asciiTheme="majorHAnsi" w:hAnsiTheme="majorHAnsi"/>
          <w:szCs w:val="20"/>
          <w:lang w:val="es-US"/>
        </w:rPr>
        <w:t xml:space="preserve">Departamento </w:t>
      </w:r>
      <w:r w:rsidRPr="00930562">
        <w:rPr>
          <w:rFonts w:asciiTheme="majorHAnsi" w:hAnsiTheme="majorHAnsi"/>
          <w:szCs w:val="20"/>
          <w:lang w:val="es-US"/>
        </w:rPr>
        <w:t>de Justicia.</w:t>
      </w:r>
      <w:r w:rsidRPr="00930562">
        <w:rPr>
          <w:rFonts w:asciiTheme="majorHAnsi" w:hAnsiTheme="majorHAnsi"/>
          <w:vertAlign w:val="superscript"/>
          <w:lang w:val="es-US"/>
        </w:rPr>
        <w:footnoteReference w:id="410"/>
      </w:r>
      <w:r w:rsidRPr="00930562">
        <w:rPr>
          <w:rFonts w:asciiTheme="majorHAnsi" w:hAnsiTheme="majorHAnsi"/>
          <w:vertAlign w:val="superscript"/>
          <w:lang w:val="es-US"/>
        </w:rPr>
        <w:t xml:space="preserve"> </w:t>
      </w:r>
      <w:r w:rsidRPr="00930562">
        <w:rPr>
          <w:rFonts w:asciiTheme="majorHAnsi" w:hAnsiTheme="majorHAnsi"/>
          <w:szCs w:val="20"/>
          <w:lang w:val="es-US"/>
        </w:rPr>
        <w:t xml:space="preserve">Tras el anuncio de este cambio de política, el </w:t>
      </w:r>
      <w:r w:rsidR="00886315" w:rsidRPr="00930562">
        <w:rPr>
          <w:rFonts w:asciiTheme="majorHAnsi" w:hAnsiTheme="majorHAnsi"/>
          <w:szCs w:val="20"/>
          <w:lang w:val="es-US"/>
        </w:rPr>
        <w:t xml:space="preserve">Departamento </w:t>
      </w:r>
      <w:r w:rsidRPr="00930562">
        <w:rPr>
          <w:rFonts w:asciiTheme="majorHAnsi" w:hAnsiTheme="majorHAnsi"/>
          <w:szCs w:val="20"/>
          <w:lang w:val="es-US"/>
        </w:rPr>
        <w:t>intentó posponer la implementación de un decreto de consentimiento en Baltimore, a pesar del apoyo</w:t>
      </w:r>
      <w:r w:rsidR="00886315" w:rsidRPr="00930562">
        <w:rPr>
          <w:rFonts w:asciiTheme="majorHAnsi" w:hAnsiTheme="majorHAnsi"/>
          <w:szCs w:val="20"/>
          <w:lang w:val="es-US"/>
        </w:rPr>
        <w:t xml:space="preserve"> propio</w:t>
      </w:r>
      <w:r w:rsidRPr="00930562">
        <w:rPr>
          <w:rFonts w:asciiTheme="majorHAnsi" w:hAnsiTheme="majorHAnsi"/>
          <w:szCs w:val="20"/>
          <w:lang w:val="es-US"/>
        </w:rPr>
        <w:t xml:space="preserve"> de la ciudad para la medida,</w:t>
      </w:r>
      <w:r w:rsidRPr="00930562">
        <w:rPr>
          <w:rFonts w:asciiTheme="majorHAnsi" w:hAnsiTheme="majorHAnsi"/>
          <w:vertAlign w:val="superscript"/>
          <w:lang w:val="es-US"/>
        </w:rPr>
        <w:t xml:space="preserve"> </w:t>
      </w:r>
      <w:r w:rsidRPr="00930562">
        <w:rPr>
          <w:rFonts w:asciiTheme="majorHAnsi" w:hAnsiTheme="majorHAnsi"/>
          <w:vertAlign w:val="superscript"/>
          <w:lang w:val="es-US"/>
        </w:rPr>
        <w:footnoteReference w:id="411"/>
      </w:r>
      <w:r w:rsidRPr="00930562">
        <w:rPr>
          <w:rFonts w:asciiTheme="majorHAnsi" w:hAnsiTheme="majorHAnsi"/>
          <w:szCs w:val="20"/>
          <w:lang w:val="es-US"/>
        </w:rPr>
        <w:t xml:space="preserve"> y aceptó la decisión de Chicago de abandonar el proceso de decreto de consentimiento,</w:t>
      </w:r>
      <w:r w:rsidRPr="00930562">
        <w:rPr>
          <w:rFonts w:asciiTheme="majorHAnsi" w:hAnsiTheme="majorHAnsi"/>
          <w:vertAlign w:val="superscript"/>
          <w:lang w:val="es-US"/>
        </w:rPr>
        <w:footnoteReference w:id="412"/>
      </w:r>
      <w:r w:rsidRPr="00930562">
        <w:rPr>
          <w:rFonts w:asciiTheme="majorHAnsi" w:hAnsiTheme="majorHAnsi"/>
          <w:szCs w:val="20"/>
          <w:lang w:val="es-US"/>
        </w:rPr>
        <w:t xml:space="preserve"> a pesar de la evidencia reunida por el </w:t>
      </w:r>
      <w:r w:rsidR="00886315" w:rsidRPr="00930562">
        <w:rPr>
          <w:rFonts w:asciiTheme="majorHAnsi" w:hAnsiTheme="majorHAnsi"/>
          <w:szCs w:val="20"/>
          <w:lang w:val="es-US"/>
        </w:rPr>
        <w:t xml:space="preserve">Departamento </w:t>
      </w:r>
      <w:r w:rsidRPr="00930562">
        <w:rPr>
          <w:rFonts w:asciiTheme="majorHAnsi" w:hAnsiTheme="majorHAnsi"/>
          <w:szCs w:val="20"/>
          <w:lang w:val="es-US"/>
        </w:rPr>
        <w:t>acerca de  que esos departamentos de policía habían actuado bajo un patrón de discriminación que perjudicaba la seguridad y los derechos civiles de sus residentes.</w:t>
      </w:r>
      <w:r w:rsidRPr="00930562">
        <w:rPr>
          <w:rFonts w:asciiTheme="majorHAnsi" w:hAnsiTheme="majorHAnsi"/>
          <w:vertAlign w:val="superscript"/>
          <w:lang w:val="es-US"/>
        </w:rPr>
        <w:footnoteReference w:id="413"/>
      </w:r>
      <w:r w:rsidRPr="00930562">
        <w:rPr>
          <w:rFonts w:asciiTheme="majorHAnsi" w:hAnsiTheme="majorHAnsi"/>
          <w:szCs w:val="20"/>
          <w:lang w:val="es-US"/>
        </w:rPr>
        <w:t xml:space="preserve"> En general, la Comisión ha recibido informes que revierten gran preocupación de que el </w:t>
      </w:r>
      <w:r w:rsidR="00886315" w:rsidRPr="00930562">
        <w:rPr>
          <w:rFonts w:asciiTheme="majorHAnsi" w:hAnsiTheme="majorHAnsi"/>
          <w:szCs w:val="20"/>
          <w:lang w:val="es-US"/>
        </w:rPr>
        <w:t xml:space="preserve">Departamento </w:t>
      </w:r>
      <w:r w:rsidRPr="00930562">
        <w:rPr>
          <w:rFonts w:asciiTheme="majorHAnsi" w:hAnsiTheme="majorHAnsi"/>
          <w:szCs w:val="20"/>
          <w:lang w:val="es-US"/>
        </w:rPr>
        <w:t>de Justicia podría estar desmantelando estructuras fundamentales y abandonando herramientas que ha utilizado durante décadas para proteger a las personas de la brutalidad y la discriminación policial.</w:t>
      </w:r>
      <w:r w:rsidRPr="00930562">
        <w:rPr>
          <w:rFonts w:asciiTheme="majorHAnsi" w:hAnsiTheme="majorHAnsi"/>
          <w:vertAlign w:val="superscript"/>
          <w:lang w:val="es-US"/>
        </w:rPr>
        <w:footnoteReference w:id="414"/>
      </w:r>
    </w:p>
    <w:p w14:paraId="5632734B" w14:textId="466BA853"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hAnsiTheme="majorHAnsi"/>
          <w:lang w:val="es-US"/>
        </w:rPr>
      </w:pPr>
      <w:bookmarkStart w:id="176" w:name="_Ref507405452"/>
      <w:r w:rsidRPr="00930562">
        <w:rPr>
          <w:rFonts w:asciiTheme="majorHAnsi" w:hAnsiTheme="majorHAnsi" w:cs="Times"/>
          <w:szCs w:val="20"/>
          <w:lang w:val="es-US"/>
        </w:rPr>
        <w:t xml:space="preserve">En segundo lugar, a Comisión considera negativa la decisión del Presidente de revocar, mediante un </w:t>
      </w:r>
      <w:r w:rsidR="00AC4091" w:rsidRPr="00930562">
        <w:rPr>
          <w:rFonts w:asciiTheme="majorHAnsi" w:hAnsiTheme="majorHAnsi"/>
          <w:lang w:val="es-US"/>
        </w:rPr>
        <w:t>D</w:t>
      </w:r>
      <w:r w:rsidRPr="00930562">
        <w:rPr>
          <w:rFonts w:asciiTheme="majorHAnsi" w:hAnsiTheme="majorHAnsi"/>
          <w:lang w:val="es-US"/>
        </w:rPr>
        <w:t xml:space="preserve">ecreto </w:t>
      </w:r>
      <w:r w:rsidR="00AC4091" w:rsidRPr="00930562">
        <w:rPr>
          <w:rFonts w:asciiTheme="majorHAnsi" w:hAnsiTheme="majorHAnsi"/>
          <w:lang w:val="es-US"/>
        </w:rPr>
        <w:t>E</w:t>
      </w:r>
      <w:r w:rsidRPr="00930562">
        <w:rPr>
          <w:rFonts w:asciiTheme="majorHAnsi" w:hAnsiTheme="majorHAnsi"/>
          <w:lang w:val="es-US"/>
        </w:rPr>
        <w:t>jecutivo, la medida previa que prohibía la venta de equipo militar excedente a los departamentos policiales locales</w:t>
      </w:r>
      <w:r w:rsidR="00AC4091" w:rsidRPr="00930562">
        <w:rPr>
          <w:rFonts w:asciiTheme="majorHAnsi" w:hAnsiTheme="majorHAnsi"/>
          <w:lang w:val="es-US"/>
        </w:rPr>
        <w:t xml:space="preserve">, </w:t>
      </w:r>
      <w:r w:rsidR="00453A38" w:rsidRPr="00930562">
        <w:rPr>
          <w:rFonts w:asciiTheme="majorHAnsi" w:hAnsiTheme="majorHAnsi"/>
          <w:lang w:val="es-US"/>
        </w:rPr>
        <w:t>dado que</w:t>
      </w:r>
      <w:r w:rsidR="00AC4091" w:rsidRPr="00930562">
        <w:rPr>
          <w:rFonts w:asciiTheme="majorHAnsi" w:hAnsiTheme="majorHAnsi"/>
          <w:lang w:val="es-US"/>
        </w:rPr>
        <w:t xml:space="preserve"> consider</w:t>
      </w:r>
      <w:r w:rsidR="00453A38" w:rsidRPr="00930562">
        <w:rPr>
          <w:rFonts w:asciiTheme="majorHAnsi" w:hAnsiTheme="majorHAnsi"/>
          <w:lang w:val="es-US"/>
        </w:rPr>
        <w:t>aba</w:t>
      </w:r>
      <w:r w:rsidR="00AC4091" w:rsidRPr="00930562">
        <w:rPr>
          <w:rFonts w:asciiTheme="majorHAnsi" w:hAnsiTheme="majorHAnsi"/>
          <w:lang w:val="es-US"/>
        </w:rPr>
        <w:t xml:space="preserve"> esto como negativo y</w:t>
      </w:r>
      <w:r w:rsidRPr="00930562">
        <w:rPr>
          <w:rFonts w:asciiTheme="majorHAnsi" w:hAnsiTheme="majorHAnsi"/>
          <w:lang w:val="es-US"/>
        </w:rPr>
        <w:t xml:space="preserve"> </w:t>
      </w:r>
      <w:r w:rsidR="00AC4091" w:rsidRPr="00930562">
        <w:rPr>
          <w:rFonts w:asciiTheme="majorHAnsi" w:hAnsiTheme="majorHAnsi"/>
          <w:lang w:val="es-US"/>
        </w:rPr>
        <w:t>y planteaba</w:t>
      </w:r>
      <w:r w:rsidRPr="00930562">
        <w:rPr>
          <w:rFonts w:asciiTheme="majorHAnsi" w:hAnsiTheme="majorHAnsi"/>
          <w:lang w:val="es-US"/>
        </w:rPr>
        <w:t xml:space="preserve"> un riesgo para los derechos básicos.</w:t>
      </w:r>
      <w:r w:rsidRPr="00930562">
        <w:rPr>
          <w:rFonts w:asciiTheme="majorHAnsi" w:hAnsiTheme="majorHAnsi"/>
          <w:vertAlign w:val="superscript"/>
          <w:lang w:val="es-US"/>
        </w:rPr>
        <w:footnoteReference w:id="415"/>
      </w:r>
      <w:bookmarkEnd w:id="176"/>
      <w:r w:rsidRPr="00930562">
        <w:rPr>
          <w:rFonts w:asciiTheme="majorHAnsi" w:hAnsiTheme="majorHAnsi"/>
          <w:lang w:val="es-US"/>
        </w:rPr>
        <w:t xml:space="preserve"> </w:t>
      </w:r>
    </w:p>
    <w:p w14:paraId="687DDA4D" w14:textId="21FB83D5" w:rsidR="005B672D" w:rsidRPr="00930562" w:rsidRDefault="005B672D" w:rsidP="00724857">
      <w:pPr>
        <w:pStyle w:val="ListParagraph"/>
        <w:numPr>
          <w:ilvl w:val="0"/>
          <w:numId w:val="2"/>
        </w:numPr>
        <w:spacing w:after="240" w:line="240" w:lineRule="auto"/>
        <w:ind w:left="547" w:hanging="547"/>
        <w:contextualSpacing w:val="0"/>
        <w:jc w:val="both"/>
        <w:rPr>
          <w:rFonts w:asciiTheme="majorHAnsi" w:eastAsia="Times New Roman" w:hAnsiTheme="majorHAnsi"/>
          <w:szCs w:val="20"/>
          <w:lang w:val="es-US" w:eastAsia="es-ES"/>
        </w:rPr>
      </w:pPr>
      <w:r w:rsidRPr="00930562">
        <w:rPr>
          <w:rFonts w:asciiTheme="majorHAnsi" w:hAnsiTheme="majorHAnsi"/>
          <w:lang w:val="es-US"/>
        </w:rPr>
        <w:t xml:space="preserve">Como se señaló anteriormente, el </w:t>
      </w:r>
      <w:r w:rsidR="008D6106" w:rsidRPr="00930562">
        <w:rPr>
          <w:rFonts w:asciiTheme="majorHAnsi" w:hAnsiTheme="majorHAnsi"/>
          <w:lang w:val="es-US"/>
        </w:rPr>
        <w:t xml:space="preserve">Departamento </w:t>
      </w:r>
      <w:r w:rsidRPr="00930562">
        <w:rPr>
          <w:rFonts w:asciiTheme="majorHAnsi" w:hAnsiTheme="majorHAnsi"/>
          <w:lang w:val="es-US"/>
        </w:rPr>
        <w:t>de Justicia publicó una nueva guía sobre perfil</w:t>
      </w:r>
      <w:r w:rsidR="00746487" w:rsidRPr="00930562">
        <w:rPr>
          <w:rFonts w:asciiTheme="majorHAnsi" w:hAnsiTheme="majorHAnsi"/>
          <w:lang w:val="es-US"/>
        </w:rPr>
        <w:t>amiento racial</w:t>
      </w:r>
      <w:r w:rsidRPr="00930562">
        <w:rPr>
          <w:rFonts w:asciiTheme="majorHAnsi" w:hAnsiTheme="majorHAnsi"/>
          <w:lang w:val="es-US"/>
        </w:rPr>
        <w:t xml:space="preserve"> en 2014,</w:t>
      </w:r>
      <w:r w:rsidRPr="00930562">
        <w:rPr>
          <w:rFonts w:asciiTheme="majorHAnsi" w:hAnsiTheme="majorHAnsi"/>
          <w:vertAlign w:val="superscript"/>
          <w:lang w:val="es-US"/>
        </w:rPr>
        <w:footnoteReference w:id="416"/>
      </w:r>
      <w:r w:rsidRPr="00930562">
        <w:rPr>
          <w:rFonts w:asciiTheme="majorHAnsi" w:hAnsiTheme="majorHAnsi"/>
          <w:lang w:val="es-US"/>
        </w:rPr>
        <w:t xml:space="preserve"> una medida que los </w:t>
      </w:r>
      <w:r w:rsidRPr="00930562">
        <w:rPr>
          <w:rFonts w:asciiTheme="majorHAnsi" w:hAnsiTheme="majorHAnsi"/>
          <w:lang w:val="es-US"/>
        </w:rPr>
        <w:lastRenderedPageBreak/>
        <w:t xml:space="preserve">grupos de derechos humanos habían pedido durante mucho tiempo que incluía corregir </w:t>
      </w:r>
      <w:r w:rsidR="008D6106" w:rsidRPr="00930562">
        <w:rPr>
          <w:rFonts w:asciiTheme="majorHAnsi" w:hAnsiTheme="majorHAnsi"/>
          <w:lang w:val="es-US"/>
        </w:rPr>
        <w:t xml:space="preserve">el borrador poco detallado de </w:t>
      </w:r>
      <w:r w:rsidRPr="00930562">
        <w:rPr>
          <w:rFonts w:asciiTheme="majorHAnsi" w:hAnsiTheme="majorHAnsi"/>
          <w:lang w:val="es-US"/>
        </w:rPr>
        <w:t>la guía de 2003, para proporcionar orientación y mejorar la supervisión de los departamentos policiales locales.</w:t>
      </w:r>
      <w:r w:rsidRPr="00930562">
        <w:rPr>
          <w:rFonts w:asciiTheme="majorHAnsi" w:hAnsiTheme="majorHAnsi"/>
          <w:vertAlign w:val="superscript"/>
          <w:lang w:val="es-US"/>
        </w:rPr>
        <w:footnoteReference w:id="417"/>
      </w:r>
      <w:r w:rsidRPr="00930562">
        <w:rPr>
          <w:rFonts w:asciiTheme="majorHAnsi" w:hAnsiTheme="majorHAnsi"/>
          <w:lang w:val="es-US"/>
        </w:rPr>
        <w:t xml:space="preserve"> Entre otras cosas, esta nueva guía amplió la protección de los perfiles raciales sobre la base de la religión y el origen nacional, como había solicitado el Comité de Derechos Humanos de Naciones Unidas,</w:t>
      </w:r>
      <w:r w:rsidRPr="00930562">
        <w:rPr>
          <w:rFonts w:asciiTheme="majorHAnsi" w:eastAsia="Times New Roman" w:hAnsiTheme="majorHAnsi"/>
          <w:szCs w:val="20"/>
          <w:lang w:val="es-US" w:eastAsia="es-ES"/>
        </w:rPr>
        <w:t xml:space="preserve"> entre otros.</w:t>
      </w:r>
      <w:r w:rsidRPr="00930562">
        <w:rPr>
          <w:rFonts w:asciiTheme="majorHAnsi" w:eastAsia="Times New Roman" w:hAnsiTheme="majorHAnsi"/>
          <w:vertAlign w:val="superscript"/>
          <w:lang w:val="es-US" w:eastAsia="es-ES"/>
        </w:rPr>
        <w:footnoteReference w:id="418"/>
      </w:r>
      <w:r w:rsidRPr="00930562">
        <w:rPr>
          <w:rFonts w:asciiTheme="majorHAnsi" w:eastAsia="Times New Roman" w:hAnsiTheme="majorHAnsi"/>
          <w:szCs w:val="20"/>
          <w:lang w:val="es-US" w:eastAsia="es-ES"/>
        </w:rPr>
        <w:t xml:space="preserve"> Sin embargo, la Comisión observa que esta nueva guía recibió importantes críticas por parte de grupos de la sociedad civil p</w:t>
      </w:r>
      <w:r w:rsidR="00746487" w:rsidRPr="00930562">
        <w:rPr>
          <w:rFonts w:asciiTheme="majorHAnsi" w:eastAsia="Times New Roman" w:hAnsiTheme="majorHAnsi"/>
          <w:szCs w:val="20"/>
          <w:lang w:val="es-US" w:eastAsia="es-ES"/>
        </w:rPr>
        <w:t>or</w:t>
      </w:r>
      <w:r w:rsidRPr="00930562">
        <w:rPr>
          <w:rFonts w:asciiTheme="majorHAnsi" w:eastAsia="Times New Roman" w:hAnsiTheme="majorHAnsi"/>
          <w:szCs w:val="20"/>
          <w:lang w:val="es-US" w:eastAsia="es-ES"/>
        </w:rPr>
        <w:t xml:space="preserve"> proporcionar salvaguardas considerables para permitir la discriminación racial por parte de la Administración de Seguridad del Transporte (TSA</w:t>
      </w:r>
      <w:r w:rsidR="008D6106" w:rsidRPr="00930562">
        <w:rPr>
          <w:rFonts w:asciiTheme="majorHAnsi" w:eastAsia="Times New Roman" w:hAnsiTheme="majorHAnsi"/>
          <w:szCs w:val="20"/>
          <w:lang w:val="es-US" w:eastAsia="es-ES"/>
        </w:rPr>
        <w:t>, por sus siglas en inglés</w:t>
      </w:r>
      <w:r w:rsidRPr="00930562">
        <w:rPr>
          <w:rFonts w:asciiTheme="majorHAnsi" w:eastAsia="Times New Roman" w:hAnsiTheme="majorHAnsi"/>
          <w:szCs w:val="20"/>
          <w:lang w:val="es-US" w:eastAsia="es-ES"/>
        </w:rPr>
        <w:t>) y Aduanas y Protección Fronteriza (CBP</w:t>
      </w:r>
      <w:r w:rsidR="008D6106" w:rsidRPr="00930562">
        <w:rPr>
          <w:rFonts w:asciiTheme="majorHAnsi" w:eastAsia="Times New Roman" w:hAnsiTheme="majorHAnsi"/>
          <w:szCs w:val="20"/>
          <w:lang w:val="es-US" w:eastAsia="es-ES"/>
        </w:rPr>
        <w:t>, por sus siglas en inglés</w:t>
      </w:r>
      <w:r w:rsidRPr="00930562">
        <w:rPr>
          <w:rFonts w:asciiTheme="majorHAnsi" w:eastAsia="Times New Roman" w:hAnsiTheme="majorHAnsi"/>
          <w:szCs w:val="20"/>
          <w:lang w:val="es-US" w:eastAsia="es-ES"/>
        </w:rPr>
        <w:t>), contradiciendo los objetivos declarados de la nueva guía.</w:t>
      </w:r>
      <w:r w:rsidRPr="00930562">
        <w:rPr>
          <w:rFonts w:asciiTheme="majorHAnsi" w:eastAsia="Times New Roman" w:hAnsiTheme="majorHAnsi"/>
          <w:vertAlign w:val="superscript"/>
          <w:lang w:val="es-US" w:eastAsia="es-ES"/>
        </w:rPr>
        <w:footnoteReference w:id="419"/>
      </w:r>
      <w:r w:rsidRPr="00930562">
        <w:rPr>
          <w:rFonts w:asciiTheme="majorHAnsi" w:eastAsia="Times New Roman" w:hAnsiTheme="majorHAnsi"/>
          <w:szCs w:val="20"/>
          <w:lang w:val="es-US" w:eastAsia="es-ES"/>
        </w:rPr>
        <w:t xml:space="preserve"> </w:t>
      </w:r>
    </w:p>
    <w:p w14:paraId="4A41B2CD" w14:textId="77777777" w:rsidR="00B41EFF" w:rsidRDefault="00B41EFF" w:rsidP="00A0354C">
      <w:pPr>
        <w:spacing w:after="240" w:line="240" w:lineRule="auto"/>
        <w:jc w:val="both"/>
        <w:rPr>
          <w:rFonts w:asciiTheme="majorHAnsi" w:eastAsia="Times New Roman" w:hAnsiTheme="majorHAnsi"/>
          <w:szCs w:val="20"/>
          <w:lang w:val="es-US" w:eastAsia="es-ES"/>
        </w:rPr>
        <w:sectPr w:rsidR="00B41EFF" w:rsidSect="000E499C">
          <w:headerReference w:type="default" r:id="rId32"/>
          <w:footerReference w:type="default" r:id="rId33"/>
          <w:type w:val="oddPage"/>
          <w:pgSz w:w="10080" w:h="14400" w:code="1"/>
          <w:pgMar w:top="1152" w:right="1152" w:bottom="1152" w:left="1296" w:header="720" w:footer="720" w:gutter="0"/>
          <w:cols w:space="708"/>
          <w:docGrid w:linePitch="360"/>
        </w:sectPr>
      </w:pPr>
    </w:p>
    <w:p w14:paraId="46ECD454" w14:textId="7918A491" w:rsidR="006E177E" w:rsidRDefault="00B41EFF" w:rsidP="00B41EFF">
      <w:pPr>
        <w:pStyle w:val="CAP1"/>
        <w:rPr>
          <w:lang w:eastAsia="es-ES"/>
        </w:rPr>
      </w:pPr>
      <w:bookmarkStart w:id="177" w:name="_Toc531514481"/>
      <w:r>
        <w:rPr>
          <w:lang w:eastAsia="es-ES"/>
        </w:rPr>
        <w:lastRenderedPageBreak/>
        <w:t>CAPÍTULO 3</w:t>
      </w:r>
      <w:bookmarkEnd w:id="177"/>
    </w:p>
    <w:p w14:paraId="261119D4" w14:textId="682ECFA2" w:rsidR="00B41EFF" w:rsidRPr="00930562" w:rsidRDefault="00B41EFF" w:rsidP="00B41EFF">
      <w:pPr>
        <w:pStyle w:val="CAP2"/>
        <w:rPr>
          <w:lang w:eastAsia="es-ES"/>
        </w:rPr>
      </w:pPr>
      <w:bookmarkStart w:id="178" w:name="_Toc531514482"/>
      <w:r w:rsidRPr="00B41EFF">
        <w:rPr>
          <w:lang w:eastAsia="es-ES"/>
        </w:rPr>
        <w:t>OBLIGACIONES INTERAMERICANAS E INTERNACIONALES DE ESTADOS UNIDOS EN MATERIA DE NO DISCRIMINACIÓN, USO DE LA FUERZA Y ACCESO A LA JUSTICIA</w:t>
      </w:r>
      <w:bookmarkEnd w:id="178"/>
    </w:p>
    <w:p w14:paraId="73F66CFF" w14:textId="77777777" w:rsidR="000D76E9" w:rsidRPr="00930562" w:rsidRDefault="000D76E9" w:rsidP="006E177E">
      <w:pPr>
        <w:keepNext/>
        <w:spacing w:before="960" w:after="640" w:line="240" w:lineRule="auto"/>
        <w:outlineLvl w:val="0"/>
        <w:rPr>
          <w:rFonts w:asciiTheme="majorHAnsi" w:eastAsia="Times New Roman" w:hAnsiTheme="majorHAnsi"/>
          <w:b/>
          <w:bCs/>
          <w:kern w:val="32"/>
          <w:sz w:val="28"/>
          <w:szCs w:val="26"/>
          <w:lang w:val="es-US"/>
        </w:rPr>
        <w:sectPr w:rsidR="000D76E9" w:rsidRPr="00930562" w:rsidSect="00B41EFF">
          <w:headerReference w:type="default" r:id="rId34"/>
          <w:footerReference w:type="default" r:id="rId35"/>
          <w:type w:val="oddPage"/>
          <w:pgSz w:w="10080" w:h="14400" w:code="13"/>
          <w:pgMar w:top="1152" w:right="1152" w:bottom="1152" w:left="1296" w:header="720" w:footer="720" w:gutter="0"/>
          <w:cols w:space="708"/>
          <w:vAlign w:val="center"/>
          <w:docGrid w:linePitch="360"/>
        </w:sectPr>
      </w:pPr>
    </w:p>
    <w:p w14:paraId="28BC1307" w14:textId="47611F31" w:rsidR="006E177E" w:rsidRPr="00930562" w:rsidRDefault="006E177E" w:rsidP="00724FB5">
      <w:pPr>
        <w:pStyle w:val="Heading1"/>
        <w:rPr>
          <w:lang w:val="es-US"/>
        </w:rPr>
      </w:pPr>
      <w:bookmarkStart w:id="179" w:name="_Toc517779250"/>
      <w:bookmarkStart w:id="180" w:name="_Toc531514483"/>
      <w:r w:rsidRPr="00930562">
        <w:rPr>
          <w:lang w:val="es-US"/>
        </w:rPr>
        <w:lastRenderedPageBreak/>
        <w:t>OBLIGACIONES INTERAMERICANAS E INTERNACIONALES DE ESTADOS UNIDOS EN MATERIA DE NO DISCRIMINACIÓN, USO DE LA FUERZA Y ACCESO A LA JUSTICIA</w:t>
      </w:r>
      <w:bookmarkEnd w:id="179"/>
      <w:bookmarkEnd w:id="180"/>
    </w:p>
    <w:p w14:paraId="5232C8E3"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rPr>
        <w:t xml:space="preserve">Esta sección examina la situación de los afrodescendientes en los Estados Unidos a la luz de varios </w:t>
      </w:r>
      <w:r w:rsidRPr="00930562">
        <w:rPr>
          <w:rFonts w:asciiTheme="majorHAnsi" w:hAnsiTheme="majorHAnsi"/>
          <w:lang w:val="es-US"/>
        </w:rPr>
        <w:t>principios</w:t>
      </w:r>
      <w:r w:rsidRPr="00930562">
        <w:rPr>
          <w:rFonts w:asciiTheme="majorHAnsi" w:hAnsiTheme="majorHAnsi"/>
          <w:szCs w:val="20"/>
          <w:lang w:val="es-US"/>
        </w:rPr>
        <w:t xml:space="preserve"> internacionales de derechos humanos claves relativos a la no discriminación, el uso de la fuerza y el acceso a la justicia.</w:t>
      </w:r>
    </w:p>
    <w:p w14:paraId="01518209" w14:textId="26E5FD5C"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rPr>
        <w:t>En cuanto a la no discriminación, la Comisión considera que todas las acciones del Gobierno y de la policía deben guiarse y ejecutarse en armonía con las obligaciones de no discriminación y igual protección de la ley. La Comisión destaca que las leyes y prácticas que tienen un efecto discriminatorio (efectos desiguales) están prohibidas bajo el derecho internacional, aun en el caso que ellas no sean aparentemente discriminatorias. Además, observa que las prácticas de aplicación de perfiles raciales pueden constituir un trato inhumano o degradante con arreglo al derecho internacional.</w:t>
      </w:r>
    </w:p>
    <w:p w14:paraId="2EF65761"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rPr>
        <w:t>En cuanto al uso de la fuerza, la Comisión reitera que la protección contra las privaciones arbitrarias de la vida se aplica a toda la estructura del Estado -incluidas las entidades gubernamentales federales, estatales y locales- y a todas las acciones de los agentes de policía, tanto en situaciones de normalidad como de agitación. Con este fin, el uso de la fuerza por parte de la policía en Estados Unidos debe guiarse por el principio de necesidad y sólo debe utilizarse cuando otros métodos se hayan agotado y hayan fracasado. La Comisión hace un llamado a los Estados Unidos a que adapte su legislación nacional a las normas internacionales en este ámbito. La Comisión destaca además que el uso excesivo de la fuerza por parte de la policía puede constituir un trato cruel, inhumano o degradante o tortura en determinadas circunstancias. Por último, la Comisión subraya la necesidad de salvaguardar los derechos humanos básicos de los manifestantes, incluidos sus derechos a la vida y a la integridad física y psicológica.</w:t>
      </w:r>
    </w:p>
    <w:p w14:paraId="3B83025A" w14:textId="4F918EA3"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rPr>
        <w:t xml:space="preserve">En cuanto al acceso a la justicia, la Comisión recuerda que el gobierno -federal, estatal y local- es responsable de garantizar el acceso a la justicia, incluyendo el ejercicio de la debida diligencia para una investigación independiente e imparcial y  para la prosecución de los abusos policiales, asegurando la rendición de cuentas y el castigo de todos los responsables </w:t>
      </w:r>
      <w:r w:rsidRPr="00930562">
        <w:rPr>
          <w:rFonts w:asciiTheme="majorHAnsi" w:hAnsiTheme="majorHAnsi"/>
          <w:szCs w:val="20"/>
          <w:lang w:val="es-US"/>
        </w:rPr>
        <w:lastRenderedPageBreak/>
        <w:t>de una violación; estableciendo recursos legales adecuados, efectivos y accesibles para casos de violencia policial; y garantizando la reparación para las víctimas. La Comisión recuerda que la impunidad fomenta un entorno en el que la violencia y los abusos policiales son tolerados y predecibles, y sirve para perpetu</w:t>
      </w:r>
      <w:r w:rsidR="00382F55" w:rsidRPr="00930562">
        <w:rPr>
          <w:rFonts w:asciiTheme="majorHAnsi" w:hAnsiTheme="majorHAnsi"/>
          <w:szCs w:val="20"/>
          <w:lang w:val="es-US"/>
        </w:rPr>
        <w:t>ar</w:t>
      </w:r>
      <w:r w:rsidRPr="00930562">
        <w:rPr>
          <w:rFonts w:asciiTheme="majorHAnsi" w:hAnsiTheme="majorHAnsi"/>
          <w:szCs w:val="20"/>
          <w:lang w:val="es-US"/>
        </w:rPr>
        <w:t xml:space="preserve"> e incluso promover un trato desigual hacia las personas y grupos que han sido históricamente sometidos a discriminación y </w:t>
      </w:r>
      <w:r w:rsidR="00382F55" w:rsidRPr="00930562">
        <w:rPr>
          <w:rFonts w:asciiTheme="majorHAnsi" w:hAnsiTheme="majorHAnsi"/>
          <w:szCs w:val="20"/>
          <w:lang w:val="es-US"/>
        </w:rPr>
        <w:t>exclusión</w:t>
      </w:r>
      <w:r w:rsidRPr="00930562">
        <w:rPr>
          <w:rFonts w:asciiTheme="majorHAnsi" w:hAnsiTheme="majorHAnsi"/>
          <w:szCs w:val="20"/>
          <w:lang w:val="es-US"/>
        </w:rPr>
        <w:t xml:space="preserve"> sobre la base de</w:t>
      </w:r>
      <w:r w:rsidR="00382F55" w:rsidRPr="00930562">
        <w:rPr>
          <w:rFonts w:asciiTheme="majorHAnsi" w:hAnsiTheme="majorHAnsi"/>
          <w:szCs w:val="20"/>
          <w:lang w:val="es-US"/>
        </w:rPr>
        <w:t xml:space="preserve"> </w:t>
      </w:r>
      <w:r w:rsidRPr="00930562">
        <w:rPr>
          <w:rFonts w:asciiTheme="majorHAnsi" w:hAnsiTheme="majorHAnsi"/>
          <w:szCs w:val="20"/>
          <w:lang w:val="es-US"/>
        </w:rPr>
        <w:t>la raza.</w:t>
      </w:r>
    </w:p>
    <w:p w14:paraId="2BFDFB12" w14:textId="34D5D2A6"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rPr>
        <w:t>A fin de cumplir con los principios aquí expuestos, el Estado -a nivel federal, estatal y local</w:t>
      </w:r>
      <w:r w:rsidR="00382F55" w:rsidRPr="00930562">
        <w:rPr>
          <w:rFonts w:asciiTheme="majorHAnsi" w:hAnsiTheme="majorHAnsi"/>
          <w:szCs w:val="20"/>
          <w:lang w:val="es-US"/>
        </w:rPr>
        <w:t xml:space="preserve"> - </w:t>
      </w:r>
      <w:r w:rsidRPr="00930562">
        <w:rPr>
          <w:rFonts w:asciiTheme="majorHAnsi" w:hAnsiTheme="majorHAnsi"/>
          <w:szCs w:val="20"/>
          <w:lang w:val="es-US"/>
        </w:rPr>
        <w:t>tiene la obligación de promulgar normas con jerarquía de ley y en cumplimiento de las normas internacionales en la materia.</w:t>
      </w:r>
      <w:r w:rsidRPr="00930562">
        <w:rPr>
          <w:rFonts w:asciiTheme="majorHAnsi" w:hAnsiTheme="majorHAnsi"/>
          <w:lang w:val="es-US"/>
        </w:rPr>
        <w:t>  Estas normas deben ser de estricto conocimiento y cumplimiento por parte de los agentes estatales.</w:t>
      </w:r>
      <w:r w:rsidRPr="00930562">
        <w:rPr>
          <w:rFonts w:asciiTheme="majorHAnsi" w:hAnsiTheme="majorHAnsi"/>
          <w:vertAlign w:val="superscript"/>
          <w:lang w:val="es-US"/>
        </w:rPr>
        <w:footnoteReference w:id="420"/>
      </w:r>
    </w:p>
    <w:p w14:paraId="49959E88"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rPr>
        <w:t>Por último, la Comisión reitera que la discriminación contra los afroamericanos y los grupos históricamente marginados en el ámbito de medidas policiales y en el sistema de justicia criminal en general es una faceta de un contexto más amplio de discriminación histórica y estructural. Como tal, las medidas adoptadas en cualquier nivel de gobierno para hacer frente a las medidas policiales discriminatorias y al uso excesivo de la fuerza también deben ir acompañadas de medidas eficaces para corregir la discriminación histórica y estructural en todos los ámbitos de la vida pública, a fin de garantizar el pleno disfrute de los derechos humanos de todas las personas sujetas a la jurisdicción de los Estados Unidos sin discriminación por motivos de raza, color, etnia, origen nacional o cualquier otro motivo prohibido.</w:t>
      </w:r>
    </w:p>
    <w:p w14:paraId="0BEF9BB4" w14:textId="401A658D" w:rsidR="006E177E" w:rsidRPr="00930562" w:rsidRDefault="006E177E" w:rsidP="00724857">
      <w:pPr>
        <w:keepNext/>
        <w:keepLines/>
        <w:numPr>
          <w:ilvl w:val="0"/>
          <w:numId w:val="3"/>
        </w:numPr>
        <w:spacing w:before="480" w:after="360" w:line="240" w:lineRule="auto"/>
        <w:ind w:hanging="720"/>
        <w:outlineLvl w:val="1"/>
        <w:rPr>
          <w:rFonts w:asciiTheme="majorHAnsi" w:eastAsia="MS Gothic" w:hAnsiTheme="majorHAnsi"/>
          <w:b/>
          <w:i/>
          <w:sz w:val="28"/>
          <w:lang w:val="es-US"/>
        </w:rPr>
      </w:pPr>
      <w:bookmarkStart w:id="181" w:name="_Toc517779251"/>
      <w:bookmarkStart w:id="182" w:name="_Toc531514484"/>
      <w:r w:rsidRPr="00930562">
        <w:rPr>
          <w:rFonts w:asciiTheme="majorHAnsi" w:eastAsia="MS Gothic" w:hAnsiTheme="majorHAnsi"/>
          <w:b/>
          <w:i/>
          <w:sz w:val="28"/>
          <w:lang w:val="es-US"/>
        </w:rPr>
        <w:t xml:space="preserve">Marco internacional en materia de </w:t>
      </w:r>
      <w:r w:rsidR="000D76E9" w:rsidRPr="00930562">
        <w:rPr>
          <w:rFonts w:asciiTheme="majorHAnsi" w:eastAsia="MS Gothic" w:hAnsiTheme="majorHAnsi"/>
          <w:b/>
          <w:i/>
          <w:sz w:val="28"/>
          <w:lang w:val="es-US"/>
        </w:rPr>
        <w:t>igualdad y no discriminación</w:t>
      </w:r>
      <w:bookmarkEnd w:id="181"/>
      <w:bookmarkEnd w:id="182"/>
    </w:p>
    <w:p w14:paraId="02350922"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rPr>
        <w:t>El derecho a la igualdad y a la no discriminación contenido en el artículo II de la Declaración Americana es un principio fundamental del sistema interamericano de derechos humanos,</w:t>
      </w:r>
      <w:r w:rsidRPr="00930562">
        <w:rPr>
          <w:rFonts w:asciiTheme="majorHAnsi" w:hAnsiTheme="majorHAnsi"/>
          <w:szCs w:val="20"/>
          <w:vertAlign w:val="superscript"/>
          <w:lang w:val="es-US"/>
        </w:rPr>
        <w:footnoteReference w:id="421"/>
      </w:r>
      <w:r w:rsidRPr="00930562">
        <w:rPr>
          <w:rFonts w:asciiTheme="majorHAnsi" w:hAnsiTheme="majorHAnsi"/>
          <w:szCs w:val="20"/>
          <w:lang w:val="es-US"/>
        </w:rPr>
        <w:t xml:space="preserve"> al igual que en el sistema </w:t>
      </w:r>
      <w:r w:rsidRPr="00930562">
        <w:rPr>
          <w:rFonts w:asciiTheme="majorHAnsi" w:hAnsiTheme="majorHAnsi"/>
          <w:szCs w:val="20"/>
          <w:lang w:val="es-US"/>
        </w:rPr>
        <w:lastRenderedPageBreak/>
        <w:t>universal y otros sistemas regionales de derechos humanos.</w:t>
      </w:r>
      <w:r w:rsidRPr="00930562">
        <w:rPr>
          <w:rFonts w:asciiTheme="majorHAnsi" w:hAnsiTheme="majorHAnsi"/>
          <w:szCs w:val="20"/>
          <w:vertAlign w:val="superscript"/>
          <w:lang w:val="es-US"/>
        </w:rPr>
        <w:footnoteReference w:id="422"/>
      </w:r>
      <w:r w:rsidRPr="00930562">
        <w:rPr>
          <w:rFonts w:asciiTheme="majorHAnsi" w:hAnsiTheme="majorHAnsi"/>
          <w:szCs w:val="20"/>
          <w:lang w:val="es-US"/>
        </w:rPr>
        <w:t xml:space="preserve"> Este principio establece que “todas las personas son iguales ante la Ley y tienen los derechos y deberes consagrados en esta Declaración [Americana], sin distinción de raza, sexo, idioma, credo ni otra alguna”. Este derecho está contenido en otros instrumentos interamericanos, incluyendo la Convención Americana sobre Derechos Humanos, la Convención Interamericana contra el Racismo, la Discriminación Racial y Formas Conexas de Intolerancia y la Convención Interamericana para Prevenir, Sancionar y Erradicar la Violencia contra la Mujer (“Convención de Belém do Pará ”), la Convención Interamericana para la Eliminación de Todas las Formas de Discriminación contra las Personas con Discapacidad y la Convención Interamericana sobre la Protección de los Derechos Humanos de las Personas Mayores, entre otras.</w:t>
      </w:r>
    </w:p>
    <w:p w14:paraId="47AC0E6E"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18"/>
          <w:lang w:val="es-US"/>
        </w:rPr>
      </w:pPr>
      <w:r w:rsidRPr="00930562">
        <w:rPr>
          <w:rFonts w:asciiTheme="majorHAnsi" w:hAnsiTheme="majorHAnsi"/>
          <w:szCs w:val="20"/>
          <w:lang w:val="es-US"/>
        </w:rPr>
        <w:t>El artículo 3. l) de la Carta de la OEA reafirma “los derechos fundamentales de la persona humana sin hacer distinción de</w:t>
      </w:r>
      <w:r w:rsidRPr="00930562">
        <w:rPr>
          <w:rFonts w:asciiTheme="majorHAnsi" w:hAnsiTheme="majorHAnsi"/>
          <w:szCs w:val="18"/>
          <w:lang w:val="es-US"/>
        </w:rPr>
        <w:t xml:space="preserve"> raza, nacionalidad, credo o sexo”. Asimismo, el Artículo 9 de la Carta Democrática Interamericana establece que: </w:t>
      </w:r>
    </w:p>
    <w:p w14:paraId="2EB26AD4" w14:textId="77777777" w:rsidR="006E177E" w:rsidRPr="00930562" w:rsidRDefault="006E177E" w:rsidP="006E177E">
      <w:pPr>
        <w:spacing w:after="240" w:line="240" w:lineRule="auto"/>
        <w:ind w:left="1166" w:right="619"/>
        <w:jc w:val="both"/>
        <w:rPr>
          <w:rFonts w:asciiTheme="majorHAnsi" w:eastAsia="Cambria" w:hAnsiTheme="majorHAnsi"/>
          <w:szCs w:val="18"/>
          <w:lang w:val="es-US"/>
        </w:rPr>
      </w:pPr>
      <w:r w:rsidRPr="00930562">
        <w:rPr>
          <w:rFonts w:asciiTheme="majorHAnsi" w:eastAsia="Cambria" w:hAnsiTheme="majorHAnsi"/>
          <w:szCs w:val="18"/>
          <w:lang w:val="es-US"/>
        </w:rPr>
        <w:t>La eliminación de toda forma de discriminación, especialmente la discriminación de género, étnica y racial, y de las diversas formas de intolerancia, así como la promoción y protección de los derechos humanos de los pueblos indígenas y los migrantes y el respeto a la diversidad étnica, cultural y religiosa en las Américas, contribuyen al fortalecimiento de la democracia y la participación ciudadana.</w:t>
      </w:r>
    </w:p>
    <w:p w14:paraId="0DB921D5"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18"/>
          <w:lang w:val="es-US"/>
        </w:rPr>
      </w:pPr>
      <w:r w:rsidRPr="00930562">
        <w:rPr>
          <w:rFonts w:asciiTheme="majorHAnsi" w:hAnsiTheme="majorHAnsi"/>
          <w:szCs w:val="18"/>
          <w:lang w:val="es-US"/>
        </w:rPr>
        <w:t xml:space="preserve">El artículo 1 de la Convención Internacional sobre la Eliminación de todas las Formas de Discriminación Racial (ICERD), de la cual Estados Unidos es parte, define la discriminación como: </w:t>
      </w:r>
    </w:p>
    <w:p w14:paraId="1253A18D" w14:textId="77777777" w:rsidR="006E177E" w:rsidRPr="00930562" w:rsidRDefault="006E177E" w:rsidP="006E177E">
      <w:pPr>
        <w:spacing w:after="240" w:line="240" w:lineRule="auto"/>
        <w:ind w:left="1170" w:right="619"/>
        <w:jc w:val="both"/>
        <w:rPr>
          <w:rFonts w:asciiTheme="majorHAnsi" w:hAnsiTheme="majorHAnsi"/>
          <w:szCs w:val="18"/>
          <w:lang w:val="es-US"/>
        </w:rPr>
      </w:pPr>
      <w:r w:rsidRPr="00930562">
        <w:rPr>
          <w:rFonts w:asciiTheme="majorHAnsi" w:hAnsiTheme="majorHAnsi"/>
          <w:szCs w:val="18"/>
          <w:lang w:val="es-US"/>
        </w:rPr>
        <w:t>toda distinción, exclusión, restricción o preferencia basada en motivos de</w:t>
      </w:r>
      <w:r w:rsidRPr="00930562">
        <w:rPr>
          <w:rFonts w:asciiTheme="majorHAnsi" w:eastAsia="Cambria" w:hAnsiTheme="majorHAnsi"/>
          <w:szCs w:val="18"/>
          <w:lang w:val="es-US"/>
        </w:rPr>
        <w:t xml:space="preserve"> raza, color, linaje u origen nacional o étnico que tenga por objeto o por resultado anular o menoscabar el reconocimiento, goce o ejercicio, en condiciones de igualdad, de los derechos humanos y libertades fundamentales en las </w:t>
      </w:r>
      <w:r w:rsidRPr="00930562">
        <w:rPr>
          <w:rFonts w:asciiTheme="majorHAnsi" w:eastAsia="Cambria" w:hAnsiTheme="majorHAnsi"/>
          <w:szCs w:val="18"/>
          <w:lang w:val="es-US"/>
        </w:rPr>
        <w:lastRenderedPageBreak/>
        <w:t>esferas política, económica, social, cultural o en cualquier otra esfera de la vida pública</w:t>
      </w:r>
      <w:r w:rsidRPr="00930562">
        <w:rPr>
          <w:rFonts w:asciiTheme="majorHAnsi" w:hAnsiTheme="majorHAnsi"/>
          <w:vertAlign w:val="superscript"/>
          <w:lang w:val="es-US"/>
        </w:rPr>
        <w:footnoteReference w:id="423"/>
      </w:r>
      <w:r w:rsidRPr="00930562">
        <w:rPr>
          <w:rFonts w:asciiTheme="majorHAnsi" w:eastAsia="Cambria" w:hAnsiTheme="majorHAnsi"/>
          <w:szCs w:val="18"/>
          <w:lang w:val="es-US"/>
        </w:rPr>
        <w:t>.</w:t>
      </w:r>
    </w:p>
    <w:p w14:paraId="2D696867" w14:textId="67A3CED0"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eastAsia="Times New Roman" w:hAnsiTheme="majorHAnsi"/>
          <w:szCs w:val="20"/>
          <w:lang w:val="es-US"/>
        </w:rPr>
      </w:pPr>
      <w:r w:rsidRPr="00930562">
        <w:rPr>
          <w:rFonts w:asciiTheme="majorHAnsi" w:hAnsiTheme="majorHAnsi"/>
          <w:szCs w:val="20"/>
          <w:lang w:val="es-US"/>
        </w:rPr>
        <w:t>El</w:t>
      </w:r>
      <w:r w:rsidRPr="00930562">
        <w:rPr>
          <w:rFonts w:asciiTheme="majorHAnsi" w:hAnsiTheme="majorHAnsi"/>
          <w:szCs w:val="18"/>
          <w:lang w:val="es-US"/>
        </w:rPr>
        <w:t xml:space="preserve"> </w:t>
      </w:r>
      <w:r w:rsidR="00723D3C">
        <w:rPr>
          <w:rFonts w:asciiTheme="majorHAnsi" w:hAnsiTheme="majorHAnsi"/>
          <w:szCs w:val="18"/>
          <w:lang w:val="es-US"/>
        </w:rPr>
        <w:t>a</w:t>
      </w:r>
      <w:r w:rsidRPr="00930562">
        <w:rPr>
          <w:rFonts w:asciiTheme="majorHAnsi" w:hAnsiTheme="majorHAnsi"/>
          <w:szCs w:val="18"/>
          <w:lang w:val="es-US"/>
        </w:rPr>
        <w:t xml:space="preserve">rtículo 2.2 de la Declaración de la UNESCO sobre la Raza y los Prejuicios Raciales establece que: </w:t>
      </w:r>
    </w:p>
    <w:p w14:paraId="3FD70A84" w14:textId="77777777" w:rsidR="006E177E" w:rsidRPr="00930562" w:rsidRDefault="006E177E" w:rsidP="006E177E">
      <w:pPr>
        <w:tabs>
          <w:tab w:val="left" w:pos="1170"/>
        </w:tabs>
        <w:autoSpaceDE w:val="0"/>
        <w:autoSpaceDN w:val="0"/>
        <w:adjustRightInd w:val="0"/>
        <w:spacing w:after="240" w:line="240" w:lineRule="auto"/>
        <w:ind w:left="1166" w:right="619"/>
        <w:jc w:val="both"/>
        <w:rPr>
          <w:rFonts w:asciiTheme="majorHAnsi" w:hAnsiTheme="majorHAnsi"/>
          <w:szCs w:val="18"/>
          <w:lang w:val="es-US"/>
        </w:rPr>
      </w:pPr>
      <w:r w:rsidRPr="00930562">
        <w:rPr>
          <w:rFonts w:asciiTheme="majorHAnsi" w:hAnsiTheme="majorHAnsi"/>
          <w:szCs w:val="18"/>
          <w:lang w:val="es-US"/>
        </w:rPr>
        <w:t>El racismo engloba las ideologías racistas, las actitudes fundadas en los prejuicios raciales, los comportamientos discriminatorios, las disposiciones estructurales y las prácticas institucionalizadas que provocan la desigualdad racial, así como la idea falaz de que las relaciones discriminatorias entre grupos son moral y científicamente justificables; se manifiesta por medio de disposiciones legislativas o reglamentarias y prácticas discriminatorias, así como por medio de creencias y actos antisociales; obstaculiza el desenvolvimiento de sus víctimas, pervierte a quienes lo ponen en práctica, divide a las naciones en su propio seno, constituye un obstáculo para la cooperación internacional y crea tensiones políticas entre los pueblos; es contrario a los principios fundamentales del derecho internacional y, por consiguiente, perturba gravemente la paz y la seguridad internacionales.</w:t>
      </w:r>
    </w:p>
    <w:p w14:paraId="37BB2E4A"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eastAsia="Times New Roman" w:hAnsiTheme="majorHAnsi"/>
          <w:szCs w:val="20"/>
          <w:lang w:val="es-US"/>
        </w:rPr>
      </w:pPr>
      <w:r w:rsidRPr="00930562">
        <w:rPr>
          <w:rFonts w:asciiTheme="majorHAnsi" w:hAnsiTheme="majorHAnsi"/>
          <w:szCs w:val="18"/>
          <w:lang w:val="es-US"/>
        </w:rPr>
        <w:t xml:space="preserve">A la luz de la naturaleza fundamental de estos derechos y de su amplia consolidación jurídica, la Corte </w:t>
      </w:r>
      <w:r w:rsidRPr="00930562">
        <w:rPr>
          <w:rFonts w:asciiTheme="majorHAnsi" w:hAnsiTheme="majorHAnsi"/>
          <w:szCs w:val="20"/>
          <w:lang w:val="es-US"/>
        </w:rPr>
        <w:t>Interamericana</w:t>
      </w:r>
      <w:r w:rsidRPr="00930562">
        <w:rPr>
          <w:rFonts w:asciiTheme="majorHAnsi" w:hAnsiTheme="majorHAnsi"/>
          <w:szCs w:val="18"/>
          <w:lang w:val="es-US"/>
        </w:rPr>
        <w:t xml:space="preserve"> ha considerado que los principios de igualdad ante la ley, igual protección de la ley y no discriminación constituyen normas de </w:t>
      </w:r>
      <w:r w:rsidRPr="00930562">
        <w:rPr>
          <w:rFonts w:asciiTheme="majorHAnsi" w:hAnsiTheme="majorHAnsi"/>
          <w:i/>
          <w:szCs w:val="18"/>
          <w:lang w:val="es-US"/>
        </w:rPr>
        <w:t>jus cogens:</w:t>
      </w:r>
    </w:p>
    <w:p w14:paraId="22EB9989" w14:textId="77777777" w:rsidR="006E177E" w:rsidRPr="00930562" w:rsidRDefault="006E177E" w:rsidP="006E177E">
      <w:pPr>
        <w:spacing w:after="240" w:line="240" w:lineRule="auto"/>
        <w:ind w:left="1166" w:right="619"/>
        <w:jc w:val="both"/>
        <w:rPr>
          <w:rFonts w:asciiTheme="majorHAnsi" w:eastAsia="Cambria" w:hAnsiTheme="majorHAnsi"/>
          <w:vertAlign w:val="superscript"/>
          <w:lang w:val="es-US"/>
        </w:rPr>
      </w:pPr>
      <w:r w:rsidRPr="00930562">
        <w:rPr>
          <w:rFonts w:asciiTheme="majorHAnsi" w:eastAsia="Cambria" w:hAnsiTheme="majorHAnsi"/>
          <w:szCs w:val="18"/>
          <w:lang w:val="es-US"/>
        </w:rPr>
        <w:t xml:space="preserve">puesto que sobre él descansa todo el andamiaje jurídico del orden público nacional e internacional [...] Hoy día no se admite ningún acto jurídico que entre en conflicto con dicho principio fundamental, no se admiten tratos discriminatorios en perjuicio de ninguna persona, por motivos de género, raza, color, idioma, religión o convicción, opinión política o de otra índole, origen nacional, étnico o social, nacionalidad, edad, situación económica, patrimonio, estado civil, nacimiento o cualquier otra condición. Este principio (igualdad y no discriminación) forma parte del derecho internacional general. En la actual etapa de la evolución del derecho </w:t>
      </w:r>
      <w:r w:rsidRPr="00930562">
        <w:rPr>
          <w:rFonts w:asciiTheme="majorHAnsi" w:eastAsia="Cambria" w:hAnsiTheme="majorHAnsi"/>
          <w:szCs w:val="18"/>
          <w:lang w:val="es-US"/>
        </w:rPr>
        <w:lastRenderedPageBreak/>
        <w:t>internacional, el principio fundamental de igualdad y no discriminación ha ingresado en el dominio del jus cogens</w:t>
      </w:r>
      <w:r w:rsidRPr="00930562">
        <w:rPr>
          <w:rFonts w:asciiTheme="majorHAnsi" w:eastAsia="Cambria" w:hAnsiTheme="majorHAnsi"/>
          <w:vertAlign w:val="superscript"/>
          <w:lang w:val="es-US"/>
        </w:rPr>
        <w:footnoteReference w:id="424"/>
      </w:r>
      <w:r w:rsidRPr="00930562">
        <w:rPr>
          <w:rFonts w:asciiTheme="majorHAnsi" w:eastAsia="Cambria" w:hAnsiTheme="majorHAnsi"/>
          <w:szCs w:val="18"/>
          <w:lang w:val="es-US"/>
        </w:rPr>
        <w:t>.</w:t>
      </w:r>
    </w:p>
    <w:p w14:paraId="436DEFA4" w14:textId="36B6841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18"/>
          <w:lang w:val="es-US"/>
        </w:rPr>
      </w:pPr>
      <w:r w:rsidRPr="00930562">
        <w:rPr>
          <w:rFonts w:asciiTheme="majorHAnsi" w:hAnsiTheme="majorHAnsi"/>
          <w:szCs w:val="20"/>
          <w:lang w:val="es-US"/>
        </w:rPr>
        <w:t xml:space="preserve">La Comisión ha considerado que existen formas complementarias de entender las obligaciones para los Estados que se derivan del derecho a la igualdad y a la no </w:t>
      </w:r>
      <w:r w:rsidR="00F238C6" w:rsidRPr="00930562">
        <w:rPr>
          <w:rFonts w:asciiTheme="majorHAnsi" w:hAnsiTheme="majorHAnsi"/>
          <w:szCs w:val="20"/>
          <w:lang w:val="es-US"/>
        </w:rPr>
        <w:t>discriminación</w:t>
      </w:r>
      <w:r w:rsidRPr="00930562">
        <w:rPr>
          <w:rFonts w:asciiTheme="majorHAnsi" w:hAnsiTheme="majorHAnsi"/>
          <w:szCs w:val="20"/>
          <w:vertAlign w:val="superscript"/>
          <w:lang w:val="es-US"/>
        </w:rPr>
        <w:footnoteReference w:id="425"/>
      </w:r>
      <w:r w:rsidRPr="00930562">
        <w:rPr>
          <w:rFonts w:asciiTheme="majorHAnsi" w:hAnsiTheme="majorHAnsi"/>
          <w:szCs w:val="20"/>
          <w:lang w:val="es-US"/>
        </w:rPr>
        <w:t xml:space="preserve">. Los Estados miembros están obligados a prohibir el tratamiento arbitrario, incluyendo la distinción, </w:t>
      </w:r>
      <w:r w:rsidR="00F238C6" w:rsidRPr="00930562">
        <w:rPr>
          <w:rFonts w:asciiTheme="majorHAnsi" w:hAnsiTheme="majorHAnsi"/>
          <w:szCs w:val="20"/>
          <w:lang w:val="es-US"/>
        </w:rPr>
        <w:t>exclusión</w:t>
      </w:r>
      <w:r w:rsidRPr="00930562">
        <w:rPr>
          <w:rFonts w:asciiTheme="majorHAnsi" w:hAnsiTheme="majorHAnsi"/>
          <w:szCs w:val="18"/>
          <w:lang w:val="es-US"/>
        </w:rPr>
        <w:t>, restricción o preferencia y deben también asegurar las condiciones de la verdadera igualdad para los grupos que han sufrido históricamente marginalización y discriminación</w:t>
      </w:r>
      <w:r w:rsidRPr="00930562">
        <w:rPr>
          <w:rFonts w:asciiTheme="majorHAnsi" w:hAnsiTheme="majorHAnsi"/>
          <w:szCs w:val="18"/>
          <w:vertAlign w:val="superscript"/>
          <w:lang w:val="es-US"/>
        </w:rPr>
        <w:footnoteReference w:id="426"/>
      </w:r>
      <w:r w:rsidRPr="00930562">
        <w:rPr>
          <w:rFonts w:asciiTheme="majorHAnsi" w:hAnsiTheme="majorHAnsi"/>
          <w:szCs w:val="18"/>
          <w:lang w:val="es-US"/>
        </w:rPr>
        <w:t xml:space="preserve">. Los Estados tienen la obligación de adoptar las medidas necesarias para reconocer y garantizar la </w:t>
      </w:r>
      <w:r w:rsidR="00F238C6" w:rsidRPr="00930562">
        <w:rPr>
          <w:rFonts w:asciiTheme="majorHAnsi" w:hAnsiTheme="majorHAnsi"/>
          <w:szCs w:val="18"/>
          <w:lang w:val="es-US"/>
        </w:rPr>
        <w:t>igualdad</w:t>
      </w:r>
      <w:r w:rsidRPr="00930562">
        <w:rPr>
          <w:rFonts w:asciiTheme="majorHAnsi" w:hAnsiTheme="majorHAnsi"/>
          <w:szCs w:val="18"/>
          <w:lang w:val="es-US"/>
        </w:rPr>
        <w:t xml:space="preserve"> efectiva de todas las personas ante la ley; a abstenerse de introducir en sus </w:t>
      </w:r>
      <w:r w:rsidR="00F238C6" w:rsidRPr="00930562">
        <w:rPr>
          <w:rFonts w:asciiTheme="majorHAnsi" w:hAnsiTheme="majorHAnsi"/>
          <w:szCs w:val="18"/>
          <w:lang w:val="es-US"/>
        </w:rPr>
        <w:t>marcos</w:t>
      </w:r>
      <w:r w:rsidRPr="00930562">
        <w:rPr>
          <w:rFonts w:asciiTheme="majorHAnsi" w:hAnsiTheme="majorHAnsi"/>
          <w:szCs w:val="18"/>
          <w:lang w:val="es-US"/>
        </w:rPr>
        <w:t xml:space="preserve"> jurídicos regulaciones que son discriminatorias para ciertos grupos de manera </w:t>
      </w:r>
      <w:r w:rsidR="00694DAD" w:rsidRPr="00930562">
        <w:rPr>
          <w:rFonts w:asciiTheme="majorHAnsi" w:hAnsiTheme="majorHAnsi"/>
          <w:szCs w:val="18"/>
          <w:lang w:val="es-US"/>
        </w:rPr>
        <w:t>explícita y en su aplicación</w:t>
      </w:r>
      <w:r w:rsidRPr="00930562">
        <w:rPr>
          <w:rFonts w:asciiTheme="majorHAnsi" w:hAnsiTheme="majorHAnsi"/>
          <w:szCs w:val="18"/>
          <w:lang w:val="es-US"/>
        </w:rPr>
        <w:t>; y combatir las prácticas discriminatorias</w:t>
      </w:r>
      <w:r w:rsidRPr="00930562">
        <w:rPr>
          <w:rFonts w:asciiTheme="majorHAnsi" w:hAnsiTheme="majorHAnsi"/>
          <w:szCs w:val="18"/>
          <w:vertAlign w:val="superscript"/>
          <w:lang w:val="es-US"/>
        </w:rPr>
        <w:footnoteReference w:id="427"/>
      </w:r>
      <w:r w:rsidRPr="00930562">
        <w:rPr>
          <w:rFonts w:asciiTheme="majorHAnsi" w:hAnsiTheme="majorHAnsi"/>
          <w:szCs w:val="18"/>
          <w:lang w:val="es-US"/>
        </w:rPr>
        <w:t xml:space="preserve">.  </w:t>
      </w:r>
    </w:p>
    <w:p w14:paraId="6B8F3C5E" w14:textId="0A04271E"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18"/>
          <w:lang w:val="es-US"/>
        </w:rPr>
      </w:pPr>
      <w:r w:rsidRPr="00930562">
        <w:rPr>
          <w:rFonts w:asciiTheme="majorHAnsi" w:hAnsiTheme="majorHAnsi"/>
          <w:szCs w:val="18"/>
          <w:lang w:val="es-US"/>
        </w:rPr>
        <w:t xml:space="preserve">Al respecto, la </w:t>
      </w:r>
      <w:r w:rsidR="00694DAD" w:rsidRPr="00930562">
        <w:rPr>
          <w:rFonts w:asciiTheme="majorHAnsi" w:hAnsiTheme="majorHAnsi"/>
          <w:szCs w:val="18"/>
          <w:lang w:val="es-US"/>
        </w:rPr>
        <w:t>violación</w:t>
      </w:r>
      <w:r w:rsidRPr="00930562">
        <w:rPr>
          <w:rFonts w:asciiTheme="majorHAnsi" w:hAnsiTheme="majorHAnsi"/>
          <w:szCs w:val="18"/>
          <w:lang w:val="es-US"/>
        </w:rPr>
        <w:t xml:space="preserve"> de un Estado del derecho a la igual protección de la ley, no necesita ser intencional</w:t>
      </w:r>
      <w:r w:rsidRPr="00930562">
        <w:rPr>
          <w:rFonts w:asciiTheme="majorHAnsi" w:hAnsiTheme="majorHAnsi"/>
          <w:szCs w:val="18"/>
          <w:vertAlign w:val="superscript"/>
          <w:lang w:val="es-US"/>
        </w:rPr>
        <w:footnoteReference w:id="428"/>
      </w:r>
      <w:r w:rsidRPr="00930562">
        <w:rPr>
          <w:rFonts w:asciiTheme="majorHAnsi" w:hAnsiTheme="majorHAnsi"/>
          <w:szCs w:val="18"/>
          <w:lang w:val="es-US"/>
        </w:rPr>
        <w:t>. La Comisión ha subrayado que los principios y las políticas deberían evaluarse para garantizar que se ajustan a los principios de igualdad y no discriminación; este análisis debería informar de su potencial efecto discriminatorio, incluso cuando su formulación o lenguaje aparenta ser neutral, o que se aplica sin las distinciones textuales</w:t>
      </w:r>
      <w:r w:rsidRPr="00930562">
        <w:rPr>
          <w:rFonts w:asciiTheme="majorHAnsi" w:hAnsiTheme="majorHAnsi"/>
          <w:szCs w:val="18"/>
          <w:vertAlign w:val="superscript"/>
          <w:lang w:val="es-US"/>
        </w:rPr>
        <w:footnoteReference w:id="429"/>
      </w:r>
      <w:r w:rsidRPr="00930562">
        <w:rPr>
          <w:rFonts w:asciiTheme="majorHAnsi" w:hAnsiTheme="majorHAnsi"/>
          <w:szCs w:val="18"/>
          <w:lang w:val="es-US"/>
        </w:rPr>
        <w:t>.</w:t>
      </w:r>
    </w:p>
    <w:p w14:paraId="710BE186" w14:textId="3AD3BC6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18"/>
          <w:lang w:val="es-US"/>
        </w:rPr>
        <w:t xml:space="preserve">La Comisión ha reconocido que mientras el artículo II no </w:t>
      </w:r>
      <w:r w:rsidR="009540AB" w:rsidRPr="00930562">
        <w:rPr>
          <w:rFonts w:asciiTheme="majorHAnsi" w:hAnsiTheme="majorHAnsi"/>
          <w:szCs w:val="18"/>
          <w:lang w:val="es-US"/>
        </w:rPr>
        <w:t>prohíbe</w:t>
      </w:r>
      <w:r w:rsidRPr="00930562">
        <w:rPr>
          <w:rFonts w:asciiTheme="majorHAnsi" w:hAnsiTheme="majorHAnsi"/>
          <w:szCs w:val="18"/>
          <w:lang w:val="es-US"/>
        </w:rPr>
        <w:t xml:space="preserve"> todas las distinciones en el tratamiento en el disfrute de los derechos y libertades, es necesario que cualquier distinción </w:t>
      </w:r>
      <w:r w:rsidR="00694DAD" w:rsidRPr="00930562">
        <w:rPr>
          <w:rFonts w:asciiTheme="majorHAnsi" w:hAnsiTheme="majorHAnsi"/>
          <w:szCs w:val="18"/>
          <w:lang w:val="es-US"/>
        </w:rPr>
        <w:t>permisible</w:t>
      </w:r>
      <w:r w:rsidRPr="00930562">
        <w:rPr>
          <w:rFonts w:asciiTheme="majorHAnsi" w:hAnsiTheme="majorHAnsi"/>
          <w:szCs w:val="18"/>
          <w:lang w:val="es-US"/>
        </w:rPr>
        <w:t xml:space="preserve"> esté basada en un objetivo y una justificación razonable, que tengan un objetivo </w:t>
      </w:r>
      <w:r w:rsidR="00453EFE" w:rsidRPr="00930562">
        <w:rPr>
          <w:rFonts w:asciiTheme="majorHAnsi" w:hAnsiTheme="majorHAnsi"/>
          <w:szCs w:val="18"/>
          <w:lang w:val="es-US"/>
        </w:rPr>
        <w:t>legítimo</w:t>
      </w:r>
      <w:r w:rsidRPr="00930562">
        <w:rPr>
          <w:rFonts w:asciiTheme="majorHAnsi" w:hAnsiTheme="majorHAnsi"/>
          <w:szCs w:val="18"/>
          <w:lang w:val="es-US"/>
        </w:rPr>
        <w:t>, "relacionado con los principios que prevalecen en las sociedades democráticas, y que los medios sean razonables y proporcionales al fin buscado”</w:t>
      </w:r>
      <w:r w:rsidRPr="00930562">
        <w:rPr>
          <w:rFonts w:asciiTheme="majorHAnsi" w:hAnsiTheme="majorHAnsi"/>
          <w:szCs w:val="18"/>
          <w:vertAlign w:val="superscript"/>
          <w:lang w:val="es-US"/>
        </w:rPr>
        <w:footnoteReference w:id="430"/>
      </w:r>
      <w:r w:rsidRPr="00930562">
        <w:rPr>
          <w:rFonts w:asciiTheme="majorHAnsi" w:hAnsiTheme="majorHAnsi"/>
          <w:szCs w:val="18"/>
          <w:lang w:val="es-US"/>
        </w:rPr>
        <w:t xml:space="preserve">: La Comisión también toma en cuenta los requisitos de evolución en el área de </w:t>
      </w:r>
      <w:r w:rsidRPr="00930562">
        <w:rPr>
          <w:rFonts w:asciiTheme="majorHAnsi" w:hAnsiTheme="majorHAnsi"/>
          <w:szCs w:val="18"/>
          <w:lang w:val="es-US"/>
        </w:rPr>
        <w:lastRenderedPageBreak/>
        <w:t>discriminación y considera que lo expresado por el Comité</w:t>
      </w:r>
      <w:r w:rsidRPr="00930562">
        <w:rPr>
          <w:rFonts w:asciiTheme="majorHAnsi" w:hAnsiTheme="majorHAnsi"/>
          <w:szCs w:val="20"/>
          <w:lang w:val="es-US"/>
        </w:rPr>
        <w:t xml:space="preserve"> de Derechos </w:t>
      </w:r>
      <w:r w:rsidR="00694DAD" w:rsidRPr="00930562">
        <w:rPr>
          <w:rFonts w:asciiTheme="majorHAnsi" w:hAnsiTheme="majorHAnsi"/>
          <w:szCs w:val="20"/>
          <w:lang w:val="es-US"/>
        </w:rPr>
        <w:t>Humanos</w:t>
      </w:r>
      <w:r w:rsidRPr="00930562">
        <w:rPr>
          <w:rFonts w:asciiTheme="majorHAnsi" w:hAnsiTheme="majorHAnsi"/>
          <w:szCs w:val="20"/>
          <w:lang w:val="es-US"/>
        </w:rPr>
        <w:t xml:space="preserve"> bajo el ICCPR es aplicable en </w:t>
      </w:r>
      <w:r w:rsidR="00694DAD" w:rsidRPr="00930562">
        <w:rPr>
          <w:rFonts w:asciiTheme="majorHAnsi" w:hAnsiTheme="majorHAnsi"/>
          <w:szCs w:val="20"/>
          <w:lang w:val="es-US"/>
        </w:rPr>
        <w:t>a</w:t>
      </w:r>
      <w:r w:rsidRPr="00930562">
        <w:rPr>
          <w:rFonts w:asciiTheme="majorHAnsi" w:hAnsiTheme="majorHAnsi"/>
          <w:szCs w:val="20"/>
          <w:lang w:val="es-US"/>
        </w:rPr>
        <w:t>l Sistema Interamericano:</w:t>
      </w:r>
    </w:p>
    <w:p w14:paraId="6FD7C9CA" w14:textId="77777777" w:rsidR="006E177E" w:rsidRPr="00930562" w:rsidRDefault="006E177E" w:rsidP="000D76E9">
      <w:pPr>
        <w:spacing w:after="240" w:line="240" w:lineRule="auto"/>
        <w:ind w:left="1166" w:right="619"/>
        <w:jc w:val="both"/>
        <w:rPr>
          <w:rFonts w:asciiTheme="majorHAnsi" w:hAnsiTheme="majorHAnsi"/>
          <w:szCs w:val="20"/>
          <w:lang w:val="es-US"/>
        </w:rPr>
      </w:pPr>
      <w:r w:rsidRPr="00930562">
        <w:rPr>
          <w:rFonts w:asciiTheme="majorHAnsi" w:hAnsiTheme="majorHAnsi"/>
          <w:szCs w:val="20"/>
          <w:lang w:val="es-US"/>
        </w:rPr>
        <w:t>[E] l término "discriminación" tal como se utiliza en el Pacto debe entenderse que implica cualquier distinción, exclusión, restricción o preferencia que se base en cualquier motivo, como raza, color, sexo, idioma, religión, opinión política o de otro tipo, origen nacional o social, propiedad, nacimiento u otro estado, y que tenga el propósito o el efecto de anular o menoscabar el reconocimiento, goce o ejercicio por parte de todas las personas, en pie de igualdad, de todos los derechos y libertades</w:t>
      </w:r>
      <w:r w:rsidRPr="00930562">
        <w:rPr>
          <w:rFonts w:asciiTheme="majorHAnsi" w:eastAsia="Times New Roman" w:hAnsiTheme="majorHAnsi"/>
          <w:bCs/>
          <w:vertAlign w:val="superscript"/>
          <w:lang w:val="es-US"/>
        </w:rPr>
        <w:footnoteReference w:id="431"/>
      </w:r>
      <w:r w:rsidRPr="00930562">
        <w:rPr>
          <w:rFonts w:asciiTheme="majorHAnsi" w:hAnsiTheme="majorHAnsi"/>
          <w:szCs w:val="20"/>
          <w:lang w:val="es-US"/>
        </w:rPr>
        <w:t>.</w:t>
      </w:r>
    </w:p>
    <w:p w14:paraId="78286512" w14:textId="2FF2294D"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18"/>
          <w:lang w:val="es-US"/>
        </w:rPr>
      </w:pPr>
      <w:r w:rsidRPr="00930562">
        <w:rPr>
          <w:rFonts w:asciiTheme="majorHAnsi" w:eastAsia="Times New Roman" w:hAnsiTheme="majorHAnsi"/>
          <w:szCs w:val="20"/>
          <w:lang w:val="es-US"/>
        </w:rPr>
        <w:t xml:space="preserve">Sobre la base de estos principios, el trato arbitrario y las distinciones basadas en la raza están prohibidos por el derecho internacional de los </w:t>
      </w:r>
      <w:r w:rsidRPr="00930562">
        <w:rPr>
          <w:rFonts w:asciiTheme="majorHAnsi" w:hAnsiTheme="majorHAnsi"/>
          <w:szCs w:val="18"/>
          <w:lang w:val="es-US"/>
        </w:rPr>
        <w:t>derechos</w:t>
      </w:r>
      <w:r w:rsidRPr="00930562">
        <w:rPr>
          <w:rFonts w:asciiTheme="majorHAnsi" w:eastAsia="Times New Roman" w:hAnsiTheme="majorHAnsi"/>
          <w:szCs w:val="20"/>
          <w:lang w:val="es-US"/>
        </w:rPr>
        <w:t xml:space="preserve"> humanos y deben evitarse. Las restricciones basadas en la raza deben </w:t>
      </w:r>
      <w:r w:rsidR="00694DAD" w:rsidRPr="00930562">
        <w:rPr>
          <w:rFonts w:asciiTheme="majorHAnsi" w:eastAsia="Times New Roman" w:hAnsiTheme="majorHAnsi"/>
          <w:szCs w:val="20"/>
          <w:lang w:val="es-US"/>
        </w:rPr>
        <w:t>fundamenta</w:t>
      </w:r>
      <w:r w:rsidRPr="00930562">
        <w:rPr>
          <w:rFonts w:asciiTheme="majorHAnsi" w:eastAsia="Times New Roman" w:hAnsiTheme="majorHAnsi"/>
          <w:szCs w:val="20"/>
          <w:lang w:val="es-US"/>
        </w:rPr>
        <w:t>rse en razones muy apremiantes; sobre este tema, existe una "presunción de invalidez" y la carga de la prueba recae en el Estado</w:t>
      </w:r>
      <w:r w:rsidRPr="00930562">
        <w:rPr>
          <w:rFonts w:asciiTheme="majorHAnsi" w:eastAsia="Times New Roman" w:hAnsiTheme="majorHAnsi"/>
          <w:szCs w:val="20"/>
          <w:vertAlign w:val="superscript"/>
          <w:lang w:val="es-US"/>
        </w:rPr>
        <w:footnoteReference w:id="432"/>
      </w:r>
      <w:r w:rsidRPr="00930562">
        <w:rPr>
          <w:rFonts w:asciiTheme="majorHAnsi" w:eastAsia="Times New Roman" w:hAnsiTheme="majorHAnsi"/>
          <w:szCs w:val="20"/>
          <w:lang w:val="es-US"/>
        </w:rPr>
        <w:t>. La Comisión ha subrayado que las leyes y políticas deben examinarse para garantizar que cumplan con los principios de igualdad y no discriminación; este análisis debe evaluar el potencial efecto discriminatorio incluso de disposiciones aparentemente neutrales</w:t>
      </w:r>
      <w:r w:rsidRPr="00930562">
        <w:rPr>
          <w:rFonts w:asciiTheme="majorHAnsi" w:eastAsia="Times New Roman" w:hAnsiTheme="majorHAnsi"/>
          <w:szCs w:val="20"/>
          <w:vertAlign w:val="superscript"/>
          <w:lang w:val="es-US"/>
        </w:rPr>
        <w:footnoteReference w:id="433"/>
      </w:r>
      <w:r w:rsidRPr="00930562">
        <w:rPr>
          <w:rFonts w:asciiTheme="majorHAnsi" w:eastAsia="Times New Roman" w:hAnsiTheme="majorHAnsi"/>
          <w:szCs w:val="20"/>
          <w:lang w:val="es-US"/>
        </w:rPr>
        <w:t>. Esto, a la luz del hecho de que los Estados no solo están obligados a proporcionar igual protección de la ley, sino que también deben adoptar las medidas legislativas, de política y de otra índole necesarias para garantizar el disfrute efectivo de los derechos protegidos por el Artículo II de la Declaración Americana.</w:t>
      </w:r>
      <w:r w:rsidR="005316BD" w:rsidRPr="00930562">
        <w:rPr>
          <w:rStyle w:val="FootnoteReference"/>
          <w:rFonts w:asciiTheme="majorHAnsi" w:eastAsia="Times New Roman" w:hAnsiTheme="majorHAnsi"/>
          <w:szCs w:val="20"/>
          <w:lang w:val="es-US"/>
        </w:rPr>
        <w:footnoteReference w:id="434"/>
      </w:r>
    </w:p>
    <w:p w14:paraId="40BA58E1"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eastAsia="Times New Roman" w:hAnsiTheme="majorHAnsi"/>
          <w:szCs w:val="20"/>
          <w:lang w:val="es-US"/>
        </w:rPr>
      </w:pPr>
      <w:r w:rsidRPr="00930562">
        <w:rPr>
          <w:rFonts w:asciiTheme="majorHAnsi" w:hAnsiTheme="majorHAnsi"/>
          <w:szCs w:val="20"/>
          <w:lang w:val="es-US"/>
        </w:rPr>
        <w:t xml:space="preserve">La Comisión Interamericana observa que, si bien el marco jurídico de los Estados Unidos prohíbe efectivamente que la ley sea evidentemente discriminatoria, no prohíbe en gran medida el impacto </w:t>
      </w:r>
      <w:r w:rsidRPr="00930562">
        <w:rPr>
          <w:rFonts w:asciiTheme="majorHAnsi" w:eastAsia="Times New Roman" w:hAnsiTheme="majorHAnsi"/>
          <w:szCs w:val="20"/>
          <w:lang w:val="es-US"/>
        </w:rPr>
        <w:t xml:space="preserve">desigual de las políticas aparentemente neutrales, salvo en circunstancias legales muy limitadas. En general, las medidas para prevenir, proteger y remediar los efectos de la discriminación indirecta sólo existen cuando así lo dispone la </w:t>
      </w:r>
      <w:r w:rsidRPr="00930562">
        <w:rPr>
          <w:rFonts w:asciiTheme="majorHAnsi" w:eastAsia="Times New Roman" w:hAnsiTheme="majorHAnsi"/>
          <w:szCs w:val="20"/>
          <w:lang w:val="es-US"/>
        </w:rPr>
        <w:lastRenderedPageBreak/>
        <w:t>ley, incluyendo los asuntos relacionados con empleo, vivienda y discriminación por edad</w:t>
      </w:r>
      <w:r w:rsidRPr="00930562">
        <w:rPr>
          <w:rFonts w:asciiTheme="majorHAnsi" w:eastAsia="Times New Roman" w:hAnsiTheme="majorHAnsi"/>
          <w:szCs w:val="20"/>
          <w:vertAlign w:val="superscript"/>
          <w:lang w:val="es-US"/>
        </w:rPr>
        <w:footnoteReference w:id="435"/>
      </w:r>
      <w:r w:rsidRPr="00930562">
        <w:rPr>
          <w:rFonts w:asciiTheme="majorHAnsi" w:eastAsia="Times New Roman" w:hAnsiTheme="majorHAnsi"/>
          <w:szCs w:val="20"/>
          <w:lang w:val="es-US"/>
        </w:rPr>
        <w:t>.</w:t>
      </w:r>
    </w:p>
    <w:p w14:paraId="47F07473" w14:textId="04D70B4F"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eastAsia="Times New Roman" w:hAnsiTheme="majorHAnsi"/>
          <w:szCs w:val="20"/>
          <w:lang w:val="es-US"/>
        </w:rPr>
      </w:pPr>
      <w:r w:rsidRPr="00930562">
        <w:rPr>
          <w:rFonts w:asciiTheme="majorHAnsi" w:eastAsia="Times New Roman" w:hAnsiTheme="majorHAnsi"/>
          <w:szCs w:val="20"/>
          <w:lang w:val="es-US"/>
        </w:rPr>
        <w:t xml:space="preserve">La Comisión expresa su profunda preocupación por el hecho de que la legislación de los Estados Unidos no </w:t>
      </w:r>
      <w:r w:rsidR="009540AB" w:rsidRPr="00930562">
        <w:rPr>
          <w:rFonts w:asciiTheme="majorHAnsi" w:eastAsia="Times New Roman" w:hAnsiTheme="majorHAnsi"/>
          <w:szCs w:val="20"/>
          <w:lang w:val="es-US"/>
        </w:rPr>
        <w:t>prohíbe</w:t>
      </w:r>
      <w:r w:rsidRPr="00930562">
        <w:rPr>
          <w:rFonts w:asciiTheme="majorHAnsi" w:eastAsia="Times New Roman" w:hAnsiTheme="majorHAnsi"/>
          <w:szCs w:val="20"/>
          <w:lang w:val="es-US"/>
        </w:rPr>
        <w:t xml:space="preserve"> el impacto desigual en el sistema de justicia penal. Aquí, el caso McCleskey vs. Kemp es ilustrativo</w:t>
      </w:r>
      <w:r w:rsidRPr="00930562">
        <w:rPr>
          <w:rFonts w:asciiTheme="majorHAnsi" w:eastAsia="Times New Roman" w:hAnsiTheme="majorHAnsi"/>
          <w:szCs w:val="20"/>
          <w:vertAlign w:val="superscript"/>
          <w:lang w:val="es-US"/>
        </w:rPr>
        <w:footnoteReference w:id="436"/>
      </w:r>
      <w:r w:rsidRPr="00930562">
        <w:rPr>
          <w:rFonts w:asciiTheme="majorHAnsi" w:eastAsia="Times New Roman" w:hAnsiTheme="majorHAnsi"/>
          <w:szCs w:val="20"/>
          <w:lang w:val="es-US"/>
        </w:rPr>
        <w:t>.  En McCleskey, la Corte Suprema sostuvo que el “impacto racialmente desproporcionado” de la aplicación de la pena de muerte en Georgia, como lo demuestra un estudio científico exhaustivo, no era suficiente para anular una sentencia de muerte sin probar adicionalmente un “propósito discriminatorio”, es decir, evidencia de un sesgo consciente e intencional</w:t>
      </w:r>
      <w:r w:rsidRPr="00930562">
        <w:rPr>
          <w:rFonts w:asciiTheme="majorHAnsi" w:eastAsia="Times New Roman" w:hAnsiTheme="majorHAnsi"/>
          <w:szCs w:val="20"/>
          <w:vertAlign w:val="superscript"/>
          <w:lang w:val="es-US"/>
        </w:rPr>
        <w:footnoteReference w:id="437"/>
      </w:r>
      <w:r w:rsidRPr="00930562">
        <w:rPr>
          <w:rFonts w:asciiTheme="majorHAnsi" w:eastAsia="Times New Roman" w:hAnsiTheme="majorHAnsi"/>
          <w:szCs w:val="20"/>
          <w:lang w:val="es-US"/>
        </w:rPr>
        <w:t xml:space="preserve">.  </w:t>
      </w:r>
      <w:r w:rsidR="00E914CF" w:rsidRPr="00930562">
        <w:rPr>
          <w:rFonts w:asciiTheme="majorHAnsi" w:eastAsia="Times New Roman" w:hAnsiTheme="majorHAnsi"/>
          <w:szCs w:val="20"/>
          <w:lang w:val="es-US"/>
        </w:rPr>
        <w:t>Esta decisión, que además involucra el derecho fundamental a la vida sujeto a la imposición de la pena de muerte, contradice directamente el estándar internacional, que no exige que la discriminación sea deliberada, consciente o intencional para violar los derechos humanos. A la luz del estado de la ley federal sobre este tema, la Comisión señala como un enfoque positivo el ejemplo de la Ley de Justicia Racial de Carolina del Norte (presentada en 2011 y posteriormente derogada en 2013), que permitió a los principales acusados impugnar sus condenas por motivos de prejuicio racial.</w:t>
      </w:r>
      <w:r w:rsidR="00E914CF" w:rsidRPr="00930562">
        <w:rPr>
          <w:rFonts w:asciiTheme="majorHAnsi" w:eastAsia="Times New Roman" w:hAnsiTheme="majorHAnsi"/>
          <w:vertAlign w:val="superscript"/>
          <w:lang w:val="es-US"/>
        </w:rPr>
        <w:footnoteReference w:id="438"/>
      </w:r>
      <w:r w:rsidR="00E914CF" w:rsidRPr="00930562">
        <w:rPr>
          <w:rFonts w:asciiTheme="majorHAnsi" w:eastAsia="Times New Roman" w:hAnsiTheme="majorHAnsi"/>
          <w:szCs w:val="20"/>
          <w:lang w:val="es-US"/>
        </w:rPr>
        <w:t xml:space="preserve"> </w:t>
      </w:r>
      <w:r w:rsidRPr="00930562">
        <w:rPr>
          <w:rFonts w:asciiTheme="majorHAnsi" w:eastAsia="Times New Roman" w:hAnsiTheme="majorHAnsi"/>
          <w:szCs w:val="20"/>
          <w:lang w:val="es-US"/>
        </w:rPr>
        <w:t>La Comisión recuerda que la obligación de garantizar la igualdad y la no discriminación, como ocurre con todas las normas de derechos humanos, se aplica a todos los niveles del gobierno— federal, estatal y local.</w:t>
      </w:r>
      <w:bookmarkStart w:id="183" w:name="_Ref507430134"/>
      <w:r w:rsidR="00E914CF" w:rsidRPr="00930562">
        <w:rPr>
          <w:rFonts w:asciiTheme="majorHAnsi" w:eastAsia="Times New Roman" w:hAnsiTheme="majorHAnsi"/>
          <w:szCs w:val="20"/>
          <w:lang w:val="es-US"/>
        </w:rPr>
        <w:t xml:space="preserve"> </w:t>
      </w:r>
    </w:p>
    <w:bookmarkEnd w:id="183"/>
    <w:p w14:paraId="6EB028E8" w14:textId="05DDAFA2"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eastAsia="Times New Roman" w:hAnsiTheme="majorHAnsi"/>
          <w:szCs w:val="20"/>
          <w:lang w:val="es-US"/>
        </w:rPr>
      </w:pPr>
      <w:r w:rsidRPr="00930562">
        <w:rPr>
          <w:rFonts w:asciiTheme="majorHAnsi" w:eastAsia="Times New Roman" w:hAnsiTheme="majorHAnsi"/>
          <w:szCs w:val="20"/>
          <w:lang w:val="es-US"/>
        </w:rPr>
        <w:t>La Comisión observa y se hace eco de la preocupación del Comité para la Eliminación de la Discriminación Racial sobre el alcance y la aplicabilidad limitad</w:t>
      </w:r>
      <w:r w:rsidR="001240C6" w:rsidRPr="00930562">
        <w:rPr>
          <w:rFonts w:asciiTheme="majorHAnsi" w:eastAsia="Times New Roman" w:hAnsiTheme="majorHAnsi"/>
          <w:szCs w:val="20"/>
          <w:lang w:val="es-US"/>
        </w:rPr>
        <w:t>a</w:t>
      </w:r>
      <w:r w:rsidRPr="00930562">
        <w:rPr>
          <w:rFonts w:asciiTheme="majorHAnsi" w:eastAsia="Times New Roman" w:hAnsiTheme="majorHAnsi"/>
          <w:szCs w:val="20"/>
          <w:lang w:val="es-US"/>
        </w:rPr>
        <w:t xml:space="preserve"> de la doctrina de los efectos desiguales en los Estados Unidos; en particular, por el hecho de que no está en consonancia con el deber del Estado de “prohibir y eliminar la discriminación racial en todas sus formas, incluyendo prácticas y legislación que puedan no ser discriminatorias en sus propósitos, pero que sean discriminatorias en sus efectos”</w:t>
      </w:r>
      <w:r w:rsidRPr="00930562">
        <w:rPr>
          <w:rFonts w:asciiTheme="majorHAnsi" w:eastAsia="Times New Roman" w:hAnsiTheme="majorHAnsi"/>
          <w:szCs w:val="20"/>
          <w:vertAlign w:val="superscript"/>
          <w:lang w:val="es-US"/>
        </w:rPr>
        <w:footnoteReference w:id="439"/>
      </w:r>
      <w:r w:rsidRPr="00930562">
        <w:rPr>
          <w:rFonts w:asciiTheme="majorHAnsi" w:eastAsia="Times New Roman" w:hAnsiTheme="majorHAnsi"/>
          <w:szCs w:val="20"/>
          <w:lang w:val="es-US"/>
        </w:rPr>
        <w:t xml:space="preserve">. La Comisión reitera la obligación de los Estados Unidos de adoptar todas las </w:t>
      </w:r>
      <w:r w:rsidRPr="00930562">
        <w:rPr>
          <w:rFonts w:asciiTheme="majorHAnsi" w:eastAsia="Times New Roman" w:hAnsiTheme="majorHAnsi"/>
          <w:szCs w:val="20"/>
          <w:lang w:val="es-US"/>
        </w:rPr>
        <w:lastRenderedPageBreak/>
        <w:t>medidas jurídicas y administrativas necesarias, incluyendo la reforma jurídica, con el fin de reconocer y garantizar la igualdad efectiva de todas las personas ante la ley</w:t>
      </w:r>
      <w:r w:rsidRPr="00930562">
        <w:rPr>
          <w:rFonts w:asciiTheme="majorHAnsi" w:eastAsia="Times New Roman" w:hAnsiTheme="majorHAnsi"/>
          <w:szCs w:val="20"/>
          <w:vertAlign w:val="superscript"/>
          <w:lang w:val="es-US"/>
        </w:rPr>
        <w:footnoteReference w:id="440"/>
      </w:r>
      <w:r w:rsidRPr="00930562">
        <w:rPr>
          <w:rFonts w:asciiTheme="majorHAnsi" w:eastAsia="Times New Roman" w:hAnsiTheme="majorHAnsi"/>
          <w:szCs w:val="20"/>
          <w:lang w:val="es-US"/>
        </w:rPr>
        <w:t>. Adicionalmente, la Comisión reitera la obligación positiva del Estado de adoptar medidas especiales para garantizar condiciones de verdadera igualdad para los afroamericanos y otros grupos históricamente marginados.</w:t>
      </w:r>
    </w:p>
    <w:p w14:paraId="771E30E8"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eastAsia="Times New Roman" w:hAnsiTheme="majorHAnsi"/>
          <w:szCs w:val="20"/>
          <w:lang w:val="es-US"/>
        </w:rPr>
      </w:pPr>
      <w:r w:rsidRPr="00930562">
        <w:rPr>
          <w:rFonts w:asciiTheme="majorHAnsi" w:eastAsia="Times New Roman" w:hAnsiTheme="majorHAnsi"/>
          <w:szCs w:val="20"/>
          <w:lang w:val="es-US"/>
        </w:rPr>
        <w:t>Asimismo, la Comisión resalta las prácticas discriminatorias institucionalizadas de aplicación de la ley que dan lugar a un trato diferente por motivos de raza, etnia, origen nacional u otra categoría sospechosa, incluidos los programas y patrones de "detención y registro" de la policía y el uso policial de la fuerza que tienen un impacto desproporcionado en los grupos históricamente marginados, son presuntamente incompatibles con la Declaración Americana como una forma de discriminación racial y, en ciertas circunstancias, pueden constituir además una violación de la prohibición de trato inhumano y degradante. El Comité para la Eliminación de la Discriminación Racial descubrió anteriormente que "los Estados Partes deben tomar todas las medidas necesarias para evitar interrogatorios, detenciones y registros que se basen únicamente en la apariencia física, el color, las características, la raza o la etnia o algún otro perfil que haga que un individuo esté sujeto a un mayor grado de sospecha”</w:t>
      </w:r>
      <w:r w:rsidRPr="00930562">
        <w:rPr>
          <w:rFonts w:asciiTheme="majorHAnsi" w:eastAsia="Times New Roman" w:hAnsiTheme="majorHAnsi"/>
          <w:szCs w:val="20"/>
          <w:vertAlign w:val="superscript"/>
          <w:lang w:val="es-US"/>
        </w:rPr>
        <w:footnoteReference w:id="441"/>
      </w:r>
      <w:r w:rsidRPr="00930562">
        <w:rPr>
          <w:rFonts w:asciiTheme="majorHAnsi" w:eastAsia="Times New Roman" w:hAnsiTheme="majorHAnsi"/>
          <w:szCs w:val="20"/>
          <w:lang w:val="es-US"/>
        </w:rPr>
        <w:t>. En este sentido, Estados Unidos está obligado a tomar medidas positivas para erradicar las políticas que tienen un impacto discriminatorio.</w:t>
      </w:r>
    </w:p>
    <w:p w14:paraId="5C473262" w14:textId="783B880F"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eastAsia="Times New Roman" w:hAnsiTheme="majorHAnsi"/>
          <w:szCs w:val="20"/>
          <w:lang w:val="es-US"/>
        </w:rPr>
        <w:t>A la luz de las obligaciones complementarias de prohibir la discriminación racial y garantizar la igualdad, la Comisión reitera la necesidad de que los Estados reconozcan y aborden la existencia de perfiles policiales y prácticas que son perjudiciales para los grupos históricamente marginados.</w:t>
      </w:r>
      <w:r w:rsidR="00E914CF" w:rsidRPr="00930562">
        <w:rPr>
          <w:rFonts w:asciiTheme="majorHAnsi" w:eastAsia="Times New Roman" w:hAnsiTheme="majorHAnsi"/>
          <w:vertAlign w:val="superscript"/>
          <w:lang w:val="es-US"/>
        </w:rPr>
        <w:footnoteReference w:id="442"/>
      </w:r>
      <w:r w:rsidRPr="00930562">
        <w:rPr>
          <w:rFonts w:asciiTheme="majorHAnsi" w:eastAsia="Times New Roman" w:hAnsiTheme="majorHAnsi"/>
          <w:szCs w:val="20"/>
          <w:lang w:val="es-US"/>
        </w:rPr>
        <w:t xml:space="preserve"> Esto implica la adopción de políticas y pasos de prevención efectivos, y la implementación de mecanismos de rendición de cuentas apropiados e independientes para los agentes de policía que participan en estas prácticas. Además, la Comisión destaca la importancia d</w:t>
      </w:r>
      <w:r w:rsidRPr="00930562">
        <w:rPr>
          <w:rFonts w:asciiTheme="majorHAnsi" w:hAnsiTheme="majorHAnsi"/>
          <w:szCs w:val="20"/>
          <w:lang w:val="es-US"/>
        </w:rPr>
        <w:t>e la capacitación de oficiales de policía guiada por los principios de legalidad, necesidad absoluta y proporcionalidad en el uso de la fuerza, y el diseño de protocolos que estén en consonancia con las obligaciones de los Estados Unidos en materia de derechos humanos.</w:t>
      </w:r>
    </w:p>
    <w:p w14:paraId="3264CE6A" w14:textId="0BF4265D" w:rsidR="006E177E" w:rsidRPr="00930562" w:rsidRDefault="006E177E" w:rsidP="00724857">
      <w:pPr>
        <w:keepNext/>
        <w:keepLines/>
        <w:numPr>
          <w:ilvl w:val="0"/>
          <w:numId w:val="3"/>
        </w:numPr>
        <w:spacing w:before="480" w:after="360" w:line="240" w:lineRule="auto"/>
        <w:ind w:hanging="720"/>
        <w:outlineLvl w:val="1"/>
        <w:rPr>
          <w:rFonts w:asciiTheme="majorHAnsi" w:eastAsia="MS Gothic" w:hAnsiTheme="majorHAnsi"/>
          <w:b/>
          <w:i/>
          <w:sz w:val="28"/>
          <w:lang w:val="es-US"/>
        </w:rPr>
      </w:pPr>
      <w:bookmarkStart w:id="184" w:name="_Toc517779252"/>
      <w:bookmarkStart w:id="185" w:name="_Toc531514485"/>
      <w:r w:rsidRPr="00930562">
        <w:rPr>
          <w:rFonts w:asciiTheme="majorHAnsi" w:eastAsia="MS Gothic" w:hAnsiTheme="majorHAnsi"/>
          <w:b/>
          <w:bCs/>
          <w:i/>
          <w:iCs/>
          <w:sz w:val="28"/>
          <w:lang w:val="es-US"/>
        </w:rPr>
        <w:lastRenderedPageBreak/>
        <w:t xml:space="preserve">Marco </w:t>
      </w:r>
      <w:r w:rsidR="009B3621" w:rsidRPr="00930562">
        <w:rPr>
          <w:rFonts w:asciiTheme="majorHAnsi" w:eastAsia="MS Gothic" w:hAnsiTheme="majorHAnsi"/>
          <w:b/>
          <w:bCs/>
          <w:i/>
          <w:iCs/>
          <w:sz w:val="28"/>
          <w:lang w:val="es-US"/>
        </w:rPr>
        <w:t>I</w:t>
      </w:r>
      <w:r w:rsidRPr="00930562">
        <w:rPr>
          <w:rFonts w:asciiTheme="majorHAnsi" w:eastAsia="MS Gothic" w:hAnsiTheme="majorHAnsi"/>
          <w:b/>
          <w:bCs/>
          <w:i/>
          <w:iCs/>
          <w:sz w:val="28"/>
          <w:lang w:val="es-US"/>
        </w:rPr>
        <w:t xml:space="preserve">nternacional relativo al </w:t>
      </w:r>
      <w:r w:rsidR="000D76E9" w:rsidRPr="00930562">
        <w:rPr>
          <w:rFonts w:asciiTheme="majorHAnsi" w:eastAsia="MS Gothic" w:hAnsiTheme="majorHAnsi"/>
          <w:b/>
          <w:bCs/>
          <w:i/>
          <w:iCs/>
          <w:sz w:val="28"/>
          <w:lang w:val="es-US"/>
        </w:rPr>
        <w:t>uso de la fuerza: legalidad, absoluta necesidad, y proporcionalidad</w:t>
      </w:r>
      <w:bookmarkEnd w:id="184"/>
      <w:bookmarkEnd w:id="185"/>
    </w:p>
    <w:p w14:paraId="604F992A" w14:textId="79493AD2"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eastAsia="Times New Roman" w:hAnsiTheme="majorHAnsi"/>
          <w:szCs w:val="20"/>
          <w:lang w:val="es-US"/>
        </w:rPr>
      </w:pPr>
      <w:r w:rsidRPr="00930562">
        <w:rPr>
          <w:rFonts w:asciiTheme="majorHAnsi" w:hAnsiTheme="majorHAnsi"/>
          <w:szCs w:val="20"/>
          <w:lang w:val="es-US"/>
        </w:rPr>
        <w:t xml:space="preserve">Cada Estado de las </w:t>
      </w:r>
      <w:r w:rsidRPr="00930562">
        <w:rPr>
          <w:rFonts w:asciiTheme="majorHAnsi" w:eastAsia="Times New Roman" w:hAnsiTheme="majorHAnsi"/>
          <w:szCs w:val="20"/>
          <w:lang w:val="es-US"/>
        </w:rPr>
        <w:t>Américas tiene la obligación de garantizar la seguridad y salvaguardar el orden público</w:t>
      </w:r>
      <w:r w:rsidRPr="00930562">
        <w:rPr>
          <w:rFonts w:asciiTheme="majorHAnsi" w:eastAsia="Times New Roman" w:hAnsiTheme="majorHAnsi"/>
          <w:szCs w:val="20"/>
          <w:vertAlign w:val="superscript"/>
          <w:lang w:val="es-US"/>
        </w:rPr>
        <w:footnoteReference w:id="443"/>
      </w:r>
      <w:r w:rsidRPr="00930562">
        <w:rPr>
          <w:rFonts w:asciiTheme="majorHAnsi" w:eastAsia="Times New Roman" w:hAnsiTheme="majorHAnsi"/>
          <w:szCs w:val="20"/>
          <w:lang w:val="es-US"/>
        </w:rPr>
        <w:t>y por lo tanto, la facultad de hacer uso de la fuerza para garantizar esos fines; sin embargo, esta facultad está limitada por la observancia de los derechos humanos</w:t>
      </w:r>
      <w:r w:rsidRPr="00930562">
        <w:rPr>
          <w:rFonts w:asciiTheme="majorHAnsi" w:eastAsia="Times New Roman" w:hAnsiTheme="majorHAnsi"/>
          <w:szCs w:val="20"/>
          <w:vertAlign w:val="superscript"/>
          <w:lang w:val="es-US"/>
        </w:rPr>
        <w:footnoteReference w:id="444"/>
      </w:r>
      <w:r w:rsidRPr="00930562">
        <w:rPr>
          <w:rFonts w:asciiTheme="majorHAnsi" w:eastAsia="Times New Roman" w:hAnsiTheme="majorHAnsi"/>
          <w:szCs w:val="20"/>
          <w:lang w:val="es-US"/>
        </w:rPr>
        <w:t>. Los derechos fundamentales a la vida y a la seguridad personal</w:t>
      </w:r>
      <w:r w:rsidRPr="00930562">
        <w:rPr>
          <w:rFonts w:asciiTheme="majorHAnsi" w:eastAsia="Times New Roman" w:hAnsiTheme="majorHAnsi"/>
          <w:szCs w:val="20"/>
          <w:vertAlign w:val="superscript"/>
          <w:lang w:val="es-US"/>
        </w:rPr>
        <w:footnoteReference w:id="445"/>
      </w:r>
      <w:r w:rsidRPr="00930562">
        <w:rPr>
          <w:rFonts w:asciiTheme="majorHAnsi" w:eastAsia="Times New Roman" w:hAnsiTheme="majorHAnsi"/>
          <w:szCs w:val="20"/>
          <w:lang w:val="es-US"/>
        </w:rPr>
        <w:t>, la igualdad ante la ley</w:t>
      </w:r>
      <w:r w:rsidRPr="00930562">
        <w:rPr>
          <w:rFonts w:asciiTheme="majorHAnsi" w:eastAsia="Times New Roman" w:hAnsiTheme="majorHAnsi"/>
          <w:szCs w:val="20"/>
          <w:vertAlign w:val="superscript"/>
          <w:lang w:val="es-US"/>
        </w:rPr>
        <w:footnoteReference w:id="446"/>
      </w:r>
      <w:r w:rsidRPr="00930562">
        <w:rPr>
          <w:rFonts w:asciiTheme="majorHAnsi" w:eastAsia="Times New Roman" w:hAnsiTheme="majorHAnsi"/>
          <w:szCs w:val="20"/>
          <w:lang w:val="es-US"/>
        </w:rPr>
        <w:t>, el debido proceso legal</w:t>
      </w:r>
      <w:r w:rsidRPr="00930562">
        <w:rPr>
          <w:rFonts w:asciiTheme="majorHAnsi" w:eastAsia="Times New Roman" w:hAnsiTheme="majorHAnsi"/>
          <w:szCs w:val="20"/>
          <w:vertAlign w:val="superscript"/>
          <w:lang w:val="es-US"/>
        </w:rPr>
        <w:footnoteReference w:id="447"/>
      </w:r>
      <w:r w:rsidRPr="00930562">
        <w:rPr>
          <w:rFonts w:asciiTheme="majorHAnsi" w:eastAsia="Times New Roman" w:hAnsiTheme="majorHAnsi"/>
          <w:szCs w:val="20"/>
          <w:lang w:val="es-US"/>
        </w:rPr>
        <w:t xml:space="preserve"> y el derecho a no ser sometido a tortura y malos tratos</w:t>
      </w:r>
      <w:r w:rsidRPr="00930562">
        <w:rPr>
          <w:rFonts w:asciiTheme="majorHAnsi" w:eastAsia="Times New Roman" w:hAnsiTheme="majorHAnsi"/>
          <w:szCs w:val="20"/>
          <w:vertAlign w:val="superscript"/>
          <w:lang w:val="es-US"/>
        </w:rPr>
        <w:footnoteReference w:id="448"/>
      </w:r>
      <w:r w:rsidRPr="00930562">
        <w:rPr>
          <w:rFonts w:asciiTheme="majorHAnsi" w:eastAsia="Times New Roman" w:hAnsiTheme="majorHAnsi"/>
          <w:szCs w:val="20"/>
          <w:lang w:val="es-US"/>
        </w:rPr>
        <w:t>, entre otros, requieren no sólo la obligación negativa del Estado de abstenerse de violar esos derechos, sino que también exigen la protección y preservación de esos derechos. Así pues, las medidas adoptadas por el Estado en el cumplimiento de sus obligaciones en materia de seguridad y de orden público deben garantizar que todo riesgo para derechos básicos se reduzca al mínimo asegurando el estricto cumplimiento de los principios y normas internacionales que se exponen a continuación</w:t>
      </w:r>
      <w:r w:rsidRPr="00930562">
        <w:rPr>
          <w:rFonts w:asciiTheme="majorHAnsi" w:eastAsia="Times New Roman" w:hAnsiTheme="majorHAnsi"/>
          <w:szCs w:val="20"/>
          <w:vertAlign w:val="superscript"/>
          <w:lang w:val="es-US"/>
        </w:rPr>
        <w:footnoteReference w:id="449"/>
      </w:r>
      <w:r w:rsidRPr="00930562">
        <w:rPr>
          <w:rFonts w:asciiTheme="majorHAnsi" w:eastAsia="Times New Roman" w:hAnsiTheme="majorHAnsi"/>
          <w:szCs w:val="20"/>
          <w:lang w:val="es-US"/>
        </w:rPr>
        <w:t>.</w:t>
      </w:r>
    </w:p>
    <w:p w14:paraId="68B3C63C"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eastAsia="Times New Roman" w:hAnsiTheme="majorHAnsi"/>
          <w:szCs w:val="20"/>
          <w:lang w:val="es-US"/>
        </w:rPr>
      </w:pPr>
      <w:r w:rsidRPr="00930562">
        <w:rPr>
          <w:rFonts w:asciiTheme="majorHAnsi" w:eastAsia="Times New Roman" w:hAnsiTheme="majorHAnsi"/>
          <w:szCs w:val="20"/>
          <w:lang w:val="es-US"/>
        </w:rPr>
        <w:t>El uso de la fuerza tiene que ser excepcional y guiarse por los principios de legalidad, absoluta necesidad y proporcionalidad</w:t>
      </w:r>
      <w:r w:rsidRPr="00930562">
        <w:rPr>
          <w:rFonts w:asciiTheme="majorHAnsi" w:eastAsia="Times New Roman" w:hAnsiTheme="majorHAnsi"/>
          <w:szCs w:val="20"/>
          <w:vertAlign w:val="superscript"/>
          <w:lang w:val="es-US"/>
        </w:rPr>
        <w:footnoteReference w:id="450"/>
      </w:r>
      <w:r w:rsidRPr="00930562">
        <w:rPr>
          <w:rFonts w:asciiTheme="majorHAnsi" w:eastAsia="Times New Roman" w:hAnsiTheme="majorHAnsi"/>
          <w:szCs w:val="20"/>
          <w:lang w:val="es-US"/>
        </w:rPr>
        <w:t>. Conjuntamente, estos principios llevan a la conclusión de que “el uso de la fuerza es un recurso último que, limitado cualitativa y cuantitativamente, pretende impedir un hecho de mayor gravedad que el que provoca la reacción estatal</w:t>
      </w:r>
      <w:proofErr w:type="gramStart"/>
      <w:r w:rsidRPr="00930562">
        <w:rPr>
          <w:rFonts w:asciiTheme="majorHAnsi" w:eastAsia="Times New Roman" w:hAnsiTheme="majorHAnsi"/>
          <w:szCs w:val="20"/>
          <w:lang w:val="es-US"/>
        </w:rPr>
        <w:t xml:space="preserve">” </w:t>
      </w:r>
      <w:proofErr w:type="gramEnd"/>
      <w:r w:rsidRPr="00930562">
        <w:rPr>
          <w:rFonts w:asciiTheme="majorHAnsi" w:eastAsia="Times New Roman" w:hAnsiTheme="majorHAnsi"/>
          <w:szCs w:val="20"/>
          <w:vertAlign w:val="superscript"/>
          <w:lang w:val="es-US"/>
        </w:rPr>
        <w:footnoteReference w:id="451"/>
      </w:r>
      <w:r w:rsidRPr="00930562">
        <w:rPr>
          <w:rFonts w:asciiTheme="majorHAnsi" w:eastAsia="Times New Roman" w:hAnsiTheme="majorHAnsi"/>
          <w:szCs w:val="20"/>
          <w:lang w:val="es-US"/>
        </w:rPr>
        <w:t>.</w:t>
      </w:r>
    </w:p>
    <w:p w14:paraId="53C8CDCD"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eastAsia="Times New Roman" w:hAnsiTheme="majorHAnsi"/>
          <w:szCs w:val="20"/>
          <w:lang w:val="es-US"/>
        </w:rPr>
        <w:lastRenderedPageBreak/>
        <w:t>De acuerdo el Código de Conducta para funcionarios encargados de hacer cumplir la ley  (“Código de Conducta de la ONU”), adoptado por la Asamblea General de la ONU en 1979, y los Principios Básicos sobre el Empleo de la Fuerza y de Armas de Fuego por los Funcionarios Encargados de Hacer Cumplir la Ley (“Principios Básicos de la ONU sobre empleo de la fuerza”) de 1990, los funcionarios encargados de</w:t>
      </w:r>
      <w:r w:rsidRPr="00930562">
        <w:rPr>
          <w:rFonts w:asciiTheme="majorHAnsi" w:hAnsiTheme="majorHAnsi"/>
          <w:szCs w:val="18"/>
          <w:lang w:val="es-US"/>
        </w:rPr>
        <w:t xml:space="preserve"> hacer cumplir la ley pueden usar la fuerza sólo cuando sea estrictamente necesario</w:t>
      </w:r>
      <w:r w:rsidRPr="00930562">
        <w:rPr>
          <w:rFonts w:asciiTheme="majorHAnsi" w:eastAsia="Times New Roman" w:hAnsiTheme="majorHAnsi"/>
          <w:szCs w:val="20"/>
          <w:vertAlign w:val="superscript"/>
          <w:lang w:val="es-US" w:eastAsia="es-ES"/>
        </w:rPr>
        <w:footnoteReference w:id="452"/>
      </w:r>
      <w:r w:rsidRPr="00930562">
        <w:rPr>
          <w:rFonts w:asciiTheme="majorHAnsi" w:hAnsiTheme="majorHAnsi"/>
          <w:szCs w:val="18"/>
          <w:lang w:val="es-US"/>
        </w:rPr>
        <w:t xml:space="preserve">. De acuerdo con los Principios Básicos: </w:t>
      </w:r>
    </w:p>
    <w:p w14:paraId="598C21CA" w14:textId="77777777" w:rsidR="006E177E" w:rsidRPr="00930562" w:rsidRDefault="006E177E" w:rsidP="000D76E9">
      <w:pPr>
        <w:autoSpaceDE w:val="0"/>
        <w:autoSpaceDN w:val="0"/>
        <w:adjustRightInd w:val="0"/>
        <w:spacing w:after="240" w:line="240" w:lineRule="auto"/>
        <w:ind w:left="1166" w:right="619"/>
        <w:jc w:val="both"/>
        <w:rPr>
          <w:rFonts w:asciiTheme="majorHAnsi" w:eastAsia="Cambria" w:hAnsiTheme="majorHAnsi"/>
          <w:szCs w:val="18"/>
          <w:lang w:val="es-US"/>
        </w:rPr>
      </w:pPr>
      <w:r w:rsidRPr="00930562">
        <w:rPr>
          <w:rFonts w:asciiTheme="majorHAnsi" w:eastAsia="Cambria" w:hAnsiTheme="majorHAnsi"/>
          <w:szCs w:val="18"/>
          <w:lang w:val="es-US"/>
        </w:rPr>
        <w:t>Los funcionarios encargados de hacer cumplir la ley no emplearán armas de fuego contra las personas salvo en defensa propia o de otras personas, en caso de peligro inminente de muerte o lesiones graves, o con el propósito de evitar la comisión de un delito particularmente grave que entrañe una seria amenaza para la vida, o con el objeto de detener a una persona que represente ese peligro y oponga resistencia a su autoridad, o para impedir su fuga, y sólo en caso de que resulten insuficientes medidas menos extremas para lograr dichos objetivos. En cualquier caso, sólo se podrá hacer uso intencional de armas letales cuando sea estrictamente inevitable para proteger una vida</w:t>
      </w:r>
      <w:r w:rsidRPr="00930562">
        <w:rPr>
          <w:rFonts w:asciiTheme="majorHAnsi" w:eastAsia="Cambria" w:hAnsiTheme="majorHAnsi"/>
          <w:szCs w:val="18"/>
          <w:vertAlign w:val="superscript"/>
          <w:lang w:val="es-US"/>
        </w:rPr>
        <w:footnoteReference w:id="453"/>
      </w:r>
      <w:r w:rsidRPr="00930562">
        <w:rPr>
          <w:rFonts w:asciiTheme="majorHAnsi" w:eastAsia="Cambria" w:hAnsiTheme="majorHAnsi"/>
          <w:szCs w:val="18"/>
          <w:lang w:val="es-US"/>
        </w:rPr>
        <w:t>.</w:t>
      </w:r>
    </w:p>
    <w:p w14:paraId="6FF926EF" w14:textId="6DA74496"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eastAsia="Times New Roman" w:hAnsiTheme="majorHAnsi"/>
          <w:szCs w:val="20"/>
          <w:lang w:val="es-US"/>
        </w:rPr>
      </w:pPr>
      <w:r w:rsidRPr="00930562">
        <w:rPr>
          <w:rFonts w:asciiTheme="majorHAnsi" w:hAnsiTheme="majorHAnsi"/>
          <w:szCs w:val="20"/>
          <w:lang w:val="es-US"/>
        </w:rPr>
        <w:t>Como punto preliminar, el principio de legalidad exige que el uso excepcional de la fuerza letal por parte de agentes del Estado se regule por ley de manera suficientemente clara y se interprete en sentido estricto para reducir al mínimo su uso en cualquier circunstancia</w:t>
      </w:r>
      <w:r w:rsidRPr="00930562">
        <w:rPr>
          <w:rFonts w:asciiTheme="majorHAnsi" w:hAnsiTheme="majorHAnsi"/>
          <w:szCs w:val="20"/>
          <w:vertAlign w:val="superscript"/>
          <w:lang w:val="es-US"/>
        </w:rPr>
        <w:footnoteReference w:id="454"/>
      </w:r>
      <w:r w:rsidRPr="00930562">
        <w:rPr>
          <w:rFonts w:asciiTheme="majorHAnsi" w:hAnsiTheme="majorHAnsi"/>
          <w:szCs w:val="20"/>
          <w:lang w:val="es-US"/>
        </w:rPr>
        <w:t>.</w:t>
      </w:r>
      <w:r w:rsidRPr="00930562">
        <w:rPr>
          <w:rFonts w:asciiTheme="majorHAnsi" w:hAnsiTheme="majorHAnsi"/>
          <w:sz w:val="16"/>
          <w:szCs w:val="16"/>
          <w:lang w:val="es-US"/>
        </w:rPr>
        <w:t xml:space="preserve"> </w:t>
      </w:r>
      <w:r w:rsidRPr="00930562">
        <w:rPr>
          <w:rFonts w:asciiTheme="majorHAnsi" w:hAnsiTheme="majorHAnsi"/>
          <w:szCs w:val="20"/>
          <w:lang w:val="es-US"/>
        </w:rPr>
        <w:t xml:space="preserve">La reglamentación interna es de particular importancia en este contexto; como ha afirmado el Relator Especial sobre las ejecuciones extrajudiciales, “la pertinencia de la legislación interna reside concretamente en el hecho </w:t>
      </w:r>
      <w:r w:rsidRPr="00930562">
        <w:rPr>
          <w:rFonts w:asciiTheme="majorHAnsi" w:eastAsia="Times New Roman" w:hAnsiTheme="majorHAnsi"/>
          <w:szCs w:val="20"/>
          <w:lang w:val="es-US"/>
        </w:rPr>
        <w:t xml:space="preserve">de que las leyes de cada Estado constituyen la primera línea de defensa para la protección del derecho a la vida y, en muchos casos, en la práctica también la última”, porque el contenido del derecho interno enmarca y determina la responsabilidad legal y los recursos disponibles para el uso excesivo de la </w:t>
      </w:r>
      <w:r w:rsidRPr="00930562">
        <w:rPr>
          <w:rFonts w:asciiTheme="majorHAnsi" w:eastAsia="Times New Roman" w:hAnsiTheme="majorHAnsi"/>
          <w:szCs w:val="20"/>
          <w:lang w:val="es-US"/>
        </w:rPr>
        <w:lastRenderedPageBreak/>
        <w:t>fuerza</w:t>
      </w:r>
      <w:r w:rsidRPr="00930562">
        <w:rPr>
          <w:rFonts w:asciiTheme="majorHAnsi" w:eastAsia="Times New Roman" w:hAnsiTheme="majorHAnsi"/>
          <w:szCs w:val="20"/>
          <w:vertAlign w:val="superscript"/>
          <w:lang w:val="es-US"/>
        </w:rPr>
        <w:footnoteReference w:id="455"/>
      </w:r>
      <w:r w:rsidRPr="00930562">
        <w:rPr>
          <w:rFonts w:asciiTheme="majorHAnsi" w:eastAsia="Times New Roman" w:hAnsiTheme="majorHAnsi"/>
          <w:szCs w:val="20"/>
          <w:lang w:val="es-US"/>
        </w:rPr>
        <w:t>. En este sentido, la Corte Interamericana ha establecido la obligación del Estado de adaptar la legislación interna y “vigilar que sus cuerpos de seguridad, a quienes les está atribuido el uso de la fuerza legítima, respeten el derecho a la vida de quienes se encuentren bajo su jurisdicción”</w:t>
      </w:r>
      <w:r w:rsidRPr="00930562">
        <w:rPr>
          <w:rFonts w:asciiTheme="majorHAnsi" w:eastAsia="Times New Roman" w:hAnsiTheme="majorHAnsi"/>
          <w:szCs w:val="20"/>
          <w:vertAlign w:val="superscript"/>
          <w:lang w:val="es-US"/>
        </w:rPr>
        <w:footnoteReference w:id="456"/>
      </w:r>
      <w:r w:rsidRPr="00930562">
        <w:rPr>
          <w:rFonts w:asciiTheme="majorHAnsi" w:eastAsia="Times New Roman" w:hAnsiTheme="majorHAnsi"/>
          <w:szCs w:val="20"/>
          <w:lang w:val="es-US"/>
        </w:rPr>
        <w:t xml:space="preserve">. Asimismo, “el Estado debe ser claro al momento de demarcar las políticas internas tratándose del uso de la fuerza y buscar estrategias para implementar los Principios sobre empleo de la fuerza y Código de </w:t>
      </w:r>
      <w:r w:rsidR="00AE45BF" w:rsidRPr="00930562">
        <w:rPr>
          <w:rFonts w:asciiTheme="majorHAnsi" w:eastAsia="Times New Roman" w:hAnsiTheme="majorHAnsi"/>
          <w:szCs w:val="20"/>
          <w:lang w:val="es-US"/>
        </w:rPr>
        <w:t>C</w:t>
      </w:r>
      <w:r w:rsidR="004C5CDF">
        <w:rPr>
          <w:rFonts w:asciiTheme="majorHAnsi" w:eastAsia="Times New Roman" w:hAnsiTheme="majorHAnsi"/>
          <w:szCs w:val="20"/>
          <w:lang w:val="es-US"/>
        </w:rPr>
        <w:t>onducta”</w:t>
      </w:r>
      <w:r w:rsidRPr="00930562">
        <w:rPr>
          <w:rFonts w:asciiTheme="majorHAnsi" w:eastAsia="Times New Roman" w:hAnsiTheme="majorHAnsi"/>
          <w:szCs w:val="20"/>
          <w:vertAlign w:val="superscript"/>
          <w:lang w:val="es-US"/>
        </w:rPr>
        <w:footnoteReference w:id="457"/>
      </w:r>
      <w:r w:rsidRPr="004C5CDF">
        <w:rPr>
          <w:rFonts w:asciiTheme="majorHAnsi" w:eastAsia="Times New Roman" w:hAnsiTheme="majorHAnsi"/>
          <w:szCs w:val="20"/>
          <w:lang w:val="es-US"/>
        </w:rPr>
        <w:t>.</w:t>
      </w:r>
      <w:r w:rsidRPr="00930562">
        <w:rPr>
          <w:rFonts w:asciiTheme="majorHAnsi" w:eastAsia="Times New Roman" w:hAnsiTheme="majorHAnsi"/>
          <w:szCs w:val="20"/>
          <w:lang w:val="es-US"/>
        </w:rPr>
        <w:t xml:space="preserve"> </w:t>
      </w:r>
    </w:p>
    <w:p w14:paraId="445795E3"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18"/>
          <w:lang w:val="es-US"/>
        </w:rPr>
      </w:pPr>
      <w:r w:rsidRPr="00930562">
        <w:rPr>
          <w:rFonts w:asciiTheme="majorHAnsi" w:eastAsia="Times New Roman" w:hAnsiTheme="majorHAnsi"/>
          <w:szCs w:val="20"/>
          <w:lang w:val="es-US"/>
        </w:rPr>
        <w:t>El principio de legalidad también requiere la regulación de los tipos de armas de fuego y municiones permitidas.  Los Principios Básicos</w:t>
      </w:r>
      <w:r w:rsidRPr="00930562">
        <w:rPr>
          <w:rFonts w:asciiTheme="majorHAnsi" w:hAnsiTheme="majorHAnsi"/>
          <w:szCs w:val="18"/>
          <w:lang w:val="es-US"/>
        </w:rPr>
        <w:t xml:space="preserve"> de la ONU sobre el Empleo de la Fuerza establecen que estas normas deberían:</w:t>
      </w:r>
    </w:p>
    <w:p w14:paraId="6F1DF111" w14:textId="24A315E0" w:rsidR="006E177E" w:rsidRPr="00930562" w:rsidRDefault="006E177E" w:rsidP="00724857">
      <w:pPr>
        <w:numPr>
          <w:ilvl w:val="1"/>
          <w:numId w:val="12"/>
        </w:numPr>
        <w:shd w:val="clear" w:color="auto" w:fill="FFFFFF"/>
        <w:spacing w:after="120" w:line="240" w:lineRule="auto"/>
        <w:ind w:left="1080" w:hanging="540"/>
        <w:jc w:val="both"/>
        <w:rPr>
          <w:rFonts w:asciiTheme="majorHAnsi" w:eastAsia="MS Mincho" w:hAnsiTheme="majorHAnsi"/>
          <w:color w:val="000000"/>
          <w:szCs w:val="20"/>
          <w:lang w:val="es-US" w:eastAsia="es-ES"/>
        </w:rPr>
      </w:pPr>
      <w:r w:rsidRPr="00930562">
        <w:rPr>
          <w:rFonts w:asciiTheme="majorHAnsi" w:eastAsia="MS Mincho" w:hAnsiTheme="majorHAnsi"/>
          <w:color w:val="000000"/>
          <w:szCs w:val="20"/>
          <w:lang w:val="es-US" w:eastAsia="es-ES"/>
        </w:rPr>
        <w:t>especifi[car] las circunstancias en que tales funcionarios estarían autorizados a portar armas de fuego y prescriban los tipos de armas de fuego o municiones autorizados;</w:t>
      </w:r>
    </w:p>
    <w:p w14:paraId="6AB5FD94" w14:textId="496159F7" w:rsidR="006E177E" w:rsidRPr="00930562" w:rsidRDefault="006E177E" w:rsidP="00724857">
      <w:pPr>
        <w:numPr>
          <w:ilvl w:val="1"/>
          <w:numId w:val="12"/>
        </w:numPr>
        <w:shd w:val="clear" w:color="auto" w:fill="FFFFFF"/>
        <w:spacing w:after="120" w:line="240" w:lineRule="auto"/>
        <w:ind w:left="1080" w:hanging="540"/>
        <w:jc w:val="both"/>
        <w:rPr>
          <w:rFonts w:asciiTheme="majorHAnsi" w:eastAsia="MS Mincho" w:hAnsiTheme="majorHAnsi"/>
          <w:color w:val="000000"/>
          <w:szCs w:val="20"/>
          <w:lang w:val="es-US" w:eastAsia="es-ES"/>
        </w:rPr>
      </w:pPr>
      <w:r w:rsidRPr="00930562">
        <w:rPr>
          <w:rFonts w:asciiTheme="majorHAnsi" w:eastAsia="MS Mincho" w:hAnsiTheme="majorHAnsi"/>
          <w:color w:val="000000"/>
          <w:szCs w:val="20"/>
          <w:lang w:val="es-US" w:eastAsia="es-ES"/>
        </w:rPr>
        <w:t>asegur[ar] que las armas de fuego se utilicen solamente en circunstancias apropiadas y de manera tal que disminuya el riesgo de daños innecesarios;</w:t>
      </w:r>
    </w:p>
    <w:p w14:paraId="62CDFFE3" w14:textId="6CC17F87" w:rsidR="006E177E" w:rsidRPr="00930562" w:rsidRDefault="006E177E" w:rsidP="00724857">
      <w:pPr>
        <w:numPr>
          <w:ilvl w:val="1"/>
          <w:numId w:val="12"/>
        </w:numPr>
        <w:shd w:val="clear" w:color="auto" w:fill="FFFFFF"/>
        <w:spacing w:after="120" w:line="240" w:lineRule="auto"/>
        <w:ind w:left="1080" w:hanging="540"/>
        <w:jc w:val="both"/>
        <w:rPr>
          <w:rFonts w:asciiTheme="majorHAnsi" w:eastAsia="MS Mincho" w:hAnsiTheme="majorHAnsi"/>
          <w:color w:val="000000"/>
          <w:szCs w:val="20"/>
          <w:lang w:val="es-US" w:eastAsia="es-ES"/>
        </w:rPr>
      </w:pPr>
      <w:r w:rsidRPr="00930562">
        <w:rPr>
          <w:rFonts w:asciiTheme="majorHAnsi" w:eastAsia="MS Mincho" w:hAnsiTheme="majorHAnsi"/>
          <w:color w:val="000000"/>
          <w:szCs w:val="20"/>
          <w:lang w:val="es-US" w:eastAsia="es-ES"/>
        </w:rPr>
        <w:t xml:space="preserve">prohib[ir] el empleo de armas de fuego y municiones que puedan provocar lesiones no deseadas o signifiquen un riesgo injustificado; </w:t>
      </w:r>
    </w:p>
    <w:p w14:paraId="13DEA19A" w14:textId="334555B1" w:rsidR="006E177E" w:rsidRPr="00930562" w:rsidRDefault="006E177E" w:rsidP="00724857">
      <w:pPr>
        <w:numPr>
          <w:ilvl w:val="1"/>
          <w:numId w:val="12"/>
        </w:numPr>
        <w:shd w:val="clear" w:color="auto" w:fill="FFFFFF"/>
        <w:spacing w:after="120" w:line="240" w:lineRule="auto"/>
        <w:ind w:left="1080" w:hanging="540"/>
        <w:jc w:val="both"/>
        <w:rPr>
          <w:rFonts w:asciiTheme="majorHAnsi" w:eastAsia="MS Mincho" w:hAnsiTheme="majorHAnsi"/>
          <w:color w:val="000000"/>
          <w:szCs w:val="20"/>
          <w:lang w:val="es-US" w:eastAsia="es-ES"/>
        </w:rPr>
      </w:pPr>
      <w:r w:rsidRPr="00930562">
        <w:rPr>
          <w:rFonts w:asciiTheme="majorHAnsi" w:eastAsia="MS Mincho" w:hAnsiTheme="majorHAnsi"/>
          <w:color w:val="000000"/>
          <w:szCs w:val="20"/>
          <w:lang w:val="es-US" w:eastAsia="es-ES"/>
        </w:rPr>
        <w:t>reglament[ar] el control, almacenamiento y distribución de armas de fuego, así como los procedimientos para asegurar que los funcionarios encargados de hacer cumplir la ley respondan de las armas de fuego o municiones que se les hayan entregado;</w:t>
      </w:r>
    </w:p>
    <w:p w14:paraId="5EEA4744" w14:textId="3473FE77" w:rsidR="006E177E" w:rsidRPr="00930562" w:rsidRDefault="006E177E" w:rsidP="00724857">
      <w:pPr>
        <w:numPr>
          <w:ilvl w:val="1"/>
          <w:numId w:val="12"/>
        </w:numPr>
        <w:shd w:val="clear" w:color="auto" w:fill="FFFFFF"/>
        <w:spacing w:after="120" w:line="240" w:lineRule="auto"/>
        <w:ind w:left="1080" w:hanging="540"/>
        <w:jc w:val="both"/>
        <w:rPr>
          <w:rFonts w:asciiTheme="majorHAnsi" w:eastAsia="MS Mincho" w:hAnsiTheme="majorHAnsi"/>
          <w:color w:val="000000"/>
          <w:szCs w:val="20"/>
          <w:lang w:val="es-US" w:eastAsia="es-ES"/>
        </w:rPr>
      </w:pPr>
      <w:r w:rsidRPr="00930562">
        <w:rPr>
          <w:rFonts w:asciiTheme="majorHAnsi" w:eastAsia="MS Mincho" w:hAnsiTheme="majorHAnsi"/>
          <w:color w:val="000000"/>
          <w:szCs w:val="20"/>
          <w:lang w:val="es-US" w:eastAsia="es-ES"/>
        </w:rPr>
        <w:t>señal[ar] los avisos de advertencia que deberán darse, siempre que proceda, cuando se vaya a hacer uso de un arma de fuego;</w:t>
      </w:r>
    </w:p>
    <w:p w14:paraId="5CBCEFFE" w14:textId="47D5C86A" w:rsidR="006E177E" w:rsidRPr="00930562" w:rsidRDefault="006E177E" w:rsidP="00724857">
      <w:pPr>
        <w:numPr>
          <w:ilvl w:val="1"/>
          <w:numId w:val="12"/>
        </w:numPr>
        <w:shd w:val="clear" w:color="auto" w:fill="FFFFFF"/>
        <w:spacing w:after="240" w:line="240" w:lineRule="auto"/>
        <w:ind w:left="1094" w:hanging="547"/>
        <w:jc w:val="both"/>
        <w:rPr>
          <w:rFonts w:asciiTheme="majorHAnsi" w:eastAsia="MS Mincho" w:hAnsiTheme="majorHAnsi"/>
          <w:color w:val="000000"/>
          <w:szCs w:val="20"/>
          <w:lang w:val="es-US" w:eastAsia="es-ES"/>
        </w:rPr>
      </w:pPr>
      <w:proofErr w:type="gramStart"/>
      <w:r w:rsidRPr="00930562">
        <w:rPr>
          <w:rFonts w:asciiTheme="majorHAnsi" w:eastAsia="MS Mincho" w:hAnsiTheme="majorHAnsi"/>
          <w:color w:val="000000"/>
          <w:szCs w:val="20"/>
          <w:lang w:val="es-US" w:eastAsia="es-ES"/>
        </w:rPr>
        <w:t>establezc[</w:t>
      </w:r>
      <w:proofErr w:type="gramEnd"/>
      <w:r w:rsidRPr="00930562">
        <w:rPr>
          <w:rFonts w:asciiTheme="majorHAnsi" w:eastAsia="MS Mincho" w:hAnsiTheme="majorHAnsi"/>
          <w:color w:val="000000"/>
          <w:szCs w:val="20"/>
          <w:lang w:val="es-US" w:eastAsia="es-ES"/>
        </w:rPr>
        <w:t>er] un sistema de presentación de informes siempre que los funcionarios encargados de hacer cumplir la ley recurran al empleo de armas de fuego en el desempeño de sus funciones</w:t>
      </w:r>
      <w:r w:rsidRPr="00930562">
        <w:rPr>
          <w:rFonts w:asciiTheme="majorHAnsi" w:eastAsia="MS Mincho" w:hAnsiTheme="majorHAnsi"/>
          <w:color w:val="000000"/>
          <w:szCs w:val="20"/>
          <w:vertAlign w:val="superscript"/>
          <w:lang w:val="es-US" w:eastAsia="es-ES"/>
        </w:rPr>
        <w:footnoteReference w:id="458"/>
      </w:r>
      <w:r w:rsidRPr="00930562">
        <w:rPr>
          <w:rFonts w:asciiTheme="majorHAnsi" w:eastAsia="MS Mincho" w:hAnsiTheme="majorHAnsi"/>
          <w:color w:val="000000"/>
          <w:szCs w:val="20"/>
          <w:vertAlign w:val="superscript"/>
          <w:lang w:val="es-US" w:eastAsia="es-ES"/>
        </w:rPr>
        <w:t>.</w:t>
      </w:r>
    </w:p>
    <w:p w14:paraId="574FB984"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eastAsia="Times New Roman" w:hAnsiTheme="majorHAnsi"/>
          <w:szCs w:val="20"/>
          <w:lang w:val="es-US"/>
        </w:rPr>
      </w:pPr>
      <w:r w:rsidRPr="00930562">
        <w:rPr>
          <w:rFonts w:asciiTheme="majorHAnsi" w:eastAsia="Times New Roman" w:hAnsiTheme="majorHAnsi"/>
          <w:szCs w:val="20"/>
          <w:lang w:val="es-US" w:eastAsia="es-ES"/>
        </w:rPr>
        <w:t xml:space="preserve">El principio de </w:t>
      </w:r>
      <w:r w:rsidRPr="00930562">
        <w:rPr>
          <w:rFonts w:asciiTheme="majorHAnsi" w:eastAsia="Times New Roman" w:hAnsiTheme="majorHAnsi"/>
          <w:i/>
          <w:szCs w:val="20"/>
          <w:lang w:val="es-US" w:eastAsia="es-ES"/>
        </w:rPr>
        <w:t>absoluta</w:t>
      </w:r>
      <w:r w:rsidRPr="00930562">
        <w:rPr>
          <w:rFonts w:asciiTheme="majorHAnsi" w:eastAsia="Times New Roman" w:hAnsiTheme="majorHAnsi"/>
          <w:szCs w:val="20"/>
          <w:lang w:val="es-US" w:eastAsia="es-ES"/>
        </w:rPr>
        <w:t xml:space="preserve"> </w:t>
      </w:r>
      <w:r w:rsidRPr="00930562">
        <w:rPr>
          <w:rFonts w:asciiTheme="majorHAnsi" w:eastAsia="Times New Roman" w:hAnsiTheme="majorHAnsi"/>
          <w:i/>
          <w:szCs w:val="20"/>
          <w:lang w:val="es-US" w:eastAsia="es-ES"/>
        </w:rPr>
        <w:t>necesidad</w:t>
      </w:r>
      <w:r w:rsidRPr="00930562">
        <w:rPr>
          <w:rFonts w:asciiTheme="majorHAnsi" w:eastAsia="Times New Roman" w:hAnsiTheme="majorHAnsi"/>
          <w:szCs w:val="20"/>
          <w:lang w:val="es-US" w:eastAsia="es-ES"/>
        </w:rPr>
        <w:t xml:space="preserve"> exige que los oficiales apliquen medios no violentos antes de recurrir al uso de la fuerza y de armas de fuego en el </w:t>
      </w:r>
      <w:r w:rsidRPr="00930562">
        <w:rPr>
          <w:rFonts w:asciiTheme="majorHAnsi" w:eastAsia="Times New Roman" w:hAnsiTheme="majorHAnsi"/>
          <w:szCs w:val="20"/>
          <w:lang w:val="es-US" w:eastAsia="es-ES"/>
        </w:rPr>
        <w:lastRenderedPageBreak/>
        <w:t xml:space="preserve">desempeño de su deber, y que utilicen la fuerza </w:t>
      </w:r>
      <w:r w:rsidRPr="00930562">
        <w:rPr>
          <w:rFonts w:asciiTheme="majorHAnsi" w:eastAsia="Times New Roman" w:hAnsiTheme="majorHAnsi"/>
          <w:szCs w:val="20"/>
          <w:lang w:val="es-US"/>
        </w:rPr>
        <w:t>sólo si otros medios resultan ineficaces o no cumplen ninguna promesa de lograr el resultado previsto</w:t>
      </w:r>
      <w:r w:rsidRPr="00930562">
        <w:rPr>
          <w:rFonts w:asciiTheme="majorHAnsi" w:eastAsia="Times New Roman" w:hAnsiTheme="majorHAnsi"/>
          <w:szCs w:val="20"/>
          <w:vertAlign w:val="superscript"/>
          <w:lang w:val="es-US"/>
        </w:rPr>
        <w:footnoteReference w:id="459"/>
      </w:r>
      <w:r w:rsidRPr="00930562">
        <w:rPr>
          <w:rFonts w:asciiTheme="majorHAnsi" w:eastAsia="Times New Roman" w:hAnsiTheme="majorHAnsi"/>
          <w:szCs w:val="20"/>
          <w:lang w:val="es-US"/>
        </w:rPr>
        <w:t>. Por lo tanto, es necesario verificar si existen otros medios menos perjudiciales para salvaguardar la vida y la integridad de la persona o personas que el funcionario trata de proteger bajo las circunstancias de cada caso</w:t>
      </w:r>
      <w:r w:rsidRPr="00930562">
        <w:rPr>
          <w:rFonts w:asciiTheme="majorHAnsi" w:eastAsia="Times New Roman" w:hAnsiTheme="majorHAnsi"/>
          <w:szCs w:val="20"/>
          <w:vertAlign w:val="superscript"/>
          <w:lang w:val="es-US"/>
        </w:rPr>
        <w:footnoteReference w:id="460"/>
      </w:r>
      <w:r w:rsidRPr="00930562">
        <w:rPr>
          <w:rFonts w:asciiTheme="majorHAnsi" w:eastAsia="Times New Roman" w:hAnsiTheme="majorHAnsi"/>
          <w:szCs w:val="20"/>
          <w:lang w:val="es-US"/>
        </w:rPr>
        <w:t>. Este requisito no puede cumplirse cuando la persona no representa un peligro directo, “inclusive cuando la falta del uso de la fuerza resultare en la pérdida de la oportunidad de captura</w:t>
      </w:r>
      <w:proofErr w:type="gramStart"/>
      <w:r w:rsidRPr="00930562">
        <w:rPr>
          <w:rFonts w:asciiTheme="majorHAnsi" w:eastAsia="Times New Roman" w:hAnsiTheme="majorHAnsi"/>
          <w:szCs w:val="20"/>
          <w:lang w:val="es-US"/>
        </w:rPr>
        <w:t xml:space="preserve">” </w:t>
      </w:r>
      <w:proofErr w:type="gramEnd"/>
      <w:r w:rsidRPr="00930562">
        <w:rPr>
          <w:rFonts w:asciiTheme="majorHAnsi" w:eastAsia="Times New Roman" w:hAnsiTheme="majorHAnsi"/>
          <w:szCs w:val="20"/>
          <w:vertAlign w:val="superscript"/>
          <w:lang w:val="es-US"/>
        </w:rPr>
        <w:footnoteReference w:id="461"/>
      </w:r>
      <w:r w:rsidRPr="00930562">
        <w:rPr>
          <w:rFonts w:asciiTheme="majorHAnsi" w:eastAsia="Times New Roman" w:hAnsiTheme="majorHAnsi"/>
          <w:szCs w:val="20"/>
          <w:lang w:val="es-US"/>
        </w:rPr>
        <w:t>.</w:t>
      </w:r>
    </w:p>
    <w:p w14:paraId="288CD96B" w14:textId="30F2573D"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eastAsia="Times New Roman" w:hAnsiTheme="majorHAnsi"/>
          <w:szCs w:val="20"/>
          <w:lang w:val="es-US"/>
        </w:rPr>
      </w:pPr>
      <w:r w:rsidRPr="00930562">
        <w:rPr>
          <w:rFonts w:asciiTheme="majorHAnsi" w:eastAsia="Times New Roman" w:hAnsiTheme="majorHAnsi"/>
          <w:szCs w:val="20"/>
          <w:lang w:val="es-US"/>
        </w:rPr>
        <w:t xml:space="preserve"> El principio de proporcionalidad requiere que los agentes legitimados para hacer uso de la fuerza apliquen “un criterio de uso diferenciado y progresivo de la fuerza, determinando el grado de cooperación, resistencia o agresión de parte del sujeto al cual se pretende intervenir y con ello, emplear tácticas de negociación, control o uso de la fuerza, según corresponda”</w:t>
      </w:r>
      <w:r w:rsidRPr="00930562">
        <w:rPr>
          <w:rFonts w:asciiTheme="majorHAnsi" w:eastAsia="Times New Roman" w:hAnsiTheme="majorHAnsi"/>
          <w:szCs w:val="20"/>
          <w:vertAlign w:val="superscript"/>
          <w:lang w:val="es-US"/>
        </w:rPr>
        <w:footnoteReference w:id="462"/>
      </w:r>
      <w:r w:rsidRPr="00930562">
        <w:rPr>
          <w:rFonts w:asciiTheme="majorHAnsi" w:eastAsia="Times New Roman" w:hAnsiTheme="majorHAnsi"/>
          <w:szCs w:val="20"/>
          <w:lang w:val="es-US"/>
        </w:rPr>
        <w:t>. Por lo tanto, los funcionarios encargados de hacer cumplir la ley deben ejercer moderación en sus acciones en un esfuerzo por minimizar el daño y las lesiones que puedan resultar de su intervención, garantizar asistencia inmediata a las personas afectadas negativamente y esforzarse por informar a sus familiares o seres queridos de la situación lo antes posible</w:t>
      </w:r>
      <w:r w:rsidRPr="00930562">
        <w:rPr>
          <w:rFonts w:asciiTheme="majorHAnsi" w:eastAsia="Times New Roman" w:hAnsiTheme="majorHAnsi"/>
          <w:szCs w:val="20"/>
          <w:vertAlign w:val="superscript"/>
          <w:lang w:val="es-US"/>
        </w:rPr>
        <w:footnoteReference w:id="463"/>
      </w:r>
      <w:r w:rsidRPr="00930562">
        <w:rPr>
          <w:rFonts w:asciiTheme="majorHAnsi" w:eastAsia="Times New Roman" w:hAnsiTheme="majorHAnsi"/>
          <w:szCs w:val="20"/>
          <w:lang w:val="es-US"/>
        </w:rPr>
        <w:t>. Circunstancias como “‘la intensidad y peligrosidad de la amenaza; la forma de proceder del individuo; las condiciones del entorno, y los medios de los que disponga el funcionario para abordar una situación específica’ son determinantes al momento de evaluar la proporcionalidad de las intervenciones de las autoridades del orden”</w:t>
      </w:r>
      <w:r w:rsidRPr="00930562">
        <w:rPr>
          <w:rFonts w:asciiTheme="majorHAnsi" w:eastAsia="Times New Roman" w:hAnsiTheme="majorHAnsi"/>
          <w:szCs w:val="20"/>
          <w:vertAlign w:val="superscript"/>
          <w:lang w:val="es-US"/>
        </w:rPr>
        <w:footnoteReference w:id="464"/>
      </w:r>
      <w:r w:rsidRPr="00930562">
        <w:rPr>
          <w:rFonts w:asciiTheme="majorHAnsi" w:eastAsia="Times New Roman" w:hAnsiTheme="majorHAnsi"/>
          <w:szCs w:val="20"/>
          <w:lang w:val="es-US"/>
        </w:rPr>
        <w:t>.</w:t>
      </w:r>
    </w:p>
    <w:p w14:paraId="3E7D96E4"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eastAsia="Times New Roman" w:hAnsiTheme="majorHAnsi"/>
          <w:szCs w:val="20"/>
          <w:lang w:val="es-US"/>
        </w:rPr>
        <w:t>El uso de fuerza letal (es decir, la fuerza que tiene la capacidad de causar la muerte) por parte de los funcionarios encargados de hacer cumplir la ley  sólo es legítimo para salvar la vida de una persona o para proteger a una persona de lesiones graves</w:t>
      </w:r>
      <w:r w:rsidRPr="00930562">
        <w:rPr>
          <w:rFonts w:asciiTheme="majorHAnsi" w:eastAsia="Times New Roman" w:hAnsiTheme="majorHAnsi"/>
          <w:szCs w:val="20"/>
          <w:vertAlign w:val="superscript"/>
          <w:lang w:val="es-US"/>
        </w:rPr>
        <w:footnoteReference w:id="465"/>
      </w:r>
      <w:r w:rsidRPr="00930562">
        <w:rPr>
          <w:rFonts w:asciiTheme="majorHAnsi" w:eastAsia="Times New Roman" w:hAnsiTheme="majorHAnsi"/>
          <w:szCs w:val="20"/>
          <w:lang w:val="es-US"/>
        </w:rPr>
        <w:t>.  Esto significa que si se utiliza la fuerza letal en apoyo de cualquier objetivo que no sea salvar la vida o la integridad física, se considerará excesiva</w:t>
      </w:r>
      <w:r w:rsidRPr="00930562">
        <w:rPr>
          <w:rFonts w:asciiTheme="majorHAnsi" w:eastAsia="Times New Roman" w:hAnsiTheme="majorHAnsi"/>
          <w:szCs w:val="20"/>
          <w:vertAlign w:val="superscript"/>
          <w:lang w:val="es-US"/>
        </w:rPr>
        <w:footnoteReference w:id="466"/>
      </w:r>
      <w:r w:rsidRPr="00930562">
        <w:rPr>
          <w:rFonts w:asciiTheme="majorHAnsi" w:eastAsia="Times New Roman" w:hAnsiTheme="majorHAnsi"/>
          <w:szCs w:val="20"/>
          <w:lang w:val="es-US"/>
        </w:rPr>
        <w:t xml:space="preserve">. Del mismo modo, Christof Heyns, ex Relator Especial de las Naciones Unidas sobre ejecuciones extrajudiciales, </w:t>
      </w:r>
      <w:r w:rsidRPr="00930562">
        <w:rPr>
          <w:rFonts w:asciiTheme="majorHAnsi" w:eastAsia="Times New Roman" w:hAnsiTheme="majorHAnsi"/>
          <w:szCs w:val="20"/>
          <w:lang w:val="es-US"/>
        </w:rPr>
        <w:lastRenderedPageBreak/>
        <w:t>ha declarado ante la Comisión que el uso de la fuerza letal es legítimo, proporcional</w:t>
      </w:r>
      <w:r w:rsidRPr="00930562">
        <w:rPr>
          <w:rFonts w:asciiTheme="majorHAnsi" w:hAnsiTheme="majorHAnsi"/>
          <w:szCs w:val="20"/>
          <w:lang w:val="es-US"/>
        </w:rPr>
        <w:t xml:space="preserve"> y necesario sólo si es el último recurso disponible para proteger otra vida. Por lo tanto, el uso de la fuerza letal no estará justificado cuando se trate, por ejemplo, de proteger bienes, evitar lesiones no graves o restablecer el orden público</w:t>
      </w:r>
      <w:bookmarkStart w:id="186" w:name="_Ref507172452"/>
      <w:r w:rsidRPr="00930562">
        <w:rPr>
          <w:rFonts w:asciiTheme="majorHAnsi" w:hAnsiTheme="majorHAnsi"/>
          <w:szCs w:val="20"/>
          <w:vertAlign w:val="superscript"/>
          <w:lang w:val="es-US"/>
        </w:rPr>
        <w:footnoteReference w:id="467"/>
      </w:r>
      <w:r w:rsidRPr="00930562">
        <w:rPr>
          <w:rFonts w:asciiTheme="majorHAnsi" w:hAnsiTheme="majorHAnsi"/>
          <w:szCs w:val="20"/>
          <w:lang w:val="es-US"/>
        </w:rPr>
        <w:t>.</w:t>
      </w:r>
    </w:p>
    <w:bookmarkEnd w:id="186"/>
    <w:p w14:paraId="73128B6E"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rPr>
        <w:t xml:space="preserve">En cuanto a la posible responsabilidad del Estado por las violaciones de los derechos humanos, como en los casos de violencia policial o asesinatos, la Comisión recuerda que, con arreglo al derecho internacional, toda violación de los derechos humanos atribuible a acciones u omisiones de cualquier funcionario del Estado constituye un acto atribuible al Estado, independientemente de la </w:t>
      </w:r>
      <w:r w:rsidRPr="00930562">
        <w:rPr>
          <w:rFonts w:asciiTheme="majorHAnsi" w:eastAsia="Times New Roman" w:hAnsiTheme="majorHAnsi"/>
          <w:szCs w:val="20"/>
          <w:lang w:val="es-US"/>
        </w:rPr>
        <w:t>jerarquía</w:t>
      </w:r>
      <w:r w:rsidRPr="00930562">
        <w:rPr>
          <w:rFonts w:asciiTheme="majorHAnsi" w:hAnsiTheme="majorHAnsi"/>
          <w:szCs w:val="20"/>
          <w:lang w:val="es-US"/>
        </w:rPr>
        <w:t xml:space="preserve"> de ese agente y de si actúa fuera del ámbito de su autoridad</w:t>
      </w:r>
      <w:r w:rsidRPr="00930562">
        <w:rPr>
          <w:rFonts w:asciiTheme="majorHAnsi" w:hAnsiTheme="majorHAnsi"/>
          <w:szCs w:val="20"/>
          <w:vertAlign w:val="superscript"/>
          <w:lang w:val="es-US"/>
        </w:rPr>
        <w:footnoteReference w:id="468"/>
      </w:r>
      <w:r w:rsidRPr="00930562">
        <w:rPr>
          <w:rFonts w:asciiTheme="majorHAnsi" w:hAnsiTheme="majorHAnsi"/>
          <w:szCs w:val="20"/>
          <w:lang w:val="es-US"/>
        </w:rPr>
        <w:t>. Para determinar si se ha cometido una violación de los derechos humanos, no es necesario determinar, como ocurre en el derecho penal interno, la culpabilidad de los autores o su intención, ni identificarlos individualmente. Basta con que exista una obligación del Estado y que el Estado no la cumpla</w:t>
      </w:r>
      <w:r w:rsidRPr="00930562">
        <w:rPr>
          <w:rFonts w:asciiTheme="majorHAnsi" w:hAnsiTheme="majorHAnsi"/>
          <w:szCs w:val="20"/>
          <w:vertAlign w:val="superscript"/>
          <w:lang w:val="es-US"/>
        </w:rPr>
        <w:footnoteReference w:id="469"/>
      </w:r>
      <w:r w:rsidRPr="00930562">
        <w:rPr>
          <w:rFonts w:asciiTheme="majorHAnsi" w:hAnsiTheme="majorHAnsi"/>
          <w:szCs w:val="20"/>
          <w:lang w:val="es-US"/>
        </w:rPr>
        <w:t>. Del mismo modo, los Estados están obligados a organizar sus gobiernos —federal, estatal y local— y en general, todas las estructuras a través de las cuales se ejerce el poder público, para garantizar el pleno disfrute de los derechos humanos de todas las personas sujetas a su jurisdicción</w:t>
      </w:r>
      <w:r w:rsidRPr="00930562">
        <w:rPr>
          <w:rFonts w:asciiTheme="majorHAnsi" w:hAnsiTheme="majorHAnsi"/>
          <w:szCs w:val="20"/>
          <w:vertAlign w:val="superscript"/>
          <w:lang w:val="es-US"/>
        </w:rPr>
        <w:footnoteReference w:id="470"/>
      </w:r>
      <w:r w:rsidRPr="00930562">
        <w:rPr>
          <w:rFonts w:asciiTheme="majorHAnsi" w:hAnsiTheme="majorHAnsi"/>
          <w:szCs w:val="20"/>
          <w:lang w:val="es-US"/>
        </w:rPr>
        <w:t xml:space="preserve">. </w:t>
      </w:r>
    </w:p>
    <w:p w14:paraId="297BFCAA" w14:textId="04F4FEC8" w:rsidR="006E177E" w:rsidRPr="00930562" w:rsidRDefault="006E177E" w:rsidP="008403E8">
      <w:pPr>
        <w:pStyle w:val="Heading3"/>
        <w:numPr>
          <w:ilvl w:val="0"/>
          <w:numId w:val="17"/>
        </w:numPr>
        <w:ind w:left="547" w:hanging="547"/>
        <w:rPr>
          <w:lang w:val="es-US"/>
        </w:rPr>
      </w:pPr>
      <w:bookmarkStart w:id="187" w:name="_Toc517779253"/>
      <w:bookmarkStart w:id="188" w:name="_Toc531514486"/>
      <w:r w:rsidRPr="00930562">
        <w:rPr>
          <w:lang w:val="es-US"/>
        </w:rPr>
        <w:t>Marco jurídico interno que rige el uso de la fuerza</w:t>
      </w:r>
      <w:bookmarkEnd w:id="187"/>
      <w:bookmarkEnd w:id="188"/>
    </w:p>
    <w:p w14:paraId="1498C96C"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eastAsia="Times New Roman" w:hAnsiTheme="majorHAnsi"/>
          <w:szCs w:val="20"/>
          <w:lang w:val="es-US" w:eastAsia="es-ES"/>
        </w:rPr>
      </w:pPr>
      <w:r w:rsidRPr="00930562">
        <w:rPr>
          <w:rFonts w:asciiTheme="majorHAnsi" w:eastAsia="Times New Roman" w:hAnsiTheme="majorHAnsi"/>
          <w:szCs w:val="20"/>
          <w:lang w:val="es-US" w:eastAsia="es-ES"/>
        </w:rPr>
        <w:t xml:space="preserve">Los organismos internacionales han señalado repetidamente que el marco legal de Estados Unidos para el uso de la fuerza no cumple con el derecho internacional, y han pedido que se </w:t>
      </w:r>
      <w:r w:rsidRPr="00930562">
        <w:rPr>
          <w:rFonts w:asciiTheme="majorHAnsi" w:hAnsiTheme="majorHAnsi"/>
          <w:szCs w:val="20"/>
          <w:lang w:val="es-US"/>
        </w:rPr>
        <w:t>cumplan</w:t>
      </w:r>
      <w:r w:rsidRPr="00930562">
        <w:rPr>
          <w:rFonts w:asciiTheme="majorHAnsi" w:eastAsia="Times New Roman" w:hAnsiTheme="majorHAnsi"/>
          <w:szCs w:val="20"/>
          <w:lang w:val="es-US" w:eastAsia="es-ES"/>
        </w:rPr>
        <w:t xml:space="preserve"> los Principios Básicos de la ONU</w:t>
      </w:r>
      <w:r w:rsidRPr="00930562">
        <w:rPr>
          <w:rFonts w:asciiTheme="majorHAnsi" w:eastAsia="Times New Roman" w:hAnsiTheme="majorHAnsi"/>
          <w:szCs w:val="20"/>
          <w:vertAlign w:val="superscript"/>
          <w:lang w:val="es-US" w:eastAsia="es-ES"/>
        </w:rPr>
        <w:footnoteReference w:id="471"/>
      </w:r>
      <w:r w:rsidRPr="00930562">
        <w:rPr>
          <w:rFonts w:asciiTheme="majorHAnsi" w:eastAsia="Times New Roman" w:hAnsiTheme="majorHAnsi"/>
          <w:szCs w:val="20"/>
          <w:lang w:val="es-US" w:eastAsia="es-ES"/>
        </w:rPr>
        <w:t xml:space="preserve">. La Comisión Interamericana reitera este llamado a armonizar la </w:t>
      </w:r>
      <w:r w:rsidRPr="00930562">
        <w:rPr>
          <w:rFonts w:asciiTheme="majorHAnsi" w:eastAsia="Times New Roman" w:hAnsiTheme="majorHAnsi"/>
          <w:szCs w:val="20"/>
          <w:lang w:val="es-US" w:eastAsia="es-ES"/>
        </w:rPr>
        <w:lastRenderedPageBreak/>
        <w:t xml:space="preserve">legislación nacional de Estados Unidos con el derecho internacional que rige el uso de la fuerza. </w:t>
      </w:r>
    </w:p>
    <w:p w14:paraId="6F7B682C" w14:textId="48D97BC3" w:rsidR="002B5EB5" w:rsidRPr="00930562" w:rsidRDefault="006E177E" w:rsidP="00724857">
      <w:pPr>
        <w:pStyle w:val="ListParagraph"/>
        <w:numPr>
          <w:ilvl w:val="0"/>
          <w:numId w:val="2"/>
        </w:numPr>
        <w:spacing w:after="240" w:line="240" w:lineRule="auto"/>
        <w:ind w:left="547" w:hanging="547"/>
        <w:contextualSpacing w:val="0"/>
        <w:jc w:val="both"/>
        <w:rPr>
          <w:rFonts w:asciiTheme="majorHAnsi" w:eastAsia="Times New Roman" w:hAnsiTheme="majorHAnsi"/>
          <w:szCs w:val="20"/>
          <w:lang w:val="es-US" w:eastAsia="es-ES"/>
        </w:rPr>
      </w:pPr>
      <w:r w:rsidRPr="00930562">
        <w:rPr>
          <w:rFonts w:asciiTheme="majorHAnsi" w:hAnsiTheme="majorHAnsi"/>
          <w:szCs w:val="20"/>
          <w:lang w:val="es-US"/>
        </w:rPr>
        <w:t xml:space="preserve">La Corte Suprema de Estados Unidos ha establecido en una serie de casos que la norma constitucional para el uso de la fuerza es de “razonabilidad”, sin distinguir entre el uso de fuerza letal y no letal, y sin establecer claramente la excepcionalidad, la absoluta necesidad y la </w:t>
      </w:r>
      <w:r w:rsidRPr="00930562">
        <w:rPr>
          <w:rFonts w:asciiTheme="majorHAnsi" w:eastAsia="Times New Roman" w:hAnsiTheme="majorHAnsi"/>
          <w:szCs w:val="20"/>
          <w:lang w:val="es-US" w:eastAsia="es-ES"/>
        </w:rPr>
        <w:t>proporcionalidad</w:t>
      </w:r>
      <w:r w:rsidRPr="00930562">
        <w:rPr>
          <w:rFonts w:asciiTheme="majorHAnsi" w:hAnsiTheme="majorHAnsi"/>
          <w:szCs w:val="20"/>
          <w:lang w:val="es-US"/>
        </w:rPr>
        <w:t xml:space="preserve"> como principios rectores</w:t>
      </w:r>
      <w:r w:rsidRPr="00930562">
        <w:rPr>
          <w:rFonts w:asciiTheme="majorHAnsi" w:eastAsia="Times New Roman" w:hAnsiTheme="majorHAnsi"/>
          <w:szCs w:val="20"/>
          <w:vertAlign w:val="superscript"/>
          <w:lang w:val="es-US" w:eastAsia="es-ES"/>
        </w:rPr>
        <w:footnoteReference w:id="472"/>
      </w:r>
      <w:r w:rsidRPr="00930562">
        <w:rPr>
          <w:rFonts w:asciiTheme="majorHAnsi" w:hAnsiTheme="majorHAnsi"/>
          <w:szCs w:val="20"/>
          <w:lang w:val="es-US"/>
        </w:rPr>
        <w:t>.</w:t>
      </w:r>
      <w:r w:rsidRPr="00930562">
        <w:rPr>
          <w:rFonts w:asciiTheme="majorHAnsi" w:hAnsiTheme="majorHAnsi"/>
          <w:sz w:val="16"/>
          <w:szCs w:val="16"/>
          <w:lang w:val="es-US"/>
        </w:rPr>
        <w:t xml:space="preserve"> </w:t>
      </w:r>
      <w:r w:rsidRPr="00930562">
        <w:rPr>
          <w:rFonts w:asciiTheme="majorHAnsi" w:hAnsiTheme="majorHAnsi"/>
          <w:szCs w:val="20"/>
          <w:lang w:val="es-US"/>
        </w:rPr>
        <w:t>Entre otras cosas, esto impide la aplicación del test de proporcionalidad estricta al uso de la fuerza letal, como lo exigen los Principios Básicos de la ONU</w:t>
      </w:r>
      <w:r w:rsidRPr="00930562">
        <w:rPr>
          <w:rFonts w:asciiTheme="majorHAnsi" w:eastAsia="Times New Roman" w:hAnsiTheme="majorHAnsi"/>
          <w:szCs w:val="20"/>
          <w:vertAlign w:val="superscript"/>
          <w:lang w:val="es-US" w:eastAsia="es-ES"/>
        </w:rPr>
        <w:footnoteReference w:id="473"/>
      </w:r>
      <w:r w:rsidRPr="00930562">
        <w:rPr>
          <w:rFonts w:asciiTheme="majorHAnsi" w:hAnsiTheme="majorHAnsi"/>
          <w:szCs w:val="20"/>
          <w:lang w:val="es-US"/>
        </w:rPr>
        <w:t xml:space="preserve">. En particular, el caso de la Corte Suprema </w:t>
      </w:r>
      <w:r w:rsidRPr="00930562">
        <w:rPr>
          <w:rFonts w:asciiTheme="majorHAnsi" w:hAnsiTheme="majorHAnsi"/>
          <w:i/>
          <w:szCs w:val="20"/>
          <w:lang w:val="es-US"/>
        </w:rPr>
        <w:t>Tennessee vs. Garner</w:t>
      </w:r>
      <w:r w:rsidRPr="00930562">
        <w:rPr>
          <w:rFonts w:asciiTheme="majorHAnsi" w:hAnsiTheme="majorHAnsi"/>
          <w:szCs w:val="20"/>
          <w:lang w:val="es-US"/>
        </w:rPr>
        <w:t xml:space="preserve"> se refería a la constitucionalidad del uso de la fuerza letal para impedir la fuga de un presunto delincuente aparentemente desarmado. El tribunal llegó a la conclusión de que la fuerza letal “no puede utilizarse a menos que sea necesario para impedir la fuga y que el agente tenga motivos fundados para creer que el sospechoso representa una amenaza significativa de muerte o de lesiones físicas graves para el agente u otras personas”</w:t>
      </w:r>
      <w:r w:rsidRPr="00930562">
        <w:rPr>
          <w:rFonts w:asciiTheme="majorHAnsi" w:hAnsiTheme="majorHAnsi"/>
          <w:szCs w:val="20"/>
          <w:vertAlign w:val="superscript"/>
          <w:lang w:val="es-US"/>
        </w:rPr>
        <w:footnoteReference w:id="474"/>
      </w:r>
      <w:r w:rsidRPr="00930562">
        <w:rPr>
          <w:rFonts w:asciiTheme="majorHAnsi" w:hAnsiTheme="majorHAnsi"/>
          <w:szCs w:val="20"/>
          <w:lang w:val="es-US"/>
        </w:rPr>
        <w:t xml:space="preserve">. </w:t>
      </w:r>
      <w:r w:rsidR="006666FB" w:rsidRPr="00930562">
        <w:rPr>
          <w:rFonts w:asciiTheme="majorHAnsi" w:hAnsiTheme="majorHAnsi"/>
          <w:szCs w:val="20"/>
          <w:lang w:val="es-US"/>
        </w:rPr>
        <w:t xml:space="preserve">Posteriormente, la Corte Suprema sostuvo en </w:t>
      </w:r>
      <w:r w:rsidR="006666FB" w:rsidRPr="00930562">
        <w:rPr>
          <w:rFonts w:asciiTheme="majorHAnsi" w:hAnsiTheme="majorHAnsi"/>
          <w:i/>
          <w:szCs w:val="20"/>
          <w:lang w:val="es-US"/>
        </w:rPr>
        <w:t xml:space="preserve">Graham vs. Connor </w:t>
      </w:r>
      <w:r w:rsidR="006666FB" w:rsidRPr="00930562">
        <w:rPr>
          <w:rFonts w:asciiTheme="majorHAnsi" w:hAnsiTheme="majorHAnsi"/>
          <w:szCs w:val="20"/>
          <w:lang w:val="es-US"/>
        </w:rPr>
        <w:t xml:space="preserve">que la investigación de "razonabilidad" requerida por </w:t>
      </w:r>
      <w:r w:rsidR="006666FB" w:rsidRPr="00930562">
        <w:rPr>
          <w:rFonts w:asciiTheme="majorHAnsi" w:hAnsiTheme="majorHAnsi"/>
          <w:i/>
          <w:szCs w:val="20"/>
          <w:lang w:val="es-US"/>
        </w:rPr>
        <w:t>Garner</w:t>
      </w:r>
      <w:r w:rsidR="006666FB" w:rsidRPr="00930562">
        <w:rPr>
          <w:rFonts w:asciiTheme="majorHAnsi" w:hAnsiTheme="majorHAnsi"/>
          <w:szCs w:val="20"/>
          <w:lang w:val="es-US"/>
        </w:rPr>
        <w:t xml:space="preserve"> considera la razonabilidad objetiva del uso de la fuerza bajo las circunstancias, sin tener en cuenta los motivos subjetivos o la intención del oficial.</w:t>
      </w:r>
      <w:r w:rsidR="006666FB" w:rsidRPr="00930562">
        <w:rPr>
          <w:rStyle w:val="FootnoteReference"/>
          <w:rFonts w:asciiTheme="majorHAnsi" w:hAnsiTheme="majorHAnsi"/>
          <w:szCs w:val="20"/>
          <w:lang w:val="es-US"/>
        </w:rPr>
        <w:footnoteReference w:id="475"/>
      </w:r>
      <w:r w:rsidR="006666FB" w:rsidRPr="00930562">
        <w:rPr>
          <w:rFonts w:asciiTheme="majorHAnsi" w:hAnsiTheme="majorHAnsi"/>
          <w:szCs w:val="20"/>
          <w:lang w:val="es-US"/>
        </w:rPr>
        <w:t xml:space="preserve"> Requiere "atención cuidadosa a los hechos y circunstancias de cada caso en particular, incluida la gravedad del delito en cuestión, si el sospechoso representa una amenaza inmediata para la seguridad de los agentes o de otros, y si se está resistiendo activamente al arresto o al intento </w:t>
      </w:r>
      <w:r w:rsidR="008B2C0D" w:rsidRPr="00930562">
        <w:rPr>
          <w:rFonts w:asciiTheme="majorHAnsi" w:hAnsiTheme="majorHAnsi"/>
          <w:szCs w:val="20"/>
          <w:lang w:val="es-US"/>
        </w:rPr>
        <w:t>para evadir el arresto por vuelo</w:t>
      </w:r>
      <w:r w:rsidR="006666FB" w:rsidRPr="00930562">
        <w:rPr>
          <w:rFonts w:asciiTheme="majorHAnsi" w:hAnsiTheme="majorHAnsi"/>
          <w:szCs w:val="20"/>
          <w:lang w:val="es-US"/>
        </w:rPr>
        <w:t>".</w:t>
      </w:r>
      <w:r w:rsidR="008B2C0D" w:rsidRPr="00930562">
        <w:rPr>
          <w:rStyle w:val="FootnoteReference"/>
          <w:rFonts w:asciiTheme="majorHAnsi" w:hAnsiTheme="majorHAnsi"/>
          <w:szCs w:val="20"/>
          <w:lang w:val="es-US"/>
        </w:rPr>
        <w:footnoteReference w:id="476"/>
      </w:r>
      <w:r w:rsidR="006666FB" w:rsidRPr="00930562">
        <w:rPr>
          <w:rFonts w:asciiTheme="majorHAnsi" w:hAnsiTheme="majorHAnsi"/>
          <w:szCs w:val="20"/>
          <w:lang w:val="es-US"/>
        </w:rPr>
        <w:t xml:space="preserve"> Significativamente, este análisis no requiere diferenciación entre el uso de fuerza letal y no letal, y no identifica los elementos de necesidad y proporcionalidad. Posteriormente, el Tribunal aclaró en </w:t>
      </w:r>
      <w:r w:rsidR="006666FB" w:rsidRPr="00930562">
        <w:rPr>
          <w:rFonts w:asciiTheme="majorHAnsi" w:hAnsiTheme="majorHAnsi"/>
          <w:i/>
          <w:szCs w:val="20"/>
          <w:lang w:val="es-US"/>
        </w:rPr>
        <w:t>Scott v. Harris</w:t>
      </w:r>
      <w:r w:rsidR="006666FB" w:rsidRPr="00930562">
        <w:rPr>
          <w:rFonts w:asciiTheme="majorHAnsi" w:hAnsiTheme="majorHAnsi"/>
          <w:szCs w:val="20"/>
          <w:lang w:val="es-US"/>
        </w:rPr>
        <w:t xml:space="preserve"> que "</w:t>
      </w:r>
      <w:r w:rsidR="006666FB" w:rsidRPr="00930562">
        <w:rPr>
          <w:rFonts w:asciiTheme="majorHAnsi" w:hAnsiTheme="majorHAnsi"/>
          <w:i/>
          <w:szCs w:val="20"/>
          <w:lang w:val="es-US"/>
        </w:rPr>
        <w:t>Garner</w:t>
      </w:r>
      <w:r w:rsidR="006666FB" w:rsidRPr="00930562">
        <w:rPr>
          <w:rFonts w:asciiTheme="majorHAnsi" w:hAnsiTheme="majorHAnsi"/>
          <w:szCs w:val="20"/>
          <w:lang w:val="es-US"/>
        </w:rPr>
        <w:t xml:space="preserve"> no estableció un interruptor mágico de encendido / apagado que desencadena condiciones previas rígidas siempre que las acciones de un agente constituyan 'fuerza letal'".</w:t>
      </w:r>
      <w:r w:rsidR="008B2C0D" w:rsidRPr="00930562">
        <w:rPr>
          <w:rStyle w:val="FootnoteReference"/>
          <w:rFonts w:asciiTheme="majorHAnsi" w:hAnsiTheme="majorHAnsi"/>
          <w:szCs w:val="20"/>
          <w:lang w:val="es-US"/>
        </w:rPr>
        <w:footnoteReference w:id="477"/>
      </w:r>
      <w:r w:rsidR="006666FB" w:rsidRPr="00930562">
        <w:rPr>
          <w:rFonts w:asciiTheme="majorHAnsi" w:hAnsiTheme="majorHAnsi"/>
          <w:szCs w:val="20"/>
          <w:lang w:val="es-US"/>
        </w:rPr>
        <w:t xml:space="preserve"> La falta de diferenciación y </w:t>
      </w:r>
      <w:r w:rsidR="0042691F" w:rsidRPr="00930562">
        <w:rPr>
          <w:rFonts w:asciiTheme="majorHAnsi" w:hAnsiTheme="majorHAnsi"/>
          <w:szCs w:val="20"/>
          <w:lang w:val="es-US"/>
        </w:rPr>
        <w:t xml:space="preserve">de </w:t>
      </w:r>
      <w:r w:rsidR="006666FB" w:rsidRPr="00930562">
        <w:rPr>
          <w:rFonts w:asciiTheme="majorHAnsi" w:hAnsiTheme="majorHAnsi"/>
          <w:szCs w:val="20"/>
          <w:lang w:val="es-US"/>
        </w:rPr>
        <w:t>aplicación de estándares diferentes al uso de</w:t>
      </w:r>
      <w:r w:rsidR="0042691F" w:rsidRPr="00930562">
        <w:rPr>
          <w:rFonts w:asciiTheme="majorHAnsi" w:hAnsiTheme="majorHAnsi"/>
          <w:szCs w:val="20"/>
          <w:lang w:val="es-US"/>
        </w:rPr>
        <w:t xml:space="preserve"> la fuerza letal frente a la </w:t>
      </w:r>
      <w:r w:rsidR="006666FB" w:rsidRPr="00930562">
        <w:rPr>
          <w:rFonts w:asciiTheme="majorHAnsi" w:hAnsiTheme="majorHAnsi"/>
          <w:szCs w:val="20"/>
          <w:lang w:val="es-US"/>
        </w:rPr>
        <w:t xml:space="preserve">fuerza no letal claramente va en contra </w:t>
      </w:r>
      <w:r w:rsidR="006666FB" w:rsidRPr="00930562">
        <w:rPr>
          <w:rFonts w:asciiTheme="majorHAnsi" w:hAnsiTheme="majorHAnsi"/>
          <w:szCs w:val="20"/>
          <w:lang w:val="es-US"/>
        </w:rPr>
        <w:lastRenderedPageBreak/>
        <w:t>de los Principios Básicos de la ONU y los estándares del sistema interamericano de derechos humanos.</w:t>
      </w:r>
      <w:r w:rsidR="0042691F" w:rsidRPr="00930562">
        <w:rPr>
          <w:rStyle w:val="FootnoteReference"/>
          <w:rFonts w:asciiTheme="majorHAnsi" w:hAnsiTheme="majorHAnsi"/>
          <w:szCs w:val="20"/>
          <w:lang w:val="es-US"/>
        </w:rPr>
        <w:footnoteReference w:id="478"/>
      </w:r>
    </w:p>
    <w:p w14:paraId="2DACA15E"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cs="Tahoma"/>
          <w:szCs w:val="20"/>
          <w:shd w:val="clear" w:color="auto" w:fill="FFFFFF"/>
          <w:lang w:val="es-US"/>
        </w:rPr>
        <w:t xml:space="preserve">La información recibida por la Comisión indica que las leyes estatales de los Estados Unidos tampoco cumplen con las normas internacionales. Por ejemplo, las leyes de los Estados Unidos no incluyen disposiciones que exijan el uso de medios no violentos antes de recurrir al uso de la fuerza, que exijan el uso de la fuerza letal como último recurso, o que exijan que se dé una advertencia </w:t>
      </w:r>
      <w:r w:rsidRPr="00930562">
        <w:rPr>
          <w:rFonts w:asciiTheme="majorHAnsi" w:hAnsiTheme="majorHAnsi"/>
          <w:szCs w:val="20"/>
          <w:lang w:val="es-US"/>
        </w:rPr>
        <w:t>antes del uso de la fuerza letal</w:t>
      </w:r>
      <w:r w:rsidRPr="00930562">
        <w:rPr>
          <w:rFonts w:asciiTheme="majorHAnsi" w:hAnsiTheme="majorHAnsi"/>
          <w:szCs w:val="20"/>
          <w:vertAlign w:val="superscript"/>
          <w:lang w:val="es-US"/>
        </w:rPr>
        <w:footnoteReference w:id="479"/>
      </w:r>
      <w:r w:rsidRPr="00930562">
        <w:rPr>
          <w:rFonts w:asciiTheme="majorHAnsi" w:hAnsiTheme="majorHAnsi"/>
          <w:szCs w:val="20"/>
          <w:lang w:val="es-US"/>
        </w:rPr>
        <w:t>.  La Comisión observa con preocupación que, en general, las leyes estatales que no definen clara y objetivamente las situaciones en que se autoriza el uso de la fuerza letal, dejan además un amplio margen de discrecionalidad para la interpretación de los agentes de policía</w:t>
      </w:r>
      <w:r w:rsidRPr="00930562">
        <w:rPr>
          <w:rFonts w:asciiTheme="majorHAnsi" w:hAnsiTheme="majorHAnsi"/>
          <w:szCs w:val="20"/>
          <w:vertAlign w:val="superscript"/>
          <w:lang w:val="es-US"/>
        </w:rPr>
        <w:footnoteReference w:id="480"/>
      </w:r>
      <w:r w:rsidRPr="00930562">
        <w:rPr>
          <w:rFonts w:asciiTheme="majorHAnsi" w:hAnsiTheme="majorHAnsi"/>
          <w:szCs w:val="20"/>
          <w:lang w:val="es-US"/>
        </w:rPr>
        <w:t>.</w:t>
      </w:r>
    </w:p>
    <w:p w14:paraId="52B76592"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eastAsia="Times New Roman" w:hAnsiTheme="majorHAnsi"/>
          <w:szCs w:val="20"/>
          <w:lang w:val="es-US" w:eastAsia="es-ES"/>
        </w:rPr>
      </w:pPr>
      <w:r w:rsidRPr="00930562">
        <w:rPr>
          <w:rFonts w:asciiTheme="majorHAnsi" w:hAnsiTheme="majorHAnsi"/>
          <w:szCs w:val="20"/>
          <w:lang w:val="es-US"/>
        </w:rPr>
        <w:t>La Comisión observa con preocupación que el hecho de que las leyes nacionales sobre el uso de la fuerza no se ajusten a las normas internacionales limita fundamentalmente la posibilidad de investigar, enjuiciar y castigar eficazmente el uso excesivo de la fuerza por parte de los agentes del orden</w:t>
      </w:r>
      <w:r w:rsidRPr="00930562">
        <w:rPr>
          <w:rFonts w:asciiTheme="majorHAnsi" w:hAnsiTheme="majorHAnsi"/>
          <w:szCs w:val="20"/>
          <w:vertAlign w:val="superscript"/>
          <w:lang w:val="es-US"/>
        </w:rPr>
        <w:footnoteReference w:id="481"/>
      </w:r>
      <w:r w:rsidRPr="00930562">
        <w:rPr>
          <w:rFonts w:asciiTheme="majorHAnsi" w:hAnsiTheme="majorHAnsi"/>
          <w:szCs w:val="20"/>
          <w:lang w:val="es-US"/>
        </w:rPr>
        <w:t>. En los casos en que la ley no prohíbe efectivamente la violación de los derechos internacionalmente</w:t>
      </w:r>
      <w:r w:rsidRPr="00930562">
        <w:rPr>
          <w:rFonts w:asciiTheme="majorHAnsi" w:eastAsia="Times New Roman" w:hAnsiTheme="majorHAnsi"/>
          <w:szCs w:val="20"/>
          <w:lang w:val="es-US" w:eastAsia="es-ES"/>
        </w:rPr>
        <w:t xml:space="preserve"> reconocidos, tampoco puede declarar posteriormente la existencia de esas violaciones y castigarlas</w:t>
      </w:r>
      <w:r w:rsidRPr="00930562">
        <w:rPr>
          <w:rFonts w:asciiTheme="majorHAnsi" w:eastAsia="Times New Roman" w:hAnsiTheme="majorHAnsi"/>
          <w:szCs w:val="20"/>
          <w:vertAlign w:val="superscript"/>
          <w:lang w:val="es-US" w:eastAsia="es-ES"/>
        </w:rPr>
        <w:footnoteReference w:id="482"/>
      </w:r>
      <w:r w:rsidRPr="00930562">
        <w:rPr>
          <w:rFonts w:asciiTheme="majorHAnsi" w:eastAsia="Times New Roman" w:hAnsiTheme="majorHAnsi"/>
          <w:szCs w:val="20"/>
          <w:lang w:val="es-US" w:eastAsia="es-ES"/>
        </w:rPr>
        <w:t>. Esto puede crear una situación en la que no exista un recurso interno disponible para una violación de los derechos humanos. Dada su importancia fundamental para la prevención, investigación, enjuiciamiento y sanción del uso excesivo de la fuerza, la Comisión hace un llamado a los gobiernos federal y estatales para que se comprometan urgentemente a reformar sus leyes que rigen el uso de la fuerza con el objeto de adecuarlas a las normas internacionales, a fin de cumplir con el principio de legalidad y con los Principios Básicos de la ONU y las obligaciones del Estado en virtud de la Declaración Americana.</w:t>
      </w:r>
    </w:p>
    <w:p w14:paraId="60C06462" w14:textId="29903A3B" w:rsidR="006E177E" w:rsidRPr="00930562" w:rsidRDefault="006E177E" w:rsidP="008403E8">
      <w:pPr>
        <w:pStyle w:val="Heading3"/>
        <w:ind w:left="547" w:hanging="547"/>
        <w:rPr>
          <w:lang w:val="es-US"/>
        </w:rPr>
      </w:pPr>
      <w:bookmarkStart w:id="189" w:name="_Toc517779254"/>
      <w:bookmarkStart w:id="190" w:name="_Toc531514487"/>
      <w:r w:rsidRPr="00930562">
        <w:rPr>
          <w:lang w:val="es-US"/>
        </w:rPr>
        <w:lastRenderedPageBreak/>
        <w:t>Reforma institucional y directrices para la actuación policial</w:t>
      </w:r>
      <w:bookmarkEnd w:id="189"/>
      <w:bookmarkEnd w:id="190"/>
    </w:p>
    <w:p w14:paraId="4FD7F558"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rPr>
        <w:t>La Comisión observa que muchas cuestiones relacionadas con el uso excesivo de la fuerza por la policía pueden enmarcarse en la incapacidad del Estado para prevenir violaciones</w:t>
      </w:r>
      <w:r w:rsidRPr="00930562">
        <w:rPr>
          <w:rFonts w:asciiTheme="majorHAnsi" w:hAnsiTheme="majorHAnsi"/>
          <w:szCs w:val="20"/>
          <w:vertAlign w:val="superscript"/>
          <w:lang w:val="es-US"/>
        </w:rPr>
        <w:footnoteReference w:id="483"/>
      </w:r>
      <w:r w:rsidRPr="00930562">
        <w:rPr>
          <w:rFonts w:asciiTheme="majorHAnsi" w:hAnsiTheme="majorHAnsi"/>
          <w:szCs w:val="20"/>
          <w:lang w:val="es-US"/>
        </w:rPr>
        <w:t>.  En esta sección, la Comisión detalla algunas directrices pertinentes relativas a la formación y la regulación interna de las fuerzas policiales con el fin de prevenir el uso excesivo de la fuerza y proteger así a las personas de los tratos crueles, inhumanos o degradantes o de la tortura, así como de las privaciones arbitrarias del derecho a la vida.</w:t>
      </w:r>
    </w:p>
    <w:p w14:paraId="2AEC0078" w14:textId="404427F0" w:rsidR="006E177E" w:rsidRPr="00930562" w:rsidRDefault="006E177E" w:rsidP="00724857">
      <w:pPr>
        <w:pStyle w:val="Heading4"/>
        <w:numPr>
          <w:ilvl w:val="0"/>
          <w:numId w:val="18"/>
        </w:numPr>
        <w:ind w:left="540" w:hanging="540"/>
        <w:rPr>
          <w:lang w:val="es-US"/>
        </w:rPr>
      </w:pPr>
      <w:bookmarkStart w:id="191" w:name="_Toc517779255"/>
      <w:bookmarkStart w:id="192" w:name="_Toc531514488"/>
      <w:r w:rsidRPr="00930562">
        <w:rPr>
          <w:lang w:val="es-US"/>
        </w:rPr>
        <w:t>Contratación y capacitación de la policía</w:t>
      </w:r>
      <w:bookmarkEnd w:id="191"/>
      <w:bookmarkEnd w:id="192"/>
    </w:p>
    <w:p w14:paraId="3ADACAB8"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rPr>
        <w:t>La Comisión Interamericana ha observado previamente la importancia de una adecuada formación policial y de políticas departamentales para prevenir el uso excesivo de la fuerza, afirmando que los Estados deben educar y capacitar “a los miembros de sus cuerpos armados y organismos de seguridad sobre los principios y normas de protección de los derechos humanos y sobre los límites a los que deber estar sometido en toda circunstancia el uso de las armas por parte de los funcionarios encargados de hacer cumplir la ley”</w:t>
      </w:r>
      <w:r w:rsidRPr="00930562">
        <w:rPr>
          <w:rFonts w:asciiTheme="majorHAnsi" w:hAnsiTheme="majorHAnsi"/>
          <w:szCs w:val="20"/>
          <w:vertAlign w:val="superscript"/>
          <w:lang w:val="es-US"/>
        </w:rPr>
        <w:footnoteReference w:id="484"/>
      </w:r>
      <w:r w:rsidRPr="00930562">
        <w:rPr>
          <w:rFonts w:asciiTheme="majorHAnsi" w:hAnsiTheme="majorHAnsi"/>
          <w:szCs w:val="20"/>
          <w:lang w:val="es-US"/>
        </w:rPr>
        <w:t xml:space="preserve">. </w:t>
      </w:r>
    </w:p>
    <w:p w14:paraId="769FC77D" w14:textId="15A03F4C"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rPr>
        <w:t>En primer lugar, es importante contar con procesos rigurosos y transparentes de selección de personal, junto con la oferta de salarios justos y competitivos y de beneficios laborales y sociales que permitan identificar y contratar a funcionarios que “posean aptitudes éticas, psicológicas y físicas apropiadas para el ejercicio eficaz de sus funciones”</w:t>
      </w:r>
      <w:r w:rsidRPr="00930562">
        <w:rPr>
          <w:rFonts w:asciiTheme="majorHAnsi" w:hAnsiTheme="majorHAnsi"/>
          <w:szCs w:val="20"/>
          <w:vertAlign w:val="superscript"/>
          <w:lang w:val="es-US"/>
        </w:rPr>
        <w:footnoteReference w:id="485"/>
      </w:r>
      <w:r w:rsidRPr="00930562">
        <w:rPr>
          <w:rFonts w:asciiTheme="majorHAnsi" w:hAnsiTheme="majorHAnsi"/>
          <w:szCs w:val="20"/>
          <w:lang w:val="es-US"/>
        </w:rPr>
        <w:t>. A este respecto, los Principios Básicos de la ONU exigen además que los Estados “procurarán que todos los funcionarios encargados de hacer cumplir la ley sean seleccionados mediante procedimientos adecuados […] y reciban capacitación profesional continua y completa. Tales aptitudes para el ejercicio de esas funciones serán objeto de examen periódico”</w:t>
      </w:r>
      <w:r w:rsidRPr="00930562">
        <w:rPr>
          <w:rFonts w:asciiTheme="majorHAnsi" w:hAnsiTheme="majorHAnsi"/>
          <w:szCs w:val="20"/>
          <w:vertAlign w:val="superscript"/>
          <w:lang w:val="es-US"/>
        </w:rPr>
        <w:footnoteReference w:id="486"/>
      </w:r>
      <w:r w:rsidRPr="00930562">
        <w:rPr>
          <w:rFonts w:asciiTheme="majorHAnsi" w:hAnsiTheme="majorHAnsi"/>
          <w:szCs w:val="20"/>
          <w:lang w:val="es-US"/>
        </w:rPr>
        <w:t xml:space="preserve">. </w:t>
      </w:r>
    </w:p>
    <w:p w14:paraId="6AB4EDA9"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eastAsia="Times New Roman" w:hAnsiTheme="majorHAnsi"/>
          <w:sz w:val="16"/>
          <w:szCs w:val="16"/>
          <w:lang w:val="es-US"/>
        </w:rPr>
      </w:pPr>
      <w:r w:rsidRPr="00930562">
        <w:rPr>
          <w:rFonts w:asciiTheme="majorHAnsi" w:hAnsiTheme="majorHAnsi"/>
          <w:szCs w:val="20"/>
          <w:lang w:val="es-US"/>
        </w:rPr>
        <w:lastRenderedPageBreak/>
        <w:t>Además, los Principios Básicos estipulan que la formación prestará especial atención “a las cuestiones</w:t>
      </w:r>
      <w:r w:rsidRPr="00930562">
        <w:rPr>
          <w:rFonts w:asciiTheme="majorHAnsi" w:eastAsia="Times New Roman" w:hAnsiTheme="majorHAnsi"/>
          <w:color w:val="000000"/>
          <w:shd w:val="clear" w:color="auto" w:fill="FFFFFF"/>
          <w:lang w:val="es-US"/>
        </w:rPr>
        <w:t xml:space="preserve"> de ética policial y derechos humanos, especialmente en el proceso de indagación, a los medios que puedan sustituir el empleo de la fuerza y de armas de fuego, por ejemplo, la solución pacífica de los conflictos, el estudio del comportamiento de las multitudes y las técnicas de persuasión, negociación y mediación, así como a los medios técnicos, con miras a limitar el empleo de la fuerza y armas de fuego”</w:t>
      </w:r>
      <w:r w:rsidRPr="00930562">
        <w:rPr>
          <w:rFonts w:asciiTheme="majorHAnsi" w:eastAsia="Times New Roman" w:hAnsiTheme="majorHAnsi"/>
          <w:vertAlign w:val="superscript"/>
          <w:lang w:val="es-US"/>
        </w:rPr>
        <w:t xml:space="preserve"> </w:t>
      </w:r>
      <w:r w:rsidRPr="00930562">
        <w:rPr>
          <w:rFonts w:asciiTheme="majorHAnsi" w:eastAsia="Times New Roman" w:hAnsiTheme="majorHAnsi"/>
          <w:vertAlign w:val="superscript"/>
          <w:lang w:val="es-US"/>
        </w:rPr>
        <w:footnoteReference w:id="487"/>
      </w:r>
      <w:r w:rsidRPr="00930562">
        <w:rPr>
          <w:rFonts w:asciiTheme="majorHAnsi" w:eastAsia="Times New Roman" w:hAnsiTheme="majorHAnsi"/>
          <w:color w:val="000000"/>
          <w:shd w:val="clear" w:color="auto" w:fill="FFFFFF"/>
          <w:lang w:val="es-US"/>
        </w:rPr>
        <w:t>.</w:t>
      </w:r>
      <w:r w:rsidRPr="00930562">
        <w:rPr>
          <w:rFonts w:asciiTheme="majorHAnsi" w:hAnsiTheme="majorHAnsi" w:cs="TimesNewRoman"/>
          <w:lang w:val="es-US"/>
        </w:rPr>
        <w:t xml:space="preserve"> Los programas de capacitación de los organismos y los procedimientos operativos deben ser revisados periódicamente a la luz de incidentes particulares</w:t>
      </w:r>
      <w:r w:rsidRPr="00930562">
        <w:rPr>
          <w:rFonts w:asciiTheme="majorHAnsi" w:eastAsia="Times New Roman" w:hAnsiTheme="majorHAnsi"/>
          <w:vertAlign w:val="superscript"/>
          <w:lang w:val="es-US"/>
        </w:rPr>
        <w:footnoteReference w:id="488"/>
      </w:r>
      <w:r w:rsidRPr="00930562">
        <w:rPr>
          <w:rFonts w:asciiTheme="majorHAnsi" w:hAnsiTheme="majorHAnsi" w:cs="TimesNewRoman"/>
          <w:lang w:val="es-US"/>
        </w:rPr>
        <w:t>. Además, el Comité para la Eliminación de la Discriminación Racial ha declarado que los funcionarios encargados de hacer cumplir la ley deben recibir formación “para garantizar que, en el cumplimiento de sus deberes, respeten y protejan la dignidad humana y mantengan y defiendan los derechos humanos de todas las personas sin distinción de raza, color u origen nacional o étnico”</w:t>
      </w:r>
      <w:r w:rsidRPr="00930562">
        <w:rPr>
          <w:rFonts w:asciiTheme="majorHAnsi" w:hAnsiTheme="majorHAnsi"/>
          <w:vertAlign w:val="superscript"/>
          <w:lang w:val="es-US"/>
        </w:rPr>
        <w:footnoteReference w:id="489"/>
      </w:r>
      <w:r w:rsidRPr="00930562">
        <w:rPr>
          <w:rFonts w:asciiTheme="majorHAnsi" w:hAnsiTheme="majorHAnsi" w:cs="TimesNewRoman"/>
          <w:lang w:val="es-US"/>
        </w:rPr>
        <w:t>. Esta capacitación también debe abordar el respeto de los derechos humanos, la tolerancia racial y las herramientas para trabajar en entornos multiculturales, para  funcionarios encargados de hacer cumplir la ley,  operadores de justicia y  profesiones afines</w:t>
      </w:r>
      <w:r w:rsidRPr="00930562">
        <w:rPr>
          <w:rFonts w:asciiTheme="majorHAnsi" w:hAnsiTheme="majorHAnsi" w:cs="TimesNewRoman"/>
          <w:vertAlign w:val="superscript"/>
          <w:lang w:val="es-US"/>
        </w:rPr>
        <w:footnoteReference w:id="490"/>
      </w:r>
      <w:r w:rsidRPr="00930562">
        <w:rPr>
          <w:rFonts w:asciiTheme="majorHAnsi" w:hAnsiTheme="majorHAnsi" w:cs="TimesNewRoman"/>
          <w:lang w:val="es-US"/>
        </w:rPr>
        <w:t xml:space="preserve">. </w:t>
      </w:r>
    </w:p>
    <w:p w14:paraId="3A0E51C6"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eastAsia="Times New Roman" w:hAnsiTheme="majorHAnsi"/>
          <w:szCs w:val="20"/>
          <w:lang w:val="es-US"/>
        </w:rPr>
        <w:t xml:space="preserve">Además, los Principios Básicos exigen que “todos los funcionarios encargados de hacer cumplir la ley reciban capacitación en el empleo de la fuerza y sean examinados de conformidad con normas de </w:t>
      </w:r>
      <w:r w:rsidRPr="00930562">
        <w:rPr>
          <w:rFonts w:asciiTheme="majorHAnsi" w:hAnsiTheme="majorHAnsi"/>
          <w:szCs w:val="20"/>
          <w:lang w:val="es-US"/>
        </w:rPr>
        <w:t xml:space="preserve">evaluación adecuadas”, y que sólo los funcionarios de policía  que hayan </w:t>
      </w:r>
      <w:proofErr w:type="gramStart"/>
      <w:r w:rsidRPr="00930562">
        <w:rPr>
          <w:rFonts w:asciiTheme="majorHAnsi" w:hAnsiTheme="majorHAnsi"/>
          <w:szCs w:val="20"/>
          <w:lang w:val="es-US"/>
        </w:rPr>
        <w:t>recibido</w:t>
      </w:r>
      <w:proofErr w:type="gramEnd"/>
      <w:r w:rsidRPr="00930562">
        <w:rPr>
          <w:rFonts w:asciiTheme="majorHAnsi" w:hAnsiTheme="majorHAnsi"/>
          <w:szCs w:val="20"/>
          <w:lang w:val="es-US"/>
        </w:rPr>
        <w:t xml:space="preserve"> capacitación especial en el uso de armas de fuego estén autorizados a portarlas</w:t>
      </w:r>
      <w:r w:rsidRPr="00930562">
        <w:rPr>
          <w:rFonts w:asciiTheme="majorHAnsi" w:hAnsiTheme="majorHAnsi"/>
          <w:szCs w:val="20"/>
          <w:vertAlign w:val="superscript"/>
          <w:lang w:val="es-US"/>
        </w:rPr>
        <w:footnoteReference w:id="491"/>
      </w:r>
      <w:r w:rsidRPr="00930562">
        <w:rPr>
          <w:rFonts w:asciiTheme="majorHAnsi" w:hAnsiTheme="majorHAnsi"/>
          <w:szCs w:val="20"/>
          <w:lang w:val="es-US"/>
        </w:rPr>
        <w:t>.</w:t>
      </w:r>
    </w:p>
    <w:p w14:paraId="5263E98D" w14:textId="6BB2074E"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rPr>
        <w:t>La Comisión ha enfatizado anteriormente la importancia de la formación en la escalada gradual vigente cuando cumple los estándares requeridos de legalidad, necesidad absoluta y proporcionalidad</w:t>
      </w:r>
      <w:r w:rsidRPr="00930562">
        <w:rPr>
          <w:rFonts w:asciiTheme="majorHAnsi" w:hAnsiTheme="majorHAnsi"/>
          <w:szCs w:val="20"/>
          <w:vertAlign w:val="superscript"/>
          <w:lang w:val="es-US"/>
        </w:rPr>
        <w:footnoteReference w:id="492"/>
      </w:r>
      <w:r w:rsidRPr="00930562">
        <w:rPr>
          <w:rFonts w:asciiTheme="majorHAnsi" w:hAnsiTheme="majorHAnsi"/>
          <w:szCs w:val="20"/>
          <w:lang w:val="es-US"/>
        </w:rPr>
        <w:t>. La Comisión observa que las recomendaciones del Grupo de Trabajo del Presidente</w:t>
      </w:r>
      <w:r w:rsidR="0046477D" w:rsidRPr="00930562">
        <w:rPr>
          <w:rFonts w:asciiTheme="majorHAnsi" w:hAnsiTheme="majorHAnsi"/>
          <w:szCs w:val="20"/>
          <w:lang w:val="es-US"/>
        </w:rPr>
        <w:t xml:space="preserve"> Obama</w:t>
      </w:r>
      <w:r w:rsidRPr="00930562">
        <w:rPr>
          <w:rFonts w:asciiTheme="majorHAnsi" w:hAnsiTheme="majorHAnsi"/>
          <w:szCs w:val="20"/>
          <w:lang w:val="es-US"/>
        </w:rPr>
        <w:t xml:space="preserve"> con respecto al uso de la fuerza, que incluyen la creación de políticas de uso de la fuerza por parte de los organismos para la capacitación, que hagan hincapié en el uso de tecnologías menos letales, la reducción de la escalada </w:t>
      </w:r>
      <w:r w:rsidRPr="00930562">
        <w:rPr>
          <w:rFonts w:asciiTheme="majorHAnsi" w:hAnsiTheme="majorHAnsi"/>
          <w:szCs w:val="20"/>
          <w:lang w:val="es-US"/>
        </w:rPr>
        <w:lastRenderedPageBreak/>
        <w:t>de la violencia y las alternativas al arresto o la citación en situaciones en las que proceda</w:t>
      </w:r>
      <w:r w:rsidRPr="00930562">
        <w:rPr>
          <w:rFonts w:asciiTheme="majorHAnsi" w:hAnsiTheme="majorHAnsi"/>
          <w:szCs w:val="20"/>
          <w:vertAlign w:val="superscript"/>
          <w:lang w:val="es-US"/>
        </w:rPr>
        <w:footnoteReference w:id="493"/>
      </w:r>
      <w:r w:rsidRPr="00930562">
        <w:rPr>
          <w:rFonts w:asciiTheme="majorHAnsi" w:hAnsiTheme="majorHAnsi"/>
          <w:szCs w:val="20"/>
          <w:lang w:val="es-US"/>
        </w:rPr>
        <w:t>, representarían avances positivos a este respecto.</w:t>
      </w:r>
    </w:p>
    <w:p w14:paraId="5E03B125"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eastAsia="Times New Roman" w:hAnsiTheme="majorHAnsi"/>
          <w:szCs w:val="20"/>
          <w:lang w:val="es-US"/>
        </w:rPr>
      </w:pPr>
      <w:r w:rsidRPr="00930562">
        <w:rPr>
          <w:rFonts w:asciiTheme="majorHAnsi" w:hAnsiTheme="majorHAnsi"/>
          <w:szCs w:val="20"/>
          <w:lang w:val="es-US"/>
        </w:rPr>
        <w:t>La Comisión observa que las aproximadas 18.000 agencias para el cumplimiento de la ley en los Estados Unidos son casi todos organismos estatales y locales</w:t>
      </w:r>
      <w:r w:rsidRPr="00930562">
        <w:rPr>
          <w:rFonts w:asciiTheme="majorHAnsi" w:hAnsiTheme="majorHAnsi"/>
          <w:szCs w:val="20"/>
          <w:vertAlign w:val="superscript"/>
          <w:lang w:val="es-US"/>
        </w:rPr>
        <w:footnoteReference w:id="494"/>
      </w:r>
      <w:r w:rsidRPr="00930562">
        <w:rPr>
          <w:rFonts w:asciiTheme="majorHAnsi" w:hAnsiTheme="majorHAnsi"/>
          <w:szCs w:val="20"/>
          <w:lang w:val="es-US"/>
        </w:rPr>
        <w:t>. En este contexto, reitera la obligación de todos los niveles de gobierno, incluidos los estatales y locales, de observar las normas</w:t>
      </w:r>
      <w:r w:rsidRPr="00930562">
        <w:rPr>
          <w:rFonts w:asciiTheme="majorHAnsi" w:eastAsia="Times New Roman" w:hAnsiTheme="majorHAnsi"/>
          <w:szCs w:val="20"/>
          <w:lang w:val="es-US"/>
        </w:rPr>
        <w:t xml:space="preserve"> internacionales de derechos humanos y armonizar sus leyes, políticas y prácticas con el derecho internacional. A la luz de esta situación, la Comisión reitera la importancia de establecer programas de formación policial que incluyan la formación en: la definición de fuerza, el uso de la fuerza y el uso permisible de la fuerza letal; las tácticas de reducción de la tensión, a fin de cumplir con el principio de necesidad; las alternativas al uso de la fuerza letal, incluidas las armas menos letales; formación en materia de no discriminación y parcialidad implícita que abarque todos los aspectos de la labor policial, desde las patrullajes hasta las detenciones y el uso de la fuerza. La Comisión toma nota además de la información que ha recibido, según la cual muchos departamentos de policía locales, incluidas las grandes ciudades, no disponen de información pública sobre la naturaleza y el alcance de la formación policial y sus políticas</w:t>
      </w:r>
      <w:r w:rsidRPr="00930562">
        <w:rPr>
          <w:rFonts w:asciiTheme="majorHAnsi" w:eastAsia="Times New Roman" w:hAnsiTheme="majorHAnsi"/>
          <w:vertAlign w:val="superscript"/>
          <w:lang w:val="es-US"/>
        </w:rPr>
        <w:footnoteReference w:id="495"/>
      </w:r>
      <w:r w:rsidRPr="00930562">
        <w:rPr>
          <w:rFonts w:asciiTheme="majorHAnsi" w:eastAsia="Times New Roman" w:hAnsiTheme="majorHAnsi"/>
          <w:lang w:val="es-US"/>
        </w:rPr>
        <w:t>.</w:t>
      </w:r>
      <w:r w:rsidRPr="00930562">
        <w:rPr>
          <w:rFonts w:asciiTheme="majorHAnsi" w:eastAsia="Times New Roman" w:hAnsiTheme="majorHAnsi"/>
          <w:szCs w:val="20"/>
          <w:lang w:val="es-US"/>
        </w:rPr>
        <w:t xml:space="preserve"> A este respecto, la Comisión hace un llamado a una mayor transparencia activa por parte de estos órganos para facilitar la supervisión del cumplimiento de las normas de derechos humanos relativas a la formación de la policía y las políticas de uso de la fuerza.</w:t>
      </w:r>
    </w:p>
    <w:p w14:paraId="4EAFB9FF" w14:textId="764740DA" w:rsidR="006E177E" w:rsidRPr="00930562" w:rsidRDefault="006E177E" w:rsidP="001E382F">
      <w:pPr>
        <w:pStyle w:val="Heading4"/>
        <w:rPr>
          <w:lang w:val="es-US"/>
        </w:rPr>
      </w:pPr>
      <w:bookmarkStart w:id="193" w:name="_Toc517779256"/>
      <w:bookmarkStart w:id="194" w:name="_Toc531514489"/>
      <w:r w:rsidRPr="00930562">
        <w:rPr>
          <w:lang w:val="es-US"/>
        </w:rPr>
        <w:t xml:space="preserve">Adopción de </w:t>
      </w:r>
      <w:r w:rsidR="001E382F" w:rsidRPr="00930562">
        <w:rPr>
          <w:lang w:val="es-US"/>
        </w:rPr>
        <w:t>protocolos relativos al uso de la fuerza</w:t>
      </w:r>
      <w:bookmarkEnd w:id="193"/>
      <w:bookmarkEnd w:id="194"/>
    </w:p>
    <w:p w14:paraId="467F5882"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eastAsia="Times New Roman" w:hAnsiTheme="majorHAnsi"/>
          <w:szCs w:val="20"/>
          <w:lang w:val="es-US"/>
        </w:rPr>
        <w:t xml:space="preserve">La CIDH </w:t>
      </w:r>
      <w:r w:rsidRPr="00930562">
        <w:rPr>
          <w:rFonts w:asciiTheme="majorHAnsi" w:hAnsiTheme="majorHAnsi"/>
          <w:szCs w:val="20"/>
          <w:lang w:val="es-US"/>
        </w:rPr>
        <w:t>recuerda que, según el derecho internacional, el uso de armas letales se considera un último recurso, cuando las medidas menos extremas serían insuficientes. Esta obligación adquiere un carácter especial en las operaciones y en las situaciones que por su naturaleza ponen en peligro los derechos fundamentales de las personas</w:t>
      </w:r>
      <w:r w:rsidRPr="00930562">
        <w:rPr>
          <w:rFonts w:asciiTheme="majorHAnsi" w:hAnsiTheme="majorHAnsi"/>
          <w:szCs w:val="20"/>
          <w:vertAlign w:val="superscript"/>
          <w:lang w:val="es-US"/>
        </w:rPr>
        <w:footnoteReference w:id="496"/>
      </w:r>
      <w:r w:rsidRPr="00930562">
        <w:rPr>
          <w:rFonts w:asciiTheme="majorHAnsi" w:hAnsiTheme="majorHAnsi"/>
          <w:szCs w:val="20"/>
          <w:lang w:val="es-US"/>
        </w:rPr>
        <w:t xml:space="preserve">. Estos principios deberían incorporarse plenamente en las políticas de uso de la fuerza departamentales, en consonancia con la obligación de todos los niveles de </w:t>
      </w:r>
      <w:r w:rsidRPr="00930562">
        <w:rPr>
          <w:rFonts w:asciiTheme="majorHAnsi" w:hAnsiTheme="majorHAnsi"/>
          <w:szCs w:val="20"/>
          <w:lang w:val="es-US"/>
        </w:rPr>
        <w:lastRenderedPageBreak/>
        <w:t>gobierno de observar y proteger las obligaciones en materia de derechos humanos.</w:t>
      </w:r>
    </w:p>
    <w:p w14:paraId="1E734A25"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rPr>
        <w:t>Dada la expansión de la fabricación y venta de armas menos letales, y sus variadas características, mecanismos para causar daño y riesgos asociados con su uso, son esenciales normas claras y apropiadas. Esto se debe a que la letalidad del arma depende de su uso, del contexto en el que se utiliza y de las condiciones particulares de la persona que la utiliza</w:t>
      </w:r>
      <w:r w:rsidRPr="00930562">
        <w:rPr>
          <w:rFonts w:asciiTheme="majorHAnsi" w:hAnsiTheme="majorHAnsi"/>
          <w:szCs w:val="20"/>
          <w:vertAlign w:val="superscript"/>
          <w:lang w:val="es-US"/>
        </w:rPr>
        <w:footnoteReference w:id="497"/>
      </w:r>
      <w:r w:rsidRPr="00930562">
        <w:rPr>
          <w:rFonts w:asciiTheme="majorHAnsi" w:hAnsiTheme="majorHAnsi"/>
          <w:szCs w:val="20"/>
          <w:lang w:val="es-US"/>
        </w:rPr>
        <w:t>. La CIDH ha observado anteriormente que “casi cualquier uso de la fuerza contra la persona humana puede, bajo ciertas circunstancias, conducir a la pérdida de vidas o lesiones graves”, y en muchos casos, impactos negativos sobre la integridad física o la vida han sido causados por el uso indebido de tales armas</w:t>
      </w:r>
      <w:r w:rsidRPr="00930562">
        <w:rPr>
          <w:rFonts w:asciiTheme="majorHAnsi" w:hAnsiTheme="majorHAnsi"/>
          <w:szCs w:val="20"/>
          <w:vertAlign w:val="superscript"/>
          <w:lang w:val="es-US"/>
        </w:rPr>
        <w:footnoteReference w:id="498"/>
      </w:r>
      <w:r w:rsidRPr="00930562">
        <w:rPr>
          <w:rFonts w:asciiTheme="majorHAnsi" w:hAnsiTheme="majorHAnsi"/>
          <w:szCs w:val="20"/>
          <w:lang w:val="es-US"/>
        </w:rPr>
        <w:t>. Por ejemplo, las municiones de goma disparadas desde una distancia corta a la parte superior del cuerpo, los gases lacrimógenos disparados al cuerpo de la persona, los gases irritantes utilizados contra niños y ancianos y las pistolas paralizantes utilizadas contra personas con enfermedades cardíacas pueden causar lesiones graves o la muerte</w:t>
      </w:r>
      <w:r w:rsidRPr="00930562">
        <w:rPr>
          <w:rFonts w:asciiTheme="majorHAnsi" w:hAnsiTheme="majorHAnsi"/>
          <w:szCs w:val="20"/>
          <w:vertAlign w:val="superscript"/>
          <w:lang w:val="es-US"/>
        </w:rPr>
        <w:footnoteReference w:id="499"/>
      </w:r>
      <w:r w:rsidRPr="00930562">
        <w:rPr>
          <w:rFonts w:asciiTheme="majorHAnsi" w:hAnsiTheme="majorHAnsi"/>
          <w:szCs w:val="20"/>
          <w:lang w:val="es-US"/>
        </w:rPr>
        <w:t>. La CIDH recuerda que varios de los casos citados en este informe se debieron a causas distintas a los tiroteos, como el uso de estrangulamientos prohibidos o “paseos bruscos</w:t>
      </w:r>
      <w:proofErr w:type="gramStart"/>
      <w:r w:rsidRPr="00930562">
        <w:rPr>
          <w:rFonts w:asciiTheme="majorHAnsi" w:hAnsiTheme="majorHAnsi"/>
          <w:szCs w:val="20"/>
          <w:lang w:val="es-US"/>
        </w:rPr>
        <w:t xml:space="preserve">” </w:t>
      </w:r>
      <w:proofErr w:type="gramEnd"/>
      <w:r w:rsidRPr="00930562">
        <w:rPr>
          <w:rFonts w:asciiTheme="majorHAnsi" w:hAnsiTheme="majorHAnsi"/>
          <w:szCs w:val="20"/>
          <w:vertAlign w:val="superscript"/>
          <w:lang w:val="es-US"/>
        </w:rPr>
        <w:footnoteReference w:id="500"/>
      </w:r>
      <w:r w:rsidRPr="00930562">
        <w:rPr>
          <w:rFonts w:asciiTheme="majorHAnsi" w:hAnsiTheme="majorHAnsi"/>
          <w:szCs w:val="20"/>
          <w:lang w:val="es-US"/>
        </w:rPr>
        <w:t xml:space="preserve">. </w:t>
      </w:r>
    </w:p>
    <w:p w14:paraId="47F03BE4" w14:textId="2FBBC4D8"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eastAsia="Times New Roman" w:hAnsiTheme="majorHAnsi"/>
          <w:szCs w:val="20"/>
          <w:lang w:val="es-US"/>
        </w:rPr>
      </w:pPr>
      <w:r w:rsidRPr="00930562">
        <w:rPr>
          <w:rFonts w:asciiTheme="majorHAnsi" w:hAnsiTheme="majorHAnsi"/>
          <w:szCs w:val="20"/>
          <w:lang w:val="es-US"/>
        </w:rPr>
        <w:t>Además de la necesidad de armonizar las leyes nacionales relativas al uso de la fuerza letal con el derecho internacional y de crear protocolos apropiados para garantizar el cumplimiento, la Comisión hace hincapié en la necesidad de elaborar disposiciones normativas, protocolos y manuales que consideren</w:t>
      </w:r>
      <w:r w:rsidRPr="00930562">
        <w:rPr>
          <w:rFonts w:asciiTheme="majorHAnsi" w:eastAsia="Times New Roman" w:hAnsiTheme="majorHAnsi"/>
          <w:szCs w:val="20"/>
          <w:lang w:val="es-US"/>
        </w:rPr>
        <w:t xml:space="preserve"> la posibilidad de prohibir el uso de armas letales y menos letales en determinadas situaciones o con personas que puedan entrañar un mayor riesgo, en vista de las consecuencias que podrían derivarse de su uso incorrecto, inapropiado o abusivo</w:t>
      </w:r>
      <w:r w:rsidRPr="00930562">
        <w:rPr>
          <w:rFonts w:asciiTheme="majorHAnsi" w:eastAsia="Times New Roman" w:hAnsiTheme="majorHAnsi"/>
          <w:szCs w:val="20"/>
          <w:vertAlign w:val="superscript"/>
          <w:lang w:val="es-US"/>
        </w:rPr>
        <w:footnoteReference w:id="501"/>
      </w:r>
      <w:r w:rsidRPr="00930562">
        <w:rPr>
          <w:rFonts w:asciiTheme="majorHAnsi" w:eastAsia="Times New Roman" w:hAnsiTheme="majorHAnsi"/>
          <w:szCs w:val="20"/>
          <w:lang w:val="es-US"/>
        </w:rPr>
        <w:t>.</w:t>
      </w:r>
      <w:r w:rsidRPr="00930562">
        <w:rPr>
          <w:rFonts w:asciiTheme="majorHAnsi" w:eastAsia="Times New Roman" w:hAnsiTheme="majorHAnsi"/>
          <w:sz w:val="16"/>
          <w:szCs w:val="16"/>
          <w:lang w:val="es-US"/>
        </w:rPr>
        <w:t xml:space="preserve"> </w:t>
      </w:r>
      <w:r w:rsidRPr="00930562">
        <w:rPr>
          <w:rFonts w:asciiTheme="majorHAnsi" w:eastAsia="Times New Roman" w:hAnsiTheme="majorHAnsi"/>
          <w:szCs w:val="20"/>
          <w:lang w:val="es-US"/>
        </w:rPr>
        <w:t>Por ejemplo, la Comisión ha declarado que los gases lacrimógenos no deben utilizarse en espacios cerrados o en contra de personas que no tengan espacio para alejarse de la multitud o evacuar</w:t>
      </w:r>
      <w:r w:rsidR="00420E79" w:rsidRPr="00930562">
        <w:rPr>
          <w:rFonts w:asciiTheme="majorHAnsi" w:eastAsia="Times New Roman" w:hAnsiTheme="majorHAnsi"/>
          <w:szCs w:val="20"/>
          <w:lang w:val="es-US"/>
        </w:rPr>
        <w:t>.</w:t>
      </w:r>
      <w:r w:rsidRPr="00930562">
        <w:rPr>
          <w:rFonts w:asciiTheme="majorHAnsi" w:eastAsia="Times New Roman" w:hAnsiTheme="majorHAnsi"/>
          <w:szCs w:val="20"/>
          <w:vertAlign w:val="superscript"/>
          <w:lang w:val="es-US"/>
        </w:rPr>
        <w:footnoteReference w:id="502"/>
      </w:r>
      <w:r w:rsidRPr="00930562">
        <w:rPr>
          <w:rFonts w:asciiTheme="majorHAnsi" w:eastAsia="Times New Roman" w:hAnsiTheme="majorHAnsi"/>
          <w:szCs w:val="20"/>
          <w:lang w:val="es-US"/>
        </w:rPr>
        <w:t xml:space="preserve">  El uso de armas menos letales debe ir precedido de </w:t>
      </w:r>
      <w:r w:rsidRPr="00930562">
        <w:rPr>
          <w:rFonts w:asciiTheme="majorHAnsi" w:eastAsia="Times New Roman" w:hAnsiTheme="majorHAnsi"/>
          <w:szCs w:val="20"/>
          <w:lang w:val="es-US"/>
        </w:rPr>
        <w:lastRenderedPageBreak/>
        <w:t>avisos formales que den a las personas la oportunidad de evacuar la zona sin provocar situaciones de pánico o estampidas, así como de directrices para regular su composición</w:t>
      </w:r>
      <w:r w:rsidRPr="00930562">
        <w:rPr>
          <w:rFonts w:asciiTheme="majorHAnsi" w:eastAsia="Times New Roman" w:hAnsiTheme="majorHAnsi"/>
          <w:szCs w:val="20"/>
          <w:vertAlign w:val="superscript"/>
          <w:lang w:val="es-US"/>
        </w:rPr>
        <w:footnoteReference w:id="503"/>
      </w:r>
      <w:r w:rsidRPr="00930562">
        <w:rPr>
          <w:rFonts w:asciiTheme="majorHAnsi" w:eastAsia="Times New Roman" w:hAnsiTheme="majorHAnsi"/>
          <w:b/>
          <w:sz w:val="16"/>
          <w:szCs w:val="16"/>
          <w:vertAlign w:val="superscript"/>
          <w:lang w:val="es-US"/>
        </w:rPr>
        <w:t xml:space="preserve"> </w:t>
      </w:r>
      <w:r w:rsidRPr="00930562">
        <w:rPr>
          <w:rFonts w:asciiTheme="majorHAnsi" w:eastAsia="Times New Roman" w:hAnsiTheme="majorHAnsi"/>
          <w:szCs w:val="20"/>
          <w:lang w:val="es-US"/>
        </w:rPr>
        <w:t>y atribuir responsabilidades por su uso incorrecto</w:t>
      </w:r>
      <w:r w:rsidRPr="00930562">
        <w:rPr>
          <w:rFonts w:asciiTheme="majorHAnsi" w:eastAsia="Times New Roman" w:hAnsiTheme="majorHAnsi"/>
          <w:szCs w:val="20"/>
          <w:vertAlign w:val="superscript"/>
          <w:lang w:val="es-US"/>
        </w:rPr>
        <w:footnoteReference w:id="504"/>
      </w:r>
      <w:r w:rsidRPr="00930562">
        <w:rPr>
          <w:rFonts w:asciiTheme="majorHAnsi" w:eastAsia="Times New Roman" w:hAnsiTheme="majorHAnsi"/>
          <w:szCs w:val="20"/>
          <w:lang w:val="es-US"/>
        </w:rPr>
        <w:t>.</w:t>
      </w:r>
    </w:p>
    <w:p w14:paraId="66367A7C"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eastAsia="Times New Roman" w:hAnsiTheme="majorHAnsi"/>
          <w:szCs w:val="20"/>
          <w:lang w:val="es-US"/>
        </w:rPr>
      </w:pPr>
      <w:r w:rsidRPr="00930562">
        <w:rPr>
          <w:rFonts w:asciiTheme="majorHAnsi" w:eastAsia="Times New Roman" w:hAnsiTheme="majorHAnsi"/>
          <w:szCs w:val="20"/>
          <w:lang w:val="es-US"/>
        </w:rPr>
        <w:t xml:space="preserve">La Comisión reitera la </w:t>
      </w:r>
      <w:r w:rsidRPr="00930562">
        <w:rPr>
          <w:rFonts w:asciiTheme="majorHAnsi" w:hAnsiTheme="majorHAnsi"/>
          <w:szCs w:val="20"/>
          <w:lang w:val="es-US"/>
        </w:rPr>
        <w:t>importancia</w:t>
      </w:r>
      <w:r w:rsidRPr="00930562">
        <w:rPr>
          <w:rFonts w:asciiTheme="majorHAnsi" w:eastAsia="Times New Roman" w:hAnsiTheme="majorHAnsi"/>
          <w:szCs w:val="20"/>
          <w:lang w:val="es-US"/>
        </w:rPr>
        <w:t xml:space="preserve"> de aplicar protocolos y sistemas de registro y control de municiones</w:t>
      </w:r>
      <w:r w:rsidRPr="00930562">
        <w:rPr>
          <w:rFonts w:asciiTheme="majorHAnsi" w:eastAsia="Times New Roman" w:hAnsiTheme="majorHAnsi"/>
          <w:szCs w:val="20"/>
          <w:vertAlign w:val="superscript"/>
          <w:lang w:val="es-US"/>
        </w:rPr>
        <w:footnoteReference w:id="505"/>
      </w:r>
      <w:r w:rsidRPr="00930562">
        <w:rPr>
          <w:rFonts w:asciiTheme="majorHAnsi" w:eastAsia="Times New Roman" w:hAnsiTheme="majorHAnsi"/>
          <w:szCs w:val="20"/>
          <w:lang w:val="es-US"/>
        </w:rPr>
        <w:t>. Los Principios Básicos también recomiendan el establecimiento de directrices que regulen el control, el almacenamiento y la expedición de armas de fuego, incluidos procedimientos para garantizar que los organismos policiales rindan cuentas de las armas de fuego y municiones que se les expidan</w:t>
      </w:r>
      <w:r w:rsidRPr="00930562">
        <w:rPr>
          <w:rFonts w:asciiTheme="majorHAnsi" w:eastAsia="Times New Roman" w:hAnsiTheme="majorHAnsi"/>
          <w:szCs w:val="20"/>
          <w:vertAlign w:val="superscript"/>
          <w:lang w:val="es-US"/>
        </w:rPr>
        <w:footnoteReference w:id="506"/>
      </w:r>
      <w:r w:rsidRPr="00930562">
        <w:rPr>
          <w:rFonts w:asciiTheme="majorHAnsi" w:eastAsia="Times New Roman" w:hAnsiTheme="majorHAnsi"/>
          <w:szCs w:val="20"/>
          <w:lang w:val="es-US"/>
        </w:rPr>
        <w:t>. Este tipo de registro, antes y después de las operaciones, ayuda a facilitar las investigaciones judiciales y administrativas sobre posibles violaciones de las normas y principios sobre el uso de la fuerza. Por lo tanto, los Estados deberían disponer de mecanismos eficaces para hacer inventarios de armas de fuego, municiones y otros dispositivos de control, como las armas químicas, a ser utilizados en una operación de seguridad</w:t>
      </w:r>
      <w:r w:rsidRPr="00930562">
        <w:rPr>
          <w:rFonts w:asciiTheme="majorHAnsi" w:eastAsia="Times New Roman" w:hAnsiTheme="majorHAnsi"/>
          <w:szCs w:val="20"/>
          <w:vertAlign w:val="superscript"/>
          <w:lang w:val="es-US"/>
        </w:rPr>
        <w:footnoteReference w:id="507"/>
      </w:r>
      <w:r w:rsidRPr="00930562">
        <w:rPr>
          <w:rFonts w:asciiTheme="majorHAnsi" w:eastAsia="Times New Roman" w:hAnsiTheme="majorHAnsi"/>
          <w:szCs w:val="20"/>
          <w:lang w:val="es-US"/>
        </w:rPr>
        <w:t>.</w:t>
      </w:r>
    </w:p>
    <w:p w14:paraId="5305CD06" w14:textId="3752A4AF" w:rsidR="006E177E" w:rsidRPr="00930562" w:rsidRDefault="006E177E" w:rsidP="001E382F">
      <w:pPr>
        <w:pStyle w:val="Heading4"/>
        <w:rPr>
          <w:lang w:val="es-US"/>
        </w:rPr>
      </w:pPr>
      <w:bookmarkStart w:id="195" w:name="_Toc517779257"/>
      <w:bookmarkStart w:id="196" w:name="_Toc531514490"/>
      <w:r w:rsidRPr="00930562">
        <w:rPr>
          <w:lang w:val="es-US"/>
        </w:rPr>
        <w:t xml:space="preserve">Prevenir las </w:t>
      </w:r>
      <w:r w:rsidR="001E382F" w:rsidRPr="00930562">
        <w:rPr>
          <w:lang w:val="es-US"/>
        </w:rPr>
        <w:t>violaciones de la prohibición de la tortura y los tratos crueles, inhumanos y degradantes</w:t>
      </w:r>
      <w:bookmarkEnd w:id="195"/>
      <w:bookmarkEnd w:id="196"/>
    </w:p>
    <w:p w14:paraId="20974130"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rPr>
        <w:t>Según el derecho internacional, todas las formas de tortura y tratos crueles, inhumanos o degradantes (“TCID”) están prohibidas universalmente y sin excepción</w:t>
      </w:r>
      <w:r w:rsidRPr="00930562">
        <w:rPr>
          <w:rFonts w:asciiTheme="majorHAnsi" w:hAnsiTheme="majorHAnsi"/>
          <w:szCs w:val="20"/>
          <w:vertAlign w:val="superscript"/>
          <w:lang w:val="es-US"/>
        </w:rPr>
        <w:footnoteReference w:id="508"/>
      </w:r>
      <w:r w:rsidRPr="00930562">
        <w:rPr>
          <w:rFonts w:asciiTheme="majorHAnsi" w:hAnsiTheme="majorHAnsi"/>
          <w:szCs w:val="20"/>
          <w:lang w:val="es-US"/>
        </w:rPr>
        <w:t xml:space="preserve">, incluyendo la Convención contra la Tortura y Otros Tratos o Penas Crueles, Inhumanos o Degradantes (CCT) y el Pacto </w:t>
      </w:r>
      <w:r w:rsidRPr="00930562">
        <w:rPr>
          <w:rFonts w:asciiTheme="majorHAnsi" w:eastAsia="Times New Roman" w:hAnsiTheme="majorHAnsi"/>
          <w:szCs w:val="20"/>
          <w:lang w:val="es-US"/>
        </w:rPr>
        <w:t>Internacional</w:t>
      </w:r>
      <w:r w:rsidRPr="00930562">
        <w:rPr>
          <w:rFonts w:asciiTheme="majorHAnsi" w:hAnsiTheme="majorHAnsi"/>
          <w:szCs w:val="20"/>
          <w:lang w:val="es-US"/>
        </w:rPr>
        <w:t xml:space="preserve"> de </w:t>
      </w:r>
      <w:r w:rsidRPr="00930562">
        <w:rPr>
          <w:rFonts w:asciiTheme="majorHAnsi" w:eastAsia="Times New Roman" w:hAnsiTheme="majorHAnsi"/>
          <w:szCs w:val="20"/>
          <w:lang w:val="es-US"/>
        </w:rPr>
        <w:t>Derechos</w:t>
      </w:r>
      <w:r w:rsidRPr="00930562">
        <w:rPr>
          <w:rFonts w:asciiTheme="majorHAnsi" w:hAnsiTheme="majorHAnsi"/>
          <w:szCs w:val="20"/>
          <w:lang w:val="es-US"/>
        </w:rPr>
        <w:t xml:space="preserve"> Civiles y Políticos (PIDCP), ambos tratados ratificados por Estados Unidos, y la Convención Americana sobre Derechos Humanos (CADH), entre muchos otros instrumentos, incluyendo la Declaración Americana. De hecho, la prohibición de la tortura se considera una norma de </w:t>
      </w:r>
      <w:r w:rsidRPr="00930562">
        <w:rPr>
          <w:rFonts w:asciiTheme="majorHAnsi" w:hAnsiTheme="majorHAnsi"/>
          <w:i/>
          <w:szCs w:val="20"/>
          <w:lang w:val="es-US"/>
        </w:rPr>
        <w:t>jus cogens</w:t>
      </w:r>
      <w:r w:rsidRPr="00930562">
        <w:rPr>
          <w:rFonts w:asciiTheme="majorHAnsi" w:hAnsiTheme="majorHAnsi"/>
          <w:szCs w:val="20"/>
          <w:lang w:val="es-US"/>
        </w:rPr>
        <w:t xml:space="preserve">, que no admite derogación. Estados Unidos está obligado a prevenir la tortura, incluso garantizando una “educación y una información </w:t>
      </w:r>
      <w:r w:rsidRPr="00930562">
        <w:rPr>
          <w:rFonts w:asciiTheme="majorHAnsi" w:hAnsiTheme="majorHAnsi"/>
          <w:szCs w:val="20"/>
          <w:lang w:val="es-US"/>
        </w:rPr>
        <w:lastRenderedPageBreak/>
        <w:t>completas sobre la prohibición de la tortura en la formación profesional del personal encargado de la aplicación de la ley [...],” e incluyendo la prohibición “en las normas o instrucciones que se publiquen en relación con los deberes y funciones de esas personas.</w:t>
      </w:r>
      <w:proofErr w:type="gramStart"/>
      <w:r w:rsidRPr="00930562">
        <w:rPr>
          <w:rFonts w:asciiTheme="majorHAnsi" w:hAnsiTheme="majorHAnsi"/>
          <w:szCs w:val="20"/>
          <w:lang w:val="es-US"/>
        </w:rPr>
        <w:t>”</w:t>
      </w:r>
      <w:r w:rsidRPr="00930562">
        <w:rPr>
          <w:rFonts w:asciiTheme="majorHAnsi" w:hAnsiTheme="majorHAnsi"/>
          <w:szCs w:val="20"/>
          <w:vertAlign w:val="superscript"/>
          <w:lang w:val="es-US"/>
        </w:rPr>
        <w:t xml:space="preserve"> </w:t>
      </w:r>
      <w:proofErr w:type="gramEnd"/>
      <w:r w:rsidRPr="00930562">
        <w:rPr>
          <w:rFonts w:asciiTheme="majorHAnsi" w:hAnsiTheme="majorHAnsi"/>
          <w:szCs w:val="20"/>
          <w:vertAlign w:val="superscript"/>
          <w:lang w:val="es-US"/>
        </w:rPr>
        <w:footnoteReference w:id="509"/>
      </w:r>
      <w:r w:rsidRPr="00930562">
        <w:rPr>
          <w:rFonts w:asciiTheme="majorHAnsi" w:hAnsiTheme="majorHAnsi"/>
          <w:szCs w:val="20"/>
          <w:lang w:val="es-US"/>
        </w:rPr>
        <w:t xml:space="preserve">. </w:t>
      </w:r>
    </w:p>
    <w:p w14:paraId="65AC9864" w14:textId="517B570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rPr>
        <w:t>El artículo 7 del Pacto Internacional de Derechos Civiles y Políticos dispone lo siguiente: “Nadie será sometido a torturas ni a penas o tratos crueles, inhumanos o degradantes...</w:t>
      </w:r>
      <w:proofErr w:type="gramStart"/>
      <w:r w:rsidRPr="00930562">
        <w:rPr>
          <w:rFonts w:asciiTheme="majorHAnsi" w:hAnsiTheme="majorHAnsi"/>
          <w:szCs w:val="20"/>
          <w:lang w:val="es-US"/>
        </w:rPr>
        <w:t xml:space="preserve">” </w:t>
      </w:r>
      <w:proofErr w:type="gramEnd"/>
      <w:r w:rsidRPr="00930562">
        <w:rPr>
          <w:rFonts w:asciiTheme="majorHAnsi" w:hAnsiTheme="majorHAnsi"/>
          <w:szCs w:val="20"/>
          <w:vertAlign w:val="superscript"/>
          <w:lang w:val="es-US"/>
        </w:rPr>
        <w:footnoteReference w:id="510"/>
      </w:r>
      <w:r w:rsidRPr="00930562">
        <w:rPr>
          <w:rFonts w:asciiTheme="majorHAnsi" w:hAnsiTheme="majorHAnsi"/>
          <w:szCs w:val="20"/>
          <w:lang w:val="es-US"/>
        </w:rPr>
        <w:t>.</w:t>
      </w:r>
    </w:p>
    <w:p w14:paraId="295F18E2"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rPr>
        <w:t xml:space="preserve"> El artículo 1 de la Convención</w:t>
      </w:r>
      <w:r w:rsidRPr="00930562">
        <w:rPr>
          <w:rFonts w:asciiTheme="majorHAnsi" w:hAnsiTheme="majorHAnsi"/>
          <w:szCs w:val="18"/>
          <w:lang w:val="es-US"/>
        </w:rPr>
        <w:t xml:space="preserve"> contra la Tortura define la tortura como: </w:t>
      </w:r>
    </w:p>
    <w:p w14:paraId="404A66CD" w14:textId="77777777" w:rsidR="006E177E" w:rsidRPr="00930562" w:rsidRDefault="006E177E" w:rsidP="001E382F">
      <w:pPr>
        <w:spacing w:after="240" w:line="240" w:lineRule="auto"/>
        <w:ind w:left="1166" w:right="619"/>
        <w:jc w:val="both"/>
        <w:rPr>
          <w:rFonts w:asciiTheme="majorHAnsi" w:eastAsia="Cambria" w:hAnsiTheme="majorHAnsi"/>
          <w:szCs w:val="18"/>
          <w:lang w:val="es-US"/>
        </w:rPr>
      </w:pPr>
      <w:r w:rsidRPr="00930562">
        <w:rPr>
          <w:rFonts w:asciiTheme="majorHAnsi" w:eastAsia="Cambria" w:hAnsiTheme="majorHAnsi"/>
          <w:szCs w:val="18"/>
          <w:lang w:val="es-US"/>
        </w:rPr>
        <w:t>todo acto por el cual se inflija intencionadamente a una persona dolores o sufrimientos graves, ya sean físicos o mentales, con el fin de obtener de ella o de un tercero información o una confesión, de castigarla por un acto que haya cometido, o se sospeche que ha cometido, o de intimidar o coaccionar a esa persona o a otras, o por cualquier razón basada en cualquier tipo de discriminación, cuando dichos dolores o sufrimientos sean infligidos por un funcionario público u otra persona en el ejercicio de funciones públicas, a instigación suya, o con su consentimiento o aquiescencia. No se considerarán torturas los dolores o sufrimientos que sean consecuencia únicamente de sanciones legítimas, o que sean inherentes o incidentales a éstas.</w:t>
      </w:r>
    </w:p>
    <w:p w14:paraId="01569201"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rPr>
        <w:t xml:space="preserve">El </w:t>
      </w:r>
      <w:r w:rsidRPr="00930562">
        <w:rPr>
          <w:rFonts w:asciiTheme="majorHAnsi" w:hAnsiTheme="majorHAnsi"/>
          <w:szCs w:val="18"/>
          <w:lang w:val="es-US"/>
        </w:rPr>
        <w:t xml:space="preserve">artículo 16 de la </w:t>
      </w:r>
      <w:r w:rsidRPr="00930562">
        <w:rPr>
          <w:rFonts w:asciiTheme="majorHAnsi" w:hAnsiTheme="majorHAnsi"/>
          <w:szCs w:val="20"/>
          <w:lang w:val="es-US"/>
        </w:rPr>
        <w:t>Convención</w:t>
      </w:r>
      <w:r w:rsidRPr="00930562">
        <w:rPr>
          <w:rFonts w:asciiTheme="majorHAnsi" w:hAnsiTheme="majorHAnsi"/>
          <w:szCs w:val="18"/>
          <w:lang w:val="es-US"/>
        </w:rPr>
        <w:t xml:space="preserve"> contra la Tortura obliga además a los Estados a evitar:</w:t>
      </w:r>
    </w:p>
    <w:p w14:paraId="712BE76F" w14:textId="77777777" w:rsidR="006E177E" w:rsidRPr="00930562" w:rsidRDefault="006E177E" w:rsidP="006E177E">
      <w:pPr>
        <w:spacing w:after="240" w:line="240" w:lineRule="auto"/>
        <w:ind w:left="1166" w:right="619"/>
        <w:jc w:val="both"/>
        <w:rPr>
          <w:rFonts w:asciiTheme="majorHAnsi" w:eastAsia="Cambria" w:hAnsiTheme="majorHAnsi"/>
          <w:szCs w:val="18"/>
          <w:lang w:val="es-US"/>
        </w:rPr>
      </w:pPr>
      <w:proofErr w:type="gramStart"/>
      <w:r w:rsidRPr="00930562">
        <w:rPr>
          <w:rFonts w:asciiTheme="majorHAnsi" w:eastAsia="Cambria" w:hAnsiTheme="majorHAnsi"/>
          <w:szCs w:val="18"/>
          <w:lang w:val="es-US"/>
        </w:rPr>
        <w:t>otros</w:t>
      </w:r>
      <w:proofErr w:type="gramEnd"/>
      <w:r w:rsidRPr="00930562">
        <w:rPr>
          <w:rFonts w:asciiTheme="majorHAnsi" w:eastAsia="Cambria" w:hAnsiTheme="majorHAnsi"/>
          <w:szCs w:val="18"/>
          <w:lang w:val="es-US"/>
        </w:rPr>
        <w:t xml:space="preserve"> actos que constituyan tratos o penas crueles, inhumanos o degradantes y que no lleguen a ser tortura tal como se define en el artículo 1, cuando esos actos sean cometidos por un funcionario público u otra persona que actúe en el ejercicio de funciones oficiales, o por instigación o con el consentimiento o la aquiescencia de tal funcionario o persona.</w:t>
      </w:r>
    </w:p>
    <w:p w14:paraId="3C5A7A92"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rPr>
        <w:t>La Comisión Interamericana ha declarado además que la tortura es una forma agravada de trato inhumano perpetrada con un propósito, a saber, obtener información o confesiones, como medida preventiva, o infligir castigos</w:t>
      </w:r>
      <w:r w:rsidRPr="00930562">
        <w:rPr>
          <w:rFonts w:asciiTheme="majorHAnsi" w:hAnsiTheme="majorHAnsi"/>
          <w:szCs w:val="20"/>
          <w:vertAlign w:val="superscript"/>
          <w:lang w:val="es-US"/>
        </w:rPr>
        <w:footnoteReference w:id="511"/>
      </w:r>
      <w:r w:rsidRPr="00930562">
        <w:rPr>
          <w:rFonts w:asciiTheme="majorHAnsi" w:hAnsiTheme="majorHAnsi"/>
          <w:szCs w:val="20"/>
          <w:lang w:val="es-US"/>
        </w:rPr>
        <w:t xml:space="preserve">. En este sentido, el criterio esencial para distinguir entre tortura </w:t>
      </w:r>
      <w:r w:rsidRPr="00930562">
        <w:rPr>
          <w:rFonts w:asciiTheme="majorHAnsi" w:hAnsiTheme="majorHAnsi"/>
          <w:szCs w:val="20"/>
          <w:lang w:val="es-US"/>
        </w:rPr>
        <w:lastRenderedPageBreak/>
        <w:t>y otros TCID “resulta principalmente de la intensidad del sufrimiento infligido</w:t>
      </w:r>
      <w:proofErr w:type="gramStart"/>
      <w:r w:rsidRPr="00930562">
        <w:rPr>
          <w:rFonts w:asciiTheme="majorHAnsi" w:hAnsiTheme="majorHAnsi"/>
          <w:szCs w:val="20"/>
          <w:lang w:val="es-US"/>
        </w:rPr>
        <w:t xml:space="preserve">” </w:t>
      </w:r>
      <w:proofErr w:type="gramEnd"/>
      <w:r w:rsidRPr="00930562">
        <w:rPr>
          <w:rFonts w:asciiTheme="majorHAnsi" w:hAnsiTheme="majorHAnsi"/>
          <w:szCs w:val="20"/>
          <w:vertAlign w:val="superscript"/>
          <w:lang w:val="es-US"/>
        </w:rPr>
        <w:footnoteReference w:id="512"/>
      </w:r>
      <w:r w:rsidRPr="00930562">
        <w:rPr>
          <w:rFonts w:asciiTheme="majorHAnsi" w:hAnsiTheme="majorHAnsi"/>
          <w:szCs w:val="20"/>
          <w:lang w:val="es-US"/>
        </w:rPr>
        <w:t>.</w:t>
      </w:r>
    </w:p>
    <w:p w14:paraId="761D11F8" w14:textId="03C6891B"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rPr>
        <w:t>La definición de tortura no incluye explícitamente “dolores o sufrimientos que sean consecuencia únicamente de sanciones legítimas”</w:t>
      </w:r>
      <w:r w:rsidRPr="00930562">
        <w:rPr>
          <w:rFonts w:asciiTheme="majorHAnsi" w:hAnsiTheme="majorHAnsi"/>
          <w:szCs w:val="20"/>
          <w:vertAlign w:val="superscript"/>
          <w:lang w:val="es-US"/>
        </w:rPr>
        <w:footnoteReference w:id="513"/>
      </w:r>
      <w:r w:rsidRPr="00930562">
        <w:rPr>
          <w:rFonts w:asciiTheme="majorHAnsi" w:hAnsiTheme="majorHAnsi"/>
          <w:szCs w:val="20"/>
          <w:lang w:val="es-US"/>
        </w:rPr>
        <w:t>. Por lo tanto, la fuerza que no sea excesiva y se utilice con fines lícitos no constituirá tortura ni TCID. Sin embargo, el uso excesivo e ilícito de la fuerza por parte de los agentes de policía puede constituir tortura o TCID, en particular cuando se inflige intencionalmente, causando dolor o sufrimiento graves, con fines de interrogatorio, castigo o intimidación. Además, la Comisión considera pertinente señalar que la imposición intencional de dolores o sufrimientos graves a una persona por agentes del Estado o con su aquiescencia “por cualquier razón basada en cualquier tipo de discriminación” constituiría tortura</w:t>
      </w:r>
      <w:r w:rsidRPr="00930562">
        <w:rPr>
          <w:rFonts w:asciiTheme="majorHAnsi" w:hAnsiTheme="majorHAnsi"/>
          <w:szCs w:val="20"/>
          <w:vertAlign w:val="superscript"/>
          <w:lang w:val="es-US"/>
        </w:rPr>
        <w:footnoteReference w:id="514"/>
      </w:r>
      <w:r w:rsidRPr="00930562">
        <w:rPr>
          <w:rFonts w:asciiTheme="majorHAnsi" w:hAnsiTheme="majorHAnsi"/>
          <w:szCs w:val="20"/>
          <w:lang w:val="es-US"/>
        </w:rPr>
        <w:t>.</w:t>
      </w:r>
    </w:p>
    <w:p w14:paraId="54475C9D"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rPr>
        <w:t>Por ejemplo, en el caso Michael Gayle vs. Jamaica, la Comisión Interamericana sostuvo que la brutal golpiza de Michael Gayle por parte de las fuerzas de seguridad del Estado equivalía a tortura. El registro mostró que durante doce minutos, el Sr. Gayle fue golpeado con culatas, pegado y pateado con botas militares; las agresiones fueron tan severas que causaron la ruptura de su estómago, lo que resultó en su muerte dos días después. Después de la paliza, no recibió atención médica inmediata; la autopsia mostró más tarde que la atención médica inmediata y adecuada podría haberle salvado la vida. Antes de su muerte, el Sr. Gayle siguió sufriendo los efectos perjudiciales de la golpiza</w:t>
      </w:r>
      <w:r w:rsidRPr="00930562">
        <w:rPr>
          <w:rFonts w:asciiTheme="majorHAnsi" w:hAnsiTheme="majorHAnsi"/>
          <w:szCs w:val="20"/>
          <w:vertAlign w:val="superscript"/>
          <w:lang w:val="es-US"/>
        </w:rPr>
        <w:footnoteReference w:id="515"/>
      </w:r>
      <w:r w:rsidRPr="00930562">
        <w:rPr>
          <w:rFonts w:asciiTheme="majorHAnsi" w:hAnsiTheme="majorHAnsi"/>
          <w:szCs w:val="20"/>
          <w:lang w:val="es-US"/>
        </w:rPr>
        <w:t xml:space="preserve">. </w:t>
      </w:r>
    </w:p>
    <w:p w14:paraId="50B8E719"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rPr>
        <w:t>La Comisión consideró, entre otros factores, el hecho de que la golpiza a Michael Gayle fue intencional; que supuestamente se impuso como medida para impedirle cruzar una barricada de toque de queda; que fue excesiva; que causó dolor y sufrimiento físico y mental graves; así como la naturaleza e intensidad del tratamiento, incluida la falta de atención médica inmediata y el sufrimiento prolongado resultante. Todos estos factores llevaron a la Comisión a considerar que el Sr. Gayle fue víctima de tortura por parte de las fuerzas de seguridad del Estado</w:t>
      </w:r>
      <w:r w:rsidRPr="00930562">
        <w:rPr>
          <w:rFonts w:asciiTheme="majorHAnsi" w:hAnsiTheme="majorHAnsi"/>
          <w:szCs w:val="20"/>
          <w:vertAlign w:val="superscript"/>
          <w:lang w:val="es-US"/>
        </w:rPr>
        <w:footnoteReference w:id="516"/>
      </w:r>
      <w:r w:rsidRPr="00930562">
        <w:rPr>
          <w:rFonts w:asciiTheme="majorHAnsi" w:hAnsiTheme="majorHAnsi"/>
          <w:szCs w:val="20"/>
          <w:lang w:val="es-US"/>
        </w:rPr>
        <w:t xml:space="preserve">. </w:t>
      </w:r>
    </w:p>
    <w:p w14:paraId="25938E7C" w14:textId="01F58F04"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szCs w:val="20"/>
          <w:lang w:val="es-US"/>
        </w:rPr>
        <w:lastRenderedPageBreak/>
        <w:t xml:space="preserve">La Comisión recuerda que el límite para establecer los TCID es inferior al límite para establecer la tortura, y que la cuestión de los TCID también puede plantearse en las prácticas de establecimiento de perfiles raciales. En particular, la </w:t>
      </w:r>
      <w:r w:rsidR="009540AB" w:rsidRPr="00930562">
        <w:rPr>
          <w:rFonts w:asciiTheme="majorHAnsi" w:hAnsiTheme="majorHAnsi"/>
          <w:szCs w:val="20"/>
          <w:lang w:val="es-US"/>
        </w:rPr>
        <w:t>Comisión</w:t>
      </w:r>
      <w:r w:rsidRPr="00930562">
        <w:rPr>
          <w:rFonts w:asciiTheme="majorHAnsi" w:hAnsiTheme="majorHAnsi"/>
          <w:szCs w:val="20"/>
          <w:lang w:val="es-US"/>
        </w:rPr>
        <w:t xml:space="preserve"> ha establecido que el trato racialmente discriminatorio por parte de los funcionarios del Estado puede constituir una violación de la prohibición de los tratos crueles, inhumanos y degradantes (TCID). En Benito Tide Méndez v. República Dominicana</w:t>
      </w:r>
      <w:r w:rsidRPr="00930562">
        <w:rPr>
          <w:rFonts w:asciiTheme="majorHAnsi" w:hAnsiTheme="majorHAnsi"/>
          <w:lang w:val="es-US"/>
        </w:rPr>
        <w:t xml:space="preserve">, la Comisión concluyó que la discriminación sufrida por los solicitantes de ascendencia haitiana a manos de funcionarios dominicanos por su raza o color constituía un trato inhumano y, por lo tanto, una violación de la prohibición de los TCID". “leído en </w:t>
      </w:r>
      <w:r w:rsidR="004C5CDF" w:rsidRPr="00930562">
        <w:rPr>
          <w:rFonts w:asciiTheme="majorHAnsi" w:hAnsiTheme="majorHAnsi"/>
          <w:lang w:val="es-US"/>
        </w:rPr>
        <w:t>conjunto</w:t>
      </w:r>
      <w:r w:rsidRPr="00930562">
        <w:rPr>
          <w:rFonts w:asciiTheme="majorHAnsi" w:hAnsiTheme="majorHAnsi"/>
          <w:lang w:val="es-US"/>
        </w:rPr>
        <w:t xml:space="preserve"> con la obligación de respetar los derechos sin discriminación "</w:t>
      </w:r>
      <w:r w:rsidRPr="00930562">
        <w:rPr>
          <w:rFonts w:asciiTheme="majorHAnsi" w:hAnsiTheme="majorHAnsi"/>
          <w:vertAlign w:val="superscript"/>
          <w:lang w:val="es-US"/>
        </w:rPr>
        <w:footnoteReference w:id="517"/>
      </w:r>
      <w:r w:rsidRPr="00930562">
        <w:rPr>
          <w:rFonts w:asciiTheme="majorHAnsi" w:hAnsiTheme="majorHAnsi"/>
          <w:lang w:val="es-US"/>
        </w:rPr>
        <w:t>.</w:t>
      </w:r>
    </w:p>
    <w:p w14:paraId="7D8824B8" w14:textId="4D0B39A4"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lang w:val="es-US"/>
        </w:rPr>
        <w:t xml:space="preserve">La Comisión consideró además en </w:t>
      </w:r>
      <w:r w:rsidRPr="00930562">
        <w:rPr>
          <w:rFonts w:asciiTheme="majorHAnsi" w:hAnsiTheme="majorHAnsi"/>
          <w:i/>
          <w:lang w:val="es-US"/>
        </w:rPr>
        <w:t>Benito Tide Méndez</w:t>
      </w:r>
      <w:r w:rsidRPr="00930562">
        <w:rPr>
          <w:rFonts w:asciiTheme="majorHAnsi" w:hAnsiTheme="majorHAnsi"/>
          <w:lang w:val="es-US"/>
        </w:rPr>
        <w:t xml:space="preserve"> que el "tratamiento o castigo de un individuo puede ser degradante si se lo humilla severamente frente a otros o se le obliga a actuar en contra de sus </w:t>
      </w:r>
      <w:r w:rsidRPr="00930562">
        <w:rPr>
          <w:rFonts w:asciiTheme="majorHAnsi" w:hAnsiTheme="majorHAnsi"/>
          <w:szCs w:val="20"/>
          <w:lang w:val="es-US"/>
        </w:rPr>
        <w:t>deseos o conciencia"</w:t>
      </w:r>
      <w:r w:rsidRPr="00930562">
        <w:rPr>
          <w:rFonts w:asciiTheme="majorHAnsi" w:hAnsiTheme="majorHAnsi"/>
          <w:szCs w:val="20"/>
          <w:vertAlign w:val="superscript"/>
          <w:lang w:val="es-US"/>
        </w:rPr>
        <w:footnoteReference w:id="518"/>
      </w:r>
      <w:r w:rsidRPr="00930562">
        <w:rPr>
          <w:rFonts w:asciiTheme="majorHAnsi" w:hAnsiTheme="majorHAnsi"/>
          <w:szCs w:val="20"/>
          <w:lang w:val="es-US"/>
        </w:rPr>
        <w:t>. Para evaluar si el tratamiento es inhumano o degradante, se deben evaluar "las circunstancias en cada caso, como la duración del tratamiento, sus efectos físicos y mentales y, en algunos casos, [...] raza, color, nacionalidad, estado migratorio y otros factores"</w:t>
      </w:r>
      <w:r w:rsidRPr="00930562">
        <w:rPr>
          <w:rFonts w:asciiTheme="majorHAnsi" w:hAnsiTheme="majorHAnsi"/>
          <w:szCs w:val="20"/>
          <w:vertAlign w:val="superscript"/>
          <w:lang w:val="es-US"/>
        </w:rPr>
        <w:footnoteReference w:id="519"/>
      </w:r>
      <w:r w:rsidRPr="00930562">
        <w:rPr>
          <w:rFonts w:asciiTheme="majorHAnsi" w:hAnsiTheme="majorHAnsi"/>
          <w:szCs w:val="20"/>
          <w:lang w:val="es-US"/>
        </w:rPr>
        <w:t>. La Comisión recordó que "el trato degradante se caracteriza por el miedo, la ansiedad y la inferioridad inducidos con el propósito de humillar y degradar a la víctima y romper su resistencia física y moral", que "se ve exacerbada por la vulnerabilidad de una persona " quien está ilegalmente detenido”</w:t>
      </w:r>
      <w:r w:rsidRPr="00930562">
        <w:rPr>
          <w:rFonts w:asciiTheme="majorHAnsi" w:hAnsiTheme="majorHAnsi"/>
          <w:szCs w:val="20"/>
          <w:vertAlign w:val="superscript"/>
          <w:lang w:val="es-US"/>
        </w:rPr>
        <w:footnoteReference w:id="520"/>
      </w:r>
      <w:r w:rsidRPr="00930562">
        <w:rPr>
          <w:rFonts w:asciiTheme="majorHAnsi" w:hAnsiTheme="majorHAnsi"/>
          <w:szCs w:val="20"/>
          <w:lang w:val="es-US"/>
        </w:rPr>
        <w:t>.</w:t>
      </w:r>
    </w:p>
    <w:p w14:paraId="6FC086F0" w14:textId="4597258A"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rPr>
        <w:t>En este sentido, la Comisión reitera la importancia del desarrollo de protocolos y capacitación adecuados, así como de procesos para garantizar la rendición de cuentas por el incumplimiento de dichos requisitos, a fin de prevenir y castigar la tortura y los tratos crueles, inhumanos y degradantes.</w:t>
      </w:r>
    </w:p>
    <w:p w14:paraId="4805AA7C"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rPr>
        <w:t xml:space="preserve">La Comisión se hace eco de la preocupación expresada por el Comité contra la Tortura en el sentido de que “la información, educación y adiestramiento de los agentes del orden o los militares del Estado Parte no sean adecuados ni focalicen todas las disposiciones de la Convención, especialmente el carácter intangible de la prohibición de la tortura y la prevención de los </w:t>
      </w:r>
      <w:r w:rsidRPr="00930562">
        <w:rPr>
          <w:rFonts w:asciiTheme="majorHAnsi" w:hAnsiTheme="majorHAnsi"/>
          <w:szCs w:val="20"/>
          <w:lang w:val="es-US"/>
        </w:rPr>
        <w:lastRenderedPageBreak/>
        <w:t>[TCID]</w:t>
      </w:r>
      <w:proofErr w:type="gramStart"/>
      <w:r w:rsidRPr="00930562">
        <w:rPr>
          <w:rFonts w:asciiTheme="majorHAnsi" w:hAnsiTheme="majorHAnsi"/>
          <w:szCs w:val="20"/>
          <w:lang w:val="es-US"/>
        </w:rPr>
        <w:t>”</w:t>
      </w:r>
      <w:r w:rsidRPr="00930562">
        <w:rPr>
          <w:rFonts w:asciiTheme="majorHAnsi" w:hAnsiTheme="majorHAnsi"/>
          <w:szCs w:val="20"/>
          <w:vertAlign w:val="superscript"/>
          <w:lang w:val="es-US"/>
        </w:rPr>
        <w:t xml:space="preserve"> </w:t>
      </w:r>
      <w:proofErr w:type="gramEnd"/>
      <w:r w:rsidRPr="00930562">
        <w:rPr>
          <w:rFonts w:asciiTheme="majorHAnsi" w:hAnsiTheme="majorHAnsi"/>
          <w:szCs w:val="20"/>
          <w:vertAlign w:val="superscript"/>
          <w:lang w:val="es-US"/>
        </w:rPr>
        <w:footnoteReference w:id="521"/>
      </w:r>
      <w:r w:rsidRPr="00930562">
        <w:rPr>
          <w:rFonts w:asciiTheme="majorHAnsi" w:hAnsiTheme="majorHAnsi"/>
          <w:szCs w:val="20"/>
          <w:lang w:val="es-US"/>
        </w:rPr>
        <w:t>. Esto, a la luz de “las numerosas noticias de brutalidad policial y uso excesivo de la fuerza por los agentes del orden público, en particular contra personas pertenecientes a determinados grupos raciales y étnicos, inmigrantes y personas LGBTI</w:t>
      </w:r>
      <w:proofErr w:type="gramStart"/>
      <w:r w:rsidRPr="00930562">
        <w:rPr>
          <w:rFonts w:asciiTheme="majorHAnsi" w:hAnsiTheme="majorHAnsi"/>
          <w:szCs w:val="20"/>
          <w:lang w:val="es-US"/>
        </w:rPr>
        <w:t>”</w:t>
      </w:r>
      <w:r w:rsidRPr="00930562">
        <w:rPr>
          <w:rFonts w:asciiTheme="majorHAnsi" w:hAnsiTheme="majorHAnsi"/>
          <w:szCs w:val="20"/>
          <w:vertAlign w:val="superscript"/>
          <w:lang w:val="es-US"/>
        </w:rPr>
        <w:t xml:space="preserve"> </w:t>
      </w:r>
      <w:proofErr w:type="gramEnd"/>
      <w:r w:rsidRPr="00930562">
        <w:rPr>
          <w:rFonts w:asciiTheme="majorHAnsi" w:hAnsiTheme="majorHAnsi"/>
          <w:szCs w:val="20"/>
          <w:vertAlign w:val="superscript"/>
          <w:lang w:val="es-US"/>
        </w:rPr>
        <w:footnoteReference w:id="522"/>
      </w:r>
      <w:r w:rsidRPr="00930562">
        <w:rPr>
          <w:rFonts w:asciiTheme="majorHAnsi" w:hAnsiTheme="majorHAnsi"/>
          <w:lang w:val="es-US"/>
        </w:rPr>
        <w:t>,</w:t>
      </w:r>
      <w:r w:rsidRPr="00930562">
        <w:rPr>
          <w:rFonts w:asciiTheme="majorHAnsi" w:hAnsiTheme="majorHAnsi"/>
          <w:szCs w:val="20"/>
          <w:lang w:val="es-US"/>
        </w:rPr>
        <w:t xml:space="preserve"> y “por los casos frecuentes y repetidos de policías que disparan a personas afrodescendientes que no van armadas”</w:t>
      </w:r>
      <w:r w:rsidRPr="00930562">
        <w:rPr>
          <w:rFonts w:asciiTheme="majorHAnsi" w:hAnsiTheme="majorHAnsi"/>
          <w:szCs w:val="20"/>
          <w:vertAlign w:val="superscript"/>
          <w:lang w:val="es-US"/>
        </w:rPr>
        <w:t xml:space="preserve"> </w:t>
      </w:r>
      <w:r w:rsidRPr="00930562">
        <w:rPr>
          <w:rFonts w:asciiTheme="majorHAnsi" w:hAnsiTheme="majorHAnsi"/>
          <w:szCs w:val="20"/>
          <w:vertAlign w:val="superscript"/>
          <w:lang w:val="es-US"/>
        </w:rPr>
        <w:footnoteReference w:id="523"/>
      </w:r>
      <w:r w:rsidRPr="00930562">
        <w:rPr>
          <w:rFonts w:asciiTheme="majorHAnsi" w:hAnsiTheme="majorHAnsi"/>
          <w:szCs w:val="20"/>
          <w:lang w:val="es-US"/>
        </w:rPr>
        <w:t>. La Comisión llama al Estado a cumplir con su deber de actuar con la debida diligencia para prevenir la tortura y los tratos crueles, inhumanos y degradantes</w:t>
      </w:r>
      <w:r w:rsidRPr="00930562">
        <w:rPr>
          <w:rFonts w:asciiTheme="majorHAnsi" w:hAnsiTheme="majorHAnsi"/>
          <w:szCs w:val="20"/>
          <w:vertAlign w:val="superscript"/>
          <w:lang w:val="es-US"/>
        </w:rPr>
        <w:footnoteReference w:id="524"/>
      </w:r>
      <w:r w:rsidRPr="00930562">
        <w:rPr>
          <w:rFonts w:asciiTheme="majorHAnsi" w:hAnsiTheme="majorHAnsi"/>
          <w:szCs w:val="20"/>
          <w:lang w:val="es-US"/>
        </w:rPr>
        <w:t>.</w:t>
      </w:r>
    </w:p>
    <w:p w14:paraId="1C6A3649" w14:textId="1EA451DF" w:rsidR="006E177E" w:rsidRPr="00930562" w:rsidRDefault="006E177E" w:rsidP="008403E8">
      <w:pPr>
        <w:pStyle w:val="Heading3"/>
        <w:ind w:left="547" w:hanging="547"/>
        <w:rPr>
          <w:lang w:val="es-US"/>
        </w:rPr>
      </w:pPr>
      <w:bookmarkStart w:id="198" w:name="_Toc517779258"/>
      <w:bookmarkStart w:id="199" w:name="_Toc531514491"/>
      <w:r w:rsidRPr="00930562">
        <w:rPr>
          <w:lang w:val="es-US"/>
        </w:rPr>
        <w:t>Militarización de la policía</w:t>
      </w:r>
      <w:bookmarkEnd w:id="198"/>
      <w:bookmarkEnd w:id="199"/>
    </w:p>
    <w:p w14:paraId="31B13CD4" w14:textId="069FB07C"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lang w:val="es-US"/>
        </w:rPr>
        <w:t xml:space="preserve">La Comisión está preocupada por el nivel de militarización de las fuerzas policiales locales en los Estados Unidos, así como la información reciente de que se están retrocediendo en las medidas que se </w:t>
      </w:r>
      <w:r w:rsidRPr="00930562">
        <w:rPr>
          <w:rFonts w:asciiTheme="majorHAnsi" w:hAnsiTheme="majorHAnsi"/>
          <w:szCs w:val="20"/>
          <w:lang w:val="es-US"/>
        </w:rPr>
        <w:t>estaban adoptando para reducir la militarización a nivel federal</w:t>
      </w:r>
      <w:r w:rsidRPr="00930562">
        <w:rPr>
          <w:rFonts w:asciiTheme="majorHAnsi" w:hAnsiTheme="majorHAnsi"/>
          <w:szCs w:val="20"/>
          <w:vertAlign w:val="superscript"/>
          <w:lang w:val="es-US"/>
        </w:rPr>
        <w:footnoteReference w:id="525"/>
      </w:r>
      <w:r w:rsidRPr="00930562">
        <w:rPr>
          <w:rFonts w:asciiTheme="majorHAnsi" w:hAnsiTheme="majorHAnsi"/>
          <w:szCs w:val="20"/>
          <w:lang w:val="es-US"/>
        </w:rPr>
        <w:t>. En particular, la Comisión observa que el uso de instrumentos y tácticas de grado militar por parte de las fuerzas policiales locales aumenta el riesgo de uso excesivo de la fuerza y socava el respeto de los derechos humanos</w:t>
      </w:r>
      <w:r w:rsidRPr="00930562">
        <w:rPr>
          <w:rFonts w:asciiTheme="majorHAnsi" w:hAnsiTheme="majorHAnsi"/>
          <w:szCs w:val="20"/>
          <w:vertAlign w:val="superscript"/>
          <w:lang w:val="es-US"/>
        </w:rPr>
        <w:footnoteReference w:id="526"/>
      </w:r>
      <w:r w:rsidRPr="00930562">
        <w:rPr>
          <w:rFonts w:asciiTheme="majorHAnsi" w:hAnsiTheme="majorHAnsi"/>
          <w:szCs w:val="20"/>
          <w:lang w:val="es-US"/>
        </w:rPr>
        <w:t>.El uso de tácticas violentas y equipo militar aumenta el riesgo de daños a la propiedad y daños corporales</w:t>
      </w:r>
      <w:r w:rsidRPr="00930562">
        <w:rPr>
          <w:rFonts w:asciiTheme="majorHAnsi" w:hAnsiTheme="majorHAnsi"/>
          <w:szCs w:val="20"/>
          <w:vertAlign w:val="superscript"/>
          <w:lang w:val="es-US"/>
        </w:rPr>
        <w:footnoteReference w:id="527"/>
      </w:r>
      <w:r w:rsidRPr="00930562">
        <w:rPr>
          <w:rFonts w:asciiTheme="majorHAnsi" w:hAnsiTheme="majorHAnsi"/>
          <w:szCs w:val="20"/>
          <w:lang w:val="es-US"/>
        </w:rPr>
        <w:t>, incluyendo lesiones y muerte</w:t>
      </w:r>
      <w:r w:rsidRPr="00930562">
        <w:rPr>
          <w:rFonts w:asciiTheme="majorHAnsi" w:hAnsiTheme="majorHAnsi"/>
          <w:szCs w:val="20"/>
          <w:vertAlign w:val="superscript"/>
          <w:lang w:val="es-US"/>
        </w:rPr>
        <w:footnoteReference w:id="528"/>
      </w:r>
      <w:r w:rsidRPr="00930562">
        <w:rPr>
          <w:rFonts w:asciiTheme="majorHAnsi" w:hAnsiTheme="majorHAnsi"/>
          <w:szCs w:val="20"/>
          <w:lang w:val="es-US"/>
        </w:rPr>
        <w:t>.</w:t>
      </w:r>
    </w:p>
    <w:p w14:paraId="77774E3B"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rPr>
        <w:t>La Comisión observa que la vigilancia militar no es simplemente una cuestión de apariencia, ni el uso de tácticas y equipo de tipo militar simplemente socava la confianza de la comunidad. Más bien, puede violar los principios de necesidad y proporcionalidad del derecho internacional</w:t>
      </w:r>
      <w:r w:rsidRPr="00930562">
        <w:rPr>
          <w:rFonts w:asciiTheme="majorHAnsi" w:hAnsiTheme="majorHAnsi"/>
          <w:szCs w:val="20"/>
          <w:vertAlign w:val="superscript"/>
          <w:lang w:val="es-US"/>
        </w:rPr>
        <w:footnoteReference w:id="529"/>
      </w:r>
      <w:r w:rsidRPr="00930562">
        <w:rPr>
          <w:rFonts w:asciiTheme="majorHAnsi" w:hAnsiTheme="majorHAnsi"/>
          <w:szCs w:val="20"/>
          <w:lang w:val="es-US"/>
        </w:rPr>
        <w:t xml:space="preserve">. Cuando se utilizan en el contexto de protestas pacíficas, las tácticas policiales militarizadas pueden socavar los derechos a la libertad de expresión, asociación y reunión, y el derecho a participar en la dirección de los asuntos públicos. La Comisión ha afirmado que la policía y las fuerzas armadas son instituciones a quienes se les ha confiado  misiones sustancialmente diferentes; en concordancia debería haber una clara </w:t>
      </w:r>
      <w:r w:rsidRPr="00930562">
        <w:rPr>
          <w:rFonts w:asciiTheme="majorHAnsi" w:hAnsiTheme="majorHAnsi"/>
          <w:szCs w:val="20"/>
          <w:lang w:val="es-US"/>
        </w:rPr>
        <w:lastRenderedPageBreak/>
        <w:t>distinción entre la seguridad interna y la aplicación de la ley como función de la policía y la defensa nacional como función de las fuerzas armadas</w:t>
      </w:r>
      <w:r w:rsidRPr="00930562">
        <w:rPr>
          <w:rFonts w:asciiTheme="majorHAnsi" w:hAnsiTheme="majorHAnsi"/>
          <w:szCs w:val="20"/>
          <w:vertAlign w:val="superscript"/>
          <w:lang w:val="es-US"/>
        </w:rPr>
        <w:footnoteReference w:id="530"/>
      </w:r>
      <w:r w:rsidRPr="00930562">
        <w:rPr>
          <w:rFonts w:asciiTheme="majorHAnsi" w:hAnsiTheme="majorHAnsi"/>
          <w:szCs w:val="20"/>
          <w:lang w:val="es-US"/>
        </w:rPr>
        <w:t>.</w:t>
      </w:r>
    </w:p>
    <w:p w14:paraId="370116A2" w14:textId="20E5A471" w:rsidR="006E177E" w:rsidRPr="00930562" w:rsidRDefault="006E177E" w:rsidP="008403E8">
      <w:pPr>
        <w:pStyle w:val="Heading3"/>
        <w:ind w:left="547" w:hanging="547"/>
        <w:rPr>
          <w:lang w:val="es-US"/>
        </w:rPr>
      </w:pPr>
      <w:bookmarkStart w:id="200" w:name="_Toc517779259"/>
      <w:bookmarkStart w:id="201" w:name="_Toc531514492"/>
      <w:r w:rsidRPr="00930562">
        <w:rPr>
          <w:lang w:val="es-US"/>
        </w:rPr>
        <w:t>Uso de la fuerza y protesta socia</w:t>
      </w:r>
      <w:r w:rsidR="00F566C8" w:rsidRPr="00930562">
        <w:rPr>
          <w:lang w:val="es-US"/>
        </w:rPr>
        <w:t>l</w:t>
      </w:r>
      <w:bookmarkEnd w:id="200"/>
      <w:bookmarkEnd w:id="201"/>
    </w:p>
    <w:p w14:paraId="3FCE1F97"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rPr>
        <w:t>Preocupa especialmente a la Comisión el uso de la fuerza para contener o reprimir las protestas sociales y las manifestaciones públicas que tratan de dar salida al descontento y a las luchas por reivindicar los derechos fundamentales</w:t>
      </w:r>
      <w:r w:rsidRPr="00930562">
        <w:rPr>
          <w:rFonts w:asciiTheme="majorHAnsi" w:hAnsiTheme="majorHAnsi"/>
          <w:szCs w:val="20"/>
          <w:vertAlign w:val="superscript"/>
          <w:lang w:val="es-US"/>
        </w:rPr>
        <w:footnoteReference w:id="531"/>
      </w:r>
      <w:r w:rsidRPr="00930562">
        <w:rPr>
          <w:rFonts w:asciiTheme="majorHAnsi" w:hAnsiTheme="majorHAnsi"/>
          <w:szCs w:val="20"/>
          <w:lang w:val="es-US"/>
        </w:rPr>
        <w:t>, como las manifestaciones de protesta contra la discriminación racial o la impunidad por la violencia policial en los Estados Unidos</w:t>
      </w:r>
      <w:r w:rsidRPr="00930562">
        <w:rPr>
          <w:rFonts w:asciiTheme="majorHAnsi" w:hAnsiTheme="majorHAnsi"/>
          <w:szCs w:val="20"/>
          <w:vertAlign w:val="superscript"/>
          <w:lang w:val="es-US"/>
        </w:rPr>
        <w:footnoteReference w:id="532"/>
      </w:r>
      <w:r w:rsidRPr="00930562">
        <w:rPr>
          <w:rFonts w:asciiTheme="majorHAnsi" w:hAnsiTheme="majorHAnsi"/>
          <w:szCs w:val="20"/>
          <w:lang w:val="es-US"/>
        </w:rPr>
        <w:t>.  En una democracia, las autoridades del Estado deben actuar bajo el supuesto de que las protestas o manifestaciones públicas no constituyen una amenaza para el orden público, con un enfoque centrado en la construcción de los más altos niveles de participación ciudadana, considerando las calles y plazas como lugares privilegiados para la expresión pública</w:t>
      </w:r>
      <w:r w:rsidRPr="00930562">
        <w:rPr>
          <w:rFonts w:asciiTheme="majorHAnsi" w:hAnsiTheme="majorHAnsi"/>
          <w:szCs w:val="20"/>
          <w:vertAlign w:val="superscript"/>
          <w:lang w:val="es-US"/>
        </w:rPr>
        <w:footnoteReference w:id="533"/>
      </w:r>
      <w:r w:rsidRPr="00930562">
        <w:rPr>
          <w:rFonts w:asciiTheme="majorHAnsi" w:hAnsiTheme="majorHAnsi"/>
          <w:szCs w:val="20"/>
          <w:lang w:val="es-US"/>
        </w:rPr>
        <w:t>.</w:t>
      </w:r>
    </w:p>
    <w:p w14:paraId="619EBC6B"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rPr>
        <w:t>Cualquiera que sea el formato de demostraciones de protesta adoptado por los manifestantes, la policía debe tener como objetivo principal facilitar las manifestaciones, garantizar el ejercicio del derecho a la protesta y proteger a los manifestantes y a las terceras personas presentes, y no contener o confrontar a los manifestantes. Si una manifestación o protesta conduce a la violencia, debe entenderse como un fracaso de la capacidad del Estado para garantizar el ejercicio de este derecho. En este sentido, la obligación del Estado es asegurar la expresión y el tratamiento de los conflictos sociales y políticos subyacentes</w:t>
      </w:r>
      <w:r w:rsidRPr="00930562">
        <w:rPr>
          <w:rFonts w:asciiTheme="majorHAnsi" w:hAnsiTheme="majorHAnsi"/>
          <w:szCs w:val="20"/>
          <w:vertAlign w:val="superscript"/>
          <w:lang w:val="es-US"/>
        </w:rPr>
        <w:footnoteReference w:id="534"/>
      </w:r>
      <w:r w:rsidRPr="00930562">
        <w:rPr>
          <w:rFonts w:asciiTheme="majorHAnsi" w:hAnsiTheme="majorHAnsi"/>
          <w:szCs w:val="20"/>
          <w:lang w:val="es-US"/>
        </w:rPr>
        <w:t xml:space="preserve">. </w:t>
      </w:r>
    </w:p>
    <w:p w14:paraId="5CA4DF7D" w14:textId="14836E33"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rPr>
        <w:t>La ley debe definir claramente las circunstancias que justifican el uso de la fuerza en el contexto de las protestas, así como el nivel aceptable de fuerza para hacer frente a diversas amenazas, de conformidad con el principio de legalidad</w:t>
      </w:r>
      <w:r w:rsidRPr="00930562">
        <w:rPr>
          <w:rFonts w:asciiTheme="majorHAnsi" w:hAnsiTheme="majorHAnsi"/>
          <w:szCs w:val="20"/>
          <w:vertAlign w:val="superscript"/>
          <w:lang w:val="es-US"/>
        </w:rPr>
        <w:footnoteReference w:id="535"/>
      </w:r>
      <w:r w:rsidRPr="00930562">
        <w:rPr>
          <w:rFonts w:asciiTheme="majorHAnsi" w:hAnsiTheme="majorHAnsi"/>
          <w:szCs w:val="20"/>
          <w:lang w:val="es-US"/>
        </w:rPr>
        <w:t xml:space="preserve">. En este sentido, los principios sobre el uso de la fuerza, detallados en las secciones anteriores, requieren que las operaciones de seguridad sean cuidadosamente planificadas por personas con experiencia y entrenamiento especializado, con protocolos claros para la acción de las </w:t>
      </w:r>
      <w:r w:rsidRPr="00930562">
        <w:rPr>
          <w:rFonts w:asciiTheme="majorHAnsi" w:hAnsiTheme="majorHAnsi"/>
          <w:szCs w:val="20"/>
          <w:lang w:val="es-US"/>
        </w:rPr>
        <w:lastRenderedPageBreak/>
        <w:t>fuerzas de seguridad</w:t>
      </w:r>
      <w:r w:rsidRPr="00930562">
        <w:rPr>
          <w:rFonts w:asciiTheme="majorHAnsi" w:hAnsiTheme="majorHAnsi"/>
          <w:szCs w:val="20"/>
          <w:vertAlign w:val="superscript"/>
          <w:lang w:val="es-US"/>
        </w:rPr>
        <w:footnoteReference w:id="536"/>
      </w:r>
      <w:r w:rsidRPr="00930562">
        <w:rPr>
          <w:rFonts w:asciiTheme="majorHAnsi" w:hAnsiTheme="majorHAnsi"/>
          <w:szCs w:val="20"/>
          <w:lang w:val="es-US"/>
        </w:rPr>
        <w:t>. Estas instrucciones deben estar dirigidas a asegurar que los agentes del orden actúen con la certeza de que “su obligación es proteger a los participantes en una reunión pública o en una manifestación o concentración, en la medida que éstos ejercen un derecho”</w:t>
      </w:r>
      <w:r w:rsidRPr="00930562">
        <w:rPr>
          <w:rFonts w:asciiTheme="majorHAnsi" w:hAnsiTheme="majorHAnsi"/>
          <w:szCs w:val="20"/>
          <w:vertAlign w:val="superscript"/>
          <w:lang w:val="es-US"/>
        </w:rPr>
        <w:footnoteReference w:id="537"/>
      </w:r>
      <w:r w:rsidRPr="00930562">
        <w:rPr>
          <w:rFonts w:asciiTheme="majorHAnsi" w:hAnsiTheme="majorHAnsi"/>
          <w:szCs w:val="20"/>
          <w:lang w:val="es-US"/>
        </w:rPr>
        <w:t xml:space="preserve">. </w:t>
      </w:r>
    </w:p>
    <w:p w14:paraId="3C1EACA1" w14:textId="26D02D2C"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 w:val="28"/>
          <w:szCs w:val="24"/>
          <w:lang w:val="es-US"/>
        </w:rPr>
      </w:pPr>
      <w:r w:rsidRPr="00930562">
        <w:rPr>
          <w:rFonts w:asciiTheme="majorHAnsi" w:hAnsiTheme="majorHAnsi"/>
          <w:szCs w:val="20"/>
          <w:lang w:val="es-US"/>
        </w:rPr>
        <w:t>La Comisión considera que a la policía que a</w:t>
      </w:r>
      <w:r w:rsidR="00F566C8" w:rsidRPr="00930562">
        <w:rPr>
          <w:rFonts w:asciiTheme="majorHAnsi" w:hAnsiTheme="majorHAnsi"/>
          <w:szCs w:val="20"/>
          <w:lang w:val="es-US"/>
        </w:rPr>
        <w:t>c</w:t>
      </w:r>
      <w:r w:rsidRPr="00930562">
        <w:rPr>
          <w:rFonts w:asciiTheme="majorHAnsi" w:hAnsiTheme="majorHAnsi"/>
          <w:szCs w:val="20"/>
          <w:lang w:val="es-US"/>
        </w:rPr>
        <w:t>ompaña las protestas no debe asignársele armas de fuego u otras armas legales para tal propósito</w:t>
      </w:r>
      <w:r w:rsidRPr="00930562">
        <w:rPr>
          <w:rFonts w:asciiTheme="majorHAnsi" w:hAnsiTheme="majorHAnsi"/>
          <w:szCs w:val="20"/>
          <w:vertAlign w:val="superscript"/>
          <w:lang w:val="es-US"/>
        </w:rPr>
        <w:footnoteReference w:id="538"/>
      </w:r>
      <w:r w:rsidRPr="00930562">
        <w:rPr>
          <w:rFonts w:asciiTheme="majorHAnsi" w:hAnsiTheme="majorHAnsi"/>
          <w:szCs w:val="20"/>
          <w:lang w:val="es-US"/>
        </w:rPr>
        <w:t>. Prohibir a los funcionarios que puedan tener contacto con los manifestantes portar armas de fuego y municiones de plomo ha demostrado ser el mejor método para prevenir la violencia letal y las muertes en contextos de protesta social</w:t>
      </w:r>
      <w:r w:rsidRPr="00930562">
        <w:rPr>
          <w:rFonts w:asciiTheme="majorHAnsi" w:hAnsiTheme="majorHAnsi"/>
          <w:szCs w:val="20"/>
          <w:vertAlign w:val="superscript"/>
          <w:lang w:val="es-US"/>
        </w:rPr>
        <w:footnoteReference w:id="539"/>
      </w:r>
      <w:r w:rsidRPr="00930562">
        <w:rPr>
          <w:rFonts w:asciiTheme="majorHAnsi" w:hAnsiTheme="majorHAnsi"/>
          <w:szCs w:val="20"/>
          <w:lang w:val="es-US"/>
        </w:rPr>
        <w:t>. En casos excepcionales en que exista una situación de riesgo real, grave e inminente para las personas que puedan justificar el uso de armas de fuego y municiones de plomo, una operación podrá prever su presencia en algún lugar fuera del radio de acción de la manifestación. En tales circunstancias extremas, deberían existir normas explícitas sobre quién tiene la facultad de autorizar su uso y las formas en que debe documentarse dicha autorización</w:t>
      </w:r>
      <w:r w:rsidRPr="00930562">
        <w:rPr>
          <w:rFonts w:asciiTheme="majorHAnsi" w:hAnsiTheme="majorHAnsi"/>
          <w:szCs w:val="20"/>
          <w:vertAlign w:val="superscript"/>
          <w:lang w:val="es-US"/>
        </w:rPr>
        <w:footnoteReference w:id="540"/>
      </w:r>
      <w:r w:rsidRPr="00930562">
        <w:rPr>
          <w:rFonts w:asciiTheme="majorHAnsi" w:hAnsiTheme="majorHAnsi"/>
          <w:szCs w:val="20"/>
          <w:lang w:val="es-US"/>
        </w:rPr>
        <w:t>.</w:t>
      </w:r>
    </w:p>
    <w:p w14:paraId="7FD17DBE"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rPr>
        <w:t>Asimismo, la Comisión observa el potencial de heridas serias al usar armas menos letales en el contexto de las protestas sociales, como el gas lacrimógeno y los dispositivos utilizados para disparar proyectiles de caucho duro, plástico o caucho blando. El uso de estas armas es desaconsejable, ya que es imposible controlar la dirección de su impacto.</w:t>
      </w:r>
      <w:r w:rsidRPr="00930562">
        <w:rPr>
          <w:rFonts w:asciiTheme="majorHAnsi" w:hAnsiTheme="majorHAnsi"/>
          <w:szCs w:val="20"/>
          <w:vertAlign w:val="superscript"/>
          <w:lang w:val="es-US"/>
        </w:rPr>
        <w:footnoteReference w:id="541"/>
      </w:r>
      <w:r w:rsidRPr="00930562">
        <w:rPr>
          <w:rFonts w:asciiTheme="majorHAnsi" w:hAnsiTheme="majorHAnsi"/>
          <w:szCs w:val="20"/>
          <w:lang w:val="es-US"/>
        </w:rPr>
        <w:t>.</w:t>
      </w:r>
    </w:p>
    <w:p w14:paraId="22D1D963"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rPr>
        <w:t xml:space="preserve">La Comisión considera que cualquier detención realizada en el contexto de protestas debe cumplir todos los requisitos establecidos por la legislación nacional y las normas internacionales, incluida la de evitar detenciones masivas, colectivas o indiscriminadas. Por ejemplo, la Corte Interamericana ha dictaminado que la “detención masiva […] a personas que la autoridad supone que podrían representar un riesgo o peligro a la seguridad de los </w:t>
      </w:r>
      <w:r w:rsidRPr="00930562">
        <w:rPr>
          <w:rFonts w:asciiTheme="majorHAnsi" w:hAnsiTheme="majorHAnsi"/>
          <w:szCs w:val="20"/>
          <w:lang w:val="es-US"/>
        </w:rPr>
        <w:lastRenderedPageBreak/>
        <w:t>demás, sin indicios fundados de la comisión de un delito constituye una detención ilegal y arbitraria”</w:t>
      </w:r>
      <w:r w:rsidRPr="00930562">
        <w:rPr>
          <w:rFonts w:asciiTheme="majorHAnsi" w:hAnsiTheme="majorHAnsi"/>
          <w:szCs w:val="20"/>
          <w:vertAlign w:val="superscript"/>
          <w:lang w:val="es-US"/>
        </w:rPr>
        <w:footnoteReference w:id="542"/>
      </w:r>
      <w:r w:rsidRPr="00930562">
        <w:rPr>
          <w:rFonts w:asciiTheme="majorHAnsi" w:hAnsiTheme="majorHAnsi"/>
          <w:szCs w:val="20"/>
          <w:lang w:val="es-US"/>
        </w:rPr>
        <w:t>. A este respecto, la Comisión destaca su preocupación por las denuncias de detenciones arbitrarias en protestas por actos menores que no constituyen claramente una actividad delictiva</w:t>
      </w:r>
      <w:r w:rsidRPr="00930562">
        <w:rPr>
          <w:rFonts w:asciiTheme="majorHAnsi" w:hAnsiTheme="majorHAnsi"/>
          <w:szCs w:val="20"/>
          <w:vertAlign w:val="superscript"/>
          <w:lang w:val="es-US"/>
        </w:rPr>
        <w:footnoteReference w:id="543"/>
      </w:r>
      <w:r w:rsidRPr="00930562">
        <w:rPr>
          <w:rFonts w:asciiTheme="majorHAnsi" w:hAnsiTheme="majorHAnsi"/>
          <w:szCs w:val="20"/>
          <w:lang w:val="es-US"/>
        </w:rPr>
        <w:t>. La Comisión reitera además que el Estado debe adoptar todas las medidas necesarias para garantizar que los detenidos y sus familiares reciban información precisa sobre los motivos de la detención y el lugar en que se encuentran</w:t>
      </w:r>
      <w:r w:rsidRPr="00930562">
        <w:rPr>
          <w:rFonts w:asciiTheme="majorHAnsi" w:hAnsiTheme="majorHAnsi"/>
          <w:szCs w:val="20"/>
          <w:vertAlign w:val="superscript"/>
          <w:lang w:val="es-US"/>
        </w:rPr>
        <w:footnoteReference w:id="544"/>
      </w:r>
      <w:r w:rsidRPr="00930562">
        <w:rPr>
          <w:rFonts w:asciiTheme="majorHAnsi" w:hAnsiTheme="majorHAnsi"/>
          <w:szCs w:val="20"/>
          <w:lang w:val="es-US"/>
        </w:rPr>
        <w:t>.</w:t>
      </w:r>
    </w:p>
    <w:p w14:paraId="678D6C13"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eastAsia="Times New Roman" w:hAnsiTheme="majorHAnsi"/>
          <w:szCs w:val="20"/>
          <w:lang w:val="es-US"/>
        </w:rPr>
      </w:pPr>
      <w:r w:rsidRPr="00930562">
        <w:rPr>
          <w:rFonts w:asciiTheme="majorHAnsi" w:hAnsiTheme="majorHAnsi"/>
          <w:szCs w:val="20"/>
          <w:lang w:val="es-US"/>
        </w:rPr>
        <w:t xml:space="preserve">La Comisión también reitera la importancia de identificar adecuadamente a los funcionarios del orden público lo que es clave para establecer los agentes implicados en un incidente relacionado con </w:t>
      </w:r>
      <w:r w:rsidRPr="00930562">
        <w:rPr>
          <w:rFonts w:asciiTheme="majorHAnsi" w:eastAsia="Times New Roman" w:hAnsiTheme="majorHAnsi"/>
          <w:lang w:val="es-US"/>
        </w:rPr>
        <w:t>el uso de la fuerza, con el fin de esclarecer los hechos y, en su caso, asignar responsabilidades. La Comisión considera que la policía debe llevar una etiqueta visible con su nombre o número que los identifique personalmente</w:t>
      </w:r>
      <w:r w:rsidRPr="00930562">
        <w:rPr>
          <w:rFonts w:asciiTheme="majorHAnsi" w:eastAsia="Times New Roman" w:hAnsiTheme="majorHAnsi"/>
          <w:szCs w:val="20"/>
          <w:vertAlign w:val="superscript"/>
          <w:lang w:val="es-US"/>
        </w:rPr>
        <w:footnoteReference w:id="545"/>
      </w:r>
      <w:r w:rsidRPr="00930562">
        <w:rPr>
          <w:rFonts w:asciiTheme="majorHAnsi" w:eastAsia="Times New Roman" w:hAnsiTheme="majorHAnsi"/>
          <w:lang w:val="es-US"/>
        </w:rPr>
        <w:t>. En el caso de protestas públicas, la participación de la policía en operaciones de seguridad vestida de civil o sin la debida identificación plantea problemas para la revisión administrativa y/o judicial de posibles irregularidades y/o violaciones de derechos. La falta de identificación adecuada constituye un obstáculo adicional para asignar responsabilidades en situaciones donde la reconstrucción de los eventos es a menudo compleja. La Comisión observa que el valor de las reconstrucciones y los registros y testimonios audiovisuales como prueba es muy limitado sin la posibilidad de identificar a los agentes directamente implicados como funcionarios del Estado con sus propios números de identidad personal</w:t>
      </w:r>
      <w:r w:rsidRPr="00930562">
        <w:rPr>
          <w:rFonts w:asciiTheme="majorHAnsi" w:eastAsia="Times New Roman" w:hAnsiTheme="majorHAnsi"/>
          <w:szCs w:val="20"/>
          <w:vertAlign w:val="superscript"/>
          <w:lang w:val="es-US"/>
        </w:rPr>
        <w:footnoteReference w:id="546"/>
      </w:r>
      <w:r w:rsidRPr="00930562">
        <w:rPr>
          <w:rFonts w:asciiTheme="majorHAnsi" w:eastAsia="Times New Roman" w:hAnsiTheme="majorHAnsi"/>
          <w:lang w:val="es-US"/>
        </w:rPr>
        <w:t>.</w:t>
      </w:r>
      <w:r w:rsidRPr="00930562">
        <w:rPr>
          <w:rFonts w:asciiTheme="majorHAnsi" w:eastAsia="Times New Roman" w:hAnsiTheme="majorHAnsi"/>
          <w:sz w:val="16"/>
          <w:szCs w:val="16"/>
          <w:lang w:val="es-US"/>
        </w:rPr>
        <w:t xml:space="preserve"> </w:t>
      </w:r>
      <w:r w:rsidRPr="00930562">
        <w:rPr>
          <w:rFonts w:asciiTheme="majorHAnsi" w:eastAsia="Times New Roman" w:hAnsiTheme="majorHAnsi"/>
          <w:lang w:val="es-US"/>
        </w:rPr>
        <w:t xml:space="preserve">El hecho de no identificar a los agentes del orden abre aún más la posibilidad de infiltración con fines de inteligencia, lo que viola diferentes derechos. A este respecto, la Comisión ha considerado anteriormente las preocupaciones sobre “el uso de agentes policiales infiltrados en grupos que son no violentos y que </w:t>
      </w:r>
      <w:r w:rsidRPr="00930562">
        <w:rPr>
          <w:rFonts w:asciiTheme="majorHAnsi" w:eastAsia="Times New Roman" w:hAnsiTheme="majorHAnsi"/>
          <w:lang w:val="es-US"/>
        </w:rPr>
        <w:lastRenderedPageBreak/>
        <w:t>toman medidas pacíficas de acción directa al ejercer su derecho a la libertad de asociación”</w:t>
      </w:r>
      <w:r w:rsidRPr="00930562">
        <w:rPr>
          <w:rFonts w:asciiTheme="majorHAnsi" w:eastAsia="Times New Roman" w:hAnsiTheme="majorHAnsi"/>
          <w:szCs w:val="20"/>
          <w:vertAlign w:val="superscript"/>
          <w:lang w:val="es-US"/>
        </w:rPr>
        <w:footnoteReference w:id="547"/>
      </w:r>
      <w:r w:rsidRPr="00930562">
        <w:rPr>
          <w:rFonts w:asciiTheme="majorHAnsi" w:eastAsia="Times New Roman" w:hAnsiTheme="majorHAnsi"/>
          <w:lang w:val="es-US"/>
        </w:rPr>
        <w:t>.</w:t>
      </w:r>
    </w:p>
    <w:p w14:paraId="37780F30"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 w:val="28"/>
          <w:szCs w:val="24"/>
          <w:lang w:val="es-US"/>
        </w:rPr>
      </w:pPr>
      <w:r w:rsidRPr="00930562">
        <w:rPr>
          <w:rFonts w:asciiTheme="majorHAnsi" w:hAnsiTheme="majorHAnsi"/>
          <w:szCs w:val="20"/>
          <w:lang w:val="es-US"/>
        </w:rPr>
        <w:t>La CIDH reitera, además, que el Estado debe garantizar que los periodistas y trabajadores de los medios de comunicación que informen sobre manifestaciones públicas no sean detenidos, amenazados, agredidos o limitados de ninguna manera en sus derechos como resultado del ejercicio de su profesión. Esto debería incluir garantías de que sus materiales y herramientas de trabajo no serán destruidos ni confiscados por las autoridades, y de que no serán sometidos a un uso arbitrario o excesivo de la fuerza</w:t>
      </w:r>
      <w:r w:rsidRPr="00930562">
        <w:rPr>
          <w:rFonts w:asciiTheme="majorHAnsi" w:hAnsiTheme="majorHAnsi"/>
          <w:szCs w:val="20"/>
          <w:vertAlign w:val="superscript"/>
          <w:lang w:val="es-US"/>
        </w:rPr>
        <w:footnoteReference w:id="548"/>
      </w:r>
      <w:r w:rsidRPr="00930562">
        <w:rPr>
          <w:rFonts w:asciiTheme="majorHAnsi" w:hAnsiTheme="majorHAnsi"/>
          <w:szCs w:val="20"/>
          <w:lang w:val="es-US"/>
        </w:rPr>
        <w:t>. Además, en situaciones de disturbio social, el Estado sigue estando obligado a respetar el derecho de los periodistas a mantener confidenciales sus fuentes de información, notas y archivos personales y profesionales. Además, la “fotografía o grabación de un video de la operación policial por parte de los participantes y otros terceros no debe ser prohibido, y cualquier requerimiento para entregar películas o imágenes digitalmente registradas o material de archivo al organismo encargado de la aplicación de la ley debe ser objeto de previo control judicial”</w:t>
      </w:r>
      <w:r w:rsidRPr="00930562">
        <w:rPr>
          <w:rFonts w:asciiTheme="majorHAnsi" w:hAnsiTheme="majorHAnsi"/>
          <w:szCs w:val="20"/>
          <w:vertAlign w:val="superscript"/>
          <w:lang w:val="es-US"/>
        </w:rPr>
        <w:footnoteReference w:id="549"/>
      </w:r>
      <w:r w:rsidRPr="00930562">
        <w:rPr>
          <w:rFonts w:asciiTheme="majorHAnsi" w:hAnsiTheme="majorHAnsi"/>
          <w:szCs w:val="20"/>
          <w:lang w:val="es-US"/>
        </w:rPr>
        <w:t>.</w:t>
      </w:r>
    </w:p>
    <w:p w14:paraId="13EB68B3" w14:textId="2498277E" w:rsidR="006E177E" w:rsidRPr="00930562" w:rsidRDefault="006E177E" w:rsidP="005E5B1C">
      <w:pPr>
        <w:pStyle w:val="Heading2"/>
        <w:numPr>
          <w:ilvl w:val="0"/>
          <w:numId w:val="3"/>
        </w:numPr>
        <w:ind w:left="540" w:hanging="540"/>
        <w:rPr>
          <w:rFonts w:asciiTheme="majorHAnsi" w:eastAsia="MS Gothic" w:hAnsiTheme="majorHAnsi"/>
          <w:lang w:val="es-US"/>
        </w:rPr>
      </w:pPr>
      <w:bookmarkStart w:id="202" w:name="_Toc517779260"/>
      <w:bookmarkStart w:id="203" w:name="_Toc531514493"/>
      <w:r w:rsidRPr="00930562">
        <w:rPr>
          <w:rFonts w:asciiTheme="majorHAnsi" w:eastAsia="MS Gothic" w:hAnsiTheme="majorHAnsi"/>
          <w:lang w:val="es-US"/>
        </w:rPr>
        <w:t xml:space="preserve">Marco </w:t>
      </w:r>
      <w:r w:rsidR="001E382F" w:rsidRPr="00930562">
        <w:rPr>
          <w:rFonts w:asciiTheme="majorHAnsi" w:eastAsia="MS Gothic" w:hAnsiTheme="majorHAnsi"/>
          <w:lang w:val="es-US"/>
        </w:rPr>
        <w:t>internacional en materia de acceso a la justicia: debida diligencia, rendición de cuentas, independencia institucional, recursos judiciales y reparaciones</w:t>
      </w:r>
      <w:bookmarkEnd w:id="202"/>
      <w:bookmarkEnd w:id="203"/>
    </w:p>
    <w:p w14:paraId="491C60B6" w14:textId="5F76D58A"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eastAsia="Times New Roman" w:hAnsiTheme="majorHAnsi" w:cs="Verdana"/>
          <w:szCs w:val="20"/>
          <w:lang w:val="es-US" w:eastAsia="es-ES"/>
        </w:rPr>
      </w:pPr>
      <w:r w:rsidRPr="00930562">
        <w:rPr>
          <w:rFonts w:asciiTheme="majorHAnsi" w:eastAsia="Times New Roman" w:hAnsiTheme="majorHAnsi" w:cs="Verdana"/>
          <w:lang w:val="es-US" w:eastAsia="es-ES"/>
        </w:rPr>
        <w:t>La Comisión ha observado anteriormente que la discriminación estructural a la que se enfrentan los afrodescendientes en las Américas también debe ser analizada a la luz de los obstáculos que encuentran al tratar de acceder a los recursos judiciales internos</w:t>
      </w:r>
      <w:r w:rsidRPr="00930562">
        <w:rPr>
          <w:rFonts w:asciiTheme="majorHAnsi" w:eastAsia="Times New Roman" w:hAnsiTheme="majorHAnsi" w:cs="Verdana"/>
          <w:vertAlign w:val="superscript"/>
          <w:lang w:val="es-US" w:eastAsia="es-ES"/>
        </w:rPr>
        <w:footnoteReference w:id="550"/>
      </w:r>
      <w:r w:rsidRPr="00930562">
        <w:rPr>
          <w:rFonts w:asciiTheme="majorHAnsi" w:eastAsia="Times New Roman" w:hAnsiTheme="majorHAnsi" w:cs="Verdana"/>
          <w:lang w:val="es-US" w:eastAsia="es-ES"/>
        </w:rPr>
        <w:t xml:space="preserve">. Si bien toda víctima de un delito o acto </w:t>
      </w:r>
      <w:r w:rsidRPr="00930562">
        <w:rPr>
          <w:rFonts w:asciiTheme="majorHAnsi" w:eastAsia="Times New Roman" w:hAnsiTheme="majorHAnsi" w:cs="Verdana"/>
          <w:lang w:val="es-US" w:eastAsia="es-ES"/>
        </w:rPr>
        <w:lastRenderedPageBreak/>
        <w:t xml:space="preserve">de </w:t>
      </w:r>
      <w:r w:rsidRPr="00930562">
        <w:rPr>
          <w:rFonts w:asciiTheme="majorHAnsi" w:hAnsiTheme="majorHAnsi"/>
          <w:szCs w:val="20"/>
          <w:lang w:val="es-US"/>
        </w:rPr>
        <w:t>violencia</w:t>
      </w:r>
      <w:r w:rsidRPr="00930562">
        <w:rPr>
          <w:rFonts w:asciiTheme="majorHAnsi" w:eastAsia="Times New Roman" w:hAnsiTheme="majorHAnsi" w:cs="Verdana"/>
          <w:lang w:val="es-US" w:eastAsia="es-ES"/>
        </w:rPr>
        <w:t xml:space="preserve"> puede tener dificultades para obtener justicia, esas dificultades se agravan para los sectores de la población que históricamente han sido los más discriminados o exclu</w:t>
      </w:r>
      <w:r w:rsidR="00A65090" w:rsidRPr="00930562">
        <w:rPr>
          <w:rFonts w:asciiTheme="majorHAnsi" w:eastAsia="Times New Roman" w:hAnsiTheme="majorHAnsi" w:cs="Verdana"/>
          <w:lang w:val="es-US" w:eastAsia="es-ES"/>
        </w:rPr>
        <w:t>i</w:t>
      </w:r>
      <w:r w:rsidRPr="00930562">
        <w:rPr>
          <w:rFonts w:asciiTheme="majorHAnsi" w:eastAsia="Times New Roman" w:hAnsiTheme="majorHAnsi" w:cs="Verdana"/>
          <w:lang w:val="es-US" w:eastAsia="es-ES"/>
        </w:rPr>
        <w:t>dos, incluidos los niños, los adolescentes, las mujeres, los indígenas, los afrodescendientes y los trabajadores migratorios y sus familias</w:t>
      </w:r>
      <w:r w:rsidRPr="00930562">
        <w:rPr>
          <w:rFonts w:asciiTheme="majorHAnsi" w:eastAsia="Times New Roman" w:hAnsiTheme="majorHAnsi" w:cs="Verdana"/>
          <w:vertAlign w:val="superscript"/>
          <w:lang w:val="es-US" w:eastAsia="es-ES"/>
        </w:rPr>
        <w:footnoteReference w:id="551"/>
      </w:r>
      <w:r w:rsidRPr="00930562">
        <w:rPr>
          <w:rFonts w:asciiTheme="majorHAnsi" w:eastAsia="Times New Roman" w:hAnsiTheme="majorHAnsi" w:cs="Verdana"/>
          <w:lang w:val="es-US" w:eastAsia="es-ES"/>
        </w:rPr>
        <w:t>. Por consiguiente, los Estados deben adoptar todas las medidas necesarias para garantizar que todas las personas que se encuentren en su territorio tengan igual acceso a la justicia. Esto es particularmente importante en Estados con poblaciones multiétnicas que representan diversas culturas e idiomas</w:t>
      </w:r>
      <w:r w:rsidRPr="00930562">
        <w:rPr>
          <w:rFonts w:asciiTheme="majorHAnsi" w:eastAsia="Times New Roman" w:hAnsiTheme="majorHAnsi" w:cs="Verdana"/>
          <w:vertAlign w:val="superscript"/>
          <w:lang w:val="es-US" w:eastAsia="es-ES"/>
        </w:rPr>
        <w:footnoteReference w:id="552"/>
      </w:r>
      <w:r w:rsidRPr="00930562">
        <w:rPr>
          <w:rFonts w:asciiTheme="majorHAnsi" w:eastAsia="Times New Roman" w:hAnsiTheme="majorHAnsi" w:cs="Verdana"/>
          <w:lang w:val="es-US" w:eastAsia="es-ES"/>
        </w:rPr>
        <w:t>. La Comisión ha reconocido anteriormente a los afroamericanos en Estados Unidos como un grupo cuyo acceso a la justicia en casos de asesinatos policiales es precario</w:t>
      </w:r>
      <w:r w:rsidRPr="00930562">
        <w:rPr>
          <w:rFonts w:asciiTheme="majorHAnsi" w:eastAsia="Times New Roman" w:hAnsiTheme="majorHAnsi" w:cs="Verdana"/>
          <w:vertAlign w:val="superscript"/>
          <w:lang w:val="es-US" w:eastAsia="es-ES"/>
        </w:rPr>
        <w:footnoteReference w:id="553"/>
      </w:r>
      <w:r w:rsidRPr="00930562">
        <w:rPr>
          <w:rFonts w:asciiTheme="majorHAnsi" w:eastAsia="Times New Roman" w:hAnsiTheme="majorHAnsi" w:cs="Verdana"/>
          <w:lang w:val="es-US" w:eastAsia="es-ES"/>
        </w:rPr>
        <w:t>.</w:t>
      </w:r>
    </w:p>
    <w:p w14:paraId="60B6FD1B"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eastAsia="Times New Roman" w:hAnsiTheme="majorHAnsi" w:cs="Verdana"/>
          <w:szCs w:val="20"/>
          <w:lang w:val="es-US" w:eastAsia="es-ES"/>
        </w:rPr>
      </w:pPr>
      <w:r w:rsidRPr="00930562">
        <w:rPr>
          <w:rFonts w:asciiTheme="majorHAnsi" w:eastAsia="Times New Roman" w:hAnsiTheme="majorHAnsi" w:cs="Verdana"/>
          <w:szCs w:val="18"/>
          <w:lang w:val="es-US" w:eastAsia="es-ES"/>
        </w:rPr>
        <w:t>El derecho a la protección judicial se refleja en los artículos XVIII y XXIV de la Declaración Americana. El primero establece el derecho a un juicio justo, es decir, que:</w:t>
      </w:r>
    </w:p>
    <w:p w14:paraId="6718F097" w14:textId="77777777" w:rsidR="006E177E" w:rsidRPr="00930562" w:rsidRDefault="006E177E" w:rsidP="006E177E">
      <w:pPr>
        <w:spacing w:after="240" w:line="240" w:lineRule="auto"/>
        <w:ind w:left="1166" w:right="619"/>
        <w:contextualSpacing/>
        <w:jc w:val="both"/>
        <w:rPr>
          <w:rFonts w:asciiTheme="majorHAnsi" w:eastAsia="Times New Roman" w:hAnsiTheme="majorHAnsi" w:cs="Verdana"/>
          <w:szCs w:val="18"/>
          <w:lang w:val="es-US" w:eastAsia="es-ES"/>
        </w:rPr>
      </w:pPr>
      <w:r w:rsidRPr="00930562">
        <w:rPr>
          <w:rFonts w:asciiTheme="majorHAnsi" w:eastAsia="Times New Roman" w:hAnsiTheme="majorHAnsi" w:cs="Verdana"/>
          <w:szCs w:val="18"/>
          <w:lang w:val="es-US" w:eastAsia="es-ES"/>
        </w:rPr>
        <w:t>Toda persona puede ocurrir a los tribunales para hacer valer sus derechos. Asimismo debe disponer de un procedimiento sencillo y breve por el cual la justicia lo ampare contra actos de la autoridad que violen, en perjuicio suyo, alguno de los derechos fundamentales consagrados constitucionalmente.</w:t>
      </w:r>
    </w:p>
    <w:p w14:paraId="42D2AD64" w14:textId="77777777" w:rsidR="006E177E" w:rsidRPr="00930562" w:rsidRDefault="006E177E" w:rsidP="00045291">
      <w:pPr>
        <w:spacing w:after="0" w:line="240" w:lineRule="auto"/>
        <w:ind w:left="1166" w:right="619"/>
        <w:contextualSpacing/>
        <w:jc w:val="both"/>
        <w:rPr>
          <w:rFonts w:asciiTheme="majorHAnsi" w:eastAsia="Times New Roman" w:hAnsiTheme="majorHAnsi" w:cs="Verdana"/>
          <w:szCs w:val="18"/>
          <w:lang w:val="es-US" w:eastAsia="es-ES"/>
        </w:rPr>
      </w:pPr>
    </w:p>
    <w:p w14:paraId="2752BBAF"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eastAsia="Times New Roman" w:hAnsiTheme="majorHAnsi" w:cs="Verdana"/>
          <w:szCs w:val="20"/>
          <w:lang w:val="es-US" w:eastAsia="es-ES"/>
        </w:rPr>
      </w:pPr>
      <w:r w:rsidRPr="00930562">
        <w:rPr>
          <w:rFonts w:asciiTheme="majorHAnsi" w:eastAsia="Times New Roman" w:hAnsiTheme="majorHAnsi" w:cs="Verdana"/>
          <w:szCs w:val="18"/>
          <w:lang w:val="es-US" w:eastAsia="es-ES"/>
        </w:rPr>
        <w:t xml:space="preserve">El segundo se refiere al derecho de petición, es decir, </w:t>
      </w:r>
    </w:p>
    <w:p w14:paraId="2BF6E0B2" w14:textId="77777777" w:rsidR="006E177E" w:rsidRPr="00930562" w:rsidRDefault="006E177E" w:rsidP="006E177E">
      <w:pPr>
        <w:spacing w:after="240" w:line="240" w:lineRule="auto"/>
        <w:ind w:left="1166" w:right="619"/>
        <w:jc w:val="both"/>
        <w:rPr>
          <w:rFonts w:asciiTheme="majorHAnsi" w:eastAsia="Times New Roman" w:hAnsiTheme="majorHAnsi" w:cs="Verdana"/>
          <w:szCs w:val="18"/>
          <w:lang w:val="es-US" w:eastAsia="es-ES"/>
        </w:rPr>
      </w:pPr>
      <w:r w:rsidRPr="00930562">
        <w:rPr>
          <w:rFonts w:asciiTheme="majorHAnsi" w:eastAsia="Times New Roman" w:hAnsiTheme="majorHAnsi" w:cs="Verdana"/>
          <w:szCs w:val="18"/>
          <w:lang w:val="es-US" w:eastAsia="es-ES"/>
        </w:rPr>
        <w:t>Toda persona tiene derecho de presentar peticiones respetuosas a cualquiera autoridad competente, ya sea por motivo de interés general, ya de interés particular, y el de obtener pronta resolución.</w:t>
      </w:r>
    </w:p>
    <w:p w14:paraId="3916E861" w14:textId="34B2AC89"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eastAsia="Times New Roman" w:hAnsiTheme="majorHAnsi" w:cs="Verdana"/>
          <w:szCs w:val="20"/>
          <w:lang w:val="es-US" w:eastAsia="es-ES"/>
        </w:rPr>
      </w:pPr>
      <w:r w:rsidRPr="00930562">
        <w:rPr>
          <w:rFonts w:asciiTheme="majorHAnsi" w:eastAsia="Times New Roman" w:hAnsiTheme="majorHAnsi" w:cs="Verdana"/>
          <w:szCs w:val="20"/>
          <w:lang w:val="es-US" w:eastAsia="es-ES"/>
        </w:rPr>
        <w:t>En conjunto, estos derechos representan una garantía más amplia de acceso a la justicia. E</w:t>
      </w:r>
      <w:r w:rsidR="00A65090" w:rsidRPr="00930562">
        <w:rPr>
          <w:rFonts w:asciiTheme="majorHAnsi" w:eastAsia="Times New Roman" w:hAnsiTheme="majorHAnsi" w:cs="Verdana"/>
          <w:szCs w:val="20"/>
          <w:lang w:val="es-US" w:eastAsia="es-ES"/>
        </w:rPr>
        <w:t>llos</w:t>
      </w:r>
      <w:r w:rsidRPr="00930562">
        <w:rPr>
          <w:rFonts w:asciiTheme="majorHAnsi" w:eastAsia="Times New Roman" w:hAnsiTheme="majorHAnsi" w:cs="Verdana"/>
          <w:szCs w:val="20"/>
          <w:lang w:val="es-US" w:eastAsia="es-ES"/>
        </w:rPr>
        <w:t xml:space="preserve"> incluyen el deber del Estado de actuar con la debida diligencia para prevenir, investigar y sancionar las violaciones de los </w:t>
      </w:r>
      <w:r w:rsidRPr="00930562">
        <w:rPr>
          <w:rFonts w:asciiTheme="majorHAnsi" w:eastAsia="Times New Roman" w:hAnsiTheme="majorHAnsi" w:cs="Verdana"/>
          <w:szCs w:val="18"/>
          <w:lang w:val="es-US" w:eastAsia="es-ES"/>
        </w:rPr>
        <w:t>derechos</w:t>
      </w:r>
      <w:r w:rsidRPr="00930562">
        <w:rPr>
          <w:rFonts w:asciiTheme="majorHAnsi" w:eastAsia="Times New Roman" w:hAnsiTheme="majorHAnsi" w:cs="Verdana"/>
          <w:szCs w:val="20"/>
          <w:lang w:val="es-US" w:eastAsia="es-ES"/>
        </w:rPr>
        <w:t xml:space="preserve"> humanos; la obligación de proporcionar recursos adecuados y accesibles; y de garantizar reparaciones adecuadas a las víctimas de violaciones.</w:t>
      </w:r>
    </w:p>
    <w:p w14:paraId="6E73B636" w14:textId="77777777" w:rsidR="004C5CDF" w:rsidRDefault="004C5CDF">
      <w:pPr>
        <w:rPr>
          <w:rFonts w:asciiTheme="majorHAnsi" w:hAnsiTheme="majorHAnsi"/>
          <w:b/>
          <w:sz w:val="24"/>
          <w:szCs w:val="20"/>
          <w:lang w:val="es-US"/>
        </w:rPr>
      </w:pPr>
      <w:bookmarkStart w:id="204" w:name="_Toc517779261"/>
      <w:r>
        <w:rPr>
          <w:lang w:val="es-US"/>
        </w:rPr>
        <w:br w:type="page"/>
      </w:r>
    </w:p>
    <w:p w14:paraId="3EDD914D" w14:textId="447C4519" w:rsidR="006E177E" w:rsidRPr="00930562" w:rsidRDefault="006E177E" w:rsidP="00724857">
      <w:pPr>
        <w:pStyle w:val="Heading3"/>
        <w:numPr>
          <w:ilvl w:val="0"/>
          <w:numId w:val="19"/>
        </w:numPr>
        <w:ind w:left="540" w:hanging="540"/>
        <w:rPr>
          <w:lang w:val="es-US"/>
        </w:rPr>
      </w:pPr>
      <w:bookmarkStart w:id="205" w:name="_Toc531514494"/>
      <w:r w:rsidRPr="00930562">
        <w:rPr>
          <w:lang w:val="es-US"/>
        </w:rPr>
        <w:lastRenderedPageBreak/>
        <w:t>Debida diligencia</w:t>
      </w:r>
      <w:bookmarkEnd w:id="204"/>
      <w:bookmarkEnd w:id="205"/>
      <w:r w:rsidRPr="00930562">
        <w:rPr>
          <w:lang w:val="es-US"/>
        </w:rPr>
        <w:t xml:space="preserve"> </w:t>
      </w:r>
    </w:p>
    <w:p w14:paraId="551C1C6D"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 w:val="16"/>
          <w:szCs w:val="16"/>
          <w:lang w:val="es-US" w:eastAsia="es-ES"/>
        </w:rPr>
      </w:pPr>
      <w:r w:rsidRPr="00930562">
        <w:rPr>
          <w:rFonts w:asciiTheme="majorHAnsi" w:hAnsiTheme="majorHAnsi"/>
          <w:szCs w:val="20"/>
          <w:lang w:val="es-US" w:eastAsia="es-ES"/>
        </w:rPr>
        <w:t>Los Estados están obligados a organizar sus gobiernos —federal, estatal y local— y, en general, todas las estructuras a través de las cuales se ejerce el poder público, incluyendo el marco legislativo, las políticas públicas, los mecanismos de aplicación de la ley y el sistema judicial del Estado, para asegurar el pleno goce de los derechos humanos de todas las personas sujetas a su jurisdicción</w:t>
      </w:r>
      <w:r w:rsidRPr="00930562">
        <w:rPr>
          <w:rFonts w:asciiTheme="majorHAnsi" w:hAnsiTheme="majorHAnsi"/>
          <w:szCs w:val="20"/>
          <w:vertAlign w:val="superscript"/>
          <w:lang w:val="es-US" w:eastAsia="es-ES"/>
        </w:rPr>
        <w:footnoteReference w:id="554"/>
      </w:r>
      <w:r w:rsidRPr="00930562">
        <w:rPr>
          <w:rFonts w:asciiTheme="majorHAnsi" w:hAnsiTheme="majorHAnsi"/>
          <w:szCs w:val="20"/>
          <w:lang w:val="es-US" w:eastAsia="es-ES"/>
        </w:rPr>
        <w:t xml:space="preserve">. En virtud de las normas internacionales de derechos humanos, el Estado </w:t>
      </w:r>
      <w:r w:rsidRPr="00930562">
        <w:rPr>
          <w:rFonts w:asciiTheme="majorHAnsi" w:eastAsia="Times New Roman" w:hAnsiTheme="majorHAnsi" w:cs="Verdana"/>
          <w:szCs w:val="20"/>
          <w:lang w:val="es-US" w:eastAsia="es-ES"/>
        </w:rPr>
        <w:t>tiene</w:t>
      </w:r>
      <w:r w:rsidRPr="00930562">
        <w:rPr>
          <w:rFonts w:asciiTheme="majorHAnsi" w:hAnsiTheme="majorHAnsi"/>
          <w:szCs w:val="20"/>
          <w:lang w:val="es-US" w:eastAsia="es-ES"/>
        </w:rPr>
        <w:t xml:space="preserve"> la obligación inderogable de respetar el derecho a la vida y prevenir la tortura</w:t>
      </w:r>
      <w:r w:rsidRPr="00930562">
        <w:rPr>
          <w:rFonts w:asciiTheme="majorHAnsi" w:hAnsiTheme="majorHAnsi"/>
          <w:szCs w:val="20"/>
          <w:vertAlign w:val="superscript"/>
          <w:lang w:val="es-US" w:eastAsia="es-ES"/>
        </w:rPr>
        <w:footnoteReference w:id="555"/>
      </w:r>
      <w:r w:rsidRPr="00930562">
        <w:rPr>
          <w:rFonts w:asciiTheme="majorHAnsi" w:hAnsiTheme="majorHAnsi"/>
          <w:szCs w:val="20"/>
          <w:lang w:val="es-US" w:eastAsia="es-ES"/>
        </w:rPr>
        <w:t>. Esta obligación da lugar, a su vez, a la obligación de actuar con la debida diligencia para proteger los derechos humanos. Este requisito abarca cuatro obligaciones básicas: prevención, investigación, sanción y reparación y no repetición de las violaciones de los derechos humanos</w:t>
      </w:r>
      <w:r w:rsidRPr="00930562">
        <w:rPr>
          <w:rFonts w:asciiTheme="majorHAnsi" w:hAnsiTheme="majorHAnsi"/>
          <w:szCs w:val="20"/>
          <w:vertAlign w:val="superscript"/>
          <w:lang w:val="es-US" w:eastAsia="es-ES"/>
        </w:rPr>
        <w:footnoteReference w:id="556"/>
      </w:r>
      <w:r w:rsidRPr="00930562">
        <w:rPr>
          <w:rFonts w:asciiTheme="majorHAnsi" w:hAnsiTheme="majorHAnsi"/>
          <w:szCs w:val="20"/>
          <w:lang w:val="es-US" w:eastAsia="es-ES"/>
        </w:rPr>
        <w:t>. El incumplimiento de este deber por parte del Estado, aun cuando los autores sean terceros, puede equivaler a una acción del Estado que da origen a la responsabilidad internacional</w:t>
      </w:r>
      <w:r w:rsidRPr="00930562">
        <w:rPr>
          <w:rFonts w:asciiTheme="majorHAnsi" w:hAnsiTheme="majorHAnsi"/>
          <w:szCs w:val="20"/>
          <w:vertAlign w:val="superscript"/>
          <w:lang w:val="es-US" w:eastAsia="es-ES"/>
        </w:rPr>
        <w:footnoteReference w:id="557"/>
      </w:r>
      <w:r w:rsidRPr="00930562">
        <w:rPr>
          <w:rFonts w:asciiTheme="majorHAnsi" w:hAnsiTheme="majorHAnsi"/>
          <w:szCs w:val="20"/>
          <w:lang w:val="es-US" w:eastAsia="es-ES"/>
        </w:rPr>
        <w:t>. La Comisión ha invocado consistentemente el principio de debida diligencia como referencia para pronunciarse sobre casos y situaciones de racismo y otras formas de intolerancia</w:t>
      </w:r>
      <w:r w:rsidRPr="00930562">
        <w:rPr>
          <w:rFonts w:asciiTheme="majorHAnsi" w:hAnsiTheme="majorHAnsi"/>
          <w:szCs w:val="20"/>
          <w:vertAlign w:val="superscript"/>
          <w:lang w:val="es-US" w:eastAsia="es-ES"/>
        </w:rPr>
        <w:footnoteReference w:id="558"/>
      </w:r>
      <w:r w:rsidRPr="00930562">
        <w:rPr>
          <w:rFonts w:asciiTheme="majorHAnsi" w:hAnsiTheme="majorHAnsi"/>
          <w:szCs w:val="20"/>
          <w:lang w:val="es-US" w:eastAsia="es-ES"/>
        </w:rPr>
        <w:t>.</w:t>
      </w:r>
    </w:p>
    <w:p w14:paraId="327B5931" w14:textId="34E90295"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eastAsia="es-ES"/>
        </w:rPr>
      </w:pPr>
      <w:r w:rsidRPr="00930562">
        <w:rPr>
          <w:rFonts w:asciiTheme="majorHAnsi" w:hAnsiTheme="majorHAnsi"/>
          <w:lang w:val="es-US"/>
        </w:rPr>
        <w:lastRenderedPageBreak/>
        <w:t>L</w:t>
      </w:r>
      <w:r w:rsidRPr="00930562">
        <w:rPr>
          <w:rFonts w:asciiTheme="majorHAnsi" w:hAnsiTheme="majorHAnsi"/>
          <w:szCs w:val="20"/>
          <w:lang w:val="es-US" w:eastAsia="es-ES"/>
        </w:rPr>
        <w:t>a Comisión ha abordado en varias ocasiones el alcance de la obligación de los Estados Unidos de garantizar los derechos de las personas o grupos en situación de riesgo, examinando el impacto diferencial que las prácticas generalizadas de discriminación y violencia por parte de agentes estatales o no estatales han tenido en ciertos grupos sociales</w:t>
      </w:r>
      <w:r w:rsidRPr="00930562">
        <w:rPr>
          <w:rFonts w:asciiTheme="majorHAnsi" w:hAnsiTheme="majorHAnsi"/>
          <w:szCs w:val="20"/>
          <w:vertAlign w:val="superscript"/>
          <w:lang w:val="es-US" w:eastAsia="es-ES"/>
        </w:rPr>
        <w:footnoteReference w:id="559"/>
      </w:r>
      <w:r w:rsidRPr="00930562">
        <w:rPr>
          <w:rFonts w:asciiTheme="majorHAnsi" w:hAnsiTheme="majorHAnsi"/>
          <w:szCs w:val="20"/>
          <w:lang w:val="es-US" w:eastAsia="es-ES"/>
        </w:rPr>
        <w:t xml:space="preserve">, </w:t>
      </w:r>
      <w:r w:rsidR="00027BB6" w:rsidRPr="00930562">
        <w:rPr>
          <w:rFonts w:asciiTheme="majorHAnsi" w:hAnsiTheme="majorHAnsi"/>
          <w:szCs w:val="20"/>
          <w:lang w:val="es-US" w:eastAsia="es-ES"/>
        </w:rPr>
        <w:t>incluidos los afroamericanos.</w:t>
      </w:r>
      <w:r w:rsidRPr="00930562">
        <w:rPr>
          <w:rFonts w:asciiTheme="majorHAnsi" w:hAnsiTheme="majorHAnsi"/>
          <w:szCs w:val="20"/>
          <w:vertAlign w:val="superscript"/>
          <w:lang w:val="es-US" w:eastAsia="es-ES"/>
        </w:rPr>
        <w:footnoteReference w:id="560"/>
      </w:r>
      <w:r w:rsidRPr="00930562">
        <w:rPr>
          <w:rFonts w:asciiTheme="majorHAnsi" w:hAnsiTheme="majorHAnsi"/>
          <w:szCs w:val="20"/>
          <w:lang w:val="es-US" w:eastAsia="es-ES"/>
        </w:rPr>
        <w:t>.</w:t>
      </w:r>
    </w:p>
    <w:p w14:paraId="41196D3D"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eastAsia="es-ES"/>
        </w:rPr>
      </w:pPr>
      <w:r w:rsidRPr="00930562">
        <w:rPr>
          <w:rFonts w:asciiTheme="majorHAnsi" w:hAnsiTheme="majorHAnsi"/>
          <w:szCs w:val="20"/>
          <w:lang w:val="es-US" w:eastAsia="es-ES"/>
        </w:rPr>
        <w:t>Existe un fuerte vínculo entre la discriminación, la violencia y la debida diligencia. Por ejemplo, la Comisión ha constatado en varias ocasiones que el hecho de que un Estado no actúe con la debida diligencia para proteger a la mujer de la violencia constituye una forma de discriminación y niega a la mujer su derecho a la igualdad ante la ley</w:t>
      </w:r>
      <w:r w:rsidRPr="00930562">
        <w:rPr>
          <w:rFonts w:asciiTheme="majorHAnsi" w:hAnsiTheme="majorHAnsi"/>
          <w:szCs w:val="20"/>
          <w:vertAlign w:val="superscript"/>
          <w:lang w:val="es-US" w:eastAsia="es-ES"/>
        </w:rPr>
        <w:footnoteReference w:id="561"/>
      </w:r>
      <w:r w:rsidRPr="00930562">
        <w:rPr>
          <w:rFonts w:asciiTheme="majorHAnsi" w:hAnsiTheme="majorHAnsi"/>
          <w:szCs w:val="20"/>
          <w:lang w:val="es-US" w:eastAsia="es-ES"/>
        </w:rPr>
        <w:t>. No obstante, el Estado está obligado no sólo a abstenerse de violar los derechos y a actuar con la debida diligencia para prevenir determinados actos de violencia, sino también a remediar una situación de discriminación e  injusticia subyacentes</w:t>
      </w:r>
      <w:r w:rsidRPr="00930562">
        <w:rPr>
          <w:rFonts w:asciiTheme="majorHAnsi" w:hAnsiTheme="majorHAnsi"/>
          <w:szCs w:val="20"/>
          <w:vertAlign w:val="superscript"/>
          <w:lang w:val="es-US" w:eastAsia="es-ES"/>
        </w:rPr>
        <w:footnoteReference w:id="562"/>
      </w:r>
      <w:r w:rsidRPr="00930562">
        <w:rPr>
          <w:rFonts w:asciiTheme="majorHAnsi" w:hAnsiTheme="majorHAnsi"/>
          <w:szCs w:val="20"/>
          <w:lang w:val="es-US" w:eastAsia="es-ES"/>
        </w:rPr>
        <w:t>.</w:t>
      </w:r>
    </w:p>
    <w:p w14:paraId="07809F18" w14:textId="2A22C699"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eastAsia="es-ES"/>
        </w:rPr>
      </w:pPr>
      <w:r w:rsidRPr="00930562">
        <w:rPr>
          <w:rFonts w:asciiTheme="majorHAnsi" w:hAnsiTheme="majorHAnsi"/>
          <w:szCs w:val="20"/>
          <w:lang w:val="es-US" w:eastAsia="es-ES"/>
        </w:rPr>
        <w:t>La Comisión ha interpretado el deber de actuar con la debida diligencia ante situaciones de violencia estructural, como la violencia de género contra las mujeres, en sentido amplio, abarcando no sólo la pronta investigación, enjuiciamiento y sanción de estos actos, sino también la obligación de “prevenir estas prácticas degradantes”</w:t>
      </w:r>
      <w:r w:rsidRPr="00930562">
        <w:rPr>
          <w:rFonts w:asciiTheme="majorHAnsi" w:hAnsiTheme="majorHAnsi"/>
          <w:szCs w:val="20"/>
          <w:vertAlign w:val="superscript"/>
          <w:lang w:val="es-US" w:eastAsia="es-ES"/>
        </w:rPr>
        <w:footnoteReference w:id="563"/>
      </w:r>
      <w:r w:rsidRPr="00930562">
        <w:rPr>
          <w:rFonts w:asciiTheme="majorHAnsi" w:hAnsiTheme="majorHAnsi"/>
          <w:szCs w:val="20"/>
          <w:lang w:val="es-US" w:eastAsia="es-ES"/>
        </w:rPr>
        <w:t>. Por ejemplo, en el caso Jessica Lenahan vs. Estados Unidos, la Comisión destacó que “el deber de los Estados de enfrentar y responder a la violencia contra la mujer también implica medidas para prevenir la discriminación que perpetúa este grave problema”</w:t>
      </w:r>
      <w:r w:rsidRPr="00930562">
        <w:rPr>
          <w:rFonts w:asciiTheme="majorHAnsi" w:hAnsiTheme="majorHAnsi"/>
          <w:vertAlign w:val="superscript"/>
          <w:lang w:val="es-US" w:eastAsia="es-ES"/>
        </w:rPr>
        <w:footnoteReference w:id="564"/>
      </w:r>
      <w:r w:rsidRPr="00930562">
        <w:rPr>
          <w:rFonts w:asciiTheme="majorHAnsi" w:hAnsiTheme="majorHAnsi"/>
          <w:szCs w:val="20"/>
          <w:lang w:val="es-US" w:eastAsia="es-ES"/>
        </w:rPr>
        <w:t xml:space="preserve">. Así, “los Estados deben adoptar las medidas necesarias para modificar los patrones de comportamiento sociales y </w:t>
      </w:r>
      <w:r w:rsidRPr="00930562">
        <w:rPr>
          <w:rFonts w:asciiTheme="majorHAnsi" w:hAnsiTheme="majorHAnsi"/>
          <w:szCs w:val="20"/>
          <w:lang w:val="es-US" w:eastAsia="es-ES"/>
        </w:rPr>
        <w:lastRenderedPageBreak/>
        <w:t>culturales de hombres y mujeres, y eliminar los prejuicios y las prácticas consuetudinarias y de otra índole basadas en la premisa de la inferioridad o superioridad de uno de los sexos, y sobre los roles estereotipados que se imponen tanto a los hombres como a las mujeres”</w:t>
      </w:r>
      <w:r w:rsidRPr="00930562">
        <w:rPr>
          <w:rFonts w:asciiTheme="majorHAnsi" w:hAnsiTheme="majorHAnsi"/>
          <w:szCs w:val="20"/>
          <w:vertAlign w:val="superscript"/>
          <w:lang w:val="es-US" w:eastAsia="es-ES"/>
        </w:rPr>
        <w:footnoteReference w:id="565"/>
      </w:r>
      <w:r w:rsidRPr="00930562">
        <w:rPr>
          <w:rFonts w:asciiTheme="majorHAnsi" w:hAnsiTheme="majorHAnsi"/>
          <w:szCs w:val="20"/>
          <w:lang w:val="es-US" w:eastAsia="es-ES"/>
        </w:rPr>
        <w:t>. Además, la Comisión ha considerado anteriormente que “la existencia de un patrón general de tolerancia estatal e ineficacia judicial hacia casos de violencia doméstica [promueve] su repetición, y reafirm[a] el vínculo estrecho entre el problema de la violencia contra las mujeres y la discriminación en el contexto doméstico</w:t>
      </w:r>
      <w:proofErr w:type="gramStart"/>
      <w:r w:rsidRPr="00930562">
        <w:rPr>
          <w:rFonts w:asciiTheme="majorHAnsi" w:hAnsiTheme="majorHAnsi"/>
          <w:szCs w:val="20"/>
          <w:lang w:val="es-US" w:eastAsia="es-ES"/>
        </w:rPr>
        <w:t>”</w:t>
      </w:r>
      <w:r w:rsidRPr="00930562">
        <w:rPr>
          <w:rFonts w:asciiTheme="majorHAnsi" w:hAnsiTheme="majorHAnsi"/>
          <w:szCs w:val="20"/>
          <w:vertAlign w:val="superscript"/>
          <w:lang w:val="es-US" w:eastAsia="es-ES"/>
        </w:rPr>
        <w:t xml:space="preserve"> </w:t>
      </w:r>
      <w:proofErr w:type="gramEnd"/>
      <w:r w:rsidRPr="00930562">
        <w:rPr>
          <w:rFonts w:asciiTheme="majorHAnsi" w:hAnsiTheme="majorHAnsi"/>
          <w:vertAlign w:val="superscript"/>
          <w:lang w:val="es-US" w:eastAsia="es-ES"/>
        </w:rPr>
        <w:footnoteReference w:id="566"/>
      </w:r>
      <w:r w:rsidRPr="00930562">
        <w:rPr>
          <w:rFonts w:asciiTheme="majorHAnsi" w:hAnsiTheme="majorHAnsi"/>
          <w:szCs w:val="20"/>
          <w:lang w:val="es-US" w:eastAsia="es-ES"/>
        </w:rPr>
        <w:t>.</w:t>
      </w:r>
    </w:p>
    <w:p w14:paraId="6C641EB4" w14:textId="1B9A887F"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eastAsia="es-ES"/>
        </w:rPr>
      </w:pPr>
      <w:r w:rsidRPr="00930562">
        <w:rPr>
          <w:rFonts w:asciiTheme="majorHAnsi" w:hAnsiTheme="majorHAnsi"/>
          <w:lang w:val="es-US"/>
        </w:rPr>
        <w:t>E</w:t>
      </w:r>
      <w:r w:rsidRPr="00930562">
        <w:rPr>
          <w:rFonts w:asciiTheme="majorHAnsi" w:hAnsiTheme="majorHAnsi"/>
          <w:szCs w:val="20"/>
          <w:lang w:val="es-US" w:eastAsia="es-ES"/>
        </w:rPr>
        <w:t>n el caso de la violencia y la discriminación contra los afroamericanos, la Comisión ha considerado anteriormente la necesidad de que el gobierno federal y los gobiernos estatales tomen medidas “con la debida diligencia y sin demora para abordar el contexto que exacerba formas de discriminación estructural y diferencias en el trato de los afro</w:t>
      </w:r>
      <w:r w:rsidR="00881710" w:rsidRPr="00930562">
        <w:rPr>
          <w:rFonts w:asciiTheme="majorHAnsi" w:hAnsiTheme="majorHAnsi"/>
          <w:szCs w:val="20"/>
          <w:lang w:val="es-US" w:eastAsia="es-ES"/>
        </w:rPr>
        <w:t xml:space="preserve">americanos </w:t>
      </w:r>
      <w:r w:rsidRPr="00930562">
        <w:rPr>
          <w:rFonts w:asciiTheme="majorHAnsi" w:hAnsiTheme="majorHAnsi"/>
          <w:szCs w:val="20"/>
          <w:lang w:val="es-US" w:eastAsia="es-ES"/>
        </w:rPr>
        <w:t>y personas de minorías raciales en Estados Unidos”, considerando que este contexto es un factor clave que contribuye a la violencia policial contra los afroamericanos, y que remediar esta discriminación subyacente es “fundamental para el pleno ejercicio de la ciudadanía por los afro</w:t>
      </w:r>
      <w:r w:rsidR="00881710" w:rsidRPr="00930562">
        <w:rPr>
          <w:rFonts w:asciiTheme="majorHAnsi" w:hAnsiTheme="majorHAnsi"/>
          <w:szCs w:val="20"/>
          <w:lang w:val="es-US" w:eastAsia="es-ES"/>
        </w:rPr>
        <w:t>americanos</w:t>
      </w:r>
      <w:r w:rsidRPr="00930562">
        <w:rPr>
          <w:rFonts w:asciiTheme="majorHAnsi" w:hAnsiTheme="majorHAnsi"/>
          <w:szCs w:val="20"/>
          <w:lang w:val="es-US" w:eastAsia="es-ES"/>
        </w:rPr>
        <w:t xml:space="preserve"> y para fomentar una democracia más incluyente en Estados Unidos” </w:t>
      </w:r>
      <w:r w:rsidRPr="00930562">
        <w:rPr>
          <w:rFonts w:asciiTheme="majorHAnsi" w:hAnsiTheme="majorHAnsi"/>
          <w:szCs w:val="20"/>
          <w:vertAlign w:val="superscript"/>
          <w:lang w:val="es-US" w:eastAsia="es-ES"/>
        </w:rPr>
        <w:footnoteReference w:id="567"/>
      </w:r>
      <w:r w:rsidRPr="00930562">
        <w:rPr>
          <w:rFonts w:asciiTheme="majorHAnsi" w:hAnsiTheme="majorHAnsi"/>
          <w:szCs w:val="20"/>
          <w:lang w:val="es-US" w:eastAsia="es-ES"/>
        </w:rPr>
        <w:t>. De hecho, la discriminación histórica y estructural contra los afro</w:t>
      </w:r>
      <w:r w:rsidR="00881710" w:rsidRPr="00930562">
        <w:rPr>
          <w:rFonts w:asciiTheme="majorHAnsi" w:hAnsiTheme="majorHAnsi"/>
          <w:szCs w:val="20"/>
          <w:lang w:val="es-US" w:eastAsia="es-ES"/>
        </w:rPr>
        <w:t>americanos</w:t>
      </w:r>
      <w:r w:rsidRPr="00930562">
        <w:rPr>
          <w:rFonts w:asciiTheme="majorHAnsi" w:hAnsiTheme="majorHAnsi"/>
          <w:szCs w:val="20"/>
          <w:lang w:val="es-US" w:eastAsia="es-ES"/>
        </w:rPr>
        <w:t xml:space="preserve"> es la “columna vertebral” de muchos de los problemas tratados en este informe</w:t>
      </w:r>
      <w:r w:rsidRPr="00930562">
        <w:rPr>
          <w:rFonts w:asciiTheme="majorHAnsi" w:hAnsiTheme="majorHAnsi"/>
          <w:szCs w:val="20"/>
          <w:vertAlign w:val="superscript"/>
          <w:lang w:val="es-US" w:eastAsia="es-ES"/>
        </w:rPr>
        <w:footnoteReference w:id="568"/>
      </w:r>
      <w:r w:rsidRPr="00930562">
        <w:rPr>
          <w:rFonts w:asciiTheme="majorHAnsi" w:hAnsiTheme="majorHAnsi"/>
          <w:szCs w:val="20"/>
          <w:lang w:val="es-US" w:eastAsia="es-ES"/>
        </w:rPr>
        <w:t>.</w:t>
      </w:r>
    </w:p>
    <w:p w14:paraId="57FAC810" w14:textId="7744781C"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eastAsia="es-ES"/>
        </w:rPr>
      </w:pPr>
      <w:r w:rsidRPr="00930562">
        <w:rPr>
          <w:rFonts w:asciiTheme="majorHAnsi" w:hAnsiTheme="majorHAnsi"/>
          <w:szCs w:val="20"/>
          <w:lang w:val="es-US" w:eastAsia="es-ES"/>
        </w:rPr>
        <w:t>A la luz de lo anterior, la Comisión considera que el hecho de que un Estado no actúe con la debida diligencia para prevenir la violen</w:t>
      </w:r>
      <w:r w:rsidR="00881710" w:rsidRPr="00930562">
        <w:rPr>
          <w:rFonts w:asciiTheme="majorHAnsi" w:hAnsiTheme="majorHAnsi"/>
          <w:szCs w:val="20"/>
          <w:lang w:val="es-US" w:eastAsia="es-ES"/>
        </w:rPr>
        <w:t>cia contra los afroamericanos</w:t>
      </w:r>
      <w:r w:rsidRPr="00930562">
        <w:rPr>
          <w:rFonts w:asciiTheme="majorHAnsi" w:hAnsiTheme="majorHAnsi"/>
          <w:szCs w:val="20"/>
          <w:lang w:val="es-US" w:eastAsia="es-ES"/>
        </w:rPr>
        <w:t xml:space="preserve"> constituye una forma de discriminación y una negación de la igualdad ante la ley. El Estado tiene el deber positivo de prevenir y responder a la discriminación subyacente que perpetúa la comisión de violencia policial contra los afro</w:t>
      </w:r>
      <w:r w:rsidR="00881710" w:rsidRPr="00930562">
        <w:rPr>
          <w:rFonts w:asciiTheme="majorHAnsi" w:hAnsiTheme="majorHAnsi"/>
          <w:szCs w:val="20"/>
          <w:lang w:val="es-US" w:eastAsia="es-ES"/>
        </w:rPr>
        <w:t>americanos</w:t>
      </w:r>
      <w:r w:rsidRPr="00930562">
        <w:rPr>
          <w:rFonts w:asciiTheme="majorHAnsi" w:hAnsiTheme="majorHAnsi"/>
          <w:szCs w:val="20"/>
          <w:vertAlign w:val="superscript"/>
          <w:lang w:val="es-US" w:eastAsia="es-ES"/>
        </w:rPr>
        <w:footnoteReference w:id="569"/>
      </w:r>
      <w:r w:rsidRPr="00930562">
        <w:rPr>
          <w:rFonts w:asciiTheme="majorHAnsi" w:hAnsiTheme="majorHAnsi"/>
          <w:szCs w:val="20"/>
          <w:lang w:val="es-US" w:eastAsia="es-ES"/>
        </w:rPr>
        <w:t>. La Comisión ha enfatizado anteriormente que es esencial no sólo investigar, procesar y sancionar apropiadamente los casos de violencia policial, sino también “modifica[r] los estereotipos institucionalizados respecto de la población afrodescendientes”</w:t>
      </w:r>
      <w:r w:rsidRPr="00930562">
        <w:rPr>
          <w:rFonts w:asciiTheme="majorHAnsi" w:hAnsiTheme="majorHAnsi"/>
          <w:szCs w:val="20"/>
          <w:vertAlign w:val="superscript"/>
          <w:lang w:val="es-US" w:eastAsia="es-ES"/>
        </w:rPr>
        <w:footnoteReference w:id="570"/>
      </w:r>
      <w:r w:rsidRPr="00930562">
        <w:rPr>
          <w:rFonts w:asciiTheme="majorHAnsi" w:hAnsiTheme="majorHAnsi"/>
          <w:szCs w:val="20"/>
          <w:lang w:val="es-US" w:eastAsia="es-ES"/>
        </w:rPr>
        <w:t xml:space="preserve"> para cumplir con su deber de prevenir y erradicar la discriminación.</w:t>
      </w:r>
    </w:p>
    <w:p w14:paraId="4ADA0493" w14:textId="7E62B5DD"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eastAsia="es-ES"/>
        </w:rPr>
      </w:pPr>
      <w:r w:rsidRPr="00930562">
        <w:rPr>
          <w:rFonts w:asciiTheme="majorHAnsi" w:hAnsiTheme="majorHAnsi"/>
          <w:szCs w:val="20"/>
          <w:lang w:val="es-US" w:eastAsia="es-ES"/>
        </w:rPr>
        <w:lastRenderedPageBreak/>
        <w:t>Existe un vínculo importante entre el deber de debida diligencia y la obligación de los Estados de garantizar el acceso a recursos judiciales adecuados y efectivos para las víctimas y sus familiares cuando sufren actos de violencia</w:t>
      </w:r>
      <w:r w:rsidRPr="00930562">
        <w:rPr>
          <w:rFonts w:asciiTheme="majorHAnsi" w:hAnsiTheme="majorHAnsi"/>
          <w:szCs w:val="20"/>
          <w:vertAlign w:val="superscript"/>
          <w:lang w:val="es-US" w:eastAsia="es-ES"/>
        </w:rPr>
        <w:footnoteReference w:id="571"/>
      </w:r>
      <w:r w:rsidRPr="00930562">
        <w:rPr>
          <w:rFonts w:asciiTheme="majorHAnsi" w:hAnsiTheme="majorHAnsi"/>
          <w:szCs w:val="20"/>
          <w:lang w:val="es-US" w:eastAsia="es-ES"/>
        </w:rPr>
        <w:t>. Por último, es importante tener en cuenta el papel de los factores intersec</w:t>
      </w:r>
      <w:r w:rsidR="00B43FEF" w:rsidRPr="00930562">
        <w:rPr>
          <w:rFonts w:asciiTheme="majorHAnsi" w:hAnsiTheme="majorHAnsi"/>
          <w:szCs w:val="20"/>
          <w:lang w:val="es-US" w:eastAsia="es-ES"/>
        </w:rPr>
        <w:t>cionales</w:t>
      </w:r>
      <w:r w:rsidRPr="00930562">
        <w:rPr>
          <w:rFonts w:asciiTheme="majorHAnsi" w:hAnsiTheme="majorHAnsi"/>
          <w:szCs w:val="20"/>
          <w:lang w:val="es-US" w:eastAsia="es-ES"/>
        </w:rPr>
        <w:t xml:space="preserve"> (por ejemplo, la orientación sexual, la identidad y expresión de género, la edad, el color, la etnia, el origen nacional, la condición de inmigrante, la religión, la discapacidad, la situación de pobreza, la situación de las personas sin hogar y otros) que pueden poner a ciertos afro</w:t>
      </w:r>
      <w:r w:rsidR="00881710" w:rsidRPr="00930562">
        <w:rPr>
          <w:rFonts w:asciiTheme="majorHAnsi" w:hAnsiTheme="majorHAnsi"/>
          <w:szCs w:val="20"/>
          <w:lang w:val="es-US" w:eastAsia="es-ES"/>
        </w:rPr>
        <w:t>americanos</w:t>
      </w:r>
      <w:r w:rsidRPr="00930562">
        <w:rPr>
          <w:rFonts w:asciiTheme="majorHAnsi" w:hAnsiTheme="majorHAnsi"/>
          <w:szCs w:val="20"/>
          <w:lang w:val="es-US" w:eastAsia="es-ES"/>
        </w:rPr>
        <w:t xml:space="preserve"> y otras personas de color en un riesgo particular de violencia o discriminación por parte de actores estatales o no estatales</w:t>
      </w:r>
      <w:r w:rsidRPr="00930562">
        <w:rPr>
          <w:rFonts w:asciiTheme="majorHAnsi" w:hAnsiTheme="majorHAnsi"/>
          <w:szCs w:val="20"/>
          <w:vertAlign w:val="superscript"/>
          <w:lang w:val="es-US" w:eastAsia="es-ES"/>
        </w:rPr>
        <w:footnoteReference w:id="572"/>
      </w:r>
      <w:r w:rsidRPr="00930562">
        <w:rPr>
          <w:rFonts w:asciiTheme="majorHAnsi" w:hAnsiTheme="majorHAnsi"/>
          <w:szCs w:val="20"/>
          <w:lang w:val="es-US" w:eastAsia="es-ES"/>
        </w:rPr>
        <w:t>.</w:t>
      </w:r>
      <w:bookmarkStart w:id="207" w:name="_Toc511837842"/>
      <w:bookmarkStart w:id="208" w:name="_Toc511903015"/>
    </w:p>
    <w:p w14:paraId="28EE516C" w14:textId="77ADA159" w:rsidR="006E177E" w:rsidRPr="00930562" w:rsidRDefault="006E177E" w:rsidP="00724857">
      <w:pPr>
        <w:pStyle w:val="Heading4"/>
        <w:numPr>
          <w:ilvl w:val="0"/>
          <w:numId w:val="20"/>
        </w:numPr>
        <w:ind w:left="540" w:hanging="540"/>
        <w:rPr>
          <w:lang w:val="es-US"/>
        </w:rPr>
      </w:pPr>
      <w:bookmarkStart w:id="209" w:name="_Toc517779262"/>
      <w:bookmarkStart w:id="210" w:name="_Toc531514495"/>
      <w:bookmarkEnd w:id="207"/>
      <w:bookmarkEnd w:id="208"/>
      <w:r w:rsidRPr="00930562">
        <w:rPr>
          <w:lang w:val="es-US"/>
        </w:rPr>
        <w:t>Recopilación de estadísticas y transparencia activa</w:t>
      </w:r>
      <w:bookmarkEnd w:id="209"/>
      <w:bookmarkEnd w:id="210"/>
    </w:p>
    <w:p w14:paraId="59B663CA"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eastAsia="es-ES"/>
        </w:rPr>
      </w:pPr>
      <w:r w:rsidRPr="00930562">
        <w:rPr>
          <w:rFonts w:asciiTheme="majorHAnsi" w:hAnsiTheme="majorHAnsi"/>
          <w:szCs w:val="20"/>
          <w:lang w:val="es-US" w:eastAsia="es-ES"/>
        </w:rPr>
        <w:t>La Comisión subraya la importancia fundamental de recopilar adecuadamente las estadísticas oficiales sobre la violencia policial como elemento clave de su deber de debida diligencia, y pide al Estado que comience a recopilar esta información de manera sistemática, rigurosa, transparente y desglosada sin demora. A este respecto, la Comisión ha señalado anteriormente que el Estado es responsable de salvaguardar la información sobre el uso de la fuerza y, por lo tanto, cualquier pérdida u ocultamiento de la misma debe ser investigada a fin de establecer la responsabilidad administrativa u otra obligación</w:t>
      </w:r>
      <w:r w:rsidRPr="00930562">
        <w:rPr>
          <w:rFonts w:asciiTheme="majorHAnsi" w:hAnsiTheme="majorHAnsi"/>
          <w:szCs w:val="20"/>
          <w:vertAlign w:val="superscript"/>
          <w:lang w:val="es-US" w:eastAsia="es-ES"/>
        </w:rPr>
        <w:footnoteReference w:id="573"/>
      </w:r>
      <w:r w:rsidRPr="00930562">
        <w:rPr>
          <w:rFonts w:asciiTheme="majorHAnsi" w:hAnsiTheme="majorHAnsi"/>
          <w:szCs w:val="20"/>
          <w:lang w:val="es-US" w:eastAsia="es-ES"/>
        </w:rPr>
        <w:t>.</w:t>
      </w:r>
    </w:p>
    <w:p w14:paraId="451F2821"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eastAsia="es-ES"/>
        </w:rPr>
      </w:pPr>
      <w:r w:rsidRPr="00930562">
        <w:rPr>
          <w:rFonts w:asciiTheme="majorHAnsi" w:hAnsiTheme="majorHAnsi"/>
          <w:szCs w:val="20"/>
          <w:lang w:val="es-US" w:eastAsia="es-ES"/>
        </w:rPr>
        <w:t>La falta de estadísticas oficiales sobre la violencia policial dificulta la comprensión y el tratamiento eficaz del problema de la violencia policial</w:t>
      </w:r>
      <w:r w:rsidRPr="00930562">
        <w:rPr>
          <w:rFonts w:asciiTheme="majorHAnsi" w:hAnsiTheme="majorHAnsi"/>
          <w:szCs w:val="20"/>
          <w:vertAlign w:val="superscript"/>
          <w:lang w:val="es-US" w:eastAsia="es-ES"/>
        </w:rPr>
        <w:footnoteReference w:id="574"/>
      </w:r>
      <w:r w:rsidRPr="00930562">
        <w:rPr>
          <w:rFonts w:asciiTheme="majorHAnsi" w:hAnsiTheme="majorHAnsi"/>
          <w:szCs w:val="20"/>
          <w:lang w:val="es-US" w:eastAsia="es-ES"/>
        </w:rPr>
        <w:t>. La Comisión considera que estadísticas y registros exactos sobre la violencia policial son importantes no sólo por razones de transparencia, sino también para establecer, evaluar y comprender la magnitud y las principales modalidades de la violencia policial, los patrones y las prácticas de violencia policial contra determinados grupos, así como para garantizar la rendición de cuentas de los agentes y organismos responsables.</w:t>
      </w:r>
    </w:p>
    <w:p w14:paraId="57535B78"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eastAsia="es-ES"/>
        </w:rPr>
      </w:pPr>
      <w:r w:rsidRPr="00930562">
        <w:rPr>
          <w:rFonts w:asciiTheme="majorHAnsi" w:hAnsiTheme="majorHAnsi"/>
          <w:szCs w:val="20"/>
          <w:lang w:val="es-US" w:eastAsia="es-ES"/>
        </w:rPr>
        <w:lastRenderedPageBreak/>
        <w:t>La Comisión destaca además que, para una mayor utilidad en  la vigilancia de los derechos humanos, los datos oficiales recopilados deben desglosarse</w:t>
      </w:r>
      <w:r w:rsidRPr="00930562">
        <w:rPr>
          <w:rFonts w:asciiTheme="majorHAnsi" w:hAnsiTheme="majorHAnsi"/>
          <w:szCs w:val="20"/>
          <w:vertAlign w:val="superscript"/>
          <w:lang w:val="es-US" w:eastAsia="es-ES"/>
        </w:rPr>
        <w:footnoteReference w:id="575"/>
      </w:r>
      <w:r w:rsidRPr="00930562">
        <w:rPr>
          <w:rFonts w:asciiTheme="majorHAnsi" w:hAnsiTheme="majorHAnsi"/>
          <w:szCs w:val="20"/>
          <w:lang w:val="es-US" w:eastAsia="es-ES"/>
        </w:rPr>
        <w:t>. Por ejemplo, las estadísticas oficiales deben distinguir entre el contexto de los incidentes de uso de la fuerza (por ejemplo, en manifestaciones públicas,  desalojos,  allanamientos de viviendas y otros lugares, incidentes en centros de detención u otras instalaciones del Estado, actividades policiales regulares y estados de emergencia, entre otros), actores involucrados (tanto actores estatales como víctimas, cuantificándolos y desagregándolos por raza, color, identidad de género, orientación sexual, edad, idioma, origen, nivel de educación, etc.). En el caso de los agentes del Estado, indicando también el organismo de seguridad al que pertenecen), las armas utilizadas, los derechos violados (por ejemplo, vida, trato humano, libertad personal, propiedad, etc.), y circunstancias de tiempo y lugar, entre otras. También es importante recopilar datos sobre las investigaciones y actuaciones en curso, incluida la especificación de la jurisdicción, y los resultados de las mismas</w:t>
      </w:r>
      <w:r w:rsidRPr="00930562">
        <w:rPr>
          <w:rFonts w:asciiTheme="majorHAnsi" w:hAnsiTheme="majorHAnsi"/>
          <w:szCs w:val="20"/>
          <w:vertAlign w:val="superscript"/>
          <w:lang w:val="es-US" w:eastAsia="es-ES"/>
        </w:rPr>
        <w:footnoteReference w:id="576"/>
      </w:r>
      <w:r w:rsidRPr="00930562">
        <w:rPr>
          <w:rFonts w:asciiTheme="majorHAnsi" w:hAnsiTheme="majorHAnsi"/>
          <w:szCs w:val="20"/>
          <w:lang w:val="es-US" w:eastAsia="es-ES"/>
        </w:rPr>
        <w:t xml:space="preserve">.  </w:t>
      </w:r>
    </w:p>
    <w:p w14:paraId="33E8F07F" w14:textId="592D387A"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eastAsia="es-ES"/>
        </w:rPr>
      </w:pPr>
      <w:r w:rsidRPr="00930562">
        <w:rPr>
          <w:rFonts w:asciiTheme="majorHAnsi" w:hAnsiTheme="majorHAnsi"/>
          <w:szCs w:val="20"/>
          <w:lang w:val="es-US" w:eastAsia="es-ES"/>
        </w:rPr>
        <w:t>La Comisión considera que las recomendaciones del Grupo de Trabajo del Presidente</w:t>
      </w:r>
      <w:r w:rsidR="00D543DE" w:rsidRPr="00930562">
        <w:rPr>
          <w:rFonts w:asciiTheme="majorHAnsi" w:hAnsiTheme="majorHAnsi"/>
          <w:szCs w:val="20"/>
          <w:lang w:val="es-US" w:eastAsia="es-ES"/>
        </w:rPr>
        <w:t xml:space="preserve"> Obama</w:t>
      </w:r>
      <w:r w:rsidRPr="00930562">
        <w:rPr>
          <w:rFonts w:asciiTheme="majorHAnsi" w:hAnsiTheme="majorHAnsi"/>
          <w:szCs w:val="20"/>
          <w:lang w:val="es-US" w:eastAsia="es-ES"/>
        </w:rPr>
        <w:t xml:space="preserve"> de “exigir a las agencias que recopilen, mantengan y comuniquen datos al Gobierno Federal sobre todos los tiroteos en los que hayan participado agentes, ya sean mortales o no mortales, así como sobre cualquier muerte bajo custodia”, y de garantizar que “las políticas sobre el uso de la fuerza [...] establezcan claramente qué tipo de información se publicará, cuándo y en qué situación, para mantener la transparencia”</w:t>
      </w:r>
      <w:r w:rsidRPr="00930562">
        <w:rPr>
          <w:rFonts w:asciiTheme="majorHAnsi" w:hAnsiTheme="majorHAnsi"/>
          <w:szCs w:val="20"/>
          <w:vertAlign w:val="superscript"/>
          <w:lang w:val="es-US" w:eastAsia="es-ES"/>
        </w:rPr>
        <w:t xml:space="preserve"> </w:t>
      </w:r>
      <w:r w:rsidRPr="00930562">
        <w:rPr>
          <w:rFonts w:asciiTheme="majorHAnsi" w:hAnsiTheme="majorHAnsi"/>
          <w:szCs w:val="20"/>
          <w:vertAlign w:val="superscript"/>
          <w:lang w:val="es-US" w:eastAsia="es-ES"/>
        </w:rPr>
        <w:footnoteReference w:id="577"/>
      </w:r>
      <w:r w:rsidRPr="00930562">
        <w:rPr>
          <w:rFonts w:asciiTheme="majorHAnsi" w:hAnsiTheme="majorHAnsi"/>
          <w:szCs w:val="20"/>
          <w:lang w:val="es-US" w:eastAsia="es-ES"/>
        </w:rPr>
        <w:t>, son positivas. La Comisión pide al Estado que vele por que las estadísticas recopiladas incluyan los datos demográficos desglosados que se describen en el párrafo anterior, a fin de cumplir con el deber de debida diligencia.</w:t>
      </w:r>
    </w:p>
    <w:p w14:paraId="0A5F132E" w14:textId="0BF29AF8"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eastAsia="es-ES"/>
        </w:rPr>
      </w:pPr>
      <w:r w:rsidRPr="00930562">
        <w:rPr>
          <w:rFonts w:asciiTheme="majorHAnsi" w:hAnsiTheme="majorHAnsi"/>
          <w:lang w:val="es-US"/>
        </w:rPr>
        <w:t>A</w:t>
      </w:r>
      <w:r w:rsidRPr="00930562">
        <w:rPr>
          <w:rFonts w:asciiTheme="majorHAnsi" w:hAnsiTheme="majorHAnsi"/>
          <w:szCs w:val="20"/>
          <w:lang w:val="es-US" w:eastAsia="es-ES"/>
        </w:rPr>
        <w:t>demás, la Comisión destaca la importancia de recopilar datos sobre una variedad de situaciones de discriminación racial en los Estados Unidos, incluidas las relacionadas con el acceso a los derechos económicos, sociales, culturales y ambientales, a fin de comprender mejor las dimensiones de los problemas, sus causas y consecuencias. Por ejemplo, en este informe la Comisión se ha referido a la importancia de estudiar los efectos del establecimiento de perfi</w:t>
      </w:r>
      <w:r w:rsidR="00D543DE" w:rsidRPr="00930562">
        <w:rPr>
          <w:rFonts w:asciiTheme="majorHAnsi" w:hAnsiTheme="majorHAnsi"/>
          <w:szCs w:val="20"/>
          <w:lang w:val="es-US" w:eastAsia="es-ES"/>
        </w:rPr>
        <w:t>lamiento</w:t>
      </w:r>
      <w:r w:rsidRPr="00930562">
        <w:rPr>
          <w:rFonts w:asciiTheme="majorHAnsi" w:hAnsiTheme="majorHAnsi"/>
          <w:szCs w:val="20"/>
          <w:lang w:val="es-US" w:eastAsia="es-ES"/>
        </w:rPr>
        <w:t xml:space="preserve"> racial en las comunidades</w:t>
      </w:r>
      <w:r w:rsidRPr="00930562">
        <w:rPr>
          <w:rFonts w:asciiTheme="majorHAnsi" w:hAnsiTheme="majorHAnsi"/>
          <w:szCs w:val="20"/>
          <w:vertAlign w:val="superscript"/>
          <w:lang w:val="es-US" w:eastAsia="es-ES"/>
        </w:rPr>
        <w:footnoteReference w:id="578"/>
      </w:r>
      <w:r w:rsidRPr="00930562">
        <w:rPr>
          <w:rFonts w:asciiTheme="majorHAnsi" w:hAnsiTheme="majorHAnsi"/>
          <w:b/>
          <w:sz w:val="16"/>
          <w:szCs w:val="16"/>
          <w:vertAlign w:val="superscript"/>
          <w:lang w:val="es-US" w:eastAsia="es-ES"/>
        </w:rPr>
        <w:t xml:space="preserve"> </w:t>
      </w:r>
      <w:r w:rsidRPr="00930562">
        <w:rPr>
          <w:rFonts w:asciiTheme="majorHAnsi" w:hAnsiTheme="majorHAnsi"/>
          <w:szCs w:val="20"/>
          <w:lang w:val="es-US" w:eastAsia="es-ES"/>
        </w:rPr>
        <w:t>y los efectos del uso de armas menos letales</w:t>
      </w:r>
      <w:r w:rsidRPr="00930562">
        <w:rPr>
          <w:rFonts w:asciiTheme="majorHAnsi" w:hAnsiTheme="majorHAnsi"/>
          <w:szCs w:val="20"/>
          <w:vertAlign w:val="superscript"/>
          <w:lang w:val="es-US" w:eastAsia="es-ES"/>
        </w:rPr>
        <w:footnoteReference w:id="579"/>
      </w:r>
      <w:r w:rsidRPr="00930562">
        <w:rPr>
          <w:rFonts w:asciiTheme="majorHAnsi" w:hAnsiTheme="majorHAnsi"/>
          <w:szCs w:val="20"/>
          <w:lang w:val="es-US" w:eastAsia="es-ES"/>
        </w:rPr>
        <w:t>.</w:t>
      </w:r>
    </w:p>
    <w:p w14:paraId="7C6F736B" w14:textId="02DEEF66" w:rsidR="006E177E" w:rsidRPr="00930562" w:rsidRDefault="006E177E" w:rsidP="001E382F">
      <w:pPr>
        <w:pStyle w:val="Heading4"/>
        <w:rPr>
          <w:lang w:val="es-US"/>
        </w:rPr>
      </w:pPr>
      <w:bookmarkStart w:id="211" w:name="_Toc517779263"/>
      <w:bookmarkStart w:id="212" w:name="_Toc531514496"/>
      <w:r w:rsidRPr="00930562">
        <w:rPr>
          <w:lang w:val="es-US"/>
        </w:rPr>
        <w:lastRenderedPageBreak/>
        <w:t xml:space="preserve">El </w:t>
      </w:r>
      <w:r w:rsidR="009C0320" w:rsidRPr="00930562">
        <w:rPr>
          <w:lang w:val="es-US"/>
        </w:rPr>
        <w:t>deber de investigar y los principios para la investigación</w:t>
      </w:r>
      <w:bookmarkEnd w:id="211"/>
      <w:bookmarkEnd w:id="212"/>
    </w:p>
    <w:p w14:paraId="5AABDA6A" w14:textId="36DC8FE4"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szCs w:val="20"/>
          <w:lang w:val="es-US"/>
        </w:rPr>
        <w:t xml:space="preserve">La Comisión ha reconocido que los Estados tienen un “deber especial” de investigar y enjuiciar las </w:t>
      </w:r>
      <w:r w:rsidRPr="00930562">
        <w:rPr>
          <w:rFonts w:asciiTheme="majorHAnsi" w:hAnsiTheme="majorHAnsi"/>
          <w:lang w:val="es-US"/>
        </w:rPr>
        <w:t>conductas indebidas de la policía</w:t>
      </w:r>
      <w:r w:rsidRPr="00930562">
        <w:rPr>
          <w:rFonts w:asciiTheme="majorHAnsi" w:hAnsiTheme="majorHAnsi"/>
          <w:vertAlign w:val="superscript"/>
          <w:lang w:val="es-US"/>
        </w:rPr>
        <w:footnoteReference w:id="580"/>
      </w:r>
      <w:r w:rsidRPr="00930562">
        <w:rPr>
          <w:rFonts w:asciiTheme="majorHAnsi" w:hAnsiTheme="majorHAnsi"/>
          <w:lang w:val="es-US"/>
        </w:rPr>
        <w:t xml:space="preserve">. La obligación de garantizar los derechos a la vida, la libertad y la integridad personal, así como la prohibición de la tortura y otros tratos o penas crueles, </w:t>
      </w:r>
      <w:proofErr w:type="gramStart"/>
      <w:r w:rsidRPr="00930562">
        <w:rPr>
          <w:rFonts w:asciiTheme="majorHAnsi" w:hAnsiTheme="majorHAnsi"/>
          <w:lang w:val="es-US"/>
        </w:rPr>
        <w:t>inhumanos</w:t>
      </w:r>
      <w:proofErr w:type="gramEnd"/>
      <w:r w:rsidRPr="00930562">
        <w:rPr>
          <w:rFonts w:asciiTheme="majorHAnsi" w:hAnsiTheme="majorHAnsi"/>
          <w:lang w:val="es-US"/>
        </w:rPr>
        <w:t xml:space="preserve"> o degradantes, implican el deber del Estado de prevenir e investigar posibles violaciones de estos derechos. La Comisión ha declarado que, a la luz de esta obligación, las autoridades deben investigar las conductas que afecten el disfrute de los derechos tan pronto como tengan conocimiento de ellas</w:t>
      </w:r>
      <w:r w:rsidRPr="00930562">
        <w:rPr>
          <w:rFonts w:asciiTheme="majorHAnsi" w:hAnsiTheme="majorHAnsi"/>
          <w:vertAlign w:val="superscript"/>
          <w:lang w:val="es-US"/>
        </w:rPr>
        <w:footnoteReference w:id="581"/>
      </w:r>
      <w:r w:rsidRPr="00930562">
        <w:rPr>
          <w:rFonts w:asciiTheme="majorHAnsi" w:hAnsiTheme="majorHAnsi"/>
          <w:lang w:val="es-US"/>
        </w:rPr>
        <w:t>.</w:t>
      </w:r>
    </w:p>
    <w:p w14:paraId="0DE6E8CE"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Esta investigación debe llevarse a cabo sin demora, por todos los medios legales  disponibles, y con el fin de determinar la verdad y garantizar la investigación, el enjuiciamiento y el castigo de los autores. Durante la investigación y el proceso judicial, las víctimas de violaciones de derechos humanos, o sus familiares, deben tener amplias oportunidades de participar y ser escuchadas, en el esclarecimiento de los hechos y la sanción de los responsables, y en la búsqueda de una indemnización justa</w:t>
      </w:r>
      <w:r w:rsidRPr="00930562">
        <w:rPr>
          <w:rFonts w:asciiTheme="majorHAnsi" w:hAnsiTheme="majorHAnsi"/>
          <w:vertAlign w:val="superscript"/>
          <w:lang w:val="es-US"/>
        </w:rPr>
        <w:footnoteReference w:id="582"/>
      </w:r>
      <w:r w:rsidRPr="00930562">
        <w:rPr>
          <w:rFonts w:asciiTheme="majorHAnsi" w:hAnsiTheme="majorHAnsi"/>
          <w:lang w:val="es-US"/>
        </w:rPr>
        <w:t xml:space="preserve">. </w:t>
      </w:r>
    </w:p>
    <w:p w14:paraId="6E7DE792"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lang w:val="es-US"/>
        </w:rPr>
        <w:t>La investigación de las violaciones de los derechos humanos es una obligación jurídica inherente al Estado</w:t>
      </w:r>
      <w:r w:rsidRPr="00930562">
        <w:rPr>
          <w:rFonts w:asciiTheme="majorHAnsi" w:hAnsiTheme="majorHAnsi"/>
          <w:vertAlign w:val="superscript"/>
          <w:lang w:val="es-US"/>
        </w:rPr>
        <w:footnoteReference w:id="583"/>
      </w:r>
      <w:r w:rsidRPr="00930562">
        <w:rPr>
          <w:rFonts w:asciiTheme="majorHAnsi" w:hAnsiTheme="majorHAnsi"/>
          <w:lang w:val="es-US"/>
        </w:rPr>
        <w:t>. Así, el deber de investigar no debe ser considerado por el Estado como una mera formalidad</w:t>
      </w:r>
      <w:r w:rsidRPr="00930562">
        <w:rPr>
          <w:rFonts w:asciiTheme="majorHAnsi" w:hAnsiTheme="majorHAnsi"/>
          <w:szCs w:val="20"/>
          <w:lang w:val="es-US"/>
        </w:rPr>
        <w:t xml:space="preserve"> o un procedimiento realizado únicamente por intereses privados que depende de la iniciativa procesal de las víctimas o de sus familiares, o de la presentación de pruebas por los particulares</w:t>
      </w:r>
      <w:r w:rsidRPr="00930562">
        <w:rPr>
          <w:rFonts w:asciiTheme="majorHAnsi" w:hAnsiTheme="majorHAnsi"/>
          <w:szCs w:val="20"/>
          <w:vertAlign w:val="superscript"/>
          <w:lang w:val="es-US"/>
        </w:rPr>
        <w:footnoteReference w:id="584"/>
      </w:r>
      <w:r w:rsidRPr="00930562">
        <w:rPr>
          <w:rFonts w:asciiTheme="majorHAnsi" w:hAnsiTheme="majorHAnsi"/>
          <w:szCs w:val="20"/>
          <w:lang w:val="es-US"/>
        </w:rPr>
        <w:t>. Por lo tanto, las investigaciones eficaces deben ser capaces de producir resultados y ofrecer una respuesta adecuada a las violaciones de los derechos humanos</w:t>
      </w:r>
      <w:r w:rsidRPr="00930562">
        <w:rPr>
          <w:rFonts w:asciiTheme="majorHAnsi" w:hAnsiTheme="majorHAnsi"/>
          <w:szCs w:val="20"/>
          <w:vertAlign w:val="superscript"/>
          <w:lang w:val="es-US"/>
        </w:rPr>
        <w:footnoteReference w:id="585"/>
      </w:r>
      <w:r w:rsidRPr="00930562">
        <w:rPr>
          <w:rFonts w:asciiTheme="majorHAnsi" w:hAnsiTheme="majorHAnsi"/>
          <w:szCs w:val="20"/>
          <w:lang w:val="es-US"/>
        </w:rPr>
        <w:t>.</w:t>
      </w:r>
    </w:p>
    <w:p w14:paraId="6F29C9D7"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lastRenderedPageBreak/>
        <w:t>Hay una serie de directrices y protocolos internacionales pertinentes que abordan diversos aspectos de una investigación eficaz de las violaciones de los derechos humanos. Estos incluyen el Manual de las Naciones Unidas para la investigación y documentación eficaces de la tortura y otros tratos o penas crueles, inhumanos o degradantes (Protocolo de Estambul)</w:t>
      </w:r>
      <w:r w:rsidRPr="00930562">
        <w:rPr>
          <w:rFonts w:asciiTheme="majorHAnsi" w:hAnsiTheme="majorHAnsi"/>
          <w:vertAlign w:val="superscript"/>
          <w:lang w:val="es-US"/>
        </w:rPr>
        <w:footnoteReference w:id="586"/>
      </w:r>
      <w:r w:rsidRPr="00930562">
        <w:rPr>
          <w:rFonts w:asciiTheme="majorHAnsi" w:hAnsiTheme="majorHAnsi"/>
          <w:lang w:val="es-US"/>
        </w:rPr>
        <w:t>, y el Manual de las Naciones Unidas Manual sobre la Prevención e Investigación Eficaces de las Ejecuciones Extralegales Arbitrarias o Sumarias (Protocolo de Minnesota)</w:t>
      </w:r>
      <w:r w:rsidRPr="00930562">
        <w:rPr>
          <w:rFonts w:asciiTheme="majorHAnsi" w:hAnsiTheme="majorHAnsi"/>
          <w:vertAlign w:val="superscript"/>
          <w:lang w:val="es-US"/>
        </w:rPr>
        <w:footnoteReference w:id="587"/>
      </w:r>
      <w:r w:rsidRPr="00930562">
        <w:rPr>
          <w:rFonts w:asciiTheme="majorHAnsi" w:hAnsiTheme="majorHAnsi"/>
          <w:lang w:val="es-US"/>
        </w:rPr>
        <w:t xml:space="preserve">. </w:t>
      </w:r>
    </w:p>
    <w:p w14:paraId="31313C69"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lang w:val="es-US"/>
        </w:rPr>
        <w:t>Citando el protocolo de Minnesota, la Comisión ha indicado que al investigar un homicidio potencialmente ilegal, las autoridades investigadoras deben, como mínimo, a) identificar a la víctima; b) recopilar y preservar pruebas relacionadas con la muerte para ayudar en cualquier investigación; c) identificar posibles testigos y obtener testimonios en relación con la muerte investigada; d) determinar la causa, la manera, el lugar y la hora de la muerte, así como cualquier patrón o práctica que pueda haber provocado dicha muerte, y e) distinguir entre muerte natural, muerte accidental, suicidio y homicidio. El lugar del delito debe ser examinado exhaustivamente, mediante autopsias y análisis de los restos humanos por profesionales competentes y mediante procedimientos rigurosos y adecuados. Además, se actuará con especial diligencia</w:t>
      </w:r>
      <w:r w:rsidRPr="00930562">
        <w:rPr>
          <w:rFonts w:asciiTheme="majorHAnsi" w:hAnsiTheme="majorHAnsi"/>
          <w:szCs w:val="20"/>
          <w:lang w:val="es-US"/>
        </w:rPr>
        <w:t xml:space="preserve"> en los casos que indiquen violencia contra las mujeres y niños/as, o tortura y otros tratos crueles, inhumanos o degradantes, de conformidad con el derecho internacional</w:t>
      </w:r>
      <w:r w:rsidRPr="00930562">
        <w:rPr>
          <w:rFonts w:asciiTheme="majorHAnsi" w:hAnsiTheme="majorHAnsi"/>
          <w:szCs w:val="20"/>
          <w:vertAlign w:val="superscript"/>
          <w:lang w:val="es-US"/>
        </w:rPr>
        <w:footnoteReference w:id="588"/>
      </w:r>
      <w:r w:rsidRPr="00930562">
        <w:rPr>
          <w:rFonts w:asciiTheme="majorHAnsi" w:hAnsiTheme="majorHAnsi"/>
          <w:szCs w:val="20"/>
          <w:lang w:val="es-US"/>
        </w:rPr>
        <w:t>.</w:t>
      </w:r>
    </w:p>
    <w:p w14:paraId="48E752FF"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szCs w:val="20"/>
          <w:lang w:val="es-US"/>
        </w:rPr>
        <w:t xml:space="preserve">En particular, la Comisión ha declarado que incumbe al Estado investigar de oficio las presuntas violaciones de los derechos humanos. En los casos de uso de la fuerza por agentes del </w:t>
      </w:r>
      <w:r w:rsidRPr="00930562">
        <w:rPr>
          <w:rFonts w:asciiTheme="majorHAnsi" w:hAnsiTheme="majorHAnsi"/>
          <w:lang w:val="es-US"/>
        </w:rPr>
        <w:t>Estado, la investigación debe cumplir ciertas normas. Por ejemplo, la investigación debe ser llevada a cabo por autoridades con verdadera independencia institucional, y debe tomar medidas razonables para salvaguardar el conjunto de pruebas necesarias para determinar los hechos que se examinan</w:t>
      </w:r>
      <w:r w:rsidRPr="00930562">
        <w:rPr>
          <w:rFonts w:asciiTheme="majorHAnsi" w:hAnsiTheme="majorHAnsi"/>
          <w:vertAlign w:val="superscript"/>
          <w:lang w:val="es-US"/>
        </w:rPr>
        <w:footnoteReference w:id="589"/>
      </w:r>
      <w:r w:rsidRPr="00930562">
        <w:rPr>
          <w:rFonts w:asciiTheme="majorHAnsi" w:hAnsiTheme="majorHAnsi"/>
          <w:lang w:val="es-US"/>
        </w:rPr>
        <w:t xml:space="preserve">. Las investigaciones deben </w:t>
      </w:r>
      <w:r w:rsidRPr="00930562">
        <w:rPr>
          <w:rFonts w:asciiTheme="majorHAnsi" w:hAnsiTheme="majorHAnsi"/>
          <w:lang w:val="es-US"/>
        </w:rPr>
        <w:lastRenderedPageBreak/>
        <w:t>ajustarse a los principios de celeridad, profesionalidad, exhaustividad y participación de las víctimas.</w:t>
      </w:r>
    </w:p>
    <w:p w14:paraId="6D67EC15" w14:textId="5F4F324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lang w:val="es-US"/>
        </w:rPr>
        <w:t>La Comisión ha enfatizado anteriormente que la conservación de la escena donde se produjeron los hechos</w:t>
      </w:r>
      <w:r w:rsidRPr="00930562">
        <w:rPr>
          <w:rFonts w:asciiTheme="majorHAnsi" w:hAnsiTheme="majorHAnsi"/>
          <w:szCs w:val="20"/>
          <w:lang w:val="es-US"/>
        </w:rPr>
        <w:t xml:space="preserve"> alegados es parte central del concepto de debida diligencia</w:t>
      </w:r>
      <w:r w:rsidRPr="00930562">
        <w:rPr>
          <w:rFonts w:asciiTheme="majorHAnsi" w:hAnsiTheme="majorHAnsi"/>
          <w:szCs w:val="20"/>
          <w:vertAlign w:val="superscript"/>
          <w:lang w:val="es-US"/>
        </w:rPr>
        <w:footnoteReference w:id="590"/>
      </w:r>
      <w:r w:rsidRPr="00930562">
        <w:rPr>
          <w:rFonts w:asciiTheme="majorHAnsi" w:hAnsiTheme="majorHAnsi"/>
          <w:szCs w:val="20"/>
          <w:lang w:val="es-US"/>
        </w:rPr>
        <w:t>. Es especialmente importante preservar las comunicaciones entre el personal que participa en la operación y todos los registros de sonidos e imágenes producidos por las instituciones de seguridad presentes en el momento en sus medios de comunicación originales, tanto los que se relacionan directamente con la secuencia de los acontecimientos como los que se relacionan con toda la operación en sus diversos niveles. Las autoridades responsables de la protección del lugar de los hechos y de las pruebas deben cooperar eficazmente con los responsables de la investigación</w:t>
      </w:r>
      <w:r w:rsidRPr="00930562">
        <w:rPr>
          <w:rFonts w:asciiTheme="majorHAnsi" w:hAnsiTheme="majorHAnsi"/>
          <w:szCs w:val="20"/>
          <w:vertAlign w:val="superscript"/>
          <w:lang w:val="es-US"/>
        </w:rPr>
        <w:footnoteReference w:id="591"/>
      </w:r>
      <w:r w:rsidRPr="00930562">
        <w:rPr>
          <w:rFonts w:asciiTheme="majorHAnsi" w:hAnsiTheme="majorHAnsi"/>
          <w:szCs w:val="20"/>
          <w:lang w:val="es-US"/>
        </w:rPr>
        <w:t>. Est</w:t>
      </w:r>
      <w:r w:rsidR="00D543DE" w:rsidRPr="00930562">
        <w:rPr>
          <w:rFonts w:asciiTheme="majorHAnsi" w:hAnsiTheme="majorHAnsi"/>
          <w:szCs w:val="20"/>
          <w:lang w:val="es-US"/>
        </w:rPr>
        <w:t>e</w:t>
      </w:r>
      <w:r w:rsidRPr="00930562">
        <w:rPr>
          <w:rFonts w:asciiTheme="majorHAnsi" w:hAnsiTheme="majorHAnsi"/>
          <w:szCs w:val="20"/>
          <w:lang w:val="es-US"/>
        </w:rPr>
        <w:t xml:space="preserve"> </w:t>
      </w:r>
      <w:r w:rsidR="00D543DE" w:rsidRPr="00930562">
        <w:rPr>
          <w:rFonts w:asciiTheme="majorHAnsi" w:hAnsiTheme="majorHAnsi"/>
          <w:szCs w:val="20"/>
          <w:lang w:val="es-US"/>
        </w:rPr>
        <w:t>deber</w:t>
      </w:r>
      <w:r w:rsidRPr="00930562">
        <w:rPr>
          <w:rFonts w:asciiTheme="majorHAnsi" w:hAnsiTheme="majorHAnsi"/>
          <w:szCs w:val="20"/>
          <w:lang w:val="es-US"/>
        </w:rPr>
        <w:t xml:space="preserve"> incluye la obligación de preservar y garantizar adecuadamente la cadena de custodia de las grabaciones de un incidente de violencia policial, incluidas las grabaciones de los tableros y de las cámaras corporales.</w:t>
      </w:r>
    </w:p>
    <w:p w14:paraId="46D8CD9A" w14:textId="451EFB59" w:rsidR="006E177E" w:rsidRPr="00930562" w:rsidRDefault="006E177E" w:rsidP="001E382F">
      <w:pPr>
        <w:pStyle w:val="Heading3"/>
        <w:ind w:left="540" w:hanging="540"/>
        <w:rPr>
          <w:lang w:val="es-US"/>
        </w:rPr>
      </w:pPr>
      <w:bookmarkStart w:id="213" w:name="_Toc517779264"/>
      <w:bookmarkStart w:id="214" w:name="_Toc531514497"/>
      <w:r w:rsidRPr="00930562">
        <w:rPr>
          <w:lang w:val="es-US"/>
        </w:rPr>
        <w:t xml:space="preserve">Diseño </w:t>
      </w:r>
      <w:r w:rsidR="009C0320" w:rsidRPr="00930562">
        <w:rPr>
          <w:lang w:val="es-US"/>
        </w:rPr>
        <w:t>institucional</w:t>
      </w:r>
      <w:bookmarkEnd w:id="213"/>
      <w:bookmarkEnd w:id="214"/>
    </w:p>
    <w:p w14:paraId="06545D0C"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szCs w:val="20"/>
          <w:lang w:val="es-US"/>
        </w:rPr>
        <w:t xml:space="preserve">El diseño de mecanismos adecuados de supervisión e investigación de los casos de violencia policial reviste </w:t>
      </w:r>
      <w:r w:rsidRPr="00930562">
        <w:rPr>
          <w:rFonts w:asciiTheme="majorHAnsi" w:hAnsiTheme="majorHAnsi"/>
          <w:lang w:val="es-US"/>
        </w:rPr>
        <w:t>una importancia fundamental. Como ha afirmado el Relator Especial sobre las ejecuciones extrajudiciales, “[l]as personas cometen violaciones del derecho a la vida no porque crean que estén justificadas, sino porque piensan que no se les exigirá que las justifiquen”</w:t>
      </w:r>
      <w:r w:rsidRPr="00930562">
        <w:rPr>
          <w:rFonts w:asciiTheme="majorHAnsi" w:hAnsiTheme="majorHAnsi"/>
          <w:vertAlign w:val="superscript"/>
          <w:lang w:val="es-US"/>
        </w:rPr>
        <w:footnoteReference w:id="592"/>
      </w:r>
      <w:r w:rsidRPr="00930562">
        <w:rPr>
          <w:rFonts w:asciiTheme="majorHAnsi" w:hAnsiTheme="majorHAnsi"/>
          <w:lang w:val="es-US"/>
        </w:rPr>
        <w:t xml:space="preserve">. </w:t>
      </w:r>
    </w:p>
    <w:p w14:paraId="3B30DFE8"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 xml:space="preserve">Es fundamental contar con controles y procedimientos preventivos para examinar eficazmente la legalidad del uso de la fuerza por el personal </w:t>
      </w:r>
      <w:r w:rsidRPr="00930562">
        <w:rPr>
          <w:rFonts w:asciiTheme="majorHAnsi" w:hAnsiTheme="majorHAnsi"/>
          <w:lang w:val="es-US"/>
        </w:rPr>
        <w:lastRenderedPageBreak/>
        <w:t>encargado de hacer cumplir la ley de conformidad con las normas de las garantías procesales, ya que la falta de investigaciones significativas tiende a alentar conductas contrarias a los derechos humanos; esto crea un clima de impunidad que fomenta la repetición de los abusos y puede comprometer la responsabilidad internacional del Estado</w:t>
      </w:r>
      <w:r w:rsidRPr="00930562">
        <w:rPr>
          <w:rFonts w:asciiTheme="majorHAnsi" w:hAnsiTheme="majorHAnsi"/>
          <w:vertAlign w:val="superscript"/>
          <w:lang w:val="es-US"/>
        </w:rPr>
        <w:footnoteReference w:id="593"/>
      </w:r>
      <w:r w:rsidRPr="00930562">
        <w:rPr>
          <w:rFonts w:asciiTheme="majorHAnsi" w:hAnsiTheme="majorHAnsi"/>
          <w:lang w:val="es-US"/>
        </w:rPr>
        <w:t>. A este respecto, la existencia de un sistema sólido, eficiente, independiente e imparcial ante el que rindan cuentas los agentes del Estado sigue siendo el mejor elemento disuasorio del uso arbitrario de la fuerza por los agentes del orden</w:t>
      </w:r>
      <w:r w:rsidRPr="00930562">
        <w:rPr>
          <w:rFonts w:asciiTheme="majorHAnsi" w:hAnsiTheme="majorHAnsi"/>
          <w:vertAlign w:val="superscript"/>
          <w:lang w:val="es-US"/>
        </w:rPr>
        <w:footnoteReference w:id="594"/>
      </w:r>
      <w:r w:rsidRPr="00930562">
        <w:rPr>
          <w:rFonts w:asciiTheme="majorHAnsi" w:hAnsiTheme="majorHAnsi"/>
          <w:lang w:val="es-US"/>
        </w:rPr>
        <w:t>. En este sentido, el Relator Especial sobre las ejecuciones extrajudiciales declaró que “para funcionar correctamente, la policía necesita […] mecanismos de rendición de cuentas apropiados”</w:t>
      </w:r>
      <w:r w:rsidRPr="00930562">
        <w:rPr>
          <w:rFonts w:asciiTheme="majorHAnsi" w:hAnsiTheme="majorHAnsi"/>
          <w:vertAlign w:val="superscript"/>
          <w:lang w:val="es-US"/>
        </w:rPr>
        <w:footnoteReference w:id="595"/>
      </w:r>
      <w:r w:rsidRPr="00930562">
        <w:rPr>
          <w:rFonts w:asciiTheme="majorHAnsi" w:hAnsiTheme="majorHAnsi"/>
          <w:lang w:val="es-US"/>
        </w:rPr>
        <w:t xml:space="preserve">. </w:t>
      </w:r>
    </w:p>
    <w:p w14:paraId="5D0A8B3D"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La Comisión señala la necesidad de crear mecanismos más independientes para investigar los abusos policiales y de adoptar medidas para reforzar la capacidad y la eficacia de los existentes</w:t>
      </w:r>
      <w:r w:rsidRPr="00930562">
        <w:rPr>
          <w:rFonts w:asciiTheme="majorHAnsi" w:hAnsiTheme="majorHAnsi"/>
          <w:vertAlign w:val="superscript"/>
          <w:lang w:val="es-US"/>
        </w:rPr>
        <w:footnoteReference w:id="596"/>
      </w:r>
      <w:r w:rsidRPr="00930562">
        <w:rPr>
          <w:rFonts w:asciiTheme="majorHAnsi" w:hAnsiTheme="majorHAnsi"/>
          <w:lang w:val="es-US"/>
        </w:rPr>
        <w:t>. La investigación debe ser independiente de los departamentos de policía y de las personas que puedan verse influenciadas por ellos, y el sistema de rendición de cuentas debe incluir disposiciones sobre sanciones administrativas, disciplinarias y penales para los responsables de cualquier violación</w:t>
      </w:r>
      <w:r w:rsidRPr="00930562">
        <w:rPr>
          <w:rFonts w:asciiTheme="majorHAnsi" w:hAnsiTheme="majorHAnsi"/>
          <w:vertAlign w:val="superscript"/>
          <w:lang w:val="es-US"/>
        </w:rPr>
        <w:footnoteReference w:id="597"/>
      </w:r>
      <w:r w:rsidRPr="00930562">
        <w:rPr>
          <w:rFonts w:asciiTheme="majorHAnsi" w:hAnsiTheme="majorHAnsi"/>
          <w:lang w:val="es-US"/>
        </w:rPr>
        <w:t>.</w:t>
      </w:r>
    </w:p>
    <w:p w14:paraId="788C99B2" w14:textId="3CE6D39D"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Cuando se inicia una investigación de un incidente de violencia policial, su independencia es fundamental. Los Principios Básicos de la ONU enfatizan que las conexiones y relaciones institucionales que puedan impactar la independencia de las investigaciones y los enjuiciamientos futuros deben ser cuidadosamente evaluadas</w:t>
      </w:r>
      <w:r w:rsidRPr="00930562">
        <w:rPr>
          <w:rFonts w:asciiTheme="majorHAnsi" w:hAnsiTheme="majorHAnsi"/>
          <w:vertAlign w:val="superscript"/>
          <w:lang w:val="es-US"/>
        </w:rPr>
        <w:footnoteReference w:id="598"/>
      </w:r>
      <w:r w:rsidRPr="00930562">
        <w:rPr>
          <w:rFonts w:asciiTheme="majorHAnsi" w:hAnsiTheme="majorHAnsi"/>
          <w:lang w:val="es-US"/>
        </w:rPr>
        <w:t>. La Comisión recuerda la información examinada en secciones anteriores sobre el papel de los grandes jurados y fiscales en la acusación o no acusación de agentes de policía</w:t>
      </w:r>
      <w:r w:rsidRPr="00930562">
        <w:rPr>
          <w:rFonts w:asciiTheme="majorHAnsi" w:hAnsiTheme="majorHAnsi"/>
          <w:vertAlign w:val="superscript"/>
          <w:lang w:val="es-US"/>
        </w:rPr>
        <w:footnoteReference w:id="599"/>
      </w:r>
      <w:r w:rsidRPr="00930562">
        <w:rPr>
          <w:rFonts w:asciiTheme="majorHAnsi" w:hAnsiTheme="majorHAnsi"/>
          <w:lang w:val="es-US"/>
        </w:rPr>
        <w:t>, y en particular, las preocupaciones expresadas por la sociedad civil en el sentido de que el inicio de una investigación penal depende de la discrecionalidad de los fiscales, “que a menudo se ve empañada por las limitaciones de recursos, la presión de los sindicatos de la policía y la parcialidad a favor de la policía debido a la relación de trabajo entre los fiscales y los agentes”, es menos probable que los fiscales presenten cargos contra agentes de policía que contra sospechosos civiles</w:t>
      </w:r>
      <w:r w:rsidRPr="00930562">
        <w:rPr>
          <w:rFonts w:asciiTheme="majorHAnsi" w:hAnsiTheme="majorHAnsi"/>
          <w:vertAlign w:val="superscript"/>
          <w:lang w:val="es-US"/>
        </w:rPr>
        <w:footnoteReference w:id="600"/>
      </w:r>
      <w:r w:rsidRPr="00930562">
        <w:rPr>
          <w:rFonts w:asciiTheme="majorHAnsi" w:hAnsiTheme="majorHAnsi"/>
          <w:lang w:val="es-US"/>
        </w:rPr>
        <w:t xml:space="preserve">. A este respecto, la Comisión considera </w:t>
      </w:r>
      <w:r w:rsidRPr="00930562">
        <w:rPr>
          <w:rFonts w:asciiTheme="majorHAnsi" w:hAnsiTheme="majorHAnsi"/>
          <w:lang w:val="es-US"/>
        </w:rPr>
        <w:lastRenderedPageBreak/>
        <w:t>positiva la recomendación del Grupo de Trabajo del Presidente señalando que los Estados “deben ordenar investigaciones penales externas e independientes en los casos de uso de la fuerza por parte de la policía con resultado de muerte, tiroteos en los que hayan participado agentes de policía que hayan resultado heridos o muertos, o muertes bajo custodia”</w:t>
      </w:r>
      <w:r w:rsidRPr="00930562">
        <w:rPr>
          <w:rFonts w:asciiTheme="majorHAnsi" w:hAnsiTheme="majorHAnsi"/>
          <w:vertAlign w:val="superscript"/>
          <w:lang w:val="es-US"/>
        </w:rPr>
        <w:footnoteReference w:id="601"/>
      </w:r>
      <w:r w:rsidRPr="00930562">
        <w:rPr>
          <w:rFonts w:asciiTheme="majorHAnsi" w:hAnsiTheme="majorHAnsi"/>
          <w:lang w:val="es-US"/>
        </w:rPr>
        <w:t>. La Comisión subraya además la importancia de estudiar la posibilidad de recurrir a fiscales especiales u órganos de investigación sin estrechos vínculos institucionales con la policía para la investigación y el enjuiciamiento de los homicidios cometidos por la policía.</w:t>
      </w:r>
    </w:p>
    <w:p w14:paraId="44F12924" w14:textId="7E511056"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eastAsia="es-ES"/>
        </w:rPr>
      </w:pPr>
      <w:r w:rsidRPr="00930562">
        <w:rPr>
          <w:rFonts w:asciiTheme="majorHAnsi" w:hAnsiTheme="majorHAnsi"/>
          <w:lang w:val="es-US"/>
        </w:rPr>
        <w:t>La Comisión considera, de acuerdo con los Principios Básicos de la ONU, que cuando se inicia una investigación sobre el uso de la fuerza por parte de agentes del orden, es fundamental que las autoridades encargadas de la investigación o el enjuiciamiento sean independientes, estén especializadas en la supervisión de las investigaciones policiales sobre faltas de conducta, sean nombradas de forma permanente y estén en condiciones de ejercer su jurisdicción en las circunstancias apropiadas</w:t>
      </w:r>
      <w:r w:rsidRPr="00930562">
        <w:rPr>
          <w:rFonts w:asciiTheme="majorHAnsi" w:hAnsiTheme="majorHAnsi"/>
          <w:vertAlign w:val="superscript"/>
          <w:lang w:val="es-US"/>
        </w:rPr>
        <w:footnoteReference w:id="602"/>
      </w:r>
      <w:r w:rsidRPr="00930562">
        <w:rPr>
          <w:rFonts w:asciiTheme="majorHAnsi" w:hAnsiTheme="majorHAnsi"/>
          <w:lang w:val="es-US"/>
        </w:rPr>
        <w:t>.  Esas autoridades deberían tener los conocimientos especializados necesarios para supervisar las investigaciones de faltas de conducta y delitos policiales, y la misma autoridad debería participar desde el primer informe sobre el caso hasta la acusación y el juicio de los acusados. Los Principios recomiendan que “en caso de muerte y lesiones graves u otras consecuencias de importancia, se enviará rápidamente un informe detallado a las autoridades competentes para la revisión administrativa y la supervisión judicial.”</w:t>
      </w:r>
      <w:r w:rsidRPr="00930562">
        <w:rPr>
          <w:rFonts w:asciiTheme="majorHAnsi" w:hAnsiTheme="majorHAnsi"/>
          <w:vertAlign w:val="superscript"/>
          <w:lang w:val="es-US"/>
        </w:rPr>
        <w:footnoteReference w:id="603"/>
      </w:r>
      <w:r w:rsidRPr="00930562">
        <w:rPr>
          <w:rFonts w:asciiTheme="majorHAnsi" w:hAnsiTheme="majorHAnsi"/>
          <w:lang w:val="es-US"/>
        </w:rPr>
        <w:t>. Todo el proceso debe estar marcado por la transparencia y la participación de las víctimas y sus familiares. La Comisión destaca</w:t>
      </w:r>
      <w:r w:rsidRPr="00930562">
        <w:rPr>
          <w:rFonts w:asciiTheme="majorHAnsi" w:hAnsiTheme="majorHAnsi"/>
          <w:szCs w:val="20"/>
          <w:lang w:val="es-US" w:eastAsia="es-ES"/>
        </w:rPr>
        <w:t xml:space="preserve"> además el importante papel complementario que pueden desempeñar entidades como las juntas civiles de supervisión en la supervisión independiente de la conducta policial</w:t>
      </w:r>
      <w:r w:rsidRPr="00930562">
        <w:rPr>
          <w:rFonts w:asciiTheme="majorHAnsi" w:hAnsiTheme="majorHAnsi"/>
          <w:szCs w:val="20"/>
          <w:vertAlign w:val="superscript"/>
          <w:lang w:val="es-US" w:eastAsia="es-ES"/>
        </w:rPr>
        <w:footnoteReference w:id="604"/>
      </w:r>
      <w:r w:rsidRPr="00930562">
        <w:rPr>
          <w:rFonts w:asciiTheme="majorHAnsi" w:hAnsiTheme="majorHAnsi"/>
          <w:szCs w:val="20"/>
          <w:lang w:val="es-US" w:eastAsia="es-ES"/>
        </w:rPr>
        <w:t>.</w:t>
      </w:r>
      <w:bookmarkStart w:id="215" w:name="_Ref507676946"/>
    </w:p>
    <w:bookmarkEnd w:id="215"/>
    <w:p w14:paraId="72C41E12" w14:textId="06ECBF70"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eastAsia="es-ES"/>
        </w:rPr>
      </w:pPr>
      <w:r w:rsidRPr="00930562">
        <w:rPr>
          <w:rFonts w:asciiTheme="majorHAnsi" w:hAnsiTheme="majorHAnsi"/>
          <w:szCs w:val="20"/>
          <w:lang w:val="es-US" w:eastAsia="es-ES"/>
        </w:rPr>
        <w:t xml:space="preserve">La Comisión reitera que considera los procedimientos disciplinarios internos como mecanismos autónomos para que los Estados supervisen el desempeño de las funciones públicas asignadas a sus funcionarios. Además </w:t>
      </w:r>
      <w:r w:rsidRPr="00930562">
        <w:rPr>
          <w:rFonts w:asciiTheme="majorHAnsi" w:hAnsiTheme="majorHAnsi"/>
          <w:szCs w:val="20"/>
          <w:lang w:val="es-US" w:eastAsia="es-ES"/>
        </w:rPr>
        <w:lastRenderedPageBreak/>
        <w:t>de ser un mecanismo apropiado para monitorear el desempeño, los procedimientos disciplinarios por sí solos no son “suficiente[s] para juzgar, sancionar y reparar las consecuencias de eventuales violaciones a los derechos humanos”</w:t>
      </w:r>
      <w:r w:rsidRPr="00930562">
        <w:rPr>
          <w:rFonts w:asciiTheme="majorHAnsi" w:hAnsiTheme="majorHAnsi"/>
          <w:szCs w:val="20"/>
          <w:vertAlign w:val="superscript"/>
          <w:lang w:val="es-US" w:eastAsia="es-ES"/>
        </w:rPr>
        <w:footnoteReference w:id="605"/>
      </w:r>
      <w:r w:rsidRPr="00930562">
        <w:rPr>
          <w:rFonts w:asciiTheme="majorHAnsi" w:hAnsiTheme="majorHAnsi"/>
          <w:lang w:val="es-US" w:eastAsia="es-ES"/>
        </w:rPr>
        <w:t xml:space="preserve">. </w:t>
      </w:r>
      <w:r w:rsidRPr="00930562">
        <w:rPr>
          <w:rFonts w:asciiTheme="majorHAnsi" w:hAnsiTheme="majorHAnsi"/>
          <w:sz w:val="16"/>
          <w:szCs w:val="16"/>
          <w:lang w:val="es-US" w:eastAsia="es-ES"/>
        </w:rPr>
        <w:t xml:space="preserve"> </w:t>
      </w:r>
      <w:r w:rsidRPr="00930562">
        <w:rPr>
          <w:rFonts w:asciiTheme="majorHAnsi" w:hAnsiTheme="majorHAnsi"/>
          <w:szCs w:val="20"/>
          <w:lang w:val="es-US" w:eastAsia="es-ES"/>
        </w:rPr>
        <w:t xml:space="preserve"> A este respecto, la Comisión reitera su grave preocupación sobre información que indica que las investigaciones internas de los asesinatos de la policía tienden a ser recursos ineficaces, ya que son costosos, llevan mucho tiempo y no son transparentes, y por información que indica que más del 90% de las denuncias por uso de la fuerza presentadas ante grandes organismos estatales y locales de aplicación de la ley fueron desestimadas</w:t>
      </w:r>
      <w:r w:rsidRPr="00930562">
        <w:rPr>
          <w:rFonts w:asciiTheme="majorHAnsi" w:hAnsiTheme="majorHAnsi"/>
          <w:szCs w:val="20"/>
          <w:vertAlign w:val="superscript"/>
          <w:lang w:val="es-US" w:eastAsia="es-ES"/>
        </w:rPr>
        <w:footnoteReference w:id="606"/>
      </w:r>
      <w:r w:rsidRPr="00930562">
        <w:rPr>
          <w:rFonts w:asciiTheme="majorHAnsi" w:hAnsiTheme="majorHAnsi"/>
          <w:szCs w:val="20"/>
          <w:lang w:val="es-US" w:eastAsia="es-ES"/>
        </w:rPr>
        <w:t>.</w:t>
      </w:r>
      <w:r w:rsidRPr="00930562">
        <w:rPr>
          <w:rFonts w:asciiTheme="majorHAnsi" w:hAnsiTheme="majorHAnsi"/>
          <w:sz w:val="16"/>
          <w:szCs w:val="16"/>
          <w:lang w:val="es-US" w:eastAsia="es-ES"/>
        </w:rPr>
        <w:t xml:space="preserve"> </w:t>
      </w:r>
      <w:r w:rsidRPr="00930562">
        <w:rPr>
          <w:rFonts w:asciiTheme="majorHAnsi" w:hAnsiTheme="majorHAnsi"/>
          <w:szCs w:val="20"/>
          <w:lang w:val="es-US" w:eastAsia="es-ES"/>
        </w:rPr>
        <w:t>La ineficiencia o ineficacia de las investigaciones internas en la práctica también pone de relieve la importancia de garantizar que las investigaciones externas tengan competencia para enjuiciar y sancionar, según proceda, a los responsables de las violaciones.</w:t>
      </w:r>
    </w:p>
    <w:p w14:paraId="68C28A21" w14:textId="3E760262" w:rsidR="006E177E" w:rsidRPr="00930562" w:rsidRDefault="006E177E" w:rsidP="008403E8">
      <w:pPr>
        <w:pStyle w:val="Heading3"/>
        <w:ind w:left="547" w:hanging="547"/>
        <w:rPr>
          <w:lang w:val="es-US"/>
        </w:rPr>
      </w:pPr>
      <w:bookmarkStart w:id="216" w:name="_Toc517779265"/>
      <w:bookmarkStart w:id="217" w:name="_Toc531514498"/>
      <w:r w:rsidRPr="00930562">
        <w:rPr>
          <w:lang w:val="es-US"/>
        </w:rPr>
        <w:t xml:space="preserve">El </w:t>
      </w:r>
      <w:r w:rsidR="009C0320" w:rsidRPr="00930562">
        <w:rPr>
          <w:lang w:val="es-US"/>
        </w:rPr>
        <w:t xml:space="preserve">deber </w:t>
      </w:r>
      <w:r w:rsidRPr="00930562">
        <w:rPr>
          <w:lang w:val="es-US"/>
        </w:rPr>
        <w:t xml:space="preserve">de </w:t>
      </w:r>
      <w:r w:rsidR="001E382F" w:rsidRPr="00930562">
        <w:rPr>
          <w:lang w:val="es-US"/>
        </w:rPr>
        <w:t>enjuiciar y castigar a todas las partes responsables</w:t>
      </w:r>
      <w:bookmarkEnd w:id="216"/>
      <w:bookmarkEnd w:id="217"/>
    </w:p>
    <w:p w14:paraId="0A39FBEB"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eastAsia="es-ES"/>
        </w:rPr>
      </w:pPr>
      <w:r w:rsidRPr="00930562">
        <w:rPr>
          <w:rFonts w:asciiTheme="majorHAnsi" w:hAnsiTheme="majorHAnsi"/>
          <w:szCs w:val="20"/>
          <w:lang w:val="es-US"/>
        </w:rPr>
        <w:t xml:space="preserve">Los casos de muerte o lesiones deben ser objeto de una investigación pronta, exhaustiva, independiente e imparcial con el fin de llevar a cabo las actuaciones judiciales. La existencia general de leyes penales no es suficiente para garantizar la rendición de cuentas de los funcionarios del Estado, por lo </w:t>
      </w:r>
      <w:r w:rsidRPr="00930562">
        <w:rPr>
          <w:rFonts w:asciiTheme="majorHAnsi" w:hAnsiTheme="majorHAnsi"/>
          <w:szCs w:val="20"/>
          <w:lang w:val="es-US" w:eastAsia="es-ES"/>
        </w:rPr>
        <w:t>que se necesitan medidas especiales para garantizar que se responsabilice a los funcionarios. Estas preocupaciones son especialmente pertinentes en el contexto de los asesinatos por parte de la policía, dadas las dificultades sobre las cuales se ha informado para lograr que se condene a los agentes de policía. A este respecto, el Comité contra la Tortura, entre otros, ha expresado su profunda preocupación “por los casos frecuentes y repetidos de policías que disparan a personas afrodescendientes que no van armadas” y “lo difícil que parece ser que los agentes de policía y sus empleadores respondan de esos abusos”</w:t>
      </w:r>
      <w:r w:rsidRPr="00930562">
        <w:rPr>
          <w:rFonts w:asciiTheme="majorHAnsi" w:hAnsiTheme="majorHAnsi"/>
          <w:szCs w:val="20"/>
          <w:vertAlign w:val="superscript"/>
          <w:lang w:val="es-US" w:eastAsia="es-ES"/>
        </w:rPr>
        <w:footnoteReference w:id="607"/>
      </w:r>
      <w:r w:rsidRPr="00930562">
        <w:rPr>
          <w:rFonts w:asciiTheme="majorHAnsi" w:hAnsiTheme="majorHAnsi"/>
          <w:szCs w:val="20"/>
          <w:lang w:val="es-US" w:eastAsia="es-ES"/>
        </w:rPr>
        <w:t>.</w:t>
      </w:r>
    </w:p>
    <w:p w14:paraId="6D82175F" w14:textId="0E3BA9C3"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eastAsia="es-ES"/>
        </w:rPr>
        <w:t>En cuanto a la responsabilidad de los funcionarios superiores por girar órdenes ilícitas en relación con el uso de la fuerza, la Comisión subraya las disposiciones establecidas en los Principios Básicos de la ONU que establecen</w:t>
      </w:r>
      <w:r w:rsidRPr="00930562">
        <w:rPr>
          <w:rFonts w:asciiTheme="majorHAnsi" w:hAnsiTheme="majorHAnsi"/>
          <w:szCs w:val="20"/>
          <w:lang w:val="es-US"/>
        </w:rPr>
        <w:t xml:space="preserve"> que los Estados deben tomar medidas para garantizar que los  funcionarios superiores asuman la debida responsabilidad cuando “cuando tengan conocimiento, o debieran haberlo tenido, de que los agentes a sus órdenes han recurrido al uso ilícito de la fuerza y de armas de fuego, y no </w:t>
      </w:r>
      <w:r w:rsidRPr="00930562">
        <w:rPr>
          <w:rFonts w:asciiTheme="majorHAnsi" w:hAnsiTheme="majorHAnsi"/>
          <w:szCs w:val="20"/>
          <w:lang w:val="es-US"/>
        </w:rPr>
        <w:lastRenderedPageBreak/>
        <w:t>han adoptado todas las medidas a su disposición para impedir, eliminar o denunciar ese uso”</w:t>
      </w:r>
      <w:r w:rsidRPr="00930562">
        <w:rPr>
          <w:rFonts w:asciiTheme="majorHAnsi" w:hAnsiTheme="majorHAnsi"/>
          <w:szCs w:val="20"/>
          <w:vertAlign w:val="superscript"/>
          <w:lang w:val="es-US"/>
        </w:rPr>
        <w:footnoteReference w:id="608"/>
      </w:r>
      <w:r w:rsidRPr="00930562">
        <w:rPr>
          <w:rFonts w:asciiTheme="majorHAnsi" w:hAnsiTheme="majorHAnsi"/>
          <w:szCs w:val="20"/>
          <w:lang w:val="es-US"/>
        </w:rPr>
        <w:t>.</w:t>
      </w:r>
      <w:r w:rsidRPr="00930562">
        <w:rPr>
          <w:rFonts w:asciiTheme="majorHAnsi" w:hAnsiTheme="majorHAnsi"/>
          <w:b/>
          <w:sz w:val="16"/>
          <w:szCs w:val="16"/>
          <w:vertAlign w:val="superscript"/>
          <w:lang w:val="es-US"/>
        </w:rPr>
        <w:t xml:space="preserve"> </w:t>
      </w:r>
      <w:r w:rsidRPr="00930562">
        <w:rPr>
          <w:rFonts w:asciiTheme="majorHAnsi" w:hAnsiTheme="majorHAnsi"/>
          <w:szCs w:val="20"/>
          <w:lang w:val="es-US"/>
        </w:rPr>
        <w:t>Por otra parte, los funcionarios responsables del uso de la fuerza no pueden alegar que obedecieron órdenes de sus superiores si eran conscientes de que una orden de uso de la fuerza que tuviera como resultado la muerte o lesiones graves era manifiestamente ilícita, y tenían una posibilidad razonable de negarse a obedecerla</w:t>
      </w:r>
      <w:r w:rsidRPr="00930562">
        <w:rPr>
          <w:rFonts w:asciiTheme="majorHAnsi" w:hAnsiTheme="majorHAnsi"/>
          <w:vertAlign w:val="superscript"/>
          <w:lang w:val="es-US"/>
        </w:rPr>
        <w:footnoteReference w:id="609"/>
      </w:r>
      <w:r w:rsidRPr="00930562">
        <w:rPr>
          <w:rFonts w:asciiTheme="majorHAnsi" w:hAnsiTheme="majorHAnsi"/>
          <w:lang w:val="es-US"/>
        </w:rPr>
        <w:t xml:space="preserve">. </w:t>
      </w:r>
      <w:r w:rsidRPr="00930562">
        <w:rPr>
          <w:rFonts w:asciiTheme="majorHAnsi" w:hAnsiTheme="majorHAnsi"/>
          <w:szCs w:val="20"/>
          <w:lang w:val="es-US"/>
        </w:rPr>
        <w:t>La Comisión se ha hecho eco de la Corte Interamericana al afirmar que la investigación de los hechos debe “</w:t>
      </w:r>
      <w:proofErr w:type="gramStart"/>
      <w:r w:rsidRPr="00930562">
        <w:rPr>
          <w:rFonts w:asciiTheme="majorHAnsi" w:hAnsiTheme="majorHAnsi"/>
          <w:szCs w:val="20"/>
          <w:lang w:val="es-US"/>
        </w:rPr>
        <w:t>permit[</w:t>
      </w:r>
      <w:proofErr w:type="gramEnd"/>
      <w:r w:rsidRPr="00930562">
        <w:rPr>
          <w:rFonts w:asciiTheme="majorHAnsi" w:hAnsiTheme="majorHAnsi"/>
          <w:szCs w:val="20"/>
          <w:lang w:val="es-US"/>
        </w:rPr>
        <w:t>ir] determinar el grado y modo de la participación de cada uno de los interventores, sean materiales o intelectuales, y, con ello, establecer las responsabilidades que puedan corresponder”</w:t>
      </w:r>
      <w:r w:rsidRPr="00930562">
        <w:rPr>
          <w:rFonts w:asciiTheme="majorHAnsi" w:hAnsiTheme="majorHAnsi"/>
          <w:szCs w:val="20"/>
          <w:vertAlign w:val="superscript"/>
          <w:lang w:val="es-US"/>
        </w:rPr>
        <w:footnoteReference w:id="610"/>
      </w:r>
      <w:r w:rsidRPr="00930562">
        <w:rPr>
          <w:rFonts w:asciiTheme="majorHAnsi" w:hAnsiTheme="majorHAnsi"/>
          <w:szCs w:val="20"/>
          <w:lang w:val="es-US"/>
        </w:rPr>
        <w:t>.</w:t>
      </w:r>
    </w:p>
    <w:p w14:paraId="32C78FC6" w14:textId="02D89804"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rPr>
        <w:t>La Comisión denuncia un “reiterado patrón de impunidad en los asesinatos de afrodescendientes por parte de la policía en Estados Unidos”, y reitera que la respuesta ineficaz del Estado a este problema alimenta la repetición crónica de incidentes de uso excesivo de la fuerza por parte de la policía</w:t>
      </w:r>
      <w:r w:rsidRPr="00930562">
        <w:rPr>
          <w:rFonts w:asciiTheme="majorHAnsi" w:hAnsiTheme="majorHAnsi"/>
          <w:szCs w:val="20"/>
          <w:vertAlign w:val="superscript"/>
          <w:lang w:val="es-US"/>
        </w:rPr>
        <w:footnoteReference w:id="611"/>
      </w:r>
      <w:r w:rsidRPr="00930562">
        <w:rPr>
          <w:rFonts w:asciiTheme="majorHAnsi" w:hAnsiTheme="majorHAnsi"/>
          <w:szCs w:val="20"/>
          <w:lang w:val="es-US"/>
        </w:rPr>
        <w:t xml:space="preserve">. La ausencia de intervenciones eficientes y efectivas por parte de los órganos de justicia genera frustración entre los </w:t>
      </w:r>
      <w:r w:rsidRPr="00930562">
        <w:rPr>
          <w:rFonts w:asciiTheme="majorHAnsi" w:hAnsiTheme="majorHAnsi"/>
          <w:szCs w:val="20"/>
          <w:lang w:val="es-US" w:eastAsia="es-ES"/>
        </w:rPr>
        <w:t>afro</w:t>
      </w:r>
      <w:r w:rsidR="00881710" w:rsidRPr="00930562">
        <w:rPr>
          <w:rFonts w:asciiTheme="majorHAnsi" w:hAnsiTheme="majorHAnsi"/>
          <w:szCs w:val="20"/>
          <w:lang w:val="es-US" w:eastAsia="es-ES"/>
        </w:rPr>
        <w:t>americanos</w:t>
      </w:r>
      <w:r w:rsidRPr="00930562">
        <w:rPr>
          <w:rFonts w:asciiTheme="majorHAnsi" w:hAnsiTheme="majorHAnsi"/>
          <w:szCs w:val="20"/>
          <w:lang w:val="es-US"/>
        </w:rPr>
        <w:t xml:space="preserve"> y otros grupos históricamente marginados, así como la </w:t>
      </w:r>
      <w:r w:rsidRPr="00930562">
        <w:rPr>
          <w:rFonts w:asciiTheme="majorHAnsi" w:hAnsiTheme="majorHAnsi"/>
          <w:szCs w:val="20"/>
          <w:lang w:val="es-US" w:eastAsia="es-ES"/>
        </w:rPr>
        <w:t>sensación</w:t>
      </w:r>
      <w:r w:rsidRPr="00930562">
        <w:rPr>
          <w:rFonts w:asciiTheme="majorHAnsi" w:hAnsiTheme="majorHAnsi"/>
          <w:szCs w:val="20"/>
          <w:lang w:val="es-US"/>
        </w:rPr>
        <w:t xml:space="preserve"> de que la policía y otras instituciones sociales no existen para protegerlos, lo que afecta seriamente la coexistencia en una sociedad democrática</w:t>
      </w:r>
      <w:r w:rsidRPr="00930562">
        <w:rPr>
          <w:rFonts w:asciiTheme="majorHAnsi" w:hAnsiTheme="majorHAnsi"/>
          <w:szCs w:val="20"/>
          <w:vertAlign w:val="superscript"/>
          <w:lang w:val="es-US"/>
        </w:rPr>
        <w:footnoteReference w:id="612"/>
      </w:r>
      <w:r w:rsidRPr="00930562">
        <w:rPr>
          <w:rFonts w:asciiTheme="majorHAnsi" w:hAnsiTheme="majorHAnsi"/>
          <w:szCs w:val="20"/>
          <w:lang w:val="es-US"/>
        </w:rPr>
        <w:t>.  A la luz de los graves efectos que la impunidad de la violencia policial tiene tanto en la repetición de estos abusos como la estructura de la sociedad democrática y la inclusión social, la Comisión considera que son urgentemente necesarias medidas estructurales para hacer frente a la situación y rectificar la discriminación y la marginalización subyacentes que contribuyen a estos abusos.</w:t>
      </w:r>
    </w:p>
    <w:p w14:paraId="2CE366F0"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rPr>
        <w:t>La Comisión reitera además la importancia de investigar a fondo y enjuiciar a todos los agentes que puedan ser responsables; y la importancia de reformar la legislación nacional cuando sea necesario para garantizar que la prueba de un prejuicio racial explícito no sea la norma jurídica para lograr una condena</w:t>
      </w:r>
      <w:r w:rsidRPr="00930562">
        <w:rPr>
          <w:rFonts w:asciiTheme="majorHAnsi" w:hAnsiTheme="majorHAnsi"/>
          <w:szCs w:val="20"/>
          <w:vertAlign w:val="superscript"/>
          <w:lang w:val="es-US"/>
        </w:rPr>
        <w:footnoteReference w:id="613"/>
      </w:r>
      <w:r w:rsidRPr="00930562">
        <w:rPr>
          <w:rFonts w:asciiTheme="majorHAnsi" w:hAnsiTheme="majorHAnsi"/>
          <w:szCs w:val="20"/>
          <w:lang w:val="es-US"/>
        </w:rPr>
        <w:t>.</w:t>
      </w:r>
    </w:p>
    <w:p w14:paraId="69BD7874" w14:textId="77777777" w:rsidR="009C0320" w:rsidRPr="00930562" w:rsidRDefault="009C0320">
      <w:pPr>
        <w:rPr>
          <w:rFonts w:asciiTheme="majorHAnsi" w:hAnsiTheme="majorHAnsi"/>
          <w:b/>
          <w:sz w:val="24"/>
          <w:szCs w:val="20"/>
          <w:lang w:val="es-US"/>
        </w:rPr>
      </w:pPr>
      <w:r w:rsidRPr="00930562">
        <w:rPr>
          <w:lang w:val="es-US"/>
        </w:rPr>
        <w:br w:type="page"/>
      </w:r>
    </w:p>
    <w:p w14:paraId="2AF0CE05" w14:textId="040C5FA2" w:rsidR="006E177E" w:rsidRPr="00930562" w:rsidRDefault="006E177E" w:rsidP="008403E8">
      <w:pPr>
        <w:pStyle w:val="Heading3"/>
        <w:ind w:left="547" w:hanging="547"/>
        <w:rPr>
          <w:lang w:val="es-US"/>
        </w:rPr>
      </w:pPr>
      <w:bookmarkStart w:id="218" w:name="_Toc517779266"/>
      <w:bookmarkStart w:id="219" w:name="_Toc531514499"/>
      <w:r w:rsidRPr="00930562">
        <w:rPr>
          <w:lang w:val="es-US"/>
        </w:rPr>
        <w:lastRenderedPageBreak/>
        <w:t xml:space="preserve">El </w:t>
      </w:r>
      <w:r w:rsidR="009C0320" w:rsidRPr="00930562">
        <w:rPr>
          <w:lang w:val="es-US"/>
        </w:rPr>
        <w:t xml:space="preserve">derecho </w:t>
      </w:r>
      <w:r w:rsidRPr="00930562">
        <w:rPr>
          <w:lang w:val="es-US"/>
        </w:rPr>
        <w:t xml:space="preserve">a </w:t>
      </w:r>
      <w:r w:rsidR="001E382F" w:rsidRPr="00930562">
        <w:rPr>
          <w:lang w:val="es-US"/>
        </w:rPr>
        <w:t>un recurso efectivo</w:t>
      </w:r>
      <w:bookmarkEnd w:id="218"/>
      <w:bookmarkEnd w:id="219"/>
    </w:p>
    <w:p w14:paraId="731C5E92" w14:textId="5988EF43"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rPr>
        <w:t>El deber de actuar con la debida diligencia conlleva además la obligación del Estado de garantizar el acceso a recursos judiciales adecuados y efectivos para las víctimas y sus familiares cuando sufr</w:t>
      </w:r>
      <w:r w:rsidR="008C6B32" w:rsidRPr="00930562">
        <w:rPr>
          <w:rFonts w:asciiTheme="majorHAnsi" w:hAnsiTheme="majorHAnsi"/>
          <w:szCs w:val="20"/>
          <w:lang w:val="es-US"/>
        </w:rPr>
        <w:t>e</w:t>
      </w:r>
      <w:r w:rsidRPr="00930562">
        <w:rPr>
          <w:rFonts w:asciiTheme="majorHAnsi" w:hAnsiTheme="majorHAnsi"/>
          <w:szCs w:val="20"/>
          <w:lang w:val="es-US"/>
        </w:rPr>
        <w:t xml:space="preserve">n actos de violencia. La Comisión ha </w:t>
      </w:r>
      <w:r w:rsidR="008C6B32" w:rsidRPr="00930562">
        <w:rPr>
          <w:rFonts w:asciiTheme="majorHAnsi" w:hAnsiTheme="majorHAnsi"/>
          <w:szCs w:val="20"/>
          <w:lang w:val="es-US"/>
        </w:rPr>
        <w:t>solicita</w:t>
      </w:r>
      <w:r w:rsidRPr="00930562">
        <w:rPr>
          <w:rFonts w:asciiTheme="majorHAnsi" w:hAnsiTheme="majorHAnsi"/>
          <w:szCs w:val="20"/>
          <w:lang w:val="es-US"/>
        </w:rPr>
        <w:t>do anteriormente a Estados Unidos que adopte medidas para garantizar el acceso a la justicia de los afro</w:t>
      </w:r>
      <w:r w:rsidR="008C6B32" w:rsidRPr="00930562">
        <w:rPr>
          <w:rFonts w:asciiTheme="majorHAnsi" w:hAnsiTheme="majorHAnsi"/>
          <w:szCs w:val="20"/>
          <w:lang w:val="es-US"/>
        </w:rPr>
        <w:t>americanos</w:t>
      </w:r>
      <w:r w:rsidRPr="00930562">
        <w:rPr>
          <w:rFonts w:asciiTheme="majorHAnsi" w:hAnsiTheme="majorHAnsi"/>
          <w:szCs w:val="20"/>
          <w:lang w:val="es-US"/>
        </w:rPr>
        <w:t xml:space="preserve"> y otros grupos históricamente marginados, </w:t>
      </w:r>
      <w:r w:rsidR="008C6B32" w:rsidRPr="00930562">
        <w:rPr>
          <w:rFonts w:asciiTheme="majorHAnsi" w:hAnsiTheme="majorHAnsi"/>
          <w:szCs w:val="20"/>
          <w:lang w:val="es-US"/>
        </w:rPr>
        <w:t>dado</w:t>
      </w:r>
      <w:r w:rsidRPr="00930562">
        <w:rPr>
          <w:rFonts w:asciiTheme="majorHAnsi" w:hAnsiTheme="majorHAnsi"/>
          <w:szCs w:val="20"/>
          <w:lang w:val="es-US"/>
        </w:rPr>
        <w:t xml:space="preserve"> que la impunidad de las ejecuciones extrajudiciales por parte de la policía afecta de manera desproporcionada a los afro</w:t>
      </w:r>
      <w:r w:rsidR="00C45F0D" w:rsidRPr="00930562">
        <w:rPr>
          <w:rFonts w:asciiTheme="majorHAnsi" w:hAnsiTheme="majorHAnsi"/>
          <w:szCs w:val="20"/>
          <w:lang w:val="es-US"/>
        </w:rPr>
        <w:t>americanos</w:t>
      </w:r>
      <w:r w:rsidRPr="00930562">
        <w:rPr>
          <w:rFonts w:asciiTheme="majorHAnsi" w:hAnsiTheme="majorHAnsi"/>
          <w:szCs w:val="20"/>
          <w:lang w:val="es-US"/>
        </w:rPr>
        <w:t xml:space="preserve"> y a otras personas de color en Estados Unidos</w:t>
      </w:r>
      <w:r w:rsidRPr="00930562">
        <w:rPr>
          <w:rFonts w:asciiTheme="majorHAnsi" w:hAnsiTheme="majorHAnsi"/>
          <w:szCs w:val="20"/>
          <w:vertAlign w:val="superscript"/>
          <w:lang w:val="es-US"/>
        </w:rPr>
        <w:footnoteReference w:id="614"/>
      </w:r>
      <w:r w:rsidRPr="00930562">
        <w:rPr>
          <w:rFonts w:asciiTheme="majorHAnsi" w:hAnsiTheme="majorHAnsi"/>
          <w:szCs w:val="20"/>
          <w:lang w:val="es-US"/>
        </w:rPr>
        <w:t>.</w:t>
      </w:r>
    </w:p>
    <w:p w14:paraId="2264EF31"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rPr>
        <w:t>Como esta Comisión ha reconocido anteriormente, tanto los artículos XVII como XVIII se basan en el reconocimiento y la protección por parte de un Estado de los derechos civiles y constitucionales fundamentales de una</w:t>
      </w:r>
      <w:r w:rsidRPr="00930562">
        <w:rPr>
          <w:rFonts w:asciiTheme="majorHAnsi" w:eastAsia="MS Mincho" w:hAnsiTheme="majorHAnsi" w:cs="Cambria"/>
          <w:color w:val="000000"/>
          <w:szCs w:val="20"/>
          <w:lang w:val="es-US" w:eastAsia="es-ES"/>
        </w:rPr>
        <w:t xml:space="preserve"> persona</w:t>
      </w:r>
      <w:r w:rsidRPr="00930562">
        <w:rPr>
          <w:rFonts w:asciiTheme="majorHAnsi" w:eastAsia="MS Mincho" w:hAnsiTheme="majorHAnsi" w:cs="Cambria"/>
          <w:color w:val="000000"/>
          <w:szCs w:val="20"/>
          <w:vertAlign w:val="superscript"/>
          <w:lang w:val="es-US" w:eastAsia="es-ES"/>
        </w:rPr>
        <w:footnoteReference w:id="615"/>
      </w:r>
      <w:r w:rsidRPr="00930562">
        <w:rPr>
          <w:rFonts w:asciiTheme="majorHAnsi" w:eastAsia="MS Mincho" w:hAnsiTheme="majorHAnsi" w:cs="Cambria"/>
          <w:color w:val="000000"/>
          <w:szCs w:val="20"/>
          <w:lang w:val="es-US" w:eastAsia="es-ES"/>
        </w:rPr>
        <w:t>.  El artículo XVIII prescribe además un papel fundamental para que los tribunales garanticen y protejan los derechos fundamentales</w:t>
      </w:r>
      <w:r w:rsidRPr="00930562">
        <w:rPr>
          <w:rFonts w:asciiTheme="majorHAnsi" w:eastAsia="MS Mincho" w:hAnsiTheme="majorHAnsi" w:cs="Cambria"/>
          <w:color w:val="000000"/>
          <w:szCs w:val="20"/>
          <w:vertAlign w:val="superscript"/>
          <w:lang w:val="es-US" w:eastAsia="es-ES"/>
        </w:rPr>
        <w:footnoteReference w:id="616"/>
      </w:r>
      <w:r w:rsidRPr="00930562">
        <w:rPr>
          <w:rFonts w:asciiTheme="majorHAnsi" w:eastAsia="MS Mincho" w:hAnsiTheme="majorHAnsi" w:cs="Cambria"/>
          <w:color w:val="000000"/>
          <w:szCs w:val="20"/>
          <w:lang w:val="es-US" w:eastAsia="es-ES"/>
        </w:rPr>
        <w:t>. Por su parte, el artículo XVIII de la Declaración Americana establece que toda persona tiene derecho a acceder a los recursos judiciales cuando haya sufrido violaciones de derechos humanos</w:t>
      </w:r>
      <w:r w:rsidRPr="00930562">
        <w:rPr>
          <w:rFonts w:asciiTheme="majorHAnsi" w:eastAsia="MS Mincho" w:hAnsiTheme="majorHAnsi" w:cs="Cambria"/>
          <w:color w:val="000000"/>
          <w:szCs w:val="20"/>
          <w:vertAlign w:val="superscript"/>
          <w:lang w:val="es-US" w:eastAsia="es-ES"/>
        </w:rPr>
        <w:footnoteReference w:id="617"/>
      </w:r>
      <w:r w:rsidRPr="00930562">
        <w:rPr>
          <w:rFonts w:asciiTheme="majorHAnsi" w:eastAsia="MS Mincho" w:hAnsiTheme="majorHAnsi" w:cs="Cambria"/>
          <w:color w:val="000000"/>
          <w:szCs w:val="20"/>
          <w:lang w:val="es-US" w:eastAsia="es-ES"/>
        </w:rPr>
        <w:t>. Este derecho tiene un alcance similar al derecho a la protección judicial y a las garantías contenidas en el artículo 25 de la Convención Americana, que se entiende que abarca: el derecho de toda persona a acudir a un tribunal cuando se haya violado cualquiera de sus derechos; a obtener una investigación judicial a cargo de un tribunal competente, imparcial e independiente que determine si se ha producido o no una violación; y el derecho correspondiente a obtener reparación por el daño sufrido</w:t>
      </w:r>
      <w:r w:rsidRPr="00930562">
        <w:rPr>
          <w:rFonts w:asciiTheme="majorHAnsi" w:eastAsia="MS Mincho" w:hAnsiTheme="majorHAnsi" w:cs="Cambria"/>
          <w:color w:val="000000"/>
          <w:szCs w:val="20"/>
          <w:vertAlign w:val="superscript"/>
          <w:lang w:val="es-US" w:eastAsia="es-ES"/>
        </w:rPr>
        <w:footnoteReference w:id="618"/>
      </w:r>
      <w:r w:rsidRPr="00930562">
        <w:rPr>
          <w:rFonts w:asciiTheme="majorHAnsi" w:eastAsia="MS Mincho" w:hAnsiTheme="majorHAnsi" w:cs="Cambria"/>
          <w:color w:val="000000"/>
          <w:szCs w:val="20"/>
          <w:lang w:val="es-US" w:eastAsia="es-ES"/>
        </w:rPr>
        <w:t>.</w:t>
      </w:r>
    </w:p>
    <w:p w14:paraId="1538F0B6"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eastAsia="MS Mincho" w:hAnsiTheme="majorHAnsi" w:cs="Cambria"/>
          <w:color w:val="000000"/>
          <w:szCs w:val="20"/>
          <w:lang w:val="es-US" w:eastAsia="es-ES"/>
        </w:rPr>
        <w:t xml:space="preserve">La Comisión ha afirmado durante muchos años que no es la existencia formal de recursos judiciales lo que demuestra </w:t>
      </w:r>
      <w:r w:rsidRPr="00930562">
        <w:rPr>
          <w:rFonts w:asciiTheme="majorHAnsi" w:hAnsiTheme="majorHAnsi"/>
          <w:szCs w:val="20"/>
          <w:lang w:val="es-US"/>
        </w:rPr>
        <w:t xml:space="preserve">la debida diligencia, sino </w:t>
      </w:r>
      <w:r w:rsidRPr="00930562">
        <w:rPr>
          <w:rFonts w:asciiTheme="majorHAnsi" w:hAnsiTheme="majorHAnsi"/>
          <w:szCs w:val="20"/>
          <w:lang w:val="es-US"/>
        </w:rPr>
        <w:lastRenderedPageBreak/>
        <w:t>más bien que sean adecuados y efectivos</w:t>
      </w:r>
      <w:r w:rsidRPr="00930562">
        <w:rPr>
          <w:rFonts w:asciiTheme="majorHAnsi" w:hAnsiTheme="majorHAnsi"/>
          <w:szCs w:val="20"/>
          <w:vertAlign w:val="superscript"/>
          <w:lang w:val="es-US"/>
        </w:rPr>
        <w:footnoteReference w:id="619"/>
      </w:r>
      <w:r w:rsidRPr="00930562">
        <w:rPr>
          <w:rFonts w:asciiTheme="majorHAnsi" w:hAnsiTheme="majorHAnsi"/>
          <w:szCs w:val="20"/>
          <w:lang w:val="es-US"/>
        </w:rPr>
        <w:t>. La “eficacia” de un recurso judicial tiene dos aspectos: uno es normativo y el otro empírico</w:t>
      </w:r>
      <w:r w:rsidRPr="00930562">
        <w:rPr>
          <w:rFonts w:asciiTheme="majorHAnsi" w:hAnsiTheme="majorHAnsi"/>
          <w:szCs w:val="20"/>
          <w:vertAlign w:val="superscript"/>
          <w:lang w:val="es-US"/>
        </w:rPr>
        <w:footnoteReference w:id="620"/>
      </w:r>
      <w:r w:rsidRPr="00930562">
        <w:rPr>
          <w:rFonts w:asciiTheme="majorHAnsi" w:hAnsiTheme="majorHAnsi"/>
          <w:szCs w:val="20"/>
          <w:lang w:val="es-US"/>
        </w:rPr>
        <w:t>. El aspecto normativo se refiere a la idoneidad del recurso, es decir, su capacidad para determinar si se ha producido una violación de los derechos humanos, y su capacidad para producir resultados o respuestas positivas, medidas principalmente en términos de su capacidad potencial para proporcionar una reparación adecuada por las violaciones de los derechos humanos</w:t>
      </w:r>
      <w:r w:rsidRPr="00930562">
        <w:rPr>
          <w:rFonts w:asciiTheme="majorHAnsi" w:hAnsiTheme="majorHAnsi"/>
          <w:szCs w:val="20"/>
          <w:vertAlign w:val="superscript"/>
          <w:lang w:val="es-US"/>
        </w:rPr>
        <w:footnoteReference w:id="621"/>
      </w:r>
      <w:r w:rsidRPr="00930562">
        <w:rPr>
          <w:rFonts w:asciiTheme="majorHAnsi" w:hAnsiTheme="majorHAnsi"/>
          <w:szCs w:val="20"/>
          <w:lang w:val="es-US"/>
        </w:rPr>
        <w:t>.</w:t>
      </w:r>
    </w:p>
    <w:p w14:paraId="44773BA7"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rPr>
        <w:t>El segundo aspecto, la naturaleza empírica del recurso, se refiere a las condiciones políticas o institucionales que permiten que un recurso legalmente reconocido “cumpla su propósito” o “produzca el resultado para el cual fue diseñado”</w:t>
      </w:r>
      <w:r w:rsidRPr="00930562">
        <w:rPr>
          <w:rFonts w:asciiTheme="majorHAnsi" w:hAnsiTheme="majorHAnsi"/>
          <w:szCs w:val="20"/>
          <w:vertAlign w:val="superscript"/>
          <w:lang w:val="es-US"/>
        </w:rPr>
        <w:footnoteReference w:id="622"/>
      </w:r>
      <w:r w:rsidRPr="00930562">
        <w:rPr>
          <w:rFonts w:asciiTheme="majorHAnsi" w:hAnsiTheme="majorHAnsi"/>
          <w:szCs w:val="20"/>
          <w:lang w:val="es-US"/>
        </w:rPr>
        <w:t>. Un recurso no es efectivo cuando es “ilusorio”, excesivamente oneroso para la víctima, o cuando el Estado no ha garantizado su correcta aplicación por las autoridades judiciales</w:t>
      </w:r>
      <w:r w:rsidRPr="00930562">
        <w:rPr>
          <w:rFonts w:asciiTheme="majorHAnsi" w:hAnsiTheme="majorHAnsi"/>
          <w:szCs w:val="20"/>
          <w:vertAlign w:val="superscript"/>
          <w:lang w:val="es-US"/>
        </w:rPr>
        <w:footnoteReference w:id="623"/>
      </w:r>
      <w:r w:rsidRPr="00930562">
        <w:rPr>
          <w:rFonts w:asciiTheme="majorHAnsi" w:hAnsiTheme="majorHAnsi"/>
          <w:szCs w:val="20"/>
          <w:lang w:val="es-US"/>
        </w:rPr>
        <w:t>. A este respecto, la Comisión expresa su preocupación por la información recibida que indica que existen obstáculos para la resolución efectiva de las demandas civiles contra agentes de policía, incluidos tanto obstáculos procesales para la presentación de reclamaciones como una carga de la prueba muy elevada y temores de represalias</w:t>
      </w:r>
      <w:r w:rsidRPr="00930562">
        <w:rPr>
          <w:rFonts w:asciiTheme="majorHAnsi" w:hAnsiTheme="majorHAnsi"/>
          <w:szCs w:val="20"/>
          <w:vertAlign w:val="superscript"/>
          <w:lang w:val="es-US"/>
        </w:rPr>
        <w:footnoteReference w:id="624"/>
      </w:r>
      <w:r w:rsidRPr="00930562">
        <w:rPr>
          <w:rFonts w:asciiTheme="majorHAnsi" w:hAnsiTheme="majorHAnsi"/>
          <w:szCs w:val="20"/>
          <w:lang w:val="es-US"/>
        </w:rPr>
        <w:t>. Esto se refleja también en la evidencia que sugiere que los agentes de policía rara vez son declarados responsables en juicios civiles</w:t>
      </w:r>
      <w:r w:rsidRPr="00930562">
        <w:rPr>
          <w:rFonts w:asciiTheme="majorHAnsi" w:hAnsiTheme="majorHAnsi"/>
          <w:szCs w:val="20"/>
          <w:vertAlign w:val="superscript"/>
          <w:lang w:val="es-US"/>
        </w:rPr>
        <w:footnoteReference w:id="625"/>
      </w:r>
      <w:r w:rsidRPr="00930562">
        <w:rPr>
          <w:rFonts w:asciiTheme="majorHAnsi" w:hAnsiTheme="majorHAnsi"/>
          <w:szCs w:val="20"/>
          <w:lang w:val="es-US"/>
        </w:rPr>
        <w:t>.</w:t>
      </w:r>
      <w:bookmarkStart w:id="220" w:name="_Ref507684464"/>
    </w:p>
    <w:bookmarkEnd w:id="220"/>
    <w:p w14:paraId="2D383EB9"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eastAsia="MS Mincho" w:hAnsiTheme="majorHAnsi" w:cs="Cambria"/>
          <w:color w:val="000000"/>
          <w:szCs w:val="20"/>
          <w:lang w:val="es-US" w:eastAsia="es-ES"/>
        </w:rPr>
      </w:pPr>
      <w:r w:rsidRPr="00930562">
        <w:rPr>
          <w:rFonts w:asciiTheme="majorHAnsi" w:hAnsiTheme="majorHAnsi"/>
          <w:szCs w:val="20"/>
          <w:lang w:val="es-US"/>
        </w:rPr>
        <w:t>Así pues, cuando las instituciones del Estado dejan impunes las violaciones de los derechos humanos y no se restablece de</w:t>
      </w:r>
      <w:r w:rsidRPr="00930562">
        <w:rPr>
          <w:rFonts w:asciiTheme="majorHAnsi" w:eastAsia="MS Mincho" w:hAnsiTheme="majorHAnsi" w:cs="Cambria"/>
          <w:color w:val="000000"/>
          <w:szCs w:val="20"/>
          <w:lang w:val="es-US" w:eastAsia="es-ES"/>
        </w:rPr>
        <w:t xml:space="preserve"> manera pronta y adecuada el pleno disfrute de los derechos humanos por parte de las víctimas, el Estado no cumple con sus deberes positivos en virtud de las normas internacionales de derechos humanos</w:t>
      </w:r>
      <w:r w:rsidRPr="00930562">
        <w:rPr>
          <w:rFonts w:asciiTheme="majorHAnsi" w:eastAsia="MS Mincho" w:hAnsiTheme="majorHAnsi" w:cs="Cambria"/>
          <w:color w:val="000000"/>
          <w:szCs w:val="20"/>
          <w:vertAlign w:val="superscript"/>
          <w:lang w:val="es-US" w:eastAsia="es-ES"/>
        </w:rPr>
        <w:footnoteReference w:id="626"/>
      </w:r>
      <w:r w:rsidRPr="00930562">
        <w:rPr>
          <w:rFonts w:asciiTheme="majorHAnsi" w:eastAsia="MS Mincho" w:hAnsiTheme="majorHAnsi" w:cs="Cambria"/>
          <w:color w:val="000000"/>
          <w:szCs w:val="20"/>
          <w:lang w:val="es-US" w:eastAsia="es-ES"/>
        </w:rPr>
        <w:t xml:space="preserve">. El mismo principio se aplica cuando un Estado permite que los particulares actúen libremente y con impunidad en detrimento de los derechos reconocidos en el derecho </w:t>
      </w:r>
      <w:r w:rsidRPr="00930562">
        <w:rPr>
          <w:rFonts w:asciiTheme="majorHAnsi" w:eastAsia="MS Mincho" w:hAnsiTheme="majorHAnsi" w:cs="Cambria"/>
          <w:color w:val="000000"/>
          <w:szCs w:val="20"/>
          <w:lang w:val="es-US" w:eastAsia="es-ES"/>
        </w:rPr>
        <w:lastRenderedPageBreak/>
        <w:t>internacional de los derechos humanos</w:t>
      </w:r>
      <w:r w:rsidRPr="00930562">
        <w:rPr>
          <w:rFonts w:asciiTheme="majorHAnsi" w:eastAsia="MS Mincho" w:hAnsiTheme="majorHAnsi" w:cs="Cambria"/>
          <w:color w:val="000000"/>
          <w:szCs w:val="20"/>
          <w:vertAlign w:val="superscript"/>
          <w:lang w:val="es-US" w:eastAsia="es-ES"/>
        </w:rPr>
        <w:footnoteReference w:id="627"/>
      </w:r>
      <w:r w:rsidRPr="00930562">
        <w:rPr>
          <w:rFonts w:asciiTheme="majorHAnsi" w:eastAsia="MS Mincho" w:hAnsiTheme="majorHAnsi" w:cs="Cambria"/>
          <w:color w:val="000000"/>
          <w:szCs w:val="20"/>
          <w:lang w:val="es-US" w:eastAsia="es-ES"/>
        </w:rPr>
        <w:t xml:space="preserve">. </w:t>
      </w:r>
      <w:r w:rsidRPr="00930562">
        <w:rPr>
          <w:rFonts w:asciiTheme="majorHAnsi" w:eastAsia="MS Mincho" w:hAnsiTheme="majorHAnsi" w:cs="Cambria"/>
          <w:b/>
          <w:color w:val="000000"/>
          <w:sz w:val="16"/>
          <w:szCs w:val="16"/>
          <w:vertAlign w:val="superscript"/>
          <w:lang w:val="es-US" w:eastAsia="es-ES"/>
        </w:rPr>
        <w:t xml:space="preserve"> </w:t>
      </w:r>
      <w:r w:rsidRPr="00930562">
        <w:rPr>
          <w:rFonts w:asciiTheme="majorHAnsi" w:eastAsia="MS Mincho" w:hAnsiTheme="majorHAnsi" w:cs="Cambria"/>
          <w:color w:val="000000"/>
          <w:szCs w:val="20"/>
          <w:lang w:val="es-US" w:eastAsia="es-ES"/>
        </w:rPr>
        <w:t>A este respecto, la Comisión reitera su preocupación expresada en secciones anteriores por el escaso número de enjuiciamientos de agentes de policía implicados en ejecuciones extrajudiciales</w:t>
      </w:r>
      <w:r w:rsidRPr="00930562">
        <w:rPr>
          <w:rFonts w:asciiTheme="majorHAnsi" w:eastAsia="MS Mincho" w:hAnsiTheme="majorHAnsi" w:cs="Cambria"/>
          <w:color w:val="000000"/>
          <w:szCs w:val="20"/>
          <w:vertAlign w:val="superscript"/>
          <w:lang w:val="es-US" w:eastAsia="es-ES"/>
        </w:rPr>
        <w:footnoteReference w:id="628"/>
      </w:r>
      <w:r w:rsidRPr="00930562">
        <w:rPr>
          <w:rFonts w:asciiTheme="majorHAnsi" w:eastAsia="MS Mincho" w:hAnsiTheme="majorHAnsi" w:cs="Cambria"/>
          <w:color w:val="000000"/>
          <w:szCs w:val="20"/>
          <w:lang w:val="es-US" w:eastAsia="es-ES"/>
        </w:rPr>
        <w:t>, y por la presunta dificultad de proseguir los enjuiciamientos por crímenes de odio, en particular a la luz del rápido aumento del número de estos crímenes en los últimos años</w:t>
      </w:r>
      <w:r w:rsidRPr="00930562">
        <w:rPr>
          <w:rFonts w:asciiTheme="majorHAnsi" w:eastAsia="MS Mincho" w:hAnsiTheme="majorHAnsi" w:cs="Cambria"/>
          <w:color w:val="000000"/>
          <w:szCs w:val="20"/>
          <w:vertAlign w:val="superscript"/>
          <w:lang w:val="es-US" w:eastAsia="es-ES"/>
        </w:rPr>
        <w:footnoteReference w:id="629"/>
      </w:r>
      <w:r w:rsidRPr="00930562">
        <w:rPr>
          <w:rFonts w:asciiTheme="majorHAnsi" w:eastAsia="MS Mincho" w:hAnsiTheme="majorHAnsi" w:cs="Cambria"/>
          <w:color w:val="000000"/>
          <w:szCs w:val="20"/>
          <w:lang w:val="es-US" w:eastAsia="es-ES"/>
        </w:rPr>
        <w:t>.</w:t>
      </w:r>
    </w:p>
    <w:p w14:paraId="61CB1CDE"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rPr>
        <w:t>Asimismo, la Comisión considera pertinente señalar que, al reconocer los espacios y las circunstancias en que se concede a las personas una autonomía ilimitada respecto de los demás, las leyes “Defiende tu posición” (Stand Your Ground) pueden violar derechos fundamentales como la vida y la integridad física. La Comisión considera que los Estados tienen una obligación especial de protección frente a los actos y prácticas de terceros que crean situaciones discriminatorias, y el hecho de que el Estado no actúe en este contexto puede generar responsabilidad internacional</w:t>
      </w:r>
      <w:r w:rsidRPr="00930562">
        <w:rPr>
          <w:rFonts w:asciiTheme="majorHAnsi" w:hAnsiTheme="majorHAnsi"/>
          <w:szCs w:val="20"/>
          <w:vertAlign w:val="superscript"/>
          <w:lang w:val="es-US"/>
        </w:rPr>
        <w:footnoteReference w:id="630"/>
      </w:r>
      <w:r w:rsidRPr="00930562">
        <w:rPr>
          <w:rFonts w:asciiTheme="majorHAnsi" w:hAnsiTheme="majorHAnsi"/>
          <w:szCs w:val="20"/>
          <w:lang w:val="es-US"/>
        </w:rPr>
        <w:t>.</w:t>
      </w:r>
    </w:p>
    <w:p w14:paraId="481F4C6F" w14:textId="70159341"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rPr>
        <w:t>La Comisión hace hincapié en que los Estados deben velar p</w:t>
      </w:r>
      <w:r w:rsidR="002130A9" w:rsidRPr="00930562">
        <w:rPr>
          <w:rFonts w:asciiTheme="majorHAnsi" w:hAnsiTheme="majorHAnsi"/>
          <w:szCs w:val="20"/>
          <w:lang w:val="es-US"/>
        </w:rPr>
        <w:t>ara</w:t>
      </w:r>
      <w:r w:rsidRPr="00930562">
        <w:rPr>
          <w:rFonts w:asciiTheme="majorHAnsi" w:hAnsiTheme="majorHAnsi"/>
          <w:szCs w:val="20"/>
          <w:lang w:val="es-US"/>
        </w:rPr>
        <w:t xml:space="preserve"> que existan canales por los que las personas puedan solicitar a tribunales independientes que hagan valer sus derechos y reciban reparaciones por las violaciones declaradas</w:t>
      </w:r>
      <w:r w:rsidRPr="00930562">
        <w:rPr>
          <w:rFonts w:asciiTheme="majorHAnsi" w:hAnsiTheme="majorHAnsi"/>
          <w:szCs w:val="20"/>
          <w:vertAlign w:val="superscript"/>
          <w:lang w:val="es-US"/>
        </w:rPr>
        <w:footnoteReference w:id="631"/>
      </w:r>
      <w:r w:rsidRPr="00930562">
        <w:rPr>
          <w:rFonts w:asciiTheme="majorHAnsi" w:hAnsiTheme="majorHAnsi"/>
          <w:szCs w:val="20"/>
          <w:lang w:val="es-US"/>
        </w:rPr>
        <w:t>. Las barreras procesales y otras dinámicas, incluida la parcialidad de los órganos judiciales y la parcialidad de los fiscales, que limitan la capacidad de las personas para presentar quejas u obtener sanciones por mala conducta policial, pueden equivaler a la denegación de un recurso efectivo</w:t>
      </w:r>
      <w:r w:rsidRPr="00930562">
        <w:rPr>
          <w:rFonts w:asciiTheme="majorHAnsi" w:hAnsiTheme="majorHAnsi"/>
          <w:szCs w:val="20"/>
          <w:vertAlign w:val="superscript"/>
          <w:lang w:val="es-US"/>
        </w:rPr>
        <w:footnoteReference w:id="632"/>
      </w:r>
      <w:r w:rsidRPr="00930562">
        <w:rPr>
          <w:rFonts w:asciiTheme="majorHAnsi" w:hAnsiTheme="majorHAnsi"/>
          <w:szCs w:val="20"/>
          <w:lang w:val="es-US"/>
        </w:rPr>
        <w:t>. A este respecto, la Comisión reitera su preocupación por los obstáculos que se oponen a la rendición de cuentas efectiva por los asesinatos cometidos por la policía, incluidos los prejuicios entre los grandes jurados y los fiscales, la falta de investigaciones y enjuiciamientos independientes, la falta de recursos federales y de voluntad para investigar y enjuiciar, y los obstáculos procesales y probatorios que se oponen a que se inicien y concluyan con éxito procedimientos judiciales para obtener reparación</w:t>
      </w:r>
      <w:r w:rsidRPr="00930562">
        <w:rPr>
          <w:rFonts w:asciiTheme="majorHAnsi" w:hAnsiTheme="majorHAnsi"/>
          <w:szCs w:val="20"/>
          <w:vertAlign w:val="superscript"/>
          <w:lang w:val="es-US"/>
        </w:rPr>
        <w:footnoteReference w:id="633"/>
      </w:r>
      <w:r w:rsidRPr="00930562">
        <w:rPr>
          <w:rFonts w:asciiTheme="majorHAnsi" w:hAnsiTheme="majorHAnsi"/>
          <w:szCs w:val="20"/>
          <w:lang w:val="es-US"/>
        </w:rPr>
        <w:t>.</w:t>
      </w:r>
    </w:p>
    <w:p w14:paraId="73C42BB7" w14:textId="1352FD30"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eastAsia="MS Mincho" w:hAnsiTheme="majorHAnsi" w:cs="Cambria"/>
          <w:color w:val="000000"/>
          <w:szCs w:val="20"/>
          <w:lang w:val="es-US" w:eastAsia="es-ES"/>
        </w:rPr>
      </w:pPr>
      <w:r w:rsidRPr="00930562">
        <w:rPr>
          <w:rFonts w:asciiTheme="majorHAnsi" w:hAnsiTheme="majorHAnsi"/>
          <w:szCs w:val="20"/>
          <w:lang w:val="es-US"/>
        </w:rPr>
        <w:t xml:space="preserve">La Comisión sostiene además que existe una relación directa entre la idoneidad de los recursos judiciales disponibles y la posibilidad real de que </w:t>
      </w:r>
      <w:r w:rsidRPr="00930562">
        <w:rPr>
          <w:rFonts w:asciiTheme="majorHAnsi" w:hAnsiTheme="majorHAnsi"/>
          <w:szCs w:val="20"/>
          <w:lang w:val="es-US"/>
        </w:rPr>
        <w:lastRenderedPageBreak/>
        <w:t>se respeten los derechos económicos, sociales y culturales. La CIDH ha identificado el principio de igualdad de medios como parte integral del derecho</w:t>
      </w:r>
      <w:r w:rsidR="00733C3C" w:rsidRPr="00930562">
        <w:rPr>
          <w:rFonts w:asciiTheme="majorHAnsi" w:hAnsiTheme="majorHAnsi"/>
          <w:szCs w:val="20"/>
          <w:lang w:val="es-US"/>
        </w:rPr>
        <w:t xml:space="preserve"> a un juicio justo, dado que la condición</w:t>
      </w:r>
      <w:r w:rsidRPr="00930562">
        <w:rPr>
          <w:rFonts w:asciiTheme="majorHAnsi" w:hAnsiTheme="majorHAnsi"/>
          <w:szCs w:val="20"/>
          <w:lang w:val="es-US"/>
        </w:rPr>
        <w:t xml:space="preserve"> de desigualdad entre las partes en una controversia a menudo</w:t>
      </w:r>
      <w:r w:rsidRPr="00930562">
        <w:rPr>
          <w:rFonts w:asciiTheme="majorHAnsi" w:eastAsia="MS Mincho" w:hAnsiTheme="majorHAnsi" w:cs="Cambria"/>
          <w:color w:val="000000"/>
          <w:szCs w:val="20"/>
          <w:lang w:val="es-US" w:eastAsia="es-ES"/>
        </w:rPr>
        <w:t xml:space="preserve"> se traduce en desventajas en el marco de los procedimientos judiciales</w:t>
      </w:r>
      <w:r w:rsidRPr="00930562">
        <w:rPr>
          <w:rFonts w:asciiTheme="majorHAnsi" w:eastAsia="MS Mincho" w:hAnsiTheme="majorHAnsi" w:cs="Cambria"/>
          <w:color w:val="000000"/>
          <w:szCs w:val="20"/>
          <w:vertAlign w:val="superscript"/>
          <w:lang w:val="es-US" w:eastAsia="es-ES"/>
        </w:rPr>
        <w:footnoteReference w:id="634"/>
      </w:r>
      <w:r w:rsidRPr="00930562">
        <w:rPr>
          <w:rFonts w:asciiTheme="majorHAnsi" w:eastAsia="MS Mincho" w:hAnsiTheme="majorHAnsi" w:cs="Cambria"/>
          <w:color w:val="000000"/>
          <w:szCs w:val="20"/>
          <w:lang w:val="es-US" w:eastAsia="es-ES"/>
        </w:rPr>
        <w:t>. A este respecto, la Comisión recuerda la información y las preocupaciones expresadas a lo largo de este informe acerca de la situación histórica y estructural de marginación y pobreza racial a la que se enfrentan los af</w:t>
      </w:r>
      <w:r w:rsidR="00733C3C" w:rsidRPr="00930562">
        <w:rPr>
          <w:rFonts w:asciiTheme="majorHAnsi" w:eastAsia="MS Mincho" w:hAnsiTheme="majorHAnsi" w:cs="Cambria"/>
          <w:color w:val="000000"/>
          <w:szCs w:val="20"/>
          <w:lang w:val="es-US" w:eastAsia="es-ES"/>
        </w:rPr>
        <w:t>roamericano</w:t>
      </w:r>
      <w:r w:rsidRPr="00930562">
        <w:rPr>
          <w:rFonts w:asciiTheme="majorHAnsi" w:eastAsia="MS Mincho" w:hAnsiTheme="majorHAnsi" w:cs="Cambria"/>
          <w:color w:val="000000"/>
          <w:szCs w:val="20"/>
          <w:lang w:val="es-US" w:eastAsia="es-ES"/>
        </w:rPr>
        <w:t>s como grupo en los Estados Unidos. Por ejemplo, el impacto de la detención preventiva en las declaraciones de culpabilidad proporciona un claro indicador del impacto de las posiciones materialmente desiguales entre las partes en el resultado de los procedimientos judiciales</w:t>
      </w:r>
      <w:r w:rsidRPr="00930562">
        <w:rPr>
          <w:rFonts w:asciiTheme="majorHAnsi" w:eastAsia="MS Mincho" w:hAnsiTheme="majorHAnsi" w:cs="Cambria"/>
          <w:color w:val="000000"/>
          <w:szCs w:val="20"/>
          <w:vertAlign w:val="superscript"/>
          <w:lang w:val="es-US" w:eastAsia="es-ES"/>
        </w:rPr>
        <w:footnoteReference w:id="635"/>
      </w:r>
      <w:r w:rsidRPr="00930562">
        <w:rPr>
          <w:rFonts w:asciiTheme="majorHAnsi" w:eastAsia="MS Mincho" w:hAnsiTheme="majorHAnsi" w:cs="Cambria"/>
          <w:color w:val="000000"/>
          <w:szCs w:val="20"/>
          <w:lang w:val="es-US" w:eastAsia="es-ES"/>
        </w:rPr>
        <w:t>. La Comisión considera que la desigualdad real entre las partes en un procedimiento implica el deber del Estado de adoptar todas las medidas necesarias para remediar cualquier deficiencia que frustre la protección efectiva de los derechos, incluyendo el reconocimiento y la corrección de cualquier desventaja real que las partes en un procedimiento puedan tener, observando así el principio de igualdad ante la ley y la prohibición de la discriminación</w:t>
      </w:r>
      <w:r w:rsidRPr="00930562">
        <w:rPr>
          <w:rFonts w:asciiTheme="majorHAnsi" w:eastAsia="MS Mincho" w:hAnsiTheme="majorHAnsi" w:cs="Cambria"/>
          <w:color w:val="000000"/>
          <w:szCs w:val="20"/>
          <w:vertAlign w:val="superscript"/>
          <w:lang w:val="es-US" w:eastAsia="es-ES"/>
        </w:rPr>
        <w:footnoteReference w:id="636"/>
      </w:r>
      <w:r w:rsidRPr="00930562">
        <w:rPr>
          <w:rFonts w:asciiTheme="majorHAnsi" w:eastAsia="MS Mincho" w:hAnsiTheme="majorHAnsi" w:cs="Cambria"/>
          <w:color w:val="000000"/>
          <w:szCs w:val="20"/>
          <w:lang w:val="es-US" w:eastAsia="es-ES"/>
        </w:rPr>
        <w:t>. Así pues, las circunstancias particulares de un caso pueden determinar que sean necesarias garantías adicionales a las prescritas explícitamente en los instrumentos de derechos humanos pertinentes para garantizar un juicio imparcial</w:t>
      </w:r>
      <w:r w:rsidRPr="00930562">
        <w:rPr>
          <w:rFonts w:asciiTheme="majorHAnsi" w:eastAsia="MS Mincho" w:hAnsiTheme="majorHAnsi" w:cs="Cambria"/>
          <w:color w:val="000000"/>
          <w:szCs w:val="20"/>
          <w:vertAlign w:val="superscript"/>
          <w:lang w:val="es-US" w:eastAsia="es-ES"/>
        </w:rPr>
        <w:footnoteReference w:id="637"/>
      </w:r>
      <w:r w:rsidRPr="00930562">
        <w:rPr>
          <w:rFonts w:asciiTheme="majorHAnsi" w:eastAsia="MS Mincho" w:hAnsiTheme="majorHAnsi" w:cs="Cambria"/>
          <w:color w:val="000000"/>
          <w:szCs w:val="20"/>
          <w:lang w:val="es-US" w:eastAsia="es-ES"/>
        </w:rPr>
        <w:t>.</w:t>
      </w:r>
    </w:p>
    <w:p w14:paraId="47CE132D"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rPr>
        <w:t>La Comisión ha observado anteriormente que “la imposibilidad de acceso a mecanismos de denuncia y reparación, […] administrativos o judiciales, es un factor que contribuye a la persistencia del racismo en la región”, y “la ausencia de garantías judiciales y la falta de sensibilidad de los operadores de justicia en relación con la discriminación racial contribuyen a […] perpetuar patrones de segregación y exclusión”</w:t>
      </w:r>
      <w:r w:rsidRPr="00930562">
        <w:rPr>
          <w:rFonts w:asciiTheme="majorHAnsi" w:hAnsiTheme="majorHAnsi"/>
          <w:szCs w:val="20"/>
          <w:vertAlign w:val="superscript"/>
          <w:lang w:val="es-US"/>
        </w:rPr>
        <w:footnoteReference w:id="638"/>
      </w:r>
      <w:r w:rsidRPr="00930562">
        <w:rPr>
          <w:rFonts w:asciiTheme="majorHAnsi" w:hAnsiTheme="majorHAnsi"/>
          <w:szCs w:val="20"/>
          <w:lang w:val="es-US"/>
        </w:rPr>
        <w:t xml:space="preserve">. Ante esta situación, la Comisión ha llamado a los Estados a “adoptar medidas jurídicas y políticas para adecuar sus legislaciones y procesos internos y garantizar el efectivo acceso a la justicia [de los afrodescendientes]”, </w:t>
      </w:r>
      <w:proofErr w:type="gramStart"/>
      <w:r w:rsidRPr="00930562">
        <w:rPr>
          <w:rFonts w:asciiTheme="majorHAnsi" w:hAnsiTheme="majorHAnsi"/>
          <w:szCs w:val="20"/>
          <w:lang w:val="es-US"/>
        </w:rPr>
        <w:t>“ ten</w:t>
      </w:r>
      <w:proofErr w:type="gramEnd"/>
      <w:r w:rsidRPr="00930562">
        <w:rPr>
          <w:rFonts w:asciiTheme="majorHAnsi" w:hAnsiTheme="majorHAnsi"/>
          <w:szCs w:val="20"/>
          <w:lang w:val="es-US"/>
        </w:rPr>
        <w:t>[iendo] en cuenta los obstáculos materiales, económicos y jurídicos, y la situación sistemática de exclusión que padecen las personas afrodescendientes.”</w:t>
      </w:r>
      <w:r w:rsidRPr="00930562">
        <w:rPr>
          <w:rFonts w:asciiTheme="majorHAnsi" w:hAnsiTheme="majorHAnsi"/>
          <w:szCs w:val="20"/>
          <w:vertAlign w:val="superscript"/>
          <w:lang w:val="es-US"/>
        </w:rPr>
        <w:footnoteReference w:id="639"/>
      </w:r>
      <w:r w:rsidRPr="00930562">
        <w:rPr>
          <w:rFonts w:asciiTheme="majorHAnsi" w:hAnsiTheme="majorHAnsi"/>
          <w:szCs w:val="20"/>
          <w:lang w:val="es-US"/>
        </w:rPr>
        <w:t>.</w:t>
      </w:r>
    </w:p>
    <w:p w14:paraId="47C27D63"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eastAsia="Times New Roman" w:hAnsiTheme="majorHAnsi" w:cs="Verdana"/>
          <w:szCs w:val="20"/>
          <w:lang w:val="es-US" w:eastAsia="es-ES"/>
        </w:rPr>
      </w:pPr>
      <w:r w:rsidRPr="00930562">
        <w:rPr>
          <w:rFonts w:asciiTheme="majorHAnsi" w:hAnsiTheme="majorHAnsi"/>
          <w:szCs w:val="20"/>
          <w:lang w:val="es-US"/>
        </w:rPr>
        <w:lastRenderedPageBreak/>
        <w:t>La Comisión recuerda además los obstáculos que ha identificado anteriormente y que dificultan el acceso a la justicia de los afrodescendientes en las Américas generalmente en casos de violencia policial, incluyendo, entre otros: la burocracia del sistema judicial; la falta de un sistema de información inmediato; las barreras lingüísticas; la pobre gestión y organización de los tribunales; la falta de formación</w:t>
      </w:r>
      <w:r w:rsidRPr="00930562">
        <w:rPr>
          <w:rFonts w:asciiTheme="majorHAnsi" w:eastAsia="Times New Roman" w:hAnsiTheme="majorHAnsi" w:cs="Verdana"/>
          <w:szCs w:val="20"/>
          <w:lang w:val="es-US" w:eastAsia="es-ES"/>
        </w:rPr>
        <w:t xml:space="preserve"> de los operadores de justicia ; la insuficiencia de defensores públicos; el elevado costo de la contratación de un abogado y del proceso judicial; el desconocimiento de las medidas adoptadas y de los procedimientos de apelación; y la falta de recursos judiciales</w:t>
      </w:r>
      <w:r w:rsidRPr="00930562">
        <w:rPr>
          <w:rFonts w:asciiTheme="majorHAnsi" w:eastAsia="Times New Roman" w:hAnsiTheme="majorHAnsi" w:cs="Verdana"/>
          <w:szCs w:val="20"/>
          <w:vertAlign w:val="superscript"/>
          <w:lang w:val="es-US" w:eastAsia="es-ES"/>
        </w:rPr>
        <w:footnoteReference w:id="640"/>
      </w:r>
      <w:r w:rsidRPr="00930562">
        <w:rPr>
          <w:rFonts w:asciiTheme="majorHAnsi" w:eastAsia="Times New Roman" w:hAnsiTheme="majorHAnsi" w:cs="Verdana"/>
          <w:szCs w:val="20"/>
          <w:lang w:val="es-US" w:eastAsia="es-ES"/>
        </w:rPr>
        <w:t>. La Comisión insta al Estado a que adopte medidas eficaces para corregir y eliminar estas desigualdades estructurales cuando existan.</w:t>
      </w:r>
    </w:p>
    <w:p w14:paraId="0B512937" w14:textId="77777777" w:rsidR="006E177E" w:rsidRPr="00930562" w:rsidRDefault="006E177E" w:rsidP="008403E8">
      <w:pPr>
        <w:pStyle w:val="Heading3"/>
        <w:ind w:left="547" w:hanging="547"/>
        <w:rPr>
          <w:lang w:val="es-US"/>
        </w:rPr>
      </w:pPr>
      <w:bookmarkStart w:id="221" w:name="_Toc517779267"/>
      <w:bookmarkStart w:id="222" w:name="_Toc531514500"/>
      <w:r w:rsidRPr="00930562">
        <w:rPr>
          <w:lang w:val="es-US"/>
        </w:rPr>
        <w:t>Reparaciones</w:t>
      </w:r>
      <w:bookmarkStart w:id="223" w:name="_Ref507677091"/>
      <w:bookmarkEnd w:id="221"/>
      <w:bookmarkEnd w:id="222"/>
    </w:p>
    <w:bookmarkEnd w:id="223"/>
    <w:p w14:paraId="43A6EC2F"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eastAsia="MS Mincho" w:hAnsiTheme="majorHAnsi"/>
          <w:bCs/>
          <w:lang w:val="es-US" w:eastAsia="es-ES"/>
        </w:rPr>
        <w:t>La Comisión ha establecido que cualquier violación de una obligación internacional que resulte en daño crea el deber de realizar una reparación adecuada</w:t>
      </w:r>
      <w:r w:rsidRPr="00930562">
        <w:rPr>
          <w:rFonts w:asciiTheme="majorHAnsi" w:eastAsia="MS Mincho" w:hAnsiTheme="majorHAnsi"/>
          <w:vertAlign w:val="superscript"/>
          <w:lang w:val="es-US" w:eastAsia="es-ES"/>
        </w:rPr>
        <w:footnoteReference w:id="641"/>
      </w:r>
      <w:r w:rsidRPr="00930562">
        <w:rPr>
          <w:rFonts w:asciiTheme="majorHAnsi" w:eastAsia="MS Mincho" w:hAnsiTheme="majorHAnsi"/>
          <w:bCs/>
          <w:lang w:val="es-US" w:eastAsia="es-ES"/>
        </w:rPr>
        <w:t xml:space="preserve">. La reparación es un término genérico que abarca las diversas formas en que un Estado puede reparar la responsabilidad </w:t>
      </w:r>
      <w:r w:rsidRPr="00930562">
        <w:rPr>
          <w:rFonts w:asciiTheme="majorHAnsi" w:hAnsiTheme="majorHAnsi"/>
          <w:szCs w:val="20"/>
          <w:lang w:val="es-US"/>
        </w:rPr>
        <w:t>internacional en la que ha incurrido</w:t>
      </w:r>
      <w:r w:rsidRPr="00930562">
        <w:rPr>
          <w:rFonts w:asciiTheme="majorHAnsi" w:hAnsiTheme="majorHAnsi"/>
          <w:szCs w:val="20"/>
          <w:vertAlign w:val="superscript"/>
          <w:lang w:val="es-US"/>
        </w:rPr>
        <w:footnoteReference w:id="642"/>
      </w:r>
      <w:r w:rsidRPr="00930562">
        <w:rPr>
          <w:rFonts w:asciiTheme="majorHAnsi" w:hAnsiTheme="majorHAnsi"/>
          <w:szCs w:val="20"/>
          <w:lang w:val="es-US"/>
        </w:rPr>
        <w:t>.  La Comisión ha reconocido que los Estados pueden adoptar diversos medios de reparación, que incluyen mecanismos judiciales y no judiciales</w:t>
      </w:r>
      <w:r w:rsidRPr="00930562">
        <w:rPr>
          <w:rFonts w:asciiTheme="majorHAnsi" w:hAnsiTheme="majorHAnsi"/>
          <w:szCs w:val="20"/>
          <w:vertAlign w:val="superscript"/>
          <w:lang w:val="es-US"/>
        </w:rPr>
        <w:footnoteReference w:id="643"/>
      </w:r>
      <w:r w:rsidRPr="00930562">
        <w:rPr>
          <w:rFonts w:asciiTheme="majorHAnsi" w:hAnsiTheme="majorHAnsi"/>
          <w:szCs w:val="20"/>
          <w:lang w:val="es-US"/>
        </w:rPr>
        <w:t>. En virtud del derecho internacional, los recursos para las víctimas de graves violaciones de las normas internacionales de derechos humanos incluyen el acceso igual y efectivo a la justicia; el acceso a la información pertinente sobre las violaciones cometidas y los mecanismos de reparación disponibles; y la reparación adecuada, efectiva y rápida del daño sufrido</w:t>
      </w:r>
      <w:r w:rsidRPr="00930562">
        <w:rPr>
          <w:rFonts w:asciiTheme="majorHAnsi" w:hAnsiTheme="majorHAnsi"/>
          <w:szCs w:val="20"/>
          <w:vertAlign w:val="superscript"/>
          <w:lang w:val="es-US"/>
        </w:rPr>
        <w:footnoteReference w:id="644"/>
      </w:r>
      <w:r w:rsidRPr="00930562">
        <w:rPr>
          <w:rFonts w:asciiTheme="majorHAnsi" w:hAnsiTheme="majorHAnsi"/>
          <w:szCs w:val="20"/>
          <w:lang w:val="es-US"/>
        </w:rPr>
        <w:t xml:space="preserve">. </w:t>
      </w:r>
    </w:p>
    <w:p w14:paraId="75BFB2AB" w14:textId="538EBDCE"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rPr>
        <w:t>A fin de garantizar que las víctimas de violaciones de los derechos humanos tengan igual acceso a un recurso judicial efectivo, los Estados deberían velar por que esas obligaciones se reflejen efectivamente en el marco jurídico interno y p</w:t>
      </w:r>
      <w:r w:rsidR="009540AB" w:rsidRPr="00930562">
        <w:rPr>
          <w:rFonts w:asciiTheme="majorHAnsi" w:hAnsiTheme="majorHAnsi"/>
          <w:szCs w:val="20"/>
          <w:lang w:val="es-US"/>
        </w:rPr>
        <w:t>ara</w:t>
      </w:r>
      <w:r w:rsidRPr="00930562">
        <w:rPr>
          <w:rFonts w:asciiTheme="majorHAnsi" w:hAnsiTheme="majorHAnsi"/>
          <w:szCs w:val="20"/>
          <w:lang w:val="es-US"/>
        </w:rPr>
        <w:t xml:space="preserve"> que se garantice el acceso efectivo a esos </w:t>
      </w:r>
      <w:r w:rsidRPr="00930562">
        <w:rPr>
          <w:rFonts w:asciiTheme="majorHAnsi" w:hAnsiTheme="majorHAnsi"/>
          <w:szCs w:val="20"/>
          <w:lang w:val="es-US"/>
        </w:rPr>
        <w:lastRenderedPageBreak/>
        <w:t>mecanismos, así como a la información sobre ellos</w:t>
      </w:r>
      <w:r w:rsidRPr="00930562">
        <w:rPr>
          <w:rFonts w:asciiTheme="majorHAnsi" w:hAnsiTheme="majorHAnsi"/>
          <w:szCs w:val="20"/>
          <w:vertAlign w:val="superscript"/>
          <w:lang w:val="es-US"/>
        </w:rPr>
        <w:footnoteReference w:id="645"/>
      </w:r>
      <w:r w:rsidRPr="00930562">
        <w:rPr>
          <w:rFonts w:asciiTheme="majorHAnsi" w:hAnsiTheme="majorHAnsi"/>
          <w:szCs w:val="20"/>
          <w:lang w:val="es-US"/>
        </w:rPr>
        <w:t>. Los Estados deberían velar además por la difusión de información sobre todos los procesos internacionales disponibles y apropiados en los que una persona pueda tener legitimación procesal, sin perjuicio de otros recursos internos</w:t>
      </w:r>
      <w:r w:rsidRPr="00930562">
        <w:rPr>
          <w:rFonts w:asciiTheme="majorHAnsi" w:hAnsiTheme="majorHAnsi"/>
          <w:szCs w:val="20"/>
          <w:vertAlign w:val="superscript"/>
          <w:lang w:val="es-US"/>
        </w:rPr>
        <w:footnoteReference w:id="646"/>
      </w:r>
      <w:r w:rsidRPr="00930562">
        <w:rPr>
          <w:rFonts w:asciiTheme="majorHAnsi" w:hAnsiTheme="majorHAnsi"/>
          <w:szCs w:val="20"/>
          <w:lang w:val="es-US"/>
        </w:rPr>
        <w:t>.</w:t>
      </w:r>
    </w:p>
    <w:p w14:paraId="56364407"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eastAsia="MS Mincho" w:hAnsiTheme="majorHAnsi"/>
          <w:bCs/>
          <w:color w:val="000000"/>
          <w:szCs w:val="20"/>
          <w:lang w:val="es-US" w:eastAsia="es-ES"/>
        </w:rPr>
      </w:pPr>
      <w:r w:rsidRPr="00930562">
        <w:rPr>
          <w:rFonts w:asciiTheme="majorHAnsi" w:hAnsiTheme="majorHAnsi"/>
          <w:szCs w:val="20"/>
          <w:lang w:val="es-US"/>
        </w:rPr>
        <w:t xml:space="preserve"> La reparación integral (restitutio in integrum) implica el restablecimiento de la situación anterior y la eliminación de los efectos producidos por la violación, así como el pago de una indemnización por el daño causado</w:t>
      </w:r>
      <w:r w:rsidRPr="00930562">
        <w:rPr>
          <w:rFonts w:asciiTheme="majorHAnsi" w:hAnsiTheme="majorHAnsi"/>
          <w:szCs w:val="20"/>
          <w:vertAlign w:val="superscript"/>
          <w:lang w:val="es-US"/>
        </w:rPr>
        <w:footnoteReference w:id="647"/>
      </w:r>
      <w:r w:rsidRPr="00930562">
        <w:rPr>
          <w:rFonts w:asciiTheme="majorHAnsi" w:hAnsiTheme="majorHAnsi"/>
          <w:szCs w:val="20"/>
          <w:lang w:val="es-US"/>
        </w:rPr>
        <w:t>; por lo tanto, la reparación debe ser proporcional a la gravedad de las violaciones y del daño sufrido</w:t>
      </w:r>
      <w:r w:rsidRPr="00930562">
        <w:rPr>
          <w:rFonts w:asciiTheme="majorHAnsi" w:hAnsiTheme="majorHAnsi"/>
          <w:szCs w:val="20"/>
          <w:vertAlign w:val="superscript"/>
          <w:lang w:val="es-US"/>
        </w:rPr>
        <w:footnoteReference w:id="648"/>
      </w:r>
      <w:r w:rsidRPr="00930562">
        <w:rPr>
          <w:rFonts w:asciiTheme="majorHAnsi" w:hAnsiTheme="majorHAnsi"/>
          <w:szCs w:val="20"/>
          <w:lang w:val="es-US"/>
        </w:rPr>
        <w:t>. La jurisprudencia interamericana ha establecido que las víctimas de violaciones de derechos humanos tienen derecho a una indemnización adecuada por el daño causado, que debe materializarse en medidas individuales calculadas para constituir restitución</w:t>
      </w:r>
      <w:r w:rsidRPr="00930562">
        <w:rPr>
          <w:rFonts w:asciiTheme="majorHAnsi" w:eastAsia="MS Mincho" w:hAnsiTheme="majorHAnsi"/>
          <w:szCs w:val="20"/>
          <w:lang w:val="es-US" w:eastAsia="es-ES"/>
        </w:rPr>
        <w:t>, indemnización y rehabilitación para la víctima, así como medidas generales de satisfacción y garantías de no repetición</w:t>
      </w:r>
      <w:r w:rsidRPr="00930562">
        <w:rPr>
          <w:rFonts w:asciiTheme="majorHAnsi" w:eastAsia="MS Mincho" w:hAnsiTheme="majorHAnsi"/>
          <w:szCs w:val="20"/>
          <w:vertAlign w:val="superscript"/>
          <w:lang w:val="es-US" w:eastAsia="es-ES"/>
        </w:rPr>
        <w:footnoteReference w:id="649"/>
      </w:r>
      <w:r w:rsidRPr="00930562">
        <w:rPr>
          <w:rFonts w:asciiTheme="majorHAnsi" w:eastAsia="MS Mincho" w:hAnsiTheme="majorHAnsi"/>
          <w:szCs w:val="20"/>
          <w:lang w:val="es-US" w:eastAsia="es-ES"/>
        </w:rPr>
        <w:t>. En todos los casos, la naturaleza y el monto de las reparaciones ordenadas dependen de las características de la violación y del daño pecuniario e inmaterial causado; una o más medidas pueden reparar un daño específico, sin que se considere doble reparación</w:t>
      </w:r>
      <w:r w:rsidRPr="00930562">
        <w:rPr>
          <w:rFonts w:asciiTheme="majorHAnsi" w:eastAsia="MS Mincho" w:hAnsiTheme="majorHAnsi"/>
          <w:szCs w:val="20"/>
          <w:vertAlign w:val="superscript"/>
          <w:lang w:val="es-US" w:eastAsia="es-ES"/>
        </w:rPr>
        <w:footnoteReference w:id="650"/>
      </w:r>
      <w:r w:rsidRPr="00930562">
        <w:rPr>
          <w:rFonts w:asciiTheme="majorHAnsi" w:eastAsia="MS Mincho" w:hAnsiTheme="majorHAnsi"/>
          <w:szCs w:val="20"/>
          <w:lang w:val="es-US" w:eastAsia="es-ES"/>
        </w:rPr>
        <w:t>.</w:t>
      </w:r>
    </w:p>
    <w:p w14:paraId="7ADCAEC2"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eastAsia="MS Mincho" w:hAnsiTheme="majorHAnsi"/>
          <w:color w:val="000000"/>
          <w:szCs w:val="20"/>
          <w:lang w:val="es-US" w:eastAsia="es-ES"/>
        </w:rPr>
        <w:t>Un Estado otorgará reparación a las víctimas por los actos u omisiones que puedan atribuírsele</w:t>
      </w:r>
      <w:r w:rsidRPr="00930562">
        <w:rPr>
          <w:rFonts w:asciiTheme="majorHAnsi" w:eastAsia="MS Mincho" w:hAnsiTheme="majorHAnsi"/>
          <w:color w:val="000000"/>
          <w:szCs w:val="20"/>
          <w:vertAlign w:val="superscript"/>
          <w:lang w:val="es-US" w:eastAsia="es-ES"/>
        </w:rPr>
        <w:footnoteReference w:id="651"/>
      </w:r>
      <w:r w:rsidRPr="00930562">
        <w:rPr>
          <w:rFonts w:asciiTheme="majorHAnsi" w:eastAsia="MS Mincho" w:hAnsiTheme="majorHAnsi"/>
          <w:color w:val="000000"/>
          <w:szCs w:val="20"/>
          <w:lang w:val="es-US" w:eastAsia="es-ES"/>
        </w:rPr>
        <w:t xml:space="preserve">; los Estados deben esforzarse además por establecer programas nacionales de reparación y otro tipo de asistencia a las víctimas en caso de que las partes responsables de los daños sufridos no </w:t>
      </w:r>
      <w:r w:rsidRPr="00930562">
        <w:rPr>
          <w:rFonts w:asciiTheme="majorHAnsi" w:hAnsiTheme="majorHAnsi"/>
          <w:szCs w:val="20"/>
          <w:lang w:val="es-US"/>
        </w:rPr>
        <w:t>puedan o no quieran cumplir sus obligaciones</w:t>
      </w:r>
      <w:r w:rsidRPr="00930562">
        <w:rPr>
          <w:rFonts w:asciiTheme="majorHAnsi" w:hAnsiTheme="majorHAnsi"/>
          <w:szCs w:val="20"/>
          <w:vertAlign w:val="superscript"/>
          <w:lang w:val="es-US"/>
        </w:rPr>
        <w:footnoteReference w:id="652"/>
      </w:r>
      <w:r w:rsidRPr="00930562">
        <w:rPr>
          <w:rFonts w:asciiTheme="majorHAnsi" w:hAnsiTheme="majorHAnsi"/>
          <w:szCs w:val="20"/>
          <w:lang w:val="es-US"/>
        </w:rPr>
        <w:t xml:space="preserve">. La Corte Interamericana ha sostenido que “en casos de violaciones de derechos humanos el deber de reparar es propio del Estado, por lo que si bien las víctimas o sus familiares deben tener amplias oportunidades también en la búsqueda de una justa compensación en el derecho interno, este deber no puede descansar </w:t>
      </w:r>
      <w:r w:rsidRPr="00930562">
        <w:rPr>
          <w:rFonts w:asciiTheme="majorHAnsi" w:hAnsiTheme="majorHAnsi"/>
          <w:szCs w:val="20"/>
          <w:lang w:val="es-US"/>
        </w:rPr>
        <w:lastRenderedPageBreak/>
        <w:t>exclusivamente en su iniciativa procesal o en la aportación privada de elementos probatorios”</w:t>
      </w:r>
      <w:r w:rsidRPr="00930562">
        <w:rPr>
          <w:rFonts w:asciiTheme="majorHAnsi" w:hAnsiTheme="majorHAnsi"/>
          <w:szCs w:val="20"/>
          <w:vertAlign w:val="superscript"/>
          <w:lang w:val="es-US"/>
        </w:rPr>
        <w:footnoteReference w:id="653"/>
      </w:r>
      <w:r w:rsidRPr="00930562">
        <w:rPr>
          <w:rFonts w:asciiTheme="majorHAnsi" w:hAnsiTheme="majorHAnsi"/>
          <w:szCs w:val="20"/>
          <w:lang w:val="es-US"/>
        </w:rPr>
        <w:t xml:space="preserve">. </w:t>
      </w:r>
    </w:p>
    <w:p w14:paraId="7F295018"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rPr>
        <w:t>Muchos de los principios generales de reparación y restitución ya aplicables en los países de tradición jurídica anglosajona se aplican también a la reparación de las violaciones de los derechos humanos. Por ejemplo, un Estado proporcionará reparación a las víctimas por actos u omisiones que puedan atribuirse al Estado</w:t>
      </w:r>
      <w:r w:rsidRPr="00930562">
        <w:rPr>
          <w:rFonts w:asciiTheme="majorHAnsi" w:hAnsiTheme="majorHAnsi"/>
          <w:szCs w:val="20"/>
          <w:vertAlign w:val="superscript"/>
          <w:lang w:val="es-US"/>
        </w:rPr>
        <w:footnoteReference w:id="654"/>
      </w:r>
      <w:r w:rsidRPr="00930562">
        <w:rPr>
          <w:rFonts w:asciiTheme="majorHAnsi" w:hAnsiTheme="majorHAnsi"/>
          <w:szCs w:val="20"/>
          <w:lang w:val="es-US"/>
        </w:rPr>
        <w:t>; además, los Estados deben esforzarse por establecer programas nacionales de reparación y otras formas de asistencia a las víctimas cuando las partes responsables del daño no puedan o no quieran cumplir sus obligaciones</w:t>
      </w:r>
      <w:r w:rsidRPr="00930562">
        <w:rPr>
          <w:rFonts w:asciiTheme="majorHAnsi" w:hAnsiTheme="majorHAnsi"/>
          <w:szCs w:val="20"/>
          <w:vertAlign w:val="superscript"/>
          <w:lang w:val="es-US"/>
        </w:rPr>
        <w:footnoteReference w:id="655"/>
      </w:r>
      <w:r w:rsidRPr="00930562">
        <w:rPr>
          <w:rFonts w:asciiTheme="majorHAnsi" w:hAnsiTheme="majorHAnsi"/>
          <w:szCs w:val="20"/>
          <w:lang w:val="es-US"/>
        </w:rPr>
        <w:t>. La reparación debe ser proporcional a la gravedad de las violaciones y al daño sufrido</w:t>
      </w:r>
      <w:r w:rsidRPr="00930562">
        <w:rPr>
          <w:rFonts w:asciiTheme="majorHAnsi" w:hAnsiTheme="majorHAnsi"/>
          <w:szCs w:val="20"/>
          <w:vertAlign w:val="superscript"/>
          <w:lang w:val="es-US"/>
        </w:rPr>
        <w:footnoteReference w:id="656"/>
      </w:r>
      <w:r w:rsidRPr="00930562">
        <w:rPr>
          <w:rFonts w:asciiTheme="majorHAnsi" w:hAnsiTheme="majorHAnsi"/>
          <w:szCs w:val="20"/>
          <w:lang w:val="es-US"/>
        </w:rPr>
        <w:t>. En este sentido, la naturaleza y el monto de las reparaciones ordenadas dependen de las características de la violación y del daño pecuniario e inmaterial causado; una o más medidas pueden reparar un daño específico, sin que se considere doble reparación</w:t>
      </w:r>
      <w:r w:rsidRPr="00930562">
        <w:rPr>
          <w:rFonts w:asciiTheme="majorHAnsi" w:hAnsiTheme="majorHAnsi"/>
          <w:szCs w:val="20"/>
          <w:vertAlign w:val="superscript"/>
          <w:lang w:val="es-US"/>
        </w:rPr>
        <w:footnoteReference w:id="657"/>
      </w:r>
      <w:r w:rsidRPr="00930562">
        <w:rPr>
          <w:rFonts w:asciiTheme="majorHAnsi" w:hAnsiTheme="majorHAnsi"/>
          <w:szCs w:val="20"/>
          <w:lang w:val="es-US"/>
        </w:rPr>
        <w:t>. En los casos en que se determine que una persona, una persona jurídica u otra entidad es responsable de la reparación a una víctima, esa parte debe proporcionar reparación a la víctima o indemnizar al Estado, si el Estado ya ha proporcionado reparación a la víctima</w:t>
      </w:r>
      <w:r w:rsidRPr="00930562">
        <w:rPr>
          <w:rFonts w:asciiTheme="majorHAnsi" w:hAnsiTheme="majorHAnsi"/>
          <w:szCs w:val="20"/>
          <w:vertAlign w:val="superscript"/>
          <w:lang w:val="es-US"/>
        </w:rPr>
        <w:footnoteReference w:id="658"/>
      </w:r>
      <w:r w:rsidRPr="00930562">
        <w:rPr>
          <w:rFonts w:asciiTheme="majorHAnsi" w:hAnsiTheme="majorHAnsi"/>
          <w:szCs w:val="20"/>
          <w:lang w:val="es-US"/>
        </w:rPr>
        <w:t>. Los Estados, con respecto a las reclamaciones de las víctimas, ejecutarán las sentencias nacionales de reparación contra las personas o entidades responsables de los daños sufridos y se esforzarán por hacer cumplir las sentencias extranjeras válidas de reparación de conformidad con el derecho interno y las obligaciones jurídicas internacionales</w:t>
      </w:r>
      <w:r w:rsidRPr="00930562">
        <w:rPr>
          <w:rFonts w:asciiTheme="majorHAnsi" w:hAnsiTheme="majorHAnsi"/>
          <w:szCs w:val="20"/>
          <w:vertAlign w:val="superscript"/>
          <w:lang w:val="es-US"/>
        </w:rPr>
        <w:footnoteReference w:id="659"/>
      </w:r>
      <w:r w:rsidRPr="00930562">
        <w:rPr>
          <w:rFonts w:asciiTheme="majorHAnsi" w:hAnsiTheme="majorHAnsi"/>
          <w:szCs w:val="20"/>
          <w:lang w:val="es-US"/>
        </w:rPr>
        <w:t>.</w:t>
      </w:r>
    </w:p>
    <w:p w14:paraId="6EF2A014"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eastAsia="MS Mincho" w:hAnsiTheme="majorHAnsi"/>
          <w:bCs/>
          <w:color w:val="000000"/>
          <w:szCs w:val="20"/>
          <w:lang w:val="es-US" w:eastAsia="es-ES"/>
        </w:rPr>
      </w:pPr>
      <w:r w:rsidRPr="00930562">
        <w:rPr>
          <w:rFonts w:asciiTheme="majorHAnsi" w:hAnsiTheme="majorHAnsi"/>
          <w:szCs w:val="20"/>
          <w:lang w:val="es-US"/>
        </w:rPr>
        <w:t>Sin embargo, en un contexto de discriminación estructural, la Comisión ha respaldado previamente la posición de que “las reparaciones deben tener una vocación transformadora de dicha situación [estructural], de tal forma que las mismas tengan un efecto no sólo restitutivo sino también correctivo”</w:t>
      </w:r>
      <w:r w:rsidRPr="00930562">
        <w:rPr>
          <w:rFonts w:asciiTheme="majorHAnsi" w:hAnsiTheme="majorHAnsi"/>
          <w:szCs w:val="20"/>
          <w:vertAlign w:val="superscript"/>
          <w:lang w:val="es-US"/>
        </w:rPr>
        <w:footnoteReference w:id="660"/>
      </w:r>
      <w:r w:rsidRPr="00930562">
        <w:rPr>
          <w:rFonts w:asciiTheme="majorHAnsi" w:hAnsiTheme="majorHAnsi"/>
          <w:szCs w:val="20"/>
          <w:lang w:val="es-US"/>
        </w:rPr>
        <w:t>. Por lo tanto, “el restablecimiento del mismo contexto estructural de violencia y discrimina</w:t>
      </w:r>
      <w:r w:rsidRPr="00930562">
        <w:rPr>
          <w:rFonts w:asciiTheme="majorHAnsi" w:eastAsia="MS Mincho" w:hAnsiTheme="majorHAnsi"/>
          <w:szCs w:val="20"/>
          <w:lang w:val="es-US" w:eastAsia="es-ES"/>
        </w:rPr>
        <w:t>ción [que existía anteriormente] no es aceptable”</w:t>
      </w:r>
      <w:r w:rsidRPr="00930562">
        <w:rPr>
          <w:rFonts w:asciiTheme="majorHAnsi" w:eastAsia="MS Mincho" w:hAnsiTheme="majorHAnsi"/>
          <w:szCs w:val="20"/>
          <w:vertAlign w:val="superscript"/>
          <w:lang w:val="es-US" w:eastAsia="es-ES"/>
        </w:rPr>
        <w:footnoteReference w:id="661"/>
      </w:r>
      <w:r w:rsidRPr="00930562">
        <w:rPr>
          <w:rFonts w:asciiTheme="majorHAnsi" w:eastAsia="MS Mincho" w:hAnsiTheme="majorHAnsi"/>
          <w:szCs w:val="20"/>
          <w:lang w:val="es-US" w:eastAsia="es-ES"/>
        </w:rPr>
        <w:t xml:space="preserve">. Esta obligación también puede articularse como parte de la </w:t>
      </w:r>
      <w:r w:rsidRPr="00930562">
        <w:rPr>
          <w:rFonts w:asciiTheme="majorHAnsi" w:eastAsia="MS Mincho" w:hAnsiTheme="majorHAnsi"/>
          <w:szCs w:val="20"/>
          <w:lang w:val="es-US" w:eastAsia="es-ES"/>
        </w:rPr>
        <w:lastRenderedPageBreak/>
        <w:t>obligación del Estado de actuar con la debida diligencia</w:t>
      </w:r>
      <w:r w:rsidRPr="00930562">
        <w:rPr>
          <w:rFonts w:asciiTheme="majorHAnsi" w:eastAsia="MS Mincho" w:hAnsiTheme="majorHAnsi"/>
          <w:szCs w:val="20"/>
          <w:vertAlign w:val="superscript"/>
          <w:lang w:val="es-US" w:eastAsia="es-ES"/>
        </w:rPr>
        <w:footnoteReference w:id="662"/>
      </w:r>
      <w:r w:rsidRPr="00930562">
        <w:rPr>
          <w:rFonts w:asciiTheme="majorHAnsi" w:eastAsia="MS Mincho" w:hAnsiTheme="majorHAnsi"/>
          <w:szCs w:val="20"/>
          <w:lang w:val="es-US" w:eastAsia="es-ES"/>
        </w:rPr>
        <w:t>. La Comisión ha considerado que en la región existe una situación estructural de discriminación contra los afrodescendientes, y que este contexto de violencia estructural contribuye a una situación de impunidad y falta de reparación por los asesinatos por parte de la policía en Estados Unidos</w:t>
      </w:r>
      <w:r w:rsidRPr="00930562">
        <w:rPr>
          <w:rFonts w:asciiTheme="majorHAnsi" w:eastAsia="MS Mincho" w:hAnsiTheme="majorHAnsi"/>
          <w:szCs w:val="20"/>
          <w:vertAlign w:val="superscript"/>
          <w:lang w:val="es-US" w:eastAsia="es-ES"/>
        </w:rPr>
        <w:footnoteReference w:id="663"/>
      </w:r>
      <w:r w:rsidRPr="00930562">
        <w:rPr>
          <w:rFonts w:asciiTheme="majorHAnsi" w:eastAsia="MS Mincho" w:hAnsiTheme="majorHAnsi"/>
          <w:szCs w:val="20"/>
          <w:lang w:val="es-US" w:eastAsia="es-ES"/>
        </w:rPr>
        <w:t>.</w:t>
      </w:r>
      <w:r w:rsidRPr="00930562">
        <w:rPr>
          <w:rFonts w:asciiTheme="majorHAnsi" w:eastAsia="MS Mincho" w:hAnsiTheme="majorHAnsi"/>
          <w:b/>
          <w:sz w:val="16"/>
          <w:szCs w:val="16"/>
          <w:vertAlign w:val="superscript"/>
          <w:lang w:val="es-US" w:eastAsia="es-ES"/>
        </w:rPr>
        <w:t xml:space="preserve"> </w:t>
      </w:r>
      <w:r w:rsidRPr="00930562">
        <w:rPr>
          <w:rFonts w:asciiTheme="majorHAnsi" w:eastAsia="MS Mincho" w:hAnsiTheme="majorHAnsi"/>
          <w:szCs w:val="20"/>
          <w:lang w:val="es-US" w:eastAsia="es-ES"/>
        </w:rPr>
        <w:t>Ante esta situación, la Comisión reitera que los Estados Unidos deben tomar medidas urgentes para remediar la situación de discriminación histórica y estructural contra los afroestadounidenses a fin de transformar la situación subyacente de desigualdad en la que se producen las violaciones concretas examinadas en el presente informe.</w:t>
      </w:r>
    </w:p>
    <w:p w14:paraId="6CF406BD"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eastAsia="MS Mincho" w:hAnsiTheme="majorHAnsi"/>
          <w:color w:val="000000"/>
          <w:szCs w:val="20"/>
          <w:lang w:val="es-US" w:eastAsia="es-ES"/>
        </w:rPr>
        <w:t xml:space="preserve">La </w:t>
      </w:r>
      <w:r w:rsidRPr="00930562">
        <w:rPr>
          <w:rFonts w:asciiTheme="majorHAnsi" w:eastAsia="MS Mincho" w:hAnsiTheme="majorHAnsi"/>
          <w:i/>
          <w:color w:val="000000"/>
          <w:szCs w:val="20"/>
          <w:lang w:val="es-US" w:eastAsia="es-ES"/>
        </w:rPr>
        <w:t>restitución</w:t>
      </w:r>
      <w:r w:rsidRPr="00930562">
        <w:rPr>
          <w:rFonts w:asciiTheme="majorHAnsi" w:eastAsia="MS Mincho" w:hAnsiTheme="majorHAnsi"/>
          <w:color w:val="000000"/>
          <w:szCs w:val="20"/>
          <w:lang w:val="es-US" w:eastAsia="es-ES"/>
        </w:rPr>
        <w:t xml:space="preserve"> debe, siempre que sea posible, restaurar a la víctima a la situación original antes de que </w:t>
      </w:r>
      <w:r w:rsidRPr="00930562">
        <w:rPr>
          <w:rFonts w:asciiTheme="majorHAnsi" w:hAnsiTheme="majorHAnsi"/>
          <w:szCs w:val="20"/>
          <w:lang w:val="es-US"/>
        </w:rPr>
        <w:t>ocurrieran las violaciones a los derechos humanos. La restitución incluye, según proceda: el restablecimiento de la libertad, el disfrute de los derechos humanos, la identidad, la vida familiar y la ciudadanía, el regreso al lugar de residencia, el restablecimiento del empleo y la restitución de los bienes</w:t>
      </w:r>
      <w:r w:rsidRPr="00930562">
        <w:rPr>
          <w:rFonts w:asciiTheme="majorHAnsi" w:hAnsiTheme="majorHAnsi"/>
          <w:szCs w:val="20"/>
          <w:vertAlign w:val="superscript"/>
          <w:lang w:val="es-US"/>
        </w:rPr>
        <w:footnoteReference w:id="664"/>
      </w:r>
      <w:r w:rsidRPr="00930562">
        <w:rPr>
          <w:rFonts w:asciiTheme="majorHAnsi" w:hAnsiTheme="majorHAnsi"/>
          <w:szCs w:val="20"/>
          <w:lang w:val="es-US"/>
        </w:rPr>
        <w:t>.</w:t>
      </w:r>
    </w:p>
    <w:p w14:paraId="68B37B04"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szCs w:val="20"/>
          <w:lang w:val="es-US"/>
        </w:rPr>
        <w:t>Debe preverse una compensación por todo daño económicamente evaluable, según proceda y sea proporcional a la gravedad de la violación y a las circunstancias de cada caso, en particular:</w:t>
      </w:r>
    </w:p>
    <w:p w14:paraId="48833A1F" w14:textId="77777777" w:rsidR="006E177E" w:rsidRPr="00930562" w:rsidRDefault="006E177E" w:rsidP="004C5CDF">
      <w:pPr>
        <w:numPr>
          <w:ilvl w:val="0"/>
          <w:numId w:val="23"/>
        </w:numPr>
        <w:shd w:val="clear" w:color="auto" w:fill="FFFFFF"/>
        <w:spacing w:after="120" w:line="240" w:lineRule="auto"/>
        <w:ind w:left="1094" w:hanging="547"/>
        <w:jc w:val="both"/>
        <w:rPr>
          <w:rFonts w:asciiTheme="majorHAnsi" w:eastAsia="MS Mincho" w:hAnsiTheme="majorHAnsi"/>
          <w:color w:val="000000"/>
          <w:szCs w:val="20"/>
          <w:lang w:val="es-US" w:eastAsia="es-ES"/>
        </w:rPr>
      </w:pPr>
      <w:r w:rsidRPr="00930562">
        <w:rPr>
          <w:rFonts w:asciiTheme="majorHAnsi" w:eastAsia="MS Mincho" w:hAnsiTheme="majorHAnsi"/>
          <w:color w:val="000000"/>
          <w:szCs w:val="20"/>
          <w:lang w:val="es-US" w:eastAsia="es-ES"/>
        </w:rPr>
        <w:t>Daños patrimoniales (incluyendo daños consecuenciales y lucro cesante);</w:t>
      </w:r>
    </w:p>
    <w:p w14:paraId="6D597FCA" w14:textId="77777777" w:rsidR="006E177E" w:rsidRPr="00930562" w:rsidRDefault="006E177E" w:rsidP="004C5CDF">
      <w:pPr>
        <w:numPr>
          <w:ilvl w:val="0"/>
          <w:numId w:val="23"/>
        </w:numPr>
        <w:shd w:val="clear" w:color="auto" w:fill="FFFFFF"/>
        <w:spacing w:after="120" w:line="240" w:lineRule="auto"/>
        <w:ind w:left="1094" w:hanging="547"/>
        <w:jc w:val="both"/>
        <w:rPr>
          <w:rFonts w:asciiTheme="majorHAnsi" w:eastAsia="MS Mincho" w:hAnsiTheme="majorHAnsi"/>
          <w:color w:val="000000"/>
          <w:szCs w:val="20"/>
          <w:lang w:val="es-US" w:eastAsia="es-ES"/>
        </w:rPr>
      </w:pPr>
      <w:r w:rsidRPr="00930562">
        <w:rPr>
          <w:rFonts w:asciiTheme="majorHAnsi" w:eastAsia="MS Mincho" w:hAnsiTheme="majorHAnsi"/>
          <w:color w:val="000000"/>
          <w:szCs w:val="20"/>
          <w:lang w:val="es-US" w:eastAsia="es-ES"/>
        </w:rPr>
        <w:t>Daños no pecuniarios (incluyendo el daño moral); y</w:t>
      </w:r>
    </w:p>
    <w:p w14:paraId="1D8861FE" w14:textId="77777777" w:rsidR="006E177E" w:rsidRPr="00930562" w:rsidRDefault="006E177E" w:rsidP="004C5CDF">
      <w:pPr>
        <w:numPr>
          <w:ilvl w:val="0"/>
          <w:numId w:val="23"/>
        </w:numPr>
        <w:shd w:val="clear" w:color="auto" w:fill="FFFFFF"/>
        <w:spacing w:after="120" w:line="240" w:lineRule="auto"/>
        <w:ind w:left="1094" w:hanging="547"/>
        <w:jc w:val="both"/>
        <w:rPr>
          <w:rFonts w:asciiTheme="majorHAnsi" w:eastAsia="MS Mincho" w:hAnsiTheme="majorHAnsi"/>
          <w:color w:val="000000"/>
          <w:szCs w:val="20"/>
          <w:lang w:val="es-US" w:eastAsia="es-ES"/>
        </w:rPr>
      </w:pPr>
      <w:r w:rsidRPr="00930562">
        <w:rPr>
          <w:rFonts w:asciiTheme="majorHAnsi" w:eastAsia="MS Mincho" w:hAnsiTheme="majorHAnsi"/>
          <w:color w:val="000000"/>
          <w:szCs w:val="20"/>
          <w:lang w:val="es-US" w:eastAsia="es-ES"/>
        </w:rPr>
        <w:t>Costos de asistencia legal o de expertos, medicamentos y servicios médicos, y servicios psicológicos y sociales</w:t>
      </w:r>
      <w:r w:rsidRPr="00930562">
        <w:rPr>
          <w:rFonts w:asciiTheme="majorHAnsi" w:eastAsia="MS Mincho" w:hAnsiTheme="majorHAnsi"/>
          <w:color w:val="000000"/>
          <w:szCs w:val="20"/>
          <w:vertAlign w:val="superscript"/>
          <w:lang w:val="es-US" w:eastAsia="es-ES"/>
        </w:rPr>
        <w:footnoteReference w:id="665"/>
      </w:r>
      <w:r w:rsidRPr="00930562">
        <w:rPr>
          <w:rFonts w:asciiTheme="majorHAnsi" w:eastAsia="MS Mincho" w:hAnsiTheme="majorHAnsi"/>
          <w:color w:val="000000"/>
          <w:szCs w:val="20"/>
          <w:lang w:val="es-US" w:eastAsia="es-ES"/>
        </w:rPr>
        <w:t>.</w:t>
      </w:r>
    </w:p>
    <w:p w14:paraId="14241F9F"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eastAsia="MS Mincho" w:hAnsiTheme="majorHAnsi"/>
          <w:color w:val="000000"/>
          <w:szCs w:val="20"/>
          <w:lang w:val="es-US" w:eastAsia="es-ES"/>
        </w:rPr>
        <w:t xml:space="preserve">La Corte Interamericana ha considerado anteriormente que el daño no pecuniario incluye el dolor y el sufrimiento causado a la víctima directa y a sus familiares, el menoscabo de valores que son </w:t>
      </w:r>
      <w:r w:rsidRPr="00930562">
        <w:rPr>
          <w:rFonts w:asciiTheme="majorHAnsi" w:hAnsiTheme="majorHAnsi"/>
          <w:szCs w:val="20"/>
          <w:lang w:val="es-US"/>
        </w:rPr>
        <w:t xml:space="preserve">significativos para un individuo, y también el daño no pecuniario causado por alteraciones en las condiciones de vida de la víctima y de sus familiares. Dado que no es posible asignar una cantidad monetaria precisa a ese daño, sólo puede ser indemnizado mediante el pago de una suma de dinero o la entrega de bienes o servicios con un valor pecuniario establecido por el tribunal </w:t>
      </w:r>
      <w:r w:rsidRPr="00930562">
        <w:rPr>
          <w:rFonts w:asciiTheme="majorHAnsi" w:hAnsiTheme="majorHAnsi"/>
          <w:szCs w:val="20"/>
          <w:lang w:val="es-US"/>
        </w:rPr>
        <w:lastRenderedPageBreak/>
        <w:t>competente, en equidad, así como mediante actos u obras de alcance o impacto público destinados a reconocer la dignidad de la víctima y evitar que se produzcan violaciones de los derechos humanos</w:t>
      </w:r>
      <w:r w:rsidRPr="00930562">
        <w:rPr>
          <w:rFonts w:asciiTheme="majorHAnsi" w:hAnsiTheme="majorHAnsi"/>
          <w:szCs w:val="20"/>
          <w:vertAlign w:val="superscript"/>
          <w:lang w:val="es-US"/>
        </w:rPr>
        <w:footnoteReference w:id="666"/>
      </w:r>
      <w:r w:rsidRPr="00930562">
        <w:rPr>
          <w:rFonts w:asciiTheme="majorHAnsi" w:hAnsiTheme="majorHAnsi"/>
          <w:szCs w:val="20"/>
          <w:lang w:val="es-US"/>
        </w:rPr>
        <w:t>.</w:t>
      </w:r>
    </w:p>
    <w:p w14:paraId="48DDE224"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eastAsia="MS Mincho" w:hAnsiTheme="majorHAnsi"/>
          <w:color w:val="000000"/>
          <w:szCs w:val="20"/>
          <w:lang w:val="es-US" w:eastAsia="es-ES"/>
        </w:rPr>
      </w:pPr>
      <w:r w:rsidRPr="00930562">
        <w:rPr>
          <w:rFonts w:asciiTheme="majorHAnsi" w:hAnsiTheme="majorHAnsi"/>
          <w:szCs w:val="20"/>
          <w:lang w:val="es-US"/>
        </w:rPr>
        <w:t>La rehabilitación debe incluir un tratamiento médico, psicológico o psiquiátrico adecuado y eficaz, por parte de instituciones de atención de la salud con la formación y especialización adecuadas para prestar atención a las víctimas y a sus familiares más cercanos</w:t>
      </w:r>
      <w:r w:rsidRPr="00930562">
        <w:rPr>
          <w:rFonts w:asciiTheme="majorHAnsi" w:hAnsiTheme="majorHAnsi"/>
          <w:szCs w:val="20"/>
          <w:vertAlign w:val="superscript"/>
          <w:lang w:val="es-US"/>
        </w:rPr>
        <w:footnoteReference w:id="667"/>
      </w:r>
      <w:r w:rsidRPr="00930562">
        <w:rPr>
          <w:rFonts w:asciiTheme="majorHAnsi" w:hAnsiTheme="majorHAnsi"/>
          <w:szCs w:val="20"/>
          <w:lang w:val="es-US"/>
        </w:rPr>
        <w:t>. En general, la</w:t>
      </w:r>
      <w:r w:rsidRPr="00930562">
        <w:rPr>
          <w:rFonts w:asciiTheme="majorHAnsi" w:eastAsia="MS Mincho" w:hAnsiTheme="majorHAnsi"/>
          <w:color w:val="000000"/>
          <w:szCs w:val="20"/>
          <w:lang w:val="es-US" w:eastAsia="es-ES"/>
        </w:rPr>
        <w:t xml:space="preserve"> Corte Interamericana requiere además que dicha atención se preste de inmediato, de forma gratuita en instituciones públicas, durante el tiempo que sea necesario, e incluya el suministro de cualquier medicamento necesario</w:t>
      </w:r>
      <w:r w:rsidRPr="00930562">
        <w:rPr>
          <w:rFonts w:asciiTheme="majorHAnsi" w:eastAsia="MS Mincho" w:hAnsiTheme="majorHAnsi"/>
          <w:color w:val="000000"/>
          <w:szCs w:val="20"/>
          <w:vertAlign w:val="superscript"/>
          <w:lang w:val="es-US" w:eastAsia="es-ES"/>
        </w:rPr>
        <w:footnoteReference w:id="668"/>
      </w:r>
      <w:r w:rsidRPr="00930562">
        <w:rPr>
          <w:rFonts w:asciiTheme="majorHAnsi" w:eastAsia="MS Mincho" w:hAnsiTheme="majorHAnsi"/>
          <w:color w:val="000000"/>
          <w:szCs w:val="20"/>
          <w:lang w:val="es-US" w:eastAsia="es-ES"/>
        </w:rPr>
        <w:t>.</w:t>
      </w:r>
    </w:p>
    <w:p w14:paraId="03394E95"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eastAsia="MS Mincho" w:hAnsiTheme="majorHAnsi"/>
          <w:color w:val="000000"/>
          <w:szCs w:val="20"/>
          <w:lang w:val="es-US" w:eastAsia="es-ES"/>
        </w:rPr>
      </w:pPr>
      <w:r w:rsidRPr="00930562">
        <w:rPr>
          <w:rFonts w:asciiTheme="majorHAnsi" w:eastAsia="MS Mincho" w:hAnsiTheme="majorHAnsi"/>
          <w:color w:val="000000"/>
          <w:szCs w:val="20"/>
          <w:lang w:val="es-US" w:eastAsia="es-ES"/>
        </w:rPr>
        <w:t xml:space="preserve">La </w:t>
      </w:r>
      <w:r w:rsidRPr="00930562">
        <w:rPr>
          <w:rFonts w:asciiTheme="majorHAnsi" w:eastAsia="MS Mincho" w:hAnsiTheme="majorHAnsi"/>
          <w:i/>
          <w:color w:val="000000"/>
          <w:szCs w:val="20"/>
          <w:lang w:val="es-US" w:eastAsia="es-ES"/>
        </w:rPr>
        <w:t>satisfacción</w:t>
      </w:r>
      <w:r w:rsidRPr="00930562">
        <w:rPr>
          <w:rFonts w:asciiTheme="majorHAnsi" w:eastAsia="MS Mincho" w:hAnsiTheme="majorHAnsi"/>
          <w:color w:val="000000"/>
          <w:szCs w:val="20"/>
          <w:lang w:val="es-US" w:eastAsia="es-ES"/>
        </w:rPr>
        <w:t xml:space="preserve"> debe incluir, </w:t>
      </w:r>
      <w:r w:rsidRPr="00930562">
        <w:rPr>
          <w:rFonts w:asciiTheme="majorHAnsi" w:hAnsiTheme="majorHAnsi"/>
          <w:szCs w:val="20"/>
          <w:lang w:val="es-US"/>
        </w:rPr>
        <w:t>cuando</w:t>
      </w:r>
      <w:r w:rsidRPr="00930562">
        <w:rPr>
          <w:rFonts w:asciiTheme="majorHAnsi" w:eastAsia="MS Mincho" w:hAnsiTheme="majorHAnsi"/>
          <w:color w:val="000000"/>
          <w:szCs w:val="20"/>
          <w:lang w:val="es-US" w:eastAsia="es-ES"/>
        </w:rPr>
        <w:t xml:space="preserve"> sea aplicable, cualquiera o todos los siguientes aspectos:</w:t>
      </w:r>
    </w:p>
    <w:p w14:paraId="488852E4" w14:textId="77777777" w:rsidR="006E177E" w:rsidRPr="00930562" w:rsidRDefault="006E177E" w:rsidP="00724857">
      <w:pPr>
        <w:numPr>
          <w:ilvl w:val="0"/>
          <w:numId w:val="21"/>
        </w:numPr>
        <w:shd w:val="clear" w:color="auto" w:fill="FFFFFF"/>
        <w:spacing w:after="120" w:line="240" w:lineRule="auto"/>
        <w:ind w:left="1080" w:hanging="540"/>
        <w:jc w:val="both"/>
        <w:rPr>
          <w:rFonts w:asciiTheme="majorHAnsi" w:eastAsia="MS Mincho" w:hAnsiTheme="majorHAnsi"/>
          <w:color w:val="000000"/>
          <w:szCs w:val="20"/>
          <w:lang w:val="es-US" w:eastAsia="es-ES"/>
        </w:rPr>
      </w:pPr>
      <w:r w:rsidRPr="00930562">
        <w:rPr>
          <w:rFonts w:asciiTheme="majorHAnsi" w:eastAsia="MS Mincho" w:hAnsiTheme="majorHAnsi"/>
          <w:color w:val="000000"/>
          <w:szCs w:val="20"/>
          <w:lang w:val="es-US" w:eastAsia="es-ES"/>
        </w:rPr>
        <w:t>Medidas eficaces encaminadas a poner fin a las violaciones continuas;</w:t>
      </w:r>
    </w:p>
    <w:p w14:paraId="30E0C77A" w14:textId="77777777" w:rsidR="006E177E" w:rsidRPr="00930562" w:rsidRDefault="006E177E" w:rsidP="00724857">
      <w:pPr>
        <w:numPr>
          <w:ilvl w:val="0"/>
          <w:numId w:val="21"/>
        </w:numPr>
        <w:shd w:val="clear" w:color="auto" w:fill="FFFFFF"/>
        <w:spacing w:after="120" w:line="240" w:lineRule="auto"/>
        <w:ind w:left="1080" w:hanging="540"/>
        <w:jc w:val="both"/>
        <w:rPr>
          <w:rFonts w:asciiTheme="majorHAnsi" w:eastAsia="MS Mincho" w:hAnsiTheme="majorHAnsi"/>
          <w:color w:val="000000"/>
          <w:szCs w:val="20"/>
          <w:lang w:val="es-US" w:eastAsia="es-ES"/>
        </w:rPr>
      </w:pPr>
      <w:r w:rsidRPr="00930562">
        <w:rPr>
          <w:rFonts w:asciiTheme="majorHAnsi" w:eastAsia="MS Mincho" w:hAnsiTheme="majorHAnsi"/>
          <w:color w:val="000000"/>
          <w:szCs w:val="20"/>
          <w:lang w:val="es-US" w:eastAsia="es-ES"/>
        </w:rPr>
        <w:t>Verificación de los hechos y divulgación plena y pública de la verdad [...];</w:t>
      </w:r>
    </w:p>
    <w:p w14:paraId="3A516B36" w14:textId="77777777" w:rsidR="006E177E" w:rsidRPr="00930562" w:rsidRDefault="006E177E" w:rsidP="00724857">
      <w:pPr>
        <w:numPr>
          <w:ilvl w:val="0"/>
          <w:numId w:val="21"/>
        </w:numPr>
        <w:shd w:val="clear" w:color="auto" w:fill="FFFFFF"/>
        <w:spacing w:after="120" w:line="240" w:lineRule="auto"/>
        <w:ind w:left="1080" w:hanging="540"/>
        <w:jc w:val="both"/>
        <w:rPr>
          <w:rFonts w:asciiTheme="majorHAnsi" w:eastAsia="MS Mincho" w:hAnsiTheme="majorHAnsi"/>
          <w:color w:val="000000"/>
          <w:szCs w:val="20"/>
          <w:lang w:val="es-US" w:eastAsia="es-ES"/>
        </w:rPr>
      </w:pPr>
      <w:r w:rsidRPr="00930562">
        <w:rPr>
          <w:rFonts w:asciiTheme="majorHAnsi" w:eastAsia="MS Mincho" w:hAnsiTheme="majorHAnsi"/>
          <w:color w:val="000000"/>
          <w:szCs w:val="20"/>
          <w:lang w:val="es-US" w:eastAsia="es-ES"/>
        </w:rPr>
        <w:t>La búsqueda del paradero de los desaparecidos, de las identidades de los niños/as secuestrados y de los cuerpos de los asesinados […];</w:t>
      </w:r>
    </w:p>
    <w:p w14:paraId="608AD2ED" w14:textId="77777777" w:rsidR="006E177E" w:rsidRPr="00930562" w:rsidRDefault="006E177E" w:rsidP="00724857">
      <w:pPr>
        <w:numPr>
          <w:ilvl w:val="0"/>
          <w:numId w:val="21"/>
        </w:numPr>
        <w:shd w:val="clear" w:color="auto" w:fill="FFFFFF"/>
        <w:spacing w:after="120" w:line="240" w:lineRule="auto"/>
        <w:ind w:left="1080" w:hanging="540"/>
        <w:jc w:val="both"/>
        <w:rPr>
          <w:rFonts w:asciiTheme="majorHAnsi" w:eastAsia="MS Mincho" w:hAnsiTheme="majorHAnsi"/>
          <w:color w:val="000000"/>
          <w:szCs w:val="20"/>
          <w:lang w:val="es-US" w:eastAsia="es-ES"/>
        </w:rPr>
      </w:pPr>
      <w:r w:rsidRPr="00930562">
        <w:rPr>
          <w:rFonts w:asciiTheme="majorHAnsi" w:eastAsia="MS Mincho" w:hAnsiTheme="majorHAnsi"/>
          <w:color w:val="000000"/>
          <w:szCs w:val="20"/>
          <w:lang w:val="es-US" w:eastAsia="es-ES"/>
        </w:rPr>
        <w:t>Una declaración oficial o una decisión judicial que restablezca la dignidad, la reputación y los derechos de la víctima y de las personas estrechamente vinculadas con ella, y la publicación de la decisión</w:t>
      </w:r>
      <w:r w:rsidRPr="00930562">
        <w:rPr>
          <w:rFonts w:asciiTheme="majorHAnsi" w:eastAsia="MS Mincho" w:hAnsiTheme="majorHAnsi"/>
          <w:color w:val="000000"/>
          <w:szCs w:val="20"/>
          <w:vertAlign w:val="superscript"/>
          <w:lang w:val="es-US" w:eastAsia="es-ES"/>
        </w:rPr>
        <w:footnoteReference w:id="669"/>
      </w:r>
      <w:r w:rsidRPr="00930562">
        <w:rPr>
          <w:rFonts w:asciiTheme="majorHAnsi" w:eastAsia="MS Mincho" w:hAnsiTheme="majorHAnsi"/>
          <w:color w:val="000000"/>
          <w:szCs w:val="20"/>
          <w:lang w:val="es-US" w:eastAsia="es-ES"/>
        </w:rPr>
        <w:t>;</w:t>
      </w:r>
    </w:p>
    <w:p w14:paraId="48CAC5E8" w14:textId="77777777" w:rsidR="006E177E" w:rsidRPr="00930562" w:rsidRDefault="006E177E" w:rsidP="00724857">
      <w:pPr>
        <w:numPr>
          <w:ilvl w:val="0"/>
          <w:numId w:val="21"/>
        </w:numPr>
        <w:shd w:val="clear" w:color="auto" w:fill="FFFFFF"/>
        <w:spacing w:after="120" w:line="240" w:lineRule="auto"/>
        <w:ind w:left="1080" w:hanging="540"/>
        <w:jc w:val="both"/>
        <w:rPr>
          <w:rFonts w:asciiTheme="majorHAnsi" w:eastAsia="MS Mincho" w:hAnsiTheme="majorHAnsi"/>
          <w:color w:val="000000"/>
          <w:szCs w:val="20"/>
          <w:lang w:val="es-US" w:eastAsia="es-ES"/>
        </w:rPr>
      </w:pPr>
      <w:r w:rsidRPr="00930562">
        <w:rPr>
          <w:rFonts w:asciiTheme="majorHAnsi" w:eastAsia="MS Mincho" w:hAnsiTheme="majorHAnsi"/>
          <w:color w:val="000000"/>
          <w:szCs w:val="20"/>
          <w:lang w:val="es-US" w:eastAsia="es-ES"/>
        </w:rPr>
        <w:t>Disculpa pública, incluyendo el reconocimiento de los hechos y la aceptación de la responsabilidad;</w:t>
      </w:r>
    </w:p>
    <w:p w14:paraId="26174022" w14:textId="77777777" w:rsidR="006E177E" w:rsidRPr="00930562" w:rsidRDefault="006E177E" w:rsidP="00724857">
      <w:pPr>
        <w:numPr>
          <w:ilvl w:val="0"/>
          <w:numId w:val="21"/>
        </w:numPr>
        <w:shd w:val="clear" w:color="auto" w:fill="FFFFFF"/>
        <w:spacing w:after="120" w:line="240" w:lineRule="auto"/>
        <w:ind w:left="1080" w:hanging="540"/>
        <w:jc w:val="both"/>
        <w:rPr>
          <w:rFonts w:asciiTheme="majorHAnsi" w:eastAsia="MS Mincho" w:hAnsiTheme="majorHAnsi"/>
          <w:color w:val="000000"/>
          <w:szCs w:val="20"/>
          <w:lang w:val="es-US" w:eastAsia="es-ES"/>
        </w:rPr>
      </w:pPr>
      <w:r w:rsidRPr="00930562">
        <w:rPr>
          <w:rFonts w:asciiTheme="majorHAnsi" w:eastAsia="MS Mincho" w:hAnsiTheme="majorHAnsi"/>
          <w:color w:val="000000"/>
          <w:szCs w:val="20"/>
          <w:lang w:val="es-US" w:eastAsia="es-ES"/>
        </w:rPr>
        <w:t>Sanciones judiciales y administrativas a los responsables de las violaciones;</w:t>
      </w:r>
    </w:p>
    <w:p w14:paraId="65040C93" w14:textId="77777777" w:rsidR="006E177E" w:rsidRPr="00930562" w:rsidRDefault="006E177E" w:rsidP="00724857">
      <w:pPr>
        <w:numPr>
          <w:ilvl w:val="0"/>
          <w:numId w:val="21"/>
        </w:numPr>
        <w:shd w:val="clear" w:color="auto" w:fill="FFFFFF"/>
        <w:spacing w:after="120" w:line="240" w:lineRule="auto"/>
        <w:ind w:left="1080" w:hanging="540"/>
        <w:jc w:val="both"/>
        <w:rPr>
          <w:rFonts w:asciiTheme="majorHAnsi" w:eastAsia="MS Mincho" w:hAnsiTheme="majorHAnsi"/>
          <w:color w:val="000000"/>
          <w:szCs w:val="20"/>
          <w:lang w:val="es-US" w:eastAsia="es-ES"/>
        </w:rPr>
      </w:pPr>
      <w:r w:rsidRPr="00930562">
        <w:rPr>
          <w:rFonts w:asciiTheme="majorHAnsi" w:eastAsia="MS Mincho" w:hAnsiTheme="majorHAnsi"/>
          <w:color w:val="000000"/>
          <w:szCs w:val="20"/>
          <w:lang w:val="es-US" w:eastAsia="es-ES"/>
        </w:rPr>
        <w:t>Conmemoraciones y homenajes a las víctimas;</w:t>
      </w:r>
    </w:p>
    <w:p w14:paraId="67635464" w14:textId="77777777" w:rsidR="006E177E" w:rsidRPr="00930562" w:rsidRDefault="006E177E" w:rsidP="00724857">
      <w:pPr>
        <w:numPr>
          <w:ilvl w:val="0"/>
          <w:numId w:val="21"/>
        </w:numPr>
        <w:shd w:val="clear" w:color="auto" w:fill="FFFFFF"/>
        <w:spacing w:after="120" w:line="240" w:lineRule="auto"/>
        <w:ind w:left="1080" w:hanging="540"/>
        <w:jc w:val="both"/>
        <w:rPr>
          <w:rFonts w:asciiTheme="majorHAnsi" w:eastAsia="MS Mincho" w:hAnsiTheme="majorHAnsi"/>
          <w:color w:val="000000"/>
          <w:szCs w:val="20"/>
          <w:lang w:val="es-US" w:eastAsia="es-ES"/>
        </w:rPr>
      </w:pPr>
      <w:r w:rsidRPr="00930562">
        <w:rPr>
          <w:rFonts w:asciiTheme="majorHAnsi" w:eastAsia="MS Mincho" w:hAnsiTheme="majorHAnsi"/>
          <w:color w:val="000000"/>
          <w:szCs w:val="20"/>
          <w:lang w:val="es-US" w:eastAsia="es-ES"/>
        </w:rPr>
        <w:t>Inclusión de una relación exacta de las violaciones ocurridas en la formación y en el material educativo en todos los niveles</w:t>
      </w:r>
      <w:r w:rsidRPr="00930562">
        <w:rPr>
          <w:rFonts w:asciiTheme="majorHAnsi" w:eastAsia="MS Mincho" w:hAnsiTheme="majorHAnsi"/>
          <w:color w:val="000000"/>
          <w:szCs w:val="20"/>
          <w:vertAlign w:val="superscript"/>
          <w:lang w:val="es-US" w:eastAsia="es-ES"/>
        </w:rPr>
        <w:footnoteReference w:id="670"/>
      </w:r>
      <w:r w:rsidRPr="00930562">
        <w:rPr>
          <w:rFonts w:asciiTheme="majorHAnsi" w:eastAsia="MS Mincho" w:hAnsiTheme="majorHAnsi"/>
          <w:color w:val="000000"/>
          <w:szCs w:val="20"/>
          <w:lang w:val="es-US" w:eastAsia="es-ES"/>
        </w:rPr>
        <w:t>.</w:t>
      </w:r>
    </w:p>
    <w:p w14:paraId="68A97D3B"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eastAsia="MS Mincho" w:hAnsiTheme="majorHAnsi"/>
          <w:color w:val="000000"/>
          <w:szCs w:val="20"/>
          <w:lang w:val="es-US" w:eastAsia="es-ES"/>
        </w:rPr>
      </w:pPr>
      <w:r w:rsidRPr="00930562">
        <w:rPr>
          <w:rFonts w:asciiTheme="majorHAnsi" w:eastAsia="MS Mincho" w:hAnsiTheme="majorHAnsi"/>
          <w:lang w:val="es-US" w:eastAsia="es-ES"/>
        </w:rPr>
        <w:lastRenderedPageBreak/>
        <w:t>L</w:t>
      </w:r>
      <w:r w:rsidRPr="00930562">
        <w:rPr>
          <w:rFonts w:asciiTheme="majorHAnsi" w:eastAsia="MS Mincho" w:hAnsiTheme="majorHAnsi"/>
          <w:color w:val="000000"/>
          <w:lang w:val="es-US" w:eastAsia="es-ES"/>
        </w:rPr>
        <w:t xml:space="preserve">as </w:t>
      </w:r>
      <w:r w:rsidRPr="00930562">
        <w:rPr>
          <w:rFonts w:asciiTheme="majorHAnsi" w:eastAsia="MS Mincho" w:hAnsiTheme="majorHAnsi"/>
          <w:i/>
          <w:color w:val="000000"/>
          <w:lang w:val="es-US" w:eastAsia="es-ES"/>
        </w:rPr>
        <w:t>garantías de no repetición</w:t>
      </w:r>
      <w:r w:rsidRPr="00930562">
        <w:rPr>
          <w:rFonts w:asciiTheme="majorHAnsi" w:eastAsia="MS Mincho" w:hAnsiTheme="majorHAnsi"/>
          <w:color w:val="000000"/>
          <w:szCs w:val="20"/>
          <w:lang w:val="es-US" w:eastAsia="es-ES"/>
        </w:rPr>
        <w:t xml:space="preserve"> deben incluir, cuando proceda, alguna o todas las medidas siguientes, que también contribuirán a la prevención:</w:t>
      </w:r>
    </w:p>
    <w:p w14:paraId="493638C5" w14:textId="77777777" w:rsidR="006E177E" w:rsidRPr="00930562" w:rsidRDefault="006E177E" w:rsidP="00724857">
      <w:pPr>
        <w:numPr>
          <w:ilvl w:val="0"/>
          <w:numId w:val="22"/>
        </w:numPr>
        <w:shd w:val="clear" w:color="auto" w:fill="FFFFFF"/>
        <w:spacing w:after="120" w:line="240" w:lineRule="auto"/>
        <w:ind w:left="1080" w:hanging="540"/>
        <w:jc w:val="both"/>
        <w:rPr>
          <w:rFonts w:asciiTheme="majorHAnsi" w:eastAsia="MS Mincho" w:hAnsiTheme="majorHAnsi"/>
          <w:color w:val="000000"/>
          <w:szCs w:val="20"/>
          <w:lang w:val="es-US" w:eastAsia="es-ES"/>
        </w:rPr>
      </w:pPr>
      <w:r w:rsidRPr="00930562">
        <w:rPr>
          <w:rFonts w:asciiTheme="majorHAnsi" w:eastAsia="MS Mincho" w:hAnsiTheme="majorHAnsi"/>
          <w:color w:val="000000"/>
          <w:szCs w:val="20"/>
          <w:lang w:val="es-US" w:eastAsia="es-ES"/>
        </w:rPr>
        <w:t>Asegurar el control civil efectivo de las fuerzas militares y de seguridad;</w:t>
      </w:r>
    </w:p>
    <w:p w14:paraId="402CAC77" w14:textId="77777777" w:rsidR="006E177E" w:rsidRPr="00930562" w:rsidRDefault="006E177E" w:rsidP="00724857">
      <w:pPr>
        <w:numPr>
          <w:ilvl w:val="0"/>
          <w:numId w:val="22"/>
        </w:numPr>
        <w:shd w:val="clear" w:color="auto" w:fill="FFFFFF"/>
        <w:spacing w:after="120" w:line="240" w:lineRule="auto"/>
        <w:ind w:left="1080" w:hanging="540"/>
        <w:jc w:val="both"/>
        <w:rPr>
          <w:rFonts w:asciiTheme="majorHAnsi" w:eastAsia="MS Mincho" w:hAnsiTheme="majorHAnsi"/>
          <w:color w:val="000000"/>
          <w:szCs w:val="20"/>
          <w:lang w:val="es-US" w:eastAsia="es-ES"/>
        </w:rPr>
      </w:pPr>
      <w:r w:rsidRPr="00930562">
        <w:rPr>
          <w:rFonts w:asciiTheme="majorHAnsi" w:eastAsia="MS Mincho" w:hAnsiTheme="majorHAnsi"/>
          <w:color w:val="000000"/>
          <w:szCs w:val="20"/>
          <w:lang w:val="es-US" w:eastAsia="es-ES"/>
        </w:rPr>
        <w:t>Asegurar que todos los procedimientos civiles y militares se ajusten a las normas internacionales de debido proceso, equidad e imparcialidad;</w:t>
      </w:r>
    </w:p>
    <w:p w14:paraId="0CE13557" w14:textId="77777777" w:rsidR="006E177E" w:rsidRPr="00930562" w:rsidRDefault="006E177E" w:rsidP="00724857">
      <w:pPr>
        <w:numPr>
          <w:ilvl w:val="0"/>
          <w:numId w:val="22"/>
        </w:numPr>
        <w:shd w:val="clear" w:color="auto" w:fill="FFFFFF"/>
        <w:spacing w:after="120" w:line="240" w:lineRule="auto"/>
        <w:ind w:left="1080" w:hanging="540"/>
        <w:jc w:val="both"/>
        <w:rPr>
          <w:rFonts w:asciiTheme="majorHAnsi" w:eastAsia="MS Mincho" w:hAnsiTheme="majorHAnsi"/>
          <w:color w:val="000000"/>
          <w:szCs w:val="20"/>
          <w:lang w:val="es-US" w:eastAsia="es-ES"/>
        </w:rPr>
      </w:pPr>
      <w:r w:rsidRPr="00930562">
        <w:rPr>
          <w:rFonts w:asciiTheme="majorHAnsi" w:eastAsia="MS Mincho" w:hAnsiTheme="majorHAnsi"/>
          <w:color w:val="000000"/>
          <w:szCs w:val="20"/>
          <w:lang w:val="es-US" w:eastAsia="es-ES"/>
        </w:rPr>
        <w:t>Fortalecimiento de la independencia del poder judicial;</w:t>
      </w:r>
    </w:p>
    <w:p w14:paraId="36C7F17F" w14:textId="77777777" w:rsidR="006E177E" w:rsidRPr="00930562" w:rsidRDefault="006E177E" w:rsidP="00724857">
      <w:pPr>
        <w:numPr>
          <w:ilvl w:val="0"/>
          <w:numId w:val="22"/>
        </w:numPr>
        <w:shd w:val="clear" w:color="auto" w:fill="FFFFFF"/>
        <w:spacing w:after="120" w:line="240" w:lineRule="auto"/>
        <w:ind w:left="1080" w:hanging="540"/>
        <w:jc w:val="both"/>
        <w:rPr>
          <w:rFonts w:asciiTheme="majorHAnsi" w:eastAsia="MS Mincho" w:hAnsiTheme="majorHAnsi"/>
          <w:color w:val="000000"/>
          <w:szCs w:val="20"/>
          <w:lang w:val="es-US" w:eastAsia="es-ES"/>
        </w:rPr>
      </w:pPr>
      <w:r w:rsidRPr="00930562">
        <w:rPr>
          <w:rFonts w:asciiTheme="majorHAnsi" w:eastAsia="MS Mincho" w:hAnsiTheme="majorHAnsi"/>
          <w:color w:val="000000"/>
          <w:szCs w:val="20"/>
          <w:lang w:val="es-US" w:eastAsia="es-ES"/>
        </w:rPr>
        <w:t>Proteger a las personas que ejercen profesiones jurídicas, médicas y de atención de la salud, de los medios de comunicación y otras profesiones conexas y a las personas defensoras de los derechos humanos;</w:t>
      </w:r>
    </w:p>
    <w:p w14:paraId="2F885307" w14:textId="77777777" w:rsidR="006E177E" w:rsidRPr="00930562" w:rsidRDefault="006E177E" w:rsidP="00724857">
      <w:pPr>
        <w:numPr>
          <w:ilvl w:val="0"/>
          <w:numId w:val="22"/>
        </w:numPr>
        <w:shd w:val="clear" w:color="auto" w:fill="FFFFFF"/>
        <w:spacing w:after="120" w:line="240" w:lineRule="auto"/>
        <w:ind w:left="1080" w:hanging="540"/>
        <w:jc w:val="both"/>
        <w:rPr>
          <w:rFonts w:asciiTheme="majorHAnsi" w:eastAsia="MS Mincho" w:hAnsiTheme="majorHAnsi"/>
          <w:color w:val="000000"/>
          <w:szCs w:val="20"/>
          <w:lang w:val="es-US" w:eastAsia="es-ES"/>
        </w:rPr>
      </w:pPr>
      <w:r w:rsidRPr="00930562">
        <w:rPr>
          <w:rFonts w:asciiTheme="majorHAnsi" w:eastAsia="MS Mincho" w:hAnsiTheme="majorHAnsi"/>
          <w:color w:val="000000"/>
          <w:szCs w:val="20"/>
          <w:lang w:val="es-US" w:eastAsia="es-ES"/>
        </w:rPr>
        <w:t>Impartir, de manera prioritaria y continua, educación en derechos humanos y derecho internacional humanitario a todos los sectores de la sociedad y capacitar a los funcionarios encargados de hacer cumplir la ley, así como a las fuerzas militares y de seguridad;</w:t>
      </w:r>
    </w:p>
    <w:p w14:paraId="1BE60EBC" w14:textId="77777777" w:rsidR="006E177E" w:rsidRPr="00930562" w:rsidRDefault="006E177E" w:rsidP="00724857">
      <w:pPr>
        <w:numPr>
          <w:ilvl w:val="0"/>
          <w:numId w:val="22"/>
        </w:numPr>
        <w:shd w:val="clear" w:color="auto" w:fill="FFFFFF"/>
        <w:spacing w:after="120" w:line="240" w:lineRule="auto"/>
        <w:ind w:left="1080" w:hanging="540"/>
        <w:jc w:val="both"/>
        <w:rPr>
          <w:rFonts w:asciiTheme="majorHAnsi" w:eastAsia="MS Mincho" w:hAnsiTheme="majorHAnsi"/>
          <w:color w:val="000000"/>
          <w:szCs w:val="20"/>
          <w:lang w:val="es-US" w:eastAsia="es-ES"/>
        </w:rPr>
      </w:pPr>
      <w:r w:rsidRPr="00930562">
        <w:rPr>
          <w:rFonts w:asciiTheme="majorHAnsi" w:eastAsia="MS Mincho" w:hAnsiTheme="majorHAnsi"/>
          <w:color w:val="000000"/>
          <w:szCs w:val="20"/>
          <w:lang w:val="es-US" w:eastAsia="es-ES"/>
        </w:rPr>
        <w:t>Promover la observancia de los códigos de conducta y las normas éticas, en particular las normas internacionales, por parte de los funcionarios públicos, incluidos los funcionarios encargados de hacer cumplir la ley, el personal penitenciario, los medios de comunicación, el personal médico, psicológico, del servicio social y militar, así como las empresas;</w:t>
      </w:r>
    </w:p>
    <w:p w14:paraId="63CFF7F2" w14:textId="77777777" w:rsidR="006E177E" w:rsidRPr="00930562" w:rsidRDefault="006E177E" w:rsidP="00724857">
      <w:pPr>
        <w:numPr>
          <w:ilvl w:val="0"/>
          <w:numId w:val="22"/>
        </w:numPr>
        <w:shd w:val="clear" w:color="auto" w:fill="FFFFFF"/>
        <w:spacing w:after="120" w:line="240" w:lineRule="auto"/>
        <w:ind w:left="1080" w:hanging="540"/>
        <w:jc w:val="both"/>
        <w:rPr>
          <w:rFonts w:asciiTheme="majorHAnsi" w:eastAsia="MS Mincho" w:hAnsiTheme="majorHAnsi"/>
          <w:color w:val="000000"/>
          <w:szCs w:val="20"/>
          <w:lang w:val="es-US" w:eastAsia="es-ES"/>
        </w:rPr>
      </w:pPr>
      <w:r w:rsidRPr="00930562">
        <w:rPr>
          <w:rFonts w:asciiTheme="majorHAnsi" w:eastAsia="MS Mincho" w:hAnsiTheme="majorHAnsi"/>
          <w:color w:val="000000"/>
          <w:szCs w:val="20"/>
          <w:lang w:val="es-US" w:eastAsia="es-ES"/>
        </w:rPr>
        <w:t>Promover mecanismos de prevención y seguimiento de los conflictos sociales y su resolución;</w:t>
      </w:r>
    </w:p>
    <w:p w14:paraId="3C67DADA" w14:textId="77777777" w:rsidR="006E177E" w:rsidRPr="00930562" w:rsidRDefault="006E177E" w:rsidP="00724857">
      <w:pPr>
        <w:numPr>
          <w:ilvl w:val="0"/>
          <w:numId w:val="22"/>
        </w:numPr>
        <w:shd w:val="clear" w:color="auto" w:fill="FFFFFF"/>
        <w:spacing w:after="0" w:line="240" w:lineRule="auto"/>
        <w:ind w:left="1080" w:hanging="540"/>
        <w:jc w:val="both"/>
        <w:rPr>
          <w:rFonts w:asciiTheme="majorHAnsi" w:eastAsia="MS Mincho" w:hAnsiTheme="majorHAnsi"/>
          <w:color w:val="000000"/>
          <w:szCs w:val="20"/>
          <w:lang w:val="es-US" w:eastAsia="es-ES"/>
        </w:rPr>
      </w:pPr>
      <w:r w:rsidRPr="00930562">
        <w:rPr>
          <w:rFonts w:asciiTheme="majorHAnsi" w:eastAsia="MS Mincho" w:hAnsiTheme="majorHAnsi"/>
          <w:color w:val="000000"/>
          <w:szCs w:val="20"/>
          <w:lang w:val="es-US" w:eastAsia="es-ES"/>
        </w:rPr>
        <w:t>Revisar y reformar las leyes que contribuyen o permiten las violaciones manifiestas de las normas internacionales de derechos humanos y a las violaciones graves del derecho internacional humanitario</w:t>
      </w:r>
      <w:r w:rsidRPr="00930562">
        <w:rPr>
          <w:rFonts w:asciiTheme="majorHAnsi" w:eastAsia="MS Mincho" w:hAnsiTheme="majorHAnsi"/>
          <w:color w:val="000000"/>
          <w:szCs w:val="20"/>
          <w:vertAlign w:val="superscript"/>
          <w:lang w:val="es-US" w:eastAsia="es-ES"/>
        </w:rPr>
        <w:footnoteReference w:id="671"/>
      </w:r>
      <w:r w:rsidRPr="00930562">
        <w:rPr>
          <w:rFonts w:asciiTheme="majorHAnsi" w:eastAsia="MS Mincho" w:hAnsiTheme="majorHAnsi"/>
          <w:color w:val="000000"/>
          <w:szCs w:val="20"/>
          <w:lang w:val="es-US" w:eastAsia="es-ES"/>
        </w:rPr>
        <w:t>.</w:t>
      </w:r>
    </w:p>
    <w:p w14:paraId="7743B229" w14:textId="77777777" w:rsidR="006E177E" w:rsidRPr="00930562" w:rsidRDefault="006E177E" w:rsidP="006E177E">
      <w:pPr>
        <w:shd w:val="clear" w:color="auto" w:fill="FFFFFF"/>
        <w:spacing w:after="0" w:line="240" w:lineRule="auto"/>
        <w:ind w:left="720"/>
        <w:jc w:val="both"/>
        <w:rPr>
          <w:rFonts w:asciiTheme="majorHAnsi" w:eastAsia="MS Mincho" w:hAnsiTheme="majorHAnsi"/>
          <w:color w:val="000000"/>
          <w:szCs w:val="20"/>
          <w:lang w:val="es-US" w:eastAsia="es-ES"/>
        </w:rPr>
      </w:pPr>
    </w:p>
    <w:p w14:paraId="7B16CE58"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eastAsia="MS Mincho" w:hAnsiTheme="majorHAnsi"/>
          <w:color w:val="000000"/>
          <w:szCs w:val="20"/>
          <w:lang w:val="es-US" w:eastAsia="es-ES"/>
        </w:rPr>
      </w:pPr>
      <w:r w:rsidRPr="00930562">
        <w:rPr>
          <w:rFonts w:asciiTheme="majorHAnsi" w:eastAsia="MS Mincho" w:hAnsiTheme="majorHAnsi"/>
          <w:color w:val="000000"/>
          <w:szCs w:val="18"/>
          <w:shd w:val="clear" w:color="auto" w:fill="FFFFFF"/>
          <w:lang w:val="es-US" w:eastAsia="es-ES"/>
        </w:rPr>
        <w:t xml:space="preserve">Finalmente, el </w:t>
      </w:r>
      <w:r w:rsidRPr="00930562">
        <w:rPr>
          <w:rFonts w:asciiTheme="majorHAnsi" w:eastAsia="MS Mincho" w:hAnsiTheme="majorHAnsi"/>
          <w:lang w:val="es-US" w:eastAsia="es-ES"/>
        </w:rPr>
        <w:t>derecho</w:t>
      </w:r>
      <w:r w:rsidRPr="00930562">
        <w:rPr>
          <w:rFonts w:asciiTheme="majorHAnsi" w:eastAsia="MS Mincho" w:hAnsiTheme="majorHAnsi"/>
          <w:color w:val="000000"/>
          <w:szCs w:val="18"/>
          <w:shd w:val="clear" w:color="auto" w:fill="FFFFFF"/>
          <w:lang w:val="es-US" w:eastAsia="es-ES"/>
        </w:rPr>
        <w:t xml:space="preserve"> a la verdad es una forma importante de reparación, porque constituye un reconocimiento del significado y valor de las personas como individuos, como víctimas y como titulares de derechos</w:t>
      </w:r>
      <w:r w:rsidRPr="00930562">
        <w:rPr>
          <w:rFonts w:asciiTheme="majorHAnsi" w:eastAsia="MS Mincho" w:hAnsiTheme="majorHAnsi"/>
          <w:color w:val="000000"/>
          <w:szCs w:val="20"/>
          <w:shd w:val="clear" w:color="auto" w:fill="FFFFFF"/>
          <w:vertAlign w:val="superscript"/>
          <w:lang w:val="es-US" w:eastAsia="es-ES"/>
        </w:rPr>
        <w:footnoteReference w:id="672"/>
      </w:r>
      <w:r w:rsidRPr="00930562">
        <w:rPr>
          <w:rFonts w:asciiTheme="majorHAnsi" w:eastAsia="MS Mincho" w:hAnsiTheme="majorHAnsi"/>
          <w:color w:val="000000"/>
          <w:szCs w:val="18"/>
          <w:shd w:val="clear" w:color="auto" w:fill="FFFFFF"/>
          <w:lang w:val="es-US" w:eastAsia="es-ES"/>
        </w:rPr>
        <w:t xml:space="preserve">. Además, el conocimiento de las circunstancias de la manera, el tiempo y el lugar, los motivos y la identificación de los autores son fundamentales para </w:t>
      </w:r>
      <w:r w:rsidRPr="00930562">
        <w:rPr>
          <w:rFonts w:asciiTheme="majorHAnsi" w:eastAsia="MS Mincho" w:hAnsiTheme="majorHAnsi"/>
          <w:color w:val="000000"/>
          <w:szCs w:val="18"/>
          <w:shd w:val="clear" w:color="auto" w:fill="FFFFFF"/>
          <w:lang w:val="es-US" w:eastAsia="es-ES"/>
        </w:rPr>
        <w:lastRenderedPageBreak/>
        <w:t xml:space="preserve">reparar plenamente a las víctimas de violaciones de los derechos humanos. La Comisión ya lo ha establecido anteriormente: </w:t>
      </w:r>
    </w:p>
    <w:p w14:paraId="34F70520" w14:textId="77777777" w:rsidR="006E177E" w:rsidRPr="00930562" w:rsidRDefault="006E177E" w:rsidP="006E177E">
      <w:pPr>
        <w:shd w:val="clear" w:color="auto" w:fill="FFFFFF"/>
        <w:spacing w:before="100" w:beforeAutospacing="1" w:after="240" w:afterAutospacing="1" w:line="240" w:lineRule="auto"/>
        <w:ind w:left="1166" w:right="619"/>
        <w:jc w:val="both"/>
        <w:rPr>
          <w:rFonts w:asciiTheme="majorHAnsi" w:eastAsia="MS Mincho" w:hAnsiTheme="majorHAnsi"/>
          <w:color w:val="000000"/>
          <w:sz w:val="16"/>
          <w:szCs w:val="16"/>
          <w:shd w:val="clear" w:color="auto" w:fill="FFFFFF"/>
          <w:lang w:val="es-US" w:eastAsia="es-ES"/>
        </w:rPr>
      </w:pPr>
      <w:r w:rsidRPr="00930562">
        <w:rPr>
          <w:rFonts w:asciiTheme="majorHAnsi" w:eastAsia="MS Mincho" w:hAnsiTheme="majorHAnsi"/>
          <w:color w:val="000000"/>
          <w:szCs w:val="18"/>
          <w:shd w:val="clear" w:color="auto" w:fill="FFFFFF"/>
          <w:lang w:val="es-US" w:eastAsia="es-ES"/>
        </w:rPr>
        <w:t>El derecho que tienen toda persona y la sociedad a conocer la verdad íntegra, completa y pública sobre los hechos ocurridos, sus circunstancias específicas y quiénes participaron en ellos, forma parte del derecho a reparación por violaciones de los derechos humanos, en su modalidad de satisfacción y garantías de no repetición. El derecho de una sociedad a conocer íntegramente su pasado no sólo se erige como un modo de reparación y esclarecimiento de los hechos ocurridos, sino que tiene el objeto de prevenir futuras violaciones</w:t>
      </w:r>
      <w:r w:rsidRPr="00930562">
        <w:rPr>
          <w:rFonts w:asciiTheme="majorHAnsi" w:eastAsia="MS Mincho" w:hAnsiTheme="majorHAnsi"/>
          <w:color w:val="000000"/>
          <w:szCs w:val="18"/>
          <w:shd w:val="clear" w:color="auto" w:fill="FFFFFF"/>
          <w:vertAlign w:val="superscript"/>
          <w:lang w:val="es-US" w:eastAsia="es-ES"/>
        </w:rPr>
        <w:footnoteReference w:id="673"/>
      </w:r>
      <w:r w:rsidRPr="00930562">
        <w:rPr>
          <w:rFonts w:asciiTheme="majorHAnsi" w:eastAsia="MS Mincho" w:hAnsiTheme="majorHAnsi"/>
          <w:color w:val="000000"/>
          <w:szCs w:val="18"/>
          <w:shd w:val="clear" w:color="auto" w:fill="FFFFFF"/>
          <w:lang w:val="es-US" w:eastAsia="es-ES"/>
        </w:rPr>
        <w:t>.</w:t>
      </w:r>
    </w:p>
    <w:p w14:paraId="038C598C"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eastAsia="MS Mincho" w:hAnsiTheme="majorHAnsi"/>
          <w:color w:val="000000"/>
          <w:szCs w:val="18"/>
          <w:shd w:val="clear" w:color="auto" w:fill="FFFFFF"/>
          <w:lang w:val="es-US" w:eastAsia="es-ES"/>
        </w:rPr>
      </w:pPr>
      <w:r w:rsidRPr="00930562">
        <w:rPr>
          <w:rFonts w:asciiTheme="majorHAnsi" w:hAnsiTheme="majorHAnsi"/>
          <w:szCs w:val="20"/>
          <w:lang w:val="es-US"/>
        </w:rPr>
        <w:lastRenderedPageBreak/>
        <w:t xml:space="preserve">La Comisión considera que el Estado debe tomar medidas para otorgar reparaciones a las víctimas y </w:t>
      </w:r>
      <w:r w:rsidRPr="00930562">
        <w:rPr>
          <w:rFonts w:asciiTheme="majorHAnsi" w:eastAsia="MS Mincho" w:hAnsiTheme="majorHAnsi"/>
          <w:color w:val="000000"/>
          <w:szCs w:val="18"/>
          <w:shd w:val="clear" w:color="auto" w:fill="FFFFFF"/>
          <w:lang w:val="es-US" w:eastAsia="es-ES"/>
        </w:rPr>
        <w:t>a sus familiares, incluyendo medidas de restitución (que podrían incluir la reducción, redefinición, expropiación, indulto o similares de condenas anteriores; restauración de la libertad; restauración de la propiedad; o similar), indemnización (acorde con las circunstancias del caso); y rehabilitación (incluida la atención médica y de salud mental para las víctimas y sus familiares, sin costo alguno para ellos) en casos de abusos y asesinatos policiales, así como iniciativas para transformar la cultura discriminatoria y los prejuicios que dan lugar a estas violaciones</w:t>
      </w:r>
      <w:r w:rsidRPr="00930562">
        <w:rPr>
          <w:rFonts w:asciiTheme="majorHAnsi" w:eastAsia="MS Mincho" w:hAnsiTheme="majorHAnsi"/>
          <w:color w:val="000000"/>
          <w:szCs w:val="18"/>
          <w:shd w:val="clear" w:color="auto" w:fill="FFFFFF"/>
          <w:vertAlign w:val="superscript"/>
          <w:lang w:val="es-US" w:eastAsia="es-ES"/>
        </w:rPr>
        <w:footnoteReference w:id="674"/>
      </w:r>
      <w:r w:rsidRPr="00930562">
        <w:rPr>
          <w:rFonts w:asciiTheme="majorHAnsi" w:eastAsia="MS Mincho" w:hAnsiTheme="majorHAnsi"/>
          <w:color w:val="000000"/>
          <w:szCs w:val="18"/>
          <w:shd w:val="clear" w:color="auto" w:fill="FFFFFF"/>
          <w:lang w:val="es-US" w:eastAsia="es-ES"/>
        </w:rPr>
        <w:t xml:space="preserve">. </w:t>
      </w:r>
    </w:p>
    <w:p w14:paraId="3A53F6D3"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eastAsia="MS Mincho" w:hAnsiTheme="majorHAnsi"/>
          <w:color w:val="000000"/>
          <w:szCs w:val="18"/>
          <w:shd w:val="clear" w:color="auto" w:fill="FFFFFF"/>
          <w:lang w:val="es-US" w:eastAsia="es-ES"/>
        </w:rPr>
        <w:t>Esas iniciativas, que en general abarcan medidas de satisfacción y garantías de no repetición, pueden adoptar diversas formas y estar dirigidas a una amplia gama de instituciones sociales, desde los departamentos de policía hasta todos los niveles de gobierno y la sociedad en general. La Comisión recomienda que las medidas de satisfacción para casos individuales puedan incluir principalmente</w:t>
      </w:r>
      <w:r w:rsidRPr="00930562">
        <w:rPr>
          <w:rFonts w:asciiTheme="majorHAnsi" w:hAnsiTheme="majorHAnsi"/>
          <w:szCs w:val="20"/>
          <w:lang w:val="es-US"/>
        </w:rPr>
        <w:t xml:space="preserve">: </w:t>
      </w:r>
    </w:p>
    <w:p w14:paraId="4230C183" w14:textId="77777777" w:rsidR="006E177E" w:rsidRPr="00930562" w:rsidRDefault="006E177E" w:rsidP="004C5CDF">
      <w:pPr>
        <w:numPr>
          <w:ilvl w:val="1"/>
          <w:numId w:val="4"/>
        </w:numPr>
        <w:spacing w:after="120" w:line="240" w:lineRule="auto"/>
        <w:ind w:left="1094" w:hanging="547"/>
        <w:jc w:val="both"/>
        <w:rPr>
          <w:rFonts w:asciiTheme="majorHAnsi" w:eastAsia="Cambria" w:hAnsiTheme="majorHAnsi"/>
          <w:szCs w:val="20"/>
          <w:lang w:val="es-US"/>
        </w:rPr>
      </w:pPr>
      <w:r w:rsidRPr="00930562">
        <w:rPr>
          <w:rFonts w:asciiTheme="majorHAnsi" w:eastAsia="Cambria" w:hAnsiTheme="majorHAnsi"/>
          <w:szCs w:val="20"/>
          <w:lang w:val="es-US"/>
        </w:rPr>
        <w:t>Una declaración oficial o decisión judicial que restablezca la dignidad, reputación y derechos de la víctima u otras personas relacionadas con el caso, y la publicación de la decisión;</w:t>
      </w:r>
    </w:p>
    <w:p w14:paraId="637C95A8" w14:textId="77777777" w:rsidR="006E177E" w:rsidRPr="00930562" w:rsidRDefault="006E177E" w:rsidP="004C5CDF">
      <w:pPr>
        <w:numPr>
          <w:ilvl w:val="1"/>
          <w:numId w:val="4"/>
        </w:numPr>
        <w:spacing w:after="120" w:line="240" w:lineRule="auto"/>
        <w:ind w:left="1094" w:hanging="547"/>
        <w:jc w:val="both"/>
        <w:rPr>
          <w:rFonts w:asciiTheme="majorHAnsi" w:eastAsia="Cambria" w:hAnsiTheme="majorHAnsi"/>
          <w:szCs w:val="20"/>
          <w:lang w:val="es-US"/>
        </w:rPr>
      </w:pPr>
      <w:r w:rsidRPr="00930562">
        <w:rPr>
          <w:rFonts w:asciiTheme="majorHAnsi" w:eastAsia="Cambria" w:hAnsiTheme="majorHAnsi"/>
          <w:szCs w:val="20"/>
          <w:lang w:val="es-US"/>
        </w:rPr>
        <w:t>La disculpa pública y el reconocimiento de responsabilidad por los abusos, incluyendo el reconocimiento de los hechos y la aceptación de responsabilidad;</w:t>
      </w:r>
    </w:p>
    <w:p w14:paraId="3D862A6B" w14:textId="77777777" w:rsidR="006E177E" w:rsidRPr="00930562" w:rsidRDefault="006E177E" w:rsidP="004C5CDF">
      <w:pPr>
        <w:numPr>
          <w:ilvl w:val="1"/>
          <w:numId w:val="4"/>
        </w:numPr>
        <w:spacing w:after="120" w:line="240" w:lineRule="auto"/>
        <w:ind w:left="1094" w:hanging="547"/>
        <w:jc w:val="both"/>
        <w:rPr>
          <w:rFonts w:asciiTheme="majorHAnsi" w:eastAsia="Cambria" w:hAnsiTheme="majorHAnsi"/>
          <w:szCs w:val="20"/>
          <w:lang w:val="es-US"/>
        </w:rPr>
      </w:pPr>
      <w:r w:rsidRPr="00930562">
        <w:rPr>
          <w:rFonts w:asciiTheme="majorHAnsi" w:eastAsia="Cambria" w:hAnsiTheme="majorHAnsi"/>
          <w:szCs w:val="20"/>
          <w:lang w:val="es-US"/>
        </w:rPr>
        <w:lastRenderedPageBreak/>
        <w:t>La dedicación de monumentos u otros homenajes a las víctimas de la violencia policial, y la remoción de monumentos que conmemoran símbolos de desigualdad racial;</w:t>
      </w:r>
    </w:p>
    <w:p w14:paraId="5F162349" w14:textId="77777777" w:rsidR="006E177E" w:rsidRPr="00930562" w:rsidRDefault="006E177E" w:rsidP="004C5CDF">
      <w:pPr>
        <w:numPr>
          <w:ilvl w:val="1"/>
          <w:numId w:val="4"/>
        </w:numPr>
        <w:spacing w:after="120" w:line="240" w:lineRule="auto"/>
        <w:ind w:left="1094" w:hanging="547"/>
        <w:jc w:val="both"/>
        <w:rPr>
          <w:rFonts w:asciiTheme="majorHAnsi" w:eastAsia="Cambria" w:hAnsiTheme="majorHAnsi"/>
          <w:szCs w:val="20"/>
          <w:lang w:val="es-US"/>
        </w:rPr>
      </w:pPr>
      <w:r w:rsidRPr="00930562">
        <w:rPr>
          <w:rFonts w:asciiTheme="majorHAnsi" w:eastAsia="Cambria" w:hAnsiTheme="majorHAnsi"/>
          <w:szCs w:val="20"/>
          <w:lang w:val="es-US"/>
        </w:rPr>
        <w:t>Inclusión de descripciones exactas de las violaciones en los materiales de capacitación, incluidos los materiales de capacitación policial y judicial, y en los materiales educativos en todos los niveles de la educación pública.</w:t>
      </w:r>
    </w:p>
    <w:p w14:paraId="01B10F89" w14:textId="77777777" w:rsidR="00620077"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 xml:space="preserve">La </w:t>
      </w:r>
      <w:r w:rsidRPr="00930562">
        <w:rPr>
          <w:rFonts w:asciiTheme="majorHAnsi" w:eastAsia="MS Mincho" w:hAnsiTheme="majorHAnsi"/>
          <w:color w:val="000000"/>
          <w:szCs w:val="18"/>
          <w:shd w:val="clear" w:color="auto" w:fill="FFFFFF"/>
          <w:lang w:val="es-US" w:eastAsia="es-ES"/>
        </w:rPr>
        <w:t>Comisión</w:t>
      </w:r>
      <w:r w:rsidRPr="00930562">
        <w:rPr>
          <w:rFonts w:asciiTheme="majorHAnsi" w:hAnsiTheme="majorHAnsi"/>
          <w:lang w:val="es-US"/>
        </w:rPr>
        <w:t xml:space="preserve"> recomienda que las garantías de no repetición incluyan principalmente:</w:t>
      </w:r>
    </w:p>
    <w:p w14:paraId="1C9A81BC" w14:textId="77777777" w:rsidR="00620077" w:rsidRPr="00930562" w:rsidRDefault="006E177E" w:rsidP="00DE6246">
      <w:pPr>
        <w:pStyle w:val="ListParagraph"/>
        <w:numPr>
          <w:ilvl w:val="0"/>
          <w:numId w:val="24"/>
        </w:numPr>
        <w:spacing w:after="120" w:line="240" w:lineRule="auto"/>
        <w:ind w:left="1094" w:hanging="547"/>
        <w:contextualSpacing w:val="0"/>
        <w:jc w:val="both"/>
        <w:rPr>
          <w:rFonts w:asciiTheme="majorHAnsi" w:hAnsiTheme="majorHAnsi"/>
          <w:lang w:val="es-US"/>
        </w:rPr>
      </w:pPr>
      <w:r w:rsidRPr="00930562">
        <w:rPr>
          <w:rFonts w:asciiTheme="majorHAnsi" w:hAnsiTheme="majorHAnsi"/>
          <w:lang w:val="es-US"/>
        </w:rPr>
        <w:t>Identificar, procesar y, en su caso, sancionar adecuadamente a todos los responsables de los casos no resueltos de homicidios policiales, y eliminar todos los mecanismos y obstáculos de hecho y de derecho en las investigaciones internas, los procesos penales, los procesos civiles y las investigaciones federales que mantienen la impunidad para los casos de homicidios policiales;</w:t>
      </w:r>
    </w:p>
    <w:p w14:paraId="37FDF4E7" w14:textId="77777777" w:rsidR="00620077" w:rsidRPr="00930562" w:rsidRDefault="006E177E" w:rsidP="00DE6246">
      <w:pPr>
        <w:pStyle w:val="ListParagraph"/>
        <w:numPr>
          <w:ilvl w:val="0"/>
          <w:numId w:val="24"/>
        </w:numPr>
        <w:spacing w:after="120" w:line="240" w:lineRule="auto"/>
        <w:ind w:left="1094" w:hanging="547"/>
        <w:contextualSpacing w:val="0"/>
        <w:jc w:val="both"/>
        <w:rPr>
          <w:rFonts w:asciiTheme="majorHAnsi" w:hAnsiTheme="majorHAnsi"/>
          <w:lang w:val="es-US"/>
        </w:rPr>
      </w:pPr>
      <w:r w:rsidRPr="00930562">
        <w:rPr>
          <w:rFonts w:asciiTheme="majorHAnsi" w:hAnsiTheme="majorHAnsi"/>
          <w:lang w:val="es-US"/>
        </w:rPr>
        <w:t xml:space="preserve">Tener en cuenta los patrones sistemáticos que caracterizan los asesinatos policiales tanto en su investigación y enjuiciamiento como en el diseño de medidas e iniciativas para prevenirlos; </w:t>
      </w:r>
    </w:p>
    <w:p w14:paraId="4DC0DCF2" w14:textId="77777777" w:rsidR="00620077" w:rsidRPr="00930562" w:rsidRDefault="006E177E" w:rsidP="00DE6246">
      <w:pPr>
        <w:pStyle w:val="ListParagraph"/>
        <w:numPr>
          <w:ilvl w:val="0"/>
          <w:numId w:val="24"/>
        </w:numPr>
        <w:spacing w:after="120" w:line="240" w:lineRule="auto"/>
        <w:ind w:left="1094" w:hanging="547"/>
        <w:contextualSpacing w:val="0"/>
        <w:jc w:val="both"/>
        <w:rPr>
          <w:rFonts w:asciiTheme="majorHAnsi" w:hAnsiTheme="majorHAnsi"/>
          <w:lang w:val="es-US"/>
        </w:rPr>
      </w:pPr>
      <w:r w:rsidRPr="00930562">
        <w:rPr>
          <w:rFonts w:asciiTheme="majorHAnsi" w:hAnsiTheme="majorHAnsi"/>
          <w:lang w:val="es-US"/>
        </w:rPr>
        <w:t>Revisar y reformar las leyes que contribuyen o permiten las violaciones de los derechos humanos por parte de la policía, principalmente en relación con las normas internacionales de no discriminación y uso de la fuerza;</w:t>
      </w:r>
    </w:p>
    <w:p w14:paraId="37A83911" w14:textId="77777777" w:rsidR="00620077" w:rsidRPr="00930562" w:rsidRDefault="006E177E" w:rsidP="00DE6246">
      <w:pPr>
        <w:pStyle w:val="ListParagraph"/>
        <w:numPr>
          <w:ilvl w:val="0"/>
          <w:numId w:val="24"/>
        </w:numPr>
        <w:spacing w:after="120" w:line="240" w:lineRule="auto"/>
        <w:ind w:left="1094" w:hanging="547"/>
        <w:contextualSpacing w:val="0"/>
        <w:jc w:val="both"/>
        <w:rPr>
          <w:rFonts w:asciiTheme="majorHAnsi" w:hAnsiTheme="majorHAnsi"/>
          <w:lang w:val="es-US"/>
        </w:rPr>
      </w:pPr>
      <w:r w:rsidRPr="00930562">
        <w:rPr>
          <w:rFonts w:asciiTheme="majorHAnsi" w:hAnsiTheme="majorHAnsi"/>
          <w:lang w:val="es-US"/>
        </w:rPr>
        <w:t>Impartir educación en materia de derechos humanos a todos los sectores de la sociedad y capacitar a los funcionarios encargados de hacer cumplir la ley a todos los niveles, en particular en las esferas de la no discriminación y el uso de la fuerza;</w:t>
      </w:r>
    </w:p>
    <w:p w14:paraId="38C3AE50" w14:textId="77777777" w:rsidR="00620077" w:rsidRPr="00930562" w:rsidRDefault="006E177E" w:rsidP="00DE6246">
      <w:pPr>
        <w:pStyle w:val="ListParagraph"/>
        <w:numPr>
          <w:ilvl w:val="0"/>
          <w:numId w:val="24"/>
        </w:numPr>
        <w:spacing w:after="120" w:line="240" w:lineRule="auto"/>
        <w:ind w:left="1094" w:hanging="547"/>
        <w:contextualSpacing w:val="0"/>
        <w:jc w:val="both"/>
        <w:rPr>
          <w:rFonts w:asciiTheme="majorHAnsi" w:hAnsiTheme="majorHAnsi"/>
          <w:lang w:val="es-US"/>
        </w:rPr>
      </w:pPr>
      <w:r w:rsidRPr="00930562">
        <w:rPr>
          <w:rFonts w:asciiTheme="majorHAnsi" w:hAnsiTheme="majorHAnsi"/>
          <w:lang w:val="es-US"/>
        </w:rPr>
        <w:t>Promover la observancia de códigos de conducta y normas éticas claramente definidos, de conformidad con las normas internacionales, por todos los funcionarios públicos, en particular los funcionarios encargados de hacer cumplir la ley y los operadores de justicia (incluidos fiscales y jueces);</w:t>
      </w:r>
    </w:p>
    <w:p w14:paraId="5768FFA6" w14:textId="77777777" w:rsidR="00620077" w:rsidRPr="00930562" w:rsidRDefault="006E177E" w:rsidP="00DE6246">
      <w:pPr>
        <w:pStyle w:val="ListParagraph"/>
        <w:numPr>
          <w:ilvl w:val="0"/>
          <w:numId w:val="24"/>
        </w:numPr>
        <w:spacing w:after="120" w:line="240" w:lineRule="auto"/>
        <w:ind w:left="1094" w:hanging="547"/>
        <w:contextualSpacing w:val="0"/>
        <w:jc w:val="both"/>
        <w:rPr>
          <w:rFonts w:asciiTheme="majorHAnsi" w:hAnsiTheme="majorHAnsi"/>
          <w:lang w:val="es-US"/>
        </w:rPr>
      </w:pPr>
      <w:r w:rsidRPr="00930562">
        <w:rPr>
          <w:rFonts w:asciiTheme="majorHAnsi" w:hAnsiTheme="majorHAnsi"/>
          <w:lang w:val="es-US"/>
        </w:rPr>
        <w:t>Asegurar la independencia, imparcialidad y eficacia de los mecanismos judiciales y de investigación en casos de violencia policial, a fin de asegurar la pronta y efectiva investigación, enjuiciamiento y, en su caso, sanción de los responsables;</w:t>
      </w:r>
    </w:p>
    <w:p w14:paraId="3ABF0475" w14:textId="5B61F10A" w:rsidR="006E177E" w:rsidRPr="00930562" w:rsidRDefault="006E177E" w:rsidP="00DE6246">
      <w:pPr>
        <w:pStyle w:val="ListParagraph"/>
        <w:numPr>
          <w:ilvl w:val="0"/>
          <w:numId w:val="24"/>
        </w:numPr>
        <w:spacing w:after="120" w:line="240" w:lineRule="auto"/>
        <w:ind w:left="1094" w:hanging="547"/>
        <w:contextualSpacing w:val="0"/>
        <w:jc w:val="both"/>
        <w:rPr>
          <w:rFonts w:asciiTheme="majorHAnsi" w:hAnsiTheme="majorHAnsi"/>
          <w:lang w:val="es-US"/>
        </w:rPr>
      </w:pPr>
      <w:r w:rsidRPr="00930562">
        <w:rPr>
          <w:rFonts w:asciiTheme="majorHAnsi" w:hAnsiTheme="majorHAnsi"/>
          <w:lang w:val="es-US"/>
        </w:rPr>
        <w:t>Asegurar que todos los procedimientos judiciales y de investigación cumplan con los estándares internacionales de debido proceso, justicia e imparcialidad.</w:t>
      </w:r>
    </w:p>
    <w:p w14:paraId="2F20E302" w14:textId="77777777" w:rsidR="0061794C" w:rsidRPr="00930562" w:rsidRDefault="0061794C" w:rsidP="0061794C">
      <w:pPr>
        <w:pStyle w:val="ListParagraph"/>
        <w:spacing w:after="240" w:line="240" w:lineRule="auto"/>
        <w:jc w:val="both"/>
        <w:rPr>
          <w:rFonts w:asciiTheme="majorHAnsi" w:hAnsiTheme="majorHAnsi"/>
          <w:lang w:val="es-US"/>
        </w:rPr>
      </w:pPr>
    </w:p>
    <w:p w14:paraId="4D1ACA21"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lastRenderedPageBreak/>
        <w:t>Por lo que se refiere a la no repetición, la Comisión considera pertinente destacar, en particular, los posibles obstáculos estructurales en relación a la eficacia de los juicios civiles por faltas policiales.  Como se destacó anteriormente</w:t>
      </w:r>
      <w:r w:rsidRPr="00930562">
        <w:rPr>
          <w:rFonts w:asciiTheme="majorHAnsi" w:hAnsiTheme="majorHAnsi"/>
          <w:vertAlign w:val="superscript"/>
          <w:lang w:val="es-US"/>
        </w:rPr>
        <w:footnoteReference w:id="675"/>
      </w:r>
      <w:r w:rsidRPr="00930562">
        <w:rPr>
          <w:rFonts w:asciiTheme="majorHAnsi" w:hAnsiTheme="majorHAnsi"/>
          <w:lang w:val="es-US"/>
        </w:rPr>
        <w:t>, cuando un demandante obtiene un fallo en contra de un oficial de policía o departamento de policía por mala conducta, generalmente es la municipalidad la que indemniza al oficial y paga la indemnización por daños y perjuicios con el dinero del contribuyente. La información indica que la mayoría de los departamentos de policía no saben cuánto ha pagado una ciudad por la mala conducta de la policía, o qué conducta de los agentes resultó en un acuerdo. La Comisión considera que esta situación, en los municipios, presentaría un caso de riesgo moral y probablemente contribuiría a la repetición crónica de los abusos policiales, ya que no incentiva adecuadamente a los departamentos de policía a tomar medidas para despedir a los agentes infractores y reformar los protocolos y prácticas para evitar efectivamente la comisión de abusos en el futuro.</w:t>
      </w:r>
    </w:p>
    <w:p w14:paraId="64F4FD75" w14:textId="77777777" w:rsidR="00334EC9"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sectPr w:rsidR="00334EC9" w:rsidSect="00B41EFF">
          <w:headerReference w:type="default" r:id="rId36"/>
          <w:footerReference w:type="default" r:id="rId37"/>
          <w:type w:val="oddPage"/>
          <w:pgSz w:w="10080" w:h="14400" w:code="1"/>
          <w:pgMar w:top="1152" w:right="1152" w:bottom="1152" w:left="1296" w:header="720" w:footer="720" w:gutter="0"/>
          <w:cols w:space="708"/>
          <w:docGrid w:linePitch="360"/>
        </w:sectPr>
      </w:pPr>
      <w:r w:rsidRPr="00930562">
        <w:rPr>
          <w:rFonts w:asciiTheme="majorHAnsi" w:hAnsiTheme="majorHAnsi"/>
          <w:lang w:val="es-US"/>
        </w:rPr>
        <w:t>Además, la Comisión reitera la importancia del Gobierno federal como garantía clave contra la impunidad en los casos en que la investigación y el enjuiciamiento a nivel estatal y local de la violencia policial fracasan o son ineficaces. La Comisión recuerda la información descrita anteriormente</w:t>
      </w:r>
      <w:r w:rsidRPr="00930562">
        <w:rPr>
          <w:rFonts w:asciiTheme="majorHAnsi" w:hAnsiTheme="majorHAnsi"/>
          <w:szCs w:val="20"/>
          <w:vertAlign w:val="superscript"/>
          <w:lang w:val="es-US"/>
        </w:rPr>
        <w:footnoteReference w:id="676"/>
      </w:r>
      <w:r w:rsidRPr="00930562">
        <w:rPr>
          <w:rFonts w:asciiTheme="majorHAnsi" w:hAnsiTheme="majorHAnsi"/>
          <w:szCs w:val="20"/>
          <w:lang w:val="es-US"/>
        </w:rPr>
        <w:t xml:space="preserve">  sobre la dificultad de entablar acciones penales federales en materia de derechos civiles con arreglo 18 U.S.C. § 242, y considera que puede ser necesaria una reforma de esta ley para garantizar que el Gobierno federal pueda servir adecuadamente de apoyo. La Comisión reitera además que es fundamental que el gobierno federal actúe para hacer cumplir sus leyes sobre derechos civiles</w:t>
      </w:r>
      <w:r w:rsidRPr="00930562">
        <w:rPr>
          <w:rFonts w:asciiTheme="majorHAnsi" w:hAnsiTheme="majorHAnsi"/>
          <w:szCs w:val="20"/>
          <w:vertAlign w:val="superscript"/>
          <w:lang w:val="es-US"/>
        </w:rPr>
        <w:footnoteReference w:id="677"/>
      </w:r>
      <w:r w:rsidRPr="00930562">
        <w:rPr>
          <w:rFonts w:asciiTheme="majorHAnsi" w:hAnsiTheme="majorHAnsi"/>
          <w:szCs w:val="20"/>
          <w:lang w:val="es-US"/>
        </w:rPr>
        <w:t>.</w:t>
      </w:r>
    </w:p>
    <w:p w14:paraId="44230BE0" w14:textId="6997B23F" w:rsidR="00D62986" w:rsidRDefault="00334EC9" w:rsidP="00334EC9">
      <w:pPr>
        <w:pStyle w:val="CAP1"/>
      </w:pPr>
      <w:bookmarkStart w:id="224" w:name="_Toc531514501"/>
      <w:r>
        <w:lastRenderedPageBreak/>
        <w:t>CAPÍTULO 4</w:t>
      </w:r>
      <w:bookmarkEnd w:id="224"/>
    </w:p>
    <w:p w14:paraId="4F4D753E" w14:textId="5EDE4E09" w:rsidR="00334EC9" w:rsidRPr="00930562" w:rsidRDefault="00334EC9" w:rsidP="00334EC9">
      <w:pPr>
        <w:pStyle w:val="CAP2"/>
      </w:pPr>
      <w:bookmarkStart w:id="225" w:name="_Toc531514502"/>
      <w:r>
        <w:t>CONCLUSIÓN Y RECOMENDACIONES</w:t>
      </w:r>
      <w:bookmarkEnd w:id="225"/>
    </w:p>
    <w:p w14:paraId="536EEB23" w14:textId="77777777" w:rsidR="00B8516B" w:rsidRPr="00930562" w:rsidRDefault="00B8516B" w:rsidP="00D62986">
      <w:pPr>
        <w:spacing w:after="240" w:line="240" w:lineRule="auto"/>
        <w:jc w:val="both"/>
        <w:rPr>
          <w:rFonts w:asciiTheme="majorHAnsi" w:hAnsiTheme="majorHAnsi"/>
          <w:b/>
          <w:bCs/>
          <w:color w:val="4A442A"/>
          <w:kern w:val="32"/>
          <w:sz w:val="28"/>
          <w:szCs w:val="26"/>
          <w:lang w:val="es-US"/>
        </w:rPr>
        <w:sectPr w:rsidR="00B8516B" w:rsidRPr="00930562" w:rsidSect="00334EC9">
          <w:headerReference w:type="default" r:id="rId38"/>
          <w:footerReference w:type="default" r:id="rId39"/>
          <w:type w:val="oddPage"/>
          <w:pgSz w:w="10080" w:h="14400" w:code="13"/>
          <w:pgMar w:top="1152" w:right="1152" w:bottom="1152" w:left="1296" w:header="720" w:footer="720" w:gutter="0"/>
          <w:cols w:space="708"/>
          <w:vAlign w:val="center"/>
          <w:docGrid w:linePitch="360"/>
        </w:sectPr>
      </w:pPr>
    </w:p>
    <w:p w14:paraId="1CF863CB" w14:textId="6156A117" w:rsidR="006E177E" w:rsidRPr="00930562" w:rsidRDefault="006E177E" w:rsidP="00724FB5">
      <w:pPr>
        <w:pStyle w:val="Heading1"/>
        <w:rPr>
          <w:rFonts w:eastAsia="Cambria"/>
          <w:szCs w:val="20"/>
          <w:lang w:val="es-US"/>
        </w:rPr>
      </w:pPr>
      <w:bookmarkStart w:id="226" w:name="_Toc517779268"/>
      <w:bookmarkStart w:id="227" w:name="_Toc531514503"/>
      <w:r w:rsidRPr="00930562">
        <w:rPr>
          <w:lang w:val="es-US"/>
        </w:rPr>
        <w:lastRenderedPageBreak/>
        <w:t>CONCLUSIÓN Y RECOMENDACIONES</w:t>
      </w:r>
      <w:bookmarkEnd w:id="226"/>
      <w:bookmarkEnd w:id="227"/>
    </w:p>
    <w:p w14:paraId="5E119365" w14:textId="661B5D4E"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szCs w:val="20"/>
          <w:lang w:val="es-US"/>
        </w:rPr>
        <w:t>Este informe ha puesto de relieve las dimensiones de la discriminación estructural e histórica contra l</w:t>
      </w:r>
      <w:r w:rsidR="00D62986" w:rsidRPr="00930562">
        <w:rPr>
          <w:rFonts w:asciiTheme="majorHAnsi" w:hAnsiTheme="majorHAnsi"/>
          <w:szCs w:val="20"/>
          <w:lang w:val="es-US"/>
        </w:rPr>
        <w:t>as personas afroamericanas</w:t>
      </w:r>
      <w:r w:rsidRPr="00930562">
        <w:rPr>
          <w:rFonts w:asciiTheme="majorHAnsi" w:hAnsiTheme="majorHAnsi"/>
          <w:szCs w:val="20"/>
          <w:lang w:val="es-US"/>
        </w:rPr>
        <w:t xml:space="preserve"> con respecto a</w:t>
      </w:r>
      <w:r w:rsidR="00D62986" w:rsidRPr="00930562">
        <w:rPr>
          <w:rFonts w:asciiTheme="majorHAnsi" w:hAnsiTheme="majorHAnsi"/>
          <w:szCs w:val="20"/>
          <w:lang w:val="es-US"/>
        </w:rPr>
        <w:t xml:space="preserve"> la</w:t>
      </w:r>
      <w:r w:rsidRPr="00930562">
        <w:rPr>
          <w:rFonts w:asciiTheme="majorHAnsi" w:hAnsiTheme="majorHAnsi"/>
          <w:szCs w:val="20"/>
          <w:lang w:val="es-US"/>
        </w:rPr>
        <w:t xml:space="preserve"> labor policial, lo que ha resultado en el uso </w:t>
      </w:r>
      <w:r w:rsidRPr="00930562">
        <w:rPr>
          <w:rFonts w:asciiTheme="majorHAnsi" w:hAnsiTheme="majorHAnsi"/>
          <w:lang w:val="es-US"/>
        </w:rPr>
        <w:t>desproporcionado de fuerza excesiva por parte de la policía, la impunidad en dichos casos y las barreras estructurales para el acceso de los afroestadounidenses a la justicia. En el informe se ha tomado en consideración además que los problemas de racismo y discriminación estructurales están estrechamente relacionados con otras cuestiones sistémicas cuyo análisis está fuera del alcance del presente informe, incluida la discriminación en el sistema de justicia penal en general y en el acceso a la vivienda y la calidad de la misma, la educación, la atención de la salud, el empleo y otros derechos. La Comisión hace un llamado al Estado y a los actores de la sociedad civil para que continúen investigando, documentando y analizando estos temas a fin de abordar eficazmente las situaciones de discriminación y se provea oportunidades amplias para los insumos, participación y acceso a la información de la sociedad civil.</w:t>
      </w:r>
    </w:p>
    <w:p w14:paraId="63506AB9"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Existe una clara necesidad de que los gobiernos federales, estatales y locales tomen medidas con la debida diligencia y sin demora para abordar el contexto que alimenta las formas de discriminación estructural y el trato desigual contra los afroestadounidenses y otros grupos históricamente marginados en Estados Unidos. Esto es vital para permitir el pleno ejercicio de los derechos de los afroamericanos y para fomentar una democracia más inclusiva en Estados Unidos.</w:t>
      </w:r>
    </w:p>
    <w:p w14:paraId="1F1B2B4D"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lang w:val="es-US"/>
        </w:rPr>
        <w:t>Sobre la base de la información reunida a través de sus mecanismos de vigilancia, durante la visita in-loco y en las audiencias, la Comisión ha encontrado un patrón de uso discriminatorio y excesivo de la fuerza por parte de la policía contra los afroestadounidenses. La Comisión considera que este patrón coloca a Estados Unidos en una situación de violación de su obligación bajo el derecho internacional de proteger los derechos a la vida, la integridad personal y la igualdad</w:t>
      </w:r>
      <w:r w:rsidRPr="00930562">
        <w:rPr>
          <w:rFonts w:asciiTheme="majorHAnsi" w:hAnsiTheme="majorHAnsi"/>
          <w:szCs w:val="20"/>
          <w:lang w:val="es-US"/>
        </w:rPr>
        <w:t xml:space="preserve"> ante la ley. En relación con las normas internacionales sobre no discriminación, uso de la fuerza y acceso a la justicia, la Comisión ha puesto de relieve sus principales preocupaciones acerca del cumplimiento por parte de los Estados Unidos de estos principios internacionales, así como recomendaciones concretas para armonizar la legislación y la práctica nacionales con el derecho internacional.</w:t>
      </w:r>
    </w:p>
    <w:p w14:paraId="7058F89E"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szCs w:val="20"/>
          <w:lang w:val="es-US"/>
        </w:rPr>
        <w:lastRenderedPageBreak/>
        <w:t xml:space="preserve">En cuanto a la no discriminación, la Comisión ha destacado que las leyes y prácticas que tienen un efecto </w:t>
      </w:r>
      <w:r w:rsidRPr="00930562">
        <w:rPr>
          <w:rFonts w:asciiTheme="majorHAnsi" w:hAnsiTheme="majorHAnsi"/>
          <w:lang w:val="es-US"/>
        </w:rPr>
        <w:t>discriminatorio (efectos desiguales) están prohibidas por el derecho internacional, aunque no sean discriminatorias en apariencia. Es urgente que Estados Unidos adapte su legislación nacional a las normas internacionales al respecto. La Comisión ha resaltado además que las prácticas de establecimiento de perfiles raciales pueden constituir un trato inhumano o degradante bajo el derecho internacional.</w:t>
      </w:r>
    </w:p>
    <w:p w14:paraId="2046C8D3"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En cuanto al uso de la fuerza, la Comisión ha reiterado que la protección contra las privaciones arbitrarias de la vida se aplica a toda la estructura del Estado —incluidas las entidades gubernamentales federales, estatales y locales— y a todas las acciones de los agentes de policía. Por lo tanto, el uso de la fuerza por parte de la policía debe guiarse por los principios de legalidad, absoluta necesidad y proporcionalidad, y sólo debe utilizarse cuando otros métodos se hayan agotado y hayan fracasado. La Comisión ha pedido a los Estados Unidos que adapte su legislación nacional a las normas internacionales en este ámbito. Ha destacado además que el uso excesivo de la fuerza por parte de la policía puede equivaler a un trato cruel, inhumano o degradante o a tortura en determinadas circunstancias, en particular cuando se comete por cualquier razón basada en cualquier tipo de discriminación. Y la Comisión ha subrayado la necesidad de salvaguardar los derechos humanos básicos de los manifestantes, incluidos sus derechos a la vida y a la integridad física y psicológica, así como consideraciones relacionadas con la regulación del uso de la fuerza letal y de armas menos letales en situaciones de protesta.</w:t>
      </w:r>
    </w:p>
    <w:p w14:paraId="5693110E" w14:textId="7683E08F"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lang w:val="es-US"/>
        </w:rPr>
        <w:t>En lo que respecta al acceso a la justicia, la Comisión ha hecho hincapié en que el gobierno -federal, estatal y local- es responsable de garantizar el acceso a la justicia, incluyendo el ejercicio de la debida diligencia en la investigación independiente e imparcial y el enjuiciamiento de los abusos</w:t>
      </w:r>
      <w:r w:rsidRPr="00930562">
        <w:rPr>
          <w:rFonts w:asciiTheme="majorHAnsi" w:hAnsiTheme="majorHAnsi"/>
          <w:szCs w:val="20"/>
          <w:lang w:val="es-US"/>
        </w:rPr>
        <w:t xml:space="preserve"> policiales, y de asegurar la rendición de cuentas y el castigo de todos los responsables de una violación; el establecimiento de recursos legales adecuados, eficaces y accesibles para la violencia policial; y la garantía de reparaciones para las víctimas. La Comisión recuerda que la impunidad fomenta un entorno en el que la violencia y los abusos policiales son tolerados e incluso esperados, y sirve para mantener un trato desigual hacia las minorías. Además, la Comisión ha señalado el deber del Estado de adoptar medidas para prevenir y responder a la violencia por parte de agentes estatales y no estatales motivada explícita o implícitamente por prejuicios raciales.</w:t>
      </w:r>
    </w:p>
    <w:p w14:paraId="63022E16"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szCs w:val="20"/>
          <w:lang w:val="es-US"/>
        </w:rPr>
        <w:t xml:space="preserve">La Comisión recuerda que la garantía y el disfrute de los derechos económicos, sociales, culturales y ambientales son indivisibles de la garantía y el disfrute de los derechos civiles y </w:t>
      </w:r>
      <w:r w:rsidRPr="00930562">
        <w:rPr>
          <w:rFonts w:asciiTheme="majorHAnsi" w:hAnsiTheme="majorHAnsi"/>
          <w:lang w:val="es-US"/>
        </w:rPr>
        <w:t xml:space="preserve">políticos. A este respecto, la Comisión ha considerado que la discriminación contra los </w:t>
      </w:r>
      <w:r w:rsidRPr="00930562">
        <w:rPr>
          <w:rFonts w:asciiTheme="majorHAnsi" w:hAnsiTheme="majorHAnsi"/>
          <w:lang w:val="es-US"/>
        </w:rPr>
        <w:lastRenderedPageBreak/>
        <w:t>afroestadounidenses en el mantenimiento del orden y el sistema de justicia penal está necesariamente vinculada a la situación estructural de pobreza racializada en la que viven muchos afroestadounidenses. En este sentido, cualquier política o iniciativa destinada a mitigar la violencia policial contra los afroestadounidenses debe ir acompañada de políticas diseñadas para remediar la desigualdad en el acceso a la salud, la vivienda, la educación, el trabajo y otros derechos que históricamente se han fomentado a través de la discriminación estructural. La Comisión reitera la necesidad de que el Estado adopte medidas rápidas para superar los obstáculos al ejercicio, respeto y garantía de todos los derechos humanos de los afrodescendientes en los Estados Unidos.</w:t>
      </w:r>
    </w:p>
    <w:p w14:paraId="65AEE053"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La Comisión ha considerado anteriormente que las medidas especiales positivas son esenciales para erradicar la discriminación racial en el Hemisferio y garantizar efectivamente los derechos de los afrodescendientes. Ha recomendado que se reúna información adecuada y desglosada sobre la naturaleza de la discriminación racial y que se dediquen recursos humanos y financieros suficientes y específicos no sólo a neutralizar los prejuicios y los estereotipos raciales, sino también a mejorar las condiciones de vida de los afrodescendientes en las esferas de la salud, la vivienda, la educación y el trabajo, prestando especial atención al fenómeno de la discriminación intersectorial</w:t>
      </w:r>
      <w:r w:rsidRPr="00930562">
        <w:rPr>
          <w:rFonts w:asciiTheme="majorHAnsi" w:hAnsiTheme="majorHAnsi"/>
          <w:vertAlign w:val="superscript"/>
          <w:lang w:val="es-US"/>
        </w:rPr>
        <w:footnoteReference w:id="678"/>
      </w:r>
      <w:r w:rsidRPr="00930562">
        <w:rPr>
          <w:rFonts w:asciiTheme="majorHAnsi" w:hAnsiTheme="majorHAnsi"/>
          <w:lang w:val="es-US"/>
        </w:rPr>
        <w:t>.</w:t>
      </w:r>
    </w:p>
    <w:p w14:paraId="00E0C44C"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La Comisión expresa su esperanza de que este informe contribuya a mejorar y fortalecer la legislación, las políticas y las prácticas en todos los niveles de gobierno para hacer frente a la discriminación institucional que se ha fomentado mediante prácticas de aplicación de la ley y en todo el sistema de justicia penal.</w:t>
      </w:r>
    </w:p>
    <w:p w14:paraId="49D7398D"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lang w:val="es-US"/>
        </w:rPr>
      </w:pPr>
      <w:r w:rsidRPr="00930562">
        <w:rPr>
          <w:rFonts w:asciiTheme="majorHAnsi" w:hAnsiTheme="majorHAnsi"/>
          <w:lang w:val="es-US"/>
        </w:rPr>
        <w:t>La Comisión reconoce los esfuerzos realizados por el Estado hasta la fecha para hacer frente a las prácticas policiales discriminatorias, el uso excesivo de la fuerza y la impunidad entre otros retos y alienta al Estado a que prosiga esos esfuerzos.  La CIDH reitera que está abierta al diálogo con el Estado y dispuesta a prestar asistencia técnica para apoyar el proceso de cumplimiento de las recomendaciones de este informe, a fin de avanzar en la protección de los derechos humanos del pueblo de los Estados Unidos.</w:t>
      </w:r>
    </w:p>
    <w:p w14:paraId="60C7BAED" w14:textId="77777777" w:rsidR="006E177E" w:rsidRPr="00930562" w:rsidRDefault="006E177E" w:rsidP="00724857">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930562">
        <w:rPr>
          <w:rFonts w:asciiTheme="majorHAnsi" w:hAnsiTheme="majorHAnsi"/>
          <w:lang w:val="es-US"/>
        </w:rPr>
        <w:t>Las siguientes recomendaciones tienen por objeto promover cambios concretos en el marco jurídico y normativo</w:t>
      </w:r>
      <w:r w:rsidRPr="00930562">
        <w:rPr>
          <w:rFonts w:asciiTheme="majorHAnsi" w:hAnsiTheme="majorHAnsi"/>
          <w:szCs w:val="20"/>
          <w:lang w:val="es-US"/>
        </w:rPr>
        <w:t xml:space="preserve"> vigente de los Estados Unidos para garantizar el cumplimiento efectivo de sus obligaciones internacionales en las esferas de la no discriminación, el uso de la fuerza y el acceso a la justicia:</w:t>
      </w:r>
    </w:p>
    <w:p w14:paraId="695B0032" w14:textId="1B28D4E5" w:rsidR="006E177E" w:rsidRPr="00930562" w:rsidRDefault="00932FE3" w:rsidP="00724857">
      <w:pPr>
        <w:pStyle w:val="Heading2"/>
        <w:numPr>
          <w:ilvl w:val="0"/>
          <w:numId w:val="13"/>
        </w:numPr>
        <w:ind w:hanging="720"/>
        <w:rPr>
          <w:rFonts w:asciiTheme="majorHAnsi" w:hAnsiTheme="majorHAnsi"/>
          <w:lang w:val="es-US"/>
        </w:rPr>
      </w:pPr>
      <w:bookmarkStart w:id="228" w:name="_Toc517779269"/>
      <w:bookmarkStart w:id="229" w:name="_Toc531514504"/>
      <w:r w:rsidRPr="00930562">
        <w:rPr>
          <w:rFonts w:asciiTheme="majorHAnsi" w:hAnsiTheme="majorHAnsi"/>
          <w:lang w:val="es-US"/>
        </w:rPr>
        <w:lastRenderedPageBreak/>
        <w:t xml:space="preserve">Recomendaciones </w:t>
      </w:r>
      <w:r w:rsidR="009C0320" w:rsidRPr="00930562">
        <w:rPr>
          <w:rFonts w:asciiTheme="majorHAnsi" w:hAnsiTheme="majorHAnsi"/>
          <w:lang w:val="es-US"/>
        </w:rPr>
        <w:t>generales</w:t>
      </w:r>
      <w:bookmarkEnd w:id="228"/>
      <w:bookmarkEnd w:id="229"/>
    </w:p>
    <w:p w14:paraId="63235FCB" w14:textId="77777777" w:rsidR="006E177E" w:rsidRPr="00930562" w:rsidRDefault="006E177E" w:rsidP="00724857">
      <w:pPr>
        <w:numPr>
          <w:ilvl w:val="0"/>
          <w:numId w:val="10"/>
        </w:numPr>
        <w:spacing w:after="240" w:line="240" w:lineRule="auto"/>
        <w:ind w:left="1080" w:right="432" w:hanging="720"/>
        <w:jc w:val="both"/>
        <w:rPr>
          <w:rFonts w:asciiTheme="majorHAnsi" w:eastAsia="Cambria" w:hAnsiTheme="majorHAnsi"/>
          <w:szCs w:val="20"/>
          <w:lang w:val="es-US"/>
        </w:rPr>
      </w:pPr>
      <w:r w:rsidRPr="00930562">
        <w:rPr>
          <w:rFonts w:asciiTheme="majorHAnsi" w:eastAsia="Cambria" w:hAnsiTheme="majorHAnsi"/>
          <w:szCs w:val="20"/>
          <w:lang w:val="es-US"/>
        </w:rPr>
        <w:t>Emprender y asegurar el financiamiento adecuado de estudios oficiales, ya sea a nivel federal, estatal o local, con el fin de contribuir al establecimiento de la verdad plena, completa y pública del pasado y de políticas públicas orientadas al futuro que contribuyan a la satisfacción de las víctimas y a las garantías de no repetición, en los temas de, entre otros:</w:t>
      </w:r>
    </w:p>
    <w:p w14:paraId="5F1EE295" w14:textId="77777777" w:rsidR="006E177E" w:rsidRPr="00930562" w:rsidRDefault="006E177E" w:rsidP="00724857">
      <w:pPr>
        <w:numPr>
          <w:ilvl w:val="1"/>
          <w:numId w:val="10"/>
        </w:numPr>
        <w:spacing w:after="240" w:line="240" w:lineRule="auto"/>
        <w:ind w:left="1620" w:right="432" w:hanging="540"/>
        <w:jc w:val="both"/>
        <w:rPr>
          <w:rFonts w:asciiTheme="majorHAnsi" w:eastAsia="Cambria" w:hAnsiTheme="majorHAnsi"/>
          <w:szCs w:val="20"/>
          <w:lang w:val="es-US"/>
        </w:rPr>
      </w:pPr>
      <w:r w:rsidRPr="00930562">
        <w:rPr>
          <w:rFonts w:asciiTheme="majorHAnsi" w:eastAsia="Cambria" w:hAnsiTheme="majorHAnsi"/>
          <w:szCs w:val="20"/>
          <w:lang w:val="es-US"/>
        </w:rPr>
        <w:t>Las causas y consecuencias del establecimiento de perfiles raciales y otros tratos o prácticas racialmente discriminatorios por parte de funcionarios o agencias del orden público con respecto a los afroestadounidenses y otros grupos históricamente discriminados;</w:t>
      </w:r>
    </w:p>
    <w:p w14:paraId="3EE7674A" w14:textId="77777777" w:rsidR="006E177E" w:rsidRPr="00930562" w:rsidRDefault="006E177E" w:rsidP="00724857">
      <w:pPr>
        <w:numPr>
          <w:ilvl w:val="1"/>
          <w:numId w:val="10"/>
        </w:numPr>
        <w:spacing w:after="240" w:line="240" w:lineRule="auto"/>
        <w:ind w:left="1620" w:right="432" w:hanging="540"/>
        <w:jc w:val="both"/>
        <w:rPr>
          <w:rFonts w:asciiTheme="majorHAnsi" w:eastAsia="Cambria" w:hAnsiTheme="majorHAnsi"/>
          <w:szCs w:val="20"/>
          <w:lang w:val="es-US"/>
        </w:rPr>
      </w:pPr>
      <w:r w:rsidRPr="00930562">
        <w:rPr>
          <w:rFonts w:asciiTheme="majorHAnsi" w:eastAsia="Cambria" w:hAnsiTheme="majorHAnsi"/>
          <w:szCs w:val="20"/>
          <w:lang w:val="es-US"/>
        </w:rPr>
        <w:t>Las causas e impactos del uso de la fuerza y la fuerza mortal por parte de la policía con respecto a los afroestadounidenses y otros grupos históricamente marginados, y los impactos diferenciales de los mismos sobre las personas con enfermedades mentales y discapacidades, las personas LGBTI, los niños y adolescentes y las mujeres;</w:t>
      </w:r>
    </w:p>
    <w:p w14:paraId="4E7250B5" w14:textId="77777777" w:rsidR="006E177E" w:rsidRPr="00930562" w:rsidRDefault="006E177E" w:rsidP="00724857">
      <w:pPr>
        <w:numPr>
          <w:ilvl w:val="1"/>
          <w:numId w:val="10"/>
        </w:numPr>
        <w:spacing w:after="240" w:line="240" w:lineRule="auto"/>
        <w:ind w:left="1620" w:right="432" w:hanging="540"/>
        <w:jc w:val="both"/>
        <w:rPr>
          <w:rFonts w:asciiTheme="majorHAnsi" w:eastAsia="Cambria" w:hAnsiTheme="majorHAnsi"/>
          <w:szCs w:val="20"/>
          <w:lang w:val="es-US"/>
        </w:rPr>
      </w:pPr>
      <w:r w:rsidRPr="00930562">
        <w:rPr>
          <w:rFonts w:asciiTheme="majorHAnsi" w:eastAsia="Cambria" w:hAnsiTheme="majorHAnsi"/>
          <w:szCs w:val="20"/>
          <w:lang w:val="es-US"/>
        </w:rPr>
        <w:t>Las causas e impactos de los arrestos desproporcionados, enjuiciamientos, sentencias, encarcelamientos y reencarcelamientos de afroestadounidenses y otros grupos históricamente discriminados;</w:t>
      </w:r>
    </w:p>
    <w:p w14:paraId="128F0CE5" w14:textId="77777777" w:rsidR="006E177E" w:rsidRPr="00930562" w:rsidRDefault="006E177E" w:rsidP="00724857">
      <w:pPr>
        <w:numPr>
          <w:ilvl w:val="1"/>
          <w:numId w:val="10"/>
        </w:numPr>
        <w:spacing w:after="240" w:line="240" w:lineRule="auto"/>
        <w:ind w:left="1620" w:right="432" w:hanging="540"/>
        <w:contextualSpacing/>
        <w:jc w:val="both"/>
        <w:rPr>
          <w:rFonts w:asciiTheme="majorHAnsi" w:eastAsia="Cambria" w:hAnsiTheme="majorHAnsi"/>
          <w:szCs w:val="20"/>
          <w:lang w:val="es-US"/>
        </w:rPr>
      </w:pPr>
      <w:r w:rsidRPr="00930562">
        <w:rPr>
          <w:rFonts w:asciiTheme="majorHAnsi" w:eastAsia="Cambria" w:hAnsiTheme="majorHAnsi"/>
          <w:szCs w:val="20"/>
          <w:lang w:val="es-US"/>
        </w:rPr>
        <w:t>Las causas, impactos y magnitud de la falta de acceso a los derechos sociales, económicos, culturales y ambientales de los afroestadounidenses y otras comunidades de color.</w:t>
      </w:r>
    </w:p>
    <w:p w14:paraId="14EE5834" w14:textId="77777777" w:rsidR="006E177E" w:rsidRPr="00930562" w:rsidRDefault="006E177E" w:rsidP="006E177E">
      <w:pPr>
        <w:spacing w:after="240" w:line="240" w:lineRule="auto"/>
        <w:ind w:left="1620" w:right="432"/>
        <w:contextualSpacing/>
        <w:jc w:val="both"/>
        <w:rPr>
          <w:rFonts w:asciiTheme="majorHAnsi" w:eastAsia="Cambria" w:hAnsiTheme="majorHAnsi"/>
          <w:szCs w:val="20"/>
          <w:lang w:val="es-US"/>
        </w:rPr>
      </w:pPr>
    </w:p>
    <w:p w14:paraId="16BA8069" w14:textId="77777777" w:rsidR="006E177E" w:rsidRPr="00930562" w:rsidRDefault="006E177E" w:rsidP="00724857">
      <w:pPr>
        <w:numPr>
          <w:ilvl w:val="0"/>
          <w:numId w:val="10"/>
        </w:numPr>
        <w:spacing w:after="240" w:line="240" w:lineRule="auto"/>
        <w:ind w:left="1080" w:right="432" w:hanging="720"/>
        <w:jc w:val="both"/>
        <w:rPr>
          <w:rFonts w:asciiTheme="majorHAnsi" w:eastAsia="Cambria" w:hAnsiTheme="majorHAnsi"/>
          <w:szCs w:val="20"/>
          <w:lang w:val="es-US"/>
        </w:rPr>
      </w:pPr>
      <w:r w:rsidRPr="00930562">
        <w:rPr>
          <w:rFonts w:asciiTheme="majorHAnsi" w:eastAsia="Cambria" w:hAnsiTheme="majorHAnsi"/>
          <w:lang w:val="es-US"/>
        </w:rPr>
        <w:t>D</w:t>
      </w:r>
      <w:r w:rsidRPr="00930562">
        <w:rPr>
          <w:rFonts w:asciiTheme="majorHAnsi" w:eastAsia="Cambria" w:hAnsiTheme="majorHAnsi"/>
          <w:szCs w:val="20"/>
          <w:lang w:val="es-US"/>
        </w:rPr>
        <w:t>iseñar, implementar y financiar sistemas gubernamentales para recolectar datos precisos, desglosados e información estadística y cualitativa sobre la situación de los derechos humanos de los afroamericanos y otras comunidades de color, con el fin de crear e implementar leyes y políticas públicas apropiadas para abordar las necesidades y superar los obstáculos específicos que enfrentan estos grupos. En particular, asegurar la recolección de datos desagregados sobre las condiciones que enfrentan las mujeres afroamericanas y las personas LGBTI, incorporando un enfoque de género y diversidad, y diseñar políticas públicas para prevenir y eliminar la discriminación racial en sus diversas formas.</w:t>
      </w:r>
    </w:p>
    <w:p w14:paraId="0BDCF47E" w14:textId="77777777" w:rsidR="006E177E" w:rsidRPr="00930562" w:rsidRDefault="006E177E" w:rsidP="00724857">
      <w:pPr>
        <w:numPr>
          <w:ilvl w:val="0"/>
          <w:numId w:val="10"/>
        </w:numPr>
        <w:spacing w:after="240" w:line="240" w:lineRule="auto"/>
        <w:ind w:left="1080" w:right="432" w:hanging="720"/>
        <w:jc w:val="both"/>
        <w:rPr>
          <w:rFonts w:asciiTheme="majorHAnsi" w:eastAsia="Cambria" w:hAnsiTheme="majorHAnsi"/>
          <w:szCs w:val="20"/>
          <w:lang w:val="es-US"/>
        </w:rPr>
      </w:pPr>
      <w:r w:rsidRPr="00930562">
        <w:rPr>
          <w:rFonts w:asciiTheme="majorHAnsi" w:eastAsia="Cambria" w:hAnsiTheme="majorHAnsi"/>
          <w:szCs w:val="20"/>
          <w:lang w:val="es-US"/>
        </w:rPr>
        <w:lastRenderedPageBreak/>
        <w:t>A fin de facilitar los procesos de adecuación de la legislación nacional a las normas internacionales, adoptar medidas para ratificar no sólo la Convención Americana sobre Derechos Humanos, sino todos los instrumentos interamericanos de protección de los derechos humanos. En particular, la Comisión exhorta a los Estados Unidos a que firmen y ratifiquen la Convención Interamericana contra el Racismo, la Discriminación Racial y las Formas Conexas de Intolerancia, como medida importante para garantizar los derechos de las personas afrodescendientes y otros grupos históricamente marginados.</w:t>
      </w:r>
    </w:p>
    <w:p w14:paraId="369C5007" w14:textId="77777777" w:rsidR="006E177E" w:rsidRPr="00930562" w:rsidRDefault="006E177E" w:rsidP="00724857">
      <w:pPr>
        <w:numPr>
          <w:ilvl w:val="0"/>
          <w:numId w:val="10"/>
        </w:numPr>
        <w:spacing w:after="240" w:line="240" w:lineRule="auto"/>
        <w:ind w:left="1080" w:right="432" w:hanging="720"/>
        <w:jc w:val="both"/>
        <w:rPr>
          <w:rFonts w:asciiTheme="majorHAnsi" w:eastAsia="Cambria" w:hAnsiTheme="majorHAnsi"/>
          <w:szCs w:val="20"/>
          <w:lang w:val="es-US"/>
        </w:rPr>
      </w:pPr>
      <w:r w:rsidRPr="00930562">
        <w:rPr>
          <w:rFonts w:asciiTheme="majorHAnsi" w:eastAsia="Cambria" w:hAnsiTheme="majorHAnsi"/>
          <w:szCs w:val="20"/>
          <w:lang w:val="es-US"/>
        </w:rPr>
        <w:t>Considerar la reforma de las leyes o secciones de las leyes nacionales que puedan obstaculizar la protección o la aplicación efectiva de los derechos humanos.</w:t>
      </w:r>
    </w:p>
    <w:p w14:paraId="25B6F69C" w14:textId="77777777" w:rsidR="006E177E" w:rsidRPr="00930562" w:rsidRDefault="006E177E" w:rsidP="00724857">
      <w:pPr>
        <w:numPr>
          <w:ilvl w:val="0"/>
          <w:numId w:val="10"/>
        </w:numPr>
        <w:spacing w:after="240" w:line="240" w:lineRule="auto"/>
        <w:ind w:left="1080" w:right="432" w:hanging="720"/>
        <w:jc w:val="both"/>
        <w:rPr>
          <w:rFonts w:asciiTheme="majorHAnsi" w:eastAsia="Cambria" w:hAnsiTheme="majorHAnsi"/>
          <w:szCs w:val="20"/>
          <w:lang w:val="es-US"/>
        </w:rPr>
      </w:pPr>
      <w:r w:rsidRPr="00930562">
        <w:rPr>
          <w:rFonts w:asciiTheme="majorHAnsi" w:eastAsia="Cambria" w:hAnsiTheme="majorHAnsi"/>
          <w:szCs w:val="20"/>
          <w:lang w:val="es-US"/>
        </w:rPr>
        <w:t>Asegurar que todas las entidades del gobierno federal, estatal y local cumplan plenamente con las leyes nacionales pertinentes que ordenan el monitoreo, la supervisión y la investigación de posibles violaciones de los derechos humanos o civiles por parte de actores estatales, como los departamentos de policía, así como por particulares.</w:t>
      </w:r>
    </w:p>
    <w:p w14:paraId="771F7EE2" w14:textId="77777777" w:rsidR="006E177E" w:rsidRPr="00930562" w:rsidRDefault="006E177E" w:rsidP="00724857">
      <w:pPr>
        <w:numPr>
          <w:ilvl w:val="0"/>
          <w:numId w:val="10"/>
        </w:numPr>
        <w:spacing w:after="240" w:line="240" w:lineRule="auto"/>
        <w:ind w:left="1080" w:right="432" w:hanging="720"/>
        <w:jc w:val="both"/>
        <w:rPr>
          <w:rFonts w:asciiTheme="majorHAnsi" w:eastAsia="Cambria" w:hAnsiTheme="majorHAnsi"/>
          <w:szCs w:val="20"/>
          <w:lang w:val="es-US"/>
        </w:rPr>
      </w:pPr>
      <w:r w:rsidRPr="00930562">
        <w:rPr>
          <w:rFonts w:asciiTheme="majorHAnsi" w:eastAsia="Cambria" w:hAnsiTheme="majorHAnsi"/>
          <w:szCs w:val="20"/>
          <w:lang w:val="es-US"/>
        </w:rPr>
        <w:t>Crear un mecanismo nacional de derechos humanos para la protección y promoción de los derechos humanos, de conformidad con los “Principios de París” relativos al Estatuto y Funcionamiento de las Instituciones Nacionales. La CIDH recomienda que esta institución nacional de derechos humanos incluya una división centrada exclusivamente en el seguimiento y la promoción de los derechos humanos de los afroestadounidenses, abordando las desigualdades raciales existentes en la actualidad, así como las condiciones históricas y estructurales que las crean.</w:t>
      </w:r>
    </w:p>
    <w:p w14:paraId="0E53977F" w14:textId="4187BB69" w:rsidR="006E177E" w:rsidRPr="00930562" w:rsidRDefault="006E177E" w:rsidP="005E5B1C">
      <w:pPr>
        <w:pStyle w:val="Heading2"/>
        <w:numPr>
          <w:ilvl w:val="0"/>
          <w:numId w:val="3"/>
        </w:numPr>
        <w:ind w:hanging="720"/>
        <w:rPr>
          <w:rFonts w:asciiTheme="majorHAnsi" w:eastAsia="MS Gothic" w:hAnsiTheme="majorHAnsi"/>
          <w:lang w:val="es-US"/>
        </w:rPr>
      </w:pPr>
      <w:bookmarkStart w:id="230" w:name="_Toc517779270"/>
      <w:bookmarkStart w:id="231" w:name="_Toc531514505"/>
      <w:r w:rsidRPr="00930562">
        <w:rPr>
          <w:rFonts w:asciiTheme="majorHAnsi" w:eastAsia="MS Gothic" w:hAnsiTheme="majorHAnsi"/>
          <w:lang w:val="es-US"/>
        </w:rPr>
        <w:t xml:space="preserve">Recomendaciones </w:t>
      </w:r>
      <w:r w:rsidR="009C0320" w:rsidRPr="00930562">
        <w:rPr>
          <w:rFonts w:asciiTheme="majorHAnsi" w:eastAsia="MS Gothic" w:hAnsiTheme="majorHAnsi"/>
          <w:lang w:val="es-US"/>
        </w:rPr>
        <w:t>relativas a la no discriminación</w:t>
      </w:r>
      <w:bookmarkEnd w:id="230"/>
      <w:bookmarkEnd w:id="231"/>
    </w:p>
    <w:p w14:paraId="37E78C20" w14:textId="77777777" w:rsidR="006E177E" w:rsidRPr="00930562" w:rsidRDefault="006E177E" w:rsidP="00724857">
      <w:pPr>
        <w:numPr>
          <w:ilvl w:val="0"/>
          <w:numId w:val="10"/>
        </w:numPr>
        <w:spacing w:after="240" w:line="240" w:lineRule="auto"/>
        <w:ind w:left="1080" w:right="432" w:hanging="720"/>
        <w:jc w:val="both"/>
        <w:rPr>
          <w:rFonts w:asciiTheme="majorHAnsi" w:eastAsia="Cambria" w:hAnsiTheme="majorHAnsi"/>
          <w:szCs w:val="20"/>
          <w:lang w:val="es-US"/>
        </w:rPr>
      </w:pPr>
      <w:r w:rsidRPr="00930562">
        <w:rPr>
          <w:rFonts w:asciiTheme="majorHAnsi" w:eastAsia="Cambria" w:hAnsiTheme="majorHAnsi"/>
          <w:szCs w:val="20"/>
          <w:lang w:val="es-US"/>
        </w:rPr>
        <w:t>Con carácter de urgencia, adoptar las medidas necesarias para reformar la legislación nacional, tanto federal como estatal, a fin de armonizarla con el derecho internacional en materia de no discriminación, en particular la obligación de prohibir y sancionar tanto la discriminación facial como el impacto desigual de las leyes y políticas neutrales en apariencia, en todos los ámbitos del derecho estadounidense.</w:t>
      </w:r>
    </w:p>
    <w:p w14:paraId="48F768D0" w14:textId="77777777" w:rsidR="006E177E" w:rsidRPr="00930562" w:rsidRDefault="006E177E" w:rsidP="00724857">
      <w:pPr>
        <w:numPr>
          <w:ilvl w:val="1"/>
          <w:numId w:val="10"/>
        </w:numPr>
        <w:spacing w:after="240" w:line="240" w:lineRule="auto"/>
        <w:ind w:left="1620" w:right="432" w:hanging="540"/>
        <w:jc w:val="both"/>
        <w:rPr>
          <w:rFonts w:asciiTheme="majorHAnsi" w:eastAsia="Cambria" w:hAnsiTheme="majorHAnsi"/>
          <w:szCs w:val="20"/>
          <w:lang w:val="es-US"/>
        </w:rPr>
      </w:pPr>
      <w:r w:rsidRPr="00930562">
        <w:rPr>
          <w:rFonts w:asciiTheme="majorHAnsi" w:eastAsia="Cambria" w:hAnsiTheme="majorHAnsi"/>
          <w:szCs w:val="20"/>
          <w:lang w:val="es-US"/>
        </w:rPr>
        <w:lastRenderedPageBreak/>
        <w:t>Adoptar todas las medidas necesarias para ajustar el marco jurídico nacional a fin de garantizar que, en virtud de la legislación nacional, puedan invocarse ante los tribunales, entre otras cosas, denuncias sobre los efectos desiguales en relación con la actuación policial y el sistema de justicia penal.</w:t>
      </w:r>
    </w:p>
    <w:p w14:paraId="567CCE73" w14:textId="77777777" w:rsidR="006E177E" w:rsidRPr="00930562" w:rsidRDefault="006E177E" w:rsidP="00724857">
      <w:pPr>
        <w:numPr>
          <w:ilvl w:val="0"/>
          <w:numId w:val="10"/>
        </w:numPr>
        <w:spacing w:after="240" w:line="240" w:lineRule="auto"/>
        <w:ind w:left="1080" w:right="432" w:hanging="720"/>
        <w:jc w:val="both"/>
        <w:rPr>
          <w:rFonts w:asciiTheme="majorHAnsi" w:eastAsia="Cambria" w:hAnsiTheme="majorHAnsi"/>
          <w:szCs w:val="20"/>
          <w:lang w:val="es-US"/>
        </w:rPr>
      </w:pPr>
      <w:r w:rsidRPr="00930562">
        <w:rPr>
          <w:rFonts w:asciiTheme="majorHAnsi" w:eastAsia="Cambria" w:hAnsiTheme="majorHAnsi"/>
          <w:szCs w:val="20"/>
          <w:lang w:val="es-US"/>
        </w:rPr>
        <w:t>Adoptar medidas legislativas, normativas e institucionales coordinadas para eliminar la discriminación y los estereotipos raciales y dedicar a ello los recursos humanos y financieros necesarios.</w:t>
      </w:r>
    </w:p>
    <w:p w14:paraId="0D08F848" w14:textId="126515F5" w:rsidR="006E177E" w:rsidRPr="00930562" w:rsidRDefault="006E177E" w:rsidP="00724857">
      <w:pPr>
        <w:numPr>
          <w:ilvl w:val="0"/>
          <w:numId w:val="10"/>
        </w:numPr>
        <w:spacing w:after="240" w:line="240" w:lineRule="auto"/>
        <w:ind w:left="1080" w:right="432" w:hanging="720"/>
        <w:jc w:val="both"/>
        <w:rPr>
          <w:rFonts w:asciiTheme="majorHAnsi" w:eastAsia="Cambria" w:hAnsiTheme="majorHAnsi"/>
          <w:szCs w:val="20"/>
          <w:lang w:val="es-US"/>
        </w:rPr>
      </w:pPr>
      <w:r w:rsidRPr="00930562">
        <w:rPr>
          <w:rFonts w:asciiTheme="majorHAnsi" w:eastAsia="Cambria" w:hAnsiTheme="majorHAnsi"/>
          <w:szCs w:val="20"/>
          <w:lang w:val="es-US"/>
        </w:rPr>
        <w:t>Adoptar las medidas necesarias para revisar y reformar de forma exhaustiva los protocolos y las directrices de los organismos locales, estatales y federales encargados de hacer cumplir la ley, a fin de garantizar que cumplan con el derecho internacional en materia de no discriminación. En particular, garantizar que el perfil</w:t>
      </w:r>
      <w:r w:rsidR="00E81919" w:rsidRPr="00930562">
        <w:rPr>
          <w:rFonts w:asciiTheme="majorHAnsi" w:eastAsia="Cambria" w:hAnsiTheme="majorHAnsi"/>
          <w:szCs w:val="20"/>
          <w:lang w:val="es-US"/>
        </w:rPr>
        <w:t>amiento</w:t>
      </w:r>
      <w:r w:rsidRPr="00930562">
        <w:rPr>
          <w:rFonts w:asciiTheme="majorHAnsi" w:eastAsia="Cambria" w:hAnsiTheme="majorHAnsi"/>
          <w:szCs w:val="20"/>
          <w:lang w:val="es-US"/>
        </w:rPr>
        <w:t xml:space="preserve"> racial y otras</w:t>
      </w:r>
      <w:r w:rsidR="00E81919" w:rsidRPr="00930562">
        <w:rPr>
          <w:rFonts w:asciiTheme="majorHAnsi" w:eastAsia="Cambria" w:hAnsiTheme="majorHAnsi"/>
          <w:szCs w:val="20"/>
          <w:lang w:val="es-US"/>
        </w:rPr>
        <w:t xml:space="preserve"> prácticas</w:t>
      </w:r>
      <w:r w:rsidRPr="00930562">
        <w:rPr>
          <w:rFonts w:asciiTheme="majorHAnsi" w:eastAsia="Cambria" w:hAnsiTheme="majorHAnsi"/>
          <w:szCs w:val="20"/>
          <w:lang w:val="es-US"/>
        </w:rPr>
        <w:t xml:space="preserve"> discrimina</w:t>
      </w:r>
      <w:r w:rsidR="00E81919" w:rsidRPr="00930562">
        <w:rPr>
          <w:rFonts w:asciiTheme="majorHAnsi" w:eastAsia="Cambria" w:hAnsiTheme="majorHAnsi"/>
          <w:szCs w:val="20"/>
          <w:lang w:val="es-US"/>
        </w:rPr>
        <w:t>torias</w:t>
      </w:r>
      <w:r w:rsidRPr="00930562">
        <w:rPr>
          <w:rFonts w:asciiTheme="majorHAnsi" w:eastAsia="Cambria" w:hAnsiTheme="majorHAnsi"/>
          <w:szCs w:val="20"/>
          <w:lang w:val="es-US"/>
        </w:rPr>
        <w:t xml:space="preserve"> explícitas o implícitas por motivos de raza, etnia, color, origen nacional y otros motivos se prohíban y castiguen explícitamente.</w:t>
      </w:r>
    </w:p>
    <w:p w14:paraId="2C29A837" w14:textId="77777777" w:rsidR="006E177E" w:rsidRPr="00930562" w:rsidRDefault="006E177E" w:rsidP="00724857">
      <w:pPr>
        <w:numPr>
          <w:ilvl w:val="0"/>
          <w:numId w:val="10"/>
        </w:numPr>
        <w:spacing w:after="240" w:line="240" w:lineRule="auto"/>
        <w:ind w:left="1080" w:right="432" w:hanging="720"/>
        <w:jc w:val="both"/>
        <w:rPr>
          <w:rFonts w:asciiTheme="majorHAnsi" w:eastAsia="Cambria" w:hAnsiTheme="majorHAnsi"/>
          <w:szCs w:val="20"/>
          <w:lang w:val="es-US"/>
        </w:rPr>
      </w:pPr>
      <w:r w:rsidRPr="00930562">
        <w:rPr>
          <w:rFonts w:asciiTheme="majorHAnsi" w:eastAsia="Cambria" w:hAnsiTheme="majorHAnsi"/>
          <w:szCs w:val="20"/>
          <w:lang w:val="es-US"/>
        </w:rPr>
        <w:t>Implementar la legislación federal para exigir la formación adecuada de los agentes y organismos encargados de hacer cumplir la ley a nivel local, estatal y federal en materia de obligaciones de derechos humanos relativas a la no discriminación, evitando los prejuicios implícitos y otros tipos de formación en materia de lucha contra la discriminación, a fin de garantizar que los funcionarios encargados de hacer cumplir la ley demuestren respeto por los derechos fundamentales de todas las personas sujetas a su jurisdicción y los protejan, sin discriminación de ningún tipo.</w:t>
      </w:r>
    </w:p>
    <w:p w14:paraId="55271973" w14:textId="447FBAF5" w:rsidR="006E177E" w:rsidRPr="00930562" w:rsidRDefault="00E81919" w:rsidP="00724857">
      <w:pPr>
        <w:numPr>
          <w:ilvl w:val="0"/>
          <w:numId w:val="10"/>
        </w:numPr>
        <w:spacing w:after="240" w:line="240" w:lineRule="auto"/>
        <w:ind w:left="1080" w:right="432" w:hanging="720"/>
        <w:jc w:val="both"/>
        <w:rPr>
          <w:rFonts w:asciiTheme="majorHAnsi" w:eastAsia="Cambria" w:hAnsiTheme="majorHAnsi"/>
          <w:szCs w:val="20"/>
          <w:lang w:val="es-US"/>
        </w:rPr>
      </w:pPr>
      <w:r w:rsidRPr="00930562">
        <w:rPr>
          <w:rFonts w:asciiTheme="majorHAnsi" w:eastAsia="Cambria" w:hAnsiTheme="majorHAnsi"/>
          <w:szCs w:val="20"/>
          <w:lang w:val="es-US"/>
        </w:rPr>
        <w:t>Adopt</w:t>
      </w:r>
      <w:r w:rsidR="006E177E" w:rsidRPr="00930562">
        <w:rPr>
          <w:rFonts w:asciiTheme="majorHAnsi" w:eastAsia="Cambria" w:hAnsiTheme="majorHAnsi"/>
          <w:szCs w:val="20"/>
          <w:lang w:val="es-US"/>
        </w:rPr>
        <w:t>ar medidas para revertir el impacto de políticas con impactos racialmente desiguales.</w:t>
      </w:r>
    </w:p>
    <w:p w14:paraId="580837F4" w14:textId="77777777" w:rsidR="006E177E" w:rsidRPr="00930562" w:rsidRDefault="006E177E" w:rsidP="00724857">
      <w:pPr>
        <w:numPr>
          <w:ilvl w:val="1"/>
          <w:numId w:val="10"/>
        </w:numPr>
        <w:spacing w:after="240" w:line="240" w:lineRule="auto"/>
        <w:ind w:left="1620" w:right="432" w:hanging="540"/>
        <w:jc w:val="both"/>
        <w:rPr>
          <w:rFonts w:asciiTheme="majorHAnsi" w:eastAsia="Cambria" w:hAnsiTheme="majorHAnsi"/>
          <w:szCs w:val="20"/>
          <w:lang w:val="es-US"/>
        </w:rPr>
      </w:pPr>
      <w:r w:rsidRPr="00930562">
        <w:rPr>
          <w:rFonts w:asciiTheme="majorHAnsi" w:eastAsia="Cambria" w:hAnsiTheme="majorHAnsi"/>
          <w:szCs w:val="20"/>
          <w:lang w:val="es-US"/>
        </w:rPr>
        <w:t>Adoptar medidas apropiadas a nivel federal o estatal para garantizar el restablecimiento del derecho de voto a los ciudadanos que hayan cumplido plenamente sus condenas penales y a los que hayan sido puestos en libertad condicional, en particular a la luz de los efectos racialmente discriminatorios de la política de privación del derecho al voto por delitos graves.</w:t>
      </w:r>
    </w:p>
    <w:p w14:paraId="4E576A0D" w14:textId="77777777" w:rsidR="006E177E" w:rsidRPr="00930562" w:rsidRDefault="006E177E" w:rsidP="00724857">
      <w:pPr>
        <w:numPr>
          <w:ilvl w:val="1"/>
          <w:numId w:val="10"/>
        </w:numPr>
        <w:spacing w:after="240" w:line="240" w:lineRule="auto"/>
        <w:ind w:left="1620" w:right="432" w:hanging="540"/>
        <w:jc w:val="both"/>
        <w:rPr>
          <w:rFonts w:asciiTheme="majorHAnsi" w:eastAsia="Cambria" w:hAnsiTheme="majorHAnsi"/>
          <w:szCs w:val="20"/>
          <w:lang w:val="es-US"/>
        </w:rPr>
      </w:pPr>
      <w:r w:rsidRPr="00930562">
        <w:rPr>
          <w:rFonts w:asciiTheme="majorHAnsi" w:eastAsia="Cambria" w:hAnsiTheme="majorHAnsi"/>
          <w:szCs w:val="20"/>
          <w:lang w:val="es-US"/>
        </w:rPr>
        <w:t xml:space="preserve">Tomar medidas para evitar que las personas en casos de uso o posesión de drogas para uso personal sean sometidas </w:t>
      </w:r>
      <w:r w:rsidRPr="00930562">
        <w:rPr>
          <w:rFonts w:asciiTheme="majorHAnsi" w:eastAsia="Cambria" w:hAnsiTheme="majorHAnsi"/>
          <w:szCs w:val="20"/>
          <w:lang w:val="es-US"/>
        </w:rPr>
        <w:lastRenderedPageBreak/>
        <w:t>a medidas de custodia o ingresen al sistema de justicia penal.</w:t>
      </w:r>
    </w:p>
    <w:p w14:paraId="0A8C4978" w14:textId="77777777" w:rsidR="006E177E" w:rsidRPr="00930562" w:rsidRDefault="006E177E" w:rsidP="00724857">
      <w:pPr>
        <w:numPr>
          <w:ilvl w:val="0"/>
          <w:numId w:val="10"/>
        </w:numPr>
        <w:spacing w:after="240" w:line="240" w:lineRule="auto"/>
        <w:ind w:left="1080" w:right="432" w:hanging="720"/>
        <w:jc w:val="both"/>
        <w:rPr>
          <w:rFonts w:asciiTheme="majorHAnsi" w:eastAsia="Cambria" w:hAnsiTheme="majorHAnsi"/>
          <w:szCs w:val="20"/>
          <w:lang w:val="es-US"/>
        </w:rPr>
      </w:pPr>
      <w:r w:rsidRPr="00930562">
        <w:rPr>
          <w:rFonts w:asciiTheme="majorHAnsi" w:eastAsia="Cambria" w:hAnsiTheme="majorHAnsi"/>
          <w:szCs w:val="20"/>
          <w:lang w:val="es-US"/>
        </w:rPr>
        <w:t>Crear oficinas independientes de defensores del pueblo a nivel estatal y local para recibir y tomar medidas en relación a las denuncias sobre trato discriminatorio.</w:t>
      </w:r>
    </w:p>
    <w:p w14:paraId="42EB44C7" w14:textId="14A2229E" w:rsidR="006E177E" w:rsidRPr="00930562" w:rsidRDefault="006E177E" w:rsidP="005E5B1C">
      <w:pPr>
        <w:pStyle w:val="Heading2"/>
        <w:numPr>
          <w:ilvl w:val="0"/>
          <w:numId w:val="3"/>
        </w:numPr>
        <w:ind w:hanging="720"/>
        <w:rPr>
          <w:rFonts w:asciiTheme="majorHAnsi" w:eastAsia="MS Gothic" w:hAnsiTheme="majorHAnsi"/>
          <w:lang w:val="es-US"/>
        </w:rPr>
      </w:pPr>
      <w:bookmarkStart w:id="232" w:name="_Toc517779271"/>
      <w:bookmarkStart w:id="233" w:name="_Toc531514506"/>
      <w:r w:rsidRPr="00930562">
        <w:rPr>
          <w:rFonts w:asciiTheme="majorHAnsi" w:eastAsia="MS Gothic" w:hAnsiTheme="majorHAnsi"/>
          <w:lang w:val="es-US"/>
        </w:rPr>
        <w:t>Recomendaciones relativas al uso de la fuerza</w:t>
      </w:r>
      <w:bookmarkEnd w:id="232"/>
      <w:bookmarkEnd w:id="233"/>
    </w:p>
    <w:p w14:paraId="56BA6B5F" w14:textId="77777777" w:rsidR="006E177E" w:rsidRPr="00930562" w:rsidRDefault="006E177E" w:rsidP="00724857">
      <w:pPr>
        <w:numPr>
          <w:ilvl w:val="0"/>
          <w:numId w:val="10"/>
        </w:numPr>
        <w:spacing w:after="240" w:line="240" w:lineRule="auto"/>
        <w:ind w:left="1080" w:right="432" w:hanging="720"/>
        <w:jc w:val="both"/>
        <w:rPr>
          <w:rFonts w:asciiTheme="majorHAnsi" w:eastAsia="Cambria" w:hAnsiTheme="majorHAnsi"/>
          <w:szCs w:val="20"/>
          <w:lang w:val="es-US"/>
        </w:rPr>
      </w:pPr>
      <w:r w:rsidRPr="00930562">
        <w:rPr>
          <w:rFonts w:asciiTheme="majorHAnsi" w:eastAsia="Cambria" w:hAnsiTheme="majorHAnsi"/>
          <w:szCs w:val="20"/>
          <w:lang w:val="es-US"/>
        </w:rPr>
        <w:t>Con carácter de urgencia, adoptar las medidas necesarias para reformar el derecho interno, tanto federal como estatal, y armonizarlo con el derecho internacional en el ámbito del uso de la fuerza y el uso de la fuerza letal, observando los principios de excepcionalidad, necesidad, proporcionalidad y legalidad.</w:t>
      </w:r>
    </w:p>
    <w:p w14:paraId="48B5F6A0" w14:textId="77777777" w:rsidR="006E177E" w:rsidRPr="00930562" w:rsidRDefault="006E177E" w:rsidP="00724857">
      <w:pPr>
        <w:numPr>
          <w:ilvl w:val="0"/>
          <w:numId w:val="10"/>
        </w:numPr>
        <w:spacing w:after="240" w:line="240" w:lineRule="auto"/>
        <w:ind w:left="1080" w:right="432" w:hanging="720"/>
        <w:jc w:val="both"/>
        <w:rPr>
          <w:rFonts w:asciiTheme="majorHAnsi" w:eastAsia="Cambria" w:hAnsiTheme="majorHAnsi"/>
          <w:szCs w:val="20"/>
          <w:lang w:val="es-US"/>
        </w:rPr>
      </w:pPr>
      <w:r w:rsidRPr="00930562">
        <w:rPr>
          <w:rFonts w:asciiTheme="majorHAnsi" w:eastAsia="Cambria" w:hAnsiTheme="majorHAnsi"/>
          <w:szCs w:val="20"/>
          <w:lang w:val="es-US"/>
        </w:rPr>
        <w:t>Aplicar la legislación federal para exigir que todos los agentes del orden reciban formación en materia de derechos humanos, incluida la obligación de respetar y proteger los derechos fundamentales, como el derecho a la vida y a la integridad personal, sin discriminación.</w:t>
      </w:r>
    </w:p>
    <w:p w14:paraId="07C32D2C" w14:textId="77777777" w:rsidR="006E177E" w:rsidRPr="00930562" w:rsidRDefault="006E177E" w:rsidP="00724857">
      <w:pPr>
        <w:numPr>
          <w:ilvl w:val="0"/>
          <w:numId w:val="10"/>
        </w:numPr>
        <w:spacing w:after="240" w:line="240" w:lineRule="auto"/>
        <w:ind w:left="1080" w:right="432" w:hanging="720"/>
        <w:jc w:val="both"/>
        <w:rPr>
          <w:rFonts w:asciiTheme="majorHAnsi" w:eastAsia="Cambria" w:hAnsiTheme="majorHAnsi"/>
          <w:szCs w:val="20"/>
          <w:lang w:val="es-US"/>
        </w:rPr>
      </w:pPr>
      <w:r w:rsidRPr="00930562">
        <w:rPr>
          <w:rFonts w:asciiTheme="majorHAnsi" w:eastAsia="Cambria" w:hAnsiTheme="majorHAnsi"/>
          <w:szCs w:val="20"/>
          <w:lang w:val="es-US"/>
        </w:rPr>
        <w:t>Adoptar las medidas necesarias para reformar los protocolos y las directrices de los organismos locales, estatales y federales encargados de hacer cumplir la ley a fin de garantizar que cumplan con el derecho internacional en el ámbito del uso de la fuerza, incluidas las normas internacionales relativas a:</w:t>
      </w:r>
    </w:p>
    <w:p w14:paraId="65A8AAAD" w14:textId="77777777" w:rsidR="006E177E" w:rsidRPr="00930562" w:rsidRDefault="006E177E" w:rsidP="00724857">
      <w:pPr>
        <w:numPr>
          <w:ilvl w:val="1"/>
          <w:numId w:val="10"/>
        </w:numPr>
        <w:spacing w:after="240" w:line="240" w:lineRule="auto"/>
        <w:ind w:left="1620" w:right="432" w:hanging="540"/>
        <w:jc w:val="both"/>
        <w:rPr>
          <w:rFonts w:asciiTheme="majorHAnsi" w:eastAsia="Cambria" w:hAnsiTheme="majorHAnsi"/>
          <w:szCs w:val="20"/>
          <w:lang w:val="es-US"/>
        </w:rPr>
      </w:pPr>
      <w:r w:rsidRPr="00930562">
        <w:rPr>
          <w:rFonts w:asciiTheme="majorHAnsi" w:eastAsia="Cambria" w:hAnsiTheme="majorHAnsi"/>
          <w:szCs w:val="20"/>
          <w:lang w:val="es-US"/>
        </w:rPr>
        <w:t>Uso permisible de la fuerza y circunstancias bajo las cuales se autorice el uso de fuerza mortal;</w:t>
      </w:r>
    </w:p>
    <w:p w14:paraId="12A8A9CF" w14:textId="77777777" w:rsidR="006E177E" w:rsidRPr="00930562" w:rsidRDefault="006E177E" w:rsidP="00724857">
      <w:pPr>
        <w:numPr>
          <w:ilvl w:val="1"/>
          <w:numId w:val="10"/>
        </w:numPr>
        <w:spacing w:after="240" w:line="240" w:lineRule="auto"/>
        <w:ind w:left="1620" w:right="432" w:hanging="540"/>
        <w:jc w:val="both"/>
        <w:rPr>
          <w:rFonts w:asciiTheme="majorHAnsi" w:eastAsia="Cambria" w:hAnsiTheme="majorHAnsi"/>
          <w:szCs w:val="20"/>
          <w:lang w:val="es-US"/>
        </w:rPr>
      </w:pPr>
      <w:r w:rsidRPr="00930562">
        <w:rPr>
          <w:rFonts w:asciiTheme="majorHAnsi" w:eastAsia="Cambria" w:hAnsiTheme="majorHAnsi"/>
          <w:szCs w:val="20"/>
          <w:lang w:val="es-US"/>
        </w:rPr>
        <w:t xml:space="preserve"> Tácticas de reducción de tensiones y el uso de armas menos letales;</w:t>
      </w:r>
    </w:p>
    <w:p w14:paraId="6B872072" w14:textId="77777777" w:rsidR="006E177E" w:rsidRPr="00930562" w:rsidRDefault="006E177E" w:rsidP="00724857">
      <w:pPr>
        <w:numPr>
          <w:ilvl w:val="1"/>
          <w:numId w:val="10"/>
        </w:numPr>
        <w:spacing w:after="240" w:line="240" w:lineRule="auto"/>
        <w:ind w:left="1620" w:right="432" w:hanging="540"/>
        <w:jc w:val="both"/>
        <w:rPr>
          <w:rFonts w:asciiTheme="majorHAnsi" w:eastAsia="Cambria" w:hAnsiTheme="majorHAnsi"/>
          <w:szCs w:val="20"/>
          <w:lang w:val="es-US"/>
        </w:rPr>
      </w:pPr>
      <w:r w:rsidRPr="00930562">
        <w:rPr>
          <w:rFonts w:asciiTheme="majorHAnsi" w:eastAsia="Cambria" w:hAnsiTheme="majorHAnsi"/>
          <w:szCs w:val="20"/>
          <w:lang w:val="es-US"/>
        </w:rPr>
        <w:t>Prohibición de la tortura y de los tratos o penas crueles, inhumanos o degradantes;</w:t>
      </w:r>
    </w:p>
    <w:p w14:paraId="39F4A2BC" w14:textId="77777777" w:rsidR="006E177E" w:rsidRPr="00930562" w:rsidRDefault="006E177E" w:rsidP="00724857">
      <w:pPr>
        <w:numPr>
          <w:ilvl w:val="1"/>
          <w:numId w:val="10"/>
        </w:numPr>
        <w:spacing w:after="240" w:line="240" w:lineRule="auto"/>
        <w:ind w:left="1620" w:right="432" w:hanging="540"/>
        <w:jc w:val="both"/>
        <w:rPr>
          <w:rFonts w:asciiTheme="majorHAnsi" w:eastAsia="Cambria" w:hAnsiTheme="majorHAnsi"/>
          <w:szCs w:val="20"/>
          <w:lang w:val="es-US"/>
        </w:rPr>
      </w:pPr>
      <w:r w:rsidRPr="00930562">
        <w:rPr>
          <w:rFonts w:asciiTheme="majorHAnsi" w:eastAsia="Cambria" w:hAnsiTheme="majorHAnsi"/>
          <w:szCs w:val="20"/>
          <w:lang w:val="es-US"/>
        </w:rPr>
        <w:t>En situaciones de protesta, respeto y facilitación del ejercicio del derecho a la libertad de expresión, incluida la regulación de las armas menos letales.</w:t>
      </w:r>
    </w:p>
    <w:p w14:paraId="7913E0BB" w14:textId="77777777" w:rsidR="006E177E" w:rsidRPr="00930562" w:rsidRDefault="006E177E" w:rsidP="00724857">
      <w:pPr>
        <w:numPr>
          <w:ilvl w:val="0"/>
          <w:numId w:val="10"/>
        </w:numPr>
        <w:spacing w:after="240" w:line="240" w:lineRule="auto"/>
        <w:ind w:left="1080" w:right="432" w:hanging="720"/>
        <w:jc w:val="both"/>
        <w:rPr>
          <w:rFonts w:asciiTheme="majorHAnsi" w:eastAsia="Cambria" w:hAnsiTheme="majorHAnsi"/>
          <w:szCs w:val="20"/>
          <w:lang w:val="es-US"/>
        </w:rPr>
      </w:pPr>
      <w:r w:rsidRPr="00930562">
        <w:rPr>
          <w:rFonts w:asciiTheme="majorHAnsi" w:eastAsia="Cambria" w:hAnsiTheme="majorHAnsi"/>
          <w:szCs w:val="20"/>
          <w:lang w:val="es-US"/>
        </w:rPr>
        <w:t>Asegurar la participación de las comunidades desproporcionadamente afectadas en el diseño de estrategias para mejorar la actuación policial y en mecanismos de supervisión policial.</w:t>
      </w:r>
    </w:p>
    <w:p w14:paraId="0AA16F5B" w14:textId="77777777" w:rsidR="006E177E" w:rsidRPr="00930562" w:rsidRDefault="006E177E" w:rsidP="00724857">
      <w:pPr>
        <w:numPr>
          <w:ilvl w:val="0"/>
          <w:numId w:val="10"/>
        </w:numPr>
        <w:spacing w:after="240" w:line="240" w:lineRule="auto"/>
        <w:ind w:left="1080" w:right="432" w:hanging="720"/>
        <w:jc w:val="both"/>
        <w:rPr>
          <w:rFonts w:asciiTheme="majorHAnsi" w:eastAsia="Cambria" w:hAnsiTheme="majorHAnsi"/>
          <w:szCs w:val="20"/>
          <w:lang w:val="es-US"/>
        </w:rPr>
      </w:pPr>
      <w:r w:rsidRPr="00930562">
        <w:rPr>
          <w:rFonts w:asciiTheme="majorHAnsi" w:eastAsia="Cambria" w:hAnsiTheme="majorHAnsi"/>
          <w:szCs w:val="20"/>
          <w:lang w:val="es-US"/>
        </w:rPr>
        <w:lastRenderedPageBreak/>
        <w:t>Adoptar medidas para revertir la militarización de los departamentos de policía, incluso mediante:</w:t>
      </w:r>
    </w:p>
    <w:p w14:paraId="6E39AE7A" w14:textId="77777777" w:rsidR="006E177E" w:rsidRPr="00930562" w:rsidRDefault="006E177E" w:rsidP="00724857">
      <w:pPr>
        <w:numPr>
          <w:ilvl w:val="1"/>
          <w:numId w:val="10"/>
        </w:numPr>
        <w:spacing w:after="240" w:line="240" w:lineRule="auto"/>
        <w:ind w:left="1620" w:right="432" w:hanging="540"/>
        <w:jc w:val="both"/>
        <w:rPr>
          <w:rFonts w:asciiTheme="majorHAnsi" w:eastAsia="Cambria" w:hAnsiTheme="majorHAnsi"/>
          <w:szCs w:val="20"/>
          <w:lang w:val="es-US"/>
        </w:rPr>
      </w:pPr>
      <w:r w:rsidRPr="00930562">
        <w:rPr>
          <w:rFonts w:asciiTheme="majorHAnsi" w:eastAsia="Cambria" w:hAnsiTheme="majorHAnsi"/>
          <w:szCs w:val="20"/>
          <w:lang w:val="es-US"/>
        </w:rPr>
        <w:t>La cancelación de programas que permitan la transferencia de equipo militar y armas a las autoridades policiales locales;</w:t>
      </w:r>
    </w:p>
    <w:p w14:paraId="35E775E8" w14:textId="77777777" w:rsidR="006E177E" w:rsidRPr="00930562" w:rsidRDefault="006E177E" w:rsidP="00724857">
      <w:pPr>
        <w:numPr>
          <w:ilvl w:val="1"/>
          <w:numId w:val="10"/>
        </w:numPr>
        <w:spacing w:after="240" w:line="240" w:lineRule="auto"/>
        <w:ind w:left="1620" w:right="432" w:hanging="540"/>
        <w:jc w:val="both"/>
        <w:rPr>
          <w:rFonts w:asciiTheme="majorHAnsi" w:eastAsia="Cambria" w:hAnsiTheme="majorHAnsi"/>
          <w:szCs w:val="20"/>
          <w:lang w:val="es-US"/>
        </w:rPr>
      </w:pPr>
      <w:r w:rsidRPr="00930562">
        <w:rPr>
          <w:rFonts w:asciiTheme="majorHAnsi" w:eastAsia="Cambria" w:hAnsiTheme="majorHAnsi"/>
          <w:lang w:val="es-US"/>
        </w:rPr>
        <w:t>La verificación por el gobierno federal de la cantidad de armas militares transferidas a los departamentos de policía locales y otras medidas para controlar la difusión de armamento militar; y</w:t>
      </w:r>
    </w:p>
    <w:p w14:paraId="0BA31B3A" w14:textId="77777777" w:rsidR="006E177E" w:rsidRPr="00930562" w:rsidRDefault="006E177E" w:rsidP="00724857">
      <w:pPr>
        <w:numPr>
          <w:ilvl w:val="1"/>
          <w:numId w:val="10"/>
        </w:numPr>
        <w:spacing w:after="240" w:line="240" w:lineRule="auto"/>
        <w:ind w:left="1620" w:right="432" w:hanging="540"/>
        <w:jc w:val="both"/>
        <w:rPr>
          <w:rFonts w:asciiTheme="majorHAnsi" w:eastAsia="Cambria" w:hAnsiTheme="majorHAnsi"/>
          <w:szCs w:val="20"/>
          <w:lang w:val="es-US"/>
        </w:rPr>
      </w:pPr>
      <w:r w:rsidRPr="00930562">
        <w:rPr>
          <w:rFonts w:asciiTheme="majorHAnsi" w:eastAsia="Cambria" w:hAnsiTheme="majorHAnsi"/>
          <w:szCs w:val="20"/>
          <w:lang w:val="es-US"/>
        </w:rPr>
        <w:t>La capacitación de la policía para que utilice el equipo departamental de manera que se respeten las obligaciones en materia de derechos humanos.</w:t>
      </w:r>
    </w:p>
    <w:p w14:paraId="0B5840A9" w14:textId="77777777" w:rsidR="006E177E" w:rsidRPr="00930562" w:rsidRDefault="006E177E" w:rsidP="00724857">
      <w:pPr>
        <w:numPr>
          <w:ilvl w:val="0"/>
          <w:numId w:val="10"/>
        </w:numPr>
        <w:spacing w:after="240" w:line="240" w:lineRule="auto"/>
        <w:ind w:left="1080" w:right="432" w:hanging="720"/>
        <w:jc w:val="both"/>
        <w:rPr>
          <w:rFonts w:asciiTheme="majorHAnsi" w:eastAsia="Cambria" w:hAnsiTheme="majorHAnsi"/>
          <w:szCs w:val="20"/>
          <w:lang w:val="es-US"/>
        </w:rPr>
      </w:pPr>
      <w:r w:rsidRPr="00930562">
        <w:rPr>
          <w:rFonts w:asciiTheme="majorHAnsi" w:eastAsia="Cambria" w:hAnsiTheme="majorHAnsi"/>
          <w:szCs w:val="20"/>
          <w:lang w:val="es-US"/>
        </w:rPr>
        <w:t>Adoptar todas las medidas necesarias para proteger los derechos a la vida y a la integridad personal en el contexto de las protestas.</w:t>
      </w:r>
    </w:p>
    <w:p w14:paraId="53B55CE6" w14:textId="77777777" w:rsidR="006E177E" w:rsidRPr="00930562" w:rsidRDefault="006E177E" w:rsidP="00724857">
      <w:pPr>
        <w:numPr>
          <w:ilvl w:val="0"/>
          <w:numId w:val="10"/>
        </w:numPr>
        <w:spacing w:after="240" w:line="240" w:lineRule="auto"/>
        <w:ind w:left="1080" w:right="432" w:hanging="720"/>
        <w:jc w:val="both"/>
        <w:rPr>
          <w:rFonts w:asciiTheme="majorHAnsi" w:eastAsia="Cambria" w:hAnsiTheme="majorHAnsi"/>
          <w:szCs w:val="20"/>
          <w:lang w:val="es-US"/>
        </w:rPr>
      </w:pPr>
      <w:r w:rsidRPr="00930562">
        <w:rPr>
          <w:rFonts w:asciiTheme="majorHAnsi" w:eastAsia="Cambria" w:hAnsiTheme="majorHAnsi"/>
          <w:szCs w:val="20"/>
          <w:lang w:val="es-US"/>
        </w:rPr>
        <w:t>Adoptar medidas eficaces para prevenir y combatir la estigmatización y la criminalización de los manifestantes, en particular cuando dicha estigmatización o penalización pueda tener un carácter discriminatorio desde el punto de vista racial, y garantizar plenamente el derecho a la libertad de expresión.</w:t>
      </w:r>
    </w:p>
    <w:p w14:paraId="6FB9C4A9" w14:textId="371DBD4B" w:rsidR="006E177E" w:rsidRPr="00930562" w:rsidRDefault="006E177E" w:rsidP="005E5B1C">
      <w:pPr>
        <w:pStyle w:val="Heading2"/>
        <w:numPr>
          <w:ilvl w:val="0"/>
          <w:numId w:val="3"/>
        </w:numPr>
        <w:ind w:hanging="720"/>
        <w:rPr>
          <w:rFonts w:asciiTheme="majorHAnsi" w:eastAsia="MS Gothic" w:hAnsiTheme="majorHAnsi"/>
          <w:lang w:val="es-US"/>
        </w:rPr>
      </w:pPr>
      <w:bookmarkStart w:id="234" w:name="_Toc517779272"/>
      <w:bookmarkStart w:id="235" w:name="_Toc531514507"/>
      <w:r w:rsidRPr="00930562">
        <w:rPr>
          <w:rFonts w:asciiTheme="majorHAnsi" w:eastAsia="MS Gothic" w:hAnsiTheme="majorHAnsi"/>
          <w:lang w:val="es-US"/>
        </w:rPr>
        <w:t xml:space="preserve">Recomendaciones </w:t>
      </w:r>
      <w:r w:rsidR="009C0320" w:rsidRPr="00930562">
        <w:rPr>
          <w:rFonts w:asciiTheme="majorHAnsi" w:eastAsia="MS Gothic" w:hAnsiTheme="majorHAnsi"/>
          <w:lang w:val="es-US"/>
        </w:rPr>
        <w:t>relativas a la debida diligencia y rendición de cuentas</w:t>
      </w:r>
      <w:bookmarkEnd w:id="234"/>
      <w:bookmarkEnd w:id="235"/>
    </w:p>
    <w:p w14:paraId="44BA70D2" w14:textId="77777777" w:rsidR="006E177E" w:rsidRPr="00930562" w:rsidRDefault="006E177E" w:rsidP="00724857">
      <w:pPr>
        <w:numPr>
          <w:ilvl w:val="0"/>
          <w:numId w:val="10"/>
        </w:numPr>
        <w:spacing w:after="240" w:line="240" w:lineRule="auto"/>
        <w:ind w:left="1080" w:right="432" w:hanging="720"/>
        <w:jc w:val="both"/>
        <w:rPr>
          <w:rFonts w:asciiTheme="majorHAnsi" w:eastAsia="Cambria" w:hAnsiTheme="majorHAnsi"/>
          <w:szCs w:val="20"/>
          <w:lang w:val="es-US"/>
        </w:rPr>
      </w:pPr>
      <w:r w:rsidRPr="00930562">
        <w:rPr>
          <w:rFonts w:asciiTheme="majorHAnsi" w:eastAsia="Cambria" w:hAnsiTheme="majorHAnsi"/>
          <w:szCs w:val="20"/>
          <w:lang w:val="es-US"/>
        </w:rPr>
        <w:t>Crear una base de datos federal para rastrear los incidentes relacionados con el uso de la fuerza que involucre a la policía por parte de todos los organismos encargados de hacer cumplir la ley de manera transparente, uniforme y pública, incluyendo datos desglosados sobre la demografía de todas las víctimas y agentes involucrados, tales como edad, género, raza y discapacidad, entre otros; detalles sobre las circunstancias del uso de la fuerza; la ubicación del incidente (municipio y vecindario); y los resultados de todos los procedimientos internos, civiles y penales correspondientes por mala conducta de la policía</w:t>
      </w:r>
    </w:p>
    <w:p w14:paraId="3F86F1A5" w14:textId="77777777" w:rsidR="006E177E" w:rsidRPr="00930562" w:rsidRDefault="006E177E" w:rsidP="00724857">
      <w:pPr>
        <w:numPr>
          <w:ilvl w:val="0"/>
          <w:numId w:val="10"/>
        </w:numPr>
        <w:spacing w:after="240" w:line="240" w:lineRule="auto"/>
        <w:ind w:left="1080" w:right="432" w:hanging="720"/>
        <w:jc w:val="both"/>
        <w:rPr>
          <w:rFonts w:asciiTheme="majorHAnsi" w:eastAsia="Cambria" w:hAnsiTheme="majorHAnsi"/>
          <w:szCs w:val="20"/>
          <w:lang w:val="es-US"/>
        </w:rPr>
      </w:pPr>
      <w:r w:rsidRPr="00930562">
        <w:rPr>
          <w:rFonts w:asciiTheme="majorHAnsi" w:eastAsia="Cambria" w:hAnsiTheme="majorHAnsi"/>
          <w:szCs w:val="20"/>
          <w:lang w:val="es-US"/>
        </w:rPr>
        <w:t xml:space="preserve">Garantizar la investigación inmediata, exhaustiva, independiente, imparcial y eficaz de los incidentes de uso excesivo de la fuerza y asesinatos policiales, asegurando la investigación de todas las </w:t>
      </w:r>
      <w:r w:rsidRPr="00930562">
        <w:rPr>
          <w:rFonts w:asciiTheme="majorHAnsi" w:eastAsia="Cambria" w:hAnsiTheme="majorHAnsi"/>
          <w:szCs w:val="20"/>
          <w:lang w:val="es-US"/>
        </w:rPr>
        <w:lastRenderedPageBreak/>
        <w:t>partes potencialmente responsables y, cuando procede, su enjuiciamiento y sanción adecuados.</w:t>
      </w:r>
    </w:p>
    <w:p w14:paraId="36F11A1D" w14:textId="77777777" w:rsidR="006E177E" w:rsidRPr="00930562" w:rsidRDefault="006E177E" w:rsidP="00724857">
      <w:pPr>
        <w:numPr>
          <w:ilvl w:val="0"/>
          <w:numId w:val="10"/>
        </w:numPr>
        <w:spacing w:after="240" w:line="240" w:lineRule="auto"/>
        <w:ind w:left="1080" w:right="432" w:hanging="720"/>
        <w:jc w:val="both"/>
        <w:rPr>
          <w:rFonts w:asciiTheme="majorHAnsi" w:eastAsia="Cambria" w:hAnsiTheme="majorHAnsi"/>
          <w:szCs w:val="20"/>
          <w:lang w:val="es-US"/>
        </w:rPr>
      </w:pPr>
      <w:r w:rsidRPr="00930562">
        <w:rPr>
          <w:rFonts w:asciiTheme="majorHAnsi" w:eastAsia="Cambria" w:hAnsiTheme="majorHAnsi"/>
          <w:szCs w:val="20"/>
          <w:lang w:val="es-US"/>
        </w:rPr>
        <w:t>Eliminar todos los mecanismos y obstáculos de hecho y de derecho en las investigaciones internas, los procedimientos penales, los procedimientos civiles y las investigaciones federales que mantengan la impunidad de los asesinatos por parte de la policía.</w:t>
      </w:r>
    </w:p>
    <w:p w14:paraId="5A8395D6" w14:textId="77777777" w:rsidR="006E177E" w:rsidRPr="00930562" w:rsidRDefault="006E177E" w:rsidP="00724857">
      <w:pPr>
        <w:numPr>
          <w:ilvl w:val="0"/>
          <w:numId w:val="10"/>
        </w:numPr>
        <w:spacing w:after="240" w:line="240" w:lineRule="auto"/>
        <w:ind w:left="1080" w:right="432" w:hanging="720"/>
        <w:jc w:val="both"/>
        <w:rPr>
          <w:rFonts w:asciiTheme="majorHAnsi" w:eastAsia="Cambria" w:hAnsiTheme="majorHAnsi"/>
          <w:szCs w:val="20"/>
          <w:lang w:val="es-US"/>
        </w:rPr>
      </w:pPr>
      <w:r w:rsidRPr="00930562">
        <w:rPr>
          <w:rFonts w:asciiTheme="majorHAnsi" w:eastAsia="Cambria" w:hAnsiTheme="majorHAnsi"/>
          <w:szCs w:val="20"/>
          <w:lang w:val="es-US"/>
        </w:rPr>
        <w:t>Establecer organismos permanentes, independientes y especializados a nivel local y/o estatal con capacidad y experiencia para supervisar las investigaciones de la conducta impropia policial y los delitos cometidos por la policía. Estos órganos deberían ser competentes para acompañar los casos desde el momento de la denuncia hasta la acusación y el juicio de los acusados, dando prioridad a la transparencia y a la participación de las víctimas y sus familiares.</w:t>
      </w:r>
    </w:p>
    <w:p w14:paraId="051821A4" w14:textId="77777777" w:rsidR="006E177E" w:rsidRPr="00930562" w:rsidRDefault="006E177E" w:rsidP="00724857">
      <w:pPr>
        <w:numPr>
          <w:ilvl w:val="0"/>
          <w:numId w:val="10"/>
        </w:numPr>
        <w:spacing w:after="240" w:line="240" w:lineRule="auto"/>
        <w:ind w:left="1080" w:right="432" w:hanging="720"/>
        <w:jc w:val="both"/>
        <w:rPr>
          <w:rFonts w:asciiTheme="majorHAnsi" w:eastAsia="Cambria" w:hAnsiTheme="majorHAnsi"/>
          <w:szCs w:val="20"/>
          <w:lang w:val="es-US"/>
        </w:rPr>
      </w:pPr>
      <w:r w:rsidRPr="00930562">
        <w:rPr>
          <w:rFonts w:asciiTheme="majorHAnsi" w:eastAsia="Cambria" w:hAnsiTheme="majorHAnsi"/>
          <w:szCs w:val="20"/>
          <w:lang w:val="es-US"/>
        </w:rPr>
        <w:t>Garantizar el castigo efectivo y proporcional de los agentes de policía que cometan faltas.</w:t>
      </w:r>
    </w:p>
    <w:p w14:paraId="09CF3D77" w14:textId="77777777" w:rsidR="006E177E" w:rsidRPr="00930562" w:rsidRDefault="006E177E" w:rsidP="00724857">
      <w:pPr>
        <w:numPr>
          <w:ilvl w:val="1"/>
          <w:numId w:val="10"/>
        </w:numPr>
        <w:spacing w:after="240" w:line="240" w:lineRule="auto"/>
        <w:ind w:left="1620" w:right="432" w:hanging="540"/>
        <w:jc w:val="both"/>
        <w:rPr>
          <w:rFonts w:asciiTheme="majorHAnsi" w:eastAsia="Cambria" w:hAnsiTheme="majorHAnsi"/>
          <w:szCs w:val="20"/>
          <w:lang w:val="es-US"/>
        </w:rPr>
      </w:pPr>
      <w:r w:rsidRPr="00930562">
        <w:rPr>
          <w:rFonts w:asciiTheme="majorHAnsi" w:eastAsia="Cambria" w:hAnsiTheme="majorHAnsi"/>
          <w:szCs w:val="20"/>
          <w:lang w:val="es-US"/>
        </w:rPr>
        <w:t>A la luz de la fragmentación en los Estados Unidos entre entidades locales, estatales y federales encargadas de hacer cumplir la ley, y entre las municipalidades, considerar la creación de una base de datos nacional para reportar las medidas disciplinarias contra los agentes del orden público, incluyendo el despido por causa justificada, a fin de evitar que los agentes del orden público que no son aptos para el servicio sean contratados de nuevo en otras jurisdicciones.</w:t>
      </w:r>
    </w:p>
    <w:p w14:paraId="6E75AA23" w14:textId="77777777" w:rsidR="006E177E" w:rsidRPr="00930562" w:rsidRDefault="006E177E" w:rsidP="00724857">
      <w:pPr>
        <w:numPr>
          <w:ilvl w:val="1"/>
          <w:numId w:val="10"/>
        </w:numPr>
        <w:spacing w:after="240" w:line="240" w:lineRule="auto"/>
        <w:ind w:left="1620" w:right="432" w:hanging="540"/>
        <w:jc w:val="both"/>
        <w:rPr>
          <w:rFonts w:asciiTheme="majorHAnsi" w:eastAsia="Cambria" w:hAnsiTheme="majorHAnsi"/>
          <w:szCs w:val="20"/>
          <w:lang w:val="es-US"/>
        </w:rPr>
      </w:pPr>
      <w:r w:rsidRPr="00930562">
        <w:rPr>
          <w:rFonts w:asciiTheme="majorHAnsi" w:eastAsia="Cambria" w:hAnsiTheme="majorHAnsi"/>
          <w:szCs w:val="20"/>
          <w:lang w:val="es-US"/>
        </w:rPr>
        <w:t>Tanto a nivel estatal como local, considerar reformas al proceso del gran jurado y el papel de los fiscales locales en la acusación de oficiales en casos de uso excesivo de la fuerza por parte de la policía, asegurando plenamente la imparcialidad de acusar a las autoridades o creando organismos separados, independientes y especializados para llevar a cabo estos procedimientos.</w:t>
      </w:r>
    </w:p>
    <w:p w14:paraId="330CEB7D" w14:textId="77777777" w:rsidR="006E177E" w:rsidRPr="00930562" w:rsidRDefault="006E177E" w:rsidP="00724857">
      <w:pPr>
        <w:numPr>
          <w:ilvl w:val="0"/>
          <w:numId w:val="10"/>
        </w:numPr>
        <w:spacing w:after="240" w:line="240" w:lineRule="auto"/>
        <w:ind w:left="1080" w:right="432" w:hanging="720"/>
        <w:jc w:val="both"/>
        <w:rPr>
          <w:rFonts w:asciiTheme="majorHAnsi" w:eastAsia="Cambria" w:hAnsiTheme="majorHAnsi"/>
          <w:szCs w:val="20"/>
          <w:lang w:val="es-US"/>
        </w:rPr>
      </w:pPr>
      <w:r w:rsidRPr="00930562">
        <w:rPr>
          <w:rFonts w:asciiTheme="majorHAnsi" w:eastAsia="Cambria" w:hAnsiTheme="majorHAnsi"/>
          <w:szCs w:val="20"/>
          <w:lang w:val="es-US"/>
        </w:rPr>
        <w:t xml:space="preserve">A fin de asegurar que no se repitan las faltas de conducta, la brutalidad y/o los asesinatos cometidos por la policía, considerar la introducción de reformas a nivel local, estatal y federal para asegurar que, cuando se dicte una sentencia penal o civil contra un funcionario o departamento de las fuerzas del orden, el departamento conozca efectivamente el contenido de la </w:t>
      </w:r>
      <w:r w:rsidRPr="00930562">
        <w:rPr>
          <w:rFonts w:asciiTheme="majorHAnsi" w:eastAsia="Cambria" w:hAnsiTheme="majorHAnsi"/>
          <w:szCs w:val="20"/>
          <w:lang w:val="es-US"/>
        </w:rPr>
        <w:lastRenderedPageBreak/>
        <w:t>sentencia y esté obligado a indemnizar a la parte pagadora en cualquier sentencia que se dicte, a fin de incentivar las reformas estructurales dentro de los departamentos de las fuerzas del orden y prevenir los patrones de abusos.</w:t>
      </w:r>
    </w:p>
    <w:p w14:paraId="11B2EE1C" w14:textId="66EE14EF" w:rsidR="006E177E" w:rsidRPr="00930562" w:rsidRDefault="006E177E" w:rsidP="005E5B1C">
      <w:pPr>
        <w:pStyle w:val="Heading2"/>
        <w:numPr>
          <w:ilvl w:val="0"/>
          <w:numId w:val="3"/>
        </w:numPr>
        <w:ind w:hanging="720"/>
        <w:rPr>
          <w:rFonts w:asciiTheme="majorHAnsi" w:eastAsia="MS Gothic" w:hAnsiTheme="majorHAnsi"/>
          <w:lang w:val="es-US"/>
        </w:rPr>
      </w:pPr>
      <w:bookmarkStart w:id="236" w:name="_Toc517779273"/>
      <w:bookmarkStart w:id="237" w:name="_Toc531514508"/>
      <w:r w:rsidRPr="00930562">
        <w:rPr>
          <w:rFonts w:asciiTheme="majorHAnsi" w:eastAsia="MS Gothic" w:hAnsiTheme="majorHAnsi"/>
          <w:lang w:val="es-US"/>
        </w:rPr>
        <w:t xml:space="preserve">Recomendaciones sobre el </w:t>
      </w:r>
      <w:r w:rsidR="009C0320" w:rsidRPr="00930562">
        <w:rPr>
          <w:rFonts w:asciiTheme="majorHAnsi" w:eastAsia="MS Gothic" w:hAnsiTheme="majorHAnsi"/>
          <w:lang w:val="es-US"/>
        </w:rPr>
        <w:t>acceso a la justicia y las reparaciones</w:t>
      </w:r>
      <w:bookmarkEnd w:id="236"/>
      <w:bookmarkEnd w:id="237"/>
    </w:p>
    <w:p w14:paraId="18655788" w14:textId="77777777" w:rsidR="006E177E" w:rsidRPr="00930562" w:rsidRDefault="006E177E" w:rsidP="00724857">
      <w:pPr>
        <w:numPr>
          <w:ilvl w:val="0"/>
          <w:numId w:val="10"/>
        </w:numPr>
        <w:spacing w:after="240" w:line="240" w:lineRule="auto"/>
        <w:ind w:left="1080" w:right="432" w:hanging="720"/>
        <w:jc w:val="both"/>
        <w:rPr>
          <w:rFonts w:asciiTheme="majorHAnsi" w:eastAsia="Cambria" w:hAnsiTheme="majorHAnsi"/>
          <w:szCs w:val="20"/>
          <w:lang w:val="es-US"/>
        </w:rPr>
      </w:pPr>
      <w:r w:rsidRPr="00930562">
        <w:rPr>
          <w:rFonts w:asciiTheme="majorHAnsi" w:eastAsia="Cambria" w:hAnsiTheme="majorHAnsi"/>
          <w:szCs w:val="20"/>
          <w:lang w:val="es-US"/>
        </w:rPr>
        <w:t>Asegurar el acceso efectivo a la justicia para los afroestadounidenses y otras comunidades de color, teniendo en cuenta los obstáculos materiales, económicos y jurídicos y la exclusión sistemática que enfrentan.</w:t>
      </w:r>
    </w:p>
    <w:p w14:paraId="02DBA818" w14:textId="77777777" w:rsidR="006E177E" w:rsidRPr="00930562" w:rsidRDefault="006E177E" w:rsidP="00724857">
      <w:pPr>
        <w:numPr>
          <w:ilvl w:val="0"/>
          <w:numId w:val="10"/>
        </w:numPr>
        <w:spacing w:after="240" w:line="240" w:lineRule="auto"/>
        <w:ind w:left="1080" w:right="432" w:hanging="720"/>
        <w:jc w:val="both"/>
        <w:rPr>
          <w:rFonts w:asciiTheme="majorHAnsi" w:eastAsia="Cambria" w:hAnsiTheme="majorHAnsi"/>
          <w:szCs w:val="20"/>
          <w:lang w:val="es-US"/>
        </w:rPr>
      </w:pPr>
      <w:r w:rsidRPr="00930562">
        <w:rPr>
          <w:rFonts w:asciiTheme="majorHAnsi" w:eastAsia="Cambria" w:hAnsiTheme="majorHAnsi"/>
          <w:szCs w:val="20"/>
          <w:lang w:val="es-US"/>
        </w:rPr>
        <w:t>A nivel federal, estatal y local, capacitar a los operadores de justicia (incluidos jueces, fiscales, defensores públicos y demás personal judicial, así como a los funcionarios encargados de hacer cumplir la ley) en los principios y normas de protección de los derechos humanos, en particular en las esferas de la no discriminación y el acceso a la justicia.</w:t>
      </w:r>
    </w:p>
    <w:p w14:paraId="3FCC5039" w14:textId="77777777" w:rsidR="006E177E" w:rsidRPr="00930562" w:rsidRDefault="006E177E" w:rsidP="00724857">
      <w:pPr>
        <w:numPr>
          <w:ilvl w:val="0"/>
          <w:numId w:val="10"/>
        </w:numPr>
        <w:spacing w:after="240" w:line="240" w:lineRule="auto"/>
        <w:ind w:left="1080" w:right="432" w:hanging="720"/>
        <w:jc w:val="both"/>
        <w:rPr>
          <w:rFonts w:asciiTheme="majorHAnsi" w:eastAsia="Cambria" w:hAnsiTheme="majorHAnsi"/>
          <w:szCs w:val="20"/>
          <w:lang w:val="es-US"/>
        </w:rPr>
      </w:pPr>
      <w:r w:rsidRPr="00930562">
        <w:rPr>
          <w:rFonts w:asciiTheme="majorHAnsi" w:eastAsia="Cambria" w:hAnsiTheme="majorHAnsi"/>
          <w:szCs w:val="20"/>
          <w:lang w:val="es-US"/>
        </w:rPr>
        <w:t>Promover la observancia de códigos de conducta y normas éticas claramente definidos, de conformidad con las normas internacionales, por todos los funcionarios públicos, en particular los funcionarios encargados de hacer cumplir la ley y otros operadores de justicia, incluidos los fiscales y los jueces.</w:t>
      </w:r>
    </w:p>
    <w:p w14:paraId="1C2E7AB2" w14:textId="77777777" w:rsidR="006E177E" w:rsidRPr="00930562" w:rsidRDefault="006E177E" w:rsidP="00724857">
      <w:pPr>
        <w:numPr>
          <w:ilvl w:val="0"/>
          <w:numId w:val="10"/>
        </w:numPr>
        <w:spacing w:after="240" w:line="240" w:lineRule="auto"/>
        <w:ind w:left="1080" w:right="432" w:hanging="720"/>
        <w:jc w:val="both"/>
        <w:rPr>
          <w:rFonts w:asciiTheme="majorHAnsi" w:eastAsia="Cambria" w:hAnsiTheme="majorHAnsi"/>
          <w:szCs w:val="20"/>
          <w:lang w:val="es-US"/>
        </w:rPr>
      </w:pPr>
      <w:r w:rsidRPr="00930562">
        <w:rPr>
          <w:rFonts w:asciiTheme="majorHAnsi" w:eastAsia="Cambria" w:hAnsiTheme="majorHAnsi"/>
          <w:szCs w:val="20"/>
          <w:lang w:val="es-US"/>
        </w:rPr>
        <w:t>A nivel estatal, revisar o revocar las leyes de “Stand Your Ground” y tomar otras medidas efectivas para eliminar los prejuicios raciales en los procedimientos legales.</w:t>
      </w:r>
    </w:p>
    <w:p w14:paraId="3E25BCEE" w14:textId="77777777" w:rsidR="006E177E" w:rsidRPr="00930562" w:rsidRDefault="006E177E" w:rsidP="00724857">
      <w:pPr>
        <w:numPr>
          <w:ilvl w:val="0"/>
          <w:numId w:val="10"/>
        </w:numPr>
        <w:spacing w:after="240" w:line="240" w:lineRule="auto"/>
        <w:ind w:left="1080" w:right="432" w:hanging="720"/>
        <w:jc w:val="both"/>
        <w:rPr>
          <w:rFonts w:asciiTheme="majorHAnsi" w:eastAsia="Cambria" w:hAnsiTheme="majorHAnsi"/>
          <w:szCs w:val="20"/>
          <w:lang w:val="es-US"/>
        </w:rPr>
      </w:pPr>
      <w:r w:rsidRPr="00930562">
        <w:rPr>
          <w:rFonts w:asciiTheme="majorHAnsi" w:eastAsia="Cambria" w:hAnsiTheme="majorHAnsi"/>
          <w:szCs w:val="20"/>
          <w:lang w:val="es-US"/>
        </w:rPr>
        <w:t>Garantizar una reparación adecuada y rápida a todas las víctimas de la conducta policial y a sus familiares, de acuerdo con los principios establecidos en las secciones anteriores.</w:t>
      </w:r>
    </w:p>
    <w:p w14:paraId="48CDCE20" w14:textId="77777777" w:rsidR="006E177E" w:rsidRPr="00930562" w:rsidRDefault="006E177E" w:rsidP="00724857">
      <w:pPr>
        <w:numPr>
          <w:ilvl w:val="0"/>
          <w:numId w:val="10"/>
        </w:numPr>
        <w:spacing w:after="240" w:line="240" w:lineRule="auto"/>
        <w:ind w:left="1080" w:right="432" w:hanging="720"/>
        <w:jc w:val="both"/>
        <w:rPr>
          <w:rFonts w:asciiTheme="majorHAnsi" w:eastAsia="Cambria" w:hAnsiTheme="majorHAnsi"/>
          <w:szCs w:val="20"/>
          <w:lang w:val="es-US"/>
        </w:rPr>
      </w:pPr>
      <w:r w:rsidRPr="00930562">
        <w:rPr>
          <w:rFonts w:asciiTheme="majorHAnsi" w:eastAsia="Cambria" w:hAnsiTheme="majorHAnsi"/>
          <w:szCs w:val="20"/>
          <w:lang w:val="es-US"/>
        </w:rPr>
        <w:t>Dedicar recursos humanos y financieros apropiados para mejorar el acceso a atención médica de calidad, vivienda, educación y otros derechos para los afroestadounidenses y otras comunidades de color.</w:t>
      </w:r>
    </w:p>
    <w:p w14:paraId="1A698F66" w14:textId="77777777" w:rsidR="006E177E" w:rsidRPr="00930562" w:rsidRDefault="006E177E" w:rsidP="00724857">
      <w:pPr>
        <w:numPr>
          <w:ilvl w:val="0"/>
          <w:numId w:val="10"/>
        </w:numPr>
        <w:spacing w:after="240" w:line="240" w:lineRule="auto"/>
        <w:ind w:left="1080" w:right="432" w:hanging="720"/>
        <w:jc w:val="both"/>
        <w:rPr>
          <w:rFonts w:asciiTheme="majorHAnsi" w:eastAsia="Cambria" w:hAnsiTheme="majorHAnsi"/>
          <w:szCs w:val="20"/>
          <w:lang w:val="es-US"/>
        </w:rPr>
      </w:pPr>
      <w:r w:rsidRPr="00930562">
        <w:rPr>
          <w:rFonts w:asciiTheme="majorHAnsi" w:eastAsia="Cambria" w:hAnsiTheme="majorHAnsi"/>
          <w:szCs w:val="20"/>
          <w:lang w:val="es-US"/>
        </w:rPr>
        <w:t>Realizar estudios con el objetivo de crear directrices para la reparación de la discriminación histórica y estructural contra los afroestadounidenses y otros grupos históricamente marginados.</w:t>
      </w:r>
    </w:p>
    <w:p w14:paraId="5EAEF380" w14:textId="77777777" w:rsidR="006E177E" w:rsidRPr="00930562" w:rsidRDefault="006E177E" w:rsidP="00724857">
      <w:pPr>
        <w:numPr>
          <w:ilvl w:val="0"/>
          <w:numId w:val="10"/>
        </w:numPr>
        <w:spacing w:after="240" w:line="240" w:lineRule="auto"/>
        <w:ind w:left="1080" w:right="432" w:hanging="720"/>
        <w:jc w:val="both"/>
        <w:rPr>
          <w:rFonts w:asciiTheme="majorHAnsi" w:eastAsia="Cambria" w:hAnsiTheme="majorHAnsi"/>
          <w:szCs w:val="20"/>
          <w:lang w:val="es-US"/>
        </w:rPr>
      </w:pPr>
      <w:r w:rsidRPr="00930562">
        <w:rPr>
          <w:rFonts w:asciiTheme="majorHAnsi" w:eastAsia="Cambria" w:hAnsiTheme="majorHAnsi"/>
          <w:szCs w:val="20"/>
          <w:lang w:val="es-US"/>
        </w:rPr>
        <w:lastRenderedPageBreak/>
        <w:t>Proporcionar una indemnización adecuada a los afectados por el impacto racialmente desigual de las leyes y políticas federales, estatales y locales.</w:t>
      </w:r>
    </w:p>
    <w:p w14:paraId="3F2C9A3C" w14:textId="77777777" w:rsidR="005B672D" w:rsidRPr="00930562" w:rsidRDefault="005B672D" w:rsidP="005B672D">
      <w:pPr>
        <w:rPr>
          <w:rFonts w:asciiTheme="majorHAnsi" w:hAnsiTheme="majorHAnsi"/>
          <w:lang w:val="es-US"/>
        </w:rPr>
      </w:pPr>
    </w:p>
    <w:p w14:paraId="2D25B69B" w14:textId="77777777" w:rsidR="005B672D" w:rsidRPr="00930562" w:rsidRDefault="005B672D" w:rsidP="005B67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212121"/>
          <w:sz w:val="20"/>
          <w:szCs w:val="20"/>
          <w:lang w:val="es-US" w:eastAsia="es-MX"/>
        </w:rPr>
      </w:pPr>
    </w:p>
    <w:p w14:paraId="1ADB24BD" w14:textId="77777777" w:rsidR="005B672D" w:rsidRPr="00930562" w:rsidRDefault="005B672D" w:rsidP="005B67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212121"/>
          <w:sz w:val="20"/>
          <w:szCs w:val="20"/>
          <w:lang w:val="es-US" w:eastAsia="es-MX"/>
        </w:rPr>
      </w:pPr>
    </w:p>
    <w:p w14:paraId="641D24A0" w14:textId="77777777" w:rsidR="005B672D" w:rsidRPr="00930562" w:rsidRDefault="005B672D" w:rsidP="005B67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212121"/>
          <w:sz w:val="20"/>
          <w:szCs w:val="20"/>
          <w:lang w:val="es-US" w:eastAsia="es-MX"/>
        </w:rPr>
      </w:pPr>
    </w:p>
    <w:p w14:paraId="4D12F048" w14:textId="77777777" w:rsidR="005B672D" w:rsidRPr="00930562" w:rsidRDefault="005B672D" w:rsidP="005B672D">
      <w:pPr>
        <w:spacing w:after="240" w:line="240" w:lineRule="auto"/>
        <w:jc w:val="both"/>
        <w:rPr>
          <w:rFonts w:asciiTheme="majorHAnsi" w:hAnsiTheme="majorHAnsi"/>
          <w:szCs w:val="20"/>
          <w:lang w:val="es-US"/>
        </w:rPr>
      </w:pPr>
    </w:p>
    <w:p w14:paraId="6A98D20B" w14:textId="77777777" w:rsidR="005B672D" w:rsidRPr="00930562" w:rsidRDefault="005B672D" w:rsidP="005B672D">
      <w:pPr>
        <w:spacing w:after="240" w:line="240" w:lineRule="auto"/>
        <w:jc w:val="both"/>
        <w:rPr>
          <w:rFonts w:asciiTheme="majorHAnsi" w:hAnsiTheme="majorHAnsi"/>
          <w:szCs w:val="20"/>
          <w:lang w:val="es-US"/>
        </w:rPr>
      </w:pPr>
    </w:p>
    <w:sectPr w:rsidR="005B672D" w:rsidRPr="00930562" w:rsidSect="000E499C">
      <w:headerReference w:type="default" r:id="rId40"/>
      <w:footerReference w:type="default" r:id="rId41"/>
      <w:type w:val="oddPage"/>
      <w:pgSz w:w="10080" w:h="14400" w:code="1"/>
      <w:pgMar w:top="1152" w:right="1152" w:bottom="1152" w:left="1296"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6A68A" w14:textId="77777777" w:rsidR="00E91823" w:rsidRDefault="00E91823" w:rsidP="0013380B">
      <w:pPr>
        <w:spacing w:after="0" w:line="240" w:lineRule="auto"/>
      </w:pPr>
      <w:r>
        <w:separator/>
      </w:r>
    </w:p>
  </w:endnote>
  <w:endnote w:type="continuationSeparator" w:id="0">
    <w:p w14:paraId="07A093B0" w14:textId="77777777" w:rsidR="00E91823" w:rsidRDefault="00E91823" w:rsidP="00133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TradeGothic">
    <w:altName w:val="Calibri"/>
    <w:panose1 w:val="00000000000000000000"/>
    <w:charset w:val="00"/>
    <w:family w:val="swiss"/>
    <w:notTrueType/>
    <w:pitch w:val="default"/>
    <w:sig w:usb0="00000003" w:usb1="00000000" w:usb2="00000000" w:usb3="00000000" w:csb0="00000001" w:csb1="00000000"/>
  </w:font>
  <w:font w:name="TradeGothic Light">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otham-Book">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DFD8C" w14:textId="19E0062A" w:rsidR="00F64540" w:rsidRPr="00F6369E" w:rsidRDefault="00F64540" w:rsidP="00F6369E">
    <w:pPr>
      <w:pStyle w:val="Footer"/>
      <w:spacing w:before="420"/>
      <w:rPr>
        <w:rFonts w:asciiTheme="minorHAnsi" w:hAnsiTheme="minorHAnsi"/>
        <w:color w:val="4A442A" w:themeColor="background2" w:themeShade="40"/>
        <w:sz w:val="16"/>
        <w:szCs w:val="16"/>
        <w:lang w:val="es-ES"/>
      </w:rPr>
    </w:pPr>
    <w:r w:rsidRPr="00F6369E">
      <w:rPr>
        <w:rFonts w:asciiTheme="minorHAnsi" w:hAnsiTheme="minorHAnsi"/>
        <w:color w:val="4A442A" w:themeColor="background2" w:themeShade="40"/>
        <w:sz w:val="16"/>
        <w:szCs w:val="16"/>
        <w:lang w:val="es-ES"/>
      </w:rPr>
      <w:t xml:space="preserve">Organización de los Estados Americanos </w:t>
    </w:r>
    <w:r>
      <w:rPr>
        <w:rFonts w:asciiTheme="minorHAnsi" w:hAnsiTheme="minorHAnsi"/>
        <w:color w:val="4A442A" w:themeColor="background2" w:themeShade="40"/>
        <w:sz w:val="16"/>
        <w:szCs w:val="16"/>
        <w:lang w:val="es-ES"/>
      </w:rPr>
      <w:t>|</w:t>
    </w:r>
    <w:r w:rsidRPr="00F6369E">
      <w:rPr>
        <w:rFonts w:asciiTheme="minorHAnsi" w:hAnsiTheme="minorHAnsi"/>
        <w:color w:val="4A442A" w:themeColor="background2" w:themeShade="40"/>
        <w:sz w:val="16"/>
        <w:szCs w:val="16"/>
        <w:lang w:val="es-ES"/>
      </w:rPr>
      <w:t xml:space="preserve"> </w:t>
    </w:r>
    <w:r w:rsidRPr="00F6369E">
      <w:rPr>
        <w:rFonts w:asciiTheme="minorHAnsi" w:hAnsiTheme="minorHAnsi"/>
        <w:b/>
        <w:color w:val="4A442A" w:themeColor="background2" w:themeShade="40"/>
        <w:sz w:val="16"/>
        <w:szCs w:val="16"/>
        <w:lang w:val="es-ES"/>
      </w:rPr>
      <w:t>OEA</w:t>
    </w:r>
  </w:p>
  <w:p w14:paraId="3A21D93A" w14:textId="77777777" w:rsidR="00F64540" w:rsidRPr="000E499C" w:rsidRDefault="00F64540">
    <w:pPr>
      <w:rPr>
        <w:lang w:val="es-US"/>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C0C85" w14:textId="77777777" w:rsidR="00F64540" w:rsidRPr="00827D30" w:rsidRDefault="00F64540" w:rsidP="00827D30">
    <w:pPr>
      <w:pStyle w:val="Footer"/>
      <w:spacing w:before="420"/>
      <w:jc w:val="right"/>
      <w:rPr>
        <w:rFonts w:asciiTheme="minorHAnsi" w:hAnsiTheme="minorHAnsi"/>
        <w:color w:val="4A442A" w:themeColor="background2" w:themeShade="40"/>
        <w:sz w:val="16"/>
        <w:szCs w:val="16"/>
        <w:lang w:val="es-ES"/>
      </w:rPr>
    </w:pPr>
    <w:r w:rsidRPr="00827D30">
      <w:rPr>
        <w:rFonts w:asciiTheme="minorHAnsi" w:hAnsiTheme="minorHAnsi"/>
        <w:color w:val="4A442A" w:themeColor="background2" w:themeShade="40"/>
        <w:sz w:val="16"/>
        <w:szCs w:val="16"/>
        <w:lang w:val="es-ES"/>
      </w:rPr>
      <w:t xml:space="preserve">Comisión Interamericana de Derechos Humanos </w:t>
    </w:r>
    <w:r>
      <w:rPr>
        <w:rFonts w:asciiTheme="minorHAnsi" w:hAnsiTheme="minorHAnsi"/>
        <w:color w:val="4A442A" w:themeColor="background2" w:themeShade="40"/>
        <w:sz w:val="16"/>
        <w:szCs w:val="16"/>
        <w:lang w:val="es-ES"/>
      </w:rPr>
      <w:t>|</w:t>
    </w:r>
    <w:r w:rsidRPr="00827D30">
      <w:rPr>
        <w:rFonts w:asciiTheme="minorHAnsi" w:hAnsiTheme="minorHAnsi"/>
        <w:color w:val="4A442A" w:themeColor="background2" w:themeShade="40"/>
        <w:sz w:val="16"/>
        <w:szCs w:val="16"/>
        <w:lang w:val="es-ES"/>
      </w:rPr>
      <w:t xml:space="preserve"> </w:t>
    </w:r>
    <w:r w:rsidRPr="00827D30">
      <w:rPr>
        <w:rFonts w:asciiTheme="minorHAnsi" w:hAnsiTheme="minorHAnsi"/>
        <w:b/>
        <w:color w:val="4A442A" w:themeColor="background2" w:themeShade="40"/>
        <w:sz w:val="16"/>
        <w:szCs w:val="16"/>
        <w:lang w:val="es-ES"/>
      </w:rPr>
      <w:t>CIDH</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EA6C2" w14:textId="2D2A969F" w:rsidR="00F64540" w:rsidRPr="00961CA2" w:rsidRDefault="00F64540" w:rsidP="00961CA2">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310B8" w14:textId="77777777" w:rsidR="00F64540" w:rsidRPr="00AA099D" w:rsidRDefault="00F64540" w:rsidP="000D5EFB">
    <w:pPr>
      <w:pStyle w:val="Footer"/>
      <w:spacing w:before="420"/>
      <w:jc w:val="right"/>
      <w:rPr>
        <w:rFonts w:asciiTheme="minorHAnsi" w:hAnsiTheme="minorHAnsi"/>
        <w:color w:val="4A442A" w:themeColor="background2" w:themeShade="40"/>
        <w:sz w:val="16"/>
        <w:szCs w:val="16"/>
        <w:lang w:val="es-MX"/>
      </w:rPr>
    </w:pPr>
    <w:r w:rsidRPr="00AA099D">
      <w:rPr>
        <w:rFonts w:asciiTheme="minorHAnsi" w:hAnsiTheme="minorHAnsi"/>
        <w:color w:val="4A442A" w:themeColor="background2" w:themeShade="40"/>
        <w:sz w:val="16"/>
        <w:szCs w:val="16"/>
        <w:lang w:val="es-MX"/>
      </w:rPr>
      <w:t xml:space="preserve">Comisión Interamericana de Derechos Humanos | </w:t>
    </w:r>
    <w:r>
      <w:rPr>
        <w:rFonts w:asciiTheme="minorHAnsi" w:hAnsiTheme="minorHAnsi"/>
        <w:b/>
        <w:color w:val="4A442A" w:themeColor="background2" w:themeShade="40"/>
        <w:sz w:val="16"/>
        <w:szCs w:val="16"/>
        <w:lang w:val="es-MX"/>
      </w:rPr>
      <w:t>CIDH</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0CE85" w14:textId="2E8F9FE1" w:rsidR="00F64540" w:rsidRPr="00B41EFF" w:rsidRDefault="00F64540" w:rsidP="00B41EFF">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9AFB6" w14:textId="77777777" w:rsidR="00F64540" w:rsidRPr="00AA099D" w:rsidRDefault="00F64540" w:rsidP="000D5EFB">
    <w:pPr>
      <w:pStyle w:val="Footer"/>
      <w:spacing w:before="420"/>
      <w:jc w:val="right"/>
      <w:rPr>
        <w:rFonts w:asciiTheme="minorHAnsi" w:hAnsiTheme="minorHAnsi"/>
        <w:color w:val="4A442A" w:themeColor="background2" w:themeShade="40"/>
        <w:sz w:val="16"/>
        <w:szCs w:val="16"/>
        <w:lang w:val="es-MX"/>
      </w:rPr>
    </w:pPr>
    <w:r w:rsidRPr="00AA099D">
      <w:rPr>
        <w:rFonts w:asciiTheme="minorHAnsi" w:hAnsiTheme="minorHAnsi"/>
        <w:color w:val="4A442A" w:themeColor="background2" w:themeShade="40"/>
        <w:sz w:val="16"/>
        <w:szCs w:val="16"/>
        <w:lang w:val="es-MX"/>
      </w:rPr>
      <w:t xml:space="preserve">Comisión Interamericana de Derechos Humanos | </w:t>
    </w:r>
    <w:r>
      <w:rPr>
        <w:rFonts w:asciiTheme="minorHAnsi" w:hAnsiTheme="minorHAnsi"/>
        <w:b/>
        <w:color w:val="4A442A" w:themeColor="background2" w:themeShade="40"/>
        <w:sz w:val="16"/>
        <w:szCs w:val="16"/>
        <w:lang w:val="es-MX"/>
      </w:rPr>
      <w:t>CIDH</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04BE0" w14:textId="521544B9" w:rsidR="00F64540" w:rsidRPr="00334EC9" w:rsidRDefault="00F64540" w:rsidP="00334EC9">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1F8DF" w14:textId="77777777" w:rsidR="00F64540" w:rsidRPr="00AA099D" w:rsidRDefault="00F64540" w:rsidP="000D5EFB">
    <w:pPr>
      <w:pStyle w:val="Footer"/>
      <w:spacing w:before="420"/>
      <w:jc w:val="right"/>
      <w:rPr>
        <w:rFonts w:asciiTheme="minorHAnsi" w:hAnsiTheme="minorHAnsi"/>
        <w:color w:val="4A442A" w:themeColor="background2" w:themeShade="40"/>
        <w:sz w:val="16"/>
        <w:szCs w:val="16"/>
        <w:lang w:val="es-MX"/>
      </w:rPr>
    </w:pPr>
    <w:r w:rsidRPr="00AA099D">
      <w:rPr>
        <w:rFonts w:asciiTheme="minorHAnsi" w:hAnsiTheme="minorHAnsi"/>
        <w:color w:val="4A442A" w:themeColor="background2" w:themeShade="40"/>
        <w:sz w:val="16"/>
        <w:szCs w:val="16"/>
        <w:lang w:val="es-MX"/>
      </w:rPr>
      <w:t xml:space="preserve">Comisión Interamericana de Derechos Humanos | </w:t>
    </w:r>
    <w:r>
      <w:rPr>
        <w:rFonts w:asciiTheme="minorHAnsi" w:hAnsiTheme="minorHAnsi"/>
        <w:b/>
        <w:color w:val="4A442A" w:themeColor="background2" w:themeShade="40"/>
        <w:sz w:val="16"/>
        <w:szCs w:val="16"/>
        <w:lang w:val="es-MX"/>
      </w:rPr>
      <w:t>CIDH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8780F" w14:textId="77777777" w:rsidR="00C43321" w:rsidRDefault="00C433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9644E" w14:textId="77777777" w:rsidR="00C43321" w:rsidRDefault="00C4332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3B1A2" w14:textId="77777777" w:rsidR="00F64540" w:rsidRPr="00FD6DDB" w:rsidRDefault="00F64540" w:rsidP="00FD6DD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FDD4C" w14:textId="40F56807" w:rsidR="00F64540" w:rsidRPr="00FD21AD" w:rsidRDefault="00F64540" w:rsidP="00FD21A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B7F9F" w14:textId="77777777" w:rsidR="00F64540" w:rsidRPr="00F6369E" w:rsidRDefault="00F64540" w:rsidP="00FD6DDB">
    <w:pPr>
      <w:pStyle w:val="Footer"/>
      <w:spacing w:before="420"/>
      <w:rPr>
        <w:rFonts w:asciiTheme="minorHAnsi" w:hAnsiTheme="minorHAnsi"/>
        <w:color w:val="4A442A" w:themeColor="background2" w:themeShade="40"/>
        <w:sz w:val="16"/>
        <w:szCs w:val="16"/>
        <w:lang w:val="es-ES"/>
      </w:rPr>
    </w:pPr>
    <w:r w:rsidRPr="00F6369E">
      <w:rPr>
        <w:rFonts w:asciiTheme="minorHAnsi" w:hAnsiTheme="minorHAnsi"/>
        <w:color w:val="4A442A" w:themeColor="background2" w:themeShade="40"/>
        <w:sz w:val="16"/>
        <w:szCs w:val="16"/>
        <w:lang w:val="es-ES"/>
      </w:rPr>
      <w:t xml:space="preserve">Organización de los Estados Americanos </w:t>
    </w:r>
    <w:r>
      <w:rPr>
        <w:rFonts w:asciiTheme="minorHAnsi" w:hAnsiTheme="minorHAnsi"/>
        <w:color w:val="4A442A" w:themeColor="background2" w:themeShade="40"/>
        <w:sz w:val="16"/>
        <w:szCs w:val="16"/>
        <w:lang w:val="es-ES"/>
      </w:rPr>
      <w:t>|</w:t>
    </w:r>
    <w:r w:rsidRPr="00F6369E">
      <w:rPr>
        <w:rFonts w:asciiTheme="minorHAnsi" w:hAnsiTheme="minorHAnsi"/>
        <w:color w:val="4A442A" w:themeColor="background2" w:themeShade="40"/>
        <w:sz w:val="16"/>
        <w:szCs w:val="16"/>
        <w:lang w:val="es-ES"/>
      </w:rPr>
      <w:t xml:space="preserve"> </w:t>
    </w:r>
    <w:r w:rsidRPr="00F6369E">
      <w:rPr>
        <w:rFonts w:asciiTheme="minorHAnsi" w:hAnsiTheme="minorHAnsi"/>
        <w:b/>
        <w:color w:val="4A442A" w:themeColor="background2" w:themeShade="40"/>
        <w:sz w:val="16"/>
        <w:szCs w:val="16"/>
        <w:lang w:val="es-ES"/>
      </w:rPr>
      <w:t>OEA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3612F" w14:textId="4012D9D9" w:rsidR="00F64540" w:rsidRPr="005E0CEF" w:rsidRDefault="00F64540" w:rsidP="005E0CE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20FD9" w14:textId="77777777" w:rsidR="00F64540" w:rsidRPr="005E0CEF" w:rsidRDefault="00F64540" w:rsidP="005E0CEF">
    <w:pPr>
      <w:pStyle w:val="Footer"/>
      <w:spacing w:before="420"/>
      <w:jc w:val="right"/>
      <w:rPr>
        <w:rFonts w:ascii="Calibri" w:hAnsi="Calibri"/>
        <w:color w:val="4A442A" w:themeColor="background2" w:themeShade="40"/>
        <w:sz w:val="16"/>
        <w:szCs w:val="14"/>
        <w:lang w:val="es-US"/>
      </w:rPr>
    </w:pPr>
    <w:r w:rsidRPr="005E0CEF">
      <w:rPr>
        <w:rFonts w:ascii="Calibri" w:hAnsi="Calibri"/>
        <w:color w:val="4A442A" w:themeColor="background2" w:themeShade="40"/>
        <w:sz w:val="16"/>
        <w:szCs w:val="14"/>
        <w:lang w:val="es-US"/>
      </w:rPr>
      <w:t xml:space="preserve">Comisión Interamericana de Derechos Humanos | </w:t>
    </w:r>
    <w:r w:rsidRPr="005E0CEF">
      <w:rPr>
        <w:rFonts w:ascii="Calibri" w:hAnsi="Calibri"/>
        <w:b/>
        <w:color w:val="4A442A" w:themeColor="background2" w:themeShade="40"/>
        <w:sz w:val="16"/>
        <w:szCs w:val="14"/>
        <w:lang w:val="es-US"/>
      </w:rPr>
      <w:t>CIDH</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59699" w14:textId="6C1913AB" w:rsidR="00F64540" w:rsidRPr="004D711A" w:rsidRDefault="00F64540" w:rsidP="004D71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2AC69" w14:textId="77777777" w:rsidR="00E91823" w:rsidRPr="00823659" w:rsidRDefault="00E91823" w:rsidP="00930562">
      <w:pPr>
        <w:rPr>
          <w:color w:val="808080" w:themeColor="background1" w:themeShade="80"/>
          <w:sz w:val="14"/>
          <w:szCs w:val="14"/>
        </w:rPr>
      </w:pPr>
      <w:r w:rsidRPr="00823659">
        <w:rPr>
          <w:color w:val="808080" w:themeColor="background1" w:themeShade="80"/>
          <w:sz w:val="14"/>
          <w:szCs w:val="14"/>
        </w:rPr>
        <w:continuationSeparator/>
      </w:r>
    </w:p>
  </w:footnote>
  <w:footnote w:type="continuationSeparator" w:id="0">
    <w:p w14:paraId="39EFB5B1" w14:textId="77777777" w:rsidR="00E91823" w:rsidRPr="00823659" w:rsidRDefault="00E91823" w:rsidP="00930562">
      <w:pPr>
        <w:rPr>
          <w:color w:val="808080" w:themeColor="background1" w:themeShade="80"/>
          <w:sz w:val="14"/>
          <w:szCs w:val="14"/>
        </w:rPr>
      </w:pPr>
      <w:r w:rsidRPr="00823659">
        <w:rPr>
          <w:color w:val="808080" w:themeColor="background1" w:themeShade="80"/>
          <w:sz w:val="14"/>
          <w:szCs w:val="14"/>
        </w:rPr>
        <w:continuationSeparator/>
      </w:r>
    </w:p>
  </w:footnote>
  <w:footnote w:type="continuationNotice" w:id="1">
    <w:p w14:paraId="4FFAC4D2" w14:textId="77777777" w:rsidR="00E91823" w:rsidRDefault="00E91823">
      <w:pPr>
        <w:spacing w:after="0" w:line="240" w:lineRule="auto"/>
      </w:pPr>
    </w:p>
  </w:footnote>
  <w:footnote w:id="2">
    <w:p w14:paraId="4A78D934" w14:textId="3C3029B2" w:rsidR="00F64540" w:rsidRPr="00930562" w:rsidRDefault="00F64540" w:rsidP="00E10935">
      <w:pPr>
        <w:pStyle w:val="HTMLPreformatted"/>
        <w:shd w:val="clear" w:color="auto" w:fill="FFFFFF"/>
        <w:spacing w:after="40"/>
        <w:ind w:left="547" w:hanging="547"/>
        <w:jc w:val="both"/>
        <w:rPr>
          <w:rFonts w:asciiTheme="minorHAnsi" w:hAnsiTheme="minorHAnsi" w:cstheme="majorHAnsi"/>
          <w:color w:val="808080" w:themeColor="background1" w:themeShade="80"/>
          <w:sz w:val="16"/>
          <w:szCs w:val="16"/>
          <w:lang w:val="es-MX"/>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MX"/>
        </w:rPr>
        <w:t xml:space="preserve"> </w:t>
      </w:r>
      <w:r w:rsidRPr="00930562">
        <w:rPr>
          <w:rFonts w:asciiTheme="minorHAnsi" w:hAnsiTheme="minorHAnsi" w:cstheme="majorHAnsi"/>
          <w:color w:val="808080" w:themeColor="background1" w:themeShade="80"/>
          <w:sz w:val="16"/>
          <w:szCs w:val="16"/>
          <w:lang w:val="es-MX"/>
        </w:rPr>
        <w:tab/>
      </w:r>
      <w:r w:rsidRPr="00930562">
        <w:rPr>
          <w:rFonts w:asciiTheme="minorHAnsi" w:hAnsi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ES"/>
        </w:rPr>
        <w:t xml:space="preserve">A los efectos de </w:t>
      </w:r>
      <w:r w:rsidRPr="00930562">
        <w:rPr>
          <w:rFonts w:asciiTheme="minorHAnsi" w:eastAsia="Times New Roman" w:hAnsiTheme="minorHAnsi" w:cstheme="minorHAnsi"/>
          <w:color w:val="808080" w:themeColor="background1" w:themeShade="80"/>
          <w:sz w:val="16"/>
          <w:szCs w:val="16"/>
          <w:lang w:val="es-ES" w:eastAsia="es-MX"/>
        </w:rPr>
        <w:t xml:space="preserve">facilitar la lectura y el acceso, la Comisión utiliza "afroamericano", "negro" y "afrodescendiente" en este informe de manera virtualmente indistinta, favoreciendo el término "afroamericano". Sin embargo, la Comisión reconoce que mientras que "afroamericano" denota nacionalidad, "Negro" (el término interno preferido) y "afrodescendiente" (el término preferido en el Sistema Interamericano de Derechos Humanos) se refieren de manera más amplia a aquellos individuos racializados como negros en los Estados Unidos y de ascendencia africana, respectivamente, independientemente de su origen nacional. </w:t>
      </w:r>
      <w:r w:rsidRPr="00930562">
        <w:rPr>
          <w:rFonts w:asciiTheme="minorHAnsi" w:hAnsiTheme="minorHAnsi" w:cstheme="minorHAnsi"/>
          <w:color w:val="808080" w:themeColor="background1" w:themeShade="80"/>
          <w:sz w:val="16"/>
          <w:szCs w:val="16"/>
          <w:lang w:val="es-ES"/>
        </w:rPr>
        <w:t>En este sentido, la Comisión reconoce que todos los individuos racializados como negros en los Estados Unidos  pueden ser blanco de violencia policial independientemente de su nacionalidad o país de origen (véase, por ejemplo, consideraciones en este informe relativas a Tesfaie Mokuria y Amadou Diallo (</w:t>
      </w:r>
      <w:r w:rsidRPr="00930562">
        <w:rPr>
          <w:rFonts w:asciiTheme="minorHAnsi" w:hAnsiTheme="minorHAnsi" w:cstheme="minorHAnsi"/>
          <w:i/>
          <w:color w:val="808080" w:themeColor="background1" w:themeShade="80"/>
          <w:sz w:val="16"/>
          <w:szCs w:val="16"/>
          <w:lang w:val="es-ES"/>
        </w:rPr>
        <w:t>infra</w:t>
      </w:r>
      <w:r w:rsidRPr="00930562">
        <w:rPr>
          <w:rFonts w:asciiTheme="minorHAnsi" w:hAnsiTheme="minorHAnsi" w:cstheme="minorHAnsi"/>
          <w:color w:val="808080" w:themeColor="background1" w:themeShade="80"/>
          <w:sz w:val="16"/>
          <w:szCs w:val="16"/>
          <w:lang w:val="es-ES"/>
        </w:rPr>
        <w:t xml:space="preserve"> párr. </w:t>
      </w:r>
      <w:r w:rsidRPr="00930562">
        <w:rPr>
          <w:rFonts w:asciiTheme="minorHAnsi" w:hAnsiTheme="minorHAnsi" w:cstheme="minorHAnsi"/>
          <w:color w:val="808080" w:themeColor="background1" w:themeShade="80"/>
          <w:sz w:val="16"/>
          <w:szCs w:val="16"/>
          <w:lang w:val="es-MX"/>
        </w:rPr>
        <w:t>93), inmigrantes de Etiopia y Guinea, respectivamente), y el informe debe entenderse en ese sentido.</w:t>
      </w:r>
      <w:r w:rsidRPr="00930562">
        <w:rPr>
          <w:rFonts w:asciiTheme="minorHAnsi" w:hAnsiTheme="minorHAnsi" w:cstheme="majorHAnsi"/>
          <w:color w:val="808080" w:themeColor="background1" w:themeShade="80"/>
          <w:sz w:val="16"/>
          <w:szCs w:val="16"/>
          <w:lang w:val="es-MX"/>
        </w:rPr>
        <w:t xml:space="preserve"> </w:t>
      </w:r>
    </w:p>
  </w:footnote>
  <w:footnote w:id="3">
    <w:p w14:paraId="34E87F16" w14:textId="1EBC6EF4" w:rsidR="00F64540" w:rsidRPr="00930562" w:rsidRDefault="00F64540" w:rsidP="00E10935">
      <w:pPr>
        <w:pStyle w:val="HTMLPreformatted"/>
        <w:shd w:val="clear" w:color="auto" w:fill="FFFFFF"/>
        <w:spacing w:after="40"/>
        <w:ind w:left="547" w:hanging="547"/>
        <w:jc w:val="both"/>
        <w:rPr>
          <w:rFonts w:asciiTheme="minorHAnsi" w:hAnsiTheme="minorHAnsi" w:cstheme="majorHAnsi"/>
          <w:color w:val="808080" w:themeColor="background1" w:themeShade="80"/>
          <w:sz w:val="16"/>
          <w:szCs w:val="16"/>
          <w:lang w:val="es-MX"/>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MX"/>
        </w:rPr>
        <w:t xml:space="preserve"> </w:t>
      </w:r>
      <w:r w:rsidRPr="00930562">
        <w:rPr>
          <w:rFonts w:asciiTheme="minorHAnsi" w:hAnsiTheme="minorHAnsi" w:cstheme="majorHAnsi"/>
          <w:color w:val="808080" w:themeColor="background1" w:themeShade="80"/>
          <w:sz w:val="16"/>
          <w:szCs w:val="16"/>
          <w:lang w:val="es-MX"/>
        </w:rPr>
        <w:tab/>
        <w:t xml:space="preserve">A lo largo de este informe, </w:t>
      </w:r>
      <w:r w:rsidRPr="00930562">
        <w:rPr>
          <w:rFonts w:asciiTheme="minorHAnsi" w:hAnsiTheme="minorHAnsi"/>
          <w:color w:val="808080" w:themeColor="background1" w:themeShade="80"/>
          <w:sz w:val="16"/>
          <w:szCs w:val="16"/>
          <w:lang w:val="es-MX"/>
        </w:rPr>
        <w:t xml:space="preserve">la CIDH usa el término “raza” para referirse a la motivación de los distintos tipos de violencia y discriminación que afectan de forma desproporcionada a las personas afroamericanas en Estados Unidos, en consonancia con el Artículo 1.1 de la Convención Americana. </w:t>
      </w:r>
    </w:p>
  </w:footnote>
  <w:footnote w:id="4">
    <w:p w14:paraId="089A3412" w14:textId="44EE0B7A" w:rsidR="00F64540" w:rsidRPr="00930562" w:rsidRDefault="00F64540" w:rsidP="00E10935">
      <w:pPr>
        <w:pStyle w:val="HTMLPreformatted"/>
        <w:shd w:val="clear" w:color="auto" w:fill="FFFFFF"/>
        <w:spacing w:after="40"/>
        <w:ind w:left="547" w:hanging="547"/>
        <w:jc w:val="both"/>
        <w:rPr>
          <w:rFonts w:asciiTheme="minorHAnsi" w:hAnsiTheme="minorHAnsi" w:cstheme="majorHAnsi"/>
          <w:color w:val="808080" w:themeColor="background1" w:themeShade="80"/>
          <w:sz w:val="16"/>
          <w:szCs w:val="16"/>
          <w:lang w:val="es-MX"/>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MX"/>
        </w:rPr>
        <w:t xml:space="preserve"> </w:t>
      </w:r>
      <w:r w:rsidRPr="00930562">
        <w:rPr>
          <w:rFonts w:asciiTheme="minorHAnsi" w:hAnsiTheme="minorHAnsi" w:cstheme="majorHAnsi"/>
          <w:color w:val="808080" w:themeColor="background1" w:themeShade="80"/>
          <w:sz w:val="16"/>
          <w:szCs w:val="16"/>
          <w:lang w:val="es-MX"/>
        </w:rPr>
        <w:tab/>
      </w:r>
      <w:r w:rsidRPr="00930562">
        <w:rPr>
          <w:rFonts w:asciiTheme="minorHAnsi" w:hAnsiTheme="minorHAnsi" w:cstheme="minorHAnsi"/>
          <w:color w:val="808080" w:themeColor="background1" w:themeShade="80"/>
          <w:sz w:val="16"/>
          <w:szCs w:val="16"/>
          <w:lang w:val="es-ES"/>
        </w:rPr>
        <w:t xml:space="preserve">La Comisión reconoce que los afroamericanos no son el único grupo en los Estados Unidos desproporcionalmente afectados por el uso excesivo de la fuerza policial, o el único grupo afectado por la discriminación racial estructural.  Este informe se centra específicamente en los afroamericanos y en la discriminación que enfrentan; sin embargo, se hace referencia a otros grupos también afectados por el uso excesivo de la fuerza, incluidos los grupos indígenas americanos, los hispanos y otros. </w:t>
      </w:r>
    </w:p>
  </w:footnote>
  <w:footnote w:id="5">
    <w:p w14:paraId="1ECC4585"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MX"/>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MX"/>
        </w:rPr>
        <w:t xml:space="preserve"> </w:t>
      </w:r>
      <w:r w:rsidRPr="00930562">
        <w:rPr>
          <w:rFonts w:asciiTheme="minorHAnsi" w:hAnsiTheme="minorHAnsi" w:cstheme="majorHAnsi"/>
          <w:color w:val="808080" w:themeColor="background1" w:themeShade="80"/>
          <w:sz w:val="16"/>
          <w:szCs w:val="16"/>
          <w:lang w:val="es-MX"/>
        </w:rPr>
        <w:tab/>
      </w:r>
      <w:r w:rsidRPr="00930562">
        <w:rPr>
          <w:rFonts w:asciiTheme="minorHAnsi" w:hAnsiTheme="minorHAnsi" w:cstheme="minorHAnsi"/>
          <w:color w:val="808080" w:themeColor="background1" w:themeShade="80"/>
          <w:sz w:val="16"/>
          <w:szCs w:val="16"/>
          <w:lang w:val="es-MX"/>
        </w:rPr>
        <w:t xml:space="preserve">CIDH, 150˚ Período de Sesiones, Audiencias Temáticas: Leyes Defensa Personal (Stand Your Ground) y su impacto en las minorías de los Estados Unidos, 27 de octubre 2014. Video de la audiencia disponible en: </w:t>
      </w:r>
      <w:hyperlink r:id="rId1" w:history="1">
        <w:r w:rsidRPr="00930562">
          <w:rPr>
            <w:rStyle w:val="Hyperlink"/>
            <w:rFonts w:asciiTheme="minorHAnsi" w:hAnsiTheme="minorHAnsi" w:cstheme="minorHAnsi"/>
            <w:color w:val="808080" w:themeColor="background1" w:themeShade="80"/>
            <w:sz w:val="16"/>
            <w:szCs w:val="16"/>
            <w:lang w:val="es-MX"/>
          </w:rPr>
          <w:t>https://www.youtube.com/watch?v=X0EV8Rbpg2s</w:t>
        </w:r>
      </w:hyperlink>
      <w:r w:rsidRPr="00930562">
        <w:rPr>
          <w:rFonts w:asciiTheme="minorHAnsi" w:hAnsiTheme="minorHAnsi" w:cstheme="minorHAnsi"/>
          <w:color w:val="808080" w:themeColor="background1" w:themeShade="80"/>
          <w:sz w:val="16"/>
          <w:szCs w:val="16"/>
          <w:lang w:val="es-MX"/>
        </w:rPr>
        <w:t xml:space="preserve"> [de aquí en adelante “Audiencia sobre Leyes ‘Stand Your Ground’”]. </w:t>
      </w:r>
      <w:r w:rsidRPr="00930562">
        <w:rPr>
          <w:rFonts w:asciiTheme="minorHAnsi" w:hAnsiTheme="minorHAnsi" w:cstheme="minorHAnsi"/>
          <w:color w:val="808080" w:themeColor="background1" w:themeShade="80"/>
          <w:sz w:val="16"/>
          <w:szCs w:val="16"/>
        </w:rPr>
        <w:t xml:space="preserve">La audiencia fue solicitada por el </w:t>
      </w:r>
      <w:r w:rsidRPr="00930562">
        <w:rPr>
          <w:rFonts w:asciiTheme="minorHAnsi" w:hAnsiTheme="minorHAnsi" w:cstheme="minorHAnsi"/>
          <w:i/>
          <w:color w:val="808080" w:themeColor="background1" w:themeShade="80"/>
          <w:sz w:val="16"/>
          <w:szCs w:val="16"/>
        </w:rPr>
        <w:t>Community Justice Project, Florida Legal Services, The Dream Defenders, University of Miami School of Law Human Rights Clinic, National Association for the Advancement of Colored People (NAACP)</w:t>
      </w:r>
      <w:r w:rsidRPr="00930562">
        <w:rPr>
          <w:rFonts w:asciiTheme="minorHAnsi" w:hAnsiTheme="minorHAnsi" w:cstheme="minorHAnsi"/>
          <w:color w:val="808080" w:themeColor="background1" w:themeShade="80"/>
          <w:sz w:val="16"/>
          <w:szCs w:val="16"/>
        </w:rPr>
        <w:t xml:space="preserve">, y </w:t>
      </w:r>
      <w:r w:rsidRPr="00930562">
        <w:rPr>
          <w:rFonts w:asciiTheme="minorHAnsi" w:hAnsiTheme="minorHAnsi" w:cstheme="minorHAnsi"/>
          <w:i/>
          <w:color w:val="808080" w:themeColor="background1" w:themeShade="80"/>
          <w:sz w:val="16"/>
          <w:szCs w:val="16"/>
        </w:rPr>
        <w:t>Free Marissa Now Mobilization Campaign</w:t>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lang w:val="es-MX"/>
        </w:rPr>
        <w:t xml:space="preserve">El Estado fue representado por la Misión de Estados Unidos ante la OEA y el Departamento de Estado. </w:t>
      </w:r>
    </w:p>
  </w:footnote>
  <w:footnote w:id="6">
    <w:p w14:paraId="1D93D4E3"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MX"/>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t xml:space="preserve">CIDH, 153˚ Período de Sesiones, Audiencia Temática: Racismo en el Sistema de Justicia de los Estados Unidos, 27 de octubre de 2014. Video de la audiencia disponible en: </w:t>
      </w:r>
      <w:hyperlink r:id="rId2" w:history="1">
        <w:r w:rsidRPr="00930562">
          <w:rPr>
            <w:rStyle w:val="Hyperlink"/>
            <w:rFonts w:asciiTheme="minorHAnsi" w:hAnsiTheme="minorHAnsi" w:cstheme="minorHAnsi"/>
            <w:color w:val="808080" w:themeColor="background1" w:themeShade="80"/>
            <w:sz w:val="16"/>
            <w:szCs w:val="16"/>
            <w:lang w:val="es-MX"/>
          </w:rPr>
          <w:t>https://www.youtube.com/watch?v=ieGOtPqlHLM&amp;feature=youtu.be</w:t>
        </w:r>
      </w:hyperlink>
      <w:r w:rsidRPr="00930562">
        <w:rPr>
          <w:rFonts w:asciiTheme="minorHAnsi" w:hAnsiTheme="minorHAnsi" w:cstheme="minorHAnsi"/>
          <w:color w:val="808080" w:themeColor="background1" w:themeShade="80"/>
          <w:sz w:val="16"/>
          <w:szCs w:val="16"/>
          <w:lang w:val="es-MX"/>
        </w:rPr>
        <w:t xml:space="preserve"> [de aquí en adelante “Audiencia Racismo en el Sistema de Justica”]. </w:t>
      </w:r>
      <w:r w:rsidRPr="00930562">
        <w:rPr>
          <w:rFonts w:asciiTheme="minorHAnsi" w:hAnsiTheme="minorHAnsi" w:cstheme="minorHAnsi"/>
          <w:color w:val="808080" w:themeColor="background1" w:themeShade="80"/>
          <w:sz w:val="16"/>
          <w:szCs w:val="16"/>
        </w:rPr>
        <w:t xml:space="preserve">Asistieron a la audiencia representantes del </w:t>
      </w:r>
      <w:r w:rsidRPr="00930562">
        <w:rPr>
          <w:rFonts w:asciiTheme="minorHAnsi" w:hAnsiTheme="minorHAnsi" w:cstheme="minorHAnsi"/>
          <w:i/>
          <w:color w:val="808080" w:themeColor="background1" w:themeShade="80"/>
          <w:sz w:val="16"/>
          <w:szCs w:val="16"/>
        </w:rPr>
        <w:t>Lawyers’ Committee for Civil Rights Under Law</w:t>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i/>
          <w:color w:val="808080" w:themeColor="background1" w:themeShade="80"/>
          <w:sz w:val="16"/>
          <w:szCs w:val="16"/>
        </w:rPr>
        <w:t>NAACP Washington Bureau, Brennan Center for Justice, American Bar Association</w:t>
      </w:r>
      <w:r w:rsidRPr="00930562">
        <w:rPr>
          <w:rFonts w:asciiTheme="minorHAnsi" w:hAnsiTheme="minorHAnsi" w:cstheme="minorHAnsi"/>
          <w:color w:val="808080" w:themeColor="background1" w:themeShade="80"/>
          <w:sz w:val="16"/>
          <w:szCs w:val="16"/>
        </w:rPr>
        <w:t xml:space="preserve">, y ACLU de Michigan. </w:t>
      </w:r>
      <w:r w:rsidRPr="00930562">
        <w:rPr>
          <w:rFonts w:asciiTheme="minorHAnsi" w:hAnsiTheme="minorHAnsi" w:cstheme="minorHAnsi"/>
          <w:color w:val="808080" w:themeColor="background1" w:themeShade="80"/>
          <w:sz w:val="16"/>
          <w:szCs w:val="16"/>
          <w:lang w:val="es-MX"/>
        </w:rPr>
        <w:t>En representación del Estado asistieron la Misión de Estados Unidos antes la OEA, el Fiscal General Adjunto del Distrito Sur de Ohio (Departamento de Justicia), la Oficina del Asesor Jurídico para Asuntos del Hemisferio Occidental (Departamento de Estado) y la Oficina del Asesor Jurídico para los Derechos Humanos y Refugiados (Departamento de Estado).</w:t>
      </w:r>
    </w:p>
  </w:footnote>
  <w:footnote w:id="7">
    <w:p w14:paraId="4B5ACC93"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MX"/>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t xml:space="preserve">CIDH, 154 ˚ Período de Sesiones, Audiencia Temática: Justicia Criminal y Raza en los Estados Unidos, 16 de marzo de 2015. Video de la audiencia disponible en: </w:t>
      </w:r>
      <w:hyperlink r:id="rId3" w:history="1">
        <w:r w:rsidRPr="00930562">
          <w:rPr>
            <w:rStyle w:val="Hyperlink"/>
            <w:rFonts w:asciiTheme="minorHAnsi" w:hAnsiTheme="minorHAnsi" w:cstheme="minorHAnsi"/>
            <w:color w:val="808080" w:themeColor="background1" w:themeShade="80"/>
            <w:sz w:val="16"/>
            <w:szCs w:val="16"/>
            <w:lang w:val="es-MX"/>
          </w:rPr>
          <w:t>https://www.youtube.com/watch?v=j_OIkzDAaxA</w:t>
        </w:r>
      </w:hyperlink>
      <w:r w:rsidRPr="00930562">
        <w:rPr>
          <w:rFonts w:asciiTheme="minorHAnsi" w:hAnsiTheme="minorHAnsi" w:cstheme="minorHAnsi"/>
          <w:color w:val="808080" w:themeColor="background1" w:themeShade="80"/>
          <w:sz w:val="16"/>
          <w:szCs w:val="16"/>
          <w:lang w:val="es-MX"/>
        </w:rPr>
        <w:t xml:space="preserve"> [de aquí en adelante “Audiencia Justicia Criminal y Raza”]. </w:t>
      </w:r>
      <w:r w:rsidRPr="00930562">
        <w:rPr>
          <w:rFonts w:asciiTheme="minorHAnsi" w:hAnsiTheme="minorHAnsi" w:cstheme="minorHAnsi"/>
          <w:i/>
          <w:color w:val="808080" w:themeColor="background1" w:themeShade="80"/>
          <w:sz w:val="16"/>
          <w:szCs w:val="16"/>
          <w:lang w:val="es-MX"/>
        </w:rPr>
        <w:t>Véase también</w:t>
      </w:r>
      <w:r w:rsidRPr="00930562">
        <w:rPr>
          <w:rFonts w:asciiTheme="minorHAnsi" w:hAnsiTheme="minorHAnsi" w:cstheme="minorHAnsi"/>
          <w:color w:val="808080" w:themeColor="background1" w:themeShade="80"/>
          <w:sz w:val="16"/>
          <w:szCs w:val="16"/>
          <w:lang w:val="es-MX"/>
        </w:rPr>
        <w:t xml:space="preserve"> CIDH, Comunicado de Prensa No. 035/2015, IACHR, </w:t>
      </w:r>
      <w:r w:rsidRPr="00930562">
        <w:rPr>
          <w:rStyle w:val="Hyperlink"/>
          <w:rFonts w:asciiTheme="minorHAnsi" w:hAnsiTheme="minorHAnsi" w:cstheme="minorHAnsi"/>
          <w:color w:val="808080" w:themeColor="background1" w:themeShade="80"/>
          <w:sz w:val="16"/>
          <w:szCs w:val="16"/>
          <w:lang w:val="es-MX"/>
        </w:rPr>
        <w:t>CIDH concluye el 154º Período de Sesiones</w:t>
      </w:r>
      <w:r w:rsidRPr="00930562">
        <w:rPr>
          <w:rFonts w:asciiTheme="minorHAnsi" w:hAnsiTheme="minorHAnsi" w:cstheme="minorHAnsi"/>
          <w:color w:val="808080" w:themeColor="background1" w:themeShade="80"/>
          <w:sz w:val="16"/>
          <w:szCs w:val="16"/>
          <w:lang w:val="es-MX"/>
        </w:rPr>
        <w:t>, 27 de marzo de 2015. Participaron de la audiencia el Comité de Abogados Defensores de los Derechos Civiles Bajo la Ley, el Centro por los Derechos Constitucionales y ACLU. En representación del Estado asistieron la Misión de Estados Unidos antes la OEA, El Departamento de Estado, el Ministerio de Justicia, el Ministerio de Trabajo y la Comisión para la Igualdad de Oportunidades en el Empleo de Estados Unidos (EEOC).</w:t>
      </w:r>
      <w:r w:rsidRPr="00930562">
        <w:rPr>
          <w:rFonts w:asciiTheme="minorHAnsi" w:hAnsiTheme="minorHAnsi" w:cstheme="majorHAnsi"/>
          <w:color w:val="808080" w:themeColor="background1" w:themeShade="80"/>
          <w:sz w:val="16"/>
          <w:szCs w:val="16"/>
          <w:lang w:val="es-MX"/>
        </w:rPr>
        <w:t xml:space="preserve">  </w:t>
      </w:r>
    </w:p>
  </w:footnote>
  <w:footnote w:id="8">
    <w:p w14:paraId="75670182"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MX"/>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MX"/>
        </w:rPr>
        <w:t xml:space="preserve"> </w:t>
      </w:r>
      <w:r w:rsidRPr="00930562">
        <w:rPr>
          <w:rFonts w:asciiTheme="minorHAnsi" w:hAnsiTheme="minorHAnsi" w:cstheme="majorHAnsi"/>
          <w:color w:val="808080" w:themeColor="background1" w:themeShade="80"/>
          <w:sz w:val="16"/>
          <w:szCs w:val="16"/>
          <w:lang w:val="es-MX"/>
        </w:rPr>
        <w:tab/>
      </w:r>
      <w:r w:rsidRPr="00930562">
        <w:rPr>
          <w:rFonts w:asciiTheme="minorHAnsi" w:hAnsiTheme="minorHAnsi" w:cstheme="minorHAnsi"/>
          <w:color w:val="808080" w:themeColor="background1" w:themeShade="80"/>
          <w:sz w:val="16"/>
          <w:szCs w:val="16"/>
          <w:lang w:val="es-MX"/>
        </w:rPr>
        <w:t xml:space="preserve">CIDH, 156˚ Período de Sesiones, Audiencia Temática: Información sobre el uso excesivo de la fuerza por parte de la policía contra personas de descendencia africana en los Estados Unidos, 23 de octubre de 2015. Video de la audiencia disponible en: </w:t>
      </w:r>
      <w:hyperlink r:id="rId4" w:tgtFrame="_blank" w:history="1">
        <w:r w:rsidRPr="00930562">
          <w:rPr>
            <w:rStyle w:val="Hyperlink"/>
            <w:rFonts w:asciiTheme="minorHAnsi" w:hAnsiTheme="minorHAnsi" w:cstheme="minorHAnsi"/>
            <w:color w:val="808080" w:themeColor="background1" w:themeShade="80"/>
            <w:sz w:val="16"/>
            <w:szCs w:val="16"/>
            <w:lang w:val="es-MX"/>
          </w:rPr>
          <w:t>https://www.youtube.com/watch?v=c_ZLnaWeXCk</w:t>
        </w:r>
      </w:hyperlink>
      <w:r w:rsidRPr="00930562">
        <w:rPr>
          <w:rFonts w:asciiTheme="minorHAnsi" w:hAnsiTheme="minorHAnsi" w:cstheme="minorHAnsi"/>
          <w:color w:val="808080" w:themeColor="background1" w:themeShade="80"/>
          <w:sz w:val="16"/>
          <w:szCs w:val="16"/>
          <w:lang w:val="es-MX"/>
        </w:rPr>
        <w:t xml:space="preserve"> [de aquí en adelante “Audiencia Asesinatos policiales]. </w:t>
      </w:r>
      <w:r w:rsidRPr="00930562">
        <w:rPr>
          <w:rFonts w:asciiTheme="minorHAnsi" w:hAnsiTheme="minorHAnsi" w:cstheme="minorHAnsi"/>
          <w:i/>
          <w:color w:val="808080" w:themeColor="background1" w:themeShade="80"/>
          <w:sz w:val="16"/>
          <w:szCs w:val="16"/>
          <w:lang w:val="es-MX"/>
        </w:rPr>
        <w:t>Véase también</w:t>
      </w:r>
      <w:r w:rsidRPr="00930562">
        <w:rPr>
          <w:rFonts w:asciiTheme="minorHAnsi" w:hAnsiTheme="minorHAnsi" w:cstheme="minorHAnsi"/>
          <w:color w:val="808080" w:themeColor="background1" w:themeShade="80"/>
          <w:sz w:val="16"/>
          <w:szCs w:val="16"/>
          <w:lang w:val="es-MX"/>
        </w:rPr>
        <w:t xml:space="preserve"> CIDH, Comunicado de Prensa No. 120/15, </w:t>
      </w:r>
      <w:hyperlink r:id="rId5" w:history="1">
        <w:r w:rsidRPr="00930562">
          <w:rPr>
            <w:rStyle w:val="Hyperlink"/>
            <w:rFonts w:asciiTheme="minorHAnsi" w:hAnsiTheme="minorHAnsi" w:cstheme="minorHAnsi"/>
            <w:color w:val="808080" w:themeColor="background1" w:themeShade="80"/>
            <w:sz w:val="16"/>
            <w:szCs w:val="16"/>
            <w:lang w:val="es-MX"/>
          </w:rPr>
          <w:t>CIDH concluye el 156º Período de Sesiones</w:t>
        </w:r>
      </w:hyperlink>
      <w:r w:rsidRPr="00930562">
        <w:rPr>
          <w:rFonts w:asciiTheme="minorHAnsi" w:hAnsiTheme="minorHAnsi" w:cstheme="minorHAnsi"/>
          <w:color w:val="808080" w:themeColor="background1" w:themeShade="80"/>
          <w:sz w:val="16"/>
          <w:szCs w:val="16"/>
          <w:lang w:val="es-MX"/>
        </w:rPr>
        <w:t xml:space="preserve">, 28 de octubre de 2015. La audiencia fue solicitada por el Centro por la Justicia y los Derechos Humanos Robert F. Kennedy (RFK Derechos Humanos), Rekia’s Haven, Madres contra la brutalidad policial y la Facultad de Derecho de la Universidad de Saint Louis. En representación del Estado asistieron la Misión de Estados Unidos antes la OEA, el Departamento de Estado y el Ministerio de Justicia. </w:t>
      </w:r>
    </w:p>
  </w:footnote>
  <w:footnote w:id="9">
    <w:p w14:paraId="0BB1DDD4"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MX"/>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t xml:space="preserve">CIDH, 166˚, Período de Sesiones, Audiencia Temática: Informes de impunidad por ejecuciones extrajudiciales en los Estados Unidos, 7 de diciembre de 2017. Video de la audiencia disponible en: </w:t>
      </w:r>
      <w:hyperlink r:id="rId6" w:history="1">
        <w:r w:rsidRPr="00930562">
          <w:rPr>
            <w:rStyle w:val="Hyperlink"/>
            <w:rFonts w:asciiTheme="minorHAnsi" w:hAnsiTheme="minorHAnsi" w:cstheme="minorHAnsi"/>
            <w:color w:val="808080" w:themeColor="background1" w:themeShade="80"/>
            <w:sz w:val="16"/>
            <w:szCs w:val="16"/>
            <w:lang w:val="es-MX"/>
          </w:rPr>
          <w:t>https://www.youtube.com/watch?v=U5SvLoYX71M</w:t>
        </w:r>
      </w:hyperlink>
      <w:r w:rsidRPr="00930562">
        <w:rPr>
          <w:rFonts w:asciiTheme="minorHAnsi" w:hAnsiTheme="minorHAnsi" w:cstheme="minorHAnsi"/>
          <w:color w:val="808080" w:themeColor="background1" w:themeShade="80"/>
          <w:sz w:val="16"/>
          <w:szCs w:val="16"/>
          <w:lang w:val="es-MX"/>
        </w:rPr>
        <w:t>. [de aquí en adelante “Audiencia Impunidad de ejecuciones extrajudiciales”]. La audiencia fue solicitada por la Clínica de Derechos Humanos de la Facultad de Derecho de la Universidad de Santa Clara, RFK Derechos Humanos y ACLU. En representación del Estado asistieron la Misión de Estados Unidos antes la OEA y el Departamento de Estado.</w:t>
      </w:r>
    </w:p>
  </w:footnote>
  <w:footnote w:id="10">
    <w:p w14:paraId="4197BC65"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MX"/>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r>
      <w:r w:rsidRPr="00930562">
        <w:rPr>
          <w:rFonts w:asciiTheme="minorHAnsi" w:hAnsiTheme="minorHAnsi" w:cstheme="minorHAnsi"/>
          <w:i/>
          <w:color w:val="808080" w:themeColor="background1" w:themeShade="80"/>
          <w:sz w:val="16"/>
          <w:szCs w:val="16"/>
          <w:lang w:val="es-MX"/>
        </w:rPr>
        <w:t>Véase, en general</w:t>
      </w:r>
      <w:r w:rsidRPr="00930562">
        <w:rPr>
          <w:rFonts w:asciiTheme="minorHAnsi" w:hAnsiTheme="minorHAnsi" w:cstheme="minorHAnsi"/>
          <w:color w:val="808080" w:themeColor="background1" w:themeShade="80"/>
          <w:sz w:val="16"/>
          <w:szCs w:val="16"/>
          <w:lang w:val="es-MX"/>
        </w:rPr>
        <w:t xml:space="preserve"> CIDH, Comunicado de Prensa No. 118/15, </w:t>
      </w:r>
      <w:hyperlink r:id="rId7" w:history="1">
        <w:r w:rsidRPr="00930562">
          <w:rPr>
            <w:rStyle w:val="Hyperlink"/>
            <w:rFonts w:asciiTheme="minorHAnsi" w:hAnsiTheme="minorHAnsi" w:cstheme="minorHAnsi"/>
            <w:color w:val="808080" w:themeColor="background1" w:themeShade="80"/>
            <w:sz w:val="16"/>
            <w:szCs w:val="16"/>
            <w:lang w:val="es-MX"/>
          </w:rPr>
          <w:t>La CIDH concluye su visita a Florida, Luisiana y Misuri, en Estados Unidos</w:t>
        </w:r>
      </w:hyperlink>
      <w:r w:rsidRPr="00930562">
        <w:rPr>
          <w:rStyle w:val="Hyperlink"/>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 xml:space="preserve">16 de octubre de 2015 [de aquí en adelante “Comunicado de Prensa sobre visita </w:t>
      </w:r>
      <w:r w:rsidRPr="00930562">
        <w:rPr>
          <w:rFonts w:asciiTheme="minorHAnsi" w:hAnsiTheme="minorHAnsi" w:cstheme="minorHAnsi"/>
          <w:i/>
          <w:color w:val="808080" w:themeColor="background1" w:themeShade="80"/>
          <w:sz w:val="16"/>
          <w:szCs w:val="16"/>
          <w:lang w:val="es-MX"/>
        </w:rPr>
        <w:t>in loco</w:t>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i/>
          <w:color w:val="808080" w:themeColor="background1" w:themeShade="80"/>
          <w:sz w:val="16"/>
          <w:szCs w:val="16"/>
          <w:lang w:val="es-MX"/>
        </w:rPr>
        <w:t xml:space="preserve">Véase además </w:t>
      </w:r>
      <w:r w:rsidRPr="00930562">
        <w:rPr>
          <w:rFonts w:asciiTheme="minorHAnsi" w:hAnsiTheme="minorHAnsi" w:cstheme="minorHAnsi"/>
          <w:color w:val="808080" w:themeColor="background1" w:themeShade="80"/>
          <w:sz w:val="16"/>
          <w:szCs w:val="16"/>
          <w:lang w:val="es-MX"/>
        </w:rPr>
        <w:t xml:space="preserve">CIDH, </w:t>
      </w:r>
      <w:hyperlink r:id="rId8" w:history="1">
        <w:r w:rsidRPr="00930562">
          <w:rPr>
            <w:rStyle w:val="Hyperlink"/>
            <w:rFonts w:asciiTheme="minorHAnsi" w:hAnsiTheme="minorHAnsi" w:cstheme="minorHAnsi"/>
            <w:color w:val="808080" w:themeColor="background1" w:themeShade="80"/>
            <w:sz w:val="16"/>
            <w:szCs w:val="16"/>
            <w:lang w:val="es-MX"/>
          </w:rPr>
          <w:t>Informe Preliminar sobre Pobreza, Pobreza Extrema y Derechos Humanos en las Américas</w:t>
        </w:r>
      </w:hyperlink>
      <w:r w:rsidRPr="00930562">
        <w:rPr>
          <w:rFonts w:asciiTheme="minorHAnsi" w:hAnsiTheme="minorHAnsi" w:cstheme="minorHAnsi"/>
          <w:color w:val="808080" w:themeColor="background1" w:themeShade="80"/>
          <w:sz w:val="16"/>
          <w:szCs w:val="16"/>
          <w:lang w:val="es-MX"/>
        </w:rPr>
        <w:t>, 2016.</w:t>
      </w:r>
    </w:p>
  </w:footnote>
  <w:footnote w:id="11">
    <w:p w14:paraId="7523593D"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MX"/>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MX"/>
        </w:rPr>
        <w:t xml:space="preserve"> </w:t>
      </w:r>
      <w:r w:rsidRPr="00930562">
        <w:rPr>
          <w:rFonts w:asciiTheme="minorHAnsi" w:hAnsiTheme="minorHAnsi" w:cstheme="majorHAnsi"/>
          <w:color w:val="808080" w:themeColor="background1" w:themeShade="80"/>
          <w:sz w:val="16"/>
          <w:szCs w:val="16"/>
          <w:lang w:val="es-MX"/>
        </w:rPr>
        <w:tab/>
      </w:r>
      <w:r w:rsidRPr="00930562">
        <w:rPr>
          <w:rFonts w:asciiTheme="minorHAnsi" w:hAnsiTheme="minorHAnsi" w:cstheme="minorHAnsi"/>
          <w:color w:val="808080" w:themeColor="background1" w:themeShade="80"/>
          <w:sz w:val="16"/>
          <w:szCs w:val="16"/>
          <w:lang w:val="es-MX"/>
        </w:rPr>
        <w:t xml:space="preserve">CIDH, Comunicado de Prensa No. 90/14, </w:t>
      </w:r>
      <w:hyperlink r:id="rId9" w:history="1">
        <w:r w:rsidRPr="00930562">
          <w:rPr>
            <w:rStyle w:val="Hyperlink"/>
            <w:rFonts w:asciiTheme="minorHAnsi" w:hAnsiTheme="minorHAnsi" w:cstheme="minorHAnsi"/>
            <w:color w:val="808080" w:themeColor="background1" w:themeShade="80"/>
            <w:sz w:val="16"/>
            <w:szCs w:val="16"/>
            <w:lang w:val="es-MX"/>
          </w:rPr>
          <w:t>La CIDH expresa preocupación por la muerte de personas afrodescendientes a manos de la policía en Estados Unidos</w:t>
        </w:r>
      </w:hyperlink>
      <w:r w:rsidRPr="00930562">
        <w:rPr>
          <w:rFonts w:asciiTheme="minorHAnsi" w:hAnsiTheme="minorHAnsi" w:cstheme="minorHAnsi"/>
          <w:color w:val="808080" w:themeColor="background1" w:themeShade="80"/>
          <w:sz w:val="16"/>
          <w:szCs w:val="16"/>
          <w:lang w:val="es-MX"/>
        </w:rPr>
        <w:t>, 22 de agosto de 2014 [de aquí en adelante “Comunicado de Prensa Eric Garner y Michael Brown”].</w:t>
      </w:r>
    </w:p>
  </w:footnote>
  <w:footnote w:id="12">
    <w:p w14:paraId="68235E3C"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MX"/>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MX"/>
        </w:rPr>
        <w:t xml:space="preserve"> </w:t>
      </w:r>
      <w:r w:rsidRPr="00930562">
        <w:rPr>
          <w:rFonts w:asciiTheme="minorHAnsi" w:hAnsiTheme="minorHAnsi" w:cstheme="majorHAnsi"/>
          <w:color w:val="808080" w:themeColor="background1" w:themeShade="80"/>
          <w:sz w:val="16"/>
          <w:szCs w:val="16"/>
          <w:lang w:val="es-MX"/>
        </w:rPr>
        <w:tab/>
      </w:r>
      <w:r w:rsidRPr="00930562">
        <w:rPr>
          <w:rFonts w:asciiTheme="minorHAnsi" w:hAnsiTheme="minorHAnsi" w:cstheme="minorHAnsi"/>
          <w:color w:val="808080" w:themeColor="background1" w:themeShade="80"/>
          <w:sz w:val="16"/>
          <w:szCs w:val="16"/>
          <w:lang w:val="es-MX"/>
        </w:rPr>
        <w:t xml:space="preserve">CIDH, Comunicado de Prensa No. 31/15, </w:t>
      </w:r>
      <w:hyperlink r:id="rId10" w:history="1">
        <w:r w:rsidRPr="00930562">
          <w:rPr>
            <w:rStyle w:val="Hyperlink"/>
            <w:rFonts w:asciiTheme="minorHAnsi" w:hAnsiTheme="minorHAnsi" w:cstheme="minorHAnsi"/>
            <w:color w:val="808080" w:themeColor="background1" w:themeShade="80"/>
            <w:sz w:val="16"/>
            <w:szCs w:val="16"/>
            <w:lang w:val="es-MX"/>
          </w:rPr>
          <w:t>La CIDH llama a los Estados de la OEA a erradicar la discriminación racial en América</w:t>
        </w:r>
      </w:hyperlink>
      <w:r w:rsidRPr="00930562">
        <w:rPr>
          <w:rFonts w:asciiTheme="minorHAnsi" w:hAnsiTheme="minorHAnsi" w:cstheme="minorHAnsi"/>
          <w:color w:val="808080" w:themeColor="background1" w:themeShade="80"/>
          <w:sz w:val="16"/>
          <w:szCs w:val="16"/>
          <w:lang w:val="es-MX"/>
        </w:rPr>
        <w:t>, 20 de marzo, 2015.</w:t>
      </w:r>
    </w:p>
  </w:footnote>
  <w:footnote w:id="13">
    <w:p w14:paraId="2FE32559"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MX"/>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t xml:space="preserve">CIDH, Comunicado de Prensa No. 37/15, </w:t>
      </w:r>
      <w:hyperlink r:id="rId11" w:history="1">
        <w:r w:rsidRPr="00930562">
          <w:rPr>
            <w:rStyle w:val="Hyperlink"/>
            <w:rFonts w:asciiTheme="minorHAnsi" w:hAnsiTheme="minorHAnsi" w:cstheme="minorHAnsi"/>
            <w:color w:val="808080" w:themeColor="background1" w:themeShade="80"/>
            <w:sz w:val="16"/>
            <w:szCs w:val="16"/>
            <w:lang w:val="es-MX"/>
          </w:rPr>
          <w:t>CIDH concluye el 154º Período de Sesiones</w:t>
        </w:r>
      </w:hyperlink>
      <w:r w:rsidRPr="00930562">
        <w:rPr>
          <w:rFonts w:asciiTheme="minorHAnsi" w:hAnsiTheme="minorHAnsi" w:cstheme="minorHAnsi"/>
          <w:color w:val="808080" w:themeColor="background1" w:themeShade="80"/>
          <w:sz w:val="16"/>
          <w:szCs w:val="16"/>
          <w:lang w:val="es-MX"/>
        </w:rPr>
        <w:t>, 27 de marzo de 2015.</w:t>
      </w:r>
    </w:p>
  </w:footnote>
  <w:footnote w:id="14">
    <w:p w14:paraId="381CA358"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MX"/>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t xml:space="preserve">CIDH, Comunicado de Prensa No. 40/15, </w:t>
      </w:r>
      <w:hyperlink r:id="rId12" w:history="1">
        <w:r w:rsidRPr="00930562">
          <w:rPr>
            <w:rStyle w:val="Hyperlink"/>
            <w:rFonts w:asciiTheme="minorHAnsi" w:hAnsiTheme="minorHAnsi" w:cstheme="minorHAnsi"/>
            <w:color w:val="808080" w:themeColor="background1" w:themeShade="80"/>
            <w:sz w:val="16"/>
            <w:szCs w:val="16"/>
            <w:lang w:val="es-MX"/>
          </w:rPr>
          <w:t>CIDH condena el asesinato de un hombre afrodescendiente en Estados Unidos</w:t>
        </w:r>
      </w:hyperlink>
      <w:r w:rsidRPr="00930562">
        <w:rPr>
          <w:rFonts w:asciiTheme="minorHAnsi" w:hAnsiTheme="minorHAnsi" w:cstheme="minorHAnsi"/>
          <w:color w:val="808080" w:themeColor="background1" w:themeShade="80"/>
          <w:sz w:val="16"/>
          <w:szCs w:val="16"/>
          <w:lang w:val="es-MX"/>
        </w:rPr>
        <w:t>, 17 de abril de 2015 [de aquí en adelante “Comunicado de Prensa Walter Scott”].</w:t>
      </w:r>
    </w:p>
  </w:footnote>
  <w:footnote w:id="15">
    <w:p w14:paraId="3DB342E8"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MX"/>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t xml:space="preserve">CIDH, Comunicado de Prensa No. 120/16, </w:t>
      </w:r>
      <w:hyperlink r:id="rId13" w:history="1">
        <w:r w:rsidRPr="00930562">
          <w:rPr>
            <w:rStyle w:val="Hyperlink"/>
            <w:rFonts w:asciiTheme="minorHAnsi" w:hAnsiTheme="minorHAnsi" w:cstheme="minorHAnsi"/>
            <w:color w:val="808080" w:themeColor="background1" w:themeShade="80"/>
            <w:sz w:val="16"/>
            <w:szCs w:val="16"/>
            <w:lang w:val="es-MX"/>
          </w:rPr>
          <w:t>CIDH expresa preocupación frente a las deficiencias en la investigación de casos relacionados con asesinatos de afrodescendientes a manos de la policía en Estados Unidos</w:t>
        </w:r>
      </w:hyperlink>
      <w:r w:rsidRPr="00930562">
        <w:rPr>
          <w:rFonts w:asciiTheme="minorHAnsi" w:hAnsiTheme="minorHAnsi" w:cstheme="minorHAnsi"/>
          <w:color w:val="808080" w:themeColor="background1" w:themeShade="80"/>
          <w:sz w:val="16"/>
          <w:szCs w:val="16"/>
          <w:lang w:val="es-MX"/>
        </w:rPr>
        <w:t>, 23 de agosto de 2016 [de aquí en adelante “Comunicado de Prensa Investigación de asesinatos cometidos por la policía”].</w:t>
      </w:r>
    </w:p>
  </w:footnote>
  <w:footnote w:id="16">
    <w:p w14:paraId="211A9341"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MX"/>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t xml:space="preserve">CIDH, Comunicado de Prensa No. </w:t>
      </w:r>
      <w:r w:rsidRPr="00930562">
        <w:rPr>
          <w:rFonts w:asciiTheme="minorHAnsi" w:hAnsiTheme="minorHAnsi" w:cstheme="minorHAnsi"/>
          <w:color w:val="808080" w:themeColor="background1" w:themeShade="80"/>
          <w:sz w:val="16"/>
          <w:szCs w:val="16"/>
          <w:shd w:val="clear" w:color="auto" w:fill="FFFFFF"/>
          <w:lang w:val="es-MX"/>
        </w:rPr>
        <w:t xml:space="preserve">124/17, </w:t>
      </w:r>
      <w:hyperlink r:id="rId14" w:history="1">
        <w:r w:rsidRPr="00930562">
          <w:rPr>
            <w:rStyle w:val="Hyperlink"/>
            <w:rFonts w:asciiTheme="minorHAnsi" w:hAnsiTheme="minorHAnsi" w:cstheme="minorHAnsi"/>
            <w:color w:val="808080" w:themeColor="background1" w:themeShade="80"/>
            <w:sz w:val="16"/>
            <w:szCs w:val="16"/>
            <w:lang w:val="es-MX"/>
          </w:rPr>
          <w:t>CIDH repudia el discurso de odio y violencia en Charlottesville, Virginia, Estados Unidos</w:t>
        </w:r>
      </w:hyperlink>
      <w:r w:rsidRPr="00930562">
        <w:rPr>
          <w:rFonts w:asciiTheme="minorHAnsi" w:hAnsiTheme="minorHAnsi" w:cstheme="minorHAnsi"/>
          <w:color w:val="808080" w:themeColor="background1" w:themeShade="80"/>
          <w:sz w:val="16"/>
          <w:szCs w:val="16"/>
          <w:shd w:val="clear" w:color="auto" w:fill="FFFFFF"/>
          <w:lang w:val="es-MX"/>
        </w:rPr>
        <w:t>, 18 de agosto de 2017 [</w:t>
      </w:r>
      <w:r w:rsidRPr="00930562">
        <w:rPr>
          <w:rFonts w:asciiTheme="minorHAnsi" w:hAnsiTheme="minorHAnsi" w:cstheme="minorHAnsi"/>
          <w:color w:val="808080" w:themeColor="background1" w:themeShade="80"/>
          <w:sz w:val="16"/>
          <w:szCs w:val="16"/>
          <w:lang w:val="es-MX"/>
        </w:rPr>
        <w:t xml:space="preserve">de aquí en adelante </w:t>
      </w:r>
      <w:r w:rsidRPr="00930562">
        <w:rPr>
          <w:rFonts w:asciiTheme="minorHAnsi" w:hAnsiTheme="minorHAnsi" w:cstheme="minorHAnsi"/>
          <w:color w:val="808080" w:themeColor="background1" w:themeShade="80"/>
          <w:sz w:val="16"/>
          <w:szCs w:val="16"/>
          <w:shd w:val="clear" w:color="auto" w:fill="FFFFFF"/>
          <w:lang w:val="es-MX"/>
        </w:rPr>
        <w:t>“Comunicado de Prensa Charlottesville”].</w:t>
      </w:r>
      <w:r w:rsidRPr="00930562">
        <w:rPr>
          <w:rFonts w:asciiTheme="minorHAnsi" w:hAnsiTheme="minorHAnsi" w:cstheme="majorHAnsi"/>
          <w:color w:val="808080" w:themeColor="background1" w:themeShade="80"/>
          <w:sz w:val="16"/>
          <w:szCs w:val="16"/>
          <w:shd w:val="clear" w:color="auto" w:fill="FFFFFF"/>
          <w:lang w:val="es-MX"/>
        </w:rPr>
        <w:t xml:space="preserve"> </w:t>
      </w:r>
    </w:p>
  </w:footnote>
  <w:footnote w:id="17">
    <w:p w14:paraId="138FD758" w14:textId="77777777" w:rsidR="00F64540" w:rsidRPr="00930562" w:rsidRDefault="00F64540" w:rsidP="00E10935">
      <w:pPr>
        <w:spacing w:after="40" w:line="240" w:lineRule="auto"/>
        <w:ind w:left="547" w:hanging="547"/>
        <w:jc w:val="both"/>
        <w:rPr>
          <w:rFonts w:asciiTheme="minorHAnsi" w:hAnsiTheme="minorHAnsi" w:cstheme="minorHAnsi"/>
          <w:color w:val="808080" w:themeColor="background1" w:themeShade="80"/>
          <w:sz w:val="16"/>
          <w:szCs w:val="16"/>
          <w:lang w:val="es-MX"/>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MX"/>
        </w:rPr>
        <w:t xml:space="preserve"> </w:t>
      </w:r>
      <w:r w:rsidRPr="00930562">
        <w:rPr>
          <w:rFonts w:asciiTheme="minorHAnsi" w:hAnsiTheme="minorHAnsi" w:cstheme="majorHAnsi"/>
          <w:color w:val="808080" w:themeColor="background1" w:themeShade="80"/>
          <w:sz w:val="16"/>
          <w:szCs w:val="16"/>
          <w:lang w:val="es-MX"/>
        </w:rPr>
        <w:tab/>
      </w:r>
      <w:r w:rsidRPr="00930562">
        <w:rPr>
          <w:rFonts w:asciiTheme="minorHAnsi" w:hAnsiTheme="minorHAnsi" w:cstheme="minorHAnsi"/>
          <w:i/>
          <w:color w:val="808080" w:themeColor="background1" w:themeShade="80"/>
          <w:sz w:val="16"/>
          <w:szCs w:val="16"/>
          <w:lang w:val="es-MX"/>
        </w:rPr>
        <w:t>Véase</w:t>
      </w:r>
      <w:r w:rsidRPr="00930562">
        <w:rPr>
          <w:rFonts w:asciiTheme="minorHAnsi" w:hAnsiTheme="minorHAnsi" w:cstheme="minorHAnsi"/>
          <w:color w:val="808080" w:themeColor="background1" w:themeShade="80"/>
          <w:sz w:val="16"/>
          <w:szCs w:val="16"/>
          <w:lang w:val="es-MX"/>
        </w:rPr>
        <w:t xml:space="preserve"> OEA, </w:t>
      </w:r>
      <w:hyperlink r:id="rId15" w:history="1">
        <w:r w:rsidRPr="00930562">
          <w:rPr>
            <w:rStyle w:val="Hyperlink"/>
            <w:rFonts w:asciiTheme="minorHAnsi" w:hAnsiTheme="minorHAnsi" w:cstheme="minorHAnsi"/>
            <w:i/>
            <w:color w:val="808080" w:themeColor="background1" w:themeShade="80"/>
            <w:sz w:val="16"/>
            <w:szCs w:val="16"/>
            <w:lang w:val="es-MX"/>
          </w:rPr>
          <w:t>Resolución Asamblea General 314,</w:t>
        </w:r>
      </w:hyperlink>
      <w:r w:rsidRPr="00930562">
        <w:rPr>
          <w:rFonts w:asciiTheme="minorHAnsi" w:hAnsiTheme="minorHAnsi" w:cstheme="minorHAnsi"/>
          <w:i/>
          <w:color w:val="808080" w:themeColor="background1" w:themeShade="80"/>
          <w:sz w:val="16"/>
          <w:szCs w:val="16"/>
          <w:lang w:val="es-MX"/>
        </w:rPr>
        <w:t xml:space="preserve"> AG/RES. 314 (VII-O/7</w:t>
      </w:r>
      <w:r w:rsidRPr="00930562">
        <w:rPr>
          <w:rFonts w:asciiTheme="minorHAnsi" w:hAnsiTheme="minorHAnsi" w:cstheme="minorHAnsi"/>
          <w:color w:val="808080" w:themeColor="background1" w:themeShade="80"/>
          <w:sz w:val="16"/>
          <w:szCs w:val="16"/>
          <w:lang w:val="es-MX"/>
        </w:rPr>
        <w:t>7), 22 de junio de 1977 (encomendar a la Comisión Interamericana la preparación de un estudio para "establecer sus obligaciones para cumplir con los compromisos asumidos en la Declaración Americana de los Derechos y Deberes del Hombre"); CIDH, Informe No. 80/11, Caso 12.626, Informe de Fondo</w:t>
      </w:r>
      <w:r w:rsidRPr="00930562">
        <w:rPr>
          <w:rFonts w:asciiTheme="minorHAnsi" w:hAnsiTheme="minorHAnsi" w:cstheme="minorHAnsi"/>
          <w:i/>
          <w:color w:val="808080" w:themeColor="background1" w:themeShade="80"/>
          <w:sz w:val="16"/>
          <w:szCs w:val="16"/>
          <w:lang w:val="es-MX"/>
        </w:rPr>
        <w:t>,</w:t>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i/>
          <w:color w:val="808080" w:themeColor="background1" w:themeShade="80"/>
          <w:sz w:val="16"/>
          <w:szCs w:val="16"/>
          <w:lang w:val="es-MX"/>
        </w:rPr>
        <w:t xml:space="preserve">Jessica Lenahan (Gonzales) et al. </w:t>
      </w:r>
      <w:r w:rsidRPr="00930562">
        <w:rPr>
          <w:rFonts w:asciiTheme="minorHAnsi" w:hAnsiTheme="minorHAnsi" w:cstheme="minorHAnsi"/>
          <w:color w:val="808080" w:themeColor="background1" w:themeShade="80"/>
          <w:sz w:val="16"/>
          <w:szCs w:val="16"/>
          <w:lang w:val="es-MX"/>
        </w:rPr>
        <w:t xml:space="preserve">(Estados Unidos), 21 de julio de 2011; CIDH, </w:t>
      </w:r>
      <w:hyperlink r:id="rId16" w:history="1">
        <w:r w:rsidRPr="00930562">
          <w:rPr>
            <w:rStyle w:val="Hyperlink"/>
            <w:rFonts w:asciiTheme="minorHAnsi" w:hAnsiTheme="minorHAnsi" w:cstheme="minorHAnsi"/>
            <w:i/>
            <w:color w:val="808080" w:themeColor="background1" w:themeShade="80"/>
            <w:sz w:val="16"/>
            <w:szCs w:val="16"/>
            <w:lang w:val="es-MX"/>
          </w:rPr>
          <w:t>Mujeres indígenas asesinadas y desaparecidas en British Columbia, Canadá</w:t>
        </w:r>
        <w:r w:rsidRPr="00930562">
          <w:rPr>
            <w:rStyle w:val="Hyperlink"/>
            <w:rFonts w:asciiTheme="minorHAnsi" w:hAnsiTheme="minorHAnsi" w:cstheme="minorHAnsi"/>
            <w:color w:val="808080" w:themeColor="background1" w:themeShade="80"/>
            <w:sz w:val="16"/>
            <w:szCs w:val="16"/>
            <w:lang w:val="es-MX"/>
          </w:rPr>
          <w:t>,</w:t>
        </w:r>
      </w:hyperlink>
      <w:r w:rsidRPr="00930562">
        <w:rPr>
          <w:rFonts w:asciiTheme="minorHAnsi" w:hAnsiTheme="minorHAnsi" w:cstheme="minorHAnsi"/>
          <w:color w:val="808080" w:themeColor="background1" w:themeShade="80"/>
          <w:sz w:val="16"/>
          <w:szCs w:val="16"/>
          <w:lang w:val="es-MX"/>
        </w:rPr>
        <w:t xml:space="preserve"> OEA/Ser. L/V/II. Doc. 30/14 (2014); OAS, </w:t>
      </w:r>
      <w:hyperlink r:id="rId17" w:history="1">
        <w:r w:rsidRPr="00930562">
          <w:rPr>
            <w:rStyle w:val="Hyperlink"/>
            <w:rFonts w:asciiTheme="minorHAnsi" w:hAnsiTheme="minorHAnsi" w:cstheme="minorHAnsi"/>
            <w:i/>
            <w:color w:val="808080" w:themeColor="background1" w:themeShade="80"/>
            <w:sz w:val="16"/>
            <w:szCs w:val="16"/>
            <w:lang w:val="es-MX"/>
          </w:rPr>
          <w:t>Resolución Asamblea General 371</w:t>
        </w:r>
      </w:hyperlink>
      <w:r w:rsidRPr="00930562">
        <w:rPr>
          <w:rFonts w:asciiTheme="minorHAnsi" w:hAnsiTheme="minorHAnsi" w:cstheme="minorHAnsi"/>
          <w:i/>
          <w:color w:val="808080" w:themeColor="background1" w:themeShade="80"/>
          <w:sz w:val="16"/>
          <w:szCs w:val="16"/>
          <w:lang w:val="es-MX"/>
        </w:rPr>
        <w:t>, AG/RES (VIII-O/78)</w:t>
      </w:r>
      <w:r w:rsidRPr="00930562">
        <w:rPr>
          <w:rFonts w:asciiTheme="minorHAnsi" w:hAnsiTheme="minorHAnsi" w:cstheme="minorHAnsi"/>
          <w:color w:val="808080" w:themeColor="background1" w:themeShade="80"/>
          <w:sz w:val="16"/>
          <w:szCs w:val="16"/>
          <w:lang w:val="es-MX"/>
        </w:rPr>
        <w:t xml:space="preserve">, 1 de julio de 1978. (reafirmando su compromiso de “promover la observancia de la Declaración Americana de los Derechos y Deberes del Hombre”); OEA, </w:t>
      </w:r>
      <w:hyperlink r:id="rId18" w:history="1">
        <w:r w:rsidRPr="00930562">
          <w:rPr>
            <w:rStyle w:val="Hyperlink"/>
            <w:rFonts w:asciiTheme="minorHAnsi" w:hAnsiTheme="minorHAnsi" w:cstheme="minorHAnsi"/>
            <w:i/>
            <w:color w:val="808080" w:themeColor="background1" w:themeShade="80"/>
            <w:sz w:val="16"/>
            <w:szCs w:val="16"/>
            <w:lang w:val="es-MX"/>
          </w:rPr>
          <w:t>Resolución Asamblea General 370</w:t>
        </w:r>
      </w:hyperlink>
      <w:r w:rsidRPr="00930562">
        <w:rPr>
          <w:rFonts w:asciiTheme="minorHAnsi" w:hAnsiTheme="minorHAnsi" w:cstheme="minorHAnsi"/>
          <w:i/>
          <w:color w:val="808080" w:themeColor="background1" w:themeShade="80"/>
          <w:sz w:val="16"/>
          <w:szCs w:val="16"/>
          <w:lang w:val="es-MX"/>
        </w:rPr>
        <w:t>, AG/RES. 370 (VIII-O/78)</w:t>
      </w:r>
      <w:r w:rsidRPr="00930562">
        <w:rPr>
          <w:rFonts w:asciiTheme="minorHAnsi" w:hAnsiTheme="minorHAnsi" w:cstheme="minorHAnsi"/>
          <w:color w:val="808080" w:themeColor="background1" w:themeShade="80"/>
          <w:sz w:val="16"/>
          <w:szCs w:val="16"/>
          <w:lang w:val="es-MX"/>
        </w:rPr>
        <w:t>, 1 de julio de 1978 (en referencia a los “compromisos internacionales” de los Estados Miembros de la OEA a respetar los derechos reconocidos en la Declaración Americana de los Derechos y Deberes del Hombre).</w:t>
      </w:r>
    </w:p>
  </w:footnote>
  <w:footnote w:id="18">
    <w:p w14:paraId="1044FD53"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MX"/>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r>
      <w:r w:rsidRPr="00930562">
        <w:rPr>
          <w:rFonts w:asciiTheme="minorHAnsi" w:hAnsiTheme="minorHAnsi" w:cstheme="minorHAnsi"/>
          <w:i/>
          <w:color w:val="808080" w:themeColor="background1" w:themeShade="80"/>
          <w:sz w:val="16"/>
          <w:szCs w:val="16"/>
          <w:lang w:val="es-MX"/>
        </w:rPr>
        <w:t>Véase</w:t>
      </w:r>
      <w:r w:rsidRPr="00930562">
        <w:rPr>
          <w:rFonts w:asciiTheme="minorHAnsi" w:hAnsiTheme="minorHAnsi" w:cstheme="minorHAnsi"/>
          <w:color w:val="808080" w:themeColor="background1" w:themeShade="80"/>
          <w:sz w:val="16"/>
          <w:szCs w:val="16"/>
          <w:lang w:val="es-MX"/>
        </w:rPr>
        <w:t xml:space="preserve"> I/A Corte H.R, </w:t>
      </w:r>
      <w:hyperlink r:id="rId19" w:history="1">
        <w:r w:rsidRPr="00930562">
          <w:rPr>
            <w:rStyle w:val="Hyperlink"/>
            <w:rFonts w:asciiTheme="minorHAnsi" w:hAnsiTheme="minorHAnsi" w:cstheme="minorHAnsi"/>
            <w:i/>
            <w:color w:val="808080" w:themeColor="background1" w:themeShade="80"/>
            <w:sz w:val="16"/>
            <w:szCs w:val="16"/>
            <w:lang w:val="es-MX"/>
          </w:rPr>
          <w:t>Interpretacón de la Declaración de los Derechos y Deberes del Hombre en el marco del Artículo 64 de la Convención Americana sobre Derechos Humanos</w:t>
        </w:r>
      </w:hyperlink>
      <w:r w:rsidRPr="00930562">
        <w:rPr>
          <w:rFonts w:asciiTheme="minorHAnsi" w:hAnsiTheme="minorHAnsi" w:cstheme="minorHAnsi"/>
          <w:i/>
          <w:color w:val="808080" w:themeColor="background1" w:themeShade="80"/>
          <w:sz w:val="16"/>
          <w:szCs w:val="16"/>
          <w:lang w:val="es-MX"/>
        </w:rPr>
        <w:t>,</w:t>
      </w:r>
      <w:r w:rsidRPr="00930562">
        <w:rPr>
          <w:rFonts w:asciiTheme="minorHAnsi" w:hAnsiTheme="minorHAnsi" w:cstheme="minorHAnsi"/>
          <w:color w:val="808080" w:themeColor="background1" w:themeShade="80"/>
          <w:sz w:val="16"/>
          <w:szCs w:val="16"/>
          <w:lang w:val="es-MX"/>
        </w:rPr>
        <w:t xml:space="preserve"> Opinión Consultiva, OC-10/89, Ser. A No.10 14 de Julio de 1989, párrs. 35-45; CIDH, Res. 3/87, Caso 9647,</w:t>
      </w:r>
      <w:hyperlink r:id="rId20" w:history="1">
        <w:r w:rsidRPr="00930562">
          <w:rPr>
            <w:rStyle w:val="Hyperlink"/>
            <w:rFonts w:asciiTheme="minorHAnsi" w:hAnsiTheme="minorHAnsi" w:cstheme="minorHAnsi"/>
            <w:i/>
            <w:color w:val="808080" w:themeColor="background1" w:themeShade="80"/>
            <w:sz w:val="16"/>
            <w:szCs w:val="16"/>
            <w:lang w:val="es-MX"/>
          </w:rPr>
          <w:t xml:space="preserve"> James Terry Roach and Jay Pinkerton v.</w:t>
        </w:r>
      </w:hyperlink>
      <w:r w:rsidRPr="00930562">
        <w:rPr>
          <w:rFonts w:asciiTheme="minorHAnsi" w:hAnsiTheme="minorHAnsi" w:cstheme="minorHAnsi"/>
          <w: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 xml:space="preserve">(United States), 22 de septiembre de 1998; CIDH, </w:t>
      </w:r>
      <w:hyperlink r:id="rId21" w:history="1">
        <w:r w:rsidRPr="00930562">
          <w:rPr>
            <w:rStyle w:val="Hyperlink"/>
            <w:rFonts w:asciiTheme="minorHAnsi" w:hAnsiTheme="minorHAnsi" w:cstheme="minorHAnsi"/>
            <w:i/>
            <w:color w:val="808080" w:themeColor="background1" w:themeShade="80"/>
            <w:sz w:val="16"/>
            <w:szCs w:val="16"/>
            <w:lang w:val="es-MX"/>
          </w:rPr>
          <w:t>Informe Anual 1986-87</w:t>
        </w:r>
      </w:hyperlink>
      <w:r w:rsidRPr="00930562">
        <w:rPr>
          <w:rFonts w:asciiTheme="minorHAnsi" w:hAnsiTheme="minorHAnsi" w:cstheme="minorHAnsi"/>
          <w:color w:val="808080" w:themeColor="background1" w:themeShade="80"/>
          <w:sz w:val="16"/>
          <w:szCs w:val="16"/>
          <w:lang w:val="es-MX"/>
        </w:rPr>
        <w:t>, OEA/Ser.L/V/II.71 Doc.9 rev.1, 22 de septiembre de 1987, párrs. 46-49; CIDH, Informe No. 80/11, Caso 12.626, Informe de Fondo,</w:t>
      </w:r>
      <w:r w:rsidRPr="00930562">
        <w:rPr>
          <w:rFonts w:asciiTheme="minorHAnsi" w:hAnsiTheme="minorHAnsi" w:cstheme="minorHAnsi"/>
          <w:i/>
          <w:color w:val="808080" w:themeColor="background1" w:themeShade="80"/>
          <w:sz w:val="16"/>
          <w:szCs w:val="16"/>
          <w:lang w:val="es-MX"/>
        </w:rPr>
        <w:t xml:space="preserve"> Jessica Lenahan (Gonzales) et al. </w:t>
      </w:r>
      <w:r w:rsidRPr="00930562">
        <w:rPr>
          <w:rFonts w:asciiTheme="minorHAnsi" w:hAnsiTheme="minorHAnsi" w:cstheme="minorHAnsi"/>
          <w:color w:val="808080" w:themeColor="background1" w:themeShade="80"/>
          <w:sz w:val="16"/>
          <w:szCs w:val="16"/>
          <w:lang w:val="es-MX"/>
        </w:rPr>
        <w:t xml:space="preserve">(Estados Unidos), 21 de Julio de 2011; Informe No. 21/16 Petición 419-08, </w:t>
      </w:r>
      <w:hyperlink r:id="rId22" w:history="1">
        <w:r w:rsidRPr="00930562">
          <w:rPr>
            <w:rStyle w:val="Hyperlink"/>
            <w:rFonts w:asciiTheme="minorHAnsi" w:hAnsiTheme="minorHAnsi" w:cstheme="minorHAnsi"/>
            <w:i/>
            <w:color w:val="808080" w:themeColor="background1" w:themeShade="80"/>
            <w:sz w:val="16"/>
            <w:szCs w:val="16"/>
            <w:lang w:val="es-MX"/>
          </w:rPr>
          <w:t>Khaled El-Masri</w:t>
        </w:r>
      </w:hyperlink>
      <w:r w:rsidRPr="00930562">
        <w:rPr>
          <w:rFonts w:asciiTheme="minorHAnsi" w:hAnsiTheme="minorHAnsi" w:cstheme="minorHAnsi"/>
          <w: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 xml:space="preserve">(Estados Unidos), 15 de abril de 2016; Informe No. 17/17 Petición P-1105-06, </w:t>
      </w:r>
      <w:hyperlink r:id="rId23" w:history="1">
        <w:r w:rsidRPr="00930562">
          <w:rPr>
            <w:rStyle w:val="Hyperlink"/>
            <w:rFonts w:asciiTheme="minorHAnsi" w:hAnsiTheme="minorHAnsi" w:cstheme="minorHAnsi"/>
            <w:i/>
            <w:color w:val="808080" w:themeColor="background1" w:themeShade="80"/>
            <w:sz w:val="16"/>
            <w:szCs w:val="16"/>
            <w:lang w:val="es-MX"/>
          </w:rPr>
          <w:t>Pedro Rosello et al</w:t>
        </w:r>
      </w:hyperlink>
      <w:r w:rsidRPr="00930562">
        <w:rPr>
          <w:rFonts w:asciiTheme="minorHAnsi" w:hAnsiTheme="minorHAnsi" w:cstheme="minorHAnsi"/>
          <w:color w:val="808080" w:themeColor="background1" w:themeShade="80"/>
          <w:sz w:val="16"/>
          <w:szCs w:val="16"/>
          <w:lang w:val="es-MX"/>
        </w:rPr>
        <w:t xml:space="preserve">. (Estados Unidos), 27 de enero de 2017; Informe No. 24/15 Petición 1752-09, </w:t>
      </w:r>
      <w:hyperlink r:id="rId24" w:history="1">
        <w:r w:rsidRPr="00930562">
          <w:rPr>
            <w:rStyle w:val="Hyperlink"/>
            <w:rFonts w:asciiTheme="minorHAnsi" w:hAnsiTheme="minorHAnsi" w:cstheme="minorHAnsi"/>
            <w:i/>
            <w:color w:val="808080" w:themeColor="background1" w:themeShade="80"/>
            <w:sz w:val="16"/>
            <w:szCs w:val="16"/>
            <w:lang w:val="es-MX"/>
          </w:rPr>
          <w:t>Bernardo Aban Tercero</w:t>
        </w:r>
      </w:hyperlink>
      <w:r w:rsidRPr="00930562">
        <w:rPr>
          <w:rFonts w:asciiTheme="minorHAnsi" w:hAnsiTheme="minorHAnsi" w:cstheme="minorHAnsi"/>
          <w:color w:val="808080" w:themeColor="background1" w:themeShade="80"/>
          <w:sz w:val="16"/>
          <w:szCs w:val="16"/>
          <w:lang w:val="es-MX"/>
        </w:rPr>
        <w:t xml:space="preserve"> (Estados Unidos), 24 de junio de 2015; OEA,</w:t>
      </w:r>
      <w:r w:rsidRPr="00930562">
        <w:rPr>
          <w:rFonts w:asciiTheme="minorHAnsi" w:hAnsiTheme="minorHAnsi" w:cstheme="minorHAnsi"/>
          <w:i/>
          <w:color w:val="808080" w:themeColor="background1" w:themeShade="80"/>
          <w:sz w:val="16"/>
          <w:szCs w:val="16"/>
          <w:lang w:val="es-MX"/>
        </w:rPr>
        <w:t xml:space="preserve"> </w:t>
      </w:r>
      <w:hyperlink r:id="rId25" w:history="1">
        <w:r w:rsidRPr="00930562">
          <w:rPr>
            <w:rStyle w:val="Hyperlink"/>
            <w:rFonts w:asciiTheme="minorHAnsi" w:hAnsiTheme="minorHAnsi" w:cstheme="minorHAnsi"/>
            <w:i/>
            <w:color w:val="808080" w:themeColor="background1" w:themeShade="80"/>
            <w:sz w:val="16"/>
            <w:szCs w:val="16"/>
            <w:lang w:val="es-MX"/>
          </w:rPr>
          <w:t>Declaración Americana de los Derechos y Deberes del Hombre</w:t>
        </w:r>
      </w:hyperlink>
      <w:r w:rsidRPr="00930562">
        <w:rPr>
          <w:rFonts w:asciiTheme="minorHAnsi" w:hAnsiTheme="minorHAnsi" w:cstheme="minorHAnsi"/>
          <w:color w:val="808080" w:themeColor="background1" w:themeShade="80"/>
          <w:sz w:val="16"/>
          <w:szCs w:val="16"/>
          <w:lang w:val="es-MX"/>
        </w:rPr>
        <w:t>, adoptada en la Novena Conferencia Internacional de Estados Americanos en Bogotá, Colombia, 1948.</w:t>
      </w:r>
    </w:p>
  </w:footnote>
  <w:footnote w:id="19">
    <w:p w14:paraId="41B70F07"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MX"/>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t xml:space="preserve">OEA, </w:t>
      </w:r>
      <w:hyperlink r:id="rId26" w:history="1">
        <w:r w:rsidRPr="00930562">
          <w:rPr>
            <w:rStyle w:val="Hyperlink"/>
            <w:rFonts w:asciiTheme="minorHAnsi" w:hAnsiTheme="minorHAnsi" w:cstheme="minorHAnsi"/>
            <w:i/>
            <w:color w:val="808080" w:themeColor="background1" w:themeShade="80"/>
            <w:sz w:val="16"/>
            <w:szCs w:val="16"/>
            <w:lang w:val="es-MX"/>
          </w:rPr>
          <w:t>Carta de la Organización de los Estados Americanos,</w:t>
        </w:r>
      </w:hyperlink>
      <w:r w:rsidRPr="00930562">
        <w:rPr>
          <w:rFonts w:asciiTheme="minorHAnsi" w:hAnsiTheme="minorHAnsi" w:cstheme="minorHAnsi"/>
          <w: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 xml:space="preserve">reformada por el “Protocolo  de Buenos Aires”, 27 de febrero de 1967, el “Protocolo de Cartagena de Indias”, 5 de diciembre de 1985, el “Protocolo de Washington”, 14 de diciembre de 1992, el “Protocolo de Managua”, 10 de junio de 1993, Arts. 53 (definiendo el status de la CIDH en el marco de la OEA) y 106 (estableciendo el mandato de la CIDH). A la fecha, Estados Unidos no ha ratificado la Convención Americana y no ha aceptado la jurisdicción de la Corte Inter-Americana de Derechos Humanos. </w:t>
      </w:r>
    </w:p>
  </w:footnote>
  <w:footnote w:id="20">
    <w:p w14:paraId="54F1D932" w14:textId="6BD19C72"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MX"/>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t xml:space="preserve">Véase, por ejemplo, </w:t>
      </w:r>
      <w:hyperlink r:id="rId27" w:history="1">
        <w:r w:rsidRPr="00930562">
          <w:rPr>
            <w:rStyle w:val="Hyperlink"/>
            <w:rFonts w:asciiTheme="minorHAnsi" w:hAnsiTheme="minorHAnsi" w:cstheme="minorHAnsi"/>
            <w:color w:val="808080" w:themeColor="background1" w:themeShade="80"/>
            <w:sz w:val="16"/>
            <w:szCs w:val="16"/>
            <w:lang w:val="es-MX"/>
          </w:rPr>
          <w:t>Hacia el Cierre de Guantánamo,</w:t>
        </w:r>
      </w:hyperlink>
      <w:r w:rsidRPr="00930562">
        <w:rPr>
          <w:rFonts w:asciiTheme="minorHAnsi" w:hAnsiTheme="minorHAnsi" w:cstheme="minorHAnsi"/>
          <w:color w:val="808080" w:themeColor="background1" w:themeShade="80"/>
          <w:sz w:val="16"/>
          <w:szCs w:val="16"/>
          <w:lang w:val="es-MX"/>
        </w:rPr>
        <w:t xml:space="preserve"> OEA/Ser. L/V/II., Doc. 20/15 (2015); CIDH, </w:t>
      </w:r>
      <w:hyperlink r:id="rId28" w:history="1">
        <w:r w:rsidRPr="00930562">
          <w:rPr>
            <w:rStyle w:val="Hyperlink"/>
            <w:rFonts w:asciiTheme="minorHAnsi" w:hAnsiTheme="minorHAnsi" w:cstheme="minorHAnsi"/>
            <w:color w:val="808080" w:themeColor="background1" w:themeShade="80"/>
            <w:sz w:val="16"/>
            <w:szCs w:val="16"/>
            <w:lang w:val="es-MX"/>
          </w:rPr>
          <w:t>Refugiados y Migrantes en Estados Unidos: Familias y Niños No Acompañados,</w:t>
        </w:r>
      </w:hyperlink>
      <w:r w:rsidRPr="00930562">
        <w:rPr>
          <w:rFonts w:asciiTheme="minorHAnsi" w:hAnsiTheme="minorHAnsi" w:cstheme="minorHAnsi"/>
          <w:color w:val="808080" w:themeColor="background1" w:themeShade="80"/>
          <w:sz w:val="16"/>
          <w:szCs w:val="16"/>
          <w:lang w:val="es-MX"/>
        </w:rPr>
        <w:t xml:space="preserve"> OEA/Ser. </w:t>
      </w:r>
      <w:proofErr w:type="gramStart"/>
      <w:r w:rsidRPr="00930562">
        <w:rPr>
          <w:rFonts w:asciiTheme="minorHAnsi" w:hAnsiTheme="minorHAnsi" w:cstheme="minorHAnsi"/>
          <w:color w:val="808080" w:themeColor="background1" w:themeShade="80"/>
          <w:sz w:val="16"/>
          <w:szCs w:val="16"/>
          <w:lang w:val="es-MX"/>
        </w:rPr>
        <w:t>L./</w:t>
      </w:r>
      <w:proofErr w:type="gramEnd"/>
      <w:r w:rsidRPr="00930562">
        <w:rPr>
          <w:rFonts w:asciiTheme="minorHAnsi" w:hAnsiTheme="minorHAnsi" w:cstheme="minorHAnsi"/>
          <w:color w:val="808080" w:themeColor="background1" w:themeShade="80"/>
          <w:sz w:val="16"/>
          <w:szCs w:val="16"/>
          <w:lang w:val="es-MX"/>
        </w:rPr>
        <w:t xml:space="preserve">V/II. 155, Doc. 16 (2015); CIDH, </w:t>
      </w:r>
      <w:hyperlink r:id="rId29" w:history="1">
        <w:r w:rsidRPr="00930562">
          <w:rPr>
            <w:rStyle w:val="Hyperlink"/>
            <w:rFonts w:asciiTheme="minorHAnsi" w:hAnsiTheme="minorHAnsi" w:cstheme="minorHAnsi"/>
            <w:color w:val="808080" w:themeColor="background1" w:themeShade="80"/>
            <w:sz w:val="16"/>
            <w:szCs w:val="16"/>
            <w:lang w:val="es-MX"/>
          </w:rPr>
          <w:t>Informe sobre Inmigración en Estados Unidos: Detenciones y Debido Proceso</w:t>
        </w:r>
      </w:hyperlink>
      <w:r w:rsidRPr="00930562">
        <w:rPr>
          <w:rFonts w:asciiTheme="minorHAnsi" w:hAnsiTheme="minorHAnsi" w:cstheme="minorHAnsi"/>
          <w:color w:val="808080" w:themeColor="background1" w:themeShade="80"/>
          <w:sz w:val="16"/>
          <w:szCs w:val="16"/>
          <w:lang w:val="es-MX"/>
        </w:rPr>
        <w:t>, OEA/Ser.L/V/II. Doc. 78/10 (2010).</w:t>
      </w:r>
    </w:p>
  </w:footnote>
  <w:footnote w:id="21">
    <w:p w14:paraId="6CCC90C8"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MX"/>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t xml:space="preserve">CIDH, </w:t>
      </w:r>
      <w:hyperlink r:id="rId30" w:history="1">
        <w:r w:rsidRPr="00930562">
          <w:rPr>
            <w:rStyle w:val="Hyperlink"/>
            <w:rFonts w:asciiTheme="minorHAnsi" w:hAnsiTheme="minorHAnsi" w:cstheme="minorHAnsi"/>
            <w:color w:val="808080" w:themeColor="background1" w:themeShade="80"/>
            <w:sz w:val="16"/>
            <w:szCs w:val="16"/>
            <w:lang w:val="es-MX"/>
          </w:rPr>
          <w:t>Consideraciones relacionadas con la ratificación universal de la Convención Americana y otros tratados de derechos humanos interamericanos</w:t>
        </w:r>
      </w:hyperlink>
      <w:r w:rsidRPr="00930562">
        <w:rPr>
          <w:rFonts w:asciiTheme="minorHAnsi" w:hAnsiTheme="minorHAnsi" w:cstheme="minorHAnsi"/>
          <w:i/>
          <w:color w:val="808080" w:themeColor="background1" w:themeShade="80"/>
          <w:sz w:val="16"/>
          <w:szCs w:val="16"/>
          <w:lang w:val="es-MX"/>
        </w:rPr>
        <w:t>,</w:t>
      </w:r>
      <w:r w:rsidRPr="00930562">
        <w:rPr>
          <w:rFonts w:asciiTheme="minorHAnsi" w:hAnsiTheme="minorHAnsi" w:cstheme="minorHAnsi"/>
          <w:color w:val="808080" w:themeColor="background1" w:themeShade="80"/>
          <w:sz w:val="16"/>
          <w:szCs w:val="16"/>
          <w:lang w:val="es-MX"/>
        </w:rPr>
        <w:t xml:space="preserve"> OEA/Ser.L/V/II.152 Doc. 21 (2015)</w:t>
      </w:r>
      <w:r w:rsidRPr="00930562">
        <w:rPr>
          <w:rFonts w:asciiTheme="minorHAnsi" w:eastAsia="MS Mincho" w:hAnsiTheme="minorHAnsi" w:cstheme="minorHAnsi"/>
          <w:bCs/>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 xml:space="preserve">CIDH, Comunicado de Prensa No. 117/16, </w:t>
      </w:r>
      <w:hyperlink r:id="rId31" w:history="1">
        <w:r w:rsidRPr="00930562">
          <w:rPr>
            <w:rStyle w:val="Hyperlink"/>
            <w:rFonts w:asciiTheme="minorHAnsi" w:hAnsiTheme="minorHAnsi" w:cstheme="minorHAnsi"/>
            <w:color w:val="808080" w:themeColor="background1" w:themeShade="80"/>
            <w:sz w:val="16"/>
            <w:szCs w:val="16"/>
            <w:lang w:val="es-MX"/>
          </w:rPr>
          <w:t>CIDH celebra la ratificación de la Convención Interamericana contra el Racismo, la Discriminación Racial y Formas Conexas de Intolerancia por parte de Costa Rica</w:t>
        </w:r>
      </w:hyperlink>
      <w:r w:rsidRPr="00930562">
        <w:rPr>
          <w:rFonts w:asciiTheme="minorHAnsi" w:hAnsiTheme="minorHAnsi" w:cstheme="minorHAnsi"/>
          <w:color w:val="808080" w:themeColor="background1" w:themeShade="80"/>
          <w:sz w:val="16"/>
          <w:szCs w:val="16"/>
          <w:lang w:val="es-MX"/>
        </w:rPr>
        <w:t xml:space="preserve">, 18 de agosto de 2016; Comunicado de Prensa No. 81/16, </w:t>
      </w:r>
      <w:hyperlink r:id="rId32" w:history="1">
        <w:r w:rsidRPr="00930562">
          <w:rPr>
            <w:rStyle w:val="Hyperlink"/>
            <w:rFonts w:asciiTheme="minorHAnsi" w:hAnsiTheme="minorHAnsi" w:cstheme="minorHAnsi"/>
            <w:color w:val="808080" w:themeColor="background1" w:themeShade="80"/>
            <w:sz w:val="16"/>
            <w:szCs w:val="16"/>
            <w:lang w:val="es-MX"/>
          </w:rPr>
          <w:t>CIDH celebra aprobación de la Declaración Americana sobre los Derechos de los Pueblos Indígenas</w:t>
        </w:r>
      </w:hyperlink>
      <w:r w:rsidRPr="00930562">
        <w:rPr>
          <w:rFonts w:asciiTheme="minorHAnsi" w:hAnsiTheme="minorHAnsi" w:cstheme="minorHAnsi"/>
          <w:color w:val="808080" w:themeColor="background1" w:themeShade="80"/>
          <w:sz w:val="16"/>
          <w:szCs w:val="16"/>
          <w:lang w:val="es-MX"/>
        </w:rPr>
        <w:t xml:space="preserve">, 22 de junio de 2016; Comunicado de Prensa No. 187/16, </w:t>
      </w:r>
      <w:hyperlink r:id="rId33" w:history="1">
        <w:r w:rsidRPr="00930562">
          <w:rPr>
            <w:rStyle w:val="Hyperlink"/>
            <w:rFonts w:asciiTheme="minorHAnsi" w:hAnsiTheme="minorHAnsi" w:cstheme="minorHAnsi"/>
            <w:color w:val="808080" w:themeColor="background1" w:themeShade="80"/>
            <w:sz w:val="16"/>
            <w:szCs w:val="16"/>
            <w:lang w:val="es-MX"/>
          </w:rPr>
          <w:t>CIDH celebra la entrada en vigor de la Convención Interamericana sobre los Derechos de las Personas Mayores</w:t>
        </w:r>
      </w:hyperlink>
      <w:r w:rsidRPr="00930562">
        <w:rPr>
          <w:rFonts w:asciiTheme="minorHAnsi" w:hAnsiTheme="minorHAnsi" w:cstheme="minorHAnsi"/>
          <w:color w:val="808080" w:themeColor="background1" w:themeShade="80"/>
          <w:sz w:val="16"/>
          <w:szCs w:val="16"/>
          <w:lang w:val="es-MX"/>
        </w:rPr>
        <w:t xml:space="preserve">, 16 de diciembre, 2016; Comunicado de Prensa No. 117/12, </w:t>
      </w:r>
      <w:hyperlink r:id="rId34" w:history="1">
        <w:r w:rsidRPr="00930562">
          <w:rPr>
            <w:rStyle w:val="Hyperlink"/>
            <w:rFonts w:asciiTheme="minorHAnsi" w:hAnsiTheme="minorHAnsi" w:cstheme="minorHAnsi"/>
            <w:color w:val="808080" w:themeColor="background1" w:themeShade="80"/>
            <w:sz w:val="16"/>
            <w:szCs w:val="16"/>
            <w:lang w:val="es-MX"/>
          </w:rPr>
          <w:t>CIDH lamenta decisión de Venezuela de denunciar Convención Americana sobre Derechos Humanos</w:t>
        </w:r>
      </w:hyperlink>
      <w:r w:rsidRPr="00930562">
        <w:rPr>
          <w:rFonts w:asciiTheme="minorHAnsi" w:hAnsiTheme="minorHAnsi" w:cstheme="minorHAnsi"/>
          <w:color w:val="808080" w:themeColor="background1" w:themeShade="80"/>
          <w:sz w:val="16"/>
          <w:szCs w:val="16"/>
          <w:lang w:val="es-MX"/>
        </w:rPr>
        <w:t xml:space="preserve">, 12 de septiembre de 2012. </w:t>
      </w:r>
    </w:p>
  </w:footnote>
  <w:footnote w:id="22">
    <w:p w14:paraId="7EDB493B"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MX"/>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MX"/>
        </w:rPr>
        <w:t xml:space="preserve"> </w:t>
      </w:r>
      <w:r w:rsidRPr="00930562">
        <w:rPr>
          <w:rFonts w:asciiTheme="minorHAnsi" w:hAnsiTheme="minorHAnsi" w:cstheme="majorHAnsi"/>
          <w:color w:val="808080" w:themeColor="background1" w:themeShade="80"/>
          <w:sz w:val="16"/>
          <w:szCs w:val="16"/>
          <w:lang w:val="es-MX"/>
        </w:rPr>
        <w:tab/>
      </w:r>
      <w:r w:rsidRPr="00930562">
        <w:rPr>
          <w:rFonts w:asciiTheme="minorHAnsi" w:hAnsiTheme="minorHAnsi" w:cstheme="minorHAnsi"/>
          <w:color w:val="808080" w:themeColor="background1" w:themeShade="80"/>
          <w:sz w:val="16"/>
          <w:szCs w:val="16"/>
          <w:lang w:val="es-MX"/>
        </w:rPr>
        <w:t xml:space="preserve">CIDH, Comunicado de Prensa No. 31/15, </w:t>
      </w:r>
      <w:hyperlink r:id="rId35" w:history="1">
        <w:r w:rsidRPr="00930562">
          <w:rPr>
            <w:rStyle w:val="Hyperlink"/>
            <w:rFonts w:asciiTheme="minorHAnsi" w:hAnsiTheme="minorHAnsi" w:cstheme="minorHAnsi"/>
            <w:color w:val="808080" w:themeColor="background1" w:themeShade="80"/>
            <w:sz w:val="16"/>
            <w:szCs w:val="16"/>
            <w:lang w:val="es-MX"/>
          </w:rPr>
          <w:t>La CIDH llama a los Estados de la OEA a erradicar la discriminación racial en América</w:t>
        </w:r>
      </w:hyperlink>
      <w:r w:rsidRPr="00930562">
        <w:rPr>
          <w:rFonts w:asciiTheme="minorHAnsi" w:hAnsiTheme="minorHAnsi" w:cstheme="minorHAnsi"/>
          <w:color w:val="808080" w:themeColor="background1" w:themeShade="80"/>
          <w:sz w:val="16"/>
          <w:szCs w:val="16"/>
          <w:lang w:val="es-MX"/>
        </w:rPr>
        <w:t>, 20 de marzo de 2015.</w:t>
      </w:r>
    </w:p>
  </w:footnote>
  <w:footnote w:id="23">
    <w:p w14:paraId="3D9550F3"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MX"/>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r>
      <w:r w:rsidRPr="00930562">
        <w:rPr>
          <w:rFonts w:asciiTheme="minorHAnsi" w:hAnsiTheme="minorHAnsi" w:cstheme="minorHAnsi"/>
          <w:i/>
          <w:color w:val="808080" w:themeColor="background1" w:themeShade="80"/>
          <w:sz w:val="16"/>
          <w:szCs w:val="16"/>
          <w:lang w:val="es-MX"/>
        </w:rPr>
        <w:t>Véase</w:t>
      </w:r>
      <w:r w:rsidRPr="00930562">
        <w:rPr>
          <w:rFonts w:asciiTheme="minorHAnsi" w:hAnsiTheme="minorHAnsi" w:cstheme="minorHAnsi"/>
          <w:color w:val="808080" w:themeColor="background1" w:themeShade="80"/>
          <w:sz w:val="16"/>
          <w:szCs w:val="16"/>
          <w:lang w:val="es-MX"/>
        </w:rPr>
        <w:t xml:space="preserve">, CIDH, Informe No. 40/04, Caso 12.053, Informe de Fondo, </w:t>
      </w:r>
      <w:hyperlink r:id="rId36" w:history="1">
        <w:r w:rsidRPr="00930562">
          <w:rPr>
            <w:rStyle w:val="Hyperlink"/>
            <w:rFonts w:asciiTheme="minorHAnsi" w:hAnsiTheme="minorHAnsi" w:cstheme="minorHAnsi"/>
            <w:i/>
            <w:color w:val="808080" w:themeColor="background1" w:themeShade="80"/>
            <w:sz w:val="16"/>
            <w:szCs w:val="16"/>
            <w:lang w:val="es-MX"/>
          </w:rPr>
          <w:t>Comunidades Indígenas Mayas</w:t>
        </w:r>
      </w:hyperlink>
      <w:r w:rsidRPr="00930562">
        <w:rPr>
          <w:rFonts w:asciiTheme="minorHAnsi" w:hAnsiTheme="minorHAnsi" w:cstheme="minorHAnsi"/>
          <w:color w:val="808080" w:themeColor="background1" w:themeShade="80"/>
          <w:sz w:val="16"/>
          <w:szCs w:val="16"/>
          <w:lang w:val="es-MX"/>
        </w:rPr>
        <w:t xml:space="preserve"> (Belize), 12 de octubre de 12, 2004, para. 162 [de aquí en adelante “Informe 40/04, </w:t>
      </w:r>
      <w:hyperlink r:id="rId37" w:history="1">
        <w:r w:rsidRPr="00930562">
          <w:rPr>
            <w:rStyle w:val="Hyperlink"/>
            <w:rFonts w:asciiTheme="minorHAnsi" w:hAnsiTheme="minorHAnsi" w:cstheme="minorHAnsi"/>
            <w:i/>
            <w:color w:val="808080" w:themeColor="background1" w:themeShade="80"/>
            <w:sz w:val="16"/>
            <w:szCs w:val="16"/>
            <w:lang w:val="es-MX"/>
          </w:rPr>
          <w:t>Comunidades Indígenas Mayas</w:t>
        </w:r>
      </w:hyperlink>
      <w:r w:rsidRPr="00930562">
        <w:rPr>
          <w:rFonts w:asciiTheme="minorHAnsi" w:hAnsiTheme="minorHAnsi" w:cstheme="minorHAnsi"/>
          <w:color w:val="808080" w:themeColor="background1" w:themeShade="80"/>
          <w:sz w:val="16"/>
          <w:szCs w:val="16"/>
          <w:lang w:val="es-MX"/>
        </w:rPr>
        <w:t xml:space="preserve"> (2004)”]; Informe No. 67/06, Caso 12.476, Informe de fondo, </w:t>
      </w:r>
      <w:hyperlink r:id="rId38" w:history="1">
        <w:r w:rsidRPr="00930562">
          <w:rPr>
            <w:rStyle w:val="Hyperlink"/>
            <w:rFonts w:asciiTheme="minorHAnsi" w:hAnsiTheme="minorHAnsi" w:cstheme="minorHAnsi"/>
            <w:i/>
            <w:color w:val="808080" w:themeColor="background1" w:themeShade="80"/>
            <w:sz w:val="16"/>
            <w:szCs w:val="16"/>
            <w:lang w:val="es-MX"/>
          </w:rPr>
          <w:t>Oscar Elías Bicet et al.</w:t>
        </w:r>
      </w:hyperlink>
      <w:r w:rsidRPr="00930562">
        <w:rPr>
          <w:rFonts w:asciiTheme="minorHAnsi" w:hAnsiTheme="minorHAnsi" w:cstheme="minorHAnsi"/>
          <w:color w:val="808080" w:themeColor="background1" w:themeShade="80"/>
          <w:sz w:val="16"/>
          <w:szCs w:val="16"/>
          <w:lang w:val="es-MX"/>
        </w:rPr>
        <w:t xml:space="preserve"> (Cuba), 21 de octubre de 2006, párrs. 227-231 [de aquí en adelante “Informe No. 67/06, </w:t>
      </w:r>
      <w:hyperlink r:id="rId39" w:history="1">
        <w:r w:rsidRPr="00930562">
          <w:rPr>
            <w:rStyle w:val="Hyperlink"/>
            <w:rFonts w:asciiTheme="minorHAnsi" w:hAnsiTheme="minorHAnsi" w:cstheme="minorHAnsi"/>
            <w:i/>
            <w:color w:val="808080" w:themeColor="background1" w:themeShade="80"/>
            <w:sz w:val="16"/>
            <w:szCs w:val="16"/>
            <w:lang w:val="es-MX"/>
          </w:rPr>
          <w:t>Oscar Elías Bicet et al.</w:t>
        </w:r>
      </w:hyperlink>
      <w:r w:rsidRPr="00930562">
        <w:rPr>
          <w:rFonts w:asciiTheme="minorHAnsi" w:hAnsiTheme="minorHAnsi" w:cstheme="minorHAnsi"/>
          <w:color w:val="808080" w:themeColor="background1" w:themeShade="80"/>
          <w:sz w:val="16"/>
          <w:szCs w:val="16"/>
          <w:lang w:val="es-MX"/>
        </w:rPr>
        <w:t xml:space="preserve"> (2006)”].</w:t>
      </w:r>
    </w:p>
  </w:footnote>
  <w:footnote w:id="24">
    <w:p w14:paraId="244F3F23" w14:textId="77777777" w:rsidR="00F64540" w:rsidRPr="00930562" w:rsidRDefault="00F64540" w:rsidP="00E10935">
      <w:pPr>
        <w:spacing w:after="40" w:line="240" w:lineRule="auto"/>
        <w:ind w:left="547" w:hanging="547"/>
        <w:jc w:val="both"/>
        <w:rPr>
          <w:rFonts w:asciiTheme="minorHAnsi" w:hAnsiTheme="minorHAnsi" w:cstheme="minorHAnsi"/>
          <w:color w:val="808080" w:themeColor="background1" w:themeShade="80"/>
          <w:sz w:val="16"/>
          <w:szCs w:val="16"/>
          <w:lang w:val="es-MX"/>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r>
      <w:r w:rsidRPr="00930562">
        <w:rPr>
          <w:rFonts w:asciiTheme="minorHAnsi" w:hAnsiTheme="minorHAnsi" w:cstheme="minorHAnsi"/>
          <w:i/>
          <w:color w:val="808080" w:themeColor="background1" w:themeShade="80"/>
          <w:sz w:val="16"/>
          <w:szCs w:val="16"/>
          <w:lang w:val="es-MX"/>
        </w:rPr>
        <w:t>Véase,</w:t>
      </w:r>
      <w:r w:rsidRPr="00930562">
        <w:rPr>
          <w:rFonts w:asciiTheme="minorHAnsi" w:hAnsiTheme="minorHAnsi" w:cstheme="minorHAnsi"/>
          <w:color w:val="808080" w:themeColor="background1" w:themeShade="80"/>
          <w:sz w:val="16"/>
          <w:szCs w:val="16"/>
          <w:lang w:val="es-MX"/>
        </w:rPr>
        <w:t xml:space="preserve"> CIDH, Informe No. 63/08, Caso 12.534, Admisibilidad y Méritos, </w:t>
      </w:r>
      <w:hyperlink r:id="rId40" w:history="1">
        <w:r w:rsidRPr="00930562">
          <w:rPr>
            <w:rStyle w:val="Hyperlink"/>
            <w:rFonts w:asciiTheme="minorHAnsi" w:hAnsiTheme="minorHAnsi" w:cstheme="minorHAnsi"/>
            <w:i/>
            <w:color w:val="808080" w:themeColor="background1" w:themeShade="80"/>
            <w:sz w:val="16"/>
            <w:szCs w:val="16"/>
            <w:lang w:val="es-MX"/>
          </w:rPr>
          <w:t>Andrea Mortlock</w:t>
        </w:r>
      </w:hyperlink>
      <w:r w:rsidRPr="00930562">
        <w:rPr>
          <w:rFonts w:asciiTheme="minorHAnsi" w:hAnsiTheme="minorHAnsi" w:cstheme="minorHAnsi"/>
          <w:color w:val="808080" w:themeColor="background1" w:themeShade="80"/>
          <w:sz w:val="16"/>
          <w:szCs w:val="16"/>
          <w:lang w:val="es-MX"/>
        </w:rPr>
        <w:t xml:space="preserve"> (Estados Unidos), 25 de julio de 2008, párrs. 75-95; Informe No. 62/02, Caso 12.285, Informe de Fondo, </w:t>
      </w:r>
      <w:hyperlink r:id="rId41" w:history="1">
        <w:r w:rsidRPr="00930562">
          <w:rPr>
            <w:rStyle w:val="Hyperlink"/>
            <w:rFonts w:asciiTheme="minorHAnsi" w:hAnsiTheme="minorHAnsi" w:cstheme="minorHAnsi"/>
            <w:i/>
            <w:color w:val="808080" w:themeColor="background1" w:themeShade="80"/>
            <w:sz w:val="16"/>
            <w:szCs w:val="16"/>
            <w:lang w:val="es-MX"/>
          </w:rPr>
          <w:t>Michael Domingues</w:t>
        </w:r>
      </w:hyperlink>
      <w:r w:rsidRPr="00930562">
        <w:rPr>
          <w:rFonts w:asciiTheme="minorHAnsi" w:hAnsiTheme="minorHAnsi" w:cstheme="minorHAnsi"/>
          <w:color w:val="808080" w:themeColor="background1" w:themeShade="80"/>
          <w:sz w:val="16"/>
          <w:szCs w:val="16"/>
          <w:lang w:val="es-MX"/>
        </w:rPr>
        <w:t xml:space="preserve"> (United States), 22 de octubre de 2002, párrs. 84-87.</w:t>
      </w:r>
    </w:p>
  </w:footnote>
  <w:footnote w:id="25">
    <w:p w14:paraId="0F35F8C9"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highlight w:val="yellow"/>
          <w:lang w:val="es-MX"/>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r>
      <w:r w:rsidRPr="00930562">
        <w:rPr>
          <w:rFonts w:asciiTheme="minorHAnsi" w:hAnsiTheme="minorHAnsi" w:cstheme="minorHAnsi"/>
          <w:i/>
          <w:color w:val="808080" w:themeColor="background1" w:themeShade="80"/>
          <w:sz w:val="16"/>
          <w:szCs w:val="16"/>
          <w:lang w:val="es-MX"/>
        </w:rPr>
        <w:t>Véase</w:t>
      </w:r>
      <w:r w:rsidRPr="00930562">
        <w:rPr>
          <w:rFonts w:asciiTheme="minorHAnsi" w:hAnsiTheme="minorHAnsi" w:cstheme="minorHAnsi"/>
          <w:color w:val="808080" w:themeColor="background1" w:themeShade="80"/>
          <w:sz w:val="16"/>
          <w:szCs w:val="16"/>
          <w:lang w:val="es-MX"/>
        </w:rPr>
        <w:t xml:space="preserve">, CIDH, Informe No. 81/10, Caso 12.562, Informe de Fondo, </w:t>
      </w:r>
      <w:hyperlink r:id="rId42" w:history="1">
        <w:r w:rsidRPr="00930562">
          <w:rPr>
            <w:rStyle w:val="Hyperlink"/>
            <w:rFonts w:asciiTheme="minorHAnsi" w:hAnsiTheme="minorHAnsi" w:cstheme="minorHAnsi"/>
            <w:i/>
            <w:color w:val="808080" w:themeColor="background1" w:themeShade="80"/>
            <w:sz w:val="16"/>
            <w:szCs w:val="16"/>
            <w:lang w:val="es-MX"/>
          </w:rPr>
          <w:t>Wayne Smith, Hugo Armendariz, et al.</w:t>
        </w:r>
      </w:hyperlink>
      <w:r w:rsidRPr="00930562">
        <w:rPr>
          <w:rFonts w:asciiTheme="minorHAnsi" w:hAnsiTheme="minorHAnsi" w:cstheme="minorHAnsi"/>
          <w:color w:val="808080" w:themeColor="background1" w:themeShade="80"/>
          <w:sz w:val="16"/>
          <w:szCs w:val="16"/>
          <w:lang w:val="es-MX"/>
        </w:rPr>
        <w:t xml:space="preserve"> (United States), 12 de Julio de 2010, párrs. 61-65; Informe 40/04, </w:t>
      </w:r>
      <w:hyperlink r:id="rId43" w:history="1">
        <w:r w:rsidRPr="00930562">
          <w:rPr>
            <w:rStyle w:val="Hyperlink"/>
            <w:rFonts w:asciiTheme="minorHAnsi" w:hAnsiTheme="minorHAnsi" w:cstheme="minorHAnsi"/>
            <w:i/>
            <w:color w:val="808080" w:themeColor="background1" w:themeShade="80"/>
            <w:sz w:val="16"/>
            <w:szCs w:val="16"/>
            <w:lang w:val="es-MX"/>
          </w:rPr>
          <w:t>Comunidades Indígenas Mayas</w:t>
        </w:r>
      </w:hyperlink>
      <w:r w:rsidRPr="00930562">
        <w:rPr>
          <w:rFonts w:asciiTheme="minorHAnsi" w:hAnsiTheme="minorHAnsi" w:cstheme="minorHAnsi"/>
          <w:color w:val="808080" w:themeColor="background1" w:themeShade="80"/>
          <w:sz w:val="16"/>
          <w:szCs w:val="16"/>
          <w:lang w:val="es-MX"/>
        </w:rPr>
        <w:t xml:space="preserve"> (2004), párrs. 122-135, 162, and 193-196; Informe No. 75/02, Caso 11.140, Informe de Fondo, </w:t>
      </w:r>
      <w:hyperlink r:id="rId44" w:history="1">
        <w:r w:rsidRPr="00930562">
          <w:rPr>
            <w:rStyle w:val="Hyperlink"/>
            <w:rFonts w:asciiTheme="minorHAnsi" w:hAnsiTheme="minorHAnsi" w:cstheme="minorHAnsi"/>
            <w:i/>
            <w:color w:val="808080" w:themeColor="background1" w:themeShade="80"/>
            <w:sz w:val="16"/>
            <w:szCs w:val="16"/>
            <w:lang w:val="es-MX"/>
          </w:rPr>
          <w:t>Mary and Carrie Dann</w:t>
        </w:r>
      </w:hyperlink>
      <w:r w:rsidRPr="00930562">
        <w:rPr>
          <w:rFonts w:asciiTheme="minorHAnsi" w:hAnsiTheme="minorHAnsi" w:cstheme="minorHAnsi"/>
          <w:color w:val="808080" w:themeColor="background1" w:themeShade="80"/>
          <w:sz w:val="16"/>
          <w:szCs w:val="16"/>
          <w:lang w:val="es-MX"/>
        </w:rPr>
        <w:t xml:space="preserve"> (Estados Unidos), 27 de diciembre de 2002, párrs. 124-145.</w:t>
      </w:r>
    </w:p>
  </w:footnote>
  <w:footnote w:id="26">
    <w:p w14:paraId="2495ED0B"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MX"/>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t xml:space="preserve">CIDH, </w:t>
      </w:r>
      <w:hyperlink r:id="rId45" w:history="1">
        <w:r w:rsidRPr="00930562">
          <w:rPr>
            <w:rStyle w:val="Hyperlink"/>
            <w:rFonts w:asciiTheme="minorHAnsi" w:hAnsiTheme="minorHAnsi" w:cstheme="minorHAnsi"/>
            <w:color w:val="808080" w:themeColor="background1" w:themeShade="80"/>
            <w:sz w:val="16"/>
            <w:szCs w:val="16"/>
            <w:lang w:val="es-MX"/>
          </w:rPr>
          <w:t>Consideraciones relativas a la ratificación universal de la Convención Americana y otros tratados de derechos humanos interamericanos</w:t>
        </w:r>
      </w:hyperlink>
      <w:r w:rsidRPr="00930562">
        <w:rPr>
          <w:rFonts w:asciiTheme="minorHAnsi" w:hAnsiTheme="minorHAnsi" w:cstheme="minorHAnsi"/>
          <w:i/>
          <w:color w:val="808080" w:themeColor="background1" w:themeShade="80"/>
          <w:sz w:val="16"/>
          <w:szCs w:val="16"/>
          <w:lang w:val="es-MX"/>
        </w:rPr>
        <w:t>,</w:t>
      </w:r>
      <w:r w:rsidRPr="00930562">
        <w:rPr>
          <w:rFonts w:asciiTheme="minorHAnsi" w:hAnsiTheme="minorHAnsi" w:cstheme="minorHAnsi"/>
          <w:color w:val="808080" w:themeColor="background1" w:themeShade="80"/>
          <w:sz w:val="16"/>
          <w:szCs w:val="16"/>
          <w:lang w:val="es-MX"/>
        </w:rPr>
        <w:t xml:space="preserve"> OEA/Ser.L/V/II.152,  Doc.21 (2015), párrs. 11.</w:t>
      </w:r>
    </w:p>
  </w:footnote>
  <w:footnote w:id="27">
    <w:p w14:paraId="26B3976A" w14:textId="77777777" w:rsidR="00F64540" w:rsidRPr="00930562" w:rsidRDefault="00F64540" w:rsidP="00E10935">
      <w:pPr>
        <w:spacing w:after="40" w:line="240" w:lineRule="auto"/>
        <w:ind w:left="547" w:hanging="547"/>
        <w:jc w:val="both"/>
        <w:rPr>
          <w:rFonts w:asciiTheme="minorHAnsi" w:hAnsiTheme="minorHAnsi" w:cstheme="minorHAnsi"/>
          <w:color w:val="808080" w:themeColor="background1" w:themeShade="80"/>
          <w:sz w:val="16"/>
          <w:szCs w:val="16"/>
          <w:lang w:val="es-MX"/>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MX"/>
        </w:rPr>
        <w:t xml:space="preserve"> </w:t>
      </w:r>
      <w:r w:rsidRPr="00930562">
        <w:rPr>
          <w:rFonts w:asciiTheme="minorHAnsi" w:hAnsiTheme="minorHAnsi" w:cstheme="majorHAnsi"/>
          <w:color w:val="808080" w:themeColor="background1" w:themeShade="80"/>
          <w:sz w:val="16"/>
          <w:szCs w:val="16"/>
          <w:lang w:val="es-MX"/>
        </w:rPr>
        <w:tab/>
      </w:r>
      <w:r w:rsidRPr="00930562">
        <w:rPr>
          <w:rFonts w:asciiTheme="minorHAnsi" w:hAnsiTheme="minorHAnsi" w:cstheme="minorHAnsi"/>
          <w:i/>
          <w:color w:val="808080" w:themeColor="background1" w:themeShade="80"/>
          <w:sz w:val="16"/>
          <w:szCs w:val="16"/>
          <w:lang w:val="es-MX"/>
        </w:rPr>
        <w:t>Véase en general, CIDH</w:t>
      </w:r>
      <w:r w:rsidRPr="00930562">
        <w:rPr>
          <w:rFonts w:asciiTheme="minorHAnsi" w:hAnsiTheme="minorHAnsi" w:cstheme="minorHAnsi"/>
          <w:color w:val="808080" w:themeColor="background1" w:themeShade="80"/>
          <w:sz w:val="16"/>
          <w:szCs w:val="16"/>
          <w:lang w:val="es-MX"/>
        </w:rPr>
        <w:t xml:space="preserve">, Informe No. 81/10, Caso 12.562, Informe de Fondo, </w:t>
      </w:r>
      <w:hyperlink r:id="rId46" w:history="1">
        <w:hyperlink r:id="rId47" w:history="1">
          <w:r w:rsidRPr="00930562">
            <w:rPr>
              <w:rStyle w:val="Hyperlink"/>
              <w:rFonts w:asciiTheme="minorHAnsi" w:hAnsiTheme="minorHAnsi" w:cstheme="minorHAnsi"/>
              <w:i/>
              <w:color w:val="808080" w:themeColor="background1" w:themeShade="80"/>
              <w:sz w:val="16"/>
              <w:szCs w:val="16"/>
              <w:lang w:val="es-MX"/>
            </w:rPr>
            <w:t>Wayne Smith, Hugo Armendariz, et al.</w:t>
          </w:r>
        </w:hyperlink>
        <w:r w:rsidRPr="00930562">
          <w:rPr>
            <w:rFonts w:asciiTheme="minorHAnsi" w:hAnsiTheme="minorHAnsi" w:cstheme="minorHAnsi"/>
            <w:color w:val="808080" w:themeColor="background1" w:themeShade="80"/>
            <w:sz w:val="16"/>
            <w:szCs w:val="16"/>
            <w:lang w:val="es-MX"/>
          </w:rPr>
          <w:t xml:space="preserve"> </w:t>
        </w:r>
      </w:hyperlink>
      <w:r w:rsidRPr="00930562">
        <w:rPr>
          <w:rFonts w:asciiTheme="minorHAnsi" w:hAnsiTheme="minorHAnsi" w:cstheme="minorHAnsi"/>
          <w:color w:val="808080" w:themeColor="background1" w:themeShade="80"/>
          <w:sz w:val="16"/>
          <w:szCs w:val="16"/>
          <w:lang w:val="es-MX"/>
        </w:rPr>
        <w:t xml:space="preserve">(Estados Unidos), 12 de julio de 2010; Informe No. 63/08, Caso 12.534, Informe de Admisibilidad y Fondo, </w:t>
      </w:r>
      <w:hyperlink r:id="rId48" w:history="1">
        <w:r w:rsidRPr="00930562">
          <w:rPr>
            <w:rStyle w:val="Hyperlink"/>
            <w:rFonts w:asciiTheme="minorHAnsi" w:hAnsiTheme="minorHAnsi" w:cstheme="minorHAnsi"/>
            <w:i/>
            <w:color w:val="808080" w:themeColor="background1" w:themeShade="80"/>
            <w:sz w:val="16"/>
            <w:szCs w:val="16"/>
            <w:lang w:val="es-MX"/>
          </w:rPr>
          <w:t>Andrea Mortlock</w:t>
        </w:r>
      </w:hyperlink>
      <w:r w:rsidRPr="00930562">
        <w:rPr>
          <w:rFonts w:asciiTheme="minorHAnsi" w:hAnsiTheme="minorHAnsi" w:cstheme="minorHAnsi"/>
          <w:color w:val="808080" w:themeColor="background1" w:themeShade="80"/>
          <w:sz w:val="16"/>
          <w:szCs w:val="16"/>
          <w:lang w:val="es-MX"/>
        </w:rPr>
        <w:t xml:space="preserve"> (Estados Unidos), 25 de julio de 2008; Informe 40/04, </w:t>
      </w:r>
      <w:hyperlink r:id="rId49" w:history="1">
        <w:r w:rsidRPr="00930562">
          <w:rPr>
            <w:rStyle w:val="Hyperlink"/>
            <w:rFonts w:asciiTheme="minorHAnsi" w:hAnsiTheme="minorHAnsi" w:cstheme="minorHAnsi"/>
            <w:i/>
            <w:color w:val="808080" w:themeColor="background1" w:themeShade="80"/>
            <w:sz w:val="16"/>
            <w:szCs w:val="16"/>
            <w:lang w:val="es-MX"/>
          </w:rPr>
          <w:t>Comunidades Indígenas Mayas</w:t>
        </w:r>
      </w:hyperlink>
      <w:r w:rsidRPr="00930562">
        <w:rPr>
          <w:rFonts w:asciiTheme="minorHAnsi" w:hAnsiTheme="minorHAnsi" w:cstheme="minorHAnsi"/>
          <w:color w:val="808080" w:themeColor="background1" w:themeShade="80"/>
          <w:sz w:val="16"/>
          <w:szCs w:val="16"/>
          <w:lang w:val="es-MX"/>
        </w:rPr>
        <w:t xml:space="preserve"> (2004); Informe No. 75/02, Case 11.140, Informe de Fondo, </w:t>
      </w:r>
      <w:hyperlink r:id="rId50" w:history="1">
        <w:r w:rsidRPr="00930562">
          <w:rPr>
            <w:rStyle w:val="Hyperlink"/>
            <w:rFonts w:asciiTheme="minorHAnsi" w:hAnsiTheme="minorHAnsi" w:cstheme="minorHAnsi"/>
            <w:i/>
            <w:color w:val="808080" w:themeColor="background1" w:themeShade="80"/>
            <w:sz w:val="16"/>
            <w:szCs w:val="16"/>
            <w:lang w:val="es-MX"/>
          </w:rPr>
          <w:t>Mary and Carrie Dann</w:t>
        </w:r>
      </w:hyperlink>
      <w:r w:rsidRPr="00930562">
        <w:rPr>
          <w:rFonts w:asciiTheme="minorHAnsi" w:hAnsiTheme="minorHAnsi" w:cstheme="minorHAnsi"/>
          <w:color w:val="808080" w:themeColor="background1" w:themeShade="80"/>
          <w:sz w:val="16"/>
          <w:szCs w:val="16"/>
          <w:lang w:val="es-MX"/>
        </w:rPr>
        <w:t xml:space="preserve"> (Estados Unidos), 27 de diciembre de 2002; Informe No. 62/02, Caso 12.285, Informe de Fondo, </w:t>
      </w:r>
      <w:hyperlink r:id="rId51" w:history="1">
        <w:r w:rsidRPr="00930562">
          <w:rPr>
            <w:rStyle w:val="Hyperlink"/>
            <w:rFonts w:asciiTheme="minorHAnsi" w:hAnsiTheme="minorHAnsi" w:cstheme="minorHAnsi"/>
            <w:i/>
            <w:color w:val="808080" w:themeColor="background1" w:themeShade="80"/>
            <w:sz w:val="16"/>
            <w:szCs w:val="16"/>
            <w:lang w:val="es-MX"/>
          </w:rPr>
          <w:t>Michael Domingues</w:t>
        </w:r>
      </w:hyperlink>
      <w:r w:rsidRPr="00930562">
        <w:rPr>
          <w:rFonts w:asciiTheme="minorHAnsi" w:hAnsiTheme="minorHAnsi" w:cstheme="minorHAnsi"/>
          <w:color w:val="808080" w:themeColor="background1" w:themeShade="80"/>
          <w:sz w:val="16"/>
          <w:szCs w:val="16"/>
          <w:lang w:val="es-MX"/>
        </w:rPr>
        <w:t xml:space="preserve"> (Estados Unidos), 22 de octubre de 2002.  </w:t>
      </w:r>
    </w:p>
  </w:footnote>
  <w:footnote w:id="28">
    <w:p w14:paraId="52C47DDF" w14:textId="2C26D025"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r>
      <w:r w:rsidRPr="00930562">
        <w:rPr>
          <w:rFonts w:asciiTheme="minorHAnsi" w:hAnsiTheme="minorHAnsi" w:cstheme="minorHAnsi"/>
          <w:i/>
          <w:color w:val="808080" w:themeColor="background1" w:themeShade="80"/>
          <w:sz w:val="16"/>
          <w:szCs w:val="16"/>
          <w:lang w:val="es-MX"/>
        </w:rPr>
        <w:t xml:space="preserve">Véase </w:t>
      </w:r>
      <w:r w:rsidRPr="00930562">
        <w:rPr>
          <w:rFonts w:asciiTheme="minorHAnsi" w:hAnsiTheme="minorHAnsi" w:cstheme="minorHAnsi"/>
          <w:color w:val="808080" w:themeColor="background1" w:themeShade="80"/>
          <w:sz w:val="16"/>
          <w:szCs w:val="16"/>
          <w:lang w:val="es-MX"/>
        </w:rPr>
        <w:t xml:space="preserve">CIDH, </w:t>
      </w:r>
      <w:hyperlink r:id="rId52" w:history="1">
        <w:r w:rsidRPr="00930562">
          <w:rPr>
            <w:rStyle w:val="Hyperlink"/>
            <w:rFonts w:asciiTheme="minorHAnsi" w:hAnsiTheme="minorHAnsi" w:cstheme="minorHAnsi"/>
            <w:color w:val="808080" w:themeColor="background1" w:themeShade="80"/>
            <w:sz w:val="16"/>
            <w:szCs w:val="16"/>
            <w:lang w:val="es-MX"/>
          </w:rPr>
          <w:t>Situación de Derechos Humanos en República Dominicana</w:t>
        </w:r>
      </w:hyperlink>
      <w:r w:rsidRPr="00930562">
        <w:rPr>
          <w:rFonts w:asciiTheme="minorHAnsi" w:hAnsiTheme="minorHAnsi" w:cstheme="minorHAnsi"/>
          <w:color w:val="808080" w:themeColor="background1" w:themeShade="80"/>
          <w:sz w:val="16"/>
          <w:szCs w:val="16"/>
          <w:lang w:val="es-MX"/>
        </w:rPr>
        <w:t xml:space="preserve">, OEA/Ser.L/V/II, Doc. 45/15 (2015), párrs. 93 [de aquí en adelante “Derechos Humanos en la República Dominicana”]. </w:t>
      </w:r>
      <w:r w:rsidRPr="00930562">
        <w:rPr>
          <w:rFonts w:asciiTheme="minorHAnsi" w:hAnsiTheme="minorHAnsi" w:cstheme="minorHAnsi"/>
          <w:i/>
          <w:color w:val="808080" w:themeColor="background1" w:themeShade="80"/>
          <w:sz w:val="16"/>
          <w:szCs w:val="16"/>
        </w:rPr>
        <w:t>Véase también infra</w:t>
      </w:r>
      <w:r w:rsidRPr="00930562">
        <w:rPr>
          <w:rFonts w:asciiTheme="minorHAnsi" w:hAnsiTheme="minorHAnsi" w:cstheme="minorHAnsi"/>
          <w:color w:val="808080" w:themeColor="background1" w:themeShade="80"/>
          <w:sz w:val="16"/>
          <w:szCs w:val="16"/>
        </w:rPr>
        <w:t xml:space="preserve"> párrs. 254-255, 294.</w:t>
      </w:r>
    </w:p>
  </w:footnote>
  <w:footnote w:id="29">
    <w:p w14:paraId="571DAEF9"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r>
      <w:r w:rsidRPr="00930562">
        <w:rPr>
          <w:rFonts w:asciiTheme="minorHAnsi" w:hAnsiTheme="minorHAnsi" w:cstheme="minorHAnsi"/>
          <w:i/>
          <w:color w:val="808080" w:themeColor="background1" w:themeShade="80"/>
          <w:sz w:val="16"/>
          <w:szCs w:val="16"/>
        </w:rPr>
        <w:t>Véase</w:t>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i/>
          <w:color w:val="808080" w:themeColor="background1" w:themeShade="80"/>
          <w:sz w:val="16"/>
          <w:szCs w:val="16"/>
        </w:rPr>
        <w:t>por ejemplo.</w:t>
      </w:r>
      <w:r w:rsidRPr="00930562">
        <w:rPr>
          <w:rFonts w:asciiTheme="minorHAnsi" w:hAnsiTheme="minorHAnsi" w:cstheme="minorHAnsi"/>
          <w:color w:val="808080" w:themeColor="background1" w:themeShade="80"/>
          <w:sz w:val="16"/>
          <w:szCs w:val="16"/>
        </w:rPr>
        <w:t xml:space="preserve">, Justin Hansford, </w:t>
      </w:r>
      <w:hyperlink r:id="rId53" w:history="1">
        <w:r w:rsidRPr="00930562">
          <w:rPr>
            <w:rStyle w:val="Hyperlink"/>
            <w:rFonts w:asciiTheme="minorHAnsi" w:hAnsiTheme="minorHAnsi" w:cstheme="minorHAnsi"/>
            <w:color w:val="808080" w:themeColor="background1" w:themeShade="80"/>
            <w:sz w:val="16"/>
            <w:szCs w:val="16"/>
          </w:rPr>
          <w:t>The First Amendment Freedom of Assembly as a Racial Project</w:t>
        </w:r>
      </w:hyperlink>
      <w:r w:rsidRPr="00930562">
        <w:rPr>
          <w:rFonts w:asciiTheme="minorHAnsi" w:hAnsiTheme="minorHAnsi" w:cstheme="minorHAnsi"/>
          <w:color w:val="808080" w:themeColor="background1" w:themeShade="80"/>
          <w:sz w:val="16"/>
          <w:szCs w:val="16"/>
        </w:rPr>
        <w:t>, 127 Yale L.J. Forum, 20 de enero de 2018.</w:t>
      </w:r>
    </w:p>
  </w:footnote>
  <w:footnote w:id="30">
    <w:p w14:paraId="28CE73EE" w14:textId="24E98D3C"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MX"/>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r>
      <w:r w:rsidRPr="00930562">
        <w:rPr>
          <w:rFonts w:asciiTheme="minorHAnsi" w:hAnsiTheme="minorHAnsi" w:cstheme="minorHAnsi"/>
          <w:i/>
          <w:color w:val="808080" w:themeColor="background1" w:themeShade="80"/>
          <w:sz w:val="16"/>
          <w:szCs w:val="16"/>
          <w:lang w:val="es-MX"/>
        </w:rPr>
        <w:t>Véase infra</w:t>
      </w:r>
      <w:r w:rsidRPr="00930562">
        <w:rPr>
          <w:rFonts w:asciiTheme="minorHAnsi" w:hAnsiTheme="minorHAnsi" w:cstheme="minorHAnsi"/>
          <w:color w:val="808080" w:themeColor="background1" w:themeShade="80"/>
          <w:sz w:val="16"/>
          <w:szCs w:val="16"/>
          <w:lang w:val="es-MX"/>
        </w:rPr>
        <w:t xml:space="preserve"> párr. 48.</w:t>
      </w:r>
    </w:p>
  </w:footnote>
  <w:footnote w:id="31">
    <w:p w14:paraId="13423367"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MX"/>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MX"/>
        </w:rPr>
        <w:t xml:space="preserve"> </w:t>
      </w:r>
      <w:r w:rsidRPr="00930562">
        <w:rPr>
          <w:rFonts w:asciiTheme="minorHAnsi" w:hAnsiTheme="minorHAnsi" w:cstheme="majorHAnsi"/>
          <w:color w:val="808080" w:themeColor="background1" w:themeShade="80"/>
          <w:sz w:val="16"/>
          <w:szCs w:val="16"/>
          <w:lang w:val="es-MX"/>
        </w:rPr>
        <w:tab/>
      </w:r>
      <w:r w:rsidRPr="00930562">
        <w:rPr>
          <w:rFonts w:asciiTheme="minorHAnsi" w:hAnsiTheme="minorHAnsi" w:cstheme="minorHAnsi"/>
          <w:color w:val="808080" w:themeColor="background1" w:themeShade="80"/>
          <w:sz w:val="16"/>
          <w:szCs w:val="16"/>
          <w:lang w:val="es-MX"/>
        </w:rPr>
        <w:t>CIDH</w:t>
      </w:r>
      <w:r w:rsidRPr="00930562">
        <w:rPr>
          <w:rFonts w:asciiTheme="minorHAnsi" w:eastAsia="Times New Roman" w:hAnsiTheme="minorHAnsi" w:cstheme="minorHAnsi"/>
          <w:bCs/>
          <w:color w:val="808080" w:themeColor="background1" w:themeShade="80"/>
          <w:sz w:val="16"/>
          <w:szCs w:val="16"/>
          <w:lang w:val="es-MX" w:eastAsia="es-ES"/>
        </w:rPr>
        <w:t xml:space="preserve">, </w:t>
      </w:r>
      <w:hyperlink r:id="rId54" w:history="1">
        <w:r w:rsidRPr="00930562">
          <w:rPr>
            <w:rStyle w:val="Hyperlink"/>
            <w:rFonts w:asciiTheme="minorHAnsi" w:eastAsia="Times New Roman" w:hAnsiTheme="minorHAnsi" w:cstheme="minorHAnsi"/>
            <w:bCs/>
            <w:color w:val="808080" w:themeColor="background1" w:themeShade="80"/>
            <w:sz w:val="16"/>
            <w:szCs w:val="16"/>
            <w:lang w:val="es-MX" w:eastAsia="es-ES"/>
          </w:rPr>
          <w:t>La Situación de las personas afrodescendientes en las Américas</w:t>
        </w:r>
      </w:hyperlink>
      <w:r w:rsidRPr="00930562">
        <w:rPr>
          <w:rFonts w:asciiTheme="minorHAnsi" w:eastAsia="Times New Roman" w:hAnsiTheme="minorHAnsi" w:cstheme="minorHAnsi"/>
          <w:bCs/>
          <w:color w:val="808080" w:themeColor="background1" w:themeShade="80"/>
          <w:sz w:val="16"/>
          <w:szCs w:val="16"/>
          <w:lang w:val="es-MX" w:eastAsia="es-ES"/>
        </w:rPr>
        <w:t xml:space="preserve">, OEA/Ser.L/V/II., Doc. 62 (2011) [de aquí en adelante, “Personas afrodescendientes en las Américas”], </w:t>
      </w:r>
      <w:r w:rsidRPr="00930562">
        <w:rPr>
          <w:rFonts w:asciiTheme="minorHAnsi" w:eastAsia="Times New Roman" w:hAnsiTheme="minorHAnsi" w:cstheme="minorHAnsi"/>
          <w:color w:val="808080" w:themeColor="background1" w:themeShade="80"/>
          <w:sz w:val="16"/>
          <w:szCs w:val="16"/>
          <w:lang w:val="es-MX" w:eastAsia="es-ES"/>
        </w:rPr>
        <w:t>párrs. 42, 46.</w:t>
      </w:r>
    </w:p>
  </w:footnote>
  <w:footnote w:id="32">
    <w:p w14:paraId="6DBAA3E6"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MX"/>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t xml:space="preserve">N.U, Comité para la Eliminación de la Discriminación Racial, </w:t>
      </w:r>
      <w:r w:rsidRPr="00930562">
        <w:rPr>
          <w:rFonts w:asciiTheme="minorHAnsi" w:hAnsiTheme="minorHAnsi" w:cstheme="minorHAnsi"/>
          <w:i/>
          <w:color w:val="808080" w:themeColor="background1" w:themeShade="80"/>
          <w:sz w:val="16"/>
          <w:szCs w:val="16"/>
          <w:lang w:val="es-MX"/>
        </w:rPr>
        <w:t>Recomendación Generales No. 34: Discriminación racial contra personas afrodescendientes</w:t>
      </w:r>
      <w:r w:rsidRPr="00930562">
        <w:rPr>
          <w:rFonts w:asciiTheme="minorHAnsi" w:hAnsiTheme="minorHAnsi" w:cstheme="minorHAnsi"/>
          <w:color w:val="808080" w:themeColor="background1" w:themeShade="80"/>
          <w:sz w:val="16"/>
          <w:szCs w:val="16"/>
          <w:lang w:val="es-MX"/>
        </w:rPr>
        <w:t>, 79 sesión, CERD/C/GC/34, 3 de octubre de 2011, párr. 6.</w:t>
      </w:r>
    </w:p>
  </w:footnote>
  <w:footnote w:id="33">
    <w:p w14:paraId="2C2E9236"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MX"/>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t xml:space="preserve">CIDH, </w:t>
      </w:r>
      <w:hyperlink r:id="rId55" w:history="1">
        <w:r w:rsidRPr="00930562">
          <w:rPr>
            <w:rStyle w:val="Hyperlink"/>
            <w:rFonts w:asciiTheme="minorHAnsi" w:hAnsiTheme="minorHAnsi" w:cstheme="minorHAnsi"/>
            <w:color w:val="808080" w:themeColor="background1" w:themeShade="80"/>
            <w:sz w:val="16"/>
            <w:szCs w:val="16"/>
            <w:lang w:val="es-MX"/>
          </w:rPr>
          <w:t>Situación de Derechos Humanos en República Dominicana</w:t>
        </w:r>
      </w:hyperlink>
      <w:r w:rsidRPr="00930562">
        <w:rPr>
          <w:rFonts w:asciiTheme="minorHAnsi" w:hAnsiTheme="minorHAnsi" w:cstheme="minorHAnsi"/>
          <w:color w:val="808080" w:themeColor="background1" w:themeShade="80"/>
          <w:sz w:val="16"/>
          <w:szCs w:val="16"/>
          <w:lang w:val="es-MX"/>
        </w:rPr>
        <w:t xml:space="preserve"> (2015), pár.  368, (cita omitida).</w:t>
      </w:r>
    </w:p>
  </w:footnote>
  <w:footnote w:id="34">
    <w:p w14:paraId="11ABEB93" w14:textId="3F467FCD"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MX"/>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t xml:space="preserve">Id. (citando, </w:t>
      </w:r>
      <w:r w:rsidRPr="00930562">
        <w:rPr>
          <w:rFonts w:asciiTheme="minorHAnsi" w:hAnsiTheme="minorHAnsi" w:cstheme="minorHAnsi"/>
          <w:i/>
          <w:color w:val="808080" w:themeColor="background1" w:themeShade="80"/>
          <w:sz w:val="16"/>
          <w:szCs w:val="16"/>
          <w:lang w:val="es-MX"/>
        </w:rPr>
        <w:t>inter alia</w:t>
      </w:r>
      <w:r w:rsidRPr="00930562">
        <w:rPr>
          <w:rFonts w:asciiTheme="minorHAnsi" w:hAnsiTheme="minorHAnsi" w:cstheme="minorHAnsi"/>
          <w:color w:val="808080" w:themeColor="background1" w:themeShade="80"/>
          <w:sz w:val="16"/>
          <w:szCs w:val="16"/>
          <w:lang w:val="es-MX"/>
        </w:rPr>
        <w:t xml:space="preserve">, CIDH, Informe No. 64/12, Caso 12.271, Informe de Fondo, </w:t>
      </w:r>
      <w:r w:rsidRPr="00930562">
        <w:rPr>
          <w:rFonts w:asciiTheme="minorHAnsi" w:hAnsiTheme="minorHAnsi" w:cstheme="minorHAnsi"/>
          <w:i/>
          <w:color w:val="808080" w:themeColor="background1" w:themeShade="80"/>
          <w:sz w:val="16"/>
          <w:szCs w:val="16"/>
          <w:lang w:val="es-MX"/>
        </w:rPr>
        <w:t>Benito Tide Méndez et al.</w:t>
      </w:r>
      <w:r w:rsidRPr="00930562">
        <w:rPr>
          <w:rFonts w:asciiTheme="minorHAnsi" w:hAnsiTheme="minorHAnsi" w:cstheme="minorHAnsi"/>
          <w:color w:val="808080" w:themeColor="background1" w:themeShade="80"/>
          <w:sz w:val="16"/>
          <w:szCs w:val="16"/>
          <w:lang w:val="es-MX"/>
        </w:rPr>
        <w:t xml:space="preserve"> (República Dominicana), 29 de marzo de 2012, pár. 53); </w:t>
      </w:r>
      <w:r w:rsidRPr="00930562">
        <w:rPr>
          <w:rFonts w:asciiTheme="minorHAnsi" w:hAnsiTheme="minorHAnsi" w:cstheme="minorHAnsi"/>
          <w:i/>
          <w:color w:val="808080" w:themeColor="background1" w:themeShade="80"/>
          <w:sz w:val="16"/>
          <w:szCs w:val="16"/>
          <w:lang w:val="es-MX"/>
        </w:rPr>
        <w:t>véase también</w:t>
      </w:r>
      <w:r w:rsidRPr="00930562">
        <w:rPr>
          <w:rFonts w:asciiTheme="minorHAnsi" w:hAnsiTheme="minorHAnsi" w:cstheme="minorHAnsi"/>
          <w:color w:val="808080" w:themeColor="background1" w:themeShade="80"/>
          <w:sz w:val="16"/>
          <w:szCs w:val="16"/>
          <w:lang w:val="es-MX"/>
        </w:rPr>
        <w:t xml:space="preserve"> I/A Ct. H.R., </w:t>
      </w:r>
      <w:r w:rsidRPr="00930562">
        <w:rPr>
          <w:rFonts w:asciiTheme="minorHAnsi" w:hAnsiTheme="minorHAnsi" w:cstheme="minorHAnsi"/>
          <w:i/>
          <w:color w:val="808080" w:themeColor="background1" w:themeShade="80"/>
          <w:sz w:val="16"/>
          <w:szCs w:val="16"/>
          <w:lang w:val="es-MX"/>
        </w:rPr>
        <w:t xml:space="preserve">Hacienda Brasil Verde Trabajadores v. Brasil. </w:t>
      </w:r>
      <w:r w:rsidRPr="00930562">
        <w:rPr>
          <w:rFonts w:asciiTheme="minorHAnsi" w:hAnsiTheme="minorHAnsi" w:cstheme="minorHAnsi"/>
          <w:color w:val="808080" w:themeColor="background1" w:themeShade="80"/>
          <w:sz w:val="16"/>
          <w:szCs w:val="16"/>
          <w:lang w:val="es-MX"/>
        </w:rPr>
        <w:t xml:space="preserve">Objecioness Preliminares, Fondo, Reparaciones y Costos. Fallo de 20 de octubre de 2016. Series C No. 318, párrs. 334-341 (debatiendo la discriminación estructural contra los trabajadores pobres y afrodescendientes que realizaron trabajo esclavo forzado en una plantación en Brasil durante años con el conocimiento y el consentimiento tácito del Estado). </w:t>
      </w:r>
    </w:p>
  </w:footnote>
  <w:footnote w:id="35">
    <w:p w14:paraId="0B792499"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MX"/>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r>
      <w:r w:rsidRPr="00930562">
        <w:rPr>
          <w:rFonts w:asciiTheme="minorHAnsi" w:hAnsiTheme="minorHAnsi" w:cstheme="minorHAnsi"/>
          <w:i/>
          <w:color w:val="808080" w:themeColor="background1" w:themeShade="80"/>
          <w:sz w:val="16"/>
          <w:szCs w:val="16"/>
          <w:lang w:val="es-MX"/>
        </w:rPr>
        <w:t>Véase también</w:t>
      </w:r>
      <w:r w:rsidRPr="00930562">
        <w:rPr>
          <w:rFonts w:asciiTheme="minorHAnsi" w:hAnsiTheme="minorHAnsi" w:cstheme="minorHAnsi"/>
          <w:color w:val="808080" w:themeColor="background1" w:themeShade="80"/>
          <w:sz w:val="16"/>
          <w:szCs w:val="16"/>
          <w:lang w:val="es-MX"/>
        </w:rPr>
        <w:t xml:space="preserve"> CIDH</w:t>
      </w:r>
      <w:r w:rsidRPr="00930562">
        <w:rPr>
          <w:rFonts w:asciiTheme="minorHAnsi" w:eastAsia="Times New Roman" w:hAnsiTheme="minorHAnsi" w:cstheme="minorHAnsi"/>
          <w:bCs/>
          <w:color w:val="808080" w:themeColor="background1" w:themeShade="80"/>
          <w:sz w:val="16"/>
          <w:szCs w:val="16"/>
          <w:lang w:val="es-MX" w:eastAsia="es-ES"/>
        </w:rPr>
        <w:t>, (2011)</w:t>
      </w:r>
      <w:r w:rsidRPr="00930562">
        <w:rPr>
          <w:rFonts w:asciiTheme="minorHAnsi" w:eastAsia="Times New Roman" w:hAnsiTheme="minorHAnsi" w:cstheme="minorHAnsi"/>
          <w:color w:val="808080" w:themeColor="background1" w:themeShade="80"/>
          <w:sz w:val="16"/>
          <w:szCs w:val="16"/>
          <w:lang w:val="es-MX" w:eastAsia="es-ES"/>
        </w:rPr>
        <w:t xml:space="preserve">, </w:t>
      </w:r>
      <w:hyperlink r:id="rId56" w:history="1">
        <w:r w:rsidRPr="00930562">
          <w:rPr>
            <w:rStyle w:val="Hyperlink"/>
            <w:rFonts w:asciiTheme="minorHAnsi" w:eastAsia="Times New Roman" w:hAnsiTheme="minorHAnsi" w:cstheme="minorHAnsi"/>
            <w:bCs/>
            <w:color w:val="808080" w:themeColor="background1" w:themeShade="80"/>
            <w:sz w:val="16"/>
            <w:szCs w:val="16"/>
            <w:lang w:val="es-MX" w:eastAsia="es-ES"/>
          </w:rPr>
          <w:t>La Situación de las personas afrodescendientes en las Américas</w:t>
        </w:r>
      </w:hyperlink>
      <w:r w:rsidRPr="00930562">
        <w:rPr>
          <w:rFonts w:asciiTheme="minorHAnsi" w:eastAsia="Times New Roman" w:hAnsiTheme="minorHAnsi" w:cstheme="minorHAnsi"/>
          <w:bCs/>
          <w:color w:val="808080" w:themeColor="background1" w:themeShade="80"/>
          <w:sz w:val="16"/>
          <w:szCs w:val="16"/>
          <w:lang w:val="es-MX" w:eastAsia="es-ES"/>
        </w:rPr>
        <w:t xml:space="preserve">, </w:t>
      </w:r>
      <w:r w:rsidRPr="00930562">
        <w:rPr>
          <w:rFonts w:asciiTheme="minorHAnsi" w:eastAsia="Times New Roman" w:hAnsiTheme="minorHAnsi" w:cstheme="minorHAnsi"/>
          <w:color w:val="808080" w:themeColor="background1" w:themeShade="80"/>
          <w:sz w:val="16"/>
          <w:szCs w:val="16"/>
          <w:lang w:val="es-MX" w:eastAsia="es-ES"/>
        </w:rPr>
        <w:t>pár. 46;</w:t>
      </w:r>
      <w:r w:rsidRPr="00930562">
        <w:rPr>
          <w:rFonts w:asciiTheme="minorHAnsi" w:hAnsiTheme="minorHAnsi" w:cstheme="minorHAnsi"/>
          <w:color w:val="808080" w:themeColor="background1" w:themeShade="80"/>
          <w:sz w:val="16"/>
          <w:szCs w:val="16"/>
          <w:lang w:val="es-MX"/>
        </w:rPr>
        <w:t xml:space="preserve"> Comité de Derechos Humanos, </w:t>
      </w:r>
      <w:hyperlink r:id="rId57" w:history="1">
        <w:r w:rsidRPr="00930562">
          <w:rPr>
            <w:rStyle w:val="Hyperlink"/>
            <w:rFonts w:asciiTheme="minorHAnsi" w:hAnsiTheme="minorHAnsi" w:cstheme="minorHAnsi"/>
            <w:i/>
            <w:color w:val="808080" w:themeColor="background1" w:themeShade="80"/>
            <w:sz w:val="16"/>
            <w:szCs w:val="16"/>
            <w:lang w:val="es-MX"/>
          </w:rPr>
          <w:t>Informe del Relator Especial sobre los derechos de libertad de reunión pacífica y asociación en su misión de seguimiento a los Estados Unidos de América</w:t>
        </w:r>
      </w:hyperlink>
      <w:r w:rsidRPr="00930562">
        <w:rPr>
          <w:rFonts w:asciiTheme="minorHAnsi" w:hAnsiTheme="minorHAnsi" w:cstheme="minorHAnsi"/>
          <w:color w:val="808080" w:themeColor="background1" w:themeShade="80"/>
          <w:sz w:val="16"/>
          <w:szCs w:val="16"/>
          <w:lang w:val="es-MX"/>
        </w:rPr>
        <w:t xml:space="preserve">, A/HRC/35/28/Add.2, 12 de junio de 2017, párr. 13; U.N., </w:t>
      </w:r>
      <w:r w:rsidRPr="00930562">
        <w:rPr>
          <w:rFonts w:asciiTheme="minorHAnsi" w:hAnsiTheme="minorHAnsi" w:cstheme="minorHAnsi"/>
          <w:bCs/>
          <w:color w:val="808080" w:themeColor="background1" w:themeShade="80"/>
          <w:sz w:val="16"/>
          <w:szCs w:val="16"/>
          <w:lang w:val="es-MX"/>
        </w:rPr>
        <w:t xml:space="preserve">Com. Eliminación de la Discriminación Racial, </w:t>
      </w:r>
      <w:hyperlink r:id="rId58" w:history="1">
        <w:r w:rsidRPr="00930562">
          <w:rPr>
            <w:rStyle w:val="Hyperlink"/>
            <w:rFonts w:asciiTheme="minorHAnsi" w:hAnsiTheme="minorHAnsi" w:cstheme="minorHAnsi"/>
            <w:bCs/>
            <w:i/>
            <w:color w:val="808080" w:themeColor="background1" w:themeShade="80"/>
            <w:sz w:val="16"/>
            <w:szCs w:val="16"/>
            <w:lang w:val="es-MX"/>
          </w:rPr>
          <w:t xml:space="preserve">Observaciones finales de los informes periódicos séptimo y noveno de los Estados Unidos de América </w:t>
        </w:r>
      </w:hyperlink>
      <w:r w:rsidRPr="00930562">
        <w:rPr>
          <w:rFonts w:asciiTheme="minorHAnsi" w:hAnsiTheme="minorHAnsi" w:cstheme="minorHAnsi"/>
          <w:bCs/>
          <w:color w:val="808080" w:themeColor="background1" w:themeShade="80"/>
          <w:sz w:val="16"/>
          <w:szCs w:val="16"/>
          <w:lang w:val="es-MX"/>
        </w:rPr>
        <w:t xml:space="preserve"> U.N. Doc. CERD/C/USA/CO/7-9, 25 de se</w:t>
      </w:r>
      <w:r w:rsidRPr="00930562">
        <w:rPr>
          <w:rFonts w:asciiTheme="minorHAnsi" w:hAnsiTheme="minorHAnsi" w:cstheme="minorHAnsi"/>
          <w:color w:val="808080" w:themeColor="background1" w:themeShade="80"/>
          <w:sz w:val="16"/>
          <w:szCs w:val="16"/>
          <w:lang w:val="es-MX"/>
        </w:rPr>
        <w:t xml:space="preserve">ptiembre de </w:t>
      </w:r>
      <w:r w:rsidRPr="00930562">
        <w:rPr>
          <w:rFonts w:asciiTheme="minorHAnsi" w:hAnsiTheme="minorHAnsi" w:cstheme="minorHAnsi"/>
          <w:bCs/>
          <w:color w:val="808080" w:themeColor="background1" w:themeShade="80"/>
          <w:sz w:val="16"/>
          <w:szCs w:val="16"/>
          <w:lang w:val="es-MX"/>
        </w:rPr>
        <w:t>2014 [de aquí en adelante “CERD, Observaciones Finales 2014”]</w:t>
      </w:r>
      <w:r w:rsidRPr="00930562">
        <w:rPr>
          <w:rFonts w:asciiTheme="minorHAnsi" w:hAnsiTheme="minorHAnsi" w:cstheme="minorHAnsi"/>
          <w:color w:val="808080" w:themeColor="background1" w:themeShade="80"/>
          <w:sz w:val="16"/>
          <w:szCs w:val="16"/>
          <w:lang w:val="es-MX"/>
        </w:rPr>
        <w:t xml:space="preserve">; U.N., Grupo de Trabajo de Expertos en pueblos afrodescendientes, </w:t>
      </w:r>
      <w:hyperlink r:id="rId59" w:history="1">
        <w:r w:rsidRPr="00930562">
          <w:rPr>
            <w:rStyle w:val="Hyperlink"/>
            <w:rFonts w:asciiTheme="minorHAnsi" w:hAnsiTheme="minorHAnsi" w:cstheme="minorHAnsi"/>
            <w:i/>
            <w:color w:val="808080" w:themeColor="background1" w:themeShade="80"/>
            <w:sz w:val="16"/>
            <w:szCs w:val="16"/>
            <w:lang w:val="es-MX"/>
          </w:rPr>
          <w:t>Informe del  Grupo de Trabajo de Expertos en pueblos afrodescendientes en su misión a los Estados Unidos de América</w:t>
        </w:r>
      </w:hyperlink>
      <w:r w:rsidRPr="00930562">
        <w:rPr>
          <w:rFonts w:asciiTheme="minorHAnsi" w:hAnsiTheme="minorHAnsi" w:cstheme="minorHAnsi"/>
          <w:color w:val="808080" w:themeColor="background1" w:themeShade="80"/>
          <w:sz w:val="16"/>
          <w:szCs w:val="16"/>
          <w:lang w:val="es-MX"/>
        </w:rPr>
        <w:t xml:space="preserve">, A/HRC/33/61/Add.2, 18 de agosto de 2016 </w:t>
      </w:r>
      <w:r w:rsidRPr="00930562">
        <w:rPr>
          <w:rFonts w:asciiTheme="minorHAnsi" w:hAnsiTheme="minorHAnsi" w:cstheme="minorHAnsi"/>
          <w:bCs/>
          <w:color w:val="808080" w:themeColor="background1" w:themeShade="80"/>
          <w:sz w:val="16"/>
          <w:szCs w:val="16"/>
          <w:lang w:val="es-MX"/>
        </w:rPr>
        <w:t xml:space="preserve">[de aquí en adelante “Informe Grupo de Trabajo </w:t>
      </w:r>
      <w:r w:rsidRPr="00930562">
        <w:rPr>
          <w:rFonts w:asciiTheme="minorHAnsi" w:hAnsiTheme="minorHAnsi" w:cstheme="minorHAnsi"/>
          <w:color w:val="808080" w:themeColor="background1" w:themeShade="80"/>
          <w:sz w:val="16"/>
          <w:szCs w:val="16"/>
          <w:lang w:val="es-MX"/>
        </w:rPr>
        <w:t>en Personas de Descendencia Africana</w:t>
      </w:r>
      <w:r w:rsidRPr="00930562">
        <w:rPr>
          <w:rFonts w:asciiTheme="minorHAnsi" w:hAnsiTheme="minorHAnsi" w:cstheme="minorHAnsi"/>
          <w:bCs/>
          <w:color w:val="808080" w:themeColor="background1" w:themeShade="80"/>
          <w:sz w:val="16"/>
          <w:szCs w:val="16"/>
          <w:lang w:val="es-MX"/>
        </w:rPr>
        <w:t xml:space="preserve"> en misión a EE.UU.”]</w:t>
      </w:r>
      <w:r w:rsidRPr="00930562">
        <w:rPr>
          <w:rFonts w:asciiTheme="minorHAnsi" w:hAnsiTheme="minorHAnsi" w:cstheme="minorHAnsi"/>
          <w:color w:val="808080" w:themeColor="background1" w:themeShade="80"/>
          <w:sz w:val="16"/>
          <w:szCs w:val="16"/>
          <w:lang w:val="es-MX"/>
        </w:rPr>
        <w:t>.</w:t>
      </w:r>
    </w:p>
  </w:footnote>
  <w:footnote w:id="36">
    <w:p w14:paraId="417DABEB" w14:textId="0EA1C221"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MX"/>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The Atlantic, </w:t>
      </w:r>
      <w:hyperlink r:id="rId60" w:history="1">
        <w:r w:rsidRPr="00930562">
          <w:rPr>
            <w:rStyle w:val="Hyperlink"/>
            <w:rFonts w:asciiTheme="minorHAnsi" w:hAnsiTheme="minorHAnsi" w:cstheme="minorHAnsi"/>
            <w:color w:val="808080" w:themeColor="background1" w:themeShade="80"/>
            <w:sz w:val="16"/>
            <w:szCs w:val="16"/>
          </w:rPr>
          <w:t>Education Gaps Don't Fully Explain Why Black Unemployment Is So High</w:t>
        </w:r>
      </w:hyperlink>
      <w:r w:rsidRPr="00930562">
        <w:rPr>
          <w:rFonts w:asciiTheme="minorHAnsi" w:hAnsiTheme="minorHAnsi" w:cstheme="minorHAnsi"/>
          <w:color w:val="808080" w:themeColor="background1" w:themeShade="80"/>
          <w:sz w:val="16"/>
          <w:szCs w:val="16"/>
        </w:rPr>
        <w:t xml:space="preserve">, 21 de diciembre de 2015. </w:t>
      </w:r>
      <w:r w:rsidRPr="00930562">
        <w:rPr>
          <w:rFonts w:asciiTheme="minorHAnsi" w:hAnsiTheme="minorHAnsi" w:cstheme="minorHAnsi"/>
          <w:i/>
          <w:color w:val="808080" w:themeColor="background1" w:themeShade="80"/>
          <w:sz w:val="16"/>
          <w:szCs w:val="16"/>
          <w:lang w:val="es-MX"/>
        </w:rPr>
        <w:t>Véase también</w:t>
      </w:r>
      <w:r w:rsidRPr="00930562">
        <w:rPr>
          <w:rFonts w:asciiTheme="minorHAnsi" w:hAnsiTheme="minorHAnsi" w:cstheme="minorHAnsi"/>
          <w:color w:val="808080" w:themeColor="background1" w:themeShade="80"/>
          <w:sz w:val="16"/>
          <w:szCs w:val="16"/>
          <w:lang w:val="es-MX"/>
        </w:rPr>
        <w:t xml:space="preserve"> CIDH</w:t>
      </w:r>
      <w:r w:rsidRPr="00930562">
        <w:rPr>
          <w:rFonts w:asciiTheme="minorHAnsi" w:eastAsia="Times New Roman" w:hAnsiTheme="minorHAnsi" w:cstheme="minorHAnsi"/>
          <w:bCs/>
          <w:color w:val="808080" w:themeColor="background1" w:themeShade="80"/>
          <w:sz w:val="16"/>
          <w:szCs w:val="16"/>
          <w:lang w:val="es-MX" w:eastAsia="es-ES"/>
        </w:rPr>
        <w:t xml:space="preserve">, </w:t>
      </w:r>
      <w:hyperlink r:id="rId61" w:history="1">
        <w:r w:rsidRPr="00930562">
          <w:rPr>
            <w:rStyle w:val="Hyperlink"/>
            <w:rFonts w:asciiTheme="minorHAnsi" w:eastAsia="Times New Roman" w:hAnsiTheme="minorHAnsi" w:cstheme="minorHAnsi"/>
            <w:bCs/>
            <w:color w:val="808080" w:themeColor="background1" w:themeShade="80"/>
            <w:sz w:val="16"/>
            <w:szCs w:val="16"/>
            <w:lang w:val="es-MX" w:eastAsia="es-ES"/>
          </w:rPr>
          <w:t>La Situación de las personas afrodescendientes en las Américas</w:t>
        </w:r>
      </w:hyperlink>
      <w:r w:rsidRPr="00930562">
        <w:rPr>
          <w:rFonts w:asciiTheme="minorHAnsi" w:eastAsia="Times New Roman" w:hAnsiTheme="minorHAnsi" w:cstheme="minorHAnsi"/>
          <w:bCs/>
          <w:color w:val="808080" w:themeColor="background1" w:themeShade="80"/>
          <w:sz w:val="16"/>
          <w:szCs w:val="16"/>
          <w:lang w:val="es-MX" w:eastAsia="es-ES"/>
        </w:rPr>
        <w:t xml:space="preserve"> (2011)</w:t>
      </w:r>
      <w:r w:rsidRPr="00930562">
        <w:rPr>
          <w:rFonts w:asciiTheme="minorHAnsi" w:eastAsia="Times New Roman" w:hAnsiTheme="minorHAnsi" w:cstheme="minorHAnsi"/>
          <w:color w:val="808080" w:themeColor="background1" w:themeShade="80"/>
          <w:sz w:val="16"/>
          <w:szCs w:val="16"/>
          <w:lang w:val="es-MX" w:eastAsia="es-ES"/>
        </w:rPr>
        <w:t xml:space="preserve">, </w:t>
      </w:r>
      <w:r>
        <w:rPr>
          <w:rFonts w:asciiTheme="minorHAnsi" w:eastAsia="Times New Roman" w:hAnsiTheme="minorHAnsi" w:cstheme="minorHAnsi"/>
          <w:color w:val="808080" w:themeColor="background1" w:themeShade="80"/>
          <w:sz w:val="16"/>
          <w:szCs w:val="16"/>
          <w:lang w:val="es-MX" w:eastAsia="es-ES"/>
        </w:rPr>
        <w:br/>
      </w:r>
      <w:r w:rsidRPr="00930562">
        <w:rPr>
          <w:rFonts w:asciiTheme="minorHAnsi" w:eastAsia="Times New Roman" w:hAnsiTheme="minorHAnsi" w:cstheme="minorHAnsi"/>
          <w:color w:val="808080" w:themeColor="background1" w:themeShade="80"/>
          <w:sz w:val="16"/>
          <w:szCs w:val="16"/>
          <w:lang w:val="es-MX" w:eastAsia="es-ES"/>
        </w:rPr>
        <w:t>párrs. 47-48.</w:t>
      </w:r>
    </w:p>
  </w:footnote>
  <w:footnote w:id="37">
    <w:p w14:paraId="0D3921E7"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MX"/>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t xml:space="preserve">CNN Money, </w:t>
      </w:r>
      <w:hyperlink r:id="rId62" w:history="1">
        <w:r w:rsidRPr="00930562">
          <w:rPr>
            <w:rStyle w:val="Hyperlink"/>
            <w:rFonts w:asciiTheme="minorHAnsi" w:hAnsiTheme="minorHAnsi" w:cstheme="minorHAnsi"/>
            <w:color w:val="808080" w:themeColor="background1" w:themeShade="80"/>
            <w:sz w:val="16"/>
            <w:szCs w:val="16"/>
            <w:lang w:val="es-MX"/>
          </w:rPr>
          <w:t>Wage gap between blacks and whites is worst in nearly 40 years</w:t>
        </w:r>
      </w:hyperlink>
      <w:r w:rsidRPr="00930562">
        <w:rPr>
          <w:rFonts w:asciiTheme="minorHAnsi" w:hAnsiTheme="minorHAnsi" w:cstheme="minorHAnsi"/>
          <w:color w:val="808080" w:themeColor="background1" w:themeShade="80"/>
          <w:sz w:val="16"/>
          <w:szCs w:val="16"/>
          <w:lang w:val="es-MX"/>
        </w:rPr>
        <w:t xml:space="preserve">, 20 de septiembre de 2016 (“la brecha salarial por hora entre negros y blancos se amplió a 26.7% [...] Investigadores concluyen que los principales factores son la discriminación… y la creciente desigualdad de ingresos en general.”). Especialmente son las mujeres negras las más afectadas por la brecha salarial, en virtud de una doble discriminación contra ellas. National Partnership for Women &amp; Families [Asociación Nacional de Mujeres y Familias] </w:t>
      </w:r>
      <w:hyperlink r:id="rId63" w:history="1">
        <w:r w:rsidRPr="00930562">
          <w:rPr>
            <w:rStyle w:val="Hyperlink"/>
            <w:rFonts w:asciiTheme="minorHAnsi" w:hAnsiTheme="minorHAnsi" w:cstheme="minorHAnsi"/>
            <w:color w:val="808080" w:themeColor="background1" w:themeShade="80"/>
            <w:sz w:val="16"/>
            <w:szCs w:val="16"/>
            <w:lang w:val="es-MX"/>
          </w:rPr>
          <w:t>Black Women and the Wage Gap</w:t>
        </w:r>
      </w:hyperlink>
      <w:r w:rsidRPr="00930562">
        <w:rPr>
          <w:rFonts w:asciiTheme="minorHAnsi" w:hAnsiTheme="minorHAnsi" w:cstheme="minorHAnsi"/>
          <w:color w:val="808080" w:themeColor="background1" w:themeShade="80"/>
          <w:sz w:val="16"/>
          <w:szCs w:val="16"/>
          <w:lang w:val="es-MX"/>
        </w:rPr>
        <w:t>, Marzo de 2017 (“Las mujeres negras [en los Estados Unidos.] suelen recibir como remuneración sólo 63 centavos por cada dólar que se le paga a un blanco u hombre no hispano. En general, las mujeres […] reciben 80 centavos por cada dólar que reciben los hombres.”).</w:t>
      </w:r>
    </w:p>
  </w:footnote>
  <w:footnote w:id="38">
    <w:p w14:paraId="63D651FD"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MX"/>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r>
      <w:r w:rsidRPr="00930562">
        <w:rPr>
          <w:rFonts w:asciiTheme="minorHAnsi" w:hAnsiTheme="minorHAnsi" w:cstheme="minorHAnsi"/>
          <w:i/>
          <w:color w:val="808080" w:themeColor="background1" w:themeShade="80"/>
          <w:sz w:val="16"/>
          <w:szCs w:val="16"/>
          <w:lang w:val="es-MX"/>
        </w:rPr>
        <w:t>Ver infra</w:t>
      </w:r>
      <w:r w:rsidRPr="00930562">
        <w:rPr>
          <w:rFonts w:asciiTheme="minorHAnsi" w:hAnsiTheme="minorHAnsi" w:cstheme="minorHAnsi"/>
          <w:color w:val="808080" w:themeColor="background1" w:themeShade="80"/>
          <w:sz w:val="16"/>
          <w:szCs w:val="16"/>
          <w:lang w:val="es-MX"/>
        </w:rPr>
        <w:t xml:space="preserve"> para. </w:t>
      </w:r>
      <w:r w:rsidRPr="00930562">
        <w:rPr>
          <w:rFonts w:asciiTheme="minorHAnsi" w:hAnsiTheme="minorHAnsi" w:cstheme="minorHAnsi"/>
          <w:color w:val="808080" w:themeColor="background1" w:themeShade="80"/>
          <w:sz w:val="16"/>
          <w:szCs w:val="16"/>
        </w:rPr>
        <w:fldChar w:fldCharType="begin"/>
      </w:r>
      <w:r w:rsidRPr="00930562">
        <w:rPr>
          <w:rFonts w:asciiTheme="minorHAnsi" w:hAnsiTheme="minorHAnsi" w:cstheme="minorHAnsi"/>
          <w:color w:val="808080" w:themeColor="background1" w:themeShade="80"/>
          <w:sz w:val="16"/>
          <w:szCs w:val="16"/>
          <w:lang w:val="es-MX"/>
        </w:rPr>
        <w:instrText xml:space="preserve"> REF _Ref511745913 \r \h  \* MERGEFORMAT </w:instrText>
      </w:r>
      <w:r w:rsidRPr="00930562">
        <w:rPr>
          <w:rFonts w:asciiTheme="minorHAnsi" w:hAnsiTheme="minorHAnsi" w:cstheme="minorHAnsi"/>
          <w:color w:val="808080" w:themeColor="background1" w:themeShade="80"/>
          <w:sz w:val="16"/>
          <w:szCs w:val="16"/>
        </w:rPr>
      </w:r>
      <w:r w:rsidRPr="00930562">
        <w:rPr>
          <w:rFonts w:asciiTheme="minorHAnsi" w:hAnsiTheme="minorHAnsi" w:cstheme="minorHAnsi"/>
          <w:color w:val="808080" w:themeColor="background1" w:themeShade="80"/>
          <w:sz w:val="16"/>
          <w:szCs w:val="16"/>
        </w:rPr>
        <w:fldChar w:fldCharType="separate"/>
      </w:r>
      <w:r w:rsidRPr="00930562">
        <w:rPr>
          <w:rFonts w:asciiTheme="minorHAnsi" w:hAnsiTheme="minorHAnsi" w:cstheme="minorHAnsi"/>
          <w:color w:val="808080" w:themeColor="background1" w:themeShade="80"/>
          <w:sz w:val="16"/>
          <w:szCs w:val="16"/>
          <w:lang w:val="es-MX"/>
        </w:rPr>
        <w:t>49</w:t>
      </w:r>
      <w:r w:rsidRPr="00930562">
        <w:rPr>
          <w:rFonts w:asciiTheme="minorHAnsi" w:hAnsiTheme="minorHAnsi" w:cstheme="minorHAnsi"/>
          <w:color w:val="808080" w:themeColor="background1" w:themeShade="80"/>
          <w:sz w:val="16"/>
          <w:szCs w:val="16"/>
        </w:rPr>
        <w:fldChar w:fldCharType="end"/>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i/>
          <w:color w:val="808080" w:themeColor="background1" w:themeShade="80"/>
          <w:sz w:val="16"/>
          <w:szCs w:val="16"/>
          <w:lang w:val="es-MX"/>
        </w:rPr>
        <w:t>Véase también</w:t>
      </w:r>
      <w:r w:rsidRPr="00930562">
        <w:rPr>
          <w:rFonts w:asciiTheme="minorHAnsi" w:hAnsiTheme="minorHAnsi" w:cstheme="minorHAnsi"/>
          <w:color w:val="808080" w:themeColor="background1" w:themeShade="80"/>
          <w:sz w:val="16"/>
          <w:szCs w:val="16"/>
          <w:lang w:val="es-MX"/>
        </w:rPr>
        <w:t xml:space="preserve"> CERD, </w:t>
      </w:r>
      <w:hyperlink r:id="rId64" w:history="1">
        <w:r w:rsidRPr="00930562">
          <w:rPr>
            <w:rStyle w:val="Hyperlink"/>
            <w:rFonts w:asciiTheme="minorHAnsi" w:hAnsiTheme="minorHAnsi" w:cstheme="minorHAnsi"/>
            <w:bCs/>
            <w:iCs/>
            <w:color w:val="808080" w:themeColor="background1" w:themeShade="80"/>
            <w:sz w:val="16"/>
            <w:szCs w:val="16"/>
            <w:lang w:val="es-MX"/>
          </w:rPr>
          <w:t>Observaciones Finales 2014</w:t>
        </w:r>
      </w:hyperlink>
      <w:r w:rsidRPr="00930562">
        <w:rPr>
          <w:rFonts w:asciiTheme="minorHAnsi" w:hAnsiTheme="minorHAnsi" w:cstheme="minorHAnsi"/>
          <w:color w:val="808080" w:themeColor="background1" w:themeShade="80"/>
          <w:sz w:val="16"/>
          <w:szCs w:val="16"/>
          <w:lang w:val="es-MX"/>
        </w:rPr>
        <w:t>, 25 de septiembre de 2014, párr. 13.</w:t>
      </w:r>
    </w:p>
  </w:footnote>
  <w:footnote w:id="39">
    <w:p w14:paraId="30144428"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u w:val="single"/>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t xml:space="preserve">CERD ha enfatizado sobre la persistencia de la discriminación en el acceso a la vivienda y el alto grado de segregación racial y pobreza concentrada en barrios con servicios y condiciones precarias. </w:t>
      </w:r>
      <w:r w:rsidRPr="00930562">
        <w:rPr>
          <w:rFonts w:asciiTheme="minorHAnsi" w:hAnsiTheme="minorHAnsi" w:cstheme="minorHAnsi"/>
          <w:i/>
          <w:color w:val="808080" w:themeColor="background1" w:themeShade="80"/>
          <w:sz w:val="16"/>
          <w:szCs w:val="16"/>
        </w:rPr>
        <w:t>Véase</w:t>
      </w:r>
      <w:r w:rsidRPr="00930562">
        <w:rPr>
          <w:rFonts w:asciiTheme="minorHAnsi" w:hAnsiTheme="minorHAnsi" w:cstheme="minorHAnsi"/>
          <w:color w:val="808080" w:themeColor="background1" w:themeShade="80"/>
          <w:sz w:val="16"/>
          <w:szCs w:val="16"/>
        </w:rPr>
        <w:t xml:space="preserve"> CERD, </w:t>
      </w:r>
      <w:hyperlink r:id="rId65" w:history="1">
        <w:r w:rsidRPr="00930562">
          <w:rPr>
            <w:rStyle w:val="Hyperlink"/>
            <w:rFonts w:asciiTheme="minorHAnsi" w:hAnsiTheme="minorHAnsi" w:cstheme="minorHAnsi"/>
            <w:bCs/>
            <w:iCs/>
            <w:color w:val="808080" w:themeColor="background1" w:themeShade="80"/>
            <w:sz w:val="16"/>
            <w:szCs w:val="16"/>
          </w:rPr>
          <w:t>Observaciones Finales 2014</w:t>
        </w:r>
      </w:hyperlink>
      <w:r w:rsidRPr="00930562">
        <w:rPr>
          <w:rFonts w:asciiTheme="minorHAnsi" w:hAnsiTheme="minorHAnsi" w:cstheme="minorHAnsi"/>
          <w:color w:val="808080" w:themeColor="background1" w:themeShade="80"/>
          <w:sz w:val="16"/>
          <w:szCs w:val="16"/>
        </w:rPr>
        <w:t xml:space="preserve">, 25 de sept. 2014, párr. 13. </w:t>
      </w:r>
      <w:r w:rsidRPr="00930562">
        <w:rPr>
          <w:rFonts w:asciiTheme="minorHAnsi" w:hAnsiTheme="minorHAnsi" w:cstheme="minorHAnsi"/>
          <w:i/>
          <w:color w:val="808080" w:themeColor="background1" w:themeShade="80"/>
          <w:sz w:val="16"/>
          <w:szCs w:val="16"/>
        </w:rPr>
        <w:t>Véase también</w:t>
      </w:r>
      <w:r w:rsidRPr="00930562">
        <w:rPr>
          <w:rFonts w:asciiTheme="minorHAnsi" w:hAnsiTheme="minorHAnsi" w:cstheme="minorHAnsi"/>
          <w:color w:val="808080" w:themeColor="background1" w:themeShade="80"/>
          <w:sz w:val="16"/>
          <w:szCs w:val="16"/>
        </w:rPr>
        <w:t xml:space="preserve"> ProPublica, </w:t>
      </w:r>
      <w:hyperlink r:id="rId66" w:history="1">
        <w:r w:rsidRPr="00930562">
          <w:rPr>
            <w:rStyle w:val="Hyperlink"/>
            <w:rFonts w:asciiTheme="minorHAnsi" w:hAnsiTheme="minorHAnsi" w:cstheme="minorHAnsi"/>
            <w:color w:val="808080" w:themeColor="background1" w:themeShade="80"/>
            <w:sz w:val="16"/>
            <w:szCs w:val="16"/>
          </w:rPr>
          <w:t>Living Apart: How the Government Betrayed a Landmark Civil Rights Law</w:t>
        </w:r>
      </w:hyperlink>
      <w:r w:rsidRPr="00930562">
        <w:rPr>
          <w:rFonts w:asciiTheme="minorHAnsi" w:hAnsiTheme="minorHAnsi" w:cstheme="minorHAnsi"/>
          <w:color w:val="808080" w:themeColor="background1" w:themeShade="80"/>
          <w:sz w:val="16"/>
          <w:szCs w:val="16"/>
        </w:rPr>
        <w:t>, 25 de junio de 2015.</w:t>
      </w:r>
    </w:p>
  </w:footnote>
  <w:footnote w:id="40">
    <w:p w14:paraId="148785EE"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MX"/>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r>
      <w:r w:rsidRPr="00930562">
        <w:rPr>
          <w:rFonts w:asciiTheme="minorHAnsi" w:hAnsiTheme="minorHAnsi" w:cstheme="minorHAnsi"/>
          <w:i/>
          <w:color w:val="808080" w:themeColor="background1" w:themeShade="80"/>
          <w:sz w:val="16"/>
          <w:szCs w:val="16"/>
          <w:lang w:val="es-MX"/>
        </w:rPr>
        <w:t>Feeding America</w:t>
      </w:r>
      <w:r w:rsidRPr="00930562">
        <w:rPr>
          <w:rFonts w:asciiTheme="minorHAnsi" w:hAnsiTheme="minorHAnsi" w:cstheme="minorHAnsi"/>
          <w:color w:val="808080" w:themeColor="background1" w:themeShade="80"/>
          <w:sz w:val="16"/>
          <w:szCs w:val="16"/>
          <w:lang w:val="es-MX"/>
        </w:rPr>
        <w:t xml:space="preserve">, </w:t>
      </w:r>
      <w:hyperlink r:id="rId67" w:history="1">
        <w:r w:rsidRPr="00930562">
          <w:rPr>
            <w:rStyle w:val="Hyperlink"/>
            <w:rFonts w:asciiTheme="minorHAnsi" w:hAnsiTheme="minorHAnsi" w:cstheme="minorHAnsi"/>
            <w:color w:val="808080" w:themeColor="background1" w:themeShade="80"/>
            <w:sz w:val="16"/>
            <w:szCs w:val="16"/>
            <w:lang w:val="es-MX"/>
          </w:rPr>
          <w:t>African American Hunger Facts</w:t>
        </w:r>
      </w:hyperlink>
      <w:r w:rsidRPr="00930562">
        <w:rPr>
          <w:rFonts w:asciiTheme="minorHAnsi" w:hAnsiTheme="minorHAnsi" w:cstheme="minorHAnsi"/>
          <w:color w:val="808080" w:themeColor="background1" w:themeShade="80"/>
          <w:sz w:val="16"/>
          <w:szCs w:val="16"/>
          <w:lang w:val="es-MX"/>
        </w:rPr>
        <w:t>, 21 de junio de 2017.</w:t>
      </w:r>
    </w:p>
  </w:footnote>
  <w:footnote w:id="41">
    <w:p w14:paraId="2E29B54F"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u w:val="single"/>
          <w:lang w:val="es-MX"/>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t xml:space="preserve">El caso emblemático es en Flint, Michigan (una ciudad cuya población es 57 por ciento afroamericana, con un 40 por ciento den residentes viviendo bajo la línea de la pobreza). El gran desastre ambiental y de salud pública debido a contaminación extrema por efecto de presencia de plomo en el agua potable de la ciudad fue denunciado por primera vez en el 2014 y se mantuvo sin resolver hasta finales de 2017. </w:t>
      </w:r>
      <w:r w:rsidRPr="00930562">
        <w:rPr>
          <w:rFonts w:asciiTheme="minorHAnsi" w:hAnsiTheme="minorHAnsi" w:cstheme="minorHAnsi"/>
          <w:color w:val="808080" w:themeColor="background1" w:themeShade="80"/>
          <w:sz w:val="16"/>
          <w:szCs w:val="16"/>
        </w:rPr>
        <w:t xml:space="preserve">NPR, </w:t>
      </w:r>
      <w:hyperlink r:id="rId68" w:history="1">
        <w:r w:rsidRPr="00930562">
          <w:rPr>
            <w:rStyle w:val="Hyperlink"/>
            <w:rFonts w:asciiTheme="minorHAnsi" w:hAnsiTheme="minorHAnsi" w:cstheme="minorHAnsi"/>
            <w:color w:val="808080" w:themeColor="background1" w:themeShade="80"/>
            <w:sz w:val="16"/>
            <w:szCs w:val="16"/>
          </w:rPr>
          <w:t xml:space="preserve">Lead-Laced Water </w:t>
        </w:r>
        <w:proofErr w:type="gramStart"/>
        <w:r w:rsidRPr="00930562">
          <w:rPr>
            <w:rStyle w:val="Hyperlink"/>
            <w:rFonts w:asciiTheme="minorHAnsi" w:hAnsiTheme="minorHAnsi" w:cstheme="minorHAnsi"/>
            <w:color w:val="808080" w:themeColor="background1" w:themeShade="80"/>
            <w:sz w:val="16"/>
            <w:szCs w:val="16"/>
          </w:rPr>
          <w:t>In</w:t>
        </w:r>
        <w:proofErr w:type="gramEnd"/>
        <w:r w:rsidRPr="00930562">
          <w:rPr>
            <w:rStyle w:val="Hyperlink"/>
            <w:rFonts w:asciiTheme="minorHAnsi" w:hAnsiTheme="minorHAnsi" w:cstheme="minorHAnsi"/>
            <w:color w:val="808080" w:themeColor="background1" w:themeShade="80"/>
            <w:sz w:val="16"/>
            <w:szCs w:val="16"/>
          </w:rPr>
          <w:t xml:space="preserve"> Flint: A Step-By-Step Look At The Makings Of A Crisis</w:t>
        </w:r>
      </w:hyperlink>
      <w:r w:rsidRPr="00930562">
        <w:rPr>
          <w:rStyle w:val="Hyperlink"/>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 xml:space="preserve">20 de abril de 2016. </w:t>
      </w:r>
      <w:r w:rsidRPr="00930562">
        <w:rPr>
          <w:rFonts w:asciiTheme="minorHAnsi" w:hAnsiTheme="minorHAnsi" w:cstheme="minorHAnsi"/>
          <w:color w:val="808080" w:themeColor="background1" w:themeShade="80"/>
          <w:sz w:val="16"/>
          <w:szCs w:val="16"/>
          <w:lang w:val="es-MX"/>
        </w:rPr>
        <w:t xml:space="preserve">Los expertos dieron por “finalizada certeramente” la crisis de 2017, aunque las autoridades continuaron recomendado el uso de sistemas de filtro de agua en las casas durante al menos los próximos años. </w:t>
      </w:r>
      <w:r w:rsidRPr="00930562">
        <w:rPr>
          <w:rFonts w:asciiTheme="minorHAnsi" w:hAnsiTheme="minorHAnsi" w:cstheme="minorHAnsi"/>
          <w:color w:val="808080" w:themeColor="background1" w:themeShade="80"/>
          <w:sz w:val="16"/>
          <w:szCs w:val="16"/>
        </w:rPr>
        <w:t xml:space="preserve">U.S. News &amp; World Report, </w:t>
      </w:r>
      <w:hyperlink r:id="rId69" w:history="1">
        <w:r w:rsidRPr="00930562">
          <w:rPr>
            <w:rStyle w:val="Hyperlink"/>
            <w:rFonts w:asciiTheme="minorHAnsi" w:hAnsiTheme="minorHAnsi" w:cstheme="minorHAnsi"/>
            <w:color w:val="808080" w:themeColor="background1" w:themeShade="80"/>
            <w:sz w:val="16"/>
            <w:szCs w:val="16"/>
          </w:rPr>
          <w:t>Expert Declares Qualified End to Water Crisis in Flint</w:t>
        </w:r>
      </w:hyperlink>
      <w:r w:rsidRPr="00930562">
        <w:rPr>
          <w:rFonts w:asciiTheme="minorHAnsi" w:hAnsiTheme="minorHAnsi" w:cstheme="minorHAnsi"/>
          <w:color w:val="808080" w:themeColor="background1" w:themeShade="80"/>
          <w:sz w:val="16"/>
          <w:szCs w:val="16"/>
        </w:rPr>
        <w:t xml:space="preserve">, 15 de septiembre de 2017; Detroit News, </w:t>
      </w:r>
      <w:hyperlink r:id="rId70" w:history="1">
        <w:r w:rsidRPr="00930562">
          <w:rPr>
            <w:rStyle w:val="Hyperlink"/>
            <w:rFonts w:asciiTheme="minorHAnsi" w:hAnsiTheme="minorHAnsi" w:cstheme="minorHAnsi"/>
            <w:color w:val="808080" w:themeColor="background1" w:themeShade="80"/>
            <w:sz w:val="16"/>
            <w:szCs w:val="16"/>
          </w:rPr>
          <w:t>Flint: ‘All clear’ for drinking water years away</w:t>
        </w:r>
      </w:hyperlink>
      <w:r w:rsidRPr="00930562">
        <w:rPr>
          <w:rFonts w:asciiTheme="minorHAnsi" w:hAnsiTheme="minorHAnsi" w:cstheme="minorHAnsi"/>
          <w:color w:val="808080" w:themeColor="background1" w:themeShade="80"/>
          <w:sz w:val="16"/>
          <w:szCs w:val="16"/>
        </w:rPr>
        <w:t xml:space="preserve">, 7 de marzo de 2017; CNN, </w:t>
      </w:r>
      <w:hyperlink r:id="rId71" w:history="1">
        <w:r w:rsidRPr="00930562">
          <w:rPr>
            <w:rStyle w:val="Hyperlink"/>
            <w:rFonts w:asciiTheme="minorHAnsi" w:hAnsiTheme="minorHAnsi" w:cstheme="minorHAnsi"/>
            <w:color w:val="808080" w:themeColor="background1" w:themeShade="80"/>
            <w:sz w:val="16"/>
            <w:szCs w:val="16"/>
          </w:rPr>
          <w:t>Flint, Michigan: Did race and poverty factor into water crisis?</w:t>
        </w:r>
      </w:hyperlink>
      <w:r w:rsidRPr="00930562">
        <w:rPr>
          <w:rFonts w:asciiTheme="minorHAnsi" w:hAnsiTheme="minorHAnsi" w:cstheme="minorHAnsi"/>
          <w:color w:val="808080" w:themeColor="background1" w:themeShade="80"/>
          <w:sz w:val="16"/>
          <w:szCs w:val="16"/>
        </w:rPr>
        <w:t xml:space="preserve">, 28 de enero de 2016. </w:t>
      </w:r>
      <w:r w:rsidRPr="00930562">
        <w:rPr>
          <w:rFonts w:asciiTheme="minorHAnsi" w:hAnsiTheme="minorHAnsi" w:cstheme="minorHAnsi"/>
          <w:i/>
          <w:color w:val="808080" w:themeColor="background1" w:themeShade="80"/>
          <w:sz w:val="16"/>
          <w:szCs w:val="16"/>
          <w:lang w:val="es-MX"/>
        </w:rPr>
        <w:t xml:space="preserve">Véase también </w:t>
      </w:r>
      <w:r w:rsidRPr="00930562">
        <w:rPr>
          <w:rFonts w:asciiTheme="minorHAnsi" w:hAnsiTheme="minorHAnsi" w:cstheme="minorHAnsi"/>
          <w:color w:val="808080" w:themeColor="background1" w:themeShade="80"/>
          <w:sz w:val="16"/>
          <w:szCs w:val="16"/>
          <w:lang w:val="es-MX"/>
        </w:rPr>
        <w:t xml:space="preserve">Consejo de Defensa de los Recursos Nacionales, </w:t>
      </w:r>
      <w:hyperlink r:id="rId72" w:history="1">
        <w:r w:rsidRPr="00930562">
          <w:rPr>
            <w:rStyle w:val="Hyperlink"/>
            <w:rFonts w:asciiTheme="minorHAnsi" w:hAnsiTheme="minorHAnsi" w:cstheme="minorHAnsi"/>
            <w:color w:val="808080" w:themeColor="background1" w:themeShade="80"/>
            <w:sz w:val="16"/>
            <w:szCs w:val="16"/>
            <w:lang w:val="es-MX"/>
          </w:rPr>
          <w:t>INFORME: Casi una de cada cuatro personas que consumen agua potable lo hacen de sistemas no testeados o contaminados</w:t>
        </w:r>
      </w:hyperlink>
      <w:r w:rsidRPr="00930562">
        <w:rPr>
          <w:rFonts w:asciiTheme="minorHAnsi" w:hAnsiTheme="minorHAnsi" w:cstheme="minorHAnsi"/>
          <w:color w:val="808080" w:themeColor="background1" w:themeShade="80"/>
          <w:sz w:val="16"/>
          <w:szCs w:val="16"/>
          <w:lang w:val="es-MX"/>
        </w:rPr>
        <w:t>, 2 de mayo de 2017.</w:t>
      </w:r>
    </w:p>
  </w:footnote>
  <w:footnote w:id="42">
    <w:p w14:paraId="111D53DF"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MX"/>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r>
      <w:r w:rsidRPr="00930562">
        <w:rPr>
          <w:rFonts w:asciiTheme="minorHAnsi" w:hAnsiTheme="minorHAnsi" w:cstheme="minorHAnsi"/>
          <w:i/>
          <w:color w:val="808080" w:themeColor="background1" w:themeShade="80"/>
          <w:sz w:val="16"/>
          <w:szCs w:val="16"/>
          <w:lang w:val="es-MX"/>
        </w:rPr>
        <w:t>Véase</w:t>
      </w:r>
      <w:r w:rsidRPr="00930562">
        <w:rPr>
          <w:rFonts w:asciiTheme="minorHAnsi" w:hAnsiTheme="minorHAnsi" w:cstheme="minorHAnsi"/>
          <w:color w:val="808080" w:themeColor="background1" w:themeShade="80"/>
          <w:sz w:val="16"/>
          <w:szCs w:val="16"/>
          <w:lang w:val="es-MX"/>
        </w:rPr>
        <w:t xml:space="preserve"> CERD, </w:t>
      </w:r>
      <w:hyperlink r:id="rId73" w:history="1">
        <w:r w:rsidRPr="00930562">
          <w:rPr>
            <w:rStyle w:val="Hyperlink"/>
            <w:rFonts w:asciiTheme="minorHAnsi" w:hAnsiTheme="minorHAnsi" w:cstheme="minorHAnsi"/>
            <w:bCs/>
            <w:iCs/>
            <w:color w:val="808080" w:themeColor="background1" w:themeShade="80"/>
            <w:sz w:val="16"/>
            <w:szCs w:val="16"/>
            <w:lang w:val="es-MX"/>
          </w:rPr>
          <w:t>Observaciones Finales 2014</w:t>
        </w:r>
      </w:hyperlink>
      <w:r w:rsidRPr="00930562">
        <w:rPr>
          <w:rFonts w:asciiTheme="minorHAnsi" w:hAnsiTheme="minorHAnsi" w:cstheme="minorHAnsi"/>
          <w:color w:val="808080" w:themeColor="background1" w:themeShade="80"/>
          <w:sz w:val="16"/>
          <w:szCs w:val="16"/>
          <w:lang w:val="es-MX"/>
        </w:rPr>
        <w:t xml:space="preserve">, 25 de septiembre de 2014, párr. 10 (“[…] las minorías raciales y étnicas, como así también los pueblos indígenas, continúan siendo desproporcionadamente afectados por el impacto negativo en la salud de la contaminación causada por las industrias extractivas y manufactureras.”). Sobre este tema, </w:t>
      </w:r>
      <w:r w:rsidRPr="00930562">
        <w:rPr>
          <w:rFonts w:asciiTheme="minorHAnsi" w:hAnsiTheme="minorHAnsi" w:cstheme="minorHAnsi"/>
          <w:i/>
          <w:color w:val="808080" w:themeColor="background1" w:themeShade="80"/>
          <w:sz w:val="16"/>
          <w:szCs w:val="16"/>
          <w:lang w:val="es-MX"/>
        </w:rPr>
        <w:t xml:space="preserve">véase también </w:t>
      </w:r>
      <w:r w:rsidRPr="00930562">
        <w:rPr>
          <w:rFonts w:asciiTheme="minorHAnsi" w:hAnsiTheme="minorHAnsi" w:cstheme="minorHAnsi"/>
          <w:color w:val="808080" w:themeColor="background1" w:themeShade="80"/>
          <w:sz w:val="16"/>
          <w:szCs w:val="16"/>
          <w:lang w:val="es-MX"/>
        </w:rPr>
        <w:t xml:space="preserve"> Washington Post, </w:t>
      </w:r>
      <w:hyperlink r:id="rId74" w:history="1">
        <w:r w:rsidRPr="00930562">
          <w:rPr>
            <w:rStyle w:val="Hyperlink"/>
            <w:rFonts w:asciiTheme="minorHAnsi" w:hAnsiTheme="minorHAnsi" w:cstheme="minorHAnsi"/>
            <w:color w:val="808080" w:themeColor="background1" w:themeShade="80"/>
            <w:sz w:val="16"/>
            <w:szCs w:val="16"/>
            <w:lang w:val="es-MX"/>
          </w:rPr>
          <w:t>Freddie Gray’s life a study on the effects of lead paint on poor blacks</w:t>
        </w:r>
      </w:hyperlink>
      <w:r w:rsidRPr="00930562">
        <w:rPr>
          <w:rFonts w:asciiTheme="minorHAnsi" w:hAnsiTheme="minorHAnsi" w:cstheme="minorHAnsi"/>
          <w:color w:val="808080" w:themeColor="background1" w:themeShade="80"/>
          <w:sz w:val="16"/>
          <w:szCs w:val="16"/>
          <w:lang w:val="es-MX"/>
        </w:rPr>
        <w:t xml:space="preserve">, 29 de abril de 2015; CIDH, </w:t>
      </w:r>
      <w:hyperlink r:id="rId75" w:history="1">
        <w:r w:rsidRPr="00930562">
          <w:rPr>
            <w:rStyle w:val="Hyperlink"/>
            <w:rFonts w:asciiTheme="minorHAnsi" w:hAnsiTheme="minorHAnsi" w:cstheme="minorHAnsi"/>
            <w:color w:val="808080" w:themeColor="background1" w:themeShade="80"/>
            <w:sz w:val="16"/>
            <w:szCs w:val="16"/>
            <w:lang w:val="es-MX"/>
          </w:rPr>
          <w:t>Pueblos Indígenas, comunidades afrodescendientes e industrias extractivas</w:t>
        </w:r>
      </w:hyperlink>
      <w:r w:rsidRPr="00930562">
        <w:rPr>
          <w:rFonts w:asciiTheme="minorHAnsi" w:hAnsiTheme="minorHAnsi" w:cstheme="minorHAnsi"/>
          <w:color w:val="808080" w:themeColor="background1" w:themeShade="80"/>
          <w:sz w:val="16"/>
          <w:szCs w:val="16"/>
          <w:lang w:val="es-MX"/>
        </w:rPr>
        <w:t>, OEA/Ser.L/V/II., Doc. 47/15 (2015).</w:t>
      </w:r>
    </w:p>
  </w:footnote>
  <w:footnote w:id="43">
    <w:p w14:paraId="2D274005"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t xml:space="preserve">Allan S. Noonan, et al., </w:t>
      </w:r>
      <w:hyperlink r:id="rId76" w:history="1">
        <w:r w:rsidRPr="00930562">
          <w:rPr>
            <w:rStyle w:val="Hyperlink"/>
            <w:rFonts w:asciiTheme="minorHAnsi" w:hAnsiTheme="minorHAnsi" w:cstheme="minorHAnsi"/>
            <w:color w:val="808080" w:themeColor="background1" w:themeShade="80"/>
            <w:sz w:val="16"/>
            <w:szCs w:val="16"/>
            <w:lang w:val="es-MX"/>
          </w:rPr>
          <w:t>Improving the health of African Americans in the USA: an overdue opportunity for social justice</w:t>
        </w:r>
      </w:hyperlink>
      <w:r w:rsidRPr="00930562">
        <w:rPr>
          <w:rFonts w:asciiTheme="minorHAnsi" w:hAnsiTheme="minorHAnsi" w:cstheme="minorHAnsi"/>
          <w:color w:val="808080" w:themeColor="background1" w:themeShade="80"/>
          <w:sz w:val="16"/>
          <w:szCs w:val="16"/>
          <w:lang w:val="es-MX"/>
        </w:rPr>
        <w:t xml:space="preserve">, 2016; </w:t>
      </w:r>
      <w:r w:rsidRPr="00930562">
        <w:rPr>
          <w:rFonts w:asciiTheme="minorHAnsi" w:hAnsiTheme="minorHAnsi" w:cstheme="minorHAnsi"/>
          <w:i/>
          <w:color w:val="808080" w:themeColor="background1" w:themeShade="80"/>
          <w:sz w:val="16"/>
          <w:szCs w:val="16"/>
          <w:lang w:val="es-MX"/>
        </w:rPr>
        <w:t xml:space="preserve">véase también </w:t>
      </w:r>
      <w:r w:rsidRPr="00930562">
        <w:rPr>
          <w:rFonts w:asciiTheme="minorHAnsi" w:eastAsia="Times New Roman" w:hAnsiTheme="minorHAnsi" w:cstheme="minorHAnsi"/>
          <w:bCs/>
          <w:color w:val="808080" w:themeColor="background1" w:themeShade="80"/>
          <w:sz w:val="16"/>
          <w:szCs w:val="16"/>
          <w:lang w:val="es-MX" w:eastAsia="es-ES"/>
        </w:rPr>
        <w:t xml:space="preserve">CIDH, </w:t>
      </w:r>
      <w:hyperlink r:id="rId77" w:history="1">
        <w:r w:rsidRPr="00930562">
          <w:rPr>
            <w:rStyle w:val="Hyperlink"/>
            <w:rFonts w:asciiTheme="minorHAnsi" w:eastAsia="Times New Roman" w:hAnsiTheme="minorHAnsi" w:cstheme="minorHAnsi"/>
            <w:bCs/>
            <w:color w:val="808080" w:themeColor="background1" w:themeShade="80"/>
            <w:sz w:val="16"/>
            <w:szCs w:val="16"/>
            <w:lang w:val="es-MX" w:eastAsia="es-ES"/>
          </w:rPr>
          <w:t>La Situación de las personas afrodescendientes en las Américas</w:t>
        </w:r>
      </w:hyperlink>
      <w:r w:rsidRPr="00930562">
        <w:rPr>
          <w:rFonts w:asciiTheme="minorHAnsi" w:eastAsia="Times New Roman" w:hAnsiTheme="minorHAnsi" w:cstheme="minorHAnsi"/>
          <w:bCs/>
          <w:color w:val="808080" w:themeColor="background1" w:themeShade="80"/>
          <w:sz w:val="16"/>
          <w:szCs w:val="16"/>
          <w:lang w:val="es-MX" w:eastAsia="es-ES"/>
        </w:rPr>
        <w:t>, (2011)</w:t>
      </w:r>
      <w:r w:rsidRPr="00930562">
        <w:rPr>
          <w:rFonts w:asciiTheme="minorHAnsi" w:eastAsia="Times New Roman" w:hAnsiTheme="minorHAnsi" w:cstheme="minorHAnsi"/>
          <w:color w:val="808080" w:themeColor="background1" w:themeShade="80"/>
          <w:sz w:val="16"/>
          <w:szCs w:val="16"/>
          <w:lang w:val="es-MX" w:eastAsia="es-ES"/>
        </w:rPr>
        <w:t xml:space="preserve">, párr. </w:t>
      </w:r>
      <w:r w:rsidRPr="00930562">
        <w:rPr>
          <w:rFonts w:asciiTheme="minorHAnsi" w:eastAsia="Times New Roman" w:hAnsiTheme="minorHAnsi" w:cstheme="minorHAnsi"/>
          <w:color w:val="808080" w:themeColor="background1" w:themeShade="80"/>
          <w:sz w:val="16"/>
          <w:szCs w:val="16"/>
          <w:lang w:eastAsia="es-ES"/>
        </w:rPr>
        <w:t xml:space="preserve">52; </w:t>
      </w:r>
      <w:r w:rsidRPr="00930562">
        <w:rPr>
          <w:rFonts w:asciiTheme="minorHAnsi" w:hAnsiTheme="minorHAnsi" w:cstheme="minorHAnsi"/>
          <w:color w:val="808080" w:themeColor="background1" w:themeShade="80"/>
          <w:sz w:val="16"/>
          <w:szCs w:val="16"/>
        </w:rPr>
        <w:t xml:space="preserve">CERD, </w:t>
      </w:r>
      <w:hyperlink r:id="rId78" w:history="1">
        <w:r w:rsidRPr="00930562">
          <w:rPr>
            <w:rStyle w:val="Hyperlink"/>
            <w:rFonts w:asciiTheme="minorHAnsi" w:hAnsiTheme="minorHAnsi" w:cstheme="minorHAnsi"/>
            <w:bCs/>
            <w:iCs/>
            <w:color w:val="808080" w:themeColor="background1" w:themeShade="80"/>
            <w:sz w:val="16"/>
            <w:szCs w:val="16"/>
          </w:rPr>
          <w:t>Observaciones Finales 2014</w:t>
        </w:r>
      </w:hyperlink>
      <w:r w:rsidRPr="00930562">
        <w:rPr>
          <w:rFonts w:asciiTheme="minorHAnsi" w:hAnsiTheme="minorHAnsi" w:cstheme="minorHAnsi"/>
          <w:color w:val="808080" w:themeColor="background1" w:themeShade="80"/>
          <w:sz w:val="16"/>
          <w:szCs w:val="16"/>
        </w:rPr>
        <w:t>, párr. 15</w:t>
      </w:r>
      <w:r w:rsidRPr="00930562">
        <w:rPr>
          <w:rFonts w:asciiTheme="minorHAnsi" w:eastAsia="Times New Roman" w:hAnsiTheme="minorHAnsi" w:cstheme="minorHAnsi"/>
          <w:color w:val="808080" w:themeColor="background1" w:themeShade="80"/>
          <w:sz w:val="16"/>
          <w:szCs w:val="16"/>
          <w:lang w:eastAsia="es-ES"/>
        </w:rPr>
        <w:t xml:space="preserve">. </w:t>
      </w:r>
    </w:p>
  </w:footnote>
  <w:footnote w:id="44">
    <w:p w14:paraId="55CFC786"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LA Times, </w:t>
      </w:r>
      <w:hyperlink r:id="rId79" w:history="1">
        <w:r w:rsidRPr="00930562">
          <w:rPr>
            <w:rStyle w:val="Hyperlink"/>
            <w:rFonts w:asciiTheme="minorHAnsi" w:hAnsiTheme="minorHAnsi" w:cstheme="minorHAnsi"/>
            <w:color w:val="808080" w:themeColor="background1" w:themeShade="80"/>
            <w:sz w:val="16"/>
            <w:szCs w:val="16"/>
          </w:rPr>
          <w:t>The quiet crisis among African Americans: Pregnancy and childbirth are killing women at inexplicable rates</w:t>
        </w:r>
      </w:hyperlink>
      <w:r w:rsidRPr="00930562">
        <w:rPr>
          <w:rFonts w:asciiTheme="minorHAnsi" w:hAnsiTheme="minorHAnsi" w:cstheme="minorHAnsi"/>
          <w:color w:val="808080" w:themeColor="background1" w:themeShade="80"/>
          <w:sz w:val="16"/>
          <w:szCs w:val="16"/>
        </w:rPr>
        <w:t xml:space="preserve">, 26 de octubre de 2017; In Our Own Voice, </w:t>
      </w:r>
      <w:hyperlink r:id="rId80" w:history="1">
        <w:r w:rsidRPr="00930562">
          <w:rPr>
            <w:rStyle w:val="Hyperlink"/>
            <w:rFonts w:asciiTheme="minorHAnsi" w:hAnsiTheme="minorHAnsi" w:cstheme="minorHAnsi"/>
            <w:color w:val="808080" w:themeColor="background1" w:themeShade="80"/>
            <w:sz w:val="16"/>
            <w:szCs w:val="16"/>
          </w:rPr>
          <w:t>Our Bodies, Our Lives, Our Voices: The State of Black Women and Reproductive Justice</w:t>
        </w:r>
      </w:hyperlink>
      <w:r w:rsidRPr="00930562">
        <w:rPr>
          <w:rStyle w:val="Hyperlink"/>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 xml:space="preserve"> Junio 2017; CERD, </w:t>
      </w:r>
      <w:hyperlink r:id="rId81" w:history="1">
        <w:r w:rsidRPr="00930562">
          <w:rPr>
            <w:rStyle w:val="Hyperlink"/>
            <w:rFonts w:asciiTheme="minorHAnsi" w:hAnsiTheme="minorHAnsi" w:cstheme="minorHAnsi"/>
            <w:bCs/>
            <w:iCs/>
            <w:color w:val="808080" w:themeColor="background1" w:themeShade="80"/>
            <w:sz w:val="16"/>
            <w:szCs w:val="16"/>
          </w:rPr>
          <w:t>Observaciones Finales 2014</w:t>
        </w:r>
      </w:hyperlink>
      <w:r w:rsidRPr="00930562">
        <w:rPr>
          <w:rFonts w:asciiTheme="minorHAnsi" w:hAnsiTheme="minorHAnsi" w:cstheme="minorHAnsi"/>
          <w:color w:val="808080" w:themeColor="background1" w:themeShade="80"/>
          <w:sz w:val="16"/>
          <w:szCs w:val="16"/>
        </w:rPr>
        <w:t xml:space="preserve">, 25 de septiembre de 2014, párr. </w:t>
      </w:r>
      <w:r w:rsidRPr="00930562">
        <w:rPr>
          <w:rFonts w:asciiTheme="minorHAnsi" w:hAnsiTheme="minorHAnsi" w:cstheme="minorHAnsi"/>
          <w:color w:val="808080" w:themeColor="background1" w:themeShade="80"/>
          <w:sz w:val="16"/>
          <w:szCs w:val="16"/>
          <w:lang w:val="es-MX"/>
        </w:rPr>
        <w:t xml:space="preserve">15; </w:t>
      </w:r>
      <w:r w:rsidRPr="00930562">
        <w:rPr>
          <w:rFonts w:asciiTheme="minorHAnsi" w:eastAsia="Times New Roman" w:hAnsiTheme="minorHAnsi" w:cstheme="minorHAnsi"/>
          <w:bCs/>
          <w:color w:val="808080" w:themeColor="background1" w:themeShade="80"/>
          <w:sz w:val="16"/>
          <w:szCs w:val="16"/>
          <w:lang w:val="es-MX" w:eastAsia="es-ES"/>
        </w:rPr>
        <w:t xml:space="preserve">CIDH, </w:t>
      </w:r>
      <w:hyperlink r:id="rId82" w:history="1">
        <w:r w:rsidRPr="00930562">
          <w:rPr>
            <w:rStyle w:val="Hyperlink"/>
            <w:rFonts w:asciiTheme="minorHAnsi" w:eastAsia="Times New Roman" w:hAnsiTheme="minorHAnsi" w:cstheme="minorHAnsi"/>
            <w:bCs/>
            <w:color w:val="808080" w:themeColor="background1" w:themeShade="80"/>
            <w:sz w:val="16"/>
            <w:szCs w:val="16"/>
            <w:lang w:val="es-MX" w:eastAsia="es-ES"/>
          </w:rPr>
          <w:t>La Situación de las personas afrodescendientes en las Américas</w:t>
        </w:r>
      </w:hyperlink>
      <w:r w:rsidRPr="00930562">
        <w:rPr>
          <w:rFonts w:asciiTheme="minorHAnsi" w:eastAsia="Times New Roman" w:hAnsiTheme="minorHAnsi" w:cstheme="minorHAnsi"/>
          <w:bCs/>
          <w:color w:val="808080" w:themeColor="background1" w:themeShade="80"/>
          <w:sz w:val="16"/>
          <w:szCs w:val="16"/>
          <w:lang w:val="es-MX" w:eastAsia="es-ES"/>
        </w:rPr>
        <w:t>, (2011)</w:t>
      </w:r>
      <w:r w:rsidRPr="00930562">
        <w:rPr>
          <w:rFonts w:asciiTheme="minorHAnsi" w:eastAsia="Times New Roman" w:hAnsiTheme="minorHAnsi" w:cstheme="minorHAnsi"/>
          <w:color w:val="808080" w:themeColor="background1" w:themeShade="80"/>
          <w:sz w:val="16"/>
          <w:szCs w:val="16"/>
          <w:lang w:val="es-MX" w:eastAsia="es-ES"/>
        </w:rPr>
        <w:t xml:space="preserve">, párr. </w:t>
      </w:r>
      <w:r w:rsidRPr="00930562">
        <w:rPr>
          <w:rFonts w:asciiTheme="minorHAnsi" w:eastAsia="Times New Roman" w:hAnsiTheme="minorHAnsi" w:cstheme="minorHAnsi"/>
          <w:color w:val="808080" w:themeColor="background1" w:themeShade="80"/>
          <w:sz w:val="16"/>
          <w:szCs w:val="16"/>
          <w:lang w:eastAsia="es-ES"/>
        </w:rPr>
        <w:t xml:space="preserve">68. </w:t>
      </w:r>
    </w:p>
  </w:footnote>
  <w:footnote w:id="45">
    <w:p w14:paraId="1F263301"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CNN, </w:t>
      </w:r>
      <w:hyperlink r:id="rId83" w:history="1">
        <w:r w:rsidRPr="00930562">
          <w:rPr>
            <w:rStyle w:val="Hyperlink"/>
            <w:rFonts w:asciiTheme="minorHAnsi" w:hAnsiTheme="minorHAnsi" w:cstheme="minorHAnsi"/>
            <w:color w:val="808080" w:themeColor="background1" w:themeShade="80"/>
            <w:sz w:val="16"/>
            <w:szCs w:val="16"/>
          </w:rPr>
          <w:t>Racism in medicine: An 'open secret'</w:t>
        </w:r>
      </w:hyperlink>
      <w:r w:rsidRPr="00930562">
        <w:rPr>
          <w:rFonts w:asciiTheme="minorHAnsi" w:hAnsiTheme="minorHAnsi" w:cstheme="minorHAnsi"/>
          <w:color w:val="808080" w:themeColor="background1" w:themeShade="80"/>
          <w:sz w:val="16"/>
          <w:szCs w:val="16"/>
        </w:rPr>
        <w:t xml:space="preserve">, 26 de octubre de 2016; U.S. News &amp; World Report, </w:t>
      </w:r>
      <w:hyperlink r:id="rId84" w:history="1">
        <w:r w:rsidRPr="00930562">
          <w:rPr>
            <w:rStyle w:val="Hyperlink"/>
            <w:rFonts w:asciiTheme="minorHAnsi" w:hAnsiTheme="minorHAnsi" w:cstheme="minorHAnsi"/>
            <w:color w:val="808080" w:themeColor="background1" w:themeShade="80"/>
            <w:sz w:val="16"/>
            <w:szCs w:val="16"/>
          </w:rPr>
          <w:t>Racial Bias in Medicine Leads to Worse Care for Minorities</w:t>
        </w:r>
      </w:hyperlink>
      <w:r w:rsidRPr="00930562">
        <w:rPr>
          <w:rFonts w:asciiTheme="minorHAnsi" w:hAnsiTheme="minorHAnsi" w:cstheme="minorHAnsi"/>
          <w:color w:val="808080" w:themeColor="background1" w:themeShade="80"/>
          <w:sz w:val="16"/>
          <w:szCs w:val="16"/>
        </w:rPr>
        <w:t xml:space="preserve">, 11 de febrero de 2016. </w:t>
      </w:r>
    </w:p>
  </w:footnote>
  <w:footnote w:id="46">
    <w:p w14:paraId="177F603E"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Handbook of Research in Education Finance and Policy, </w:t>
      </w:r>
      <w:hyperlink r:id="rId85" w:history="1">
        <w:r w:rsidRPr="00930562">
          <w:rPr>
            <w:rStyle w:val="Hyperlink"/>
            <w:rFonts w:asciiTheme="minorHAnsi" w:hAnsiTheme="minorHAnsi" w:cstheme="minorHAnsi"/>
            <w:color w:val="808080" w:themeColor="background1" w:themeShade="80"/>
            <w:sz w:val="16"/>
            <w:szCs w:val="16"/>
          </w:rPr>
          <w:t>Patterns and Trends in Racial/Ethnic and Socioeconomic Academic Achievement Gaps</w:t>
        </w:r>
      </w:hyperlink>
      <w:r w:rsidRPr="00930562">
        <w:rPr>
          <w:rFonts w:asciiTheme="minorHAnsi" w:hAnsiTheme="minorHAnsi" w:cstheme="minorHAnsi"/>
          <w:color w:val="808080" w:themeColor="background1" w:themeShade="80"/>
          <w:sz w:val="16"/>
          <w:szCs w:val="16"/>
        </w:rPr>
        <w:t xml:space="preserve">; Brookings Institution, </w:t>
      </w:r>
      <w:hyperlink r:id="rId86" w:history="1">
        <w:r w:rsidRPr="00930562">
          <w:rPr>
            <w:rStyle w:val="Hyperlink"/>
            <w:rFonts w:asciiTheme="minorHAnsi" w:hAnsiTheme="minorHAnsi" w:cstheme="minorHAnsi"/>
            <w:color w:val="808080" w:themeColor="background1" w:themeShade="80"/>
            <w:sz w:val="16"/>
            <w:szCs w:val="16"/>
          </w:rPr>
          <w:t>7 findings that illustrate racial disparities in education</w:t>
        </w:r>
      </w:hyperlink>
      <w:r w:rsidRPr="00930562">
        <w:rPr>
          <w:rFonts w:asciiTheme="minorHAnsi" w:hAnsiTheme="minorHAnsi" w:cstheme="minorHAnsi"/>
          <w:color w:val="808080" w:themeColor="background1" w:themeShade="80"/>
          <w:sz w:val="16"/>
          <w:szCs w:val="16"/>
        </w:rPr>
        <w:t xml:space="preserve">, [7 conclusiones que ilustran las desigualdades raciales en la educación] 6 de junio de 2016; </w:t>
      </w:r>
      <w:r w:rsidRPr="00930562">
        <w:rPr>
          <w:rFonts w:asciiTheme="minorHAnsi" w:hAnsiTheme="minorHAnsi" w:cstheme="minorHAnsi"/>
          <w:i/>
          <w:color w:val="808080" w:themeColor="background1" w:themeShade="80"/>
          <w:sz w:val="16"/>
          <w:szCs w:val="16"/>
        </w:rPr>
        <w:t xml:space="preserve">véase también </w:t>
      </w:r>
      <w:r w:rsidRPr="00930562">
        <w:rPr>
          <w:rFonts w:asciiTheme="minorHAnsi" w:eastAsia="Times New Roman" w:hAnsiTheme="minorHAnsi" w:cstheme="minorHAnsi"/>
          <w:bCs/>
          <w:color w:val="808080" w:themeColor="background1" w:themeShade="80"/>
          <w:sz w:val="16"/>
          <w:szCs w:val="16"/>
          <w:lang w:eastAsia="es-ES"/>
        </w:rPr>
        <w:t xml:space="preserve">CIDH, </w:t>
      </w:r>
      <w:hyperlink r:id="rId87" w:history="1">
        <w:r w:rsidRPr="00930562">
          <w:rPr>
            <w:rStyle w:val="Hyperlink"/>
            <w:rFonts w:asciiTheme="minorHAnsi" w:eastAsia="Times New Roman" w:hAnsiTheme="minorHAnsi" w:cstheme="minorHAnsi"/>
            <w:bCs/>
            <w:color w:val="808080" w:themeColor="background1" w:themeShade="80"/>
            <w:sz w:val="16"/>
            <w:szCs w:val="16"/>
            <w:lang w:eastAsia="es-ES"/>
          </w:rPr>
          <w:t>La Situación de las personas afrodescendientes en las Américas</w:t>
        </w:r>
      </w:hyperlink>
      <w:r w:rsidRPr="00930562">
        <w:rPr>
          <w:rFonts w:asciiTheme="minorHAnsi" w:eastAsia="Times New Roman" w:hAnsiTheme="minorHAnsi" w:cstheme="minorHAnsi"/>
          <w:bCs/>
          <w:color w:val="808080" w:themeColor="background1" w:themeShade="80"/>
          <w:sz w:val="16"/>
          <w:szCs w:val="16"/>
          <w:lang w:eastAsia="es-ES"/>
        </w:rPr>
        <w:t>, (2011)</w:t>
      </w:r>
      <w:r w:rsidRPr="00930562">
        <w:rPr>
          <w:rFonts w:asciiTheme="minorHAnsi" w:eastAsia="Times New Roman" w:hAnsiTheme="minorHAnsi" w:cstheme="minorHAnsi"/>
          <w:color w:val="808080" w:themeColor="background1" w:themeShade="80"/>
          <w:sz w:val="16"/>
          <w:szCs w:val="16"/>
          <w:lang w:eastAsia="es-ES"/>
        </w:rPr>
        <w:t xml:space="preserve">, párrs. 53-54; </w:t>
      </w:r>
      <w:r w:rsidRPr="00930562">
        <w:rPr>
          <w:rFonts w:asciiTheme="minorHAnsi" w:hAnsiTheme="minorHAnsi" w:cstheme="minorHAnsi"/>
          <w:color w:val="808080" w:themeColor="background1" w:themeShade="80"/>
          <w:sz w:val="16"/>
          <w:szCs w:val="16"/>
        </w:rPr>
        <w:t xml:space="preserve">CERD, </w:t>
      </w:r>
      <w:hyperlink r:id="rId88" w:history="1">
        <w:r w:rsidRPr="00930562">
          <w:rPr>
            <w:rStyle w:val="Hyperlink"/>
            <w:rFonts w:asciiTheme="minorHAnsi" w:hAnsiTheme="minorHAnsi" w:cstheme="minorHAnsi"/>
            <w:bCs/>
            <w:iCs/>
            <w:color w:val="808080" w:themeColor="background1" w:themeShade="80"/>
            <w:sz w:val="16"/>
            <w:szCs w:val="16"/>
          </w:rPr>
          <w:t>Observaciones Finales 2014</w:t>
        </w:r>
      </w:hyperlink>
      <w:r w:rsidRPr="00930562">
        <w:rPr>
          <w:rFonts w:asciiTheme="minorHAnsi" w:hAnsiTheme="minorHAnsi" w:cstheme="minorHAnsi"/>
          <w:color w:val="808080" w:themeColor="background1" w:themeShade="80"/>
          <w:sz w:val="16"/>
          <w:szCs w:val="16"/>
        </w:rPr>
        <w:t>, 25 de septiembre de 2014, párr. 14.</w:t>
      </w:r>
    </w:p>
  </w:footnote>
  <w:footnote w:id="47">
    <w:p w14:paraId="0C9BEAD1"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USA Today, </w:t>
      </w:r>
      <w:hyperlink r:id="rId89" w:history="1">
        <w:r w:rsidRPr="00930562">
          <w:rPr>
            <w:rStyle w:val="Hyperlink"/>
            <w:rFonts w:asciiTheme="minorHAnsi" w:hAnsiTheme="minorHAnsi" w:cstheme="minorHAnsi"/>
            <w:color w:val="808080" w:themeColor="background1" w:themeShade="80"/>
            <w:sz w:val="16"/>
            <w:szCs w:val="16"/>
          </w:rPr>
          <w:t>Report: The race gap in higher education is very real</w:t>
        </w:r>
      </w:hyperlink>
      <w:r w:rsidRPr="00930562">
        <w:rPr>
          <w:rFonts w:asciiTheme="minorHAnsi" w:hAnsiTheme="minorHAnsi" w:cstheme="minorHAnsi"/>
          <w:color w:val="808080" w:themeColor="background1" w:themeShade="80"/>
          <w:sz w:val="16"/>
          <w:szCs w:val="16"/>
        </w:rPr>
        <w:t xml:space="preserve">, 7 de marzo de 2017; The Chronicle of Higher Education, </w:t>
      </w:r>
      <w:hyperlink r:id="rId90" w:history="1">
        <w:r w:rsidRPr="00930562">
          <w:rPr>
            <w:rStyle w:val="Hyperlink"/>
            <w:rFonts w:asciiTheme="minorHAnsi" w:hAnsiTheme="minorHAnsi" w:cstheme="minorHAnsi"/>
            <w:color w:val="808080" w:themeColor="background1" w:themeShade="80"/>
            <w:sz w:val="16"/>
            <w:szCs w:val="16"/>
          </w:rPr>
          <w:t>Racial Disparities in Higher Education: an Overview</w:t>
        </w:r>
      </w:hyperlink>
      <w:r w:rsidRPr="00930562">
        <w:rPr>
          <w:rFonts w:asciiTheme="minorHAnsi" w:hAnsiTheme="minorHAnsi" w:cstheme="minorHAnsi"/>
          <w:color w:val="808080" w:themeColor="background1" w:themeShade="80"/>
          <w:sz w:val="16"/>
          <w:szCs w:val="16"/>
        </w:rPr>
        <w:t xml:space="preserve">, 10 de noviembre de 2015. </w:t>
      </w:r>
    </w:p>
  </w:footnote>
  <w:footnote w:id="48">
    <w:p w14:paraId="548C018E"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r>
      <w:r w:rsidRPr="00930562">
        <w:rPr>
          <w:rFonts w:asciiTheme="minorHAnsi" w:hAnsiTheme="minorHAnsi" w:cstheme="minorHAnsi"/>
          <w:i/>
          <w:color w:val="808080" w:themeColor="background1" w:themeShade="80"/>
          <w:sz w:val="16"/>
          <w:szCs w:val="16"/>
        </w:rPr>
        <w:t>Véase por ejemplo</w:t>
      </w:r>
      <w:r w:rsidRPr="00930562">
        <w:rPr>
          <w:rFonts w:asciiTheme="minorHAnsi" w:hAnsiTheme="minorHAnsi" w:cstheme="minorHAnsi"/>
          <w:color w:val="808080" w:themeColor="background1" w:themeShade="80"/>
          <w:sz w:val="16"/>
          <w:szCs w:val="16"/>
        </w:rPr>
        <w:t xml:space="preserve">, Washington Post, </w:t>
      </w:r>
      <w:hyperlink r:id="rId91" w:history="1">
        <w:r w:rsidRPr="00930562">
          <w:rPr>
            <w:rStyle w:val="Hyperlink"/>
            <w:rFonts w:asciiTheme="minorHAnsi" w:hAnsiTheme="minorHAnsi" w:cstheme="minorHAnsi"/>
            <w:color w:val="808080" w:themeColor="background1" w:themeShade="80"/>
            <w:sz w:val="16"/>
            <w:szCs w:val="16"/>
          </w:rPr>
          <w:t>Do voter identification laws suppress minority voting? Yes. We did the research</w:t>
        </w:r>
      </w:hyperlink>
      <w:r w:rsidRPr="00930562">
        <w:rPr>
          <w:rFonts w:asciiTheme="minorHAnsi" w:hAnsiTheme="minorHAnsi" w:cstheme="minorHAnsi"/>
          <w:color w:val="808080" w:themeColor="background1" w:themeShade="80"/>
          <w:sz w:val="16"/>
          <w:szCs w:val="16"/>
        </w:rPr>
        <w:t xml:space="preserve">., 15 de febrero de 2017; Revista POLITICO, </w:t>
      </w:r>
      <w:hyperlink r:id="rId92" w:history="1">
        <w:proofErr w:type="gramStart"/>
        <w:r w:rsidRPr="00930562">
          <w:rPr>
            <w:rStyle w:val="Hyperlink"/>
            <w:rFonts w:asciiTheme="minorHAnsi" w:hAnsiTheme="minorHAnsi" w:cstheme="minorHAnsi"/>
            <w:color w:val="808080" w:themeColor="background1" w:themeShade="80"/>
            <w:sz w:val="16"/>
            <w:szCs w:val="16"/>
          </w:rPr>
          <w:t>The</w:t>
        </w:r>
        <w:proofErr w:type="gramEnd"/>
        <w:r w:rsidRPr="00930562">
          <w:rPr>
            <w:rStyle w:val="Hyperlink"/>
            <w:rFonts w:asciiTheme="minorHAnsi" w:hAnsiTheme="minorHAnsi" w:cstheme="minorHAnsi"/>
            <w:color w:val="808080" w:themeColor="background1" w:themeShade="80"/>
            <w:sz w:val="16"/>
            <w:szCs w:val="16"/>
          </w:rPr>
          <w:t xml:space="preserve"> Real Voting Problem in the 2016 Election</w:t>
        </w:r>
      </w:hyperlink>
      <w:r w:rsidRPr="00930562">
        <w:rPr>
          <w:rFonts w:asciiTheme="minorHAnsi" w:hAnsiTheme="minorHAnsi" w:cstheme="minorHAnsi"/>
          <w:color w:val="808080" w:themeColor="background1" w:themeShade="80"/>
          <w:sz w:val="16"/>
          <w:szCs w:val="16"/>
        </w:rPr>
        <w:t>, 24 de octubre de 2016.</w:t>
      </w:r>
    </w:p>
  </w:footnote>
  <w:footnote w:id="49">
    <w:p w14:paraId="1A24962E" w14:textId="77777777" w:rsidR="00F64540" w:rsidRPr="00930562" w:rsidRDefault="00F64540" w:rsidP="00E10935">
      <w:pPr>
        <w:pStyle w:val="FootnoteText"/>
        <w:spacing w:after="40"/>
        <w:ind w:left="547" w:hanging="547"/>
        <w:jc w:val="both"/>
        <w:rPr>
          <w:rFonts w:asciiTheme="minorHAnsi" w:hAnsiTheme="minorHAnsi" w:cstheme="minorHAnsi"/>
          <w: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t xml:space="preserve">N.U, Com. Derechos Humanos, </w:t>
      </w:r>
      <w:hyperlink r:id="rId93" w:history="1">
        <w:r w:rsidRPr="00930562">
          <w:rPr>
            <w:rStyle w:val="Hyperlink"/>
            <w:rFonts w:asciiTheme="minorHAnsi" w:hAnsiTheme="minorHAnsi" w:cstheme="minorHAnsi"/>
            <w:bCs/>
            <w:i/>
            <w:color w:val="808080" w:themeColor="background1" w:themeShade="80"/>
            <w:sz w:val="16"/>
            <w:szCs w:val="16"/>
            <w:lang w:val="es-MX"/>
          </w:rPr>
          <w:t>Concluding observations on the fourth periodic report of the United States of America</w:t>
        </w:r>
        <w:r w:rsidRPr="00930562">
          <w:rPr>
            <w:rStyle w:val="Hyperlink"/>
            <w:rFonts w:asciiTheme="minorHAnsi" w:hAnsiTheme="minorHAnsi" w:cstheme="minorHAnsi"/>
            <w:bCs/>
            <w:color w:val="808080" w:themeColor="background1" w:themeShade="80"/>
            <w:sz w:val="16"/>
            <w:szCs w:val="16"/>
            <w:lang w:val="es-MX"/>
          </w:rPr>
          <w:t>, U.N. Doc CCPR/C/USA/CO/4</w:t>
        </w:r>
      </w:hyperlink>
      <w:r w:rsidRPr="00930562">
        <w:rPr>
          <w:rFonts w:asciiTheme="minorHAnsi" w:hAnsiTheme="minorHAnsi" w:cstheme="minorHAnsi"/>
          <w:bCs/>
          <w:color w:val="808080" w:themeColor="background1" w:themeShade="80"/>
          <w:sz w:val="16"/>
          <w:szCs w:val="16"/>
          <w:lang w:val="es-MX"/>
        </w:rPr>
        <w:t>, 23 de abril de 2014</w:t>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i/>
          <w:color w:val="808080" w:themeColor="background1" w:themeShade="80"/>
          <w:sz w:val="16"/>
          <w:szCs w:val="16"/>
          <w:lang w:val="es-MX"/>
        </w:rPr>
        <w:t xml:space="preserve">véase también </w:t>
      </w:r>
      <w:r w:rsidRPr="00930562">
        <w:rPr>
          <w:rFonts w:asciiTheme="minorHAnsi" w:eastAsia="Times New Roman" w:hAnsiTheme="minorHAnsi" w:cstheme="minorHAnsi"/>
          <w:bCs/>
          <w:color w:val="808080" w:themeColor="background1" w:themeShade="80"/>
          <w:sz w:val="16"/>
          <w:szCs w:val="16"/>
          <w:lang w:val="es-MX" w:eastAsia="es-ES"/>
        </w:rPr>
        <w:t xml:space="preserve">CIDH, </w:t>
      </w:r>
      <w:hyperlink r:id="rId94" w:history="1">
        <w:r w:rsidRPr="00930562">
          <w:rPr>
            <w:rStyle w:val="Hyperlink"/>
            <w:rFonts w:asciiTheme="minorHAnsi" w:eastAsia="Times New Roman" w:hAnsiTheme="minorHAnsi" w:cstheme="minorHAnsi"/>
            <w:bCs/>
            <w:color w:val="808080" w:themeColor="background1" w:themeShade="80"/>
            <w:sz w:val="16"/>
            <w:szCs w:val="16"/>
            <w:lang w:val="es-MX" w:eastAsia="es-ES"/>
          </w:rPr>
          <w:t>La Situación de las personas afrodescendientes en las Américas</w:t>
        </w:r>
      </w:hyperlink>
      <w:r w:rsidRPr="00930562">
        <w:rPr>
          <w:rFonts w:asciiTheme="minorHAnsi" w:eastAsia="Times New Roman" w:hAnsiTheme="minorHAnsi" w:cstheme="minorHAnsi"/>
          <w:bCs/>
          <w:color w:val="808080" w:themeColor="background1" w:themeShade="80"/>
          <w:sz w:val="16"/>
          <w:szCs w:val="16"/>
          <w:lang w:val="es-MX" w:eastAsia="es-ES"/>
        </w:rPr>
        <w:t xml:space="preserve"> (2011)</w:t>
      </w:r>
      <w:r w:rsidRPr="00930562">
        <w:rPr>
          <w:rFonts w:asciiTheme="minorHAnsi" w:eastAsia="Times New Roman" w:hAnsiTheme="minorHAnsi" w:cstheme="minorHAnsi"/>
          <w:color w:val="808080" w:themeColor="background1" w:themeShade="80"/>
          <w:sz w:val="16"/>
          <w:szCs w:val="16"/>
          <w:lang w:val="es-MX" w:eastAsia="es-ES"/>
        </w:rPr>
        <w:t xml:space="preserve">, párr. </w:t>
      </w:r>
      <w:r w:rsidRPr="00930562">
        <w:rPr>
          <w:rFonts w:asciiTheme="minorHAnsi" w:eastAsia="Times New Roman" w:hAnsiTheme="minorHAnsi" w:cstheme="minorHAnsi"/>
          <w:color w:val="808080" w:themeColor="background1" w:themeShade="80"/>
          <w:sz w:val="16"/>
          <w:szCs w:val="16"/>
          <w:lang w:eastAsia="es-ES"/>
        </w:rPr>
        <w:t>55-56.</w:t>
      </w:r>
    </w:p>
  </w:footnote>
  <w:footnote w:id="50">
    <w:p w14:paraId="08A22447"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Slate, </w:t>
      </w:r>
      <w:hyperlink r:id="rId95" w:history="1">
        <w:r w:rsidRPr="00930562">
          <w:rPr>
            <w:rStyle w:val="Hyperlink"/>
            <w:rFonts w:asciiTheme="minorHAnsi" w:hAnsiTheme="minorHAnsi" w:cstheme="minorHAnsi"/>
            <w:color w:val="808080" w:themeColor="background1" w:themeShade="80"/>
            <w:sz w:val="16"/>
            <w:szCs w:val="16"/>
          </w:rPr>
          <w:t>The Invisible Segregation of Diverse Neighborhoods</w:t>
        </w:r>
      </w:hyperlink>
      <w:r w:rsidRPr="00930562">
        <w:rPr>
          <w:rFonts w:asciiTheme="minorHAnsi" w:hAnsiTheme="minorHAnsi" w:cstheme="minorHAnsi"/>
          <w:color w:val="808080" w:themeColor="background1" w:themeShade="80"/>
          <w:sz w:val="16"/>
          <w:szCs w:val="16"/>
        </w:rPr>
        <w:t xml:space="preserve">, 24 de julio </w:t>
      </w:r>
      <w:proofErr w:type="gramStart"/>
      <w:r w:rsidRPr="00930562">
        <w:rPr>
          <w:rFonts w:asciiTheme="minorHAnsi" w:hAnsiTheme="minorHAnsi" w:cstheme="minorHAnsi"/>
          <w:color w:val="808080" w:themeColor="background1" w:themeShade="80"/>
          <w:sz w:val="16"/>
          <w:szCs w:val="16"/>
        </w:rPr>
        <w:t>de  2017</w:t>
      </w:r>
      <w:proofErr w:type="gramEnd"/>
      <w:r w:rsidRPr="00930562">
        <w:rPr>
          <w:rFonts w:asciiTheme="minorHAnsi" w:hAnsiTheme="minorHAnsi" w:cstheme="minorHAnsi"/>
          <w:color w:val="808080" w:themeColor="background1" w:themeShade="80"/>
          <w:sz w:val="16"/>
          <w:szCs w:val="16"/>
        </w:rPr>
        <w:t xml:space="preserve">; New York Times, </w:t>
      </w:r>
      <w:hyperlink r:id="rId96" w:history="1">
        <w:r w:rsidRPr="00930562">
          <w:rPr>
            <w:rStyle w:val="Hyperlink"/>
            <w:rFonts w:asciiTheme="minorHAnsi" w:hAnsiTheme="minorHAnsi" w:cstheme="minorHAnsi"/>
            <w:color w:val="808080" w:themeColor="background1" w:themeShade="80"/>
            <w:sz w:val="16"/>
            <w:szCs w:val="16"/>
          </w:rPr>
          <w:t>Affluent and Black, but Still Trapped by Segregation</w:t>
        </w:r>
      </w:hyperlink>
      <w:r w:rsidRPr="00930562">
        <w:rPr>
          <w:rFonts w:asciiTheme="minorHAnsi" w:hAnsiTheme="minorHAnsi" w:cstheme="minorHAnsi"/>
          <w:color w:val="808080" w:themeColor="background1" w:themeShade="80"/>
          <w:sz w:val="16"/>
          <w:szCs w:val="16"/>
        </w:rPr>
        <w:t>, 20 de agosto de 2016.</w:t>
      </w:r>
    </w:p>
  </w:footnote>
  <w:footnote w:id="51">
    <w:p w14:paraId="4F5668CC"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rPr>
        <w:t xml:space="preserve"> </w:t>
      </w:r>
      <w:r w:rsidRPr="00930562">
        <w:rPr>
          <w:rFonts w:asciiTheme="minorHAnsi" w:hAnsiTheme="minorHAnsi" w:cstheme="majorHAnsi"/>
          <w:color w:val="808080" w:themeColor="background1" w:themeShade="80"/>
          <w:sz w:val="16"/>
          <w:szCs w:val="16"/>
        </w:rPr>
        <w:tab/>
      </w:r>
      <w:r w:rsidRPr="00930562">
        <w:rPr>
          <w:rFonts w:asciiTheme="minorHAnsi" w:hAnsiTheme="minorHAnsi" w:cstheme="minorHAnsi"/>
          <w:color w:val="808080" w:themeColor="background1" w:themeShade="80"/>
          <w:sz w:val="16"/>
          <w:szCs w:val="16"/>
        </w:rPr>
        <w:t xml:space="preserve">Seattle Times, </w:t>
      </w:r>
      <w:hyperlink r:id="rId97" w:history="1">
        <w:r w:rsidRPr="00930562">
          <w:rPr>
            <w:rStyle w:val="Hyperlink"/>
            <w:rFonts w:asciiTheme="minorHAnsi" w:hAnsiTheme="minorHAnsi" w:cstheme="minorHAnsi"/>
            <w:color w:val="808080" w:themeColor="background1" w:themeShade="80"/>
            <w:sz w:val="16"/>
            <w:szCs w:val="16"/>
          </w:rPr>
          <w:t>Segregation worse in schools 60 years after Brown v. Board of Education</w:t>
        </w:r>
      </w:hyperlink>
      <w:r w:rsidRPr="00930562">
        <w:rPr>
          <w:rFonts w:asciiTheme="minorHAnsi" w:hAnsiTheme="minorHAnsi" w:cstheme="minorHAnsi"/>
          <w:color w:val="808080" w:themeColor="background1" w:themeShade="80"/>
          <w:sz w:val="16"/>
          <w:szCs w:val="16"/>
        </w:rPr>
        <w:t xml:space="preserve">, 14 de septiembre de 2017; The Atlantic, </w:t>
      </w:r>
      <w:hyperlink r:id="rId98" w:history="1">
        <w:r w:rsidRPr="00930562">
          <w:rPr>
            <w:rStyle w:val="Hyperlink"/>
            <w:rFonts w:asciiTheme="minorHAnsi" w:hAnsiTheme="minorHAnsi" w:cstheme="minorHAnsi"/>
            <w:color w:val="808080" w:themeColor="background1" w:themeShade="80"/>
            <w:sz w:val="16"/>
            <w:szCs w:val="16"/>
          </w:rPr>
          <w:t>Segregation Now . . . .</w:t>
        </w:r>
      </w:hyperlink>
      <w:r w:rsidRPr="00930562">
        <w:rPr>
          <w:rFonts w:asciiTheme="minorHAnsi" w:hAnsiTheme="minorHAnsi" w:cstheme="minorHAnsi"/>
          <w:color w:val="808080" w:themeColor="background1" w:themeShade="80"/>
          <w:sz w:val="16"/>
          <w:szCs w:val="16"/>
        </w:rPr>
        <w:t xml:space="preserve">, mayo de 2014; ProPublica, </w:t>
      </w:r>
      <w:hyperlink r:id="rId99" w:anchor="intro" w:history="1">
        <w:r w:rsidRPr="00930562">
          <w:rPr>
            <w:rStyle w:val="Hyperlink"/>
            <w:rFonts w:asciiTheme="minorHAnsi" w:hAnsiTheme="minorHAnsi" w:cstheme="minorHAnsi"/>
            <w:color w:val="808080" w:themeColor="background1" w:themeShade="80"/>
            <w:sz w:val="16"/>
            <w:szCs w:val="16"/>
          </w:rPr>
          <w:t>Segregation Now: The Resegregation of America’s Schools</w:t>
        </w:r>
      </w:hyperlink>
      <w:r w:rsidRPr="00930562">
        <w:rPr>
          <w:rFonts w:asciiTheme="minorHAnsi" w:hAnsiTheme="minorHAnsi" w:cstheme="minorHAnsi"/>
          <w:color w:val="808080" w:themeColor="background1" w:themeShade="80"/>
          <w:sz w:val="16"/>
          <w:szCs w:val="16"/>
        </w:rPr>
        <w:t xml:space="preserve">, 16 de abril de 2014; Washington Post, </w:t>
      </w:r>
      <w:hyperlink r:id="rId100" w:history="1">
        <w:r w:rsidRPr="00930562">
          <w:rPr>
            <w:rStyle w:val="Hyperlink"/>
            <w:rFonts w:asciiTheme="minorHAnsi" w:hAnsiTheme="minorHAnsi" w:cstheme="minorHAnsi"/>
            <w:color w:val="808080" w:themeColor="background1" w:themeShade="80"/>
            <w:sz w:val="16"/>
            <w:szCs w:val="16"/>
          </w:rPr>
          <w:t>The most segregated schools may not be in the states you’d expect</w:t>
        </w:r>
      </w:hyperlink>
      <w:r w:rsidRPr="00930562">
        <w:rPr>
          <w:rFonts w:asciiTheme="minorHAnsi" w:hAnsiTheme="minorHAnsi" w:cstheme="minorHAnsi"/>
          <w:color w:val="808080" w:themeColor="background1" w:themeShade="80"/>
          <w:sz w:val="16"/>
          <w:szCs w:val="16"/>
        </w:rPr>
        <w:t xml:space="preserve">, 15 de mayo de 2014. </w:t>
      </w:r>
    </w:p>
  </w:footnote>
  <w:footnote w:id="52">
    <w:p w14:paraId="40FF2C02"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Kimberlé Crenshaw, </w:t>
      </w:r>
      <w:hyperlink r:id="rId101" w:history="1">
        <w:r w:rsidRPr="00930562">
          <w:rPr>
            <w:rStyle w:val="Hyperlink"/>
            <w:rFonts w:asciiTheme="minorHAnsi" w:hAnsiTheme="minorHAnsi" w:cstheme="minorHAnsi"/>
            <w:color w:val="808080" w:themeColor="background1" w:themeShade="80"/>
            <w:sz w:val="16"/>
            <w:szCs w:val="16"/>
          </w:rPr>
          <w:t>Demarginalizing the Intersection of Race and Sex: A Black Feminist Critique of Antidiscrimination Doctrine, Feminist Theory and Antiracist Politics</w:t>
        </w:r>
      </w:hyperlink>
      <w:r w:rsidRPr="00930562">
        <w:rPr>
          <w:rFonts w:asciiTheme="minorHAnsi" w:hAnsiTheme="minorHAnsi" w:cstheme="minorHAnsi"/>
          <w:i/>
          <w:color w:val="808080" w:themeColor="background1" w:themeShade="80"/>
          <w:sz w:val="16"/>
          <w:szCs w:val="16"/>
        </w:rPr>
        <w:t>, U. Chicago Legal Forum</w:t>
      </w:r>
      <w:r w:rsidRPr="00930562">
        <w:rPr>
          <w:rFonts w:asciiTheme="minorHAnsi" w:hAnsiTheme="minorHAnsi" w:cstheme="minorHAnsi"/>
          <w:color w:val="808080" w:themeColor="background1" w:themeShade="80"/>
          <w:sz w:val="16"/>
          <w:szCs w:val="16"/>
        </w:rPr>
        <w:t xml:space="preserve"> (1989); </w:t>
      </w:r>
      <w:r w:rsidRPr="00930562">
        <w:rPr>
          <w:rFonts w:asciiTheme="minorHAnsi" w:hAnsiTheme="minorHAnsi" w:cstheme="minorHAnsi"/>
          <w:i/>
          <w:color w:val="808080" w:themeColor="background1" w:themeShade="80"/>
          <w:sz w:val="16"/>
          <w:szCs w:val="16"/>
        </w:rPr>
        <w:t xml:space="preserve">véase también, </w:t>
      </w:r>
      <w:r w:rsidRPr="00930562">
        <w:rPr>
          <w:rFonts w:asciiTheme="minorHAnsi" w:hAnsiTheme="minorHAnsi" w:cstheme="minorHAnsi"/>
          <w:color w:val="808080" w:themeColor="background1" w:themeShade="80"/>
          <w:sz w:val="16"/>
          <w:szCs w:val="16"/>
        </w:rPr>
        <w:t xml:space="preserve">Columbia Law School, </w:t>
      </w:r>
      <w:hyperlink r:id="rId102" w:history="1">
        <w:r w:rsidRPr="00930562">
          <w:rPr>
            <w:rStyle w:val="Hyperlink"/>
            <w:rFonts w:asciiTheme="minorHAnsi" w:hAnsiTheme="minorHAnsi" w:cstheme="minorHAnsi"/>
            <w:color w:val="808080" w:themeColor="background1" w:themeShade="80"/>
            <w:sz w:val="16"/>
            <w:szCs w:val="16"/>
          </w:rPr>
          <w:t>Kimberlé Crenshaw on Intersectionality, More than Two Decades Later</w:t>
        </w:r>
      </w:hyperlink>
      <w:r w:rsidRPr="00930562">
        <w:rPr>
          <w:rFonts w:asciiTheme="minorHAnsi" w:hAnsiTheme="minorHAnsi" w:cstheme="minorHAnsi"/>
          <w:color w:val="808080" w:themeColor="background1" w:themeShade="80"/>
          <w:sz w:val="16"/>
          <w:szCs w:val="16"/>
        </w:rPr>
        <w:t>, 8 de junio de 2017.</w:t>
      </w:r>
    </w:p>
  </w:footnote>
  <w:footnote w:id="53">
    <w:p w14:paraId="184810A9"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MX"/>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r>
      <w:r w:rsidRPr="00930562">
        <w:rPr>
          <w:rFonts w:asciiTheme="minorHAnsi" w:hAnsiTheme="minorHAnsi" w:cstheme="minorHAnsi"/>
          <w:i/>
          <w:color w:val="808080" w:themeColor="background1" w:themeShade="80"/>
          <w:sz w:val="16"/>
          <w:szCs w:val="16"/>
          <w:lang w:val="es-MX"/>
        </w:rPr>
        <w:t>Véase</w:t>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eastAsia="Times New Roman" w:hAnsiTheme="minorHAnsi" w:cstheme="minorHAnsi"/>
          <w:bCs/>
          <w:color w:val="808080" w:themeColor="background1" w:themeShade="80"/>
          <w:sz w:val="16"/>
          <w:szCs w:val="16"/>
          <w:lang w:val="es-MX" w:eastAsia="es-ES"/>
        </w:rPr>
        <w:t xml:space="preserve">CIDH, </w:t>
      </w:r>
      <w:hyperlink r:id="rId103" w:history="1">
        <w:r w:rsidRPr="00930562">
          <w:rPr>
            <w:rStyle w:val="Hyperlink"/>
            <w:rFonts w:asciiTheme="minorHAnsi" w:eastAsia="Times New Roman" w:hAnsiTheme="minorHAnsi" w:cstheme="minorHAnsi"/>
            <w:bCs/>
            <w:color w:val="808080" w:themeColor="background1" w:themeShade="80"/>
            <w:sz w:val="16"/>
            <w:szCs w:val="16"/>
            <w:lang w:val="es-MX" w:eastAsia="es-ES"/>
          </w:rPr>
          <w:t>La Situación de las personas afrodescendientes en las Américas</w:t>
        </w:r>
      </w:hyperlink>
      <w:r w:rsidRPr="00930562">
        <w:rPr>
          <w:rFonts w:asciiTheme="minorHAnsi" w:eastAsia="Times New Roman" w:hAnsiTheme="minorHAnsi" w:cstheme="minorHAnsi"/>
          <w:bCs/>
          <w:color w:val="808080" w:themeColor="background1" w:themeShade="80"/>
          <w:sz w:val="16"/>
          <w:szCs w:val="16"/>
          <w:lang w:val="es-MX" w:eastAsia="es-ES"/>
        </w:rPr>
        <w:t>, (2011)</w:t>
      </w:r>
      <w:r w:rsidRPr="00930562">
        <w:rPr>
          <w:rFonts w:asciiTheme="minorHAnsi" w:eastAsia="Times New Roman" w:hAnsiTheme="minorHAnsi" w:cstheme="minorHAnsi"/>
          <w:color w:val="808080" w:themeColor="background1" w:themeShade="80"/>
          <w:sz w:val="16"/>
          <w:szCs w:val="16"/>
          <w:lang w:val="es-MX" w:eastAsia="es-ES"/>
        </w:rPr>
        <w:t>, párrs. 59-61.</w:t>
      </w:r>
    </w:p>
  </w:footnote>
  <w:footnote w:id="54">
    <w:p w14:paraId="1FB3E542"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MX"/>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r>
      <w:r w:rsidRPr="00930562">
        <w:rPr>
          <w:rFonts w:asciiTheme="minorHAnsi" w:hAnsiTheme="minorHAnsi" w:cstheme="minorHAnsi"/>
          <w:i/>
          <w:color w:val="808080" w:themeColor="background1" w:themeShade="80"/>
          <w:sz w:val="16"/>
          <w:szCs w:val="16"/>
          <w:lang w:val="es-MX"/>
        </w:rPr>
        <w:t>Véase</w:t>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eastAsia="Times New Roman" w:hAnsiTheme="minorHAnsi" w:cstheme="minorHAnsi"/>
          <w:bCs/>
          <w:color w:val="808080" w:themeColor="background1" w:themeShade="80"/>
          <w:sz w:val="16"/>
          <w:szCs w:val="16"/>
          <w:lang w:val="es-MX" w:eastAsia="es-ES"/>
        </w:rPr>
        <w:t>CIDH</w:t>
      </w:r>
      <w:r w:rsidRPr="00930562">
        <w:rPr>
          <w:rFonts w:asciiTheme="minorHAnsi" w:hAnsiTheme="minorHAnsi" w:cstheme="minorHAnsi"/>
          <w:color w:val="808080" w:themeColor="background1" w:themeShade="80"/>
          <w:sz w:val="16"/>
          <w:szCs w:val="16"/>
          <w:lang w:val="es-MX"/>
        </w:rPr>
        <w:t xml:space="preserve">, </w:t>
      </w:r>
      <w:hyperlink r:id="rId104" w:history="1">
        <w:r w:rsidRPr="00930562">
          <w:rPr>
            <w:rStyle w:val="Hyperlink"/>
            <w:rFonts w:asciiTheme="minorHAnsi" w:hAnsiTheme="minorHAnsi" w:cstheme="minorHAnsi"/>
            <w:color w:val="808080" w:themeColor="background1" w:themeShade="80"/>
            <w:sz w:val="16"/>
            <w:szCs w:val="16"/>
            <w:lang w:val="es-MX"/>
          </w:rPr>
          <w:t>Mujeres Indígenas</w:t>
        </w:r>
      </w:hyperlink>
      <w:r w:rsidRPr="00930562">
        <w:rPr>
          <w:rFonts w:asciiTheme="minorHAnsi" w:hAnsiTheme="minorHAnsi" w:cstheme="minorHAnsi"/>
          <w:color w:val="808080" w:themeColor="background1" w:themeShade="80"/>
          <w:sz w:val="16"/>
          <w:szCs w:val="16"/>
          <w:lang w:val="es-MX"/>
        </w:rPr>
        <w:t>, OEA/Ser.L/V/II., Doc. 44/17, (2017), párr. 38 (citar CIDH</w:t>
      </w:r>
      <w:r w:rsidRPr="00930562">
        <w:rPr>
          <w:rFonts w:asciiTheme="minorHAnsi" w:eastAsia="Times New Roman" w:hAnsiTheme="minorHAnsi" w:cstheme="minorHAnsi"/>
          <w:bCs/>
          <w:color w:val="808080" w:themeColor="background1" w:themeShade="80"/>
          <w:sz w:val="16"/>
          <w:szCs w:val="16"/>
          <w:lang w:val="es-MX" w:eastAsia="es-ES"/>
        </w:rPr>
        <w:t xml:space="preserve">, </w:t>
      </w:r>
      <w:hyperlink r:id="rId105" w:history="1">
        <w:r w:rsidRPr="00930562">
          <w:rPr>
            <w:rStyle w:val="Hyperlink"/>
            <w:rFonts w:asciiTheme="minorHAnsi" w:eastAsia="Times New Roman" w:hAnsiTheme="minorHAnsi" w:cstheme="minorHAnsi"/>
            <w:bCs/>
            <w:color w:val="808080" w:themeColor="background1" w:themeShade="80"/>
            <w:sz w:val="16"/>
            <w:szCs w:val="16"/>
            <w:lang w:val="es-MX" w:eastAsia="es-ES"/>
          </w:rPr>
          <w:t>Pueblos afrodescendientes en las Américas</w:t>
        </w:r>
      </w:hyperlink>
      <w:r w:rsidRPr="00930562">
        <w:rPr>
          <w:rFonts w:asciiTheme="minorHAnsi" w:eastAsia="Times New Roman" w:hAnsiTheme="minorHAnsi" w:cstheme="minorHAnsi"/>
          <w:bCs/>
          <w:color w:val="808080" w:themeColor="background1" w:themeShade="80"/>
          <w:sz w:val="16"/>
          <w:szCs w:val="16"/>
          <w:lang w:val="es-MX" w:eastAsia="es-ES"/>
        </w:rPr>
        <w:t xml:space="preserve"> (2011)</w:t>
      </w:r>
      <w:r w:rsidRPr="00930562">
        <w:rPr>
          <w:rFonts w:asciiTheme="minorHAnsi" w:eastAsia="Times New Roman" w:hAnsiTheme="minorHAnsi" w:cstheme="minorHAnsi"/>
          <w:color w:val="808080" w:themeColor="background1" w:themeShade="80"/>
          <w:sz w:val="16"/>
          <w:szCs w:val="16"/>
          <w:lang w:val="es-MX" w:eastAsia="es-ES"/>
        </w:rPr>
        <w:t xml:space="preserve">, para. 60. </w:t>
      </w:r>
      <w:r w:rsidRPr="00930562">
        <w:rPr>
          <w:rFonts w:asciiTheme="minorHAnsi" w:eastAsia="Times New Roman" w:hAnsiTheme="minorHAnsi" w:cstheme="minorHAnsi"/>
          <w:i/>
          <w:color w:val="808080" w:themeColor="background1" w:themeShade="80"/>
          <w:sz w:val="16"/>
          <w:szCs w:val="16"/>
          <w:lang w:val="es-MX" w:eastAsia="es-ES"/>
        </w:rPr>
        <w:t>V</w:t>
      </w:r>
      <w:r w:rsidRPr="00930562">
        <w:rPr>
          <w:rFonts w:asciiTheme="minorHAnsi" w:hAnsiTheme="minorHAnsi" w:cstheme="minorHAnsi"/>
          <w:i/>
          <w:color w:val="808080" w:themeColor="background1" w:themeShade="80"/>
          <w:sz w:val="16"/>
          <w:szCs w:val="16"/>
          <w:lang w:val="es-MX"/>
        </w:rPr>
        <w:t>éase también</w:t>
      </w:r>
      <w:r w:rsidRPr="00930562">
        <w:rPr>
          <w:rFonts w:asciiTheme="minorHAnsi" w:eastAsia="Times New Roman" w:hAnsiTheme="minorHAnsi" w:cstheme="minorHAnsi"/>
          <w:color w:val="808080" w:themeColor="background1" w:themeShade="80"/>
          <w:sz w:val="16"/>
          <w:szCs w:val="16"/>
          <w:lang w:val="es-MX" w:eastAsia="es-ES"/>
        </w:rPr>
        <w:t xml:space="preserve"> U.N., Com. Para la Eliminación de la Discriminación contra las Mujeres (CEDAW), </w:t>
      </w:r>
      <w:r w:rsidRPr="00930562">
        <w:rPr>
          <w:rFonts w:asciiTheme="minorHAnsi" w:eastAsia="Times New Roman" w:hAnsiTheme="minorHAnsi" w:cstheme="minorHAnsi"/>
          <w:i/>
          <w:color w:val="808080" w:themeColor="background1" w:themeShade="80"/>
          <w:sz w:val="16"/>
          <w:szCs w:val="16"/>
          <w:lang w:val="es-MX" w:eastAsia="es-ES"/>
        </w:rPr>
        <w:t>Recomendación General 28 sobre las Obligaciones de los Estados Partes basado en la Sección 2 de la CEDAW</w:t>
      </w:r>
      <w:r w:rsidRPr="00930562">
        <w:rPr>
          <w:rFonts w:asciiTheme="minorHAnsi" w:eastAsia="Times New Roman" w:hAnsiTheme="minorHAnsi" w:cstheme="minorHAnsi"/>
          <w:color w:val="808080" w:themeColor="background1" w:themeShade="80"/>
          <w:sz w:val="16"/>
          <w:szCs w:val="16"/>
          <w:lang w:val="es-MX" w:eastAsia="es-ES"/>
        </w:rPr>
        <w:t>, 19 de o</w:t>
      </w:r>
      <w:r w:rsidRPr="00930562">
        <w:rPr>
          <w:rFonts w:asciiTheme="minorHAnsi" w:hAnsiTheme="minorHAnsi" w:cstheme="minorHAnsi"/>
          <w:color w:val="808080" w:themeColor="background1" w:themeShade="80"/>
          <w:sz w:val="16"/>
          <w:szCs w:val="16"/>
          <w:lang w:val="es-MX"/>
        </w:rPr>
        <w:t>ct de</w:t>
      </w:r>
      <w:r w:rsidRPr="00930562">
        <w:rPr>
          <w:rFonts w:asciiTheme="minorHAnsi" w:eastAsia="Times New Roman" w:hAnsiTheme="minorHAnsi" w:cstheme="minorHAnsi"/>
          <w:color w:val="808080" w:themeColor="background1" w:themeShade="80"/>
          <w:sz w:val="16"/>
          <w:szCs w:val="16"/>
          <w:lang w:val="es-MX" w:eastAsia="es-ES"/>
        </w:rPr>
        <w:t xml:space="preserve"> 2010, pár. 18).</w:t>
      </w:r>
    </w:p>
  </w:footnote>
  <w:footnote w:id="55">
    <w:p w14:paraId="536EE1DA"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t xml:space="preserve">CIDH, </w:t>
      </w:r>
      <w:hyperlink r:id="rId106" w:history="1">
        <w:r w:rsidRPr="00930562">
          <w:rPr>
            <w:rStyle w:val="Hyperlink"/>
            <w:rFonts w:asciiTheme="minorHAnsi" w:hAnsiTheme="minorHAnsi" w:cstheme="minorHAnsi"/>
            <w:color w:val="808080" w:themeColor="background1" w:themeShade="80"/>
            <w:sz w:val="16"/>
            <w:szCs w:val="16"/>
            <w:lang w:val="es-MX"/>
          </w:rPr>
          <w:t>La Situación de los Derechos Humanos en la República Dominicana</w:t>
        </w:r>
      </w:hyperlink>
      <w:r w:rsidRPr="00930562">
        <w:rPr>
          <w:rFonts w:asciiTheme="minorHAnsi" w:hAnsiTheme="minorHAnsi" w:cstheme="minorHAnsi"/>
          <w:color w:val="808080" w:themeColor="background1" w:themeShade="80"/>
          <w:sz w:val="16"/>
          <w:szCs w:val="16"/>
          <w:lang w:val="es-MX"/>
        </w:rPr>
        <w:t xml:space="preserve"> (2015), párr. </w:t>
      </w:r>
      <w:r w:rsidRPr="00930562">
        <w:rPr>
          <w:rFonts w:asciiTheme="minorHAnsi" w:hAnsiTheme="minorHAnsi" w:cstheme="minorHAnsi"/>
          <w:color w:val="808080" w:themeColor="background1" w:themeShade="80"/>
          <w:sz w:val="16"/>
          <w:szCs w:val="16"/>
        </w:rPr>
        <w:t>92.</w:t>
      </w:r>
    </w:p>
  </w:footnote>
  <w:footnote w:id="56">
    <w:p w14:paraId="5FDB4FF8"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rPr>
        <w:t xml:space="preserve"> </w:t>
      </w:r>
      <w:r w:rsidRPr="00930562">
        <w:rPr>
          <w:rFonts w:asciiTheme="minorHAnsi" w:hAnsiTheme="minorHAnsi" w:cstheme="majorHAnsi"/>
          <w:color w:val="808080" w:themeColor="background1" w:themeShade="80"/>
          <w:sz w:val="16"/>
          <w:szCs w:val="16"/>
        </w:rPr>
        <w:tab/>
      </w:r>
      <w:proofErr w:type="gramStart"/>
      <w:r w:rsidRPr="00930562">
        <w:rPr>
          <w:rFonts w:asciiTheme="minorHAnsi" w:hAnsiTheme="minorHAnsi" w:cstheme="minorHAnsi"/>
          <w:i/>
          <w:color w:val="808080" w:themeColor="background1" w:themeShade="80"/>
          <w:sz w:val="16"/>
          <w:szCs w:val="16"/>
        </w:rPr>
        <w:t>Ibid</w:t>
      </w:r>
      <w:r w:rsidRPr="00930562">
        <w:rPr>
          <w:rFonts w:asciiTheme="minorHAnsi" w:hAnsiTheme="minorHAnsi" w:cstheme="minorHAnsi"/>
          <w:color w:val="808080" w:themeColor="background1" w:themeShade="80"/>
          <w:sz w:val="16"/>
          <w:szCs w:val="16"/>
        </w:rPr>
        <w:t>.,</w:t>
      </w:r>
      <w:proofErr w:type="gramEnd"/>
      <w:r w:rsidRPr="00930562">
        <w:rPr>
          <w:rFonts w:asciiTheme="minorHAnsi" w:hAnsiTheme="minorHAnsi" w:cstheme="minorHAnsi"/>
          <w:color w:val="808080" w:themeColor="background1" w:themeShade="80"/>
          <w:sz w:val="16"/>
          <w:szCs w:val="16"/>
        </w:rPr>
        <w:t xml:space="preserve"> párr. 93.</w:t>
      </w:r>
    </w:p>
  </w:footnote>
  <w:footnote w:id="57">
    <w:p w14:paraId="7B97CCE2"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Slate, </w:t>
      </w:r>
      <w:hyperlink r:id="rId107" w:history="1">
        <w:r w:rsidRPr="00930562">
          <w:rPr>
            <w:rStyle w:val="Hyperlink"/>
            <w:rFonts w:asciiTheme="minorHAnsi" w:hAnsiTheme="minorHAnsi" w:cstheme="minorHAnsi"/>
            <w:color w:val="808080" w:themeColor="background1" w:themeShade="80"/>
            <w:sz w:val="16"/>
            <w:szCs w:val="16"/>
          </w:rPr>
          <w:t>The Birth of Race-Based Slavery</w:t>
        </w:r>
      </w:hyperlink>
      <w:r w:rsidRPr="00930562">
        <w:rPr>
          <w:rFonts w:asciiTheme="minorHAnsi" w:hAnsiTheme="minorHAnsi" w:cstheme="minorHAnsi"/>
          <w:color w:val="808080" w:themeColor="background1" w:themeShade="80"/>
          <w:sz w:val="16"/>
          <w:szCs w:val="16"/>
        </w:rPr>
        <w:t xml:space="preserve">, 19 de mayo de 2015 (reimpresión de Peter H. Wood, </w:t>
      </w:r>
      <w:r w:rsidRPr="00930562">
        <w:rPr>
          <w:rFonts w:asciiTheme="minorHAnsi" w:hAnsiTheme="minorHAnsi" w:cstheme="minorHAnsi"/>
          <w:i/>
          <w:color w:val="808080" w:themeColor="background1" w:themeShade="80"/>
          <w:sz w:val="16"/>
          <w:szCs w:val="16"/>
        </w:rPr>
        <w:t>Strange New Land: Africans in Colonial America</w:t>
      </w:r>
      <w:r w:rsidRPr="00930562">
        <w:rPr>
          <w:rFonts w:asciiTheme="minorHAnsi" w:hAnsiTheme="minorHAnsi" w:cstheme="minorHAnsi"/>
          <w:color w:val="808080" w:themeColor="background1" w:themeShade="80"/>
          <w:sz w:val="16"/>
          <w:szCs w:val="16"/>
        </w:rPr>
        <w:t xml:space="preserve">, New York: Oxford University Press, 2003). </w:t>
      </w:r>
    </w:p>
  </w:footnote>
  <w:footnote w:id="58">
    <w:p w14:paraId="099BFA9B"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r>
      <w:r w:rsidRPr="00930562">
        <w:rPr>
          <w:rFonts w:asciiTheme="minorHAnsi" w:hAnsiTheme="minorHAnsi" w:cstheme="minorHAnsi"/>
          <w:i/>
          <w:color w:val="808080" w:themeColor="background1" w:themeShade="80"/>
          <w:sz w:val="16"/>
          <w:szCs w:val="16"/>
        </w:rPr>
        <w:t>Véase Ibid</w:t>
      </w:r>
      <w:r w:rsidRPr="00930562">
        <w:rPr>
          <w:rFonts w:asciiTheme="minorHAnsi" w:hAnsiTheme="minorHAnsi" w:cstheme="minorHAnsi"/>
          <w:color w:val="808080" w:themeColor="background1" w:themeShade="80"/>
          <w:sz w:val="16"/>
          <w:szCs w:val="16"/>
        </w:rPr>
        <w:t>.</w:t>
      </w:r>
    </w:p>
  </w:footnote>
  <w:footnote w:id="59">
    <w:p w14:paraId="3FE9D391"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MX"/>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Victor E. Kappeler (Eastern Kentucky University), </w:t>
      </w:r>
      <w:hyperlink r:id="rId108" w:history="1">
        <w:r w:rsidRPr="00930562">
          <w:rPr>
            <w:rStyle w:val="Hyperlink"/>
            <w:rFonts w:asciiTheme="minorHAnsi" w:hAnsiTheme="minorHAnsi" w:cstheme="minorHAnsi"/>
            <w:color w:val="808080" w:themeColor="background1" w:themeShade="80"/>
            <w:sz w:val="16"/>
            <w:szCs w:val="16"/>
          </w:rPr>
          <w:t>A Brief History of Slavery and the Origins of American Policing</w:t>
        </w:r>
      </w:hyperlink>
      <w:r w:rsidRPr="00930562">
        <w:rPr>
          <w:rFonts w:asciiTheme="minorHAnsi" w:hAnsiTheme="minorHAnsi" w:cstheme="minorHAnsi"/>
          <w:color w:val="808080" w:themeColor="background1" w:themeShade="80"/>
          <w:sz w:val="16"/>
          <w:szCs w:val="16"/>
        </w:rPr>
        <w:t xml:space="preserve">, 2014. </w:t>
      </w:r>
      <w:r w:rsidRPr="00930562">
        <w:rPr>
          <w:rFonts w:asciiTheme="minorHAnsi" w:hAnsiTheme="minorHAnsi" w:cstheme="minorHAnsi"/>
          <w:i/>
          <w:color w:val="808080" w:themeColor="background1" w:themeShade="80"/>
          <w:sz w:val="16"/>
          <w:szCs w:val="16"/>
          <w:lang w:val="es-MX"/>
        </w:rPr>
        <w:t>Véase además</w:t>
      </w:r>
      <w:r w:rsidRPr="00930562">
        <w:rPr>
          <w:rFonts w:asciiTheme="minorHAnsi" w:hAnsiTheme="minorHAnsi" w:cstheme="minorHAnsi"/>
          <w:color w:val="808080" w:themeColor="background1" w:themeShade="80"/>
          <w:sz w:val="16"/>
          <w:szCs w:val="16"/>
          <w:lang w:val="es-MX"/>
        </w:rPr>
        <w:t xml:space="preserve"> Katheryn Russell-Brown, “Making Implicit Bias Explicit,” en Angela J. Davis (ed.), </w:t>
      </w:r>
      <w:r w:rsidRPr="00930562">
        <w:rPr>
          <w:rFonts w:asciiTheme="minorHAnsi" w:hAnsiTheme="minorHAnsi" w:cstheme="minorHAnsi"/>
          <w:i/>
          <w:color w:val="808080" w:themeColor="background1" w:themeShade="80"/>
          <w:sz w:val="16"/>
          <w:szCs w:val="16"/>
          <w:lang w:val="es-MX"/>
        </w:rPr>
        <w:t xml:space="preserve">Policing the Black Man </w:t>
      </w:r>
      <w:r w:rsidRPr="00930562">
        <w:rPr>
          <w:rFonts w:asciiTheme="minorHAnsi" w:hAnsiTheme="minorHAnsi" w:cstheme="minorHAnsi"/>
          <w:color w:val="808080" w:themeColor="background1" w:themeShade="80"/>
          <w:sz w:val="16"/>
          <w:szCs w:val="16"/>
          <w:lang w:val="es-MX"/>
        </w:rPr>
        <w:t>(New York: Pantheon, 2017) [de aquí en adelante “</w:t>
      </w:r>
      <w:r w:rsidRPr="00930562">
        <w:rPr>
          <w:rFonts w:asciiTheme="minorHAnsi" w:hAnsiTheme="minorHAnsi" w:cstheme="minorHAnsi"/>
          <w:i/>
          <w:color w:val="808080" w:themeColor="background1" w:themeShade="80"/>
          <w:sz w:val="16"/>
          <w:szCs w:val="16"/>
          <w:lang w:val="es-MX"/>
        </w:rPr>
        <w:t>Policing the Black Man</w:t>
      </w:r>
      <w:r w:rsidRPr="00930562">
        <w:rPr>
          <w:rFonts w:asciiTheme="minorHAnsi" w:hAnsiTheme="minorHAnsi" w:cstheme="minorHAnsi"/>
          <w:color w:val="808080" w:themeColor="background1" w:themeShade="80"/>
          <w:sz w:val="16"/>
          <w:szCs w:val="16"/>
          <w:lang w:val="es-MX"/>
        </w:rPr>
        <w:t xml:space="preserve">”]; Southern Poverty Law Center, </w:t>
      </w:r>
      <w:hyperlink r:id="rId109" w:history="1">
        <w:r w:rsidRPr="00930562">
          <w:rPr>
            <w:rStyle w:val="Hyperlink"/>
            <w:rFonts w:asciiTheme="minorHAnsi" w:hAnsiTheme="minorHAnsi" w:cstheme="minorHAnsi"/>
            <w:color w:val="808080" w:themeColor="background1" w:themeShade="80"/>
            <w:sz w:val="16"/>
            <w:szCs w:val="16"/>
            <w:lang w:val="es-MX"/>
          </w:rPr>
          <w:t>Ku Klux Klan: A History of Racism and Violence</w:t>
        </w:r>
      </w:hyperlink>
      <w:r w:rsidRPr="00930562">
        <w:rPr>
          <w:rFonts w:asciiTheme="minorHAnsi" w:hAnsiTheme="minorHAnsi" w:cstheme="minorHAnsi"/>
          <w:color w:val="808080" w:themeColor="background1" w:themeShade="80"/>
          <w:sz w:val="16"/>
          <w:szCs w:val="16"/>
          <w:lang w:val="es-MX"/>
        </w:rPr>
        <w:t>, 2011 (Las patrullas vehiculares o reguladores merodeaban las carreteras del sur, imponiendo el toque de queda a los esclavos, buscando fugitivos y protegiendo las áreas rurales contra la amenaza de revueltas de negros. La ley los autorizaba a dar un número determinado de azotes a cualquier infractor que atraparan.”)</w:t>
      </w:r>
    </w:p>
  </w:footnote>
  <w:footnote w:id="60">
    <w:p w14:paraId="0866318E"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Katheryn Russell-Brown, “Making Implicit Bias Explicit,” in </w:t>
      </w:r>
      <w:r w:rsidRPr="00930562">
        <w:rPr>
          <w:rFonts w:asciiTheme="minorHAnsi" w:hAnsiTheme="minorHAnsi" w:cstheme="minorHAnsi"/>
          <w:i/>
          <w:color w:val="808080" w:themeColor="background1" w:themeShade="80"/>
          <w:sz w:val="16"/>
          <w:szCs w:val="16"/>
        </w:rPr>
        <w:t xml:space="preserve">Policing the Black Man </w:t>
      </w:r>
      <w:r w:rsidRPr="00930562">
        <w:rPr>
          <w:rFonts w:asciiTheme="minorHAnsi" w:hAnsiTheme="minorHAnsi" w:cstheme="minorHAnsi"/>
          <w:color w:val="808080" w:themeColor="background1" w:themeShade="80"/>
          <w:sz w:val="16"/>
          <w:szCs w:val="16"/>
        </w:rPr>
        <w:t>(2017), p. 140.</w:t>
      </w:r>
      <w:r w:rsidRPr="00930562">
        <w:rPr>
          <w:rFonts w:asciiTheme="minorHAnsi" w:hAnsiTheme="minorHAnsi" w:cstheme="majorHAnsi"/>
          <w:color w:val="808080" w:themeColor="background1" w:themeShade="80"/>
          <w:sz w:val="16"/>
          <w:szCs w:val="16"/>
        </w:rPr>
        <w:t xml:space="preserve"> </w:t>
      </w:r>
    </w:p>
  </w:footnote>
  <w:footnote w:id="61">
    <w:p w14:paraId="5387B9D3" w14:textId="77777777" w:rsidR="00F64540" w:rsidRPr="00930562" w:rsidRDefault="00F64540" w:rsidP="00E10935">
      <w:pPr>
        <w:spacing w:after="40" w:line="240" w:lineRule="auto"/>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MX"/>
        </w:rPr>
        <w:t xml:space="preserve"> </w:t>
      </w:r>
      <w:r w:rsidRPr="00930562">
        <w:rPr>
          <w:rFonts w:asciiTheme="minorHAnsi" w:hAnsiTheme="minorHAnsi" w:cstheme="majorHAnsi"/>
          <w:color w:val="808080" w:themeColor="background1" w:themeShade="80"/>
          <w:sz w:val="16"/>
          <w:szCs w:val="16"/>
          <w:lang w:val="es-MX"/>
        </w:rPr>
        <w:tab/>
      </w:r>
      <w:r w:rsidRPr="00930562">
        <w:rPr>
          <w:rFonts w:asciiTheme="minorHAnsi" w:hAnsiTheme="minorHAnsi" w:cstheme="minorHAnsi"/>
          <w:color w:val="808080" w:themeColor="background1" w:themeShade="80"/>
          <w:sz w:val="16"/>
          <w:szCs w:val="16"/>
          <w:lang w:val="es-MX"/>
        </w:rPr>
        <w:t xml:space="preserve">New York Times, </w:t>
      </w:r>
      <w:hyperlink r:id="rId110" w:history="1">
        <w:r w:rsidRPr="00930562">
          <w:rPr>
            <w:rStyle w:val="Hyperlink"/>
            <w:rFonts w:asciiTheme="minorHAnsi" w:hAnsiTheme="minorHAnsi" w:cstheme="minorHAnsi"/>
            <w:color w:val="808080" w:themeColor="background1" w:themeShade="80"/>
            <w:sz w:val="16"/>
            <w:szCs w:val="16"/>
            <w:lang w:val="es-MX"/>
          </w:rPr>
          <w:t>How the Slave Trade Built America</w:t>
        </w:r>
      </w:hyperlink>
      <w:r w:rsidRPr="00930562">
        <w:rPr>
          <w:rFonts w:asciiTheme="minorHAnsi" w:hAnsiTheme="minorHAnsi" w:cstheme="minorHAnsi"/>
          <w:color w:val="808080" w:themeColor="background1" w:themeShade="80"/>
          <w:sz w:val="16"/>
          <w:szCs w:val="16"/>
          <w:lang w:val="es-MX"/>
        </w:rPr>
        <w:t xml:space="preserve">, 3 de abril de 2015 (“Los dueños de esclavos del alto sur se beneficiaban porque recibían dinero en efectivo a cambio de las personas que vendían. Los </w:t>
      </w:r>
      <w:r w:rsidRPr="00930562">
        <w:rPr>
          <w:rFonts w:asciiTheme="minorHAnsi" w:hAnsiTheme="minorHAnsi" w:cstheme="minorHAnsi"/>
          <w:color w:val="808080" w:themeColor="background1" w:themeShade="80"/>
          <w:sz w:val="16"/>
          <w:szCs w:val="16"/>
          <w:lang w:val="es-AR"/>
        </w:rPr>
        <w:t>dueños de esclavos de sur inferior se beneficiaban porque las personas que compraban eran obligadas a trabajar en los productivos campos de algodón y azúcar. Los comerciantes que suministraban ropa y alimentos a los comerciantes de esclavos se beneficiaban, al igual que el barco de vapor, el ferrocarril y los armadores que transportaban a las personas esclavizadas. Los capitalistas del norte se beneficiaban invirtiendo en bancos que manejaban el intercambio de dinero por personas, o en compañías de seguros que proporcionaban seguros para las inversiones de los propietarios de personas esclavizadas. Lo mismo hicieron los inversionistas extranjeros en títulos del Sur, algunos de los cuales fueron emitidos en esclavos hipotecados. El semillero del abolicionismo estadounidense, Nueva Inglaterra, también fue el hogar de la industria textil de algodón de los Estados Unidos, que se enriqueció a costa de las personas esclavizadas obligadas a recoger algodón</w:t>
      </w:r>
      <w:proofErr w:type="gramStart"/>
      <w:r w:rsidRPr="00930562">
        <w:rPr>
          <w:rFonts w:asciiTheme="minorHAnsi" w:hAnsiTheme="minorHAnsi" w:cstheme="minorHAnsi"/>
          <w:color w:val="808080" w:themeColor="background1" w:themeShade="80"/>
          <w:sz w:val="16"/>
          <w:szCs w:val="16"/>
          <w:lang w:val="es-AR"/>
        </w:rPr>
        <w:t>.</w:t>
      </w:r>
      <w:r w:rsidRPr="00930562">
        <w:rPr>
          <w:rFonts w:asciiTheme="minorHAnsi" w:eastAsia="Cambria" w:hAnsiTheme="minorHAnsi" w:cstheme="minorHAnsi"/>
          <w:color w:val="808080" w:themeColor="background1" w:themeShade="80"/>
          <w:sz w:val="16"/>
          <w:szCs w:val="16"/>
          <w:lang w:val="es-AR"/>
        </w:rPr>
        <w:t>.</w:t>
      </w:r>
      <w:r w:rsidRPr="00930562">
        <w:rPr>
          <w:rFonts w:asciiTheme="minorHAnsi" w:hAnsiTheme="minorHAnsi" w:cstheme="minorHAnsi"/>
          <w:color w:val="808080" w:themeColor="background1" w:themeShade="80"/>
          <w:sz w:val="16"/>
          <w:szCs w:val="16"/>
          <w:lang w:val="es-AR"/>
        </w:rPr>
        <w:t>”</w:t>
      </w:r>
      <w:proofErr w:type="gramEnd"/>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i/>
          <w:color w:val="808080" w:themeColor="background1" w:themeShade="80"/>
          <w:sz w:val="16"/>
          <w:szCs w:val="16"/>
        </w:rPr>
        <w:t>Véase además</w:t>
      </w:r>
      <w:r w:rsidRPr="00930562">
        <w:rPr>
          <w:rFonts w:asciiTheme="minorHAnsi" w:hAnsiTheme="minorHAnsi" w:cstheme="minorHAnsi"/>
          <w:color w:val="808080" w:themeColor="background1" w:themeShade="80"/>
          <w:sz w:val="16"/>
          <w:szCs w:val="16"/>
        </w:rPr>
        <w:t xml:space="preserve"> Boston Globe, </w:t>
      </w:r>
      <w:hyperlink r:id="rId111" w:history="1">
        <w:r w:rsidRPr="00930562">
          <w:rPr>
            <w:rStyle w:val="Hyperlink"/>
            <w:rFonts w:asciiTheme="minorHAnsi" w:hAnsiTheme="minorHAnsi" w:cstheme="minorHAnsi"/>
            <w:color w:val="808080" w:themeColor="background1" w:themeShade="80"/>
            <w:sz w:val="16"/>
            <w:szCs w:val="16"/>
          </w:rPr>
          <w:t>Slave trade helped build early New England economy</w:t>
        </w:r>
      </w:hyperlink>
      <w:r w:rsidRPr="00930562">
        <w:rPr>
          <w:rFonts w:asciiTheme="minorHAnsi" w:hAnsiTheme="minorHAnsi" w:cstheme="minorHAnsi"/>
          <w:color w:val="808080" w:themeColor="background1" w:themeShade="80"/>
          <w:sz w:val="16"/>
          <w:szCs w:val="16"/>
        </w:rPr>
        <w:t>, 23 de junio de 2016.</w:t>
      </w:r>
    </w:p>
  </w:footnote>
  <w:footnote w:id="62">
    <w:p w14:paraId="18F0B80F"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MX"/>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pt-BR"/>
        </w:rPr>
        <w:t xml:space="preserve"> </w:t>
      </w:r>
      <w:r w:rsidRPr="00930562">
        <w:rPr>
          <w:rFonts w:asciiTheme="minorHAnsi" w:hAnsiTheme="minorHAnsi" w:cstheme="minorHAnsi"/>
          <w:color w:val="808080" w:themeColor="background1" w:themeShade="80"/>
          <w:sz w:val="16"/>
          <w:szCs w:val="16"/>
          <w:lang w:val="pt-BR"/>
        </w:rPr>
        <w:tab/>
      </w:r>
      <w:r w:rsidRPr="00930562">
        <w:rPr>
          <w:rFonts w:asciiTheme="minorHAnsi" w:hAnsiTheme="minorHAnsi" w:cstheme="minorHAnsi"/>
          <w:color w:val="808080" w:themeColor="background1" w:themeShade="80"/>
          <w:sz w:val="16"/>
          <w:szCs w:val="16"/>
          <w:lang w:val="pt-BR"/>
        </w:rPr>
        <w:t xml:space="preserve">Esta cláusula (Art. I, Sec. 2, párr. </w:t>
      </w:r>
      <w:r w:rsidRPr="00930562">
        <w:rPr>
          <w:rFonts w:asciiTheme="minorHAnsi" w:hAnsiTheme="minorHAnsi" w:cstheme="minorHAnsi"/>
          <w:color w:val="808080" w:themeColor="background1" w:themeShade="80"/>
          <w:sz w:val="16"/>
          <w:szCs w:val="16"/>
          <w:lang w:val="es-MX"/>
        </w:rPr>
        <w:t>3) estipulaba que las personas esclavizadas (afrodescendientes) serían contadas a los fines del censo como "tres quintas partes" de una persona (libre, blanca), un acuerdo intencional para aumentar la representación política de los estados del sur con respecto al norte en la Cámara de Representantes, donde la representación está determinada por la población del estado. Como resultado, los esclavos fueron contados para determinar el número de delegados de la Cámara estatal, pero no pudieron votar, aumentando así el poder político de los blancos sureños.</w:t>
      </w:r>
    </w:p>
  </w:footnote>
  <w:footnote w:id="63">
    <w:p w14:paraId="65D1DA35"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highlight w:val="cyan"/>
          <w:lang w:val="es-MX"/>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t>La cuestión era si territorios adicionales en el oeste se establecían y eran admitidos a la unión como estados, el número de estados esclavistas frente a estados libres cambiaría. Cualquier cambio afectaría el equilibrio de poder en el Senado, donde cada estado tenía dos representantes independientemente de la población, y por lo tanto la capacidad de poner fin a la esclavitud o continuarla a perpetuidad. Estos debates se repitieron varias veces a principios de 1800, incluso en la aprobación de la Ordenanza del Noroeste (1807), el Compromiso de Missouri de 1820 (que prohibía la esclavitud al norte del paralelo 36 ° 30 '), la Ley de Kansas-Nebraska (1854) y el Compromiso de 1850, entre otros.</w:t>
      </w:r>
    </w:p>
  </w:footnote>
  <w:footnote w:id="64">
    <w:p w14:paraId="3EAD1D63"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t xml:space="preserve">La Ley de Esclavos Fugitivos de 1850 fue un componente esencial del Compromiso de 1850 (véase la nota anterior) y reemplazó a la Ley de Esclavos Fugitivos de 1793. La nueva ley facilitó el arresto a los negros acusados ​​de haberse fugado y estableció incentivos económicos para funcionarios federales para el arresto y regreso de presuntos "esclavos fugitivos" (e impusieron multas y sanciones a quienes se negaron a cooperar), involucrando a los Estados del norte en el cumplimiento físico y legal de la esclavitud en los Estados del sur. </w:t>
      </w:r>
      <w:r w:rsidRPr="00930562">
        <w:rPr>
          <w:rFonts w:asciiTheme="minorHAnsi" w:hAnsiTheme="minorHAnsi" w:cstheme="minorHAnsi"/>
          <w:i/>
          <w:color w:val="808080" w:themeColor="background1" w:themeShade="80"/>
          <w:sz w:val="16"/>
          <w:szCs w:val="16"/>
          <w:lang w:val="es-AR"/>
        </w:rPr>
        <w:t>Véase por ejemplo,</w:t>
      </w:r>
      <w:r w:rsidRPr="00930562">
        <w:rPr>
          <w:rFonts w:asciiTheme="minorHAnsi" w:hAnsiTheme="minorHAnsi" w:cstheme="minorHAnsi"/>
          <w:color w:val="808080" w:themeColor="background1" w:themeShade="80"/>
          <w:sz w:val="16"/>
          <w:szCs w:val="16"/>
          <w:lang w:val="es-AR"/>
        </w:rPr>
        <w:t xml:space="preserve"> The Atlantic, </w:t>
      </w:r>
      <w:hyperlink r:id="rId112" w:history="1">
        <w:r w:rsidRPr="00930562">
          <w:rPr>
            <w:rStyle w:val="Hyperlink"/>
            <w:rFonts w:asciiTheme="minorHAnsi" w:hAnsiTheme="minorHAnsi" w:cstheme="minorHAnsi"/>
            <w:color w:val="808080" w:themeColor="background1" w:themeShade="80"/>
            <w:sz w:val="16"/>
            <w:szCs w:val="16"/>
            <w:lang w:val="es-AR"/>
          </w:rPr>
          <w:t>The Old Jim Crow</w:t>
        </w:r>
      </w:hyperlink>
      <w:r w:rsidRPr="00930562">
        <w:rPr>
          <w:rFonts w:asciiTheme="minorHAnsi" w:hAnsiTheme="minorHAnsi" w:cstheme="minorHAnsi"/>
          <w:color w:val="808080" w:themeColor="background1" w:themeShade="80"/>
          <w:sz w:val="16"/>
          <w:szCs w:val="16"/>
          <w:lang w:val="es-AR"/>
        </w:rPr>
        <w:t xml:space="preserve">, 15 de octubre de 2014. </w:t>
      </w:r>
      <w:r w:rsidRPr="00930562">
        <w:rPr>
          <w:rFonts w:asciiTheme="minorHAnsi" w:hAnsiTheme="minorHAnsi" w:cstheme="minorHAnsi"/>
          <w:color w:val="808080" w:themeColor="background1" w:themeShade="80"/>
          <w:sz w:val="16"/>
          <w:szCs w:val="16"/>
          <w:lang w:val="es-MX"/>
        </w:rPr>
        <w:t xml:space="preserve">Esta ley se convirtió en un punto álgido por el creciente malestar antiesclavista en los años previos a la Guerra Civil. </w:t>
      </w:r>
      <w:r w:rsidRPr="00930562">
        <w:rPr>
          <w:rFonts w:asciiTheme="minorHAnsi" w:hAnsiTheme="minorHAnsi" w:cstheme="minorHAnsi"/>
          <w:i/>
          <w:color w:val="808080" w:themeColor="background1" w:themeShade="80"/>
          <w:sz w:val="16"/>
          <w:szCs w:val="16"/>
        </w:rPr>
        <w:t>Véase además</w:t>
      </w:r>
      <w:r w:rsidRPr="00930562">
        <w:rPr>
          <w:rFonts w:asciiTheme="minorHAnsi" w:hAnsiTheme="minorHAnsi" w:cstheme="minorHAnsi"/>
          <w:color w:val="808080" w:themeColor="background1" w:themeShade="80"/>
          <w:sz w:val="16"/>
          <w:szCs w:val="16"/>
        </w:rPr>
        <w:t xml:space="preserve"> Stanley Campbell, </w:t>
      </w:r>
      <w:r w:rsidRPr="00930562">
        <w:rPr>
          <w:rFonts w:asciiTheme="minorHAnsi" w:hAnsiTheme="minorHAnsi" w:cstheme="minorHAnsi"/>
          <w:i/>
          <w:color w:val="808080" w:themeColor="background1" w:themeShade="80"/>
          <w:sz w:val="16"/>
          <w:szCs w:val="16"/>
        </w:rPr>
        <w:t>The Slave Catchers: Enforcement of the Fugitive Slave Law, 1850–1860</w:t>
      </w:r>
      <w:r w:rsidRPr="00930562">
        <w:rPr>
          <w:rFonts w:asciiTheme="minorHAnsi" w:hAnsiTheme="minorHAnsi" w:cstheme="minorHAnsi"/>
          <w:color w:val="808080" w:themeColor="background1" w:themeShade="80"/>
          <w:sz w:val="16"/>
          <w:szCs w:val="16"/>
        </w:rPr>
        <w:t xml:space="preserve"> (Chapel Hill: University of North Carolina Press, 1970).</w:t>
      </w:r>
    </w:p>
  </w:footnote>
  <w:footnote w:id="65">
    <w:p w14:paraId="124D3BA7"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Dred Scott v. Sandford, 60 U.S. 393, 404, 407 (1857).</w:t>
      </w:r>
    </w:p>
  </w:footnote>
  <w:footnote w:id="66">
    <w:p w14:paraId="37F64398" w14:textId="77777777" w:rsidR="00F64540" w:rsidRPr="00930562" w:rsidRDefault="00F64540" w:rsidP="00E10935">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left="547" w:hanging="547"/>
        <w:jc w:val="both"/>
        <w:rPr>
          <w:rFonts w:asciiTheme="minorHAnsi" w:eastAsiaTheme="minorHAnsi" w:hAnsiTheme="minorHAnsi" w:cstheme="minorHAnsi"/>
          <w:color w:val="808080" w:themeColor="background1" w:themeShade="80"/>
          <w:sz w:val="16"/>
          <w:szCs w:val="16"/>
          <w:lang w:val="es-MX"/>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MX"/>
        </w:rPr>
        <w:t xml:space="preserve"> </w:t>
      </w:r>
      <w:r w:rsidRPr="00930562">
        <w:rPr>
          <w:rFonts w:asciiTheme="minorHAnsi" w:hAnsiTheme="minorHAnsi" w:cstheme="majorHAnsi"/>
          <w:color w:val="808080" w:themeColor="background1" w:themeShade="80"/>
          <w:sz w:val="16"/>
          <w:szCs w:val="16"/>
          <w:lang w:val="es-MX"/>
        </w:rPr>
        <w:tab/>
      </w:r>
      <w:r w:rsidRPr="00930562">
        <w:rPr>
          <w:rFonts w:asciiTheme="minorHAnsi" w:eastAsiaTheme="minorHAnsi" w:hAnsiTheme="minorHAnsi" w:cstheme="minorHAnsi"/>
          <w:color w:val="808080" w:themeColor="background1" w:themeShade="80"/>
          <w:sz w:val="16"/>
          <w:szCs w:val="16"/>
          <w:lang w:val="es-MX"/>
        </w:rPr>
        <w:t>"Antes de la Guerra Civil, muchas jurisdicciones convertían a los esclavos en" delincuentes" mediante la [...] promulgación     de leyes penales que prohibían a los esclavos aprender a leer, abandonar la propiedad de sus amos sin el pase adecuado, participar de conductas "impropias" en presencia de una mujer blanca, practicar el culto sin la presencia ​​de un supervisor blanco, olvidarse de dejar pasar a una persona blanca en la calle, fumar en público, caminar con un bastón, hacer ruidos fuertes o defenderse de agresiones. Regidos por una legislación criminal diferente, los esclavos también fueron sometidos a un tipo de castigo distinto. La pena de muerte fue aplicada a los esclavos como consecuencia de gama mucho más amplia de delitos en comparación con cualquier otro sector de la población. Virginia, por ejemplo, contabilizó setenta y tres delitos capitales aplicables a los esclavos pero sólo un asesinato en primer grado, aplicable a los blancos."</w:t>
      </w:r>
      <w:r w:rsidRPr="00930562">
        <w:rPr>
          <w:rFonts w:asciiTheme="minorHAnsi" w:hAnsiTheme="minorHAnsi" w:cstheme="minorHAnsi"/>
          <w:color w:val="808080" w:themeColor="background1" w:themeShade="80"/>
          <w:sz w:val="16"/>
          <w:szCs w:val="16"/>
          <w:lang w:val="es-MX"/>
        </w:rPr>
        <w:t xml:space="preserve">The Atlantic, </w:t>
      </w:r>
      <w:hyperlink r:id="rId113" w:history="1">
        <w:r w:rsidRPr="00930562">
          <w:rPr>
            <w:rStyle w:val="Hyperlink"/>
            <w:rFonts w:asciiTheme="minorHAnsi" w:hAnsiTheme="minorHAnsi" w:cstheme="minorHAnsi"/>
            <w:color w:val="808080" w:themeColor="background1" w:themeShade="80"/>
            <w:sz w:val="16"/>
            <w:szCs w:val="16"/>
            <w:lang w:val="es-MX"/>
          </w:rPr>
          <w:t>The Old Jim Crow</w:t>
        </w:r>
      </w:hyperlink>
      <w:r w:rsidRPr="00930562">
        <w:rPr>
          <w:rFonts w:asciiTheme="minorHAnsi" w:hAnsiTheme="minorHAnsi" w:cstheme="minorHAnsi"/>
          <w:color w:val="808080" w:themeColor="background1" w:themeShade="80"/>
          <w:sz w:val="16"/>
          <w:szCs w:val="16"/>
          <w:lang w:val="es-MX"/>
        </w:rPr>
        <w:t xml:space="preserve">, 15 de octubre de 2014. </w:t>
      </w:r>
    </w:p>
  </w:footnote>
  <w:footnote w:id="67">
    <w:p w14:paraId="7D8BF475"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r>
      <w:r w:rsidRPr="00930562">
        <w:rPr>
          <w:rFonts w:asciiTheme="minorHAnsi" w:hAnsiTheme="minorHAnsi" w:cstheme="minorHAnsi"/>
          <w:i/>
          <w:color w:val="808080" w:themeColor="background1" w:themeShade="80"/>
          <w:sz w:val="16"/>
          <w:szCs w:val="16"/>
        </w:rPr>
        <w:t>Véase por ejemplo.</w:t>
      </w:r>
      <w:r w:rsidRPr="00930562">
        <w:rPr>
          <w:rFonts w:asciiTheme="minorHAnsi" w:hAnsiTheme="minorHAnsi" w:cstheme="minorHAnsi"/>
          <w:color w:val="808080" w:themeColor="background1" w:themeShade="80"/>
          <w:sz w:val="16"/>
          <w:szCs w:val="16"/>
        </w:rPr>
        <w:t xml:space="preserve">, Frederick Douglass, </w:t>
      </w:r>
      <w:r w:rsidRPr="00930562">
        <w:rPr>
          <w:rFonts w:asciiTheme="minorHAnsi" w:hAnsiTheme="minorHAnsi" w:cstheme="minorHAnsi"/>
          <w:i/>
          <w:color w:val="808080" w:themeColor="background1" w:themeShade="80"/>
          <w:sz w:val="16"/>
          <w:szCs w:val="16"/>
        </w:rPr>
        <w:t>Narrative of the Life of Frederick Douglass, an American Slave</w:t>
      </w:r>
      <w:r w:rsidRPr="00930562">
        <w:rPr>
          <w:rFonts w:asciiTheme="minorHAnsi" w:hAnsiTheme="minorHAnsi" w:cstheme="minorHAnsi"/>
          <w:color w:val="808080" w:themeColor="background1" w:themeShade="80"/>
          <w:sz w:val="16"/>
          <w:szCs w:val="16"/>
        </w:rPr>
        <w:t xml:space="preserve"> (Boston: The Anti-Slavery Society, 1845; reimpreso por New York: Dover, 1995); Harriet Jacobs, </w:t>
      </w:r>
      <w:r w:rsidRPr="00930562">
        <w:rPr>
          <w:rFonts w:asciiTheme="minorHAnsi" w:hAnsiTheme="minorHAnsi" w:cstheme="minorHAnsi"/>
          <w:i/>
          <w:color w:val="808080" w:themeColor="background1" w:themeShade="80"/>
          <w:sz w:val="16"/>
          <w:szCs w:val="16"/>
        </w:rPr>
        <w:t xml:space="preserve">Incidents in the Life of a Slave Girl </w:t>
      </w:r>
      <w:r w:rsidRPr="00930562">
        <w:rPr>
          <w:rFonts w:asciiTheme="minorHAnsi" w:hAnsiTheme="minorHAnsi" w:cstheme="minorHAnsi"/>
          <w:color w:val="808080" w:themeColor="background1" w:themeShade="80"/>
          <w:sz w:val="16"/>
          <w:szCs w:val="16"/>
        </w:rPr>
        <w:t>(Boston, 1861; reimpreso por New York: Dover, 2001); Thavolia Glymph</w:t>
      </w:r>
      <w:r w:rsidRPr="00930562">
        <w:rPr>
          <w:rFonts w:asciiTheme="minorHAnsi" w:hAnsiTheme="minorHAnsi" w:cstheme="minorHAnsi"/>
          <w:i/>
          <w:color w:val="808080" w:themeColor="background1" w:themeShade="80"/>
          <w:sz w:val="16"/>
          <w:szCs w:val="16"/>
        </w:rPr>
        <w:t>, Out of the House of Bondage: The Transformation of the Plantation Household</w:t>
      </w:r>
      <w:r w:rsidRPr="00930562">
        <w:rPr>
          <w:rFonts w:asciiTheme="minorHAnsi" w:hAnsiTheme="minorHAnsi" w:cstheme="minorHAnsi"/>
          <w:color w:val="808080" w:themeColor="background1" w:themeShade="80"/>
          <w:sz w:val="16"/>
          <w:szCs w:val="16"/>
        </w:rPr>
        <w:t xml:space="preserve"> (New York: Cambridge, 2008); Dorothy Roberts, </w:t>
      </w:r>
      <w:r w:rsidRPr="00930562">
        <w:rPr>
          <w:rFonts w:asciiTheme="minorHAnsi" w:hAnsiTheme="minorHAnsi" w:cstheme="minorHAnsi"/>
          <w:i/>
          <w:color w:val="808080" w:themeColor="background1" w:themeShade="80"/>
          <w:sz w:val="16"/>
          <w:szCs w:val="16"/>
        </w:rPr>
        <w:t>Killing the Black Body: Race, Reproduction, and the Meaning of Liberty</w:t>
      </w:r>
      <w:r w:rsidRPr="00930562">
        <w:rPr>
          <w:rFonts w:asciiTheme="minorHAnsi" w:hAnsiTheme="minorHAnsi" w:cstheme="minorHAnsi"/>
          <w:color w:val="808080" w:themeColor="background1" w:themeShade="80"/>
          <w:sz w:val="16"/>
          <w:szCs w:val="16"/>
        </w:rPr>
        <w:t xml:space="preserve"> (New York: Vintage, 1998); Edward Baptist, </w:t>
      </w:r>
      <w:r w:rsidRPr="00930562">
        <w:rPr>
          <w:rFonts w:asciiTheme="minorHAnsi" w:hAnsiTheme="minorHAnsi" w:cstheme="minorHAnsi"/>
          <w:i/>
          <w:color w:val="808080" w:themeColor="background1" w:themeShade="80"/>
          <w:sz w:val="16"/>
          <w:szCs w:val="16"/>
        </w:rPr>
        <w:t>The Half Has Never Been Told: Slavery and the Making of American Capitalism</w:t>
      </w:r>
      <w:r w:rsidRPr="00930562">
        <w:rPr>
          <w:rFonts w:asciiTheme="minorHAnsi" w:hAnsiTheme="minorHAnsi" w:cstheme="minorHAnsi"/>
          <w:color w:val="808080" w:themeColor="background1" w:themeShade="80"/>
          <w:sz w:val="16"/>
          <w:szCs w:val="16"/>
        </w:rPr>
        <w:t xml:space="preserve"> (New York: Basic Books, 2014).</w:t>
      </w:r>
    </w:p>
  </w:footnote>
  <w:footnote w:id="68">
    <w:p w14:paraId="7D2E2F53"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Victor E. Kappeler (Eastern Kentucky University), </w:t>
      </w:r>
      <w:hyperlink r:id="rId114" w:history="1">
        <w:r w:rsidRPr="00930562">
          <w:rPr>
            <w:rStyle w:val="Hyperlink"/>
            <w:rFonts w:asciiTheme="minorHAnsi" w:hAnsiTheme="minorHAnsi" w:cstheme="minorHAnsi"/>
            <w:color w:val="808080" w:themeColor="background1" w:themeShade="80"/>
            <w:sz w:val="16"/>
            <w:szCs w:val="16"/>
          </w:rPr>
          <w:t>A Brief History of Slavery and the Origins of American Policing</w:t>
        </w:r>
      </w:hyperlink>
      <w:r w:rsidRPr="00930562">
        <w:rPr>
          <w:rFonts w:asciiTheme="minorHAnsi" w:hAnsiTheme="minorHAnsi" w:cstheme="minorHAnsi"/>
          <w:color w:val="808080" w:themeColor="background1" w:themeShade="80"/>
          <w:sz w:val="16"/>
          <w:szCs w:val="16"/>
        </w:rPr>
        <w:t>, 2014.</w:t>
      </w:r>
    </w:p>
  </w:footnote>
  <w:footnote w:id="69">
    <w:p w14:paraId="6FDA890C"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fr-CA"/>
        </w:rPr>
        <w:t xml:space="preserve"> </w:t>
      </w:r>
      <w:r w:rsidRPr="00930562">
        <w:rPr>
          <w:rFonts w:asciiTheme="minorHAnsi" w:hAnsiTheme="minorHAnsi" w:cstheme="minorHAnsi"/>
          <w:color w:val="808080" w:themeColor="background1" w:themeShade="80"/>
          <w:sz w:val="16"/>
          <w:szCs w:val="16"/>
          <w:lang w:val="fr-CA"/>
        </w:rPr>
        <w:tab/>
        <w:t xml:space="preserve">Id. (citando Turner et al. </w:t>
      </w:r>
      <w:r w:rsidRPr="00930562">
        <w:rPr>
          <w:rFonts w:asciiTheme="minorHAnsi" w:hAnsiTheme="minorHAnsi" w:cstheme="minorHAnsi"/>
          <w:color w:val="808080" w:themeColor="background1" w:themeShade="80"/>
          <w:sz w:val="16"/>
          <w:szCs w:val="16"/>
        </w:rPr>
        <w:t xml:space="preserve">(2006), Ignoring the Past: Coverage of Slavery and Slave Patrols in Criminal Justice Texts, </w:t>
      </w:r>
      <w:r w:rsidRPr="00930562">
        <w:rPr>
          <w:rFonts w:asciiTheme="minorHAnsi" w:hAnsiTheme="minorHAnsi" w:cstheme="minorHAnsi"/>
          <w:i/>
          <w:color w:val="808080" w:themeColor="background1" w:themeShade="80"/>
          <w:sz w:val="16"/>
          <w:szCs w:val="16"/>
        </w:rPr>
        <w:t>Journal of Criminal Justice Education</w:t>
      </w:r>
      <w:r w:rsidRPr="00930562">
        <w:rPr>
          <w:rFonts w:asciiTheme="minorHAnsi" w:hAnsiTheme="minorHAnsi" w:cstheme="minorHAnsi"/>
          <w:color w:val="808080" w:themeColor="background1" w:themeShade="80"/>
          <w:sz w:val="16"/>
          <w:szCs w:val="16"/>
        </w:rPr>
        <w:t xml:space="preserve">, </w:t>
      </w:r>
      <w:proofErr w:type="gramStart"/>
      <w:r w:rsidRPr="00930562">
        <w:rPr>
          <w:rFonts w:asciiTheme="minorHAnsi" w:hAnsiTheme="minorHAnsi" w:cstheme="minorHAnsi"/>
          <w:color w:val="808080" w:themeColor="background1" w:themeShade="80"/>
          <w:sz w:val="16"/>
          <w:szCs w:val="16"/>
        </w:rPr>
        <w:t>17:</w:t>
      </w:r>
      <w:proofErr w:type="gramEnd"/>
      <w:r w:rsidRPr="00930562">
        <w:rPr>
          <w:rFonts w:asciiTheme="minorHAnsi" w:hAnsiTheme="minorHAnsi" w:cstheme="minorHAnsi"/>
          <w:color w:val="808080" w:themeColor="background1" w:themeShade="80"/>
          <w:sz w:val="16"/>
          <w:szCs w:val="16"/>
        </w:rPr>
        <w:t xml:space="preserve">(1), 186). </w:t>
      </w:r>
    </w:p>
  </w:footnote>
  <w:footnote w:id="70">
    <w:p w14:paraId="2DC881FA"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t xml:space="preserve">Cifra estimada en dólares al día de hoy. </w:t>
      </w:r>
      <w:r w:rsidRPr="00930562">
        <w:rPr>
          <w:rFonts w:asciiTheme="minorHAnsi" w:hAnsiTheme="minorHAnsi" w:cstheme="minorHAnsi"/>
          <w:color w:val="808080" w:themeColor="background1" w:themeShade="80"/>
          <w:sz w:val="16"/>
          <w:szCs w:val="16"/>
        </w:rPr>
        <w:t xml:space="preserve">The Atlantic, </w:t>
      </w:r>
      <w:hyperlink r:id="rId115" w:history="1">
        <w:r w:rsidRPr="00930562">
          <w:rPr>
            <w:rStyle w:val="Hyperlink"/>
            <w:rFonts w:asciiTheme="minorHAnsi" w:hAnsiTheme="minorHAnsi" w:cstheme="minorHAnsi"/>
            <w:color w:val="808080" w:themeColor="background1" w:themeShade="80"/>
            <w:sz w:val="16"/>
            <w:szCs w:val="16"/>
          </w:rPr>
          <w:t>Slavery Made America</w:t>
        </w:r>
      </w:hyperlink>
      <w:r w:rsidRPr="00930562">
        <w:rPr>
          <w:rFonts w:asciiTheme="minorHAnsi" w:hAnsiTheme="minorHAnsi" w:cstheme="minorHAnsi"/>
          <w:color w:val="808080" w:themeColor="background1" w:themeShade="80"/>
          <w:sz w:val="16"/>
          <w:szCs w:val="16"/>
        </w:rPr>
        <w:t xml:space="preserve">, 24 de junio de 2014 (citando a David Blight (Yale University), </w:t>
      </w:r>
      <w:hyperlink r:id="rId116" w:history="1">
        <w:r w:rsidRPr="00930562">
          <w:rPr>
            <w:rStyle w:val="Hyperlink"/>
            <w:rFonts w:asciiTheme="minorHAnsi" w:hAnsiTheme="minorHAnsi" w:cstheme="minorHAnsi"/>
            <w:color w:val="808080" w:themeColor="background1" w:themeShade="80"/>
            <w:sz w:val="16"/>
            <w:szCs w:val="16"/>
          </w:rPr>
          <w:t>The Civil War and Reconstruction Era, 1845-1877</w:t>
        </w:r>
      </w:hyperlink>
      <w:r w:rsidRPr="00930562">
        <w:rPr>
          <w:rFonts w:asciiTheme="minorHAnsi" w:hAnsiTheme="minorHAnsi" w:cstheme="minorHAnsi"/>
          <w:color w:val="808080" w:themeColor="background1" w:themeShade="80"/>
          <w:sz w:val="16"/>
          <w:szCs w:val="16"/>
        </w:rPr>
        <w:t xml:space="preserve">, 2008); </w:t>
      </w:r>
      <w:r w:rsidRPr="00930562">
        <w:rPr>
          <w:rFonts w:asciiTheme="minorHAnsi" w:hAnsiTheme="minorHAnsi" w:cstheme="minorHAnsi"/>
          <w:i/>
          <w:color w:val="808080" w:themeColor="background1" w:themeShade="80"/>
          <w:sz w:val="16"/>
          <w:szCs w:val="16"/>
        </w:rPr>
        <w:t>véase además</w:t>
      </w:r>
      <w:r w:rsidRPr="00930562">
        <w:rPr>
          <w:rFonts w:asciiTheme="minorHAnsi" w:hAnsiTheme="minorHAnsi" w:cstheme="minorHAnsi"/>
          <w:color w:val="808080" w:themeColor="background1" w:themeShade="80"/>
          <w:sz w:val="16"/>
          <w:szCs w:val="16"/>
        </w:rPr>
        <w:t xml:space="preserve"> Roger L. Ransom (U. California-Riverside), </w:t>
      </w:r>
      <w:hyperlink r:id="rId117" w:history="1">
        <w:r w:rsidRPr="00930562">
          <w:rPr>
            <w:rStyle w:val="Hyperlink"/>
            <w:rFonts w:asciiTheme="minorHAnsi" w:hAnsiTheme="minorHAnsi" w:cstheme="minorHAnsi"/>
            <w:color w:val="808080" w:themeColor="background1" w:themeShade="80"/>
            <w:sz w:val="16"/>
            <w:szCs w:val="16"/>
          </w:rPr>
          <w:t>The Economics of the Civil War</w:t>
        </w:r>
      </w:hyperlink>
      <w:r w:rsidRPr="00930562">
        <w:rPr>
          <w:rFonts w:asciiTheme="minorHAnsi" w:hAnsiTheme="minorHAnsi" w:cstheme="minorHAnsi"/>
          <w:color w:val="808080" w:themeColor="background1" w:themeShade="80"/>
          <w:sz w:val="16"/>
          <w:szCs w:val="16"/>
        </w:rPr>
        <w:t>, 2004 (calculando el valor de todos los esclavos en los Estados Unidos en 1860 en $3 billones);</w:t>
      </w:r>
      <w:r w:rsidRPr="00930562">
        <w:rPr>
          <w:rFonts w:asciiTheme="minorHAnsi" w:hAnsiTheme="minorHAnsi" w:cstheme="minorHAnsi"/>
          <w: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 xml:space="preserve">Edward Baptist, </w:t>
      </w:r>
      <w:r w:rsidRPr="00930562">
        <w:rPr>
          <w:rFonts w:asciiTheme="minorHAnsi" w:hAnsiTheme="minorHAnsi" w:cstheme="minorHAnsi"/>
          <w:i/>
          <w:color w:val="808080" w:themeColor="background1" w:themeShade="80"/>
          <w:sz w:val="16"/>
          <w:szCs w:val="16"/>
        </w:rPr>
        <w:t>The Half Has Never Been Told: Slavery and the Making of American Capitalism</w:t>
      </w:r>
      <w:r w:rsidRPr="00930562">
        <w:rPr>
          <w:rFonts w:asciiTheme="minorHAnsi" w:hAnsiTheme="minorHAnsi" w:cstheme="minorHAnsi"/>
          <w:color w:val="808080" w:themeColor="background1" w:themeShade="80"/>
          <w:sz w:val="16"/>
          <w:szCs w:val="16"/>
        </w:rPr>
        <w:t xml:space="preserve"> (New York: Basic Books, 2014).</w:t>
      </w:r>
    </w:p>
  </w:footnote>
  <w:footnote w:id="71">
    <w:p w14:paraId="002F2DF7"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r>
      <w:r w:rsidRPr="00930562">
        <w:rPr>
          <w:rFonts w:asciiTheme="minorHAnsi" w:hAnsiTheme="minorHAnsi" w:cstheme="minorHAnsi"/>
          <w:i/>
          <w:color w:val="808080" w:themeColor="background1" w:themeShade="80"/>
          <w:sz w:val="16"/>
          <w:szCs w:val="16"/>
        </w:rPr>
        <w:t xml:space="preserve">Véase por ejemplo, </w:t>
      </w:r>
      <w:r w:rsidRPr="00930562">
        <w:rPr>
          <w:rFonts w:asciiTheme="minorHAnsi" w:hAnsiTheme="minorHAnsi" w:cstheme="minorHAnsi"/>
          <w:color w:val="808080" w:themeColor="background1" w:themeShade="80"/>
          <w:sz w:val="16"/>
          <w:szCs w:val="16"/>
        </w:rPr>
        <w:t xml:space="preserve">James McPherson, </w:t>
      </w:r>
      <w:r w:rsidRPr="00930562">
        <w:rPr>
          <w:rFonts w:asciiTheme="minorHAnsi" w:hAnsiTheme="minorHAnsi" w:cstheme="minorHAnsi"/>
          <w:i/>
          <w:color w:val="808080" w:themeColor="background1" w:themeShade="80"/>
          <w:sz w:val="16"/>
          <w:szCs w:val="16"/>
        </w:rPr>
        <w:t>Battle Cry of Freedom: The Civil War Era</w:t>
      </w:r>
      <w:r w:rsidRPr="00930562">
        <w:rPr>
          <w:rFonts w:asciiTheme="minorHAnsi" w:hAnsiTheme="minorHAnsi" w:cstheme="minorHAnsi"/>
          <w:color w:val="808080" w:themeColor="background1" w:themeShade="80"/>
          <w:sz w:val="16"/>
          <w:szCs w:val="16"/>
        </w:rPr>
        <w:t xml:space="preserve"> (New York: Oxford University Press, 1988).</w:t>
      </w:r>
    </w:p>
  </w:footnote>
  <w:footnote w:id="72">
    <w:p w14:paraId="2D02FD8D"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MX"/>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r>
      <w:r w:rsidRPr="00930562">
        <w:rPr>
          <w:rFonts w:asciiTheme="minorHAnsi" w:hAnsiTheme="minorHAnsi" w:cstheme="minorHAnsi"/>
          <w:i/>
          <w:color w:val="808080" w:themeColor="background1" w:themeShade="80"/>
          <w:sz w:val="16"/>
          <w:szCs w:val="16"/>
          <w:lang w:val="es-MX"/>
        </w:rPr>
        <w:t>Véase por ejemplo</w:t>
      </w:r>
      <w:r w:rsidRPr="00930562">
        <w:rPr>
          <w:rFonts w:asciiTheme="minorHAnsi" w:hAnsiTheme="minorHAnsi" w:cstheme="minorHAnsi"/>
          <w:color w:val="808080" w:themeColor="background1" w:themeShade="80"/>
          <w:sz w:val="16"/>
          <w:szCs w:val="16"/>
          <w:lang w:val="es-MX"/>
        </w:rPr>
        <w:t xml:space="preserve">, Equal Justice Initiative, </w:t>
      </w:r>
      <w:hyperlink r:id="rId118" w:history="1">
        <w:r w:rsidRPr="00930562">
          <w:rPr>
            <w:rStyle w:val="Hyperlink"/>
            <w:rFonts w:asciiTheme="minorHAnsi" w:hAnsiTheme="minorHAnsi" w:cstheme="minorHAnsi"/>
            <w:color w:val="808080" w:themeColor="background1" w:themeShade="80"/>
            <w:sz w:val="16"/>
            <w:szCs w:val="16"/>
            <w:lang w:val="es-MX"/>
          </w:rPr>
          <w:t>Lynching in America</w:t>
        </w:r>
      </w:hyperlink>
      <w:r w:rsidRPr="00930562">
        <w:rPr>
          <w:rFonts w:asciiTheme="minorHAnsi" w:hAnsiTheme="minorHAnsi" w:cstheme="minorHAnsi"/>
          <w:color w:val="808080" w:themeColor="background1" w:themeShade="80"/>
          <w:sz w:val="16"/>
          <w:szCs w:val="16"/>
          <w:lang w:val="es-MX"/>
        </w:rPr>
        <w:t xml:space="preserve"> (3era edición), 2017, p. 7; U.N., Grupo de Trabajo sobre Personas afrodescendientes. </w:t>
      </w:r>
      <w:r w:rsidRPr="00930562">
        <w:rPr>
          <w:rFonts w:asciiTheme="minorHAnsi" w:hAnsiTheme="minorHAnsi" w:cstheme="minorHAnsi"/>
          <w:bCs/>
          <w:color w:val="808080" w:themeColor="background1" w:themeShade="80"/>
          <w:sz w:val="16"/>
          <w:szCs w:val="16"/>
          <w:lang w:val="es-MX"/>
        </w:rPr>
        <w:t xml:space="preserve">Informe de misión a los Estados Unidos, 18 de agosto de </w:t>
      </w:r>
      <w:r w:rsidRPr="00930562">
        <w:rPr>
          <w:rFonts w:asciiTheme="minorHAnsi" w:hAnsiTheme="minorHAnsi" w:cstheme="minorHAnsi"/>
          <w:color w:val="808080" w:themeColor="background1" w:themeShade="80"/>
          <w:sz w:val="16"/>
          <w:szCs w:val="16"/>
          <w:lang w:val="es-MX"/>
        </w:rPr>
        <w:t xml:space="preserve">2016, párr. 6. </w:t>
      </w:r>
    </w:p>
  </w:footnote>
  <w:footnote w:id="73">
    <w:p w14:paraId="66C5D321"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MX"/>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r>
      <w:r w:rsidRPr="00930562">
        <w:rPr>
          <w:rFonts w:asciiTheme="minorHAnsi" w:hAnsiTheme="minorHAnsi" w:cstheme="minorHAnsi"/>
          <w:i/>
          <w:color w:val="808080" w:themeColor="background1" w:themeShade="80"/>
          <w:sz w:val="16"/>
          <w:szCs w:val="16"/>
          <w:lang w:val="es-MX"/>
        </w:rPr>
        <w:t>Véase</w:t>
      </w:r>
      <w:r w:rsidRPr="00930562">
        <w:rPr>
          <w:rFonts w:asciiTheme="minorHAnsi" w:hAnsiTheme="minorHAnsi" w:cstheme="minorHAnsi"/>
          <w:color w:val="808080" w:themeColor="background1" w:themeShade="80"/>
          <w:sz w:val="16"/>
          <w:szCs w:val="16"/>
          <w:lang w:val="es-MX"/>
        </w:rPr>
        <w:t xml:space="preserve"> Amdt. XIV, sec. 5. Sección 2 que también anula en la práctica el "Compromiso de las tres quintas partes" al establecer que los representantes deben ser distribuidos proporcionalmente, contando a todas las personas de cada estado como personas enteras ("excluyendo a los indios que no pagan impuestos”).</w:t>
      </w:r>
    </w:p>
  </w:footnote>
  <w:footnote w:id="74">
    <w:p w14:paraId="4E417719" w14:textId="6276BF95"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t xml:space="preserve">Durante el período de Reconstrucción, al menos 2.000 hombres afroamericanos ocuparon cargos públicos, desde la oficina local hasta escaños en el Senado de Estados Unidos. History.com, </w:t>
      </w:r>
      <w:hyperlink r:id="rId119" w:history="1">
        <w:r w:rsidRPr="00930562">
          <w:rPr>
            <w:rStyle w:val="Hyperlink"/>
            <w:rFonts w:asciiTheme="minorHAnsi" w:hAnsiTheme="minorHAnsi" w:cstheme="minorHAnsi"/>
            <w:color w:val="808080" w:themeColor="background1" w:themeShade="80"/>
            <w:sz w:val="16"/>
            <w:szCs w:val="16"/>
            <w:lang w:val="es-MX"/>
          </w:rPr>
          <w:t>Black Leadership During Reconstruction</w:t>
        </w:r>
      </w:hyperlink>
      <w:r w:rsidRPr="00930562">
        <w:rPr>
          <w:rFonts w:asciiTheme="minorHAnsi" w:hAnsiTheme="minorHAnsi" w:cstheme="minorHAnsi"/>
          <w:color w:val="808080" w:themeColor="background1" w:themeShade="80"/>
          <w:sz w:val="16"/>
          <w:szCs w:val="16"/>
          <w:lang w:val="es-MX"/>
        </w:rPr>
        <w:t xml:space="preserve">, 2010. Thomas Miller, un abogado negro y legislador en Carolina del Sur, en 1895 recordaba sobre los años de la Reconstrucción: “Estuvimos ocho años en el poder. Construimos escuelas, establecimos instituciones de caridad, construimos y mantuvimos el sistema penitenciario, proporcionamos la educación de sordos y mudos, reconstruimos los transbordadores. En resumen, reconstruimos el Estado y lo dejamos en el camino hacia la prosperidad.” </w:t>
      </w:r>
      <w:r w:rsidRPr="00930562">
        <w:rPr>
          <w:rFonts w:asciiTheme="minorHAnsi" w:hAnsiTheme="minorHAnsi" w:cstheme="minorHAnsi"/>
          <w:color w:val="808080" w:themeColor="background1" w:themeShade="80"/>
          <w:sz w:val="16"/>
          <w:szCs w:val="16"/>
        </w:rPr>
        <w:t xml:space="preserve">Citado en Ta-Nehisi Coates, </w:t>
      </w:r>
      <w:r w:rsidRPr="00930562">
        <w:rPr>
          <w:rFonts w:asciiTheme="minorHAnsi" w:hAnsiTheme="minorHAnsi" w:cstheme="minorHAnsi"/>
          <w:i/>
          <w:color w:val="808080" w:themeColor="background1" w:themeShade="80"/>
          <w:sz w:val="16"/>
          <w:szCs w:val="16"/>
        </w:rPr>
        <w:t>We Were Eight Years in Power: An American Tragedy</w:t>
      </w:r>
      <w:r w:rsidRPr="00930562">
        <w:rPr>
          <w:rFonts w:asciiTheme="minorHAnsi" w:hAnsiTheme="minorHAnsi" w:cstheme="minorHAnsi"/>
          <w:color w:val="808080" w:themeColor="background1" w:themeShade="80"/>
          <w:sz w:val="16"/>
          <w:szCs w:val="16"/>
        </w:rPr>
        <w:t xml:space="preserve"> (New York: Random House, 2017).</w:t>
      </w:r>
    </w:p>
  </w:footnote>
  <w:footnote w:id="75">
    <w:p w14:paraId="4082D951"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MX"/>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r>
      <w:r w:rsidRPr="00930562">
        <w:rPr>
          <w:rStyle w:val="reference-text"/>
          <w:rFonts w:asciiTheme="minorHAnsi" w:hAnsiTheme="minorHAnsi" w:cstheme="minorHAnsi"/>
          <w:color w:val="808080" w:themeColor="background1" w:themeShade="80"/>
          <w:sz w:val="16"/>
          <w:szCs w:val="16"/>
        </w:rPr>
        <w:t>W.E.B. DuBois,</w:t>
      </w:r>
      <w:r w:rsidRPr="00930562">
        <w:rPr>
          <w:rStyle w:val="reference-text"/>
          <w:rFonts w:asciiTheme="minorHAnsi" w:hAnsiTheme="minorHAnsi" w:cstheme="minorHAnsi"/>
          <w:i/>
          <w:color w:val="808080" w:themeColor="background1" w:themeShade="80"/>
          <w:sz w:val="16"/>
          <w:szCs w:val="16"/>
        </w:rPr>
        <w:t xml:space="preserve"> </w:t>
      </w:r>
      <w:r w:rsidRPr="00930562">
        <w:rPr>
          <w:rStyle w:val="reference-text"/>
          <w:rFonts w:asciiTheme="minorHAnsi" w:hAnsiTheme="minorHAnsi" w:cstheme="minorHAnsi"/>
          <w:i/>
          <w:iCs/>
          <w:color w:val="808080" w:themeColor="background1" w:themeShade="80"/>
          <w:sz w:val="16"/>
          <w:szCs w:val="16"/>
        </w:rPr>
        <w:t>Black Reconstruction in America, 1868-1880</w:t>
      </w:r>
      <w:r w:rsidRPr="00930562">
        <w:rPr>
          <w:rStyle w:val="reference-text"/>
          <w:rFonts w:asciiTheme="minorHAnsi" w:hAnsiTheme="minorHAnsi" w:cstheme="minorHAnsi"/>
          <w:i/>
          <w:color w:val="808080" w:themeColor="background1" w:themeShade="80"/>
          <w:sz w:val="16"/>
          <w:szCs w:val="16"/>
        </w:rPr>
        <w:t xml:space="preserve"> </w:t>
      </w:r>
      <w:r w:rsidRPr="00930562">
        <w:rPr>
          <w:rStyle w:val="reference-text"/>
          <w:rFonts w:asciiTheme="minorHAnsi" w:hAnsiTheme="minorHAnsi" w:cstheme="minorHAnsi"/>
          <w:color w:val="808080" w:themeColor="background1" w:themeShade="80"/>
          <w:sz w:val="16"/>
          <w:szCs w:val="16"/>
        </w:rPr>
        <w:t xml:space="preserve">(New York: Oxford University Press, 1935). </w:t>
      </w:r>
      <w:r w:rsidRPr="00930562">
        <w:rPr>
          <w:rStyle w:val="reference-text"/>
          <w:rFonts w:asciiTheme="minorHAnsi" w:hAnsiTheme="minorHAnsi" w:cstheme="minorHAnsi"/>
          <w:color w:val="808080" w:themeColor="background1" w:themeShade="80"/>
          <w:sz w:val="16"/>
          <w:szCs w:val="16"/>
          <w:lang w:val="es-MX"/>
        </w:rPr>
        <w:t>Las mujeres negras, por supuesto, debieron esperar hasta la aprobación de la Decimonovena Enmienda en 1920 para gozar del derecho legal al voto.</w:t>
      </w:r>
    </w:p>
  </w:footnote>
  <w:footnote w:id="76">
    <w:p w14:paraId="76D7CD17"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Equal Justice Initiative, </w:t>
      </w:r>
      <w:hyperlink r:id="rId120" w:history="1">
        <w:r w:rsidRPr="00930562">
          <w:rPr>
            <w:rStyle w:val="Hyperlink"/>
            <w:rFonts w:asciiTheme="minorHAnsi" w:hAnsiTheme="minorHAnsi" w:cstheme="minorHAnsi"/>
            <w:color w:val="808080" w:themeColor="background1" w:themeShade="80"/>
            <w:sz w:val="16"/>
            <w:szCs w:val="16"/>
          </w:rPr>
          <w:t>Lynching in America</w:t>
        </w:r>
      </w:hyperlink>
      <w:r w:rsidRPr="00930562">
        <w:rPr>
          <w:rFonts w:asciiTheme="minorHAnsi" w:hAnsiTheme="minorHAnsi" w:cstheme="minorHAnsi"/>
          <w:color w:val="808080" w:themeColor="background1" w:themeShade="80"/>
          <w:sz w:val="16"/>
          <w:szCs w:val="16"/>
        </w:rPr>
        <w:t xml:space="preserve"> (3d edition), 2017, p. 11. </w:t>
      </w:r>
    </w:p>
  </w:footnote>
  <w:footnote w:id="77">
    <w:p w14:paraId="4FE3F54C"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Ibid p. 12 (citando </w:t>
      </w:r>
      <w:proofErr w:type="gramStart"/>
      <w:r w:rsidRPr="00930562">
        <w:rPr>
          <w:rFonts w:asciiTheme="minorHAnsi" w:hAnsiTheme="minorHAnsi" w:cstheme="minorHAnsi"/>
          <w:color w:val="808080" w:themeColor="background1" w:themeShade="80"/>
          <w:sz w:val="16"/>
          <w:szCs w:val="16"/>
        </w:rPr>
        <w:t>a</w:t>
      </w:r>
      <w:proofErr w:type="gramEnd"/>
      <w:r w:rsidRPr="00930562">
        <w:rPr>
          <w:rFonts w:asciiTheme="minorHAnsi" w:hAnsiTheme="minorHAnsi" w:cstheme="minorHAnsi"/>
          <w:color w:val="808080" w:themeColor="background1" w:themeShade="80"/>
          <w:sz w:val="16"/>
          <w:szCs w:val="16"/>
        </w:rPr>
        <w:t xml:space="preserve"> Eric Foner, </w:t>
      </w:r>
      <w:r w:rsidRPr="00930562">
        <w:rPr>
          <w:rFonts w:asciiTheme="minorHAnsi" w:hAnsiTheme="minorHAnsi" w:cstheme="minorHAnsi"/>
          <w:i/>
          <w:color w:val="808080" w:themeColor="background1" w:themeShade="80"/>
          <w:sz w:val="16"/>
          <w:szCs w:val="16"/>
        </w:rPr>
        <w:t>Reconstruction: America’s Unfinished Revolution, 1863-1877</w:t>
      </w:r>
      <w:r w:rsidRPr="00930562">
        <w:rPr>
          <w:rFonts w:asciiTheme="minorHAnsi" w:hAnsiTheme="minorHAnsi" w:cstheme="minorHAnsi"/>
          <w:color w:val="808080" w:themeColor="background1" w:themeShade="80"/>
          <w:sz w:val="16"/>
          <w:szCs w:val="16"/>
        </w:rPr>
        <w:t xml:space="preserve"> (New York: HarperCollins, 1988).</w:t>
      </w:r>
    </w:p>
  </w:footnote>
  <w:footnote w:id="78">
    <w:p w14:paraId="77464DE1"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MX"/>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t xml:space="preserve">Smithsonian Magazine, </w:t>
      </w:r>
      <w:hyperlink r:id="rId121" w:history="1">
        <w:r w:rsidRPr="00930562">
          <w:rPr>
            <w:rStyle w:val="Hyperlink"/>
            <w:rFonts w:asciiTheme="minorHAnsi" w:hAnsiTheme="minorHAnsi" w:cstheme="minorHAnsi"/>
            <w:color w:val="808080" w:themeColor="background1" w:themeShade="80"/>
            <w:sz w:val="16"/>
            <w:szCs w:val="16"/>
            <w:lang w:val="es-MX"/>
          </w:rPr>
          <w:t>The 1873 Colfax Massacre Crippled the Reconstruction Era</w:t>
        </w:r>
      </w:hyperlink>
      <w:r w:rsidRPr="00930562">
        <w:rPr>
          <w:rFonts w:asciiTheme="minorHAnsi" w:hAnsiTheme="minorHAnsi" w:cstheme="minorHAnsi"/>
          <w:color w:val="808080" w:themeColor="background1" w:themeShade="80"/>
          <w:sz w:val="16"/>
          <w:szCs w:val="16"/>
          <w:lang w:val="es-MX"/>
        </w:rPr>
        <w:t xml:space="preserve">, 13 de abril de 2016. Este hecho tendría también repercusiones legales, ya que los acusados ​​blancos ​​en la masacre fueron posteriormente absueltos en </w:t>
      </w:r>
      <w:r w:rsidRPr="00930562">
        <w:rPr>
          <w:rFonts w:asciiTheme="minorHAnsi" w:hAnsiTheme="minorHAnsi" w:cstheme="minorHAnsi"/>
          <w:i/>
          <w:color w:val="808080" w:themeColor="background1" w:themeShade="80"/>
          <w:sz w:val="16"/>
          <w:szCs w:val="16"/>
          <w:lang w:val="es-MX"/>
        </w:rPr>
        <w:t>U.S. v. Cruikshank</w:t>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i/>
          <w:color w:val="808080" w:themeColor="background1" w:themeShade="80"/>
          <w:sz w:val="16"/>
          <w:szCs w:val="16"/>
          <w:lang w:val="es-MX"/>
        </w:rPr>
        <w:t>véase más adelante</w:t>
      </w:r>
      <w:r w:rsidRPr="00930562">
        <w:rPr>
          <w:rFonts w:asciiTheme="minorHAnsi" w:hAnsiTheme="minorHAnsi" w:cstheme="minorHAnsi"/>
          <w:color w:val="808080" w:themeColor="background1" w:themeShade="80"/>
          <w:sz w:val="16"/>
          <w:szCs w:val="16"/>
          <w:lang w:val="es-MX"/>
        </w:rPr>
        <w:t xml:space="preserve"> párr. </w:t>
      </w:r>
      <w:r w:rsidRPr="00930562">
        <w:rPr>
          <w:rFonts w:asciiTheme="minorHAnsi" w:hAnsiTheme="minorHAnsi" w:cstheme="minorHAnsi"/>
          <w:color w:val="808080" w:themeColor="background1" w:themeShade="80"/>
          <w:sz w:val="16"/>
          <w:szCs w:val="16"/>
        </w:rPr>
        <w:fldChar w:fldCharType="begin"/>
      </w:r>
      <w:r w:rsidRPr="00930562">
        <w:rPr>
          <w:rFonts w:asciiTheme="minorHAnsi" w:hAnsiTheme="minorHAnsi" w:cstheme="minorHAnsi"/>
          <w:color w:val="808080" w:themeColor="background1" w:themeShade="80"/>
          <w:sz w:val="16"/>
          <w:szCs w:val="16"/>
          <w:lang w:val="es-MX"/>
        </w:rPr>
        <w:instrText xml:space="preserve"> REF _Ref507082453 \r \h  \* MERGEFORMAT </w:instrText>
      </w:r>
      <w:r w:rsidRPr="00930562">
        <w:rPr>
          <w:rFonts w:asciiTheme="minorHAnsi" w:hAnsiTheme="minorHAnsi" w:cstheme="minorHAnsi"/>
          <w:color w:val="808080" w:themeColor="background1" w:themeShade="80"/>
          <w:sz w:val="16"/>
          <w:szCs w:val="16"/>
        </w:rPr>
      </w:r>
      <w:r w:rsidRPr="00930562">
        <w:rPr>
          <w:rFonts w:asciiTheme="minorHAnsi" w:hAnsiTheme="minorHAnsi" w:cstheme="minorHAnsi"/>
          <w:color w:val="808080" w:themeColor="background1" w:themeShade="80"/>
          <w:sz w:val="16"/>
          <w:szCs w:val="16"/>
        </w:rPr>
        <w:fldChar w:fldCharType="separate"/>
      </w:r>
      <w:r w:rsidRPr="00930562">
        <w:rPr>
          <w:rFonts w:asciiTheme="minorHAnsi" w:hAnsiTheme="minorHAnsi" w:cstheme="minorHAnsi"/>
          <w:color w:val="808080" w:themeColor="background1" w:themeShade="80"/>
          <w:sz w:val="16"/>
          <w:szCs w:val="16"/>
          <w:lang w:val="es-MX"/>
        </w:rPr>
        <w:t>46</w:t>
      </w:r>
      <w:r w:rsidRPr="00930562">
        <w:rPr>
          <w:rFonts w:asciiTheme="minorHAnsi" w:hAnsiTheme="minorHAnsi" w:cstheme="minorHAnsi"/>
          <w:color w:val="808080" w:themeColor="background1" w:themeShade="80"/>
          <w:sz w:val="16"/>
          <w:szCs w:val="16"/>
        </w:rPr>
        <w:fldChar w:fldCharType="end"/>
      </w:r>
      <w:r w:rsidRPr="00930562">
        <w:rPr>
          <w:rFonts w:asciiTheme="minorHAnsi" w:hAnsiTheme="minorHAnsi" w:cstheme="minorHAnsi"/>
          <w:color w:val="808080" w:themeColor="background1" w:themeShade="80"/>
          <w:sz w:val="16"/>
          <w:szCs w:val="16"/>
          <w:lang w:val="es-MX"/>
        </w:rPr>
        <w:t>).</w:t>
      </w:r>
    </w:p>
  </w:footnote>
  <w:footnote w:id="79">
    <w:p w14:paraId="5F26B8CE"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MX"/>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t xml:space="preserve">63 U.S. 537 (1896). </w:t>
      </w:r>
    </w:p>
  </w:footnote>
  <w:footnote w:id="80">
    <w:p w14:paraId="6B8CB1A4" w14:textId="2B45C6F8"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t xml:space="preserve">189 U.S. 475 (1903). En </w:t>
      </w:r>
      <w:r w:rsidRPr="00930562">
        <w:rPr>
          <w:rFonts w:asciiTheme="minorHAnsi" w:hAnsiTheme="minorHAnsi" w:cstheme="minorHAnsi"/>
          <w:i/>
          <w:color w:val="808080" w:themeColor="background1" w:themeShade="80"/>
          <w:sz w:val="16"/>
          <w:szCs w:val="16"/>
          <w:lang w:val="es-MX"/>
        </w:rPr>
        <w:t>Giles</w:t>
      </w:r>
      <w:r w:rsidRPr="00930562">
        <w:rPr>
          <w:rFonts w:asciiTheme="minorHAnsi" w:hAnsiTheme="minorHAnsi" w:cstheme="minorHAnsi"/>
          <w:color w:val="808080" w:themeColor="background1" w:themeShade="80"/>
          <w:sz w:val="16"/>
          <w:szCs w:val="16"/>
          <w:lang w:val="es-MX"/>
        </w:rPr>
        <w:t xml:space="preserve">, la Corte Suprema se negó a revisar una ley de Alabama que requería que los votantes registrados fueran de "buen carácter", un requisito que se aplicaba de una forma racialmente discriminatoria para privar de derechos a prácticamente todos los votantes negros. Esta decisión sancionó efectivamente la privación del derecho al voto de los votantes negros en el sur, lo cual resultó en que el gobierno federal no intervendría para hacer cumplir la 15ª Enmienda. Esta situación persistió al menos hasta la aprobación de la Ley de Derechos Electorales de 1965. </w:t>
      </w:r>
      <w:r w:rsidRPr="00930562">
        <w:rPr>
          <w:rFonts w:asciiTheme="minorHAnsi" w:hAnsiTheme="minorHAnsi" w:cstheme="minorHAnsi"/>
          <w:i/>
          <w:color w:val="808080" w:themeColor="background1" w:themeShade="80"/>
          <w:sz w:val="16"/>
          <w:szCs w:val="16"/>
        </w:rPr>
        <w:t>Véase más adelante,</w:t>
      </w:r>
      <w:r w:rsidRPr="00930562">
        <w:rPr>
          <w:rFonts w:asciiTheme="minorHAnsi" w:hAnsiTheme="minorHAnsi" w:cstheme="minorHAnsi"/>
          <w:color w:val="808080" w:themeColor="background1" w:themeShade="80"/>
          <w:sz w:val="16"/>
          <w:szCs w:val="16"/>
        </w:rPr>
        <w:t xml:space="preserve"> párr. 63.</w:t>
      </w:r>
    </w:p>
  </w:footnote>
  <w:footnote w:id="81">
    <w:p w14:paraId="0F87D59F"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MX"/>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Slaughter-House Cases, 83 U.S. 36 (1873); U.S. v. Cruikshank, 92 U.S. 542 (1875); Civil Rights Cases, 109 U.S. 3 (1883). </w:t>
      </w:r>
      <w:r w:rsidRPr="00930562">
        <w:rPr>
          <w:rFonts w:asciiTheme="minorHAnsi" w:hAnsiTheme="minorHAnsi" w:cstheme="minorHAnsi"/>
          <w:color w:val="808080" w:themeColor="background1" w:themeShade="80"/>
          <w:sz w:val="16"/>
          <w:szCs w:val="16"/>
          <w:lang w:val="es-MX"/>
        </w:rPr>
        <w:t xml:space="preserve">Los casos de Derechos Civiles declararon inconstitucional la Ley de Derechos Civiles de 1875 que prohibía la discriminación racial en el acceso a los servicios ofrecidos al público. La decisión se revirtió efectivamente en la jurisprudencia de la Corte Suprema desde 1937, y finalmente en la legislación en la Ley de Derechos Civiles de 1964. Sobre estos tres casos mencionados, </w:t>
      </w:r>
      <w:r w:rsidRPr="00930562">
        <w:rPr>
          <w:rFonts w:asciiTheme="minorHAnsi" w:hAnsiTheme="minorHAnsi" w:cstheme="minorHAnsi"/>
          <w:i/>
          <w:color w:val="808080" w:themeColor="background1" w:themeShade="80"/>
          <w:sz w:val="16"/>
          <w:szCs w:val="16"/>
          <w:lang w:val="es-MX"/>
        </w:rPr>
        <w:t>veáse además</w:t>
      </w:r>
      <w:r w:rsidRPr="00930562">
        <w:rPr>
          <w:rFonts w:asciiTheme="minorHAnsi" w:hAnsiTheme="minorHAnsi" w:cstheme="minorHAnsi"/>
          <w:color w:val="808080" w:themeColor="background1" w:themeShade="80"/>
          <w:sz w:val="16"/>
          <w:szCs w:val="16"/>
          <w:lang w:val="es-MX"/>
        </w:rPr>
        <w:t xml:space="preserve"> Equal Justice Initiative, </w:t>
      </w:r>
      <w:hyperlink r:id="rId122" w:history="1">
        <w:r w:rsidRPr="00930562">
          <w:rPr>
            <w:rStyle w:val="Hyperlink"/>
            <w:rFonts w:asciiTheme="minorHAnsi" w:hAnsiTheme="minorHAnsi" w:cstheme="minorHAnsi"/>
            <w:color w:val="808080" w:themeColor="background1" w:themeShade="80"/>
            <w:sz w:val="16"/>
            <w:szCs w:val="16"/>
            <w:lang w:val="es-MX"/>
          </w:rPr>
          <w:t>Lynching in America</w:t>
        </w:r>
      </w:hyperlink>
      <w:r w:rsidRPr="00930562">
        <w:rPr>
          <w:rFonts w:asciiTheme="minorHAnsi" w:hAnsiTheme="minorHAnsi" w:cstheme="minorHAnsi"/>
          <w:color w:val="808080" w:themeColor="background1" w:themeShade="80"/>
          <w:sz w:val="16"/>
          <w:szCs w:val="16"/>
          <w:lang w:val="es-MX"/>
        </w:rPr>
        <w:t xml:space="preserve"> (3era edición), 2017, p. 16-18.</w:t>
      </w:r>
      <w:r w:rsidRPr="00930562">
        <w:rPr>
          <w:rFonts w:asciiTheme="minorHAnsi" w:hAnsiTheme="minorHAnsi" w:cstheme="majorHAnsi"/>
          <w:color w:val="808080" w:themeColor="background1" w:themeShade="80"/>
          <w:sz w:val="16"/>
          <w:szCs w:val="16"/>
          <w:lang w:val="es-MX"/>
        </w:rPr>
        <w:t xml:space="preserve"> </w:t>
      </w:r>
    </w:p>
  </w:footnote>
  <w:footnote w:id="82">
    <w:p w14:paraId="691ADDBF"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MX"/>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MX"/>
        </w:rPr>
        <w:t xml:space="preserve"> </w:t>
      </w:r>
      <w:r w:rsidRPr="00930562">
        <w:rPr>
          <w:rFonts w:asciiTheme="minorHAnsi" w:hAnsiTheme="minorHAnsi" w:cstheme="majorHAnsi"/>
          <w:color w:val="808080" w:themeColor="background1" w:themeShade="80"/>
          <w:sz w:val="16"/>
          <w:szCs w:val="16"/>
          <w:lang w:val="es-MX"/>
        </w:rPr>
        <w:tab/>
      </w:r>
      <w:r w:rsidRPr="00930562">
        <w:rPr>
          <w:rFonts w:asciiTheme="minorHAnsi" w:hAnsiTheme="minorHAnsi" w:cstheme="minorHAnsi"/>
          <w:color w:val="808080" w:themeColor="background1" w:themeShade="80"/>
          <w:sz w:val="16"/>
          <w:szCs w:val="16"/>
          <w:lang w:val="es-MX"/>
        </w:rPr>
        <w:t>La doctrina de "acción estatal" ha tenido efectos extensos y duraderos en el desarrollo de la jurisprudencia constitucional y la justiciabilidad de las violaciones de los derechos humanos en los Estados Unidos, ya que colocó efectivamente una amplia gama de violaciones privadas de derechos por fuera del poder federal a los efectos de proporcionar una solución. A este respecto, se deben considerar los casos emblemáticos de la Corte Suprema que prohibieron la discriminación racial por parte de empresas privadas (véase el párrafo 51), encontrando la autoridad constitucional para hacerlo bajo la Cláusula de Comercio (Art. I, Sec. 8, Cláusula 3) en lugar de la Decimocuarta Enmienda.</w:t>
      </w:r>
    </w:p>
  </w:footnote>
  <w:footnote w:id="83">
    <w:p w14:paraId="46B9CFF0"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MX"/>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t xml:space="preserve">Citado en Equal Justice Initiative, </w:t>
      </w:r>
      <w:hyperlink r:id="rId123" w:history="1">
        <w:r w:rsidRPr="00930562">
          <w:rPr>
            <w:rStyle w:val="Hyperlink"/>
            <w:rFonts w:asciiTheme="minorHAnsi" w:hAnsiTheme="minorHAnsi" w:cstheme="minorHAnsi"/>
            <w:color w:val="808080" w:themeColor="background1" w:themeShade="80"/>
            <w:sz w:val="16"/>
            <w:szCs w:val="16"/>
            <w:lang w:val="es-MX"/>
          </w:rPr>
          <w:t>Lynching in America</w:t>
        </w:r>
      </w:hyperlink>
      <w:r w:rsidRPr="00930562">
        <w:rPr>
          <w:rFonts w:asciiTheme="minorHAnsi" w:hAnsiTheme="minorHAnsi" w:cstheme="minorHAnsi"/>
          <w:color w:val="808080" w:themeColor="background1" w:themeShade="80"/>
          <w:sz w:val="16"/>
          <w:szCs w:val="16"/>
          <w:lang w:val="es-MX"/>
        </w:rPr>
        <w:t xml:space="preserve"> (3era edición), 2017, p. 21.</w:t>
      </w:r>
    </w:p>
  </w:footnote>
  <w:footnote w:id="84">
    <w:p w14:paraId="616B0513"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Equal Justice Initiative, </w:t>
      </w:r>
      <w:hyperlink r:id="rId124" w:history="1">
        <w:r w:rsidRPr="00930562">
          <w:rPr>
            <w:rStyle w:val="Hyperlink"/>
            <w:rFonts w:asciiTheme="minorHAnsi" w:hAnsiTheme="minorHAnsi" w:cstheme="minorHAnsi"/>
            <w:color w:val="808080" w:themeColor="background1" w:themeShade="80"/>
            <w:sz w:val="16"/>
            <w:szCs w:val="16"/>
          </w:rPr>
          <w:t>Lynching in America</w:t>
        </w:r>
      </w:hyperlink>
      <w:r w:rsidRPr="00930562">
        <w:rPr>
          <w:rFonts w:asciiTheme="minorHAnsi" w:hAnsiTheme="minorHAnsi" w:cstheme="minorHAnsi"/>
          <w:color w:val="808080" w:themeColor="background1" w:themeShade="80"/>
          <w:sz w:val="16"/>
          <w:szCs w:val="16"/>
        </w:rPr>
        <w:t xml:space="preserve"> (3d edition), 2017, p. 23; </w:t>
      </w:r>
      <w:r w:rsidRPr="00930562">
        <w:rPr>
          <w:rFonts w:asciiTheme="minorHAnsi" w:hAnsiTheme="minorHAnsi" w:cstheme="minorHAnsi"/>
          <w:i/>
          <w:color w:val="808080" w:themeColor="background1" w:themeShade="80"/>
          <w:sz w:val="16"/>
          <w:szCs w:val="16"/>
        </w:rPr>
        <w:t>véase además</w:t>
      </w:r>
      <w:r w:rsidRPr="00930562">
        <w:rPr>
          <w:rFonts w:asciiTheme="minorHAnsi" w:hAnsiTheme="minorHAnsi" w:cstheme="minorHAnsi"/>
          <w:color w:val="808080" w:themeColor="background1" w:themeShade="80"/>
          <w:sz w:val="16"/>
          <w:szCs w:val="16"/>
        </w:rPr>
        <w:t xml:space="preserve"> David Oshinsky, </w:t>
      </w:r>
      <w:r w:rsidRPr="00930562">
        <w:rPr>
          <w:rFonts w:asciiTheme="minorHAnsi" w:hAnsiTheme="minorHAnsi" w:cstheme="minorHAnsi"/>
          <w:bCs/>
          <w:i/>
          <w:color w:val="808080" w:themeColor="background1" w:themeShade="80"/>
          <w:sz w:val="16"/>
          <w:szCs w:val="16"/>
        </w:rPr>
        <w:t>Worse than Slavery: Parchman Farm and the Ordeal of Jim Crow Justice</w:t>
      </w:r>
      <w:r w:rsidRPr="00930562">
        <w:rPr>
          <w:rFonts w:asciiTheme="minorHAnsi" w:hAnsiTheme="minorHAnsi" w:cstheme="minorHAnsi"/>
          <w:bCs/>
          <w:color w:val="808080" w:themeColor="background1" w:themeShade="80"/>
          <w:sz w:val="16"/>
          <w:szCs w:val="16"/>
        </w:rPr>
        <w:t xml:space="preserve"> (New York: Free Press, 1997); Douglas Blackmon, </w:t>
      </w:r>
      <w:r w:rsidRPr="00930562">
        <w:rPr>
          <w:rFonts w:asciiTheme="minorHAnsi" w:hAnsiTheme="minorHAnsi" w:cstheme="minorHAnsi"/>
          <w:bCs/>
          <w:i/>
          <w:color w:val="808080" w:themeColor="background1" w:themeShade="80"/>
          <w:sz w:val="16"/>
          <w:szCs w:val="16"/>
        </w:rPr>
        <w:t>Slavery by Another Name: The Re-Enslavement of Black Americans from the Civil War to World War II</w:t>
      </w:r>
      <w:r w:rsidRPr="00930562">
        <w:rPr>
          <w:rFonts w:asciiTheme="minorHAnsi" w:hAnsiTheme="minorHAnsi" w:cstheme="minorHAnsi"/>
          <w:bCs/>
          <w:color w:val="808080" w:themeColor="background1" w:themeShade="80"/>
          <w:sz w:val="16"/>
          <w:szCs w:val="16"/>
        </w:rPr>
        <w:t xml:space="preserve"> (New York: Random House, 2008); </w:t>
      </w:r>
      <w:r w:rsidRPr="00930562">
        <w:rPr>
          <w:rFonts w:asciiTheme="minorHAnsi" w:hAnsiTheme="minorHAnsi" w:cstheme="minorHAnsi"/>
          <w:color w:val="808080" w:themeColor="background1" w:themeShade="80"/>
          <w:sz w:val="16"/>
          <w:szCs w:val="16"/>
        </w:rPr>
        <w:t xml:space="preserve">Michelle Alexander, </w:t>
      </w:r>
      <w:r w:rsidRPr="00930562">
        <w:rPr>
          <w:rFonts w:asciiTheme="minorHAnsi" w:hAnsiTheme="minorHAnsi" w:cstheme="minorHAnsi"/>
          <w:i/>
          <w:color w:val="808080" w:themeColor="background1" w:themeShade="80"/>
          <w:sz w:val="16"/>
          <w:szCs w:val="16"/>
        </w:rPr>
        <w:t>The New Jim Crow: Mass Incarceration in the Age of Colorblindness</w:t>
      </w:r>
      <w:r w:rsidRPr="00930562">
        <w:rPr>
          <w:rFonts w:asciiTheme="minorHAnsi" w:hAnsiTheme="minorHAnsi" w:cstheme="minorHAnsi"/>
          <w:color w:val="808080" w:themeColor="background1" w:themeShade="80"/>
          <w:sz w:val="16"/>
          <w:szCs w:val="16"/>
        </w:rPr>
        <w:t xml:space="preserve"> (New York: The New Press, 2010), p. 156-57.</w:t>
      </w:r>
    </w:p>
  </w:footnote>
  <w:footnote w:id="85">
    <w:p w14:paraId="61AE9067"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Equal Justice Initiative, </w:t>
      </w:r>
      <w:hyperlink r:id="rId125" w:history="1">
        <w:r w:rsidRPr="00930562">
          <w:rPr>
            <w:rStyle w:val="Hyperlink"/>
            <w:rFonts w:asciiTheme="minorHAnsi" w:hAnsiTheme="minorHAnsi" w:cstheme="minorHAnsi"/>
            <w:color w:val="808080" w:themeColor="background1" w:themeShade="80"/>
            <w:sz w:val="16"/>
            <w:szCs w:val="16"/>
          </w:rPr>
          <w:t>Lynching in America</w:t>
        </w:r>
      </w:hyperlink>
      <w:r w:rsidRPr="00930562">
        <w:rPr>
          <w:rFonts w:asciiTheme="minorHAnsi" w:hAnsiTheme="minorHAnsi" w:cstheme="minorHAnsi"/>
          <w:color w:val="808080" w:themeColor="background1" w:themeShade="80"/>
          <w:sz w:val="16"/>
          <w:szCs w:val="16"/>
        </w:rPr>
        <w:t xml:space="preserve"> (3d edition), 2017, p. 23 (citing Jennifer Rae Taylor, Constitutionally Unprotected: Prison Slavery, Felon Disenfranchisement, and the Criminal Exception to Citizenship Rights, 47 </w:t>
      </w:r>
      <w:r w:rsidRPr="00930562">
        <w:rPr>
          <w:rFonts w:asciiTheme="minorHAnsi" w:hAnsiTheme="minorHAnsi" w:cstheme="minorHAnsi"/>
          <w:i/>
          <w:color w:val="808080" w:themeColor="background1" w:themeShade="80"/>
          <w:sz w:val="16"/>
          <w:szCs w:val="16"/>
        </w:rPr>
        <w:t>Gonzaga Law Review</w:t>
      </w:r>
      <w:r w:rsidRPr="00930562">
        <w:rPr>
          <w:rFonts w:asciiTheme="minorHAnsi" w:hAnsiTheme="minorHAnsi" w:cstheme="minorHAnsi"/>
          <w:color w:val="808080" w:themeColor="background1" w:themeShade="80"/>
          <w:sz w:val="16"/>
          <w:szCs w:val="16"/>
        </w:rPr>
        <w:t xml:space="preserve"> 365, 374 (2012)); </w:t>
      </w:r>
      <w:r w:rsidRPr="00930562">
        <w:rPr>
          <w:rFonts w:asciiTheme="minorHAnsi" w:hAnsiTheme="minorHAnsi" w:cstheme="minorHAnsi"/>
          <w:i/>
          <w:color w:val="808080" w:themeColor="background1" w:themeShade="80"/>
          <w:sz w:val="16"/>
          <w:szCs w:val="16"/>
        </w:rPr>
        <w:t>véase además</w:t>
      </w:r>
      <w:r w:rsidRPr="00930562">
        <w:rPr>
          <w:rFonts w:asciiTheme="minorHAnsi" w:hAnsiTheme="minorHAnsi" w:cstheme="minorHAnsi"/>
          <w:color w:val="808080" w:themeColor="background1" w:themeShade="80"/>
          <w:sz w:val="16"/>
          <w:szCs w:val="16"/>
        </w:rPr>
        <w:t xml:space="preserve"> David Oshinsky, </w:t>
      </w:r>
      <w:r w:rsidRPr="00930562">
        <w:rPr>
          <w:rFonts w:asciiTheme="minorHAnsi" w:hAnsiTheme="minorHAnsi" w:cstheme="minorHAnsi"/>
          <w:bCs/>
          <w:i/>
          <w:color w:val="808080" w:themeColor="background1" w:themeShade="80"/>
          <w:sz w:val="16"/>
          <w:szCs w:val="16"/>
        </w:rPr>
        <w:t>Worse than Slavery: Parchman Farm and the Ordeal of Jim Crow Justice</w:t>
      </w:r>
      <w:r w:rsidRPr="00930562">
        <w:rPr>
          <w:rFonts w:asciiTheme="minorHAnsi" w:hAnsiTheme="minorHAnsi" w:cstheme="minorHAnsi"/>
          <w:bCs/>
          <w:color w:val="808080" w:themeColor="background1" w:themeShade="80"/>
          <w:sz w:val="16"/>
          <w:szCs w:val="16"/>
        </w:rPr>
        <w:t xml:space="preserve"> (New York: Free Press, 1997); Douglas Blackmon, </w:t>
      </w:r>
      <w:r w:rsidRPr="00930562">
        <w:rPr>
          <w:rFonts w:asciiTheme="minorHAnsi" w:hAnsiTheme="minorHAnsi" w:cstheme="minorHAnsi"/>
          <w:bCs/>
          <w:i/>
          <w:color w:val="808080" w:themeColor="background1" w:themeShade="80"/>
          <w:sz w:val="16"/>
          <w:szCs w:val="16"/>
        </w:rPr>
        <w:t>Slavery by Another Name: The Re-Enslavement of Black Americans from the Civil War to World War II</w:t>
      </w:r>
      <w:r w:rsidRPr="00930562">
        <w:rPr>
          <w:rFonts w:asciiTheme="minorHAnsi" w:hAnsiTheme="minorHAnsi" w:cstheme="minorHAnsi"/>
          <w:bCs/>
          <w:color w:val="808080" w:themeColor="background1" w:themeShade="80"/>
          <w:sz w:val="16"/>
          <w:szCs w:val="16"/>
        </w:rPr>
        <w:t xml:space="preserve"> (New York: Random House, 2008) (extraído de Wall Street Journal, </w:t>
      </w:r>
      <w:hyperlink r:id="rId126" w:history="1">
        <w:r w:rsidRPr="00930562">
          <w:rPr>
            <w:rStyle w:val="Hyperlink"/>
            <w:rFonts w:asciiTheme="minorHAnsi" w:hAnsiTheme="minorHAnsi" w:cstheme="minorHAnsi"/>
            <w:color w:val="808080" w:themeColor="background1" w:themeShade="80"/>
            <w:sz w:val="16"/>
            <w:szCs w:val="16"/>
          </w:rPr>
          <w:t>A Different Kind of Slavery</w:t>
        </w:r>
      </w:hyperlink>
      <w:r w:rsidRPr="00930562">
        <w:rPr>
          <w:rFonts w:asciiTheme="minorHAnsi" w:hAnsiTheme="minorHAnsi" w:cstheme="minorHAnsi"/>
          <w:bCs/>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 xml:space="preserve">Mar. </w:t>
      </w:r>
      <w:r w:rsidRPr="00930562">
        <w:rPr>
          <w:rFonts w:asciiTheme="minorHAnsi" w:hAnsiTheme="minorHAnsi" w:cstheme="minorHAnsi"/>
          <w:bCs/>
          <w:color w:val="808080" w:themeColor="background1" w:themeShade="80"/>
          <w:sz w:val="16"/>
          <w:szCs w:val="16"/>
        </w:rPr>
        <w:t xml:space="preserve">29, 2008; </w:t>
      </w:r>
      <w:r w:rsidRPr="00930562">
        <w:rPr>
          <w:rFonts w:asciiTheme="minorHAnsi" w:hAnsiTheme="minorHAnsi" w:cstheme="minorHAnsi"/>
          <w:bCs/>
          <w:i/>
          <w:color w:val="808080" w:themeColor="background1" w:themeShade="80"/>
          <w:sz w:val="16"/>
          <w:szCs w:val="16"/>
        </w:rPr>
        <w:t>see also</w:t>
      </w:r>
      <w:r w:rsidRPr="00930562">
        <w:rPr>
          <w:rFonts w:asciiTheme="minorHAnsi" w:hAnsiTheme="minorHAnsi" w:cstheme="minorHAnsi"/>
          <w:bCs/>
          <w:color w:val="808080" w:themeColor="background1" w:themeShade="80"/>
          <w:sz w:val="16"/>
          <w:szCs w:val="16"/>
        </w:rPr>
        <w:t xml:space="preserve"> Wall Street Journal, </w:t>
      </w:r>
      <w:hyperlink r:id="rId127" w:history="1">
        <w:r w:rsidRPr="00930562">
          <w:rPr>
            <w:rStyle w:val="Hyperlink"/>
            <w:rFonts w:asciiTheme="minorHAnsi" w:hAnsiTheme="minorHAnsi" w:cstheme="minorHAnsi"/>
            <w:color w:val="808080" w:themeColor="background1" w:themeShade="80"/>
            <w:sz w:val="16"/>
            <w:szCs w:val="16"/>
          </w:rPr>
          <w:t>From Alabama's Past, Capitalism Teamed With Racism to Create Cruel Partnership</w:t>
        </w:r>
      </w:hyperlink>
      <w:r w:rsidRPr="00930562">
        <w:rPr>
          <w:rFonts w:asciiTheme="minorHAnsi" w:hAnsiTheme="minorHAnsi" w:cstheme="minorHAnsi"/>
          <w:bCs/>
          <w:color w:val="808080" w:themeColor="background1" w:themeShade="80"/>
          <w:sz w:val="16"/>
          <w:szCs w:val="16"/>
        </w:rPr>
        <w:t>, July 16, 2001).</w:t>
      </w:r>
    </w:p>
  </w:footnote>
  <w:footnote w:id="86">
    <w:p w14:paraId="00E6ABD8"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MX"/>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r>
      <w:r w:rsidRPr="00930562">
        <w:rPr>
          <w:rFonts w:asciiTheme="minorHAnsi" w:hAnsiTheme="minorHAnsi" w:cstheme="minorHAnsi"/>
          <w:bCs/>
          <w:color w:val="808080" w:themeColor="background1" w:themeShade="80"/>
          <w:sz w:val="16"/>
          <w:szCs w:val="16"/>
          <w:lang w:val="es-MX"/>
        </w:rPr>
        <w:t xml:space="preserve">Grupo de Trabajo de Expertos sobre los Afrodescendientes de las Naciones Unidas, </w:t>
      </w:r>
      <w:hyperlink r:id="rId128" w:history="1">
        <w:r w:rsidRPr="00930562">
          <w:rPr>
            <w:rStyle w:val="Hyperlink"/>
            <w:rFonts w:asciiTheme="minorHAnsi" w:hAnsiTheme="minorHAnsi" w:cstheme="minorHAnsi"/>
            <w:bCs/>
            <w:color w:val="808080" w:themeColor="background1" w:themeShade="80"/>
            <w:sz w:val="16"/>
            <w:szCs w:val="16"/>
            <w:lang w:val="es-MX"/>
          </w:rPr>
          <w:t>Report on mission to the U.S.</w:t>
        </w:r>
      </w:hyperlink>
      <w:r w:rsidRPr="00930562">
        <w:rPr>
          <w:rFonts w:asciiTheme="minorHAnsi" w:hAnsiTheme="minorHAnsi" w:cstheme="minorHAnsi"/>
          <w:bCs/>
          <w:color w:val="808080" w:themeColor="background1" w:themeShade="80"/>
          <w:sz w:val="16"/>
          <w:szCs w:val="16"/>
          <w:lang w:val="es-MX"/>
        </w:rPr>
        <w:t>, 18 de a</w:t>
      </w:r>
      <w:r w:rsidRPr="00930562">
        <w:rPr>
          <w:rFonts w:asciiTheme="minorHAnsi" w:hAnsiTheme="minorHAnsi" w:cstheme="minorHAnsi"/>
          <w:color w:val="808080" w:themeColor="background1" w:themeShade="80"/>
          <w:sz w:val="16"/>
          <w:szCs w:val="16"/>
          <w:lang w:val="es-MX"/>
        </w:rPr>
        <w:t xml:space="preserve">gosto de </w:t>
      </w:r>
      <w:r w:rsidRPr="00930562">
        <w:rPr>
          <w:rFonts w:asciiTheme="minorHAnsi" w:hAnsiTheme="minorHAnsi" w:cstheme="minorHAnsi"/>
          <w:bCs/>
          <w:color w:val="808080" w:themeColor="background1" w:themeShade="80"/>
          <w:sz w:val="16"/>
          <w:szCs w:val="16"/>
          <w:lang w:val="es-MX"/>
        </w:rPr>
        <w:t>2016</w:t>
      </w:r>
      <w:r w:rsidRPr="00930562">
        <w:rPr>
          <w:rFonts w:asciiTheme="minorHAnsi" w:hAnsiTheme="minorHAnsi" w:cstheme="minorHAnsi"/>
          <w:color w:val="808080" w:themeColor="background1" w:themeShade="80"/>
          <w:sz w:val="16"/>
          <w:szCs w:val="16"/>
          <w:lang w:val="es-MX"/>
        </w:rPr>
        <w:t>, párr. 7.</w:t>
      </w:r>
    </w:p>
  </w:footnote>
  <w:footnote w:id="87">
    <w:p w14:paraId="2C5B2A94"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t xml:space="preserve">Desde 1885 hasta 1908, los doce estados confederados reescribieron sus constituciones de manera de incluir provisiones restrictivas del derecho al voto con impuestos electorales, exámenes de alfabetización e inhabilitación del voto a condenados; los impuestos electorales y los exámenes de alfabetización continuaron siendo legales hasta la aprobación de la Ley de Derechos del Voto en 1965. Equal Justice Initiative, </w:t>
      </w:r>
      <w:hyperlink r:id="rId129" w:history="1">
        <w:r w:rsidRPr="00930562">
          <w:rPr>
            <w:rStyle w:val="Hyperlink"/>
            <w:rFonts w:asciiTheme="minorHAnsi" w:hAnsiTheme="minorHAnsi" w:cstheme="minorHAnsi"/>
            <w:color w:val="808080" w:themeColor="background1" w:themeShade="80"/>
            <w:sz w:val="16"/>
            <w:szCs w:val="16"/>
            <w:lang w:val="es-MX"/>
          </w:rPr>
          <w:t>Lynching in America</w:t>
        </w:r>
      </w:hyperlink>
      <w:r w:rsidRPr="00930562">
        <w:rPr>
          <w:rFonts w:asciiTheme="minorHAnsi" w:hAnsiTheme="minorHAnsi" w:cstheme="minorHAnsi"/>
          <w:color w:val="808080" w:themeColor="background1" w:themeShade="80"/>
          <w:sz w:val="16"/>
          <w:szCs w:val="16"/>
          <w:lang w:val="es-MX"/>
        </w:rPr>
        <w:t xml:space="preserve"> (3era edición), 2017, p. 23. </w:t>
      </w:r>
      <w:r w:rsidRPr="00930562">
        <w:rPr>
          <w:rFonts w:asciiTheme="minorHAnsi" w:hAnsiTheme="minorHAnsi" w:cstheme="minorHAnsi"/>
          <w:i/>
          <w:color w:val="808080" w:themeColor="background1" w:themeShade="80"/>
          <w:sz w:val="16"/>
          <w:szCs w:val="16"/>
          <w:lang w:val="es-MX"/>
        </w:rPr>
        <w:t xml:space="preserve">Véase infra </w:t>
      </w:r>
      <w:r w:rsidRPr="00930562">
        <w:rPr>
          <w:rFonts w:asciiTheme="minorHAnsi" w:hAnsiTheme="minorHAnsi" w:cstheme="minorHAnsi"/>
          <w:color w:val="808080" w:themeColor="background1" w:themeShade="80"/>
          <w:sz w:val="16"/>
          <w:szCs w:val="16"/>
          <w:lang w:val="es-MX"/>
        </w:rPr>
        <w:t xml:space="preserve">páre. </w:t>
      </w:r>
      <w:r w:rsidRPr="00930562">
        <w:rPr>
          <w:rFonts w:asciiTheme="minorHAnsi" w:hAnsiTheme="minorHAnsi" w:cstheme="minorHAnsi"/>
          <w:color w:val="808080" w:themeColor="background1" w:themeShade="80"/>
          <w:sz w:val="16"/>
          <w:szCs w:val="16"/>
        </w:rPr>
        <w:fldChar w:fldCharType="begin"/>
      </w:r>
      <w:r w:rsidRPr="00930562">
        <w:rPr>
          <w:rFonts w:asciiTheme="minorHAnsi" w:hAnsiTheme="minorHAnsi" w:cstheme="minorHAnsi"/>
          <w:color w:val="808080" w:themeColor="background1" w:themeShade="80"/>
          <w:sz w:val="16"/>
          <w:szCs w:val="16"/>
          <w:lang w:val="es-MX"/>
        </w:rPr>
        <w:instrText xml:space="preserve"> REF _Ref507082453 \r \h  \* MERGEFORMAT </w:instrText>
      </w:r>
      <w:r w:rsidRPr="00930562">
        <w:rPr>
          <w:rFonts w:asciiTheme="minorHAnsi" w:hAnsiTheme="minorHAnsi" w:cstheme="minorHAnsi"/>
          <w:color w:val="808080" w:themeColor="background1" w:themeShade="80"/>
          <w:sz w:val="16"/>
          <w:szCs w:val="16"/>
        </w:rPr>
      </w:r>
      <w:r w:rsidRPr="00930562">
        <w:rPr>
          <w:rFonts w:asciiTheme="minorHAnsi" w:hAnsiTheme="minorHAnsi" w:cstheme="minorHAnsi"/>
          <w:color w:val="808080" w:themeColor="background1" w:themeShade="80"/>
          <w:sz w:val="16"/>
          <w:szCs w:val="16"/>
        </w:rPr>
        <w:fldChar w:fldCharType="separate"/>
      </w:r>
      <w:r w:rsidRPr="00930562">
        <w:rPr>
          <w:rFonts w:asciiTheme="minorHAnsi" w:hAnsiTheme="minorHAnsi" w:cstheme="minorHAnsi"/>
          <w:color w:val="808080" w:themeColor="background1" w:themeShade="80"/>
          <w:sz w:val="16"/>
          <w:szCs w:val="16"/>
          <w:lang w:val="es-AR"/>
        </w:rPr>
        <w:t>46</w:t>
      </w:r>
      <w:r w:rsidRPr="00930562">
        <w:rPr>
          <w:rFonts w:asciiTheme="minorHAnsi" w:hAnsiTheme="minorHAnsi" w:cstheme="minorHAnsi"/>
          <w:color w:val="808080" w:themeColor="background1" w:themeShade="80"/>
          <w:sz w:val="16"/>
          <w:szCs w:val="16"/>
        </w:rPr>
        <w:fldChar w:fldCharType="end"/>
      </w:r>
      <w:r w:rsidRPr="00930562">
        <w:rPr>
          <w:rFonts w:asciiTheme="minorHAnsi" w:hAnsiTheme="minorHAnsi" w:cstheme="minorHAnsi"/>
          <w:color w:val="808080" w:themeColor="background1" w:themeShade="80"/>
          <w:sz w:val="16"/>
          <w:szCs w:val="16"/>
          <w:lang w:val="es-AR"/>
        </w:rPr>
        <w:t>.</w:t>
      </w:r>
    </w:p>
  </w:footnote>
  <w:footnote w:id="88">
    <w:p w14:paraId="407D3094"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t xml:space="preserve">Los soldados ex-confederados en el sur formaron el Klan en los meses posteriores al final de la Guerra Civil en 1865 y se  organizaron y volvieron más violentos durante los años posteriores. </w:t>
      </w:r>
      <w:r w:rsidRPr="00930562">
        <w:rPr>
          <w:rFonts w:asciiTheme="minorHAnsi" w:hAnsiTheme="minorHAnsi" w:cstheme="minorHAnsi"/>
          <w:color w:val="808080" w:themeColor="background1" w:themeShade="80"/>
          <w:sz w:val="16"/>
          <w:szCs w:val="16"/>
        </w:rPr>
        <w:t xml:space="preserve">Southern Poverty Law Center, </w:t>
      </w:r>
      <w:hyperlink r:id="rId130" w:history="1">
        <w:r w:rsidRPr="00930562">
          <w:rPr>
            <w:rStyle w:val="Hyperlink"/>
            <w:rFonts w:asciiTheme="minorHAnsi" w:hAnsiTheme="minorHAnsi" w:cstheme="minorHAnsi"/>
            <w:color w:val="808080" w:themeColor="background1" w:themeShade="80"/>
            <w:sz w:val="16"/>
            <w:szCs w:val="16"/>
          </w:rPr>
          <w:t>Ku Klux Klan: A History of Racism and Violence</w:t>
        </w:r>
      </w:hyperlink>
      <w:r w:rsidRPr="00930562">
        <w:rPr>
          <w:rFonts w:asciiTheme="minorHAnsi" w:hAnsiTheme="minorHAnsi" w:cstheme="minorHAnsi"/>
          <w:color w:val="808080" w:themeColor="background1" w:themeShade="80"/>
          <w:sz w:val="16"/>
          <w:szCs w:val="16"/>
        </w:rPr>
        <w:t>, 2011.</w:t>
      </w:r>
    </w:p>
  </w:footnote>
  <w:footnote w:id="89">
    <w:p w14:paraId="1DBD87AE"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t xml:space="preserve">Los linchamientos eran actos violentos y públicos de tortura que traumatizaban a los negros en todo el país y eran tolerados en gran medida por los funcionarios estatales y federales. Un informe reciente documentó 4.084 linchamientos de violencia racial en doce estados del sur entre 1877 y 1950, al menos 800 linchamientos más en estos estados de lo que se informó anteriormente. El informe también documentó más de 300 linchamientos de violencia racial en otros estados durante este período. Equal Justice Initiative, </w:t>
      </w:r>
      <w:hyperlink r:id="rId131" w:history="1">
        <w:r w:rsidRPr="00930562">
          <w:rPr>
            <w:rStyle w:val="Hyperlink"/>
            <w:rFonts w:asciiTheme="minorHAnsi" w:hAnsiTheme="minorHAnsi" w:cstheme="minorHAnsi"/>
            <w:color w:val="808080" w:themeColor="background1" w:themeShade="80"/>
            <w:sz w:val="16"/>
            <w:szCs w:val="16"/>
            <w:lang w:val="es-MX"/>
          </w:rPr>
          <w:t>Lynching in America</w:t>
        </w:r>
      </w:hyperlink>
      <w:r w:rsidRPr="00930562">
        <w:rPr>
          <w:rFonts w:asciiTheme="minorHAnsi" w:hAnsiTheme="minorHAnsi" w:cstheme="minorHAnsi"/>
          <w:color w:val="808080" w:themeColor="background1" w:themeShade="80"/>
          <w:sz w:val="16"/>
          <w:szCs w:val="16"/>
          <w:lang w:val="es-MX"/>
        </w:rPr>
        <w:t xml:space="preserve"> (3era edición), 2017. </w:t>
      </w:r>
      <w:r w:rsidRPr="00930562">
        <w:rPr>
          <w:rStyle w:val="reference-accessdate"/>
          <w:rFonts w:asciiTheme="minorHAnsi" w:hAnsiTheme="minorHAnsi" w:cstheme="minorHAnsi"/>
          <w:i/>
          <w:iCs/>
          <w:color w:val="808080" w:themeColor="background1" w:themeShade="80"/>
          <w:sz w:val="16"/>
          <w:szCs w:val="16"/>
          <w:lang w:val="es-MX"/>
        </w:rPr>
        <w:t xml:space="preserve">Veáse además,  </w:t>
      </w:r>
      <w:r w:rsidRPr="00930562">
        <w:rPr>
          <w:rFonts w:asciiTheme="minorHAnsi" w:hAnsiTheme="minorHAnsi" w:cstheme="minorHAnsi"/>
          <w:bCs/>
          <w:color w:val="808080" w:themeColor="background1" w:themeShade="80"/>
          <w:sz w:val="16"/>
          <w:szCs w:val="16"/>
          <w:lang w:val="es-MX"/>
        </w:rPr>
        <w:t xml:space="preserve">Grupo de Trabajo de Expertos sobre los Afrodescendientes de las Naciones Unidas, </w:t>
      </w:r>
      <w:hyperlink r:id="rId132" w:history="1">
        <w:r w:rsidRPr="00930562">
          <w:rPr>
            <w:rStyle w:val="Hyperlink"/>
            <w:rFonts w:asciiTheme="minorHAnsi" w:hAnsiTheme="minorHAnsi" w:cstheme="minorHAnsi"/>
            <w:bCs/>
            <w:color w:val="808080" w:themeColor="background1" w:themeShade="80"/>
            <w:sz w:val="16"/>
            <w:szCs w:val="16"/>
            <w:lang w:val="es-MX"/>
          </w:rPr>
          <w:t>Report on mission to the U.S.</w:t>
        </w:r>
      </w:hyperlink>
      <w:r w:rsidRPr="00930562">
        <w:rPr>
          <w:rFonts w:asciiTheme="minorHAnsi" w:hAnsiTheme="minorHAnsi" w:cstheme="minorHAnsi"/>
          <w:bCs/>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 xml:space="preserve">18 de agosto de 2016, párr. 7. EJI concluyó que la caída del linchamiento "dependía en gran medida del uso cada vez mayor de la pena de muerte impuesta por orden judicial tras un juicio que a menudo era acelerado".  Las raíces de la pena de muerte están profundamente arraigadas en el legado del linchamiento y eso se evidencia en el hecho de que las ejecuciones públicas para controlar a la mafia continuaron después de que la práctica fuera prohibida legalmente.” </w:t>
      </w:r>
      <w:r w:rsidRPr="00930562">
        <w:rPr>
          <w:rFonts w:asciiTheme="minorHAnsi" w:hAnsiTheme="minorHAnsi" w:cstheme="minorHAnsi"/>
          <w:color w:val="808080" w:themeColor="background1" w:themeShade="80"/>
          <w:sz w:val="16"/>
          <w:szCs w:val="16"/>
          <w:lang w:val="es-AR"/>
        </w:rPr>
        <w:t xml:space="preserve">EJI, </w:t>
      </w:r>
      <w:hyperlink r:id="rId133" w:history="1">
        <w:r w:rsidRPr="00930562">
          <w:rPr>
            <w:rStyle w:val="Hyperlink"/>
            <w:rFonts w:asciiTheme="minorHAnsi" w:hAnsiTheme="minorHAnsi" w:cstheme="minorHAnsi"/>
            <w:color w:val="808080" w:themeColor="background1" w:themeShade="80"/>
            <w:sz w:val="16"/>
            <w:szCs w:val="16"/>
            <w:lang w:val="es-AR"/>
          </w:rPr>
          <w:t>Lynching in America</w:t>
        </w:r>
      </w:hyperlink>
      <w:r w:rsidRPr="00930562">
        <w:rPr>
          <w:rFonts w:asciiTheme="minorHAnsi" w:hAnsiTheme="minorHAnsi" w:cstheme="minorHAnsi"/>
          <w:color w:val="808080" w:themeColor="background1" w:themeShade="80"/>
          <w:sz w:val="16"/>
          <w:szCs w:val="16"/>
          <w:lang w:val="es-AR"/>
        </w:rPr>
        <w:t xml:space="preserve"> (3era edición), 2017.</w:t>
      </w:r>
    </w:p>
  </w:footnote>
  <w:footnote w:id="90">
    <w:p w14:paraId="0B0ADB35"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MX"/>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i/>
          <w:color w:val="808080" w:themeColor="background1" w:themeShade="80"/>
          <w:sz w:val="16"/>
          <w:szCs w:val="16"/>
          <w:lang w:val="es-AR"/>
        </w:rPr>
        <w:t>Véase por ejemplo</w:t>
      </w:r>
      <w:r w:rsidRPr="00930562">
        <w:rPr>
          <w:rFonts w:asciiTheme="minorHAnsi" w:hAnsiTheme="minorHAnsi" w:cstheme="minorHAnsi"/>
          <w:color w:val="808080" w:themeColor="background1" w:themeShade="80"/>
          <w:sz w:val="16"/>
          <w:szCs w:val="16"/>
          <w:lang w:val="es-AR"/>
        </w:rPr>
        <w:t>,</w:t>
      </w:r>
      <w:r w:rsidRPr="00930562">
        <w:rPr>
          <w:rFonts w:asciiTheme="minorHAnsi" w:hAnsiTheme="minorHAnsi" w:cstheme="minorHAnsi"/>
          <w: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 xml:space="preserve">William A. Darity, Jr. </w:t>
      </w:r>
      <w:r w:rsidRPr="00930562">
        <w:rPr>
          <w:rFonts w:asciiTheme="minorHAnsi" w:hAnsiTheme="minorHAnsi" w:cstheme="minorHAnsi"/>
          <w:color w:val="808080" w:themeColor="background1" w:themeShade="80"/>
          <w:sz w:val="16"/>
          <w:szCs w:val="16"/>
          <w:lang w:val="es-MX"/>
        </w:rPr>
        <w:t xml:space="preserve">&amp; Dania Frank (2005), “The Economics of Reparations,” en Conrad et al., eds., </w:t>
      </w:r>
      <w:r w:rsidRPr="00930562">
        <w:rPr>
          <w:rFonts w:asciiTheme="minorHAnsi" w:hAnsiTheme="minorHAnsi" w:cstheme="minorHAnsi"/>
          <w:i/>
          <w:color w:val="808080" w:themeColor="background1" w:themeShade="80"/>
          <w:sz w:val="16"/>
          <w:szCs w:val="16"/>
          <w:lang w:val="es-MX"/>
        </w:rPr>
        <w:t>African Americans in the US Economy</w:t>
      </w:r>
      <w:r w:rsidRPr="00930562">
        <w:rPr>
          <w:rFonts w:asciiTheme="minorHAnsi" w:hAnsiTheme="minorHAnsi" w:cstheme="minorHAnsi"/>
          <w:color w:val="808080" w:themeColor="background1" w:themeShade="80"/>
          <w:sz w:val="16"/>
          <w:szCs w:val="16"/>
          <w:lang w:val="es-MX"/>
        </w:rPr>
        <w:t xml:space="preserve"> (2005), p. 335., Los autores argumentan que la brutal violencia de los linchamientos públicos estuvo estrechamente relacionada con el robo de propiedades negras, y citan cientos de casos documentados de robo de tierras, así como los disturbios raciales en Wilmington, Carolina del Norte (1898), Tulsa, Oklahoma (1921) y Rosewood, Florida (1923), lo cual incineró de cuajo a las prósperas comunidades negras en esas ciudades.</w:t>
      </w:r>
    </w:p>
  </w:footnote>
  <w:footnote w:id="91">
    <w:p w14:paraId="3A882E30"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r>
      <w:r w:rsidRPr="00930562">
        <w:rPr>
          <w:rFonts w:asciiTheme="minorHAnsi" w:hAnsiTheme="minorHAnsi" w:cstheme="minorHAnsi"/>
          <w:i/>
          <w:color w:val="808080" w:themeColor="background1" w:themeShade="80"/>
          <w:sz w:val="16"/>
          <w:szCs w:val="16"/>
        </w:rPr>
        <w:t xml:space="preserve">Véase </w:t>
      </w:r>
      <w:proofErr w:type="gramStart"/>
      <w:r w:rsidRPr="00930562">
        <w:rPr>
          <w:rFonts w:asciiTheme="minorHAnsi" w:hAnsiTheme="minorHAnsi" w:cstheme="minorHAnsi"/>
          <w:color w:val="808080" w:themeColor="background1" w:themeShade="80"/>
          <w:sz w:val="16"/>
          <w:szCs w:val="16"/>
        </w:rPr>
        <w:t>The</w:t>
      </w:r>
      <w:proofErr w:type="gramEnd"/>
      <w:r w:rsidRPr="00930562">
        <w:rPr>
          <w:rFonts w:asciiTheme="minorHAnsi" w:hAnsiTheme="minorHAnsi" w:cstheme="minorHAnsi"/>
          <w:color w:val="808080" w:themeColor="background1" w:themeShade="80"/>
          <w:sz w:val="16"/>
          <w:szCs w:val="16"/>
        </w:rPr>
        <w:t xml:space="preserve"> Atlantic Magazine, </w:t>
      </w:r>
      <w:hyperlink r:id="rId134" w:history="1">
        <w:r w:rsidRPr="00930562">
          <w:rPr>
            <w:rStyle w:val="Hyperlink"/>
            <w:rFonts w:asciiTheme="minorHAnsi" w:hAnsiTheme="minorHAnsi" w:cstheme="minorHAnsi"/>
            <w:color w:val="808080" w:themeColor="background1" w:themeShade="80"/>
            <w:sz w:val="16"/>
            <w:szCs w:val="16"/>
          </w:rPr>
          <w:t>The Case for Reparations</w:t>
        </w:r>
      </w:hyperlink>
      <w:r w:rsidRPr="00930562">
        <w:rPr>
          <w:rFonts w:asciiTheme="minorHAnsi" w:hAnsiTheme="minorHAnsi" w:cstheme="minorHAnsi"/>
          <w:color w:val="808080" w:themeColor="background1" w:themeShade="80"/>
          <w:sz w:val="16"/>
          <w:szCs w:val="16"/>
        </w:rPr>
        <w:t xml:space="preserve">, Junio de 2014; Richard Rothstein, </w:t>
      </w:r>
      <w:r w:rsidRPr="00930562">
        <w:rPr>
          <w:rFonts w:asciiTheme="minorHAnsi" w:hAnsiTheme="minorHAnsi" w:cstheme="minorHAnsi"/>
          <w:i/>
          <w:color w:val="808080" w:themeColor="background1" w:themeShade="80"/>
          <w:sz w:val="16"/>
          <w:szCs w:val="16"/>
        </w:rPr>
        <w:t>The Color of Law: A Forgotten History of How Our Government Segregated America</w:t>
      </w:r>
      <w:r w:rsidRPr="00930562">
        <w:rPr>
          <w:rFonts w:asciiTheme="minorHAnsi" w:hAnsiTheme="minorHAnsi" w:cstheme="minorHAnsi"/>
          <w:color w:val="808080" w:themeColor="background1" w:themeShade="80"/>
          <w:sz w:val="16"/>
          <w:szCs w:val="16"/>
        </w:rPr>
        <w:t xml:space="preserve"> (New York: Liveright, 2017).</w:t>
      </w:r>
    </w:p>
  </w:footnote>
  <w:footnote w:id="92">
    <w:p w14:paraId="1560A82E"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r>
      <w:r w:rsidRPr="00930562">
        <w:rPr>
          <w:rFonts w:asciiTheme="minorHAnsi" w:hAnsiTheme="minorHAnsi" w:cstheme="minorHAnsi"/>
          <w:i/>
          <w:color w:val="808080" w:themeColor="background1" w:themeShade="80"/>
          <w:sz w:val="16"/>
          <w:szCs w:val="16"/>
        </w:rPr>
        <w:t xml:space="preserve">Véase </w:t>
      </w:r>
      <w:r w:rsidRPr="00930562">
        <w:rPr>
          <w:rFonts w:asciiTheme="minorHAnsi" w:hAnsiTheme="minorHAnsi" w:cstheme="minorHAnsi"/>
          <w:color w:val="808080" w:themeColor="background1" w:themeShade="80"/>
          <w:sz w:val="16"/>
          <w:szCs w:val="16"/>
        </w:rPr>
        <w:t xml:space="preserve">New Yorker, </w:t>
      </w:r>
      <w:hyperlink r:id="rId135" w:history="1">
        <w:r w:rsidRPr="00930562">
          <w:rPr>
            <w:rStyle w:val="Hyperlink"/>
            <w:rFonts w:asciiTheme="minorHAnsi" w:hAnsiTheme="minorHAnsi" w:cstheme="minorHAnsi"/>
            <w:color w:val="808080" w:themeColor="background1" w:themeShade="80"/>
            <w:sz w:val="16"/>
            <w:szCs w:val="16"/>
          </w:rPr>
          <w:t>The Widening Racial Wealth Divide</w:t>
        </w:r>
      </w:hyperlink>
      <w:r w:rsidRPr="00930562">
        <w:rPr>
          <w:rFonts w:asciiTheme="minorHAnsi" w:hAnsiTheme="minorHAnsi" w:cstheme="minorHAnsi"/>
          <w:color w:val="808080" w:themeColor="background1" w:themeShade="80"/>
          <w:sz w:val="16"/>
          <w:szCs w:val="16"/>
        </w:rPr>
        <w:t xml:space="preserve">, 10 de octubre de 2016; Forbes, </w:t>
      </w:r>
      <w:hyperlink r:id="rId136" w:anchor="6a3532261f45" w:history="1">
        <w:r w:rsidRPr="00930562">
          <w:rPr>
            <w:rStyle w:val="Hyperlink"/>
            <w:rFonts w:asciiTheme="minorHAnsi" w:hAnsiTheme="minorHAnsi" w:cstheme="minorHAnsi"/>
            <w:color w:val="808080" w:themeColor="background1" w:themeShade="80"/>
            <w:sz w:val="16"/>
            <w:szCs w:val="16"/>
          </w:rPr>
          <w:t>The Racial Wealth Gap: Why A Typical White Household Has 16 Times The Wealth Of A Black One</w:t>
        </w:r>
      </w:hyperlink>
      <w:r w:rsidRPr="00930562">
        <w:rPr>
          <w:rFonts w:asciiTheme="minorHAnsi" w:hAnsiTheme="minorHAnsi" w:cstheme="minorHAnsi"/>
          <w:color w:val="808080" w:themeColor="background1" w:themeShade="80"/>
          <w:sz w:val="16"/>
          <w:szCs w:val="16"/>
        </w:rPr>
        <w:t xml:space="preserve">, 26 de marzo de 2015. </w:t>
      </w:r>
      <w:r w:rsidRPr="00930562">
        <w:rPr>
          <w:rFonts w:asciiTheme="minorHAnsi" w:hAnsiTheme="minorHAnsi" w:cstheme="minorHAnsi"/>
          <w:color w:val="808080" w:themeColor="background1" w:themeShade="80"/>
          <w:sz w:val="16"/>
          <w:szCs w:val="16"/>
          <w:lang w:val="es-MX"/>
        </w:rPr>
        <w:t xml:space="preserve">Desde la crisis financiera de 2008, ha habido un creciente escrutinio de las prácticas de préstamos irresponsables contra las comunidades negras y otras minorías. </w:t>
      </w:r>
      <w:r w:rsidRPr="00930562">
        <w:rPr>
          <w:rFonts w:asciiTheme="minorHAnsi" w:hAnsiTheme="minorHAnsi" w:cstheme="minorHAnsi"/>
          <w:color w:val="808080" w:themeColor="background1" w:themeShade="80"/>
          <w:sz w:val="16"/>
          <w:szCs w:val="16"/>
        </w:rPr>
        <w:t xml:space="preserve">Chicago Tribune, </w:t>
      </w:r>
      <w:hyperlink r:id="rId137" w:history="1">
        <w:r w:rsidRPr="00930562">
          <w:rPr>
            <w:rStyle w:val="Hyperlink"/>
            <w:rFonts w:asciiTheme="minorHAnsi" w:hAnsiTheme="minorHAnsi" w:cstheme="minorHAnsi"/>
            <w:color w:val="808080" w:themeColor="background1" w:themeShade="80"/>
            <w:sz w:val="16"/>
            <w:szCs w:val="16"/>
          </w:rPr>
          <w:t>Why black homeownership rates lag even as the housing market recovers</w:t>
        </w:r>
      </w:hyperlink>
      <w:r w:rsidRPr="00930562">
        <w:rPr>
          <w:rFonts w:asciiTheme="minorHAnsi" w:hAnsiTheme="minorHAnsi" w:cstheme="minorHAnsi"/>
          <w:color w:val="808080" w:themeColor="background1" w:themeShade="80"/>
          <w:sz w:val="16"/>
          <w:szCs w:val="16"/>
        </w:rPr>
        <w:t xml:space="preserve">, 21 de junio de 2017; New York Times, </w:t>
      </w:r>
      <w:hyperlink r:id="rId138" w:history="1">
        <w:r w:rsidRPr="00930562">
          <w:rPr>
            <w:rStyle w:val="Hyperlink"/>
            <w:rFonts w:asciiTheme="minorHAnsi" w:hAnsiTheme="minorHAnsi" w:cstheme="minorHAnsi"/>
            <w:color w:val="808080" w:themeColor="background1" w:themeShade="80"/>
            <w:sz w:val="16"/>
            <w:szCs w:val="16"/>
          </w:rPr>
          <w:t>How Homeownership Became the Engine of American Inequality</w:t>
        </w:r>
      </w:hyperlink>
      <w:r w:rsidRPr="00930562">
        <w:rPr>
          <w:rFonts w:asciiTheme="minorHAnsi" w:hAnsiTheme="minorHAnsi" w:cstheme="minorHAnsi"/>
          <w:color w:val="808080" w:themeColor="background1" w:themeShade="80"/>
          <w:sz w:val="16"/>
          <w:szCs w:val="16"/>
        </w:rPr>
        <w:t xml:space="preserve">, 9 de mayo de 2017. </w:t>
      </w:r>
    </w:p>
  </w:footnote>
  <w:footnote w:id="93">
    <w:p w14:paraId="38209DCA"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Equal Justice Initiative, </w:t>
      </w:r>
      <w:hyperlink r:id="rId139" w:history="1">
        <w:r w:rsidRPr="00930562">
          <w:rPr>
            <w:rStyle w:val="Hyperlink"/>
            <w:rFonts w:asciiTheme="minorHAnsi" w:hAnsiTheme="minorHAnsi" w:cstheme="minorHAnsi"/>
            <w:color w:val="808080" w:themeColor="background1" w:themeShade="80"/>
            <w:sz w:val="16"/>
            <w:szCs w:val="16"/>
          </w:rPr>
          <w:t>Lynching in America</w:t>
        </w:r>
      </w:hyperlink>
      <w:r w:rsidRPr="00930562">
        <w:rPr>
          <w:rFonts w:asciiTheme="minorHAnsi" w:hAnsiTheme="minorHAnsi" w:cstheme="minorHAnsi"/>
          <w:color w:val="808080" w:themeColor="background1" w:themeShade="80"/>
          <w:sz w:val="16"/>
          <w:szCs w:val="16"/>
        </w:rPr>
        <w:t xml:space="preserve"> (3era edición), 2017, p. 58.</w:t>
      </w:r>
    </w:p>
  </w:footnote>
  <w:footnote w:id="94">
    <w:p w14:paraId="5652273F"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MX"/>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rPr>
        <w:t xml:space="preserve"> </w:t>
      </w:r>
      <w:r w:rsidRPr="00930562">
        <w:rPr>
          <w:rFonts w:asciiTheme="minorHAnsi" w:hAnsiTheme="minorHAnsi" w:cstheme="majorHAnsi"/>
          <w:color w:val="808080" w:themeColor="background1" w:themeShade="80"/>
          <w:sz w:val="16"/>
          <w:szCs w:val="16"/>
        </w:rPr>
        <w:tab/>
      </w:r>
      <w:r w:rsidRPr="00930562">
        <w:rPr>
          <w:rFonts w:asciiTheme="minorHAnsi" w:hAnsiTheme="minorHAnsi" w:cstheme="minorHAnsi"/>
          <w:i/>
          <w:color w:val="808080" w:themeColor="background1" w:themeShade="80"/>
          <w:sz w:val="16"/>
          <w:szCs w:val="16"/>
        </w:rPr>
        <w:t>Brown I</w:t>
      </w:r>
      <w:r w:rsidRPr="00930562">
        <w:rPr>
          <w:rFonts w:asciiTheme="minorHAnsi" w:hAnsiTheme="minorHAnsi" w:cstheme="minorHAnsi"/>
          <w:color w:val="808080" w:themeColor="background1" w:themeShade="80"/>
          <w:sz w:val="16"/>
          <w:szCs w:val="16"/>
        </w:rPr>
        <w:t>,</w:t>
      </w:r>
      <w:r w:rsidRPr="00930562">
        <w:rPr>
          <w:rFonts w:asciiTheme="minorHAnsi" w:hAnsiTheme="minorHAnsi" w:cstheme="minorHAnsi"/>
          <w: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 xml:space="preserve">347 U.S. 483 (1954); </w:t>
      </w:r>
      <w:r w:rsidRPr="00930562">
        <w:rPr>
          <w:rFonts w:asciiTheme="minorHAnsi" w:hAnsiTheme="minorHAnsi" w:cstheme="minorHAnsi"/>
          <w:i/>
          <w:color w:val="808080" w:themeColor="background1" w:themeShade="80"/>
          <w:sz w:val="16"/>
          <w:szCs w:val="16"/>
        </w:rPr>
        <w:t>Brown II</w:t>
      </w:r>
      <w:r w:rsidRPr="00930562">
        <w:rPr>
          <w:rFonts w:asciiTheme="minorHAnsi" w:hAnsiTheme="minorHAnsi" w:cstheme="minorHAnsi"/>
          <w:color w:val="808080" w:themeColor="background1" w:themeShade="80"/>
          <w:sz w:val="16"/>
          <w:szCs w:val="16"/>
        </w:rPr>
        <w:t xml:space="preserve">, 349 U.S. 294 (1955). </w:t>
      </w:r>
      <w:r w:rsidRPr="00930562">
        <w:rPr>
          <w:rFonts w:asciiTheme="minorHAnsi" w:hAnsiTheme="minorHAnsi" w:cstheme="minorHAnsi"/>
          <w:color w:val="808080" w:themeColor="background1" w:themeShade="80"/>
          <w:sz w:val="16"/>
          <w:szCs w:val="16"/>
          <w:lang w:val="es-MX"/>
        </w:rPr>
        <w:t xml:space="preserve">Casos previos de integración de la universidad pública incluyeron </w:t>
      </w:r>
      <w:r w:rsidRPr="00930562">
        <w:rPr>
          <w:rFonts w:asciiTheme="minorHAnsi" w:hAnsiTheme="minorHAnsi" w:cstheme="minorHAnsi"/>
          <w:i/>
          <w:color w:val="808080" w:themeColor="background1" w:themeShade="80"/>
          <w:sz w:val="16"/>
          <w:szCs w:val="16"/>
          <w:lang w:val="es-MX"/>
        </w:rPr>
        <w:t>Sweatt v. Painter</w:t>
      </w:r>
      <w:r w:rsidRPr="00930562">
        <w:rPr>
          <w:rFonts w:asciiTheme="minorHAnsi" w:hAnsiTheme="minorHAnsi" w:cstheme="minorHAnsi"/>
          <w:color w:val="808080" w:themeColor="background1" w:themeShade="80"/>
          <w:sz w:val="16"/>
          <w:szCs w:val="16"/>
          <w:lang w:val="es-MX"/>
        </w:rPr>
        <w:t xml:space="preserve">, 339 U.S. 629 (1950) (acerca de integración en la Escuela de Derecho de la Universida de Texas), y </w:t>
      </w:r>
      <w:r w:rsidRPr="00930562">
        <w:rPr>
          <w:rFonts w:asciiTheme="minorHAnsi" w:hAnsiTheme="minorHAnsi" w:cstheme="minorHAnsi"/>
          <w:i/>
          <w:color w:val="808080" w:themeColor="background1" w:themeShade="80"/>
          <w:sz w:val="16"/>
          <w:szCs w:val="16"/>
          <w:lang w:val="es-MX"/>
        </w:rPr>
        <w:t>McLaurin v. Oklahoma State Regents</w:t>
      </w:r>
      <w:r w:rsidRPr="00930562">
        <w:rPr>
          <w:rFonts w:asciiTheme="minorHAnsi" w:hAnsiTheme="minorHAnsi" w:cstheme="minorHAnsi"/>
          <w:color w:val="808080" w:themeColor="background1" w:themeShade="80"/>
          <w:sz w:val="16"/>
          <w:szCs w:val="16"/>
          <w:lang w:val="es-MX"/>
        </w:rPr>
        <w:t xml:space="preserve">, 339 U.S. 637 (1950) (acerca de integración de la Escuela de Derecho de la Universidad de Oklahoma). </w:t>
      </w:r>
    </w:p>
  </w:footnote>
  <w:footnote w:id="95">
    <w:p w14:paraId="28B88610"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Heart of Atlanta Motel v. U.S., 379 U.S. 241 (1964); Katzenbach v. McClung (“Ollie’s Barbeque”), 379 U.S. 294 (1964).</w:t>
      </w:r>
    </w:p>
  </w:footnote>
  <w:footnote w:id="96">
    <w:p w14:paraId="49FBD60D"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MX"/>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t xml:space="preserve">Estos incluyen no sólo movimientos de Derechos Civiles y </w:t>
      </w:r>
      <w:r w:rsidRPr="00930562">
        <w:rPr>
          <w:rFonts w:asciiTheme="minorHAnsi" w:hAnsiTheme="minorHAnsi" w:cstheme="minorHAnsi"/>
          <w:i/>
          <w:color w:val="808080" w:themeColor="background1" w:themeShade="80"/>
          <w:sz w:val="16"/>
          <w:szCs w:val="16"/>
          <w:lang w:val="es-MX"/>
        </w:rPr>
        <w:t>Black Power</w:t>
      </w:r>
      <w:r w:rsidRPr="00930562">
        <w:rPr>
          <w:rFonts w:asciiTheme="minorHAnsi" w:hAnsiTheme="minorHAnsi" w:cstheme="minorHAnsi"/>
          <w:color w:val="808080" w:themeColor="background1" w:themeShade="80"/>
          <w:sz w:val="16"/>
          <w:szCs w:val="16"/>
          <w:lang w:val="es-MX"/>
        </w:rPr>
        <w:t xml:space="preserve"> sino también, entre otros, el Movimiento Indígena Americano, el Poder Rojo y los Movimientos Chicanos, el Movimiento de Trabajadores Agrícolas Unidos, el surgimiento de la Nueva Izquierda, el movimiento contra la Guerra de Vietnam y el movimiento por la liberación de la mujer y los movimientos de liberación gay.</w:t>
      </w:r>
    </w:p>
  </w:footnote>
  <w:footnote w:id="97">
    <w:p w14:paraId="5D4F7A13"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MX"/>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t xml:space="preserve">John Erlichman, Un coconspirador de Watergate y ex asesor de política interna del presidente Richard Nixon (1969-74), fue citado en una entrevista de 1994 publicada recientemente por Harper's expresando: "[La Administración Nixon] tenía dos enemigos: la izquierda pacifista y los negros [...] Sabíamos que no podíamos hacer ilegal el hecho de estar en contra de la guerra o del negro, pero al lograr que el público asociara a los hippies con la marihuana y a los negros con heroína, y luego criminalizar a ambos, podíamos perturbar esas comunidades. Podríamos arrestar a sus líderes, saquear sus casas, romper sus reuniones y vilipendiarlas noche tras noche en las noticias de la noche. ¿Sabíamos que estábamos mintiendo sobre las drogas? </w:t>
      </w:r>
      <w:r w:rsidRPr="00930562">
        <w:rPr>
          <w:rFonts w:asciiTheme="minorHAnsi" w:hAnsiTheme="minorHAnsi" w:cstheme="minorHAnsi"/>
          <w:color w:val="808080" w:themeColor="background1" w:themeShade="80"/>
          <w:sz w:val="16"/>
          <w:szCs w:val="16"/>
          <w:lang w:val="es-AR"/>
        </w:rPr>
        <w:t xml:space="preserve">Por supuesto que sí " Harper’s Magazine, </w:t>
      </w:r>
      <w:hyperlink r:id="rId140" w:history="1">
        <w:r w:rsidRPr="00930562">
          <w:rPr>
            <w:rStyle w:val="Hyperlink"/>
            <w:rFonts w:asciiTheme="minorHAnsi" w:hAnsiTheme="minorHAnsi" w:cstheme="minorHAnsi"/>
            <w:color w:val="808080" w:themeColor="background1" w:themeShade="80"/>
            <w:sz w:val="16"/>
            <w:szCs w:val="16"/>
            <w:lang w:val="es-AR"/>
          </w:rPr>
          <w:t>Legalize It All: How to win the war on drugs</w:t>
        </w:r>
      </w:hyperlink>
      <w:r w:rsidRPr="00930562">
        <w:rPr>
          <w:rFonts w:asciiTheme="minorHAnsi" w:hAnsiTheme="minorHAnsi" w:cstheme="minorHAnsi"/>
          <w:color w:val="808080" w:themeColor="background1" w:themeShade="80"/>
          <w:sz w:val="16"/>
          <w:szCs w:val="16"/>
          <w:lang w:val="es-AR"/>
        </w:rPr>
        <w:t xml:space="preserve">, abril de 2016. </w:t>
      </w:r>
      <w:r w:rsidRPr="00930562">
        <w:rPr>
          <w:rFonts w:asciiTheme="minorHAnsi" w:hAnsiTheme="minorHAnsi" w:cstheme="minorHAnsi"/>
          <w:color w:val="808080" w:themeColor="background1" w:themeShade="80"/>
          <w:sz w:val="16"/>
          <w:szCs w:val="16"/>
          <w:lang w:val="es-MX"/>
        </w:rPr>
        <w:t>Activistas vinculados con muchos de los movimientos mencionados más arriba fueron también activamente acosados y asediados por el gobierno federal, especialmente por el FBI bajo el Programa de Contrainteligencia (“COINTELPRO”) durante los años 60.</w:t>
      </w:r>
    </w:p>
  </w:footnote>
  <w:footnote w:id="98">
    <w:p w14:paraId="4D0B2470"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MX"/>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t xml:space="preserve">CIDH, </w:t>
      </w:r>
      <w:hyperlink r:id="rId141" w:history="1">
        <w:r w:rsidRPr="00930562">
          <w:rPr>
            <w:rStyle w:val="Hyperlink"/>
            <w:rFonts w:asciiTheme="minorHAnsi" w:hAnsiTheme="minorHAnsi" w:cstheme="minorHAnsi"/>
            <w:color w:val="808080" w:themeColor="background1" w:themeShade="80"/>
            <w:sz w:val="16"/>
            <w:szCs w:val="16"/>
            <w:lang w:val="es-MX"/>
          </w:rPr>
          <w:t>Medidas para reducir la prisión preventiva</w:t>
        </w:r>
      </w:hyperlink>
      <w:r w:rsidRPr="00930562">
        <w:rPr>
          <w:rFonts w:asciiTheme="minorHAnsi" w:hAnsiTheme="minorHAnsi" w:cstheme="minorHAnsi"/>
          <w:color w:val="808080" w:themeColor="background1" w:themeShade="80"/>
          <w:sz w:val="16"/>
          <w:szCs w:val="16"/>
          <w:lang w:val="es-MX"/>
        </w:rPr>
        <w:t xml:space="preserve">, OEA/Ser.L/V/II.163, (2017), párr. 9; </w:t>
      </w:r>
      <w:r w:rsidRPr="00930562">
        <w:rPr>
          <w:rFonts w:asciiTheme="minorHAnsi" w:hAnsiTheme="minorHAnsi" w:cstheme="minorHAnsi"/>
          <w:i/>
          <w:color w:val="808080" w:themeColor="background1" w:themeShade="80"/>
          <w:sz w:val="16"/>
          <w:szCs w:val="16"/>
          <w:lang w:val="es-MX"/>
        </w:rPr>
        <w:t>véase además</w:t>
      </w:r>
      <w:r w:rsidRPr="00930562">
        <w:rPr>
          <w:rFonts w:asciiTheme="minorHAnsi" w:hAnsiTheme="minorHAnsi" w:cstheme="minorHAnsi"/>
          <w:color w:val="808080" w:themeColor="background1" w:themeShade="80"/>
          <w:sz w:val="16"/>
          <w:szCs w:val="16"/>
          <w:lang w:val="es-MX"/>
        </w:rPr>
        <w:t xml:space="preserve"> CIDH, 150˚ Período de Sesiones, “Políticas de Drogas y Derechos Humanos en las Américas,” 25 de marzo de 2014. Video disponible en: </w:t>
      </w:r>
      <w:hyperlink r:id="rId142" w:history="1">
        <w:r w:rsidRPr="00930562">
          <w:rPr>
            <w:rStyle w:val="Hyperlink"/>
            <w:rFonts w:asciiTheme="minorHAnsi" w:hAnsiTheme="minorHAnsi" w:cstheme="minorHAnsi"/>
            <w:color w:val="808080" w:themeColor="background1" w:themeShade="80"/>
            <w:sz w:val="16"/>
            <w:szCs w:val="16"/>
            <w:lang w:val="es-MX"/>
          </w:rPr>
          <w:t>https://www.youtube.com/watch?v=YqsAddPVcMI</w:t>
        </w:r>
      </w:hyperlink>
      <w:r w:rsidRPr="00930562">
        <w:rPr>
          <w:rFonts w:asciiTheme="minorHAnsi" w:hAnsiTheme="minorHAnsi" w:cstheme="minorHAnsi"/>
          <w:color w:val="808080" w:themeColor="background1" w:themeShade="80"/>
          <w:sz w:val="16"/>
          <w:szCs w:val="16"/>
          <w:lang w:val="es-MX"/>
        </w:rPr>
        <w:t xml:space="preserve">. </w:t>
      </w:r>
    </w:p>
  </w:footnote>
  <w:footnote w:id="99">
    <w:p w14:paraId="3F81A7FE"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r>
      <w:r w:rsidRPr="00930562">
        <w:rPr>
          <w:rFonts w:asciiTheme="minorHAnsi" w:hAnsiTheme="minorHAnsi" w:cstheme="minorHAnsi"/>
          <w:i/>
          <w:color w:val="808080" w:themeColor="background1" w:themeShade="80"/>
          <w:sz w:val="16"/>
          <w:szCs w:val="16"/>
          <w:lang w:val="es-MX"/>
        </w:rPr>
        <w:t>Comité de Derechos Humanos</w:t>
      </w:r>
      <w:r w:rsidRPr="00930562">
        <w:rPr>
          <w:rFonts w:asciiTheme="minorHAnsi" w:hAnsiTheme="minorHAnsi" w:cstheme="minorHAnsi"/>
          <w:color w:val="808080" w:themeColor="background1" w:themeShade="80"/>
          <w:sz w:val="16"/>
          <w:szCs w:val="16"/>
          <w:lang w:val="es-MX"/>
        </w:rPr>
        <w:t xml:space="preserve">, </w:t>
      </w:r>
      <w:hyperlink r:id="rId143" w:history="1">
        <w:r w:rsidRPr="00930562">
          <w:rPr>
            <w:rStyle w:val="Hyperlink"/>
            <w:rFonts w:asciiTheme="minorHAnsi" w:hAnsiTheme="minorHAnsi" w:cstheme="minorHAnsi"/>
            <w:i/>
            <w:color w:val="808080" w:themeColor="background1" w:themeShade="80"/>
            <w:sz w:val="16"/>
            <w:szCs w:val="16"/>
            <w:lang w:val="es-MX"/>
          </w:rPr>
          <w:t>Informe del Relator Especial sobre el derecho a la libertad de reunión pacífica y de asociación en su misión de seguimiento a los Estados Unidos de América,</w:t>
        </w:r>
      </w:hyperlink>
      <w:r w:rsidRPr="00930562">
        <w:rPr>
          <w:rFonts w:asciiTheme="minorHAnsi" w:hAnsiTheme="minorHAnsi" w:cstheme="minorHAnsi"/>
          <w:color w:val="808080" w:themeColor="background1" w:themeShade="80"/>
          <w:sz w:val="16"/>
          <w:szCs w:val="16"/>
          <w:lang w:val="es-MX"/>
        </w:rPr>
        <w:t xml:space="preserve"> A/HRC/35/28/Add.2, 12 de junio de 2017, párr. 13 (citas omitidas); </w:t>
      </w:r>
      <w:r w:rsidRPr="00930562">
        <w:rPr>
          <w:rFonts w:asciiTheme="minorHAnsi" w:hAnsiTheme="minorHAnsi" w:cstheme="minorHAnsi"/>
          <w:i/>
          <w:color w:val="808080" w:themeColor="background1" w:themeShade="80"/>
          <w:sz w:val="16"/>
          <w:szCs w:val="16"/>
          <w:lang w:val="es-MX"/>
        </w:rPr>
        <w:t>véase además</w:t>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bCs/>
          <w:color w:val="808080" w:themeColor="background1" w:themeShade="80"/>
          <w:sz w:val="16"/>
          <w:szCs w:val="16"/>
          <w:lang w:val="es-MX"/>
        </w:rPr>
        <w:t xml:space="preserve">Grupo de Trabajo de Expertos sobre los Afrodescendientes de las Naciones Unidas, </w:t>
      </w:r>
      <w:hyperlink r:id="rId144" w:history="1">
        <w:r w:rsidRPr="00930562">
          <w:rPr>
            <w:rStyle w:val="Hyperlink"/>
            <w:rFonts w:asciiTheme="minorHAnsi" w:hAnsiTheme="minorHAnsi" w:cstheme="minorHAnsi"/>
            <w:bCs/>
            <w:color w:val="808080" w:themeColor="background1" w:themeShade="80"/>
            <w:sz w:val="16"/>
            <w:szCs w:val="16"/>
            <w:lang w:val="es-MX"/>
          </w:rPr>
          <w:t>Report on mission to the U.S.</w:t>
        </w:r>
      </w:hyperlink>
      <w:r w:rsidRPr="00930562">
        <w:rPr>
          <w:rFonts w:asciiTheme="minorHAnsi" w:hAnsiTheme="minorHAnsi" w:cstheme="minorHAnsi"/>
          <w:bCs/>
          <w:color w:val="808080" w:themeColor="background1" w:themeShade="80"/>
          <w:sz w:val="16"/>
          <w:szCs w:val="16"/>
          <w:lang w:val="es-MX"/>
        </w:rPr>
        <w:t>, 18 de agosto de 2016</w:t>
      </w:r>
      <w:r w:rsidRPr="00930562">
        <w:rPr>
          <w:rFonts w:asciiTheme="minorHAnsi" w:hAnsiTheme="minorHAnsi" w:cstheme="minorHAnsi"/>
          <w:color w:val="808080" w:themeColor="background1" w:themeShade="80"/>
          <w:sz w:val="16"/>
          <w:szCs w:val="16"/>
          <w:lang w:val="es-MX"/>
        </w:rPr>
        <w:t xml:space="preserve">, para. </w:t>
      </w:r>
      <w:r w:rsidRPr="00930562">
        <w:rPr>
          <w:rFonts w:asciiTheme="minorHAnsi" w:hAnsiTheme="minorHAnsi" w:cstheme="minorHAnsi"/>
          <w:color w:val="808080" w:themeColor="background1" w:themeShade="80"/>
          <w:sz w:val="16"/>
          <w:szCs w:val="16"/>
        </w:rPr>
        <w:t>31.</w:t>
      </w:r>
    </w:p>
  </w:footnote>
  <w:footnote w:id="100">
    <w:p w14:paraId="6C1683CD"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Bureau of Justice Statistics (BJS), </w:t>
      </w:r>
      <w:hyperlink r:id="rId145" w:history="1">
        <w:r w:rsidRPr="00930562">
          <w:rPr>
            <w:rStyle w:val="Hyperlink"/>
            <w:rFonts w:asciiTheme="minorHAnsi" w:hAnsiTheme="minorHAnsi" w:cstheme="minorHAnsi"/>
            <w:color w:val="808080" w:themeColor="background1" w:themeShade="80"/>
            <w:sz w:val="16"/>
            <w:szCs w:val="16"/>
          </w:rPr>
          <w:t>Bulletin: Prisoners 1925-81</w:t>
        </w:r>
      </w:hyperlink>
      <w:r w:rsidRPr="00930562">
        <w:rPr>
          <w:rFonts w:asciiTheme="minorHAnsi" w:hAnsiTheme="minorHAnsi" w:cstheme="minorHAnsi"/>
          <w:color w:val="808080" w:themeColor="background1" w:themeShade="80"/>
          <w:sz w:val="16"/>
          <w:szCs w:val="16"/>
        </w:rPr>
        <w:t xml:space="preserve">, diciembre de 1982; BJS, </w:t>
      </w:r>
      <w:hyperlink r:id="rId146" w:history="1">
        <w:r w:rsidRPr="00930562">
          <w:rPr>
            <w:rStyle w:val="Hyperlink"/>
            <w:rFonts w:asciiTheme="minorHAnsi" w:hAnsiTheme="minorHAnsi" w:cstheme="minorHAnsi"/>
            <w:color w:val="808080" w:themeColor="background1" w:themeShade="80"/>
            <w:sz w:val="16"/>
            <w:szCs w:val="16"/>
          </w:rPr>
          <w:t>Prisoners in 2016</w:t>
        </w:r>
      </w:hyperlink>
      <w:r w:rsidRPr="00930562">
        <w:rPr>
          <w:rFonts w:asciiTheme="minorHAnsi" w:hAnsiTheme="minorHAnsi" w:cstheme="minorHAnsi"/>
          <w:color w:val="808080" w:themeColor="background1" w:themeShade="80"/>
          <w:sz w:val="16"/>
          <w:szCs w:val="16"/>
        </w:rPr>
        <w:t>, 9 de enero de 2018.</w:t>
      </w:r>
    </w:p>
  </w:footnote>
  <w:footnote w:id="101">
    <w:p w14:paraId="36CB4915"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lang w:val="es-AR"/>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i/>
          <w:color w:val="808080" w:themeColor="background1" w:themeShade="80"/>
          <w:sz w:val="16"/>
          <w:szCs w:val="16"/>
          <w:lang w:val="es-AR"/>
        </w:rPr>
        <w:t xml:space="preserve">Véase infra </w:t>
      </w:r>
      <w:r w:rsidRPr="00930562">
        <w:rPr>
          <w:rFonts w:asciiTheme="minorHAnsi" w:hAnsiTheme="minorHAnsi" w:cstheme="minorHAnsi"/>
          <w:color w:val="808080" w:themeColor="background1" w:themeShade="80"/>
          <w:sz w:val="16"/>
          <w:szCs w:val="16"/>
          <w:lang w:val="es-AR"/>
        </w:rPr>
        <w:t xml:space="preserve">párr. </w:t>
      </w:r>
      <w:r w:rsidRPr="00930562">
        <w:rPr>
          <w:rFonts w:asciiTheme="minorHAnsi" w:hAnsiTheme="minorHAnsi" w:cstheme="minorHAnsi"/>
          <w:color w:val="808080" w:themeColor="background1" w:themeShade="80"/>
          <w:sz w:val="16"/>
          <w:szCs w:val="16"/>
          <w:lang w:val="es-AR"/>
        </w:rPr>
        <w:fldChar w:fldCharType="begin"/>
      </w:r>
      <w:r w:rsidRPr="00930562">
        <w:rPr>
          <w:rFonts w:asciiTheme="minorHAnsi" w:hAnsiTheme="minorHAnsi" w:cstheme="minorHAnsi"/>
          <w:color w:val="808080" w:themeColor="background1" w:themeShade="80"/>
          <w:sz w:val="16"/>
          <w:szCs w:val="16"/>
          <w:lang w:val="es-AR"/>
        </w:rPr>
        <w:instrText xml:space="preserve"> REF _Ref507083898 \r \h  \* MERGEFORMAT </w:instrText>
      </w:r>
      <w:r w:rsidRPr="00930562">
        <w:rPr>
          <w:rFonts w:asciiTheme="minorHAnsi" w:hAnsiTheme="minorHAnsi" w:cstheme="minorHAnsi"/>
          <w:color w:val="808080" w:themeColor="background1" w:themeShade="80"/>
          <w:sz w:val="16"/>
          <w:szCs w:val="16"/>
          <w:lang w:val="es-AR"/>
        </w:rPr>
      </w:r>
      <w:r w:rsidRPr="00930562">
        <w:rPr>
          <w:rFonts w:asciiTheme="minorHAnsi" w:hAnsiTheme="minorHAnsi" w:cstheme="minorHAnsi"/>
          <w:color w:val="808080" w:themeColor="background1" w:themeShade="80"/>
          <w:sz w:val="16"/>
          <w:szCs w:val="16"/>
          <w:lang w:val="es-AR"/>
        </w:rPr>
        <w:fldChar w:fldCharType="separate"/>
      </w:r>
      <w:r w:rsidRPr="00930562">
        <w:rPr>
          <w:rFonts w:asciiTheme="minorHAnsi" w:hAnsiTheme="minorHAnsi" w:cstheme="minorHAnsi"/>
          <w:color w:val="808080" w:themeColor="background1" w:themeShade="80"/>
          <w:sz w:val="16"/>
          <w:szCs w:val="16"/>
          <w:lang w:val="es-AR"/>
        </w:rPr>
        <w:t>117</w:t>
      </w:r>
      <w:r w:rsidRPr="00930562">
        <w:rPr>
          <w:rFonts w:asciiTheme="minorHAnsi" w:hAnsiTheme="minorHAnsi" w:cstheme="minorHAnsi"/>
          <w:color w:val="808080" w:themeColor="background1" w:themeShade="80"/>
          <w:sz w:val="16"/>
          <w:szCs w:val="16"/>
          <w:lang w:val="es-AR"/>
        </w:rPr>
        <w:fldChar w:fldCharType="end"/>
      </w:r>
      <w:r w:rsidRPr="00930562">
        <w:rPr>
          <w:rFonts w:asciiTheme="minorHAnsi" w:hAnsiTheme="minorHAnsi" w:cstheme="minorHAnsi"/>
          <w:color w:val="808080" w:themeColor="background1" w:themeShade="80"/>
          <w:sz w:val="16"/>
          <w:szCs w:val="16"/>
          <w:lang w:val="es-AR"/>
        </w:rPr>
        <w:t>.</w:t>
      </w:r>
    </w:p>
  </w:footnote>
  <w:footnote w:id="102">
    <w:p w14:paraId="2FBF7CFA"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MX"/>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t xml:space="preserve">The Atlantic Magazine, </w:t>
      </w:r>
      <w:hyperlink r:id="rId147" w:history="1">
        <w:r w:rsidRPr="00930562">
          <w:rPr>
            <w:rStyle w:val="Hyperlink"/>
            <w:rFonts w:asciiTheme="minorHAnsi" w:hAnsiTheme="minorHAnsi" w:cstheme="minorHAnsi"/>
            <w:color w:val="808080" w:themeColor="background1" w:themeShade="80"/>
            <w:sz w:val="16"/>
            <w:szCs w:val="16"/>
            <w:lang w:val="es-MX"/>
          </w:rPr>
          <w:t>Broken Windows: The police and neighborhood safety</w:t>
        </w:r>
      </w:hyperlink>
      <w:r w:rsidRPr="00930562">
        <w:rPr>
          <w:rFonts w:asciiTheme="minorHAnsi" w:hAnsiTheme="minorHAnsi" w:cstheme="minorHAnsi"/>
          <w:color w:val="808080" w:themeColor="background1" w:themeShade="80"/>
          <w:sz w:val="16"/>
          <w:szCs w:val="16"/>
          <w:lang w:val="es-MX"/>
        </w:rPr>
        <w:t xml:space="preserve">, Marzo 1982 (“Si se rompe la ventana de un edificio y se deja sin reparar, todo el resto de las ventanas se romperán pronto. […] una ventana rota sin reparar es una señal de que a nadie le importa, entonces romper más ventanas no cuesta nada.”). </w:t>
      </w:r>
    </w:p>
  </w:footnote>
  <w:footnote w:id="103">
    <w:p w14:paraId="602A4E32"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AR"/>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AR"/>
        </w:rPr>
        <w:t xml:space="preserve"> </w:t>
      </w:r>
      <w:r w:rsidRPr="00930562">
        <w:rPr>
          <w:rFonts w:asciiTheme="minorHAnsi" w:hAnsiTheme="minorHAnsi" w:cstheme="majorHAnsi"/>
          <w:color w:val="808080" w:themeColor="background1" w:themeShade="80"/>
          <w:sz w:val="16"/>
          <w:szCs w:val="16"/>
          <w:lang w:val="es-AR"/>
        </w:rPr>
        <w:tab/>
      </w:r>
      <w:r w:rsidRPr="00930562">
        <w:rPr>
          <w:rFonts w:asciiTheme="minorHAnsi" w:hAnsiTheme="minorHAnsi" w:cstheme="minorHAnsi"/>
          <w:i/>
          <w:color w:val="808080" w:themeColor="background1" w:themeShade="80"/>
          <w:sz w:val="16"/>
          <w:szCs w:val="16"/>
          <w:lang w:val="es-AR"/>
        </w:rPr>
        <w:t>Id</w:t>
      </w:r>
      <w:r w:rsidRPr="00930562">
        <w:rPr>
          <w:rFonts w:asciiTheme="minorHAnsi" w:hAnsiTheme="minorHAnsi" w:cstheme="minorHAnsi"/>
          <w:color w:val="808080" w:themeColor="background1" w:themeShade="80"/>
          <w:sz w:val="16"/>
          <w:szCs w:val="16"/>
          <w:lang w:val="es-AR"/>
        </w:rPr>
        <w:t>.</w:t>
      </w:r>
      <w:r w:rsidRPr="00930562">
        <w:rPr>
          <w:rFonts w:asciiTheme="minorHAnsi" w:hAnsiTheme="minorHAnsi" w:cstheme="majorHAnsi"/>
          <w:color w:val="808080" w:themeColor="background1" w:themeShade="80"/>
          <w:sz w:val="16"/>
          <w:szCs w:val="16"/>
          <w:lang w:val="es-AR"/>
        </w:rPr>
        <w:t xml:space="preserve"> </w:t>
      </w:r>
    </w:p>
  </w:footnote>
  <w:footnote w:id="104">
    <w:p w14:paraId="5206CA07"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ajorHAnsi"/>
          <w:color w:val="808080" w:themeColor="background1" w:themeShade="80"/>
          <w:sz w:val="16"/>
          <w:szCs w:val="16"/>
          <w:lang w:val="es-AR"/>
        </w:rPr>
        <w:footnoteRef/>
      </w:r>
      <w:r w:rsidRPr="00930562">
        <w:rPr>
          <w:rFonts w:asciiTheme="minorHAnsi" w:hAnsiTheme="minorHAnsi" w:cstheme="majorHAnsi"/>
          <w:color w:val="808080" w:themeColor="background1" w:themeShade="80"/>
          <w:sz w:val="16"/>
          <w:szCs w:val="16"/>
          <w:lang w:val="es-AR"/>
        </w:rPr>
        <w:t xml:space="preserve"> </w:t>
      </w:r>
      <w:r w:rsidRPr="00930562">
        <w:rPr>
          <w:rFonts w:asciiTheme="minorHAnsi" w:hAnsiTheme="minorHAnsi" w:cstheme="majorHAnsi"/>
          <w:color w:val="808080" w:themeColor="background1" w:themeShade="80"/>
          <w:sz w:val="16"/>
          <w:szCs w:val="16"/>
          <w:lang w:val="es-AR"/>
        </w:rPr>
        <w:tab/>
        <w:t>“</w:t>
      </w:r>
      <w:r w:rsidRPr="00930562">
        <w:rPr>
          <w:rFonts w:asciiTheme="minorHAnsi" w:hAnsiTheme="minorHAnsi" w:cstheme="minorHAnsi"/>
          <w:color w:val="808080" w:themeColor="background1" w:themeShade="80"/>
          <w:sz w:val="16"/>
          <w:szCs w:val="16"/>
          <w:lang w:val="es-AR"/>
        </w:rPr>
        <w:t xml:space="preserve">Este deseo de "despenalizar" conductas despreciables que "no dañan a nadie" [...] creemos, es un error. Arrestar a un sólo borracho o a un vagabundo que no ha perjudicado a ninguna persona identificable parece injusto, y en cierto sentido lo es. Pero no hacer nada con una veintena de borrachos o cien vagabundos puede destruir a toda una comunidad. [...] Por supuesto, otras agencias además de la policía podrían ocuparse de los problemas planteados por los borrachos o los enfermos mentales, pero en la mayoría de las comunidades, especialmente donde el movimiento de "desinstitucionalización" ha sido fuerte, no lo hacen.” </w:t>
      </w:r>
      <w:r w:rsidRPr="00930562">
        <w:rPr>
          <w:rFonts w:asciiTheme="minorHAnsi" w:hAnsiTheme="minorHAnsi" w:cstheme="minorHAnsi"/>
          <w:color w:val="808080" w:themeColor="background1" w:themeShade="80"/>
          <w:sz w:val="16"/>
          <w:szCs w:val="16"/>
        </w:rPr>
        <w:t xml:space="preserve">The Atlantic Magazine, </w:t>
      </w:r>
      <w:hyperlink r:id="rId148" w:history="1">
        <w:r w:rsidRPr="00930562">
          <w:rPr>
            <w:rStyle w:val="Hyperlink"/>
            <w:rFonts w:asciiTheme="minorHAnsi" w:hAnsiTheme="minorHAnsi" w:cstheme="minorHAnsi"/>
            <w:color w:val="808080" w:themeColor="background1" w:themeShade="80"/>
            <w:sz w:val="16"/>
            <w:szCs w:val="16"/>
          </w:rPr>
          <w:t>Broken Windows: The police and neighborhood safety</w:t>
        </w:r>
      </w:hyperlink>
      <w:r w:rsidRPr="00930562">
        <w:rPr>
          <w:rFonts w:asciiTheme="minorHAnsi" w:hAnsiTheme="minorHAnsi" w:cstheme="minorHAnsi"/>
          <w:color w:val="808080" w:themeColor="background1" w:themeShade="80"/>
          <w:sz w:val="16"/>
          <w:szCs w:val="16"/>
        </w:rPr>
        <w:t>, marzo de 1982.</w:t>
      </w:r>
    </w:p>
  </w:footnote>
  <w:footnote w:id="105">
    <w:p w14:paraId="69813DAA"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lang w:val="es-AR"/>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Los Angeles Times, </w:t>
      </w:r>
      <w:hyperlink r:id="rId149" w:history="1">
        <w:r w:rsidRPr="00930562">
          <w:rPr>
            <w:rStyle w:val="Hyperlink"/>
            <w:rFonts w:asciiTheme="minorHAnsi" w:hAnsiTheme="minorHAnsi" w:cstheme="minorHAnsi"/>
            <w:color w:val="808080" w:themeColor="background1" w:themeShade="80"/>
            <w:sz w:val="16"/>
            <w:szCs w:val="16"/>
          </w:rPr>
          <w:t>Bratton's ‘broken windows’</w:t>
        </w:r>
      </w:hyperlink>
      <w:r w:rsidRPr="00930562">
        <w:rPr>
          <w:rFonts w:asciiTheme="minorHAnsi" w:hAnsiTheme="minorHAnsi" w:cstheme="minorHAnsi"/>
          <w:color w:val="808080" w:themeColor="background1" w:themeShade="80"/>
          <w:sz w:val="16"/>
          <w:szCs w:val="16"/>
        </w:rPr>
        <w:t>, 20 de abril de 2006.</w:t>
      </w:r>
    </w:p>
  </w:footnote>
  <w:footnote w:id="106">
    <w:p w14:paraId="1E279BC5"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r>
      <w:r w:rsidRPr="00930562">
        <w:rPr>
          <w:rFonts w:asciiTheme="minorHAnsi" w:hAnsiTheme="minorHAnsi" w:cstheme="minorHAnsi"/>
          <w:i/>
          <w:color w:val="808080" w:themeColor="background1" w:themeShade="80"/>
          <w:sz w:val="16"/>
          <w:szCs w:val="16"/>
        </w:rPr>
        <w:t>Véase más adelante,</w:t>
      </w:r>
      <w:r w:rsidRPr="00930562">
        <w:rPr>
          <w:rFonts w:asciiTheme="minorHAnsi" w:hAnsiTheme="minorHAnsi" w:cstheme="minorHAnsi"/>
          <w:color w:val="808080" w:themeColor="background1" w:themeShade="80"/>
          <w:sz w:val="16"/>
          <w:szCs w:val="16"/>
        </w:rPr>
        <w:t xml:space="preserve"> párr. </w:t>
      </w:r>
      <w:r w:rsidRPr="00930562">
        <w:rPr>
          <w:rFonts w:asciiTheme="minorHAnsi" w:hAnsiTheme="minorHAnsi" w:cstheme="minorHAnsi"/>
          <w:color w:val="808080" w:themeColor="background1" w:themeShade="80"/>
          <w:sz w:val="16"/>
          <w:szCs w:val="16"/>
          <w:lang w:val="es-AR"/>
        </w:rPr>
        <w:fldChar w:fldCharType="begin"/>
      </w:r>
      <w:r w:rsidRPr="00930562">
        <w:rPr>
          <w:rFonts w:asciiTheme="minorHAnsi" w:hAnsiTheme="minorHAnsi" w:cstheme="minorHAnsi"/>
          <w:color w:val="808080" w:themeColor="background1" w:themeShade="80"/>
          <w:sz w:val="16"/>
          <w:szCs w:val="16"/>
        </w:rPr>
        <w:instrText xml:space="preserve"> REF _Ref507084368 \r \h  \* MERGEFORMAT </w:instrText>
      </w:r>
      <w:r w:rsidRPr="00930562">
        <w:rPr>
          <w:rFonts w:asciiTheme="minorHAnsi" w:hAnsiTheme="minorHAnsi" w:cstheme="minorHAnsi"/>
          <w:color w:val="808080" w:themeColor="background1" w:themeShade="80"/>
          <w:sz w:val="16"/>
          <w:szCs w:val="16"/>
          <w:lang w:val="es-AR"/>
        </w:rPr>
      </w:r>
      <w:r w:rsidRPr="00930562">
        <w:rPr>
          <w:rFonts w:asciiTheme="minorHAnsi" w:hAnsiTheme="minorHAnsi" w:cstheme="minorHAnsi"/>
          <w:color w:val="808080" w:themeColor="background1" w:themeShade="80"/>
          <w:sz w:val="16"/>
          <w:szCs w:val="16"/>
          <w:lang w:val="es-AR"/>
        </w:rPr>
        <w:fldChar w:fldCharType="separate"/>
      </w:r>
      <w:r w:rsidRPr="00930562">
        <w:rPr>
          <w:rFonts w:asciiTheme="minorHAnsi" w:hAnsiTheme="minorHAnsi" w:cstheme="minorHAnsi"/>
          <w:color w:val="808080" w:themeColor="background1" w:themeShade="80"/>
          <w:sz w:val="16"/>
          <w:szCs w:val="16"/>
        </w:rPr>
        <w:t>69</w:t>
      </w:r>
      <w:r w:rsidRPr="00930562">
        <w:rPr>
          <w:rFonts w:asciiTheme="minorHAnsi" w:hAnsiTheme="minorHAnsi" w:cstheme="minorHAnsi"/>
          <w:color w:val="808080" w:themeColor="background1" w:themeShade="80"/>
          <w:sz w:val="16"/>
          <w:szCs w:val="16"/>
          <w:lang w:val="es-AR"/>
        </w:rPr>
        <w:fldChar w:fldCharType="end"/>
      </w:r>
      <w:r w:rsidRPr="00930562">
        <w:rPr>
          <w:rFonts w:asciiTheme="minorHAnsi" w:hAnsiTheme="minorHAnsi" w:cstheme="minorHAnsi"/>
          <w:color w:val="808080" w:themeColor="background1" w:themeShade="80"/>
          <w:sz w:val="16"/>
          <w:szCs w:val="16"/>
        </w:rPr>
        <w:t>.</w:t>
      </w:r>
    </w:p>
  </w:footnote>
  <w:footnote w:id="107">
    <w:p w14:paraId="708F9574"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lang w:val="es-AR"/>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ACLU, </w:t>
      </w:r>
      <w:hyperlink r:id="rId150" w:history="1">
        <w:r w:rsidRPr="00930562">
          <w:rPr>
            <w:rStyle w:val="Hyperlink"/>
            <w:rFonts w:asciiTheme="minorHAnsi" w:hAnsiTheme="minorHAnsi" w:cstheme="minorHAnsi"/>
            <w:color w:val="808080" w:themeColor="background1" w:themeShade="80"/>
            <w:sz w:val="16"/>
            <w:szCs w:val="16"/>
          </w:rPr>
          <w:t>War Comes Home: The Excessive Militarization of American Policing</w:t>
        </w:r>
      </w:hyperlink>
      <w:r w:rsidRPr="00930562">
        <w:rPr>
          <w:rFonts w:asciiTheme="minorHAnsi" w:hAnsiTheme="minorHAnsi" w:cstheme="minorHAnsi"/>
          <w:color w:val="808080" w:themeColor="background1" w:themeShade="80"/>
          <w:sz w:val="16"/>
          <w:szCs w:val="16"/>
        </w:rPr>
        <w:t>, junio de 2014, p. 16.</w:t>
      </w:r>
    </w:p>
  </w:footnote>
  <w:footnote w:id="108">
    <w:p w14:paraId="4F656885"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lang w:val="es-AR"/>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i/>
          <w:color w:val="808080" w:themeColor="background1" w:themeShade="80"/>
          <w:sz w:val="16"/>
          <w:szCs w:val="16"/>
          <w:lang w:val="es-AR"/>
        </w:rPr>
        <w:t>Id</w:t>
      </w:r>
      <w:r w:rsidRPr="00930562">
        <w:rPr>
          <w:rFonts w:asciiTheme="minorHAnsi" w:hAnsiTheme="minorHAnsi" w:cstheme="minorHAnsi"/>
          <w:color w:val="808080" w:themeColor="background1" w:themeShade="80"/>
          <w:sz w:val="16"/>
          <w:szCs w:val="16"/>
          <w:lang w:val="es-AR"/>
        </w:rPr>
        <w:t>. en p. 17.</w:t>
      </w:r>
    </w:p>
  </w:footnote>
  <w:footnote w:id="109">
    <w:p w14:paraId="00678705"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AR"/>
        </w:rPr>
        <w:t xml:space="preserve"> </w:t>
      </w:r>
      <w:r w:rsidRPr="00930562">
        <w:rPr>
          <w:rFonts w:asciiTheme="minorHAnsi" w:hAnsiTheme="minorHAnsi" w:cstheme="majorHAnsi"/>
          <w:color w:val="808080" w:themeColor="background1" w:themeShade="80"/>
          <w:sz w:val="16"/>
          <w:szCs w:val="16"/>
          <w:lang w:val="es-AR"/>
        </w:rPr>
        <w:tab/>
      </w:r>
      <w:r w:rsidRPr="00930562">
        <w:rPr>
          <w:rFonts w:asciiTheme="minorHAnsi" w:hAnsiTheme="minorHAnsi" w:cstheme="minorHAnsi"/>
          <w:color w:val="808080" w:themeColor="background1" w:themeShade="80"/>
          <w:sz w:val="16"/>
          <w:szCs w:val="16"/>
          <w:lang w:val="es-AR"/>
        </w:rPr>
        <w:t xml:space="preserve">CIDH, </w:t>
      </w:r>
      <w:hyperlink r:id="rId151" w:history="1">
        <w:r w:rsidRPr="00930562">
          <w:rPr>
            <w:rStyle w:val="Hyperlink"/>
            <w:rFonts w:asciiTheme="minorHAnsi" w:hAnsiTheme="minorHAnsi" w:cstheme="minorHAnsi"/>
            <w:color w:val="808080" w:themeColor="background1" w:themeShade="80"/>
            <w:sz w:val="16"/>
            <w:szCs w:val="16"/>
            <w:lang w:val="es-AR"/>
          </w:rPr>
          <w:t>CIDH condena el asesinato de un hombre afrodescendiente en Estados Unidos</w:t>
        </w:r>
      </w:hyperlink>
      <w:r w:rsidRPr="00930562">
        <w:rPr>
          <w:rFonts w:asciiTheme="minorHAnsi" w:hAnsiTheme="minorHAnsi" w:cstheme="minorHAnsi"/>
          <w:color w:val="808080" w:themeColor="background1" w:themeShade="80"/>
          <w:sz w:val="16"/>
          <w:szCs w:val="16"/>
          <w:lang w:val="es-AR"/>
        </w:rPr>
        <w:t xml:space="preserve">, 17 de abril de 2015; </w:t>
      </w:r>
      <w:r w:rsidRPr="00930562">
        <w:rPr>
          <w:rFonts w:asciiTheme="minorHAnsi" w:hAnsiTheme="minorHAnsi" w:cstheme="minorHAnsi"/>
          <w:i/>
          <w:color w:val="808080" w:themeColor="background1" w:themeShade="80"/>
          <w:sz w:val="16"/>
          <w:szCs w:val="16"/>
          <w:lang w:val="es-AR"/>
        </w:rPr>
        <w:t>véase además</w:t>
      </w:r>
      <w:r w:rsidRPr="00930562">
        <w:rPr>
          <w:rFonts w:asciiTheme="minorHAnsi" w:hAnsiTheme="minorHAnsi" w:cstheme="minorHAnsi"/>
          <w:color w:val="808080" w:themeColor="background1" w:themeShade="80"/>
          <w:sz w:val="16"/>
          <w:szCs w:val="16"/>
          <w:lang w:val="es-AR"/>
        </w:rPr>
        <w:t xml:space="preserve"> CIDH, </w:t>
      </w:r>
      <w:hyperlink r:id="rId152" w:history="1">
        <w:r w:rsidRPr="00930562">
          <w:rPr>
            <w:rStyle w:val="Hyperlink"/>
            <w:rFonts w:asciiTheme="minorHAnsi" w:hAnsiTheme="minorHAnsi" w:cstheme="minorHAnsi"/>
            <w:color w:val="808080" w:themeColor="background1" w:themeShade="80"/>
            <w:sz w:val="16"/>
            <w:szCs w:val="16"/>
            <w:lang w:val="es-AR"/>
          </w:rPr>
          <w:t>Audiencia sobre Informes sobre Uso Excesivo de la Fuerza contra afroamericanos en los Estados Unidos</w:t>
        </w:r>
      </w:hyperlink>
      <w:r w:rsidRPr="00930562">
        <w:rPr>
          <w:rFonts w:asciiTheme="minorHAnsi" w:hAnsiTheme="minorHAnsi" w:cstheme="minorHAnsi"/>
          <w:color w:val="808080" w:themeColor="background1" w:themeShade="80"/>
          <w:sz w:val="16"/>
          <w:szCs w:val="16"/>
          <w:lang w:val="es-AR"/>
        </w:rPr>
        <w:t xml:space="preserve">, 156° sesión regular, 23 de octubre de 2015. En su comunicado de prensa de 2016, la CIDH expresó su preocupación por las muertes de Freddie Gray, Michael Brown, Tamir Rice, Eric Garner, Philando Castil, y Alton Sterling, así como la persistente impunidad en estos casos (por ejemplo, desestimación de cargos con anterioridad al juicio; incumplimiento de despedir a los policías involucrados). </w:t>
      </w:r>
    </w:p>
  </w:footnote>
  <w:footnote w:id="110">
    <w:p w14:paraId="1EB36FFC" w14:textId="77777777" w:rsidR="00F64540" w:rsidRPr="00930562" w:rsidRDefault="00F64540" w:rsidP="00E10935">
      <w:pPr>
        <w:pStyle w:val="FootnoteText"/>
        <w:spacing w:after="40"/>
        <w:ind w:left="547" w:hanging="547"/>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NPR, </w:t>
      </w:r>
      <w:hyperlink r:id="rId153" w:history="1">
        <w:r w:rsidRPr="00930562">
          <w:rPr>
            <w:rStyle w:val="Hyperlink"/>
            <w:rFonts w:asciiTheme="minorHAnsi" w:hAnsiTheme="minorHAnsi" w:cstheme="minorHAnsi"/>
            <w:color w:val="808080" w:themeColor="background1" w:themeShade="80"/>
            <w:sz w:val="16"/>
            <w:szCs w:val="16"/>
          </w:rPr>
          <w:t xml:space="preserve">When LA Erupted </w:t>
        </w:r>
        <w:proofErr w:type="gramStart"/>
        <w:r w:rsidRPr="00930562">
          <w:rPr>
            <w:rStyle w:val="Hyperlink"/>
            <w:rFonts w:asciiTheme="minorHAnsi" w:hAnsiTheme="minorHAnsi" w:cstheme="minorHAnsi"/>
            <w:color w:val="808080" w:themeColor="background1" w:themeShade="80"/>
            <w:sz w:val="16"/>
            <w:szCs w:val="16"/>
          </w:rPr>
          <w:t>In</w:t>
        </w:r>
        <w:proofErr w:type="gramEnd"/>
        <w:r w:rsidRPr="00930562">
          <w:rPr>
            <w:rStyle w:val="Hyperlink"/>
            <w:rFonts w:asciiTheme="minorHAnsi" w:hAnsiTheme="minorHAnsi" w:cstheme="minorHAnsi"/>
            <w:color w:val="808080" w:themeColor="background1" w:themeShade="80"/>
            <w:sz w:val="16"/>
            <w:szCs w:val="16"/>
          </w:rPr>
          <w:t xml:space="preserve"> Anger: A Look Back At The Rodney King Riots</w:t>
        </w:r>
      </w:hyperlink>
      <w:r w:rsidRPr="00930562">
        <w:rPr>
          <w:rFonts w:asciiTheme="minorHAnsi" w:hAnsiTheme="minorHAnsi" w:cstheme="minorHAnsi"/>
          <w:color w:val="808080" w:themeColor="background1" w:themeShade="80"/>
          <w:sz w:val="16"/>
          <w:szCs w:val="16"/>
        </w:rPr>
        <w:t>, 26 de abril de 2017.</w:t>
      </w:r>
    </w:p>
  </w:footnote>
  <w:footnote w:id="111">
    <w:p w14:paraId="64DBCD9E" w14:textId="77777777" w:rsidR="00F64540" w:rsidRPr="00930562" w:rsidRDefault="00F64540" w:rsidP="00E10935">
      <w:pPr>
        <w:pStyle w:val="FootnoteText"/>
        <w:spacing w:after="40"/>
        <w:ind w:left="547" w:hanging="547"/>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New York Times, </w:t>
      </w:r>
      <w:hyperlink r:id="rId154" w:history="1">
        <w:r w:rsidRPr="00930562">
          <w:rPr>
            <w:rStyle w:val="Hyperlink"/>
            <w:rFonts w:asciiTheme="minorHAnsi" w:hAnsiTheme="minorHAnsi" w:cstheme="minorHAnsi"/>
            <w:color w:val="808080" w:themeColor="background1" w:themeShade="80"/>
            <w:sz w:val="16"/>
            <w:szCs w:val="16"/>
          </w:rPr>
          <w:t>Officers in Bronx Fire 41 Shots, And an Unarmed Man Is Killed</w:t>
        </w:r>
      </w:hyperlink>
      <w:r w:rsidRPr="00930562">
        <w:rPr>
          <w:rFonts w:asciiTheme="minorHAnsi" w:hAnsiTheme="minorHAnsi" w:cstheme="minorHAnsi"/>
          <w:color w:val="808080" w:themeColor="background1" w:themeShade="80"/>
          <w:sz w:val="16"/>
          <w:szCs w:val="16"/>
        </w:rPr>
        <w:t>, 5 de febrero de 1999.</w:t>
      </w:r>
    </w:p>
  </w:footnote>
  <w:footnote w:id="112">
    <w:p w14:paraId="5F6C2207"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r>
      <w:r w:rsidRPr="00930562">
        <w:rPr>
          <w:rFonts w:asciiTheme="minorHAnsi" w:hAnsiTheme="minorHAnsi" w:cstheme="minorHAnsi"/>
          <w:i/>
          <w:color w:val="808080" w:themeColor="background1" w:themeShade="80"/>
          <w:sz w:val="16"/>
          <w:szCs w:val="16"/>
        </w:rPr>
        <w:t xml:space="preserve">Véase </w:t>
      </w:r>
      <w:r w:rsidRPr="00930562">
        <w:rPr>
          <w:rFonts w:asciiTheme="minorHAnsi" w:hAnsiTheme="minorHAnsi" w:cstheme="minorHAnsi"/>
          <w:color w:val="808080" w:themeColor="background1" w:themeShade="80"/>
          <w:sz w:val="16"/>
          <w:szCs w:val="16"/>
        </w:rPr>
        <w:t>CIDH</w:t>
      </w:r>
      <w:r w:rsidRPr="00930562">
        <w:rPr>
          <w:rFonts w:asciiTheme="minorHAnsi" w:hAnsiTheme="minorHAnsi" w:cstheme="minorHAnsi"/>
          <w:bCs/>
          <w:color w:val="808080" w:themeColor="background1" w:themeShade="80"/>
          <w:sz w:val="16"/>
          <w:szCs w:val="16"/>
        </w:rPr>
        <w:t xml:space="preserve">, 150° Período de Sesiones, </w:t>
      </w:r>
      <w:hyperlink r:id="rId155" w:history="1">
        <w:r w:rsidRPr="00930562">
          <w:rPr>
            <w:rStyle w:val="Hyperlink"/>
            <w:rFonts w:asciiTheme="minorHAnsi" w:hAnsiTheme="minorHAnsi" w:cstheme="minorHAnsi"/>
            <w:bCs/>
            <w:color w:val="808080" w:themeColor="background1" w:themeShade="80"/>
            <w:sz w:val="16"/>
            <w:szCs w:val="16"/>
          </w:rPr>
          <w:t>“‘Stand Your Ground’ Laws” Hearing</w:t>
        </w:r>
      </w:hyperlink>
      <w:r w:rsidRPr="00930562">
        <w:rPr>
          <w:rFonts w:asciiTheme="minorHAnsi" w:hAnsiTheme="minorHAnsi" w:cstheme="minorHAnsi"/>
          <w:bCs/>
          <w:color w:val="808080" w:themeColor="background1" w:themeShade="80"/>
          <w:sz w:val="16"/>
          <w:szCs w:val="16"/>
        </w:rPr>
        <w:t>, 27 de octubre de 2014.</w:t>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lang w:val="es-AR"/>
        </w:rPr>
        <w:t>Si bien Martin fue asesinado por una persona privada y su asesinato plantea diferentes cuestiones legales relacionadas con la ley "</w:t>
      </w:r>
      <w:r w:rsidRPr="00930562">
        <w:rPr>
          <w:rFonts w:asciiTheme="minorHAnsi" w:hAnsiTheme="minorHAnsi" w:cstheme="minorHAnsi"/>
          <w:i/>
          <w:color w:val="808080" w:themeColor="background1" w:themeShade="80"/>
          <w:sz w:val="16"/>
          <w:szCs w:val="16"/>
          <w:lang w:val="es-AR"/>
        </w:rPr>
        <w:t>Stand Your Ground</w:t>
      </w:r>
      <w:r w:rsidRPr="00930562">
        <w:rPr>
          <w:rFonts w:asciiTheme="minorHAnsi" w:hAnsiTheme="minorHAnsi" w:cstheme="minorHAnsi"/>
          <w:color w:val="808080" w:themeColor="background1" w:themeShade="80"/>
          <w:sz w:val="16"/>
          <w:szCs w:val="16"/>
          <w:lang w:val="es-AR"/>
        </w:rPr>
        <w:t>" de Florida, bajo la cual George Zimmerman argumentó con éxito que no era culpable de asesinato (</w:t>
      </w:r>
      <w:r w:rsidRPr="00930562">
        <w:rPr>
          <w:rFonts w:asciiTheme="minorHAnsi" w:hAnsiTheme="minorHAnsi" w:cstheme="minorHAnsi"/>
          <w:i/>
          <w:color w:val="808080" w:themeColor="background1" w:themeShade="80"/>
          <w:sz w:val="16"/>
          <w:szCs w:val="16"/>
          <w:lang w:val="es-AR"/>
        </w:rPr>
        <w:t>véase más adelante</w:t>
      </w:r>
      <w:r w:rsidRPr="00930562">
        <w:rPr>
          <w:rFonts w:asciiTheme="minorHAnsi" w:hAnsiTheme="minorHAnsi" w:cstheme="minorHAnsi"/>
          <w:color w:val="808080" w:themeColor="background1" w:themeShade="80"/>
          <w:sz w:val="16"/>
          <w:szCs w:val="16"/>
          <w:lang w:val="es-AR"/>
        </w:rPr>
        <w:t xml:space="preserve">, párrafos 140-146), su muerte ocurrió en un momento clave para sensibilizar a la comunidad sobre el problema del uso excesivo de la fuerza contra los afroamericanos y el surgimiento de movimientos sociales como </w:t>
      </w:r>
      <w:r w:rsidRPr="00930562">
        <w:rPr>
          <w:rFonts w:asciiTheme="minorHAnsi" w:hAnsiTheme="minorHAnsi" w:cstheme="minorHAnsi"/>
          <w:i/>
          <w:color w:val="808080" w:themeColor="background1" w:themeShade="80"/>
          <w:sz w:val="16"/>
          <w:szCs w:val="16"/>
          <w:lang w:val="es-AR"/>
        </w:rPr>
        <w:t>Black Lives Matter</w:t>
      </w:r>
      <w:r w:rsidRPr="00930562">
        <w:rPr>
          <w:rFonts w:asciiTheme="minorHAnsi" w:hAnsiTheme="minorHAnsi" w:cstheme="minorHAnsi"/>
          <w:color w:val="808080" w:themeColor="background1" w:themeShade="80"/>
          <w:sz w:val="16"/>
          <w:szCs w:val="16"/>
          <w:lang w:val="es-AR"/>
        </w:rPr>
        <w:t>.).</w:t>
      </w:r>
    </w:p>
  </w:footnote>
  <w:footnote w:id="113">
    <w:p w14:paraId="52625B81"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i/>
          <w:iCs/>
          <w:color w:val="808080" w:themeColor="background1" w:themeShade="80"/>
          <w:sz w:val="16"/>
          <w:szCs w:val="16"/>
          <w:lang w:val="es-AR"/>
        </w:rPr>
        <w:t xml:space="preserve">Véase </w:t>
      </w:r>
      <w:r w:rsidRPr="00930562">
        <w:rPr>
          <w:rFonts w:asciiTheme="minorHAnsi" w:hAnsiTheme="minorHAnsi" w:cstheme="minorHAnsi"/>
          <w:i/>
          <w:color w:val="808080" w:themeColor="background1" w:themeShade="80"/>
          <w:sz w:val="16"/>
          <w:szCs w:val="16"/>
          <w:lang w:val="es-AR"/>
        </w:rPr>
        <w:t>Black Lives Matter</w:t>
      </w:r>
      <w:r w:rsidRPr="00930562">
        <w:rPr>
          <w:rFonts w:asciiTheme="minorHAnsi" w:hAnsiTheme="minorHAnsi" w:cstheme="minorHAnsi"/>
          <w:color w:val="808080" w:themeColor="background1" w:themeShade="80"/>
          <w:sz w:val="16"/>
          <w:szCs w:val="16"/>
          <w:lang w:val="es-AR"/>
        </w:rPr>
        <w:t xml:space="preserve"> website: </w:t>
      </w:r>
      <w:hyperlink r:id="rId156" w:history="1">
        <w:r w:rsidRPr="00930562">
          <w:rPr>
            <w:rStyle w:val="Hyperlink"/>
            <w:rFonts w:asciiTheme="minorHAnsi" w:hAnsiTheme="minorHAnsi" w:cstheme="minorHAnsi"/>
            <w:color w:val="808080" w:themeColor="background1" w:themeShade="80"/>
            <w:sz w:val="16"/>
            <w:szCs w:val="16"/>
            <w:lang w:val="es-AR"/>
          </w:rPr>
          <w:t>http://blacklivesmatter.com/</w:t>
        </w:r>
      </w:hyperlink>
      <w:r w:rsidRPr="00930562">
        <w:rPr>
          <w:rFonts w:asciiTheme="minorHAnsi" w:hAnsiTheme="minorHAnsi" w:cstheme="minorHAnsi"/>
          <w:color w:val="808080" w:themeColor="background1" w:themeShade="80"/>
          <w:sz w:val="16"/>
          <w:szCs w:val="16"/>
          <w:lang w:val="es-AR"/>
        </w:rPr>
        <w:t>, última visita 30 de enero de 2018. BLM es “una llamada de atención y una respuesta al virulento racismo anti-negro que impregna a la [...] sociedad "y aborda" las ejecuciones extrajudiciales de personas negras por parte de la policía y los vigilantes.”</w:t>
      </w:r>
    </w:p>
  </w:footnote>
  <w:footnote w:id="114">
    <w:p w14:paraId="225D5276"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t xml:space="preserve">CIDH, </w:t>
      </w:r>
      <w:hyperlink r:id="rId157" w:history="1">
        <w:r w:rsidRPr="00930562">
          <w:rPr>
            <w:rStyle w:val="Hyperlink"/>
            <w:rFonts w:asciiTheme="minorHAnsi" w:hAnsiTheme="minorHAnsi" w:cstheme="minorHAnsi"/>
            <w:bCs/>
            <w:color w:val="808080" w:themeColor="background1" w:themeShade="80"/>
            <w:sz w:val="16"/>
            <w:szCs w:val="16"/>
            <w:lang w:val="es-AR"/>
          </w:rPr>
          <w:t>Comunicado de Prensa de Garner y Michael Brown</w:t>
        </w:r>
      </w:hyperlink>
      <w:r w:rsidRPr="00930562">
        <w:rPr>
          <w:rFonts w:asciiTheme="minorHAnsi" w:hAnsiTheme="minorHAnsi" w:cstheme="minorHAnsi"/>
          <w:color w:val="808080" w:themeColor="background1" w:themeShade="80"/>
          <w:sz w:val="16"/>
          <w:szCs w:val="16"/>
          <w:lang w:val="es-AR"/>
        </w:rPr>
        <w:t xml:space="preserve">, 22 de agosto de 2014; CIDH, </w:t>
      </w:r>
      <w:hyperlink r:id="rId158" w:history="1">
        <w:r w:rsidRPr="00930562">
          <w:rPr>
            <w:rStyle w:val="Hyperlink"/>
            <w:rFonts w:asciiTheme="minorHAnsi" w:hAnsiTheme="minorHAnsi" w:cstheme="minorHAnsi"/>
            <w:color w:val="808080" w:themeColor="background1" w:themeShade="80"/>
            <w:sz w:val="16"/>
            <w:szCs w:val="16"/>
            <w:lang w:val="es-AR"/>
          </w:rPr>
          <w:t>Comunicado de Prensa de Walter Scott</w:t>
        </w:r>
      </w:hyperlink>
      <w:r w:rsidRPr="00930562">
        <w:rPr>
          <w:rFonts w:asciiTheme="minorHAnsi" w:hAnsiTheme="minorHAnsi" w:cstheme="minorHAnsi"/>
          <w:color w:val="808080" w:themeColor="background1" w:themeShade="80"/>
          <w:sz w:val="16"/>
          <w:szCs w:val="16"/>
          <w:lang w:val="es-AR"/>
        </w:rPr>
        <w:t>,  17 de abril de 2015.</w:t>
      </w:r>
    </w:p>
  </w:footnote>
  <w:footnote w:id="115">
    <w:p w14:paraId="7131303D" w14:textId="77777777" w:rsidR="00F64540" w:rsidRPr="00930562" w:rsidRDefault="00F64540" w:rsidP="00E10935">
      <w:pPr>
        <w:pStyle w:val="FootnoteText"/>
        <w:spacing w:after="40"/>
        <w:ind w:left="547" w:hanging="547"/>
        <w:contextualSpacing/>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AR"/>
        </w:rPr>
        <w:t xml:space="preserve"> </w:t>
      </w:r>
      <w:r w:rsidRPr="00930562">
        <w:rPr>
          <w:rFonts w:asciiTheme="minorHAnsi" w:hAnsiTheme="minorHAnsi" w:cstheme="majorHAnsi"/>
          <w:color w:val="808080" w:themeColor="background1" w:themeShade="80"/>
          <w:sz w:val="16"/>
          <w:szCs w:val="16"/>
          <w:lang w:val="es-AR"/>
        </w:rPr>
        <w:tab/>
      </w:r>
      <w:r w:rsidRPr="00930562">
        <w:rPr>
          <w:rFonts w:asciiTheme="minorHAnsi" w:hAnsiTheme="minorHAnsi" w:cstheme="minorHAnsi"/>
          <w:color w:val="808080" w:themeColor="background1" w:themeShade="80"/>
          <w:sz w:val="16"/>
          <w:szCs w:val="16"/>
          <w:lang w:val="es-AR"/>
        </w:rPr>
        <w:t xml:space="preserve">CIDH, </w:t>
      </w:r>
      <w:hyperlink r:id="rId159" w:history="1">
        <w:r w:rsidRPr="00930562">
          <w:rPr>
            <w:rStyle w:val="Hyperlink"/>
            <w:rFonts w:asciiTheme="minorHAnsi" w:hAnsiTheme="minorHAnsi" w:cstheme="minorHAnsi"/>
            <w:color w:val="808080" w:themeColor="background1" w:themeShade="80"/>
            <w:sz w:val="16"/>
            <w:szCs w:val="16"/>
            <w:lang w:val="es-AR"/>
          </w:rPr>
          <w:t>Violencia, Niñez y Crimen Organizado</w:t>
        </w:r>
      </w:hyperlink>
      <w:r w:rsidRPr="00930562">
        <w:rPr>
          <w:rFonts w:asciiTheme="minorHAnsi" w:hAnsiTheme="minorHAnsi" w:cstheme="minorHAnsi"/>
          <w:color w:val="808080" w:themeColor="background1" w:themeShade="80"/>
          <w:sz w:val="16"/>
          <w:szCs w:val="16"/>
          <w:lang w:val="es-AR"/>
        </w:rPr>
        <w:t>, OAS/ Ser.L/V/II.Doc.40/15 (2015), pár. 191.</w:t>
      </w:r>
    </w:p>
  </w:footnote>
  <w:footnote w:id="116">
    <w:p w14:paraId="071476EB"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MX"/>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r>
      <w:r w:rsidRPr="00930562">
        <w:rPr>
          <w:rFonts w:asciiTheme="minorHAnsi" w:hAnsiTheme="minorHAnsi" w:cstheme="minorHAnsi"/>
          <w:i/>
          <w:color w:val="808080" w:themeColor="background1" w:themeShade="80"/>
          <w:sz w:val="16"/>
          <w:szCs w:val="16"/>
          <w:lang w:val="es-MX"/>
        </w:rPr>
        <w:t>Véase más adelante también</w:t>
      </w:r>
      <w:r w:rsidRPr="00930562">
        <w:rPr>
          <w:rFonts w:asciiTheme="minorHAnsi" w:hAnsiTheme="minorHAnsi" w:cstheme="minorHAnsi"/>
          <w:color w:val="808080" w:themeColor="background1" w:themeShade="80"/>
          <w:sz w:val="16"/>
          <w:szCs w:val="16"/>
          <w:lang w:val="es-MX"/>
        </w:rPr>
        <w:t xml:space="preserve"> párrs. </w:t>
      </w:r>
      <w:r w:rsidRPr="00930562">
        <w:rPr>
          <w:rFonts w:asciiTheme="minorHAnsi" w:hAnsiTheme="minorHAnsi" w:cstheme="minorHAnsi"/>
          <w:color w:val="808080" w:themeColor="background1" w:themeShade="80"/>
          <w:sz w:val="16"/>
          <w:szCs w:val="16"/>
        </w:rPr>
        <w:fldChar w:fldCharType="begin"/>
      </w:r>
      <w:r w:rsidRPr="00930562">
        <w:rPr>
          <w:rFonts w:asciiTheme="minorHAnsi" w:hAnsiTheme="minorHAnsi" w:cstheme="minorHAnsi"/>
          <w:color w:val="808080" w:themeColor="background1" w:themeShade="80"/>
          <w:sz w:val="16"/>
          <w:szCs w:val="16"/>
          <w:lang w:val="es-MX"/>
        </w:rPr>
        <w:instrText xml:space="preserve"> REF _Ref504647147 \r \h  \* MERGEFORMAT </w:instrText>
      </w:r>
      <w:r w:rsidRPr="00930562">
        <w:rPr>
          <w:rFonts w:asciiTheme="minorHAnsi" w:hAnsiTheme="minorHAnsi" w:cstheme="minorHAnsi"/>
          <w:color w:val="808080" w:themeColor="background1" w:themeShade="80"/>
          <w:sz w:val="16"/>
          <w:szCs w:val="16"/>
        </w:rPr>
      </w:r>
      <w:r w:rsidRPr="00930562">
        <w:rPr>
          <w:rFonts w:asciiTheme="minorHAnsi" w:hAnsiTheme="minorHAnsi" w:cstheme="minorHAnsi"/>
          <w:color w:val="808080" w:themeColor="background1" w:themeShade="80"/>
          <w:sz w:val="16"/>
          <w:szCs w:val="16"/>
        </w:rPr>
        <w:fldChar w:fldCharType="separate"/>
      </w:r>
      <w:r w:rsidRPr="00930562">
        <w:rPr>
          <w:rFonts w:asciiTheme="minorHAnsi" w:hAnsiTheme="minorHAnsi" w:cstheme="minorHAnsi"/>
          <w:color w:val="808080" w:themeColor="background1" w:themeShade="80"/>
          <w:sz w:val="16"/>
          <w:szCs w:val="16"/>
          <w:lang w:val="es-MX"/>
        </w:rPr>
        <w:t>53</w:t>
      </w:r>
      <w:r w:rsidRPr="00930562">
        <w:rPr>
          <w:rFonts w:asciiTheme="minorHAnsi" w:hAnsiTheme="minorHAnsi" w:cstheme="minorHAnsi"/>
          <w:color w:val="808080" w:themeColor="background1" w:themeShade="80"/>
          <w:sz w:val="16"/>
          <w:szCs w:val="16"/>
        </w:rPr>
        <w:fldChar w:fldCharType="end"/>
      </w:r>
      <w:r w:rsidRPr="00930562">
        <w:rPr>
          <w:rFonts w:asciiTheme="minorHAnsi" w:hAnsiTheme="minorHAnsi" w:cstheme="minorHAnsi"/>
          <w:color w:val="808080" w:themeColor="background1" w:themeShade="80"/>
          <w:sz w:val="16"/>
          <w:szCs w:val="16"/>
          <w:lang w:val="es-MX"/>
        </w:rPr>
        <w:t>-</w:t>
      </w:r>
      <w:r w:rsidRPr="00930562">
        <w:rPr>
          <w:rFonts w:asciiTheme="minorHAnsi" w:hAnsiTheme="minorHAnsi" w:cstheme="minorHAnsi"/>
          <w:color w:val="808080" w:themeColor="background1" w:themeShade="80"/>
          <w:sz w:val="16"/>
          <w:szCs w:val="16"/>
        </w:rPr>
        <w:fldChar w:fldCharType="begin"/>
      </w:r>
      <w:r w:rsidRPr="00930562">
        <w:rPr>
          <w:rFonts w:asciiTheme="minorHAnsi" w:hAnsiTheme="minorHAnsi" w:cstheme="minorHAnsi"/>
          <w:color w:val="808080" w:themeColor="background1" w:themeShade="80"/>
          <w:sz w:val="16"/>
          <w:szCs w:val="16"/>
          <w:lang w:val="es-MX"/>
        </w:rPr>
        <w:instrText xml:space="preserve"> REF _Ref507147678 \r \h  \* MERGEFORMAT </w:instrText>
      </w:r>
      <w:r w:rsidRPr="00930562">
        <w:rPr>
          <w:rFonts w:asciiTheme="minorHAnsi" w:hAnsiTheme="minorHAnsi" w:cstheme="minorHAnsi"/>
          <w:color w:val="808080" w:themeColor="background1" w:themeShade="80"/>
          <w:sz w:val="16"/>
          <w:szCs w:val="16"/>
        </w:rPr>
      </w:r>
      <w:r w:rsidRPr="00930562">
        <w:rPr>
          <w:rFonts w:asciiTheme="minorHAnsi" w:hAnsiTheme="minorHAnsi" w:cstheme="minorHAnsi"/>
          <w:color w:val="808080" w:themeColor="background1" w:themeShade="80"/>
          <w:sz w:val="16"/>
          <w:szCs w:val="16"/>
        </w:rPr>
        <w:fldChar w:fldCharType="separate"/>
      </w:r>
      <w:r w:rsidRPr="00930562">
        <w:rPr>
          <w:rFonts w:asciiTheme="minorHAnsi" w:hAnsiTheme="minorHAnsi" w:cstheme="minorHAnsi"/>
          <w:color w:val="808080" w:themeColor="background1" w:themeShade="80"/>
          <w:sz w:val="16"/>
          <w:szCs w:val="16"/>
          <w:lang w:val="es-MX"/>
        </w:rPr>
        <w:t>54</w:t>
      </w:r>
      <w:r w:rsidRPr="00930562">
        <w:rPr>
          <w:rFonts w:asciiTheme="minorHAnsi" w:hAnsiTheme="minorHAnsi" w:cstheme="minorHAnsi"/>
          <w:color w:val="808080" w:themeColor="background1" w:themeShade="80"/>
          <w:sz w:val="16"/>
          <w:szCs w:val="16"/>
        </w:rPr>
        <w:fldChar w:fldCharType="end"/>
      </w:r>
      <w:r w:rsidRPr="00930562">
        <w:rPr>
          <w:rFonts w:asciiTheme="minorHAnsi" w:hAnsiTheme="minorHAnsi" w:cstheme="minorHAnsi"/>
          <w:color w:val="808080" w:themeColor="background1" w:themeShade="80"/>
          <w:sz w:val="16"/>
          <w:szCs w:val="16"/>
          <w:lang w:val="es-MX"/>
        </w:rPr>
        <w:t>.</w:t>
      </w:r>
    </w:p>
  </w:footnote>
  <w:footnote w:id="117">
    <w:p w14:paraId="3722D86F" w14:textId="77777777" w:rsidR="00F64540" w:rsidRPr="00930562" w:rsidRDefault="00F64540" w:rsidP="00E10935">
      <w:pPr>
        <w:pStyle w:val="FootnoteText"/>
        <w:spacing w:after="40"/>
        <w:ind w:left="547" w:hanging="547"/>
        <w:jc w:val="both"/>
        <w:rPr>
          <w:rFonts w:asciiTheme="minorHAnsi" w:eastAsia="Times New Roman" w:hAnsiTheme="minorHAnsi" w:cstheme="minorHAnsi"/>
          <w:bCs/>
          <w:color w:val="808080" w:themeColor="background1" w:themeShade="80"/>
          <w:sz w:val="16"/>
          <w:szCs w:val="16"/>
          <w:u w:val="single"/>
          <w:lang w:val="es-MX" w:eastAsia="es-ES"/>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r>
      <w:r w:rsidRPr="00930562">
        <w:rPr>
          <w:rFonts w:asciiTheme="minorHAnsi" w:eastAsia="Times New Roman" w:hAnsiTheme="minorHAnsi" w:cstheme="minorHAnsi"/>
          <w:bCs/>
          <w:color w:val="808080" w:themeColor="background1" w:themeShade="80"/>
          <w:sz w:val="16"/>
          <w:szCs w:val="16"/>
          <w:lang w:val="es-MX" w:eastAsia="es-ES"/>
        </w:rPr>
        <w:t xml:space="preserve">CIDH, </w:t>
      </w:r>
      <w:hyperlink r:id="rId160" w:history="1">
        <w:r w:rsidRPr="00930562">
          <w:rPr>
            <w:rStyle w:val="Hyperlink"/>
            <w:rFonts w:asciiTheme="minorHAnsi" w:eastAsia="Times New Roman" w:hAnsiTheme="minorHAnsi" w:cstheme="minorHAnsi"/>
            <w:bCs/>
            <w:color w:val="808080" w:themeColor="background1" w:themeShade="80"/>
            <w:sz w:val="16"/>
            <w:szCs w:val="16"/>
            <w:lang w:val="es-MX" w:eastAsia="es-ES"/>
          </w:rPr>
          <w:t>La situación de las personas afrodescendientes en las Américas</w:t>
        </w:r>
      </w:hyperlink>
      <w:r w:rsidRPr="00930562">
        <w:rPr>
          <w:rFonts w:asciiTheme="minorHAnsi" w:eastAsia="Times New Roman" w:hAnsiTheme="minorHAnsi" w:cstheme="minorHAnsi"/>
          <w:bCs/>
          <w:color w:val="808080" w:themeColor="background1" w:themeShade="80"/>
          <w:sz w:val="16"/>
          <w:szCs w:val="16"/>
          <w:lang w:val="es-MX" w:eastAsia="es-ES"/>
        </w:rPr>
        <w:t xml:space="preserve"> (2011)</w:t>
      </w:r>
      <w:r w:rsidRPr="00930562">
        <w:rPr>
          <w:rFonts w:asciiTheme="minorHAnsi" w:eastAsia="Times New Roman" w:hAnsiTheme="minorHAnsi" w:cstheme="minorHAnsi"/>
          <w:color w:val="808080" w:themeColor="background1" w:themeShade="80"/>
          <w:sz w:val="16"/>
          <w:szCs w:val="16"/>
          <w:lang w:val="es-MX" w:eastAsia="es-ES"/>
        </w:rPr>
        <w:t xml:space="preserve">, párr. 143. </w:t>
      </w:r>
    </w:p>
  </w:footnote>
  <w:footnote w:id="118">
    <w:p w14:paraId="4ED5E39A"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MX"/>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r>
      <w:r w:rsidRPr="00930562">
        <w:rPr>
          <w:rFonts w:asciiTheme="minorHAnsi" w:hAnsiTheme="minorHAnsi" w:cstheme="minorHAnsi"/>
          <w:i/>
          <w:color w:val="808080" w:themeColor="background1" w:themeShade="80"/>
          <w:sz w:val="16"/>
          <w:szCs w:val="16"/>
          <w:lang w:val="es-MX"/>
        </w:rPr>
        <w:t>Véase más adelante</w:t>
      </w:r>
      <w:r w:rsidRPr="00930562">
        <w:rPr>
          <w:rFonts w:asciiTheme="minorHAnsi" w:hAnsiTheme="minorHAnsi" w:cstheme="minorHAnsi"/>
          <w:color w:val="808080" w:themeColor="background1" w:themeShade="80"/>
          <w:sz w:val="16"/>
          <w:szCs w:val="16"/>
          <w:lang w:val="es-MX"/>
        </w:rPr>
        <w:t xml:space="preserve"> párrs. </w:t>
      </w:r>
      <w:r w:rsidRPr="00930562">
        <w:rPr>
          <w:rFonts w:asciiTheme="minorHAnsi" w:hAnsiTheme="minorHAnsi" w:cstheme="minorHAnsi"/>
          <w:color w:val="808080" w:themeColor="background1" w:themeShade="80"/>
          <w:sz w:val="16"/>
          <w:szCs w:val="16"/>
        </w:rPr>
        <w:fldChar w:fldCharType="begin"/>
      </w:r>
      <w:r w:rsidRPr="00930562">
        <w:rPr>
          <w:rFonts w:asciiTheme="minorHAnsi" w:hAnsiTheme="minorHAnsi" w:cstheme="minorHAnsi"/>
          <w:color w:val="808080" w:themeColor="background1" w:themeShade="80"/>
          <w:sz w:val="16"/>
          <w:szCs w:val="16"/>
          <w:lang w:val="es-MX"/>
        </w:rPr>
        <w:instrText xml:space="preserve"> REF _Ref507148000 \r \h  \* MERGEFORMAT </w:instrText>
      </w:r>
      <w:r w:rsidRPr="00930562">
        <w:rPr>
          <w:rFonts w:asciiTheme="minorHAnsi" w:hAnsiTheme="minorHAnsi" w:cstheme="minorHAnsi"/>
          <w:color w:val="808080" w:themeColor="background1" w:themeShade="80"/>
          <w:sz w:val="16"/>
          <w:szCs w:val="16"/>
        </w:rPr>
      </w:r>
      <w:r w:rsidRPr="00930562">
        <w:rPr>
          <w:rFonts w:asciiTheme="minorHAnsi" w:hAnsiTheme="minorHAnsi" w:cstheme="minorHAnsi"/>
          <w:color w:val="808080" w:themeColor="background1" w:themeShade="80"/>
          <w:sz w:val="16"/>
          <w:szCs w:val="16"/>
        </w:rPr>
        <w:fldChar w:fldCharType="separate"/>
      </w:r>
      <w:r w:rsidRPr="00930562">
        <w:rPr>
          <w:rFonts w:asciiTheme="minorHAnsi" w:hAnsiTheme="minorHAnsi" w:cstheme="minorHAnsi"/>
          <w:color w:val="808080" w:themeColor="background1" w:themeShade="80"/>
          <w:sz w:val="16"/>
          <w:szCs w:val="16"/>
          <w:lang w:val="es-MX"/>
        </w:rPr>
        <w:t>189</w:t>
      </w:r>
      <w:r w:rsidRPr="00930562">
        <w:rPr>
          <w:rFonts w:asciiTheme="minorHAnsi" w:hAnsiTheme="minorHAnsi" w:cstheme="minorHAnsi"/>
          <w:color w:val="808080" w:themeColor="background1" w:themeShade="80"/>
          <w:sz w:val="16"/>
          <w:szCs w:val="16"/>
        </w:rPr>
        <w:fldChar w:fldCharType="end"/>
      </w:r>
      <w:r w:rsidRPr="00930562">
        <w:rPr>
          <w:rFonts w:asciiTheme="minorHAnsi" w:hAnsiTheme="minorHAnsi" w:cstheme="minorHAnsi"/>
          <w:color w:val="808080" w:themeColor="background1" w:themeShade="80"/>
          <w:sz w:val="16"/>
          <w:szCs w:val="16"/>
          <w:lang w:val="es-MX"/>
        </w:rPr>
        <w:t>-</w:t>
      </w:r>
      <w:r w:rsidRPr="00930562">
        <w:rPr>
          <w:rFonts w:asciiTheme="minorHAnsi" w:hAnsiTheme="minorHAnsi" w:cstheme="minorHAnsi"/>
          <w:color w:val="808080" w:themeColor="background1" w:themeShade="80"/>
          <w:sz w:val="16"/>
          <w:szCs w:val="16"/>
        </w:rPr>
        <w:fldChar w:fldCharType="begin"/>
      </w:r>
      <w:r w:rsidRPr="00930562">
        <w:rPr>
          <w:rFonts w:asciiTheme="minorHAnsi" w:hAnsiTheme="minorHAnsi" w:cstheme="minorHAnsi"/>
          <w:color w:val="808080" w:themeColor="background1" w:themeShade="80"/>
          <w:sz w:val="16"/>
          <w:szCs w:val="16"/>
          <w:lang w:val="es-MX"/>
        </w:rPr>
        <w:instrText xml:space="preserve"> REF _Ref507148005 \r \h  \* MERGEFORMAT </w:instrText>
      </w:r>
      <w:r w:rsidRPr="00930562">
        <w:rPr>
          <w:rFonts w:asciiTheme="minorHAnsi" w:hAnsiTheme="minorHAnsi" w:cstheme="minorHAnsi"/>
          <w:color w:val="808080" w:themeColor="background1" w:themeShade="80"/>
          <w:sz w:val="16"/>
          <w:szCs w:val="16"/>
        </w:rPr>
      </w:r>
      <w:r w:rsidRPr="00930562">
        <w:rPr>
          <w:rFonts w:asciiTheme="minorHAnsi" w:hAnsiTheme="minorHAnsi" w:cstheme="minorHAnsi"/>
          <w:color w:val="808080" w:themeColor="background1" w:themeShade="80"/>
          <w:sz w:val="16"/>
          <w:szCs w:val="16"/>
        </w:rPr>
        <w:fldChar w:fldCharType="separate"/>
      </w:r>
      <w:r w:rsidRPr="00930562">
        <w:rPr>
          <w:rFonts w:asciiTheme="minorHAnsi" w:hAnsiTheme="minorHAnsi" w:cstheme="minorHAnsi"/>
          <w:color w:val="808080" w:themeColor="background1" w:themeShade="80"/>
          <w:sz w:val="16"/>
          <w:szCs w:val="16"/>
          <w:lang w:val="es-MX"/>
        </w:rPr>
        <w:t>195</w:t>
      </w:r>
      <w:r w:rsidRPr="00930562">
        <w:rPr>
          <w:rFonts w:asciiTheme="minorHAnsi" w:hAnsiTheme="minorHAnsi" w:cstheme="minorHAnsi"/>
          <w:color w:val="808080" w:themeColor="background1" w:themeShade="80"/>
          <w:sz w:val="16"/>
          <w:szCs w:val="16"/>
        </w:rPr>
        <w:fldChar w:fldCharType="end"/>
      </w:r>
      <w:r w:rsidRPr="00930562">
        <w:rPr>
          <w:rFonts w:asciiTheme="minorHAnsi" w:hAnsiTheme="minorHAnsi" w:cstheme="minorHAnsi"/>
          <w:color w:val="808080" w:themeColor="background1" w:themeShade="80"/>
          <w:sz w:val="16"/>
          <w:szCs w:val="16"/>
          <w:lang w:val="es-MX"/>
        </w:rPr>
        <w:t>.</w:t>
      </w:r>
    </w:p>
  </w:footnote>
  <w:footnote w:id="119">
    <w:p w14:paraId="7E897D82" w14:textId="77777777" w:rsidR="00F64540" w:rsidRPr="00930562" w:rsidRDefault="00F64540" w:rsidP="00E10935">
      <w:pPr>
        <w:pStyle w:val="FootnoteText"/>
        <w:spacing w:after="40"/>
        <w:ind w:left="547" w:hanging="547"/>
        <w:contextualSpacing/>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r>
      <w:r w:rsidRPr="00930562">
        <w:rPr>
          <w:rFonts w:asciiTheme="minorHAnsi" w:eastAsia="Times New Roman" w:hAnsiTheme="minorHAnsi" w:cstheme="minorHAnsi"/>
          <w:bCs/>
          <w:color w:val="808080" w:themeColor="background1" w:themeShade="80"/>
          <w:sz w:val="16"/>
          <w:szCs w:val="16"/>
          <w:lang w:val="es-MX" w:eastAsia="es-ES"/>
        </w:rPr>
        <w:t xml:space="preserve">CIDH, </w:t>
      </w:r>
      <w:hyperlink r:id="rId161" w:history="1">
        <w:r w:rsidRPr="00930562">
          <w:rPr>
            <w:rStyle w:val="Hyperlink"/>
            <w:rFonts w:asciiTheme="minorHAnsi" w:eastAsia="Times New Roman" w:hAnsiTheme="minorHAnsi" w:cstheme="minorHAnsi"/>
            <w:bCs/>
            <w:color w:val="808080" w:themeColor="background1" w:themeShade="80"/>
            <w:sz w:val="16"/>
            <w:szCs w:val="16"/>
            <w:lang w:val="es-MX" w:eastAsia="es-ES"/>
          </w:rPr>
          <w:t>La situación de las personas afrodescendientes en las Américas</w:t>
        </w:r>
      </w:hyperlink>
      <w:r w:rsidRPr="00930562">
        <w:rPr>
          <w:rFonts w:asciiTheme="minorHAnsi" w:eastAsia="Times New Roman" w:hAnsiTheme="minorHAnsi" w:cstheme="minorHAnsi"/>
          <w:bCs/>
          <w:color w:val="808080" w:themeColor="background1" w:themeShade="80"/>
          <w:sz w:val="16"/>
          <w:szCs w:val="16"/>
          <w:lang w:val="es-MX" w:eastAsia="es-ES"/>
        </w:rPr>
        <w:t xml:space="preserve"> (2011)</w:t>
      </w:r>
      <w:r w:rsidRPr="00930562">
        <w:rPr>
          <w:rFonts w:asciiTheme="minorHAnsi" w:eastAsia="Times New Roman" w:hAnsiTheme="minorHAnsi" w:cstheme="minorHAnsi"/>
          <w:color w:val="808080" w:themeColor="background1" w:themeShade="80"/>
          <w:sz w:val="16"/>
          <w:szCs w:val="16"/>
          <w:lang w:val="es-MX" w:eastAsia="es-ES"/>
        </w:rPr>
        <w:t>,</w:t>
      </w:r>
      <w:r w:rsidRPr="00930562">
        <w:rPr>
          <w:rFonts w:asciiTheme="minorHAnsi" w:hAnsiTheme="minorHAnsi" w:cstheme="minorHAnsi"/>
          <w:color w:val="808080" w:themeColor="background1" w:themeShade="80"/>
          <w:sz w:val="16"/>
          <w:szCs w:val="16"/>
          <w:lang w:val="es-MX"/>
        </w:rPr>
        <w:t xml:space="preserve"> párr. </w:t>
      </w:r>
      <w:r w:rsidRPr="00930562">
        <w:rPr>
          <w:rFonts w:asciiTheme="minorHAnsi" w:hAnsiTheme="minorHAnsi" w:cstheme="minorHAnsi"/>
          <w:color w:val="808080" w:themeColor="background1" w:themeShade="80"/>
          <w:sz w:val="16"/>
          <w:szCs w:val="16"/>
        </w:rPr>
        <w:t>148.</w:t>
      </w:r>
    </w:p>
  </w:footnote>
  <w:footnote w:id="120">
    <w:p w14:paraId="7BA0DA03"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National Advisory Commission on Civil Disorders, </w:t>
      </w:r>
      <w:r w:rsidRPr="00930562">
        <w:rPr>
          <w:rFonts w:asciiTheme="minorHAnsi" w:hAnsiTheme="minorHAnsi" w:cstheme="minorHAnsi"/>
          <w:i/>
          <w:color w:val="808080" w:themeColor="background1" w:themeShade="80"/>
          <w:sz w:val="16"/>
          <w:szCs w:val="16"/>
        </w:rPr>
        <w:t>Report of the National Advisory Commission on Civil Disorders</w:t>
      </w:r>
      <w:r w:rsidRPr="00930562">
        <w:rPr>
          <w:rFonts w:asciiTheme="minorHAnsi" w:hAnsiTheme="minorHAnsi" w:cstheme="minorHAnsi"/>
          <w:color w:val="808080" w:themeColor="background1" w:themeShade="80"/>
          <w:sz w:val="16"/>
          <w:szCs w:val="16"/>
        </w:rPr>
        <w:t xml:space="preserve"> (Washington, D.C.: U.S. Government Printing Office, 1968), p. 5; </w:t>
      </w:r>
      <w:r w:rsidRPr="00930562">
        <w:rPr>
          <w:rFonts w:asciiTheme="minorHAnsi" w:hAnsiTheme="minorHAnsi" w:cstheme="minorHAnsi"/>
          <w:i/>
          <w:color w:val="808080" w:themeColor="background1" w:themeShade="80"/>
          <w:sz w:val="16"/>
          <w:szCs w:val="16"/>
        </w:rPr>
        <w:t xml:space="preserve">véase además </w:t>
      </w:r>
      <w:r w:rsidRPr="00930562">
        <w:rPr>
          <w:rFonts w:asciiTheme="minorHAnsi" w:hAnsiTheme="minorHAnsi" w:cstheme="minorHAnsi"/>
          <w:color w:val="808080" w:themeColor="background1" w:themeShade="80"/>
          <w:sz w:val="16"/>
          <w:szCs w:val="16"/>
        </w:rPr>
        <w:t xml:space="preserve">Steven Gillon, </w:t>
      </w:r>
      <w:r w:rsidRPr="00930562">
        <w:rPr>
          <w:rFonts w:asciiTheme="minorHAnsi" w:hAnsiTheme="minorHAnsi" w:cstheme="minorHAnsi"/>
          <w:i/>
          <w:color w:val="808080" w:themeColor="background1" w:themeShade="80"/>
          <w:sz w:val="16"/>
          <w:szCs w:val="16"/>
        </w:rPr>
        <w:t>Separate and Unequal: The Kerner</w:t>
      </w:r>
      <w:r w:rsidRPr="00930562">
        <w:rPr>
          <w:rFonts w:asciiTheme="minorHAnsi" w:hAnsiTheme="minorHAnsi" w:cstheme="majorHAnsi"/>
          <w:i/>
          <w:color w:val="808080" w:themeColor="background1" w:themeShade="80"/>
          <w:sz w:val="16"/>
          <w:szCs w:val="16"/>
        </w:rPr>
        <w:t xml:space="preserve"> Commission and </w:t>
      </w:r>
      <w:r w:rsidRPr="00930562">
        <w:rPr>
          <w:rFonts w:asciiTheme="minorHAnsi" w:hAnsiTheme="minorHAnsi" w:cstheme="minorHAnsi"/>
          <w:i/>
          <w:color w:val="808080" w:themeColor="background1" w:themeShade="80"/>
          <w:sz w:val="16"/>
          <w:szCs w:val="16"/>
        </w:rPr>
        <w:t>the Unraveling of American Liberalism</w:t>
      </w:r>
      <w:r w:rsidRPr="00930562">
        <w:rPr>
          <w:rFonts w:asciiTheme="minorHAnsi" w:hAnsiTheme="minorHAnsi" w:cstheme="minorHAnsi"/>
          <w:color w:val="808080" w:themeColor="background1" w:themeShade="80"/>
          <w:sz w:val="16"/>
          <w:szCs w:val="16"/>
        </w:rPr>
        <w:t xml:space="preserve"> (New York: Basic Books, 2018); Smithsonian, </w:t>
      </w:r>
      <w:hyperlink r:id="rId162" w:anchor="EIdcLdmkVHvlrpYi.99" w:history="1">
        <w:r w:rsidRPr="00930562">
          <w:rPr>
            <w:rStyle w:val="Hyperlink"/>
            <w:rFonts w:asciiTheme="minorHAnsi" w:hAnsiTheme="minorHAnsi" w:cstheme="minorHAnsi"/>
            <w:color w:val="808080" w:themeColor="background1" w:themeShade="80"/>
            <w:sz w:val="16"/>
            <w:szCs w:val="16"/>
          </w:rPr>
          <w:t>Study Shows Little Change Since Kerner Commission Reported on Racism 50 Years Ago</w:t>
        </w:r>
      </w:hyperlink>
      <w:r w:rsidRPr="00930562">
        <w:rPr>
          <w:rFonts w:asciiTheme="minorHAnsi" w:hAnsiTheme="minorHAnsi" w:cstheme="minorHAnsi"/>
          <w:color w:val="808080" w:themeColor="background1" w:themeShade="80"/>
          <w:sz w:val="16"/>
          <w:szCs w:val="16"/>
        </w:rPr>
        <w:t>, 2 de marzo de 2018.</w:t>
      </w:r>
    </w:p>
  </w:footnote>
  <w:footnote w:id="121">
    <w:p w14:paraId="64D8939B"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eastAsia="Times New Roman" w:hAnsiTheme="minorHAnsi" w:cstheme="minorHAnsi"/>
          <w:color w:val="808080" w:themeColor="background1" w:themeShade="80"/>
          <w:sz w:val="16"/>
          <w:szCs w:val="16"/>
          <w:lang w:val="es-AR" w:eastAsia="es-ES"/>
        </w:rPr>
        <w:t xml:space="preserve">La Comisión recibió información acerca de que con posterioridad a los ataques terroristas de Septiembre de 2001, tuvo lugar  cambio en las prioridades de la policía federal la cual impactó en la cultura de la policía local con un enfoque la "seguridad nacional" y una mayor militarización. Esto llevó a la adopción de una "mentalidad de guerrero" en lugar de una "mentalidad de guardián" por parte de la policía hacia las comunidades a las que cuidan. Entrevista con </w:t>
      </w:r>
      <w:r w:rsidRPr="00930562">
        <w:rPr>
          <w:rFonts w:asciiTheme="minorHAnsi" w:hAnsiTheme="minorHAnsi" w:cstheme="minorHAnsi"/>
          <w:color w:val="808080" w:themeColor="background1" w:themeShade="80"/>
          <w:sz w:val="16"/>
          <w:szCs w:val="16"/>
          <w:lang w:val="es-AR"/>
        </w:rPr>
        <w:t xml:space="preserve">el alcalde Regalado durante la visita de la CIDH a los Estados Unidos, 21 de septiembre de 2015. </w:t>
      </w:r>
      <w:r w:rsidRPr="00930562">
        <w:rPr>
          <w:rFonts w:asciiTheme="minorHAnsi" w:hAnsiTheme="minorHAnsi" w:cstheme="minorHAnsi"/>
          <w:i/>
          <w:color w:val="808080" w:themeColor="background1" w:themeShade="80"/>
          <w:sz w:val="16"/>
          <w:szCs w:val="16"/>
        </w:rPr>
        <w:t>Accord</w:t>
      </w:r>
      <w:r w:rsidRPr="00930562">
        <w:rPr>
          <w:rFonts w:asciiTheme="minorHAnsi" w:hAnsiTheme="minorHAnsi" w:cstheme="minorHAnsi"/>
          <w:color w:val="808080" w:themeColor="background1" w:themeShade="80"/>
          <w:sz w:val="16"/>
          <w:szCs w:val="16"/>
        </w:rPr>
        <w:t xml:space="preserve">. ACLU, </w:t>
      </w:r>
      <w:hyperlink r:id="rId163" w:history="1">
        <w:r w:rsidRPr="00930562">
          <w:rPr>
            <w:rStyle w:val="Hyperlink"/>
            <w:rFonts w:asciiTheme="minorHAnsi" w:hAnsiTheme="minorHAnsi" w:cstheme="minorHAnsi"/>
            <w:color w:val="808080" w:themeColor="background1" w:themeShade="80"/>
            <w:sz w:val="16"/>
            <w:szCs w:val="16"/>
          </w:rPr>
          <w:t>War Comes Home: The Excessive Militarization of American Policing</w:t>
        </w:r>
      </w:hyperlink>
      <w:r w:rsidRPr="00930562">
        <w:rPr>
          <w:rFonts w:asciiTheme="minorHAnsi" w:hAnsiTheme="minorHAnsi" w:cstheme="minorHAnsi"/>
          <w:color w:val="808080" w:themeColor="background1" w:themeShade="80"/>
          <w:sz w:val="16"/>
          <w:szCs w:val="16"/>
        </w:rPr>
        <w:t xml:space="preserve">, junio de 2014. </w:t>
      </w:r>
      <w:r w:rsidRPr="00930562">
        <w:rPr>
          <w:rFonts w:asciiTheme="minorHAnsi" w:hAnsiTheme="minorHAnsi" w:cstheme="minorHAnsi"/>
          <w:color w:val="808080" w:themeColor="background1" w:themeShade="80"/>
          <w:sz w:val="16"/>
          <w:szCs w:val="16"/>
          <w:lang w:val="es-AR"/>
        </w:rPr>
        <w:t xml:space="preserve">Información recibida indica que la vigilancia y los perfiles raciales se han incrementado desde la aprobación de la Ley Patriótica en octubre de 2001, que "afecta no sólo a los ciudadanos [estadounidenses] sino que también tiene un efecto desproporcionado en la detención, el tratamiento y la deportación de migrantes indocumentados, incluidas personas de ascendencia africana, que ingresan a [EE. UU.] "y afecta particularmente a los musulmanes y las personas de Medio Oriente. </w:t>
      </w:r>
      <w:r w:rsidRPr="00930562">
        <w:rPr>
          <w:rFonts w:asciiTheme="minorHAnsi" w:hAnsiTheme="minorHAnsi" w:cstheme="minorHAnsi"/>
          <w:bCs/>
          <w:color w:val="808080" w:themeColor="background1" w:themeShade="80"/>
          <w:sz w:val="16"/>
          <w:szCs w:val="16"/>
          <w:lang w:val="es-AR"/>
        </w:rPr>
        <w:t xml:space="preserve">U.N., Grupo de Trabajo de Personas Afroamericanas. </w:t>
      </w:r>
      <w:hyperlink r:id="rId164" w:history="1">
        <w:r w:rsidRPr="00930562">
          <w:rPr>
            <w:rStyle w:val="Hyperlink"/>
            <w:rFonts w:asciiTheme="minorHAnsi" w:hAnsiTheme="minorHAnsi" w:cstheme="minorHAnsi"/>
            <w:bCs/>
            <w:color w:val="808080" w:themeColor="background1" w:themeShade="80"/>
            <w:sz w:val="16"/>
            <w:szCs w:val="16"/>
            <w:lang w:val="es-AR"/>
          </w:rPr>
          <w:t>Report on mission to the U.S.</w:t>
        </w:r>
      </w:hyperlink>
      <w:r w:rsidRPr="00930562">
        <w:rPr>
          <w:rFonts w:asciiTheme="minorHAnsi" w:hAnsiTheme="minorHAnsi" w:cstheme="minorHAnsi"/>
          <w:bCs/>
          <w:color w:val="808080" w:themeColor="background1" w:themeShade="80"/>
          <w:sz w:val="16"/>
          <w:szCs w:val="16"/>
          <w:lang w:val="es-AR"/>
        </w:rPr>
        <w:t>, 18 de agosto de 2016</w:t>
      </w:r>
      <w:r w:rsidRPr="00930562">
        <w:rPr>
          <w:rFonts w:asciiTheme="minorHAnsi" w:hAnsiTheme="minorHAnsi" w:cstheme="minorHAnsi"/>
          <w:color w:val="808080" w:themeColor="background1" w:themeShade="80"/>
          <w:sz w:val="16"/>
          <w:szCs w:val="16"/>
          <w:lang w:val="es-AR"/>
        </w:rPr>
        <w:t xml:space="preserve">, párr. 24; </w:t>
      </w:r>
      <w:r w:rsidRPr="00930562">
        <w:rPr>
          <w:rFonts w:asciiTheme="minorHAnsi" w:hAnsiTheme="minorHAnsi" w:cstheme="minorHAnsi"/>
          <w:bCs/>
          <w:color w:val="808080" w:themeColor="background1" w:themeShade="80"/>
          <w:sz w:val="16"/>
          <w:szCs w:val="16"/>
          <w:lang w:val="es-AR"/>
        </w:rPr>
        <w:t xml:space="preserve">CIDH, 154° Período de Sesiones, </w:t>
      </w:r>
      <w:hyperlink r:id="rId165" w:history="1">
        <w:r w:rsidRPr="00930562">
          <w:rPr>
            <w:rStyle w:val="Hyperlink"/>
            <w:rFonts w:asciiTheme="minorHAnsi" w:hAnsiTheme="minorHAnsi" w:cstheme="minorHAnsi"/>
            <w:bCs/>
            <w:color w:val="808080" w:themeColor="background1" w:themeShade="80"/>
            <w:sz w:val="16"/>
            <w:szCs w:val="16"/>
            <w:lang w:val="es-AR"/>
          </w:rPr>
          <w:t>Audiencia “Justicia Penal y Raza</w:t>
        </w:r>
      </w:hyperlink>
      <w:r w:rsidRPr="00930562">
        <w:rPr>
          <w:rFonts w:asciiTheme="minorHAnsi" w:hAnsiTheme="minorHAnsi" w:cstheme="minorHAnsi"/>
          <w:bCs/>
          <w:color w:val="808080" w:themeColor="background1" w:themeShade="80"/>
          <w:sz w:val="16"/>
          <w:szCs w:val="16"/>
          <w:lang w:val="es-AR"/>
        </w:rPr>
        <w:t>, 16 de marzo de 2015</w:t>
      </w:r>
      <w:r w:rsidRPr="00930562">
        <w:rPr>
          <w:rStyle w:val="Hyperlink"/>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bCs/>
          <w:color w:val="808080" w:themeColor="background1" w:themeShade="80"/>
          <w:sz w:val="16"/>
          <w:szCs w:val="16"/>
          <w:lang w:val="es-AR"/>
        </w:rPr>
        <w:t xml:space="preserve">CERD, </w:t>
      </w:r>
      <w:hyperlink r:id="rId166" w:history="1">
        <w:r w:rsidRPr="00930562">
          <w:rPr>
            <w:rStyle w:val="Hyperlink"/>
            <w:rFonts w:asciiTheme="minorHAnsi" w:hAnsiTheme="minorHAnsi" w:cstheme="minorHAnsi"/>
            <w:bCs/>
            <w:color w:val="808080" w:themeColor="background1" w:themeShade="80"/>
            <w:sz w:val="16"/>
            <w:szCs w:val="16"/>
            <w:lang w:val="es-AR"/>
          </w:rPr>
          <w:t>Observaciones Finales 2014</w:t>
        </w:r>
      </w:hyperlink>
      <w:r w:rsidRPr="00930562">
        <w:rPr>
          <w:rFonts w:asciiTheme="minorHAnsi" w:hAnsiTheme="minorHAnsi" w:cstheme="minorHAnsi"/>
          <w:bCs/>
          <w:color w:val="808080" w:themeColor="background1" w:themeShade="80"/>
          <w:sz w:val="16"/>
          <w:szCs w:val="16"/>
          <w:lang w:val="es-AR"/>
        </w:rPr>
        <w:t>, 25 de septiembre de 2014</w:t>
      </w:r>
      <w:r w:rsidRPr="00930562">
        <w:rPr>
          <w:rFonts w:asciiTheme="minorHAnsi" w:hAnsiTheme="minorHAnsi" w:cstheme="minorHAnsi"/>
          <w:color w:val="808080" w:themeColor="background1" w:themeShade="80"/>
          <w:sz w:val="16"/>
          <w:szCs w:val="16"/>
          <w:lang w:val="es-AR"/>
        </w:rPr>
        <w:t>, párr. 8.</w:t>
      </w:r>
    </w:p>
  </w:footnote>
  <w:footnote w:id="122">
    <w:p w14:paraId="63A39E83"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t>CIDH</w:t>
      </w:r>
      <w:r w:rsidRPr="00930562">
        <w:rPr>
          <w:rFonts w:asciiTheme="minorHAnsi" w:hAnsiTheme="minorHAnsi" w:cstheme="minorHAnsi"/>
          <w:bCs/>
          <w:color w:val="808080" w:themeColor="background1" w:themeShade="80"/>
          <w:sz w:val="16"/>
          <w:szCs w:val="16"/>
          <w:lang w:val="es-AR"/>
        </w:rPr>
        <w:t xml:space="preserve">, 153° Período de Sesiones, </w:t>
      </w:r>
      <w:hyperlink r:id="rId167" w:history="1">
        <w:r w:rsidRPr="00930562">
          <w:rPr>
            <w:rStyle w:val="Hyperlink"/>
            <w:rFonts w:asciiTheme="minorHAnsi" w:hAnsiTheme="minorHAnsi" w:cstheme="minorHAnsi"/>
            <w:bCs/>
            <w:color w:val="808080" w:themeColor="background1" w:themeShade="80"/>
            <w:sz w:val="16"/>
            <w:szCs w:val="16"/>
            <w:lang w:val="es-AR"/>
          </w:rPr>
          <w:t>“Racismo en el Sistema de Justicia”</w:t>
        </w:r>
      </w:hyperlink>
      <w:r w:rsidRPr="00930562">
        <w:rPr>
          <w:rFonts w:asciiTheme="minorHAnsi" w:hAnsiTheme="minorHAnsi" w:cstheme="minorHAnsi"/>
          <w:bCs/>
          <w:color w:val="808080" w:themeColor="background1" w:themeShade="80"/>
          <w:sz w:val="16"/>
          <w:szCs w:val="16"/>
          <w:lang w:val="es-AR"/>
        </w:rPr>
        <w:t xml:space="preserve"> audiencia, 27 de octubre de 2014</w:t>
      </w:r>
      <w:r w:rsidRPr="00930562">
        <w:rPr>
          <w:rFonts w:asciiTheme="minorHAnsi" w:hAnsiTheme="minorHAnsi" w:cstheme="minorHAnsi"/>
          <w:color w:val="808080" w:themeColor="background1" w:themeShade="80"/>
          <w:sz w:val="16"/>
          <w:szCs w:val="16"/>
          <w:lang w:val="es-AR"/>
        </w:rPr>
        <w:t xml:space="preserve">; NYCLU, </w:t>
      </w:r>
      <w:hyperlink r:id="rId168" w:history="1">
        <w:r w:rsidRPr="00930562">
          <w:rPr>
            <w:rStyle w:val="Hyperlink"/>
            <w:rFonts w:asciiTheme="minorHAnsi" w:hAnsiTheme="minorHAnsi" w:cstheme="minorHAnsi"/>
            <w:color w:val="808080" w:themeColor="background1" w:themeShade="80"/>
            <w:sz w:val="16"/>
            <w:szCs w:val="16"/>
            <w:lang w:val="es-AR"/>
          </w:rPr>
          <w:t>Testimony Before City Council Public Safety &amp; Courts and Legal Services Committees On Summons Court Operations and Impact</w:t>
        </w:r>
      </w:hyperlink>
      <w:r w:rsidRPr="00930562">
        <w:rPr>
          <w:rFonts w:asciiTheme="minorHAnsi" w:hAnsiTheme="minorHAnsi" w:cstheme="minorHAnsi"/>
          <w:color w:val="808080" w:themeColor="background1" w:themeShade="80"/>
          <w:sz w:val="16"/>
          <w:szCs w:val="16"/>
          <w:lang w:val="es-AR"/>
        </w:rPr>
        <w:t>, 15 de diciembre de 2014.</w:t>
      </w:r>
    </w:p>
  </w:footnote>
  <w:footnote w:id="123">
    <w:p w14:paraId="1704F570"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Frontline (PBS), </w:t>
      </w:r>
      <w:hyperlink r:id="rId169" w:history="1">
        <w:r w:rsidRPr="00930562">
          <w:rPr>
            <w:rStyle w:val="Hyperlink"/>
            <w:rFonts w:asciiTheme="minorHAnsi" w:hAnsiTheme="minorHAnsi" w:cstheme="minorHAnsi"/>
            <w:color w:val="808080" w:themeColor="background1" w:themeShade="80"/>
            <w:sz w:val="16"/>
            <w:szCs w:val="16"/>
          </w:rPr>
          <w:t>The Problem with “Broken Windows” Policing</w:t>
        </w:r>
      </w:hyperlink>
      <w:r w:rsidRPr="00930562">
        <w:rPr>
          <w:rFonts w:asciiTheme="minorHAnsi" w:hAnsiTheme="minorHAnsi" w:cstheme="minorHAnsi"/>
          <w:color w:val="808080" w:themeColor="background1" w:themeShade="80"/>
          <w:sz w:val="16"/>
          <w:szCs w:val="16"/>
        </w:rPr>
        <w:t>, 28 de junio de 2016.</w:t>
      </w:r>
    </w:p>
  </w:footnote>
  <w:footnote w:id="124">
    <w:p w14:paraId="3448881B"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r>
      <w:r w:rsidRPr="00930562">
        <w:rPr>
          <w:rFonts w:asciiTheme="minorHAnsi" w:hAnsiTheme="minorHAnsi" w:cstheme="minorHAnsi"/>
          <w:i/>
          <w:color w:val="808080" w:themeColor="background1" w:themeShade="80"/>
          <w:sz w:val="16"/>
          <w:szCs w:val="16"/>
        </w:rPr>
        <w:t>Id.</w:t>
      </w:r>
    </w:p>
  </w:footnote>
  <w:footnote w:id="125">
    <w:p w14:paraId="5D9A330C"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Terry v. Ohio, 392 U.S. 1 (1968); </w:t>
      </w:r>
      <w:r w:rsidRPr="00930562">
        <w:rPr>
          <w:rFonts w:asciiTheme="minorHAnsi" w:hAnsiTheme="minorHAnsi" w:cstheme="minorHAnsi"/>
          <w:i/>
          <w:color w:val="808080" w:themeColor="background1" w:themeShade="80"/>
          <w:sz w:val="16"/>
          <w:szCs w:val="16"/>
        </w:rPr>
        <w:t>véase además</w:t>
      </w:r>
      <w:r w:rsidRPr="00930562">
        <w:rPr>
          <w:rFonts w:asciiTheme="minorHAnsi" w:hAnsiTheme="minorHAnsi" w:cstheme="minorHAnsi"/>
          <w:color w:val="808080" w:themeColor="background1" w:themeShade="80"/>
          <w:sz w:val="16"/>
          <w:szCs w:val="16"/>
        </w:rPr>
        <w:t xml:space="preserve"> Adams v. Williams, 407 U.S. 143 (1972).</w:t>
      </w:r>
    </w:p>
  </w:footnote>
  <w:footnote w:id="126">
    <w:p w14:paraId="7FA538E2"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Illinois v. Wardlow, 528 U.S. 119, 121-24 (2000).</w:t>
      </w:r>
    </w:p>
  </w:footnote>
  <w:footnote w:id="127">
    <w:p w14:paraId="00843B07"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Whren v. U.S., 517 U.S. 806 (1996).</w:t>
      </w:r>
    </w:p>
  </w:footnote>
  <w:footnote w:id="128">
    <w:p w14:paraId="6BD93802"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The Leadership Conference on Civil and Human Rights, </w:t>
      </w:r>
      <w:hyperlink r:id="rId170" w:history="1">
        <w:r w:rsidRPr="00930562">
          <w:rPr>
            <w:rStyle w:val="Hyperlink"/>
            <w:rFonts w:asciiTheme="minorHAnsi" w:hAnsiTheme="minorHAnsi" w:cstheme="minorHAnsi"/>
            <w:color w:val="808080" w:themeColor="background1" w:themeShade="80"/>
            <w:sz w:val="16"/>
            <w:szCs w:val="16"/>
          </w:rPr>
          <w:t>Restoring a National Consensus: The Need to End Racial Profiling in America</w:t>
        </w:r>
      </w:hyperlink>
      <w:r w:rsidRPr="00930562">
        <w:rPr>
          <w:rFonts w:asciiTheme="minorHAnsi" w:hAnsiTheme="minorHAnsi" w:cstheme="minorHAnsi"/>
          <w:color w:val="808080" w:themeColor="background1" w:themeShade="80"/>
          <w:sz w:val="16"/>
          <w:szCs w:val="16"/>
        </w:rPr>
        <w:t xml:space="preserve">, Marzo de 2011, 9-12. </w:t>
      </w:r>
      <w:r w:rsidRPr="00930562">
        <w:rPr>
          <w:rFonts w:asciiTheme="minorHAnsi" w:hAnsiTheme="minorHAnsi" w:cstheme="minorHAnsi"/>
          <w:color w:val="808080" w:themeColor="background1" w:themeShade="80"/>
          <w:sz w:val="16"/>
          <w:szCs w:val="16"/>
          <w:lang w:val="es-AR"/>
        </w:rPr>
        <w:t xml:space="preserve">Este informe  incorpora investigaciones sobre perfiles raciales e incidentes ocurridos en Texas, California, West Virginia, Minnesota, Illinois, Nueva York, Arizona, Nueva Jersey, Mississippi, Tennessee, y Nueva México, entre otros estados. </w:t>
      </w:r>
    </w:p>
  </w:footnote>
  <w:footnote w:id="129">
    <w:p w14:paraId="074694F9"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t xml:space="preserve">Citado en </w:t>
      </w:r>
      <w:r w:rsidRPr="00930562">
        <w:rPr>
          <w:rFonts w:asciiTheme="minorHAnsi" w:hAnsiTheme="minorHAnsi" w:cstheme="minorHAnsi"/>
          <w:i/>
          <w:color w:val="808080" w:themeColor="background1" w:themeShade="80"/>
          <w:sz w:val="16"/>
          <w:szCs w:val="16"/>
          <w:lang w:val="es-AR"/>
        </w:rPr>
        <w:t>id</w:t>
      </w:r>
      <w:r w:rsidRPr="00930562">
        <w:rPr>
          <w:rFonts w:asciiTheme="minorHAnsi" w:hAnsiTheme="minorHAnsi" w:cstheme="minorHAnsi"/>
          <w:color w:val="808080" w:themeColor="background1" w:themeShade="80"/>
          <w:sz w:val="16"/>
          <w:szCs w:val="16"/>
          <w:lang w:val="es-AR"/>
        </w:rPr>
        <w:t>. en 11.</w:t>
      </w:r>
    </w:p>
  </w:footnote>
  <w:footnote w:id="130">
    <w:p w14:paraId="39CDD738"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t xml:space="preserve">CIDH, </w:t>
      </w:r>
      <w:hyperlink r:id="rId171" w:history="1">
        <w:r w:rsidRPr="00930562">
          <w:rPr>
            <w:rStyle w:val="Hyperlink"/>
            <w:rFonts w:asciiTheme="minorHAnsi" w:hAnsiTheme="minorHAnsi" w:cstheme="minorHAnsi"/>
            <w:color w:val="808080" w:themeColor="background1" w:themeShade="80"/>
            <w:sz w:val="16"/>
            <w:szCs w:val="16"/>
            <w:lang w:val="es-AR"/>
          </w:rPr>
          <w:t xml:space="preserve">Comunicado de Prensa de Visita </w:t>
        </w:r>
        <w:r w:rsidRPr="00930562">
          <w:rPr>
            <w:rStyle w:val="Hyperlink"/>
            <w:rFonts w:asciiTheme="minorHAnsi" w:hAnsiTheme="minorHAnsi" w:cstheme="minorHAnsi"/>
            <w:i/>
            <w:color w:val="808080" w:themeColor="background1" w:themeShade="80"/>
            <w:sz w:val="16"/>
            <w:szCs w:val="16"/>
            <w:lang w:val="es-AR"/>
          </w:rPr>
          <w:t>in loco</w:t>
        </w:r>
      </w:hyperlink>
      <w:r w:rsidRPr="00930562">
        <w:rPr>
          <w:rFonts w:asciiTheme="minorHAnsi" w:hAnsiTheme="minorHAnsi" w:cstheme="minorHAnsi"/>
          <w:color w:val="808080" w:themeColor="background1" w:themeShade="80"/>
          <w:sz w:val="16"/>
          <w:szCs w:val="16"/>
          <w:lang w:val="es-AR"/>
        </w:rPr>
        <w:t>, 16 de octubre de 2015.</w:t>
      </w:r>
    </w:p>
  </w:footnote>
  <w:footnote w:id="131">
    <w:p w14:paraId="28C6531E"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rPr>
        <w:t xml:space="preserve"> </w:t>
      </w:r>
      <w:r w:rsidRPr="00930562">
        <w:rPr>
          <w:rFonts w:asciiTheme="minorHAnsi" w:hAnsiTheme="minorHAnsi" w:cstheme="majorHAnsi"/>
          <w:color w:val="808080" w:themeColor="background1" w:themeShade="80"/>
          <w:sz w:val="16"/>
          <w:szCs w:val="16"/>
        </w:rPr>
        <w:tab/>
      </w:r>
      <w:r w:rsidRPr="00930562">
        <w:rPr>
          <w:rFonts w:asciiTheme="minorHAnsi" w:hAnsiTheme="minorHAnsi" w:cstheme="minorHAnsi"/>
          <w:i/>
          <w:color w:val="808080" w:themeColor="background1" w:themeShade="80"/>
          <w:sz w:val="16"/>
          <w:szCs w:val="16"/>
        </w:rPr>
        <w:t>Id</w:t>
      </w:r>
      <w:r w:rsidRPr="00930562">
        <w:rPr>
          <w:rFonts w:asciiTheme="minorHAnsi" w:hAnsiTheme="minorHAnsi" w:cstheme="minorHAnsi"/>
          <w:color w:val="808080" w:themeColor="background1" w:themeShade="80"/>
          <w:sz w:val="16"/>
          <w:szCs w:val="16"/>
        </w:rPr>
        <w:t>.</w:t>
      </w:r>
    </w:p>
  </w:footnote>
  <w:footnote w:id="132">
    <w:p w14:paraId="5B6F5C38"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r>
      <w:r w:rsidRPr="00930562">
        <w:rPr>
          <w:rFonts w:asciiTheme="minorHAnsi" w:hAnsiTheme="minorHAnsi" w:cstheme="minorHAnsi"/>
          <w:i/>
          <w:color w:val="808080" w:themeColor="background1" w:themeShade="80"/>
          <w:sz w:val="16"/>
          <w:szCs w:val="16"/>
        </w:rPr>
        <w:t>Id</w:t>
      </w:r>
      <w:r w:rsidRPr="00930562">
        <w:rPr>
          <w:rFonts w:asciiTheme="minorHAnsi" w:hAnsiTheme="minorHAnsi" w:cstheme="minorHAnsi"/>
          <w:color w:val="808080" w:themeColor="background1" w:themeShade="80"/>
          <w:sz w:val="16"/>
          <w:szCs w:val="16"/>
        </w:rPr>
        <w:t>.</w:t>
      </w:r>
    </w:p>
  </w:footnote>
  <w:footnote w:id="133">
    <w:p w14:paraId="5A31C4A2"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New York Times, </w:t>
      </w:r>
      <w:hyperlink r:id="rId172" w:history="1">
        <w:r w:rsidRPr="00930562">
          <w:rPr>
            <w:rStyle w:val="Hyperlink"/>
            <w:rFonts w:asciiTheme="minorHAnsi" w:hAnsiTheme="minorHAnsi" w:cstheme="minorHAnsi"/>
            <w:color w:val="808080" w:themeColor="background1" w:themeShade="80"/>
            <w:sz w:val="16"/>
            <w:szCs w:val="16"/>
          </w:rPr>
          <w:t>On Stop-and-Frisk, We Can’t Celebrate Just Yet</w:t>
        </w:r>
      </w:hyperlink>
      <w:r w:rsidRPr="00930562">
        <w:rPr>
          <w:rFonts w:asciiTheme="minorHAnsi" w:hAnsiTheme="minorHAnsi" w:cstheme="minorHAnsi"/>
          <w:color w:val="808080" w:themeColor="background1" w:themeShade="80"/>
          <w:sz w:val="16"/>
          <w:szCs w:val="16"/>
        </w:rPr>
        <w:t xml:space="preserve">, 7 de enero de 2018 (citando Amy E. Lerman &amp; Vesla M. Weaver, </w:t>
      </w:r>
      <w:r w:rsidRPr="00930562">
        <w:rPr>
          <w:rFonts w:asciiTheme="minorHAnsi" w:hAnsiTheme="minorHAnsi" w:cstheme="minorHAnsi"/>
          <w:i/>
          <w:color w:val="808080" w:themeColor="background1" w:themeShade="80"/>
          <w:sz w:val="16"/>
          <w:szCs w:val="16"/>
        </w:rPr>
        <w:t>Arresting Citizenship: The Democratic Consequences of American Crime Control</w:t>
      </w:r>
      <w:r w:rsidRPr="00930562">
        <w:rPr>
          <w:rFonts w:asciiTheme="minorHAnsi" w:hAnsiTheme="minorHAnsi" w:cstheme="minorHAnsi"/>
          <w:color w:val="808080" w:themeColor="background1" w:themeShade="80"/>
          <w:sz w:val="16"/>
          <w:szCs w:val="16"/>
        </w:rPr>
        <w:t xml:space="preserve"> (Chicago: University of Chicago Press, 2014).</w:t>
      </w:r>
    </w:p>
  </w:footnote>
  <w:footnote w:id="134">
    <w:p w14:paraId="42515118"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r>
      <w:r w:rsidRPr="00930562">
        <w:rPr>
          <w:rFonts w:asciiTheme="minorHAnsi" w:hAnsiTheme="minorHAnsi" w:cstheme="minorHAnsi"/>
          <w:i/>
          <w:color w:val="808080" w:themeColor="background1" w:themeShade="80"/>
          <w:sz w:val="16"/>
          <w:szCs w:val="16"/>
        </w:rPr>
        <w:t>Id</w:t>
      </w:r>
      <w:r w:rsidRPr="00930562">
        <w:rPr>
          <w:rFonts w:asciiTheme="minorHAnsi" w:hAnsiTheme="minorHAnsi" w:cstheme="minorHAnsi"/>
          <w:color w:val="808080" w:themeColor="background1" w:themeShade="80"/>
          <w:sz w:val="16"/>
          <w:szCs w:val="16"/>
        </w:rPr>
        <w:t xml:space="preserve">. (citando la presentación “Crime is Insufficient: Explaining Racial Disparities in Use of Force,” disponible en: </w:t>
      </w:r>
      <w:hyperlink r:id="rId173" w:history="1">
        <w:r w:rsidRPr="00930562">
          <w:rPr>
            <w:rStyle w:val="Hyperlink"/>
            <w:rFonts w:asciiTheme="minorHAnsi" w:hAnsiTheme="minorHAnsi" w:cstheme="minorHAnsi"/>
            <w:color w:val="808080" w:themeColor="background1" w:themeShade="80"/>
            <w:sz w:val="16"/>
            <w:szCs w:val="16"/>
          </w:rPr>
          <w:t>https://convention2.allacademic.com/one/asc/asc17/index.php?program_focus=view_paper&amp;selected_paper_id=1276548&amp;cmd=online_program_direct_link&amp;sub_action=online_program</w:t>
        </w:r>
      </w:hyperlink>
      <w:r w:rsidRPr="00930562">
        <w:rPr>
          <w:rFonts w:asciiTheme="minorHAnsi" w:hAnsiTheme="minorHAnsi" w:cstheme="minorHAnsi"/>
          <w:color w:val="808080" w:themeColor="background1" w:themeShade="80"/>
          <w:sz w:val="16"/>
          <w:szCs w:val="16"/>
        </w:rPr>
        <w:t xml:space="preserve">). </w:t>
      </w:r>
    </w:p>
  </w:footnote>
  <w:footnote w:id="135">
    <w:p w14:paraId="44A0E22E"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i/>
          <w:color w:val="808080" w:themeColor="background1" w:themeShade="80"/>
          <w:sz w:val="16"/>
          <w:szCs w:val="16"/>
          <w:lang w:val="es-AR"/>
        </w:rPr>
        <w:t>Véase por ejemplo.</w:t>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bCs/>
          <w:color w:val="808080" w:themeColor="background1" w:themeShade="80"/>
          <w:sz w:val="16"/>
          <w:szCs w:val="16"/>
          <w:lang w:val="es-AR"/>
        </w:rPr>
        <w:t xml:space="preserve">CIDH, 154° Período de Sesiones, </w:t>
      </w:r>
      <w:hyperlink r:id="rId174" w:history="1">
        <w:r w:rsidRPr="00930562">
          <w:rPr>
            <w:rStyle w:val="Hyperlink"/>
            <w:rFonts w:asciiTheme="minorHAnsi" w:hAnsiTheme="minorHAnsi" w:cstheme="minorHAnsi"/>
            <w:bCs/>
            <w:color w:val="808080" w:themeColor="background1" w:themeShade="80"/>
            <w:sz w:val="16"/>
            <w:szCs w:val="16"/>
            <w:lang w:val="es-AR"/>
          </w:rPr>
          <w:t>“Racismo en el Sistema de Justicia”</w:t>
        </w:r>
      </w:hyperlink>
      <w:r w:rsidRPr="00930562">
        <w:rPr>
          <w:rFonts w:asciiTheme="minorHAnsi" w:hAnsiTheme="minorHAnsi" w:cstheme="minorHAnsi"/>
          <w:bCs/>
          <w:color w:val="808080" w:themeColor="background1" w:themeShade="80"/>
          <w:sz w:val="16"/>
          <w:szCs w:val="16"/>
          <w:lang w:val="es-AR"/>
        </w:rPr>
        <w:t>, 16 de marzo de 2015</w:t>
      </w:r>
      <w:r w:rsidRPr="00930562">
        <w:rPr>
          <w:rStyle w:val="Hyperlink"/>
          <w:rFonts w:asciiTheme="minorHAnsi" w:hAnsiTheme="minorHAnsi" w:cstheme="minorHAnsi"/>
          <w:color w:val="808080" w:themeColor="background1" w:themeShade="80"/>
          <w:sz w:val="16"/>
          <w:szCs w:val="16"/>
          <w:lang w:val="es-AR"/>
        </w:rPr>
        <w:t>.</w:t>
      </w:r>
    </w:p>
  </w:footnote>
  <w:footnote w:id="136">
    <w:p w14:paraId="6B11DE18"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Style w:val="reference-text"/>
          <w:rFonts w:asciiTheme="minorHAnsi" w:hAnsiTheme="minorHAnsi" w:cstheme="minorHAnsi"/>
          <w:color w:val="808080" w:themeColor="background1" w:themeShade="80"/>
          <w:sz w:val="16"/>
          <w:szCs w:val="16"/>
          <w:lang w:val="es-AR"/>
        </w:rPr>
        <w:t>Oficina de Derechos Civiles de la Procuraduría General del Estado de Nueva York,</w:t>
      </w:r>
      <w:r w:rsidRPr="00930562">
        <w:rPr>
          <w:rFonts w:asciiTheme="minorHAnsi" w:hAnsiTheme="minorHAnsi" w:cstheme="minorHAnsi"/>
          <w:color w:val="808080" w:themeColor="background1" w:themeShade="80"/>
          <w:sz w:val="16"/>
          <w:szCs w:val="16"/>
          <w:lang w:val="es-AR"/>
        </w:rPr>
        <w:t xml:space="preserve"> </w:t>
      </w:r>
      <w:hyperlink r:id="rId175" w:history="1">
        <w:r w:rsidRPr="00930562">
          <w:rPr>
            <w:rStyle w:val="Hyperlink"/>
            <w:rFonts w:asciiTheme="minorHAnsi" w:hAnsiTheme="minorHAnsi" w:cstheme="minorHAnsi"/>
            <w:color w:val="808080" w:themeColor="background1" w:themeShade="80"/>
            <w:sz w:val="16"/>
            <w:szCs w:val="16"/>
            <w:lang w:val="es-AR"/>
          </w:rPr>
          <w:t>Stop and Frisk Report of November 2013</w:t>
        </w:r>
      </w:hyperlink>
      <w:r w:rsidRPr="00930562">
        <w:rPr>
          <w:rStyle w:val="reference-text"/>
          <w:rFonts w:asciiTheme="minorHAnsi" w:hAnsiTheme="minorHAnsi" w:cstheme="minorHAnsi"/>
          <w:color w:val="808080" w:themeColor="background1" w:themeShade="80"/>
          <w:sz w:val="16"/>
          <w:szCs w:val="16"/>
          <w:lang w:val="es-AR"/>
        </w:rPr>
        <w:t xml:space="preserve">, noviembre de </w:t>
      </w:r>
      <w:r w:rsidRPr="00930562">
        <w:rPr>
          <w:rFonts w:asciiTheme="minorHAnsi" w:hAnsiTheme="minorHAnsi" w:cstheme="minorHAnsi"/>
          <w:color w:val="808080" w:themeColor="background1" w:themeShade="80"/>
          <w:sz w:val="16"/>
          <w:szCs w:val="16"/>
          <w:lang w:val="es-AR"/>
        </w:rPr>
        <w:t xml:space="preserve"> </w:t>
      </w:r>
      <w:r w:rsidRPr="00930562">
        <w:rPr>
          <w:rStyle w:val="reference-text"/>
          <w:rFonts w:asciiTheme="minorHAnsi" w:hAnsiTheme="minorHAnsi" w:cstheme="minorHAnsi"/>
          <w:color w:val="808080" w:themeColor="background1" w:themeShade="80"/>
          <w:sz w:val="16"/>
          <w:szCs w:val="16"/>
          <w:lang w:val="es-AR"/>
        </w:rPr>
        <w:t>2013. "</w:t>
      </w:r>
      <w:r w:rsidRPr="00930562">
        <w:rPr>
          <w:rStyle w:val="reference-text"/>
          <w:rFonts w:asciiTheme="minorHAnsi" w:hAnsiTheme="minorHAnsi" w:cstheme="minorHAnsi"/>
          <w:i/>
          <w:color w:val="808080" w:themeColor="background1" w:themeShade="80"/>
          <w:sz w:val="16"/>
          <w:szCs w:val="16"/>
          <w:lang w:val="es-AR"/>
        </w:rPr>
        <w:t>Stop and Frisk</w:t>
      </w:r>
      <w:r w:rsidRPr="00930562">
        <w:rPr>
          <w:rStyle w:val="reference-text"/>
          <w:rFonts w:asciiTheme="minorHAnsi" w:hAnsiTheme="minorHAnsi" w:cstheme="minorHAnsi"/>
          <w:color w:val="808080" w:themeColor="background1" w:themeShade="80"/>
          <w:sz w:val="16"/>
          <w:szCs w:val="16"/>
          <w:lang w:val="es-AR"/>
        </w:rPr>
        <w:t>" (“Parar y Cachear”) es una táctica policial compuesta de dos actos separados que responden a dos niveles diferentes de defensa. Para detener a una persona, un policía debe tener una sospecha razonable de que la persona ha cometido, está cometiendo o está a punto de cometer un acto ilícito. Para cachear a una persona, el oficial debe tener una razón para creer que la persona detenida tiene un arma que representa una amenaza para la seguridad del oficial</w:t>
      </w:r>
      <w:r w:rsidRPr="00930562">
        <w:rPr>
          <w:rFonts w:asciiTheme="minorHAnsi" w:hAnsiTheme="minorHAnsi" w:cstheme="minorHAnsi"/>
          <w:color w:val="808080" w:themeColor="background1" w:themeShade="80"/>
          <w:sz w:val="16"/>
          <w:szCs w:val="16"/>
          <w:lang w:val="es-AR"/>
        </w:rPr>
        <w:t>.</w:t>
      </w:r>
      <w:r w:rsidRPr="00930562">
        <w:rPr>
          <w:rFonts w:asciiTheme="minorHAnsi" w:hAnsiTheme="minorHAnsi" w:cstheme="minorHAnsi"/>
          <w:i/>
          <w:color w:val="808080" w:themeColor="background1" w:themeShade="80"/>
          <w:sz w:val="16"/>
          <w:szCs w:val="16"/>
          <w:lang w:val="es-AR"/>
        </w:rPr>
        <w:t xml:space="preserve"> Véase </w:t>
      </w:r>
      <w:r w:rsidRPr="00930562">
        <w:rPr>
          <w:rFonts w:asciiTheme="minorHAnsi" w:hAnsiTheme="minorHAnsi" w:cstheme="minorHAnsi"/>
          <w:color w:val="808080" w:themeColor="background1" w:themeShade="80"/>
          <w:sz w:val="16"/>
          <w:szCs w:val="16"/>
          <w:lang w:val="es-AR"/>
        </w:rPr>
        <w:t>Terry v. Ohio, 392 U.S. 1 (1968).</w:t>
      </w:r>
    </w:p>
  </w:footnote>
  <w:footnote w:id="137">
    <w:p w14:paraId="27822154"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t xml:space="preserve">Por ejemplo, en Nueva York, entre 2010 y 2015 la policía emitió 1.8 millones de citaciones por ofensas al bienestar tales como desorden público, orinar en la vía pública y posesión de alcohol o marihuana, pero la Oficina del Inspector General del NYPD no encontró "evidencia" de ningún vínculo entre estas citaciones y una disminución en las tasas de delitos graves durante ese tiempo. Departamento de Investigación de la Ciudad de Nueva York de la Oficina del Inspector General del Departamento de Policía de Nueva York. </w:t>
      </w:r>
      <w:r w:rsidRPr="00930562">
        <w:rPr>
          <w:rFonts w:asciiTheme="minorHAnsi" w:hAnsiTheme="minorHAnsi" w:cstheme="minorHAnsi"/>
          <w:color w:val="808080" w:themeColor="background1" w:themeShade="80"/>
          <w:sz w:val="16"/>
          <w:szCs w:val="16"/>
        </w:rPr>
        <w:t xml:space="preserve">(OIG-NYPD), </w:t>
      </w:r>
      <w:hyperlink r:id="rId176" w:history="1">
        <w:r w:rsidRPr="00930562">
          <w:rPr>
            <w:rStyle w:val="Hyperlink"/>
            <w:rFonts w:asciiTheme="minorHAnsi" w:hAnsiTheme="minorHAnsi" w:cstheme="minorHAnsi"/>
            <w:color w:val="808080" w:themeColor="background1" w:themeShade="80"/>
            <w:sz w:val="16"/>
            <w:szCs w:val="16"/>
          </w:rPr>
          <w:t>An Analysis of Quality-of-Life Summonses, Quality-of-Life Misdemeanor Arrests, and Felony Crime in New York City, 2010-2015</w:t>
        </w:r>
      </w:hyperlink>
      <w:r w:rsidRPr="00930562">
        <w:rPr>
          <w:rFonts w:asciiTheme="minorHAnsi" w:hAnsiTheme="minorHAnsi" w:cstheme="minorHAnsi"/>
          <w:color w:val="808080" w:themeColor="background1" w:themeShade="80"/>
          <w:sz w:val="16"/>
          <w:szCs w:val="16"/>
        </w:rPr>
        <w:t xml:space="preserve">, 22 de junio de 2016; </w:t>
      </w:r>
      <w:r w:rsidRPr="00930562">
        <w:rPr>
          <w:rFonts w:asciiTheme="minorHAnsi" w:hAnsiTheme="minorHAnsi" w:cstheme="minorHAnsi"/>
          <w:i/>
          <w:color w:val="808080" w:themeColor="background1" w:themeShade="80"/>
          <w:sz w:val="16"/>
          <w:szCs w:val="16"/>
        </w:rPr>
        <w:t xml:space="preserve">véase también </w:t>
      </w:r>
      <w:r w:rsidRPr="00930562">
        <w:rPr>
          <w:rFonts w:asciiTheme="minorHAnsi" w:hAnsiTheme="minorHAnsi" w:cstheme="minorHAnsi"/>
          <w:color w:val="808080" w:themeColor="background1" w:themeShade="80"/>
          <w:sz w:val="16"/>
          <w:szCs w:val="16"/>
        </w:rPr>
        <w:t xml:space="preserve">Bernard E. Harcourt &amp; Jens Ludwig, </w:t>
      </w:r>
      <w:hyperlink r:id="rId177" w:history="1">
        <w:r w:rsidRPr="00930562">
          <w:rPr>
            <w:rStyle w:val="Hyperlink"/>
            <w:rFonts w:asciiTheme="minorHAnsi" w:hAnsiTheme="minorHAnsi" w:cstheme="minorHAnsi"/>
            <w:color w:val="808080" w:themeColor="background1" w:themeShade="80"/>
            <w:sz w:val="16"/>
            <w:szCs w:val="16"/>
          </w:rPr>
          <w:t>Broken Windows: New Evidence from New York City and a Five-City Social Experiment</w:t>
        </w:r>
      </w:hyperlink>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i/>
          <w:color w:val="808080" w:themeColor="background1" w:themeShade="80"/>
          <w:sz w:val="16"/>
          <w:szCs w:val="16"/>
        </w:rPr>
        <w:t>University of Chicago Law Review</w:t>
      </w:r>
      <w:r w:rsidRPr="00930562">
        <w:rPr>
          <w:rFonts w:asciiTheme="minorHAnsi" w:hAnsiTheme="minorHAnsi" w:cstheme="minorHAnsi"/>
          <w:color w:val="808080" w:themeColor="background1" w:themeShade="80"/>
          <w:sz w:val="16"/>
          <w:szCs w:val="16"/>
        </w:rPr>
        <w:t xml:space="preserve">, Vol. 73 (2006); Bernard E. Harcourt &amp; Jens Ludwig, </w:t>
      </w:r>
      <w:hyperlink r:id="rId178" w:history="1">
        <w:r w:rsidRPr="00930562">
          <w:rPr>
            <w:rStyle w:val="Hyperlink"/>
            <w:rFonts w:asciiTheme="minorHAnsi" w:hAnsiTheme="minorHAnsi" w:cstheme="minorHAnsi"/>
            <w:color w:val="808080" w:themeColor="background1" w:themeShade="80"/>
            <w:sz w:val="16"/>
            <w:szCs w:val="16"/>
          </w:rPr>
          <w:t>Reefer Madness: Broken Windows Policing and Misdemeanor Marijuana Arrests in New York</w:t>
        </w:r>
      </w:hyperlink>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i/>
          <w:color w:val="808080" w:themeColor="background1" w:themeShade="80"/>
          <w:sz w:val="16"/>
          <w:szCs w:val="16"/>
        </w:rPr>
        <w:t>University of Chicago Public Law &amp; Legal Theory Working Paper</w:t>
      </w:r>
      <w:r w:rsidRPr="00930562">
        <w:rPr>
          <w:rFonts w:asciiTheme="minorHAnsi" w:hAnsiTheme="minorHAnsi" w:cstheme="minorHAnsi"/>
          <w:color w:val="808080" w:themeColor="background1" w:themeShade="80"/>
          <w:sz w:val="16"/>
          <w:szCs w:val="16"/>
        </w:rPr>
        <w:t>, No. 142 (2006).</w:t>
      </w:r>
    </w:p>
  </w:footnote>
  <w:footnote w:id="138">
    <w:p w14:paraId="4645487D"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rPr>
        <w:t xml:space="preserve"> </w:t>
      </w:r>
      <w:r w:rsidRPr="00930562">
        <w:rPr>
          <w:rFonts w:asciiTheme="minorHAnsi" w:hAnsiTheme="minorHAnsi" w:cstheme="majorHAnsi"/>
          <w:color w:val="808080" w:themeColor="background1" w:themeShade="80"/>
          <w:sz w:val="16"/>
          <w:szCs w:val="16"/>
        </w:rPr>
        <w:tab/>
      </w:r>
      <w:r w:rsidRPr="00930562">
        <w:rPr>
          <w:rFonts w:asciiTheme="minorHAnsi" w:hAnsiTheme="minorHAnsi" w:cstheme="minorHAnsi"/>
          <w:color w:val="808080" w:themeColor="background1" w:themeShade="80"/>
          <w:sz w:val="16"/>
          <w:szCs w:val="16"/>
        </w:rPr>
        <w:t xml:space="preserve">New York Civil Liberties Union (NYCLU), </w:t>
      </w:r>
      <w:hyperlink r:id="rId179" w:history="1">
        <w:r w:rsidRPr="00930562">
          <w:rPr>
            <w:rStyle w:val="Hyperlink"/>
            <w:rFonts w:asciiTheme="minorHAnsi" w:hAnsiTheme="minorHAnsi" w:cstheme="minorHAnsi"/>
            <w:color w:val="808080" w:themeColor="background1" w:themeShade="80"/>
            <w:sz w:val="16"/>
            <w:szCs w:val="16"/>
          </w:rPr>
          <w:t>NYC Must Reform Aggressive Policing of Low-Level Offenses and Summons Court Operations</w:t>
        </w:r>
      </w:hyperlink>
      <w:r w:rsidRPr="00930562">
        <w:rPr>
          <w:rFonts w:asciiTheme="minorHAnsi" w:hAnsiTheme="minorHAnsi" w:cstheme="minorHAnsi"/>
          <w:color w:val="808080" w:themeColor="background1" w:themeShade="80"/>
          <w:sz w:val="16"/>
          <w:szCs w:val="16"/>
        </w:rPr>
        <w:t>, 15 de diciembre de 2014.</w:t>
      </w:r>
    </w:p>
  </w:footnote>
  <w:footnote w:id="139">
    <w:p w14:paraId="6AFACD5B"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i/>
          <w:color w:val="808080" w:themeColor="background1" w:themeShade="80"/>
          <w:sz w:val="16"/>
          <w:szCs w:val="16"/>
          <w:lang w:val="es-AR"/>
        </w:rPr>
        <w:t>Floyd v. City of New York</w:t>
      </w:r>
      <w:r w:rsidRPr="00930562">
        <w:rPr>
          <w:rFonts w:asciiTheme="minorHAnsi" w:hAnsiTheme="minorHAnsi" w:cstheme="minorHAnsi"/>
          <w:color w:val="808080" w:themeColor="background1" w:themeShade="80"/>
          <w:sz w:val="16"/>
          <w:szCs w:val="16"/>
          <w:lang w:val="es-AR"/>
        </w:rPr>
        <w:t xml:space="preserve">, 959 F. Supp. 2d 540 (S.D.N.Y. 2013) (concluyendo que el programa </w:t>
      </w:r>
      <w:r w:rsidRPr="00930562">
        <w:rPr>
          <w:rFonts w:asciiTheme="minorHAnsi" w:hAnsiTheme="minorHAnsi" w:cstheme="minorHAnsi"/>
          <w:i/>
          <w:color w:val="808080" w:themeColor="background1" w:themeShade="80"/>
          <w:sz w:val="16"/>
          <w:szCs w:val="16"/>
          <w:lang w:val="es-AR"/>
        </w:rPr>
        <w:t>Stop and Frisk</w:t>
      </w:r>
      <w:r w:rsidRPr="00930562">
        <w:rPr>
          <w:rFonts w:asciiTheme="minorHAnsi" w:hAnsiTheme="minorHAnsi" w:cstheme="minorHAnsi"/>
          <w:color w:val="808080" w:themeColor="background1" w:themeShade="80"/>
          <w:sz w:val="16"/>
          <w:szCs w:val="16"/>
          <w:lang w:val="es-AR"/>
        </w:rPr>
        <w:t xml:space="preserve"> del NYPD viola la protección contra la discriminación de la Decimocuarta Enmienda y la protección de la Cuarta Enmienda contra requisas y confiscaciones sin justificación).</w:t>
      </w:r>
    </w:p>
  </w:footnote>
  <w:footnote w:id="140">
    <w:p w14:paraId="32A5161E"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NYCLU, </w:t>
      </w:r>
      <w:hyperlink r:id="rId180" w:history="1">
        <w:r w:rsidRPr="00930562">
          <w:rPr>
            <w:rStyle w:val="Hyperlink"/>
            <w:rFonts w:asciiTheme="minorHAnsi" w:hAnsiTheme="minorHAnsi" w:cstheme="minorHAnsi"/>
            <w:color w:val="808080" w:themeColor="background1" w:themeShade="80"/>
            <w:sz w:val="16"/>
            <w:szCs w:val="16"/>
          </w:rPr>
          <w:t>Stop-and-Frisk Data</w:t>
        </w:r>
      </w:hyperlink>
      <w:r w:rsidRPr="00930562">
        <w:rPr>
          <w:rFonts w:asciiTheme="minorHAnsi" w:hAnsiTheme="minorHAnsi" w:cstheme="minorHAnsi"/>
          <w:color w:val="808080" w:themeColor="background1" w:themeShade="80"/>
          <w:sz w:val="16"/>
          <w:szCs w:val="16"/>
        </w:rPr>
        <w:t>, 23 de mayo de 2017.</w:t>
      </w:r>
    </w:p>
  </w:footnote>
  <w:footnote w:id="141">
    <w:p w14:paraId="024E52B2" w14:textId="77777777" w:rsidR="00F64540" w:rsidRPr="00930562" w:rsidRDefault="00F64540" w:rsidP="00E10935">
      <w:pPr>
        <w:tabs>
          <w:tab w:val="center" w:pos="4680"/>
        </w:tabs>
        <w:spacing w:after="40" w:line="240" w:lineRule="auto"/>
        <w:ind w:left="547" w:hanging="547"/>
        <w:contextualSpacing/>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NYCLU, </w:t>
      </w:r>
      <w:hyperlink r:id="rId181" w:history="1">
        <w:r w:rsidRPr="00930562">
          <w:rPr>
            <w:rStyle w:val="Hyperlink"/>
            <w:rFonts w:asciiTheme="minorHAnsi" w:hAnsiTheme="minorHAnsi" w:cstheme="minorHAnsi"/>
            <w:color w:val="808080" w:themeColor="background1" w:themeShade="80"/>
            <w:sz w:val="16"/>
            <w:szCs w:val="16"/>
          </w:rPr>
          <w:t>Stop and Frisks Report</w:t>
        </w:r>
      </w:hyperlink>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lang w:val="es-AR"/>
        </w:rPr>
        <w:t>13 de julio de 2017.</w:t>
      </w:r>
      <w:r w:rsidRPr="00930562">
        <w:rPr>
          <w:rFonts w:asciiTheme="minorHAnsi" w:hAnsiTheme="minorHAnsi" w:cstheme="minorHAnsi"/>
          <w:color w:val="808080" w:themeColor="background1" w:themeShade="80"/>
          <w:sz w:val="16"/>
          <w:szCs w:val="16"/>
          <w:lang w:val="es-AR"/>
        </w:rPr>
        <w:tab/>
      </w:r>
    </w:p>
  </w:footnote>
  <w:footnote w:id="142">
    <w:p w14:paraId="11C72952" w14:textId="77777777" w:rsidR="00F64540" w:rsidRPr="00930562" w:rsidRDefault="00F64540" w:rsidP="00E10935">
      <w:pPr>
        <w:spacing w:after="40" w:line="240" w:lineRule="auto"/>
        <w:ind w:left="547" w:hanging="547"/>
        <w:contextualSpacing/>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t xml:space="preserve">Oficina del Censo de los Estados Unidos, </w:t>
      </w:r>
      <w:hyperlink r:id="rId182" w:history="1">
        <w:r w:rsidRPr="00930562">
          <w:rPr>
            <w:rStyle w:val="Hyperlink"/>
            <w:rFonts w:asciiTheme="minorHAnsi" w:hAnsiTheme="minorHAnsi" w:cstheme="minorHAnsi"/>
            <w:color w:val="808080" w:themeColor="background1" w:themeShade="80"/>
            <w:sz w:val="16"/>
            <w:szCs w:val="16"/>
            <w:lang w:val="es-AR"/>
          </w:rPr>
          <w:t>State and County Quickfacts: New York (city)</w:t>
        </w:r>
      </w:hyperlink>
      <w:r w:rsidRPr="00930562">
        <w:rPr>
          <w:rFonts w:asciiTheme="minorHAnsi" w:hAnsiTheme="minorHAnsi" w:cstheme="minorHAnsi"/>
          <w:color w:val="808080" w:themeColor="background1" w:themeShade="80"/>
          <w:sz w:val="16"/>
          <w:szCs w:val="16"/>
          <w:lang w:val="es-AR"/>
        </w:rPr>
        <w:t>, 2016.</w:t>
      </w:r>
    </w:p>
  </w:footnote>
  <w:footnote w:id="143">
    <w:p w14:paraId="2088DA2D"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NYCLU, </w:t>
      </w:r>
      <w:hyperlink r:id="rId183" w:history="1">
        <w:r w:rsidRPr="00930562">
          <w:rPr>
            <w:rStyle w:val="Hyperlink"/>
            <w:rFonts w:asciiTheme="minorHAnsi" w:hAnsiTheme="minorHAnsi" w:cstheme="minorHAnsi"/>
            <w:color w:val="808080" w:themeColor="background1" w:themeShade="80"/>
            <w:sz w:val="16"/>
            <w:szCs w:val="16"/>
          </w:rPr>
          <w:t>Stop-and-Frisk Data</w:t>
        </w:r>
      </w:hyperlink>
      <w:r w:rsidRPr="00930562">
        <w:rPr>
          <w:rFonts w:asciiTheme="minorHAnsi" w:hAnsiTheme="minorHAnsi" w:cstheme="minorHAnsi"/>
          <w:color w:val="808080" w:themeColor="background1" w:themeShade="80"/>
          <w:sz w:val="16"/>
          <w:szCs w:val="16"/>
        </w:rPr>
        <w:t>, 23 de mayo de 2017.</w:t>
      </w:r>
    </w:p>
  </w:footnote>
  <w:footnote w:id="144">
    <w:p w14:paraId="3D26C158"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US"/>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US"/>
        </w:rPr>
        <w:t xml:space="preserve"> </w:t>
      </w:r>
      <w:r w:rsidRPr="00930562">
        <w:rPr>
          <w:rFonts w:asciiTheme="minorHAnsi" w:hAnsiTheme="minorHAnsi" w:cstheme="minorHAnsi"/>
          <w:color w:val="808080" w:themeColor="background1" w:themeShade="80"/>
          <w:sz w:val="16"/>
          <w:szCs w:val="16"/>
          <w:lang w:val="es-US"/>
        </w:rPr>
        <w:tab/>
      </w:r>
      <w:r w:rsidRPr="00930562">
        <w:rPr>
          <w:rFonts w:asciiTheme="minorHAnsi" w:hAnsiTheme="minorHAnsi" w:cstheme="minorHAnsi"/>
          <w:bCs/>
          <w:color w:val="808080" w:themeColor="background1" w:themeShade="80"/>
          <w:sz w:val="16"/>
          <w:szCs w:val="16"/>
          <w:lang w:val="es-US"/>
        </w:rPr>
        <w:t xml:space="preserve">CIDH, </w:t>
      </w:r>
      <w:hyperlink r:id="rId184" w:history="1">
        <w:r w:rsidRPr="00930562">
          <w:rPr>
            <w:rStyle w:val="Hyperlink"/>
            <w:rFonts w:asciiTheme="minorHAnsi" w:hAnsiTheme="minorHAnsi" w:cstheme="minorHAnsi"/>
            <w:bCs/>
            <w:color w:val="808080" w:themeColor="background1" w:themeShade="80"/>
            <w:sz w:val="16"/>
            <w:szCs w:val="16"/>
            <w:lang w:val="es-US"/>
          </w:rPr>
          <w:t xml:space="preserve">Comunicad de Prensa de Visita </w:t>
        </w:r>
        <w:r w:rsidRPr="00930562">
          <w:rPr>
            <w:rStyle w:val="Hyperlink"/>
            <w:rFonts w:asciiTheme="minorHAnsi" w:hAnsiTheme="minorHAnsi" w:cstheme="minorHAnsi"/>
            <w:bCs/>
            <w:i/>
            <w:color w:val="808080" w:themeColor="background1" w:themeShade="80"/>
            <w:sz w:val="16"/>
            <w:szCs w:val="16"/>
            <w:lang w:val="es-US"/>
          </w:rPr>
          <w:t>in Loco</w:t>
        </w:r>
      </w:hyperlink>
      <w:r w:rsidRPr="00930562">
        <w:rPr>
          <w:rFonts w:asciiTheme="minorHAnsi" w:hAnsiTheme="minorHAnsi" w:cstheme="minorHAnsi"/>
          <w:bCs/>
          <w:color w:val="808080" w:themeColor="background1" w:themeShade="80"/>
          <w:sz w:val="16"/>
          <w:szCs w:val="16"/>
          <w:lang w:val="es-US"/>
        </w:rPr>
        <w:t>, 16 de octubre de 2015</w:t>
      </w:r>
      <w:r w:rsidRPr="00930562">
        <w:rPr>
          <w:rFonts w:asciiTheme="minorHAnsi" w:hAnsiTheme="minorHAnsi" w:cstheme="minorHAnsi"/>
          <w:color w:val="808080" w:themeColor="background1" w:themeShade="80"/>
          <w:sz w:val="16"/>
          <w:szCs w:val="16"/>
          <w:lang w:val="es-US"/>
        </w:rPr>
        <w:t>.</w:t>
      </w:r>
    </w:p>
  </w:footnote>
  <w:footnote w:id="145">
    <w:p w14:paraId="12D4345F" w14:textId="77777777" w:rsidR="00F64540" w:rsidRPr="00930562" w:rsidRDefault="00F64540" w:rsidP="00E10935">
      <w:pPr>
        <w:spacing w:after="40" w:line="240" w:lineRule="auto"/>
        <w:ind w:left="547" w:hanging="547"/>
        <w:contextualSpacing/>
        <w:jc w:val="both"/>
        <w:rPr>
          <w:rFonts w:asciiTheme="minorHAnsi" w:hAnsiTheme="minorHAnsi" w:cstheme="minorHAnsi"/>
          <w:color w:val="808080" w:themeColor="background1" w:themeShade="80"/>
          <w:sz w:val="16"/>
          <w:szCs w:val="16"/>
          <w:lang w:val="es-US"/>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US"/>
        </w:rPr>
        <w:t xml:space="preserve"> </w:t>
      </w:r>
      <w:r w:rsidRPr="00930562">
        <w:rPr>
          <w:rFonts w:asciiTheme="minorHAnsi" w:hAnsiTheme="minorHAnsi" w:cstheme="minorHAnsi"/>
          <w:color w:val="808080" w:themeColor="background1" w:themeShade="80"/>
          <w:sz w:val="16"/>
          <w:szCs w:val="16"/>
          <w:lang w:val="es-US"/>
        </w:rPr>
        <w:tab/>
        <w:t xml:space="preserve">ACLU de Illinois, </w:t>
      </w:r>
      <w:hyperlink r:id="rId185" w:history="1">
        <w:r w:rsidRPr="00930562">
          <w:rPr>
            <w:rStyle w:val="Hyperlink"/>
            <w:rFonts w:asciiTheme="minorHAnsi" w:hAnsiTheme="minorHAnsi" w:cstheme="minorHAnsi"/>
            <w:color w:val="808080" w:themeColor="background1" w:themeShade="80"/>
            <w:sz w:val="16"/>
            <w:szCs w:val="16"/>
            <w:lang w:val="es-US"/>
          </w:rPr>
          <w:t>Stop and Frisk</w:t>
        </w:r>
      </w:hyperlink>
      <w:r w:rsidRPr="00930562">
        <w:rPr>
          <w:rFonts w:asciiTheme="minorHAnsi" w:hAnsiTheme="minorHAnsi" w:cstheme="minorHAnsi"/>
          <w:color w:val="808080" w:themeColor="background1" w:themeShade="80"/>
          <w:sz w:val="16"/>
          <w:szCs w:val="16"/>
          <w:lang w:val="es-US"/>
        </w:rPr>
        <w:t>, última visita 20 de noviembre de 2017.</w:t>
      </w:r>
    </w:p>
  </w:footnote>
  <w:footnote w:id="146">
    <w:p w14:paraId="71E9ED76"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i/>
          <w:color w:val="808080" w:themeColor="background1" w:themeShade="80"/>
          <w:sz w:val="16"/>
          <w:szCs w:val="16"/>
          <w:lang w:val="es-AR"/>
        </w:rPr>
        <w:t>Id</w:t>
      </w:r>
      <w:r w:rsidRPr="00930562">
        <w:rPr>
          <w:rFonts w:asciiTheme="minorHAnsi" w:hAnsiTheme="minorHAnsi" w:cstheme="minorHAnsi"/>
          <w:color w:val="808080" w:themeColor="background1" w:themeShade="80"/>
          <w:sz w:val="16"/>
          <w:szCs w:val="16"/>
          <w:lang w:val="es-AR"/>
        </w:rPr>
        <w:t>.</w:t>
      </w:r>
    </w:p>
  </w:footnote>
  <w:footnote w:id="147">
    <w:p w14:paraId="3647B69D"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t xml:space="preserve">ACLU de Minnesota, </w:t>
      </w:r>
      <w:hyperlink r:id="rId186" w:history="1">
        <w:r w:rsidRPr="00930562">
          <w:rPr>
            <w:rStyle w:val="Hyperlink"/>
            <w:rFonts w:asciiTheme="minorHAnsi" w:hAnsiTheme="minorHAnsi" w:cstheme="minorHAnsi"/>
            <w:color w:val="808080" w:themeColor="background1" w:themeShade="80"/>
            <w:sz w:val="16"/>
            <w:szCs w:val="16"/>
            <w:lang w:val="es-AR"/>
          </w:rPr>
          <w:t>ACLU Finds Severe Racial Disparities in Low-Level Arrests by Minneapolis Police</w:t>
        </w:r>
      </w:hyperlink>
      <w:r w:rsidRPr="00930562">
        <w:rPr>
          <w:rFonts w:asciiTheme="minorHAnsi" w:hAnsiTheme="minorHAnsi" w:cstheme="minorHAnsi"/>
          <w:color w:val="808080" w:themeColor="background1" w:themeShade="80"/>
          <w:sz w:val="16"/>
          <w:szCs w:val="16"/>
          <w:lang w:val="es-AR"/>
        </w:rPr>
        <w:t>, 28 de mayo de 2015 (“Patrones de sesgo racial y sobre criminalización demuestra que los negros y los indígenas americanas son afectados de manera desproporcionada”).</w:t>
      </w:r>
    </w:p>
  </w:footnote>
  <w:footnote w:id="148">
    <w:p w14:paraId="78356A7E" w14:textId="14CC1048"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Washington Lawyers’ Committee for Civil Rights &amp; Urban Affairs, </w:t>
      </w:r>
      <w:hyperlink r:id="rId187" w:history="1">
        <w:r w:rsidRPr="00930562">
          <w:rPr>
            <w:rStyle w:val="Hyperlink"/>
            <w:rFonts w:asciiTheme="minorHAnsi" w:hAnsiTheme="minorHAnsi" w:cstheme="minorHAnsi"/>
            <w:color w:val="808080" w:themeColor="background1" w:themeShade="80"/>
            <w:sz w:val="16"/>
            <w:szCs w:val="16"/>
          </w:rPr>
          <w:t>Racial Disparities in Arrests in the District of Columbia, 2009-2011</w:t>
        </w:r>
      </w:hyperlink>
      <w:r w:rsidRPr="00930562">
        <w:rPr>
          <w:rFonts w:asciiTheme="minorHAnsi" w:hAnsiTheme="minorHAnsi" w:cstheme="minorHAnsi"/>
          <w:color w:val="808080" w:themeColor="background1" w:themeShade="80"/>
          <w:sz w:val="16"/>
          <w:szCs w:val="16"/>
        </w:rPr>
        <w:t>, Julio de 2013.</w:t>
      </w:r>
    </w:p>
  </w:footnote>
  <w:footnote w:id="149">
    <w:p w14:paraId="34434C39"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NPR, </w:t>
      </w:r>
      <w:hyperlink r:id="rId188" w:history="1">
        <w:r w:rsidRPr="00930562">
          <w:rPr>
            <w:rStyle w:val="Hyperlink"/>
            <w:rFonts w:asciiTheme="minorHAnsi" w:hAnsiTheme="minorHAnsi" w:cstheme="minorHAnsi"/>
            <w:color w:val="808080" w:themeColor="background1" w:themeShade="80"/>
            <w:sz w:val="16"/>
            <w:szCs w:val="16"/>
          </w:rPr>
          <w:t xml:space="preserve">LAPD Report Finds Racial Disparity </w:t>
        </w:r>
        <w:proofErr w:type="gramStart"/>
        <w:r w:rsidRPr="00930562">
          <w:rPr>
            <w:rStyle w:val="Hyperlink"/>
            <w:rFonts w:asciiTheme="minorHAnsi" w:hAnsiTheme="minorHAnsi" w:cstheme="minorHAnsi"/>
            <w:color w:val="808080" w:themeColor="background1" w:themeShade="80"/>
            <w:sz w:val="16"/>
            <w:szCs w:val="16"/>
          </w:rPr>
          <w:t>In Approval And Trust Of</w:t>
        </w:r>
        <w:proofErr w:type="gramEnd"/>
        <w:r w:rsidRPr="00930562">
          <w:rPr>
            <w:rStyle w:val="Hyperlink"/>
            <w:rFonts w:asciiTheme="minorHAnsi" w:hAnsiTheme="minorHAnsi" w:cstheme="minorHAnsi"/>
            <w:color w:val="808080" w:themeColor="background1" w:themeShade="80"/>
            <w:sz w:val="16"/>
            <w:szCs w:val="16"/>
          </w:rPr>
          <w:t xml:space="preserve"> Police</w:t>
        </w:r>
      </w:hyperlink>
      <w:r w:rsidRPr="00930562">
        <w:rPr>
          <w:rFonts w:asciiTheme="minorHAnsi" w:hAnsiTheme="minorHAnsi" w:cstheme="minorHAnsi"/>
          <w:color w:val="808080" w:themeColor="background1" w:themeShade="80"/>
          <w:sz w:val="16"/>
          <w:szCs w:val="16"/>
        </w:rPr>
        <w:t>, 15 de noviembre de 2016.</w:t>
      </w:r>
    </w:p>
  </w:footnote>
  <w:footnote w:id="150">
    <w:p w14:paraId="14D008A4"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ProPublica, </w:t>
      </w:r>
      <w:hyperlink r:id="rId189" w:history="1">
        <w:r w:rsidRPr="00930562">
          <w:rPr>
            <w:rStyle w:val="Hyperlink"/>
            <w:rFonts w:asciiTheme="minorHAnsi" w:hAnsiTheme="minorHAnsi" w:cstheme="minorHAnsi"/>
            <w:color w:val="808080" w:themeColor="background1" w:themeShade="80"/>
            <w:sz w:val="16"/>
            <w:szCs w:val="16"/>
          </w:rPr>
          <w:t>Walking While Black: Jacksonville’s enforcement of pedestrian violations raises concerns that it’s another example of racial profiling</w:t>
        </w:r>
      </w:hyperlink>
      <w:r w:rsidRPr="00930562">
        <w:rPr>
          <w:rFonts w:asciiTheme="minorHAnsi" w:hAnsiTheme="minorHAnsi" w:cstheme="minorHAnsi"/>
          <w:color w:val="808080" w:themeColor="background1" w:themeShade="80"/>
          <w:sz w:val="16"/>
          <w:szCs w:val="16"/>
        </w:rPr>
        <w:t>, 16 de noviembre de 2017.</w:t>
      </w:r>
    </w:p>
  </w:footnote>
  <w:footnote w:id="151">
    <w:p w14:paraId="0BE83E91"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Vox, </w:t>
      </w:r>
      <w:hyperlink r:id="rId190" w:history="1">
        <w:r w:rsidRPr="00930562">
          <w:rPr>
            <w:rStyle w:val="Hyperlink"/>
            <w:rFonts w:asciiTheme="minorHAnsi" w:hAnsiTheme="minorHAnsi" w:cstheme="minorHAnsi"/>
            <w:color w:val="808080" w:themeColor="background1" w:themeShade="80"/>
            <w:sz w:val="16"/>
            <w:szCs w:val="16"/>
          </w:rPr>
          <w:t>Cities across the country have been riddled with accusations of police abuse</w:t>
        </w:r>
      </w:hyperlink>
      <w:r w:rsidRPr="00930562">
        <w:rPr>
          <w:rFonts w:asciiTheme="minorHAnsi" w:hAnsiTheme="minorHAnsi" w:cstheme="minorHAnsi"/>
          <w:color w:val="808080" w:themeColor="background1" w:themeShade="80"/>
          <w:sz w:val="16"/>
          <w:szCs w:val="16"/>
        </w:rPr>
        <w:t>, última visita 6 de mayo de 2017.</w:t>
      </w:r>
    </w:p>
  </w:footnote>
  <w:footnote w:id="152">
    <w:p w14:paraId="67B502FC"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rPr>
        <w:t xml:space="preserve"> </w:t>
      </w:r>
      <w:r w:rsidRPr="00930562">
        <w:rPr>
          <w:rFonts w:asciiTheme="minorHAnsi" w:hAnsiTheme="minorHAnsi" w:cstheme="majorHAnsi"/>
          <w:color w:val="808080" w:themeColor="background1" w:themeShade="80"/>
          <w:sz w:val="16"/>
          <w:szCs w:val="16"/>
        </w:rPr>
        <w:tab/>
      </w:r>
      <w:r w:rsidRPr="00930562">
        <w:rPr>
          <w:rFonts w:asciiTheme="minorHAnsi" w:hAnsiTheme="minorHAnsi" w:cstheme="minorHAnsi"/>
          <w:color w:val="808080" w:themeColor="background1" w:themeShade="80"/>
          <w:sz w:val="16"/>
          <w:szCs w:val="16"/>
        </w:rPr>
        <w:t xml:space="preserve">U.S. DOJ, </w:t>
      </w:r>
      <w:hyperlink r:id="rId191" w:history="1">
        <w:r w:rsidRPr="00930562">
          <w:rPr>
            <w:rStyle w:val="Hyperlink"/>
            <w:rFonts w:asciiTheme="minorHAnsi" w:hAnsiTheme="minorHAnsi" w:cstheme="minorHAnsi"/>
            <w:color w:val="808080" w:themeColor="background1" w:themeShade="80"/>
            <w:sz w:val="16"/>
            <w:szCs w:val="16"/>
          </w:rPr>
          <w:t>Justice Department Announces Findings of Two Civil Rights Investigations in Ferguson, Missouri</w:t>
        </w:r>
      </w:hyperlink>
      <w:r w:rsidRPr="00930562">
        <w:rPr>
          <w:rFonts w:asciiTheme="minorHAnsi" w:hAnsiTheme="minorHAnsi" w:cstheme="minorHAnsi"/>
          <w:color w:val="808080" w:themeColor="background1" w:themeShade="80"/>
          <w:sz w:val="16"/>
          <w:szCs w:val="16"/>
        </w:rPr>
        <w:t xml:space="preserve">, 4 de marzo de 2015; </w:t>
      </w:r>
      <w:r w:rsidRPr="00930562">
        <w:rPr>
          <w:rFonts w:asciiTheme="minorHAnsi" w:hAnsiTheme="minorHAnsi" w:cstheme="minorHAnsi"/>
          <w:i/>
          <w:color w:val="808080" w:themeColor="background1" w:themeShade="80"/>
          <w:sz w:val="16"/>
          <w:szCs w:val="16"/>
        </w:rPr>
        <w:t xml:space="preserve">véase además </w:t>
      </w:r>
      <w:r w:rsidRPr="00930562">
        <w:rPr>
          <w:rFonts w:asciiTheme="minorHAnsi" w:hAnsiTheme="minorHAnsi" w:cstheme="minorHAnsi"/>
          <w:color w:val="808080" w:themeColor="background1" w:themeShade="80"/>
          <w:sz w:val="16"/>
          <w:szCs w:val="16"/>
        </w:rPr>
        <w:t xml:space="preserve">U.S. DOJ Civil Rights Division, </w:t>
      </w:r>
      <w:hyperlink r:id="rId192" w:history="1">
        <w:r w:rsidRPr="00930562">
          <w:rPr>
            <w:rStyle w:val="Hyperlink"/>
            <w:rFonts w:asciiTheme="minorHAnsi" w:hAnsiTheme="minorHAnsi" w:cstheme="minorHAnsi"/>
            <w:color w:val="808080" w:themeColor="background1" w:themeShade="80"/>
            <w:sz w:val="16"/>
            <w:szCs w:val="16"/>
          </w:rPr>
          <w:t>Investigation of the Ferguson Police Department</w:t>
        </w:r>
      </w:hyperlink>
      <w:r w:rsidRPr="00930562">
        <w:rPr>
          <w:rFonts w:asciiTheme="minorHAnsi" w:hAnsiTheme="minorHAnsi" w:cstheme="minorHAnsi"/>
          <w:color w:val="808080" w:themeColor="background1" w:themeShade="80"/>
          <w:sz w:val="16"/>
          <w:szCs w:val="16"/>
        </w:rPr>
        <w:t xml:space="preserve">, 4 de marzo de 2015; </w:t>
      </w:r>
      <w:r w:rsidRPr="00930562">
        <w:rPr>
          <w:rFonts w:asciiTheme="minorHAnsi" w:hAnsiTheme="minorHAnsi" w:cstheme="minorHAnsi"/>
          <w:bCs/>
          <w:color w:val="808080" w:themeColor="background1" w:themeShade="80"/>
          <w:sz w:val="16"/>
          <w:szCs w:val="16"/>
        </w:rPr>
        <w:t xml:space="preserve">CIDH, 154° Período de Sesiones, </w:t>
      </w:r>
      <w:hyperlink r:id="rId193" w:history="1">
        <w:r w:rsidRPr="00930562">
          <w:rPr>
            <w:rStyle w:val="Hyperlink"/>
            <w:rFonts w:asciiTheme="minorHAnsi" w:hAnsiTheme="minorHAnsi" w:cstheme="minorHAnsi"/>
            <w:bCs/>
            <w:color w:val="808080" w:themeColor="background1" w:themeShade="80"/>
            <w:sz w:val="16"/>
            <w:szCs w:val="16"/>
          </w:rPr>
          <w:t xml:space="preserve">Audiencia “Justicia Penal y Raza” </w:t>
        </w:r>
      </w:hyperlink>
      <w:r w:rsidRPr="00930562">
        <w:rPr>
          <w:rFonts w:asciiTheme="minorHAnsi" w:hAnsiTheme="minorHAnsi" w:cstheme="minorHAnsi"/>
          <w:bCs/>
          <w:color w:val="808080" w:themeColor="background1" w:themeShade="80"/>
          <w:sz w:val="16"/>
          <w:szCs w:val="16"/>
        </w:rPr>
        <w:t>, 16 de marzo de 2015</w:t>
      </w:r>
      <w:r w:rsidRPr="00930562">
        <w:rPr>
          <w:rFonts w:asciiTheme="minorHAnsi" w:hAnsiTheme="minorHAnsi" w:cstheme="minorHAnsi"/>
          <w:color w:val="808080" w:themeColor="background1" w:themeShade="80"/>
          <w:sz w:val="16"/>
          <w:szCs w:val="16"/>
        </w:rPr>
        <w:t>.</w:t>
      </w:r>
    </w:p>
  </w:footnote>
  <w:footnote w:id="153">
    <w:p w14:paraId="2640743C"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r>
      <w:hyperlink r:id="rId194" w:history="1">
        <w:r w:rsidRPr="00930562">
          <w:rPr>
            <w:rStyle w:val="Hyperlink"/>
            <w:rFonts w:asciiTheme="minorHAnsi" w:hAnsiTheme="minorHAnsi" w:cstheme="minorHAnsi"/>
            <w:color w:val="808080" w:themeColor="background1" w:themeShade="80"/>
            <w:sz w:val="16"/>
            <w:szCs w:val="16"/>
          </w:rPr>
          <w:t>Policing and Profit</w:t>
        </w:r>
      </w:hyperlink>
      <w:r w:rsidRPr="00930562">
        <w:rPr>
          <w:rFonts w:asciiTheme="minorHAnsi" w:hAnsiTheme="minorHAnsi" w:cstheme="minorHAnsi"/>
          <w:color w:val="808080" w:themeColor="background1" w:themeShade="80"/>
          <w:sz w:val="16"/>
          <w:szCs w:val="16"/>
        </w:rPr>
        <w:t xml:space="preserve">, 128 </w:t>
      </w:r>
      <w:r w:rsidRPr="00930562">
        <w:rPr>
          <w:rFonts w:asciiTheme="minorHAnsi" w:hAnsiTheme="minorHAnsi" w:cstheme="minorHAnsi"/>
          <w:i/>
          <w:color w:val="808080" w:themeColor="background1" w:themeShade="80"/>
          <w:sz w:val="16"/>
          <w:szCs w:val="16"/>
        </w:rPr>
        <w:t>Harvard Law Review</w:t>
      </w:r>
      <w:r w:rsidRPr="00930562">
        <w:rPr>
          <w:rFonts w:asciiTheme="minorHAnsi" w:hAnsiTheme="minorHAnsi" w:cstheme="minorHAnsi"/>
          <w:color w:val="808080" w:themeColor="background1" w:themeShade="80"/>
          <w:sz w:val="16"/>
          <w:szCs w:val="16"/>
        </w:rPr>
        <w:t xml:space="preserve"> 1723 (2015).</w:t>
      </w:r>
    </w:p>
  </w:footnote>
  <w:footnote w:id="154">
    <w:p w14:paraId="11B7F0D9"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U.S. DOJ, </w:t>
      </w:r>
      <w:hyperlink r:id="rId195" w:history="1">
        <w:r w:rsidRPr="00930562">
          <w:rPr>
            <w:rStyle w:val="Hyperlink"/>
            <w:rFonts w:asciiTheme="minorHAnsi" w:hAnsiTheme="minorHAnsi" w:cstheme="minorHAnsi"/>
            <w:color w:val="808080" w:themeColor="background1" w:themeShade="80"/>
            <w:sz w:val="16"/>
            <w:szCs w:val="16"/>
          </w:rPr>
          <w:t>Justice Department Announces Findings of Two Civil Rights Investigations in Ferguson, Missouri</w:t>
        </w:r>
      </w:hyperlink>
      <w:r w:rsidRPr="00930562">
        <w:rPr>
          <w:rFonts w:asciiTheme="minorHAnsi" w:hAnsiTheme="minorHAnsi" w:cstheme="minorHAnsi"/>
          <w:color w:val="808080" w:themeColor="background1" w:themeShade="80"/>
          <w:sz w:val="16"/>
          <w:szCs w:val="16"/>
        </w:rPr>
        <w:t xml:space="preserve">, 4 de marzo de 2015; </w:t>
      </w:r>
      <w:r w:rsidRPr="00930562">
        <w:rPr>
          <w:rFonts w:asciiTheme="minorHAnsi" w:hAnsiTheme="minorHAnsi" w:cstheme="minorHAnsi"/>
          <w:i/>
          <w:color w:val="808080" w:themeColor="background1" w:themeShade="80"/>
          <w:sz w:val="16"/>
          <w:szCs w:val="16"/>
        </w:rPr>
        <w:t xml:space="preserve">see also </w:t>
      </w:r>
      <w:r w:rsidRPr="00930562">
        <w:rPr>
          <w:rFonts w:asciiTheme="minorHAnsi" w:hAnsiTheme="minorHAnsi" w:cstheme="minorHAnsi"/>
          <w:color w:val="808080" w:themeColor="background1" w:themeShade="80"/>
          <w:sz w:val="16"/>
          <w:szCs w:val="16"/>
        </w:rPr>
        <w:t xml:space="preserve">U.S. DOJ Civil Rights Division, </w:t>
      </w:r>
      <w:hyperlink r:id="rId196" w:history="1">
        <w:r w:rsidRPr="00930562">
          <w:rPr>
            <w:rStyle w:val="Hyperlink"/>
            <w:rFonts w:asciiTheme="minorHAnsi" w:hAnsiTheme="minorHAnsi" w:cstheme="minorHAnsi"/>
            <w:color w:val="808080" w:themeColor="background1" w:themeShade="80"/>
            <w:sz w:val="16"/>
            <w:szCs w:val="16"/>
          </w:rPr>
          <w:t>Investigation of the Ferguson Police Department</w:t>
        </w:r>
      </w:hyperlink>
      <w:r w:rsidRPr="00930562">
        <w:rPr>
          <w:rFonts w:asciiTheme="minorHAnsi" w:hAnsiTheme="minorHAnsi" w:cstheme="minorHAnsi"/>
          <w:color w:val="808080" w:themeColor="background1" w:themeShade="80"/>
          <w:sz w:val="16"/>
          <w:szCs w:val="16"/>
        </w:rPr>
        <w:t xml:space="preserve">, 4 de marzo de 2015; </w:t>
      </w:r>
      <w:r w:rsidRPr="00930562">
        <w:rPr>
          <w:rFonts w:asciiTheme="minorHAnsi" w:hAnsiTheme="minorHAnsi" w:cstheme="minorHAnsi"/>
          <w:bCs/>
          <w:color w:val="808080" w:themeColor="background1" w:themeShade="80"/>
          <w:sz w:val="16"/>
          <w:szCs w:val="16"/>
        </w:rPr>
        <w:t xml:space="preserve">CIDH, 154° Período de Sesiones, </w:t>
      </w:r>
      <w:hyperlink r:id="rId197" w:history="1">
        <w:r w:rsidRPr="00930562">
          <w:rPr>
            <w:rStyle w:val="Hyperlink"/>
            <w:rFonts w:asciiTheme="minorHAnsi" w:hAnsiTheme="minorHAnsi" w:cstheme="minorHAnsi"/>
            <w:bCs/>
            <w:color w:val="808080" w:themeColor="background1" w:themeShade="80"/>
            <w:sz w:val="16"/>
            <w:szCs w:val="16"/>
          </w:rPr>
          <w:t>“Criminal Justice and Race” Hearing</w:t>
        </w:r>
      </w:hyperlink>
      <w:r w:rsidRPr="00930562">
        <w:rPr>
          <w:rFonts w:asciiTheme="minorHAnsi" w:hAnsiTheme="minorHAnsi" w:cstheme="minorHAnsi"/>
          <w:bCs/>
          <w:color w:val="808080" w:themeColor="background1" w:themeShade="80"/>
          <w:sz w:val="16"/>
          <w:szCs w:val="16"/>
        </w:rPr>
        <w:t>, 16 de marzo de 2015</w:t>
      </w:r>
      <w:r w:rsidRPr="00930562">
        <w:rPr>
          <w:rFonts w:asciiTheme="minorHAnsi" w:hAnsiTheme="minorHAnsi" w:cstheme="minorHAnsi"/>
          <w:color w:val="808080" w:themeColor="background1" w:themeShade="80"/>
          <w:sz w:val="16"/>
          <w:szCs w:val="16"/>
        </w:rPr>
        <w:t>.</w:t>
      </w:r>
    </w:p>
  </w:footnote>
  <w:footnote w:id="155">
    <w:p w14:paraId="589F8082" w14:textId="77777777" w:rsidR="00F64540" w:rsidRPr="00930562" w:rsidRDefault="00F64540" w:rsidP="00E10935">
      <w:pPr>
        <w:spacing w:after="40" w:line="240" w:lineRule="auto"/>
        <w:ind w:left="547" w:hanging="547"/>
        <w:contextualSpacing/>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rPr>
        <w:t xml:space="preserve"> </w:t>
      </w:r>
      <w:r w:rsidRPr="00930562">
        <w:rPr>
          <w:rFonts w:asciiTheme="minorHAnsi" w:hAnsiTheme="minorHAnsi" w:cstheme="majorHAnsi"/>
          <w:color w:val="808080" w:themeColor="background1" w:themeShade="80"/>
          <w:sz w:val="16"/>
          <w:szCs w:val="16"/>
        </w:rPr>
        <w:tab/>
      </w:r>
      <w:r w:rsidRPr="00930562">
        <w:rPr>
          <w:rFonts w:asciiTheme="minorHAnsi" w:hAnsiTheme="minorHAnsi" w:cstheme="minorHAnsi"/>
          <w:color w:val="808080" w:themeColor="background1" w:themeShade="80"/>
          <w:sz w:val="16"/>
          <w:szCs w:val="16"/>
        </w:rPr>
        <w:t xml:space="preserve">U.S. DOJ Civil Rights Division, </w:t>
      </w:r>
      <w:hyperlink r:id="rId198" w:history="1">
        <w:r w:rsidRPr="00930562">
          <w:rPr>
            <w:rStyle w:val="Hyperlink"/>
            <w:rFonts w:asciiTheme="minorHAnsi" w:hAnsiTheme="minorHAnsi" w:cstheme="minorHAnsi"/>
            <w:color w:val="808080" w:themeColor="background1" w:themeShade="80"/>
            <w:sz w:val="16"/>
            <w:szCs w:val="16"/>
          </w:rPr>
          <w:t>Investigation of the Ferguson Police Department</w:t>
        </w:r>
      </w:hyperlink>
      <w:r w:rsidRPr="00930562">
        <w:rPr>
          <w:rFonts w:asciiTheme="minorHAnsi" w:hAnsiTheme="minorHAnsi" w:cstheme="minorHAnsi"/>
          <w:color w:val="808080" w:themeColor="background1" w:themeShade="80"/>
          <w:sz w:val="16"/>
          <w:szCs w:val="16"/>
        </w:rPr>
        <w:t>, 4 de marzo de 2015, p. 4.</w:t>
      </w:r>
    </w:p>
  </w:footnote>
  <w:footnote w:id="156">
    <w:p w14:paraId="7A11E698" w14:textId="77777777" w:rsidR="00F64540" w:rsidRPr="00930562" w:rsidRDefault="00F64540" w:rsidP="00E10935">
      <w:pPr>
        <w:spacing w:after="40" w:line="240" w:lineRule="auto"/>
        <w:ind w:left="547" w:hanging="547"/>
        <w:contextualSpacing/>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r>
      <w:r w:rsidRPr="00930562">
        <w:rPr>
          <w:rFonts w:asciiTheme="minorHAnsi" w:hAnsiTheme="minorHAnsi" w:cstheme="minorHAnsi"/>
          <w:i/>
          <w:color w:val="808080" w:themeColor="background1" w:themeShade="80"/>
          <w:sz w:val="16"/>
          <w:szCs w:val="16"/>
        </w:rPr>
        <w:t>Id.</w:t>
      </w:r>
      <w:r w:rsidRPr="00930562">
        <w:rPr>
          <w:rFonts w:asciiTheme="minorHAnsi" w:hAnsiTheme="minorHAnsi" w:cstheme="minorHAnsi"/>
          <w:color w:val="808080" w:themeColor="background1" w:themeShade="80"/>
          <w:sz w:val="16"/>
          <w:szCs w:val="16"/>
        </w:rPr>
        <w:t xml:space="preserve"> en 4-11.</w:t>
      </w:r>
    </w:p>
  </w:footnote>
  <w:footnote w:id="157">
    <w:p w14:paraId="1BC86097"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U.S. DOJ, </w:t>
      </w:r>
      <w:hyperlink r:id="rId199" w:history="1">
        <w:r w:rsidRPr="00930562">
          <w:rPr>
            <w:rStyle w:val="Hyperlink"/>
            <w:rFonts w:asciiTheme="minorHAnsi" w:hAnsiTheme="minorHAnsi" w:cstheme="minorHAnsi"/>
            <w:color w:val="808080" w:themeColor="background1" w:themeShade="80"/>
            <w:sz w:val="16"/>
            <w:szCs w:val="16"/>
          </w:rPr>
          <w:t>Justice Department Announces Findings of Two Civil Rights Investigations in Ferguson, Missouri</w:t>
        </w:r>
      </w:hyperlink>
      <w:r w:rsidRPr="00930562">
        <w:rPr>
          <w:rFonts w:asciiTheme="minorHAnsi" w:hAnsiTheme="minorHAnsi" w:cstheme="minorHAnsi"/>
          <w:color w:val="808080" w:themeColor="background1" w:themeShade="80"/>
          <w:sz w:val="16"/>
          <w:szCs w:val="16"/>
        </w:rPr>
        <w:t xml:space="preserve">, 4 de marzo de 2015; </w:t>
      </w:r>
      <w:r w:rsidRPr="00930562">
        <w:rPr>
          <w:rFonts w:asciiTheme="minorHAnsi" w:hAnsiTheme="minorHAnsi" w:cstheme="minorHAnsi"/>
          <w:i/>
          <w:color w:val="808080" w:themeColor="background1" w:themeShade="80"/>
          <w:sz w:val="16"/>
          <w:szCs w:val="16"/>
        </w:rPr>
        <w:t xml:space="preserve">véase además </w:t>
      </w:r>
      <w:r w:rsidRPr="00930562">
        <w:rPr>
          <w:rFonts w:asciiTheme="minorHAnsi" w:hAnsiTheme="minorHAnsi" w:cstheme="minorHAnsi"/>
          <w:color w:val="808080" w:themeColor="background1" w:themeShade="80"/>
          <w:sz w:val="16"/>
          <w:szCs w:val="16"/>
        </w:rPr>
        <w:t xml:space="preserve">U.S. DOJ Civil Rights Division, </w:t>
      </w:r>
      <w:hyperlink r:id="rId200" w:history="1">
        <w:r w:rsidRPr="00930562">
          <w:rPr>
            <w:rStyle w:val="Hyperlink"/>
            <w:rFonts w:asciiTheme="minorHAnsi" w:hAnsiTheme="minorHAnsi" w:cstheme="minorHAnsi"/>
            <w:color w:val="808080" w:themeColor="background1" w:themeShade="80"/>
            <w:sz w:val="16"/>
            <w:szCs w:val="16"/>
          </w:rPr>
          <w:t>Investigation of the Ferguson Police Department</w:t>
        </w:r>
      </w:hyperlink>
      <w:r w:rsidRPr="00930562">
        <w:rPr>
          <w:rFonts w:asciiTheme="minorHAnsi" w:hAnsiTheme="minorHAnsi" w:cstheme="minorHAnsi"/>
          <w:color w:val="808080" w:themeColor="background1" w:themeShade="80"/>
          <w:sz w:val="16"/>
          <w:szCs w:val="16"/>
        </w:rPr>
        <w:t>, 4 de marzo de 2015.</w:t>
      </w:r>
    </w:p>
  </w:footnote>
  <w:footnote w:id="158">
    <w:p w14:paraId="712E2EA2"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r>
      <w:r w:rsidRPr="00930562">
        <w:rPr>
          <w:rFonts w:asciiTheme="minorHAnsi" w:hAnsiTheme="minorHAnsi" w:cstheme="minorHAnsi"/>
          <w:i/>
          <w:color w:val="808080" w:themeColor="background1" w:themeShade="80"/>
          <w:sz w:val="16"/>
          <w:szCs w:val="16"/>
        </w:rPr>
        <w:t>Véase en general</w:t>
      </w:r>
      <w:r w:rsidRPr="00930562">
        <w:rPr>
          <w:rFonts w:asciiTheme="minorHAnsi" w:hAnsiTheme="minorHAnsi" w:cstheme="minorHAnsi"/>
          <w:color w:val="808080" w:themeColor="background1" w:themeShade="80"/>
          <w:sz w:val="16"/>
          <w:szCs w:val="16"/>
        </w:rPr>
        <w:t xml:space="preserve"> </w:t>
      </w:r>
      <w:hyperlink r:id="rId201" w:history="1">
        <w:r w:rsidRPr="00930562">
          <w:rPr>
            <w:rStyle w:val="Hyperlink"/>
            <w:rFonts w:asciiTheme="minorHAnsi" w:hAnsiTheme="minorHAnsi" w:cstheme="minorHAnsi"/>
            <w:color w:val="808080" w:themeColor="background1" w:themeShade="80"/>
            <w:sz w:val="16"/>
            <w:szCs w:val="16"/>
          </w:rPr>
          <w:t>Policing and Profit</w:t>
        </w:r>
      </w:hyperlink>
      <w:r w:rsidRPr="00930562">
        <w:rPr>
          <w:rFonts w:asciiTheme="minorHAnsi" w:hAnsiTheme="minorHAnsi" w:cstheme="minorHAnsi"/>
          <w:color w:val="808080" w:themeColor="background1" w:themeShade="80"/>
          <w:sz w:val="16"/>
          <w:szCs w:val="16"/>
        </w:rPr>
        <w:t xml:space="preserve">, 128 </w:t>
      </w:r>
      <w:r w:rsidRPr="00930562">
        <w:rPr>
          <w:rFonts w:asciiTheme="minorHAnsi" w:hAnsiTheme="minorHAnsi" w:cstheme="minorHAnsi"/>
          <w:i/>
          <w:color w:val="808080" w:themeColor="background1" w:themeShade="80"/>
          <w:sz w:val="16"/>
          <w:szCs w:val="16"/>
        </w:rPr>
        <w:t>Harvard Law Review</w:t>
      </w:r>
      <w:r w:rsidRPr="00930562">
        <w:rPr>
          <w:rFonts w:asciiTheme="minorHAnsi" w:hAnsiTheme="minorHAnsi" w:cstheme="minorHAnsi"/>
          <w:color w:val="808080" w:themeColor="background1" w:themeShade="80"/>
          <w:sz w:val="16"/>
          <w:szCs w:val="16"/>
        </w:rPr>
        <w:t xml:space="preserve"> 1723 (2015).</w:t>
      </w:r>
    </w:p>
  </w:footnote>
  <w:footnote w:id="159">
    <w:p w14:paraId="13BFFC62"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t xml:space="preserve">Oficina del Alto Comisionado para los Derechos Humanos, </w:t>
      </w:r>
      <w:hyperlink r:id="rId202" w:history="1">
        <w:r w:rsidRPr="00930562">
          <w:rPr>
            <w:rStyle w:val="Hyperlink"/>
            <w:rFonts w:asciiTheme="minorHAnsi" w:hAnsiTheme="minorHAnsi" w:cstheme="minorHAnsi"/>
            <w:color w:val="808080" w:themeColor="background1" w:themeShade="80"/>
            <w:sz w:val="16"/>
            <w:szCs w:val="16"/>
            <w:lang w:val="es-AR"/>
          </w:rPr>
          <w:t>Declaración sobre la Visita a EE. UU., por el Profesor Philip Alston, Relator Especial de las Naciones Unidas sobre la pobreza extrema y los derechos humanos</w:t>
        </w:r>
      </w:hyperlink>
      <w:r w:rsidRPr="00930562">
        <w:rPr>
          <w:rFonts w:asciiTheme="minorHAnsi" w:hAnsiTheme="minorHAnsi" w:cstheme="minorHAnsi"/>
          <w:color w:val="808080" w:themeColor="background1" w:themeShade="80"/>
          <w:sz w:val="16"/>
          <w:szCs w:val="16"/>
          <w:lang w:val="es-AR"/>
        </w:rPr>
        <w:t>, 15 de diciembre de 2017.</w:t>
      </w:r>
    </w:p>
  </w:footnote>
  <w:footnote w:id="160">
    <w:p w14:paraId="4741F512"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i/>
          <w:color w:val="808080" w:themeColor="background1" w:themeShade="80"/>
          <w:sz w:val="16"/>
          <w:szCs w:val="16"/>
          <w:lang w:val="es-AR"/>
        </w:rPr>
        <w:t>Véase en general</w:t>
      </w:r>
      <w:r w:rsidRPr="00930562">
        <w:rPr>
          <w:rFonts w:asciiTheme="minorHAnsi" w:hAnsiTheme="minorHAnsi" w:cstheme="minorHAnsi"/>
          <w:color w:val="808080" w:themeColor="background1" w:themeShade="80"/>
          <w:sz w:val="16"/>
          <w:szCs w:val="16"/>
          <w:lang w:val="es-AR"/>
        </w:rPr>
        <w:t xml:space="preserve"> CIDH, </w:t>
      </w:r>
      <w:hyperlink r:id="rId203" w:history="1">
        <w:r w:rsidRPr="00930562">
          <w:rPr>
            <w:rStyle w:val="Hyperlink"/>
            <w:rFonts w:asciiTheme="minorHAnsi" w:hAnsiTheme="minorHAnsi" w:cstheme="minorHAnsi"/>
            <w:color w:val="808080" w:themeColor="background1" w:themeShade="80"/>
            <w:sz w:val="16"/>
            <w:szCs w:val="16"/>
            <w:lang w:val="es-AR"/>
          </w:rPr>
          <w:t>Informe sobre Seguridad Ciudadana y Derechos Humanos</w:t>
        </w:r>
      </w:hyperlink>
      <w:r w:rsidRPr="00930562">
        <w:rPr>
          <w:rFonts w:asciiTheme="minorHAnsi" w:hAnsiTheme="minorHAnsi" w:cstheme="minorHAnsi"/>
          <w:color w:val="808080" w:themeColor="background1" w:themeShade="80"/>
          <w:sz w:val="16"/>
          <w:szCs w:val="16"/>
          <w:lang w:val="es-AR"/>
        </w:rPr>
        <w:t>, OEA/Ser.L/V/II., Doc. 57 (2009) [de aquí en adelante “Seguridad Ciudadana y Derechos Humanos”].</w:t>
      </w:r>
    </w:p>
  </w:footnote>
  <w:footnote w:id="161">
    <w:p w14:paraId="48639997"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t xml:space="preserve">Estos cuerpos se refieren no solo a prácticas como "Stop and Frisk" sino también a prácticas de vigilancia de comunidades musulmanas y del Medio Oriente por parte del FBI y la TSA, y las comunidades seguras y INA § 287 (g) programas de aplicación de inmigración, entre otros. Com. Derechos Humanos. </w:t>
      </w:r>
      <w:hyperlink r:id="rId204" w:history="1">
        <w:r w:rsidRPr="00930562">
          <w:rPr>
            <w:rStyle w:val="Hyperlink"/>
            <w:rFonts w:asciiTheme="minorHAnsi" w:hAnsiTheme="minorHAnsi" w:cstheme="minorHAnsi"/>
            <w:bCs/>
            <w:color w:val="808080" w:themeColor="background1" w:themeShade="80"/>
            <w:sz w:val="16"/>
            <w:szCs w:val="16"/>
            <w:lang w:val="es-AR"/>
          </w:rPr>
          <w:t>Concluding Observations 2014</w:t>
        </w:r>
      </w:hyperlink>
      <w:r w:rsidRPr="00930562">
        <w:rPr>
          <w:rFonts w:asciiTheme="minorHAnsi" w:hAnsiTheme="minorHAnsi" w:cstheme="minorHAnsi"/>
          <w:color w:val="808080" w:themeColor="background1" w:themeShade="80"/>
          <w:sz w:val="16"/>
          <w:szCs w:val="16"/>
          <w:lang w:val="es-AR"/>
        </w:rPr>
        <w:t xml:space="preserve">, 23 de abril de 2014, párr. 7; </w:t>
      </w:r>
      <w:r w:rsidRPr="00930562">
        <w:rPr>
          <w:rFonts w:asciiTheme="minorHAnsi" w:hAnsiTheme="minorHAnsi" w:cstheme="minorHAnsi"/>
          <w:bCs/>
          <w:color w:val="808080" w:themeColor="background1" w:themeShade="80"/>
          <w:sz w:val="16"/>
          <w:szCs w:val="16"/>
          <w:lang w:val="es-AR"/>
        </w:rPr>
        <w:t xml:space="preserve">CERD, </w:t>
      </w:r>
      <w:hyperlink r:id="rId205" w:history="1">
        <w:r w:rsidRPr="00930562">
          <w:rPr>
            <w:rStyle w:val="Hyperlink"/>
            <w:rFonts w:asciiTheme="minorHAnsi" w:hAnsiTheme="minorHAnsi" w:cstheme="minorHAnsi"/>
            <w:bCs/>
            <w:color w:val="808080" w:themeColor="background1" w:themeShade="80"/>
            <w:sz w:val="16"/>
            <w:szCs w:val="16"/>
            <w:lang w:val="es-AR"/>
          </w:rPr>
          <w:t>Observaciones Finales 2014</w:t>
        </w:r>
      </w:hyperlink>
      <w:r w:rsidRPr="00930562">
        <w:rPr>
          <w:rFonts w:asciiTheme="minorHAnsi" w:hAnsiTheme="minorHAnsi" w:cstheme="minorHAnsi"/>
          <w:bCs/>
          <w:color w:val="808080" w:themeColor="background1" w:themeShade="80"/>
          <w:sz w:val="16"/>
          <w:szCs w:val="16"/>
          <w:lang w:val="es-AR"/>
        </w:rPr>
        <w:t>, 25 de septiembre de 2014</w:t>
      </w:r>
      <w:r w:rsidRPr="00930562">
        <w:rPr>
          <w:rFonts w:asciiTheme="minorHAnsi" w:hAnsiTheme="minorHAnsi" w:cstheme="minorHAnsi"/>
          <w:color w:val="808080" w:themeColor="background1" w:themeShade="80"/>
          <w:sz w:val="16"/>
          <w:szCs w:val="16"/>
          <w:lang w:val="es-AR"/>
        </w:rPr>
        <w:t xml:space="preserve">, párr. </w:t>
      </w:r>
      <w:r w:rsidRPr="00930562">
        <w:rPr>
          <w:rFonts w:asciiTheme="minorHAnsi" w:hAnsiTheme="minorHAnsi" w:cstheme="minorHAnsi"/>
          <w:color w:val="808080" w:themeColor="background1" w:themeShade="80"/>
          <w:sz w:val="16"/>
          <w:szCs w:val="16"/>
        </w:rPr>
        <w:t>8.</w:t>
      </w:r>
    </w:p>
  </w:footnote>
  <w:footnote w:id="162">
    <w:p w14:paraId="30081ED5" w14:textId="52FB202D"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rPr>
        <w:t xml:space="preserve"> </w:t>
      </w:r>
      <w:r w:rsidRPr="00930562">
        <w:rPr>
          <w:rFonts w:asciiTheme="minorHAnsi" w:hAnsiTheme="minorHAnsi" w:cstheme="majorHAnsi"/>
          <w:color w:val="808080" w:themeColor="background1" w:themeShade="80"/>
          <w:sz w:val="16"/>
          <w:szCs w:val="16"/>
        </w:rPr>
        <w:tab/>
      </w:r>
      <w:r w:rsidRPr="00930562">
        <w:rPr>
          <w:rFonts w:asciiTheme="minorHAnsi" w:hAnsiTheme="minorHAnsi" w:cstheme="minorHAnsi"/>
          <w:i/>
          <w:color w:val="808080" w:themeColor="background1" w:themeShade="80"/>
          <w:sz w:val="16"/>
          <w:szCs w:val="16"/>
        </w:rPr>
        <w:t>Véase supra</w:t>
      </w:r>
      <w:r w:rsidRPr="00930562">
        <w:rPr>
          <w:rFonts w:asciiTheme="minorHAnsi" w:hAnsiTheme="minorHAnsi" w:cstheme="minorHAnsi"/>
          <w:color w:val="808080" w:themeColor="background1" w:themeShade="80"/>
          <w:sz w:val="16"/>
          <w:szCs w:val="16"/>
        </w:rPr>
        <w:t xml:space="preserve"> párr. 66.</w:t>
      </w:r>
    </w:p>
  </w:footnote>
  <w:footnote w:id="163">
    <w:p w14:paraId="42939736"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US"/>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bookmarkStart w:id="76" w:name="_Hlk498797947"/>
      <w:r w:rsidRPr="00930562">
        <w:rPr>
          <w:rFonts w:asciiTheme="minorHAnsi" w:hAnsiTheme="minorHAnsi" w:cstheme="minorHAnsi"/>
          <w:color w:val="808080" w:themeColor="background1" w:themeShade="80"/>
          <w:sz w:val="16"/>
          <w:szCs w:val="16"/>
        </w:rPr>
        <w:tab/>
        <w:t xml:space="preserve">ACLU. </w:t>
      </w:r>
      <w:hyperlink r:id="rId206" w:history="1">
        <w:r w:rsidRPr="00930562">
          <w:rPr>
            <w:rStyle w:val="Hyperlink"/>
            <w:rFonts w:asciiTheme="minorHAnsi" w:hAnsiTheme="minorHAnsi" w:cstheme="minorHAnsi"/>
            <w:iCs/>
            <w:color w:val="808080" w:themeColor="background1" w:themeShade="80"/>
            <w:sz w:val="16"/>
            <w:szCs w:val="16"/>
          </w:rPr>
          <w:t>War Comes Home</w:t>
        </w:r>
        <w:r w:rsidRPr="00930562">
          <w:rPr>
            <w:rStyle w:val="Hyperlink"/>
            <w:rFonts w:asciiTheme="minorHAnsi" w:hAnsiTheme="minorHAnsi" w:cstheme="minorHAnsi"/>
            <w:color w:val="808080" w:themeColor="background1" w:themeShade="80"/>
            <w:sz w:val="16"/>
            <w:szCs w:val="16"/>
          </w:rPr>
          <w:t>.</w:t>
        </w:r>
      </w:hyperlink>
      <w:r w:rsidRPr="00930562">
        <w:rPr>
          <w:rFonts w:asciiTheme="minorHAnsi" w:hAnsiTheme="minorHAnsi" w:cstheme="minorHAnsi"/>
          <w:color w:val="808080" w:themeColor="background1" w:themeShade="80"/>
          <w:sz w:val="16"/>
          <w:szCs w:val="16"/>
        </w:rPr>
        <w:t xml:space="preserve"> </w:t>
      </w:r>
      <w:hyperlink r:id="rId207" w:history="1">
        <w:r w:rsidRPr="00930562">
          <w:rPr>
            <w:rStyle w:val="Hyperlink"/>
            <w:rFonts w:asciiTheme="minorHAnsi" w:hAnsiTheme="minorHAnsi" w:cstheme="minorHAnsi"/>
            <w:color w:val="808080" w:themeColor="background1" w:themeShade="80"/>
            <w:sz w:val="16"/>
            <w:szCs w:val="16"/>
          </w:rPr>
          <w:t>The Excessive Militarization of American Policing</w:t>
        </w:r>
      </w:hyperlink>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lang w:val="es-US"/>
        </w:rPr>
        <w:t>Junio de 2014, p. 2.</w:t>
      </w:r>
      <w:bookmarkEnd w:id="76"/>
    </w:p>
  </w:footnote>
  <w:footnote w:id="164">
    <w:p w14:paraId="331CD78C"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i/>
          <w:color w:val="808080" w:themeColor="background1" w:themeShade="80"/>
          <w:sz w:val="16"/>
          <w:szCs w:val="16"/>
          <w:lang w:val="es-AR"/>
        </w:rPr>
        <w:t>Id</w:t>
      </w:r>
      <w:r w:rsidRPr="00930562">
        <w:rPr>
          <w:rFonts w:asciiTheme="minorHAnsi" w:hAnsiTheme="minorHAnsi" w:cstheme="minorHAnsi"/>
          <w:color w:val="808080" w:themeColor="background1" w:themeShade="80"/>
          <w:sz w:val="16"/>
          <w:szCs w:val="16"/>
          <w:lang w:val="es-AR"/>
        </w:rPr>
        <w:t>. en 5.</w:t>
      </w:r>
    </w:p>
  </w:footnote>
  <w:footnote w:id="165">
    <w:p w14:paraId="7485E308"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i/>
          <w:color w:val="808080" w:themeColor="background1" w:themeShade="80"/>
          <w:sz w:val="16"/>
          <w:szCs w:val="16"/>
          <w:lang w:val="es-AR"/>
        </w:rPr>
        <w:t>Id</w:t>
      </w:r>
      <w:r w:rsidRPr="00930562">
        <w:rPr>
          <w:rFonts w:asciiTheme="minorHAnsi" w:hAnsiTheme="minorHAnsi" w:cstheme="minorHAnsi"/>
          <w:color w:val="808080" w:themeColor="background1" w:themeShade="80"/>
          <w:sz w:val="16"/>
          <w:szCs w:val="16"/>
          <w:lang w:val="es-AR"/>
        </w:rPr>
        <w:t>. en 3.</w:t>
      </w:r>
    </w:p>
  </w:footnote>
  <w:footnote w:id="166">
    <w:p w14:paraId="4F63AD8E" w14:textId="77777777" w:rsidR="00F64540" w:rsidRPr="00930562" w:rsidRDefault="00F64540" w:rsidP="00E10935">
      <w:pPr>
        <w:spacing w:after="40" w:line="240" w:lineRule="auto"/>
        <w:ind w:left="547" w:hanging="547"/>
        <w:contextualSpacing/>
        <w:jc w:val="both"/>
        <w:rPr>
          <w:rFonts w:asciiTheme="minorHAnsi" w:hAnsiTheme="minorHAnsi" w:cstheme="minorHAnsi"/>
          <w:color w:val="808080" w:themeColor="background1" w:themeShade="80"/>
          <w:sz w:val="16"/>
          <w:szCs w:val="16"/>
          <w:lang w:val="es-US"/>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i/>
          <w:color w:val="808080" w:themeColor="background1" w:themeShade="80"/>
          <w:sz w:val="16"/>
          <w:szCs w:val="16"/>
          <w:lang w:val="es-AR"/>
        </w:rPr>
        <w:t>Id</w:t>
      </w:r>
      <w:r w:rsidRPr="00930562">
        <w:rPr>
          <w:rFonts w:asciiTheme="minorHAnsi" w:hAnsiTheme="minorHAnsi" w:cstheme="minorHAnsi"/>
          <w:color w:val="808080" w:themeColor="background1" w:themeShade="80"/>
          <w:sz w:val="16"/>
          <w:szCs w:val="16"/>
          <w:lang w:val="es-AR"/>
        </w:rPr>
        <w:t xml:space="preserve">. en 2. </w:t>
      </w:r>
      <w:r w:rsidRPr="00930562">
        <w:rPr>
          <w:rFonts w:asciiTheme="minorHAnsi" w:hAnsiTheme="minorHAnsi" w:cstheme="minorHAnsi"/>
          <w:i/>
          <w:color w:val="808080" w:themeColor="background1" w:themeShade="80"/>
          <w:sz w:val="16"/>
          <w:szCs w:val="16"/>
          <w:lang w:val="es-US"/>
        </w:rPr>
        <w:t>Accord</w:t>
      </w:r>
      <w:r w:rsidRPr="00930562">
        <w:rPr>
          <w:rFonts w:asciiTheme="minorHAnsi" w:hAnsiTheme="minorHAnsi" w:cstheme="minorHAnsi"/>
          <w:color w:val="808080" w:themeColor="background1" w:themeShade="80"/>
          <w:sz w:val="16"/>
          <w:szCs w:val="16"/>
          <w:lang w:val="es-US"/>
        </w:rPr>
        <w:t xml:space="preserve">. Testimonio durante visita </w:t>
      </w:r>
      <w:r w:rsidRPr="00930562">
        <w:rPr>
          <w:rFonts w:asciiTheme="minorHAnsi" w:hAnsiTheme="minorHAnsi" w:cstheme="minorHAnsi"/>
          <w:i/>
          <w:color w:val="808080" w:themeColor="background1" w:themeShade="80"/>
          <w:sz w:val="16"/>
          <w:szCs w:val="16"/>
          <w:lang w:val="es-US"/>
        </w:rPr>
        <w:t>in loco</w:t>
      </w:r>
      <w:r w:rsidRPr="00930562">
        <w:rPr>
          <w:rFonts w:asciiTheme="minorHAnsi" w:hAnsiTheme="minorHAnsi" w:cstheme="minorHAnsi"/>
          <w:color w:val="808080" w:themeColor="background1" w:themeShade="80"/>
          <w:sz w:val="16"/>
          <w:szCs w:val="16"/>
          <w:lang w:val="es-US"/>
        </w:rPr>
        <w:t>.</w:t>
      </w:r>
    </w:p>
  </w:footnote>
  <w:footnote w:id="167">
    <w:p w14:paraId="3E05FFF8"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Reuters, </w:t>
      </w:r>
      <w:hyperlink r:id="rId208" w:history="1">
        <w:r w:rsidRPr="00930562">
          <w:rPr>
            <w:rStyle w:val="Hyperlink"/>
            <w:rFonts w:asciiTheme="minorHAnsi" w:hAnsiTheme="minorHAnsi" w:cstheme="minorHAnsi"/>
            <w:color w:val="808080" w:themeColor="background1" w:themeShade="80"/>
            <w:sz w:val="16"/>
            <w:szCs w:val="16"/>
          </w:rPr>
          <w:t>Obama sets new limits on police use of military equipment</w:t>
        </w:r>
      </w:hyperlink>
      <w:r w:rsidRPr="00930562">
        <w:rPr>
          <w:rFonts w:asciiTheme="minorHAnsi" w:hAnsiTheme="minorHAnsi" w:cstheme="minorHAnsi"/>
          <w:color w:val="808080" w:themeColor="background1" w:themeShade="80"/>
          <w:sz w:val="16"/>
          <w:szCs w:val="16"/>
        </w:rPr>
        <w:t xml:space="preserve">, 18 de mayo de 2015. </w:t>
      </w:r>
    </w:p>
  </w:footnote>
  <w:footnote w:id="168">
    <w:p w14:paraId="0739AFB4"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Law Enforcement Equipment Working Group, </w:t>
      </w:r>
      <w:hyperlink r:id="rId209" w:history="1">
        <w:r w:rsidRPr="00930562">
          <w:rPr>
            <w:rStyle w:val="Hyperlink"/>
            <w:rFonts w:asciiTheme="minorHAnsi" w:hAnsiTheme="minorHAnsi" w:cstheme="minorHAnsi"/>
            <w:iCs/>
            <w:color w:val="808080" w:themeColor="background1" w:themeShade="80"/>
            <w:sz w:val="16"/>
            <w:szCs w:val="16"/>
          </w:rPr>
          <w:t>Recommendations Pursuant to EXECUTIVE ORDER 13688, Federal Support for Local Law Enforcement Equipment Acquisition</w:t>
        </w:r>
      </w:hyperlink>
      <w:r w:rsidRPr="00930562">
        <w:rPr>
          <w:rFonts w:asciiTheme="minorHAnsi" w:hAnsiTheme="minorHAnsi" w:cstheme="minorHAnsi"/>
          <w:color w:val="808080" w:themeColor="background1" w:themeShade="80"/>
          <w:sz w:val="16"/>
          <w:szCs w:val="16"/>
        </w:rPr>
        <w:t xml:space="preserve">, mayo de 2015.  </w:t>
      </w:r>
    </w:p>
  </w:footnote>
  <w:footnote w:id="169">
    <w:p w14:paraId="4B16415D"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Washington Post, </w:t>
      </w:r>
      <w:hyperlink r:id="rId210" w:history="1">
        <w:r w:rsidRPr="00930562">
          <w:rPr>
            <w:rStyle w:val="Hyperlink"/>
            <w:rFonts w:asciiTheme="minorHAnsi" w:hAnsiTheme="minorHAnsi" w:cstheme="minorHAnsi"/>
            <w:color w:val="808080" w:themeColor="background1" w:themeShade="80"/>
            <w:sz w:val="16"/>
            <w:szCs w:val="16"/>
          </w:rPr>
          <w:t>Obama moves to demilitarize America’s police</w:t>
        </w:r>
      </w:hyperlink>
      <w:r w:rsidRPr="00930562">
        <w:rPr>
          <w:rFonts w:asciiTheme="minorHAnsi" w:hAnsiTheme="minorHAnsi" w:cstheme="minorHAnsi"/>
          <w:color w:val="808080" w:themeColor="background1" w:themeShade="80"/>
          <w:sz w:val="16"/>
          <w:szCs w:val="16"/>
        </w:rPr>
        <w:t>, 18 de mayo de 2015.</w:t>
      </w:r>
    </w:p>
  </w:footnote>
  <w:footnote w:id="170">
    <w:p w14:paraId="2FD676BC"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White House, </w:t>
      </w:r>
      <w:hyperlink r:id="rId211" w:history="1">
        <w:r w:rsidRPr="00930562">
          <w:rPr>
            <w:rStyle w:val="Hyperlink"/>
            <w:rFonts w:asciiTheme="minorHAnsi" w:hAnsiTheme="minorHAnsi" w:cstheme="minorHAnsi"/>
            <w:iCs/>
            <w:color w:val="808080" w:themeColor="background1" w:themeShade="80"/>
            <w:sz w:val="16"/>
            <w:szCs w:val="16"/>
          </w:rPr>
          <w:t>Presidential Executive Order on Restoring State, Tribal, and Local Law Enforcement's Access to Life-Saving Equipment and Resources</w:t>
        </w:r>
      </w:hyperlink>
      <w:r w:rsidRPr="00930562">
        <w:rPr>
          <w:rFonts w:asciiTheme="minorHAnsi" w:hAnsiTheme="minorHAnsi" w:cstheme="minorHAnsi"/>
          <w:color w:val="808080" w:themeColor="background1" w:themeShade="80"/>
          <w:sz w:val="16"/>
          <w:szCs w:val="16"/>
        </w:rPr>
        <w:t>, 28 de agosto de 2017.</w:t>
      </w:r>
    </w:p>
  </w:footnote>
  <w:footnote w:id="171">
    <w:p w14:paraId="5195DDFE"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Fonts w:asciiTheme="minorHAnsi" w:hAnsiTheme="minorHAnsi" w:cstheme="minorHAnsi"/>
          <w:color w:val="808080" w:themeColor="background1" w:themeShade="80"/>
          <w:sz w:val="16"/>
          <w:szCs w:val="16"/>
          <w:vertAlign w:val="superscript"/>
        </w:rPr>
        <w:footnoteRef/>
      </w:r>
      <w:r w:rsidRPr="00930562">
        <w:rPr>
          <w:rFonts w:asciiTheme="minorHAnsi" w:hAnsiTheme="minorHAnsi" w:cstheme="minorHAnsi"/>
          <w:color w:val="808080" w:themeColor="background1" w:themeShade="80"/>
          <w:sz w:val="16"/>
          <w:szCs w:val="16"/>
          <w:vertAlign w:val="superscript"/>
          <w:lang w:val="es-AR"/>
        </w:rPr>
        <w:t xml:space="preserve"> </w:t>
      </w:r>
      <w:r w:rsidRPr="00930562">
        <w:rPr>
          <w:rFonts w:asciiTheme="minorHAnsi" w:hAnsiTheme="minorHAnsi" w:cstheme="minorHAnsi"/>
          <w:color w:val="808080" w:themeColor="background1" w:themeShade="80"/>
          <w:sz w:val="16"/>
          <w:szCs w:val="16"/>
          <w:vertAlign w:val="superscript"/>
          <w:lang w:val="es-AR"/>
        </w:rPr>
        <w:tab/>
      </w:r>
      <w:r w:rsidRPr="00930562">
        <w:rPr>
          <w:rFonts w:asciiTheme="minorHAnsi" w:hAnsiTheme="minorHAnsi" w:cstheme="minorHAnsi"/>
          <w:color w:val="808080" w:themeColor="background1" w:themeShade="80"/>
          <w:sz w:val="16"/>
          <w:szCs w:val="16"/>
          <w:lang w:val="es-AR"/>
        </w:rPr>
        <w:t xml:space="preserve">CIDH, Informe Anual 2016. </w:t>
      </w:r>
      <w:hyperlink r:id="rId212" w:history="1">
        <w:r w:rsidRPr="00930562">
          <w:rPr>
            <w:rStyle w:val="Hyperlink"/>
            <w:rFonts w:asciiTheme="minorHAnsi" w:hAnsiTheme="minorHAnsi" w:cstheme="minorHAnsi"/>
            <w:color w:val="808080" w:themeColor="background1" w:themeShade="80"/>
            <w:sz w:val="16"/>
            <w:szCs w:val="16"/>
            <w:lang w:val="es-AR"/>
          </w:rPr>
          <w:t xml:space="preserve">Informe del Relator Especial para la Libertad de Expresión. </w:t>
        </w:r>
        <w:r w:rsidRPr="00930562">
          <w:rPr>
            <w:rStyle w:val="Hyperlink"/>
            <w:rFonts w:asciiTheme="minorHAnsi" w:hAnsiTheme="minorHAnsi" w:cstheme="minorHAnsi"/>
            <w:color w:val="808080" w:themeColor="background1" w:themeShade="80"/>
            <w:sz w:val="16"/>
            <w:szCs w:val="16"/>
            <w:lang w:val="es-US"/>
          </w:rPr>
          <w:t>Capítulo VI (Recommendaciones sobre Protest Social)</w:t>
        </w:r>
      </w:hyperlink>
      <w:r w:rsidRPr="00930562">
        <w:rPr>
          <w:rFonts w:asciiTheme="minorHAnsi" w:hAnsiTheme="minorHAnsi" w:cstheme="minorHAnsi"/>
          <w:color w:val="808080" w:themeColor="background1" w:themeShade="80"/>
          <w:sz w:val="16"/>
          <w:szCs w:val="16"/>
          <w:lang w:val="es-US"/>
        </w:rPr>
        <w:t xml:space="preserve">. OEA/Ser.L/V/II. Doc. 22/17. </w:t>
      </w:r>
      <w:r w:rsidRPr="00930562">
        <w:rPr>
          <w:rFonts w:asciiTheme="minorHAnsi" w:hAnsiTheme="minorHAnsi" w:cstheme="minorHAnsi"/>
          <w:color w:val="808080" w:themeColor="background1" w:themeShade="80"/>
          <w:sz w:val="16"/>
          <w:szCs w:val="16"/>
        </w:rPr>
        <w:t>9 de marzo de 2015.</w:t>
      </w:r>
    </w:p>
  </w:footnote>
  <w:footnote w:id="172">
    <w:p w14:paraId="16CB4B5D" w14:textId="5A314508" w:rsidR="00F64540" w:rsidRPr="00930562" w:rsidRDefault="00F64540" w:rsidP="00E10935">
      <w:pPr>
        <w:pStyle w:val="FootnoteText"/>
        <w:spacing w:after="40"/>
        <w:ind w:left="547" w:hanging="547"/>
        <w:rPr>
          <w:rFonts w:asciiTheme="minorHAnsi" w:hAnsiTheme="minorHAnsi"/>
          <w:color w:val="808080" w:themeColor="background1" w:themeShade="80"/>
          <w:sz w:val="16"/>
          <w:szCs w:val="16"/>
        </w:rPr>
      </w:pPr>
      <w:r w:rsidRPr="00930562">
        <w:rPr>
          <w:rStyle w:val="FootnoteReference"/>
          <w:rFonts w:asciiTheme="minorHAnsi" w:hAnsiTheme="minorHAnsi"/>
          <w:color w:val="808080" w:themeColor="background1" w:themeShade="80"/>
          <w:sz w:val="16"/>
          <w:szCs w:val="16"/>
        </w:rPr>
        <w:footnoteRef/>
      </w:r>
      <w:r w:rsidRPr="00930562">
        <w:rPr>
          <w:rFonts w:asciiTheme="minorHAnsi" w:hAnsiTheme="minorHAnsi"/>
          <w:color w:val="808080" w:themeColor="background1" w:themeShade="80"/>
          <w:sz w:val="16"/>
          <w:szCs w:val="16"/>
        </w:rPr>
        <w:t xml:space="preserve">       </w:t>
      </w:r>
      <w:r w:rsidRPr="00930562">
        <w:rPr>
          <w:rFonts w:asciiTheme="minorHAnsi" w:eastAsia="Calibri" w:hAnsiTheme="minorHAnsi" w:cs="Calibri"/>
          <w:color w:val="808080" w:themeColor="background1" w:themeShade="80"/>
          <w:sz w:val="16"/>
          <w:szCs w:val="16"/>
        </w:rPr>
        <w:t xml:space="preserve">ACLU, </w:t>
      </w:r>
      <w:hyperlink r:id="rId213" w:history="1">
        <w:r w:rsidRPr="00930562">
          <w:rPr>
            <w:rFonts w:asciiTheme="minorHAnsi" w:eastAsia="Calibri" w:hAnsiTheme="minorHAnsi" w:cs="Calibri"/>
            <w:color w:val="808080" w:themeColor="background1" w:themeShade="80"/>
            <w:sz w:val="16"/>
            <w:szCs w:val="16"/>
            <w:u w:val="single"/>
          </w:rPr>
          <w:t xml:space="preserve">Trump Just Gave Thousands of Bayonets </w:t>
        </w:r>
        <w:proofErr w:type="gramStart"/>
        <w:r w:rsidRPr="00930562">
          <w:rPr>
            <w:rFonts w:asciiTheme="minorHAnsi" w:eastAsia="Calibri" w:hAnsiTheme="minorHAnsi" w:cs="Calibri"/>
            <w:color w:val="808080" w:themeColor="background1" w:themeShade="80"/>
            <w:sz w:val="16"/>
            <w:szCs w:val="16"/>
            <w:u w:val="single"/>
          </w:rPr>
          <w:t>And Hundreds of Grenade Launchers Back To</w:t>
        </w:r>
        <w:proofErr w:type="gramEnd"/>
        <w:r w:rsidRPr="00930562">
          <w:rPr>
            <w:rFonts w:asciiTheme="minorHAnsi" w:eastAsia="Calibri" w:hAnsiTheme="minorHAnsi" w:cs="Calibri"/>
            <w:color w:val="808080" w:themeColor="background1" w:themeShade="80"/>
            <w:sz w:val="16"/>
            <w:szCs w:val="16"/>
            <w:u w:val="single"/>
          </w:rPr>
          <w:t xml:space="preserve"> Police</w:t>
        </w:r>
      </w:hyperlink>
      <w:r>
        <w:rPr>
          <w:rFonts w:asciiTheme="minorHAnsi" w:eastAsia="Calibri" w:hAnsiTheme="minorHAnsi" w:cs="Calibri"/>
          <w:color w:val="808080" w:themeColor="background1" w:themeShade="80"/>
          <w:sz w:val="16"/>
          <w:szCs w:val="16"/>
        </w:rPr>
        <w:t>, 28 de Agosto de 2017</w:t>
      </w:r>
      <w:r w:rsidRPr="00930562">
        <w:rPr>
          <w:rFonts w:asciiTheme="minorHAnsi" w:eastAsia="Calibri" w:hAnsiTheme="minorHAnsi" w:cs="Calibri"/>
          <w:i/>
          <w:color w:val="808080" w:themeColor="background1" w:themeShade="80"/>
          <w:sz w:val="16"/>
          <w:szCs w:val="16"/>
        </w:rPr>
        <w:t>.</w:t>
      </w:r>
    </w:p>
  </w:footnote>
  <w:footnote w:id="173">
    <w:p w14:paraId="7D722EFD"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AR"/>
        </w:rPr>
        <w:t xml:space="preserve"> </w:t>
      </w:r>
      <w:r w:rsidRPr="00930562">
        <w:rPr>
          <w:rFonts w:asciiTheme="minorHAnsi" w:hAnsiTheme="minorHAnsi" w:cstheme="majorHAnsi"/>
          <w:color w:val="808080" w:themeColor="background1" w:themeShade="80"/>
          <w:sz w:val="16"/>
          <w:szCs w:val="16"/>
          <w:lang w:val="es-AR"/>
        </w:rPr>
        <w:tab/>
      </w:r>
      <w:r w:rsidRPr="00930562">
        <w:rPr>
          <w:rFonts w:asciiTheme="minorHAnsi" w:hAnsiTheme="minorHAnsi" w:cstheme="minorHAnsi"/>
          <w:i/>
          <w:color w:val="808080" w:themeColor="background1" w:themeShade="80"/>
          <w:sz w:val="16"/>
          <w:szCs w:val="16"/>
          <w:lang w:val="es-AR"/>
        </w:rPr>
        <w:t>Véase infra</w:t>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rPr>
        <w:fldChar w:fldCharType="begin"/>
      </w:r>
      <w:r w:rsidRPr="00930562">
        <w:rPr>
          <w:rFonts w:asciiTheme="minorHAnsi" w:hAnsiTheme="minorHAnsi" w:cstheme="minorHAnsi"/>
          <w:color w:val="808080" w:themeColor="background1" w:themeShade="80"/>
          <w:sz w:val="16"/>
          <w:szCs w:val="16"/>
          <w:lang w:val="es-AR"/>
        </w:rPr>
        <w:instrText xml:space="preserve"> REF _Ref507148925 \h  \* MERGEFORMAT </w:instrText>
      </w:r>
      <w:r w:rsidRPr="00930562">
        <w:rPr>
          <w:rFonts w:asciiTheme="minorHAnsi" w:hAnsiTheme="minorHAnsi" w:cstheme="minorHAnsi"/>
          <w:color w:val="808080" w:themeColor="background1" w:themeShade="80"/>
          <w:sz w:val="16"/>
          <w:szCs w:val="16"/>
        </w:rPr>
      </w:r>
      <w:r w:rsidRPr="00930562">
        <w:rPr>
          <w:rFonts w:asciiTheme="minorHAnsi" w:hAnsiTheme="minorHAnsi" w:cstheme="minorHAnsi"/>
          <w:color w:val="808080" w:themeColor="background1" w:themeShade="80"/>
          <w:sz w:val="16"/>
          <w:szCs w:val="16"/>
        </w:rPr>
        <w:fldChar w:fldCharType="separate"/>
      </w:r>
      <w:r w:rsidRPr="00930562">
        <w:rPr>
          <w:rFonts w:asciiTheme="minorHAnsi" w:hAnsiTheme="minorHAnsi" w:cstheme="minorHAnsi"/>
          <w:color w:val="808080" w:themeColor="background1" w:themeShade="80"/>
          <w:sz w:val="16"/>
          <w:szCs w:val="16"/>
          <w:lang w:val="es-AR"/>
        </w:rPr>
        <w:t xml:space="preserve">Marco internacional sobre el uso de la fuerza: excepcionalidad, legalidad, necesidad y proporcionalidad. </w:t>
      </w:r>
      <w:r w:rsidRPr="00930562">
        <w:rPr>
          <w:rFonts w:asciiTheme="minorHAnsi" w:hAnsiTheme="minorHAnsi" w:cstheme="minorHAnsi"/>
          <w:color w:val="808080" w:themeColor="background1" w:themeShade="80"/>
          <w:sz w:val="16"/>
          <w:szCs w:val="16"/>
        </w:rPr>
        <w:fldChar w:fldCharType="end"/>
      </w:r>
    </w:p>
  </w:footnote>
  <w:footnote w:id="174">
    <w:p w14:paraId="20819852"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GAO, </w:t>
      </w:r>
      <w:hyperlink r:id="rId214" w:history="1">
        <w:r w:rsidRPr="00930562">
          <w:rPr>
            <w:rStyle w:val="Hyperlink"/>
            <w:rFonts w:asciiTheme="minorHAnsi" w:hAnsiTheme="minorHAnsi" w:cstheme="minorHAnsi"/>
            <w:iCs/>
            <w:color w:val="808080" w:themeColor="background1" w:themeShade="80"/>
            <w:sz w:val="16"/>
            <w:szCs w:val="16"/>
          </w:rPr>
          <w:t>DOD EXCESS PROPERTY: Enhanced Controls Needed for Access to Excess Controlled Property</w:t>
        </w:r>
      </w:hyperlink>
      <w:r w:rsidRPr="00930562">
        <w:rPr>
          <w:rFonts w:asciiTheme="minorHAnsi" w:hAnsiTheme="minorHAnsi" w:cstheme="minorHAnsi"/>
          <w:color w:val="808080" w:themeColor="background1" w:themeShade="80"/>
          <w:sz w:val="16"/>
          <w:szCs w:val="16"/>
        </w:rPr>
        <w:t xml:space="preserve">, Julio de 2017.  </w:t>
      </w:r>
    </w:p>
  </w:footnote>
  <w:footnote w:id="175">
    <w:p w14:paraId="26BD57BC"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US"/>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US"/>
        </w:rPr>
        <w:t xml:space="preserve"> </w:t>
      </w:r>
      <w:r w:rsidRPr="00930562">
        <w:rPr>
          <w:rFonts w:asciiTheme="minorHAnsi" w:hAnsiTheme="minorHAnsi" w:cstheme="minorHAnsi"/>
          <w:color w:val="808080" w:themeColor="background1" w:themeShade="80"/>
          <w:sz w:val="16"/>
          <w:szCs w:val="16"/>
          <w:lang w:val="es-US"/>
        </w:rPr>
        <w:tab/>
      </w:r>
      <w:r w:rsidRPr="00930562">
        <w:rPr>
          <w:rFonts w:asciiTheme="minorHAnsi" w:hAnsiTheme="minorHAnsi" w:cstheme="minorHAnsi"/>
          <w:i/>
          <w:color w:val="808080" w:themeColor="background1" w:themeShade="80"/>
          <w:sz w:val="16"/>
          <w:szCs w:val="16"/>
          <w:lang w:val="es-US"/>
        </w:rPr>
        <w:t>Véase por ejemplo, CIDH</w:t>
      </w:r>
      <w:r w:rsidRPr="00930562">
        <w:rPr>
          <w:rFonts w:asciiTheme="minorHAnsi" w:hAnsiTheme="minorHAnsi" w:cstheme="minorHAnsi"/>
          <w:bCs/>
          <w:color w:val="808080" w:themeColor="background1" w:themeShade="80"/>
          <w:sz w:val="16"/>
          <w:szCs w:val="16"/>
          <w:lang w:val="es-US"/>
        </w:rPr>
        <w:t xml:space="preserve"> 156° Período de Sesiones, </w:t>
      </w:r>
      <w:hyperlink r:id="rId215" w:history="1">
        <w:r w:rsidRPr="00930562">
          <w:rPr>
            <w:rStyle w:val="Hyperlink"/>
            <w:rFonts w:asciiTheme="minorHAnsi" w:hAnsiTheme="minorHAnsi" w:cstheme="minorHAnsi"/>
            <w:bCs/>
            <w:color w:val="808080" w:themeColor="background1" w:themeShade="80"/>
            <w:sz w:val="16"/>
            <w:szCs w:val="16"/>
            <w:lang w:val="es-US"/>
          </w:rPr>
          <w:t xml:space="preserve">Audiencia “Asesinatos policiales” </w:t>
        </w:r>
      </w:hyperlink>
      <w:r w:rsidRPr="00930562">
        <w:rPr>
          <w:rFonts w:asciiTheme="minorHAnsi" w:hAnsiTheme="minorHAnsi" w:cstheme="minorHAnsi"/>
          <w:bCs/>
          <w:color w:val="808080" w:themeColor="background1" w:themeShade="80"/>
          <w:sz w:val="16"/>
          <w:szCs w:val="16"/>
          <w:lang w:val="es-US"/>
        </w:rPr>
        <w:t>, 23 de octubre de 2015</w:t>
      </w:r>
      <w:r w:rsidRPr="00930562">
        <w:rPr>
          <w:rFonts w:asciiTheme="minorHAnsi" w:hAnsiTheme="minorHAnsi" w:cstheme="minorHAnsi"/>
          <w:color w:val="808080" w:themeColor="background1" w:themeShade="80"/>
          <w:sz w:val="16"/>
          <w:szCs w:val="16"/>
          <w:lang w:val="es-US"/>
        </w:rPr>
        <w:t xml:space="preserve">; Comunicado de Prensa No. 120/2015, </w:t>
      </w:r>
      <w:hyperlink r:id="rId216" w:history="1">
        <w:r w:rsidRPr="00930562">
          <w:rPr>
            <w:rStyle w:val="Hyperlink"/>
            <w:rFonts w:asciiTheme="minorHAnsi" w:hAnsiTheme="minorHAnsi" w:cstheme="minorHAnsi"/>
            <w:color w:val="808080" w:themeColor="background1" w:themeShade="80"/>
            <w:sz w:val="16"/>
            <w:szCs w:val="16"/>
            <w:lang w:val="es-US"/>
          </w:rPr>
          <w:t>CIDH concluye el 156º Período de Sesiones</w:t>
        </w:r>
      </w:hyperlink>
      <w:r w:rsidRPr="00930562">
        <w:rPr>
          <w:rFonts w:asciiTheme="minorHAnsi" w:hAnsiTheme="minorHAnsi" w:cstheme="minorHAnsi"/>
          <w:color w:val="808080" w:themeColor="background1" w:themeShade="80"/>
          <w:sz w:val="16"/>
          <w:szCs w:val="16"/>
          <w:lang w:val="es-US"/>
        </w:rPr>
        <w:t>, 28 de octubre de 2015;</w:t>
      </w:r>
      <w:r w:rsidRPr="00930562">
        <w:rPr>
          <w:rFonts w:asciiTheme="minorHAnsi" w:hAnsiTheme="minorHAnsi" w:cstheme="minorHAnsi"/>
          <w:bCs/>
          <w:color w:val="808080" w:themeColor="background1" w:themeShade="80"/>
          <w:sz w:val="16"/>
          <w:szCs w:val="16"/>
          <w:lang w:val="es-US"/>
        </w:rPr>
        <w:t xml:space="preserve"> </w:t>
      </w:r>
      <w:hyperlink r:id="rId217" w:history="1">
        <w:r w:rsidRPr="00930562">
          <w:rPr>
            <w:rStyle w:val="Hyperlink"/>
            <w:rFonts w:asciiTheme="minorHAnsi" w:hAnsiTheme="minorHAnsi" w:cstheme="minorHAnsi"/>
            <w:bCs/>
            <w:color w:val="808080" w:themeColor="background1" w:themeShade="80"/>
            <w:sz w:val="16"/>
            <w:szCs w:val="16"/>
            <w:lang w:val="es-US"/>
          </w:rPr>
          <w:t>Comunicado de Prensa de Walter Scott</w:t>
        </w:r>
      </w:hyperlink>
      <w:r w:rsidRPr="00930562">
        <w:rPr>
          <w:rFonts w:asciiTheme="minorHAnsi" w:hAnsiTheme="minorHAnsi" w:cstheme="minorHAnsi"/>
          <w:bCs/>
          <w:color w:val="808080" w:themeColor="background1" w:themeShade="80"/>
          <w:sz w:val="16"/>
          <w:szCs w:val="16"/>
          <w:lang w:val="es-US"/>
        </w:rPr>
        <w:t>, 17 de abril de  2015</w:t>
      </w:r>
      <w:r w:rsidRPr="00930562">
        <w:rPr>
          <w:rFonts w:asciiTheme="minorHAnsi" w:hAnsiTheme="minorHAnsi" w:cstheme="minorHAnsi"/>
          <w:color w:val="808080" w:themeColor="background1" w:themeShade="80"/>
          <w:sz w:val="16"/>
          <w:szCs w:val="16"/>
          <w:lang w:val="es-US"/>
        </w:rPr>
        <w:t xml:space="preserve">. </w:t>
      </w:r>
    </w:p>
  </w:footnote>
  <w:footnote w:id="176">
    <w:p w14:paraId="48DB87E3"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bCs/>
          <w:color w:val="808080" w:themeColor="background1" w:themeShade="80"/>
          <w:sz w:val="16"/>
          <w:szCs w:val="16"/>
          <w:lang w:val="es-AR"/>
        </w:rPr>
        <w:t xml:space="preserve">CERD, </w:t>
      </w:r>
      <w:hyperlink r:id="rId218" w:history="1">
        <w:r w:rsidRPr="00930562">
          <w:rPr>
            <w:rStyle w:val="Hyperlink"/>
            <w:rFonts w:asciiTheme="minorHAnsi" w:hAnsiTheme="minorHAnsi" w:cstheme="minorHAnsi"/>
            <w:bCs/>
            <w:color w:val="808080" w:themeColor="background1" w:themeShade="80"/>
            <w:sz w:val="16"/>
            <w:szCs w:val="16"/>
            <w:lang w:val="es-AR"/>
          </w:rPr>
          <w:t>Observaciones Finales 2014</w:t>
        </w:r>
      </w:hyperlink>
      <w:r w:rsidRPr="00930562">
        <w:rPr>
          <w:rFonts w:asciiTheme="minorHAnsi" w:hAnsiTheme="minorHAnsi" w:cstheme="minorHAnsi"/>
          <w:bCs/>
          <w:color w:val="808080" w:themeColor="background1" w:themeShade="80"/>
          <w:sz w:val="16"/>
          <w:szCs w:val="16"/>
          <w:lang w:val="es-AR"/>
        </w:rPr>
        <w:t>, 25 de septiembre de 2014</w:t>
      </w:r>
      <w:r w:rsidRPr="00930562">
        <w:rPr>
          <w:rFonts w:asciiTheme="minorHAnsi" w:hAnsiTheme="minorHAnsi" w:cstheme="minorHAnsi"/>
          <w:color w:val="808080" w:themeColor="background1" w:themeShade="80"/>
          <w:sz w:val="16"/>
          <w:szCs w:val="16"/>
          <w:lang w:val="es-AR"/>
        </w:rPr>
        <w:t xml:space="preserve">, párr. 17; </w:t>
      </w:r>
      <w:r w:rsidRPr="00930562">
        <w:rPr>
          <w:rFonts w:asciiTheme="minorHAnsi" w:hAnsiTheme="minorHAnsi" w:cstheme="minorHAnsi"/>
          <w:bCs/>
          <w:color w:val="808080" w:themeColor="background1" w:themeShade="80"/>
          <w:sz w:val="16"/>
          <w:szCs w:val="16"/>
          <w:lang w:val="es-AR"/>
        </w:rPr>
        <w:t xml:space="preserve">U.N., Grupo de Trabajo sobre afroamericanos. </w:t>
      </w:r>
      <w:hyperlink r:id="rId219" w:history="1">
        <w:r w:rsidRPr="00930562">
          <w:rPr>
            <w:rStyle w:val="Hyperlink"/>
            <w:rFonts w:asciiTheme="minorHAnsi" w:hAnsiTheme="minorHAnsi" w:cstheme="minorHAnsi"/>
            <w:bCs/>
            <w:color w:val="808080" w:themeColor="background1" w:themeShade="80"/>
            <w:sz w:val="16"/>
            <w:szCs w:val="16"/>
            <w:lang w:val="es-AR"/>
          </w:rPr>
          <w:t>Report on mission to the U.S.</w:t>
        </w:r>
      </w:hyperlink>
      <w:r w:rsidRPr="00930562">
        <w:rPr>
          <w:rFonts w:asciiTheme="minorHAnsi" w:hAnsiTheme="minorHAnsi" w:cstheme="minorHAnsi"/>
          <w:bCs/>
          <w:color w:val="808080" w:themeColor="background1" w:themeShade="80"/>
          <w:sz w:val="16"/>
          <w:szCs w:val="16"/>
          <w:lang w:val="es-AR"/>
        </w:rPr>
        <w:t>, 18 de agosto de 2016</w:t>
      </w:r>
      <w:r w:rsidRPr="00930562">
        <w:rPr>
          <w:rFonts w:asciiTheme="minorHAnsi" w:hAnsiTheme="minorHAnsi" w:cstheme="minorHAnsi"/>
          <w:color w:val="808080" w:themeColor="background1" w:themeShade="80"/>
          <w:sz w:val="16"/>
          <w:szCs w:val="16"/>
          <w:lang w:val="es-AR"/>
        </w:rPr>
        <w:t xml:space="preserve">, párr. 20. </w:t>
      </w:r>
    </w:p>
  </w:footnote>
  <w:footnote w:id="177">
    <w:p w14:paraId="28F8D8F9"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bCs/>
          <w:color w:val="808080" w:themeColor="background1" w:themeShade="80"/>
          <w:sz w:val="16"/>
          <w:szCs w:val="16"/>
          <w:lang w:val="es-AR"/>
        </w:rPr>
        <w:t xml:space="preserve">CIDH, </w:t>
      </w:r>
      <w:hyperlink r:id="rId220" w:history="1">
        <w:r w:rsidRPr="00930562">
          <w:rPr>
            <w:rStyle w:val="Hyperlink"/>
            <w:rFonts w:asciiTheme="minorHAnsi" w:hAnsiTheme="minorHAnsi" w:cstheme="minorHAnsi"/>
            <w:bCs/>
            <w:color w:val="808080" w:themeColor="background1" w:themeShade="80"/>
            <w:sz w:val="16"/>
            <w:szCs w:val="16"/>
            <w:lang w:val="es-AR"/>
          </w:rPr>
          <w:t>Comunicado de Prensa Eric Garner y Michael Brown</w:t>
        </w:r>
      </w:hyperlink>
      <w:r w:rsidRPr="00930562">
        <w:rPr>
          <w:rFonts w:asciiTheme="minorHAnsi" w:hAnsiTheme="minorHAnsi" w:cstheme="minorHAnsi"/>
          <w:bCs/>
          <w:color w:val="808080" w:themeColor="background1" w:themeShade="80"/>
          <w:sz w:val="16"/>
          <w:szCs w:val="16"/>
          <w:lang w:val="es-AR"/>
        </w:rPr>
        <w:t>, 22 de agosto de 2014</w:t>
      </w:r>
      <w:r w:rsidRPr="00930562">
        <w:rPr>
          <w:rFonts w:asciiTheme="minorHAnsi" w:hAnsiTheme="minorHAnsi" w:cstheme="minorHAnsi"/>
          <w:color w:val="808080" w:themeColor="background1" w:themeShade="80"/>
          <w:sz w:val="16"/>
          <w:szCs w:val="16"/>
          <w:lang w:val="es-AR"/>
        </w:rPr>
        <w:t>;</w:t>
      </w:r>
      <w:r w:rsidRPr="00930562">
        <w:rPr>
          <w:rFonts w:asciiTheme="minorHAnsi" w:hAnsiTheme="minorHAnsi" w:cstheme="minorHAnsi"/>
          <w:bCs/>
          <w:color w:val="808080" w:themeColor="background1" w:themeShade="80"/>
          <w:sz w:val="16"/>
          <w:szCs w:val="16"/>
          <w:lang w:val="es-AR"/>
        </w:rPr>
        <w:t xml:space="preserve"> </w:t>
      </w:r>
      <w:hyperlink r:id="rId221" w:history="1">
        <w:r w:rsidRPr="00930562">
          <w:rPr>
            <w:rStyle w:val="Hyperlink"/>
            <w:rFonts w:asciiTheme="minorHAnsi" w:hAnsiTheme="minorHAnsi" w:cstheme="minorHAnsi"/>
            <w:bCs/>
            <w:color w:val="808080" w:themeColor="background1" w:themeShade="80"/>
            <w:sz w:val="16"/>
            <w:szCs w:val="16"/>
            <w:lang w:val="es-AR"/>
          </w:rPr>
          <w:t>Comunicad de Prensa de Walter Scott</w:t>
        </w:r>
      </w:hyperlink>
      <w:r w:rsidRPr="00930562">
        <w:rPr>
          <w:rFonts w:asciiTheme="minorHAnsi" w:hAnsiTheme="minorHAnsi" w:cstheme="minorHAnsi"/>
          <w:bCs/>
          <w:color w:val="808080" w:themeColor="background1" w:themeShade="80"/>
          <w:sz w:val="16"/>
          <w:szCs w:val="16"/>
          <w:lang w:val="es-AR"/>
        </w:rPr>
        <w:t>, 17 de abril de 2015</w:t>
      </w:r>
      <w:r w:rsidRPr="00930562">
        <w:rPr>
          <w:rFonts w:asciiTheme="minorHAnsi" w:hAnsiTheme="minorHAnsi" w:cstheme="minorHAnsi"/>
          <w:color w:val="808080" w:themeColor="background1" w:themeShade="80"/>
          <w:sz w:val="16"/>
          <w:szCs w:val="16"/>
          <w:lang w:val="es-AR"/>
        </w:rPr>
        <w:t xml:space="preserve">; </w:t>
      </w:r>
      <w:hyperlink r:id="rId222" w:history="1">
        <w:r w:rsidRPr="00930562">
          <w:rPr>
            <w:rStyle w:val="Hyperlink"/>
            <w:rFonts w:asciiTheme="minorHAnsi" w:hAnsiTheme="minorHAnsi" w:cstheme="minorHAnsi"/>
            <w:bCs/>
            <w:color w:val="808080" w:themeColor="background1" w:themeShade="80"/>
            <w:sz w:val="16"/>
            <w:szCs w:val="16"/>
            <w:lang w:val="es-AR"/>
          </w:rPr>
          <w:t>Comunicado de Prensa Investigación de Asesinatos Policiales</w:t>
        </w:r>
      </w:hyperlink>
      <w:r w:rsidRPr="00930562">
        <w:rPr>
          <w:rFonts w:asciiTheme="minorHAnsi" w:hAnsiTheme="minorHAnsi" w:cstheme="minorHAnsi"/>
          <w:color w:val="808080" w:themeColor="background1" w:themeShade="80"/>
          <w:sz w:val="16"/>
          <w:szCs w:val="16"/>
          <w:lang w:val="es-AR"/>
        </w:rPr>
        <w:t>, 23 de agosto de 2016.</w:t>
      </w:r>
    </w:p>
  </w:footnote>
  <w:footnote w:id="178">
    <w:p w14:paraId="6DA88333"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r>
      <w:r w:rsidRPr="00930562">
        <w:rPr>
          <w:rFonts w:asciiTheme="minorHAnsi" w:hAnsiTheme="minorHAnsi" w:cstheme="minorHAnsi"/>
          <w:i/>
          <w:color w:val="808080" w:themeColor="background1" w:themeShade="80"/>
          <w:sz w:val="16"/>
          <w:szCs w:val="16"/>
        </w:rPr>
        <w:t xml:space="preserve">Véase por ejemplo., </w:t>
      </w:r>
      <w:r w:rsidRPr="00930562">
        <w:rPr>
          <w:rFonts w:asciiTheme="minorHAnsi" w:hAnsiTheme="minorHAnsi" w:cstheme="minorHAnsi"/>
          <w:color w:val="808080" w:themeColor="background1" w:themeShade="80"/>
          <w:sz w:val="16"/>
          <w:szCs w:val="16"/>
        </w:rPr>
        <w:t xml:space="preserve">Washington Post, </w:t>
      </w:r>
      <w:hyperlink r:id="rId223" w:history="1">
        <w:r w:rsidRPr="00930562">
          <w:rPr>
            <w:rStyle w:val="Hyperlink"/>
            <w:rFonts w:asciiTheme="minorHAnsi" w:hAnsiTheme="minorHAnsi" w:cstheme="minorHAnsi"/>
            <w:color w:val="808080" w:themeColor="background1" w:themeShade="80"/>
            <w:sz w:val="16"/>
            <w:szCs w:val="16"/>
          </w:rPr>
          <w:t>FBI director calls lack of data on police shootings ‘ridiculous,’ ‘embarrassing’</w:t>
        </w:r>
      </w:hyperlink>
      <w:r w:rsidRPr="00930562">
        <w:rPr>
          <w:rFonts w:asciiTheme="minorHAnsi" w:hAnsiTheme="minorHAnsi" w:cstheme="minorHAnsi"/>
          <w:color w:val="808080" w:themeColor="background1" w:themeShade="80"/>
          <w:sz w:val="16"/>
          <w:szCs w:val="16"/>
        </w:rPr>
        <w:t xml:space="preserve">, 7 de octubre de 2015. </w:t>
      </w:r>
      <w:r w:rsidRPr="00930562">
        <w:rPr>
          <w:rFonts w:asciiTheme="minorHAnsi" w:hAnsiTheme="minorHAnsi" w:cstheme="minorHAnsi"/>
          <w:color w:val="808080" w:themeColor="background1" w:themeShade="80"/>
          <w:sz w:val="16"/>
          <w:szCs w:val="16"/>
          <w:lang w:val="es-AR"/>
        </w:rPr>
        <w:t>A la luz de la falta de una base de datos federal de uso obligatorio, cuatro principales base de datos no gubernamentales han sido creadas para monitorear asesinatos cometidos por policías.  Dos de ellas son gestionadas por los periódicos—The Guardian’s “</w:t>
      </w:r>
      <w:hyperlink r:id="rId224" w:history="1">
        <w:r w:rsidRPr="00930562">
          <w:rPr>
            <w:rStyle w:val="Hyperlink"/>
            <w:rFonts w:asciiTheme="minorHAnsi" w:hAnsiTheme="minorHAnsi" w:cstheme="minorHAnsi"/>
            <w:color w:val="808080" w:themeColor="background1" w:themeShade="80"/>
            <w:sz w:val="16"/>
            <w:szCs w:val="16"/>
            <w:lang w:val="es-AR"/>
          </w:rPr>
          <w:t>The Counted</w:t>
        </w:r>
      </w:hyperlink>
      <w:r w:rsidRPr="00930562">
        <w:rPr>
          <w:rFonts w:asciiTheme="minorHAnsi" w:hAnsiTheme="minorHAnsi" w:cstheme="minorHAnsi"/>
          <w:color w:val="808080" w:themeColor="background1" w:themeShade="80"/>
          <w:sz w:val="16"/>
          <w:szCs w:val="16"/>
          <w:lang w:val="es-AR"/>
        </w:rPr>
        <w:t>” y The Washington Post’s “</w:t>
      </w:r>
      <w:hyperlink r:id="rId225" w:history="1">
        <w:r w:rsidRPr="00930562">
          <w:rPr>
            <w:rStyle w:val="Hyperlink"/>
            <w:rFonts w:asciiTheme="minorHAnsi" w:hAnsiTheme="minorHAnsi" w:cstheme="minorHAnsi"/>
            <w:color w:val="808080" w:themeColor="background1" w:themeShade="80"/>
            <w:sz w:val="16"/>
            <w:szCs w:val="16"/>
            <w:lang w:val="es-AR"/>
          </w:rPr>
          <w:t>Fatal Force</w:t>
        </w:r>
      </w:hyperlink>
      <w:r w:rsidRPr="00930562">
        <w:rPr>
          <w:rFonts w:asciiTheme="minorHAnsi" w:hAnsiTheme="minorHAnsi" w:cstheme="minorHAnsi"/>
          <w:color w:val="808080" w:themeColor="background1" w:themeShade="80"/>
          <w:sz w:val="16"/>
          <w:szCs w:val="16"/>
          <w:lang w:val="es-AR"/>
        </w:rPr>
        <w:t>”—y las otras dos son gestionadas por grupos de activistas ciudadanos —“</w:t>
      </w:r>
      <w:hyperlink r:id="rId226" w:history="1">
        <w:r w:rsidRPr="00930562">
          <w:rPr>
            <w:rStyle w:val="Hyperlink"/>
            <w:rFonts w:asciiTheme="minorHAnsi" w:hAnsiTheme="minorHAnsi" w:cstheme="minorHAnsi"/>
            <w:color w:val="808080" w:themeColor="background1" w:themeShade="80"/>
            <w:sz w:val="16"/>
            <w:szCs w:val="16"/>
            <w:lang w:val="es-AR"/>
          </w:rPr>
          <w:t>Fatal Encounters</w:t>
        </w:r>
      </w:hyperlink>
      <w:r w:rsidRPr="00930562">
        <w:rPr>
          <w:rFonts w:asciiTheme="minorHAnsi" w:hAnsiTheme="minorHAnsi" w:cstheme="minorHAnsi"/>
          <w:color w:val="808080" w:themeColor="background1" w:themeShade="80"/>
          <w:sz w:val="16"/>
          <w:szCs w:val="16"/>
          <w:lang w:val="es-AR"/>
        </w:rPr>
        <w:t>” y “</w:t>
      </w:r>
      <w:hyperlink r:id="rId227" w:history="1">
        <w:r w:rsidRPr="00930562">
          <w:rPr>
            <w:rStyle w:val="Hyperlink"/>
            <w:rFonts w:asciiTheme="minorHAnsi" w:hAnsiTheme="minorHAnsi" w:cstheme="minorHAnsi"/>
            <w:color w:val="808080" w:themeColor="background1" w:themeShade="80"/>
            <w:sz w:val="16"/>
            <w:szCs w:val="16"/>
            <w:lang w:val="es-AR"/>
          </w:rPr>
          <w:t>Killed by Police</w:t>
        </w:r>
      </w:hyperlink>
      <w:r w:rsidRPr="00930562">
        <w:rPr>
          <w:rFonts w:asciiTheme="minorHAnsi" w:hAnsiTheme="minorHAnsi" w:cstheme="minorHAnsi"/>
          <w:color w:val="808080" w:themeColor="background1" w:themeShade="80"/>
          <w:sz w:val="16"/>
          <w:szCs w:val="16"/>
          <w:lang w:val="es-AR"/>
        </w:rPr>
        <w:t xml:space="preserve">.” </w:t>
      </w:r>
    </w:p>
  </w:footnote>
  <w:footnote w:id="179">
    <w:p w14:paraId="74BE24F3"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i/>
          <w:color w:val="808080" w:themeColor="background1" w:themeShade="80"/>
          <w:sz w:val="16"/>
          <w:szCs w:val="16"/>
          <w:lang w:val="es-AR"/>
        </w:rPr>
        <w:t xml:space="preserve">Véase infra, </w:t>
      </w:r>
      <w:r w:rsidRPr="00930562">
        <w:rPr>
          <w:rFonts w:asciiTheme="minorHAnsi" w:hAnsiTheme="minorHAnsi" w:cstheme="minorHAnsi"/>
          <w:color w:val="808080" w:themeColor="background1" w:themeShade="80"/>
          <w:sz w:val="16"/>
          <w:szCs w:val="16"/>
        </w:rPr>
        <w:fldChar w:fldCharType="begin"/>
      </w:r>
      <w:r w:rsidRPr="00930562">
        <w:rPr>
          <w:rFonts w:asciiTheme="minorHAnsi" w:hAnsiTheme="minorHAnsi" w:cstheme="minorHAnsi"/>
          <w:color w:val="808080" w:themeColor="background1" w:themeShade="80"/>
          <w:sz w:val="16"/>
          <w:szCs w:val="16"/>
          <w:lang w:val="es-AR"/>
        </w:rPr>
        <w:instrText xml:space="preserve"> REF _Ref507149138 \h  \* MERGEFORMAT </w:instrText>
      </w:r>
      <w:r w:rsidRPr="00930562">
        <w:rPr>
          <w:rFonts w:asciiTheme="minorHAnsi" w:hAnsiTheme="minorHAnsi" w:cstheme="minorHAnsi"/>
          <w:color w:val="808080" w:themeColor="background1" w:themeShade="80"/>
          <w:sz w:val="16"/>
          <w:szCs w:val="16"/>
        </w:rPr>
      </w:r>
      <w:r w:rsidRPr="00930562">
        <w:rPr>
          <w:rFonts w:asciiTheme="minorHAnsi" w:hAnsiTheme="minorHAnsi" w:cstheme="minorHAnsi"/>
          <w:color w:val="808080" w:themeColor="background1" w:themeShade="80"/>
          <w:sz w:val="16"/>
          <w:szCs w:val="16"/>
        </w:rPr>
        <w:fldChar w:fldCharType="separate"/>
      </w:r>
      <w:r w:rsidRPr="00930562">
        <w:rPr>
          <w:rFonts w:asciiTheme="minorHAnsi" w:hAnsiTheme="minorHAnsi" w:cstheme="minorHAnsi"/>
          <w:color w:val="808080" w:themeColor="background1" w:themeShade="80"/>
          <w:sz w:val="16"/>
          <w:szCs w:val="16"/>
          <w:lang w:val="es-AR"/>
        </w:rPr>
        <w:t xml:space="preserve"> Marco internacional sobre acceso a la justicia: debida diligencia, rendición de cuentes e independencia institucional.  </w:t>
      </w:r>
      <w:r w:rsidRPr="00930562">
        <w:rPr>
          <w:rFonts w:asciiTheme="minorHAnsi" w:hAnsiTheme="minorHAnsi" w:cstheme="minorHAnsi"/>
          <w:color w:val="808080" w:themeColor="background1" w:themeShade="80"/>
          <w:sz w:val="16"/>
          <w:szCs w:val="16"/>
        </w:rPr>
        <w:fldChar w:fldCharType="end"/>
      </w:r>
      <w:r w:rsidRPr="00930562">
        <w:rPr>
          <w:rFonts w:asciiTheme="minorHAnsi" w:hAnsiTheme="minorHAnsi" w:cstheme="minorHAnsi"/>
          <w:color w:val="808080" w:themeColor="background1" w:themeShade="80"/>
          <w:sz w:val="16"/>
          <w:szCs w:val="16"/>
        </w:rPr>
        <w:fldChar w:fldCharType="begin"/>
      </w:r>
      <w:r w:rsidRPr="00930562">
        <w:rPr>
          <w:rFonts w:asciiTheme="minorHAnsi" w:hAnsiTheme="minorHAnsi" w:cstheme="minorHAnsi"/>
          <w:color w:val="808080" w:themeColor="background1" w:themeShade="80"/>
          <w:sz w:val="16"/>
          <w:szCs w:val="16"/>
          <w:lang w:val="es-AR"/>
        </w:rPr>
        <w:instrText xml:space="preserve"> REF _Ref507148925 \h  \* MERGEFORMAT </w:instrText>
      </w:r>
      <w:r w:rsidRPr="00930562">
        <w:rPr>
          <w:rFonts w:asciiTheme="minorHAnsi" w:hAnsiTheme="minorHAnsi" w:cstheme="minorHAnsi"/>
          <w:color w:val="808080" w:themeColor="background1" w:themeShade="80"/>
          <w:sz w:val="16"/>
          <w:szCs w:val="16"/>
        </w:rPr>
      </w:r>
      <w:r w:rsidRPr="00930562">
        <w:rPr>
          <w:rFonts w:asciiTheme="minorHAnsi" w:hAnsiTheme="minorHAnsi" w:cstheme="minorHAnsi"/>
          <w:color w:val="808080" w:themeColor="background1" w:themeShade="80"/>
          <w:sz w:val="16"/>
          <w:szCs w:val="16"/>
        </w:rPr>
        <w:fldChar w:fldCharType="end"/>
      </w:r>
    </w:p>
  </w:footnote>
  <w:footnote w:id="180">
    <w:p w14:paraId="3D9C6DFF" w14:textId="77777777" w:rsidR="00F64540" w:rsidRPr="00930562" w:rsidRDefault="00F64540" w:rsidP="00E10935">
      <w:pPr>
        <w:spacing w:after="40" w:line="240" w:lineRule="auto"/>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vertAlign w:val="superscript"/>
        </w:rPr>
        <w:t xml:space="preserve"> </w:t>
      </w:r>
      <w:r w:rsidRPr="00930562">
        <w:rPr>
          <w:rFonts w:asciiTheme="minorHAnsi" w:hAnsiTheme="minorHAnsi" w:cstheme="minorHAnsi"/>
          <w:color w:val="808080" w:themeColor="background1" w:themeShade="80"/>
          <w:sz w:val="16"/>
          <w:szCs w:val="16"/>
          <w:vertAlign w:val="superscript"/>
        </w:rPr>
        <w:tab/>
      </w:r>
      <w:r w:rsidRPr="00930562">
        <w:rPr>
          <w:rFonts w:asciiTheme="minorHAnsi" w:hAnsiTheme="minorHAnsi" w:cstheme="minorHAnsi"/>
          <w:color w:val="808080" w:themeColor="background1" w:themeShade="80"/>
          <w:sz w:val="16"/>
          <w:szCs w:val="16"/>
        </w:rPr>
        <w:t xml:space="preserve">New York Times, </w:t>
      </w:r>
      <w:hyperlink r:id="rId228" w:history="1">
        <w:r w:rsidRPr="00930562">
          <w:rPr>
            <w:rStyle w:val="Hyperlink"/>
            <w:rFonts w:asciiTheme="minorHAnsi" w:hAnsiTheme="minorHAnsi" w:cstheme="minorHAnsi"/>
            <w:bCs/>
            <w:color w:val="808080" w:themeColor="background1" w:themeShade="80"/>
            <w:sz w:val="16"/>
            <w:szCs w:val="16"/>
          </w:rPr>
          <w:t>Why Are Police Officers More Dangerous Than Airplanes?</w:t>
        </w:r>
      </w:hyperlink>
      <w:r w:rsidRPr="00930562">
        <w:rPr>
          <w:rFonts w:asciiTheme="minorHAnsi" w:hAnsiTheme="minorHAnsi" w:cstheme="minorHAnsi"/>
          <w:bCs/>
          <w:color w:val="808080" w:themeColor="background1" w:themeShade="80"/>
          <w:sz w:val="16"/>
          <w:szCs w:val="16"/>
        </w:rPr>
        <w:t>, agosto de 2017.</w:t>
      </w:r>
    </w:p>
  </w:footnote>
  <w:footnote w:id="181">
    <w:p w14:paraId="3534A2E2"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r>
      <w:hyperlink r:id="rId229" w:history="1">
        <w:r w:rsidRPr="00930562">
          <w:rPr>
            <w:rStyle w:val="Hyperlink"/>
            <w:rFonts w:asciiTheme="minorHAnsi" w:hAnsiTheme="minorHAnsi" w:cstheme="minorHAnsi"/>
            <w:color w:val="808080" w:themeColor="background1" w:themeShade="80"/>
            <w:sz w:val="16"/>
            <w:szCs w:val="16"/>
          </w:rPr>
          <w:t>Fata</w:t>
        </w:r>
      </w:hyperlink>
      <w:r w:rsidRPr="00930562">
        <w:rPr>
          <w:rStyle w:val="Hyperlink"/>
          <w:rFonts w:asciiTheme="minorHAnsi" w:hAnsiTheme="minorHAnsi" w:cstheme="minorHAnsi"/>
          <w:color w:val="808080" w:themeColor="background1" w:themeShade="80"/>
          <w:sz w:val="16"/>
          <w:szCs w:val="16"/>
        </w:rPr>
        <w:t>l Force: 2017</w:t>
      </w:r>
      <w:r w:rsidRPr="00930562">
        <w:rPr>
          <w:rFonts w:asciiTheme="minorHAnsi" w:hAnsiTheme="minorHAnsi" w:cstheme="minorHAnsi"/>
          <w:color w:val="808080" w:themeColor="background1" w:themeShade="80"/>
          <w:sz w:val="16"/>
          <w:szCs w:val="16"/>
        </w:rPr>
        <w:t xml:space="preserve">; Washington Post, </w:t>
      </w:r>
      <w:hyperlink r:id="rId230" w:history="1">
        <w:r w:rsidRPr="00930562">
          <w:rPr>
            <w:rStyle w:val="Hyperlink"/>
            <w:rFonts w:asciiTheme="minorHAnsi" w:hAnsiTheme="minorHAnsi" w:cstheme="minorHAnsi"/>
            <w:color w:val="808080" w:themeColor="background1" w:themeShade="80"/>
            <w:sz w:val="16"/>
            <w:szCs w:val="16"/>
          </w:rPr>
          <w:t>Nationwide, police shot and killed nearly 1,000 people in 2017</w:t>
        </w:r>
      </w:hyperlink>
      <w:r w:rsidRPr="00930562">
        <w:rPr>
          <w:rFonts w:asciiTheme="minorHAnsi" w:hAnsiTheme="minorHAnsi" w:cstheme="minorHAnsi"/>
          <w:color w:val="808080" w:themeColor="background1" w:themeShade="80"/>
          <w:sz w:val="16"/>
          <w:szCs w:val="16"/>
        </w:rPr>
        <w:t>, 6 de enero de 2018.</w:t>
      </w:r>
    </w:p>
  </w:footnote>
  <w:footnote w:id="182">
    <w:p w14:paraId="3F598A60"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rPr>
        <w:t xml:space="preserve"> </w:t>
      </w:r>
      <w:r w:rsidRPr="00930562">
        <w:rPr>
          <w:rFonts w:asciiTheme="minorHAnsi" w:hAnsiTheme="minorHAnsi" w:cstheme="majorHAnsi"/>
          <w:color w:val="808080" w:themeColor="background1" w:themeShade="80"/>
          <w:sz w:val="16"/>
          <w:szCs w:val="16"/>
        </w:rPr>
        <w:tab/>
      </w:r>
      <w:r w:rsidRPr="00930562">
        <w:rPr>
          <w:rFonts w:asciiTheme="minorHAnsi" w:hAnsiTheme="minorHAnsi" w:cstheme="minorHAnsi"/>
          <w:color w:val="808080" w:themeColor="background1" w:themeShade="80"/>
          <w:sz w:val="16"/>
          <w:szCs w:val="16"/>
        </w:rPr>
        <w:t xml:space="preserve">PRI, </w:t>
      </w:r>
      <w:hyperlink r:id="rId231" w:history="1">
        <w:proofErr w:type="gramStart"/>
        <w:r w:rsidRPr="00930562">
          <w:rPr>
            <w:rStyle w:val="Hyperlink"/>
            <w:rFonts w:asciiTheme="minorHAnsi" w:hAnsiTheme="minorHAnsi" w:cstheme="minorHAnsi"/>
            <w:color w:val="808080" w:themeColor="background1" w:themeShade="80"/>
            <w:sz w:val="16"/>
            <w:szCs w:val="16"/>
          </w:rPr>
          <w:t>When</w:t>
        </w:r>
        <w:proofErr w:type="gramEnd"/>
        <w:r w:rsidRPr="00930562">
          <w:rPr>
            <w:rStyle w:val="Hyperlink"/>
            <w:rFonts w:asciiTheme="minorHAnsi" w:hAnsiTheme="minorHAnsi" w:cstheme="minorHAnsi"/>
            <w:color w:val="808080" w:themeColor="background1" w:themeShade="80"/>
            <w:sz w:val="16"/>
            <w:szCs w:val="16"/>
          </w:rPr>
          <w:t xml:space="preserve"> it comes to police shootings, the US doesn't look like a developed nation</w:t>
        </w:r>
      </w:hyperlink>
      <w:r w:rsidRPr="00930562">
        <w:rPr>
          <w:rFonts w:asciiTheme="minorHAnsi" w:hAnsiTheme="minorHAnsi" w:cstheme="minorHAnsi"/>
          <w:color w:val="808080" w:themeColor="background1" w:themeShade="80"/>
          <w:sz w:val="16"/>
          <w:szCs w:val="16"/>
        </w:rPr>
        <w:t>, 12 de julio de 2016.</w:t>
      </w:r>
    </w:p>
  </w:footnote>
  <w:footnote w:id="183">
    <w:p w14:paraId="691E4948" w14:textId="77777777" w:rsidR="00F64540" w:rsidRPr="00930562" w:rsidRDefault="00F64540" w:rsidP="00E10935">
      <w:pPr>
        <w:pStyle w:val="FootnoteText"/>
        <w:spacing w:after="40"/>
        <w:ind w:left="547" w:hanging="547"/>
        <w:contextualSpacing/>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t xml:space="preserve">La base de datos del Washington Post registró que del total de 987 asesinatos cometidos por la policía en los Estados Unidos durante 2017, 223 correspondieron a afroamericanos (23 por ciento del total de los asesinatos). Washington Post, </w:t>
      </w:r>
      <w:hyperlink r:id="rId232" w:history="1">
        <w:r w:rsidRPr="00930562">
          <w:rPr>
            <w:rStyle w:val="Hyperlink"/>
            <w:rFonts w:asciiTheme="minorHAnsi" w:hAnsiTheme="minorHAnsi" w:cstheme="minorHAnsi"/>
            <w:color w:val="808080" w:themeColor="background1" w:themeShade="80"/>
            <w:sz w:val="16"/>
            <w:szCs w:val="16"/>
            <w:lang w:val="es-AR"/>
          </w:rPr>
          <w:t>Fata</w:t>
        </w:r>
      </w:hyperlink>
      <w:r w:rsidRPr="00930562">
        <w:rPr>
          <w:rStyle w:val="Hyperlink"/>
          <w:rFonts w:asciiTheme="minorHAnsi" w:hAnsiTheme="minorHAnsi" w:cstheme="minorHAnsi"/>
          <w:color w:val="808080" w:themeColor="background1" w:themeShade="80"/>
          <w:sz w:val="16"/>
          <w:szCs w:val="16"/>
          <w:lang w:val="es-AR"/>
        </w:rPr>
        <w:t>l Force: 2017</w:t>
      </w:r>
      <w:r w:rsidRPr="00930562">
        <w:rPr>
          <w:rFonts w:asciiTheme="minorHAnsi" w:hAnsiTheme="minorHAnsi" w:cstheme="minorHAnsi"/>
          <w:color w:val="808080" w:themeColor="background1" w:themeShade="80"/>
          <w:sz w:val="16"/>
          <w:szCs w:val="16"/>
          <w:lang w:val="es-AR"/>
        </w:rPr>
        <w:t>, última visita el 8 de noviembre de 2017.</w:t>
      </w:r>
    </w:p>
  </w:footnote>
  <w:footnote w:id="184">
    <w:p w14:paraId="49EE4924"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i/>
          <w:color w:val="808080" w:themeColor="background1" w:themeShade="80"/>
          <w:sz w:val="16"/>
          <w:szCs w:val="16"/>
          <w:lang w:val="es-AR"/>
        </w:rPr>
        <w:t>Véase</w:t>
      </w:r>
      <w:r w:rsidRPr="00930562">
        <w:rPr>
          <w:rFonts w:asciiTheme="minorHAnsi" w:hAnsiTheme="minorHAnsi" w:cstheme="minorHAnsi"/>
          <w:color w:val="808080" w:themeColor="background1" w:themeShade="80"/>
          <w:sz w:val="16"/>
          <w:szCs w:val="16"/>
          <w:lang w:val="es-AR"/>
        </w:rPr>
        <w:t xml:space="preserve"> Washington Post, </w:t>
      </w:r>
      <w:hyperlink r:id="rId233" w:history="1">
        <w:r w:rsidRPr="00930562">
          <w:rPr>
            <w:rStyle w:val="Hyperlink"/>
            <w:rFonts w:asciiTheme="minorHAnsi" w:hAnsiTheme="minorHAnsi" w:cstheme="minorHAnsi"/>
            <w:color w:val="808080" w:themeColor="background1" w:themeShade="80"/>
            <w:sz w:val="16"/>
            <w:szCs w:val="16"/>
            <w:lang w:val="es-AR"/>
          </w:rPr>
          <w:t>Fatal Force: 2016</w:t>
        </w:r>
      </w:hyperlink>
      <w:r w:rsidRPr="00930562">
        <w:rPr>
          <w:rFonts w:asciiTheme="minorHAnsi" w:hAnsiTheme="minorHAnsi" w:cstheme="minorHAnsi"/>
          <w:color w:val="808080" w:themeColor="background1" w:themeShade="80"/>
          <w:sz w:val="16"/>
          <w:szCs w:val="16"/>
          <w:lang w:val="es-AR"/>
        </w:rPr>
        <w:t xml:space="preserve">, última visita el 23 de octubre de 2017; </w:t>
      </w:r>
      <w:hyperlink r:id="rId234" w:history="1">
        <w:r w:rsidRPr="00930562">
          <w:rPr>
            <w:rStyle w:val="Hyperlink"/>
            <w:rFonts w:asciiTheme="minorHAnsi" w:hAnsiTheme="minorHAnsi" w:cstheme="minorHAnsi"/>
            <w:color w:val="808080" w:themeColor="background1" w:themeShade="80"/>
            <w:sz w:val="16"/>
            <w:szCs w:val="16"/>
            <w:lang w:val="es-AR"/>
          </w:rPr>
          <w:t>Fatal Force: 2015</w:t>
        </w:r>
      </w:hyperlink>
      <w:r w:rsidRPr="00930562">
        <w:rPr>
          <w:rFonts w:asciiTheme="minorHAnsi" w:hAnsiTheme="minorHAnsi" w:cstheme="minorHAnsi"/>
          <w:color w:val="808080" w:themeColor="background1" w:themeShade="80"/>
          <w:sz w:val="16"/>
          <w:szCs w:val="16"/>
          <w:lang w:val="es-AR"/>
        </w:rPr>
        <w:t xml:space="preserve">, última visita el 23 de octubre de 2017. </w:t>
      </w:r>
    </w:p>
  </w:footnote>
  <w:footnote w:id="185">
    <w:p w14:paraId="5578B8D4" w14:textId="77777777" w:rsidR="00F64540" w:rsidRPr="00930562" w:rsidRDefault="00F64540" w:rsidP="00E10935">
      <w:pPr>
        <w:spacing w:after="40" w:line="240" w:lineRule="auto"/>
        <w:ind w:left="547" w:hanging="547"/>
        <w:contextualSpacing/>
        <w:jc w:val="both"/>
        <w:rPr>
          <w:rFonts w:asciiTheme="minorHAnsi" w:hAnsiTheme="minorHAnsi" w:cstheme="minorHAnsi"/>
          <w:color w:val="808080" w:themeColor="background1" w:themeShade="80"/>
          <w:sz w:val="16"/>
          <w:szCs w:val="16"/>
          <w:lang w:val="es-US"/>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US"/>
        </w:rPr>
        <w:t xml:space="preserve"> </w:t>
      </w:r>
      <w:r w:rsidRPr="00930562">
        <w:rPr>
          <w:rFonts w:asciiTheme="minorHAnsi" w:hAnsiTheme="minorHAnsi" w:cstheme="minorHAnsi"/>
          <w:color w:val="808080" w:themeColor="background1" w:themeShade="80"/>
          <w:sz w:val="16"/>
          <w:szCs w:val="16"/>
          <w:lang w:val="es-US"/>
        </w:rPr>
        <w:tab/>
      </w:r>
      <w:r w:rsidRPr="00930562">
        <w:rPr>
          <w:rFonts w:asciiTheme="minorHAnsi" w:hAnsiTheme="minorHAnsi" w:cstheme="minorHAnsi"/>
          <w:bCs/>
          <w:color w:val="808080" w:themeColor="background1" w:themeShade="80"/>
          <w:sz w:val="16"/>
          <w:szCs w:val="16"/>
          <w:lang w:val="es-US"/>
        </w:rPr>
        <w:t xml:space="preserve">CIDH, 156° Período de Sesiones, </w:t>
      </w:r>
      <w:hyperlink r:id="rId235" w:history="1">
        <w:r w:rsidRPr="00930562">
          <w:rPr>
            <w:rStyle w:val="Hyperlink"/>
            <w:rFonts w:asciiTheme="minorHAnsi" w:hAnsiTheme="minorHAnsi" w:cstheme="minorHAnsi"/>
            <w:bCs/>
            <w:color w:val="808080" w:themeColor="background1" w:themeShade="80"/>
            <w:sz w:val="16"/>
            <w:szCs w:val="16"/>
            <w:lang w:val="es-US"/>
          </w:rPr>
          <w:t>Audiencia “Asesinatos Policiales</w:t>
        </w:r>
      </w:hyperlink>
      <w:r w:rsidRPr="00930562">
        <w:rPr>
          <w:rStyle w:val="Hyperlink"/>
          <w:rFonts w:asciiTheme="minorHAnsi" w:hAnsiTheme="minorHAnsi" w:cstheme="minorHAnsi"/>
          <w:bCs/>
          <w:color w:val="808080" w:themeColor="background1" w:themeShade="80"/>
          <w:sz w:val="16"/>
          <w:szCs w:val="16"/>
          <w:lang w:val="es-US"/>
        </w:rPr>
        <w:t>”</w:t>
      </w:r>
      <w:r w:rsidRPr="00930562">
        <w:rPr>
          <w:rFonts w:asciiTheme="minorHAnsi" w:hAnsiTheme="minorHAnsi" w:cstheme="minorHAnsi"/>
          <w:bCs/>
          <w:color w:val="808080" w:themeColor="background1" w:themeShade="80"/>
          <w:sz w:val="16"/>
          <w:szCs w:val="16"/>
          <w:lang w:val="es-US"/>
        </w:rPr>
        <w:t>, 23 de octubre de 2015</w:t>
      </w:r>
      <w:r w:rsidRPr="00930562">
        <w:rPr>
          <w:rFonts w:asciiTheme="minorHAnsi" w:hAnsiTheme="minorHAnsi" w:cstheme="minorHAnsi"/>
          <w:color w:val="808080" w:themeColor="background1" w:themeShade="80"/>
          <w:sz w:val="16"/>
          <w:szCs w:val="16"/>
          <w:lang w:val="es-US"/>
        </w:rPr>
        <w:t>.</w:t>
      </w:r>
    </w:p>
  </w:footnote>
  <w:footnote w:id="186">
    <w:p w14:paraId="13577330"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James Buehler, “</w:t>
      </w:r>
      <w:r w:rsidRPr="00930562">
        <w:rPr>
          <w:rFonts w:asciiTheme="minorHAnsi" w:hAnsiTheme="minorHAnsi" w:cstheme="minorHAnsi"/>
          <w:iCs/>
          <w:color w:val="808080" w:themeColor="background1" w:themeShade="80"/>
          <w:sz w:val="16"/>
          <w:szCs w:val="16"/>
        </w:rPr>
        <w:t>Racial/Ethnic Disparities in the Use of Lethal Force by US Police, 2010–2014</w:t>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i/>
          <w:color w:val="808080" w:themeColor="background1" w:themeShade="80"/>
          <w:sz w:val="16"/>
          <w:szCs w:val="16"/>
        </w:rPr>
        <w:t>American Journal of Public Health</w:t>
      </w:r>
      <w:r w:rsidRPr="00930562">
        <w:rPr>
          <w:rFonts w:asciiTheme="minorHAnsi" w:hAnsiTheme="minorHAnsi" w:cstheme="minorHAnsi"/>
          <w:color w:val="808080" w:themeColor="background1" w:themeShade="80"/>
          <w:sz w:val="16"/>
          <w:szCs w:val="16"/>
        </w:rPr>
        <w:t xml:space="preserve">, Jan. 11, 2017, available at: </w:t>
      </w:r>
      <w:hyperlink r:id="rId236" w:history="1">
        <w:r w:rsidRPr="00930562">
          <w:rPr>
            <w:rStyle w:val="Hyperlink"/>
            <w:rFonts w:asciiTheme="minorHAnsi" w:hAnsiTheme="minorHAnsi" w:cstheme="minorHAnsi"/>
            <w:color w:val="808080" w:themeColor="background1" w:themeShade="80"/>
            <w:sz w:val="16"/>
            <w:szCs w:val="16"/>
          </w:rPr>
          <w:t>http://ajph.aphapublications.org/doi/abs/10.2105/AJPH.2016.303575</w:t>
        </w:r>
      </w:hyperlink>
      <w:r w:rsidRPr="00930562">
        <w:rPr>
          <w:rFonts w:asciiTheme="minorHAnsi" w:hAnsiTheme="minorHAnsi" w:cstheme="minorHAnsi"/>
          <w:color w:val="808080" w:themeColor="background1" w:themeShade="80"/>
          <w:sz w:val="16"/>
          <w:szCs w:val="16"/>
        </w:rPr>
        <w:t xml:space="preserve">. </w:t>
      </w:r>
    </w:p>
  </w:footnote>
  <w:footnote w:id="187">
    <w:p w14:paraId="1CEAA792"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i/>
          <w:color w:val="808080" w:themeColor="background1" w:themeShade="80"/>
          <w:sz w:val="16"/>
          <w:szCs w:val="16"/>
        </w:rPr>
        <w:t xml:space="preserve"> </w:t>
      </w:r>
      <w:r w:rsidRPr="00930562">
        <w:rPr>
          <w:rFonts w:asciiTheme="minorHAnsi" w:hAnsiTheme="minorHAnsi" w:cstheme="minorHAnsi"/>
          <w:i/>
          <w:color w:val="808080" w:themeColor="background1" w:themeShade="80"/>
          <w:sz w:val="16"/>
          <w:szCs w:val="16"/>
        </w:rPr>
        <w:tab/>
      </w:r>
      <w:r w:rsidRPr="00930562">
        <w:rPr>
          <w:rFonts w:asciiTheme="minorHAnsi" w:hAnsiTheme="minorHAnsi" w:cstheme="minorHAnsi"/>
          <w:color w:val="808080" w:themeColor="background1" w:themeShade="80"/>
          <w:sz w:val="16"/>
          <w:szCs w:val="16"/>
        </w:rPr>
        <w:t xml:space="preserve">Cody Ross, </w:t>
      </w:r>
      <w:r w:rsidRPr="00930562">
        <w:rPr>
          <w:rFonts w:asciiTheme="minorHAnsi" w:hAnsiTheme="minorHAnsi" w:cstheme="minorHAnsi"/>
          <w:i/>
          <w:color w:val="808080" w:themeColor="background1" w:themeShade="80"/>
          <w:sz w:val="16"/>
          <w:szCs w:val="16"/>
        </w:rPr>
        <w:t>A Multi-Level Bayesian Analysis of Racial Bias in Police Shootings at the County-Level in the United States,</w:t>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i/>
          <w:color w:val="808080" w:themeColor="background1" w:themeShade="80"/>
          <w:sz w:val="16"/>
          <w:szCs w:val="16"/>
        </w:rPr>
        <w:t>2011–2014</w:t>
      </w:r>
      <w:r w:rsidRPr="00930562">
        <w:rPr>
          <w:rFonts w:asciiTheme="minorHAnsi" w:hAnsiTheme="minorHAnsi" w:cstheme="minorHAnsi"/>
          <w:color w:val="808080" w:themeColor="background1" w:themeShade="80"/>
          <w:sz w:val="16"/>
          <w:szCs w:val="16"/>
        </w:rPr>
        <w:t>, Plos Journals, 5 de noviembre de 2015.</w:t>
      </w:r>
    </w:p>
  </w:footnote>
  <w:footnote w:id="188">
    <w:p w14:paraId="712B492E"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US"/>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US"/>
        </w:rPr>
        <w:t xml:space="preserve"> </w:t>
      </w:r>
      <w:r w:rsidRPr="00930562">
        <w:rPr>
          <w:rFonts w:asciiTheme="minorHAnsi" w:hAnsiTheme="minorHAnsi" w:cstheme="minorHAnsi"/>
          <w:color w:val="808080" w:themeColor="background1" w:themeShade="80"/>
          <w:sz w:val="16"/>
          <w:szCs w:val="16"/>
          <w:lang w:val="es-US"/>
        </w:rPr>
        <w:tab/>
      </w:r>
      <w:r w:rsidRPr="00930562">
        <w:rPr>
          <w:rFonts w:asciiTheme="minorHAnsi" w:hAnsiTheme="minorHAnsi" w:cstheme="minorHAnsi"/>
          <w:bCs/>
          <w:color w:val="808080" w:themeColor="background1" w:themeShade="80"/>
          <w:sz w:val="16"/>
          <w:szCs w:val="16"/>
          <w:lang w:val="es-US"/>
        </w:rPr>
        <w:t xml:space="preserve">CIDH, 156° Período de Sesiones, </w:t>
      </w:r>
      <w:hyperlink r:id="rId237" w:history="1">
        <w:r w:rsidRPr="00930562">
          <w:rPr>
            <w:rStyle w:val="Hyperlink"/>
            <w:rFonts w:asciiTheme="minorHAnsi" w:hAnsiTheme="minorHAnsi" w:cstheme="minorHAnsi"/>
            <w:bCs/>
            <w:color w:val="808080" w:themeColor="background1" w:themeShade="80"/>
            <w:sz w:val="16"/>
            <w:szCs w:val="16"/>
            <w:lang w:val="es-US"/>
          </w:rPr>
          <w:t>Audiencia “Asesinatos Policiales</w:t>
        </w:r>
      </w:hyperlink>
      <w:r w:rsidRPr="00930562">
        <w:rPr>
          <w:rStyle w:val="Hyperlink"/>
          <w:rFonts w:asciiTheme="minorHAnsi" w:hAnsiTheme="minorHAnsi" w:cstheme="minorHAnsi"/>
          <w:bCs/>
          <w:color w:val="808080" w:themeColor="background1" w:themeShade="80"/>
          <w:sz w:val="16"/>
          <w:szCs w:val="16"/>
          <w:lang w:val="es-US"/>
        </w:rPr>
        <w:t>”</w:t>
      </w:r>
      <w:r w:rsidRPr="00930562">
        <w:rPr>
          <w:rFonts w:asciiTheme="minorHAnsi" w:hAnsiTheme="minorHAnsi" w:cstheme="minorHAnsi"/>
          <w:bCs/>
          <w:color w:val="808080" w:themeColor="background1" w:themeShade="80"/>
          <w:sz w:val="16"/>
          <w:szCs w:val="16"/>
          <w:lang w:val="es-US"/>
        </w:rPr>
        <w:t>, 23 de octubre de 2015</w:t>
      </w:r>
      <w:r w:rsidRPr="00930562">
        <w:rPr>
          <w:rFonts w:asciiTheme="minorHAnsi" w:hAnsiTheme="minorHAnsi" w:cstheme="minorHAnsi"/>
          <w:color w:val="808080" w:themeColor="background1" w:themeShade="80"/>
          <w:sz w:val="16"/>
          <w:szCs w:val="16"/>
          <w:lang w:val="es-US"/>
        </w:rPr>
        <w:t>.</w:t>
      </w:r>
    </w:p>
  </w:footnote>
  <w:footnote w:id="189">
    <w:p w14:paraId="24A34BF2"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New York Times, </w:t>
      </w:r>
      <w:hyperlink r:id="rId238" w:history="1">
        <w:r w:rsidRPr="00930562">
          <w:rPr>
            <w:rStyle w:val="Hyperlink"/>
            <w:rFonts w:asciiTheme="minorHAnsi" w:hAnsiTheme="minorHAnsi" w:cstheme="minorHAnsi"/>
            <w:color w:val="808080" w:themeColor="background1" w:themeShade="80"/>
            <w:sz w:val="16"/>
            <w:szCs w:val="16"/>
          </w:rPr>
          <w:t>Officers in Bronx Fire 41 Shots, And an Unarmed Man Is Killed</w:t>
        </w:r>
      </w:hyperlink>
      <w:r w:rsidRPr="00930562">
        <w:rPr>
          <w:rFonts w:asciiTheme="minorHAnsi" w:hAnsiTheme="minorHAnsi" w:cstheme="minorHAnsi"/>
          <w:color w:val="808080" w:themeColor="background1" w:themeShade="80"/>
          <w:sz w:val="16"/>
          <w:szCs w:val="16"/>
        </w:rPr>
        <w:t>, 5 de febrero de 1999.</w:t>
      </w:r>
    </w:p>
  </w:footnote>
  <w:footnote w:id="190">
    <w:p w14:paraId="27A53B7D"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r>
      <w:r w:rsidRPr="00930562">
        <w:rPr>
          <w:rFonts w:asciiTheme="minorHAnsi" w:hAnsiTheme="minorHAnsi" w:cstheme="minorHAnsi"/>
          <w:i/>
          <w:color w:val="808080" w:themeColor="background1" w:themeShade="80"/>
          <w:sz w:val="16"/>
          <w:szCs w:val="16"/>
        </w:rPr>
        <w:t>Véase por ejemplo</w:t>
      </w:r>
      <w:r w:rsidRPr="00930562">
        <w:rPr>
          <w:rFonts w:asciiTheme="minorHAnsi" w:hAnsiTheme="minorHAnsi" w:cstheme="minorHAnsi"/>
          <w:color w:val="808080" w:themeColor="background1" w:themeShade="80"/>
          <w:sz w:val="16"/>
          <w:szCs w:val="16"/>
        </w:rPr>
        <w:t xml:space="preserve"> LA Times, </w:t>
      </w:r>
      <w:hyperlink r:id="rId239" w:history="1">
        <w:r w:rsidRPr="00930562">
          <w:rPr>
            <w:rStyle w:val="Hyperlink"/>
            <w:rFonts w:asciiTheme="minorHAnsi" w:hAnsiTheme="minorHAnsi" w:cstheme="minorHAnsi"/>
            <w:color w:val="808080" w:themeColor="background1" w:themeShade="80"/>
            <w:sz w:val="16"/>
            <w:szCs w:val="16"/>
          </w:rPr>
          <w:t>Cops shoot and kill someone about 1,000 times a year. Few are prosecuted. What can be done?</w:t>
        </w:r>
      </w:hyperlink>
      <w:r w:rsidRPr="00930562">
        <w:rPr>
          <w:rFonts w:asciiTheme="minorHAnsi" w:hAnsiTheme="minorHAnsi" w:cstheme="minorHAnsi"/>
          <w:color w:val="808080" w:themeColor="background1" w:themeShade="80"/>
          <w:sz w:val="16"/>
          <w:szCs w:val="16"/>
        </w:rPr>
        <w:t>, 15 de diciembre de 2016.</w:t>
      </w:r>
    </w:p>
  </w:footnote>
  <w:footnote w:id="191">
    <w:p w14:paraId="08E7E336"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AR"/>
        </w:rPr>
        <w:t xml:space="preserve"> </w:t>
      </w:r>
      <w:r w:rsidRPr="00930562">
        <w:rPr>
          <w:rFonts w:asciiTheme="minorHAnsi" w:hAnsiTheme="minorHAnsi" w:cstheme="majorHAnsi"/>
          <w:color w:val="808080" w:themeColor="background1" w:themeShade="80"/>
          <w:sz w:val="16"/>
          <w:szCs w:val="16"/>
          <w:lang w:val="es-AR"/>
        </w:rPr>
        <w:tab/>
      </w:r>
      <w:r w:rsidRPr="00930562">
        <w:rPr>
          <w:rFonts w:asciiTheme="minorHAnsi" w:hAnsiTheme="minorHAnsi" w:cstheme="minorHAnsi"/>
          <w:i/>
          <w:color w:val="808080" w:themeColor="background1" w:themeShade="80"/>
          <w:sz w:val="16"/>
          <w:szCs w:val="16"/>
          <w:lang w:val="es-AR"/>
        </w:rPr>
        <w:t>Véase por ejemplo</w:t>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bCs/>
          <w:color w:val="808080" w:themeColor="background1" w:themeShade="80"/>
          <w:sz w:val="16"/>
          <w:szCs w:val="16"/>
          <w:lang w:val="es-AR"/>
        </w:rPr>
        <w:t xml:space="preserve">CIDH, 166° Período de Sesiones, </w:t>
      </w:r>
      <w:hyperlink r:id="rId240" w:history="1">
        <w:r w:rsidRPr="00930562">
          <w:rPr>
            <w:rStyle w:val="Hyperlink"/>
            <w:rFonts w:asciiTheme="minorHAnsi" w:hAnsiTheme="minorHAnsi" w:cstheme="minorHAnsi"/>
            <w:bCs/>
            <w:color w:val="808080" w:themeColor="background1" w:themeShade="80"/>
            <w:sz w:val="16"/>
            <w:szCs w:val="16"/>
            <w:lang w:val="es-AR"/>
          </w:rPr>
          <w:t>Audiencia “Impunidad de Asesinatos Policiales</w:t>
        </w:r>
        <w:proofErr w:type="gramStart"/>
        <w:r w:rsidRPr="00930562">
          <w:rPr>
            <w:rStyle w:val="Hyperlink"/>
            <w:rFonts w:asciiTheme="minorHAnsi" w:hAnsiTheme="minorHAnsi" w:cstheme="minorHAnsi"/>
            <w:bCs/>
            <w:color w:val="808080" w:themeColor="background1" w:themeShade="80"/>
            <w:sz w:val="16"/>
            <w:szCs w:val="16"/>
            <w:lang w:val="es-AR"/>
          </w:rPr>
          <w:t xml:space="preserve">” </w:t>
        </w:r>
        <w:proofErr w:type="gramEnd"/>
      </w:hyperlink>
      <w:r w:rsidRPr="00930562">
        <w:rPr>
          <w:rFonts w:asciiTheme="minorHAnsi" w:hAnsiTheme="minorHAnsi" w:cstheme="minorHAnsi"/>
          <w:bCs/>
          <w:color w:val="808080" w:themeColor="background1" w:themeShade="80"/>
          <w:sz w:val="16"/>
          <w:szCs w:val="16"/>
          <w:lang w:val="es-AR"/>
        </w:rPr>
        <w:t>,</w:t>
      </w:r>
      <w:r w:rsidRPr="00930562">
        <w:rPr>
          <w:rFonts w:asciiTheme="minorHAnsi" w:hAnsiTheme="minorHAnsi" w:cstheme="minorHAnsi"/>
          <w:color w:val="808080" w:themeColor="background1" w:themeShade="80"/>
          <w:sz w:val="16"/>
          <w:szCs w:val="16"/>
          <w:lang w:val="es-AR"/>
        </w:rPr>
        <w:t xml:space="preserve"> 7 de diciembre de </w:t>
      </w:r>
      <w:r w:rsidRPr="00930562">
        <w:rPr>
          <w:rFonts w:asciiTheme="minorHAnsi" w:hAnsiTheme="minorHAnsi" w:cstheme="minorHAnsi"/>
          <w:bCs/>
          <w:color w:val="808080" w:themeColor="background1" w:themeShade="80"/>
          <w:sz w:val="16"/>
          <w:szCs w:val="16"/>
          <w:lang w:val="es-AR"/>
        </w:rPr>
        <w:t>2017</w:t>
      </w:r>
      <w:r w:rsidRPr="00930562">
        <w:rPr>
          <w:rFonts w:asciiTheme="minorHAnsi" w:hAnsiTheme="minorHAnsi" w:cstheme="minorHAnsi"/>
          <w:color w:val="808080" w:themeColor="background1" w:themeShade="80"/>
          <w:sz w:val="16"/>
          <w:szCs w:val="16"/>
          <w:lang w:val="es-AR"/>
        </w:rPr>
        <w:t>.</w:t>
      </w:r>
    </w:p>
  </w:footnote>
  <w:footnote w:id="192">
    <w:p w14:paraId="430435F4"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t xml:space="preserve">CIDH, </w:t>
      </w:r>
      <w:hyperlink r:id="rId241" w:history="1">
        <w:r w:rsidRPr="00930562">
          <w:rPr>
            <w:rStyle w:val="Hyperlink"/>
            <w:rFonts w:asciiTheme="minorHAnsi" w:hAnsiTheme="minorHAnsi" w:cstheme="minorHAnsi"/>
            <w:color w:val="808080" w:themeColor="background1" w:themeShade="80"/>
            <w:sz w:val="16"/>
            <w:szCs w:val="16"/>
            <w:lang w:val="es-AR"/>
          </w:rPr>
          <w:t>Seguridad Ciudadana y Derechos Humanos</w:t>
        </w:r>
      </w:hyperlink>
      <w:r w:rsidRPr="00930562">
        <w:rPr>
          <w:rFonts w:asciiTheme="minorHAnsi" w:hAnsiTheme="minorHAnsi" w:cstheme="minorHAnsi"/>
          <w:color w:val="808080" w:themeColor="background1" w:themeShade="80"/>
          <w:sz w:val="16"/>
          <w:szCs w:val="16"/>
          <w:lang w:val="es-AR"/>
        </w:rPr>
        <w:t xml:space="preserve"> (2009), párr. 31.</w:t>
      </w:r>
    </w:p>
  </w:footnote>
  <w:footnote w:id="193">
    <w:p w14:paraId="1396B958"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bCs/>
          <w:color w:val="808080" w:themeColor="background1" w:themeShade="80"/>
          <w:sz w:val="16"/>
          <w:szCs w:val="16"/>
          <w:lang w:val="es-AR"/>
        </w:rPr>
        <w:t xml:space="preserve">Com. Derechos Humanos. </w:t>
      </w:r>
      <w:hyperlink r:id="rId242" w:history="1">
        <w:r w:rsidRPr="00930562">
          <w:rPr>
            <w:rStyle w:val="Hyperlink"/>
            <w:rFonts w:asciiTheme="minorHAnsi" w:hAnsiTheme="minorHAnsi" w:cstheme="minorHAnsi"/>
            <w:bCs/>
            <w:color w:val="808080" w:themeColor="background1" w:themeShade="80"/>
            <w:sz w:val="16"/>
            <w:szCs w:val="16"/>
            <w:lang w:val="es-AR"/>
          </w:rPr>
          <w:t>Observaciones Finales 2014</w:t>
        </w:r>
      </w:hyperlink>
      <w:r w:rsidRPr="00930562">
        <w:rPr>
          <w:rFonts w:asciiTheme="minorHAnsi" w:hAnsiTheme="minorHAnsi" w:cstheme="minorHAnsi"/>
          <w:bCs/>
          <w:color w:val="808080" w:themeColor="background1" w:themeShade="80"/>
          <w:sz w:val="16"/>
          <w:szCs w:val="16"/>
          <w:lang w:val="es-AR"/>
        </w:rPr>
        <w:t>, 23 de abril de 2014</w:t>
      </w:r>
      <w:r w:rsidRPr="00930562">
        <w:rPr>
          <w:rFonts w:asciiTheme="minorHAnsi" w:hAnsiTheme="minorHAnsi" w:cstheme="minorHAnsi"/>
          <w:color w:val="808080" w:themeColor="background1" w:themeShade="80"/>
          <w:sz w:val="16"/>
          <w:szCs w:val="16"/>
          <w:lang w:val="es-AR"/>
        </w:rPr>
        <w:t>, párr. 11.</w:t>
      </w:r>
    </w:p>
  </w:footnote>
  <w:footnote w:id="194">
    <w:p w14:paraId="1851276F"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bCs/>
          <w:color w:val="808080" w:themeColor="background1" w:themeShade="80"/>
          <w:sz w:val="16"/>
          <w:szCs w:val="16"/>
          <w:lang w:val="es-AR"/>
        </w:rPr>
        <w:t xml:space="preserve">CERD, </w:t>
      </w:r>
      <w:hyperlink r:id="rId243" w:history="1">
        <w:r w:rsidRPr="00930562">
          <w:rPr>
            <w:rStyle w:val="Hyperlink"/>
            <w:rFonts w:asciiTheme="minorHAnsi" w:hAnsiTheme="minorHAnsi" w:cstheme="minorHAnsi"/>
            <w:bCs/>
            <w:color w:val="808080" w:themeColor="background1" w:themeShade="80"/>
            <w:sz w:val="16"/>
            <w:szCs w:val="16"/>
            <w:lang w:val="es-AR"/>
          </w:rPr>
          <w:t>Observaciones Finales 2014</w:t>
        </w:r>
      </w:hyperlink>
      <w:r w:rsidRPr="00930562">
        <w:rPr>
          <w:rFonts w:asciiTheme="minorHAnsi" w:hAnsiTheme="minorHAnsi" w:cstheme="minorHAnsi"/>
          <w:bCs/>
          <w:color w:val="808080" w:themeColor="background1" w:themeShade="80"/>
          <w:sz w:val="16"/>
          <w:szCs w:val="16"/>
          <w:lang w:val="es-AR"/>
        </w:rPr>
        <w:t>, 25 de s</w:t>
      </w:r>
      <w:r w:rsidRPr="00930562">
        <w:rPr>
          <w:rFonts w:asciiTheme="minorHAnsi" w:hAnsiTheme="minorHAnsi" w:cstheme="minorHAnsi"/>
          <w:color w:val="808080" w:themeColor="background1" w:themeShade="80"/>
          <w:sz w:val="16"/>
          <w:szCs w:val="16"/>
          <w:lang w:val="es-AR"/>
        </w:rPr>
        <w:t xml:space="preserve">eptiembre de </w:t>
      </w:r>
      <w:r w:rsidRPr="00930562">
        <w:rPr>
          <w:rFonts w:asciiTheme="minorHAnsi" w:hAnsiTheme="minorHAnsi" w:cstheme="minorHAnsi"/>
          <w:bCs/>
          <w:color w:val="808080" w:themeColor="background1" w:themeShade="80"/>
          <w:sz w:val="16"/>
          <w:szCs w:val="16"/>
          <w:lang w:val="es-AR"/>
        </w:rPr>
        <w:t>2014</w:t>
      </w:r>
      <w:r w:rsidRPr="00930562">
        <w:rPr>
          <w:rFonts w:asciiTheme="minorHAnsi" w:hAnsiTheme="minorHAnsi" w:cstheme="minorHAnsi"/>
          <w:color w:val="808080" w:themeColor="background1" w:themeShade="80"/>
          <w:sz w:val="16"/>
          <w:szCs w:val="16"/>
          <w:lang w:val="es-AR"/>
        </w:rPr>
        <w:t>, párr. 17. Sobre la violencia fronteriza y el uso de la fuerza en zonas transfronterizas, véase además</w:t>
      </w:r>
      <w:r w:rsidRPr="00930562">
        <w:rPr>
          <w:rFonts w:asciiTheme="minorHAnsi" w:hAnsiTheme="minorHAnsi" w:cstheme="minorHAnsi"/>
          <w: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 xml:space="preserve">Slate, </w:t>
      </w:r>
      <w:hyperlink r:id="rId244" w:history="1">
        <w:r w:rsidRPr="00930562">
          <w:rPr>
            <w:rStyle w:val="Hyperlink"/>
            <w:rFonts w:asciiTheme="minorHAnsi" w:hAnsiTheme="minorHAnsi" w:cstheme="minorHAnsi"/>
            <w:color w:val="808080" w:themeColor="background1" w:themeShade="80"/>
            <w:sz w:val="16"/>
            <w:szCs w:val="16"/>
            <w:lang w:val="es-AR"/>
          </w:rPr>
          <w:t xml:space="preserve">A Supreme Court Conundrum: A federal agent standing on U.S. soil shot and killed someone across the border in Mexico. </w:t>
        </w:r>
        <w:r w:rsidRPr="00930562">
          <w:rPr>
            <w:rStyle w:val="Hyperlink"/>
            <w:rFonts w:asciiTheme="minorHAnsi" w:hAnsiTheme="minorHAnsi" w:cstheme="minorHAnsi"/>
            <w:color w:val="808080" w:themeColor="background1" w:themeShade="80"/>
            <w:sz w:val="16"/>
            <w:szCs w:val="16"/>
          </w:rPr>
          <w:t>Was the shooting unconstitutional?</w:t>
        </w:r>
      </w:hyperlink>
      <w:r w:rsidRPr="00930562">
        <w:rPr>
          <w:rFonts w:asciiTheme="minorHAnsi" w:hAnsiTheme="minorHAnsi" w:cstheme="minorHAnsi"/>
          <w:color w:val="808080" w:themeColor="background1" w:themeShade="80"/>
          <w:sz w:val="16"/>
          <w:szCs w:val="16"/>
        </w:rPr>
        <w:t xml:space="preserve"> 20 de febrero de 2017; NPR, </w:t>
      </w:r>
      <w:hyperlink r:id="rId245" w:history="1">
        <w:r w:rsidRPr="00930562">
          <w:rPr>
            <w:rStyle w:val="Hyperlink"/>
            <w:rFonts w:asciiTheme="minorHAnsi" w:hAnsiTheme="minorHAnsi" w:cstheme="minorHAnsi"/>
            <w:color w:val="808080" w:themeColor="background1" w:themeShade="80"/>
            <w:sz w:val="16"/>
            <w:szCs w:val="16"/>
          </w:rPr>
          <w:t>Supreme Court Sends Cross-Border Shooting Case Back To Lower Court</w:t>
        </w:r>
      </w:hyperlink>
      <w:r w:rsidRPr="00930562">
        <w:rPr>
          <w:rFonts w:asciiTheme="minorHAnsi" w:hAnsiTheme="minorHAnsi" w:cstheme="minorHAnsi"/>
          <w:color w:val="808080" w:themeColor="background1" w:themeShade="80"/>
          <w:sz w:val="16"/>
          <w:szCs w:val="16"/>
        </w:rPr>
        <w:t>, 26 de junio de 2017.</w:t>
      </w:r>
    </w:p>
  </w:footnote>
  <w:footnote w:id="195">
    <w:p w14:paraId="7C628538"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bCs/>
          <w:color w:val="808080" w:themeColor="background1" w:themeShade="80"/>
          <w:sz w:val="16"/>
          <w:szCs w:val="16"/>
          <w:lang w:val="es-AR"/>
        </w:rPr>
        <w:t xml:space="preserve">ONU., Grupo de Trabajo sobre Afrodescendientes. </w:t>
      </w:r>
      <w:hyperlink r:id="rId246" w:history="1">
        <w:r w:rsidRPr="00930562">
          <w:rPr>
            <w:rStyle w:val="Hyperlink"/>
            <w:rFonts w:asciiTheme="minorHAnsi" w:hAnsiTheme="minorHAnsi" w:cstheme="minorHAnsi"/>
            <w:bCs/>
            <w:color w:val="808080" w:themeColor="background1" w:themeShade="80"/>
            <w:sz w:val="16"/>
            <w:szCs w:val="16"/>
          </w:rPr>
          <w:t>Report on mission to the U.S.</w:t>
        </w:r>
      </w:hyperlink>
      <w:r w:rsidRPr="00930562">
        <w:rPr>
          <w:rFonts w:asciiTheme="minorHAnsi" w:hAnsiTheme="minorHAnsi" w:cstheme="minorHAnsi"/>
          <w:bCs/>
          <w:color w:val="808080" w:themeColor="background1" w:themeShade="80"/>
          <w:sz w:val="16"/>
          <w:szCs w:val="16"/>
        </w:rPr>
        <w:t>, 18 de agosto de 2016</w:t>
      </w:r>
      <w:r w:rsidRPr="00930562">
        <w:rPr>
          <w:rFonts w:asciiTheme="minorHAnsi" w:hAnsiTheme="minorHAnsi" w:cstheme="minorHAnsi"/>
          <w:color w:val="808080" w:themeColor="background1" w:themeShade="80"/>
          <w:sz w:val="16"/>
          <w:szCs w:val="16"/>
        </w:rPr>
        <w:t xml:space="preserve">, </w:t>
      </w:r>
      <w:proofErr w:type="gramStart"/>
      <w:r w:rsidRPr="00930562">
        <w:rPr>
          <w:rFonts w:asciiTheme="minorHAnsi" w:hAnsiTheme="minorHAnsi" w:cstheme="minorHAnsi"/>
          <w:color w:val="808080" w:themeColor="background1" w:themeShade="80"/>
          <w:sz w:val="16"/>
          <w:szCs w:val="16"/>
        </w:rPr>
        <w:t>párrs</w:t>
      </w:r>
      <w:proofErr w:type="gramEnd"/>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lang w:val="es-AR"/>
        </w:rPr>
        <w:t>20-26.</w:t>
      </w:r>
    </w:p>
  </w:footnote>
  <w:footnote w:id="196">
    <w:p w14:paraId="6A9DA283" w14:textId="77777777" w:rsidR="00F64540" w:rsidRPr="00930562" w:rsidRDefault="00F64540" w:rsidP="00E10935">
      <w:pPr>
        <w:pStyle w:val="NoSpacing"/>
        <w:spacing w:after="40"/>
        <w:ind w:left="547" w:hanging="547"/>
        <w:contextualSpacing/>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t xml:space="preserve">ONU., Informe del Relator Especial sobre ejecuciones extrajudiciales, sumarias o arbitrarias, Philip Alston, </w:t>
      </w:r>
      <w:r w:rsidRPr="00930562">
        <w:rPr>
          <w:rFonts w:asciiTheme="minorHAnsi" w:hAnsiTheme="minorHAnsi" w:cstheme="minorHAnsi"/>
          <w:i/>
          <w:color w:val="808080" w:themeColor="background1" w:themeShade="80"/>
          <w:sz w:val="16"/>
          <w:szCs w:val="16"/>
          <w:lang w:val="es-AR"/>
        </w:rPr>
        <w:t>Study on police oversight mechanisms</w:t>
      </w:r>
      <w:r w:rsidRPr="00930562">
        <w:rPr>
          <w:rFonts w:asciiTheme="minorHAnsi" w:hAnsiTheme="minorHAnsi" w:cstheme="minorHAnsi"/>
          <w:color w:val="808080" w:themeColor="background1" w:themeShade="80"/>
          <w:sz w:val="16"/>
          <w:szCs w:val="16"/>
          <w:lang w:val="es-AR"/>
        </w:rPr>
        <w:t xml:space="preserve">, A/HRC/14/2/Ad. 8, 28 de mayo de 2010, párr. </w:t>
      </w:r>
      <w:r w:rsidRPr="00930562">
        <w:rPr>
          <w:rFonts w:asciiTheme="minorHAnsi" w:hAnsiTheme="minorHAnsi" w:cstheme="minorHAnsi"/>
          <w:color w:val="808080" w:themeColor="background1" w:themeShade="80"/>
          <w:sz w:val="16"/>
          <w:szCs w:val="16"/>
        </w:rPr>
        <w:t>10.</w:t>
      </w:r>
    </w:p>
  </w:footnote>
  <w:footnote w:id="197">
    <w:p w14:paraId="3C706E75" w14:textId="77777777" w:rsidR="00F64540" w:rsidRPr="00930562" w:rsidRDefault="00F64540" w:rsidP="00E10935">
      <w:pPr>
        <w:pStyle w:val="FootnoteText"/>
        <w:spacing w:after="40"/>
        <w:ind w:left="547" w:hanging="547"/>
        <w:contextualSpacing/>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Amnistía Internacional (AI), </w:t>
      </w:r>
      <w:hyperlink r:id="rId247">
        <w:r w:rsidRPr="00930562">
          <w:rPr>
            <w:rStyle w:val="Hyperlink"/>
            <w:rFonts w:asciiTheme="minorHAnsi" w:hAnsiTheme="minorHAnsi" w:cstheme="minorHAnsi"/>
            <w:i/>
            <w:color w:val="808080" w:themeColor="background1" w:themeShade="80"/>
            <w:sz w:val="16"/>
            <w:szCs w:val="16"/>
          </w:rPr>
          <w:t xml:space="preserve">Deadly Force: Police Use of Lethal Force </w:t>
        </w:r>
        <w:proofErr w:type="gramStart"/>
        <w:r w:rsidRPr="00930562">
          <w:rPr>
            <w:rStyle w:val="Hyperlink"/>
            <w:rFonts w:asciiTheme="minorHAnsi" w:hAnsiTheme="minorHAnsi" w:cstheme="minorHAnsi"/>
            <w:i/>
            <w:color w:val="808080" w:themeColor="background1" w:themeShade="80"/>
            <w:sz w:val="16"/>
            <w:szCs w:val="16"/>
          </w:rPr>
          <w:t>In</w:t>
        </w:r>
        <w:proofErr w:type="gramEnd"/>
        <w:r w:rsidRPr="00930562">
          <w:rPr>
            <w:rStyle w:val="Hyperlink"/>
            <w:rFonts w:asciiTheme="minorHAnsi" w:hAnsiTheme="minorHAnsi" w:cstheme="minorHAnsi"/>
            <w:i/>
            <w:color w:val="808080" w:themeColor="background1" w:themeShade="80"/>
            <w:sz w:val="16"/>
            <w:szCs w:val="16"/>
          </w:rPr>
          <w:t xml:space="preserve"> The United States</w:t>
        </w:r>
      </w:hyperlink>
      <w:r w:rsidRPr="00930562">
        <w:rPr>
          <w:rStyle w:val="Hyperlink"/>
          <w:rFonts w:asciiTheme="minorHAnsi" w:hAnsiTheme="minorHAnsi" w:cstheme="minorHAnsi"/>
          <w: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 xml:space="preserve"> </w:t>
      </w:r>
      <w:proofErr w:type="gramStart"/>
      <w:r w:rsidRPr="00930562">
        <w:rPr>
          <w:rFonts w:asciiTheme="minorHAnsi" w:hAnsiTheme="minorHAnsi" w:cstheme="minorHAnsi"/>
          <w:color w:val="808080" w:themeColor="background1" w:themeShade="80"/>
          <w:sz w:val="16"/>
          <w:szCs w:val="16"/>
        </w:rPr>
        <w:t>junio</w:t>
      </w:r>
      <w:proofErr w:type="gramEnd"/>
      <w:r w:rsidRPr="00930562">
        <w:rPr>
          <w:rFonts w:asciiTheme="minorHAnsi" w:hAnsiTheme="minorHAnsi" w:cstheme="minorHAnsi"/>
          <w:color w:val="808080" w:themeColor="background1" w:themeShade="80"/>
          <w:sz w:val="16"/>
          <w:szCs w:val="16"/>
        </w:rPr>
        <w:t xml:space="preserve"> de 2015, pág. 22.</w:t>
      </w:r>
    </w:p>
  </w:footnote>
  <w:footnote w:id="198">
    <w:p w14:paraId="404A4370"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Vera Institute of Justice, </w:t>
      </w:r>
      <w:hyperlink r:id="rId248" w:history="1">
        <w:r w:rsidRPr="00930562">
          <w:rPr>
            <w:rStyle w:val="Hyperlink"/>
            <w:rFonts w:asciiTheme="minorHAnsi" w:hAnsiTheme="minorHAnsi" w:cstheme="minorHAnsi"/>
            <w:color w:val="808080" w:themeColor="background1" w:themeShade="80"/>
            <w:sz w:val="16"/>
            <w:szCs w:val="16"/>
          </w:rPr>
          <w:t>To Protect and Serve: New Trends in State-Level Policing Reform, 2015-2016</w:t>
        </w:r>
      </w:hyperlink>
      <w:r w:rsidRPr="00930562">
        <w:rPr>
          <w:rFonts w:asciiTheme="minorHAnsi" w:hAnsiTheme="minorHAnsi" w:cstheme="minorHAnsi"/>
          <w:color w:val="808080" w:themeColor="background1" w:themeShade="80"/>
          <w:sz w:val="16"/>
          <w:szCs w:val="16"/>
        </w:rPr>
        <w:t>, abril de 2017.</w:t>
      </w:r>
    </w:p>
  </w:footnote>
  <w:footnote w:id="199">
    <w:p w14:paraId="7C09FDB8"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471 U.S. 1 (1985).</w:t>
      </w:r>
    </w:p>
  </w:footnote>
  <w:footnote w:id="200">
    <w:p w14:paraId="26577A79" w14:textId="77777777" w:rsidR="00F64540" w:rsidRPr="00930562" w:rsidRDefault="00F64540" w:rsidP="00E10935">
      <w:pPr>
        <w:pStyle w:val="FootnoteText"/>
        <w:spacing w:after="40"/>
        <w:ind w:left="547" w:hanging="547"/>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rPr>
        <w:t xml:space="preserve"> </w:t>
      </w:r>
      <w:r w:rsidRPr="00930562">
        <w:rPr>
          <w:rFonts w:asciiTheme="minorHAnsi" w:hAnsiTheme="minorHAnsi" w:cstheme="majorHAnsi"/>
          <w:color w:val="808080" w:themeColor="background1" w:themeShade="80"/>
          <w:sz w:val="16"/>
          <w:szCs w:val="16"/>
        </w:rPr>
        <w:tab/>
      </w:r>
      <w:r w:rsidRPr="00930562">
        <w:rPr>
          <w:rFonts w:asciiTheme="minorHAnsi" w:hAnsiTheme="minorHAnsi" w:cstheme="minorHAnsi"/>
          <w:color w:val="808080" w:themeColor="background1" w:themeShade="80"/>
          <w:sz w:val="16"/>
          <w:szCs w:val="16"/>
        </w:rPr>
        <w:t xml:space="preserve">Washington Post, </w:t>
      </w:r>
      <w:hyperlink r:id="rId249" w:history="1">
        <w:r w:rsidRPr="00930562">
          <w:rPr>
            <w:rStyle w:val="Hyperlink"/>
            <w:rFonts w:asciiTheme="minorHAnsi" w:hAnsiTheme="minorHAnsi" w:cstheme="minorHAnsi"/>
            <w:color w:val="808080" w:themeColor="background1" w:themeShade="80"/>
            <w:sz w:val="16"/>
            <w:szCs w:val="16"/>
          </w:rPr>
          <w:t>‘Just shoot me,’ an armed man told a cop. The officer didn’t — and was fired, his lawsuit claimed</w:t>
        </w:r>
      </w:hyperlink>
      <w:r w:rsidRPr="00930562">
        <w:rPr>
          <w:rFonts w:asciiTheme="minorHAnsi" w:hAnsiTheme="minorHAnsi" w:cstheme="minorHAnsi"/>
          <w:color w:val="808080" w:themeColor="background1" w:themeShade="80"/>
          <w:sz w:val="16"/>
          <w:szCs w:val="16"/>
        </w:rPr>
        <w:t>, 12 de febrero de 2018.</w:t>
      </w:r>
    </w:p>
  </w:footnote>
  <w:footnote w:id="201">
    <w:p w14:paraId="05024CE7"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US"/>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US"/>
        </w:rPr>
        <w:t xml:space="preserve"> </w:t>
      </w:r>
      <w:r w:rsidRPr="00930562">
        <w:rPr>
          <w:rFonts w:asciiTheme="minorHAnsi" w:hAnsiTheme="minorHAnsi" w:cstheme="minorHAnsi"/>
          <w:color w:val="808080" w:themeColor="background1" w:themeShade="80"/>
          <w:sz w:val="16"/>
          <w:szCs w:val="16"/>
          <w:lang w:val="es-US"/>
        </w:rPr>
        <w:tab/>
      </w:r>
      <w:r w:rsidRPr="00930562">
        <w:rPr>
          <w:rFonts w:asciiTheme="minorHAnsi" w:hAnsiTheme="minorHAnsi" w:cstheme="minorHAnsi"/>
          <w:bCs/>
          <w:color w:val="808080" w:themeColor="background1" w:themeShade="80"/>
          <w:sz w:val="16"/>
          <w:szCs w:val="16"/>
          <w:lang w:val="es-US"/>
        </w:rPr>
        <w:t xml:space="preserve">CIDH, </w:t>
      </w:r>
      <w:hyperlink r:id="rId250" w:history="1">
        <w:r w:rsidRPr="00930562">
          <w:rPr>
            <w:rStyle w:val="Hyperlink"/>
            <w:rFonts w:asciiTheme="minorHAnsi" w:hAnsiTheme="minorHAnsi" w:cstheme="minorHAnsi"/>
            <w:bCs/>
            <w:color w:val="808080" w:themeColor="background1" w:themeShade="80"/>
            <w:sz w:val="16"/>
            <w:szCs w:val="16"/>
            <w:lang w:val="es-US"/>
          </w:rPr>
          <w:t>Comunicado de Prensa Eric Garner y Michael Brown</w:t>
        </w:r>
      </w:hyperlink>
      <w:r w:rsidRPr="00930562">
        <w:rPr>
          <w:rFonts w:asciiTheme="minorHAnsi" w:hAnsiTheme="minorHAnsi" w:cstheme="minorHAnsi"/>
          <w:bCs/>
          <w:color w:val="808080" w:themeColor="background1" w:themeShade="80"/>
          <w:sz w:val="16"/>
          <w:szCs w:val="16"/>
          <w:lang w:val="es-US"/>
        </w:rPr>
        <w:t>, 22 de agosto de 2014</w:t>
      </w:r>
      <w:r w:rsidRPr="00930562">
        <w:rPr>
          <w:rFonts w:asciiTheme="minorHAnsi" w:hAnsiTheme="minorHAnsi" w:cstheme="minorHAnsi"/>
          <w:color w:val="808080" w:themeColor="background1" w:themeShade="80"/>
          <w:sz w:val="16"/>
          <w:szCs w:val="16"/>
          <w:lang w:val="es-US"/>
        </w:rPr>
        <w:t>.</w:t>
      </w:r>
    </w:p>
  </w:footnote>
  <w:footnote w:id="202">
    <w:p w14:paraId="444CDE55"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US"/>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US"/>
        </w:rPr>
        <w:t xml:space="preserve"> </w:t>
      </w:r>
      <w:r w:rsidRPr="00930562">
        <w:rPr>
          <w:rFonts w:asciiTheme="minorHAnsi" w:hAnsiTheme="minorHAnsi" w:cstheme="minorHAnsi"/>
          <w:color w:val="808080" w:themeColor="background1" w:themeShade="80"/>
          <w:sz w:val="16"/>
          <w:szCs w:val="16"/>
          <w:lang w:val="es-US"/>
        </w:rPr>
        <w:tab/>
      </w:r>
      <w:r w:rsidRPr="00930562">
        <w:rPr>
          <w:rFonts w:asciiTheme="minorHAnsi" w:hAnsiTheme="minorHAnsi" w:cstheme="minorHAnsi"/>
          <w:bCs/>
          <w:color w:val="808080" w:themeColor="background1" w:themeShade="80"/>
          <w:sz w:val="16"/>
          <w:szCs w:val="16"/>
          <w:lang w:val="es-US"/>
        </w:rPr>
        <w:t xml:space="preserve">CIDH, </w:t>
      </w:r>
      <w:hyperlink r:id="rId251" w:history="1">
        <w:r w:rsidRPr="00930562">
          <w:rPr>
            <w:rStyle w:val="Hyperlink"/>
            <w:rFonts w:asciiTheme="minorHAnsi" w:hAnsiTheme="minorHAnsi" w:cstheme="minorHAnsi"/>
            <w:bCs/>
            <w:color w:val="808080" w:themeColor="background1" w:themeShade="80"/>
            <w:sz w:val="16"/>
            <w:szCs w:val="16"/>
            <w:lang w:val="es-US"/>
          </w:rPr>
          <w:t>Comunicado de Prensa de Walter Scott,</w:t>
        </w:r>
      </w:hyperlink>
      <w:r w:rsidRPr="00930562">
        <w:rPr>
          <w:rFonts w:asciiTheme="minorHAnsi" w:hAnsiTheme="minorHAnsi" w:cstheme="minorHAnsi"/>
          <w:bCs/>
          <w:color w:val="808080" w:themeColor="background1" w:themeShade="80"/>
          <w:sz w:val="16"/>
          <w:szCs w:val="16"/>
          <w:lang w:val="es-US"/>
        </w:rPr>
        <w:t xml:space="preserve"> 17 de abril de 2015</w:t>
      </w:r>
      <w:r w:rsidRPr="00930562">
        <w:rPr>
          <w:rFonts w:asciiTheme="minorHAnsi" w:hAnsiTheme="minorHAnsi" w:cstheme="minorHAnsi"/>
          <w:color w:val="808080" w:themeColor="background1" w:themeShade="80"/>
          <w:sz w:val="16"/>
          <w:szCs w:val="16"/>
          <w:lang w:val="es-US"/>
        </w:rPr>
        <w:t xml:space="preserve">. </w:t>
      </w:r>
    </w:p>
  </w:footnote>
  <w:footnote w:id="203">
    <w:p w14:paraId="53FA475B"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bCs/>
          <w:color w:val="808080" w:themeColor="background1" w:themeShade="80"/>
          <w:sz w:val="16"/>
          <w:szCs w:val="16"/>
          <w:lang w:val="es-AR"/>
        </w:rPr>
        <w:t xml:space="preserve">CIDH, </w:t>
      </w:r>
      <w:hyperlink r:id="rId252" w:history="1">
        <w:r w:rsidRPr="00930562">
          <w:rPr>
            <w:rStyle w:val="Hyperlink"/>
            <w:rFonts w:asciiTheme="minorHAnsi" w:hAnsiTheme="minorHAnsi" w:cstheme="minorHAnsi"/>
            <w:bCs/>
            <w:color w:val="808080" w:themeColor="background1" w:themeShade="80"/>
            <w:sz w:val="16"/>
            <w:szCs w:val="16"/>
            <w:lang w:val="es-AR"/>
          </w:rPr>
          <w:t>Comunicado de Prensa Investigación de Asesinatos Policiales</w:t>
        </w:r>
      </w:hyperlink>
      <w:r w:rsidRPr="00930562">
        <w:rPr>
          <w:rFonts w:asciiTheme="minorHAnsi" w:hAnsiTheme="minorHAnsi" w:cstheme="minorHAnsi"/>
          <w:bCs/>
          <w:color w:val="808080" w:themeColor="background1" w:themeShade="80"/>
          <w:sz w:val="16"/>
          <w:szCs w:val="16"/>
          <w:lang w:val="es-AR"/>
        </w:rPr>
        <w:t>, 23 de agosto de 2016</w:t>
      </w:r>
      <w:r w:rsidRPr="00930562">
        <w:rPr>
          <w:rFonts w:asciiTheme="minorHAnsi" w:hAnsiTheme="minorHAnsi" w:cstheme="minorHAnsi"/>
          <w:color w:val="808080" w:themeColor="background1" w:themeShade="80"/>
          <w:sz w:val="16"/>
          <w:szCs w:val="16"/>
          <w:lang w:val="es-AR"/>
        </w:rPr>
        <w:t>.</w:t>
      </w:r>
    </w:p>
  </w:footnote>
  <w:footnote w:id="204">
    <w:p w14:paraId="43905E27"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bCs/>
          <w:color w:val="808080" w:themeColor="background1" w:themeShade="80"/>
          <w:sz w:val="16"/>
          <w:szCs w:val="16"/>
          <w:lang w:val="es-AR"/>
        </w:rPr>
        <w:t xml:space="preserve">CIDH, 156° Período de Sesiones, </w:t>
      </w:r>
      <w:hyperlink r:id="rId253" w:history="1">
        <w:r w:rsidRPr="00930562">
          <w:rPr>
            <w:rStyle w:val="Hyperlink"/>
            <w:rFonts w:asciiTheme="minorHAnsi" w:hAnsiTheme="minorHAnsi" w:cstheme="minorHAnsi"/>
            <w:bCs/>
            <w:color w:val="808080" w:themeColor="background1" w:themeShade="80"/>
            <w:sz w:val="16"/>
            <w:szCs w:val="16"/>
            <w:lang w:val="es-AR"/>
          </w:rPr>
          <w:t>Audiencia “Asesinatos Policiales”</w:t>
        </w:r>
      </w:hyperlink>
      <w:r w:rsidRPr="00930562">
        <w:rPr>
          <w:rFonts w:asciiTheme="minorHAnsi" w:hAnsiTheme="minorHAnsi" w:cstheme="minorHAnsi"/>
          <w:bCs/>
          <w:color w:val="808080" w:themeColor="background1" w:themeShade="80"/>
          <w:sz w:val="16"/>
          <w:szCs w:val="16"/>
          <w:lang w:val="es-AR"/>
        </w:rPr>
        <w:t>, 23 de octubre de 2015</w:t>
      </w:r>
      <w:r w:rsidRPr="00930562">
        <w:rPr>
          <w:rFonts w:asciiTheme="minorHAnsi" w:hAnsiTheme="minorHAnsi" w:cstheme="minorHAnsi"/>
          <w:color w:val="808080" w:themeColor="background1" w:themeShade="80"/>
          <w:sz w:val="16"/>
          <w:szCs w:val="16"/>
          <w:lang w:val="es-AR"/>
        </w:rPr>
        <w:t>;</w:t>
      </w:r>
      <w:r w:rsidRPr="00930562">
        <w:rPr>
          <w:rFonts w:asciiTheme="minorHAnsi" w:hAnsiTheme="minorHAnsi" w:cstheme="minorHAnsi"/>
          <w:bCs/>
          <w:color w:val="808080" w:themeColor="background1" w:themeShade="80"/>
          <w:sz w:val="16"/>
          <w:szCs w:val="16"/>
          <w:lang w:val="es-AR"/>
        </w:rPr>
        <w:t xml:space="preserve"> 166° Período de Sesiones, </w:t>
      </w:r>
      <w:hyperlink r:id="rId254" w:history="1">
        <w:r w:rsidRPr="00930562">
          <w:rPr>
            <w:rStyle w:val="Hyperlink"/>
            <w:rFonts w:asciiTheme="minorHAnsi" w:hAnsiTheme="minorHAnsi" w:cstheme="minorHAnsi"/>
            <w:bCs/>
            <w:color w:val="808080" w:themeColor="background1" w:themeShade="80"/>
            <w:sz w:val="16"/>
            <w:szCs w:val="16"/>
            <w:lang w:val="es-AR"/>
          </w:rPr>
          <w:t>Audiencia “Impunidad de Asesinatos Policiales”</w:t>
        </w:r>
      </w:hyperlink>
      <w:r w:rsidRPr="00930562">
        <w:rPr>
          <w:rFonts w:asciiTheme="minorHAnsi" w:hAnsiTheme="minorHAnsi" w:cstheme="minorHAnsi"/>
          <w:bCs/>
          <w:color w:val="808080" w:themeColor="background1" w:themeShade="80"/>
          <w:sz w:val="16"/>
          <w:szCs w:val="16"/>
          <w:lang w:val="es-AR"/>
        </w:rPr>
        <w:t>,</w:t>
      </w:r>
      <w:r w:rsidRPr="00930562">
        <w:rPr>
          <w:rFonts w:asciiTheme="minorHAnsi" w:hAnsiTheme="minorHAnsi" w:cstheme="minorHAnsi"/>
          <w:color w:val="808080" w:themeColor="background1" w:themeShade="80"/>
          <w:sz w:val="16"/>
          <w:szCs w:val="16"/>
          <w:lang w:val="es-AR"/>
        </w:rPr>
        <w:t xml:space="preserve"> 7 de diciembre de </w:t>
      </w:r>
      <w:r w:rsidRPr="00930562">
        <w:rPr>
          <w:rFonts w:asciiTheme="minorHAnsi" w:hAnsiTheme="minorHAnsi" w:cstheme="minorHAnsi"/>
          <w:bCs/>
          <w:color w:val="808080" w:themeColor="background1" w:themeShade="80"/>
          <w:sz w:val="16"/>
          <w:szCs w:val="16"/>
          <w:lang w:val="es-AR"/>
        </w:rPr>
        <w:t>2017</w:t>
      </w:r>
      <w:r w:rsidRPr="00930562">
        <w:rPr>
          <w:rFonts w:asciiTheme="minorHAnsi" w:hAnsiTheme="minorHAnsi" w:cstheme="minorHAnsi"/>
          <w:color w:val="808080" w:themeColor="background1" w:themeShade="80"/>
          <w:sz w:val="16"/>
          <w:szCs w:val="16"/>
          <w:lang w:val="es-AR"/>
        </w:rPr>
        <w:t>.</w:t>
      </w:r>
    </w:p>
  </w:footnote>
  <w:footnote w:id="205">
    <w:p w14:paraId="1478CDD2"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New York Times, </w:t>
      </w:r>
      <w:hyperlink r:id="rId255" w:history="1">
        <w:r w:rsidRPr="00930562">
          <w:rPr>
            <w:rStyle w:val="Hyperlink"/>
            <w:rFonts w:asciiTheme="minorHAnsi" w:hAnsiTheme="minorHAnsi" w:cstheme="minorHAnsi"/>
            <w:color w:val="808080" w:themeColor="background1" w:themeShade="80"/>
            <w:sz w:val="16"/>
            <w:szCs w:val="16"/>
          </w:rPr>
          <w:t>Stephon Clark Was Shot 8 Times Primarily in His Back, Family-Ordered Autopsy Finds</w:t>
        </w:r>
      </w:hyperlink>
      <w:r w:rsidRPr="00930562">
        <w:rPr>
          <w:rFonts w:asciiTheme="minorHAnsi" w:hAnsiTheme="minorHAnsi" w:cstheme="minorHAnsi"/>
          <w:color w:val="808080" w:themeColor="background1" w:themeShade="80"/>
          <w:sz w:val="16"/>
          <w:szCs w:val="16"/>
        </w:rPr>
        <w:t>, 30 de marzo de 2018.</w:t>
      </w:r>
    </w:p>
  </w:footnote>
  <w:footnote w:id="206">
    <w:p w14:paraId="797CA7FC"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US"/>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US"/>
        </w:rPr>
        <w:t xml:space="preserve"> </w:t>
      </w:r>
      <w:r w:rsidRPr="00930562">
        <w:rPr>
          <w:rFonts w:asciiTheme="minorHAnsi" w:hAnsiTheme="minorHAnsi" w:cstheme="minorHAnsi"/>
          <w:color w:val="808080" w:themeColor="background1" w:themeShade="80"/>
          <w:sz w:val="16"/>
          <w:szCs w:val="16"/>
          <w:lang w:val="es-US"/>
        </w:rPr>
        <w:tab/>
      </w:r>
      <w:r w:rsidRPr="00930562">
        <w:rPr>
          <w:rFonts w:asciiTheme="minorHAnsi" w:hAnsiTheme="minorHAnsi" w:cstheme="minorHAnsi"/>
          <w:bCs/>
          <w:color w:val="808080" w:themeColor="background1" w:themeShade="80"/>
          <w:sz w:val="16"/>
          <w:szCs w:val="16"/>
          <w:lang w:val="es-US"/>
        </w:rPr>
        <w:t xml:space="preserve">CIDH, </w:t>
      </w:r>
      <w:hyperlink r:id="rId256" w:history="1">
        <w:r w:rsidRPr="00930562">
          <w:rPr>
            <w:rStyle w:val="Hyperlink"/>
            <w:rFonts w:asciiTheme="minorHAnsi" w:hAnsiTheme="minorHAnsi" w:cstheme="minorHAnsi"/>
            <w:bCs/>
            <w:color w:val="808080" w:themeColor="background1" w:themeShade="80"/>
            <w:sz w:val="16"/>
            <w:szCs w:val="16"/>
            <w:lang w:val="es-US"/>
          </w:rPr>
          <w:t>Comunicado de Prensa Visita in loco</w:t>
        </w:r>
      </w:hyperlink>
      <w:r w:rsidRPr="00930562">
        <w:rPr>
          <w:rFonts w:asciiTheme="minorHAnsi" w:hAnsiTheme="minorHAnsi" w:cstheme="minorHAnsi"/>
          <w:bCs/>
          <w:color w:val="808080" w:themeColor="background1" w:themeShade="80"/>
          <w:sz w:val="16"/>
          <w:szCs w:val="16"/>
          <w:lang w:val="es-US"/>
        </w:rPr>
        <w:t>, 16 de octubre de 2015</w:t>
      </w:r>
      <w:r w:rsidRPr="00930562">
        <w:rPr>
          <w:rFonts w:asciiTheme="minorHAnsi" w:hAnsiTheme="minorHAnsi" w:cstheme="minorHAnsi"/>
          <w:color w:val="808080" w:themeColor="background1" w:themeShade="80"/>
          <w:sz w:val="16"/>
          <w:szCs w:val="16"/>
          <w:lang w:val="es-US"/>
        </w:rPr>
        <w:t>.</w:t>
      </w:r>
    </w:p>
  </w:footnote>
  <w:footnote w:id="207">
    <w:p w14:paraId="4385B3F4" w14:textId="77777777" w:rsidR="00F64540" w:rsidRPr="00930562" w:rsidRDefault="00F64540" w:rsidP="008B60B8">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 xml:space="preserve"> </w:t>
      </w:r>
      <w:r w:rsidRPr="00930562">
        <w:rPr>
          <w:rFonts w:asciiTheme="minorHAnsi" w:hAnsiTheme="minorHAnsi" w:cstheme="minorHAnsi"/>
          <w:color w:val="808080" w:themeColor="background1" w:themeShade="80"/>
          <w:sz w:val="16"/>
          <w:szCs w:val="16"/>
          <w:lang w:val="es-ES"/>
        </w:rPr>
        <w:tab/>
      </w:r>
      <w:r w:rsidRPr="00930562">
        <w:rPr>
          <w:rFonts w:asciiTheme="minorHAnsi" w:hAnsiTheme="minorHAnsi" w:cstheme="minorHAnsi"/>
          <w:bCs/>
          <w:color w:val="808080" w:themeColor="background1" w:themeShade="80"/>
          <w:sz w:val="16"/>
          <w:szCs w:val="16"/>
          <w:lang w:val="es-ES"/>
        </w:rPr>
        <w:t xml:space="preserve">CIDH, 156° Período de Sesiones, </w:t>
      </w:r>
      <w:hyperlink r:id="rId257" w:history="1">
        <w:r w:rsidRPr="00930562">
          <w:rPr>
            <w:rStyle w:val="Hyperlink"/>
            <w:rFonts w:asciiTheme="minorHAnsi" w:hAnsiTheme="minorHAnsi" w:cstheme="minorHAnsi"/>
            <w:bCs/>
            <w:color w:val="808080" w:themeColor="background1" w:themeShade="80"/>
            <w:sz w:val="16"/>
            <w:szCs w:val="16"/>
            <w:lang w:val="es-ES"/>
          </w:rPr>
          <w:t>Audiencia “Asesinatos Policiales”</w:t>
        </w:r>
      </w:hyperlink>
      <w:r w:rsidRPr="00930562">
        <w:rPr>
          <w:rFonts w:asciiTheme="minorHAnsi" w:hAnsiTheme="minorHAnsi" w:cstheme="minorHAnsi"/>
          <w:bCs/>
          <w:color w:val="808080" w:themeColor="background1" w:themeShade="80"/>
          <w:sz w:val="16"/>
          <w:szCs w:val="16"/>
          <w:lang w:val="es-ES"/>
        </w:rPr>
        <w:t>, 23 de octubre de 2015.</w:t>
      </w:r>
    </w:p>
  </w:footnote>
  <w:footnote w:id="208">
    <w:p w14:paraId="4665E66A" w14:textId="77777777" w:rsidR="00F64540" w:rsidRPr="00930562" w:rsidRDefault="00F64540" w:rsidP="00D573E3">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AR"/>
        </w:rPr>
        <w:t xml:space="preserve"> </w:t>
      </w:r>
      <w:r w:rsidRPr="00930562">
        <w:rPr>
          <w:rFonts w:asciiTheme="minorHAnsi" w:hAnsiTheme="minorHAnsi" w:cstheme="majorHAnsi"/>
          <w:color w:val="808080" w:themeColor="background1" w:themeShade="80"/>
          <w:sz w:val="16"/>
          <w:szCs w:val="16"/>
          <w:lang w:val="es-AR"/>
        </w:rPr>
        <w:tab/>
      </w:r>
      <w:r w:rsidRPr="00930562">
        <w:rPr>
          <w:rFonts w:asciiTheme="minorHAnsi" w:hAnsiTheme="minorHAnsi" w:cstheme="minorHAnsi"/>
          <w:bCs/>
          <w:i/>
          <w:color w:val="808080" w:themeColor="background1" w:themeShade="80"/>
          <w:sz w:val="16"/>
          <w:szCs w:val="16"/>
          <w:lang w:val="es-AR"/>
        </w:rPr>
        <w:t>Id</w:t>
      </w:r>
      <w:r w:rsidRPr="00930562">
        <w:rPr>
          <w:rFonts w:asciiTheme="minorHAnsi" w:hAnsiTheme="minorHAnsi" w:cstheme="minorHAnsi"/>
          <w:color w:val="808080" w:themeColor="background1" w:themeShade="80"/>
          <w:sz w:val="16"/>
          <w:szCs w:val="16"/>
          <w:lang w:val="es-AR"/>
        </w:rPr>
        <w:t>.</w:t>
      </w:r>
    </w:p>
  </w:footnote>
  <w:footnote w:id="209">
    <w:p w14:paraId="21B5EC05"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US"/>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t xml:space="preserve">CIDH, </w:t>
      </w:r>
      <w:hyperlink r:id="rId258" w:history="1">
        <w:r w:rsidRPr="00930562">
          <w:rPr>
            <w:rStyle w:val="Hyperlink"/>
            <w:rFonts w:asciiTheme="minorHAnsi" w:hAnsiTheme="minorHAnsi" w:cstheme="minorHAnsi"/>
            <w:color w:val="808080" w:themeColor="background1" w:themeShade="80"/>
            <w:sz w:val="16"/>
            <w:szCs w:val="16"/>
            <w:lang w:val="es-AR"/>
          </w:rPr>
          <w:t>Informe Anual: Capítulo IV El Uso de la Fuerza</w:t>
        </w:r>
      </w:hyperlink>
      <w:r w:rsidRPr="00930562">
        <w:rPr>
          <w:rFonts w:asciiTheme="minorHAnsi" w:hAnsiTheme="minorHAnsi" w:cstheme="minorHAnsi"/>
          <w:color w:val="808080" w:themeColor="background1" w:themeShade="80"/>
          <w:sz w:val="16"/>
          <w:szCs w:val="16"/>
          <w:lang w:val="es-AR"/>
        </w:rPr>
        <w:t xml:space="preserve">, párr. </w:t>
      </w:r>
      <w:r w:rsidRPr="00930562">
        <w:rPr>
          <w:rFonts w:asciiTheme="minorHAnsi" w:hAnsiTheme="minorHAnsi" w:cstheme="minorHAnsi"/>
          <w:color w:val="808080" w:themeColor="background1" w:themeShade="80"/>
          <w:sz w:val="16"/>
          <w:szCs w:val="16"/>
        </w:rPr>
        <w:t xml:space="preserve">224 (citando ONU., Relator Especial sobre ejecuciones extrajudiciales, sumarias o arbitrarias, Christof Heyns, </w:t>
      </w:r>
      <w:r w:rsidRPr="00930562">
        <w:rPr>
          <w:rFonts w:asciiTheme="minorHAnsi" w:hAnsiTheme="minorHAnsi" w:cstheme="minorHAnsi"/>
          <w:i/>
          <w:color w:val="808080" w:themeColor="background1" w:themeShade="80"/>
          <w:sz w:val="16"/>
          <w:szCs w:val="16"/>
        </w:rPr>
        <w:t>Use of information and communications technologies to secure the right to life</w:t>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lang w:val="es-US"/>
        </w:rPr>
        <w:t>24 de abril de 2015, párr. 57).</w:t>
      </w:r>
    </w:p>
  </w:footnote>
  <w:footnote w:id="210">
    <w:p w14:paraId="5B2C4578"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US"/>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US"/>
        </w:rPr>
        <w:t xml:space="preserve"> </w:t>
      </w:r>
      <w:r w:rsidRPr="00930562">
        <w:rPr>
          <w:rFonts w:asciiTheme="minorHAnsi" w:hAnsiTheme="minorHAnsi" w:cstheme="minorHAnsi"/>
          <w:color w:val="808080" w:themeColor="background1" w:themeShade="80"/>
          <w:sz w:val="16"/>
          <w:szCs w:val="16"/>
          <w:lang w:val="es-US"/>
        </w:rPr>
        <w:tab/>
      </w:r>
      <w:r w:rsidRPr="00930562">
        <w:rPr>
          <w:rFonts w:asciiTheme="minorHAnsi" w:hAnsiTheme="minorHAnsi" w:cstheme="minorHAnsi"/>
          <w:i/>
          <w:color w:val="808080" w:themeColor="background1" w:themeShade="80"/>
          <w:sz w:val="16"/>
          <w:szCs w:val="16"/>
          <w:lang w:val="es-US"/>
        </w:rPr>
        <w:t>Id.</w:t>
      </w:r>
      <w:r w:rsidRPr="00930562">
        <w:rPr>
          <w:rFonts w:asciiTheme="minorHAnsi" w:hAnsiTheme="minorHAnsi" w:cstheme="majorHAnsi"/>
          <w:color w:val="808080" w:themeColor="background1" w:themeShade="80"/>
          <w:sz w:val="16"/>
          <w:szCs w:val="16"/>
          <w:lang w:val="es-US"/>
        </w:rPr>
        <w:t xml:space="preserve"> </w:t>
      </w:r>
    </w:p>
  </w:footnote>
  <w:footnote w:id="211">
    <w:p w14:paraId="4C71FBA3"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U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US"/>
        </w:rPr>
        <w:t xml:space="preserve"> </w:t>
      </w:r>
      <w:r w:rsidRPr="00930562">
        <w:rPr>
          <w:rFonts w:asciiTheme="minorHAnsi" w:hAnsiTheme="minorHAnsi" w:cstheme="minorHAnsi"/>
          <w:color w:val="808080" w:themeColor="background1" w:themeShade="80"/>
          <w:sz w:val="16"/>
          <w:szCs w:val="16"/>
          <w:lang w:val="es-US"/>
        </w:rPr>
        <w:tab/>
      </w:r>
      <w:r w:rsidRPr="00930562">
        <w:rPr>
          <w:rFonts w:asciiTheme="minorHAnsi" w:hAnsiTheme="minorHAnsi" w:cstheme="minorHAnsi"/>
          <w:bCs/>
          <w:color w:val="808080" w:themeColor="background1" w:themeShade="80"/>
          <w:sz w:val="16"/>
          <w:szCs w:val="16"/>
          <w:lang w:val="es-US"/>
        </w:rPr>
        <w:t xml:space="preserve">CIDH, 156° Período de Sesiones, </w:t>
      </w:r>
      <w:hyperlink r:id="rId259" w:history="1">
        <w:r w:rsidRPr="00930562">
          <w:rPr>
            <w:rStyle w:val="Hyperlink"/>
            <w:rFonts w:asciiTheme="minorHAnsi" w:hAnsiTheme="minorHAnsi" w:cstheme="minorHAnsi"/>
            <w:bCs/>
            <w:color w:val="808080" w:themeColor="background1" w:themeShade="80"/>
            <w:sz w:val="16"/>
            <w:szCs w:val="16"/>
            <w:lang w:val="es-US"/>
          </w:rPr>
          <w:t>Audiencia “Asesinatos Policiales”</w:t>
        </w:r>
      </w:hyperlink>
      <w:r w:rsidRPr="00930562">
        <w:rPr>
          <w:rFonts w:asciiTheme="minorHAnsi" w:hAnsiTheme="minorHAnsi" w:cstheme="minorHAnsi"/>
          <w:bCs/>
          <w:color w:val="808080" w:themeColor="background1" w:themeShade="80"/>
          <w:sz w:val="16"/>
          <w:szCs w:val="16"/>
          <w:lang w:val="es-US"/>
        </w:rPr>
        <w:t>, 23 de octubre de 2015</w:t>
      </w:r>
    </w:p>
  </w:footnote>
  <w:footnote w:id="212">
    <w:p w14:paraId="4BCF7D65" w14:textId="77777777" w:rsidR="00F64540" w:rsidRPr="00930562" w:rsidRDefault="00F64540" w:rsidP="00E10935">
      <w:pPr>
        <w:pStyle w:val="FootnoteText"/>
        <w:spacing w:after="40"/>
        <w:ind w:left="547" w:hanging="547"/>
        <w:jc w:val="both"/>
        <w:rPr>
          <w:rFonts w:asciiTheme="minorHAnsi" w:hAnsiTheme="minorHAnsi" w:cstheme="minorHAnsi"/>
          <w:bCs/>
          <w:color w:val="808080" w:themeColor="background1" w:themeShade="80"/>
          <w:sz w:val="16"/>
          <w:szCs w:val="16"/>
          <w:lang w:val="es-US"/>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US"/>
        </w:rPr>
        <w:t xml:space="preserve"> </w:t>
      </w:r>
      <w:r w:rsidRPr="00930562">
        <w:rPr>
          <w:rFonts w:asciiTheme="minorHAnsi" w:hAnsiTheme="minorHAnsi" w:cstheme="minorHAnsi"/>
          <w:color w:val="808080" w:themeColor="background1" w:themeShade="80"/>
          <w:sz w:val="16"/>
          <w:szCs w:val="16"/>
          <w:lang w:val="es-US"/>
        </w:rPr>
        <w:tab/>
      </w:r>
      <w:r w:rsidRPr="00930562">
        <w:rPr>
          <w:rFonts w:asciiTheme="minorHAnsi" w:hAnsiTheme="minorHAnsi" w:cstheme="minorHAnsi"/>
          <w:bCs/>
          <w:color w:val="808080" w:themeColor="background1" w:themeShade="80"/>
          <w:sz w:val="16"/>
          <w:szCs w:val="16"/>
          <w:lang w:val="es-US"/>
        </w:rPr>
        <w:t xml:space="preserve">CIDH, </w:t>
      </w:r>
      <w:hyperlink r:id="rId260" w:history="1">
        <w:r w:rsidRPr="00930562">
          <w:rPr>
            <w:rStyle w:val="Hyperlink"/>
            <w:rFonts w:asciiTheme="minorHAnsi" w:hAnsiTheme="minorHAnsi" w:cstheme="minorHAnsi"/>
            <w:bCs/>
            <w:color w:val="808080" w:themeColor="background1" w:themeShade="80"/>
            <w:sz w:val="16"/>
            <w:szCs w:val="16"/>
            <w:lang w:val="es-US"/>
          </w:rPr>
          <w:t>Comunicado de Prensa Eric Garner y Michael Brown</w:t>
        </w:r>
      </w:hyperlink>
      <w:r w:rsidRPr="00930562">
        <w:rPr>
          <w:rFonts w:asciiTheme="minorHAnsi" w:hAnsiTheme="minorHAnsi" w:cstheme="minorHAnsi"/>
          <w:bCs/>
          <w:color w:val="808080" w:themeColor="background1" w:themeShade="80"/>
          <w:sz w:val="16"/>
          <w:szCs w:val="16"/>
          <w:lang w:val="es-US"/>
        </w:rPr>
        <w:t>, 22 de agosto de 2014</w:t>
      </w:r>
    </w:p>
  </w:footnote>
  <w:footnote w:id="213">
    <w:p w14:paraId="17471D27" w14:textId="6EB46CBB"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US"/>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US"/>
        </w:rPr>
        <w:t xml:space="preserve"> </w:t>
      </w:r>
      <w:r w:rsidRPr="00930562">
        <w:rPr>
          <w:rFonts w:asciiTheme="minorHAnsi" w:hAnsiTheme="minorHAnsi" w:cstheme="minorHAnsi"/>
          <w:color w:val="808080" w:themeColor="background1" w:themeShade="80"/>
          <w:sz w:val="16"/>
          <w:szCs w:val="16"/>
          <w:lang w:val="es-US"/>
        </w:rPr>
        <w:tab/>
      </w:r>
      <w:r w:rsidRPr="00930562">
        <w:rPr>
          <w:rFonts w:asciiTheme="minorHAnsi" w:hAnsiTheme="minorHAnsi" w:cstheme="minorHAnsi"/>
          <w:bCs/>
          <w:color w:val="808080" w:themeColor="background1" w:themeShade="80"/>
          <w:sz w:val="16"/>
          <w:szCs w:val="16"/>
          <w:lang w:val="es-US"/>
        </w:rPr>
        <w:t xml:space="preserve">CIDH, </w:t>
      </w:r>
      <w:hyperlink r:id="rId261" w:history="1">
        <w:r w:rsidRPr="00930562">
          <w:rPr>
            <w:rStyle w:val="Hyperlink"/>
            <w:rFonts w:asciiTheme="minorHAnsi" w:hAnsiTheme="minorHAnsi" w:cstheme="minorHAnsi"/>
            <w:bCs/>
            <w:color w:val="808080" w:themeColor="background1" w:themeShade="80"/>
            <w:sz w:val="16"/>
            <w:szCs w:val="16"/>
            <w:lang w:val="es-US"/>
          </w:rPr>
          <w:t>Comunicado de Prensa de Walter Scott,</w:t>
        </w:r>
      </w:hyperlink>
      <w:r w:rsidRPr="00930562">
        <w:rPr>
          <w:rFonts w:asciiTheme="minorHAnsi" w:hAnsiTheme="minorHAnsi" w:cstheme="minorHAnsi"/>
          <w:bCs/>
          <w:color w:val="808080" w:themeColor="background1" w:themeShade="80"/>
          <w:sz w:val="16"/>
          <w:szCs w:val="16"/>
          <w:lang w:val="es-US"/>
        </w:rPr>
        <w:t xml:space="preserve"> 17 de abril de 2015</w:t>
      </w:r>
      <w:r w:rsidRPr="00930562">
        <w:rPr>
          <w:rFonts w:asciiTheme="minorHAnsi" w:hAnsiTheme="minorHAnsi" w:cstheme="minorHAnsi"/>
          <w:color w:val="808080" w:themeColor="background1" w:themeShade="80"/>
          <w:sz w:val="16"/>
          <w:szCs w:val="16"/>
          <w:lang w:val="es-US"/>
        </w:rPr>
        <w:t xml:space="preserve">. </w:t>
      </w:r>
    </w:p>
  </w:footnote>
  <w:footnote w:id="214">
    <w:p w14:paraId="1E362DD2"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 xml:space="preserve"> </w:t>
      </w:r>
      <w:r w:rsidRPr="00930562">
        <w:rPr>
          <w:rFonts w:asciiTheme="minorHAnsi" w:hAnsiTheme="minorHAnsi" w:cstheme="majorHAnsi"/>
          <w:color w:val="808080" w:themeColor="background1" w:themeShade="80"/>
          <w:sz w:val="16"/>
          <w:szCs w:val="16"/>
          <w:lang w:val="es-ES"/>
        </w:rPr>
        <w:tab/>
      </w:r>
      <w:r w:rsidRPr="00930562">
        <w:rPr>
          <w:rFonts w:asciiTheme="minorHAnsi" w:hAnsiTheme="minorHAnsi" w:cstheme="minorHAnsi"/>
          <w:bCs/>
          <w:color w:val="808080" w:themeColor="background1" w:themeShade="80"/>
          <w:sz w:val="16"/>
          <w:szCs w:val="16"/>
          <w:lang w:val="es-ES"/>
        </w:rPr>
        <w:t xml:space="preserve">ONU., Grupo de Trabajo sobre Afrodescendientes. </w:t>
      </w:r>
      <w:hyperlink r:id="rId262" w:history="1">
        <w:r w:rsidRPr="00930562">
          <w:rPr>
            <w:rStyle w:val="Hyperlink"/>
            <w:rFonts w:asciiTheme="minorHAnsi" w:hAnsiTheme="minorHAnsi" w:cstheme="minorHAnsi"/>
            <w:bCs/>
            <w:color w:val="808080" w:themeColor="background1" w:themeShade="80"/>
            <w:sz w:val="16"/>
            <w:szCs w:val="16"/>
          </w:rPr>
          <w:t>Report on mission to the U.S.</w:t>
        </w:r>
      </w:hyperlink>
      <w:r w:rsidRPr="00930562">
        <w:rPr>
          <w:rFonts w:asciiTheme="minorHAnsi" w:hAnsiTheme="minorHAnsi" w:cstheme="minorHAnsi"/>
          <w:bCs/>
          <w:color w:val="808080" w:themeColor="background1" w:themeShade="80"/>
          <w:sz w:val="16"/>
          <w:szCs w:val="16"/>
        </w:rPr>
        <w:t>, 18 de agosto de 2016</w:t>
      </w:r>
      <w:r w:rsidRPr="00930562">
        <w:rPr>
          <w:rFonts w:asciiTheme="minorHAnsi" w:hAnsiTheme="minorHAnsi" w:cstheme="minorHAnsi"/>
          <w:color w:val="808080" w:themeColor="background1" w:themeShade="80"/>
          <w:sz w:val="16"/>
          <w:szCs w:val="16"/>
        </w:rPr>
        <w:t xml:space="preserve">, </w:t>
      </w:r>
      <w:proofErr w:type="gramStart"/>
      <w:r w:rsidRPr="00930562">
        <w:rPr>
          <w:rFonts w:asciiTheme="minorHAnsi" w:hAnsiTheme="minorHAnsi" w:cstheme="minorHAnsi"/>
          <w:color w:val="808080" w:themeColor="background1" w:themeShade="80"/>
          <w:sz w:val="16"/>
          <w:szCs w:val="16"/>
        </w:rPr>
        <w:t>párr</w:t>
      </w:r>
      <w:proofErr w:type="gramEnd"/>
      <w:r w:rsidRPr="00930562">
        <w:rPr>
          <w:rFonts w:asciiTheme="minorHAnsi" w:hAnsiTheme="minorHAnsi" w:cstheme="minorHAnsi"/>
          <w:color w:val="808080" w:themeColor="background1" w:themeShade="80"/>
          <w:sz w:val="16"/>
          <w:szCs w:val="16"/>
        </w:rPr>
        <w:t>. 20.</w:t>
      </w:r>
    </w:p>
  </w:footnote>
  <w:footnote w:id="215">
    <w:p w14:paraId="1F88A429"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Mothers against Police Brutality, Community Justice Project and Dream Defenders, </w:t>
      </w:r>
      <w:r w:rsidRPr="00930562">
        <w:rPr>
          <w:rFonts w:asciiTheme="minorHAnsi" w:hAnsiTheme="minorHAnsi" w:cstheme="minorHAnsi"/>
          <w:i/>
          <w:color w:val="808080" w:themeColor="background1" w:themeShade="80"/>
          <w:sz w:val="16"/>
          <w:szCs w:val="16"/>
        </w:rPr>
        <w:t xml:space="preserve">Submission to the United Nations Committee Against Torture on the List of Issues Prior to Reporting for the United States of America (6th Periodic Report), </w:t>
      </w:r>
      <w:r w:rsidRPr="00930562">
        <w:rPr>
          <w:rFonts w:asciiTheme="minorHAnsi" w:hAnsiTheme="minorHAnsi" w:cstheme="minorHAnsi"/>
          <w:color w:val="808080" w:themeColor="background1" w:themeShade="80"/>
          <w:sz w:val="16"/>
          <w:szCs w:val="16"/>
        </w:rPr>
        <w:t xml:space="preserve">agosto de 2017. </w:t>
      </w:r>
    </w:p>
  </w:footnote>
  <w:footnote w:id="216">
    <w:p w14:paraId="580E8EB0"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Washington Post, </w:t>
      </w:r>
      <w:hyperlink r:id="rId263" w:history="1">
        <w:r w:rsidRPr="00930562">
          <w:rPr>
            <w:rStyle w:val="Hyperlink"/>
            <w:rFonts w:asciiTheme="minorHAnsi" w:hAnsiTheme="minorHAnsi" w:cstheme="minorHAnsi"/>
            <w:color w:val="808080" w:themeColor="background1" w:themeShade="80"/>
            <w:sz w:val="16"/>
            <w:szCs w:val="16"/>
          </w:rPr>
          <w:t>Thousands Dead, Few Prosecuted</w:t>
        </w:r>
      </w:hyperlink>
      <w:r w:rsidRPr="00930562">
        <w:rPr>
          <w:rFonts w:asciiTheme="minorHAnsi" w:hAnsiTheme="minorHAnsi" w:cstheme="minorHAnsi"/>
          <w:color w:val="808080" w:themeColor="background1" w:themeShade="80"/>
          <w:sz w:val="16"/>
          <w:szCs w:val="16"/>
        </w:rPr>
        <w:t xml:space="preserve">, 11 de abril de 2015. </w:t>
      </w:r>
    </w:p>
  </w:footnote>
  <w:footnote w:id="217">
    <w:p w14:paraId="4184CEF4"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r>
      <w:r w:rsidRPr="00930562">
        <w:rPr>
          <w:rFonts w:asciiTheme="minorHAnsi" w:hAnsiTheme="minorHAnsi" w:cstheme="minorHAnsi"/>
          <w:i/>
          <w:color w:val="808080" w:themeColor="background1" w:themeShade="80"/>
          <w:sz w:val="16"/>
          <w:szCs w:val="16"/>
        </w:rPr>
        <w:t>Id</w:t>
      </w:r>
      <w:r w:rsidRPr="00930562">
        <w:rPr>
          <w:rFonts w:asciiTheme="minorHAnsi" w:hAnsiTheme="minorHAnsi" w:cstheme="minorHAnsi"/>
          <w:color w:val="808080" w:themeColor="background1" w:themeShade="80"/>
          <w:sz w:val="16"/>
          <w:szCs w:val="16"/>
        </w:rPr>
        <w:t>.</w:t>
      </w:r>
    </w:p>
  </w:footnote>
  <w:footnote w:id="218">
    <w:p w14:paraId="1F043864"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n-GB"/>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The Guardian, </w:t>
      </w:r>
      <w:hyperlink r:id="rId264" w:history="1">
        <w:r w:rsidRPr="00930562">
          <w:rPr>
            <w:rStyle w:val="Hyperlink"/>
            <w:rFonts w:asciiTheme="minorHAnsi" w:hAnsiTheme="minorHAnsi" w:cstheme="minorHAnsi"/>
            <w:color w:val="808080" w:themeColor="background1" w:themeShade="80"/>
            <w:sz w:val="16"/>
            <w:szCs w:val="16"/>
          </w:rPr>
          <w:t>Dozens of killings by US police ruled justified without public being notified</w:t>
        </w:r>
      </w:hyperlink>
      <w:r w:rsidRPr="00930562">
        <w:rPr>
          <w:rFonts w:asciiTheme="minorHAnsi" w:hAnsiTheme="minorHAnsi" w:cstheme="minorHAnsi"/>
          <w:color w:val="808080" w:themeColor="background1" w:themeShade="80"/>
          <w:sz w:val="16"/>
          <w:szCs w:val="16"/>
        </w:rPr>
        <w:t>, 13 de abril de 2016.</w:t>
      </w:r>
    </w:p>
  </w:footnote>
  <w:footnote w:id="219">
    <w:p w14:paraId="7FF40E52"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Washington Post, </w:t>
      </w:r>
      <w:hyperlink r:id="rId265" w:history="1">
        <w:r w:rsidRPr="00930562">
          <w:rPr>
            <w:rStyle w:val="Hyperlink"/>
            <w:rFonts w:asciiTheme="minorHAnsi" w:hAnsiTheme="minorHAnsi" w:cstheme="minorHAnsi"/>
            <w:color w:val="808080" w:themeColor="background1" w:themeShade="80"/>
            <w:sz w:val="16"/>
            <w:szCs w:val="16"/>
          </w:rPr>
          <w:t>More Police Go to Trial in Killings, but Convictions Remain Rare</w:t>
        </w:r>
      </w:hyperlink>
      <w:r w:rsidRPr="00930562">
        <w:rPr>
          <w:rFonts w:asciiTheme="minorHAnsi" w:hAnsiTheme="minorHAnsi" w:cstheme="minorHAnsi"/>
          <w:color w:val="808080" w:themeColor="background1" w:themeShade="80"/>
          <w:sz w:val="16"/>
          <w:szCs w:val="16"/>
        </w:rPr>
        <w:t xml:space="preserve">, 23 de septiembre de 2015. </w:t>
      </w:r>
      <w:r w:rsidRPr="00930562">
        <w:rPr>
          <w:rFonts w:asciiTheme="minorHAnsi" w:hAnsiTheme="minorHAnsi" w:cstheme="minorHAnsi"/>
          <w:i/>
          <w:iCs/>
          <w:color w:val="808080" w:themeColor="background1" w:themeShade="80"/>
          <w:sz w:val="16"/>
          <w:szCs w:val="16"/>
          <w:lang w:val="es-AR"/>
        </w:rPr>
        <w:t xml:space="preserve">Véase además </w:t>
      </w:r>
      <w:r w:rsidRPr="00930562">
        <w:rPr>
          <w:rFonts w:asciiTheme="minorHAnsi" w:hAnsiTheme="minorHAnsi" w:cstheme="minorHAnsi"/>
          <w:iCs/>
          <w:color w:val="808080" w:themeColor="background1" w:themeShade="80"/>
          <w:sz w:val="16"/>
          <w:szCs w:val="16"/>
          <w:lang w:val="es-AR"/>
        </w:rPr>
        <w:t>Mapping Police Violence: Police Violence Map</w:t>
      </w:r>
      <w:r w:rsidRPr="00930562">
        <w:rPr>
          <w:rFonts w:asciiTheme="minorHAnsi" w:hAnsiTheme="minorHAnsi" w:cstheme="minorHAnsi"/>
          <w:color w:val="808080" w:themeColor="background1" w:themeShade="80"/>
          <w:sz w:val="16"/>
          <w:szCs w:val="16"/>
          <w:lang w:val="es-AR"/>
        </w:rPr>
        <w:t xml:space="preserve">, </w:t>
      </w:r>
      <w:hyperlink r:id="rId266" w:history="1">
        <w:r w:rsidRPr="00930562">
          <w:rPr>
            <w:rStyle w:val="Hyperlink"/>
            <w:rFonts w:asciiTheme="minorHAnsi" w:hAnsiTheme="minorHAnsi" w:cstheme="minorHAnsi"/>
            <w:color w:val="808080" w:themeColor="background1" w:themeShade="80"/>
            <w:sz w:val="16"/>
            <w:szCs w:val="16"/>
            <w:lang w:val="es-AR"/>
          </w:rPr>
          <w:t>https://mappingpoliceviolence.org</w:t>
        </w:r>
      </w:hyperlink>
      <w:r w:rsidRPr="00930562">
        <w:rPr>
          <w:rFonts w:asciiTheme="minorHAnsi" w:hAnsiTheme="minorHAnsi" w:cstheme="minorHAnsi"/>
          <w:color w:val="808080" w:themeColor="background1" w:themeShade="80"/>
          <w:sz w:val="16"/>
          <w:szCs w:val="16"/>
          <w:lang w:val="es-AR"/>
        </w:rPr>
        <w:t xml:space="preserve"> (concluyendo que del 99% de los casos en 2015 en ningún caso se ha condenado por crimen a un policía); </w:t>
      </w:r>
      <w:r w:rsidRPr="00930562">
        <w:rPr>
          <w:rFonts w:asciiTheme="minorHAnsi" w:hAnsiTheme="minorHAnsi" w:cstheme="minorHAnsi"/>
          <w:i/>
          <w:iCs/>
          <w:color w:val="808080" w:themeColor="background1" w:themeShade="80"/>
          <w:sz w:val="16"/>
          <w:szCs w:val="16"/>
          <w:lang w:val="es-AR"/>
        </w:rPr>
        <w:t xml:space="preserve">Véase además </w:t>
      </w:r>
      <w:r w:rsidRPr="00930562">
        <w:rPr>
          <w:rFonts w:asciiTheme="minorHAnsi" w:hAnsiTheme="minorHAnsi" w:cstheme="minorHAnsi"/>
          <w:color w:val="808080" w:themeColor="background1" w:themeShade="80"/>
          <w:sz w:val="16"/>
          <w:szCs w:val="16"/>
          <w:lang w:val="es-AR"/>
        </w:rPr>
        <w:t xml:space="preserve">L.A. Times, </w:t>
      </w:r>
      <w:hyperlink r:id="rId267" w:history="1">
        <w:r w:rsidRPr="00930562">
          <w:rPr>
            <w:rStyle w:val="Hyperlink"/>
            <w:rFonts w:asciiTheme="minorHAnsi" w:hAnsiTheme="minorHAnsi" w:cstheme="minorHAnsi"/>
            <w:color w:val="808080" w:themeColor="background1" w:themeShade="80"/>
            <w:sz w:val="16"/>
            <w:szCs w:val="16"/>
            <w:lang w:val="es-AR"/>
          </w:rPr>
          <w:t xml:space="preserve">Cops shoot and kill someone about 1,000 times a year. </w:t>
        </w:r>
        <w:r w:rsidRPr="00930562">
          <w:rPr>
            <w:rStyle w:val="Hyperlink"/>
            <w:rFonts w:asciiTheme="minorHAnsi" w:hAnsiTheme="minorHAnsi" w:cstheme="minorHAnsi"/>
            <w:color w:val="808080" w:themeColor="background1" w:themeShade="80"/>
            <w:sz w:val="16"/>
            <w:szCs w:val="16"/>
          </w:rPr>
          <w:t>Few are prosecuted. What can be done?</w:t>
        </w:r>
      </w:hyperlink>
      <w:r w:rsidRPr="00930562">
        <w:rPr>
          <w:rFonts w:asciiTheme="minorHAnsi" w:hAnsiTheme="minorHAnsi" w:cstheme="minorHAnsi"/>
          <w:color w:val="808080" w:themeColor="background1" w:themeShade="80"/>
          <w:sz w:val="16"/>
          <w:szCs w:val="16"/>
        </w:rPr>
        <w:t xml:space="preserve"> 15 de diciembre de 2016. </w:t>
      </w:r>
    </w:p>
  </w:footnote>
  <w:footnote w:id="220">
    <w:p w14:paraId="50D65041"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New York Times, </w:t>
      </w:r>
      <w:hyperlink r:id="rId268" w:history="1">
        <w:r w:rsidRPr="00930562">
          <w:rPr>
            <w:rStyle w:val="Hyperlink"/>
            <w:rFonts w:asciiTheme="minorHAnsi" w:hAnsiTheme="minorHAnsi" w:cstheme="minorHAnsi"/>
            <w:color w:val="808080" w:themeColor="background1" w:themeShade="80"/>
            <w:sz w:val="16"/>
            <w:szCs w:val="16"/>
          </w:rPr>
          <w:t>Looking for Accountability in Police-Involved Deaths of Blacks</w:t>
        </w:r>
      </w:hyperlink>
      <w:r w:rsidRPr="00930562">
        <w:rPr>
          <w:rFonts w:asciiTheme="minorHAnsi" w:hAnsiTheme="minorHAnsi" w:cstheme="minorHAnsi"/>
          <w:color w:val="808080" w:themeColor="background1" w:themeShade="80"/>
          <w:sz w:val="16"/>
          <w:szCs w:val="16"/>
        </w:rPr>
        <w:t xml:space="preserve">, 3 de mayo de 2017. </w:t>
      </w:r>
    </w:p>
  </w:footnote>
  <w:footnote w:id="221">
    <w:p w14:paraId="48D1C02E" w14:textId="77777777" w:rsidR="00F64540" w:rsidRPr="00930562" w:rsidRDefault="00F64540" w:rsidP="00E10935">
      <w:pPr>
        <w:pStyle w:val="FootnoteText"/>
        <w:spacing w:after="40"/>
        <w:ind w:left="547" w:hanging="547"/>
        <w:jc w:val="both"/>
        <w:rPr>
          <w:rFonts w:asciiTheme="minorHAnsi" w:hAnsiTheme="minorHAnsi" w:cstheme="minorHAnsi"/>
          <w:bCs/>
          <w:color w:val="808080" w:themeColor="background1" w:themeShade="80"/>
          <w:sz w:val="16"/>
          <w:szCs w:val="16"/>
          <w:lang w:val="es-US"/>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US"/>
        </w:rPr>
        <w:t xml:space="preserve"> </w:t>
      </w:r>
      <w:r w:rsidRPr="00930562">
        <w:rPr>
          <w:rFonts w:asciiTheme="minorHAnsi" w:hAnsiTheme="minorHAnsi" w:cstheme="minorHAnsi"/>
          <w:color w:val="808080" w:themeColor="background1" w:themeShade="80"/>
          <w:sz w:val="16"/>
          <w:szCs w:val="16"/>
          <w:lang w:val="es-US"/>
        </w:rPr>
        <w:tab/>
      </w:r>
      <w:r w:rsidRPr="00930562">
        <w:rPr>
          <w:rFonts w:asciiTheme="minorHAnsi" w:hAnsiTheme="minorHAnsi" w:cstheme="minorHAnsi"/>
          <w:bCs/>
          <w:color w:val="808080" w:themeColor="background1" w:themeShade="80"/>
          <w:sz w:val="16"/>
          <w:szCs w:val="16"/>
          <w:lang w:val="es-US"/>
        </w:rPr>
        <w:t xml:space="preserve">CIDH, </w:t>
      </w:r>
      <w:hyperlink r:id="rId269" w:history="1">
        <w:r w:rsidRPr="00930562">
          <w:rPr>
            <w:rStyle w:val="Hyperlink"/>
            <w:rFonts w:asciiTheme="minorHAnsi" w:hAnsiTheme="minorHAnsi" w:cstheme="minorHAnsi"/>
            <w:bCs/>
            <w:color w:val="808080" w:themeColor="background1" w:themeShade="80"/>
            <w:sz w:val="16"/>
            <w:szCs w:val="16"/>
            <w:lang w:val="es-US"/>
          </w:rPr>
          <w:t>Comunicado de Prensa Eric Garner y Michael Brown</w:t>
        </w:r>
      </w:hyperlink>
      <w:r w:rsidRPr="00930562">
        <w:rPr>
          <w:rFonts w:asciiTheme="minorHAnsi" w:hAnsiTheme="minorHAnsi" w:cstheme="minorHAnsi"/>
          <w:bCs/>
          <w:color w:val="808080" w:themeColor="background1" w:themeShade="80"/>
          <w:sz w:val="16"/>
          <w:szCs w:val="16"/>
          <w:lang w:val="es-US"/>
        </w:rPr>
        <w:t xml:space="preserve">, 22 de agosto de 2014; </w:t>
      </w:r>
      <w:hyperlink r:id="rId270" w:history="1">
        <w:r w:rsidRPr="00930562">
          <w:rPr>
            <w:rStyle w:val="Hyperlink"/>
            <w:rFonts w:asciiTheme="minorHAnsi" w:hAnsiTheme="minorHAnsi" w:cstheme="minorHAnsi"/>
            <w:bCs/>
            <w:color w:val="808080" w:themeColor="background1" w:themeShade="80"/>
            <w:sz w:val="16"/>
            <w:szCs w:val="16"/>
            <w:lang w:val="es-US"/>
          </w:rPr>
          <w:t>Comunicado de Prensa Investigación de Asesinatos Policiales</w:t>
        </w:r>
      </w:hyperlink>
      <w:r w:rsidRPr="00930562">
        <w:rPr>
          <w:rFonts w:asciiTheme="minorHAnsi" w:hAnsiTheme="minorHAnsi" w:cstheme="minorHAnsi"/>
          <w:bCs/>
          <w:color w:val="808080" w:themeColor="background1" w:themeShade="80"/>
          <w:sz w:val="16"/>
          <w:szCs w:val="16"/>
          <w:lang w:val="es-US"/>
        </w:rPr>
        <w:t xml:space="preserve">, 23 de agosto de 2016. </w:t>
      </w:r>
    </w:p>
  </w:footnote>
  <w:footnote w:id="222">
    <w:p w14:paraId="31C67423"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US"/>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US"/>
        </w:rPr>
        <w:t xml:space="preserve"> </w:t>
      </w:r>
      <w:r w:rsidRPr="00930562">
        <w:rPr>
          <w:rFonts w:asciiTheme="minorHAnsi" w:hAnsiTheme="minorHAnsi" w:cstheme="minorHAnsi"/>
          <w:color w:val="808080" w:themeColor="background1" w:themeShade="80"/>
          <w:sz w:val="16"/>
          <w:szCs w:val="16"/>
          <w:lang w:val="es-US"/>
        </w:rPr>
        <w:tab/>
      </w:r>
      <w:r w:rsidRPr="00930562">
        <w:rPr>
          <w:rFonts w:asciiTheme="minorHAnsi" w:hAnsiTheme="minorHAnsi" w:cstheme="minorHAnsi"/>
          <w:bCs/>
          <w:color w:val="808080" w:themeColor="background1" w:themeShade="80"/>
          <w:sz w:val="16"/>
          <w:szCs w:val="16"/>
          <w:lang w:val="es-US"/>
        </w:rPr>
        <w:t xml:space="preserve">CIDH, </w:t>
      </w:r>
      <w:hyperlink r:id="rId271" w:history="1">
        <w:r w:rsidRPr="00930562">
          <w:rPr>
            <w:rStyle w:val="Hyperlink"/>
            <w:rFonts w:asciiTheme="minorHAnsi" w:hAnsiTheme="minorHAnsi" w:cstheme="minorHAnsi"/>
            <w:bCs/>
            <w:color w:val="808080" w:themeColor="background1" w:themeShade="80"/>
            <w:sz w:val="16"/>
            <w:szCs w:val="16"/>
            <w:lang w:val="es-US"/>
          </w:rPr>
          <w:t>Comunicado de Prensa Investigación de Asesinatos Policiales</w:t>
        </w:r>
      </w:hyperlink>
      <w:r w:rsidRPr="00930562">
        <w:rPr>
          <w:rFonts w:asciiTheme="minorHAnsi" w:hAnsiTheme="minorHAnsi" w:cstheme="minorHAnsi"/>
          <w:color w:val="808080" w:themeColor="background1" w:themeShade="80"/>
          <w:sz w:val="16"/>
          <w:szCs w:val="16"/>
          <w:lang w:val="es-US"/>
        </w:rPr>
        <w:t>, 23 de agosto de 2016.</w:t>
      </w:r>
    </w:p>
  </w:footnote>
  <w:footnote w:id="223">
    <w:p w14:paraId="25622ADF" w14:textId="77777777" w:rsidR="00F64540" w:rsidRPr="00930562" w:rsidRDefault="00F64540" w:rsidP="00E10935">
      <w:pPr>
        <w:pStyle w:val="FootnoteText"/>
        <w:spacing w:after="40"/>
        <w:ind w:left="547" w:hanging="547"/>
        <w:contextualSpacing/>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New York Times, </w:t>
      </w:r>
      <w:hyperlink r:id="rId272" w:history="1">
        <w:r w:rsidRPr="00930562">
          <w:rPr>
            <w:rStyle w:val="Hyperlink"/>
            <w:rFonts w:asciiTheme="minorHAnsi" w:hAnsiTheme="minorHAnsi" w:cstheme="minorHAnsi"/>
            <w:color w:val="808080" w:themeColor="background1" w:themeShade="80"/>
            <w:sz w:val="16"/>
            <w:szCs w:val="16"/>
            <w:lang w:val="en"/>
          </w:rPr>
          <w:t xml:space="preserve">Why N.F.L. Players Started Taking a Knee </w:t>
        </w:r>
        <w:proofErr w:type="gramStart"/>
        <w:r w:rsidRPr="00930562">
          <w:rPr>
            <w:rStyle w:val="Hyperlink"/>
            <w:rFonts w:asciiTheme="minorHAnsi" w:hAnsiTheme="minorHAnsi" w:cstheme="minorHAnsi"/>
            <w:color w:val="808080" w:themeColor="background1" w:themeShade="80"/>
            <w:sz w:val="16"/>
            <w:szCs w:val="16"/>
            <w:lang w:val="en"/>
          </w:rPr>
          <w:t>During</w:t>
        </w:r>
        <w:proofErr w:type="gramEnd"/>
        <w:r w:rsidRPr="00930562">
          <w:rPr>
            <w:rStyle w:val="Hyperlink"/>
            <w:rFonts w:asciiTheme="minorHAnsi" w:hAnsiTheme="minorHAnsi" w:cstheme="minorHAnsi"/>
            <w:color w:val="808080" w:themeColor="background1" w:themeShade="80"/>
            <w:sz w:val="16"/>
            <w:szCs w:val="16"/>
            <w:lang w:val="en"/>
          </w:rPr>
          <w:t xml:space="preserve"> the Anthem</w:t>
        </w:r>
      </w:hyperlink>
      <w:r w:rsidRPr="00930562">
        <w:rPr>
          <w:rFonts w:asciiTheme="minorHAnsi" w:hAnsiTheme="minorHAnsi" w:cstheme="minorHAnsi"/>
          <w:color w:val="808080" w:themeColor="background1" w:themeShade="80"/>
          <w:sz w:val="16"/>
          <w:szCs w:val="16"/>
          <w:lang w:val="en"/>
        </w:rPr>
        <w:t>,</w:t>
      </w:r>
      <w:r w:rsidRPr="00930562">
        <w:rPr>
          <w:rFonts w:asciiTheme="minorHAnsi" w:hAnsiTheme="minorHAnsi" w:cstheme="minorHAnsi"/>
          <w:color w:val="808080" w:themeColor="background1" w:themeShade="80"/>
          <w:sz w:val="16"/>
          <w:szCs w:val="16"/>
        </w:rPr>
        <w:t xml:space="preserve"> 25 de septiembre de 2017. New York Times, </w:t>
      </w:r>
      <w:hyperlink r:id="rId273" w:history="1">
        <w:r w:rsidRPr="00930562">
          <w:rPr>
            <w:rStyle w:val="Hyperlink"/>
            <w:rFonts w:asciiTheme="minorHAnsi" w:hAnsiTheme="minorHAnsi" w:cstheme="minorHAnsi"/>
            <w:color w:val="808080" w:themeColor="background1" w:themeShade="80"/>
            <w:sz w:val="16"/>
            <w:szCs w:val="16"/>
          </w:rPr>
          <w:t>Minnesota Officer Acquitted in Killing of Philando Castile</w:t>
        </w:r>
      </w:hyperlink>
      <w:r w:rsidRPr="00930562">
        <w:rPr>
          <w:rFonts w:asciiTheme="minorHAnsi" w:hAnsiTheme="minorHAnsi" w:cstheme="minorHAnsi"/>
          <w:color w:val="808080" w:themeColor="background1" w:themeShade="80"/>
          <w:sz w:val="16"/>
          <w:szCs w:val="16"/>
        </w:rPr>
        <w:t xml:space="preserve">, 6 de junio de 2017. ABC News, </w:t>
      </w:r>
      <w:hyperlink r:id="rId274" w:history="1">
        <w:r w:rsidRPr="00930562">
          <w:rPr>
            <w:rStyle w:val="Hyperlink"/>
            <w:rFonts w:asciiTheme="minorHAnsi" w:hAnsiTheme="minorHAnsi" w:cstheme="minorHAnsi"/>
            <w:color w:val="808080" w:themeColor="background1" w:themeShade="80"/>
            <w:sz w:val="16"/>
            <w:szCs w:val="16"/>
          </w:rPr>
          <w:t>Tulsa police officer acquitted in death of unarmed African-American man</w:t>
        </w:r>
      </w:hyperlink>
      <w:r w:rsidRPr="00930562">
        <w:rPr>
          <w:rFonts w:asciiTheme="minorHAnsi" w:hAnsiTheme="minorHAnsi" w:cstheme="minorHAnsi"/>
          <w:color w:val="808080" w:themeColor="background1" w:themeShade="80"/>
          <w:sz w:val="16"/>
          <w:szCs w:val="16"/>
        </w:rPr>
        <w:t xml:space="preserve">, 18 de mayo de 2017. CNN News, </w:t>
      </w:r>
      <w:hyperlink r:id="rId275" w:history="1">
        <w:r w:rsidRPr="00930562">
          <w:rPr>
            <w:rStyle w:val="Hyperlink"/>
            <w:rFonts w:asciiTheme="minorHAnsi" w:hAnsiTheme="minorHAnsi" w:cstheme="minorHAnsi"/>
            <w:color w:val="808080" w:themeColor="background1" w:themeShade="80"/>
            <w:sz w:val="16"/>
            <w:szCs w:val="16"/>
          </w:rPr>
          <w:t>No federal charges against officers in Alton Sterling death</w:t>
        </w:r>
      </w:hyperlink>
      <w:r w:rsidRPr="00930562">
        <w:rPr>
          <w:rFonts w:asciiTheme="minorHAnsi" w:hAnsiTheme="minorHAnsi" w:cstheme="minorHAnsi"/>
          <w:color w:val="808080" w:themeColor="background1" w:themeShade="80"/>
          <w:sz w:val="16"/>
          <w:szCs w:val="16"/>
        </w:rPr>
        <w:t xml:space="preserve">, 27 de junio de 2017; CNN, </w:t>
      </w:r>
      <w:hyperlink r:id="rId276" w:history="1">
        <w:r w:rsidRPr="00930562">
          <w:rPr>
            <w:rStyle w:val="Hyperlink"/>
            <w:rFonts w:asciiTheme="minorHAnsi" w:hAnsiTheme="minorHAnsi" w:cstheme="minorHAnsi"/>
            <w:color w:val="808080" w:themeColor="background1" w:themeShade="80"/>
            <w:sz w:val="16"/>
            <w:szCs w:val="16"/>
          </w:rPr>
          <w:t>St. Louis ex-officer acquitted in fatal shooting of black driver</w:t>
        </w:r>
      </w:hyperlink>
      <w:r w:rsidRPr="00930562">
        <w:rPr>
          <w:rFonts w:asciiTheme="minorHAnsi" w:hAnsiTheme="minorHAnsi" w:cstheme="minorHAnsi"/>
          <w:color w:val="808080" w:themeColor="background1" w:themeShade="80"/>
          <w:sz w:val="16"/>
          <w:szCs w:val="16"/>
        </w:rPr>
        <w:t xml:space="preserve">, 16 de septiembre de 2017; </w:t>
      </w:r>
      <w:r w:rsidRPr="00930562">
        <w:rPr>
          <w:rFonts w:asciiTheme="minorHAnsi" w:hAnsiTheme="minorHAnsi" w:cstheme="minorHAnsi"/>
          <w:color w:val="808080" w:themeColor="background1" w:themeShade="80"/>
          <w:sz w:val="16"/>
          <w:szCs w:val="16"/>
          <w:lang w:val="en-GB"/>
        </w:rPr>
        <w:t xml:space="preserve">CBS News, </w:t>
      </w:r>
      <w:hyperlink r:id="rId277" w:history="1">
        <w:r w:rsidRPr="00930562">
          <w:rPr>
            <w:rStyle w:val="Hyperlink"/>
            <w:rFonts w:asciiTheme="minorHAnsi" w:hAnsiTheme="minorHAnsi" w:cstheme="minorHAnsi"/>
            <w:color w:val="808080" w:themeColor="background1" w:themeShade="80"/>
            <w:sz w:val="16"/>
            <w:szCs w:val="16"/>
            <w:lang w:val="en-GB"/>
          </w:rPr>
          <w:t>Terence Crutcher shooting ignites debate</w:t>
        </w:r>
      </w:hyperlink>
      <w:r w:rsidRPr="00930562">
        <w:rPr>
          <w:rFonts w:asciiTheme="minorHAnsi" w:hAnsiTheme="minorHAnsi" w:cstheme="minorHAnsi"/>
          <w:color w:val="808080" w:themeColor="background1" w:themeShade="80"/>
          <w:sz w:val="16"/>
          <w:szCs w:val="16"/>
          <w:lang w:val="en-GB"/>
        </w:rPr>
        <w:t xml:space="preserve">, 4 de abril de 2017; </w:t>
      </w:r>
      <w:r w:rsidRPr="00930562">
        <w:rPr>
          <w:rFonts w:asciiTheme="minorHAnsi" w:hAnsiTheme="minorHAnsi" w:cstheme="minorHAnsi"/>
          <w:i/>
          <w:color w:val="808080" w:themeColor="background1" w:themeShade="80"/>
          <w:sz w:val="16"/>
          <w:szCs w:val="16"/>
        </w:rPr>
        <w:t>véase también</w:t>
      </w:r>
      <w:r w:rsidRPr="00930562">
        <w:rPr>
          <w:rFonts w:asciiTheme="minorHAnsi" w:hAnsiTheme="minorHAnsi" w:cstheme="minorHAnsi"/>
          <w:color w:val="808080" w:themeColor="background1" w:themeShade="80"/>
          <w:sz w:val="16"/>
          <w:szCs w:val="16"/>
        </w:rPr>
        <w:t xml:space="preserve"> New York Times, </w:t>
      </w:r>
      <w:hyperlink r:id="rId278" w:history="1">
        <w:r w:rsidRPr="00930562">
          <w:rPr>
            <w:rStyle w:val="Hyperlink"/>
            <w:rFonts w:asciiTheme="minorHAnsi" w:hAnsiTheme="minorHAnsi" w:cstheme="minorHAnsi"/>
            <w:color w:val="808080" w:themeColor="background1" w:themeShade="80"/>
            <w:sz w:val="16"/>
            <w:szCs w:val="16"/>
          </w:rPr>
          <w:t>Looking for Accountability in Police-Involved Deaths of Blacks</w:t>
        </w:r>
      </w:hyperlink>
      <w:r w:rsidRPr="00930562">
        <w:rPr>
          <w:rFonts w:asciiTheme="minorHAnsi" w:hAnsiTheme="minorHAnsi" w:cstheme="minorHAnsi"/>
          <w:color w:val="808080" w:themeColor="background1" w:themeShade="80"/>
          <w:sz w:val="16"/>
          <w:szCs w:val="16"/>
        </w:rPr>
        <w:t>, 3 de mayo de 2017;</w:t>
      </w:r>
      <w:r w:rsidRPr="00930562">
        <w:rPr>
          <w:rFonts w:asciiTheme="minorHAnsi" w:hAnsiTheme="minorHAnsi" w:cstheme="minorHAnsi"/>
          <w:color w:val="808080" w:themeColor="background1" w:themeShade="80"/>
          <w:sz w:val="16"/>
          <w:szCs w:val="16"/>
          <w:lang w:val="en-GB"/>
        </w:rPr>
        <w:t xml:space="preserve"> </w:t>
      </w:r>
      <w:r w:rsidRPr="00930562">
        <w:rPr>
          <w:rFonts w:asciiTheme="minorHAnsi" w:hAnsiTheme="minorHAnsi" w:cstheme="minorHAnsi"/>
          <w:color w:val="808080" w:themeColor="background1" w:themeShade="80"/>
          <w:sz w:val="16"/>
          <w:szCs w:val="16"/>
        </w:rPr>
        <w:t xml:space="preserve">Guardian, </w:t>
      </w:r>
      <w:hyperlink r:id="rId279" w:history="1">
        <w:r w:rsidRPr="00930562">
          <w:rPr>
            <w:rStyle w:val="Hyperlink"/>
            <w:rFonts w:asciiTheme="minorHAnsi" w:hAnsiTheme="minorHAnsi" w:cstheme="minorHAnsi"/>
            <w:color w:val="808080" w:themeColor="background1" w:themeShade="80"/>
            <w:sz w:val="16"/>
            <w:szCs w:val="16"/>
          </w:rPr>
          <w:t>Cleveland police handcuff Tamir Rice's sister after shooting 12-year-old – video</w:t>
        </w:r>
      </w:hyperlink>
      <w:r w:rsidRPr="00930562">
        <w:rPr>
          <w:rFonts w:asciiTheme="minorHAnsi" w:hAnsiTheme="minorHAnsi" w:cstheme="minorHAnsi"/>
          <w:color w:val="808080" w:themeColor="background1" w:themeShade="80"/>
          <w:sz w:val="16"/>
          <w:szCs w:val="16"/>
        </w:rPr>
        <w:t>, 8 de enero de 2015.</w:t>
      </w:r>
    </w:p>
  </w:footnote>
  <w:footnote w:id="224">
    <w:p w14:paraId="177678FB" w14:textId="77777777" w:rsidR="00F64540" w:rsidRPr="00930562" w:rsidRDefault="00F64540" w:rsidP="00D573E3">
      <w:pPr>
        <w:pStyle w:val="FootnoteText"/>
        <w:spacing w:after="40"/>
        <w:ind w:left="547" w:hanging="547"/>
        <w:jc w:val="both"/>
        <w:rPr>
          <w:rFonts w:asciiTheme="minorHAnsi" w:hAnsiTheme="minorHAnsi" w:cstheme="minorHAnsi"/>
          <w:color w:val="808080" w:themeColor="background1" w:themeShade="80"/>
          <w:sz w:val="16"/>
          <w:szCs w:val="16"/>
          <w:lang w:val="es-U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US"/>
        </w:rPr>
        <w:t xml:space="preserve"> </w:t>
      </w:r>
      <w:r w:rsidRPr="00930562">
        <w:rPr>
          <w:rFonts w:asciiTheme="minorHAnsi" w:hAnsiTheme="minorHAnsi" w:cstheme="majorHAnsi"/>
          <w:color w:val="808080" w:themeColor="background1" w:themeShade="80"/>
          <w:sz w:val="16"/>
          <w:szCs w:val="16"/>
          <w:lang w:val="es-US"/>
        </w:rPr>
        <w:tab/>
      </w:r>
      <w:r w:rsidRPr="00930562">
        <w:rPr>
          <w:rFonts w:asciiTheme="minorHAnsi" w:hAnsiTheme="minorHAnsi" w:cstheme="minorHAnsi"/>
          <w:bCs/>
          <w:color w:val="808080" w:themeColor="background1" w:themeShade="80"/>
          <w:sz w:val="16"/>
          <w:szCs w:val="16"/>
          <w:lang w:val="es-US"/>
        </w:rPr>
        <w:t xml:space="preserve">CIDH, 156° Período de Sesiones, </w:t>
      </w:r>
      <w:hyperlink r:id="rId280" w:history="1">
        <w:r w:rsidRPr="00930562">
          <w:rPr>
            <w:rStyle w:val="Hyperlink"/>
            <w:rFonts w:asciiTheme="minorHAnsi" w:hAnsiTheme="minorHAnsi" w:cstheme="minorHAnsi"/>
            <w:bCs/>
            <w:color w:val="808080" w:themeColor="background1" w:themeShade="80"/>
            <w:sz w:val="16"/>
            <w:szCs w:val="16"/>
            <w:lang w:val="es-US"/>
          </w:rPr>
          <w:t>Audiencia “Asesinatos Policiales</w:t>
        </w:r>
      </w:hyperlink>
      <w:r w:rsidRPr="00930562">
        <w:rPr>
          <w:rStyle w:val="Hyperlink"/>
          <w:rFonts w:asciiTheme="minorHAnsi" w:hAnsiTheme="minorHAnsi" w:cstheme="minorHAnsi"/>
          <w:bCs/>
          <w:color w:val="808080" w:themeColor="background1" w:themeShade="80"/>
          <w:sz w:val="16"/>
          <w:szCs w:val="16"/>
          <w:lang w:val="es-US"/>
        </w:rPr>
        <w:t>”</w:t>
      </w:r>
      <w:r w:rsidRPr="00930562">
        <w:rPr>
          <w:rFonts w:asciiTheme="minorHAnsi" w:hAnsiTheme="minorHAnsi" w:cstheme="minorHAnsi"/>
          <w:bCs/>
          <w:color w:val="808080" w:themeColor="background1" w:themeShade="80"/>
          <w:sz w:val="16"/>
          <w:szCs w:val="16"/>
          <w:lang w:val="es-US"/>
        </w:rPr>
        <w:t>, 23 de octubre de 2015.</w:t>
      </w:r>
    </w:p>
  </w:footnote>
  <w:footnote w:id="225">
    <w:p w14:paraId="70632292" w14:textId="77777777" w:rsidR="00F64540" w:rsidRPr="00930562" w:rsidRDefault="00F64540" w:rsidP="00D573E3">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r>
      <w:r w:rsidRPr="00930562">
        <w:rPr>
          <w:rFonts w:asciiTheme="minorHAnsi" w:hAnsiTheme="minorHAnsi" w:cstheme="minorHAnsi"/>
          <w:bCs/>
          <w:i/>
          <w:color w:val="808080" w:themeColor="background1" w:themeShade="80"/>
          <w:sz w:val="16"/>
          <w:szCs w:val="16"/>
        </w:rPr>
        <w:t>Id</w:t>
      </w:r>
      <w:r w:rsidRPr="00930562">
        <w:rPr>
          <w:rFonts w:asciiTheme="minorHAnsi" w:hAnsiTheme="minorHAnsi" w:cstheme="minorHAnsi"/>
          <w:bCs/>
          <w:color w:val="808080" w:themeColor="background1" w:themeShade="80"/>
          <w:sz w:val="16"/>
          <w:szCs w:val="16"/>
        </w:rPr>
        <w:t>.</w:t>
      </w:r>
    </w:p>
  </w:footnote>
  <w:footnote w:id="226">
    <w:p w14:paraId="57176A85"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New York Times, </w:t>
      </w:r>
      <w:hyperlink r:id="rId281" w:history="1">
        <w:r w:rsidRPr="00930562">
          <w:rPr>
            <w:rStyle w:val="Hyperlink"/>
            <w:rFonts w:asciiTheme="minorHAnsi" w:hAnsiTheme="minorHAnsi" w:cstheme="minorHAnsi"/>
            <w:color w:val="808080" w:themeColor="background1" w:themeShade="80"/>
            <w:sz w:val="16"/>
            <w:szCs w:val="16"/>
          </w:rPr>
          <w:t>Erica Garner, Activist and Daughter of Eric Garner, Dies at 27</w:t>
        </w:r>
      </w:hyperlink>
      <w:r w:rsidRPr="00930562">
        <w:rPr>
          <w:rFonts w:asciiTheme="minorHAnsi" w:hAnsiTheme="minorHAnsi" w:cstheme="minorHAnsi"/>
          <w:color w:val="808080" w:themeColor="background1" w:themeShade="80"/>
          <w:sz w:val="16"/>
          <w:szCs w:val="16"/>
        </w:rPr>
        <w:t>, 30 de diciembre de 2017.</w:t>
      </w:r>
    </w:p>
  </w:footnote>
  <w:footnote w:id="227">
    <w:p w14:paraId="385E558C"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r>
      <w:r w:rsidRPr="00930562">
        <w:rPr>
          <w:rFonts w:asciiTheme="minorHAnsi" w:hAnsiTheme="minorHAnsi" w:cstheme="minorHAnsi"/>
          <w:i/>
          <w:color w:val="808080" w:themeColor="background1" w:themeShade="80"/>
          <w:sz w:val="16"/>
          <w:szCs w:val="16"/>
        </w:rPr>
        <w:t>Id</w:t>
      </w:r>
      <w:r w:rsidRPr="00930562">
        <w:rPr>
          <w:rFonts w:asciiTheme="minorHAnsi" w:hAnsiTheme="minorHAnsi" w:cstheme="minorHAnsi"/>
          <w:color w:val="808080" w:themeColor="background1" w:themeShade="80"/>
          <w:sz w:val="16"/>
          <w:szCs w:val="16"/>
        </w:rPr>
        <w:t>.</w:t>
      </w:r>
    </w:p>
  </w:footnote>
  <w:footnote w:id="228">
    <w:p w14:paraId="1604B58D"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rPr>
        <w:t xml:space="preserve"> </w:t>
      </w:r>
      <w:r w:rsidRPr="00930562">
        <w:rPr>
          <w:rFonts w:asciiTheme="minorHAnsi" w:hAnsiTheme="minorHAnsi" w:cstheme="majorHAnsi"/>
          <w:color w:val="808080" w:themeColor="background1" w:themeShade="80"/>
          <w:sz w:val="16"/>
          <w:szCs w:val="16"/>
        </w:rPr>
        <w:tab/>
      </w:r>
      <w:r w:rsidRPr="00930562">
        <w:rPr>
          <w:rFonts w:asciiTheme="minorHAnsi" w:hAnsiTheme="minorHAnsi" w:cstheme="minorHAnsi"/>
          <w:color w:val="808080" w:themeColor="background1" w:themeShade="80"/>
          <w:sz w:val="16"/>
          <w:szCs w:val="16"/>
        </w:rPr>
        <w:t xml:space="preserve">Roger A. Fairfax, Jr., “The Grand Jury and Police Violence </w:t>
      </w:r>
      <w:proofErr w:type="gramStart"/>
      <w:r w:rsidRPr="00930562">
        <w:rPr>
          <w:rFonts w:asciiTheme="minorHAnsi" w:hAnsiTheme="minorHAnsi" w:cstheme="minorHAnsi"/>
          <w:color w:val="808080" w:themeColor="background1" w:themeShade="80"/>
          <w:sz w:val="16"/>
          <w:szCs w:val="16"/>
        </w:rPr>
        <w:t>Against</w:t>
      </w:r>
      <w:proofErr w:type="gramEnd"/>
      <w:r w:rsidRPr="00930562">
        <w:rPr>
          <w:rFonts w:asciiTheme="minorHAnsi" w:hAnsiTheme="minorHAnsi" w:cstheme="minorHAnsi"/>
          <w:color w:val="808080" w:themeColor="background1" w:themeShade="80"/>
          <w:sz w:val="16"/>
          <w:szCs w:val="16"/>
        </w:rPr>
        <w:t xml:space="preserve"> Black Men,” en </w:t>
      </w:r>
      <w:r w:rsidRPr="00930562">
        <w:rPr>
          <w:rFonts w:asciiTheme="minorHAnsi" w:hAnsiTheme="minorHAnsi" w:cstheme="minorHAnsi"/>
          <w:i/>
          <w:color w:val="808080" w:themeColor="background1" w:themeShade="80"/>
          <w:sz w:val="16"/>
          <w:szCs w:val="16"/>
        </w:rPr>
        <w:t xml:space="preserve">Policing the Black Man </w:t>
      </w:r>
      <w:r w:rsidRPr="00930562">
        <w:rPr>
          <w:rFonts w:asciiTheme="minorHAnsi" w:hAnsiTheme="minorHAnsi" w:cstheme="minorHAnsi"/>
          <w:color w:val="808080" w:themeColor="background1" w:themeShade="80"/>
          <w:sz w:val="16"/>
          <w:szCs w:val="16"/>
        </w:rPr>
        <w:t>(2017), pp. 220-228.</w:t>
      </w:r>
    </w:p>
  </w:footnote>
  <w:footnote w:id="229">
    <w:p w14:paraId="4DB5A5F5"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Houston Chronicle, </w:t>
      </w:r>
      <w:hyperlink r:id="rId282" w:history="1">
        <w:r w:rsidRPr="00930562">
          <w:rPr>
            <w:rStyle w:val="Hyperlink"/>
            <w:rFonts w:asciiTheme="minorHAnsi" w:hAnsiTheme="minorHAnsi" w:cstheme="minorHAnsi"/>
            <w:color w:val="808080" w:themeColor="background1" w:themeShade="80"/>
            <w:sz w:val="16"/>
            <w:szCs w:val="16"/>
          </w:rPr>
          <w:t>Hard to Charge</w:t>
        </w:r>
      </w:hyperlink>
      <w:r w:rsidRPr="00930562">
        <w:rPr>
          <w:rFonts w:asciiTheme="minorHAnsi" w:hAnsiTheme="minorHAnsi" w:cstheme="minorHAnsi"/>
          <w:color w:val="808080" w:themeColor="background1" w:themeShade="80"/>
          <w:sz w:val="16"/>
          <w:szCs w:val="16"/>
        </w:rPr>
        <w:t xml:space="preserve">, última visita 29 de enero de 2018; </w:t>
      </w:r>
      <w:r w:rsidRPr="00930562">
        <w:rPr>
          <w:rFonts w:asciiTheme="minorHAnsi" w:hAnsiTheme="minorHAnsi" w:cstheme="minorHAnsi"/>
          <w:i/>
          <w:color w:val="808080" w:themeColor="background1" w:themeShade="80"/>
          <w:sz w:val="16"/>
          <w:szCs w:val="16"/>
        </w:rPr>
        <w:t>véase además</w:t>
      </w:r>
      <w:r w:rsidRPr="00930562">
        <w:rPr>
          <w:rFonts w:asciiTheme="minorHAnsi" w:hAnsiTheme="minorHAnsi" w:cstheme="minorHAnsi"/>
          <w:color w:val="808080" w:themeColor="background1" w:themeShade="80"/>
          <w:sz w:val="16"/>
          <w:szCs w:val="16"/>
        </w:rPr>
        <w:t xml:space="preserve"> New York Times, </w:t>
      </w:r>
      <w:hyperlink r:id="rId283" w:history="1">
        <w:r w:rsidRPr="00930562">
          <w:rPr>
            <w:rStyle w:val="Hyperlink"/>
            <w:rFonts w:asciiTheme="minorHAnsi" w:hAnsiTheme="minorHAnsi" w:cstheme="minorHAnsi"/>
            <w:color w:val="808080" w:themeColor="background1" w:themeShade="80"/>
            <w:sz w:val="16"/>
            <w:szCs w:val="16"/>
          </w:rPr>
          <w:t>Grand Jury System, With Exceptions, Favors the Police in Fatalities</w:t>
        </w:r>
      </w:hyperlink>
      <w:r w:rsidRPr="00930562">
        <w:rPr>
          <w:rFonts w:asciiTheme="minorHAnsi" w:hAnsiTheme="minorHAnsi" w:cstheme="minorHAnsi"/>
          <w:color w:val="808080" w:themeColor="background1" w:themeShade="80"/>
          <w:sz w:val="16"/>
          <w:szCs w:val="16"/>
        </w:rPr>
        <w:t>, 7 de diciembre de 2014.</w:t>
      </w:r>
    </w:p>
  </w:footnote>
  <w:footnote w:id="230">
    <w:p w14:paraId="4CAC89A3"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t>Solicitud de audiencia recibida por Robert F. Kennedy Human Rights para el 156° Período de Sesiones, 23 de octubre de 2015, p. 2 [de aquí en adelante “RFK Solicitud de audiencia, 156° Período de Sesiones, 23 de octubre de 2015”].</w:t>
      </w:r>
    </w:p>
  </w:footnote>
  <w:footnote w:id="231">
    <w:p w14:paraId="1228FFB2"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t xml:space="preserve">Información recibida del RFK Human Rights durante el 166° Período de Sesiones, 7 de diciembre de 2017, p. 1 (citando MSNBC, </w:t>
      </w:r>
      <w:hyperlink r:id="rId284" w:history="1">
        <w:r w:rsidRPr="00930562">
          <w:rPr>
            <w:rStyle w:val="Hyperlink"/>
            <w:rFonts w:asciiTheme="minorHAnsi" w:hAnsiTheme="minorHAnsi" w:cstheme="minorHAnsi"/>
            <w:color w:val="808080" w:themeColor="background1" w:themeShade="80"/>
            <w:sz w:val="16"/>
            <w:szCs w:val="16"/>
            <w:lang w:val="es-AR"/>
          </w:rPr>
          <w:t>Prosecutors and Police: The Inherent Conflict in our Courts</w:t>
        </w:r>
      </w:hyperlink>
      <w:r w:rsidRPr="00930562">
        <w:rPr>
          <w:rFonts w:asciiTheme="minorHAnsi" w:hAnsiTheme="minorHAnsi" w:cstheme="minorHAnsi"/>
          <w:color w:val="808080" w:themeColor="background1" w:themeShade="80"/>
          <w:sz w:val="16"/>
          <w:szCs w:val="16"/>
          <w:lang w:val="es-AR"/>
        </w:rPr>
        <w:t xml:space="preserve">, 5 de diciembre de 2014, FiveThirtyEight, </w:t>
      </w:r>
      <w:hyperlink r:id="rId285" w:history="1">
        <w:r w:rsidRPr="00930562">
          <w:rPr>
            <w:rStyle w:val="Hyperlink"/>
            <w:rFonts w:asciiTheme="minorHAnsi" w:hAnsiTheme="minorHAnsi" w:cstheme="minorHAnsi"/>
            <w:color w:val="808080" w:themeColor="background1" w:themeShade="80"/>
            <w:sz w:val="16"/>
            <w:szCs w:val="16"/>
            <w:lang w:val="es-AR"/>
          </w:rPr>
          <w:t>Allegations of Police Misconduct Rarely Result in Charge</w:t>
        </w:r>
      </w:hyperlink>
      <w:r w:rsidRPr="00930562">
        <w:rPr>
          <w:rFonts w:asciiTheme="minorHAnsi" w:hAnsiTheme="minorHAnsi" w:cstheme="minorHAnsi"/>
          <w:color w:val="808080" w:themeColor="background1" w:themeShade="80"/>
          <w:sz w:val="16"/>
          <w:szCs w:val="16"/>
          <w:lang w:val="es-AR"/>
        </w:rPr>
        <w:t xml:space="preserve">s, 25 de noviembre de 2014; Washington Post, </w:t>
      </w:r>
      <w:hyperlink r:id="rId286" w:history="1">
        <w:r w:rsidRPr="00930562">
          <w:rPr>
            <w:rStyle w:val="Hyperlink"/>
            <w:rFonts w:asciiTheme="minorHAnsi" w:hAnsiTheme="minorHAnsi" w:cstheme="minorHAnsi"/>
            <w:color w:val="808080" w:themeColor="background1" w:themeShade="80"/>
            <w:sz w:val="16"/>
            <w:szCs w:val="16"/>
            <w:lang w:val="es-AR"/>
          </w:rPr>
          <w:t>Thousands Dead, Few Prosecuted</w:t>
        </w:r>
      </w:hyperlink>
      <w:r w:rsidRPr="00930562">
        <w:rPr>
          <w:rFonts w:asciiTheme="minorHAnsi" w:hAnsiTheme="minorHAnsi" w:cstheme="minorHAnsi"/>
          <w:color w:val="808080" w:themeColor="background1" w:themeShade="80"/>
          <w:sz w:val="16"/>
          <w:szCs w:val="16"/>
          <w:lang w:val="es-AR"/>
        </w:rPr>
        <w:t xml:space="preserve">, 11 de abril de 2015; Houston Chronicle, </w:t>
      </w:r>
      <w:hyperlink r:id="rId287" w:history="1">
        <w:r w:rsidRPr="00930562">
          <w:rPr>
            <w:rStyle w:val="Hyperlink"/>
            <w:rFonts w:asciiTheme="minorHAnsi" w:hAnsiTheme="minorHAnsi" w:cstheme="minorHAnsi"/>
            <w:color w:val="808080" w:themeColor="background1" w:themeShade="80"/>
            <w:sz w:val="16"/>
            <w:szCs w:val="16"/>
            <w:lang w:val="es-AR"/>
          </w:rPr>
          <w:t>Hard to Charge</w:t>
        </w:r>
      </w:hyperlink>
      <w:r w:rsidRPr="00930562">
        <w:rPr>
          <w:rFonts w:asciiTheme="minorHAnsi" w:hAnsiTheme="minorHAnsi" w:cstheme="minorHAnsi"/>
          <w:color w:val="808080" w:themeColor="background1" w:themeShade="80"/>
          <w:sz w:val="16"/>
          <w:szCs w:val="16"/>
          <w:lang w:val="es-AR"/>
        </w:rPr>
        <w:t xml:space="preserve">, última visita 5 de octubre de 2015; </w:t>
      </w:r>
      <w:hyperlink r:id="rId288" w:history="1">
        <w:r w:rsidRPr="00930562">
          <w:rPr>
            <w:rStyle w:val="Hyperlink"/>
            <w:rFonts w:asciiTheme="minorHAnsi" w:hAnsiTheme="minorHAnsi" w:cstheme="minorHAnsi"/>
            <w:color w:val="808080" w:themeColor="background1" w:themeShade="80"/>
            <w:sz w:val="16"/>
            <w:szCs w:val="16"/>
            <w:lang w:val="es-AR"/>
          </w:rPr>
          <w:t>Federal Justice Statistics 2010 – Statistical Tables</w:t>
        </w:r>
      </w:hyperlink>
      <w:r w:rsidRPr="00930562">
        <w:rPr>
          <w:rFonts w:asciiTheme="minorHAnsi" w:hAnsiTheme="minorHAnsi" w:cstheme="minorHAnsi"/>
          <w:color w:val="808080" w:themeColor="background1" w:themeShade="80"/>
          <w:sz w:val="16"/>
          <w:szCs w:val="16"/>
          <w:lang w:val="es-AR"/>
        </w:rPr>
        <w:t>, diciembre de 2013) [de aquí en adelante “RFK Información presentada, 166° Período de Sesiones, 7 de diciembre de 2017”].</w:t>
      </w:r>
    </w:p>
  </w:footnote>
  <w:footnote w:id="232">
    <w:p w14:paraId="49E5FC19"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t>RFK Solicitud de audiencia, 156° Período de Sesiones, 23 de octubre de 2015, p. 2.</w:t>
      </w:r>
    </w:p>
  </w:footnote>
  <w:footnote w:id="233">
    <w:p w14:paraId="170519E9"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t>RFK Información presentada, 166° Período de Sesiones, 7 de diciembre de 2017, p. 2.</w:t>
      </w:r>
    </w:p>
  </w:footnote>
  <w:footnote w:id="234">
    <w:p w14:paraId="39BFB66B"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Bureau of Justice Statistics, </w:t>
      </w:r>
      <w:hyperlink r:id="rId289" w:history="1">
        <w:r w:rsidRPr="00930562">
          <w:rPr>
            <w:rStyle w:val="Hyperlink"/>
            <w:rFonts w:asciiTheme="minorHAnsi" w:hAnsiTheme="minorHAnsi" w:cstheme="minorHAnsi"/>
            <w:color w:val="808080" w:themeColor="background1" w:themeShade="80"/>
            <w:sz w:val="16"/>
            <w:szCs w:val="16"/>
          </w:rPr>
          <w:t xml:space="preserve">Citizen Complaints </w:t>
        </w:r>
        <w:proofErr w:type="gramStart"/>
        <w:r w:rsidRPr="00930562">
          <w:rPr>
            <w:rStyle w:val="Hyperlink"/>
            <w:rFonts w:asciiTheme="minorHAnsi" w:hAnsiTheme="minorHAnsi" w:cstheme="minorHAnsi"/>
            <w:color w:val="808080" w:themeColor="background1" w:themeShade="80"/>
            <w:sz w:val="16"/>
            <w:szCs w:val="16"/>
          </w:rPr>
          <w:t>About</w:t>
        </w:r>
        <w:proofErr w:type="gramEnd"/>
        <w:r w:rsidRPr="00930562">
          <w:rPr>
            <w:rStyle w:val="Hyperlink"/>
            <w:rFonts w:asciiTheme="minorHAnsi" w:hAnsiTheme="minorHAnsi" w:cstheme="minorHAnsi"/>
            <w:color w:val="808080" w:themeColor="background1" w:themeShade="80"/>
            <w:sz w:val="16"/>
            <w:szCs w:val="16"/>
          </w:rPr>
          <w:t xml:space="preserve"> Police Use of Force</w:t>
        </w:r>
      </w:hyperlink>
      <w:r w:rsidRPr="00930562">
        <w:rPr>
          <w:rFonts w:asciiTheme="minorHAnsi" w:hAnsiTheme="minorHAnsi" w:cstheme="minorHAnsi"/>
          <w:color w:val="808080" w:themeColor="background1" w:themeShade="80"/>
          <w:sz w:val="16"/>
          <w:szCs w:val="16"/>
        </w:rPr>
        <w:t>, junio de 2006.</w:t>
      </w:r>
    </w:p>
  </w:footnote>
  <w:footnote w:id="235">
    <w:p w14:paraId="0AC5F83F"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i/>
          <w:color w:val="808080" w:themeColor="background1" w:themeShade="80"/>
          <w:sz w:val="16"/>
          <w:szCs w:val="16"/>
          <w:lang w:val="es-AR"/>
        </w:rPr>
        <w:t>Id</w:t>
      </w:r>
      <w:r w:rsidRPr="00930562">
        <w:rPr>
          <w:rFonts w:asciiTheme="minorHAnsi" w:hAnsiTheme="minorHAnsi" w:cstheme="minorHAnsi"/>
          <w:color w:val="808080" w:themeColor="background1" w:themeShade="80"/>
          <w:sz w:val="16"/>
          <w:szCs w:val="16"/>
          <w:lang w:val="es-AR"/>
        </w:rPr>
        <w:t>. en 5. Sin embargo, no está claro que exista una relación directa entre la mera existencia de una unidad de asuntos internos y una tasa más alta de rendición de cuentas por parte de la policía. "De todas las agencias que tienen una unidad de asuntos internos, la tasa general de denuncias de los ciudadanas fue mayor que las que no tienen una unidad (54 por agencia versus 5 por agencia), al igual que las tasas de denuncias por cada 100 policías [...], las denuncias por uso de la fuerza recibidas en las agencias que tienen una unidad de asuntos internos tienen más del doble de probabilidad de ser consideradas sin sustento que en las agencias que no tienen una unidad de asuntos internos (37% versus 16%). Era altamente probable que las denuncias por el uso de la fuerza presentadas en agencias que no tienen una unidad de asuntos internos resulten con policías exonerados (47% versus 20%). El sostenimiento de la tasa fue más o menos equivalente en ambos tipos de agencias.”</w:t>
      </w:r>
    </w:p>
  </w:footnote>
  <w:footnote w:id="236">
    <w:p w14:paraId="67D14667"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rPr>
        <w:t xml:space="preserve"> </w:t>
      </w:r>
      <w:r w:rsidRPr="00930562">
        <w:rPr>
          <w:rFonts w:asciiTheme="minorHAnsi" w:hAnsiTheme="minorHAnsi" w:cstheme="majorHAnsi"/>
          <w:color w:val="808080" w:themeColor="background1" w:themeShade="80"/>
          <w:sz w:val="16"/>
          <w:szCs w:val="16"/>
        </w:rPr>
        <w:tab/>
      </w:r>
      <w:r w:rsidRPr="00930562">
        <w:rPr>
          <w:rFonts w:asciiTheme="minorHAnsi" w:hAnsiTheme="minorHAnsi" w:cstheme="minorHAnsi"/>
          <w:color w:val="808080" w:themeColor="background1" w:themeShade="80"/>
          <w:sz w:val="16"/>
          <w:szCs w:val="16"/>
        </w:rPr>
        <w:t xml:space="preserve">ACLU de New Jersey, </w:t>
      </w:r>
      <w:hyperlink r:id="rId290" w:history="1">
        <w:r w:rsidRPr="00930562">
          <w:rPr>
            <w:rStyle w:val="Hyperlink"/>
            <w:rFonts w:asciiTheme="minorHAnsi" w:hAnsiTheme="minorHAnsi" w:cstheme="minorHAnsi"/>
            <w:color w:val="808080" w:themeColor="background1" w:themeShade="80"/>
            <w:sz w:val="16"/>
            <w:szCs w:val="16"/>
          </w:rPr>
          <w:t xml:space="preserve">The Crisis Continues </w:t>
        </w:r>
        <w:proofErr w:type="gramStart"/>
        <w:r w:rsidRPr="00930562">
          <w:rPr>
            <w:rStyle w:val="Hyperlink"/>
            <w:rFonts w:asciiTheme="minorHAnsi" w:hAnsiTheme="minorHAnsi" w:cstheme="minorHAnsi"/>
            <w:color w:val="808080" w:themeColor="background1" w:themeShade="80"/>
            <w:sz w:val="16"/>
            <w:szCs w:val="16"/>
          </w:rPr>
          <w:t>Inside</w:t>
        </w:r>
        <w:proofErr w:type="gramEnd"/>
        <w:r w:rsidRPr="00930562">
          <w:rPr>
            <w:rStyle w:val="Hyperlink"/>
            <w:rFonts w:asciiTheme="minorHAnsi" w:hAnsiTheme="minorHAnsi" w:cstheme="minorHAnsi"/>
            <w:color w:val="808080" w:themeColor="background1" w:themeShade="80"/>
            <w:sz w:val="16"/>
            <w:szCs w:val="16"/>
          </w:rPr>
          <w:t xml:space="preserve"> Police and Internal Affairs</w:t>
        </w:r>
      </w:hyperlink>
      <w:r w:rsidRPr="00930562">
        <w:rPr>
          <w:rFonts w:asciiTheme="minorHAnsi" w:hAnsiTheme="minorHAnsi" w:cstheme="minorHAnsi"/>
          <w:color w:val="808080" w:themeColor="background1" w:themeShade="80"/>
          <w:sz w:val="16"/>
          <w:szCs w:val="16"/>
        </w:rPr>
        <w:t>, febrero de 2013.</w:t>
      </w:r>
    </w:p>
  </w:footnote>
  <w:footnote w:id="237">
    <w:p w14:paraId="6286BC20" w14:textId="77777777" w:rsidR="00F64540" w:rsidRPr="00930562" w:rsidRDefault="00F64540" w:rsidP="00E10935">
      <w:pPr>
        <w:pStyle w:val="FootnoteText"/>
        <w:spacing w:after="40"/>
        <w:ind w:left="547" w:hanging="547"/>
        <w:jc w:val="both"/>
        <w:rPr>
          <w:rFonts w:asciiTheme="minorHAnsi" w:hAnsiTheme="minorHAnsi" w:cstheme="minorHAnsi"/>
          <w:i/>
          <w:color w:val="808080" w:themeColor="background1" w:themeShade="80"/>
          <w:sz w:val="16"/>
          <w:szCs w:val="16"/>
          <w:lang w:val="es-AR"/>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rPr>
        <w:t xml:space="preserve"> </w:t>
      </w:r>
      <w:r w:rsidRPr="00930562">
        <w:rPr>
          <w:rFonts w:asciiTheme="minorHAnsi" w:hAnsiTheme="minorHAnsi" w:cstheme="majorHAnsi"/>
          <w:color w:val="808080" w:themeColor="background1" w:themeShade="80"/>
          <w:sz w:val="16"/>
          <w:szCs w:val="16"/>
        </w:rPr>
        <w:tab/>
      </w:r>
      <w:r w:rsidRPr="00930562">
        <w:rPr>
          <w:rFonts w:asciiTheme="minorHAnsi" w:hAnsiTheme="minorHAnsi" w:cstheme="minorHAnsi"/>
          <w:i/>
          <w:color w:val="808080" w:themeColor="background1" w:themeShade="80"/>
          <w:sz w:val="16"/>
          <w:szCs w:val="16"/>
        </w:rPr>
        <w:t xml:space="preserve">Véase por </w:t>
      </w:r>
      <w:proofErr w:type="gramStart"/>
      <w:r w:rsidRPr="00930562">
        <w:rPr>
          <w:rFonts w:asciiTheme="minorHAnsi" w:hAnsiTheme="minorHAnsi" w:cstheme="minorHAnsi"/>
          <w:i/>
          <w:color w:val="808080" w:themeColor="background1" w:themeShade="80"/>
          <w:sz w:val="16"/>
          <w:szCs w:val="16"/>
        </w:rPr>
        <w:t>ejemplo</w:t>
      </w:r>
      <w:r w:rsidRPr="00930562">
        <w:rPr>
          <w:rFonts w:asciiTheme="minorHAnsi" w:hAnsiTheme="minorHAnsi" w:cstheme="minorHAnsi"/>
          <w:color w:val="808080" w:themeColor="background1" w:themeShade="80"/>
          <w:sz w:val="16"/>
          <w:szCs w:val="16"/>
        </w:rPr>
        <w:t>.,</w:t>
      </w:r>
      <w:proofErr w:type="gramEnd"/>
      <w:r w:rsidRPr="00930562">
        <w:rPr>
          <w:rFonts w:asciiTheme="minorHAnsi" w:hAnsiTheme="minorHAnsi" w:cstheme="minorHAnsi"/>
          <w:color w:val="808080" w:themeColor="background1" w:themeShade="80"/>
          <w:sz w:val="16"/>
          <w:szCs w:val="16"/>
        </w:rPr>
        <w:t xml:space="preserve"> LA Times, </w:t>
      </w:r>
      <w:hyperlink r:id="rId291" w:history="1">
        <w:r w:rsidRPr="00930562">
          <w:rPr>
            <w:rStyle w:val="Hyperlink"/>
            <w:rFonts w:asciiTheme="minorHAnsi" w:hAnsiTheme="minorHAnsi" w:cstheme="minorHAnsi"/>
            <w:color w:val="808080" w:themeColor="background1" w:themeShade="80"/>
            <w:sz w:val="16"/>
            <w:szCs w:val="16"/>
          </w:rPr>
          <w:t>LAPD found no bias in all 1,356 complaints filed against officers</w:t>
        </w:r>
      </w:hyperlink>
      <w:r w:rsidRPr="00930562">
        <w:rPr>
          <w:rFonts w:asciiTheme="minorHAnsi" w:hAnsiTheme="minorHAnsi" w:cstheme="minorHAnsi"/>
          <w:color w:val="808080" w:themeColor="background1" w:themeShade="80"/>
          <w:sz w:val="16"/>
          <w:szCs w:val="16"/>
        </w:rPr>
        <w:t xml:space="preserve">, 15 de diciembre de 2015; New Yorker, </w:t>
      </w:r>
      <w:hyperlink r:id="rId292" w:history="1">
        <w:r w:rsidRPr="00930562">
          <w:rPr>
            <w:rStyle w:val="Hyperlink"/>
            <w:rFonts w:asciiTheme="minorHAnsi" w:hAnsiTheme="minorHAnsi" w:cstheme="minorHAnsi"/>
            <w:color w:val="808080" w:themeColor="background1" w:themeShade="80"/>
            <w:sz w:val="16"/>
            <w:szCs w:val="16"/>
          </w:rPr>
          <w:t>Bad Cops, Good Cops</w:t>
        </w:r>
      </w:hyperlink>
      <w:r w:rsidRPr="00930562">
        <w:rPr>
          <w:rFonts w:asciiTheme="minorHAnsi" w:hAnsiTheme="minorHAnsi" w:cstheme="minorHAnsi"/>
          <w:color w:val="808080" w:themeColor="background1" w:themeShade="80"/>
          <w:sz w:val="16"/>
          <w:szCs w:val="16"/>
        </w:rPr>
        <w:t xml:space="preserve">, 21 de diciembre de 2015. </w:t>
      </w:r>
      <w:r w:rsidRPr="00930562">
        <w:rPr>
          <w:rFonts w:asciiTheme="minorHAnsi" w:hAnsiTheme="minorHAnsi" w:cstheme="minorHAnsi"/>
          <w:i/>
          <w:color w:val="808080" w:themeColor="background1" w:themeShade="80"/>
          <w:sz w:val="16"/>
          <w:szCs w:val="16"/>
          <w:lang w:val="es-AR"/>
        </w:rPr>
        <w:t xml:space="preserve">Véase además </w:t>
      </w:r>
      <w:r w:rsidRPr="00930562">
        <w:rPr>
          <w:rFonts w:asciiTheme="minorHAnsi" w:hAnsiTheme="minorHAnsi" w:cstheme="minorHAnsi"/>
          <w:color w:val="808080" w:themeColor="background1" w:themeShade="80"/>
          <w:sz w:val="16"/>
          <w:szCs w:val="16"/>
          <w:lang w:val="es-AR"/>
        </w:rPr>
        <w:t>RFK Información presentada, 166° Período de Sesiones, 7 de diciembre de 2017.</w:t>
      </w:r>
    </w:p>
  </w:footnote>
  <w:footnote w:id="238">
    <w:p w14:paraId="65EC083D"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The Marshall Project, </w:t>
      </w:r>
      <w:hyperlink r:id="rId293" w:history="1">
        <w:r w:rsidRPr="00930562">
          <w:rPr>
            <w:rStyle w:val="Hyperlink"/>
            <w:rFonts w:asciiTheme="minorHAnsi" w:hAnsiTheme="minorHAnsi" w:cstheme="minorHAnsi"/>
            <w:color w:val="808080" w:themeColor="background1" w:themeShade="80"/>
            <w:sz w:val="16"/>
            <w:szCs w:val="16"/>
          </w:rPr>
          <w:t>Blue Shield</w:t>
        </w:r>
      </w:hyperlink>
      <w:r w:rsidRPr="00930562">
        <w:rPr>
          <w:rFonts w:asciiTheme="minorHAnsi" w:hAnsiTheme="minorHAnsi" w:cstheme="minorHAnsi"/>
          <w:color w:val="808080" w:themeColor="background1" w:themeShade="80"/>
          <w:sz w:val="16"/>
          <w:szCs w:val="16"/>
        </w:rPr>
        <w:t xml:space="preserve">, 27 de abril de 2015; New York Times, </w:t>
      </w:r>
      <w:hyperlink r:id="rId294" w:history="1">
        <w:r w:rsidRPr="00930562">
          <w:rPr>
            <w:rStyle w:val="Hyperlink"/>
            <w:rFonts w:asciiTheme="minorHAnsi" w:hAnsiTheme="minorHAnsi" w:cstheme="minorHAnsi"/>
            <w:color w:val="808080" w:themeColor="background1" w:themeShade="80"/>
            <w:sz w:val="16"/>
            <w:szCs w:val="16"/>
          </w:rPr>
          <w:t>The Police Officers’ Bill of Rights Creates a Double Standard</w:t>
        </w:r>
      </w:hyperlink>
      <w:r w:rsidRPr="00930562">
        <w:rPr>
          <w:rFonts w:asciiTheme="minorHAnsi" w:hAnsiTheme="minorHAnsi" w:cstheme="minorHAnsi"/>
          <w:color w:val="808080" w:themeColor="background1" w:themeShade="80"/>
          <w:sz w:val="16"/>
          <w:szCs w:val="16"/>
        </w:rPr>
        <w:t xml:space="preserve">, 27 de junio de 2015; Human Rights Committee, </w:t>
      </w:r>
      <w:hyperlink r:id="rId295" w:history="1">
        <w:r w:rsidRPr="00930562">
          <w:rPr>
            <w:rStyle w:val="Hyperlink"/>
            <w:rFonts w:asciiTheme="minorHAnsi" w:hAnsiTheme="minorHAnsi" w:cstheme="minorHAnsi"/>
            <w:color w:val="808080" w:themeColor="background1" w:themeShade="80"/>
            <w:sz w:val="16"/>
            <w:szCs w:val="16"/>
          </w:rPr>
          <w:t>Report of the Special Rapporteur on the rights to freedom of peaceful assembly and of association on his follow-up Mission to the United States of America</w:t>
        </w:r>
      </w:hyperlink>
      <w:r w:rsidRPr="00930562">
        <w:rPr>
          <w:rFonts w:asciiTheme="minorHAnsi" w:hAnsiTheme="minorHAnsi" w:cstheme="minorHAnsi"/>
          <w:color w:val="808080" w:themeColor="background1" w:themeShade="80"/>
          <w:sz w:val="16"/>
          <w:szCs w:val="16"/>
        </w:rPr>
        <w:t xml:space="preserve">, A/HRC/35/28/Add.2, 12 de junio de 2017, párr. </w:t>
      </w:r>
      <w:r w:rsidRPr="00930562">
        <w:rPr>
          <w:rFonts w:asciiTheme="minorHAnsi" w:hAnsiTheme="minorHAnsi" w:cstheme="minorHAnsi"/>
          <w:color w:val="808080" w:themeColor="background1" w:themeShade="80"/>
          <w:sz w:val="16"/>
          <w:szCs w:val="16"/>
          <w:lang w:val="es-AR"/>
        </w:rPr>
        <w:t>41.</w:t>
      </w:r>
    </w:p>
  </w:footnote>
  <w:footnote w:id="239">
    <w:p w14:paraId="2B050C97"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t xml:space="preserve">Información recibida de Robert F. Kennedy (RFK) Human Rights durante 156° Período de Sesiones, actualizado al 12 de febrero de 2016, p. 82 (disponible también en: </w:t>
      </w:r>
      <w:hyperlink r:id="rId296" w:history="1">
        <w:r w:rsidRPr="00930562">
          <w:rPr>
            <w:rStyle w:val="Hyperlink"/>
            <w:rFonts w:asciiTheme="minorHAnsi" w:hAnsiTheme="minorHAnsi" w:cstheme="minorHAnsi"/>
            <w:color w:val="808080" w:themeColor="background1" w:themeShade="80"/>
            <w:sz w:val="16"/>
            <w:szCs w:val="16"/>
            <w:lang w:val="es-AR"/>
          </w:rPr>
          <w:t>http://rfkhumanrights.org/media/filer_public/7d/84/7d8409c1-588f-4163-b552-1f6428e685db/iachr_thematic_ hearing_submission_-_excessive_use_of_force_by_police_against_black_americans.pdf</w:t>
        </w:r>
      </w:hyperlink>
      <w:r w:rsidRPr="00930562">
        <w:rPr>
          <w:rFonts w:asciiTheme="minorHAnsi" w:hAnsiTheme="minorHAnsi" w:cstheme="minorHAnsi"/>
          <w:color w:val="808080" w:themeColor="background1" w:themeShade="80"/>
          <w:sz w:val="16"/>
          <w:szCs w:val="16"/>
          <w:lang w:val="es-AR"/>
        </w:rPr>
        <w:t>) [de aquí en adelante “Uso excesivo de la fuerza”].</w:t>
      </w:r>
    </w:p>
  </w:footnote>
  <w:footnote w:id="240">
    <w:p w14:paraId="7BC0BD11"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Vera Institute of Justice, </w:t>
      </w:r>
      <w:hyperlink r:id="rId297" w:history="1">
        <w:r w:rsidRPr="00930562">
          <w:rPr>
            <w:rStyle w:val="Hyperlink"/>
            <w:rFonts w:asciiTheme="minorHAnsi" w:hAnsiTheme="minorHAnsi" w:cstheme="minorHAnsi"/>
            <w:color w:val="808080" w:themeColor="background1" w:themeShade="80"/>
            <w:sz w:val="16"/>
            <w:szCs w:val="16"/>
          </w:rPr>
          <w:t>Civilian Oversight of Policing: Lessons from the Literature</w:t>
        </w:r>
      </w:hyperlink>
      <w:r w:rsidRPr="00930562">
        <w:rPr>
          <w:rFonts w:asciiTheme="minorHAnsi" w:hAnsiTheme="minorHAnsi" w:cstheme="minorHAnsi"/>
          <w:color w:val="808080" w:themeColor="background1" w:themeShade="80"/>
          <w:sz w:val="16"/>
          <w:szCs w:val="16"/>
        </w:rPr>
        <w:t>, 5 al 8 de mayo de 2002.</w:t>
      </w:r>
    </w:p>
  </w:footnote>
  <w:footnote w:id="241">
    <w:p w14:paraId="2C222891"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RFK Human Rights, </w:t>
      </w:r>
      <w:hyperlink r:id="rId298" w:history="1">
        <w:r w:rsidRPr="00930562">
          <w:rPr>
            <w:rStyle w:val="Hyperlink"/>
            <w:rFonts w:asciiTheme="minorHAnsi" w:hAnsiTheme="minorHAnsi" w:cstheme="minorHAnsi"/>
            <w:color w:val="808080" w:themeColor="background1" w:themeShade="80"/>
            <w:sz w:val="16"/>
            <w:szCs w:val="16"/>
          </w:rPr>
          <w:t>Excessive Use of Force</w:t>
        </w:r>
      </w:hyperlink>
      <w:r w:rsidRPr="00930562">
        <w:rPr>
          <w:rFonts w:asciiTheme="minorHAnsi" w:hAnsiTheme="minorHAnsi" w:cstheme="minorHAnsi"/>
          <w:color w:val="808080" w:themeColor="background1" w:themeShade="80"/>
          <w:sz w:val="16"/>
          <w:szCs w:val="16"/>
        </w:rPr>
        <w:t>, actualizado al 12 de febrero de 2016, p. 83.</w:t>
      </w:r>
    </w:p>
  </w:footnote>
  <w:footnote w:id="242">
    <w:p w14:paraId="357B1207"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r>
      <w:r w:rsidRPr="00930562">
        <w:rPr>
          <w:rFonts w:asciiTheme="minorHAnsi" w:hAnsiTheme="minorHAnsi" w:cstheme="minorHAnsi"/>
          <w:i/>
          <w:color w:val="808080" w:themeColor="background1" w:themeShade="80"/>
          <w:sz w:val="16"/>
          <w:szCs w:val="16"/>
        </w:rPr>
        <w:t>Id</w:t>
      </w:r>
      <w:r w:rsidRPr="00930562">
        <w:rPr>
          <w:rFonts w:asciiTheme="minorHAnsi" w:hAnsiTheme="minorHAnsi" w:cstheme="minorHAnsi"/>
          <w:color w:val="808080" w:themeColor="background1" w:themeShade="80"/>
          <w:sz w:val="16"/>
          <w:szCs w:val="16"/>
        </w:rPr>
        <w:t>. en p. 80.</w:t>
      </w:r>
    </w:p>
  </w:footnote>
  <w:footnote w:id="243">
    <w:p w14:paraId="4D6F57BB"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Cato Institute: Policemisconduct.net, </w:t>
      </w:r>
      <w:hyperlink r:id="rId299" w:history="1">
        <w:r w:rsidRPr="00930562">
          <w:rPr>
            <w:rStyle w:val="Hyperlink"/>
            <w:rFonts w:asciiTheme="minorHAnsi" w:hAnsiTheme="minorHAnsi" w:cstheme="minorHAnsi"/>
            <w:color w:val="808080" w:themeColor="background1" w:themeShade="80"/>
            <w:sz w:val="16"/>
            <w:szCs w:val="16"/>
          </w:rPr>
          <w:t xml:space="preserve">The Truth </w:t>
        </w:r>
        <w:proofErr w:type="gramStart"/>
        <w:r w:rsidRPr="00930562">
          <w:rPr>
            <w:rStyle w:val="Hyperlink"/>
            <w:rFonts w:asciiTheme="minorHAnsi" w:hAnsiTheme="minorHAnsi" w:cstheme="minorHAnsi"/>
            <w:color w:val="808080" w:themeColor="background1" w:themeShade="80"/>
            <w:sz w:val="16"/>
            <w:szCs w:val="16"/>
          </w:rPr>
          <w:t>About</w:t>
        </w:r>
        <w:proofErr w:type="gramEnd"/>
        <w:r w:rsidRPr="00930562">
          <w:rPr>
            <w:rStyle w:val="Hyperlink"/>
            <w:rFonts w:asciiTheme="minorHAnsi" w:hAnsiTheme="minorHAnsi" w:cstheme="minorHAnsi"/>
            <w:color w:val="808080" w:themeColor="background1" w:themeShade="80"/>
            <w:sz w:val="16"/>
            <w:szCs w:val="16"/>
          </w:rPr>
          <w:t xml:space="preserve"> Police Misconduct Litigation</w:t>
        </w:r>
      </w:hyperlink>
      <w:r w:rsidRPr="00930562">
        <w:rPr>
          <w:rFonts w:asciiTheme="minorHAnsi" w:hAnsiTheme="minorHAnsi" w:cstheme="minorHAnsi"/>
          <w:color w:val="808080" w:themeColor="background1" w:themeShade="80"/>
          <w:sz w:val="16"/>
          <w:szCs w:val="16"/>
        </w:rPr>
        <w:t>, 22 de febrero de 2010.</w:t>
      </w:r>
    </w:p>
  </w:footnote>
  <w:footnote w:id="244">
    <w:p w14:paraId="43857BD2"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r>
      <w:r w:rsidRPr="00930562">
        <w:rPr>
          <w:rFonts w:asciiTheme="minorHAnsi" w:hAnsiTheme="minorHAnsi" w:cstheme="minorHAnsi"/>
          <w:i/>
          <w:color w:val="808080" w:themeColor="background1" w:themeShade="80"/>
          <w:sz w:val="16"/>
          <w:szCs w:val="16"/>
        </w:rPr>
        <w:t>Id</w:t>
      </w:r>
      <w:r w:rsidRPr="00930562">
        <w:rPr>
          <w:rFonts w:asciiTheme="minorHAnsi" w:hAnsiTheme="minorHAnsi" w:cstheme="minorHAnsi"/>
          <w:color w:val="808080" w:themeColor="background1" w:themeShade="80"/>
          <w:sz w:val="16"/>
          <w:szCs w:val="16"/>
        </w:rPr>
        <w:t>.</w:t>
      </w:r>
    </w:p>
  </w:footnote>
  <w:footnote w:id="245">
    <w:p w14:paraId="72EC0DCA"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RFK Human Rights, </w:t>
      </w:r>
      <w:hyperlink r:id="rId300" w:history="1">
        <w:r w:rsidRPr="00930562">
          <w:rPr>
            <w:rStyle w:val="Hyperlink"/>
            <w:rFonts w:asciiTheme="minorHAnsi" w:hAnsiTheme="minorHAnsi" w:cstheme="minorHAnsi"/>
            <w:color w:val="808080" w:themeColor="background1" w:themeShade="80"/>
            <w:sz w:val="16"/>
            <w:szCs w:val="16"/>
          </w:rPr>
          <w:t>Excessive Use of Force</w:t>
        </w:r>
      </w:hyperlink>
      <w:r w:rsidRPr="00930562">
        <w:rPr>
          <w:rFonts w:asciiTheme="minorHAnsi" w:hAnsiTheme="minorHAnsi" w:cstheme="minorHAnsi"/>
          <w:color w:val="808080" w:themeColor="background1" w:themeShade="80"/>
          <w:sz w:val="16"/>
          <w:szCs w:val="16"/>
        </w:rPr>
        <w:t>, actualizado al 12 de febrero de 2016, p. 80.</w:t>
      </w:r>
    </w:p>
  </w:footnote>
  <w:footnote w:id="246">
    <w:p w14:paraId="64D9EACD"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Free Speech Radio News, </w:t>
      </w:r>
      <w:hyperlink r:id="rId301" w:history="1">
        <w:r w:rsidRPr="00930562">
          <w:rPr>
            <w:rStyle w:val="Hyperlink"/>
            <w:rFonts w:asciiTheme="minorHAnsi" w:hAnsiTheme="minorHAnsi" w:cstheme="minorHAnsi"/>
            <w:color w:val="808080" w:themeColor="background1" w:themeShade="80"/>
            <w:sz w:val="16"/>
            <w:szCs w:val="16"/>
          </w:rPr>
          <w:t xml:space="preserve">Civil Suits </w:t>
        </w:r>
        <w:proofErr w:type="gramStart"/>
        <w:r w:rsidRPr="00930562">
          <w:rPr>
            <w:rStyle w:val="Hyperlink"/>
            <w:rFonts w:asciiTheme="minorHAnsi" w:hAnsiTheme="minorHAnsi" w:cstheme="minorHAnsi"/>
            <w:color w:val="808080" w:themeColor="background1" w:themeShade="80"/>
            <w:sz w:val="16"/>
            <w:szCs w:val="16"/>
          </w:rPr>
          <w:t>Against Police Cost Taxpayers Millions But</w:t>
        </w:r>
        <w:proofErr w:type="gramEnd"/>
        <w:r w:rsidRPr="00930562">
          <w:rPr>
            <w:rStyle w:val="Hyperlink"/>
            <w:rFonts w:asciiTheme="minorHAnsi" w:hAnsiTheme="minorHAnsi" w:cstheme="minorHAnsi"/>
            <w:color w:val="808080" w:themeColor="background1" w:themeShade="80"/>
            <w:sz w:val="16"/>
            <w:szCs w:val="16"/>
          </w:rPr>
          <w:t xml:space="preserve"> Rarely Result in Reforms</w:t>
        </w:r>
      </w:hyperlink>
      <w:r w:rsidRPr="00930562">
        <w:rPr>
          <w:rFonts w:asciiTheme="minorHAnsi" w:hAnsiTheme="minorHAnsi" w:cstheme="minorHAnsi"/>
          <w:color w:val="808080" w:themeColor="background1" w:themeShade="80"/>
          <w:sz w:val="16"/>
          <w:szCs w:val="16"/>
        </w:rPr>
        <w:t>, 23 de junio de 2015.</w:t>
      </w:r>
    </w:p>
  </w:footnote>
  <w:footnote w:id="247">
    <w:p w14:paraId="1711B462"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Wall Street Journal, </w:t>
      </w:r>
      <w:hyperlink r:id="rId302" w:history="1">
        <w:r w:rsidRPr="00930562">
          <w:rPr>
            <w:rStyle w:val="Hyperlink"/>
            <w:rFonts w:asciiTheme="minorHAnsi" w:hAnsiTheme="minorHAnsi" w:cstheme="minorHAnsi"/>
            <w:color w:val="808080" w:themeColor="background1" w:themeShade="80"/>
            <w:sz w:val="16"/>
            <w:szCs w:val="16"/>
          </w:rPr>
          <w:t>Cost of Police-Misconduct Cases Soars in Big U.S. Cities</w:t>
        </w:r>
      </w:hyperlink>
      <w:r w:rsidRPr="00930562">
        <w:rPr>
          <w:rFonts w:asciiTheme="minorHAnsi" w:hAnsiTheme="minorHAnsi" w:cstheme="minorHAnsi"/>
          <w:color w:val="808080" w:themeColor="background1" w:themeShade="80"/>
          <w:sz w:val="16"/>
          <w:szCs w:val="16"/>
        </w:rPr>
        <w:t xml:space="preserve">, 15 de </w:t>
      </w:r>
      <w:proofErr w:type="gramStart"/>
      <w:r w:rsidRPr="00930562">
        <w:rPr>
          <w:rFonts w:asciiTheme="minorHAnsi" w:hAnsiTheme="minorHAnsi" w:cstheme="minorHAnsi"/>
          <w:color w:val="808080" w:themeColor="background1" w:themeShade="80"/>
          <w:sz w:val="16"/>
          <w:szCs w:val="16"/>
        </w:rPr>
        <w:t>julio</w:t>
      </w:r>
      <w:proofErr w:type="gramEnd"/>
      <w:r w:rsidRPr="00930562">
        <w:rPr>
          <w:rFonts w:asciiTheme="minorHAnsi" w:hAnsiTheme="minorHAnsi" w:cstheme="minorHAnsi"/>
          <w:color w:val="808080" w:themeColor="background1" w:themeShade="80"/>
          <w:sz w:val="16"/>
          <w:szCs w:val="16"/>
        </w:rPr>
        <w:t xml:space="preserve"> de 2015. Las diez ciudades son Nueva York City, Chicago, Los Angeles, Philadelphia, Houston, Washington, D.C., Dallas, Phoenix, Baltimore, y Miami-Dade.</w:t>
      </w:r>
    </w:p>
  </w:footnote>
  <w:footnote w:id="248">
    <w:p w14:paraId="1D41DB63"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fr-CA"/>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t xml:space="preserve">La ley requiere que el Estado pruebe 1) que el acusado haya actuado según la ley; 2) que el acusado actuó deliberadamente; 3) que el acusado privó a la victim de un derecho protegido a nivel federal o sometió a la víctima a un castigo distinto sobre la base de su condición de extranjero, el color o la raza y 4) cualquier circusntacia agravante, como haber causado heridas en el cuerpo o la muerte. </w:t>
      </w:r>
      <w:r w:rsidRPr="00930562">
        <w:rPr>
          <w:rFonts w:asciiTheme="minorHAnsi" w:hAnsiTheme="minorHAnsi" w:cstheme="minorHAnsi"/>
          <w:i/>
          <w:color w:val="808080" w:themeColor="background1" w:themeShade="80"/>
          <w:sz w:val="16"/>
          <w:szCs w:val="16"/>
          <w:lang w:val="fr-CA"/>
        </w:rPr>
        <w:t>Véase</w:t>
      </w:r>
      <w:r w:rsidRPr="00930562">
        <w:rPr>
          <w:rFonts w:asciiTheme="minorHAnsi" w:hAnsiTheme="minorHAnsi" w:cstheme="minorHAnsi"/>
          <w:color w:val="808080" w:themeColor="background1" w:themeShade="80"/>
          <w:sz w:val="16"/>
          <w:szCs w:val="16"/>
          <w:lang w:val="fr-CA"/>
        </w:rPr>
        <w:t xml:space="preserve"> 18 U.S.C. § 242, disponible en: </w:t>
      </w:r>
      <w:hyperlink r:id="rId303" w:history="1">
        <w:r w:rsidRPr="00930562">
          <w:rPr>
            <w:rStyle w:val="Hyperlink"/>
            <w:rFonts w:asciiTheme="minorHAnsi" w:hAnsiTheme="minorHAnsi" w:cstheme="minorHAnsi"/>
            <w:color w:val="808080" w:themeColor="background1" w:themeShade="80"/>
            <w:sz w:val="16"/>
            <w:szCs w:val="16"/>
            <w:lang w:val="fr-CA"/>
          </w:rPr>
          <w:t>https://www.law.cornell.edu/uscode/text/18/242</w:t>
        </w:r>
      </w:hyperlink>
      <w:r w:rsidRPr="00930562">
        <w:rPr>
          <w:rFonts w:asciiTheme="minorHAnsi" w:hAnsiTheme="minorHAnsi" w:cstheme="minorHAnsi"/>
          <w:color w:val="808080" w:themeColor="background1" w:themeShade="80"/>
          <w:sz w:val="16"/>
          <w:szCs w:val="16"/>
          <w:lang w:val="fr-CA"/>
        </w:rPr>
        <w:t xml:space="preserve">. </w:t>
      </w:r>
    </w:p>
  </w:footnote>
  <w:footnote w:id="249">
    <w:p w14:paraId="028A18E5"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Slate, </w:t>
      </w:r>
      <w:hyperlink r:id="rId304" w:history="1">
        <w:r w:rsidRPr="00930562">
          <w:rPr>
            <w:rStyle w:val="Hyperlink"/>
            <w:rFonts w:asciiTheme="minorHAnsi" w:hAnsiTheme="minorHAnsi" w:cstheme="minorHAnsi"/>
            <w:color w:val="808080" w:themeColor="background1" w:themeShade="80"/>
            <w:sz w:val="16"/>
            <w:szCs w:val="16"/>
          </w:rPr>
          <w:t>Will Justice Department Charge Darren Wilson?</w:t>
        </w:r>
      </w:hyperlink>
      <w:r w:rsidRPr="00930562">
        <w:rPr>
          <w:rFonts w:asciiTheme="minorHAnsi" w:hAnsiTheme="minorHAnsi" w:cstheme="minorHAnsi"/>
          <w:color w:val="808080" w:themeColor="background1" w:themeShade="80"/>
          <w:sz w:val="16"/>
          <w:szCs w:val="16"/>
        </w:rPr>
        <w:t>, 13 de marzo de 2015.</w:t>
      </w:r>
    </w:p>
  </w:footnote>
  <w:footnote w:id="250">
    <w:p w14:paraId="06E9B7F3"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POLITICO, </w:t>
      </w:r>
      <w:hyperlink r:id="rId305" w:history="1">
        <w:r w:rsidRPr="00930562">
          <w:rPr>
            <w:rStyle w:val="Hyperlink"/>
            <w:rFonts w:asciiTheme="minorHAnsi" w:hAnsiTheme="minorHAnsi" w:cstheme="minorHAnsi"/>
            <w:color w:val="808080" w:themeColor="background1" w:themeShade="80"/>
            <w:sz w:val="16"/>
            <w:szCs w:val="16"/>
          </w:rPr>
          <w:t>Holder's parting shot: It's too hard to bring civil rights cases</w:t>
        </w:r>
      </w:hyperlink>
      <w:r w:rsidRPr="00930562">
        <w:rPr>
          <w:rFonts w:asciiTheme="minorHAnsi" w:hAnsiTheme="minorHAnsi" w:cstheme="minorHAnsi"/>
          <w:color w:val="808080" w:themeColor="background1" w:themeShade="80"/>
          <w:sz w:val="16"/>
          <w:szCs w:val="16"/>
        </w:rPr>
        <w:t>, 27 de febrero de 2015.</w:t>
      </w:r>
    </w:p>
  </w:footnote>
  <w:footnote w:id="251">
    <w:p w14:paraId="4F42A5F1"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US"/>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US"/>
        </w:rPr>
        <w:t xml:space="preserve"> </w:t>
      </w:r>
      <w:r w:rsidRPr="00930562">
        <w:rPr>
          <w:rFonts w:asciiTheme="minorHAnsi" w:hAnsiTheme="minorHAnsi" w:cstheme="minorHAnsi"/>
          <w:color w:val="808080" w:themeColor="background1" w:themeShade="80"/>
          <w:sz w:val="16"/>
          <w:szCs w:val="16"/>
          <w:lang w:val="es-US"/>
        </w:rPr>
        <w:tab/>
        <w:t xml:space="preserve">RFK Human Rights, </w:t>
      </w:r>
      <w:hyperlink r:id="rId306" w:history="1">
        <w:r w:rsidRPr="00930562">
          <w:rPr>
            <w:rStyle w:val="Hyperlink"/>
            <w:rFonts w:asciiTheme="minorHAnsi" w:hAnsiTheme="minorHAnsi" w:cstheme="minorHAnsi"/>
            <w:color w:val="808080" w:themeColor="background1" w:themeShade="80"/>
            <w:sz w:val="16"/>
            <w:szCs w:val="16"/>
            <w:lang w:val="es-US"/>
          </w:rPr>
          <w:t>Excessive Use of Force</w:t>
        </w:r>
      </w:hyperlink>
      <w:r w:rsidRPr="00930562">
        <w:rPr>
          <w:rFonts w:asciiTheme="minorHAnsi" w:hAnsiTheme="minorHAnsi" w:cstheme="minorHAnsi"/>
          <w:color w:val="808080" w:themeColor="background1" w:themeShade="80"/>
          <w:sz w:val="16"/>
          <w:szCs w:val="16"/>
          <w:lang w:val="es-US"/>
        </w:rPr>
        <w:t>, actualizado al 12 de febrero de 2016, p. 84-85.</w:t>
      </w:r>
    </w:p>
  </w:footnote>
  <w:footnote w:id="252">
    <w:p w14:paraId="4AE4F604"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US"/>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US"/>
        </w:rPr>
        <w:t xml:space="preserve"> </w:t>
      </w:r>
      <w:r w:rsidRPr="00930562">
        <w:rPr>
          <w:rFonts w:asciiTheme="minorHAnsi" w:hAnsiTheme="minorHAnsi" w:cstheme="minorHAnsi"/>
          <w:color w:val="808080" w:themeColor="background1" w:themeShade="80"/>
          <w:sz w:val="16"/>
          <w:szCs w:val="16"/>
          <w:lang w:val="es-US"/>
        </w:rPr>
        <w:tab/>
      </w:r>
      <w:r w:rsidRPr="00930562">
        <w:rPr>
          <w:rFonts w:asciiTheme="minorHAnsi" w:hAnsiTheme="minorHAnsi" w:cstheme="minorHAnsi"/>
          <w:bCs/>
          <w:color w:val="808080" w:themeColor="background1" w:themeShade="80"/>
          <w:sz w:val="16"/>
          <w:szCs w:val="16"/>
          <w:lang w:val="es-US"/>
        </w:rPr>
        <w:t xml:space="preserve">CIDH, 156° Período de Sesiones, </w:t>
      </w:r>
      <w:hyperlink r:id="rId307" w:history="1">
        <w:r w:rsidRPr="00930562">
          <w:rPr>
            <w:rStyle w:val="Hyperlink"/>
            <w:rFonts w:asciiTheme="minorHAnsi" w:hAnsiTheme="minorHAnsi" w:cstheme="minorHAnsi"/>
            <w:bCs/>
            <w:color w:val="808080" w:themeColor="background1" w:themeShade="80"/>
            <w:sz w:val="16"/>
            <w:szCs w:val="16"/>
            <w:lang w:val="es-US"/>
          </w:rPr>
          <w:t>Audiencia “Asesinatos Policiales</w:t>
        </w:r>
      </w:hyperlink>
      <w:r w:rsidRPr="00930562">
        <w:rPr>
          <w:rStyle w:val="Hyperlink"/>
          <w:rFonts w:asciiTheme="minorHAnsi" w:hAnsiTheme="minorHAnsi" w:cstheme="minorHAnsi"/>
          <w:bCs/>
          <w:color w:val="808080" w:themeColor="background1" w:themeShade="80"/>
          <w:sz w:val="16"/>
          <w:szCs w:val="16"/>
          <w:lang w:val="es-US"/>
        </w:rPr>
        <w:t>”</w:t>
      </w:r>
      <w:r w:rsidRPr="00930562">
        <w:rPr>
          <w:rFonts w:asciiTheme="minorHAnsi" w:hAnsiTheme="minorHAnsi" w:cstheme="minorHAnsi"/>
          <w:bCs/>
          <w:color w:val="808080" w:themeColor="background1" w:themeShade="80"/>
          <w:sz w:val="16"/>
          <w:szCs w:val="16"/>
          <w:lang w:val="es-US"/>
        </w:rPr>
        <w:t>, 23 de octubre de 2015</w:t>
      </w:r>
      <w:r w:rsidRPr="00930562">
        <w:rPr>
          <w:rFonts w:asciiTheme="minorHAnsi" w:hAnsiTheme="minorHAnsi" w:cstheme="minorHAnsi"/>
          <w:color w:val="808080" w:themeColor="background1" w:themeShade="80"/>
          <w:sz w:val="16"/>
          <w:szCs w:val="16"/>
          <w:lang w:val="es-US"/>
        </w:rPr>
        <w:t>.</w:t>
      </w:r>
    </w:p>
  </w:footnote>
  <w:footnote w:id="253">
    <w:p w14:paraId="4CBEE273"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US"/>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US"/>
        </w:rPr>
        <w:t xml:space="preserve"> </w:t>
      </w:r>
      <w:r w:rsidRPr="00930562">
        <w:rPr>
          <w:rFonts w:asciiTheme="minorHAnsi" w:hAnsiTheme="minorHAnsi" w:cstheme="minorHAnsi"/>
          <w:color w:val="808080" w:themeColor="background1" w:themeShade="80"/>
          <w:sz w:val="16"/>
          <w:szCs w:val="16"/>
          <w:lang w:val="es-US"/>
        </w:rPr>
        <w:tab/>
      </w:r>
      <w:r w:rsidRPr="00930562">
        <w:rPr>
          <w:rFonts w:asciiTheme="minorHAnsi" w:hAnsiTheme="minorHAnsi" w:cstheme="minorHAnsi"/>
          <w:bCs/>
          <w:color w:val="808080" w:themeColor="background1" w:themeShade="80"/>
          <w:sz w:val="16"/>
          <w:szCs w:val="16"/>
          <w:lang w:val="es-US"/>
        </w:rPr>
        <w:t xml:space="preserve">CIDH, </w:t>
      </w:r>
      <w:hyperlink r:id="rId308" w:history="1">
        <w:r w:rsidRPr="00930562">
          <w:rPr>
            <w:rStyle w:val="Hyperlink"/>
            <w:rFonts w:asciiTheme="minorHAnsi" w:hAnsiTheme="minorHAnsi" w:cstheme="minorHAnsi"/>
            <w:bCs/>
            <w:color w:val="808080" w:themeColor="background1" w:themeShade="80"/>
            <w:sz w:val="16"/>
            <w:szCs w:val="16"/>
            <w:lang w:val="es-US"/>
          </w:rPr>
          <w:t>Comunicado de Prensa Visita in loco</w:t>
        </w:r>
      </w:hyperlink>
      <w:r w:rsidRPr="00930562">
        <w:rPr>
          <w:rFonts w:asciiTheme="minorHAnsi" w:hAnsiTheme="minorHAnsi" w:cstheme="minorHAnsi"/>
          <w:bCs/>
          <w:color w:val="808080" w:themeColor="background1" w:themeShade="80"/>
          <w:sz w:val="16"/>
          <w:szCs w:val="16"/>
          <w:lang w:val="es-US"/>
        </w:rPr>
        <w:t>, 16 de octubre de 2015.</w:t>
      </w:r>
    </w:p>
  </w:footnote>
  <w:footnote w:id="254">
    <w:p w14:paraId="52023E4D"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rPr>
        <w:t xml:space="preserve"> </w:t>
      </w:r>
      <w:r w:rsidRPr="00930562">
        <w:rPr>
          <w:rFonts w:asciiTheme="minorHAnsi" w:hAnsiTheme="minorHAnsi" w:cstheme="majorHAnsi"/>
          <w:color w:val="808080" w:themeColor="background1" w:themeShade="80"/>
          <w:sz w:val="16"/>
          <w:szCs w:val="16"/>
        </w:rPr>
        <w:tab/>
      </w:r>
      <w:r w:rsidRPr="00930562">
        <w:rPr>
          <w:rFonts w:asciiTheme="minorHAnsi" w:hAnsiTheme="minorHAnsi" w:cstheme="minorHAnsi"/>
          <w:i/>
          <w:color w:val="808080" w:themeColor="background1" w:themeShade="80"/>
          <w:sz w:val="16"/>
          <w:szCs w:val="16"/>
        </w:rPr>
        <w:t>Véase por ejemplo.,</w:t>
      </w:r>
      <w:r w:rsidRPr="00930562">
        <w:rPr>
          <w:rFonts w:asciiTheme="minorHAnsi" w:hAnsiTheme="minorHAnsi" w:cstheme="minorHAnsi"/>
          <w:color w:val="808080" w:themeColor="background1" w:themeShade="80"/>
          <w:sz w:val="16"/>
          <w:szCs w:val="16"/>
        </w:rPr>
        <w:t xml:space="preserve"> Justin Hansford, </w:t>
      </w:r>
      <w:hyperlink r:id="rId309" w:history="1">
        <w:r w:rsidRPr="00930562">
          <w:rPr>
            <w:rStyle w:val="Hyperlink"/>
            <w:rFonts w:asciiTheme="minorHAnsi" w:hAnsiTheme="minorHAnsi" w:cstheme="minorHAnsi"/>
            <w:color w:val="808080" w:themeColor="background1" w:themeShade="80"/>
            <w:sz w:val="16"/>
            <w:szCs w:val="16"/>
          </w:rPr>
          <w:t>The First Amendment Freedom of Assembly as a Racial Project</w:t>
        </w:r>
      </w:hyperlink>
      <w:r w:rsidRPr="00930562">
        <w:rPr>
          <w:rFonts w:asciiTheme="minorHAnsi" w:hAnsiTheme="minorHAnsi" w:cstheme="minorHAnsi"/>
          <w:color w:val="808080" w:themeColor="background1" w:themeShade="80"/>
          <w:sz w:val="16"/>
          <w:szCs w:val="16"/>
        </w:rPr>
        <w:t>, 127 Yale L.J. Forum, Jan. 20, 2018.</w:t>
      </w:r>
    </w:p>
  </w:footnote>
  <w:footnote w:id="255">
    <w:p w14:paraId="3B1CF8B9"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i/>
          <w:color w:val="808080" w:themeColor="background1" w:themeShade="80"/>
          <w:sz w:val="16"/>
          <w:szCs w:val="16"/>
          <w:lang w:val="es-AR"/>
        </w:rPr>
        <w:t>Véase por ejemplo.</w:t>
      </w:r>
      <w:r w:rsidRPr="00930562">
        <w:rPr>
          <w:rFonts w:asciiTheme="minorHAnsi" w:hAnsiTheme="minorHAnsi" w:cstheme="minorHAnsi"/>
          <w:color w:val="808080" w:themeColor="background1" w:themeShade="80"/>
          <w:sz w:val="16"/>
          <w:szCs w:val="16"/>
          <w:lang w:val="es-AR"/>
        </w:rPr>
        <w:t xml:space="preserve">, CIDH, 166° Periodo de Sesiones, Audiencia Temática: Derechos a la asociación, reunion pacífica y libertad de expresión en los Estados Unidos, 27 de octubre de 2014. Video de la audiencia disponible en: </w:t>
      </w:r>
      <w:hyperlink r:id="rId310" w:history="1">
        <w:r w:rsidRPr="00930562">
          <w:rPr>
            <w:rStyle w:val="Hyperlink"/>
            <w:rFonts w:asciiTheme="minorHAnsi" w:hAnsiTheme="minorHAnsi" w:cstheme="minorHAnsi"/>
            <w:color w:val="808080" w:themeColor="background1" w:themeShade="80"/>
            <w:sz w:val="16"/>
            <w:szCs w:val="16"/>
            <w:lang w:val="es-AR"/>
          </w:rPr>
          <w:t>https://www.youtube.com/watch?v=yft7VCzxXUg</w:t>
        </w:r>
      </w:hyperlink>
      <w:r w:rsidRPr="00930562">
        <w:rPr>
          <w:rFonts w:asciiTheme="minorHAnsi" w:hAnsiTheme="minorHAnsi" w:cstheme="minorHAnsi"/>
          <w:color w:val="808080" w:themeColor="background1" w:themeShade="80"/>
          <w:sz w:val="16"/>
          <w:szCs w:val="16"/>
          <w:lang w:val="es-AR"/>
        </w:rPr>
        <w:t>.</w:t>
      </w:r>
    </w:p>
  </w:footnote>
  <w:footnote w:id="256">
    <w:p w14:paraId="617EA87F"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US"/>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Human Rights Committee, </w:t>
      </w:r>
      <w:hyperlink r:id="rId311" w:history="1">
        <w:r w:rsidRPr="00930562">
          <w:rPr>
            <w:rStyle w:val="Hyperlink"/>
            <w:rFonts w:asciiTheme="minorHAnsi" w:hAnsiTheme="minorHAnsi" w:cstheme="minorHAnsi"/>
            <w:color w:val="808080" w:themeColor="background1" w:themeShade="80"/>
            <w:sz w:val="16"/>
            <w:szCs w:val="16"/>
          </w:rPr>
          <w:t>Report of the Special Rapporteur on the rights to freedom of peaceful assembly and of association on his follow-up Mission to the United States of America</w:t>
        </w:r>
      </w:hyperlink>
      <w:r w:rsidRPr="00930562">
        <w:rPr>
          <w:rFonts w:asciiTheme="minorHAnsi" w:hAnsiTheme="minorHAnsi" w:cstheme="minorHAnsi"/>
          <w:color w:val="808080" w:themeColor="background1" w:themeShade="80"/>
          <w:sz w:val="16"/>
          <w:szCs w:val="16"/>
        </w:rPr>
        <w:t xml:space="preserve">, A/HRC/35/28/Add.2, June 12, 2017, para. </w:t>
      </w:r>
      <w:r w:rsidRPr="00930562">
        <w:rPr>
          <w:rFonts w:asciiTheme="minorHAnsi" w:hAnsiTheme="minorHAnsi" w:cstheme="minorHAnsi"/>
          <w:color w:val="808080" w:themeColor="background1" w:themeShade="80"/>
          <w:sz w:val="16"/>
          <w:szCs w:val="16"/>
          <w:lang w:val="es-US"/>
        </w:rPr>
        <w:t xml:space="preserve">36. </w:t>
      </w:r>
    </w:p>
  </w:footnote>
  <w:footnote w:id="257">
    <w:p w14:paraId="5313016D"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US"/>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US"/>
        </w:rPr>
        <w:t xml:space="preserve"> </w:t>
      </w:r>
      <w:r w:rsidRPr="00930562">
        <w:rPr>
          <w:rFonts w:asciiTheme="minorHAnsi" w:hAnsiTheme="minorHAnsi" w:cstheme="minorHAnsi"/>
          <w:color w:val="808080" w:themeColor="background1" w:themeShade="80"/>
          <w:sz w:val="16"/>
          <w:szCs w:val="16"/>
          <w:lang w:val="es-US"/>
        </w:rPr>
        <w:tab/>
      </w:r>
      <w:r w:rsidRPr="00930562">
        <w:rPr>
          <w:rFonts w:asciiTheme="minorHAnsi" w:hAnsiTheme="minorHAnsi" w:cstheme="minorHAnsi"/>
          <w:bCs/>
          <w:color w:val="808080" w:themeColor="background1" w:themeShade="80"/>
          <w:sz w:val="16"/>
          <w:szCs w:val="16"/>
          <w:lang w:val="es-US"/>
        </w:rPr>
        <w:t xml:space="preserve">CIDH, </w:t>
      </w:r>
      <w:hyperlink r:id="rId312" w:history="1">
        <w:r w:rsidRPr="00930562">
          <w:rPr>
            <w:rStyle w:val="Hyperlink"/>
            <w:rFonts w:asciiTheme="minorHAnsi" w:hAnsiTheme="minorHAnsi" w:cstheme="minorHAnsi"/>
            <w:bCs/>
            <w:color w:val="808080" w:themeColor="background1" w:themeShade="80"/>
            <w:sz w:val="16"/>
            <w:szCs w:val="16"/>
            <w:lang w:val="es-US"/>
          </w:rPr>
          <w:t>Comunicado de Prensa Visita in loco</w:t>
        </w:r>
      </w:hyperlink>
      <w:r w:rsidRPr="00930562">
        <w:rPr>
          <w:rFonts w:asciiTheme="minorHAnsi" w:hAnsiTheme="minorHAnsi" w:cstheme="minorHAnsi"/>
          <w:bCs/>
          <w:color w:val="808080" w:themeColor="background1" w:themeShade="80"/>
          <w:sz w:val="16"/>
          <w:szCs w:val="16"/>
          <w:lang w:val="es-US"/>
        </w:rPr>
        <w:t>,</w:t>
      </w:r>
      <w:r w:rsidRPr="00930562">
        <w:rPr>
          <w:rFonts w:asciiTheme="minorHAnsi" w:hAnsiTheme="minorHAnsi" w:cstheme="minorHAnsi"/>
          <w:color w:val="808080" w:themeColor="background1" w:themeShade="80"/>
          <w:sz w:val="16"/>
          <w:szCs w:val="16"/>
          <w:lang w:val="es-US"/>
        </w:rPr>
        <w:t xml:space="preserve"> 16 de octubre de 2015.</w:t>
      </w:r>
    </w:p>
  </w:footnote>
  <w:footnote w:id="258">
    <w:p w14:paraId="1B2AA504"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US"/>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US"/>
        </w:rPr>
        <w:t xml:space="preserve"> </w:t>
      </w:r>
      <w:r w:rsidRPr="00930562">
        <w:rPr>
          <w:rFonts w:asciiTheme="minorHAnsi" w:hAnsiTheme="minorHAnsi" w:cstheme="minorHAnsi"/>
          <w:color w:val="808080" w:themeColor="background1" w:themeShade="80"/>
          <w:sz w:val="16"/>
          <w:szCs w:val="16"/>
          <w:lang w:val="es-US"/>
        </w:rPr>
        <w:tab/>
        <w:t xml:space="preserve">CNN, </w:t>
      </w:r>
      <w:hyperlink r:id="rId313" w:history="1">
        <w:r w:rsidRPr="00930562">
          <w:rPr>
            <w:rStyle w:val="Hyperlink"/>
            <w:rFonts w:asciiTheme="minorHAnsi" w:hAnsiTheme="minorHAnsi" w:cstheme="minorHAnsi"/>
            <w:color w:val="808080" w:themeColor="background1" w:themeShade="80"/>
            <w:sz w:val="16"/>
            <w:szCs w:val="16"/>
            <w:lang w:val="es-US"/>
          </w:rPr>
          <w:t>Who was arrested in Ferguson?</w:t>
        </w:r>
      </w:hyperlink>
      <w:r w:rsidRPr="00930562">
        <w:rPr>
          <w:rFonts w:asciiTheme="minorHAnsi" w:hAnsiTheme="minorHAnsi" w:cstheme="minorHAnsi"/>
          <w:color w:val="808080" w:themeColor="background1" w:themeShade="80"/>
          <w:sz w:val="16"/>
          <w:szCs w:val="16"/>
          <w:lang w:val="es-US"/>
        </w:rPr>
        <w:t xml:space="preserve">, 22 de agosto de 2014; </w:t>
      </w:r>
      <w:r w:rsidRPr="00930562">
        <w:rPr>
          <w:rFonts w:asciiTheme="minorHAnsi" w:hAnsiTheme="minorHAnsi" w:cstheme="minorHAnsi"/>
          <w:i/>
          <w:color w:val="808080" w:themeColor="background1" w:themeShade="80"/>
          <w:sz w:val="16"/>
          <w:szCs w:val="16"/>
          <w:lang w:val="es-US"/>
        </w:rPr>
        <w:t>Ferguson Crisis: Arrest Data 8/10-8/22</w:t>
      </w:r>
      <w:r w:rsidRPr="00930562">
        <w:rPr>
          <w:rFonts w:asciiTheme="minorHAnsi" w:hAnsiTheme="minorHAnsi" w:cstheme="minorHAnsi"/>
          <w:color w:val="808080" w:themeColor="background1" w:themeShade="80"/>
          <w:sz w:val="16"/>
          <w:szCs w:val="16"/>
          <w:lang w:val="es-US"/>
        </w:rPr>
        <w:t xml:space="preserve">, disponible en: </w:t>
      </w:r>
      <w:hyperlink r:id="rId314" w:history="1">
        <w:r w:rsidRPr="00930562">
          <w:rPr>
            <w:rStyle w:val="Hyperlink"/>
            <w:rFonts w:asciiTheme="minorHAnsi" w:hAnsiTheme="minorHAnsi" w:cstheme="minorHAnsi"/>
            <w:color w:val="808080" w:themeColor="background1" w:themeShade="80"/>
            <w:sz w:val="16"/>
            <w:szCs w:val="16"/>
            <w:lang w:val="es-US"/>
          </w:rPr>
          <w:t>http://i2.cdn.turner.com/cnn/2014/images/08/22/arrest.data.from.8-10.to.8-22.pdf</w:t>
        </w:r>
      </w:hyperlink>
      <w:r w:rsidRPr="00930562">
        <w:rPr>
          <w:rFonts w:asciiTheme="minorHAnsi" w:hAnsiTheme="minorHAnsi" w:cstheme="minorHAnsi"/>
          <w:color w:val="808080" w:themeColor="background1" w:themeShade="80"/>
          <w:sz w:val="16"/>
          <w:szCs w:val="16"/>
          <w:lang w:val="es-US"/>
        </w:rPr>
        <w:t xml:space="preserve">. </w:t>
      </w:r>
    </w:p>
  </w:footnote>
  <w:footnote w:id="259">
    <w:p w14:paraId="4E094BF1"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US"/>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US"/>
        </w:rPr>
        <w:t xml:space="preserve"> </w:t>
      </w:r>
      <w:r w:rsidRPr="00930562">
        <w:rPr>
          <w:rFonts w:asciiTheme="minorHAnsi" w:hAnsiTheme="minorHAnsi" w:cstheme="minorHAnsi"/>
          <w:color w:val="808080" w:themeColor="background1" w:themeShade="80"/>
          <w:sz w:val="16"/>
          <w:szCs w:val="16"/>
          <w:lang w:val="es-US"/>
        </w:rPr>
        <w:tab/>
      </w:r>
      <w:r w:rsidRPr="00930562">
        <w:rPr>
          <w:rFonts w:asciiTheme="minorHAnsi" w:hAnsiTheme="minorHAnsi" w:cstheme="minorHAnsi"/>
          <w:bCs/>
          <w:color w:val="808080" w:themeColor="background1" w:themeShade="80"/>
          <w:sz w:val="16"/>
          <w:szCs w:val="16"/>
          <w:lang w:val="es-US"/>
        </w:rPr>
        <w:t xml:space="preserve">CIDH, </w:t>
      </w:r>
      <w:hyperlink r:id="rId315" w:history="1">
        <w:r w:rsidRPr="00930562">
          <w:rPr>
            <w:rStyle w:val="Hyperlink"/>
            <w:rFonts w:asciiTheme="minorHAnsi" w:hAnsiTheme="minorHAnsi" w:cstheme="minorHAnsi"/>
            <w:bCs/>
            <w:color w:val="808080" w:themeColor="background1" w:themeShade="80"/>
            <w:sz w:val="16"/>
            <w:szCs w:val="16"/>
            <w:lang w:val="es-US"/>
          </w:rPr>
          <w:t>Comunicado de Prensa Visita in loco</w:t>
        </w:r>
      </w:hyperlink>
      <w:r w:rsidRPr="00930562">
        <w:rPr>
          <w:rFonts w:asciiTheme="minorHAnsi" w:hAnsiTheme="minorHAnsi" w:cstheme="minorHAnsi"/>
          <w:bCs/>
          <w:color w:val="808080" w:themeColor="background1" w:themeShade="80"/>
          <w:sz w:val="16"/>
          <w:szCs w:val="16"/>
          <w:lang w:val="es-US"/>
        </w:rPr>
        <w:t>, 16 de octubre de 2015</w:t>
      </w:r>
      <w:r w:rsidRPr="00930562">
        <w:rPr>
          <w:rFonts w:asciiTheme="minorHAnsi" w:hAnsiTheme="minorHAnsi" w:cstheme="minorHAnsi"/>
          <w:color w:val="808080" w:themeColor="background1" w:themeShade="80"/>
          <w:sz w:val="16"/>
          <w:szCs w:val="16"/>
          <w:lang w:val="es-US"/>
        </w:rPr>
        <w:t>.</w:t>
      </w:r>
    </w:p>
  </w:footnote>
  <w:footnote w:id="260">
    <w:p w14:paraId="55B32CF3"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Amnistía Internacional, </w:t>
      </w:r>
      <w:hyperlink r:id="rId316" w:history="1">
        <w:r w:rsidRPr="00930562">
          <w:rPr>
            <w:rStyle w:val="Hyperlink"/>
            <w:rFonts w:asciiTheme="minorHAnsi" w:hAnsiTheme="minorHAnsi" w:cstheme="minorHAnsi"/>
            <w:color w:val="808080" w:themeColor="background1" w:themeShade="80"/>
            <w:sz w:val="16"/>
            <w:szCs w:val="16"/>
          </w:rPr>
          <w:t>On the Streets of America: Human Rights Abuses in Ferguson</w:t>
        </w:r>
      </w:hyperlink>
      <w:r w:rsidRPr="00930562">
        <w:rPr>
          <w:rFonts w:asciiTheme="minorHAnsi" w:hAnsiTheme="minorHAnsi" w:cstheme="minorHAnsi"/>
          <w:color w:val="808080" w:themeColor="background1" w:themeShade="80"/>
          <w:sz w:val="16"/>
          <w:szCs w:val="16"/>
        </w:rPr>
        <w:t>, 2014.</w:t>
      </w:r>
    </w:p>
  </w:footnote>
  <w:footnote w:id="261">
    <w:p w14:paraId="55D03C4B"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Mustafa Abdullah vs. County of St. Louis, et al. (E.D. MO, 2014), disponible en: </w:t>
      </w:r>
      <w:hyperlink r:id="rId317" w:history="1">
        <w:r w:rsidRPr="00930562">
          <w:rPr>
            <w:rStyle w:val="Hyperlink"/>
            <w:rFonts w:asciiTheme="minorHAnsi" w:hAnsiTheme="minorHAnsi" w:cstheme="minorHAnsi"/>
            <w:color w:val="808080" w:themeColor="background1" w:themeShade="80"/>
            <w:sz w:val="16"/>
            <w:szCs w:val="16"/>
          </w:rPr>
          <w:t>https://s3.amazonaws.com/s3.document cloud.org/documents/1310115/5-second-rule-injunction.pdf</w:t>
        </w:r>
      </w:hyperlink>
      <w:r w:rsidRPr="00930562">
        <w:rPr>
          <w:rFonts w:asciiTheme="minorHAnsi" w:hAnsiTheme="minorHAnsi" w:cstheme="minorHAnsi"/>
          <w:color w:val="808080" w:themeColor="background1" w:themeShade="80"/>
          <w:sz w:val="16"/>
          <w:szCs w:val="16"/>
        </w:rPr>
        <w:t xml:space="preserve">; Washington Post. </w:t>
      </w:r>
      <w:hyperlink r:id="rId318" w:history="1">
        <w:r w:rsidRPr="00930562">
          <w:rPr>
            <w:rStyle w:val="Hyperlink"/>
            <w:rFonts w:asciiTheme="minorHAnsi" w:hAnsiTheme="minorHAnsi" w:cstheme="minorHAnsi"/>
            <w:color w:val="808080" w:themeColor="background1" w:themeShade="80"/>
            <w:sz w:val="16"/>
            <w:szCs w:val="16"/>
          </w:rPr>
          <w:t>Federal Judges Tossed 5 second rule being used by Police in Ferguson Protests</w:t>
        </w:r>
      </w:hyperlink>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lang w:val="es-AR"/>
        </w:rPr>
        <w:t xml:space="preserve">6 de octubre de 2014; </w:t>
      </w:r>
      <w:r w:rsidRPr="00930562">
        <w:rPr>
          <w:rFonts w:asciiTheme="minorHAnsi" w:hAnsiTheme="minorHAnsi" w:cstheme="minorHAnsi"/>
          <w:i/>
          <w:color w:val="808080" w:themeColor="background1" w:themeShade="80"/>
          <w:sz w:val="16"/>
          <w:szCs w:val="16"/>
          <w:lang w:val="es-AR"/>
        </w:rPr>
        <w:t xml:space="preserve">Véase además </w:t>
      </w:r>
      <w:r w:rsidRPr="00930562">
        <w:rPr>
          <w:rFonts w:asciiTheme="minorHAnsi" w:hAnsiTheme="minorHAnsi" w:cstheme="minorHAnsi"/>
          <w:color w:val="808080" w:themeColor="background1" w:themeShade="80"/>
          <w:sz w:val="16"/>
          <w:szCs w:val="16"/>
          <w:lang w:val="es-AR"/>
        </w:rPr>
        <w:t xml:space="preserve">CIDH, CIDH, </w:t>
      </w:r>
      <w:hyperlink r:id="rId319" w:history="1">
        <w:r w:rsidRPr="00930562">
          <w:rPr>
            <w:rStyle w:val="Hyperlink"/>
            <w:rFonts w:asciiTheme="minorHAnsi" w:hAnsiTheme="minorHAnsi" w:cstheme="minorHAnsi"/>
            <w:color w:val="808080" w:themeColor="background1" w:themeShade="80"/>
            <w:sz w:val="16"/>
            <w:szCs w:val="16"/>
            <w:lang w:val="es-AR"/>
          </w:rPr>
          <w:t>Informe Anual: Capítulo IV El Uso de la Fuerza</w:t>
        </w:r>
      </w:hyperlink>
      <w:r w:rsidRPr="00930562">
        <w:rPr>
          <w:rFonts w:asciiTheme="minorHAnsi" w:hAnsiTheme="minorHAnsi" w:cstheme="minorHAnsi"/>
          <w:color w:val="808080" w:themeColor="background1" w:themeShade="80"/>
          <w:sz w:val="16"/>
          <w:szCs w:val="16"/>
          <w:lang w:val="es-AR"/>
        </w:rPr>
        <w:t>, 17 de marzo de 2016, párr. 124.</w:t>
      </w:r>
    </w:p>
  </w:footnote>
  <w:footnote w:id="262">
    <w:p w14:paraId="2098F68E" w14:textId="77777777" w:rsidR="00F64540" w:rsidRPr="00930562" w:rsidRDefault="00F64540" w:rsidP="00E00D6E">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AR"/>
        </w:rPr>
        <w:t xml:space="preserve"> </w:t>
      </w:r>
      <w:r w:rsidRPr="00930562">
        <w:rPr>
          <w:rFonts w:asciiTheme="minorHAnsi" w:hAnsiTheme="minorHAnsi" w:cstheme="majorHAnsi"/>
          <w:color w:val="808080" w:themeColor="background1" w:themeShade="80"/>
          <w:sz w:val="16"/>
          <w:szCs w:val="16"/>
          <w:lang w:val="es-AR"/>
        </w:rPr>
        <w:tab/>
      </w:r>
      <w:r w:rsidRPr="00930562">
        <w:rPr>
          <w:rFonts w:asciiTheme="minorHAnsi" w:hAnsiTheme="minorHAnsi" w:cstheme="minorHAnsi"/>
          <w:bCs/>
          <w:color w:val="808080" w:themeColor="background1" w:themeShade="80"/>
          <w:sz w:val="16"/>
          <w:szCs w:val="16"/>
          <w:lang w:val="es-AR"/>
        </w:rPr>
        <w:t>CI</w:t>
      </w:r>
      <w:r w:rsidRPr="00930562">
        <w:rPr>
          <w:rFonts w:asciiTheme="minorHAnsi" w:hAnsiTheme="minorHAnsi" w:cstheme="minorHAnsi"/>
          <w:color w:val="808080" w:themeColor="background1" w:themeShade="80"/>
          <w:sz w:val="16"/>
          <w:szCs w:val="16"/>
          <w:lang w:val="es-AR"/>
        </w:rPr>
        <w:t>DH</w:t>
      </w:r>
      <w:r w:rsidRPr="00930562">
        <w:rPr>
          <w:rFonts w:asciiTheme="minorHAnsi" w:hAnsiTheme="minorHAnsi" w:cstheme="minorHAnsi"/>
          <w:bCs/>
          <w:color w:val="808080" w:themeColor="background1" w:themeShade="80"/>
          <w:sz w:val="16"/>
          <w:szCs w:val="16"/>
          <w:lang w:val="es-AR"/>
        </w:rPr>
        <w:t xml:space="preserve">, 153° Período de Sesiones, </w:t>
      </w:r>
      <w:hyperlink r:id="rId320" w:history="1">
        <w:r w:rsidRPr="00930562">
          <w:rPr>
            <w:rStyle w:val="Hyperlink"/>
            <w:rFonts w:asciiTheme="minorHAnsi" w:hAnsiTheme="minorHAnsi" w:cstheme="minorHAnsi"/>
            <w:bCs/>
            <w:color w:val="808080" w:themeColor="background1" w:themeShade="80"/>
            <w:sz w:val="16"/>
            <w:szCs w:val="16"/>
            <w:lang w:val="es-AR"/>
          </w:rPr>
          <w:t>Audiencia “Racismo en el Sistema de Justicia”</w:t>
        </w:r>
      </w:hyperlink>
      <w:r w:rsidRPr="00930562">
        <w:rPr>
          <w:rFonts w:asciiTheme="minorHAnsi" w:hAnsiTheme="minorHAnsi" w:cstheme="minorHAnsi"/>
          <w:bCs/>
          <w:color w:val="808080" w:themeColor="background1" w:themeShade="80"/>
          <w:sz w:val="16"/>
          <w:szCs w:val="16"/>
          <w:lang w:val="es-AR"/>
        </w:rPr>
        <w:t>, 27 de octubre de 2014.</w:t>
      </w:r>
    </w:p>
  </w:footnote>
  <w:footnote w:id="263">
    <w:p w14:paraId="6A07F201"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LA Times. </w:t>
      </w:r>
      <w:hyperlink r:id="rId321" w:history="1">
        <w:r w:rsidRPr="00930562">
          <w:rPr>
            <w:rStyle w:val="Hyperlink"/>
            <w:rFonts w:asciiTheme="minorHAnsi" w:hAnsiTheme="minorHAnsi" w:cstheme="minorHAnsi"/>
            <w:color w:val="808080" w:themeColor="background1" w:themeShade="80"/>
            <w:sz w:val="16"/>
            <w:szCs w:val="16"/>
          </w:rPr>
          <w:t>California unrest: Dozens arrested after Michael Brown decision</w:t>
        </w:r>
      </w:hyperlink>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lang w:val="es-AR"/>
        </w:rPr>
        <w:t>25 de noviembre de 2014.</w:t>
      </w:r>
    </w:p>
  </w:footnote>
  <w:footnote w:id="264">
    <w:p w14:paraId="4DDBF1D8"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t xml:space="preserve">CIDH, </w:t>
      </w:r>
      <w:hyperlink r:id="rId322" w:history="1">
        <w:r w:rsidRPr="00930562">
          <w:rPr>
            <w:rStyle w:val="Hyperlink"/>
            <w:rFonts w:asciiTheme="minorHAnsi" w:hAnsiTheme="minorHAnsi" w:cstheme="minorHAnsi"/>
            <w:color w:val="808080" w:themeColor="background1" w:themeShade="80"/>
            <w:sz w:val="16"/>
            <w:szCs w:val="16"/>
            <w:lang w:val="es-AR"/>
          </w:rPr>
          <w:t>Informe Anual: Capítulo IV El Uso de la Fuerza</w:t>
        </w:r>
      </w:hyperlink>
      <w:r w:rsidRPr="00930562">
        <w:rPr>
          <w:rFonts w:asciiTheme="minorHAnsi" w:hAnsiTheme="minorHAnsi" w:cstheme="minorHAnsi"/>
          <w:color w:val="808080" w:themeColor="background1" w:themeShade="80"/>
          <w:sz w:val="16"/>
          <w:szCs w:val="16"/>
          <w:lang w:val="es-AR"/>
        </w:rPr>
        <w:t xml:space="preserve"> 17 de marzo de 2016, párr. </w:t>
      </w:r>
      <w:r w:rsidRPr="00930562">
        <w:rPr>
          <w:rFonts w:asciiTheme="minorHAnsi" w:hAnsiTheme="minorHAnsi" w:cstheme="minorHAnsi"/>
          <w:color w:val="808080" w:themeColor="background1" w:themeShade="80"/>
          <w:sz w:val="16"/>
          <w:szCs w:val="16"/>
        </w:rPr>
        <w:t>125.</w:t>
      </w:r>
    </w:p>
  </w:footnote>
  <w:footnote w:id="265">
    <w:p w14:paraId="09D9D160" w14:textId="5DD07DDF"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Washington Post, </w:t>
      </w:r>
      <w:hyperlink r:id="rId323" w:history="1">
        <w:r w:rsidRPr="00930562">
          <w:rPr>
            <w:rStyle w:val="Hyperlink"/>
            <w:rFonts w:asciiTheme="minorHAnsi" w:hAnsiTheme="minorHAnsi" w:cstheme="minorHAnsi"/>
            <w:color w:val="808080" w:themeColor="background1" w:themeShade="80"/>
            <w:sz w:val="16"/>
            <w:szCs w:val="16"/>
          </w:rPr>
          <w:t>Obama orders review of military equipment supplied to police</w:t>
        </w:r>
      </w:hyperlink>
      <w:r w:rsidRPr="00930562">
        <w:rPr>
          <w:rStyle w:val="Hyperlink"/>
          <w:rFonts w:asciiTheme="minorHAnsi" w:hAnsiTheme="minorHAnsi" w:cstheme="minorHAnsi"/>
          <w:color w:val="808080" w:themeColor="background1" w:themeShade="80"/>
          <w:sz w:val="16"/>
          <w:szCs w:val="16"/>
        </w:rPr>
        <w:t>,</w:t>
      </w:r>
      <w:r w:rsidRPr="00930562">
        <w:rPr>
          <w:rFonts w:asciiTheme="minorHAnsi" w:hAnsiTheme="minorHAnsi" w:cstheme="minorHAnsi"/>
          <w:color w:val="808080" w:themeColor="background1" w:themeShade="80"/>
          <w:sz w:val="16"/>
          <w:szCs w:val="16"/>
        </w:rPr>
        <w:t xml:space="preserve"> 23 de agosto de 2014; Washington Post. </w:t>
      </w:r>
      <w:hyperlink r:id="rId324" w:history="1">
        <w:r w:rsidRPr="00930562">
          <w:rPr>
            <w:rStyle w:val="Hyperlink"/>
            <w:rFonts w:asciiTheme="minorHAnsi" w:hAnsiTheme="minorHAnsi" w:cstheme="minorHAnsi"/>
            <w:color w:val="808080" w:themeColor="background1" w:themeShade="80"/>
            <w:sz w:val="16"/>
            <w:szCs w:val="16"/>
          </w:rPr>
          <w:t>The Pentagon gave nearly half a billion dollars of military gear to local law enforcement last year</w:t>
        </w:r>
      </w:hyperlink>
      <w:r w:rsidRPr="00930562">
        <w:rPr>
          <w:rFonts w:asciiTheme="minorHAnsi" w:hAnsiTheme="minorHAnsi" w:cstheme="minorHAnsi"/>
          <w:color w:val="808080" w:themeColor="background1" w:themeShade="80"/>
          <w:sz w:val="16"/>
          <w:szCs w:val="16"/>
        </w:rPr>
        <w:t xml:space="preserve">, 14 de agosto de 2014. </w:t>
      </w:r>
      <w:r w:rsidRPr="00930562">
        <w:rPr>
          <w:rFonts w:asciiTheme="minorHAnsi" w:hAnsiTheme="minorHAnsi" w:cstheme="minorHAnsi"/>
          <w:i/>
          <w:color w:val="808080" w:themeColor="background1" w:themeShade="80"/>
          <w:sz w:val="16"/>
          <w:szCs w:val="16"/>
        </w:rPr>
        <w:t>Véase más adelante</w:t>
      </w:r>
      <w:r w:rsidRPr="00930562">
        <w:rPr>
          <w:rFonts w:asciiTheme="minorHAnsi" w:hAnsiTheme="minorHAnsi" w:cstheme="minorHAnsi"/>
          <w:color w:val="808080" w:themeColor="background1" w:themeShade="80"/>
          <w:sz w:val="16"/>
          <w:szCs w:val="16"/>
        </w:rPr>
        <w:t xml:space="preserve"> párrs. 66, 87-89.</w:t>
      </w:r>
    </w:p>
  </w:footnote>
  <w:footnote w:id="266">
    <w:p w14:paraId="0442048E" w14:textId="77777777" w:rsidR="00F64540" w:rsidRPr="00930562" w:rsidRDefault="00F64540" w:rsidP="00E10935">
      <w:pPr>
        <w:pStyle w:val="FootnoteText"/>
        <w:spacing w:after="40"/>
        <w:ind w:left="547" w:hanging="547"/>
        <w:contextualSpacing/>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ACLU.  </w:t>
      </w:r>
      <w:hyperlink r:id="rId325" w:history="1">
        <w:r w:rsidRPr="00930562">
          <w:rPr>
            <w:rStyle w:val="Hyperlink"/>
            <w:rFonts w:asciiTheme="minorHAnsi" w:hAnsiTheme="minorHAnsi" w:cstheme="minorHAnsi"/>
            <w:color w:val="808080" w:themeColor="background1" w:themeShade="80"/>
            <w:sz w:val="16"/>
            <w:szCs w:val="16"/>
            <w:lang w:val="en"/>
          </w:rPr>
          <w:t xml:space="preserve">365 Days and 605 Armored Military Vehicles Later: Police Militarization a Year </w:t>
        </w:r>
        <w:proofErr w:type="gramStart"/>
        <w:r w:rsidRPr="00930562">
          <w:rPr>
            <w:rStyle w:val="Hyperlink"/>
            <w:rFonts w:asciiTheme="minorHAnsi" w:hAnsiTheme="minorHAnsi" w:cstheme="minorHAnsi"/>
            <w:color w:val="808080" w:themeColor="background1" w:themeShade="80"/>
            <w:sz w:val="16"/>
            <w:szCs w:val="16"/>
            <w:lang w:val="en"/>
          </w:rPr>
          <w:t>After</w:t>
        </w:r>
        <w:proofErr w:type="gramEnd"/>
        <w:r w:rsidRPr="00930562">
          <w:rPr>
            <w:rStyle w:val="Hyperlink"/>
            <w:rFonts w:asciiTheme="minorHAnsi" w:hAnsiTheme="minorHAnsi" w:cstheme="minorHAnsi"/>
            <w:color w:val="808080" w:themeColor="background1" w:themeShade="80"/>
            <w:sz w:val="16"/>
            <w:szCs w:val="16"/>
            <w:lang w:val="en"/>
          </w:rPr>
          <w:t xml:space="preserve"> Ferguson</w:t>
        </w:r>
      </w:hyperlink>
      <w:r w:rsidRPr="00930562">
        <w:rPr>
          <w:rFonts w:asciiTheme="minorHAnsi" w:hAnsiTheme="minorHAnsi" w:cstheme="minorHAnsi"/>
          <w:color w:val="808080" w:themeColor="background1" w:themeShade="80"/>
          <w:sz w:val="16"/>
          <w:szCs w:val="16"/>
          <w:lang w:val="en"/>
        </w:rPr>
        <w:t xml:space="preserve">. </w:t>
      </w:r>
      <w:r w:rsidRPr="00930562">
        <w:rPr>
          <w:rFonts w:asciiTheme="minorHAnsi" w:hAnsiTheme="minorHAnsi" w:cstheme="minorHAnsi"/>
          <w:color w:val="808080" w:themeColor="background1" w:themeShade="80"/>
          <w:sz w:val="16"/>
          <w:szCs w:val="16"/>
        </w:rPr>
        <w:t xml:space="preserve">Agosto de </w:t>
      </w:r>
      <w:r w:rsidRPr="00930562">
        <w:rPr>
          <w:rFonts w:asciiTheme="minorHAnsi" w:hAnsiTheme="minorHAnsi" w:cstheme="minorHAnsi"/>
          <w:color w:val="808080" w:themeColor="background1" w:themeShade="80"/>
          <w:sz w:val="16"/>
          <w:szCs w:val="16"/>
          <w:lang w:val="en"/>
        </w:rPr>
        <w:t xml:space="preserve">2015. </w:t>
      </w:r>
    </w:p>
  </w:footnote>
  <w:footnote w:id="267">
    <w:p w14:paraId="73B5634C" w14:textId="77777777" w:rsidR="00F64540" w:rsidRPr="00930562" w:rsidRDefault="00F64540" w:rsidP="00E10935">
      <w:pPr>
        <w:pStyle w:val="FootnoteText"/>
        <w:spacing w:after="40"/>
        <w:ind w:left="547" w:hanging="547"/>
        <w:contextualSpacing/>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Amnesty International, </w:t>
      </w:r>
      <w:hyperlink r:id="rId326" w:history="1">
        <w:r w:rsidRPr="00930562">
          <w:rPr>
            <w:rStyle w:val="Hyperlink"/>
            <w:rFonts w:asciiTheme="minorHAnsi" w:hAnsiTheme="minorHAnsi" w:cstheme="minorHAnsi"/>
            <w:color w:val="808080" w:themeColor="background1" w:themeShade="80"/>
            <w:sz w:val="16"/>
            <w:szCs w:val="16"/>
          </w:rPr>
          <w:t>On the Streets of America: Human Rights Abuses in Ferguson</w:t>
        </w:r>
      </w:hyperlink>
      <w:r w:rsidRPr="00930562">
        <w:rPr>
          <w:rFonts w:asciiTheme="minorHAnsi" w:hAnsiTheme="minorHAnsi" w:cstheme="minorHAnsi"/>
          <w:color w:val="808080" w:themeColor="background1" w:themeShade="80"/>
          <w:sz w:val="16"/>
          <w:szCs w:val="16"/>
        </w:rPr>
        <w:t>, 2014.</w:t>
      </w:r>
    </w:p>
  </w:footnote>
  <w:footnote w:id="268">
    <w:p w14:paraId="10AF3ECB"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The Washington Post. </w:t>
      </w:r>
      <w:hyperlink r:id="rId327" w:history="1">
        <w:r w:rsidRPr="00930562">
          <w:rPr>
            <w:rStyle w:val="Hyperlink"/>
            <w:rFonts w:asciiTheme="minorHAnsi" w:hAnsiTheme="minorHAnsi" w:cstheme="minorHAnsi"/>
            <w:color w:val="808080" w:themeColor="background1" w:themeShade="80"/>
            <w:sz w:val="16"/>
            <w:szCs w:val="16"/>
          </w:rPr>
          <w:t>Accurately Charging People Arrested in Baltimore Proves to be Legal Challenge</w:t>
        </w:r>
      </w:hyperlink>
      <w:r w:rsidRPr="00930562">
        <w:rPr>
          <w:rFonts w:asciiTheme="minorHAnsi" w:hAnsiTheme="minorHAnsi" w:cstheme="minorHAnsi"/>
          <w:color w:val="808080" w:themeColor="background1" w:themeShade="80"/>
          <w:sz w:val="16"/>
          <w:szCs w:val="16"/>
        </w:rPr>
        <w:t>. 4 de mayo de 2015.</w:t>
      </w:r>
    </w:p>
  </w:footnote>
  <w:footnote w:id="269">
    <w:p w14:paraId="2E089FAE"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NBC News. </w:t>
      </w:r>
      <w:hyperlink r:id="rId328" w:history="1">
        <w:r w:rsidRPr="00930562">
          <w:rPr>
            <w:rStyle w:val="Hyperlink"/>
            <w:rFonts w:asciiTheme="minorHAnsi" w:hAnsiTheme="minorHAnsi" w:cstheme="minorHAnsi"/>
            <w:color w:val="808080" w:themeColor="background1" w:themeShade="80"/>
            <w:sz w:val="16"/>
            <w:szCs w:val="16"/>
          </w:rPr>
          <w:t>Freddie Gray Protests Spread Beyond Baltimore, 100 Arrested in New York</w:t>
        </w:r>
      </w:hyperlink>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lang w:val="es-AR"/>
        </w:rPr>
        <w:t xml:space="preserve">30 de abril de 2015. CIDH, </w:t>
      </w:r>
      <w:hyperlink r:id="rId329" w:history="1">
        <w:r w:rsidRPr="00930562">
          <w:rPr>
            <w:rStyle w:val="Hyperlink"/>
            <w:rFonts w:asciiTheme="minorHAnsi" w:hAnsiTheme="minorHAnsi" w:cstheme="minorHAnsi"/>
            <w:color w:val="808080" w:themeColor="background1" w:themeShade="80"/>
            <w:sz w:val="16"/>
            <w:szCs w:val="16"/>
            <w:lang w:val="es-AR"/>
          </w:rPr>
          <w:t>Informe Anual: Capítulo IV El Uso de la Fuerza</w:t>
        </w:r>
      </w:hyperlink>
      <w:r w:rsidRPr="00930562">
        <w:rPr>
          <w:rFonts w:asciiTheme="minorHAnsi" w:hAnsiTheme="minorHAnsi" w:cstheme="minorHAnsi"/>
          <w:color w:val="808080" w:themeColor="background1" w:themeShade="80"/>
          <w:sz w:val="16"/>
          <w:szCs w:val="16"/>
          <w:lang w:val="es-AR"/>
        </w:rPr>
        <w:t xml:space="preserve"> 17 de marzo de 2016, párr. 126.</w:t>
      </w:r>
    </w:p>
  </w:footnote>
  <w:footnote w:id="270">
    <w:p w14:paraId="1BE296F4"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i/>
          <w:color w:val="808080" w:themeColor="background1" w:themeShade="80"/>
          <w:sz w:val="16"/>
          <w:szCs w:val="16"/>
          <w:lang w:val="es-AR"/>
        </w:rPr>
        <w:t xml:space="preserve">Véase </w:t>
      </w:r>
      <w:r w:rsidRPr="00930562">
        <w:rPr>
          <w:rFonts w:asciiTheme="minorHAnsi" w:hAnsiTheme="minorHAnsi" w:cstheme="minorHAnsi"/>
          <w:color w:val="808080" w:themeColor="background1" w:themeShade="80"/>
          <w:sz w:val="16"/>
          <w:szCs w:val="16"/>
          <w:lang w:val="es-AR"/>
        </w:rPr>
        <w:t xml:space="preserve">CIDH, </w:t>
      </w:r>
      <w:hyperlink r:id="rId330" w:history="1">
        <w:r w:rsidRPr="00930562">
          <w:rPr>
            <w:rStyle w:val="Hyperlink"/>
            <w:rFonts w:asciiTheme="minorHAnsi" w:hAnsiTheme="minorHAnsi" w:cstheme="minorHAnsi"/>
            <w:color w:val="808080" w:themeColor="background1" w:themeShade="80"/>
            <w:sz w:val="16"/>
            <w:szCs w:val="16"/>
            <w:lang w:val="es-AR"/>
          </w:rPr>
          <w:t>Informe Anual: Capítulo IV El Uso de la Fuerza</w:t>
        </w:r>
      </w:hyperlink>
      <w:r w:rsidRPr="00930562">
        <w:rPr>
          <w:rFonts w:asciiTheme="minorHAnsi" w:hAnsiTheme="minorHAnsi" w:cstheme="minorHAnsi"/>
          <w:color w:val="808080" w:themeColor="background1" w:themeShade="80"/>
          <w:sz w:val="16"/>
          <w:szCs w:val="16"/>
          <w:lang w:val="es-AR"/>
        </w:rPr>
        <w:t xml:space="preserve"> 17 de marzo de 2016, párr. </w:t>
      </w:r>
      <w:r w:rsidRPr="00930562">
        <w:rPr>
          <w:rFonts w:asciiTheme="minorHAnsi" w:hAnsiTheme="minorHAnsi" w:cstheme="minorHAnsi"/>
          <w:color w:val="808080" w:themeColor="background1" w:themeShade="80"/>
          <w:sz w:val="16"/>
          <w:szCs w:val="16"/>
        </w:rPr>
        <w:t>175.</w:t>
      </w:r>
    </w:p>
  </w:footnote>
  <w:footnote w:id="271">
    <w:p w14:paraId="5EC5BFB8"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The Guardian, </w:t>
      </w:r>
      <w:hyperlink r:id="rId331" w:history="1">
        <w:r w:rsidRPr="00930562">
          <w:rPr>
            <w:rStyle w:val="Hyperlink"/>
            <w:rFonts w:asciiTheme="minorHAnsi" w:hAnsiTheme="minorHAnsi" w:cstheme="minorHAnsi"/>
            <w:color w:val="808080" w:themeColor="background1" w:themeShade="80"/>
            <w:sz w:val="16"/>
            <w:szCs w:val="16"/>
          </w:rPr>
          <w:t>'Militaristic and intimidating': St Louis police criticized as protests stretch on</w:t>
        </w:r>
      </w:hyperlink>
      <w:r w:rsidRPr="00930562">
        <w:rPr>
          <w:rFonts w:asciiTheme="minorHAnsi" w:hAnsiTheme="minorHAnsi" w:cstheme="minorHAnsi"/>
          <w:color w:val="808080" w:themeColor="background1" w:themeShade="80"/>
          <w:sz w:val="16"/>
          <w:szCs w:val="16"/>
        </w:rPr>
        <w:t xml:space="preserve">, 18 de septiembre de 2017. </w:t>
      </w:r>
    </w:p>
  </w:footnote>
  <w:footnote w:id="272">
    <w:p w14:paraId="6358CEB5"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The Guardian, </w:t>
      </w:r>
      <w:hyperlink r:id="rId332" w:history="1">
        <w:r w:rsidRPr="00930562">
          <w:rPr>
            <w:rStyle w:val="Hyperlink"/>
            <w:rFonts w:asciiTheme="minorHAnsi" w:hAnsiTheme="minorHAnsi" w:cstheme="minorHAnsi"/>
            <w:color w:val="808080" w:themeColor="background1" w:themeShade="80"/>
            <w:sz w:val="16"/>
            <w:szCs w:val="16"/>
          </w:rPr>
          <w:t>St Louis protests: three years since Ferguson, why hasn't anything changed?</w:t>
        </w:r>
      </w:hyperlink>
      <w:r w:rsidRPr="00930562">
        <w:rPr>
          <w:rFonts w:asciiTheme="minorHAnsi" w:hAnsiTheme="minorHAnsi" w:cstheme="minorHAnsi"/>
          <w:color w:val="808080" w:themeColor="background1" w:themeShade="80"/>
          <w:sz w:val="16"/>
          <w:szCs w:val="16"/>
        </w:rPr>
        <w:t>, 22 de septiembre de 2017.</w:t>
      </w:r>
    </w:p>
  </w:footnote>
  <w:footnote w:id="273">
    <w:p w14:paraId="60FEDFED"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Chicago Tribune, </w:t>
      </w:r>
      <w:hyperlink r:id="rId333" w:history="1">
        <w:r w:rsidRPr="00930562">
          <w:rPr>
            <w:rStyle w:val="Hyperlink"/>
            <w:rFonts w:asciiTheme="minorHAnsi" w:hAnsiTheme="minorHAnsi" w:cstheme="minorHAnsi"/>
            <w:color w:val="808080" w:themeColor="background1" w:themeShade="80"/>
            <w:sz w:val="16"/>
            <w:szCs w:val="16"/>
          </w:rPr>
          <w:t>FBI, Justice Department investigating St. Louis police conduct during protests</w:t>
        </w:r>
      </w:hyperlink>
      <w:r w:rsidRPr="00930562">
        <w:rPr>
          <w:rFonts w:asciiTheme="minorHAnsi" w:hAnsiTheme="minorHAnsi" w:cstheme="minorHAnsi"/>
          <w:color w:val="808080" w:themeColor="background1" w:themeShade="80"/>
          <w:sz w:val="16"/>
          <w:szCs w:val="16"/>
        </w:rPr>
        <w:t>, 20 de noviembre de 2017.</w:t>
      </w:r>
    </w:p>
  </w:footnote>
  <w:footnote w:id="274">
    <w:p w14:paraId="2CE16FB3"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OSCE, “The Responsibility of States”: Protection of Human Rights Defenders in the OSCE Region (2014–2016), párr. 323; The Intercept, </w:t>
      </w:r>
      <w:hyperlink r:id="rId334" w:history="1">
        <w:r w:rsidRPr="00930562">
          <w:rPr>
            <w:rStyle w:val="Hyperlink"/>
            <w:rFonts w:asciiTheme="minorHAnsi" w:hAnsiTheme="minorHAnsi" w:cstheme="minorHAnsi"/>
            <w:color w:val="808080" w:themeColor="background1" w:themeShade="80"/>
            <w:sz w:val="16"/>
            <w:szCs w:val="16"/>
          </w:rPr>
          <w:t xml:space="preserve">Exclusive: Feds Regularly Monitored Black Lives Matter </w:t>
        </w:r>
        <w:proofErr w:type="gramStart"/>
        <w:r w:rsidRPr="00930562">
          <w:rPr>
            <w:rStyle w:val="Hyperlink"/>
            <w:rFonts w:asciiTheme="minorHAnsi" w:hAnsiTheme="minorHAnsi" w:cstheme="minorHAnsi"/>
            <w:color w:val="808080" w:themeColor="background1" w:themeShade="80"/>
            <w:sz w:val="16"/>
            <w:szCs w:val="16"/>
          </w:rPr>
          <w:t>Since</w:t>
        </w:r>
        <w:proofErr w:type="gramEnd"/>
        <w:r w:rsidRPr="00930562">
          <w:rPr>
            <w:rStyle w:val="Hyperlink"/>
            <w:rFonts w:asciiTheme="minorHAnsi" w:hAnsiTheme="minorHAnsi" w:cstheme="minorHAnsi"/>
            <w:color w:val="808080" w:themeColor="background1" w:themeShade="80"/>
            <w:sz w:val="16"/>
            <w:szCs w:val="16"/>
          </w:rPr>
          <w:t xml:space="preserve"> Ferguson</w:t>
        </w:r>
      </w:hyperlink>
      <w:r w:rsidRPr="00930562">
        <w:rPr>
          <w:rFonts w:asciiTheme="minorHAnsi" w:hAnsiTheme="minorHAnsi" w:cstheme="minorHAnsi"/>
          <w:color w:val="808080" w:themeColor="background1" w:themeShade="80"/>
          <w:sz w:val="16"/>
          <w:szCs w:val="16"/>
        </w:rPr>
        <w:t>, 24 de julio de 2015.</w:t>
      </w:r>
    </w:p>
  </w:footnote>
  <w:footnote w:id="275">
    <w:p w14:paraId="5F86EF61"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Foreign Policy, </w:t>
      </w:r>
      <w:hyperlink r:id="rId335" w:history="1">
        <w:r w:rsidRPr="00930562">
          <w:rPr>
            <w:rStyle w:val="Hyperlink"/>
            <w:rFonts w:asciiTheme="minorHAnsi" w:hAnsiTheme="minorHAnsi" w:cstheme="minorHAnsi"/>
            <w:color w:val="808080" w:themeColor="background1" w:themeShade="80"/>
            <w:sz w:val="16"/>
            <w:szCs w:val="16"/>
          </w:rPr>
          <w:t>The FBI’s New U.S. Terrorist Threat: ‘Black Identity Extremists’</w:t>
        </w:r>
      </w:hyperlink>
      <w:r w:rsidRPr="00930562">
        <w:rPr>
          <w:rFonts w:asciiTheme="minorHAnsi" w:hAnsiTheme="minorHAnsi" w:cstheme="minorHAnsi"/>
          <w:color w:val="808080" w:themeColor="background1" w:themeShade="80"/>
          <w:sz w:val="16"/>
          <w:szCs w:val="16"/>
        </w:rPr>
        <w:t xml:space="preserve">, 6 de octubre de 2017; New York Times, </w:t>
      </w:r>
      <w:hyperlink r:id="rId336" w:history="1">
        <w:r w:rsidRPr="00930562">
          <w:rPr>
            <w:rStyle w:val="Hyperlink"/>
            <w:rFonts w:asciiTheme="minorHAnsi" w:hAnsiTheme="minorHAnsi" w:cstheme="minorHAnsi"/>
            <w:color w:val="808080" w:themeColor="background1" w:themeShade="80"/>
            <w:sz w:val="16"/>
            <w:szCs w:val="16"/>
          </w:rPr>
          <w:t>The F.B.I.’s Black Phantom Menace</w:t>
        </w:r>
      </w:hyperlink>
      <w:r w:rsidRPr="00930562">
        <w:rPr>
          <w:rFonts w:asciiTheme="minorHAnsi" w:hAnsiTheme="minorHAnsi" w:cstheme="minorHAnsi"/>
          <w:color w:val="808080" w:themeColor="background1" w:themeShade="80"/>
          <w:sz w:val="16"/>
          <w:szCs w:val="16"/>
        </w:rPr>
        <w:t xml:space="preserve">, 9 de octubre de 2017. </w:t>
      </w:r>
    </w:p>
  </w:footnote>
  <w:footnote w:id="276">
    <w:p w14:paraId="569A55C5" w14:textId="6584C5A4"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r>
      <w:r w:rsidRPr="00930562">
        <w:rPr>
          <w:rFonts w:asciiTheme="minorHAnsi" w:hAnsiTheme="minorHAnsi" w:cstheme="minorHAnsi"/>
          <w:i/>
          <w:color w:val="808080" w:themeColor="background1" w:themeShade="80"/>
          <w:sz w:val="16"/>
          <w:szCs w:val="16"/>
        </w:rPr>
        <w:t>Véase por ejemplo.,</w:t>
      </w:r>
      <w:r w:rsidRPr="00930562">
        <w:rPr>
          <w:rFonts w:asciiTheme="minorHAnsi" w:hAnsiTheme="minorHAnsi" w:cstheme="minorHAnsi"/>
          <w:color w:val="808080" w:themeColor="background1" w:themeShade="80"/>
          <w:sz w:val="16"/>
          <w:szCs w:val="16"/>
        </w:rPr>
        <w:t xml:space="preserve"> New York Times, </w:t>
      </w:r>
      <w:hyperlink r:id="rId337" w:history="1">
        <w:r w:rsidRPr="00930562">
          <w:rPr>
            <w:rStyle w:val="Hyperlink"/>
            <w:rFonts w:asciiTheme="minorHAnsi" w:hAnsiTheme="minorHAnsi" w:cstheme="minorHAnsi"/>
            <w:color w:val="808080" w:themeColor="background1" w:themeShade="80"/>
            <w:sz w:val="16"/>
            <w:szCs w:val="16"/>
          </w:rPr>
          <w:t>The F.B.I.’s Dangerous Crackdown on ‘Black Identity Extremists’</w:t>
        </w:r>
      </w:hyperlink>
      <w:r w:rsidRPr="00930562">
        <w:rPr>
          <w:rFonts w:asciiTheme="minorHAnsi" w:hAnsiTheme="minorHAnsi" w:cstheme="minorHAnsi"/>
          <w:color w:val="808080" w:themeColor="background1" w:themeShade="80"/>
          <w:sz w:val="16"/>
          <w:szCs w:val="16"/>
        </w:rPr>
        <w:t xml:space="preserve">, 15 de noviembre de  2017. </w:t>
      </w:r>
      <w:r w:rsidRPr="00930562">
        <w:rPr>
          <w:rFonts w:asciiTheme="minorHAnsi" w:hAnsiTheme="minorHAnsi" w:cstheme="minorHAnsi"/>
          <w:i/>
          <w:color w:val="808080" w:themeColor="background1" w:themeShade="80"/>
          <w:sz w:val="16"/>
          <w:szCs w:val="16"/>
          <w:lang w:val="es-AR"/>
        </w:rPr>
        <w:t>Véase también supra</w:t>
      </w:r>
      <w:r w:rsidRPr="00930562">
        <w:rPr>
          <w:rFonts w:asciiTheme="minorHAnsi" w:hAnsiTheme="minorHAnsi" w:cstheme="minorHAnsi"/>
          <w:color w:val="808080" w:themeColor="background1" w:themeShade="80"/>
          <w:sz w:val="16"/>
          <w:szCs w:val="16"/>
          <w:lang w:val="es-AR"/>
        </w:rPr>
        <w:t xml:space="preserve"> nota 96.</w:t>
      </w:r>
    </w:p>
  </w:footnote>
  <w:footnote w:id="277">
    <w:p w14:paraId="79D9583B" w14:textId="0AD0D6A8"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U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AR"/>
        </w:rPr>
        <w:t xml:space="preserve"> </w:t>
      </w:r>
      <w:r w:rsidRPr="00930562">
        <w:rPr>
          <w:rFonts w:asciiTheme="minorHAnsi" w:hAnsiTheme="minorHAnsi" w:cstheme="majorHAnsi"/>
          <w:color w:val="808080" w:themeColor="background1" w:themeShade="80"/>
          <w:sz w:val="16"/>
          <w:szCs w:val="16"/>
          <w:lang w:val="es-AR"/>
        </w:rPr>
        <w:tab/>
      </w:r>
      <w:r w:rsidRPr="00930562">
        <w:rPr>
          <w:rFonts w:asciiTheme="minorHAnsi" w:hAnsiTheme="minorHAnsi" w:cstheme="minorHAnsi"/>
          <w:color w:val="808080" w:themeColor="background1" w:themeShade="80"/>
          <w:sz w:val="16"/>
          <w:szCs w:val="16"/>
          <w:lang w:val="es-AR"/>
        </w:rPr>
        <w:t>Comité de Derechos Humanos</w:t>
      </w:r>
      <w:r w:rsidRPr="00930562">
        <w:rPr>
          <w:rFonts w:asciiTheme="minorHAnsi" w:hAnsiTheme="minorHAnsi" w:cstheme="majorHAnsi"/>
          <w:color w:val="808080" w:themeColor="background1" w:themeShade="80"/>
          <w:sz w:val="16"/>
          <w:szCs w:val="16"/>
          <w:lang w:val="es-AR"/>
        </w:rPr>
        <w:t xml:space="preserve">, </w:t>
      </w:r>
      <w:hyperlink r:id="rId338" w:history="1">
        <w:r w:rsidRPr="00930562">
          <w:rPr>
            <w:rStyle w:val="Hyperlink"/>
            <w:rFonts w:asciiTheme="minorHAnsi" w:hAnsiTheme="minorHAnsi" w:cstheme="minorHAnsi"/>
            <w:bCs/>
            <w:color w:val="808080" w:themeColor="background1" w:themeShade="80"/>
            <w:sz w:val="16"/>
            <w:szCs w:val="16"/>
            <w:lang w:val="es-AR"/>
          </w:rPr>
          <w:t>Observaciones Finales 2014</w:t>
        </w:r>
      </w:hyperlink>
      <w:r w:rsidRPr="00930562">
        <w:rPr>
          <w:rFonts w:asciiTheme="minorHAnsi" w:hAnsiTheme="minorHAnsi" w:cstheme="minorHAnsi"/>
          <w:bCs/>
          <w:color w:val="808080" w:themeColor="background1" w:themeShade="80"/>
          <w:sz w:val="16"/>
          <w:szCs w:val="16"/>
          <w:lang w:val="es-AR"/>
        </w:rPr>
        <w:t>, 23 de abril de 2014</w:t>
      </w:r>
      <w:r w:rsidRPr="00930562">
        <w:rPr>
          <w:rFonts w:asciiTheme="minorHAnsi" w:hAnsiTheme="minorHAnsi" w:cstheme="minorHAnsi"/>
          <w:color w:val="808080" w:themeColor="background1" w:themeShade="80"/>
          <w:sz w:val="16"/>
          <w:szCs w:val="16"/>
          <w:lang w:val="es-AR"/>
        </w:rPr>
        <w:t xml:space="preserve">, párr. </w:t>
      </w:r>
      <w:r w:rsidRPr="00930562">
        <w:rPr>
          <w:rFonts w:asciiTheme="minorHAnsi" w:hAnsiTheme="minorHAnsi" w:cstheme="minorHAnsi"/>
          <w:color w:val="808080" w:themeColor="background1" w:themeShade="80"/>
          <w:sz w:val="16"/>
          <w:szCs w:val="16"/>
          <w:lang w:val="es-US"/>
        </w:rPr>
        <w:t>6.</w:t>
      </w:r>
    </w:p>
  </w:footnote>
  <w:footnote w:id="278">
    <w:p w14:paraId="221ABE54"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US"/>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US"/>
        </w:rPr>
        <w:t xml:space="preserve"> </w:t>
      </w:r>
      <w:r w:rsidRPr="00930562">
        <w:rPr>
          <w:rFonts w:asciiTheme="minorHAnsi" w:hAnsiTheme="minorHAnsi" w:cstheme="minorHAnsi"/>
          <w:color w:val="808080" w:themeColor="background1" w:themeShade="80"/>
          <w:sz w:val="16"/>
          <w:szCs w:val="16"/>
          <w:lang w:val="es-US"/>
        </w:rPr>
        <w:tab/>
      </w:r>
      <w:r w:rsidRPr="00930562">
        <w:rPr>
          <w:rFonts w:asciiTheme="minorHAnsi" w:hAnsiTheme="minorHAnsi" w:cstheme="minorHAnsi"/>
          <w:bCs/>
          <w:color w:val="808080" w:themeColor="background1" w:themeShade="80"/>
          <w:sz w:val="16"/>
          <w:szCs w:val="16"/>
          <w:lang w:val="es-US"/>
        </w:rPr>
        <w:t xml:space="preserve">CIDH, </w:t>
      </w:r>
      <w:hyperlink r:id="rId339" w:history="1">
        <w:r w:rsidRPr="00930562">
          <w:rPr>
            <w:rStyle w:val="Hyperlink"/>
            <w:rFonts w:asciiTheme="minorHAnsi" w:hAnsiTheme="minorHAnsi" w:cstheme="minorHAnsi"/>
            <w:color w:val="808080" w:themeColor="background1" w:themeShade="80"/>
            <w:sz w:val="16"/>
            <w:szCs w:val="16"/>
            <w:lang w:val="es-US"/>
          </w:rPr>
          <w:t>Comunicado de Prensa de Visita in loco</w:t>
        </w:r>
      </w:hyperlink>
      <w:r w:rsidRPr="00930562">
        <w:rPr>
          <w:rFonts w:asciiTheme="minorHAnsi" w:hAnsiTheme="minorHAnsi" w:cstheme="minorHAnsi"/>
          <w:color w:val="808080" w:themeColor="background1" w:themeShade="80"/>
          <w:sz w:val="16"/>
          <w:szCs w:val="16"/>
          <w:lang w:val="es-US"/>
        </w:rPr>
        <w:t xml:space="preserve">, 16 de octubre de 2015. </w:t>
      </w:r>
    </w:p>
  </w:footnote>
  <w:footnote w:id="279">
    <w:p w14:paraId="77046FC2" w14:textId="483BE3CF"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Angela J. Davis, “The Prosecution of Black Men,” en </w:t>
      </w:r>
      <w:r w:rsidRPr="00930562">
        <w:rPr>
          <w:rFonts w:asciiTheme="minorHAnsi" w:hAnsiTheme="minorHAnsi" w:cstheme="minorHAnsi"/>
          <w:i/>
          <w:color w:val="808080" w:themeColor="background1" w:themeShade="80"/>
          <w:sz w:val="16"/>
          <w:szCs w:val="16"/>
        </w:rPr>
        <w:t xml:space="preserve">Policing the Black Man </w:t>
      </w:r>
      <w:r w:rsidRPr="00930562">
        <w:rPr>
          <w:rFonts w:asciiTheme="minorHAnsi" w:hAnsiTheme="minorHAnsi" w:cstheme="minorHAnsi"/>
          <w:color w:val="808080" w:themeColor="background1" w:themeShade="80"/>
          <w:sz w:val="16"/>
          <w:szCs w:val="16"/>
        </w:rPr>
        <w:t xml:space="preserve">(2017), p. 178; The Leadership Conference on Civil and Human Rights, </w:t>
      </w:r>
      <w:hyperlink r:id="rId340" w:history="1">
        <w:r w:rsidRPr="00930562">
          <w:rPr>
            <w:rStyle w:val="Hyperlink"/>
            <w:rFonts w:asciiTheme="minorHAnsi" w:hAnsiTheme="minorHAnsi" w:cstheme="minorHAnsi"/>
            <w:color w:val="808080" w:themeColor="background1" w:themeShade="80"/>
            <w:sz w:val="16"/>
            <w:szCs w:val="16"/>
          </w:rPr>
          <w:t>Restoring a National Consensus: The Need to End Racial Profiling in America</w:t>
        </w:r>
      </w:hyperlink>
      <w:r w:rsidRPr="00930562">
        <w:rPr>
          <w:rFonts w:asciiTheme="minorHAnsi" w:hAnsiTheme="minorHAnsi" w:cstheme="minorHAnsi"/>
          <w:color w:val="808080" w:themeColor="background1" w:themeShade="80"/>
          <w:sz w:val="16"/>
          <w:szCs w:val="16"/>
        </w:rPr>
        <w:t xml:space="preserve">, marzo de 2011; </w:t>
      </w:r>
      <w:r w:rsidRPr="00930562">
        <w:rPr>
          <w:rFonts w:asciiTheme="minorHAnsi" w:hAnsiTheme="minorHAnsi" w:cstheme="minorHAnsi"/>
          <w:i/>
          <w:color w:val="808080" w:themeColor="background1" w:themeShade="80"/>
          <w:sz w:val="16"/>
          <w:szCs w:val="16"/>
        </w:rPr>
        <w:t>Véase también supra</w:t>
      </w:r>
      <w:r w:rsidRPr="00930562">
        <w:rPr>
          <w:rFonts w:asciiTheme="minorHAnsi" w:hAnsiTheme="minorHAnsi" w:cstheme="minorHAnsi"/>
          <w:color w:val="808080" w:themeColor="background1" w:themeShade="80"/>
          <w:sz w:val="16"/>
          <w:szCs w:val="16"/>
        </w:rPr>
        <w:t xml:space="preserve"> párrs. 76-77.</w:t>
      </w:r>
    </w:p>
  </w:footnote>
  <w:footnote w:id="280">
    <w:p w14:paraId="00405E1E"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USA Today, </w:t>
      </w:r>
      <w:hyperlink r:id="rId341" w:history="1">
        <w:r w:rsidRPr="00930562">
          <w:rPr>
            <w:rStyle w:val="Hyperlink"/>
            <w:rFonts w:asciiTheme="minorHAnsi" w:hAnsiTheme="minorHAnsi" w:cstheme="minorHAnsi"/>
            <w:color w:val="808080" w:themeColor="background1" w:themeShade="80"/>
            <w:sz w:val="16"/>
            <w:szCs w:val="16"/>
          </w:rPr>
          <w:t>Racial gap in U.S. arrest rates: 'Staggering disparity'</w:t>
        </w:r>
      </w:hyperlink>
      <w:r w:rsidRPr="00930562">
        <w:rPr>
          <w:rFonts w:asciiTheme="minorHAnsi" w:hAnsiTheme="minorHAnsi" w:cstheme="minorHAnsi"/>
          <w:color w:val="808080" w:themeColor="background1" w:themeShade="80"/>
          <w:sz w:val="16"/>
          <w:szCs w:val="16"/>
        </w:rPr>
        <w:t xml:space="preserve">, 18 de noviembre de 2014; app.com (USA Today), </w:t>
      </w:r>
      <w:hyperlink r:id="rId342" w:history="1">
        <w:r w:rsidRPr="00930562">
          <w:rPr>
            <w:rStyle w:val="Hyperlink"/>
            <w:rFonts w:asciiTheme="minorHAnsi" w:hAnsiTheme="minorHAnsi" w:cstheme="minorHAnsi"/>
            <w:color w:val="808080" w:themeColor="background1" w:themeShade="80"/>
            <w:sz w:val="16"/>
            <w:szCs w:val="16"/>
          </w:rPr>
          <w:t>Do cops target blacks? FBI stats show arrest disparity</w:t>
        </w:r>
      </w:hyperlink>
      <w:r w:rsidRPr="00930562">
        <w:rPr>
          <w:rFonts w:asciiTheme="minorHAnsi" w:hAnsiTheme="minorHAnsi" w:cstheme="minorHAnsi"/>
          <w:color w:val="808080" w:themeColor="background1" w:themeShade="80"/>
          <w:sz w:val="16"/>
          <w:szCs w:val="16"/>
        </w:rPr>
        <w:t xml:space="preserve">, 18 de noviembre de 2014. </w:t>
      </w:r>
    </w:p>
  </w:footnote>
  <w:footnote w:id="281">
    <w:p w14:paraId="40674318"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rPr>
        <w:t xml:space="preserve"> </w:t>
      </w:r>
      <w:r w:rsidRPr="00930562">
        <w:rPr>
          <w:rFonts w:asciiTheme="minorHAnsi" w:hAnsiTheme="minorHAnsi" w:cstheme="majorHAnsi"/>
          <w:color w:val="808080" w:themeColor="background1" w:themeShade="80"/>
          <w:sz w:val="16"/>
          <w:szCs w:val="16"/>
        </w:rPr>
        <w:tab/>
      </w:r>
      <w:r w:rsidRPr="00930562">
        <w:rPr>
          <w:rFonts w:asciiTheme="minorHAnsi" w:hAnsiTheme="minorHAnsi" w:cstheme="minorHAnsi"/>
          <w:color w:val="808080" w:themeColor="background1" w:themeShade="80"/>
          <w:sz w:val="16"/>
          <w:szCs w:val="16"/>
        </w:rPr>
        <w:t xml:space="preserve">Citado en The Leadership Conference on Civil and Human Rights, </w:t>
      </w:r>
      <w:hyperlink r:id="rId343" w:history="1">
        <w:r w:rsidRPr="00930562">
          <w:rPr>
            <w:rStyle w:val="Hyperlink"/>
            <w:rFonts w:asciiTheme="minorHAnsi" w:hAnsiTheme="minorHAnsi" w:cstheme="minorHAnsi"/>
            <w:color w:val="808080" w:themeColor="background1" w:themeShade="80"/>
            <w:sz w:val="16"/>
            <w:szCs w:val="16"/>
          </w:rPr>
          <w:t>Restoring a National Consensus: The Need to End Racial Profiling in America</w:t>
        </w:r>
      </w:hyperlink>
      <w:r w:rsidRPr="00930562">
        <w:rPr>
          <w:rFonts w:asciiTheme="minorHAnsi" w:hAnsiTheme="minorHAnsi" w:cstheme="minorHAnsi"/>
          <w:color w:val="808080" w:themeColor="background1" w:themeShade="80"/>
          <w:sz w:val="16"/>
          <w:szCs w:val="16"/>
        </w:rPr>
        <w:t xml:space="preserve">, marzo de 2011, 9. </w:t>
      </w:r>
      <w:r w:rsidRPr="00930562">
        <w:rPr>
          <w:rFonts w:asciiTheme="minorHAnsi" w:hAnsiTheme="minorHAnsi" w:cstheme="minorHAnsi"/>
          <w:i/>
          <w:color w:val="808080" w:themeColor="background1" w:themeShade="80"/>
          <w:sz w:val="16"/>
          <w:szCs w:val="16"/>
        </w:rPr>
        <w:t>Véase además</w:t>
      </w:r>
      <w:r w:rsidRPr="00930562">
        <w:rPr>
          <w:rFonts w:asciiTheme="minorHAnsi" w:hAnsiTheme="minorHAnsi" w:cstheme="minorHAnsi"/>
          <w:color w:val="808080" w:themeColor="background1" w:themeShade="80"/>
          <w:sz w:val="16"/>
          <w:szCs w:val="16"/>
        </w:rPr>
        <w:t xml:space="preserve"> estudios similares citados en </w:t>
      </w:r>
      <w:r w:rsidRPr="00930562">
        <w:rPr>
          <w:rFonts w:asciiTheme="minorHAnsi" w:hAnsiTheme="minorHAnsi" w:cstheme="minorHAnsi"/>
          <w:i/>
          <w:color w:val="808080" w:themeColor="background1" w:themeShade="80"/>
          <w:sz w:val="16"/>
          <w:szCs w:val="16"/>
        </w:rPr>
        <w:t>id</w:t>
      </w:r>
      <w:r w:rsidRPr="00930562">
        <w:rPr>
          <w:rFonts w:asciiTheme="minorHAnsi" w:hAnsiTheme="minorHAnsi" w:cstheme="minorHAnsi"/>
          <w:color w:val="808080" w:themeColor="background1" w:themeShade="80"/>
          <w:sz w:val="16"/>
          <w:szCs w:val="16"/>
        </w:rPr>
        <w:t>., páginas 10-12.</w:t>
      </w:r>
    </w:p>
  </w:footnote>
  <w:footnote w:id="282">
    <w:p w14:paraId="5485D147"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Human Rights Watch, </w:t>
      </w:r>
      <w:hyperlink r:id="rId344" w:history="1">
        <w:r w:rsidRPr="00930562">
          <w:rPr>
            <w:rStyle w:val="Hyperlink"/>
            <w:rFonts w:asciiTheme="minorHAnsi" w:hAnsiTheme="minorHAnsi" w:cstheme="minorHAnsi"/>
            <w:color w:val="808080" w:themeColor="background1" w:themeShade="80"/>
            <w:sz w:val="16"/>
            <w:szCs w:val="16"/>
          </w:rPr>
          <w:t>Decades of Disparity: Drug Arrests and Race in the United States</w:t>
        </w:r>
      </w:hyperlink>
      <w:r w:rsidRPr="00930562">
        <w:rPr>
          <w:rFonts w:asciiTheme="minorHAnsi" w:hAnsiTheme="minorHAnsi" w:cstheme="minorHAnsi"/>
          <w:color w:val="808080" w:themeColor="background1" w:themeShade="80"/>
          <w:sz w:val="16"/>
          <w:szCs w:val="16"/>
        </w:rPr>
        <w:t>, marzo de 2009.</w:t>
      </w:r>
    </w:p>
  </w:footnote>
  <w:footnote w:id="283">
    <w:p w14:paraId="2CBA65B0"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Sarasota Herald-Tribune, </w:t>
      </w:r>
      <w:hyperlink r:id="rId345" w:history="1">
        <w:r w:rsidRPr="00930562">
          <w:rPr>
            <w:rStyle w:val="Hyperlink"/>
            <w:rFonts w:asciiTheme="minorHAnsi" w:hAnsiTheme="minorHAnsi" w:cstheme="minorHAnsi"/>
            <w:color w:val="808080" w:themeColor="background1" w:themeShade="80"/>
            <w:sz w:val="16"/>
            <w:szCs w:val="16"/>
          </w:rPr>
          <w:t>Bias on the Bench: Florida’s Broken Sentencing System</w:t>
        </w:r>
      </w:hyperlink>
      <w:r w:rsidRPr="00930562">
        <w:rPr>
          <w:rFonts w:asciiTheme="minorHAnsi" w:hAnsiTheme="minorHAnsi" w:cstheme="minorHAnsi"/>
          <w:color w:val="808080" w:themeColor="background1" w:themeShade="80"/>
          <w:sz w:val="16"/>
          <w:szCs w:val="16"/>
        </w:rPr>
        <w:t>, diciembre de 2016.</w:t>
      </w:r>
    </w:p>
  </w:footnote>
  <w:footnote w:id="284">
    <w:p w14:paraId="05DBE310"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t xml:space="preserve">CIDH, </w:t>
      </w:r>
      <w:hyperlink r:id="rId346" w:history="1">
        <w:r w:rsidRPr="00930562">
          <w:rPr>
            <w:rStyle w:val="Hyperlink"/>
            <w:rFonts w:asciiTheme="minorHAnsi" w:hAnsiTheme="minorHAnsi" w:cstheme="minorHAnsi"/>
            <w:color w:val="808080" w:themeColor="background1" w:themeShade="80"/>
            <w:sz w:val="16"/>
            <w:szCs w:val="16"/>
            <w:lang w:val="es-AR"/>
          </w:rPr>
          <w:t>Medidas para Reducir la Prisión Preventiva</w:t>
        </w:r>
      </w:hyperlink>
      <w:r w:rsidRPr="00930562">
        <w:rPr>
          <w:rFonts w:asciiTheme="minorHAnsi" w:hAnsiTheme="minorHAnsi" w:cstheme="minorHAnsi"/>
          <w:color w:val="808080" w:themeColor="background1" w:themeShade="80"/>
          <w:sz w:val="16"/>
          <w:szCs w:val="16"/>
          <w:lang w:val="es-AR"/>
        </w:rPr>
        <w:t xml:space="preserve">, OEA/Ser.L/V/II.163, Doc. 105 (2017), párr. </w:t>
      </w:r>
      <w:r w:rsidRPr="00930562">
        <w:rPr>
          <w:rFonts w:asciiTheme="minorHAnsi" w:hAnsiTheme="minorHAnsi" w:cstheme="minorHAnsi"/>
          <w:color w:val="808080" w:themeColor="background1" w:themeShade="80"/>
          <w:sz w:val="16"/>
          <w:szCs w:val="16"/>
        </w:rPr>
        <w:t>9.</w:t>
      </w:r>
    </w:p>
  </w:footnote>
  <w:footnote w:id="285">
    <w:p w14:paraId="5FA29349"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r>
      <w:r w:rsidRPr="00930562">
        <w:rPr>
          <w:rFonts w:asciiTheme="minorHAnsi" w:hAnsiTheme="minorHAnsi" w:cstheme="minorHAnsi"/>
          <w:i/>
          <w:color w:val="808080" w:themeColor="background1" w:themeShade="80"/>
          <w:sz w:val="16"/>
          <w:szCs w:val="16"/>
        </w:rPr>
        <w:t>Id</w:t>
      </w:r>
      <w:r w:rsidRPr="00930562">
        <w:rPr>
          <w:rFonts w:asciiTheme="minorHAnsi" w:hAnsiTheme="minorHAnsi" w:cstheme="minorHAnsi"/>
          <w:color w:val="808080" w:themeColor="background1" w:themeShade="80"/>
          <w:sz w:val="16"/>
          <w:szCs w:val="16"/>
        </w:rPr>
        <w:t>. en párr. 90.</w:t>
      </w:r>
    </w:p>
  </w:footnote>
  <w:footnote w:id="286">
    <w:p w14:paraId="7AF93361"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r>
      <w:r w:rsidRPr="00930562">
        <w:rPr>
          <w:rFonts w:asciiTheme="minorHAnsi" w:hAnsiTheme="minorHAnsi" w:cstheme="minorHAnsi"/>
          <w:i/>
          <w:color w:val="808080" w:themeColor="background1" w:themeShade="80"/>
          <w:sz w:val="16"/>
          <w:szCs w:val="16"/>
        </w:rPr>
        <w:t>Id</w:t>
      </w:r>
      <w:r w:rsidRPr="00930562">
        <w:rPr>
          <w:rFonts w:asciiTheme="minorHAnsi" w:hAnsiTheme="minorHAnsi" w:cstheme="minorHAnsi"/>
          <w:color w:val="808080" w:themeColor="background1" w:themeShade="80"/>
          <w:sz w:val="16"/>
          <w:szCs w:val="16"/>
        </w:rPr>
        <w:t xml:space="preserve">. </w:t>
      </w:r>
    </w:p>
  </w:footnote>
  <w:footnote w:id="287">
    <w:p w14:paraId="4535049A"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Huffington Post, </w:t>
      </w:r>
      <w:hyperlink r:id="rId347" w:history="1">
        <w:r w:rsidRPr="00930562">
          <w:rPr>
            <w:rStyle w:val="Hyperlink"/>
            <w:rFonts w:asciiTheme="minorHAnsi" w:hAnsiTheme="minorHAnsi" w:cstheme="minorHAnsi"/>
            <w:color w:val="808080" w:themeColor="background1" w:themeShade="80"/>
            <w:sz w:val="16"/>
            <w:szCs w:val="16"/>
          </w:rPr>
          <w:t>Decision Points: Disproportionate Pretrial Detention of Blacks and Latinos Drives Mass Incarceration</w:t>
        </w:r>
      </w:hyperlink>
      <w:r w:rsidRPr="00930562">
        <w:rPr>
          <w:rFonts w:asciiTheme="minorHAnsi" w:hAnsiTheme="minorHAnsi" w:cstheme="minorHAnsi"/>
          <w:color w:val="808080" w:themeColor="background1" w:themeShade="80"/>
          <w:sz w:val="16"/>
          <w:szCs w:val="16"/>
        </w:rPr>
        <w:t>, 11 de noviembre de 2016.</w:t>
      </w:r>
    </w:p>
  </w:footnote>
  <w:footnote w:id="288">
    <w:p w14:paraId="1DFE653C"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Equal Justice Initiative, </w:t>
      </w:r>
      <w:hyperlink r:id="rId348" w:history="1">
        <w:r w:rsidRPr="00930562">
          <w:rPr>
            <w:rStyle w:val="Hyperlink"/>
            <w:rFonts w:asciiTheme="minorHAnsi" w:hAnsiTheme="minorHAnsi" w:cstheme="minorHAnsi"/>
            <w:color w:val="808080" w:themeColor="background1" w:themeShade="80"/>
            <w:sz w:val="16"/>
            <w:szCs w:val="16"/>
          </w:rPr>
          <w:t>Disproportionate Pretrial Detention of People of Color Drives Mass Incarceration</w:t>
        </w:r>
      </w:hyperlink>
      <w:r w:rsidRPr="00930562">
        <w:rPr>
          <w:rFonts w:asciiTheme="minorHAnsi" w:hAnsiTheme="minorHAnsi" w:cstheme="minorHAnsi"/>
          <w:color w:val="808080" w:themeColor="background1" w:themeShade="80"/>
          <w:sz w:val="16"/>
          <w:szCs w:val="16"/>
        </w:rPr>
        <w:t xml:space="preserve">, 17 de diciembre de 2015; Huffington Post, </w:t>
      </w:r>
      <w:hyperlink r:id="rId349" w:history="1">
        <w:r w:rsidRPr="00930562">
          <w:rPr>
            <w:rStyle w:val="Hyperlink"/>
            <w:rFonts w:asciiTheme="minorHAnsi" w:hAnsiTheme="minorHAnsi" w:cstheme="minorHAnsi"/>
            <w:color w:val="808080" w:themeColor="background1" w:themeShade="80"/>
            <w:sz w:val="16"/>
            <w:szCs w:val="16"/>
          </w:rPr>
          <w:t>Decision Points: Disproportionate Pretrial Detention of Blacks and Latinos Drives Mass Incarceration</w:t>
        </w:r>
      </w:hyperlink>
      <w:r w:rsidRPr="00930562">
        <w:rPr>
          <w:rFonts w:asciiTheme="minorHAnsi" w:hAnsiTheme="minorHAnsi" w:cstheme="minorHAnsi"/>
          <w:color w:val="808080" w:themeColor="background1" w:themeShade="80"/>
          <w:sz w:val="16"/>
          <w:szCs w:val="16"/>
        </w:rPr>
        <w:t>, 11 de noviembre de 2016.</w:t>
      </w:r>
    </w:p>
  </w:footnote>
  <w:footnote w:id="289">
    <w:p w14:paraId="437E67BE"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Cynthia Jones, </w:t>
      </w:r>
      <w:hyperlink r:id="rId350" w:history="1">
        <w:r w:rsidRPr="00930562">
          <w:rPr>
            <w:rStyle w:val="Hyperlink"/>
            <w:rFonts w:asciiTheme="minorHAnsi" w:hAnsiTheme="minorHAnsi" w:cstheme="minorHAnsi"/>
            <w:color w:val="808080" w:themeColor="background1" w:themeShade="80"/>
            <w:sz w:val="16"/>
            <w:szCs w:val="16"/>
          </w:rPr>
          <w:t>“Give Us Free”: Addressing Racial Disparities in Bail Determinations</w:t>
        </w:r>
      </w:hyperlink>
      <w:r w:rsidRPr="00930562">
        <w:rPr>
          <w:rFonts w:asciiTheme="minorHAnsi" w:hAnsiTheme="minorHAnsi" w:cstheme="minorHAnsi"/>
          <w:color w:val="808080" w:themeColor="background1" w:themeShade="80"/>
          <w:sz w:val="16"/>
          <w:szCs w:val="16"/>
        </w:rPr>
        <w:t xml:space="preserve">, 16 </w:t>
      </w:r>
      <w:r w:rsidRPr="00930562">
        <w:rPr>
          <w:rFonts w:asciiTheme="minorHAnsi" w:hAnsiTheme="minorHAnsi" w:cstheme="minorHAnsi"/>
          <w:i/>
          <w:color w:val="808080" w:themeColor="background1" w:themeShade="80"/>
          <w:sz w:val="16"/>
          <w:szCs w:val="16"/>
        </w:rPr>
        <w:t xml:space="preserve">Legislation and Pub. Pol’y </w:t>
      </w:r>
      <w:r w:rsidRPr="00930562">
        <w:rPr>
          <w:rFonts w:asciiTheme="minorHAnsi" w:hAnsiTheme="minorHAnsi" w:cstheme="minorHAnsi"/>
          <w:color w:val="808080" w:themeColor="background1" w:themeShade="80"/>
          <w:sz w:val="16"/>
          <w:szCs w:val="16"/>
        </w:rPr>
        <w:t>919 (2013).</w:t>
      </w:r>
    </w:p>
  </w:footnote>
  <w:footnote w:id="290">
    <w:p w14:paraId="635EBFA9"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Laura and John Arnold Foundation (LJAF), </w:t>
      </w:r>
      <w:hyperlink r:id="rId351" w:history="1">
        <w:r w:rsidRPr="00930562">
          <w:rPr>
            <w:rStyle w:val="Hyperlink"/>
            <w:rFonts w:asciiTheme="minorHAnsi" w:hAnsiTheme="minorHAnsi" w:cstheme="minorHAnsi"/>
            <w:color w:val="808080" w:themeColor="background1" w:themeShade="80"/>
            <w:sz w:val="16"/>
            <w:szCs w:val="16"/>
          </w:rPr>
          <w:t>Pretrial Criminal Justice Research</w:t>
        </w:r>
      </w:hyperlink>
      <w:r w:rsidRPr="00930562">
        <w:rPr>
          <w:rFonts w:asciiTheme="minorHAnsi" w:hAnsiTheme="minorHAnsi" w:cstheme="minorHAnsi"/>
          <w:color w:val="808080" w:themeColor="background1" w:themeShade="80"/>
          <w:sz w:val="16"/>
          <w:szCs w:val="16"/>
        </w:rPr>
        <w:t xml:space="preserve">, marzo de 2013; Huffington Post, </w:t>
      </w:r>
      <w:hyperlink r:id="rId352" w:history="1">
        <w:r w:rsidRPr="00930562">
          <w:rPr>
            <w:rStyle w:val="Hyperlink"/>
            <w:rFonts w:asciiTheme="minorHAnsi" w:hAnsiTheme="minorHAnsi" w:cstheme="minorHAnsi"/>
            <w:color w:val="808080" w:themeColor="background1" w:themeShade="80"/>
            <w:sz w:val="16"/>
            <w:szCs w:val="16"/>
          </w:rPr>
          <w:t>Decision Points: Disproportionate Pretrial Detention of Blacks and Latinos Drives Mass Incarceration</w:t>
        </w:r>
      </w:hyperlink>
      <w:r w:rsidRPr="00930562">
        <w:rPr>
          <w:rFonts w:asciiTheme="minorHAnsi" w:hAnsiTheme="minorHAnsi" w:cstheme="minorHAnsi"/>
          <w:color w:val="808080" w:themeColor="background1" w:themeShade="80"/>
          <w:sz w:val="16"/>
          <w:szCs w:val="16"/>
        </w:rPr>
        <w:t>, 11 de noviembre de 2016.</w:t>
      </w:r>
    </w:p>
  </w:footnote>
  <w:footnote w:id="291">
    <w:p w14:paraId="44EB95DA" w14:textId="2F9E272F"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i/>
          <w:color w:val="808080" w:themeColor="background1" w:themeShade="80"/>
          <w:sz w:val="16"/>
          <w:szCs w:val="16"/>
          <w:lang w:val="es-AR"/>
        </w:rPr>
        <w:t xml:space="preserve">Véase además </w:t>
      </w:r>
      <w:r w:rsidRPr="00930562">
        <w:rPr>
          <w:rFonts w:asciiTheme="minorHAnsi" w:hAnsiTheme="minorHAnsi" w:cstheme="minorHAnsi"/>
          <w:bCs/>
          <w:color w:val="808080" w:themeColor="background1" w:themeShade="80"/>
          <w:sz w:val="16"/>
          <w:szCs w:val="16"/>
          <w:lang w:val="es-AR"/>
        </w:rPr>
        <w:t xml:space="preserve">Comité de Derechos Humanos. </w:t>
      </w:r>
      <w:hyperlink r:id="rId353" w:history="1">
        <w:r w:rsidRPr="00930562">
          <w:rPr>
            <w:rStyle w:val="Hyperlink"/>
            <w:rFonts w:asciiTheme="minorHAnsi" w:hAnsiTheme="minorHAnsi" w:cstheme="minorHAnsi"/>
            <w:bCs/>
            <w:color w:val="808080" w:themeColor="background1" w:themeShade="80"/>
            <w:sz w:val="16"/>
            <w:szCs w:val="16"/>
            <w:lang w:val="es-AR"/>
          </w:rPr>
          <w:t>Observaciones Finales 2014</w:t>
        </w:r>
      </w:hyperlink>
      <w:r w:rsidRPr="00930562">
        <w:rPr>
          <w:rFonts w:asciiTheme="minorHAnsi" w:hAnsiTheme="minorHAnsi" w:cstheme="minorHAnsi"/>
          <w:bCs/>
          <w:color w:val="808080" w:themeColor="background1" w:themeShade="80"/>
          <w:sz w:val="16"/>
          <w:szCs w:val="16"/>
          <w:lang w:val="es-AR"/>
        </w:rPr>
        <w:t>, 23 de abril de 2014</w:t>
      </w:r>
      <w:r w:rsidRPr="00930562">
        <w:rPr>
          <w:rFonts w:asciiTheme="minorHAnsi" w:hAnsiTheme="minorHAnsi" w:cstheme="minorHAnsi"/>
          <w:color w:val="808080" w:themeColor="background1" w:themeShade="80"/>
          <w:sz w:val="16"/>
          <w:szCs w:val="16"/>
          <w:lang w:val="es-AR"/>
        </w:rPr>
        <w:t>, párr. 20.</w:t>
      </w:r>
    </w:p>
  </w:footnote>
  <w:footnote w:id="292">
    <w:p w14:paraId="1CE0B5C6"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i/>
          <w:color w:val="808080" w:themeColor="background1" w:themeShade="80"/>
          <w:sz w:val="16"/>
          <w:szCs w:val="16"/>
          <w:lang w:val="es-AR"/>
        </w:rPr>
        <w:t>Id.</w:t>
      </w:r>
    </w:p>
  </w:footnote>
  <w:footnote w:id="293">
    <w:p w14:paraId="73AA1DC8"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t xml:space="preserve">New Yorker, </w:t>
      </w:r>
      <w:hyperlink r:id="rId354" w:history="1">
        <w:r w:rsidRPr="00930562">
          <w:rPr>
            <w:rStyle w:val="Hyperlink"/>
            <w:rFonts w:asciiTheme="minorHAnsi" w:hAnsiTheme="minorHAnsi" w:cstheme="minorHAnsi"/>
            <w:color w:val="808080" w:themeColor="background1" w:themeShade="80"/>
            <w:sz w:val="16"/>
            <w:szCs w:val="16"/>
            <w:lang w:val="es-AR"/>
          </w:rPr>
          <w:t>Before the Law</w:t>
        </w:r>
      </w:hyperlink>
      <w:r w:rsidRPr="00930562">
        <w:rPr>
          <w:rFonts w:asciiTheme="minorHAnsi" w:hAnsiTheme="minorHAnsi" w:cstheme="minorHAnsi"/>
          <w:color w:val="808080" w:themeColor="background1" w:themeShade="80"/>
          <w:sz w:val="16"/>
          <w:szCs w:val="16"/>
          <w:lang w:val="es-AR"/>
        </w:rPr>
        <w:t xml:space="preserve">, 6 de octubre de 2014; New Yorker, </w:t>
      </w:r>
      <w:hyperlink r:id="rId355" w:history="1">
        <w:r w:rsidRPr="00930562">
          <w:rPr>
            <w:rStyle w:val="Hyperlink"/>
            <w:rFonts w:asciiTheme="minorHAnsi" w:hAnsiTheme="minorHAnsi" w:cstheme="minorHAnsi"/>
            <w:color w:val="808080" w:themeColor="background1" w:themeShade="80"/>
            <w:sz w:val="16"/>
            <w:szCs w:val="16"/>
            <w:lang w:val="es-AR"/>
          </w:rPr>
          <w:t>Kalief Browder, 1993-2015</w:t>
        </w:r>
      </w:hyperlink>
      <w:r w:rsidRPr="00930562">
        <w:rPr>
          <w:rFonts w:asciiTheme="minorHAnsi" w:hAnsiTheme="minorHAnsi" w:cstheme="minorHAnsi"/>
          <w:color w:val="808080" w:themeColor="background1" w:themeShade="80"/>
          <w:sz w:val="16"/>
          <w:szCs w:val="16"/>
          <w:lang w:val="es-AR"/>
        </w:rPr>
        <w:t xml:space="preserve">, 6 de junio de 2015; CityLab, </w:t>
      </w:r>
      <w:hyperlink r:id="rId356" w:history="1">
        <w:r w:rsidRPr="00930562">
          <w:rPr>
            <w:rStyle w:val="Hyperlink"/>
            <w:rFonts w:asciiTheme="minorHAnsi" w:hAnsiTheme="minorHAnsi" w:cstheme="minorHAnsi"/>
            <w:color w:val="808080" w:themeColor="background1" w:themeShade="80"/>
            <w:sz w:val="16"/>
            <w:szCs w:val="16"/>
            <w:lang w:val="es-AR"/>
          </w:rPr>
          <w:t>How New York City Killed Kalief Browder</w:t>
        </w:r>
      </w:hyperlink>
      <w:r w:rsidRPr="00930562">
        <w:rPr>
          <w:rFonts w:asciiTheme="minorHAnsi" w:hAnsiTheme="minorHAnsi" w:cstheme="minorHAnsi"/>
          <w:color w:val="808080" w:themeColor="background1" w:themeShade="80"/>
          <w:sz w:val="16"/>
          <w:szCs w:val="16"/>
          <w:lang w:val="es-AR"/>
        </w:rPr>
        <w:t xml:space="preserve">, 7 de marzo de 2017 (entrevista a los familiares sobrevivientes de Kalief). Acerca de las condiciones en Rikers Island, </w:t>
      </w:r>
      <w:r w:rsidRPr="00930562">
        <w:rPr>
          <w:rFonts w:asciiTheme="minorHAnsi" w:hAnsiTheme="minorHAnsi" w:cstheme="minorHAnsi"/>
          <w:i/>
          <w:color w:val="808080" w:themeColor="background1" w:themeShade="80"/>
          <w:sz w:val="16"/>
          <w:szCs w:val="16"/>
          <w:lang w:val="es-AR"/>
        </w:rPr>
        <w:t xml:space="preserve">véase además </w:t>
      </w:r>
      <w:r w:rsidRPr="00930562">
        <w:rPr>
          <w:rFonts w:asciiTheme="minorHAnsi" w:hAnsiTheme="minorHAnsi" w:cstheme="minorHAnsi"/>
          <w:color w:val="808080" w:themeColor="background1" w:themeShade="80"/>
          <w:sz w:val="16"/>
          <w:szCs w:val="16"/>
          <w:lang w:val="es-AR"/>
        </w:rPr>
        <w:t xml:space="preserve">CIDH, Comunicado de Prensa No. 104/14, </w:t>
      </w:r>
      <w:hyperlink r:id="rId357" w:history="1">
        <w:r w:rsidRPr="00930562">
          <w:rPr>
            <w:rStyle w:val="Hyperlink"/>
            <w:rFonts w:asciiTheme="minorHAnsi" w:hAnsiTheme="minorHAnsi" w:cstheme="minorHAnsi"/>
            <w:color w:val="808080" w:themeColor="background1" w:themeShade="80"/>
            <w:sz w:val="16"/>
            <w:szCs w:val="16"/>
            <w:lang w:val="es-AR"/>
          </w:rPr>
          <w:t>CIDH lamenta condiciones de detención en la cárcel de Isla Rikers, Estados Unidos a un año de la trágica muerte de un interno</w:t>
        </w:r>
      </w:hyperlink>
      <w:r w:rsidRPr="00930562">
        <w:rPr>
          <w:rFonts w:asciiTheme="minorHAnsi" w:hAnsiTheme="minorHAnsi" w:cstheme="minorHAnsi"/>
          <w:color w:val="808080" w:themeColor="background1" w:themeShade="80"/>
          <w:sz w:val="16"/>
          <w:szCs w:val="16"/>
          <w:lang w:val="es-AR"/>
        </w:rPr>
        <w:t>, 18 de septiembre de 2014.</w:t>
      </w:r>
    </w:p>
  </w:footnote>
  <w:footnote w:id="294">
    <w:p w14:paraId="60456BFA"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t xml:space="preserve">CIDH, Comunicado de Prensa No. 51/13, </w:t>
      </w:r>
      <w:hyperlink r:id="rId358" w:history="1">
        <w:r w:rsidRPr="00930562">
          <w:rPr>
            <w:rStyle w:val="Hyperlink"/>
            <w:rFonts w:asciiTheme="minorHAnsi" w:hAnsiTheme="minorHAnsi" w:cstheme="minorHAnsi"/>
            <w:color w:val="808080" w:themeColor="background1" w:themeShade="80"/>
            <w:sz w:val="16"/>
            <w:szCs w:val="16"/>
            <w:lang w:val="es-AR"/>
          </w:rPr>
          <w:t>CIDH expresa preocupación uso excesivo del aislamiento solitario en Estados Unidos</w:t>
        </w:r>
      </w:hyperlink>
      <w:r w:rsidRPr="00930562">
        <w:rPr>
          <w:rFonts w:asciiTheme="minorHAnsi" w:hAnsiTheme="minorHAnsi" w:cstheme="minorHAnsi"/>
          <w:color w:val="808080" w:themeColor="background1" w:themeShade="80"/>
          <w:sz w:val="16"/>
          <w:szCs w:val="16"/>
          <w:lang w:val="es-AR"/>
        </w:rPr>
        <w:t>, 18 de julio de 2013.</w:t>
      </w:r>
    </w:p>
  </w:footnote>
  <w:footnote w:id="295">
    <w:p w14:paraId="624C4C6E" w14:textId="72F821BB"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i/>
          <w:color w:val="808080" w:themeColor="background1" w:themeShade="80"/>
          <w:sz w:val="16"/>
          <w:szCs w:val="16"/>
          <w:lang w:val="es-AR"/>
        </w:rPr>
        <w:t xml:space="preserve">Véase además </w:t>
      </w:r>
      <w:r w:rsidRPr="00930562">
        <w:rPr>
          <w:rFonts w:asciiTheme="minorHAnsi" w:hAnsiTheme="minorHAnsi" w:cstheme="minorHAnsi"/>
          <w:bCs/>
          <w:color w:val="808080" w:themeColor="background1" w:themeShade="80"/>
          <w:sz w:val="16"/>
          <w:szCs w:val="16"/>
          <w:lang w:val="es-AR"/>
        </w:rPr>
        <w:t xml:space="preserve">Comité de Derechos Humanos. </w:t>
      </w:r>
      <w:hyperlink r:id="rId359" w:history="1">
        <w:r w:rsidRPr="00930562">
          <w:rPr>
            <w:rStyle w:val="Hyperlink"/>
            <w:rFonts w:asciiTheme="minorHAnsi" w:hAnsiTheme="minorHAnsi" w:cstheme="minorHAnsi"/>
            <w:bCs/>
            <w:color w:val="808080" w:themeColor="background1" w:themeShade="80"/>
            <w:sz w:val="16"/>
            <w:szCs w:val="16"/>
            <w:lang w:val="es-AR"/>
          </w:rPr>
          <w:t>Observaciones Finales 2014</w:t>
        </w:r>
      </w:hyperlink>
      <w:r w:rsidRPr="00930562">
        <w:rPr>
          <w:rFonts w:asciiTheme="minorHAnsi" w:hAnsiTheme="minorHAnsi" w:cstheme="minorHAnsi"/>
          <w:bCs/>
          <w:color w:val="808080" w:themeColor="background1" w:themeShade="80"/>
          <w:sz w:val="16"/>
          <w:szCs w:val="16"/>
          <w:lang w:val="es-AR"/>
        </w:rPr>
        <w:t>, 23 de abril de 2014</w:t>
      </w:r>
      <w:r w:rsidRPr="00930562">
        <w:rPr>
          <w:rFonts w:asciiTheme="minorHAnsi" w:hAnsiTheme="minorHAnsi" w:cstheme="minorHAnsi"/>
          <w:color w:val="808080" w:themeColor="background1" w:themeShade="80"/>
          <w:sz w:val="16"/>
          <w:szCs w:val="16"/>
          <w:lang w:val="es-AR"/>
        </w:rPr>
        <w:t xml:space="preserve">, párr. 6; </w:t>
      </w:r>
      <w:r w:rsidRPr="00930562">
        <w:rPr>
          <w:rFonts w:asciiTheme="minorHAnsi" w:hAnsiTheme="minorHAnsi" w:cstheme="minorHAnsi"/>
          <w:bCs/>
          <w:color w:val="808080" w:themeColor="background1" w:themeShade="80"/>
          <w:sz w:val="16"/>
          <w:szCs w:val="16"/>
          <w:lang w:val="es-AR"/>
        </w:rPr>
        <w:t xml:space="preserve">CERD, </w:t>
      </w:r>
      <w:hyperlink r:id="rId360" w:history="1">
        <w:r w:rsidRPr="00930562">
          <w:rPr>
            <w:rStyle w:val="Hyperlink"/>
            <w:rFonts w:asciiTheme="minorHAnsi" w:hAnsiTheme="minorHAnsi" w:cstheme="minorHAnsi"/>
            <w:bCs/>
            <w:color w:val="808080" w:themeColor="background1" w:themeShade="80"/>
            <w:sz w:val="16"/>
            <w:szCs w:val="16"/>
            <w:lang w:val="es-AR"/>
          </w:rPr>
          <w:t>Observaciones Finales 2014</w:t>
        </w:r>
      </w:hyperlink>
      <w:r w:rsidRPr="00930562">
        <w:rPr>
          <w:rFonts w:asciiTheme="minorHAnsi" w:hAnsiTheme="minorHAnsi" w:cstheme="minorHAnsi"/>
          <w:bCs/>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 xml:space="preserve">25 de septiembre de </w:t>
      </w:r>
      <w:r w:rsidRPr="00930562">
        <w:rPr>
          <w:rFonts w:asciiTheme="minorHAnsi" w:hAnsiTheme="minorHAnsi" w:cstheme="minorHAnsi"/>
          <w:bCs/>
          <w:color w:val="808080" w:themeColor="background1" w:themeShade="80"/>
          <w:sz w:val="16"/>
          <w:szCs w:val="16"/>
          <w:lang w:val="es-AR"/>
        </w:rPr>
        <w:t>2014</w:t>
      </w:r>
      <w:r w:rsidRPr="00930562">
        <w:rPr>
          <w:rFonts w:asciiTheme="minorHAnsi" w:hAnsiTheme="minorHAnsi" w:cstheme="minorHAnsi"/>
          <w:color w:val="808080" w:themeColor="background1" w:themeShade="80"/>
          <w:sz w:val="16"/>
          <w:szCs w:val="16"/>
          <w:lang w:val="es-AR"/>
        </w:rPr>
        <w:t xml:space="preserve">, párr. 20; </w:t>
      </w:r>
      <w:r w:rsidRPr="00930562">
        <w:rPr>
          <w:rFonts w:asciiTheme="minorHAnsi" w:hAnsiTheme="minorHAnsi" w:cstheme="minorHAnsi"/>
          <w:bCs/>
          <w:color w:val="808080" w:themeColor="background1" w:themeShade="80"/>
          <w:sz w:val="16"/>
          <w:szCs w:val="16"/>
          <w:lang w:val="es-AR"/>
        </w:rPr>
        <w:t xml:space="preserve">ONU., Grupo de Trabajo sobre Afrodescendientes. </w:t>
      </w:r>
      <w:hyperlink r:id="rId361" w:history="1">
        <w:r w:rsidRPr="00930562">
          <w:rPr>
            <w:rStyle w:val="Hyperlink"/>
            <w:rFonts w:asciiTheme="minorHAnsi" w:hAnsiTheme="minorHAnsi" w:cstheme="minorHAnsi"/>
            <w:bCs/>
            <w:color w:val="808080" w:themeColor="background1" w:themeShade="80"/>
            <w:sz w:val="16"/>
            <w:szCs w:val="16"/>
            <w:lang w:val="es-AR"/>
          </w:rPr>
          <w:t>Report on mission to the U.S.</w:t>
        </w:r>
      </w:hyperlink>
      <w:r w:rsidRPr="00930562">
        <w:rPr>
          <w:rFonts w:asciiTheme="minorHAnsi" w:hAnsiTheme="minorHAnsi" w:cstheme="minorHAnsi"/>
          <w:bCs/>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18 de agosto de 2</w:t>
      </w:r>
      <w:r w:rsidRPr="00930562">
        <w:rPr>
          <w:rFonts w:asciiTheme="minorHAnsi" w:hAnsiTheme="minorHAnsi" w:cstheme="minorHAnsi"/>
          <w:bCs/>
          <w:color w:val="808080" w:themeColor="background1" w:themeShade="80"/>
          <w:sz w:val="16"/>
          <w:szCs w:val="16"/>
          <w:lang w:val="es-AR"/>
        </w:rPr>
        <w:t>016</w:t>
      </w:r>
      <w:r w:rsidRPr="00930562">
        <w:rPr>
          <w:rFonts w:asciiTheme="minorHAnsi" w:hAnsiTheme="minorHAnsi" w:cstheme="minorHAnsi"/>
          <w:color w:val="808080" w:themeColor="background1" w:themeShade="80"/>
          <w:sz w:val="16"/>
          <w:szCs w:val="16"/>
          <w:lang w:val="es-AR"/>
        </w:rPr>
        <w:t>, párrs. 20-42.</w:t>
      </w:r>
    </w:p>
  </w:footnote>
  <w:footnote w:id="296">
    <w:p w14:paraId="241D0668"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bCs/>
          <w:color w:val="808080" w:themeColor="background1" w:themeShade="80"/>
          <w:sz w:val="16"/>
          <w:szCs w:val="16"/>
          <w:lang w:val="es-AR"/>
        </w:rPr>
        <w:t xml:space="preserve">CERD, </w:t>
      </w:r>
      <w:hyperlink r:id="rId362" w:history="1">
        <w:r w:rsidRPr="00930562">
          <w:rPr>
            <w:rStyle w:val="Hyperlink"/>
            <w:rFonts w:asciiTheme="minorHAnsi" w:hAnsiTheme="minorHAnsi" w:cstheme="minorHAnsi"/>
            <w:bCs/>
            <w:color w:val="808080" w:themeColor="background1" w:themeShade="80"/>
            <w:sz w:val="16"/>
            <w:szCs w:val="16"/>
            <w:lang w:val="es-AR"/>
          </w:rPr>
          <w:t>Observaciones Finales 2014</w:t>
        </w:r>
      </w:hyperlink>
      <w:r w:rsidRPr="00930562">
        <w:rPr>
          <w:rFonts w:asciiTheme="minorHAnsi" w:hAnsiTheme="minorHAnsi" w:cstheme="minorHAnsi"/>
          <w:bCs/>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 xml:space="preserve">25 de septiembre de </w:t>
      </w:r>
      <w:r w:rsidRPr="00930562">
        <w:rPr>
          <w:rFonts w:asciiTheme="minorHAnsi" w:hAnsiTheme="minorHAnsi" w:cstheme="minorHAnsi"/>
          <w:bCs/>
          <w:color w:val="808080" w:themeColor="background1" w:themeShade="80"/>
          <w:sz w:val="16"/>
          <w:szCs w:val="16"/>
          <w:lang w:val="es-AR"/>
        </w:rPr>
        <w:t>2014</w:t>
      </w:r>
      <w:r w:rsidRPr="00930562">
        <w:rPr>
          <w:rFonts w:asciiTheme="minorHAnsi" w:hAnsiTheme="minorHAnsi" w:cstheme="minorHAnsi"/>
          <w:color w:val="808080" w:themeColor="background1" w:themeShade="80"/>
          <w:sz w:val="16"/>
          <w:szCs w:val="16"/>
          <w:lang w:val="es-AR"/>
        </w:rPr>
        <w:t>, párr. 20.</w:t>
      </w:r>
    </w:p>
  </w:footnote>
  <w:footnote w:id="297">
    <w:p w14:paraId="088B9395"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bCs/>
          <w:color w:val="808080" w:themeColor="background1" w:themeShade="80"/>
          <w:sz w:val="16"/>
          <w:szCs w:val="16"/>
          <w:lang w:val="es-AR"/>
        </w:rPr>
        <w:t xml:space="preserve">CIDH, </w:t>
      </w:r>
      <w:hyperlink r:id="rId363" w:history="1">
        <w:r w:rsidRPr="00930562">
          <w:rPr>
            <w:rStyle w:val="Hyperlink"/>
            <w:rFonts w:asciiTheme="minorHAnsi" w:hAnsiTheme="minorHAnsi" w:cstheme="minorHAnsi"/>
            <w:color w:val="808080" w:themeColor="background1" w:themeShade="80"/>
            <w:sz w:val="16"/>
            <w:szCs w:val="16"/>
            <w:lang w:val="es-AR"/>
          </w:rPr>
          <w:t>Comunicado de Prensa de Visita in loco</w:t>
        </w:r>
      </w:hyperlink>
      <w:r w:rsidRPr="00930562">
        <w:rPr>
          <w:rFonts w:asciiTheme="minorHAnsi" w:hAnsiTheme="minorHAnsi" w:cstheme="minorHAnsi"/>
          <w:color w:val="808080" w:themeColor="background1" w:themeShade="80"/>
          <w:sz w:val="16"/>
          <w:szCs w:val="16"/>
          <w:lang w:val="es-AR"/>
        </w:rPr>
        <w:t xml:space="preserve">, 16 de octubre de 2015; </w:t>
      </w:r>
      <w:r w:rsidRPr="00930562">
        <w:rPr>
          <w:rFonts w:asciiTheme="minorHAnsi" w:hAnsiTheme="minorHAnsi" w:cstheme="minorHAnsi"/>
          <w:i/>
          <w:color w:val="808080" w:themeColor="background1" w:themeShade="80"/>
          <w:sz w:val="16"/>
          <w:szCs w:val="16"/>
          <w:lang w:val="es-AR"/>
        </w:rPr>
        <w:t>véase además</w:t>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bCs/>
          <w:color w:val="808080" w:themeColor="background1" w:themeShade="80"/>
          <w:sz w:val="16"/>
          <w:szCs w:val="16"/>
          <w:lang w:val="es-AR"/>
        </w:rPr>
        <w:t xml:space="preserve">CERD, </w:t>
      </w:r>
      <w:hyperlink r:id="rId364" w:history="1">
        <w:r w:rsidRPr="00930562">
          <w:rPr>
            <w:rStyle w:val="Hyperlink"/>
            <w:rFonts w:asciiTheme="minorHAnsi" w:hAnsiTheme="minorHAnsi" w:cstheme="minorHAnsi"/>
            <w:bCs/>
            <w:color w:val="808080" w:themeColor="background1" w:themeShade="80"/>
            <w:sz w:val="16"/>
            <w:szCs w:val="16"/>
            <w:lang w:val="es-AR"/>
          </w:rPr>
          <w:t>Observaciones Finales 2014</w:t>
        </w:r>
      </w:hyperlink>
      <w:r w:rsidRPr="00930562">
        <w:rPr>
          <w:rFonts w:asciiTheme="minorHAnsi" w:hAnsiTheme="minorHAnsi" w:cstheme="minorHAnsi"/>
          <w:bCs/>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 xml:space="preserve">25 de septiembre de </w:t>
      </w:r>
      <w:r w:rsidRPr="00930562">
        <w:rPr>
          <w:rFonts w:asciiTheme="minorHAnsi" w:hAnsiTheme="minorHAnsi" w:cstheme="minorHAnsi"/>
          <w:bCs/>
          <w:color w:val="808080" w:themeColor="background1" w:themeShade="80"/>
          <w:sz w:val="16"/>
          <w:szCs w:val="16"/>
          <w:lang w:val="es-AR"/>
        </w:rPr>
        <w:t>2014</w:t>
      </w:r>
      <w:r w:rsidRPr="00930562">
        <w:rPr>
          <w:rFonts w:asciiTheme="minorHAnsi" w:hAnsiTheme="minorHAnsi" w:cstheme="minorHAnsi"/>
          <w:color w:val="808080" w:themeColor="background1" w:themeShade="80"/>
          <w:sz w:val="16"/>
          <w:szCs w:val="16"/>
          <w:lang w:val="es-AR"/>
        </w:rPr>
        <w:t xml:space="preserve">, párr. </w:t>
      </w:r>
      <w:r w:rsidRPr="00930562">
        <w:rPr>
          <w:rFonts w:asciiTheme="minorHAnsi" w:hAnsiTheme="minorHAnsi" w:cstheme="minorHAnsi"/>
          <w:color w:val="808080" w:themeColor="background1" w:themeShade="80"/>
          <w:sz w:val="16"/>
          <w:szCs w:val="16"/>
        </w:rPr>
        <w:t>23.</w:t>
      </w:r>
    </w:p>
  </w:footnote>
  <w:footnote w:id="298">
    <w:p w14:paraId="6DA97FC3"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r>
      <w:r w:rsidRPr="00930562">
        <w:rPr>
          <w:rFonts w:asciiTheme="minorHAnsi" w:hAnsiTheme="minorHAnsi" w:cstheme="minorHAnsi"/>
          <w:i/>
          <w:color w:val="808080" w:themeColor="background1" w:themeShade="80"/>
          <w:sz w:val="16"/>
          <w:szCs w:val="16"/>
        </w:rPr>
        <w:t>Véase por ejemplo</w:t>
      </w:r>
      <w:r w:rsidRPr="00930562">
        <w:rPr>
          <w:rFonts w:asciiTheme="minorHAnsi" w:hAnsiTheme="minorHAnsi" w:cstheme="minorHAnsi"/>
          <w:color w:val="808080" w:themeColor="background1" w:themeShade="80"/>
          <w:sz w:val="16"/>
          <w:szCs w:val="16"/>
        </w:rPr>
        <w:t xml:space="preserve">, Gabriel F. Chin, </w:t>
      </w:r>
      <w:hyperlink r:id="rId365" w:history="1">
        <w:r w:rsidRPr="00930562">
          <w:rPr>
            <w:rStyle w:val="Hyperlink"/>
            <w:rFonts w:asciiTheme="minorHAnsi" w:hAnsiTheme="minorHAnsi" w:cstheme="minorHAnsi"/>
            <w:color w:val="808080" w:themeColor="background1" w:themeShade="80"/>
            <w:sz w:val="16"/>
            <w:szCs w:val="16"/>
          </w:rPr>
          <w:t>Race and the Disappointing Right to Counsel</w:t>
        </w:r>
      </w:hyperlink>
      <w:r w:rsidRPr="00930562">
        <w:rPr>
          <w:rFonts w:asciiTheme="minorHAnsi" w:hAnsiTheme="minorHAnsi" w:cstheme="minorHAnsi"/>
          <w:color w:val="808080" w:themeColor="background1" w:themeShade="80"/>
          <w:sz w:val="16"/>
          <w:szCs w:val="16"/>
        </w:rPr>
        <w:t xml:space="preserve">, 122 </w:t>
      </w:r>
      <w:r w:rsidRPr="00930562">
        <w:rPr>
          <w:rFonts w:asciiTheme="minorHAnsi" w:hAnsiTheme="minorHAnsi" w:cstheme="minorHAnsi"/>
          <w:i/>
          <w:color w:val="808080" w:themeColor="background1" w:themeShade="80"/>
          <w:sz w:val="16"/>
          <w:szCs w:val="16"/>
        </w:rPr>
        <w:t>Yale Law Journal</w:t>
      </w:r>
      <w:r w:rsidRPr="00930562">
        <w:rPr>
          <w:rFonts w:asciiTheme="minorHAnsi" w:hAnsiTheme="minorHAnsi" w:cstheme="minorHAnsi"/>
          <w:color w:val="808080" w:themeColor="background1" w:themeShade="80"/>
          <w:sz w:val="16"/>
          <w:szCs w:val="16"/>
        </w:rPr>
        <w:t xml:space="preserve"> 2236, 2238 (2013) (citando</w:t>
      </w:r>
      <w:r w:rsidRPr="00930562">
        <w:rPr>
          <w:rFonts w:asciiTheme="minorHAnsi" w:hAnsiTheme="minorHAnsi" w:cstheme="minorHAnsi"/>
          <w:i/>
          <w:color w:val="808080" w:themeColor="background1" w:themeShade="80"/>
          <w:sz w:val="16"/>
          <w:szCs w:val="16"/>
        </w:rPr>
        <w:t>, inter alia</w:t>
      </w:r>
      <w:r w:rsidRPr="00930562">
        <w:rPr>
          <w:rFonts w:asciiTheme="minorHAnsi" w:hAnsiTheme="minorHAnsi" w:cstheme="minorHAnsi"/>
          <w:color w:val="808080" w:themeColor="background1" w:themeShade="80"/>
          <w:sz w:val="16"/>
          <w:szCs w:val="16"/>
        </w:rPr>
        <w:t xml:space="preserve">, Michelle Alexander, </w:t>
      </w:r>
      <w:r w:rsidRPr="00930562">
        <w:rPr>
          <w:rFonts w:asciiTheme="minorHAnsi" w:hAnsiTheme="minorHAnsi" w:cstheme="minorHAnsi"/>
          <w:i/>
          <w:color w:val="808080" w:themeColor="background1" w:themeShade="80"/>
          <w:sz w:val="16"/>
          <w:szCs w:val="16"/>
        </w:rPr>
        <w:t>The New Jim Crow: Mass Incarceration in the Age of Colorblindness</w:t>
      </w:r>
      <w:r w:rsidRPr="00930562">
        <w:rPr>
          <w:rFonts w:asciiTheme="minorHAnsi" w:hAnsiTheme="minorHAnsi" w:cstheme="minorHAnsi"/>
          <w:color w:val="808080" w:themeColor="background1" w:themeShade="80"/>
          <w:sz w:val="16"/>
          <w:szCs w:val="16"/>
        </w:rPr>
        <w:t xml:space="preserve"> (New York: New Press, 2010); David Cole, </w:t>
      </w:r>
      <w:r w:rsidRPr="00930562">
        <w:rPr>
          <w:rFonts w:asciiTheme="minorHAnsi" w:hAnsiTheme="minorHAnsi" w:cstheme="minorHAnsi"/>
          <w:i/>
          <w:color w:val="808080" w:themeColor="background1" w:themeShade="80"/>
          <w:sz w:val="16"/>
          <w:szCs w:val="16"/>
        </w:rPr>
        <w:t>No Equal Justice: Race and Class in the American Criminal Justice System</w:t>
      </w:r>
      <w:r w:rsidRPr="00930562">
        <w:rPr>
          <w:rFonts w:asciiTheme="minorHAnsi" w:hAnsiTheme="minorHAnsi" w:cstheme="minorHAnsi"/>
          <w:color w:val="808080" w:themeColor="background1" w:themeShade="80"/>
          <w:sz w:val="16"/>
          <w:szCs w:val="16"/>
        </w:rPr>
        <w:t xml:space="preserve"> (New York: New Press, 1999); Stephen B. Bright, Counsel for the Poor: The Death Sentence Not for the Worst Crime but for the Worst Lawyer, 103 </w:t>
      </w:r>
      <w:r w:rsidRPr="00930562">
        <w:rPr>
          <w:rFonts w:asciiTheme="minorHAnsi" w:hAnsiTheme="minorHAnsi" w:cstheme="minorHAnsi"/>
          <w:i/>
          <w:color w:val="808080" w:themeColor="background1" w:themeShade="80"/>
          <w:sz w:val="16"/>
          <w:szCs w:val="16"/>
        </w:rPr>
        <w:t>Yale Law Journal</w:t>
      </w:r>
      <w:r w:rsidRPr="00930562">
        <w:rPr>
          <w:rFonts w:asciiTheme="minorHAnsi" w:hAnsiTheme="minorHAnsi" w:cstheme="minorHAnsi"/>
          <w:color w:val="808080" w:themeColor="background1" w:themeShade="80"/>
          <w:sz w:val="16"/>
          <w:szCs w:val="16"/>
        </w:rPr>
        <w:t xml:space="preserve"> 1835 (1994); citas adicionales omitidas).</w:t>
      </w:r>
    </w:p>
  </w:footnote>
  <w:footnote w:id="299">
    <w:p w14:paraId="1A97445E"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t>Declaración Americana, artículos. XVIII, XXVI; Pacto Internacional de Derechos Civiles y Políticos, art. 15(3</w:t>
      </w:r>
      <w:proofErr w:type="gramStart"/>
      <w:r w:rsidRPr="00930562">
        <w:rPr>
          <w:rFonts w:asciiTheme="minorHAnsi" w:hAnsiTheme="minorHAnsi" w:cstheme="minorHAnsi"/>
          <w:color w:val="808080" w:themeColor="background1" w:themeShade="80"/>
          <w:sz w:val="16"/>
          <w:szCs w:val="16"/>
          <w:lang w:val="es-AR"/>
        </w:rPr>
        <w:t>)(</w:t>
      </w:r>
      <w:proofErr w:type="gramEnd"/>
      <w:r w:rsidRPr="00930562">
        <w:rPr>
          <w:rFonts w:asciiTheme="minorHAnsi" w:hAnsiTheme="minorHAnsi" w:cstheme="minorHAnsi"/>
          <w:color w:val="808080" w:themeColor="background1" w:themeShade="80"/>
          <w:sz w:val="16"/>
          <w:szCs w:val="16"/>
          <w:lang w:val="es-AR"/>
        </w:rPr>
        <w:t xml:space="preserve">b), (d). </w:t>
      </w:r>
    </w:p>
  </w:footnote>
  <w:footnote w:id="300">
    <w:p w14:paraId="38268C9C"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Sonja B. Starr y M. Marit Rehavi, “Mandatory Sentencing and Racial Disparity: Assessing the Role of Prosecutors and the Effects of </w:t>
      </w:r>
      <w:r w:rsidRPr="00930562">
        <w:rPr>
          <w:rFonts w:asciiTheme="minorHAnsi" w:hAnsiTheme="minorHAnsi" w:cstheme="minorHAnsi"/>
          <w:i/>
          <w:color w:val="808080" w:themeColor="background1" w:themeShade="80"/>
          <w:sz w:val="16"/>
          <w:szCs w:val="16"/>
        </w:rPr>
        <w:t>Booker</w:t>
      </w:r>
      <w:r w:rsidRPr="00930562">
        <w:rPr>
          <w:rFonts w:asciiTheme="minorHAnsi" w:hAnsiTheme="minorHAnsi" w:cstheme="minorHAnsi"/>
          <w:color w:val="808080" w:themeColor="background1" w:themeShade="80"/>
          <w:sz w:val="16"/>
          <w:szCs w:val="16"/>
        </w:rPr>
        <w:t xml:space="preserve">,” 123 </w:t>
      </w:r>
      <w:r w:rsidRPr="00930562">
        <w:rPr>
          <w:rFonts w:asciiTheme="minorHAnsi" w:hAnsiTheme="minorHAnsi" w:cstheme="minorHAnsi"/>
          <w:i/>
          <w:color w:val="808080" w:themeColor="background1" w:themeShade="80"/>
          <w:sz w:val="16"/>
          <w:szCs w:val="16"/>
        </w:rPr>
        <w:t>Yale Law Journal</w:t>
      </w:r>
      <w:r w:rsidRPr="00930562">
        <w:rPr>
          <w:rFonts w:asciiTheme="minorHAnsi" w:hAnsiTheme="minorHAnsi" w:cstheme="minorHAnsi"/>
          <w:color w:val="808080" w:themeColor="background1" w:themeShade="80"/>
          <w:sz w:val="16"/>
          <w:szCs w:val="16"/>
        </w:rPr>
        <w:t xml:space="preserve"> 2 (2013). </w:t>
      </w:r>
    </w:p>
  </w:footnote>
  <w:footnote w:id="301">
    <w:p w14:paraId="39ED1AEF"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r>
      <w:r w:rsidRPr="00930562">
        <w:rPr>
          <w:rFonts w:asciiTheme="minorHAnsi" w:hAnsiTheme="minorHAnsi" w:cstheme="minorHAnsi"/>
          <w:i/>
          <w:color w:val="808080" w:themeColor="background1" w:themeShade="80"/>
          <w:sz w:val="16"/>
          <w:szCs w:val="16"/>
        </w:rPr>
        <w:t>Véase por ejemplo,</w:t>
      </w:r>
      <w:r w:rsidRPr="00930562">
        <w:rPr>
          <w:rFonts w:asciiTheme="minorHAnsi" w:hAnsiTheme="minorHAnsi" w:cstheme="minorHAnsi"/>
          <w:color w:val="808080" w:themeColor="background1" w:themeShade="80"/>
          <w:sz w:val="16"/>
          <w:szCs w:val="16"/>
        </w:rPr>
        <w:t xml:space="preserve"> Oyler v. Boyles, 368 U.S. 448 (1962); McCleskey v. Kemp, 481 U.S. 279 (1987). </w:t>
      </w:r>
      <w:r w:rsidRPr="00930562">
        <w:rPr>
          <w:rFonts w:asciiTheme="minorHAnsi" w:hAnsiTheme="minorHAnsi" w:cstheme="minorHAnsi"/>
          <w:color w:val="808080" w:themeColor="background1" w:themeShade="80"/>
          <w:sz w:val="16"/>
          <w:szCs w:val="16"/>
          <w:lang w:val="es-AR"/>
        </w:rPr>
        <w:t>Estos y otros casos sostienen que el procesamiento selectivo (por ejemplo, acusar de manera selectiva de diferentes crímenes, solicitar diferentes penas, o imputar en un tribunal federal versus uno estatal) violan la Cláusula de Igual Protección únicamente si un fiscal discrimina intencional o deliberadamente por motivos de raza. Por lo tanto, una demostración de efecto desproporcionado de las decisiones procesales (las cuales tenderían a establecer la existencia de un sesgo implícito por parte del fiscal) no es suficiente para establecer existencia de discriminación; más bien, debe probarse la discriminación explícita e injusta para establecer una violación de Igualdad de Protección en este contexto.</w:t>
      </w:r>
    </w:p>
  </w:footnote>
  <w:footnote w:id="302">
    <w:p w14:paraId="582F09A1"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r>
      <w:r w:rsidRPr="00930562">
        <w:rPr>
          <w:rFonts w:asciiTheme="minorHAnsi" w:hAnsiTheme="minorHAnsi" w:cstheme="minorHAnsi"/>
          <w:i/>
          <w:color w:val="808080" w:themeColor="background1" w:themeShade="80"/>
          <w:sz w:val="16"/>
          <w:szCs w:val="16"/>
        </w:rPr>
        <w:t xml:space="preserve">Véase </w:t>
      </w:r>
      <w:r w:rsidRPr="00930562">
        <w:rPr>
          <w:rFonts w:asciiTheme="minorHAnsi" w:hAnsiTheme="minorHAnsi" w:cstheme="minorHAnsi"/>
          <w:color w:val="808080" w:themeColor="background1" w:themeShade="80"/>
          <w:sz w:val="16"/>
          <w:szCs w:val="16"/>
        </w:rPr>
        <w:t xml:space="preserve">The Marshall Project (US District Judge John Kane), </w:t>
      </w:r>
      <w:hyperlink r:id="rId366" w:history="1">
        <w:r w:rsidRPr="00930562">
          <w:rPr>
            <w:rStyle w:val="Hyperlink"/>
            <w:rFonts w:asciiTheme="minorHAnsi" w:hAnsiTheme="minorHAnsi" w:cstheme="minorHAnsi"/>
            <w:color w:val="808080" w:themeColor="background1" w:themeShade="80"/>
            <w:sz w:val="16"/>
            <w:szCs w:val="16"/>
          </w:rPr>
          <w:t>Plea Bargaining and the Innocent</w:t>
        </w:r>
      </w:hyperlink>
      <w:r w:rsidRPr="00930562">
        <w:rPr>
          <w:rFonts w:asciiTheme="minorHAnsi" w:hAnsiTheme="minorHAnsi" w:cstheme="minorHAnsi"/>
          <w:color w:val="808080" w:themeColor="background1" w:themeShade="80"/>
          <w:sz w:val="16"/>
          <w:szCs w:val="16"/>
        </w:rPr>
        <w:t xml:space="preserve">, 26 de diciembre de 2014; New York Review of Books (US District Judge Jed Rakoff), </w:t>
      </w:r>
      <w:hyperlink r:id="rId367" w:history="1">
        <w:r w:rsidRPr="00930562">
          <w:rPr>
            <w:rStyle w:val="Hyperlink"/>
            <w:rFonts w:asciiTheme="minorHAnsi" w:hAnsiTheme="minorHAnsi" w:cstheme="minorHAnsi"/>
            <w:color w:val="808080" w:themeColor="background1" w:themeShade="80"/>
            <w:sz w:val="16"/>
            <w:szCs w:val="16"/>
          </w:rPr>
          <w:t>Why Innocent People Plead Guilty</w:t>
        </w:r>
      </w:hyperlink>
      <w:r w:rsidRPr="00930562">
        <w:rPr>
          <w:rFonts w:asciiTheme="minorHAnsi" w:hAnsiTheme="minorHAnsi" w:cstheme="minorHAnsi"/>
          <w:color w:val="808080" w:themeColor="background1" w:themeShade="80"/>
          <w:sz w:val="16"/>
          <w:szCs w:val="16"/>
        </w:rPr>
        <w:t>, 20 de noviembre de 2014.</w:t>
      </w:r>
    </w:p>
  </w:footnote>
  <w:footnote w:id="303">
    <w:p w14:paraId="1F915848" w14:textId="77777777" w:rsidR="00F64540" w:rsidRPr="00930562" w:rsidRDefault="00F64540" w:rsidP="00E10935">
      <w:pPr>
        <w:pStyle w:val="FootnoteText"/>
        <w:spacing w:after="40"/>
        <w:ind w:left="547" w:hanging="547"/>
        <w:jc w:val="both"/>
        <w:rPr>
          <w:rFonts w:asciiTheme="minorHAnsi" w:hAnsiTheme="minorHAnsi" w:cstheme="minorHAnsi"/>
          <w:i/>
          <w:iCs/>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t>ACLU, Presentación sobre desigualdades raciales en audiencias de sentencias en informes de racismo en el sistema de justicia de los Estados Unidos (CIDH, 153° Sesión), 27 de octubre de 2014 [de aquí en adelante, Presentación ACLU, 153° Sesión] (citando Sonja B. Starr &amp; M. Marit Rehavi, “</w:t>
      </w:r>
      <w:r w:rsidRPr="00930562">
        <w:rPr>
          <w:rFonts w:asciiTheme="minorHAnsi" w:hAnsiTheme="minorHAnsi" w:cstheme="minorHAnsi"/>
          <w:iCs/>
          <w:color w:val="808080" w:themeColor="background1" w:themeShade="80"/>
          <w:sz w:val="16"/>
          <w:szCs w:val="16"/>
          <w:lang w:val="es-AR"/>
        </w:rPr>
        <w:t>Racial Disparity in Federal Criminal Charging and its Sentencing Consequences</w:t>
      </w:r>
      <w:r w:rsidRPr="00930562">
        <w:rPr>
          <w:rFonts w:asciiTheme="minorHAnsi" w:hAnsiTheme="minorHAnsi" w:cstheme="minorHAnsi"/>
          <w:color w:val="808080" w:themeColor="background1" w:themeShade="80"/>
          <w:sz w:val="16"/>
          <w:szCs w:val="16"/>
          <w:lang w:val="es-AR"/>
        </w:rPr>
        <w:t>,” U. Michigan Law &amp; Economics, Empirical Legal Studies Center Paper No. 12-002 (2012); Marc Mauer, “</w:t>
      </w:r>
      <w:r w:rsidRPr="00930562">
        <w:rPr>
          <w:rFonts w:asciiTheme="minorHAnsi" w:hAnsiTheme="minorHAnsi" w:cstheme="minorHAnsi"/>
          <w:iCs/>
          <w:color w:val="808080" w:themeColor="background1" w:themeShade="80"/>
          <w:sz w:val="16"/>
          <w:szCs w:val="16"/>
          <w:lang w:val="es-AR"/>
        </w:rPr>
        <w:t>Addressing Racial Disparities in Incarceration</w:t>
      </w:r>
      <w:r w:rsidRPr="00930562">
        <w:rPr>
          <w:rFonts w:asciiTheme="minorHAnsi" w:hAnsiTheme="minorHAnsi" w:cstheme="minorHAnsi"/>
          <w:color w:val="808080" w:themeColor="background1" w:themeShade="80"/>
          <w:sz w:val="16"/>
          <w:szCs w:val="16"/>
          <w:lang w:val="es-AR"/>
        </w:rPr>
        <w:t xml:space="preserve">,” 91 </w:t>
      </w:r>
      <w:r w:rsidRPr="00930562">
        <w:rPr>
          <w:rFonts w:asciiTheme="minorHAnsi" w:hAnsiTheme="minorHAnsi" w:cstheme="minorHAnsi"/>
          <w:i/>
          <w:color w:val="808080" w:themeColor="background1" w:themeShade="80"/>
          <w:sz w:val="16"/>
          <w:szCs w:val="16"/>
          <w:lang w:val="es-AR"/>
        </w:rPr>
        <w:t>Prison Journal</w:t>
      </w:r>
      <w:r w:rsidRPr="00930562">
        <w:rPr>
          <w:rFonts w:asciiTheme="minorHAnsi" w:hAnsiTheme="minorHAnsi" w:cstheme="minorHAnsi"/>
          <w:color w:val="808080" w:themeColor="background1" w:themeShade="80"/>
          <w:sz w:val="16"/>
          <w:szCs w:val="16"/>
          <w:lang w:val="es-AR"/>
        </w:rPr>
        <w:t xml:space="preserve"> (2011); The Sentencing Project, </w:t>
      </w:r>
      <w:hyperlink r:id="rId368" w:history="1">
        <w:r w:rsidRPr="00930562">
          <w:rPr>
            <w:rStyle w:val="Hyperlink"/>
            <w:rFonts w:asciiTheme="minorHAnsi" w:hAnsiTheme="minorHAnsi" w:cstheme="minorHAnsi"/>
            <w:color w:val="808080" w:themeColor="background1" w:themeShade="80"/>
            <w:sz w:val="16"/>
            <w:szCs w:val="16"/>
            <w:lang w:val="es-AR"/>
          </w:rPr>
          <w:t>Racial Disparity in Sentencing: A Review of the Literature</w:t>
        </w:r>
      </w:hyperlink>
      <w:r w:rsidRPr="00930562">
        <w:rPr>
          <w:rFonts w:asciiTheme="minorHAnsi" w:hAnsiTheme="minorHAnsi" w:cstheme="minorHAnsi"/>
          <w:color w:val="808080" w:themeColor="background1" w:themeShade="80"/>
          <w:sz w:val="16"/>
          <w:szCs w:val="16"/>
          <w:lang w:val="es-AR"/>
        </w:rPr>
        <w:t>, 2005).</w:t>
      </w:r>
    </w:p>
  </w:footnote>
  <w:footnote w:id="304">
    <w:p w14:paraId="25F48020"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Presentación ACLU, 153° Sesión (citando U.S. Sentencing Commission, </w:t>
      </w:r>
      <w:hyperlink r:id="rId369" w:history="1">
        <w:r w:rsidRPr="00930562">
          <w:rPr>
            <w:rStyle w:val="Hyperlink"/>
            <w:rFonts w:asciiTheme="minorHAnsi" w:hAnsiTheme="minorHAnsi" w:cstheme="minorHAnsi"/>
            <w:color w:val="808080" w:themeColor="background1" w:themeShade="80"/>
            <w:sz w:val="16"/>
            <w:szCs w:val="16"/>
          </w:rPr>
          <w:t>Report on the Continuing Impact of United States v. Booker on Federal Sentencing</w:t>
        </w:r>
      </w:hyperlink>
      <w:r w:rsidRPr="00930562">
        <w:rPr>
          <w:rFonts w:asciiTheme="minorHAnsi" w:hAnsiTheme="minorHAnsi" w:cstheme="minorHAnsi"/>
          <w:color w:val="808080" w:themeColor="background1" w:themeShade="80"/>
          <w:sz w:val="16"/>
          <w:szCs w:val="16"/>
        </w:rPr>
        <w:t>, 30 de enero de 2013).</w:t>
      </w:r>
    </w:p>
  </w:footnote>
  <w:footnote w:id="305">
    <w:p w14:paraId="2FE4076B"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rPr>
        <w:t xml:space="preserve"> </w:t>
      </w:r>
      <w:r w:rsidRPr="00930562">
        <w:rPr>
          <w:rFonts w:asciiTheme="minorHAnsi" w:hAnsiTheme="minorHAnsi" w:cstheme="majorHAnsi"/>
          <w:color w:val="808080" w:themeColor="background1" w:themeShade="80"/>
          <w:sz w:val="16"/>
          <w:szCs w:val="16"/>
        </w:rPr>
        <w:tab/>
      </w:r>
      <w:r w:rsidRPr="00930562">
        <w:rPr>
          <w:rFonts w:asciiTheme="minorHAnsi" w:hAnsiTheme="minorHAnsi" w:cstheme="minorHAnsi"/>
          <w:i/>
          <w:color w:val="808080" w:themeColor="background1" w:themeShade="80"/>
          <w:sz w:val="16"/>
          <w:szCs w:val="16"/>
        </w:rPr>
        <w:t>Id</w:t>
      </w:r>
      <w:r w:rsidRPr="00930562">
        <w:rPr>
          <w:rFonts w:asciiTheme="minorHAnsi" w:hAnsiTheme="minorHAnsi" w:cstheme="minorHAnsi"/>
          <w:color w:val="808080" w:themeColor="background1" w:themeShade="80"/>
          <w:sz w:val="16"/>
          <w:szCs w:val="16"/>
        </w:rPr>
        <w:t xml:space="preserve">. (citando Cassia C. Spohn, </w:t>
      </w:r>
      <w:hyperlink r:id="rId370" w:history="1">
        <w:r w:rsidRPr="00930562">
          <w:rPr>
            <w:rStyle w:val="Hyperlink"/>
            <w:rFonts w:asciiTheme="minorHAnsi" w:hAnsiTheme="minorHAnsi" w:cstheme="minorHAnsi"/>
            <w:color w:val="808080" w:themeColor="background1" w:themeShade="80"/>
            <w:sz w:val="16"/>
            <w:szCs w:val="16"/>
          </w:rPr>
          <w:t>Thirty Years of Sentencing Reform: The Quest for a Racially Neutral Sentencing Process</w:t>
        </w:r>
      </w:hyperlink>
      <w:r w:rsidRPr="00930562">
        <w:rPr>
          <w:rFonts w:asciiTheme="minorHAnsi" w:hAnsiTheme="minorHAnsi" w:cstheme="minorHAnsi"/>
          <w:color w:val="808080" w:themeColor="background1" w:themeShade="80"/>
          <w:sz w:val="16"/>
          <w:szCs w:val="16"/>
        </w:rPr>
        <w:t xml:space="preserve">, in 3 </w:t>
      </w:r>
      <w:r w:rsidRPr="00930562">
        <w:rPr>
          <w:rFonts w:asciiTheme="minorHAnsi" w:hAnsiTheme="minorHAnsi" w:cstheme="minorHAnsi"/>
          <w:i/>
          <w:color w:val="808080" w:themeColor="background1" w:themeShade="80"/>
          <w:sz w:val="16"/>
          <w:szCs w:val="16"/>
        </w:rPr>
        <w:t xml:space="preserve">Criminal Justice </w:t>
      </w:r>
      <w:r w:rsidRPr="00930562">
        <w:rPr>
          <w:rFonts w:asciiTheme="minorHAnsi" w:hAnsiTheme="minorHAnsi" w:cstheme="minorHAnsi"/>
          <w:color w:val="808080" w:themeColor="background1" w:themeShade="80"/>
          <w:sz w:val="16"/>
          <w:szCs w:val="16"/>
        </w:rPr>
        <w:t xml:space="preserve">427 (2000)). </w:t>
      </w:r>
    </w:p>
  </w:footnote>
  <w:footnote w:id="306">
    <w:p w14:paraId="59FD6BC3"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Sarasota Herald-Tribune, </w:t>
      </w:r>
      <w:hyperlink r:id="rId371" w:history="1">
        <w:r w:rsidRPr="00930562">
          <w:rPr>
            <w:rStyle w:val="Hyperlink"/>
            <w:rFonts w:asciiTheme="minorHAnsi" w:hAnsiTheme="minorHAnsi" w:cstheme="minorHAnsi"/>
            <w:color w:val="808080" w:themeColor="background1" w:themeShade="80"/>
            <w:sz w:val="16"/>
            <w:szCs w:val="16"/>
          </w:rPr>
          <w:t>Bias on the Bench: Florida’s Broken Sentencing System</w:t>
        </w:r>
      </w:hyperlink>
      <w:r w:rsidRPr="00930562">
        <w:rPr>
          <w:rFonts w:asciiTheme="minorHAnsi" w:hAnsiTheme="minorHAnsi" w:cstheme="minorHAnsi"/>
          <w:color w:val="808080" w:themeColor="background1" w:themeShade="80"/>
          <w:sz w:val="16"/>
          <w:szCs w:val="16"/>
        </w:rPr>
        <w:t>, diciembre de 2016.</w:t>
      </w:r>
    </w:p>
  </w:footnote>
  <w:footnote w:id="307">
    <w:p w14:paraId="6A1BF426"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Presentación ACLU, 153° Sesión (citando Sonja B. Starr &amp; M. Marit Rehavi, “</w:t>
      </w:r>
      <w:r w:rsidRPr="00930562">
        <w:rPr>
          <w:rFonts w:asciiTheme="minorHAnsi" w:hAnsiTheme="minorHAnsi" w:cstheme="minorHAnsi"/>
          <w:iCs/>
          <w:color w:val="808080" w:themeColor="background1" w:themeShade="80"/>
          <w:sz w:val="16"/>
          <w:szCs w:val="16"/>
        </w:rPr>
        <w:t>Racial Disparity in Federal Criminal Charging and its Sentencing Consequences</w:t>
      </w:r>
      <w:r w:rsidRPr="00930562">
        <w:rPr>
          <w:rFonts w:asciiTheme="minorHAnsi" w:hAnsiTheme="minorHAnsi" w:cstheme="minorHAnsi"/>
          <w:color w:val="808080" w:themeColor="background1" w:themeShade="80"/>
          <w:sz w:val="16"/>
          <w:szCs w:val="16"/>
        </w:rPr>
        <w:t>,” University of Michigan Law &amp; Economics, Empirical Legal Studies Center Paper No. 12-002 (2012)).</w:t>
      </w:r>
    </w:p>
  </w:footnote>
  <w:footnote w:id="308">
    <w:p w14:paraId="4D724D9D" w14:textId="76095E41"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Presentación ACLU, 153° Sesión (citando D.C. Baldus &amp; C. Woodworth, </w:t>
      </w:r>
      <w:r w:rsidRPr="00930562">
        <w:rPr>
          <w:rFonts w:asciiTheme="minorHAnsi" w:hAnsiTheme="minorHAnsi" w:cstheme="minorHAnsi"/>
          <w:iCs/>
          <w:color w:val="808080" w:themeColor="background1" w:themeShade="80"/>
          <w:sz w:val="16"/>
          <w:szCs w:val="16"/>
        </w:rPr>
        <w:t>Race Discrimination and the Legitimacy of Capital Punishment: Reflections on the Interaction of Fact and Perception</w:t>
      </w:r>
      <w:r w:rsidRPr="00930562">
        <w:rPr>
          <w:rFonts w:asciiTheme="minorHAnsi" w:hAnsiTheme="minorHAnsi" w:cstheme="minorHAnsi"/>
          <w:color w:val="808080" w:themeColor="background1" w:themeShade="80"/>
          <w:sz w:val="16"/>
          <w:szCs w:val="16"/>
        </w:rPr>
        <w:t xml:space="preserve">, 53 </w:t>
      </w:r>
      <w:r w:rsidRPr="00930562">
        <w:rPr>
          <w:rFonts w:asciiTheme="minorHAnsi" w:hAnsiTheme="minorHAnsi" w:cstheme="minorHAnsi"/>
          <w:i/>
          <w:color w:val="808080" w:themeColor="background1" w:themeShade="80"/>
          <w:sz w:val="16"/>
          <w:szCs w:val="16"/>
        </w:rPr>
        <w:t>DePaul Law Review</w:t>
      </w:r>
      <w:r w:rsidRPr="00930562">
        <w:rPr>
          <w:rFonts w:asciiTheme="minorHAnsi" w:hAnsiTheme="minorHAnsi" w:cstheme="minorHAnsi"/>
          <w:color w:val="808080" w:themeColor="background1" w:themeShade="80"/>
          <w:sz w:val="16"/>
          <w:szCs w:val="16"/>
        </w:rPr>
        <w:t xml:space="preserve"> 1411 (2004)); </w:t>
      </w:r>
      <w:r w:rsidRPr="00930562">
        <w:rPr>
          <w:rFonts w:asciiTheme="minorHAnsi" w:hAnsiTheme="minorHAnsi" w:cstheme="minorHAnsi"/>
          <w:i/>
          <w:color w:val="808080" w:themeColor="background1" w:themeShade="80"/>
          <w:sz w:val="16"/>
          <w:szCs w:val="16"/>
        </w:rPr>
        <w:t>véase supra notas de pie</w:t>
      </w:r>
      <w:r w:rsidRPr="00930562">
        <w:rPr>
          <w:rFonts w:asciiTheme="minorHAnsi" w:hAnsiTheme="minorHAnsi" w:cstheme="minorHAnsi"/>
          <w:color w:val="808080" w:themeColor="background1" w:themeShade="80"/>
          <w:sz w:val="16"/>
          <w:szCs w:val="16"/>
        </w:rPr>
        <w:t xml:space="preserve"> 65, 88. </w:t>
      </w:r>
    </w:p>
  </w:footnote>
  <w:footnote w:id="309">
    <w:p w14:paraId="35186AE2"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Prison Policy, </w:t>
      </w:r>
      <w:hyperlink r:id="rId372" w:history="1">
        <w:r w:rsidRPr="00930562">
          <w:rPr>
            <w:rStyle w:val="Hyperlink"/>
            <w:rFonts w:asciiTheme="minorHAnsi" w:hAnsiTheme="minorHAnsi" w:cstheme="minorHAnsi"/>
            <w:bCs/>
            <w:color w:val="808080" w:themeColor="background1" w:themeShade="80"/>
            <w:sz w:val="16"/>
            <w:szCs w:val="16"/>
          </w:rPr>
          <w:t>States of Incarceration: The Global Context</w:t>
        </w:r>
      </w:hyperlink>
      <w:r w:rsidRPr="00930562">
        <w:rPr>
          <w:rFonts w:asciiTheme="minorHAnsi" w:eastAsia="Times New Roman" w:hAnsiTheme="minorHAnsi" w:cstheme="minorHAnsi"/>
          <w:bCs/>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 xml:space="preserve">agosto de </w:t>
      </w:r>
      <w:r w:rsidRPr="00930562">
        <w:rPr>
          <w:rFonts w:asciiTheme="minorHAnsi" w:eastAsia="Times New Roman" w:hAnsiTheme="minorHAnsi" w:cstheme="minorHAnsi"/>
          <w:bCs/>
          <w:color w:val="808080" w:themeColor="background1" w:themeShade="80"/>
          <w:sz w:val="16"/>
          <w:szCs w:val="16"/>
        </w:rPr>
        <w:t>2017.</w:t>
      </w:r>
    </w:p>
  </w:footnote>
  <w:footnote w:id="310">
    <w:p w14:paraId="04C93AB2"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Prison Policy Initiative</w:t>
      </w:r>
      <w:hyperlink r:id="rId373" w:history="1">
        <w:r w:rsidRPr="00930562">
          <w:rPr>
            <w:rStyle w:val="Hyperlink"/>
            <w:rFonts w:asciiTheme="minorHAnsi" w:hAnsiTheme="minorHAnsi" w:cstheme="minorHAnsi"/>
            <w:color w:val="808080" w:themeColor="background1" w:themeShade="80"/>
            <w:sz w:val="16"/>
            <w:szCs w:val="16"/>
          </w:rPr>
          <w:t>, States of Incarceration: The Global Context 2016</w:t>
        </w:r>
      </w:hyperlink>
      <w:r w:rsidRPr="00930562">
        <w:rPr>
          <w:rFonts w:asciiTheme="minorHAnsi" w:hAnsiTheme="minorHAnsi" w:cstheme="minorHAnsi"/>
          <w:color w:val="808080" w:themeColor="background1" w:themeShade="80"/>
          <w:sz w:val="16"/>
          <w:szCs w:val="16"/>
        </w:rPr>
        <w:t>, 16 de junio de 2016.</w:t>
      </w:r>
    </w:p>
  </w:footnote>
  <w:footnote w:id="311">
    <w:p w14:paraId="36DD62EE" w14:textId="77777777" w:rsidR="00F64540" w:rsidRPr="00930562" w:rsidRDefault="00F64540" w:rsidP="00E10935">
      <w:pPr>
        <w:pStyle w:val="FootnoteText"/>
        <w:spacing w:after="40"/>
        <w:ind w:left="547" w:hanging="547"/>
        <w:jc w:val="both"/>
        <w:rPr>
          <w:rFonts w:asciiTheme="minorHAnsi" w:eastAsia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Prison Policy Initiative, </w:t>
      </w:r>
      <w:hyperlink r:id="rId374" w:history="1">
        <w:r w:rsidRPr="00930562">
          <w:rPr>
            <w:rStyle w:val="Hyperlink"/>
            <w:rFonts w:asciiTheme="minorHAnsi" w:hAnsiTheme="minorHAnsi" w:cstheme="minorHAnsi"/>
            <w:color w:val="808080" w:themeColor="background1" w:themeShade="80"/>
            <w:sz w:val="16"/>
            <w:szCs w:val="16"/>
          </w:rPr>
          <w:t>Mass Incarceration: The Whole Pie 2017</w:t>
        </w:r>
      </w:hyperlink>
      <w:r w:rsidRPr="00930562">
        <w:rPr>
          <w:rFonts w:asciiTheme="minorHAnsi" w:hAnsiTheme="minorHAnsi" w:cstheme="minorHAnsi"/>
          <w:color w:val="808080" w:themeColor="background1" w:themeShade="80"/>
          <w:sz w:val="16"/>
          <w:szCs w:val="16"/>
        </w:rPr>
        <w:t>, 14 de marzo de 2017.</w:t>
      </w:r>
    </w:p>
  </w:footnote>
  <w:footnote w:id="312">
    <w:p w14:paraId="66291B00"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Pew Charitable Trusts, </w:t>
      </w:r>
      <w:hyperlink r:id="rId375" w:history="1">
        <w:r w:rsidRPr="00930562">
          <w:rPr>
            <w:rStyle w:val="Hyperlink"/>
            <w:rFonts w:asciiTheme="minorHAnsi" w:hAnsiTheme="minorHAnsi" w:cstheme="minorHAnsi"/>
            <w:color w:val="808080" w:themeColor="background1" w:themeShade="80"/>
            <w:sz w:val="16"/>
            <w:szCs w:val="16"/>
          </w:rPr>
          <w:t>State Reforms Reverse Decades of Incarceration Growth</w:t>
        </w:r>
      </w:hyperlink>
      <w:r w:rsidRPr="00930562">
        <w:rPr>
          <w:rFonts w:asciiTheme="minorHAnsi" w:hAnsiTheme="minorHAnsi" w:cstheme="minorHAnsi"/>
          <w:color w:val="808080" w:themeColor="background1" w:themeShade="80"/>
          <w:sz w:val="16"/>
          <w:szCs w:val="16"/>
        </w:rPr>
        <w:t xml:space="preserve">, 21 de marzo de 2017. </w:t>
      </w:r>
      <w:r w:rsidRPr="00930562">
        <w:rPr>
          <w:rFonts w:asciiTheme="minorHAnsi" w:hAnsiTheme="minorHAnsi" w:cstheme="minorHAnsi"/>
          <w:color w:val="808080" w:themeColor="background1" w:themeShade="80"/>
          <w:sz w:val="16"/>
          <w:szCs w:val="16"/>
          <w:lang w:val="es-AR"/>
        </w:rPr>
        <w:t>Este informe señala que la cantidad de adultos sujetos a cualquier tipo de control correccional, como la libertad condicional o la libertad vigilada, es mucho más alta que la tasa de encarcelamiento, pero también ha ido disminuyendo desde 2007, de un máximo de 1 en 31 adultos en Estados Unidos a una tasa actual de 1 en 37.</w:t>
      </w:r>
    </w:p>
  </w:footnote>
  <w:footnote w:id="313">
    <w:p w14:paraId="51FDC756"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The Sentencing Project, </w:t>
      </w:r>
      <w:hyperlink r:id="rId376" w:history="1">
        <w:r w:rsidRPr="00930562">
          <w:rPr>
            <w:rStyle w:val="Hyperlink"/>
            <w:rFonts w:asciiTheme="minorHAnsi" w:hAnsiTheme="minorHAnsi" w:cstheme="minorHAnsi"/>
            <w:color w:val="808080" w:themeColor="background1" w:themeShade="80"/>
            <w:sz w:val="16"/>
            <w:szCs w:val="16"/>
          </w:rPr>
          <w:t>The Color of Justice: Racial and Ethnic Disparity in State Prisons</w:t>
        </w:r>
      </w:hyperlink>
      <w:r w:rsidRPr="00930562">
        <w:rPr>
          <w:rFonts w:asciiTheme="minorHAnsi" w:hAnsiTheme="minorHAnsi" w:cstheme="minorHAnsi"/>
          <w:color w:val="808080" w:themeColor="background1" w:themeShade="80"/>
          <w:sz w:val="16"/>
          <w:szCs w:val="16"/>
        </w:rPr>
        <w:t>, 14 de junio de 2016.</w:t>
      </w:r>
    </w:p>
  </w:footnote>
  <w:footnote w:id="314">
    <w:p w14:paraId="0FD4FD25" w14:textId="77777777" w:rsidR="00F64540" w:rsidRPr="00930562" w:rsidRDefault="00F64540" w:rsidP="00E10935">
      <w:pPr>
        <w:pStyle w:val="FootnoteText"/>
        <w:spacing w:after="40"/>
        <w:ind w:left="547" w:hanging="547"/>
        <w:jc w:val="both"/>
        <w:rPr>
          <w:rFonts w:asciiTheme="minorHAnsi" w:hAnsiTheme="minorHAnsi" w:cstheme="minorHAnsi"/>
          <w: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r>
      <w:r w:rsidRPr="00930562">
        <w:rPr>
          <w:rFonts w:asciiTheme="minorHAnsi" w:hAnsiTheme="minorHAnsi" w:cstheme="minorHAnsi"/>
          <w:i/>
          <w:color w:val="808080" w:themeColor="background1" w:themeShade="80"/>
          <w:sz w:val="16"/>
          <w:szCs w:val="16"/>
        </w:rPr>
        <w:t>Id.</w:t>
      </w:r>
    </w:p>
  </w:footnote>
  <w:footnote w:id="315">
    <w:p w14:paraId="7900322E" w14:textId="77777777" w:rsidR="00F64540" w:rsidRPr="00930562" w:rsidRDefault="00F64540" w:rsidP="00E10935">
      <w:pPr>
        <w:spacing w:after="40" w:line="240" w:lineRule="auto"/>
        <w:ind w:left="547" w:hanging="547"/>
        <w:jc w:val="both"/>
        <w:rPr>
          <w:rFonts w:asciiTheme="minorHAnsi" w:eastAsia="Times New Roman" w:hAnsiTheme="minorHAnsi" w:cstheme="maj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Death Penalty Information Center, </w:t>
      </w:r>
      <w:hyperlink r:id="rId377" w:history="1">
        <w:r w:rsidRPr="00930562">
          <w:rPr>
            <w:rStyle w:val="Hyperlink"/>
            <w:rFonts w:asciiTheme="minorHAnsi" w:hAnsiTheme="minorHAnsi" w:cstheme="minorHAnsi"/>
            <w:bCs/>
            <w:color w:val="808080" w:themeColor="background1" w:themeShade="80"/>
            <w:sz w:val="16"/>
            <w:szCs w:val="16"/>
            <w:shd w:val="clear" w:color="auto" w:fill="FFFFFF"/>
          </w:rPr>
          <w:t>National Statistics on the Death Penalty and Race,</w:t>
        </w:r>
      </w:hyperlink>
      <w:r w:rsidRPr="00930562">
        <w:rPr>
          <w:rFonts w:asciiTheme="minorHAnsi" w:eastAsia="Times New Roman" w:hAnsiTheme="minorHAnsi" w:cstheme="minorHAnsi"/>
          <w:bCs/>
          <w:color w:val="808080" w:themeColor="background1" w:themeShade="80"/>
          <w:sz w:val="16"/>
          <w:szCs w:val="16"/>
          <w:shd w:val="clear" w:color="auto" w:fill="FFFFFF"/>
        </w:rPr>
        <w:t xml:space="preserve"> </w:t>
      </w:r>
      <w:r w:rsidRPr="00930562">
        <w:rPr>
          <w:rFonts w:asciiTheme="minorHAnsi" w:hAnsiTheme="minorHAnsi" w:cstheme="minorHAnsi"/>
          <w:color w:val="808080" w:themeColor="background1" w:themeShade="80"/>
          <w:sz w:val="16"/>
          <w:szCs w:val="16"/>
        </w:rPr>
        <w:t xml:space="preserve">agosto de </w:t>
      </w:r>
      <w:r w:rsidRPr="00930562">
        <w:rPr>
          <w:rFonts w:asciiTheme="minorHAnsi" w:eastAsia="Times New Roman" w:hAnsiTheme="minorHAnsi" w:cstheme="minorHAnsi"/>
          <w:bCs/>
          <w:color w:val="808080" w:themeColor="background1" w:themeShade="80"/>
          <w:sz w:val="16"/>
          <w:szCs w:val="16"/>
          <w:shd w:val="clear" w:color="auto" w:fill="FFFFFF"/>
        </w:rPr>
        <w:t>2017.</w:t>
      </w:r>
    </w:p>
  </w:footnote>
  <w:footnote w:id="316">
    <w:p w14:paraId="17920254"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rPr>
        <w:t xml:space="preserve"> </w:t>
      </w:r>
      <w:r w:rsidRPr="00930562">
        <w:rPr>
          <w:rFonts w:asciiTheme="minorHAnsi" w:hAnsiTheme="minorHAnsi" w:cstheme="majorHAnsi"/>
          <w:color w:val="808080" w:themeColor="background1" w:themeShade="80"/>
          <w:sz w:val="16"/>
          <w:szCs w:val="16"/>
        </w:rPr>
        <w:tab/>
      </w:r>
      <w:r w:rsidRPr="00930562">
        <w:rPr>
          <w:rFonts w:asciiTheme="minorHAnsi" w:hAnsiTheme="minorHAnsi" w:cstheme="minorHAnsi"/>
          <w:color w:val="808080" w:themeColor="background1" w:themeShade="80"/>
          <w:sz w:val="16"/>
          <w:szCs w:val="16"/>
        </w:rPr>
        <w:t xml:space="preserve">Prison Policy Initiative, </w:t>
      </w:r>
      <w:hyperlink r:id="rId378" w:history="1">
        <w:r w:rsidRPr="00930562">
          <w:rPr>
            <w:rStyle w:val="Hyperlink"/>
            <w:rFonts w:asciiTheme="minorHAnsi" w:hAnsiTheme="minorHAnsi" w:cstheme="minorHAnsi"/>
            <w:color w:val="808080" w:themeColor="background1" w:themeShade="80"/>
            <w:sz w:val="16"/>
            <w:szCs w:val="16"/>
          </w:rPr>
          <w:t xml:space="preserve">Breaking </w:t>
        </w:r>
        <w:proofErr w:type="gramStart"/>
        <w:r w:rsidRPr="00930562">
          <w:rPr>
            <w:rStyle w:val="Hyperlink"/>
            <w:rFonts w:asciiTheme="minorHAnsi" w:hAnsiTheme="minorHAnsi" w:cstheme="minorHAnsi"/>
            <w:color w:val="808080" w:themeColor="background1" w:themeShade="80"/>
            <w:sz w:val="16"/>
            <w:szCs w:val="16"/>
          </w:rPr>
          <w:t>Down</w:t>
        </w:r>
        <w:proofErr w:type="gramEnd"/>
        <w:r w:rsidRPr="00930562">
          <w:rPr>
            <w:rStyle w:val="Hyperlink"/>
            <w:rFonts w:asciiTheme="minorHAnsi" w:hAnsiTheme="minorHAnsi" w:cstheme="minorHAnsi"/>
            <w:color w:val="808080" w:themeColor="background1" w:themeShade="80"/>
            <w:sz w:val="16"/>
            <w:szCs w:val="16"/>
          </w:rPr>
          <w:t xml:space="preserve"> Mass Incarceration in the 2010 Census: State-by-State Incarceration Rates by Race/Ethnicity</w:t>
        </w:r>
      </w:hyperlink>
      <w:r w:rsidRPr="00930562">
        <w:rPr>
          <w:rFonts w:asciiTheme="minorHAnsi" w:hAnsiTheme="minorHAnsi" w:cstheme="minorHAnsi"/>
          <w:color w:val="808080" w:themeColor="background1" w:themeShade="80"/>
          <w:sz w:val="16"/>
          <w:szCs w:val="16"/>
        </w:rPr>
        <w:t>, 28 de mayo de 2014.</w:t>
      </w:r>
    </w:p>
  </w:footnote>
  <w:footnote w:id="317">
    <w:p w14:paraId="57700E7B"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Sentencing Project, </w:t>
      </w:r>
      <w:hyperlink r:id="rId379" w:history="1">
        <w:proofErr w:type="gramStart"/>
        <w:r w:rsidRPr="00930562">
          <w:rPr>
            <w:rStyle w:val="Hyperlink"/>
            <w:rFonts w:asciiTheme="minorHAnsi" w:hAnsiTheme="minorHAnsi" w:cstheme="minorHAnsi"/>
            <w:color w:val="808080" w:themeColor="background1" w:themeShade="80"/>
            <w:sz w:val="16"/>
            <w:szCs w:val="16"/>
          </w:rPr>
          <w:t>The</w:t>
        </w:r>
        <w:proofErr w:type="gramEnd"/>
        <w:r w:rsidRPr="00930562">
          <w:rPr>
            <w:rStyle w:val="Hyperlink"/>
            <w:rFonts w:asciiTheme="minorHAnsi" w:hAnsiTheme="minorHAnsi" w:cstheme="minorHAnsi"/>
            <w:color w:val="808080" w:themeColor="background1" w:themeShade="80"/>
            <w:sz w:val="16"/>
            <w:szCs w:val="16"/>
          </w:rPr>
          <w:t xml:space="preserve"> Color of Justice: Racial and Ethnic Disparity in State Prisons</w:t>
        </w:r>
      </w:hyperlink>
      <w:r w:rsidRPr="00930562">
        <w:rPr>
          <w:rFonts w:asciiTheme="minorHAnsi" w:hAnsiTheme="minorHAnsi" w:cstheme="minorHAnsi"/>
          <w:color w:val="808080" w:themeColor="background1" w:themeShade="80"/>
          <w:sz w:val="16"/>
          <w:szCs w:val="16"/>
        </w:rPr>
        <w:t>, June 14, 2016.</w:t>
      </w:r>
    </w:p>
  </w:footnote>
  <w:footnote w:id="318">
    <w:p w14:paraId="00E866D8"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bCs/>
          <w:color w:val="808080" w:themeColor="background1" w:themeShade="80"/>
          <w:sz w:val="16"/>
          <w:szCs w:val="16"/>
          <w:lang w:val="es-AR"/>
        </w:rPr>
        <w:t xml:space="preserve">CIDH, </w:t>
      </w:r>
      <w:hyperlink r:id="rId380" w:history="1">
        <w:r w:rsidRPr="00930562">
          <w:rPr>
            <w:rStyle w:val="Hyperlink"/>
            <w:rFonts w:asciiTheme="minorHAnsi" w:hAnsiTheme="minorHAnsi" w:cstheme="minorHAnsi"/>
            <w:bCs/>
            <w:color w:val="808080" w:themeColor="background1" w:themeShade="80"/>
            <w:sz w:val="16"/>
            <w:szCs w:val="16"/>
            <w:lang w:val="es-AR"/>
          </w:rPr>
          <w:t>Medidas para reducir la prisión preventiva</w:t>
        </w:r>
      </w:hyperlink>
      <w:r w:rsidRPr="00930562">
        <w:rPr>
          <w:rFonts w:asciiTheme="minorHAnsi" w:hAnsiTheme="minorHAnsi" w:cstheme="minorHAnsi"/>
          <w:bCs/>
          <w:color w:val="808080" w:themeColor="background1" w:themeShade="80"/>
          <w:sz w:val="16"/>
          <w:szCs w:val="16"/>
          <w:lang w:val="es-AR"/>
        </w:rPr>
        <w:t xml:space="preserve">, OEA/Ser.L/V/II.163, Doc. 105 (2017), </w:t>
      </w:r>
      <w:r w:rsidRPr="00930562">
        <w:rPr>
          <w:rFonts w:asciiTheme="minorHAnsi" w:hAnsiTheme="minorHAnsi" w:cstheme="minorHAnsi"/>
          <w:color w:val="808080" w:themeColor="background1" w:themeShade="80"/>
          <w:sz w:val="16"/>
          <w:szCs w:val="16"/>
          <w:lang w:val="es-AR"/>
        </w:rPr>
        <w:t>párr. 153.</w:t>
      </w:r>
    </w:p>
  </w:footnote>
  <w:footnote w:id="319">
    <w:p w14:paraId="6EBE1DFE"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i/>
          <w:color w:val="808080" w:themeColor="background1" w:themeShade="80"/>
          <w:sz w:val="16"/>
          <w:szCs w:val="16"/>
          <w:lang w:val="es-AR"/>
        </w:rPr>
        <w:t>Véase por ejemplo,</w:t>
      </w:r>
      <w:r w:rsidRPr="00930562">
        <w:rPr>
          <w:rFonts w:asciiTheme="minorHAnsi" w:hAnsiTheme="minorHAnsi" w:cstheme="minorHAnsi"/>
          <w:color w:val="808080" w:themeColor="background1" w:themeShade="80"/>
          <w:sz w:val="16"/>
          <w:szCs w:val="16"/>
          <w:lang w:val="es-AR"/>
        </w:rPr>
        <w:t xml:space="preserve"> CIDH, Comunicado de Prensa No. 120/12, </w:t>
      </w:r>
      <w:hyperlink r:id="rId381" w:history="1">
        <w:r w:rsidRPr="00930562">
          <w:rPr>
            <w:rStyle w:val="Hyperlink"/>
            <w:rFonts w:asciiTheme="minorHAnsi" w:hAnsiTheme="minorHAnsi" w:cstheme="minorHAnsi"/>
            <w:color w:val="808080" w:themeColor="background1" w:themeShade="80"/>
            <w:sz w:val="16"/>
            <w:szCs w:val="16"/>
            <w:lang w:val="es-AR"/>
          </w:rPr>
          <w:t>CIDH manifiesta preocupación por hechos de violencia en prisión de Estados Unidos</w:t>
        </w:r>
      </w:hyperlink>
      <w:r w:rsidRPr="00930562">
        <w:rPr>
          <w:rFonts w:asciiTheme="minorHAnsi" w:hAnsiTheme="minorHAnsi" w:cstheme="minorHAnsi"/>
          <w:color w:val="808080" w:themeColor="background1" w:themeShade="80"/>
          <w:sz w:val="16"/>
          <w:szCs w:val="16"/>
          <w:lang w:val="es-AR"/>
        </w:rPr>
        <w:t xml:space="preserve">, 26 de septiembre de 2012; Comunicado de Prensa No. 104/14, </w:t>
      </w:r>
      <w:hyperlink r:id="rId382" w:history="1">
        <w:r w:rsidRPr="00930562">
          <w:rPr>
            <w:rStyle w:val="Hyperlink"/>
            <w:rFonts w:asciiTheme="minorHAnsi" w:hAnsiTheme="minorHAnsi" w:cstheme="minorHAnsi"/>
            <w:color w:val="808080" w:themeColor="background1" w:themeShade="80"/>
            <w:sz w:val="16"/>
            <w:szCs w:val="16"/>
            <w:lang w:val="es-AR"/>
          </w:rPr>
          <w:t>CIDH lamenta condiciones de detención en la cárcel de Isla Rikers, Estados Unidos a un año de la trágica muerte de un interno</w:t>
        </w:r>
      </w:hyperlink>
      <w:r w:rsidRPr="00930562">
        <w:rPr>
          <w:rFonts w:asciiTheme="minorHAnsi" w:hAnsiTheme="minorHAnsi" w:cstheme="minorHAnsi"/>
          <w:color w:val="808080" w:themeColor="background1" w:themeShade="80"/>
          <w:sz w:val="16"/>
          <w:szCs w:val="16"/>
          <w:lang w:val="es-AR"/>
        </w:rPr>
        <w:t>, 18 de septiembre de 2014.</w:t>
      </w:r>
    </w:p>
  </w:footnote>
  <w:footnote w:id="320">
    <w:p w14:paraId="0E919BF4"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bCs/>
          <w:color w:val="808080" w:themeColor="background1" w:themeShade="80"/>
          <w:sz w:val="16"/>
          <w:szCs w:val="16"/>
          <w:lang w:val="es-AR"/>
        </w:rPr>
        <w:t xml:space="preserve">CIDH, </w:t>
      </w:r>
      <w:hyperlink r:id="rId383" w:history="1">
        <w:r w:rsidRPr="00930562">
          <w:rPr>
            <w:rStyle w:val="Hyperlink"/>
            <w:rFonts w:asciiTheme="minorHAnsi" w:hAnsiTheme="minorHAnsi" w:cstheme="minorHAnsi"/>
            <w:bCs/>
            <w:color w:val="808080" w:themeColor="background1" w:themeShade="80"/>
            <w:sz w:val="16"/>
            <w:szCs w:val="16"/>
            <w:lang w:val="es-AR"/>
          </w:rPr>
          <w:t>Comunicado de Prensa Visita in loco</w:t>
        </w:r>
      </w:hyperlink>
      <w:r w:rsidRPr="00930562">
        <w:rPr>
          <w:rFonts w:asciiTheme="minorHAnsi" w:hAnsiTheme="minorHAnsi" w:cstheme="minorHAnsi"/>
          <w:bCs/>
          <w:color w:val="808080" w:themeColor="background1" w:themeShade="80"/>
          <w:sz w:val="16"/>
          <w:szCs w:val="16"/>
          <w:lang w:val="es-AR"/>
        </w:rPr>
        <w:t>, 16 de octubre de 2015</w:t>
      </w:r>
      <w:r w:rsidRPr="00930562">
        <w:rPr>
          <w:rFonts w:asciiTheme="minorHAnsi" w:hAnsiTheme="minorHAnsi" w:cstheme="minorHAnsi"/>
          <w:color w:val="808080" w:themeColor="background1" w:themeShade="80"/>
          <w:sz w:val="16"/>
          <w:szCs w:val="16"/>
          <w:lang w:val="es-AR"/>
        </w:rPr>
        <w:t>.</w:t>
      </w:r>
    </w:p>
  </w:footnote>
  <w:footnote w:id="321">
    <w:p w14:paraId="03189644" w14:textId="4739AA0B" w:rsidR="00F64540" w:rsidRPr="00B41EFF"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US"/>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bCs/>
          <w:color w:val="808080" w:themeColor="background1" w:themeShade="80"/>
          <w:sz w:val="16"/>
          <w:szCs w:val="16"/>
          <w:lang w:val="es-AR"/>
        </w:rPr>
        <w:t xml:space="preserve">ONU, Grupo de  Trabajo sobre Afrodescendientes. </w:t>
      </w:r>
      <w:hyperlink r:id="rId384" w:history="1">
        <w:r w:rsidRPr="00930562">
          <w:rPr>
            <w:rStyle w:val="Hyperlink"/>
            <w:rFonts w:asciiTheme="minorHAnsi" w:hAnsiTheme="minorHAnsi" w:cstheme="minorHAnsi"/>
            <w:bCs/>
            <w:color w:val="808080" w:themeColor="background1" w:themeShade="80"/>
            <w:sz w:val="16"/>
            <w:szCs w:val="16"/>
          </w:rPr>
          <w:t>Report on mission to the U.S.</w:t>
        </w:r>
      </w:hyperlink>
      <w:r w:rsidRPr="00930562">
        <w:rPr>
          <w:rFonts w:asciiTheme="minorHAnsi" w:hAnsiTheme="minorHAnsi" w:cstheme="minorHAnsi"/>
          <w:bCs/>
          <w:color w:val="808080" w:themeColor="background1" w:themeShade="80"/>
          <w:sz w:val="16"/>
          <w:szCs w:val="16"/>
        </w:rPr>
        <w:t>, 18 de agosto de 2016</w:t>
      </w:r>
      <w:r w:rsidRPr="00930562">
        <w:rPr>
          <w:rFonts w:asciiTheme="minorHAnsi" w:hAnsiTheme="minorHAnsi" w:cstheme="minorHAnsi"/>
          <w:color w:val="808080" w:themeColor="background1" w:themeShade="80"/>
          <w:sz w:val="16"/>
          <w:szCs w:val="16"/>
        </w:rPr>
        <w:t xml:space="preserve">, </w:t>
      </w:r>
      <w:r>
        <w:rPr>
          <w:rFonts w:asciiTheme="minorHAnsi" w:hAnsiTheme="minorHAnsi" w:cstheme="minorHAnsi"/>
          <w:color w:val="808080" w:themeColor="background1" w:themeShade="80"/>
          <w:sz w:val="16"/>
          <w:szCs w:val="16"/>
        </w:rPr>
        <w:br/>
      </w:r>
      <w:proofErr w:type="gramStart"/>
      <w:r w:rsidRPr="00930562">
        <w:rPr>
          <w:rFonts w:asciiTheme="minorHAnsi" w:hAnsiTheme="minorHAnsi" w:cstheme="minorHAnsi"/>
          <w:color w:val="808080" w:themeColor="background1" w:themeShade="80"/>
          <w:sz w:val="16"/>
          <w:szCs w:val="16"/>
        </w:rPr>
        <w:t>párr</w:t>
      </w:r>
      <w:proofErr w:type="gramEnd"/>
      <w:r w:rsidRPr="00930562">
        <w:rPr>
          <w:rFonts w:asciiTheme="minorHAnsi" w:hAnsiTheme="minorHAnsi" w:cstheme="minorHAnsi"/>
          <w:color w:val="808080" w:themeColor="background1" w:themeShade="80"/>
          <w:sz w:val="16"/>
          <w:szCs w:val="16"/>
        </w:rPr>
        <w:t xml:space="preserve">. </w:t>
      </w:r>
      <w:r w:rsidRPr="00B41EFF">
        <w:rPr>
          <w:rFonts w:asciiTheme="minorHAnsi" w:hAnsiTheme="minorHAnsi" w:cstheme="minorHAnsi"/>
          <w:color w:val="808080" w:themeColor="background1" w:themeShade="80"/>
          <w:sz w:val="16"/>
          <w:szCs w:val="16"/>
          <w:lang w:val="es-US"/>
        </w:rPr>
        <w:t>35.</w:t>
      </w:r>
    </w:p>
  </w:footnote>
  <w:footnote w:id="322">
    <w:p w14:paraId="61497223"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4D711A">
        <w:rPr>
          <w:rFonts w:asciiTheme="minorHAnsi" w:hAnsiTheme="minorHAnsi" w:cstheme="minorHAnsi"/>
          <w:color w:val="808080" w:themeColor="background1" w:themeShade="80"/>
          <w:sz w:val="16"/>
          <w:szCs w:val="16"/>
          <w:lang w:val="es-US"/>
        </w:rPr>
        <w:t xml:space="preserve"> </w:t>
      </w:r>
      <w:r w:rsidRPr="004D711A">
        <w:rPr>
          <w:rFonts w:asciiTheme="minorHAnsi" w:hAnsiTheme="minorHAnsi" w:cstheme="minorHAnsi"/>
          <w:color w:val="808080" w:themeColor="background1" w:themeShade="80"/>
          <w:sz w:val="16"/>
          <w:szCs w:val="16"/>
          <w:lang w:val="es-US"/>
        </w:rPr>
        <w:tab/>
        <w:t xml:space="preserve">Solitary Watch, </w:t>
      </w:r>
      <w:hyperlink r:id="rId385" w:history="1">
        <w:r w:rsidRPr="004D711A">
          <w:rPr>
            <w:rStyle w:val="Hyperlink"/>
            <w:rFonts w:asciiTheme="minorHAnsi" w:hAnsiTheme="minorHAnsi" w:cstheme="minorHAnsi"/>
            <w:color w:val="808080" w:themeColor="background1" w:themeShade="80"/>
            <w:sz w:val="16"/>
            <w:szCs w:val="16"/>
            <w:lang w:val="es-US"/>
          </w:rPr>
          <w:t xml:space="preserve">Prison Segregation </w:t>
        </w:r>
        <w:r w:rsidRPr="00930562">
          <w:rPr>
            <w:rStyle w:val="Hyperlink"/>
            <w:rFonts w:asciiTheme="minorHAnsi" w:hAnsiTheme="minorHAnsi" w:cstheme="minorHAnsi"/>
            <w:color w:val="808080" w:themeColor="background1" w:themeShade="80"/>
            <w:sz w:val="16"/>
            <w:szCs w:val="16"/>
            <w:lang w:val="es-AR"/>
          </w:rPr>
          <w:t>and Racial Disparities</w:t>
        </w:r>
      </w:hyperlink>
      <w:r w:rsidRPr="00930562">
        <w:rPr>
          <w:rFonts w:asciiTheme="minorHAnsi" w:hAnsiTheme="minorHAnsi" w:cstheme="minorHAnsi"/>
          <w:color w:val="808080" w:themeColor="background1" w:themeShade="80"/>
          <w:sz w:val="16"/>
          <w:szCs w:val="16"/>
          <w:lang w:val="es-AR"/>
        </w:rPr>
        <w:t xml:space="preserve">, 2 de noviembre de 2013; </w:t>
      </w:r>
      <w:r w:rsidRPr="00930562">
        <w:rPr>
          <w:rFonts w:asciiTheme="minorHAnsi" w:hAnsiTheme="minorHAnsi" w:cstheme="minorHAnsi"/>
          <w:bCs/>
          <w:color w:val="808080" w:themeColor="background1" w:themeShade="80"/>
          <w:sz w:val="16"/>
          <w:szCs w:val="16"/>
          <w:lang w:val="es-AR"/>
        </w:rPr>
        <w:t xml:space="preserve">ONU, Grupo de  Trabajo sobre Afrodescendientes. </w:t>
      </w:r>
      <w:hyperlink r:id="rId386" w:history="1">
        <w:r w:rsidRPr="00930562">
          <w:rPr>
            <w:rStyle w:val="Hyperlink"/>
            <w:rFonts w:asciiTheme="minorHAnsi" w:hAnsiTheme="minorHAnsi" w:cstheme="minorHAnsi"/>
            <w:bCs/>
            <w:color w:val="808080" w:themeColor="background1" w:themeShade="80"/>
            <w:sz w:val="16"/>
            <w:szCs w:val="16"/>
          </w:rPr>
          <w:t>Report on mission to the U.S.</w:t>
        </w:r>
      </w:hyperlink>
      <w:r w:rsidRPr="00930562">
        <w:rPr>
          <w:rFonts w:asciiTheme="minorHAnsi" w:hAnsiTheme="minorHAnsi" w:cstheme="minorHAnsi"/>
          <w:bCs/>
          <w:color w:val="808080" w:themeColor="background1" w:themeShade="80"/>
          <w:sz w:val="16"/>
          <w:szCs w:val="16"/>
        </w:rPr>
        <w:t>, 18 de agosto de 2016</w:t>
      </w:r>
      <w:r w:rsidRPr="00930562">
        <w:rPr>
          <w:rFonts w:asciiTheme="minorHAnsi" w:hAnsiTheme="minorHAnsi" w:cstheme="minorHAnsi"/>
          <w:color w:val="808080" w:themeColor="background1" w:themeShade="80"/>
          <w:sz w:val="16"/>
          <w:szCs w:val="16"/>
        </w:rPr>
        <w:t xml:space="preserve">, </w:t>
      </w:r>
      <w:proofErr w:type="gramStart"/>
      <w:r w:rsidRPr="00930562">
        <w:rPr>
          <w:rFonts w:asciiTheme="minorHAnsi" w:hAnsiTheme="minorHAnsi" w:cstheme="minorHAnsi"/>
          <w:color w:val="808080" w:themeColor="background1" w:themeShade="80"/>
          <w:sz w:val="16"/>
          <w:szCs w:val="16"/>
        </w:rPr>
        <w:t>párr</w:t>
      </w:r>
      <w:proofErr w:type="gramEnd"/>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lang w:val="es-AR"/>
        </w:rPr>
        <w:t>35.</w:t>
      </w:r>
    </w:p>
  </w:footnote>
  <w:footnote w:id="323">
    <w:p w14:paraId="59AC94D6"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t xml:space="preserve">CIDH, Comunicado de Prensa No. 51/13, </w:t>
      </w:r>
      <w:hyperlink r:id="rId387" w:history="1">
        <w:r w:rsidRPr="00930562">
          <w:rPr>
            <w:rStyle w:val="Hyperlink"/>
            <w:rFonts w:asciiTheme="minorHAnsi" w:hAnsiTheme="minorHAnsi" w:cstheme="minorHAnsi"/>
            <w:color w:val="808080" w:themeColor="background1" w:themeShade="80"/>
            <w:sz w:val="16"/>
            <w:szCs w:val="16"/>
            <w:lang w:val="es-AR"/>
          </w:rPr>
          <w:t>CIDH expresa preocupación uso excesivo del aislamiento solitario en Estados Unidos</w:t>
        </w:r>
      </w:hyperlink>
      <w:r w:rsidRPr="00930562">
        <w:rPr>
          <w:rFonts w:asciiTheme="minorHAnsi" w:hAnsiTheme="minorHAnsi" w:cstheme="minorHAnsi"/>
          <w:color w:val="808080" w:themeColor="background1" w:themeShade="80"/>
          <w:sz w:val="16"/>
          <w:szCs w:val="16"/>
          <w:lang w:val="es-AR"/>
        </w:rPr>
        <w:t xml:space="preserve"> 18 de julio de 2013.</w:t>
      </w:r>
    </w:p>
  </w:footnote>
  <w:footnote w:id="324">
    <w:p w14:paraId="4CD6CAB4"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New York Times, </w:t>
      </w:r>
      <w:hyperlink r:id="rId388" w:history="1">
        <w:r w:rsidRPr="00930562">
          <w:rPr>
            <w:rStyle w:val="Hyperlink"/>
            <w:rFonts w:asciiTheme="minorHAnsi" w:hAnsiTheme="minorHAnsi" w:cstheme="minorHAnsi"/>
            <w:color w:val="808080" w:themeColor="background1" w:themeShade="80"/>
            <w:sz w:val="16"/>
            <w:szCs w:val="16"/>
          </w:rPr>
          <w:t xml:space="preserve">Jay-Z: The Criminal Justice System Stalks Black People </w:t>
        </w:r>
        <w:proofErr w:type="gramStart"/>
        <w:r w:rsidRPr="00930562">
          <w:rPr>
            <w:rStyle w:val="Hyperlink"/>
            <w:rFonts w:asciiTheme="minorHAnsi" w:hAnsiTheme="minorHAnsi" w:cstheme="minorHAnsi"/>
            <w:color w:val="808080" w:themeColor="background1" w:themeShade="80"/>
            <w:sz w:val="16"/>
            <w:szCs w:val="16"/>
          </w:rPr>
          <w:t>Like</w:t>
        </w:r>
        <w:proofErr w:type="gramEnd"/>
        <w:r w:rsidRPr="00930562">
          <w:rPr>
            <w:rStyle w:val="Hyperlink"/>
            <w:rFonts w:asciiTheme="minorHAnsi" w:hAnsiTheme="minorHAnsi" w:cstheme="minorHAnsi"/>
            <w:color w:val="808080" w:themeColor="background1" w:themeShade="80"/>
            <w:sz w:val="16"/>
            <w:szCs w:val="16"/>
          </w:rPr>
          <w:t xml:space="preserve"> Meek Mill</w:t>
        </w:r>
      </w:hyperlink>
      <w:r w:rsidRPr="00930562">
        <w:rPr>
          <w:rFonts w:asciiTheme="minorHAnsi" w:hAnsiTheme="minorHAnsi" w:cstheme="minorHAnsi"/>
          <w:color w:val="808080" w:themeColor="background1" w:themeShade="80"/>
          <w:sz w:val="16"/>
          <w:szCs w:val="16"/>
        </w:rPr>
        <w:t>, 17 de noviembre de 2017.</w:t>
      </w:r>
    </w:p>
  </w:footnote>
  <w:footnote w:id="325">
    <w:p w14:paraId="672B49FC"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rPr>
        <w:t xml:space="preserve"> </w:t>
      </w:r>
      <w:r w:rsidRPr="00930562">
        <w:rPr>
          <w:rFonts w:asciiTheme="minorHAnsi" w:hAnsiTheme="minorHAnsi" w:cstheme="majorHAnsi"/>
          <w:color w:val="808080" w:themeColor="background1" w:themeShade="80"/>
          <w:sz w:val="16"/>
          <w:szCs w:val="16"/>
        </w:rPr>
        <w:tab/>
      </w:r>
      <w:r w:rsidRPr="00930562">
        <w:rPr>
          <w:rFonts w:asciiTheme="minorHAnsi" w:hAnsiTheme="minorHAnsi" w:cstheme="minorHAnsi"/>
          <w:i/>
          <w:color w:val="808080" w:themeColor="background1" w:themeShade="80"/>
          <w:sz w:val="16"/>
          <w:szCs w:val="16"/>
        </w:rPr>
        <w:t xml:space="preserve">Véase además en general, </w:t>
      </w:r>
      <w:r w:rsidRPr="00930562">
        <w:rPr>
          <w:rFonts w:asciiTheme="minorHAnsi" w:hAnsiTheme="minorHAnsi" w:cstheme="minorHAnsi"/>
          <w:color w:val="808080" w:themeColor="background1" w:themeShade="80"/>
          <w:sz w:val="16"/>
          <w:szCs w:val="16"/>
        </w:rPr>
        <w:t xml:space="preserve">Michelle Alexander, </w:t>
      </w:r>
      <w:r w:rsidRPr="00930562">
        <w:rPr>
          <w:rFonts w:asciiTheme="minorHAnsi" w:hAnsiTheme="minorHAnsi" w:cstheme="minorHAnsi"/>
          <w:i/>
          <w:color w:val="808080" w:themeColor="background1" w:themeShade="80"/>
          <w:sz w:val="16"/>
          <w:szCs w:val="16"/>
        </w:rPr>
        <w:t>The New Jim Crow: Mass Incarceration in the Age of Colorblindness</w:t>
      </w:r>
      <w:r w:rsidRPr="00930562">
        <w:rPr>
          <w:rFonts w:asciiTheme="minorHAnsi" w:hAnsiTheme="minorHAnsi" w:cstheme="minorHAnsi"/>
          <w:color w:val="808080" w:themeColor="background1" w:themeShade="80"/>
          <w:sz w:val="16"/>
          <w:szCs w:val="16"/>
        </w:rPr>
        <w:t xml:space="preserve"> (2010), pp. 157-165.</w:t>
      </w:r>
    </w:p>
  </w:footnote>
  <w:footnote w:id="326">
    <w:p w14:paraId="02C22649"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bCs/>
          <w:color w:val="808080" w:themeColor="background1" w:themeShade="80"/>
          <w:sz w:val="16"/>
          <w:szCs w:val="16"/>
          <w:lang w:val="es-AR"/>
        </w:rPr>
        <w:t xml:space="preserve">CIDH, 154° Período de Sesiones, </w:t>
      </w:r>
      <w:hyperlink r:id="rId389" w:history="1">
        <w:r w:rsidRPr="00930562">
          <w:rPr>
            <w:rStyle w:val="Hyperlink"/>
            <w:rFonts w:asciiTheme="minorHAnsi" w:hAnsiTheme="minorHAnsi" w:cstheme="minorHAnsi"/>
            <w:bCs/>
            <w:color w:val="808080" w:themeColor="background1" w:themeShade="80"/>
            <w:sz w:val="16"/>
            <w:szCs w:val="16"/>
            <w:lang w:val="es-AR"/>
          </w:rPr>
          <w:t>Audiencia “Justicia Penal y Raza</w:t>
        </w:r>
        <w:proofErr w:type="gramStart"/>
        <w:r w:rsidRPr="00930562">
          <w:rPr>
            <w:rStyle w:val="Hyperlink"/>
            <w:rFonts w:asciiTheme="minorHAnsi" w:hAnsiTheme="minorHAnsi" w:cstheme="minorHAnsi"/>
            <w:bCs/>
            <w:color w:val="808080" w:themeColor="background1" w:themeShade="80"/>
            <w:sz w:val="16"/>
            <w:szCs w:val="16"/>
            <w:lang w:val="es-AR"/>
          </w:rPr>
          <w:t xml:space="preserve">” </w:t>
        </w:r>
        <w:proofErr w:type="gramEnd"/>
      </w:hyperlink>
      <w:r w:rsidRPr="00930562">
        <w:rPr>
          <w:rFonts w:asciiTheme="minorHAnsi" w:hAnsiTheme="minorHAnsi" w:cstheme="minorHAnsi"/>
          <w:bCs/>
          <w:color w:val="808080" w:themeColor="background1" w:themeShade="80"/>
          <w:sz w:val="16"/>
          <w:szCs w:val="16"/>
          <w:lang w:val="es-AR"/>
        </w:rPr>
        <w:t>, 16 de marzo de 2015</w:t>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i/>
          <w:color w:val="808080" w:themeColor="background1" w:themeShade="80"/>
          <w:sz w:val="16"/>
          <w:szCs w:val="16"/>
          <w:lang w:val="es-AR"/>
        </w:rPr>
        <w:t>Véase además</w:t>
      </w:r>
      <w:r w:rsidRPr="00930562">
        <w:rPr>
          <w:rFonts w:asciiTheme="minorHAnsi" w:hAnsiTheme="minorHAnsi" w:cstheme="minorHAnsi"/>
          <w:color w:val="808080" w:themeColor="background1" w:themeShade="80"/>
          <w:sz w:val="16"/>
          <w:szCs w:val="16"/>
          <w:lang w:val="es-AR"/>
        </w:rPr>
        <w:t xml:space="preserve"> Comunicado de Prensa No. 035/2015, </w:t>
      </w:r>
      <w:hyperlink r:id="rId390" w:history="1">
        <w:r w:rsidRPr="00930562">
          <w:rPr>
            <w:rStyle w:val="Hyperlink"/>
            <w:rFonts w:asciiTheme="minorHAnsi" w:hAnsiTheme="minorHAnsi" w:cstheme="minorHAnsi"/>
            <w:color w:val="808080" w:themeColor="background1" w:themeShade="80"/>
            <w:sz w:val="16"/>
            <w:szCs w:val="16"/>
            <w:lang w:val="es-AR"/>
          </w:rPr>
          <w:t>CIDH concluye el 154º Período de Sesiones</w:t>
        </w:r>
      </w:hyperlink>
      <w:r w:rsidRPr="00930562">
        <w:rPr>
          <w:rFonts w:asciiTheme="minorHAnsi" w:hAnsiTheme="minorHAnsi" w:cstheme="minorHAnsi"/>
          <w:color w:val="808080" w:themeColor="background1" w:themeShade="80"/>
          <w:sz w:val="16"/>
          <w:szCs w:val="16"/>
          <w:lang w:val="es-AR"/>
        </w:rPr>
        <w:t>, 27 de marzo de 2015.</w:t>
      </w:r>
    </w:p>
  </w:footnote>
  <w:footnote w:id="327">
    <w:p w14:paraId="6D437AE9"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t>CIDH</w:t>
      </w:r>
      <w:r w:rsidRPr="00930562">
        <w:rPr>
          <w:rFonts w:asciiTheme="minorHAnsi" w:hAnsiTheme="minorHAnsi" w:cstheme="minorHAnsi"/>
          <w:bCs/>
          <w:color w:val="808080" w:themeColor="background1" w:themeShade="80"/>
          <w:sz w:val="16"/>
          <w:szCs w:val="16"/>
          <w:lang w:val="es-AR"/>
        </w:rPr>
        <w:t xml:space="preserve">, 153° Período de Sesiones, </w:t>
      </w:r>
      <w:hyperlink r:id="rId391" w:history="1">
        <w:r w:rsidRPr="00930562">
          <w:rPr>
            <w:rStyle w:val="Hyperlink"/>
            <w:rFonts w:asciiTheme="minorHAnsi" w:hAnsiTheme="minorHAnsi" w:cstheme="minorHAnsi"/>
            <w:bCs/>
            <w:color w:val="808080" w:themeColor="background1" w:themeShade="80"/>
            <w:sz w:val="16"/>
            <w:szCs w:val="16"/>
            <w:lang w:val="es-AR"/>
          </w:rPr>
          <w:t>“Racismo en el Sistema de Justicia”</w:t>
        </w:r>
      </w:hyperlink>
      <w:r w:rsidRPr="00930562">
        <w:rPr>
          <w:rFonts w:asciiTheme="minorHAnsi" w:hAnsiTheme="minorHAnsi" w:cstheme="minorHAnsi"/>
          <w:bCs/>
          <w:color w:val="808080" w:themeColor="background1" w:themeShade="80"/>
          <w:sz w:val="16"/>
          <w:szCs w:val="16"/>
          <w:lang w:val="es-AR"/>
        </w:rPr>
        <w:t xml:space="preserve"> audiencia, 27 de octubre de 2014</w:t>
      </w:r>
      <w:r w:rsidRPr="00930562">
        <w:rPr>
          <w:rFonts w:asciiTheme="minorHAnsi" w:hAnsiTheme="minorHAnsi" w:cstheme="minorHAnsi"/>
          <w:color w:val="808080" w:themeColor="background1" w:themeShade="80"/>
          <w:sz w:val="16"/>
          <w:szCs w:val="16"/>
          <w:lang w:val="es-AR"/>
        </w:rPr>
        <w:t>.</w:t>
      </w:r>
    </w:p>
  </w:footnote>
  <w:footnote w:id="328">
    <w:p w14:paraId="50CF25EC"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t xml:space="preserve">CIDH, </w:t>
      </w:r>
      <w:hyperlink r:id="rId392" w:history="1">
        <w:r w:rsidRPr="00930562">
          <w:rPr>
            <w:rStyle w:val="Hyperlink"/>
            <w:rFonts w:asciiTheme="minorHAnsi" w:hAnsiTheme="minorHAnsi" w:cstheme="minorHAnsi"/>
            <w:color w:val="808080" w:themeColor="background1" w:themeShade="80"/>
            <w:sz w:val="16"/>
            <w:szCs w:val="16"/>
            <w:lang w:val="es-AR"/>
          </w:rPr>
          <w:t>Comunicado de Prensa de Visita in loco</w:t>
        </w:r>
      </w:hyperlink>
      <w:r w:rsidRPr="00930562">
        <w:rPr>
          <w:rFonts w:asciiTheme="minorHAnsi" w:hAnsiTheme="minorHAnsi" w:cstheme="minorHAnsi"/>
          <w:color w:val="808080" w:themeColor="background1" w:themeShade="80"/>
          <w:sz w:val="16"/>
          <w:szCs w:val="16"/>
          <w:lang w:val="es-AR"/>
        </w:rPr>
        <w:t>, 16 de octubre de 2015.</w:t>
      </w:r>
    </w:p>
  </w:footnote>
  <w:footnote w:id="329">
    <w:p w14:paraId="35EEA115"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i/>
          <w:color w:val="808080" w:themeColor="background1" w:themeShade="80"/>
          <w:sz w:val="16"/>
          <w:szCs w:val="16"/>
          <w:lang w:val="es-AR"/>
        </w:rPr>
        <w:t>Véase por ejemplo.</w:t>
      </w:r>
      <w:r w:rsidRPr="00930562">
        <w:rPr>
          <w:rFonts w:asciiTheme="minorHAnsi" w:hAnsiTheme="minorHAnsi" w:cstheme="minorHAnsi"/>
          <w:color w:val="808080" w:themeColor="background1" w:themeShade="80"/>
          <w:sz w:val="16"/>
          <w:szCs w:val="16"/>
          <w:lang w:val="es-AR"/>
        </w:rPr>
        <w:t xml:space="preserve">, OHCHR, </w:t>
      </w:r>
      <w:hyperlink r:id="rId393" w:history="1">
        <w:r w:rsidRPr="00930562">
          <w:rPr>
            <w:rStyle w:val="Hyperlink"/>
            <w:rFonts w:asciiTheme="minorHAnsi" w:hAnsiTheme="minorHAnsi" w:cstheme="minorHAnsi"/>
            <w:color w:val="808080" w:themeColor="background1" w:themeShade="80"/>
            <w:sz w:val="16"/>
            <w:szCs w:val="16"/>
            <w:lang w:val="es-AR"/>
          </w:rPr>
          <w:t>Declaración sobre la Visita a EE. UU., por el Profesor Philip Alston, Relator Especial de las Naciones Unidas sobre la pobreza extrema y los derechos humanos</w:t>
        </w:r>
      </w:hyperlink>
      <w:r w:rsidRPr="00930562">
        <w:rPr>
          <w:rFonts w:asciiTheme="minorHAnsi" w:hAnsiTheme="minorHAnsi" w:cstheme="minorHAnsi"/>
          <w:color w:val="808080" w:themeColor="background1" w:themeShade="80"/>
          <w:sz w:val="16"/>
          <w:szCs w:val="16"/>
          <w:lang w:val="es-AR"/>
        </w:rPr>
        <w:t>, 15 de diciembre de 2017, párr. 18 (“También existe la inhabilitación encubierta, que incluye la manipulación dramática de distritos electorales para privilegiar a grupos particulares de electores, la imposición de requisitos artificiales e innecesarios de credencial de elector, la manipulación flagrante de las ubicaciones de mesas electorales, la reubicación de Centros de Servicios al Conductor (CESCO) para dificultar la obtención de credenciales de ciertos grupos, y el incremento de obstáculos para votar especialmente para aquellas personas sin recursos. El resultado neto es que la gente que vive en pobreza, las minorías, y otros grupos desfavorecidos sistemáticamente se les priva de sus derechos a votar.”)</w:t>
      </w:r>
    </w:p>
  </w:footnote>
  <w:footnote w:id="330">
    <w:p w14:paraId="1EA66E02"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t>CIDH</w:t>
      </w:r>
      <w:r w:rsidRPr="00930562">
        <w:rPr>
          <w:rFonts w:asciiTheme="minorHAnsi" w:hAnsiTheme="minorHAnsi" w:cstheme="minorHAnsi"/>
          <w:bCs/>
          <w:color w:val="808080" w:themeColor="background1" w:themeShade="80"/>
          <w:sz w:val="16"/>
          <w:szCs w:val="16"/>
          <w:lang w:val="es-AR"/>
        </w:rPr>
        <w:t xml:space="preserve">, 153° Período de Sesiones, </w:t>
      </w:r>
      <w:hyperlink r:id="rId394" w:history="1">
        <w:r w:rsidRPr="00930562">
          <w:rPr>
            <w:rStyle w:val="Hyperlink"/>
            <w:rFonts w:asciiTheme="minorHAnsi" w:hAnsiTheme="minorHAnsi" w:cstheme="minorHAnsi"/>
            <w:bCs/>
            <w:color w:val="808080" w:themeColor="background1" w:themeShade="80"/>
            <w:sz w:val="16"/>
            <w:szCs w:val="16"/>
            <w:lang w:val="es-AR"/>
          </w:rPr>
          <w:t>“Racismo en el Sistema de Justicia”</w:t>
        </w:r>
      </w:hyperlink>
      <w:r w:rsidRPr="00930562">
        <w:rPr>
          <w:rFonts w:asciiTheme="minorHAnsi" w:hAnsiTheme="minorHAnsi" w:cstheme="minorHAnsi"/>
          <w:bCs/>
          <w:color w:val="808080" w:themeColor="background1" w:themeShade="80"/>
          <w:sz w:val="16"/>
          <w:szCs w:val="16"/>
          <w:lang w:val="es-AR"/>
        </w:rPr>
        <w:t xml:space="preserve"> audiencia, 27 de octubre de 2014. </w:t>
      </w:r>
    </w:p>
  </w:footnote>
  <w:footnote w:id="331">
    <w:p w14:paraId="71D71239"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t xml:space="preserve">CIDH, Comunicado de Prensa No. 77/16, </w:t>
      </w:r>
      <w:hyperlink r:id="rId395" w:history="1">
        <w:r w:rsidRPr="00930562">
          <w:rPr>
            <w:rStyle w:val="Hyperlink"/>
            <w:rFonts w:asciiTheme="minorHAnsi" w:hAnsiTheme="minorHAnsi" w:cstheme="minorHAnsi"/>
            <w:color w:val="808080" w:themeColor="background1" w:themeShade="80"/>
            <w:sz w:val="16"/>
            <w:szCs w:val="16"/>
            <w:lang w:val="es-AR"/>
          </w:rPr>
          <w:t>CIDH saluda la restitución de derechos de exconvictos en Estados Unidos,</w:t>
        </w:r>
      </w:hyperlink>
      <w:r w:rsidRPr="00930562">
        <w:rPr>
          <w:rFonts w:asciiTheme="minorHAnsi" w:hAnsiTheme="minorHAnsi" w:cstheme="minorHAnsi"/>
          <w:color w:val="808080" w:themeColor="background1" w:themeShade="80"/>
          <w:sz w:val="16"/>
          <w:szCs w:val="16"/>
          <w:lang w:val="es-AR"/>
        </w:rPr>
        <w:t xml:space="preserve"> 14 de junio de 2016.</w:t>
      </w:r>
    </w:p>
  </w:footnote>
  <w:footnote w:id="332">
    <w:p w14:paraId="62E30A31"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i/>
          <w:color w:val="808080" w:themeColor="background1" w:themeShade="80"/>
          <w:sz w:val="16"/>
          <w:szCs w:val="16"/>
          <w:lang w:val="es-AR"/>
        </w:rPr>
        <w:t>Id.</w:t>
      </w:r>
    </w:p>
  </w:footnote>
  <w:footnote w:id="333">
    <w:p w14:paraId="3B0AF2D0" w14:textId="7BA34F41"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i/>
          <w:color w:val="808080" w:themeColor="background1" w:themeShade="80"/>
          <w:sz w:val="16"/>
          <w:szCs w:val="16"/>
          <w:lang w:val="es-AR"/>
        </w:rPr>
        <w:t>Id</w:t>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i/>
          <w:color w:val="808080" w:themeColor="background1" w:themeShade="80"/>
          <w:sz w:val="16"/>
          <w:szCs w:val="16"/>
          <w:lang w:val="es-AR"/>
        </w:rPr>
        <w:t>Véase además</w:t>
      </w:r>
      <w:r w:rsidRPr="00930562">
        <w:rPr>
          <w:rFonts w:asciiTheme="minorHAnsi" w:hAnsiTheme="minorHAnsi" w:cstheme="minorHAnsi"/>
          <w:color w:val="808080" w:themeColor="background1" w:themeShade="80"/>
          <w:sz w:val="16"/>
          <w:szCs w:val="16"/>
          <w:lang w:val="es-AR"/>
        </w:rPr>
        <w:t xml:space="preserve"> Comité de Derechos Humanos</w:t>
      </w:r>
      <w:r w:rsidRPr="00930562">
        <w:rPr>
          <w:rFonts w:asciiTheme="minorHAnsi" w:hAnsiTheme="minorHAnsi" w:cstheme="minorHAnsi"/>
          <w:bCs/>
          <w:color w:val="808080" w:themeColor="background1" w:themeShade="80"/>
          <w:sz w:val="16"/>
          <w:szCs w:val="16"/>
          <w:lang w:val="es-AR"/>
        </w:rPr>
        <w:t xml:space="preserve">. </w:t>
      </w:r>
      <w:hyperlink r:id="rId396" w:history="1">
        <w:r w:rsidRPr="00930562">
          <w:rPr>
            <w:rStyle w:val="Hyperlink"/>
            <w:rFonts w:asciiTheme="minorHAnsi" w:hAnsiTheme="minorHAnsi" w:cstheme="minorHAnsi"/>
            <w:bCs/>
            <w:color w:val="808080" w:themeColor="background1" w:themeShade="80"/>
            <w:sz w:val="16"/>
            <w:szCs w:val="16"/>
            <w:lang w:val="es-US"/>
          </w:rPr>
          <w:t>Concluding Observations 2014</w:t>
        </w:r>
      </w:hyperlink>
      <w:r w:rsidRPr="00930562">
        <w:rPr>
          <w:rFonts w:asciiTheme="minorHAnsi" w:hAnsiTheme="minorHAnsi" w:cstheme="minorHAnsi"/>
          <w:bCs/>
          <w:color w:val="808080" w:themeColor="background1" w:themeShade="80"/>
          <w:sz w:val="16"/>
          <w:szCs w:val="16"/>
          <w:lang w:val="es-US"/>
        </w:rPr>
        <w:t>, 23 de abril de 2014</w:t>
      </w:r>
      <w:r w:rsidRPr="00930562">
        <w:rPr>
          <w:rFonts w:asciiTheme="minorHAnsi" w:hAnsiTheme="minorHAnsi" w:cstheme="minorHAnsi"/>
          <w:color w:val="808080" w:themeColor="background1" w:themeShade="80"/>
          <w:sz w:val="16"/>
          <w:szCs w:val="16"/>
          <w:lang w:val="es-US"/>
        </w:rPr>
        <w:t xml:space="preserve">, párr. 24; </w:t>
      </w:r>
      <w:r w:rsidRPr="00930562">
        <w:rPr>
          <w:rFonts w:asciiTheme="minorHAnsi" w:hAnsiTheme="minorHAnsi" w:cstheme="minorHAnsi"/>
          <w:bCs/>
          <w:color w:val="808080" w:themeColor="background1" w:themeShade="80"/>
          <w:sz w:val="16"/>
          <w:szCs w:val="16"/>
          <w:lang w:val="es-US"/>
        </w:rPr>
        <w:t xml:space="preserve">CERD, </w:t>
      </w:r>
      <w:hyperlink r:id="rId397" w:history="1">
        <w:r w:rsidRPr="00930562">
          <w:rPr>
            <w:rStyle w:val="Hyperlink"/>
            <w:rFonts w:asciiTheme="minorHAnsi" w:hAnsiTheme="minorHAnsi" w:cstheme="minorHAnsi"/>
            <w:bCs/>
            <w:color w:val="808080" w:themeColor="background1" w:themeShade="80"/>
            <w:sz w:val="16"/>
            <w:szCs w:val="16"/>
            <w:lang w:val="es-US"/>
          </w:rPr>
          <w:t>Observaciones Finales 2014</w:t>
        </w:r>
      </w:hyperlink>
      <w:r w:rsidRPr="00930562">
        <w:rPr>
          <w:rFonts w:asciiTheme="minorHAnsi" w:hAnsiTheme="minorHAnsi" w:cstheme="minorHAnsi"/>
          <w:bCs/>
          <w:color w:val="808080" w:themeColor="background1" w:themeShade="80"/>
          <w:sz w:val="16"/>
          <w:szCs w:val="16"/>
          <w:lang w:val="es-US"/>
        </w:rPr>
        <w:t xml:space="preserve">, </w:t>
      </w:r>
      <w:r w:rsidRPr="00930562">
        <w:rPr>
          <w:rFonts w:asciiTheme="minorHAnsi" w:hAnsiTheme="minorHAnsi" w:cstheme="minorHAnsi"/>
          <w:color w:val="808080" w:themeColor="background1" w:themeShade="80"/>
          <w:sz w:val="16"/>
          <w:szCs w:val="16"/>
          <w:lang w:val="es-US"/>
        </w:rPr>
        <w:t>25 de septiembre de</w:t>
      </w:r>
      <w:r w:rsidRPr="00930562">
        <w:rPr>
          <w:rFonts w:asciiTheme="minorHAnsi" w:hAnsiTheme="minorHAnsi" w:cstheme="minorHAnsi"/>
          <w:bCs/>
          <w:color w:val="808080" w:themeColor="background1" w:themeShade="80"/>
          <w:sz w:val="16"/>
          <w:szCs w:val="16"/>
          <w:lang w:val="es-US"/>
        </w:rPr>
        <w:t xml:space="preserve"> 2014</w:t>
      </w:r>
      <w:r w:rsidRPr="00930562">
        <w:rPr>
          <w:rFonts w:asciiTheme="minorHAnsi" w:hAnsiTheme="minorHAnsi" w:cstheme="minorHAnsi"/>
          <w:color w:val="808080" w:themeColor="background1" w:themeShade="80"/>
          <w:sz w:val="16"/>
          <w:szCs w:val="16"/>
          <w:lang w:val="es-US"/>
        </w:rPr>
        <w:t>, párr</w:t>
      </w:r>
      <w:proofErr w:type="gramStart"/>
      <w:r w:rsidRPr="00930562">
        <w:rPr>
          <w:rFonts w:asciiTheme="minorHAnsi" w:hAnsiTheme="minorHAnsi" w:cstheme="minorHAnsi"/>
          <w:color w:val="808080" w:themeColor="background1" w:themeShade="80"/>
          <w:sz w:val="16"/>
          <w:szCs w:val="16"/>
          <w:lang w:val="es-US"/>
        </w:rPr>
        <w:t>..</w:t>
      </w:r>
      <w:proofErr w:type="gramEnd"/>
      <w:r w:rsidRPr="00930562">
        <w:rPr>
          <w:rFonts w:asciiTheme="minorHAnsi" w:hAnsiTheme="minorHAnsi" w:cstheme="minorHAnsi"/>
          <w:color w:val="808080" w:themeColor="background1" w:themeShade="80"/>
          <w:sz w:val="16"/>
          <w:szCs w:val="16"/>
          <w:lang w:val="es-US"/>
        </w:rPr>
        <w:t xml:space="preserve"> </w:t>
      </w:r>
      <w:r w:rsidRPr="00930562">
        <w:rPr>
          <w:rFonts w:asciiTheme="minorHAnsi" w:hAnsiTheme="minorHAnsi" w:cstheme="minorHAnsi"/>
          <w:color w:val="808080" w:themeColor="background1" w:themeShade="80"/>
          <w:sz w:val="16"/>
          <w:szCs w:val="16"/>
        </w:rPr>
        <w:t xml:space="preserve">11; Brennan Center for Justice, </w:t>
      </w:r>
      <w:hyperlink r:id="rId398" w:history="1">
        <w:r w:rsidRPr="00930562">
          <w:rPr>
            <w:rStyle w:val="Hyperlink"/>
            <w:rFonts w:asciiTheme="minorHAnsi" w:hAnsiTheme="minorHAnsi" w:cstheme="minorHAnsi"/>
            <w:color w:val="808080" w:themeColor="background1" w:themeShade="80"/>
            <w:sz w:val="16"/>
            <w:szCs w:val="16"/>
          </w:rPr>
          <w:t>Judge Sotomayor in Good Company on Restoring Voting Rights</w:t>
        </w:r>
      </w:hyperlink>
      <w:r w:rsidRPr="00930562">
        <w:rPr>
          <w:rFonts w:asciiTheme="minorHAnsi" w:hAnsiTheme="minorHAnsi" w:cstheme="minorHAnsi"/>
          <w:color w:val="808080" w:themeColor="background1" w:themeShade="80"/>
          <w:sz w:val="16"/>
          <w:szCs w:val="16"/>
        </w:rPr>
        <w:t>, 2 de junio de 2009.</w:t>
      </w:r>
    </w:p>
  </w:footnote>
  <w:footnote w:id="334">
    <w:p w14:paraId="2E11D674"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n-GB"/>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bCs/>
          <w:color w:val="808080" w:themeColor="background1" w:themeShade="80"/>
          <w:sz w:val="16"/>
          <w:szCs w:val="16"/>
          <w:lang w:val="es-AR"/>
        </w:rPr>
        <w:t xml:space="preserve">CIDH, 154° Período de Sesiones, </w:t>
      </w:r>
      <w:hyperlink r:id="rId399" w:history="1">
        <w:r w:rsidRPr="00930562">
          <w:rPr>
            <w:rStyle w:val="Hyperlink"/>
            <w:rFonts w:asciiTheme="minorHAnsi" w:hAnsiTheme="minorHAnsi" w:cstheme="minorHAnsi"/>
            <w:bCs/>
            <w:color w:val="808080" w:themeColor="background1" w:themeShade="80"/>
            <w:sz w:val="16"/>
            <w:szCs w:val="16"/>
            <w:lang w:val="es-AR"/>
          </w:rPr>
          <w:t>Audiencia “Justicia Penal y Raza</w:t>
        </w:r>
        <w:proofErr w:type="gramStart"/>
        <w:r w:rsidRPr="00930562">
          <w:rPr>
            <w:rStyle w:val="Hyperlink"/>
            <w:rFonts w:asciiTheme="minorHAnsi" w:hAnsiTheme="minorHAnsi" w:cstheme="minorHAnsi"/>
            <w:bCs/>
            <w:color w:val="808080" w:themeColor="background1" w:themeShade="80"/>
            <w:sz w:val="16"/>
            <w:szCs w:val="16"/>
            <w:lang w:val="es-AR"/>
          </w:rPr>
          <w:t xml:space="preserve">” </w:t>
        </w:r>
        <w:proofErr w:type="gramEnd"/>
      </w:hyperlink>
      <w:r w:rsidRPr="00930562">
        <w:rPr>
          <w:rFonts w:asciiTheme="minorHAnsi" w:hAnsiTheme="minorHAnsi" w:cstheme="minorHAnsi"/>
          <w:bCs/>
          <w:color w:val="808080" w:themeColor="background1" w:themeShade="80"/>
          <w:sz w:val="16"/>
          <w:szCs w:val="16"/>
          <w:lang w:val="es-AR"/>
        </w:rPr>
        <w:t>, 16 de marzo de 2015</w:t>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i/>
          <w:color w:val="808080" w:themeColor="background1" w:themeShade="80"/>
          <w:sz w:val="16"/>
          <w:szCs w:val="16"/>
        </w:rPr>
        <w:t>Véase además</w:t>
      </w:r>
      <w:r w:rsidRPr="00930562">
        <w:rPr>
          <w:rFonts w:asciiTheme="minorHAnsi" w:hAnsiTheme="minorHAnsi" w:cstheme="minorHAnsi"/>
          <w:color w:val="808080" w:themeColor="background1" w:themeShade="80"/>
          <w:sz w:val="16"/>
          <w:szCs w:val="16"/>
        </w:rPr>
        <w:t xml:space="preserve"> Lawyers’ Committee for Civil Rights </w:t>
      </w:r>
      <w:proofErr w:type="gramStart"/>
      <w:r w:rsidRPr="00930562">
        <w:rPr>
          <w:rFonts w:asciiTheme="minorHAnsi" w:hAnsiTheme="minorHAnsi" w:cstheme="minorHAnsi"/>
          <w:color w:val="808080" w:themeColor="background1" w:themeShade="80"/>
          <w:sz w:val="16"/>
          <w:szCs w:val="16"/>
        </w:rPr>
        <w:t>Under</w:t>
      </w:r>
      <w:proofErr w:type="gramEnd"/>
      <w:r w:rsidRPr="00930562">
        <w:rPr>
          <w:rFonts w:asciiTheme="minorHAnsi" w:hAnsiTheme="minorHAnsi" w:cstheme="minorHAnsi"/>
          <w:color w:val="808080" w:themeColor="background1" w:themeShade="80"/>
          <w:sz w:val="16"/>
          <w:szCs w:val="16"/>
        </w:rPr>
        <w:t xml:space="preserve"> Law, </w:t>
      </w:r>
      <w:hyperlink r:id="rId400" w:history="1">
        <w:r w:rsidRPr="00930562">
          <w:rPr>
            <w:rStyle w:val="Hyperlink"/>
            <w:rFonts w:asciiTheme="minorHAnsi" w:hAnsiTheme="minorHAnsi" w:cstheme="minorHAnsi"/>
            <w:color w:val="808080" w:themeColor="background1" w:themeShade="80"/>
            <w:sz w:val="16"/>
            <w:szCs w:val="16"/>
            <w:lang w:val="en-GB"/>
          </w:rPr>
          <w:t>Best Practice Standards: The Proper Use of Criminal Records in Hiring</w:t>
        </w:r>
      </w:hyperlink>
      <w:r w:rsidRPr="00930562">
        <w:rPr>
          <w:rFonts w:asciiTheme="minorHAnsi" w:hAnsiTheme="minorHAnsi" w:cstheme="minorHAnsi"/>
          <w:color w:val="808080" w:themeColor="background1" w:themeShade="80"/>
          <w:sz w:val="16"/>
          <w:szCs w:val="16"/>
          <w:lang w:val="en-GB"/>
        </w:rPr>
        <w:t>, 21 de mayo de 2013.</w:t>
      </w:r>
    </w:p>
  </w:footnote>
  <w:footnote w:id="335">
    <w:p w14:paraId="7D5CDF27"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Council of State Governments Justice Center, </w:t>
      </w:r>
      <w:hyperlink r:id="rId401" w:history="1">
        <w:r w:rsidRPr="00930562">
          <w:rPr>
            <w:rStyle w:val="Hyperlink"/>
            <w:rFonts w:asciiTheme="minorHAnsi" w:hAnsiTheme="minorHAnsi" w:cstheme="minorHAnsi"/>
            <w:color w:val="808080" w:themeColor="background1" w:themeShade="80"/>
            <w:sz w:val="16"/>
            <w:szCs w:val="16"/>
          </w:rPr>
          <w:t>Researchers Examine Effects of a Criminal Record on Prospects for Employment</w:t>
        </w:r>
      </w:hyperlink>
      <w:r w:rsidRPr="00930562">
        <w:rPr>
          <w:rFonts w:asciiTheme="minorHAnsi" w:hAnsiTheme="minorHAnsi" w:cstheme="minorHAnsi"/>
          <w:color w:val="808080" w:themeColor="background1" w:themeShade="80"/>
          <w:sz w:val="16"/>
          <w:szCs w:val="16"/>
        </w:rPr>
        <w:t>, 20 de agosto de 2014.</w:t>
      </w:r>
    </w:p>
  </w:footnote>
  <w:footnote w:id="336">
    <w:p w14:paraId="6EE9D227"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t xml:space="preserve">La problemática ha sido reconocida al punto que, en 2016 el Departamento de Vivienda y Desarrollo Urbano (HUD, por sus siglas en inglés) publicó una guía indicando que la negativa generalizada de alquilar viviendas a individuos con antecedentes penales constituyen discriminación de facto: “Debido a las desigualdades sistémicas del sistema de justicia penal estadounidense,  las restricciones en el acceso a la vivienda como consecuencia de poseer antecedentes penales son más propensas a afectar de manera desproporcionada a afroamericanos e hispanos.” </w:t>
      </w:r>
      <w:r w:rsidRPr="00930562">
        <w:rPr>
          <w:rFonts w:asciiTheme="minorHAnsi" w:hAnsiTheme="minorHAnsi" w:cstheme="minorHAnsi"/>
          <w:color w:val="808080" w:themeColor="background1" w:themeShade="80"/>
          <w:sz w:val="16"/>
          <w:szCs w:val="16"/>
        </w:rPr>
        <w:t xml:space="preserve">NPR, </w:t>
      </w:r>
      <w:hyperlink r:id="rId402" w:history="1">
        <w:r w:rsidRPr="00930562">
          <w:rPr>
            <w:rStyle w:val="Hyperlink"/>
            <w:rFonts w:asciiTheme="minorHAnsi" w:hAnsiTheme="minorHAnsi" w:cstheme="minorHAnsi"/>
            <w:color w:val="808080" w:themeColor="background1" w:themeShade="80"/>
            <w:sz w:val="16"/>
            <w:szCs w:val="16"/>
          </w:rPr>
          <w:t xml:space="preserve">Denying Housing </w:t>
        </w:r>
        <w:proofErr w:type="gramStart"/>
        <w:r w:rsidRPr="00930562">
          <w:rPr>
            <w:rStyle w:val="Hyperlink"/>
            <w:rFonts w:asciiTheme="minorHAnsi" w:hAnsiTheme="minorHAnsi" w:cstheme="minorHAnsi"/>
            <w:color w:val="808080" w:themeColor="background1" w:themeShade="80"/>
            <w:sz w:val="16"/>
            <w:szCs w:val="16"/>
          </w:rPr>
          <w:t>Over</w:t>
        </w:r>
        <w:proofErr w:type="gramEnd"/>
        <w:r w:rsidRPr="00930562">
          <w:rPr>
            <w:rStyle w:val="Hyperlink"/>
            <w:rFonts w:asciiTheme="minorHAnsi" w:hAnsiTheme="minorHAnsi" w:cstheme="minorHAnsi"/>
            <w:color w:val="808080" w:themeColor="background1" w:themeShade="80"/>
            <w:sz w:val="16"/>
            <w:szCs w:val="16"/>
          </w:rPr>
          <w:t xml:space="preserve"> Criminal Record May Be Discrimination, Feds Say</w:t>
        </w:r>
      </w:hyperlink>
      <w:r w:rsidRPr="00930562">
        <w:rPr>
          <w:rFonts w:asciiTheme="minorHAnsi" w:hAnsiTheme="minorHAnsi" w:cstheme="minorHAnsi"/>
          <w:color w:val="808080" w:themeColor="background1" w:themeShade="80"/>
          <w:sz w:val="16"/>
          <w:szCs w:val="16"/>
        </w:rPr>
        <w:t>, 4 de abril de 2016.</w:t>
      </w:r>
    </w:p>
  </w:footnote>
  <w:footnote w:id="337">
    <w:p w14:paraId="1B300D18"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The Sentencing Project, </w:t>
      </w:r>
      <w:hyperlink r:id="rId403" w:history="1">
        <w:r w:rsidRPr="00930562">
          <w:rPr>
            <w:rStyle w:val="Hyperlink"/>
            <w:rFonts w:asciiTheme="minorHAnsi" w:hAnsiTheme="minorHAnsi" w:cstheme="minorHAnsi"/>
            <w:color w:val="808080" w:themeColor="background1" w:themeShade="80"/>
            <w:sz w:val="16"/>
            <w:szCs w:val="16"/>
          </w:rPr>
          <w:t>State Advocacy Update: Efforts to Address Federal Drug Felony Ban on Public Benefits</w:t>
        </w:r>
      </w:hyperlink>
      <w:r w:rsidRPr="00930562">
        <w:rPr>
          <w:rFonts w:asciiTheme="minorHAnsi" w:hAnsiTheme="minorHAnsi" w:cstheme="minorHAnsi"/>
          <w:color w:val="808080" w:themeColor="background1" w:themeShade="80"/>
          <w:sz w:val="16"/>
          <w:szCs w:val="16"/>
        </w:rPr>
        <w:t xml:space="preserve">, 1 de mayo </w:t>
      </w:r>
      <w:proofErr w:type="gramStart"/>
      <w:r w:rsidRPr="00930562">
        <w:rPr>
          <w:rFonts w:asciiTheme="minorHAnsi" w:hAnsiTheme="minorHAnsi" w:cstheme="minorHAnsi"/>
          <w:color w:val="808080" w:themeColor="background1" w:themeShade="80"/>
          <w:sz w:val="16"/>
          <w:szCs w:val="16"/>
        </w:rPr>
        <w:t>de  2017</w:t>
      </w:r>
      <w:proofErr w:type="gramEnd"/>
      <w:r w:rsidRPr="00930562">
        <w:rPr>
          <w:rFonts w:asciiTheme="minorHAnsi" w:hAnsiTheme="minorHAnsi" w:cstheme="minorHAnsi"/>
          <w:color w:val="808080" w:themeColor="background1" w:themeShade="80"/>
          <w:sz w:val="16"/>
          <w:szCs w:val="16"/>
        </w:rPr>
        <w:t>.</w:t>
      </w:r>
    </w:p>
  </w:footnote>
  <w:footnote w:id="338">
    <w:p w14:paraId="1D730CFD"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rPr>
        <w:t xml:space="preserve"> </w:t>
      </w:r>
      <w:r w:rsidRPr="00930562">
        <w:rPr>
          <w:rFonts w:asciiTheme="minorHAnsi" w:hAnsiTheme="minorHAnsi" w:cstheme="majorHAnsi"/>
          <w:color w:val="808080" w:themeColor="background1" w:themeShade="80"/>
          <w:sz w:val="16"/>
          <w:szCs w:val="16"/>
        </w:rPr>
        <w:tab/>
      </w:r>
      <w:r w:rsidRPr="00930562">
        <w:rPr>
          <w:rFonts w:asciiTheme="minorHAnsi" w:hAnsiTheme="minorHAnsi" w:cstheme="minorHAnsi"/>
          <w:color w:val="808080" w:themeColor="background1" w:themeShade="80"/>
          <w:sz w:val="16"/>
          <w:szCs w:val="16"/>
        </w:rPr>
        <w:t xml:space="preserve">FBI, </w:t>
      </w:r>
      <w:hyperlink r:id="rId404" w:history="1">
        <w:r w:rsidRPr="00930562">
          <w:rPr>
            <w:rStyle w:val="Hyperlink"/>
            <w:rFonts w:asciiTheme="minorHAnsi" w:hAnsiTheme="minorHAnsi" w:cstheme="minorHAnsi"/>
            <w:color w:val="808080" w:themeColor="background1" w:themeShade="80"/>
            <w:sz w:val="16"/>
            <w:szCs w:val="16"/>
          </w:rPr>
          <w:t>2016 Hate Crime Statistics: Incidents and Offenses</w:t>
        </w:r>
      </w:hyperlink>
      <w:r w:rsidRPr="00930562">
        <w:rPr>
          <w:rFonts w:asciiTheme="minorHAnsi" w:hAnsiTheme="minorHAnsi" w:cstheme="minorHAnsi"/>
          <w:color w:val="808080" w:themeColor="background1" w:themeShade="80"/>
          <w:sz w:val="16"/>
          <w:szCs w:val="16"/>
        </w:rPr>
        <w:t>, noviembre de 2017.</w:t>
      </w:r>
    </w:p>
  </w:footnote>
  <w:footnote w:id="339">
    <w:p w14:paraId="61C61362"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Bureau of Justice Statistics, </w:t>
      </w:r>
      <w:hyperlink r:id="rId405" w:history="1">
        <w:r w:rsidRPr="00930562">
          <w:rPr>
            <w:rStyle w:val="Hyperlink"/>
            <w:rFonts w:asciiTheme="minorHAnsi" w:hAnsiTheme="minorHAnsi" w:cstheme="minorHAnsi"/>
            <w:color w:val="808080" w:themeColor="background1" w:themeShade="80"/>
            <w:sz w:val="16"/>
            <w:szCs w:val="16"/>
          </w:rPr>
          <w:t>Hate Crime Victimization, 2004-2015</w:t>
        </w:r>
      </w:hyperlink>
      <w:r w:rsidRPr="00930562">
        <w:rPr>
          <w:rFonts w:asciiTheme="minorHAnsi" w:hAnsiTheme="minorHAnsi" w:cstheme="minorHAnsi"/>
          <w:color w:val="808080" w:themeColor="background1" w:themeShade="80"/>
          <w:sz w:val="16"/>
          <w:szCs w:val="16"/>
        </w:rPr>
        <w:t xml:space="preserve">, 29 de junio de 2017; </w:t>
      </w:r>
      <w:r w:rsidRPr="00930562">
        <w:rPr>
          <w:rFonts w:asciiTheme="minorHAnsi" w:hAnsiTheme="minorHAnsi" w:cstheme="minorHAnsi"/>
          <w:i/>
          <w:color w:val="808080" w:themeColor="background1" w:themeShade="80"/>
          <w:sz w:val="16"/>
          <w:szCs w:val="16"/>
        </w:rPr>
        <w:t>see also</w:t>
      </w:r>
      <w:r w:rsidRPr="00930562">
        <w:rPr>
          <w:rFonts w:asciiTheme="minorHAnsi" w:hAnsiTheme="minorHAnsi" w:cstheme="minorHAnsi"/>
          <w:color w:val="808080" w:themeColor="background1" w:themeShade="80"/>
          <w:sz w:val="16"/>
          <w:szCs w:val="16"/>
        </w:rPr>
        <w:t xml:space="preserve"> Southern Poverty Law Center, </w:t>
      </w:r>
      <w:hyperlink r:id="rId406" w:history="1">
        <w:r w:rsidRPr="00930562">
          <w:rPr>
            <w:rStyle w:val="Hyperlink"/>
            <w:rFonts w:asciiTheme="minorHAnsi" w:hAnsiTheme="minorHAnsi" w:cstheme="minorHAnsi"/>
            <w:color w:val="808080" w:themeColor="background1" w:themeShade="80"/>
            <w:sz w:val="16"/>
            <w:szCs w:val="16"/>
          </w:rPr>
          <w:t>FBI: Hate crimes reach 5-year high in 2016, jumped as Trump rolled toward presidency</w:t>
        </w:r>
      </w:hyperlink>
      <w:r w:rsidRPr="00930562">
        <w:rPr>
          <w:rFonts w:asciiTheme="minorHAnsi" w:hAnsiTheme="minorHAnsi" w:cstheme="minorHAnsi"/>
          <w:color w:val="808080" w:themeColor="background1" w:themeShade="80"/>
          <w:sz w:val="16"/>
          <w:szCs w:val="16"/>
        </w:rPr>
        <w:t xml:space="preserve">, 13 de noviembre de 2017; El País, </w:t>
      </w:r>
      <w:hyperlink r:id="rId407" w:history="1">
        <w:r w:rsidRPr="00930562">
          <w:rPr>
            <w:rStyle w:val="Hyperlink"/>
            <w:rFonts w:asciiTheme="minorHAnsi" w:hAnsiTheme="minorHAnsi" w:cstheme="minorHAnsi"/>
            <w:color w:val="808080" w:themeColor="background1" w:themeShade="80"/>
            <w:sz w:val="16"/>
            <w:szCs w:val="16"/>
          </w:rPr>
          <w:t>Aumentan en EE UU los delitos de odio contra musulmanes y latinos</w:t>
        </w:r>
      </w:hyperlink>
      <w:r w:rsidRPr="00930562">
        <w:rPr>
          <w:rFonts w:asciiTheme="minorHAnsi" w:hAnsiTheme="minorHAnsi" w:cstheme="minorHAnsi"/>
          <w:color w:val="808080" w:themeColor="background1" w:themeShade="80"/>
          <w:sz w:val="16"/>
          <w:szCs w:val="16"/>
        </w:rPr>
        <w:t>, 13 de noviembre de 2017.</w:t>
      </w:r>
    </w:p>
  </w:footnote>
  <w:footnote w:id="340">
    <w:p w14:paraId="06E28FC4"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FBI, </w:t>
      </w:r>
      <w:hyperlink r:id="rId408" w:history="1">
        <w:r w:rsidRPr="00930562">
          <w:rPr>
            <w:rStyle w:val="Hyperlink"/>
            <w:rFonts w:asciiTheme="minorHAnsi" w:hAnsiTheme="minorHAnsi" w:cstheme="minorHAnsi"/>
            <w:color w:val="808080" w:themeColor="background1" w:themeShade="80"/>
            <w:sz w:val="16"/>
            <w:szCs w:val="16"/>
          </w:rPr>
          <w:t>2016 Hate Crime Statistics: Incidents and Offenses</w:t>
        </w:r>
      </w:hyperlink>
      <w:r w:rsidRPr="00930562">
        <w:rPr>
          <w:rFonts w:asciiTheme="minorHAnsi" w:hAnsiTheme="minorHAnsi" w:cstheme="minorHAnsi"/>
          <w:color w:val="808080" w:themeColor="background1" w:themeShade="80"/>
          <w:sz w:val="16"/>
          <w:szCs w:val="16"/>
        </w:rPr>
        <w:t>, noviembre de 2017.</w:t>
      </w:r>
    </w:p>
  </w:footnote>
  <w:footnote w:id="341">
    <w:p w14:paraId="3CB1FAAA"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US"/>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US"/>
        </w:rPr>
        <w:t xml:space="preserve"> </w:t>
      </w:r>
      <w:r w:rsidRPr="00930562">
        <w:rPr>
          <w:rFonts w:asciiTheme="minorHAnsi" w:hAnsiTheme="minorHAnsi" w:cstheme="minorHAnsi"/>
          <w:color w:val="808080" w:themeColor="background1" w:themeShade="80"/>
          <w:sz w:val="16"/>
          <w:szCs w:val="16"/>
          <w:lang w:val="es-US"/>
        </w:rPr>
        <w:tab/>
      </w:r>
      <w:r w:rsidRPr="00930562">
        <w:rPr>
          <w:rFonts w:asciiTheme="minorHAnsi" w:hAnsiTheme="minorHAnsi" w:cstheme="minorHAnsi"/>
          <w:i/>
          <w:color w:val="808080" w:themeColor="background1" w:themeShade="80"/>
          <w:sz w:val="16"/>
          <w:szCs w:val="16"/>
          <w:lang w:val="es-US"/>
        </w:rPr>
        <w:t xml:space="preserve">Véase por ejemplo, </w:t>
      </w:r>
      <w:r w:rsidRPr="00930562">
        <w:rPr>
          <w:rFonts w:asciiTheme="minorHAnsi" w:hAnsiTheme="minorHAnsi" w:cstheme="minorHAnsi"/>
          <w:color w:val="808080" w:themeColor="background1" w:themeShade="80"/>
          <w:sz w:val="16"/>
          <w:szCs w:val="16"/>
          <w:lang w:val="es-US"/>
        </w:rPr>
        <w:t xml:space="preserve">Vox, </w:t>
      </w:r>
      <w:hyperlink r:id="rId409" w:history="1">
        <w:r w:rsidRPr="00930562">
          <w:rPr>
            <w:rStyle w:val="Hyperlink"/>
            <w:rFonts w:asciiTheme="minorHAnsi" w:hAnsiTheme="minorHAnsi" w:cstheme="minorHAnsi"/>
            <w:color w:val="808080" w:themeColor="background1" w:themeShade="80"/>
            <w:sz w:val="16"/>
            <w:szCs w:val="16"/>
            <w:lang w:val="es-US"/>
          </w:rPr>
          <w:t>Why it’s so hard to prosecute a hate crime</w:t>
        </w:r>
      </w:hyperlink>
      <w:r w:rsidRPr="00930562">
        <w:rPr>
          <w:rFonts w:asciiTheme="minorHAnsi" w:hAnsiTheme="minorHAnsi" w:cstheme="minorHAnsi"/>
          <w:color w:val="808080" w:themeColor="background1" w:themeShade="80"/>
          <w:sz w:val="16"/>
          <w:szCs w:val="16"/>
          <w:lang w:val="es-US"/>
        </w:rPr>
        <w:t>, última actualización 23 de mayo de 2017.</w:t>
      </w:r>
    </w:p>
  </w:footnote>
  <w:footnote w:id="342">
    <w:p w14:paraId="12EA28E6"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BBC News, </w:t>
      </w:r>
      <w:hyperlink r:id="rId410" w:history="1">
        <w:r w:rsidRPr="00930562">
          <w:rPr>
            <w:rStyle w:val="Hyperlink"/>
            <w:rFonts w:asciiTheme="minorHAnsi" w:hAnsiTheme="minorHAnsi" w:cstheme="minorHAnsi"/>
            <w:color w:val="808080" w:themeColor="background1" w:themeShade="80"/>
            <w:sz w:val="16"/>
            <w:szCs w:val="16"/>
          </w:rPr>
          <w:t>Charleston church shooting: Nine die in South Carolina 'hate crime'</w:t>
        </w:r>
      </w:hyperlink>
      <w:r w:rsidRPr="00930562">
        <w:rPr>
          <w:rFonts w:asciiTheme="minorHAnsi" w:hAnsiTheme="minorHAnsi" w:cstheme="minorHAnsi"/>
          <w:color w:val="808080" w:themeColor="background1" w:themeShade="80"/>
          <w:sz w:val="16"/>
          <w:szCs w:val="16"/>
        </w:rPr>
        <w:t>, 18 de junio de 2015.</w:t>
      </w:r>
    </w:p>
  </w:footnote>
  <w:footnote w:id="343">
    <w:p w14:paraId="3C2FAA90"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Chicago Tribune, </w:t>
      </w:r>
      <w:hyperlink r:id="rId411" w:history="1">
        <w:r w:rsidRPr="00930562">
          <w:rPr>
            <w:rStyle w:val="Hyperlink"/>
            <w:rFonts w:asciiTheme="minorHAnsi" w:hAnsiTheme="minorHAnsi" w:cstheme="minorHAnsi"/>
            <w:color w:val="808080" w:themeColor="background1" w:themeShade="80"/>
            <w:sz w:val="16"/>
            <w:szCs w:val="16"/>
          </w:rPr>
          <w:t>FBI: Dylann Roof displaying racist symbols even during his trial</w:t>
        </w:r>
      </w:hyperlink>
      <w:r w:rsidRPr="00930562">
        <w:rPr>
          <w:rFonts w:asciiTheme="minorHAnsi" w:hAnsiTheme="minorHAnsi" w:cstheme="minorHAnsi"/>
          <w:color w:val="808080" w:themeColor="background1" w:themeShade="80"/>
          <w:sz w:val="16"/>
          <w:szCs w:val="16"/>
        </w:rPr>
        <w:t>, 6 de enero de 2017.</w:t>
      </w:r>
    </w:p>
  </w:footnote>
  <w:footnote w:id="344">
    <w:p w14:paraId="0BAF3A32"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Washington Post, </w:t>
      </w:r>
      <w:hyperlink r:id="rId412" w:history="1">
        <w:r w:rsidRPr="00930562">
          <w:rPr>
            <w:rStyle w:val="Hyperlink"/>
            <w:rFonts w:asciiTheme="minorHAnsi" w:hAnsiTheme="minorHAnsi" w:cstheme="minorHAnsi"/>
            <w:color w:val="808080" w:themeColor="background1" w:themeShade="80"/>
            <w:sz w:val="16"/>
            <w:szCs w:val="16"/>
          </w:rPr>
          <w:t>Charleston church shooter: ‘I would like to make it crystal clear, I do not regret what I did’</w:t>
        </w:r>
      </w:hyperlink>
      <w:r w:rsidRPr="00930562">
        <w:rPr>
          <w:rFonts w:asciiTheme="minorHAnsi" w:hAnsiTheme="minorHAnsi" w:cstheme="minorHAnsi"/>
          <w:color w:val="808080" w:themeColor="background1" w:themeShade="80"/>
          <w:sz w:val="16"/>
          <w:szCs w:val="16"/>
        </w:rPr>
        <w:t xml:space="preserve">, 4 de enero de  2017; CNN, </w:t>
      </w:r>
      <w:hyperlink r:id="rId413" w:history="1">
        <w:r w:rsidRPr="00930562">
          <w:rPr>
            <w:rStyle w:val="Hyperlink"/>
            <w:rFonts w:asciiTheme="minorHAnsi" w:hAnsiTheme="minorHAnsi" w:cstheme="minorHAnsi"/>
            <w:color w:val="808080" w:themeColor="background1" w:themeShade="80"/>
            <w:sz w:val="16"/>
            <w:szCs w:val="16"/>
          </w:rPr>
          <w:t>Dylann Roof jury: Death penalty for Charleston church shooter</w:t>
        </w:r>
      </w:hyperlink>
      <w:r w:rsidRPr="00930562">
        <w:rPr>
          <w:rFonts w:asciiTheme="minorHAnsi" w:hAnsiTheme="minorHAnsi" w:cstheme="minorHAnsi"/>
          <w:color w:val="808080" w:themeColor="background1" w:themeShade="80"/>
          <w:sz w:val="16"/>
          <w:szCs w:val="16"/>
        </w:rPr>
        <w:t xml:space="preserve">, 10 de enero de 2017; NBC News, </w:t>
      </w:r>
      <w:hyperlink r:id="rId414" w:history="1">
        <w:r w:rsidRPr="00930562">
          <w:rPr>
            <w:rStyle w:val="Hyperlink"/>
            <w:rFonts w:asciiTheme="minorHAnsi" w:hAnsiTheme="minorHAnsi" w:cstheme="minorHAnsi"/>
            <w:color w:val="808080" w:themeColor="background1" w:themeShade="80"/>
            <w:sz w:val="16"/>
            <w:szCs w:val="16"/>
          </w:rPr>
          <w:t>Dylann Roof: Charleston Church Shooter Gets Nine Life Sentences in State Case</w:t>
        </w:r>
      </w:hyperlink>
      <w:r w:rsidRPr="00930562">
        <w:rPr>
          <w:rFonts w:asciiTheme="minorHAnsi" w:hAnsiTheme="minorHAnsi" w:cstheme="minorHAnsi"/>
          <w:color w:val="808080" w:themeColor="background1" w:themeShade="80"/>
          <w:sz w:val="16"/>
          <w:szCs w:val="16"/>
        </w:rPr>
        <w:t>, 10 de abril de 2017.</w:t>
      </w:r>
    </w:p>
  </w:footnote>
  <w:footnote w:id="345">
    <w:p w14:paraId="5C584882"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rPr>
        <w:t xml:space="preserve"> </w:t>
      </w:r>
      <w:r w:rsidRPr="00930562">
        <w:rPr>
          <w:rFonts w:asciiTheme="minorHAnsi" w:hAnsiTheme="minorHAnsi" w:cstheme="majorHAnsi"/>
          <w:color w:val="808080" w:themeColor="background1" w:themeShade="80"/>
          <w:sz w:val="16"/>
          <w:szCs w:val="16"/>
        </w:rPr>
        <w:tab/>
      </w:r>
      <w:r w:rsidRPr="00930562">
        <w:rPr>
          <w:rFonts w:asciiTheme="minorHAnsi" w:hAnsiTheme="minorHAnsi" w:cstheme="minorHAnsi"/>
          <w:color w:val="808080" w:themeColor="background1" w:themeShade="80"/>
          <w:sz w:val="16"/>
          <w:szCs w:val="16"/>
        </w:rPr>
        <w:t xml:space="preserve">NBC News, </w:t>
      </w:r>
      <w:hyperlink r:id="rId415" w:history="1">
        <w:r w:rsidRPr="00930562">
          <w:rPr>
            <w:rStyle w:val="Hyperlink"/>
            <w:rFonts w:asciiTheme="minorHAnsi" w:hAnsiTheme="minorHAnsi" w:cstheme="minorHAnsi"/>
            <w:color w:val="808080" w:themeColor="background1" w:themeShade="80"/>
            <w:sz w:val="16"/>
            <w:szCs w:val="16"/>
          </w:rPr>
          <w:t>Charleston Church Shooting Renews Confederate Flag Debate</w:t>
        </w:r>
      </w:hyperlink>
      <w:r w:rsidRPr="00930562">
        <w:rPr>
          <w:rFonts w:asciiTheme="minorHAnsi" w:hAnsiTheme="minorHAnsi" w:cstheme="minorHAnsi"/>
          <w:color w:val="808080" w:themeColor="background1" w:themeShade="80"/>
          <w:sz w:val="16"/>
          <w:szCs w:val="16"/>
        </w:rPr>
        <w:t>, 20 de junio de 2015.</w:t>
      </w:r>
    </w:p>
  </w:footnote>
  <w:footnote w:id="346">
    <w:p w14:paraId="41E293D8"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US"/>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US"/>
        </w:rPr>
        <w:t xml:space="preserve"> </w:t>
      </w:r>
      <w:r w:rsidRPr="00930562">
        <w:rPr>
          <w:rFonts w:asciiTheme="minorHAnsi" w:hAnsiTheme="minorHAnsi" w:cstheme="minorHAnsi"/>
          <w:color w:val="808080" w:themeColor="background1" w:themeShade="80"/>
          <w:sz w:val="16"/>
          <w:szCs w:val="16"/>
          <w:lang w:val="es-US"/>
        </w:rPr>
        <w:tab/>
        <w:t xml:space="preserve">CIDH, </w:t>
      </w:r>
      <w:hyperlink r:id="rId416" w:history="1">
        <w:r w:rsidRPr="00930562">
          <w:rPr>
            <w:rStyle w:val="Hyperlink"/>
            <w:rFonts w:asciiTheme="minorHAnsi" w:hAnsiTheme="minorHAnsi" w:cstheme="minorHAnsi"/>
            <w:color w:val="808080" w:themeColor="background1" w:themeShade="80"/>
            <w:sz w:val="16"/>
            <w:szCs w:val="16"/>
            <w:lang w:val="es-US"/>
          </w:rPr>
          <w:t xml:space="preserve">Comunicado de Prensa </w:t>
        </w:r>
        <w:r w:rsidRPr="00930562">
          <w:rPr>
            <w:rStyle w:val="Hyperlink"/>
            <w:rFonts w:asciiTheme="minorHAnsi" w:hAnsiTheme="minorHAnsi" w:cstheme="minorHAnsi"/>
            <w:bCs/>
            <w:color w:val="808080" w:themeColor="background1" w:themeShade="80"/>
            <w:sz w:val="16"/>
            <w:szCs w:val="16"/>
            <w:lang w:val="es-US"/>
          </w:rPr>
          <w:t>Charlottesville</w:t>
        </w:r>
      </w:hyperlink>
      <w:r w:rsidRPr="00930562">
        <w:rPr>
          <w:rFonts w:asciiTheme="minorHAnsi" w:hAnsiTheme="minorHAnsi" w:cstheme="minorHAnsi"/>
          <w:color w:val="808080" w:themeColor="background1" w:themeShade="80"/>
          <w:sz w:val="16"/>
          <w:szCs w:val="16"/>
          <w:shd w:val="clear" w:color="auto" w:fill="FFFFFF"/>
          <w:lang w:val="es-US"/>
        </w:rPr>
        <w:t xml:space="preserve">, 18 de agosto de 2017. </w:t>
      </w:r>
    </w:p>
  </w:footnote>
  <w:footnote w:id="347">
    <w:p w14:paraId="2C4E9F89"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New York Times, </w:t>
      </w:r>
      <w:hyperlink r:id="rId417" w:history="1">
        <w:r w:rsidRPr="00930562">
          <w:rPr>
            <w:rStyle w:val="Hyperlink"/>
            <w:rFonts w:asciiTheme="minorHAnsi" w:hAnsiTheme="minorHAnsi" w:cstheme="minorHAnsi"/>
            <w:color w:val="808080" w:themeColor="background1" w:themeShade="80"/>
            <w:sz w:val="16"/>
            <w:szCs w:val="16"/>
          </w:rPr>
          <w:t>Man Charged After White Nationalist Rally in Charlottesville Ends in Deadly Violence</w:t>
        </w:r>
      </w:hyperlink>
      <w:r w:rsidRPr="00930562">
        <w:rPr>
          <w:rFonts w:asciiTheme="minorHAnsi" w:hAnsiTheme="minorHAnsi" w:cstheme="minorHAnsi"/>
          <w:color w:val="808080" w:themeColor="background1" w:themeShade="80"/>
          <w:sz w:val="16"/>
          <w:szCs w:val="16"/>
        </w:rPr>
        <w:t xml:space="preserve">, 12 de agosto de 2017; Washington Post, </w:t>
      </w:r>
      <w:hyperlink r:id="rId418" w:history="1">
        <w:r w:rsidRPr="00930562">
          <w:rPr>
            <w:rStyle w:val="Hyperlink"/>
            <w:rFonts w:asciiTheme="minorHAnsi" w:hAnsiTheme="minorHAnsi" w:cstheme="minorHAnsi"/>
            <w:color w:val="808080" w:themeColor="background1" w:themeShade="80"/>
            <w:sz w:val="16"/>
            <w:szCs w:val="16"/>
          </w:rPr>
          <w:t>Black man attacked by white supremacists in Charlottesville faces felony charge</w:t>
        </w:r>
      </w:hyperlink>
      <w:r w:rsidRPr="00930562">
        <w:rPr>
          <w:rFonts w:asciiTheme="minorHAnsi" w:hAnsiTheme="minorHAnsi" w:cstheme="minorHAnsi"/>
          <w:color w:val="808080" w:themeColor="background1" w:themeShade="80"/>
          <w:sz w:val="16"/>
          <w:szCs w:val="16"/>
        </w:rPr>
        <w:t xml:space="preserve">, 11 de octubre de 2017; Washington Post, </w:t>
      </w:r>
      <w:hyperlink r:id="rId419" w:history="1">
        <w:r w:rsidRPr="00930562">
          <w:rPr>
            <w:rStyle w:val="Hyperlink"/>
            <w:rFonts w:asciiTheme="minorHAnsi" w:hAnsiTheme="minorHAnsi" w:cstheme="minorHAnsi"/>
            <w:color w:val="808080" w:themeColor="background1" w:themeShade="80"/>
            <w:sz w:val="16"/>
            <w:szCs w:val="16"/>
          </w:rPr>
          <w:t>Black man beaten in Charlottesville found not guilty of assaulting white supremacist</w:t>
        </w:r>
      </w:hyperlink>
      <w:r w:rsidRPr="00930562">
        <w:rPr>
          <w:rFonts w:asciiTheme="minorHAnsi" w:hAnsiTheme="minorHAnsi" w:cstheme="minorHAnsi"/>
          <w:color w:val="808080" w:themeColor="background1" w:themeShade="80"/>
          <w:sz w:val="16"/>
          <w:szCs w:val="16"/>
        </w:rPr>
        <w:t>, 16 de marzo de 2018.</w:t>
      </w:r>
    </w:p>
  </w:footnote>
  <w:footnote w:id="348">
    <w:p w14:paraId="5F4B0AFB"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New York Times, </w:t>
      </w:r>
      <w:hyperlink r:id="rId420" w:history="1">
        <w:r w:rsidRPr="00930562">
          <w:rPr>
            <w:rStyle w:val="Hyperlink"/>
            <w:rFonts w:asciiTheme="minorHAnsi" w:hAnsiTheme="minorHAnsi" w:cstheme="minorHAnsi"/>
            <w:color w:val="808080" w:themeColor="background1" w:themeShade="80"/>
            <w:sz w:val="16"/>
            <w:szCs w:val="16"/>
          </w:rPr>
          <w:t>As White Nationalist in Charlottesville Fired, Police ‘Never Moved’</w:t>
        </w:r>
      </w:hyperlink>
      <w:r w:rsidRPr="00930562">
        <w:rPr>
          <w:rFonts w:asciiTheme="minorHAnsi" w:hAnsiTheme="minorHAnsi" w:cstheme="minorHAnsi"/>
          <w:color w:val="808080" w:themeColor="background1" w:themeShade="80"/>
          <w:sz w:val="16"/>
          <w:szCs w:val="16"/>
        </w:rPr>
        <w:t xml:space="preserve">, 25 de agosto de 2017; TIME, </w:t>
      </w:r>
      <w:hyperlink r:id="rId421" w:history="1">
        <w:r w:rsidRPr="00930562">
          <w:rPr>
            <w:rStyle w:val="Hyperlink"/>
            <w:rFonts w:asciiTheme="minorHAnsi" w:hAnsiTheme="minorHAnsi" w:cstheme="minorHAnsi"/>
            <w:color w:val="808080" w:themeColor="background1" w:themeShade="80"/>
            <w:sz w:val="16"/>
            <w:szCs w:val="16"/>
          </w:rPr>
          <w:t>White Supremacists Assaulted Dozens of Us in Charlottesville. Almost None Have Been Punished</w:t>
        </w:r>
      </w:hyperlink>
      <w:r w:rsidRPr="00930562">
        <w:rPr>
          <w:rFonts w:asciiTheme="minorHAnsi" w:hAnsiTheme="minorHAnsi" w:cstheme="minorHAnsi"/>
          <w:color w:val="808080" w:themeColor="background1" w:themeShade="80"/>
          <w:sz w:val="16"/>
          <w:szCs w:val="16"/>
        </w:rPr>
        <w:t xml:space="preserve">, 3 de noviembre de 2017; WRIC (ABC News), </w:t>
      </w:r>
      <w:hyperlink r:id="rId422" w:history="1">
        <w:r w:rsidRPr="00930562">
          <w:rPr>
            <w:rStyle w:val="Hyperlink"/>
            <w:rFonts w:asciiTheme="minorHAnsi" w:hAnsiTheme="minorHAnsi" w:cstheme="minorHAnsi"/>
            <w:color w:val="808080" w:themeColor="background1" w:themeShade="80"/>
            <w:sz w:val="16"/>
            <w:szCs w:val="16"/>
          </w:rPr>
          <w:t>Court Documents: 6 out of 8 arrested in Charlottesville protests from out of state</w:t>
        </w:r>
      </w:hyperlink>
      <w:r w:rsidRPr="00930562">
        <w:rPr>
          <w:rFonts w:asciiTheme="minorHAnsi" w:hAnsiTheme="minorHAnsi" w:cstheme="minorHAnsi"/>
          <w:color w:val="808080" w:themeColor="background1" w:themeShade="80"/>
          <w:sz w:val="16"/>
          <w:szCs w:val="16"/>
        </w:rPr>
        <w:t xml:space="preserve">, 14 de agosto de 2017; ThinkProgress, </w:t>
      </w:r>
      <w:hyperlink r:id="rId423" w:history="1">
        <w:r w:rsidRPr="00930562">
          <w:rPr>
            <w:rStyle w:val="Hyperlink"/>
            <w:rFonts w:asciiTheme="minorHAnsi" w:hAnsiTheme="minorHAnsi" w:cstheme="minorHAnsi"/>
            <w:color w:val="808080" w:themeColor="background1" w:themeShade="80"/>
            <w:sz w:val="16"/>
            <w:szCs w:val="16"/>
          </w:rPr>
          <w:t>Police in Charlottesville arrested almost as many drunk people as violent white supremacists</w:t>
        </w:r>
      </w:hyperlink>
      <w:r w:rsidRPr="00930562">
        <w:rPr>
          <w:rFonts w:asciiTheme="minorHAnsi" w:hAnsiTheme="minorHAnsi" w:cstheme="minorHAnsi"/>
          <w:color w:val="808080" w:themeColor="background1" w:themeShade="80"/>
          <w:sz w:val="16"/>
          <w:szCs w:val="16"/>
        </w:rPr>
        <w:t xml:space="preserve">, 18 de agosto de 2017; CNN, </w:t>
      </w:r>
      <w:hyperlink r:id="rId424" w:history="1">
        <w:r w:rsidRPr="00930562">
          <w:rPr>
            <w:rStyle w:val="Hyperlink"/>
            <w:rFonts w:asciiTheme="minorHAnsi" w:hAnsiTheme="minorHAnsi" w:cstheme="minorHAnsi"/>
            <w:color w:val="808080" w:themeColor="background1" w:themeShade="80"/>
            <w:sz w:val="16"/>
            <w:szCs w:val="16"/>
          </w:rPr>
          <w:t>Man beaten by white supremacists in Charlottesville is arrested</w:t>
        </w:r>
      </w:hyperlink>
      <w:r w:rsidRPr="00930562">
        <w:rPr>
          <w:rFonts w:asciiTheme="minorHAnsi" w:hAnsiTheme="minorHAnsi" w:cstheme="minorHAnsi"/>
          <w:color w:val="808080" w:themeColor="background1" w:themeShade="80"/>
          <w:sz w:val="16"/>
          <w:szCs w:val="16"/>
        </w:rPr>
        <w:t>, 13 de octubre de 2017.</w:t>
      </w:r>
    </w:p>
  </w:footnote>
  <w:footnote w:id="349">
    <w:p w14:paraId="5CF13292"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CNN, </w:t>
      </w:r>
      <w:hyperlink r:id="rId425" w:history="1">
        <w:r w:rsidRPr="00930562">
          <w:rPr>
            <w:rStyle w:val="Hyperlink"/>
            <w:rFonts w:asciiTheme="minorHAnsi" w:hAnsiTheme="minorHAnsi" w:cstheme="minorHAnsi"/>
            <w:color w:val="808080" w:themeColor="background1" w:themeShade="80"/>
            <w:sz w:val="16"/>
            <w:szCs w:val="16"/>
          </w:rPr>
          <w:t>Charlottesville car attack suspect charged with five additional felonies</w:t>
        </w:r>
      </w:hyperlink>
      <w:r w:rsidRPr="00930562">
        <w:rPr>
          <w:rFonts w:asciiTheme="minorHAnsi" w:hAnsiTheme="minorHAnsi" w:cstheme="minorHAnsi"/>
          <w:color w:val="808080" w:themeColor="background1" w:themeShade="80"/>
          <w:sz w:val="16"/>
          <w:szCs w:val="16"/>
        </w:rPr>
        <w:t xml:space="preserve">, 18 de agosto de 2017; Baltimore Sun, </w:t>
      </w:r>
      <w:hyperlink r:id="rId426" w:history="1">
        <w:r w:rsidRPr="00930562">
          <w:rPr>
            <w:rStyle w:val="Hyperlink"/>
            <w:rFonts w:asciiTheme="minorHAnsi" w:hAnsiTheme="minorHAnsi" w:cstheme="minorHAnsi"/>
            <w:color w:val="808080" w:themeColor="background1" w:themeShade="80"/>
            <w:sz w:val="16"/>
            <w:szCs w:val="16"/>
          </w:rPr>
          <w:t>Baltimore man among 3 more charged in Charlottesville, Va., white supremacist rally</w:t>
        </w:r>
      </w:hyperlink>
      <w:r w:rsidRPr="00930562">
        <w:rPr>
          <w:rFonts w:asciiTheme="minorHAnsi" w:hAnsiTheme="minorHAnsi" w:cstheme="minorHAnsi"/>
          <w:color w:val="808080" w:themeColor="background1" w:themeShade="80"/>
          <w:sz w:val="16"/>
          <w:szCs w:val="16"/>
        </w:rPr>
        <w:t>, 27 de agosto de 2017.</w:t>
      </w:r>
    </w:p>
  </w:footnote>
  <w:footnote w:id="350">
    <w:p w14:paraId="2C2E00C1"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New York Times, </w:t>
      </w:r>
      <w:hyperlink r:id="rId427" w:history="1">
        <w:r w:rsidRPr="00930562">
          <w:rPr>
            <w:rStyle w:val="Hyperlink"/>
            <w:rFonts w:asciiTheme="minorHAnsi" w:hAnsiTheme="minorHAnsi" w:cstheme="minorHAnsi"/>
            <w:color w:val="808080" w:themeColor="background1" w:themeShade="80"/>
            <w:sz w:val="16"/>
            <w:szCs w:val="16"/>
          </w:rPr>
          <w:t>The Statue at the Center of Charlottesville’s Storm</w:t>
        </w:r>
      </w:hyperlink>
      <w:r w:rsidRPr="00930562">
        <w:rPr>
          <w:rFonts w:asciiTheme="minorHAnsi" w:hAnsiTheme="minorHAnsi" w:cstheme="minorHAnsi"/>
          <w:color w:val="808080" w:themeColor="background1" w:themeShade="80"/>
          <w:sz w:val="16"/>
          <w:szCs w:val="16"/>
        </w:rPr>
        <w:t xml:space="preserve">, 13 de agosto de 2017; </w:t>
      </w:r>
      <w:r w:rsidRPr="00930562">
        <w:rPr>
          <w:rFonts w:asciiTheme="minorHAnsi" w:hAnsiTheme="minorHAnsi" w:cstheme="minorHAnsi"/>
          <w:i/>
          <w:color w:val="808080" w:themeColor="background1" w:themeShade="80"/>
          <w:sz w:val="16"/>
          <w:szCs w:val="16"/>
        </w:rPr>
        <w:t>véase además</w:t>
      </w:r>
      <w:r w:rsidRPr="00930562">
        <w:rPr>
          <w:rFonts w:asciiTheme="minorHAnsi" w:hAnsiTheme="minorHAnsi" w:cstheme="minorHAnsi"/>
          <w:color w:val="808080" w:themeColor="background1" w:themeShade="80"/>
          <w:sz w:val="16"/>
          <w:szCs w:val="16"/>
        </w:rPr>
        <w:t xml:space="preserve"> NPR, </w:t>
      </w:r>
      <w:hyperlink r:id="rId428" w:history="1">
        <w:r w:rsidRPr="00930562">
          <w:rPr>
            <w:rStyle w:val="Hyperlink"/>
            <w:rFonts w:asciiTheme="minorHAnsi" w:hAnsiTheme="minorHAnsi" w:cstheme="minorHAnsi"/>
            <w:color w:val="808080" w:themeColor="background1" w:themeShade="80"/>
            <w:sz w:val="16"/>
            <w:szCs w:val="16"/>
          </w:rPr>
          <w:t>Shrouds Pulled From Charlottesville Confederate Statues, Following Ruling</w:t>
        </w:r>
      </w:hyperlink>
      <w:r w:rsidRPr="00930562">
        <w:rPr>
          <w:rFonts w:asciiTheme="minorHAnsi" w:hAnsiTheme="minorHAnsi" w:cstheme="minorHAnsi"/>
          <w:color w:val="808080" w:themeColor="background1" w:themeShade="80"/>
          <w:sz w:val="16"/>
          <w:szCs w:val="16"/>
        </w:rPr>
        <w:t>, 28 de febrero de 2018.</w:t>
      </w:r>
    </w:p>
  </w:footnote>
  <w:footnote w:id="351">
    <w:p w14:paraId="7BDFAD4C"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CNN, </w:t>
      </w:r>
      <w:hyperlink r:id="rId429" w:history="1">
        <w:r w:rsidRPr="00930562">
          <w:rPr>
            <w:rStyle w:val="Hyperlink"/>
            <w:rFonts w:asciiTheme="minorHAnsi" w:hAnsiTheme="minorHAnsi" w:cstheme="minorHAnsi"/>
            <w:color w:val="808080" w:themeColor="background1" w:themeShade="80"/>
            <w:sz w:val="16"/>
            <w:szCs w:val="16"/>
          </w:rPr>
          <w:t>Here are the Confederate memorials that will be removed after Charlottesville</w:t>
        </w:r>
      </w:hyperlink>
      <w:r w:rsidRPr="00930562">
        <w:rPr>
          <w:rFonts w:asciiTheme="minorHAnsi" w:hAnsiTheme="minorHAnsi" w:cstheme="minorHAnsi"/>
          <w:color w:val="808080" w:themeColor="background1" w:themeShade="80"/>
          <w:sz w:val="16"/>
          <w:szCs w:val="16"/>
        </w:rPr>
        <w:t xml:space="preserve">, 22 de agosto de 2017; The Atlantic, </w:t>
      </w:r>
      <w:hyperlink r:id="rId430" w:history="1">
        <w:r w:rsidRPr="00930562">
          <w:rPr>
            <w:rStyle w:val="Hyperlink"/>
            <w:rFonts w:asciiTheme="minorHAnsi" w:hAnsiTheme="minorHAnsi" w:cstheme="minorHAnsi"/>
            <w:color w:val="808080" w:themeColor="background1" w:themeShade="80"/>
            <w:sz w:val="16"/>
            <w:szCs w:val="16"/>
          </w:rPr>
          <w:t>Take the Statues Down</w:t>
        </w:r>
      </w:hyperlink>
      <w:r w:rsidRPr="00930562">
        <w:rPr>
          <w:rFonts w:asciiTheme="minorHAnsi" w:hAnsiTheme="minorHAnsi" w:cstheme="minorHAnsi"/>
          <w:color w:val="808080" w:themeColor="background1" w:themeShade="80"/>
          <w:sz w:val="16"/>
          <w:szCs w:val="16"/>
        </w:rPr>
        <w:t>, 13 de agosto de 2017.</w:t>
      </w:r>
    </w:p>
  </w:footnote>
  <w:footnote w:id="352">
    <w:p w14:paraId="4F083DDC"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i/>
          <w:color w:val="808080" w:themeColor="background1" w:themeShade="80"/>
          <w:sz w:val="16"/>
          <w:szCs w:val="16"/>
          <w:lang w:val="es-AR"/>
        </w:rPr>
        <w:t xml:space="preserve">Véase </w:t>
      </w:r>
      <w:r w:rsidRPr="00930562">
        <w:rPr>
          <w:rFonts w:asciiTheme="minorHAnsi" w:hAnsiTheme="minorHAnsi" w:cstheme="minorHAnsi"/>
          <w:color w:val="808080" w:themeColor="background1" w:themeShade="80"/>
          <w:sz w:val="16"/>
          <w:szCs w:val="16"/>
          <w:lang w:val="es-AR"/>
        </w:rPr>
        <w:t xml:space="preserve">CIDH, </w:t>
      </w:r>
      <w:hyperlink r:id="rId431" w:history="1">
        <w:r w:rsidRPr="00930562">
          <w:rPr>
            <w:rStyle w:val="Hyperlink"/>
            <w:rFonts w:asciiTheme="minorHAnsi" w:hAnsiTheme="minorHAnsi" w:cstheme="minorHAnsi"/>
            <w:color w:val="808080" w:themeColor="background1" w:themeShade="80"/>
            <w:sz w:val="16"/>
            <w:szCs w:val="16"/>
            <w:lang w:val="es-AR"/>
          </w:rPr>
          <w:t>El derecho a la verdad en las Américas</w:t>
        </w:r>
      </w:hyperlink>
      <w:r w:rsidRPr="00930562">
        <w:rPr>
          <w:rFonts w:asciiTheme="minorHAnsi" w:hAnsiTheme="minorHAnsi" w:cstheme="minorHAnsi"/>
          <w:color w:val="808080" w:themeColor="background1" w:themeShade="80"/>
          <w:sz w:val="16"/>
          <w:szCs w:val="16"/>
          <w:lang w:val="es-AR"/>
        </w:rPr>
        <w:t>, OEA/Ser.L/V/II.152, Doc. 2 (2014) [de aquí en adelante “El derecho a la verdad”].</w:t>
      </w:r>
    </w:p>
  </w:footnote>
  <w:footnote w:id="353">
    <w:p w14:paraId="0A3A0781"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n-GB"/>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rPr>
        <w:t xml:space="preserve"> </w:t>
      </w:r>
      <w:r w:rsidRPr="00930562">
        <w:rPr>
          <w:rFonts w:asciiTheme="minorHAnsi" w:hAnsiTheme="minorHAnsi" w:cstheme="majorHAnsi"/>
          <w:color w:val="808080" w:themeColor="background1" w:themeShade="80"/>
          <w:sz w:val="16"/>
          <w:szCs w:val="16"/>
        </w:rPr>
        <w:tab/>
      </w:r>
      <w:r w:rsidRPr="00930562">
        <w:rPr>
          <w:rFonts w:asciiTheme="minorHAnsi" w:hAnsiTheme="minorHAnsi" w:cstheme="minorHAnsi"/>
          <w:color w:val="808080" w:themeColor="background1" w:themeShade="80"/>
          <w:sz w:val="16"/>
          <w:szCs w:val="16"/>
          <w:lang w:val="en-GB"/>
        </w:rPr>
        <w:t xml:space="preserve">Dream Defenders, Florida Legal Services Inc., National Association for the Advancement of Colored People (NAACP), </w:t>
      </w:r>
      <w:hyperlink r:id="rId432" w:history="1">
        <w:r w:rsidRPr="00930562">
          <w:rPr>
            <w:rStyle w:val="Hyperlink"/>
            <w:rFonts w:asciiTheme="minorHAnsi" w:hAnsiTheme="minorHAnsi" w:cstheme="minorHAnsi"/>
            <w:color w:val="808080" w:themeColor="background1" w:themeShade="80"/>
            <w:sz w:val="16"/>
            <w:szCs w:val="16"/>
          </w:rPr>
          <w:t>United States’ Compliance with the International Covenant on Civil and Political Rights - Written Statement on Stand Your Ground Laws</w:t>
        </w:r>
      </w:hyperlink>
      <w:r w:rsidRPr="00930562">
        <w:rPr>
          <w:rFonts w:asciiTheme="minorHAnsi" w:hAnsiTheme="minorHAnsi" w:cstheme="minorHAnsi"/>
          <w:color w:val="808080" w:themeColor="background1" w:themeShade="80"/>
          <w:sz w:val="16"/>
          <w:szCs w:val="16"/>
          <w:lang w:val="en-GB"/>
        </w:rPr>
        <w:t>, 109° Sesión del Comité de Derechos Humanos de Naciones Unidas, 13 al 31 de octubre de 2013.</w:t>
      </w:r>
    </w:p>
  </w:footnote>
  <w:footnote w:id="354">
    <w:p w14:paraId="6F3E8686"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n-GB"/>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r>
      <w:r w:rsidRPr="00930562">
        <w:rPr>
          <w:rFonts w:asciiTheme="minorHAnsi" w:hAnsiTheme="minorHAnsi" w:cstheme="minorHAnsi"/>
          <w:color w:val="808080" w:themeColor="background1" w:themeShade="80"/>
          <w:sz w:val="16"/>
          <w:szCs w:val="16"/>
          <w:lang w:val="en-GB"/>
        </w:rPr>
        <w:t xml:space="preserve">ABA, </w:t>
      </w:r>
      <w:hyperlink r:id="rId433" w:history="1">
        <w:r w:rsidRPr="00930562">
          <w:rPr>
            <w:rStyle w:val="Hyperlink"/>
            <w:rFonts w:asciiTheme="minorHAnsi" w:hAnsiTheme="minorHAnsi" w:cstheme="minorHAnsi"/>
            <w:color w:val="808080" w:themeColor="background1" w:themeShade="80"/>
            <w:sz w:val="16"/>
            <w:szCs w:val="16"/>
            <w:lang w:val="en-GB"/>
          </w:rPr>
          <w:t>National Task Force on Stand Your Ground Laws: Final Report and Recommendations</w:t>
        </w:r>
      </w:hyperlink>
      <w:r w:rsidRPr="00930562">
        <w:rPr>
          <w:rFonts w:asciiTheme="minorHAnsi" w:hAnsiTheme="minorHAnsi" w:cstheme="minorHAnsi"/>
          <w:color w:val="808080" w:themeColor="background1" w:themeShade="80"/>
          <w:sz w:val="16"/>
          <w:szCs w:val="16"/>
          <w:lang w:val="en-GB"/>
        </w:rPr>
        <w:t xml:space="preserve">, </w:t>
      </w:r>
      <w:r w:rsidRPr="00930562">
        <w:rPr>
          <w:rFonts w:asciiTheme="minorHAnsi" w:hAnsiTheme="minorHAnsi" w:cstheme="minorHAnsi"/>
          <w:color w:val="808080" w:themeColor="background1" w:themeShade="80"/>
          <w:sz w:val="16"/>
          <w:szCs w:val="16"/>
        </w:rPr>
        <w:t xml:space="preserve">septiembre de </w:t>
      </w:r>
      <w:r w:rsidRPr="00930562">
        <w:rPr>
          <w:rFonts w:asciiTheme="minorHAnsi" w:hAnsiTheme="minorHAnsi" w:cstheme="minorHAnsi"/>
          <w:color w:val="808080" w:themeColor="background1" w:themeShade="80"/>
          <w:sz w:val="16"/>
          <w:szCs w:val="16"/>
          <w:lang w:val="en-GB"/>
        </w:rPr>
        <w:t>2015, p. 1.</w:t>
      </w:r>
    </w:p>
  </w:footnote>
  <w:footnote w:id="355">
    <w:p w14:paraId="4CBBB864"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t>Las leyes estatales varían, pero muchos estados no exigen que una persona primero intente retroceder antes de usar fuerza letal frente a una amenaza de muerte o lesiones corporales graves en su propia casa. Esta disposición sigue una tradición de derecho común conocida como la "Doctrina del Castillo" (también conocida como ley del castillo o ley de defensa de la habitación).</w:t>
      </w:r>
    </w:p>
  </w:footnote>
  <w:footnote w:id="356">
    <w:p w14:paraId="589DBBF4"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t xml:space="preserve">NPR, </w:t>
      </w:r>
      <w:hyperlink r:id="rId434" w:history="1">
        <w:r w:rsidRPr="00930562">
          <w:rPr>
            <w:rStyle w:val="Hyperlink"/>
            <w:rFonts w:asciiTheme="minorHAnsi" w:hAnsiTheme="minorHAnsi" w:cstheme="minorHAnsi"/>
            <w:color w:val="808080" w:themeColor="background1" w:themeShade="80"/>
            <w:sz w:val="16"/>
            <w:szCs w:val="16"/>
            <w:lang w:val="es-AR"/>
          </w:rPr>
          <w:t>'Stand Your Ground' Linked To Increase In Homicides</w:t>
        </w:r>
      </w:hyperlink>
      <w:r w:rsidRPr="00930562">
        <w:rPr>
          <w:rFonts w:asciiTheme="minorHAnsi" w:hAnsiTheme="minorHAnsi" w:cstheme="minorHAnsi"/>
          <w:color w:val="808080" w:themeColor="background1" w:themeShade="80"/>
          <w:sz w:val="16"/>
          <w:szCs w:val="16"/>
          <w:lang w:val="es-AR"/>
        </w:rPr>
        <w:t>, 2 de enero de 2013 (Una investigación encontró de 500 a 700 más homicidios por año en los 23 estados que adoptaron las leyes SYG como resultado de la aplicación de estas leyes. Hay aproximadamente 14.000 homicidios por año en EE.UU.).</w:t>
      </w:r>
    </w:p>
  </w:footnote>
  <w:footnote w:id="357">
    <w:p w14:paraId="3640617F"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t xml:space="preserve">Transcripción del informe de la Comisión de Derechos Civiles de Estados Unidos, sobre legislación “Stand Your Ground”, 17 de octubre de 2014, disponible en:  </w:t>
      </w:r>
      <w:hyperlink r:id="rId435" w:history="1">
        <w:r w:rsidRPr="00930562">
          <w:rPr>
            <w:rStyle w:val="Hyperlink"/>
            <w:rFonts w:asciiTheme="minorHAnsi" w:hAnsiTheme="minorHAnsi" w:cstheme="minorHAnsi"/>
            <w:color w:val="808080" w:themeColor="background1" w:themeShade="80"/>
            <w:sz w:val="16"/>
            <w:szCs w:val="16"/>
            <w:lang w:val="es-AR"/>
          </w:rPr>
          <w:t>http://www.usccr.gov/calendar/trnscrpt/CommissionBriefingTranscript_Part1_10-17-2014_Final.pdf</w:t>
        </w:r>
      </w:hyperlink>
      <w:r w:rsidRPr="00930562">
        <w:rPr>
          <w:rFonts w:asciiTheme="minorHAnsi" w:hAnsiTheme="minorHAnsi" w:cstheme="minorHAnsi"/>
          <w:color w:val="808080" w:themeColor="background1" w:themeShade="80"/>
          <w:sz w:val="16"/>
          <w:szCs w:val="16"/>
          <w:lang w:val="es-AR"/>
        </w:rPr>
        <w:t xml:space="preserve">; FOX News, </w:t>
      </w:r>
      <w:hyperlink r:id="rId436" w:history="1">
        <w:r w:rsidRPr="00930562">
          <w:rPr>
            <w:rStyle w:val="Hyperlink"/>
            <w:rFonts w:asciiTheme="minorHAnsi" w:hAnsiTheme="minorHAnsi" w:cstheme="minorHAnsi"/>
            <w:color w:val="808080" w:themeColor="background1" w:themeShade="80"/>
            <w:sz w:val="16"/>
            <w:szCs w:val="16"/>
            <w:lang w:val="es-AR"/>
          </w:rPr>
          <w:t>Experts tell U.S. commission 'stand your ground' law is discriminatory</w:t>
        </w:r>
      </w:hyperlink>
      <w:r w:rsidRPr="00930562">
        <w:rPr>
          <w:rFonts w:asciiTheme="minorHAnsi" w:hAnsiTheme="minorHAnsi" w:cstheme="minorHAnsi"/>
          <w:color w:val="808080" w:themeColor="background1" w:themeShade="80"/>
          <w:sz w:val="16"/>
          <w:szCs w:val="16"/>
          <w:lang w:val="es-AR"/>
        </w:rPr>
        <w:t>, 18 de octubre de 2014.</w:t>
      </w:r>
    </w:p>
  </w:footnote>
  <w:footnote w:id="358">
    <w:p w14:paraId="5EE92784"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Orlando Sentinel, </w:t>
      </w:r>
      <w:hyperlink r:id="rId437" w:history="1">
        <w:r w:rsidRPr="00930562">
          <w:rPr>
            <w:rStyle w:val="Hyperlink"/>
            <w:rFonts w:asciiTheme="minorHAnsi" w:hAnsiTheme="minorHAnsi" w:cstheme="minorHAnsi"/>
            <w:color w:val="808080" w:themeColor="background1" w:themeShade="80"/>
            <w:sz w:val="16"/>
            <w:szCs w:val="16"/>
          </w:rPr>
          <w:t>Experts offer testimony in 'stand your ground' probe</w:t>
        </w:r>
      </w:hyperlink>
      <w:r w:rsidRPr="00930562">
        <w:rPr>
          <w:rFonts w:asciiTheme="minorHAnsi" w:hAnsiTheme="minorHAnsi" w:cstheme="minorHAnsi"/>
          <w:color w:val="808080" w:themeColor="background1" w:themeShade="80"/>
          <w:sz w:val="16"/>
          <w:szCs w:val="16"/>
        </w:rPr>
        <w:t xml:space="preserve">, 17 de octubre de 2014. </w:t>
      </w:r>
    </w:p>
  </w:footnote>
  <w:footnote w:id="359">
    <w:p w14:paraId="319DDFC0" w14:textId="77777777" w:rsidR="00F64540" w:rsidRPr="00930562" w:rsidRDefault="00F64540" w:rsidP="00E10935">
      <w:pPr>
        <w:spacing w:after="40" w:line="240" w:lineRule="auto"/>
        <w:ind w:left="547" w:hanging="547"/>
        <w:contextualSpacing/>
        <w:jc w:val="both"/>
        <w:rPr>
          <w:rFonts w:asciiTheme="minorHAnsi" w:eastAsia="Cambria"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bCs/>
          <w:color w:val="808080" w:themeColor="background1" w:themeShade="80"/>
          <w:sz w:val="16"/>
          <w:szCs w:val="16"/>
          <w:lang w:val="es-AR"/>
        </w:rPr>
        <w:t xml:space="preserve">CIDH, 150° Período de Sesiones, </w:t>
      </w:r>
      <w:hyperlink r:id="rId438" w:history="1">
        <w:r w:rsidRPr="00930562">
          <w:rPr>
            <w:rStyle w:val="Hyperlink"/>
            <w:rFonts w:asciiTheme="minorHAnsi" w:hAnsiTheme="minorHAnsi" w:cstheme="minorHAnsi"/>
            <w:bCs/>
            <w:color w:val="808080" w:themeColor="background1" w:themeShade="80"/>
            <w:sz w:val="16"/>
            <w:szCs w:val="16"/>
            <w:lang w:val="es-AR"/>
          </w:rPr>
          <w:t>Audiencia Leyes “Stand Your Ground</w:t>
        </w:r>
        <w:proofErr w:type="gramStart"/>
        <w:r w:rsidRPr="00930562">
          <w:rPr>
            <w:rStyle w:val="Hyperlink"/>
            <w:rFonts w:asciiTheme="minorHAnsi" w:hAnsiTheme="minorHAnsi" w:cstheme="minorHAnsi"/>
            <w:bCs/>
            <w:color w:val="808080" w:themeColor="background1" w:themeShade="80"/>
            <w:sz w:val="16"/>
            <w:szCs w:val="16"/>
            <w:lang w:val="es-AR"/>
          </w:rPr>
          <w:t xml:space="preserve">” </w:t>
        </w:r>
        <w:proofErr w:type="gramEnd"/>
      </w:hyperlink>
      <w:r w:rsidRPr="00930562">
        <w:rPr>
          <w:rFonts w:asciiTheme="minorHAnsi" w:hAnsiTheme="minorHAnsi" w:cstheme="minorHAnsi"/>
          <w:bCs/>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27 de octubre de</w:t>
      </w:r>
      <w:r w:rsidRPr="00930562">
        <w:rPr>
          <w:rFonts w:asciiTheme="minorHAnsi" w:hAnsiTheme="minorHAnsi" w:cstheme="minorHAnsi"/>
          <w:bCs/>
          <w:color w:val="808080" w:themeColor="background1" w:themeShade="80"/>
          <w:sz w:val="16"/>
          <w:szCs w:val="16"/>
          <w:lang w:val="es-AR"/>
        </w:rPr>
        <w:t xml:space="preserve"> 2014</w:t>
      </w:r>
      <w:r w:rsidRPr="00930562">
        <w:rPr>
          <w:rFonts w:asciiTheme="minorHAnsi" w:hAnsiTheme="minorHAnsi" w:cstheme="minorHAnsi"/>
          <w:color w:val="808080" w:themeColor="background1" w:themeShade="80"/>
          <w:sz w:val="16"/>
          <w:szCs w:val="16"/>
          <w:lang w:val="es-AR"/>
        </w:rPr>
        <w:t>.</w:t>
      </w:r>
    </w:p>
  </w:footnote>
  <w:footnote w:id="360">
    <w:p w14:paraId="109D98B4"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t xml:space="preserve">El hombre que mató a Jordan Davis fue condenado por asesinato y tres intentos de asesinato y sentenciado a prisión perpetua sin posibilidad de libertad condicional más 90 años adicionales en octubre de 2014. </w:t>
      </w:r>
      <w:r w:rsidRPr="00930562">
        <w:rPr>
          <w:rFonts w:asciiTheme="minorHAnsi" w:hAnsiTheme="minorHAnsi" w:cstheme="minorHAnsi"/>
          <w:color w:val="808080" w:themeColor="background1" w:themeShade="80"/>
          <w:sz w:val="16"/>
          <w:szCs w:val="16"/>
        </w:rPr>
        <w:t xml:space="preserve">The Guardian, </w:t>
      </w:r>
      <w:hyperlink r:id="rId439" w:history="1">
        <w:r w:rsidRPr="00930562">
          <w:rPr>
            <w:rStyle w:val="Hyperlink"/>
            <w:rFonts w:asciiTheme="minorHAnsi" w:hAnsiTheme="minorHAnsi" w:cstheme="minorHAnsi"/>
            <w:color w:val="808080" w:themeColor="background1" w:themeShade="80"/>
            <w:sz w:val="16"/>
            <w:szCs w:val="16"/>
          </w:rPr>
          <w:t>Michael Dunn sentenced to life without parole for killing of Florida teenager</w:t>
        </w:r>
      </w:hyperlink>
      <w:r w:rsidRPr="00930562">
        <w:rPr>
          <w:rFonts w:asciiTheme="minorHAnsi" w:hAnsiTheme="minorHAnsi" w:cstheme="minorHAnsi"/>
          <w:color w:val="808080" w:themeColor="background1" w:themeShade="80"/>
          <w:sz w:val="16"/>
          <w:szCs w:val="16"/>
        </w:rPr>
        <w:t>, 17 de octubre de 2014.</w:t>
      </w:r>
    </w:p>
  </w:footnote>
  <w:footnote w:id="361">
    <w:p w14:paraId="762E87CD" w14:textId="77777777" w:rsidR="00F64540" w:rsidRPr="00930562" w:rsidRDefault="00F64540" w:rsidP="00E00D6E">
      <w:pPr>
        <w:spacing w:after="40" w:line="240" w:lineRule="auto"/>
        <w:ind w:left="547" w:hanging="547"/>
        <w:contextualSpacing/>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bCs/>
          <w:color w:val="808080" w:themeColor="background1" w:themeShade="80"/>
          <w:sz w:val="16"/>
          <w:szCs w:val="16"/>
          <w:lang w:val="es-AR"/>
        </w:rPr>
        <w:t xml:space="preserve">CIDH, 150° Período de Sesiones, </w:t>
      </w:r>
      <w:hyperlink r:id="rId440" w:history="1">
        <w:r w:rsidRPr="00930562">
          <w:rPr>
            <w:rStyle w:val="Hyperlink"/>
            <w:rFonts w:asciiTheme="minorHAnsi" w:hAnsiTheme="minorHAnsi" w:cstheme="minorHAnsi"/>
            <w:bCs/>
            <w:color w:val="808080" w:themeColor="background1" w:themeShade="80"/>
            <w:sz w:val="16"/>
            <w:szCs w:val="16"/>
            <w:lang w:val="es-AR"/>
          </w:rPr>
          <w:t>Audiencia Leyes “Stand Your Ground</w:t>
        </w:r>
        <w:proofErr w:type="gramStart"/>
        <w:r w:rsidRPr="00930562">
          <w:rPr>
            <w:rStyle w:val="Hyperlink"/>
            <w:rFonts w:asciiTheme="minorHAnsi" w:hAnsiTheme="minorHAnsi" w:cstheme="minorHAnsi"/>
            <w:bCs/>
            <w:color w:val="808080" w:themeColor="background1" w:themeShade="80"/>
            <w:sz w:val="16"/>
            <w:szCs w:val="16"/>
            <w:lang w:val="es-AR"/>
          </w:rPr>
          <w:t xml:space="preserve">” </w:t>
        </w:r>
        <w:proofErr w:type="gramEnd"/>
      </w:hyperlink>
      <w:r w:rsidRPr="00930562">
        <w:rPr>
          <w:rFonts w:asciiTheme="minorHAnsi" w:hAnsiTheme="minorHAnsi" w:cstheme="minorHAnsi"/>
          <w:bCs/>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27 de octubre de</w:t>
      </w:r>
      <w:r w:rsidRPr="00930562">
        <w:rPr>
          <w:rFonts w:asciiTheme="minorHAnsi" w:hAnsiTheme="minorHAnsi" w:cstheme="minorHAnsi"/>
          <w:bCs/>
          <w:color w:val="808080" w:themeColor="background1" w:themeShade="80"/>
          <w:sz w:val="16"/>
          <w:szCs w:val="16"/>
          <w:lang w:val="es-AR"/>
        </w:rPr>
        <w:t xml:space="preserve"> 2014</w:t>
      </w:r>
      <w:r w:rsidRPr="00930562">
        <w:rPr>
          <w:rFonts w:asciiTheme="minorHAnsi" w:hAnsiTheme="minorHAnsi" w:cstheme="minorHAnsi"/>
          <w:color w:val="808080" w:themeColor="background1" w:themeShade="80"/>
          <w:sz w:val="16"/>
          <w:szCs w:val="16"/>
          <w:lang w:val="es-AR"/>
        </w:rPr>
        <w:t>.</w:t>
      </w:r>
    </w:p>
  </w:footnote>
  <w:footnote w:id="362">
    <w:p w14:paraId="27FD16DE"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t xml:space="preserve">El hombre que mató a Trayvon Martin fue absuelto de asesinato en segundo grado según la ley SYG de Florida en 2013. Desde su absolución, ha provocado gran controversia pública por poner en subasta el arma que mató a Trayvon Martin, entre otras acciones. </w:t>
      </w:r>
      <w:r w:rsidRPr="00930562">
        <w:rPr>
          <w:rFonts w:asciiTheme="minorHAnsi" w:hAnsiTheme="minorHAnsi" w:cstheme="minorHAnsi"/>
          <w:color w:val="808080" w:themeColor="background1" w:themeShade="80"/>
          <w:sz w:val="16"/>
          <w:szCs w:val="16"/>
        </w:rPr>
        <w:t xml:space="preserve">Washington Post, </w:t>
      </w:r>
      <w:hyperlink r:id="rId441" w:history="1">
        <w:r w:rsidRPr="00930562">
          <w:rPr>
            <w:rStyle w:val="Hyperlink"/>
            <w:rFonts w:asciiTheme="minorHAnsi" w:hAnsiTheme="minorHAnsi" w:cstheme="minorHAnsi"/>
            <w:color w:val="808080" w:themeColor="background1" w:themeShade="80"/>
            <w:sz w:val="16"/>
            <w:szCs w:val="16"/>
          </w:rPr>
          <w:t>George Zimmerman’s many, many controversies since the Trayvon Martin case</w:t>
        </w:r>
      </w:hyperlink>
      <w:r w:rsidRPr="00930562">
        <w:rPr>
          <w:rFonts w:asciiTheme="minorHAnsi" w:hAnsiTheme="minorHAnsi" w:cstheme="minorHAnsi"/>
          <w:color w:val="808080" w:themeColor="background1" w:themeShade="80"/>
          <w:sz w:val="16"/>
          <w:szCs w:val="16"/>
        </w:rPr>
        <w:t>, 12 de mayo de 2016.</w:t>
      </w:r>
    </w:p>
  </w:footnote>
  <w:footnote w:id="363">
    <w:p w14:paraId="394C9CB3" w14:textId="77777777" w:rsidR="00F64540" w:rsidRPr="00930562" w:rsidRDefault="00F64540" w:rsidP="00E00D6E">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bCs/>
          <w:color w:val="808080" w:themeColor="background1" w:themeShade="80"/>
          <w:sz w:val="16"/>
          <w:szCs w:val="16"/>
          <w:lang w:val="es-AR"/>
        </w:rPr>
        <w:t xml:space="preserve">CIDH, 150° Período de Sesiones, </w:t>
      </w:r>
      <w:hyperlink r:id="rId442" w:history="1">
        <w:r w:rsidRPr="00930562">
          <w:rPr>
            <w:rStyle w:val="Hyperlink"/>
            <w:rFonts w:asciiTheme="minorHAnsi" w:hAnsiTheme="minorHAnsi" w:cstheme="minorHAnsi"/>
            <w:bCs/>
            <w:color w:val="808080" w:themeColor="background1" w:themeShade="80"/>
            <w:sz w:val="16"/>
            <w:szCs w:val="16"/>
            <w:lang w:val="es-AR"/>
          </w:rPr>
          <w:t>Audiencia Leyes “Stand Your Ground</w:t>
        </w:r>
        <w:proofErr w:type="gramStart"/>
        <w:r w:rsidRPr="00930562">
          <w:rPr>
            <w:rStyle w:val="Hyperlink"/>
            <w:rFonts w:asciiTheme="minorHAnsi" w:hAnsiTheme="minorHAnsi" w:cstheme="minorHAnsi"/>
            <w:bCs/>
            <w:color w:val="808080" w:themeColor="background1" w:themeShade="80"/>
            <w:sz w:val="16"/>
            <w:szCs w:val="16"/>
            <w:lang w:val="es-AR"/>
          </w:rPr>
          <w:t xml:space="preserve">” </w:t>
        </w:r>
        <w:proofErr w:type="gramEnd"/>
      </w:hyperlink>
      <w:r w:rsidRPr="00930562">
        <w:rPr>
          <w:rFonts w:asciiTheme="minorHAnsi" w:hAnsiTheme="minorHAnsi" w:cstheme="minorHAnsi"/>
          <w:bCs/>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27 de octubre de</w:t>
      </w:r>
      <w:r w:rsidRPr="00930562">
        <w:rPr>
          <w:rFonts w:asciiTheme="minorHAnsi" w:hAnsiTheme="minorHAnsi" w:cstheme="minorHAnsi"/>
          <w:bCs/>
          <w:color w:val="808080" w:themeColor="background1" w:themeShade="80"/>
          <w:sz w:val="16"/>
          <w:szCs w:val="16"/>
          <w:lang w:val="es-AR"/>
        </w:rPr>
        <w:t xml:space="preserve"> 2014</w:t>
      </w:r>
      <w:r w:rsidRPr="00930562">
        <w:rPr>
          <w:rFonts w:asciiTheme="minorHAnsi" w:hAnsiTheme="minorHAnsi" w:cstheme="minorHAnsi"/>
          <w:color w:val="808080" w:themeColor="background1" w:themeShade="80"/>
          <w:sz w:val="16"/>
          <w:szCs w:val="16"/>
          <w:lang w:val="es-AR"/>
        </w:rPr>
        <w:t>.</w:t>
      </w:r>
    </w:p>
  </w:footnote>
  <w:footnote w:id="364">
    <w:p w14:paraId="78E1C044"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r>
      <w:r w:rsidRPr="00930562">
        <w:rPr>
          <w:rFonts w:asciiTheme="minorHAnsi" w:hAnsiTheme="minorHAnsi" w:cstheme="minorHAnsi"/>
          <w:i/>
          <w:color w:val="808080" w:themeColor="background1" w:themeShade="80"/>
          <w:sz w:val="16"/>
          <w:szCs w:val="16"/>
        </w:rPr>
        <w:t>Id</w:t>
      </w:r>
      <w:r w:rsidRPr="00930562">
        <w:rPr>
          <w:rFonts w:asciiTheme="minorHAnsi" w:hAnsiTheme="minorHAnsi" w:cstheme="minorHAnsi"/>
          <w:color w:val="808080" w:themeColor="background1" w:themeShade="80"/>
          <w:sz w:val="16"/>
          <w:szCs w:val="16"/>
        </w:rPr>
        <w:t>.</w:t>
      </w:r>
    </w:p>
  </w:footnote>
  <w:footnote w:id="365">
    <w:p w14:paraId="0799DF27"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New York Times, </w:t>
      </w:r>
      <w:hyperlink r:id="rId443" w:history="1">
        <w:r w:rsidRPr="00930562">
          <w:rPr>
            <w:rStyle w:val="Hyperlink"/>
            <w:rFonts w:asciiTheme="minorHAnsi" w:hAnsiTheme="minorHAnsi" w:cstheme="minorHAnsi"/>
            <w:color w:val="808080" w:themeColor="background1" w:themeShade="80"/>
            <w:sz w:val="16"/>
            <w:szCs w:val="16"/>
          </w:rPr>
          <w:t>Florida Woman Whose ‘Stand Your Ground’ Defense Was Rejected Is Released</w:t>
        </w:r>
      </w:hyperlink>
      <w:r w:rsidRPr="00930562">
        <w:rPr>
          <w:rFonts w:asciiTheme="minorHAnsi" w:hAnsiTheme="minorHAnsi" w:cstheme="minorHAnsi"/>
          <w:color w:val="808080" w:themeColor="background1" w:themeShade="80"/>
          <w:sz w:val="16"/>
          <w:szCs w:val="16"/>
        </w:rPr>
        <w:t>, 7 de febrero de 2017.</w:t>
      </w:r>
    </w:p>
  </w:footnote>
  <w:footnote w:id="366">
    <w:p w14:paraId="351284C1"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US"/>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US"/>
        </w:rPr>
        <w:t xml:space="preserve"> </w:t>
      </w:r>
      <w:r w:rsidRPr="00930562">
        <w:rPr>
          <w:rFonts w:asciiTheme="minorHAnsi" w:hAnsiTheme="minorHAnsi" w:cstheme="minorHAnsi"/>
          <w:color w:val="808080" w:themeColor="background1" w:themeShade="80"/>
          <w:sz w:val="16"/>
          <w:szCs w:val="16"/>
          <w:lang w:val="es-US"/>
        </w:rPr>
        <w:tab/>
        <w:t xml:space="preserve">CIDH, </w:t>
      </w:r>
      <w:hyperlink r:id="rId444" w:history="1">
        <w:r w:rsidRPr="00930562">
          <w:rPr>
            <w:rStyle w:val="Hyperlink"/>
            <w:rFonts w:asciiTheme="minorHAnsi" w:hAnsiTheme="minorHAnsi" w:cstheme="minorHAnsi"/>
            <w:color w:val="808080" w:themeColor="background1" w:themeShade="80"/>
            <w:sz w:val="16"/>
            <w:szCs w:val="16"/>
            <w:lang w:val="es-US"/>
          </w:rPr>
          <w:t>Comunicado de Prensa de Visita in loco</w:t>
        </w:r>
      </w:hyperlink>
      <w:r w:rsidRPr="00930562">
        <w:rPr>
          <w:rFonts w:asciiTheme="minorHAnsi" w:hAnsiTheme="minorHAnsi" w:cstheme="minorHAnsi"/>
          <w:color w:val="808080" w:themeColor="background1" w:themeShade="80"/>
          <w:sz w:val="16"/>
          <w:szCs w:val="16"/>
          <w:lang w:val="es-US"/>
        </w:rPr>
        <w:t>, 16 de octubre de 2015.</w:t>
      </w:r>
    </w:p>
  </w:footnote>
  <w:footnote w:id="367">
    <w:p w14:paraId="227BB2B0"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US"/>
        </w:rPr>
        <w:t xml:space="preserve"> </w:t>
      </w:r>
      <w:r w:rsidRPr="00930562">
        <w:rPr>
          <w:rFonts w:asciiTheme="minorHAnsi" w:hAnsiTheme="minorHAnsi" w:cstheme="minorHAnsi"/>
          <w:color w:val="808080" w:themeColor="background1" w:themeShade="80"/>
          <w:sz w:val="16"/>
          <w:szCs w:val="16"/>
          <w:lang w:val="es-US"/>
        </w:rPr>
        <w:tab/>
      </w:r>
      <w:r w:rsidRPr="00930562">
        <w:rPr>
          <w:rFonts w:asciiTheme="minorHAnsi" w:hAnsiTheme="minorHAnsi" w:cstheme="minorHAnsi"/>
          <w:i/>
          <w:color w:val="808080" w:themeColor="background1" w:themeShade="80"/>
          <w:sz w:val="16"/>
          <w:szCs w:val="16"/>
          <w:lang w:val="es-US"/>
        </w:rPr>
        <w:t>Véase</w:t>
      </w:r>
      <w:r w:rsidRPr="00930562">
        <w:rPr>
          <w:rFonts w:asciiTheme="minorHAnsi" w:hAnsiTheme="minorHAnsi" w:cstheme="minorHAnsi"/>
          <w:color w:val="808080" w:themeColor="background1" w:themeShade="80"/>
          <w:sz w:val="16"/>
          <w:szCs w:val="16"/>
          <w:lang w:val="es-US"/>
        </w:rPr>
        <w:t xml:space="preserve"> Com. Derechos Humanos</w:t>
      </w:r>
      <w:r w:rsidRPr="00930562">
        <w:rPr>
          <w:rFonts w:asciiTheme="minorHAnsi" w:hAnsiTheme="minorHAnsi" w:cstheme="minorHAnsi"/>
          <w:bCs/>
          <w:color w:val="808080" w:themeColor="background1" w:themeShade="80"/>
          <w:sz w:val="16"/>
          <w:szCs w:val="16"/>
          <w:lang w:val="es-US"/>
        </w:rPr>
        <w:t xml:space="preserve">. </w:t>
      </w:r>
      <w:hyperlink r:id="rId445" w:history="1">
        <w:r w:rsidRPr="00930562">
          <w:rPr>
            <w:rStyle w:val="Hyperlink"/>
            <w:rFonts w:asciiTheme="minorHAnsi" w:hAnsiTheme="minorHAnsi" w:cstheme="minorHAnsi"/>
            <w:bCs/>
            <w:color w:val="808080" w:themeColor="background1" w:themeShade="80"/>
            <w:sz w:val="16"/>
            <w:szCs w:val="16"/>
            <w:lang w:val="es-US"/>
          </w:rPr>
          <w:t>Observaciones Finales 2014</w:t>
        </w:r>
      </w:hyperlink>
      <w:r w:rsidRPr="00930562">
        <w:rPr>
          <w:rFonts w:asciiTheme="minorHAnsi" w:hAnsiTheme="minorHAnsi" w:cstheme="minorHAnsi"/>
          <w:bCs/>
          <w:color w:val="808080" w:themeColor="background1" w:themeShade="80"/>
          <w:sz w:val="16"/>
          <w:szCs w:val="16"/>
          <w:lang w:val="es-US"/>
        </w:rPr>
        <w:t>, 23 de abril de 2014</w:t>
      </w:r>
      <w:r w:rsidRPr="00930562">
        <w:rPr>
          <w:rFonts w:asciiTheme="minorHAnsi" w:hAnsiTheme="minorHAnsi" w:cstheme="minorHAnsi"/>
          <w:color w:val="808080" w:themeColor="background1" w:themeShade="80"/>
          <w:sz w:val="16"/>
          <w:szCs w:val="16"/>
          <w:lang w:val="es-US"/>
        </w:rPr>
        <w:t xml:space="preserve">, párr. </w:t>
      </w:r>
      <w:r w:rsidRPr="00930562">
        <w:rPr>
          <w:rFonts w:asciiTheme="minorHAnsi" w:hAnsiTheme="minorHAnsi" w:cstheme="minorHAnsi"/>
          <w:color w:val="808080" w:themeColor="background1" w:themeShade="80"/>
          <w:sz w:val="16"/>
          <w:szCs w:val="16"/>
          <w:lang w:val="es-AR"/>
        </w:rPr>
        <w:t xml:space="preserve">10(b); </w:t>
      </w:r>
      <w:r w:rsidRPr="00930562">
        <w:rPr>
          <w:rFonts w:asciiTheme="minorHAnsi" w:hAnsiTheme="minorHAnsi" w:cstheme="minorHAnsi"/>
          <w:bCs/>
          <w:color w:val="808080" w:themeColor="background1" w:themeShade="80"/>
          <w:sz w:val="16"/>
          <w:szCs w:val="16"/>
          <w:lang w:val="es-AR"/>
        </w:rPr>
        <w:t xml:space="preserve">CERD, </w:t>
      </w:r>
      <w:hyperlink r:id="rId446" w:history="1">
        <w:r w:rsidRPr="00930562">
          <w:rPr>
            <w:rStyle w:val="Hyperlink"/>
            <w:rFonts w:asciiTheme="minorHAnsi" w:hAnsiTheme="minorHAnsi" w:cstheme="minorHAnsi"/>
            <w:bCs/>
            <w:color w:val="808080" w:themeColor="background1" w:themeShade="80"/>
            <w:sz w:val="16"/>
            <w:szCs w:val="16"/>
            <w:lang w:val="es-AR"/>
          </w:rPr>
          <w:t>Observaciones Finales 2014</w:t>
        </w:r>
      </w:hyperlink>
      <w:r w:rsidRPr="00930562">
        <w:rPr>
          <w:rFonts w:asciiTheme="minorHAnsi" w:hAnsiTheme="minorHAnsi" w:cstheme="minorHAnsi"/>
          <w:bCs/>
          <w:color w:val="808080" w:themeColor="background1" w:themeShade="80"/>
          <w:sz w:val="16"/>
          <w:szCs w:val="16"/>
          <w:lang w:val="es-AR"/>
        </w:rPr>
        <w:t>, 25 de septiembre de 2014</w:t>
      </w:r>
      <w:r w:rsidRPr="00930562">
        <w:rPr>
          <w:rFonts w:asciiTheme="minorHAnsi" w:hAnsiTheme="minorHAnsi" w:cstheme="minorHAnsi"/>
          <w:color w:val="808080" w:themeColor="background1" w:themeShade="80"/>
          <w:sz w:val="16"/>
          <w:szCs w:val="16"/>
          <w:lang w:val="es-AR"/>
        </w:rPr>
        <w:t>, párr. 16.</w:t>
      </w:r>
    </w:p>
  </w:footnote>
  <w:footnote w:id="368">
    <w:p w14:paraId="7E82C3DB"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t xml:space="preserve">African American Policy Forum &amp; Center for Intersectionality and Social Policy Studies, </w:t>
      </w:r>
      <w:hyperlink r:id="rId447" w:history="1">
        <w:r w:rsidRPr="00930562">
          <w:rPr>
            <w:rStyle w:val="Hyperlink"/>
            <w:rFonts w:asciiTheme="minorHAnsi" w:hAnsiTheme="minorHAnsi" w:cstheme="minorHAnsi"/>
            <w:color w:val="808080" w:themeColor="background1" w:themeShade="80"/>
            <w:sz w:val="16"/>
            <w:szCs w:val="16"/>
            <w:lang w:val="es-AR"/>
          </w:rPr>
          <w:t>Say Her Name: Resisting Police Brutality against Black Women</w:t>
        </w:r>
      </w:hyperlink>
      <w:r w:rsidRPr="00930562">
        <w:rPr>
          <w:rFonts w:asciiTheme="minorHAnsi" w:hAnsiTheme="minorHAnsi" w:cstheme="minorHAnsi"/>
          <w:color w:val="808080" w:themeColor="background1" w:themeShade="80"/>
          <w:sz w:val="16"/>
          <w:szCs w:val="16"/>
          <w:lang w:val="es-AR"/>
        </w:rPr>
        <w:t xml:space="preserve">, Julio de 2015; </w:t>
      </w:r>
      <w:r w:rsidRPr="00930562">
        <w:rPr>
          <w:rFonts w:asciiTheme="minorHAnsi" w:hAnsiTheme="minorHAnsi" w:cstheme="minorHAnsi"/>
          <w:i/>
          <w:color w:val="808080" w:themeColor="background1" w:themeShade="80"/>
          <w:sz w:val="16"/>
          <w:szCs w:val="16"/>
          <w:lang w:val="es-AR"/>
        </w:rPr>
        <w:t xml:space="preserve">véase además por ejemplo, </w:t>
      </w:r>
      <w:r w:rsidRPr="00930562">
        <w:rPr>
          <w:rFonts w:asciiTheme="minorHAnsi" w:hAnsiTheme="minorHAnsi" w:cstheme="minorHAnsi"/>
          <w:color w:val="808080" w:themeColor="background1" w:themeShade="80"/>
          <w:sz w:val="16"/>
          <w:szCs w:val="16"/>
          <w:lang w:val="es-AR"/>
        </w:rPr>
        <w:t xml:space="preserve">Washington Post, </w:t>
      </w:r>
      <w:hyperlink r:id="rId448" w:history="1">
        <w:r w:rsidRPr="00930562">
          <w:rPr>
            <w:rStyle w:val="Hyperlink"/>
            <w:rFonts w:asciiTheme="minorHAnsi" w:hAnsiTheme="minorHAnsi" w:cstheme="minorHAnsi"/>
            <w:color w:val="808080" w:themeColor="background1" w:themeShade="80"/>
            <w:sz w:val="16"/>
            <w:szCs w:val="16"/>
            <w:lang w:val="es-AR"/>
          </w:rPr>
          <w:t>Disgraced ex-cop Daniel Holtzclaw sentenced to 263 years for on-duty rapes, sexual assault</w:t>
        </w:r>
      </w:hyperlink>
      <w:r w:rsidRPr="00930562">
        <w:rPr>
          <w:rFonts w:asciiTheme="minorHAnsi" w:hAnsiTheme="minorHAnsi" w:cstheme="minorHAnsi"/>
          <w:color w:val="808080" w:themeColor="background1" w:themeShade="80"/>
          <w:sz w:val="16"/>
          <w:szCs w:val="16"/>
          <w:lang w:val="es-AR"/>
        </w:rPr>
        <w:t>s, 22 de enero de 2016 (“Holtzclaw fue acusado de cometer delitos sexuales contra 13 mujeres afroamericanas mientras patrullaba un vecindario de bajos ingresos, un caso motivado por condición de raza que despertó la atención nacional”).</w:t>
      </w:r>
    </w:p>
  </w:footnote>
  <w:footnote w:id="369">
    <w:p w14:paraId="79A0920E"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US"/>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US"/>
        </w:rPr>
        <w:t xml:space="preserve"> </w:t>
      </w:r>
      <w:r w:rsidRPr="00930562">
        <w:rPr>
          <w:rFonts w:asciiTheme="minorHAnsi" w:hAnsiTheme="minorHAnsi" w:cstheme="minorHAnsi"/>
          <w:color w:val="808080" w:themeColor="background1" w:themeShade="80"/>
          <w:sz w:val="16"/>
          <w:szCs w:val="16"/>
          <w:lang w:val="es-US"/>
        </w:rPr>
        <w:tab/>
        <w:t xml:space="preserve">CIDH, </w:t>
      </w:r>
      <w:hyperlink r:id="rId449" w:history="1">
        <w:r w:rsidRPr="00930562">
          <w:rPr>
            <w:rStyle w:val="Hyperlink"/>
            <w:rFonts w:asciiTheme="minorHAnsi" w:hAnsiTheme="minorHAnsi" w:cstheme="minorHAnsi"/>
            <w:color w:val="808080" w:themeColor="background1" w:themeShade="80"/>
            <w:sz w:val="16"/>
            <w:szCs w:val="16"/>
            <w:lang w:val="es-US"/>
          </w:rPr>
          <w:t>Comunicado de Prensa de Visita in loco</w:t>
        </w:r>
      </w:hyperlink>
      <w:r w:rsidRPr="00930562">
        <w:rPr>
          <w:rFonts w:asciiTheme="minorHAnsi" w:hAnsiTheme="minorHAnsi" w:cstheme="minorHAnsi"/>
          <w:color w:val="808080" w:themeColor="background1" w:themeShade="80"/>
          <w:sz w:val="16"/>
          <w:szCs w:val="16"/>
          <w:lang w:val="es-US"/>
        </w:rPr>
        <w:t>, 16 de octubre de 2015.</w:t>
      </w:r>
    </w:p>
  </w:footnote>
  <w:footnote w:id="370">
    <w:p w14:paraId="201019B3"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rPr>
        <w:t xml:space="preserve"> </w:t>
      </w:r>
      <w:r w:rsidRPr="00930562">
        <w:rPr>
          <w:rFonts w:asciiTheme="minorHAnsi" w:hAnsiTheme="minorHAnsi" w:cstheme="majorHAnsi"/>
          <w:color w:val="808080" w:themeColor="background1" w:themeShade="80"/>
          <w:sz w:val="16"/>
          <w:szCs w:val="16"/>
        </w:rPr>
        <w:tab/>
      </w:r>
      <w:r w:rsidRPr="00930562">
        <w:rPr>
          <w:rFonts w:asciiTheme="minorHAnsi" w:hAnsiTheme="minorHAnsi" w:cstheme="minorHAnsi"/>
          <w:i/>
          <w:color w:val="808080" w:themeColor="background1" w:themeShade="80"/>
          <w:sz w:val="16"/>
          <w:szCs w:val="16"/>
        </w:rPr>
        <w:t xml:space="preserve">Véase por ejemplo, </w:t>
      </w:r>
      <w:hyperlink r:id="rId450" w:history="1">
        <w:r w:rsidRPr="00930562">
          <w:rPr>
            <w:rStyle w:val="Hyperlink"/>
            <w:rFonts w:asciiTheme="minorHAnsi" w:hAnsiTheme="minorHAnsi" w:cstheme="minorHAnsi"/>
            <w:color w:val="808080" w:themeColor="background1" w:themeShade="80"/>
            <w:sz w:val="16"/>
            <w:szCs w:val="16"/>
          </w:rPr>
          <w:t>The Ruderman White Paper on Media Coverage of Law Enforcement Use of Force and Disability: a Media Study (2013-2015) and Overview</w:t>
        </w:r>
      </w:hyperlink>
      <w:r w:rsidRPr="00930562">
        <w:rPr>
          <w:rFonts w:asciiTheme="minorHAnsi" w:hAnsiTheme="minorHAnsi" w:cstheme="minorHAnsi"/>
          <w:color w:val="808080" w:themeColor="background1" w:themeShade="80"/>
          <w:sz w:val="16"/>
          <w:szCs w:val="16"/>
        </w:rPr>
        <w:t xml:space="preserve">, marzo de 2016; Treatment Advocacy Center, </w:t>
      </w:r>
      <w:hyperlink r:id="rId451" w:history="1">
        <w:r w:rsidRPr="00930562">
          <w:rPr>
            <w:rStyle w:val="Hyperlink"/>
            <w:rFonts w:asciiTheme="minorHAnsi" w:hAnsiTheme="minorHAnsi" w:cstheme="minorHAnsi"/>
            <w:color w:val="808080" w:themeColor="background1" w:themeShade="80"/>
            <w:sz w:val="16"/>
            <w:szCs w:val="16"/>
          </w:rPr>
          <w:t>Overlooked in the Undercounted: The Role of Mental Illness in Fatal Law Enforcement Encounters</w:t>
        </w:r>
      </w:hyperlink>
      <w:r w:rsidRPr="00930562">
        <w:rPr>
          <w:rFonts w:asciiTheme="minorHAnsi" w:hAnsiTheme="minorHAnsi" w:cstheme="minorHAnsi"/>
          <w:color w:val="808080" w:themeColor="background1" w:themeShade="80"/>
          <w:sz w:val="16"/>
          <w:szCs w:val="16"/>
        </w:rPr>
        <w:t xml:space="preserve">, diciembre de 2015. </w:t>
      </w:r>
    </w:p>
  </w:footnote>
  <w:footnote w:id="371">
    <w:p w14:paraId="24B6B02F" w14:textId="77777777" w:rsidR="00F64540" w:rsidRPr="00930562" w:rsidRDefault="00F64540" w:rsidP="00E10935">
      <w:pPr>
        <w:pStyle w:val="FootnoteText"/>
        <w:spacing w:after="40"/>
        <w:ind w:left="547" w:hanging="547"/>
        <w:contextualSpacing/>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US"/>
        </w:rPr>
        <w:t xml:space="preserve"> </w:t>
      </w:r>
      <w:r w:rsidRPr="00930562">
        <w:rPr>
          <w:rFonts w:asciiTheme="minorHAnsi" w:hAnsiTheme="minorHAnsi" w:cstheme="minorHAnsi"/>
          <w:color w:val="808080" w:themeColor="background1" w:themeShade="80"/>
          <w:sz w:val="16"/>
          <w:szCs w:val="16"/>
          <w:lang w:val="es-US"/>
        </w:rPr>
        <w:tab/>
        <w:t xml:space="preserve">Washington Post, </w:t>
      </w:r>
      <w:hyperlink r:id="rId452" w:history="1">
        <w:r w:rsidRPr="00930562">
          <w:rPr>
            <w:rStyle w:val="Hyperlink"/>
            <w:rFonts w:asciiTheme="minorHAnsi" w:hAnsiTheme="minorHAnsi" w:cstheme="minorHAnsi"/>
            <w:color w:val="808080" w:themeColor="background1" w:themeShade="80"/>
            <w:sz w:val="16"/>
            <w:szCs w:val="16"/>
            <w:lang w:val="es-US"/>
          </w:rPr>
          <w:t>Fata</w:t>
        </w:r>
      </w:hyperlink>
      <w:r w:rsidRPr="00930562">
        <w:rPr>
          <w:rStyle w:val="Hyperlink"/>
          <w:rFonts w:asciiTheme="minorHAnsi" w:hAnsiTheme="minorHAnsi" w:cstheme="minorHAnsi"/>
          <w:color w:val="808080" w:themeColor="background1" w:themeShade="80"/>
          <w:sz w:val="16"/>
          <w:szCs w:val="16"/>
          <w:lang w:val="es-US"/>
        </w:rPr>
        <w:t>l Force: 2017</w:t>
      </w:r>
      <w:r w:rsidRPr="00930562">
        <w:rPr>
          <w:rFonts w:asciiTheme="minorHAnsi" w:hAnsiTheme="minorHAnsi" w:cstheme="minorHAnsi"/>
          <w:color w:val="808080" w:themeColor="background1" w:themeShade="80"/>
          <w:sz w:val="16"/>
          <w:szCs w:val="16"/>
          <w:lang w:val="es-US"/>
        </w:rPr>
        <w:t xml:space="preserve">, última visita 8 de diciembre de 2017; </w:t>
      </w:r>
      <w:hyperlink r:id="rId453" w:history="1">
        <w:r w:rsidRPr="00930562">
          <w:rPr>
            <w:rStyle w:val="Hyperlink"/>
            <w:rFonts w:asciiTheme="minorHAnsi" w:hAnsiTheme="minorHAnsi" w:cstheme="minorHAnsi"/>
            <w:color w:val="808080" w:themeColor="background1" w:themeShade="80"/>
            <w:sz w:val="16"/>
            <w:szCs w:val="16"/>
            <w:lang w:val="es-US"/>
          </w:rPr>
          <w:t>Fatal Force: 2016</w:t>
        </w:r>
      </w:hyperlink>
      <w:r w:rsidRPr="00930562">
        <w:rPr>
          <w:rFonts w:asciiTheme="minorHAnsi" w:hAnsiTheme="minorHAnsi" w:cstheme="minorHAnsi"/>
          <w:color w:val="808080" w:themeColor="background1" w:themeShade="80"/>
          <w:sz w:val="16"/>
          <w:szCs w:val="16"/>
          <w:lang w:val="es-US"/>
        </w:rPr>
        <w:t xml:space="preserve">, última visita 8 de diciembre de 2017; </w:t>
      </w:r>
      <w:hyperlink r:id="rId454" w:history="1">
        <w:r w:rsidRPr="00930562">
          <w:rPr>
            <w:rStyle w:val="Hyperlink"/>
            <w:rFonts w:asciiTheme="minorHAnsi" w:hAnsiTheme="minorHAnsi" w:cstheme="minorHAnsi"/>
            <w:color w:val="808080" w:themeColor="background1" w:themeShade="80"/>
            <w:sz w:val="16"/>
            <w:szCs w:val="16"/>
            <w:lang w:val="es-US"/>
          </w:rPr>
          <w:t>Fatal Force: 2015</w:t>
        </w:r>
      </w:hyperlink>
      <w:r w:rsidRPr="00930562">
        <w:rPr>
          <w:rFonts w:asciiTheme="minorHAnsi" w:hAnsiTheme="minorHAnsi" w:cstheme="minorHAnsi"/>
          <w:color w:val="808080" w:themeColor="background1" w:themeShade="80"/>
          <w:sz w:val="16"/>
          <w:szCs w:val="16"/>
          <w:lang w:val="es-US"/>
        </w:rPr>
        <w:t xml:space="preserve">, última visita 8 de diciembre de 2017. </w:t>
      </w:r>
      <w:r w:rsidRPr="00930562">
        <w:rPr>
          <w:rFonts w:asciiTheme="minorHAnsi" w:hAnsiTheme="minorHAnsi" w:cstheme="minorHAnsi"/>
          <w:color w:val="808080" w:themeColor="background1" w:themeShade="80"/>
          <w:sz w:val="16"/>
          <w:szCs w:val="16"/>
          <w:lang w:val="es-AR"/>
        </w:rPr>
        <w:t xml:space="preserve">Estos cálculos son conservadores, ya que sólo incluyen a aquellos identificados por la familia o policías como personas con enfermedades mentales.  </w:t>
      </w:r>
    </w:p>
  </w:footnote>
  <w:footnote w:id="372">
    <w:p w14:paraId="0F91D1D8"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Miami Herald, </w:t>
      </w:r>
      <w:hyperlink r:id="rId455" w:history="1">
        <w:r w:rsidRPr="00930562">
          <w:rPr>
            <w:rStyle w:val="Hyperlink"/>
            <w:rFonts w:asciiTheme="minorHAnsi" w:hAnsiTheme="minorHAnsi" w:cstheme="minorHAnsi"/>
            <w:color w:val="808080" w:themeColor="background1" w:themeShade="80"/>
            <w:sz w:val="16"/>
            <w:szCs w:val="16"/>
          </w:rPr>
          <w:t>Family: Video shows Miami Gardens police didn’t need to shoot mentally ill man</w:t>
        </w:r>
      </w:hyperlink>
      <w:r w:rsidRPr="00930562">
        <w:rPr>
          <w:rFonts w:asciiTheme="minorHAnsi" w:hAnsiTheme="minorHAnsi" w:cstheme="minorHAnsi"/>
          <w:color w:val="808080" w:themeColor="background1" w:themeShade="80"/>
          <w:sz w:val="16"/>
          <w:szCs w:val="16"/>
        </w:rPr>
        <w:t>, 8 de abril de 2015.</w:t>
      </w:r>
    </w:p>
  </w:footnote>
  <w:footnote w:id="373">
    <w:p w14:paraId="682C0BFB" w14:textId="31F3E1E3"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r>
      <w:r w:rsidRPr="00930562">
        <w:rPr>
          <w:rFonts w:asciiTheme="minorHAnsi" w:hAnsiTheme="minorHAnsi" w:cstheme="minorHAnsi"/>
          <w:i/>
          <w:color w:val="808080" w:themeColor="background1" w:themeShade="80"/>
          <w:sz w:val="16"/>
          <w:szCs w:val="16"/>
        </w:rPr>
        <w:t>Véase por ejemplo</w:t>
      </w:r>
      <w:r w:rsidRPr="00930562">
        <w:rPr>
          <w:rFonts w:asciiTheme="minorHAnsi" w:hAnsiTheme="minorHAnsi" w:cstheme="minorHAnsi"/>
          <w:color w:val="808080" w:themeColor="background1" w:themeShade="80"/>
          <w:sz w:val="16"/>
          <w:szCs w:val="16"/>
        </w:rPr>
        <w:t xml:space="preserve">, NPR, </w:t>
      </w:r>
      <w:hyperlink r:id="rId456" w:history="1">
        <w:r w:rsidRPr="00930562">
          <w:rPr>
            <w:rStyle w:val="Hyperlink"/>
            <w:rFonts w:asciiTheme="minorHAnsi" w:hAnsiTheme="minorHAnsi" w:cstheme="minorHAnsi"/>
            <w:color w:val="808080" w:themeColor="background1" w:themeShade="80"/>
            <w:sz w:val="16"/>
            <w:szCs w:val="16"/>
          </w:rPr>
          <w:t xml:space="preserve">Of All U.S. Police Shootings, One-Quarter Reportedly Involve </w:t>
        </w:r>
        <w:proofErr w:type="gramStart"/>
        <w:r w:rsidRPr="00930562">
          <w:rPr>
            <w:rStyle w:val="Hyperlink"/>
            <w:rFonts w:asciiTheme="minorHAnsi" w:hAnsiTheme="minorHAnsi" w:cstheme="minorHAnsi"/>
            <w:color w:val="808080" w:themeColor="background1" w:themeShade="80"/>
            <w:sz w:val="16"/>
            <w:szCs w:val="16"/>
          </w:rPr>
          <w:t>The</w:t>
        </w:r>
        <w:proofErr w:type="gramEnd"/>
        <w:r w:rsidRPr="00930562">
          <w:rPr>
            <w:rStyle w:val="Hyperlink"/>
            <w:rFonts w:asciiTheme="minorHAnsi" w:hAnsiTheme="minorHAnsi" w:cstheme="minorHAnsi"/>
            <w:color w:val="808080" w:themeColor="background1" w:themeShade="80"/>
            <w:sz w:val="16"/>
            <w:szCs w:val="16"/>
          </w:rPr>
          <w:t xml:space="preserve"> Mentally Ill</w:t>
        </w:r>
      </w:hyperlink>
      <w:r w:rsidRPr="00930562">
        <w:rPr>
          <w:rFonts w:asciiTheme="minorHAnsi" w:hAnsiTheme="minorHAnsi" w:cstheme="minorHAnsi"/>
          <w:color w:val="808080" w:themeColor="background1" w:themeShade="80"/>
          <w:sz w:val="16"/>
          <w:szCs w:val="16"/>
        </w:rPr>
        <w:t xml:space="preserve">, 4 de julio de 2015; </w:t>
      </w:r>
      <w:r w:rsidRPr="00930562">
        <w:rPr>
          <w:rFonts w:asciiTheme="minorHAnsi" w:hAnsiTheme="minorHAnsi" w:cstheme="minorHAnsi"/>
          <w:i/>
          <w:color w:val="808080" w:themeColor="background1" w:themeShade="80"/>
          <w:sz w:val="16"/>
          <w:szCs w:val="16"/>
        </w:rPr>
        <w:t xml:space="preserve">véase supra </w:t>
      </w:r>
      <w:r w:rsidRPr="00930562">
        <w:rPr>
          <w:rFonts w:asciiTheme="minorHAnsi" w:hAnsiTheme="minorHAnsi" w:cstheme="minorHAnsi"/>
          <w:color w:val="808080" w:themeColor="background1" w:themeShade="80"/>
          <w:sz w:val="16"/>
          <w:szCs w:val="16"/>
        </w:rPr>
        <w:t xml:space="preserve">nota </w:t>
      </w:r>
      <w:r w:rsidRPr="00930562">
        <w:rPr>
          <w:rFonts w:asciiTheme="minorHAnsi" w:hAnsiTheme="minorHAnsi" w:cstheme="minorHAnsi"/>
          <w:color w:val="808080" w:themeColor="background1" w:themeShade="80"/>
          <w:sz w:val="16"/>
          <w:szCs w:val="16"/>
        </w:rPr>
        <w:fldChar w:fldCharType="begin"/>
      </w:r>
      <w:r w:rsidRPr="00930562">
        <w:rPr>
          <w:rFonts w:asciiTheme="minorHAnsi" w:hAnsiTheme="minorHAnsi" w:cstheme="minorHAnsi"/>
          <w:color w:val="808080" w:themeColor="background1" w:themeShade="80"/>
          <w:sz w:val="16"/>
          <w:szCs w:val="16"/>
        </w:rPr>
        <w:instrText xml:space="preserve"> NOTEREF _Ref511832973 \h  \* MERGEFORMAT </w:instrText>
      </w:r>
      <w:r w:rsidRPr="00930562">
        <w:rPr>
          <w:rFonts w:asciiTheme="minorHAnsi" w:hAnsiTheme="minorHAnsi" w:cstheme="minorHAnsi"/>
          <w:color w:val="808080" w:themeColor="background1" w:themeShade="80"/>
          <w:sz w:val="16"/>
          <w:szCs w:val="16"/>
        </w:rPr>
      </w:r>
      <w:r w:rsidRPr="00930562">
        <w:rPr>
          <w:rFonts w:asciiTheme="minorHAnsi" w:hAnsiTheme="minorHAnsi" w:cstheme="minorHAnsi"/>
          <w:color w:val="808080" w:themeColor="background1" w:themeShade="80"/>
          <w:sz w:val="16"/>
          <w:szCs w:val="16"/>
        </w:rPr>
        <w:fldChar w:fldCharType="separate"/>
      </w:r>
      <w:r w:rsidRPr="00930562">
        <w:rPr>
          <w:rFonts w:asciiTheme="minorHAnsi" w:hAnsiTheme="minorHAnsi" w:cstheme="minorHAnsi"/>
          <w:color w:val="808080" w:themeColor="background1" w:themeShade="80"/>
          <w:sz w:val="16"/>
          <w:szCs w:val="16"/>
        </w:rPr>
        <w:t>103</w:t>
      </w:r>
      <w:r w:rsidRPr="00930562">
        <w:rPr>
          <w:rFonts w:asciiTheme="minorHAnsi" w:hAnsiTheme="minorHAnsi" w:cstheme="minorHAnsi"/>
          <w:color w:val="808080" w:themeColor="background1" w:themeShade="80"/>
          <w:sz w:val="16"/>
          <w:szCs w:val="16"/>
        </w:rPr>
        <w:fldChar w:fldCharType="end"/>
      </w:r>
      <w:r w:rsidRPr="00930562">
        <w:rPr>
          <w:rFonts w:asciiTheme="minorHAnsi" w:hAnsiTheme="minorHAnsi" w:cstheme="minorHAnsi"/>
          <w:color w:val="808080" w:themeColor="background1" w:themeShade="80"/>
          <w:sz w:val="16"/>
          <w:szCs w:val="16"/>
        </w:rPr>
        <w:t>.</w:t>
      </w:r>
    </w:p>
  </w:footnote>
  <w:footnote w:id="374">
    <w:p w14:paraId="7CD48514"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bCs/>
          <w:color w:val="808080" w:themeColor="background1" w:themeShade="80"/>
          <w:sz w:val="16"/>
          <w:szCs w:val="16"/>
          <w:lang w:val="es-AR"/>
        </w:rPr>
        <w:t xml:space="preserve">CIDH, 166° Período de Sesiones, </w:t>
      </w:r>
      <w:hyperlink r:id="rId457" w:history="1">
        <w:r w:rsidRPr="00930562">
          <w:rPr>
            <w:rStyle w:val="Hyperlink"/>
            <w:rFonts w:asciiTheme="minorHAnsi" w:hAnsiTheme="minorHAnsi" w:cstheme="minorHAnsi"/>
            <w:bCs/>
            <w:color w:val="808080" w:themeColor="background1" w:themeShade="80"/>
            <w:sz w:val="16"/>
            <w:szCs w:val="16"/>
            <w:lang w:val="es-AR"/>
          </w:rPr>
          <w:t>Audiencia “Impunidad de Asesinatos Policiales</w:t>
        </w:r>
        <w:proofErr w:type="gramStart"/>
        <w:r w:rsidRPr="00930562">
          <w:rPr>
            <w:rStyle w:val="Hyperlink"/>
            <w:rFonts w:asciiTheme="minorHAnsi" w:hAnsiTheme="minorHAnsi" w:cstheme="minorHAnsi"/>
            <w:bCs/>
            <w:color w:val="808080" w:themeColor="background1" w:themeShade="80"/>
            <w:sz w:val="16"/>
            <w:szCs w:val="16"/>
            <w:lang w:val="es-AR"/>
          </w:rPr>
          <w:t xml:space="preserve">” </w:t>
        </w:r>
        <w:proofErr w:type="gramEnd"/>
      </w:hyperlink>
      <w:r w:rsidRPr="00930562">
        <w:rPr>
          <w:rFonts w:asciiTheme="minorHAnsi" w:hAnsiTheme="minorHAnsi" w:cstheme="minorHAnsi"/>
          <w:bCs/>
          <w:color w:val="808080" w:themeColor="background1" w:themeShade="80"/>
          <w:sz w:val="16"/>
          <w:szCs w:val="16"/>
          <w:lang w:val="es-AR"/>
        </w:rPr>
        <w:t>,</w:t>
      </w:r>
      <w:r w:rsidRPr="00930562">
        <w:rPr>
          <w:rFonts w:asciiTheme="minorHAnsi" w:hAnsiTheme="minorHAnsi" w:cstheme="minorHAnsi"/>
          <w:color w:val="808080" w:themeColor="background1" w:themeShade="80"/>
          <w:sz w:val="16"/>
          <w:szCs w:val="16"/>
          <w:lang w:val="es-AR"/>
        </w:rPr>
        <w:t xml:space="preserve"> 7 de diciembre de </w:t>
      </w:r>
      <w:r w:rsidRPr="00930562">
        <w:rPr>
          <w:rFonts w:asciiTheme="minorHAnsi" w:hAnsiTheme="minorHAnsi" w:cstheme="minorHAnsi"/>
          <w:bCs/>
          <w:color w:val="808080" w:themeColor="background1" w:themeShade="80"/>
          <w:sz w:val="16"/>
          <w:szCs w:val="16"/>
          <w:lang w:val="es-AR"/>
        </w:rPr>
        <w:t>2017</w:t>
      </w:r>
      <w:r w:rsidRPr="00930562">
        <w:rPr>
          <w:rFonts w:asciiTheme="minorHAnsi" w:hAnsiTheme="minorHAnsi" w:cstheme="minorHAnsi"/>
          <w:color w:val="808080" w:themeColor="background1" w:themeShade="80"/>
          <w:sz w:val="16"/>
          <w:szCs w:val="16"/>
          <w:lang w:val="es-AR"/>
        </w:rPr>
        <w:t>.</w:t>
      </w:r>
    </w:p>
  </w:footnote>
  <w:footnote w:id="375">
    <w:p w14:paraId="22BC35F6" w14:textId="77777777" w:rsidR="00F64540" w:rsidRPr="00930562" w:rsidRDefault="00F64540" w:rsidP="00E00D6E">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t>CIDH</w:t>
      </w:r>
      <w:r w:rsidRPr="00930562">
        <w:rPr>
          <w:rFonts w:asciiTheme="minorHAnsi" w:hAnsiTheme="minorHAnsi" w:cstheme="minorHAnsi"/>
          <w:bCs/>
          <w:color w:val="808080" w:themeColor="background1" w:themeShade="80"/>
          <w:sz w:val="16"/>
          <w:szCs w:val="16"/>
          <w:lang w:val="es-AR"/>
        </w:rPr>
        <w:t xml:space="preserve">, 153° Período de Sesiones, </w:t>
      </w:r>
      <w:hyperlink r:id="rId458" w:history="1">
        <w:r w:rsidRPr="00930562">
          <w:rPr>
            <w:rStyle w:val="Hyperlink"/>
            <w:rFonts w:asciiTheme="minorHAnsi" w:hAnsiTheme="minorHAnsi" w:cstheme="minorHAnsi"/>
            <w:bCs/>
            <w:color w:val="808080" w:themeColor="background1" w:themeShade="80"/>
            <w:sz w:val="16"/>
            <w:szCs w:val="16"/>
            <w:lang w:val="es-AR"/>
          </w:rPr>
          <w:t>“Racismo en el Sistema de Justicia”</w:t>
        </w:r>
      </w:hyperlink>
      <w:r w:rsidRPr="00930562">
        <w:rPr>
          <w:rFonts w:asciiTheme="minorHAnsi" w:hAnsiTheme="minorHAnsi" w:cstheme="minorHAnsi"/>
          <w:bCs/>
          <w:color w:val="808080" w:themeColor="background1" w:themeShade="80"/>
          <w:sz w:val="16"/>
          <w:szCs w:val="16"/>
          <w:lang w:val="es-AR"/>
        </w:rPr>
        <w:t xml:space="preserve"> audiencia, 27 de octubre de 2014,</w:t>
      </w:r>
    </w:p>
  </w:footnote>
  <w:footnote w:id="376">
    <w:p w14:paraId="758AC9AE"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NBC News, </w:t>
      </w:r>
      <w:hyperlink r:id="rId459" w:history="1">
        <w:r w:rsidRPr="00930562">
          <w:rPr>
            <w:rStyle w:val="Hyperlink"/>
            <w:rFonts w:asciiTheme="minorHAnsi" w:hAnsiTheme="minorHAnsi" w:cstheme="minorHAnsi"/>
            <w:color w:val="808080" w:themeColor="background1" w:themeShade="80"/>
            <w:sz w:val="16"/>
            <w:szCs w:val="16"/>
          </w:rPr>
          <w:t>Tamir Rice Shooting: Newly Released Interview Reveals Cop’s Shifting Story</w:t>
        </w:r>
      </w:hyperlink>
      <w:r w:rsidRPr="00930562">
        <w:rPr>
          <w:rFonts w:asciiTheme="minorHAnsi" w:hAnsiTheme="minorHAnsi" w:cstheme="minorHAnsi"/>
          <w:color w:val="808080" w:themeColor="background1" w:themeShade="80"/>
          <w:sz w:val="16"/>
          <w:szCs w:val="16"/>
        </w:rPr>
        <w:t>, 26 de abril de 2017.</w:t>
      </w:r>
    </w:p>
  </w:footnote>
  <w:footnote w:id="377">
    <w:p w14:paraId="68681258"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Washington Post, </w:t>
      </w:r>
      <w:hyperlink r:id="rId460" w:history="1">
        <w:r w:rsidRPr="00930562">
          <w:rPr>
            <w:rStyle w:val="Hyperlink"/>
            <w:rFonts w:asciiTheme="minorHAnsi" w:hAnsiTheme="minorHAnsi" w:cstheme="minorHAnsi"/>
            <w:color w:val="808080" w:themeColor="background1" w:themeShade="80"/>
            <w:sz w:val="16"/>
            <w:szCs w:val="16"/>
          </w:rPr>
          <w:t>Darren Wilson explains why he killed Michael Brown</w:t>
        </w:r>
      </w:hyperlink>
      <w:r w:rsidRPr="00930562">
        <w:rPr>
          <w:rFonts w:asciiTheme="minorHAnsi" w:hAnsiTheme="minorHAnsi" w:cstheme="minorHAnsi"/>
          <w:color w:val="808080" w:themeColor="background1" w:themeShade="80"/>
          <w:sz w:val="16"/>
          <w:szCs w:val="16"/>
        </w:rPr>
        <w:t>, 25 de noviembre de 2014.</w:t>
      </w:r>
    </w:p>
  </w:footnote>
  <w:footnote w:id="378">
    <w:p w14:paraId="7B94A497"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US"/>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US"/>
        </w:rPr>
        <w:t xml:space="preserve"> </w:t>
      </w:r>
      <w:r w:rsidRPr="00930562">
        <w:rPr>
          <w:rFonts w:asciiTheme="minorHAnsi" w:hAnsiTheme="minorHAnsi" w:cstheme="minorHAnsi"/>
          <w:color w:val="808080" w:themeColor="background1" w:themeShade="80"/>
          <w:sz w:val="16"/>
          <w:szCs w:val="16"/>
          <w:lang w:val="es-US"/>
        </w:rPr>
        <w:tab/>
        <w:t xml:space="preserve">CIDH, </w:t>
      </w:r>
      <w:hyperlink r:id="rId461" w:history="1">
        <w:r w:rsidRPr="00930562">
          <w:rPr>
            <w:rStyle w:val="Hyperlink"/>
            <w:rFonts w:asciiTheme="minorHAnsi" w:hAnsiTheme="minorHAnsi" w:cstheme="minorHAnsi"/>
            <w:color w:val="808080" w:themeColor="background1" w:themeShade="80"/>
            <w:sz w:val="16"/>
            <w:szCs w:val="16"/>
            <w:lang w:val="es-US"/>
          </w:rPr>
          <w:t>Comunicado de Prensa de Visita in loco</w:t>
        </w:r>
      </w:hyperlink>
      <w:r w:rsidRPr="00930562">
        <w:rPr>
          <w:rFonts w:asciiTheme="minorHAnsi" w:hAnsiTheme="minorHAnsi" w:cstheme="minorHAnsi"/>
          <w:color w:val="808080" w:themeColor="background1" w:themeShade="80"/>
          <w:sz w:val="16"/>
          <w:szCs w:val="16"/>
          <w:lang w:val="es-US"/>
        </w:rPr>
        <w:t xml:space="preserve">, 16 de octubre de 2015. </w:t>
      </w:r>
      <w:r w:rsidRPr="00930562">
        <w:rPr>
          <w:rFonts w:asciiTheme="minorHAnsi" w:hAnsiTheme="minorHAnsi" w:cstheme="minorHAnsi"/>
          <w:i/>
          <w:color w:val="808080" w:themeColor="background1" w:themeShade="80"/>
          <w:sz w:val="16"/>
          <w:szCs w:val="16"/>
          <w:lang w:val="es-US"/>
        </w:rPr>
        <w:t>Véase además,</w:t>
      </w:r>
      <w:r w:rsidRPr="00930562">
        <w:rPr>
          <w:rFonts w:asciiTheme="minorHAnsi" w:hAnsiTheme="minorHAnsi" w:cstheme="minorHAnsi"/>
          <w:color w:val="808080" w:themeColor="background1" w:themeShade="80"/>
          <w:sz w:val="16"/>
          <w:szCs w:val="16"/>
          <w:lang w:val="es-US"/>
        </w:rPr>
        <w:t xml:space="preserve"> Comunicado de Prensa No. 134/14, </w:t>
      </w:r>
      <w:hyperlink r:id="rId462" w:history="1">
        <w:r w:rsidRPr="00930562">
          <w:rPr>
            <w:rStyle w:val="Hyperlink"/>
            <w:rFonts w:asciiTheme="minorHAnsi" w:hAnsiTheme="minorHAnsi" w:cstheme="minorHAnsi"/>
            <w:color w:val="808080" w:themeColor="background1" w:themeShade="80"/>
            <w:sz w:val="16"/>
            <w:szCs w:val="16"/>
            <w:lang w:val="es-US"/>
          </w:rPr>
          <w:t>CIDH visita Colorado, Estados Unidos</w:t>
        </w:r>
      </w:hyperlink>
      <w:r w:rsidRPr="00930562">
        <w:rPr>
          <w:rFonts w:asciiTheme="minorHAnsi" w:hAnsiTheme="minorHAnsi" w:cstheme="minorHAnsi"/>
          <w:color w:val="808080" w:themeColor="background1" w:themeShade="80"/>
          <w:sz w:val="16"/>
          <w:szCs w:val="16"/>
          <w:lang w:val="es-US"/>
        </w:rPr>
        <w:t xml:space="preserve">, 14 de noviembre de 2014; Comunicado de Prensa No. 44/14, </w:t>
      </w:r>
      <w:hyperlink r:id="rId463" w:history="1">
        <w:r w:rsidRPr="00930562">
          <w:rPr>
            <w:rStyle w:val="Hyperlink"/>
            <w:rFonts w:asciiTheme="minorHAnsi" w:hAnsiTheme="minorHAnsi" w:cstheme="minorHAnsi"/>
            <w:color w:val="808080" w:themeColor="background1" w:themeShade="80"/>
            <w:sz w:val="16"/>
            <w:szCs w:val="16"/>
            <w:lang w:val="es-US"/>
          </w:rPr>
          <w:t>CIDH realizó visita a Nueva York, Estados Unidos,</w:t>
        </w:r>
      </w:hyperlink>
      <w:r w:rsidRPr="00930562">
        <w:rPr>
          <w:rFonts w:asciiTheme="minorHAnsi" w:hAnsiTheme="minorHAnsi" w:cstheme="minorHAnsi"/>
          <w:color w:val="808080" w:themeColor="background1" w:themeShade="80"/>
          <w:sz w:val="16"/>
          <w:szCs w:val="16"/>
          <w:lang w:val="es-US"/>
        </w:rPr>
        <w:t xml:space="preserve"> 24 de abril de 2014.</w:t>
      </w:r>
    </w:p>
  </w:footnote>
  <w:footnote w:id="379">
    <w:p w14:paraId="107B20E8"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t xml:space="preserve">CIDH, </w:t>
      </w:r>
      <w:hyperlink r:id="rId464" w:history="1">
        <w:r w:rsidRPr="00930562">
          <w:rPr>
            <w:rStyle w:val="Hyperlink"/>
            <w:rFonts w:asciiTheme="minorHAnsi" w:hAnsiTheme="minorHAnsi" w:cstheme="minorHAnsi"/>
            <w:color w:val="808080" w:themeColor="background1" w:themeShade="80"/>
            <w:sz w:val="16"/>
            <w:szCs w:val="16"/>
            <w:lang w:val="es-AR"/>
          </w:rPr>
          <w:t>Violencia, Niñez y Crimen Organizado</w:t>
        </w:r>
      </w:hyperlink>
      <w:r w:rsidRPr="00930562">
        <w:rPr>
          <w:rStyle w:val="Hyperlink"/>
          <w:rFonts w:asciiTheme="minorHAnsi" w:hAnsiTheme="minorHAnsi" w:cstheme="minorHAnsi"/>
          <w:color w:val="808080" w:themeColor="background1" w:themeShade="80"/>
          <w:sz w:val="16"/>
          <w:szCs w:val="16"/>
          <w:lang w:val="es-AR"/>
        </w:rPr>
        <w:t>,</w:t>
      </w:r>
      <w:r w:rsidRPr="00930562">
        <w:rPr>
          <w:rFonts w:asciiTheme="minorHAnsi" w:hAnsiTheme="minorHAnsi" w:cstheme="minorHAnsi"/>
          <w:color w:val="808080" w:themeColor="background1" w:themeShade="80"/>
          <w:sz w:val="16"/>
          <w:szCs w:val="16"/>
          <w:lang w:val="es-AR"/>
        </w:rPr>
        <w:t xml:space="preserve"> OAS/ Ser.L/V/II.Doc.40/15 (2015), párr. </w:t>
      </w:r>
      <w:r w:rsidRPr="00930562">
        <w:rPr>
          <w:rFonts w:asciiTheme="minorHAnsi" w:hAnsiTheme="minorHAnsi" w:cstheme="minorHAnsi"/>
          <w:color w:val="808080" w:themeColor="background1" w:themeShade="80"/>
          <w:sz w:val="16"/>
          <w:szCs w:val="16"/>
        </w:rPr>
        <w:t>81.</w:t>
      </w:r>
    </w:p>
  </w:footnote>
  <w:footnote w:id="380">
    <w:p w14:paraId="5EAA150F"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National Center for Transgender Equality &amp; National Gay and Lesbian Task Force, </w:t>
      </w:r>
      <w:hyperlink r:id="rId465" w:history="1">
        <w:r w:rsidRPr="00930562">
          <w:rPr>
            <w:rStyle w:val="Hyperlink"/>
            <w:rFonts w:asciiTheme="minorHAnsi" w:hAnsiTheme="minorHAnsi" w:cstheme="minorHAnsi"/>
            <w:color w:val="808080" w:themeColor="background1" w:themeShade="80"/>
            <w:sz w:val="16"/>
            <w:szCs w:val="16"/>
          </w:rPr>
          <w:t>Injustice at Every Turn: A Report of the National Transgender Discrimination Survey</w:t>
        </w:r>
      </w:hyperlink>
      <w:r w:rsidRPr="00930562">
        <w:rPr>
          <w:rFonts w:asciiTheme="minorHAnsi" w:hAnsiTheme="minorHAnsi" w:cstheme="minorHAnsi"/>
          <w:color w:val="808080" w:themeColor="background1" w:themeShade="80"/>
          <w:sz w:val="16"/>
          <w:szCs w:val="16"/>
        </w:rPr>
        <w:t xml:space="preserve"> (2011), 5.</w:t>
      </w:r>
    </w:p>
  </w:footnote>
  <w:footnote w:id="381">
    <w:p w14:paraId="3DF6C3CE"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National Center for Trans Equality, </w:t>
      </w:r>
      <w:hyperlink r:id="rId466" w:history="1">
        <w:r w:rsidRPr="00930562">
          <w:rPr>
            <w:rStyle w:val="Hyperlink"/>
            <w:rFonts w:asciiTheme="minorHAnsi" w:hAnsiTheme="minorHAnsi" w:cstheme="minorHAnsi"/>
            <w:color w:val="808080" w:themeColor="background1" w:themeShade="80"/>
            <w:sz w:val="16"/>
            <w:szCs w:val="16"/>
          </w:rPr>
          <w:t>Blueprint for Equality: A Transgender Federal Agenda</w:t>
        </w:r>
      </w:hyperlink>
      <w:r w:rsidRPr="00930562">
        <w:rPr>
          <w:rFonts w:asciiTheme="minorHAnsi" w:hAnsiTheme="minorHAnsi" w:cstheme="minorHAnsi"/>
          <w:color w:val="808080" w:themeColor="background1" w:themeShade="80"/>
          <w:sz w:val="16"/>
          <w:szCs w:val="16"/>
        </w:rPr>
        <w:t xml:space="preserve"> (2015), p. 28.</w:t>
      </w:r>
    </w:p>
  </w:footnote>
  <w:footnote w:id="382">
    <w:p w14:paraId="3EC28A21" w14:textId="5ADB256F"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AR"/>
        </w:rPr>
        <w:t xml:space="preserve"> </w:t>
      </w:r>
      <w:r w:rsidRPr="00930562">
        <w:rPr>
          <w:rFonts w:asciiTheme="minorHAnsi" w:hAnsiTheme="minorHAnsi" w:cstheme="majorHAnsi"/>
          <w:color w:val="808080" w:themeColor="background1" w:themeShade="80"/>
          <w:sz w:val="16"/>
          <w:szCs w:val="16"/>
          <w:lang w:val="es-AR"/>
        </w:rPr>
        <w:tab/>
      </w:r>
      <w:r w:rsidRPr="00930562">
        <w:rPr>
          <w:rFonts w:asciiTheme="minorHAnsi" w:hAnsiTheme="minorHAnsi" w:cstheme="minorHAnsi"/>
          <w:i/>
          <w:color w:val="808080" w:themeColor="background1" w:themeShade="80"/>
          <w:sz w:val="16"/>
          <w:szCs w:val="16"/>
          <w:lang w:val="es-AR"/>
        </w:rPr>
        <w:t>Véase también supra</w:t>
      </w:r>
      <w:r w:rsidRPr="00930562">
        <w:rPr>
          <w:rFonts w:asciiTheme="minorHAnsi" w:hAnsiTheme="minorHAnsi" w:cstheme="minorHAnsi"/>
          <w:color w:val="808080" w:themeColor="background1" w:themeShade="80"/>
          <w:sz w:val="16"/>
          <w:szCs w:val="16"/>
          <w:lang w:val="es-AR"/>
        </w:rPr>
        <w:t xml:space="preserve"> párr. </w:t>
      </w:r>
      <w:r w:rsidRPr="00930562">
        <w:rPr>
          <w:rFonts w:asciiTheme="minorHAnsi" w:hAnsiTheme="minorHAnsi" w:cstheme="minorHAnsi"/>
          <w:color w:val="808080" w:themeColor="background1" w:themeShade="80"/>
          <w:sz w:val="16"/>
          <w:szCs w:val="16"/>
          <w:lang w:val="es-MX"/>
        </w:rPr>
        <w:t>48</w:t>
      </w:r>
      <w:r w:rsidRPr="00930562">
        <w:rPr>
          <w:rFonts w:asciiTheme="minorHAnsi" w:hAnsiTheme="minorHAnsi" w:cstheme="minorHAnsi"/>
          <w:color w:val="808080" w:themeColor="background1" w:themeShade="80"/>
          <w:sz w:val="16"/>
          <w:szCs w:val="16"/>
          <w:lang w:val="es-AR"/>
        </w:rPr>
        <w:t>.</w:t>
      </w:r>
    </w:p>
  </w:footnote>
  <w:footnote w:id="383">
    <w:p w14:paraId="4839FB17"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t xml:space="preserve">CIDH, </w:t>
      </w:r>
      <w:hyperlink r:id="rId467" w:history="1">
        <w:r w:rsidRPr="00930562">
          <w:rPr>
            <w:rStyle w:val="Hyperlink"/>
            <w:rFonts w:asciiTheme="minorHAnsi" w:hAnsiTheme="minorHAnsi" w:cstheme="minorHAnsi"/>
            <w:color w:val="808080" w:themeColor="background1" w:themeShade="80"/>
            <w:sz w:val="16"/>
            <w:szCs w:val="16"/>
            <w:lang w:val="es-AR"/>
          </w:rPr>
          <w:t>Comunicado de Prensa de Visita in loco</w:t>
        </w:r>
      </w:hyperlink>
      <w:r w:rsidRPr="00930562">
        <w:rPr>
          <w:rFonts w:asciiTheme="minorHAnsi" w:hAnsiTheme="minorHAnsi" w:cstheme="minorHAnsi"/>
          <w:color w:val="808080" w:themeColor="background1" w:themeShade="80"/>
          <w:sz w:val="16"/>
          <w:szCs w:val="16"/>
          <w:lang w:val="es-AR"/>
        </w:rPr>
        <w:t>, 16 de octubre de 2015.</w:t>
      </w:r>
    </w:p>
  </w:footnote>
  <w:footnote w:id="384">
    <w:p w14:paraId="736278CB"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bCs/>
          <w:i/>
          <w:color w:val="808080" w:themeColor="background1" w:themeShade="80"/>
          <w:sz w:val="16"/>
          <w:szCs w:val="16"/>
          <w:lang w:val="es-AR"/>
        </w:rPr>
        <w:t>Id</w:t>
      </w:r>
      <w:r w:rsidRPr="00930562">
        <w:rPr>
          <w:rFonts w:asciiTheme="minorHAnsi" w:hAnsiTheme="minorHAnsi" w:cstheme="minorHAnsi"/>
          <w:color w:val="808080" w:themeColor="background1" w:themeShade="80"/>
          <w:sz w:val="16"/>
          <w:szCs w:val="16"/>
          <w:lang w:val="es-AR"/>
        </w:rPr>
        <w:t>.</w:t>
      </w:r>
    </w:p>
  </w:footnote>
  <w:footnote w:id="385">
    <w:p w14:paraId="23C102FA"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t xml:space="preserve">Por ejemplo, la amplia repercusión del arresto de Henry Louis Gates, Jr., un professor de Harvard, en su casa de Cambridge, Massachusetts en 2009, demostró que los perfiles raciales cometidos por policías atraviesan las clases sociales. </w:t>
      </w:r>
      <w:proofErr w:type="gramStart"/>
      <w:r w:rsidRPr="00930562">
        <w:rPr>
          <w:rFonts w:asciiTheme="minorHAnsi" w:hAnsiTheme="minorHAnsi" w:cstheme="minorHAnsi"/>
          <w:i/>
          <w:color w:val="808080" w:themeColor="background1" w:themeShade="80"/>
          <w:sz w:val="16"/>
          <w:szCs w:val="16"/>
        </w:rPr>
        <w:t xml:space="preserve">Véase </w:t>
      </w:r>
      <w:r w:rsidRPr="00930562">
        <w:rPr>
          <w:rFonts w:asciiTheme="minorHAnsi" w:hAnsiTheme="minorHAnsi" w:cstheme="minorHAnsi"/>
          <w:color w:val="808080" w:themeColor="background1" w:themeShade="80"/>
          <w:sz w:val="16"/>
          <w:szCs w:val="16"/>
        </w:rPr>
        <w:t xml:space="preserve"> Washington</w:t>
      </w:r>
      <w:proofErr w:type="gramEnd"/>
      <w:r w:rsidRPr="00930562">
        <w:rPr>
          <w:rFonts w:asciiTheme="minorHAnsi" w:hAnsiTheme="minorHAnsi" w:cstheme="minorHAnsi"/>
          <w:color w:val="808080" w:themeColor="background1" w:themeShade="80"/>
          <w:sz w:val="16"/>
          <w:szCs w:val="16"/>
        </w:rPr>
        <w:t xml:space="preserve"> Post, </w:t>
      </w:r>
      <w:hyperlink r:id="rId468" w:history="1">
        <w:r w:rsidRPr="00930562">
          <w:rPr>
            <w:rStyle w:val="Hyperlink"/>
            <w:rFonts w:asciiTheme="minorHAnsi" w:hAnsiTheme="minorHAnsi" w:cstheme="minorHAnsi"/>
            <w:color w:val="808080" w:themeColor="background1" w:themeShade="80"/>
            <w:sz w:val="16"/>
            <w:szCs w:val="16"/>
          </w:rPr>
          <w:t>Arrest of Harvard's Henry Louis Gates Jr. was avoidable, report says</w:t>
        </w:r>
      </w:hyperlink>
      <w:r w:rsidRPr="00930562">
        <w:rPr>
          <w:rFonts w:asciiTheme="minorHAnsi" w:hAnsiTheme="minorHAnsi" w:cstheme="minorHAnsi"/>
          <w:color w:val="808080" w:themeColor="background1" w:themeShade="80"/>
          <w:sz w:val="16"/>
          <w:szCs w:val="16"/>
        </w:rPr>
        <w:t>, 30 de junio de 2010.</w:t>
      </w:r>
    </w:p>
  </w:footnote>
  <w:footnote w:id="386">
    <w:p w14:paraId="3E9BF4C8"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The Guardian, </w:t>
      </w:r>
      <w:hyperlink r:id="rId469" w:history="1">
        <w:r w:rsidRPr="00930562">
          <w:rPr>
            <w:rStyle w:val="Hyperlink"/>
            <w:rFonts w:asciiTheme="minorHAnsi" w:hAnsiTheme="minorHAnsi" w:cstheme="minorHAnsi"/>
            <w:color w:val="808080" w:themeColor="background1" w:themeShade="80"/>
            <w:sz w:val="16"/>
            <w:szCs w:val="16"/>
          </w:rPr>
          <w:t>A journey through a land of extreme poverty: welcome to America</w:t>
        </w:r>
      </w:hyperlink>
      <w:r w:rsidRPr="00930562">
        <w:rPr>
          <w:rFonts w:asciiTheme="minorHAnsi" w:hAnsiTheme="minorHAnsi" w:cstheme="minorHAnsi"/>
          <w:color w:val="808080" w:themeColor="background1" w:themeShade="80"/>
          <w:sz w:val="16"/>
          <w:szCs w:val="16"/>
        </w:rPr>
        <w:t>, 15 de diciembre de 2017.</w:t>
      </w:r>
    </w:p>
  </w:footnote>
  <w:footnote w:id="387">
    <w:p w14:paraId="000A6CD5"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i/>
          <w:color w:val="808080" w:themeColor="background1" w:themeShade="80"/>
          <w:sz w:val="16"/>
          <w:szCs w:val="16"/>
          <w:lang w:val="es-AR"/>
        </w:rPr>
        <w:t xml:space="preserve">Véase infra, </w:t>
      </w:r>
      <w:r w:rsidRPr="00930562">
        <w:rPr>
          <w:rFonts w:asciiTheme="minorHAnsi" w:hAnsiTheme="minorHAnsi" w:cstheme="minorHAnsi"/>
          <w:color w:val="808080" w:themeColor="background1" w:themeShade="80"/>
          <w:sz w:val="16"/>
          <w:szCs w:val="16"/>
        </w:rPr>
        <w:fldChar w:fldCharType="begin"/>
      </w:r>
      <w:r w:rsidRPr="00930562">
        <w:rPr>
          <w:rFonts w:asciiTheme="minorHAnsi" w:hAnsiTheme="minorHAnsi" w:cstheme="minorHAnsi"/>
          <w:color w:val="808080" w:themeColor="background1" w:themeShade="80"/>
          <w:sz w:val="16"/>
          <w:szCs w:val="16"/>
          <w:lang w:val="es-AR"/>
        </w:rPr>
        <w:instrText xml:space="preserve"> REF _Ref507665005 \h  \* MERGEFORMAT </w:instrText>
      </w:r>
      <w:r w:rsidRPr="00930562">
        <w:rPr>
          <w:rFonts w:asciiTheme="minorHAnsi" w:hAnsiTheme="minorHAnsi" w:cstheme="minorHAnsi"/>
          <w:color w:val="808080" w:themeColor="background1" w:themeShade="80"/>
          <w:sz w:val="16"/>
          <w:szCs w:val="16"/>
        </w:rPr>
      </w:r>
      <w:r w:rsidRPr="00930562">
        <w:rPr>
          <w:rFonts w:asciiTheme="minorHAnsi" w:hAnsiTheme="minorHAnsi" w:cstheme="minorHAnsi"/>
          <w:color w:val="808080" w:themeColor="background1" w:themeShade="80"/>
          <w:sz w:val="16"/>
          <w:szCs w:val="16"/>
        </w:rPr>
        <w:fldChar w:fldCharType="separate"/>
      </w:r>
      <w:r w:rsidRPr="00930562">
        <w:rPr>
          <w:rFonts w:asciiTheme="minorHAnsi" w:hAnsiTheme="minorHAnsi" w:cstheme="minorHAnsi"/>
          <w:color w:val="808080" w:themeColor="background1" w:themeShade="80"/>
          <w:sz w:val="16"/>
          <w:szCs w:val="16"/>
          <w:lang w:val="es-AR"/>
        </w:rPr>
        <w:t xml:space="preserve">Uso excesivo de la fuerza,  </w:t>
      </w:r>
      <w:r w:rsidRPr="00930562">
        <w:rPr>
          <w:rFonts w:asciiTheme="minorHAnsi" w:hAnsiTheme="minorHAnsi" w:cstheme="minorHAnsi"/>
          <w:color w:val="808080" w:themeColor="background1" w:themeShade="80"/>
          <w:sz w:val="16"/>
          <w:szCs w:val="16"/>
        </w:rPr>
        <w:fldChar w:fldCharType="end"/>
      </w:r>
      <w:r w:rsidRPr="00930562">
        <w:rPr>
          <w:rFonts w:asciiTheme="minorHAnsi" w:hAnsiTheme="minorHAnsi" w:cstheme="minorHAnsi"/>
          <w:color w:val="808080" w:themeColor="background1" w:themeShade="80"/>
          <w:sz w:val="16"/>
          <w:szCs w:val="16"/>
        </w:rPr>
        <w:fldChar w:fldCharType="begin"/>
      </w:r>
      <w:r w:rsidRPr="00930562">
        <w:rPr>
          <w:rFonts w:asciiTheme="minorHAnsi" w:hAnsiTheme="minorHAnsi" w:cstheme="minorHAnsi"/>
          <w:color w:val="808080" w:themeColor="background1" w:themeShade="80"/>
          <w:sz w:val="16"/>
          <w:szCs w:val="16"/>
          <w:lang w:val="es-AR"/>
        </w:rPr>
        <w:instrText xml:space="preserve"> REF _Ref507665030 \h  \* MERGEFORMAT </w:instrText>
      </w:r>
      <w:r w:rsidRPr="00930562">
        <w:rPr>
          <w:rFonts w:asciiTheme="minorHAnsi" w:hAnsiTheme="minorHAnsi" w:cstheme="minorHAnsi"/>
          <w:color w:val="808080" w:themeColor="background1" w:themeShade="80"/>
          <w:sz w:val="16"/>
          <w:szCs w:val="16"/>
        </w:rPr>
      </w:r>
      <w:r w:rsidRPr="00930562">
        <w:rPr>
          <w:rFonts w:asciiTheme="minorHAnsi" w:hAnsiTheme="minorHAnsi" w:cstheme="minorHAnsi"/>
          <w:color w:val="808080" w:themeColor="background1" w:themeShade="80"/>
          <w:sz w:val="16"/>
          <w:szCs w:val="16"/>
        </w:rPr>
        <w:fldChar w:fldCharType="separate"/>
      </w:r>
      <w:r w:rsidRPr="00930562">
        <w:rPr>
          <w:rFonts w:asciiTheme="minorHAnsi" w:hAnsiTheme="minorHAnsi" w:cstheme="minorHAnsi"/>
          <w:color w:val="808080" w:themeColor="background1" w:themeShade="80"/>
          <w:sz w:val="16"/>
          <w:szCs w:val="16"/>
          <w:lang w:val="es-AR"/>
        </w:rPr>
        <w:t xml:space="preserve">Desigualdades raciales en arrestos y Desigualdades raciales en acceso a la defensa legal, </w:t>
      </w:r>
      <w:r w:rsidRPr="00930562">
        <w:rPr>
          <w:rFonts w:asciiTheme="minorHAnsi" w:hAnsiTheme="minorHAnsi" w:cstheme="minorHAnsi"/>
          <w:color w:val="808080" w:themeColor="background1" w:themeShade="80"/>
          <w:sz w:val="16"/>
          <w:szCs w:val="16"/>
        </w:rPr>
        <w:fldChar w:fldCharType="end"/>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rPr>
        <w:fldChar w:fldCharType="begin"/>
      </w:r>
      <w:r w:rsidRPr="00930562">
        <w:rPr>
          <w:rFonts w:asciiTheme="minorHAnsi" w:hAnsiTheme="minorHAnsi" w:cstheme="minorHAnsi"/>
          <w:color w:val="808080" w:themeColor="background1" w:themeShade="80"/>
          <w:sz w:val="16"/>
          <w:szCs w:val="16"/>
          <w:lang w:val="es-AR"/>
        </w:rPr>
        <w:instrText xml:space="preserve"> REF _Ref507665051 \h  \* MERGEFORMAT </w:instrText>
      </w:r>
      <w:r w:rsidRPr="00930562">
        <w:rPr>
          <w:rFonts w:asciiTheme="minorHAnsi" w:hAnsiTheme="minorHAnsi" w:cstheme="minorHAnsi"/>
          <w:color w:val="808080" w:themeColor="background1" w:themeShade="80"/>
          <w:sz w:val="16"/>
          <w:szCs w:val="16"/>
        </w:rPr>
      </w:r>
      <w:r w:rsidRPr="00930562">
        <w:rPr>
          <w:rFonts w:asciiTheme="minorHAnsi" w:hAnsiTheme="minorHAnsi" w:cstheme="minorHAnsi"/>
          <w:color w:val="808080" w:themeColor="background1" w:themeShade="80"/>
          <w:sz w:val="16"/>
          <w:szCs w:val="16"/>
        </w:rPr>
        <w:fldChar w:fldCharType="separate"/>
      </w:r>
      <w:r w:rsidRPr="00930562">
        <w:rPr>
          <w:rFonts w:asciiTheme="minorHAnsi" w:hAnsiTheme="minorHAnsi" w:cstheme="minorHAnsi"/>
          <w:color w:val="808080" w:themeColor="background1" w:themeShade="80"/>
          <w:sz w:val="16"/>
          <w:szCs w:val="16"/>
          <w:lang w:val="es-AR"/>
        </w:rPr>
        <w:t xml:space="preserve">alegatos, sentencias, encarcelamiento y re encarcelamiento. </w:t>
      </w:r>
      <w:r w:rsidRPr="00930562">
        <w:rPr>
          <w:rFonts w:asciiTheme="minorHAnsi" w:hAnsiTheme="minorHAnsi" w:cstheme="minorHAnsi"/>
          <w:color w:val="808080" w:themeColor="background1" w:themeShade="80"/>
          <w:sz w:val="16"/>
          <w:szCs w:val="16"/>
        </w:rPr>
        <w:fldChar w:fldCharType="end"/>
      </w:r>
    </w:p>
  </w:footnote>
  <w:footnote w:id="388">
    <w:p w14:paraId="2AFDE87E"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The Lawyers’ Committee for Civil Rights under Law, </w:t>
      </w:r>
      <w:r w:rsidRPr="00930562">
        <w:rPr>
          <w:rFonts w:asciiTheme="minorHAnsi" w:hAnsiTheme="minorHAnsi" w:cstheme="minorHAnsi"/>
          <w:i/>
          <w:color w:val="808080" w:themeColor="background1" w:themeShade="80"/>
          <w:sz w:val="16"/>
          <w:szCs w:val="16"/>
        </w:rPr>
        <w:t>Statement before the Inter-American Commission on Human Rights, Criminal Justice and Race in the United States</w:t>
      </w:r>
      <w:r w:rsidRPr="00930562">
        <w:rPr>
          <w:rFonts w:asciiTheme="minorHAnsi" w:hAnsiTheme="minorHAnsi" w:cstheme="minorHAnsi"/>
          <w:color w:val="808080" w:themeColor="background1" w:themeShade="80"/>
          <w:sz w:val="16"/>
          <w:szCs w:val="16"/>
        </w:rPr>
        <w:t xml:space="preserve">, 16 de marzo de 2015, página 2; </w:t>
      </w:r>
      <w:r w:rsidRPr="00930562">
        <w:rPr>
          <w:rFonts w:asciiTheme="minorHAnsi" w:hAnsiTheme="minorHAnsi" w:cstheme="minorHAnsi"/>
          <w:i/>
          <w:color w:val="808080" w:themeColor="background1" w:themeShade="80"/>
          <w:sz w:val="16"/>
          <w:szCs w:val="16"/>
        </w:rPr>
        <w:t xml:space="preserve">véase también en general, </w:t>
      </w:r>
      <w:r w:rsidRPr="00930562">
        <w:rPr>
          <w:rFonts w:asciiTheme="minorHAnsi" w:hAnsiTheme="minorHAnsi" w:cstheme="minorHAnsi"/>
          <w:color w:val="808080" w:themeColor="background1" w:themeShade="80"/>
          <w:sz w:val="16"/>
          <w:szCs w:val="16"/>
        </w:rPr>
        <w:t xml:space="preserve">Michelle Alexander, </w:t>
      </w:r>
      <w:r w:rsidRPr="00930562">
        <w:rPr>
          <w:rFonts w:asciiTheme="minorHAnsi" w:hAnsiTheme="minorHAnsi" w:cstheme="minorHAnsi"/>
          <w:i/>
          <w:color w:val="808080" w:themeColor="background1" w:themeShade="80"/>
          <w:sz w:val="16"/>
          <w:szCs w:val="16"/>
        </w:rPr>
        <w:t>The New Jim Crow: Mass Incarceration in the Age of Colorblindness</w:t>
      </w:r>
      <w:r w:rsidRPr="00930562">
        <w:rPr>
          <w:rFonts w:asciiTheme="minorHAnsi" w:hAnsiTheme="minorHAnsi" w:cstheme="minorHAnsi"/>
          <w:color w:val="808080" w:themeColor="background1" w:themeShade="80"/>
          <w:sz w:val="16"/>
          <w:szCs w:val="16"/>
        </w:rPr>
        <w:t xml:space="preserve"> (New York: The New Press, 2010).</w:t>
      </w:r>
    </w:p>
  </w:footnote>
  <w:footnote w:id="389">
    <w:p w14:paraId="69CCFDB1"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bCs/>
          <w:color w:val="808080" w:themeColor="background1" w:themeShade="80"/>
          <w:sz w:val="16"/>
          <w:szCs w:val="16"/>
          <w:lang w:val="es-AR"/>
        </w:rPr>
        <w:t xml:space="preserve">CIDH, </w:t>
      </w:r>
      <w:hyperlink r:id="rId470" w:history="1">
        <w:r w:rsidRPr="00930562">
          <w:rPr>
            <w:rStyle w:val="Hyperlink"/>
            <w:rFonts w:asciiTheme="minorHAnsi" w:hAnsiTheme="minorHAnsi" w:cstheme="minorHAnsi"/>
            <w:bCs/>
            <w:color w:val="808080" w:themeColor="background1" w:themeShade="80"/>
            <w:sz w:val="16"/>
            <w:szCs w:val="16"/>
            <w:lang w:val="es-AR"/>
          </w:rPr>
          <w:t>Medidas para Reducir la Prisión Preventiva</w:t>
        </w:r>
      </w:hyperlink>
      <w:r w:rsidRPr="00930562">
        <w:rPr>
          <w:rFonts w:asciiTheme="minorHAnsi" w:hAnsiTheme="minorHAnsi" w:cstheme="minorHAnsi"/>
          <w:bCs/>
          <w:color w:val="808080" w:themeColor="background1" w:themeShade="80"/>
          <w:sz w:val="16"/>
          <w:szCs w:val="16"/>
          <w:lang w:val="es-AR"/>
        </w:rPr>
        <w:t>, OEA/Ser.L/V/II.163, Doc. 105 (2017),</w:t>
      </w:r>
      <w:r w:rsidRPr="00930562">
        <w:rPr>
          <w:rFonts w:asciiTheme="minorHAnsi" w:hAnsiTheme="minorHAnsi" w:cstheme="minorHAnsi"/>
          <w:color w:val="808080" w:themeColor="background1" w:themeShade="80"/>
          <w:sz w:val="16"/>
          <w:szCs w:val="16"/>
          <w:lang w:val="es-AR"/>
        </w:rPr>
        <w:t xml:space="preserve"> párr. 155.</w:t>
      </w:r>
    </w:p>
  </w:footnote>
  <w:footnote w:id="390">
    <w:p w14:paraId="782D678F" w14:textId="0DE8D67F"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i/>
          <w:color w:val="808080" w:themeColor="background1" w:themeShade="80"/>
          <w:sz w:val="16"/>
          <w:szCs w:val="16"/>
          <w:lang w:val="es-AR"/>
        </w:rPr>
        <w:t>Véase supra,</w:t>
      </w:r>
      <w:r w:rsidRPr="00930562">
        <w:rPr>
          <w:rFonts w:asciiTheme="minorHAnsi" w:hAnsiTheme="minorHAnsi" w:cstheme="minorHAnsi"/>
          <w:color w:val="808080" w:themeColor="background1" w:themeShade="80"/>
          <w:sz w:val="16"/>
          <w:szCs w:val="16"/>
          <w:lang w:val="es-AR"/>
        </w:rPr>
        <w:t xml:space="preserve"> párr. </w:t>
      </w:r>
      <w:r w:rsidRPr="00930562">
        <w:rPr>
          <w:rFonts w:asciiTheme="minorHAnsi" w:hAnsiTheme="minorHAnsi" w:cstheme="minorHAnsi"/>
          <w:color w:val="808080" w:themeColor="background1" w:themeShade="80"/>
          <w:sz w:val="16"/>
          <w:szCs w:val="16"/>
          <w:lang w:val="es-MX"/>
        </w:rPr>
        <w:t>146</w:t>
      </w:r>
      <w:r w:rsidRPr="00930562">
        <w:rPr>
          <w:rFonts w:asciiTheme="minorHAnsi" w:hAnsiTheme="minorHAnsi" w:cstheme="minorHAnsi"/>
          <w:color w:val="808080" w:themeColor="background1" w:themeShade="80"/>
          <w:sz w:val="16"/>
          <w:szCs w:val="16"/>
          <w:lang w:val="es-AR"/>
        </w:rPr>
        <w:t>.</w:t>
      </w:r>
    </w:p>
  </w:footnote>
  <w:footnote w:id="391">
    <w:p w14:paraId="00EAC73F" w14:textId="20B60DFF"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t xml:space="preserve">Acerca de acciones tomadas por gobierno federal, </w:t>
      </w:r>
      <w:r w:rsidRPr="00930562">
        <w:rPr>
          <w:rFonts w:asciiTheme="minorHAnsi" w:hAnsiTheme="minorHAnsi" w:cstheme="minorHAnsi"/>
          <w:i/>
          <w:color w:val="808080" w:themeColor="background1" w:themeShade="80"/>
          <w:sz w:val="16"/>
          <w:szCs w:val="16"/>
          <w:lang w:val="es-AR"/>
        </w:rPr>
        <w:t>véase supra, por ejemplo</w:t>
      </w:r>
      <w:r w:rsidRPr="00930562">
        <w:rPr>
          <w:rFonts w:asciiTheme="minorHAnsi" w:hAnsiTheme="minorHAnsi" w:cstheme="minorHAnsi"/>
          <w:color w:val="808080" w:themeColor="background1" w:themeShade="80"/>
          <w:sz w:val="16"/>
          <w:szCs w:val="16"/>
          <w:lang w:val="es-AR"/>
        </w:rPr>
        <w:t>, párrs.</w:t>
      </w:r>
      <w:r w:rsidRPr="00930562">
        <w:rPr>
          <w:rFonts w:asciiTheme="minorHAnsi" w:hAnsiTheme="minorHAnsi" w:cstheme="minorHAnsi"/>
          <w:color w:val="808080" w:themeColor="background1" w:themeShade="80"/>
          <w:sz w:val="16"/>
          <w:szCs w:val="16"/>
          <w:lang w:val="es-ES"/>
        </w:rPr>
        <w:t xml:space="preserve"> </w:t>
      </w:r>
      <w:r w:rsidRPr="00930562">
        <w:rPr>
          <w:rFonts w:asciiTheme="minorHAnsi" w:hAnsiTheme="minorHAnsi" w:cstheme="minorHAnsi"/>
          <w:color w:val="808080" w:themeColor="background1" w:themeShade="80"/>
          <w:sz w:val="16"/>
          <w:szCs w:val="16"/>
        </w:rPr>
        <w:t xml:space="preserve">21, 82, 84, 88, 98, 116, 127, 146, 148.  </w:t>
      </w:r>
    </w:p>
  </w:footnote>
  <w:footnote w:id="392">
    <w:p w14:paraId="49EA7DC0"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U.S. DOJ, </w:t>
      </w:r>
      <w:hyperlink r:id="rId471" w:history="1">
        <w:r w:rsidRPr="00930562">
          <w:rPr>
            <w:rStyle w:val="Hyperlink"/>
            <w:rFonts w:asciiTheme="minorHAnsi" w:hAnsiTheme="minorHAnsi" w:cstheme="minorHAnsi"/>
            <w:color w:val="808080" w:themeColor="background1" w:themeShade="80"/>
            <w:sz w:val="16"/>
            <w:szCs w:val="16"/>
          </w:rPr>
          <w:t>Justice Department Releases Report on Civil Rights Division’s Pattern and Practice Police Reform Work</w:t>
        </w:r>
      </w:hyperlink>
      <w:r w:rsidRPr="00930562">
        <w:rPr>
          <w:rFonts w:asciiTheme="minorHAnsi" w:hAnsiTheme="minorHAnsi" w:cstheme="minorHAnsi"/>
          <w:color w:val="808080" w:themeColor="background1" w:themeShade="80"/>
          <w:sz w:val="16"/>
          <w:szCs w:val="16"/>
        </w:rPr>
        <w:t>, 4 de enero de  2017.</w:t>
      </w:r>
    </w:p>
  </w:footnote>
  <w:footnote w:id="393">
    <w:p w14:paraId="43E6FBA1"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U.S. DOJ, </w:t>
      </w:r>
      <w:hyperlink r:id="rId472" w:history="1">
        <w:r w:rsidRPr="00930562">
          <w:rPr>
            <w:rStyle w:val="Hyperlink"/>
            <w:rFonts w:asciiTheme="minorHAnsi" w:hAnsiTheme="minorHAnsi" w:cstheme="minorHAnsi"/>
            <w:color w:val="808080" w:themeColor="background1" w:themeShade="80"/>
            <w:sz w:val="16"/>
            <w:szCs w:val="16"/>
            <w:lang w:val="en-GB" w:eastAsia="es-ES"/>
          </w:rPr>
          <w:t>Guidance For Federal Law Enforcement Agencies Regarding the Use of Race, Ethnicity, Gender, National Origin, Religion, Sexual Orientation, or Gender Identity</w:t>
        </w:r>
      </w:hyperlink>
      <w:r w:rsidRPr="00930562">
        <w:rPr>
          <w:rFonts w:asciiTheme="minorHAnsi" w:hAnsiTheme="minorHAnsi" w:cstheme="minorHAnsi"/>
          <w:color w:val="808080" w:themeColor="background1" w:themeShade="80"/>
          <w:sz w:val="16"/>
          <w:szCs w:val="16"/>
          <w:lang w:val="en-GB" w:eastAsia="es-ES"/>
        </w:rPr>
        <w:t xml:space="preserve">, </w:t>
      </w:r>
      <w:r w:rsidRPr="00930562">
        <w:rPr>
          <w:rFonts w:asciiTheme="minorHAnsi" w:hAnsiTheme="minorHAnsi" w:cstheme="minorHAnsi"/>
          <w:color w:val="808080" w:themeColor="background1" w:themeShade="80"/>
          <w:sz w:val="16"/>
          <w:szCs w:val="16"/>
        </w:rPr>
        <w:t>diciembre de</w:t>
      </w:r>
      <w:r w:rsidRPr="00930562">
        <w:rPr>
          <w:rFonts w:asciiTheme="minorHAnsi" w:hAnsiTheme="minorHAnsi" w:cstheme="minorHAnsi"/>
          <w:color w:val="808080" w:themeColor="background1" w:themeShade="80"/>
          <w:sz w:val="16"/>
          <w:szCs w:val="16"/>
          <w:lang w:val="en-GB" w:eastAsia="es-ES"/>
        </w:rPr>
        <w:t xml:space="preserve"> 2014.</w:t>
      </w:r>
      <w:r w:rsidRPr="00930562">
        <w:rPr>
          <w:rFonts w:asciiTheme="minorHAnsi" w:hAnsiTheme="minorHAnsi" w:cstheme="majorHAnsi"/>
          <w:color w:val="808080" w:themeColor="background1" w:themeShade="80"/>
          <w:sz w:val="16"/>
          <w:szCs w:val="16"/>
          <w:lang w:val="en-GB" w:eastAsia="es-ES"/>
        </w:rPr>
        <w:t xml:space="preserve"> </w:t>
      </w:r>
    </w:p>
  </w:footnote>
  <w:footnote w:id="394">
    <w:p w14:paraId="0F501C5E"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rPr>
        <w:t xml:space="preserve"> </w:t>
      </w:r>
      <w:r w:rsidRPr="00930562">
        <w:rPr>
          <w:rFonts w:asciiTheme="minorHAnsi" w:hAnsiTheme="minorHAnsi" w:cstheme="majorHAnsi"/>
          <w:color w:val="808080" w:themeColor="background1" w:themeShade="80"/>
          <w:sz w:val="16"/>
          <w:szCs w:val="16"/>
        </w:rPr>
        <w:tab/>
      </w:r>
      <w:r w:rsidRPr="00930562">
        <w:rPr>
          <w:rFonts w:asciiTheme="minorHAnsi" w:hAnsiTheme="minorHAnsi" w:cstheme="minorHAnsi"/>
          <w:bCs/>
          <w:color w:val="808080" w:themeColor="background1" w:themeShade="80"/>
          <w:sz w:val="16"/>
          <w:szCs w:val="16"/>
        </w:rPr>
        <w:t xml:space="preserve">Office of Community Oriented Policing Services (COPS), </w:t>
      </w:r>
      <w:hyperlink r:id="rId473" w:history="1">
        <w:r w:rsidRPr="00930562">
          <w:rPr>
            <w:rStyle w:val="Hyperlink"/>
            <w:rFonts w:asciiTheme="minorHAnsi" w:hAnsiTheme="minorHAnsi" w:cstheme="minorHAnsi"/>
            <w:bCs/>
            <w:color w:val="808080" w:themeColor="background1" w:themeShade="80"/>
            <w:sz w:val="16"/>
            <w:szCs w:val="16"/>
          </w:rPr>
          <w:t>Final Report of the President’s Task Force on 21</w:t>
        </w:r>
        <w:r w:rsidRPr="00930562">
          <w:rPr>
            <w:rStyle w:val="Hyperlink"/>
            <w:rFonts w:asciiTheme="minorHAnsi" w:hAnsiTheme="minorHAnsi" w:cstheme="minorHAnsi"/>
            <w:bCs/>
            <w:color w:val="808080" w:themeColor="background1" w:themeShade="80"/>
            <w:sz w:val="16"/>
            <w:szCs w:val="16"/>
            <w:vertAlign w:val="superscript"/>
          </w:rPr>
          <w:t>st</w:t>
        </w:r>
        <w:r w:rsidRPr="00930562">
          <w:rPr>
            <w:rStyle w:val="Hyperlink"/>
            <w:rFonts w:asciiTheme="minorHAnsi" w:hAnsiTheme="minorHAnsi" w:cstheme="minorHAnsi"/>
            <w:bCs/>
            <w:color w:val="808080" w:themeColor="background1" w:themeShade="80"/>
            <w:sz w:val="16"/>
            <w:szCs w:val="16"/>
          </w:rPr>
          <w:t xml:space="preserve"> Century Policing</w:t>
        </w:r>
      </w:hyperlink>
      <w:r w:rsidRPr="00930562">
        <w:rPr>
          <w:rFonts w:asciiTheme="minorHAnsi" w:hAnsiTheme="minorHAnsi" w:cstheme="minorHAnsi"/>
          <w:bCs/>
          <w:color w:val="808080" w:themeColor="background1" w:themeShade="80"/>
          <w:sz w:val="16"/>
          <w:szCs w:val="16"/>
        </w:rPr>
        <w:t>, mayo de 2015</w:t>
      </w:r>
      <w:r w:rsidRPr="00930562">
        <w:rPr>
          <w:rFonts w:asciiTheme="minorHAnsi" w:hAnsiTheme="minorHAnsi" w:cstheme="minorHAnsi"/>
          <w:color w:val="808080" w:themeColor="background1" w:themeShade="80"/>
          <w:sz w:val="16"/>
          <w:szCs w:val="16"/>
        </w:rPr>
        <w:t>.</w:t>
      </w:r>
    </w:p>
  </w:footnote>
  <w:footnote w:id="395">
    <w:p w14:paraId="0F5D0390"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i/>
          <w:color w:val="808080" w:themeColor="background1" w:themeShade="80"/>
          <w:sz w:val="16"/>
          <w:szCs w:val="16"/>
          <w:lang w:val="es-AR"/>
        </w:rPr>
        <w:t>Id</w:t>
      </w:r>
      <w:r w:rsidRPr="00930562">
        <w:rPr>
          <w:rFonts w:asciiTheme="minorHAnsi" w:hAnsiTheme="minorHAnsi" w:cstheme="minorHAnsi"/>
          <w:color w:val="808080" w:themeColor="background1" w:themeShade="80"/>
          <w:sz w:val="16"/>
          <w:szCs w:val="16"/>
          <w:lang w:val="es-AR"/>
        </w:rPr>
        <w:t xml:space="preserve">. En recomendación 1.2. </w:t>
      </w:r>
    </w:p>
  </w:footnote>
  <w:footnote w:id="396">
    <w:p w14:paraId="7E5E74BD"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i/>
          <w:color w:val="808080" w:themeColor="background1" w:themeShade="80"/>
          <w:sz w:val="16"/>
          <w:szCs w:val="16"/>
          <w:lang w:val="es-AR"/>
        </w:rPr>
        <w:t>Id</w:t>
      </w:r>
      <w:r w:rsidRPr="00930562">
        <w:rPr>
          <w:rFonts w:asciiTheme="minorHAnsi" w:hAnsiTheme="minorHAnsi" w:cstheme="minorHAnsi"/>
          <w:color w:val="808080" w:themeColor="background1" w:themeShade="80"/>
          <w:sz w:val="16"/>
          <w:szCs w:val="16"/>
          <w:lang w:val="es-AR"/>
        </w:rPr>
        <w:t>. en p. 28.</w:t>
      </w:r>
    </w:p>
  </w:footnote>
  <w:footnote w:id="397">
    <w:p w14:paraId="08B1772A"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t xml:space="preserve">Estado de Washington, </w:t>
      </w:r>
      <w:hyperlink r:id="rId474" w:anchor="page=1" w:history="1">
        <w:r w:rsidRPr="00930562">
          <w:rPr>
            <w:rStyle w:val="Hyperlink"/>
            <w:rFonts w:asciiTheme="minorHAnsi" w:hAnsiTheme="minorHAnsi" w:cstheme="minorHAnsi"/>
            <w:color w:val="808080" w:themeColor="background1" w:themeShade="80"/>
            <w:sz w:val="16"/>
            <w:szCs w:val="16"/>
            <w:lang w:val="es-AR"/>
          </w:rPr>
          <w:t>HOUSE BILL 2908</w:t>
        </w:r>
      </w:hyperlink>
      <w:r w:rsidRPr="00930562">
        <w:rPr>
          <w:rFonts w:asciiTheme="minorHAnsi" w:hAnsiTheme="minorHAnsi" w:cstheme="minorHAnsi"/>
          <w:color w:val="808080" w:themeColor="background1" w:themeShade="80"/>
          <w:sz w:val="16"/>
          <w:szCs w:val="16"/>
          <w:lang w:val="es-AR"/>
        </w:rPr>
        <w:t>, 10 de marzo de 2016.</w:t>
      </w:r>
    </w:p>
  </w:footnote>
  <w:footnote w:id="398">
    <w:p w14:paraId="1B354D84"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t xml:space="preserve">Estado de Utah, </w:t>
      </w:r>
      <w:hyperlink r:id="rId475" w:history="1">
        <w:r w:rsidRPr="00930562">
          <w:rPr>
            <w:rStyle w:val="Hyperlink"/>
            <w:rFonts w:asciiTheme="minorHAnsi" w:hAnsiTheme="minorHAnsi" w:cstheme="minorHAnsi"/>
            <w:color w:val="808080" w:themeColor="background1" w:themeShade="80"/>
            <w:sz w:val="16"/>
            <w:szCs w:val="16"/>
            <w:lang w:val="es-AR"/>
          </w:rPr>
          <w:t>HOUSE BILL 355</w:t>
        </w:r>
      </w:hyperlink>
      <w:r w:rsidRPr="00930562">
        <w:rPr>
          <w:rFonts w:asciiTheme="minorHAnsi" w:hAnsiTheme="minorHAnsi" w:cstheme="minorHAnsi"/>
          <w:color w:val="808080" w:themeColor="background1" w:themeShade="80"/>
          <w:sz w:val="16"/>
          <w:szCs w:val="16"/>
          <w:lang w:val="es-AR"/>
        </w:rPr>
        <w:t>,</w:t>
      </w:r>
      <w:r w:rsidRPr="00930562">
        <w:rPr>
          <w:rFonts w:asciiTheme="minorHAnsi" w:hAnsiTheme="minorHAnsi" w:cstheme="minorHAnsi"/>
          <w:color w:val="808080" w:themeColor="background1" w:themeShade="80"/>
          <w:sz w:val="16"/>
          <w:szCs w:val="16"/>
          <w:shd w:val="clear" w:color="auto" w:fill="FAFAFA"/>
          <w:lang w:val="es-AR"/>
        </w:rPr>
        <w:t xml:space="preserve"> 30 de marzo de 2016.</w:t>
      </w:r>
    </w:p>
  </w:footnote>
  <w:footnote w:id="399">
    <w:p w14:paraId="66EB90D3"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t xml:space="preserve">Estado de Colorado, </w:t>
      </w:r>
      <w:hyperlink r:id="rId476" w:history="1">
        <w:r w:rsidRPr="00930562">
          <w:rPr>
            <w:rStyle w:val="Hyperlink"/>
            <w:rFonts w:asciiTheme="minorHAnsi" w:hAnsiTheme="minorHAnsi" w:cstheme="minorHAnsi"/>
            <w:color w:val="808080" w:themeColor="background1" w:themeShade="80"/>
            <w:sz w:val="16"/>
            <w:szCs w:val="16"/>
            <w:lang w:val="es-AR"/>
          </w:rPr>
          <w:t>HOUSE BILL 16-1264</w:t>
        </w:r>
      </w:hyperlink>
      <w:r w:rsidRPr="00930562">
        <w:rPr>
          <w:rFonts w:asciiTheme="minorHAnsi" w:hAnsiTheme="minorHAnsi" w:cstheme="minorHAnsi"/>
          <w:color w:val="808080" w:themeColor="background1" w:themeShade="80"/>
          <w:sz w:val="16"/>
          <w:szCs w:val="16"/>
          <w:lang w:val="es-AR"/>
        </w:rPr>
        <w:t xml:space="preserve">, 10 de junio de 2016; Estado de Connecticut, </w:t>
      </w:r>
      <w:hyperlink r:id="rId477" w:history="1">
        <w:r w:rsidRPr="00930562">
          <w:rPr>
            <w:rStyle w:val="Hyperlink"/>
            <w:rFonts w:asciiTheme="minorHAnsi" w:hAnsiTheme="minorHAnsi" w:cstheme="minorHAnsi"/>
            <w:color w:val="808080" w:themeColor="background1" w:themeShade="80"/>
            <w:sz w:val="16"/>
            <w:szCs w:val="16"/>
            <w:lang w:val="es-AR"/>
          </w:rPr>
          <w:t>HOUSE BILL 7103</w:t>
        </w:r>
      </w:hyperlink>
      <w:r w:rsidRPr="00930562">
        <w:rPr>
          <w:rFonts w:asciiTheme="minorHAnsi" w:hAnsiTheme="minorHAnsi" w:cstheme="minorHAnsi"/>
          <w:color w:val="808080" w:themeColor="background1" w:themeShade="80"/>
          <w:sz w:val="16"/>
          <w:szCs w:val="16"/>
          <w:lang w:val="es-AR"/>
        </w:rPr>
        <w:t xml:space="preserve">, junio de 2015; Estado de Illinois, </w:t>
      </w:r>
      <w:hyperlink r:id="rId478" w:history="1">
        <w:r w:rsidRPr="00930562">
          <w:rPr>
            <w:rStyle w:val="Hyperlink"/>
            <w:rFonts w:asciiTheme="minorHAnsi" w:hAnsiTheme="minorHAnsi" w:cstheme="minorHAnsi"/>
            <w:color w:val="808080" w:themeColor="background1" w:themeShade="80"/>
            <w:sz w:val="16"/>
            <w:szCs w:val="16"/>
            <w:lang w:val="es-AR"/>
          </w:rPr>
          <w:t>SENATE BILL 1304</w:t>
        </w:r>
      </w:hyperlink>
      <w:r w:rsidRPr="00930562">
        <w:rPr>
          <w:rFonts w:asciiTheme="minorHAnsi" w:hAnsiTheme="minorHAnsi" w:cstheme="minorHAnsi"/>
          <w:color w:val="808080" w:themeColor="background1" w:themeShade="80"/>
          <w:sz w:val="16"/>
          <w:szCs w:val="16"/>
          <w:lang w:val="es-AR"/>
        </w:rPr>
        <w:t xml:space="preserve">, 12 de agosto de 2015. </w:t>
      </w:r>
    </w:p>
  </w:footnote>
  <w:footnote w:id="400">
    <w:p w14:paraId="761FE09E"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bCs/>
          <w:color w:val="808080" w:themeColor="background1" w:themeShade="80"/>
          <w:sz w:val="16"/>
          <w:szCs w:val="16"/>
          <w:lang w:val="es-AR"/>
        </w:rPr>
        <w:t xml:space="preserve">154° Período de Sesiones, </w:t>
      </w:r>
      <w:hyperlink r:id="rId479" w:history="1">
        <w:r w:rsidRPr="00930562">
          <w:rPr>
            <w:rStyle w:val="Hyperlink"/>
            <w:rFonts w:asciiTheme="minorHAnsi" w:hAnsiTheme="minorHAnsi" w:cstheme="minorHAnsi"/>
            <w:bCs/>
            <w:color w:val="808080" w:themeColor="background1" w:themeShade="80"/>
            <w:sz w:val="16"/>
            <w:szCs w:val="16"/>
            <w:lang w:val="es-AR"/>
          </w:rPr>
          <w:t>Audiencia “Justicia Penal y Raza</w:t>
        </w:r>
        <w:proofErr w:type="gramStart"/>
        <w:r w:rsidRPr="00930562">
          <w:rPr>
            <w:rStyle w:val="Hyperlink"/>
            <w:rFonts w:asciiTheme="minorHAnsi" w:hAnsiTheme="minorHAnsi" w:cstheme="minorHAnsi"/>
            <w:bCs/>
            <w:color w:val="808080" w:themeColor="background1" w:themeShade="80"/>
            <w:sz w:val="16"/>
            <w:szCs w:val="16"/>
            <w:lang w:val="es-AR"/>
          </w:rPr>
          <w:t xml:space="preserve">” </w:t>
        </w:r>
        <w:proofErr w:type="gramEnd"/>
      </w:hyperlink>
      <w:r w:rsidRPr="00930562">
        <w:rPr>
          <w:rFonts w:asciiTheme="minorHAnsi" w:hAnsiTheme="minorHAnsi" w:cstheme="minorHAnsi"/>
          <w:bCs/>
          <w:color w:val="808080" w:themeColor="background1" w:themeShade="80"/>
          <w:sz w:val="16"/>
          <w:szCs w:val="16"/>
          <w:lang w:val="es-AR"/>
        </w:rPr>
        <w:t xml:space="preserve">, 16 de marzo de 2015; </w:t>
      </w:r>
      <w:r w:rsidRPr="00930562">
        <w:rPr>
          <w:rFonts w:asciiTheme="minorHAnsi" w:hAnsiTheme="minorHAnsi" w:cstheme="minorHAnsi"/>
          <w:bCs/>
          <w:i/>
          <w:color w:val="808080" w:themeColor="background1" w:themeShade="80"/>
          <w:sz w:val="16"/>
          <w:szCs w:val="16"/>
          <w:lang w:val="es-AR"/>
        </w:rPr>
        <w:t>véase además</w:t>
      </w:r>
      <w:r w:rsidRPr="00930562">
        <w:rPr>
          <w:rFonts w:asciiTheme="minorHAnsi" w:hAnsiTheme="minorHAnsi" w:cstheme="minorHAnsi"/>
          <w:bCs/>
          <w:color w:val="808080" w:themeColor="background1" w:themeShade="80"/>
          <w:sz w:val="16"/>
          <w:szCs w:val="16"/>
          <w:lang w:val="es-AR"/>
        </w:rPr>
        <w:t xml:space="preserve">, COPS, </w:t>
      </w:r>
      <w:hyperlink r:id="rId480" w:history="1">
        <w:r w:rsidRPr="00930562">
          <w:rPr>
            <w:rStyle w:val="Hyperlink"/>
            <w:rFonts w:asciiTheme="minorHAnsi" w:hAnsiTheme="minorHAnsi" w:cstheme="minorHAnsi"/>
            <w:bCs/>
            <w:color w:val="808080" w:themeColor="background1" w:themeShade="80"/>
            <w:sz w:val="16"/>
            <w:szCs w:val="16"/>
            <w:lang w:val="es-AR"/>
          </w:rPr>
          <w:t>Final Report of the President’s Task Force on 21</w:t>
        </w:r>
        <w:r w:rsidRPr="00930562">
          <w:rPr>
            <w:rStyle w:val="Hyperlink"/>
            <w:rFonts w:asciiTheme="minorHAnsi" w:hAnsiTheme="minorHAnsi" w:cstheme="minorHAnsi"/>
            <w:bCs/>
            <w:color w:val="808080" w:themeColor="background1" w:themeShade="80"/>
            <w:sz w:val="16"/>
            <w:szCs w:val="16"/>
            <w:vertAlign w:val="superscript"/>
            <w:lang w:val="es-AR"/>
          </w:rPr>
          <w:t>st</w:t>
        </w:r>
        <w:r w:rsidRPr="00930562">
          <w:rPr>
            <w:rStyle w:val="Hyperlink"/>
            <w:rFonts w:asciiTheme="minorHAnsi" w:hAnsiTheme="minorHAnsi" w:cstheme="minorHAnsi"/>
            <w:bCs/>
            <w:color w:val="808080" w:themeColor="background1" w:themeShade="80"/>
            <w:sz w:val="16"/>
            <w:szCs w:val="16"/>
            <w:lang w:val="es-AR"/>
          </w:rPr>
          <w:t xml:space="preserve"> Century Policing</w:t>
        </w:r>
      </w:hyperlink>
      <w:r w:rsidRPr="00930562">
        <w:rPr>
          <w:rFonts w:asciiTheme="minorHAnsi" w:hAnsiTheme="minorHAnsi" w:cstheme="minorHAnsi"/>
          <w:bCs/>
          <w:color w:val="808080" w:themeColor="background1" w:themeShade="80"/>
          <w:sz w:val="16"/>
          <w:szCs w:val="16"/>
          <w:lang w:val="es-AR"/>
        </w:rPr>
        <w:t>, mayo de 2015</w:t>
      </w:r>
      <w:r w:rsidRPr="00930562">
        <w:rPr>
          <w:rFonts w:asciiTheme="minorHAnsi" w:hAnsiTheme="minorHAnsi" w:cstheme="minorHAnsi"/>
          <w:color w:val="808080" w:themeColor="background1" w:themeShade="80"/>
          <w:sz w:val="16"/>
          <w:szCs w:val="16"/>
          <w:lang w:val="es-AR"/>
        </w:rPr>
        <w:t xml:space="preserve">. </w:t>
      </w:r>
    </w:p>
  </w:footnote>
  <w:footnote w:id="401">
    <w:p w14:paraId="3FF8F1CD"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r>
      <w:r w:rsidRPr="00930562">
        <w:rPr>
          <w:rFonts w:asciiTheme="minorHAnsi" w:hAnsiTheme="minorHAnsi" w:cstheme="minorHAnsi"/>
          <w:bCs/>
          <w:color w:val="808080" w:themeColor="background1" w:themeShade="80"/>
          <w:sz w:val="16"/>
          <w:szCs w:val="16"/>
        </w:rPr>
        <w:t xml:space="preserve">COPS, </w:t>
      </w:r>
      <w:hyperlink r:id="rId481" w:history="1">
        <w:r w:rsidRPr="00930562">
          <w:rPr>
            <w:rStyle w:val="Hyperlink"/>
            <w:rFonts w:asciiTheme="minorHAnsi" w:hAnsiTheme="minorHAnsi" w:cstheme="minorHAnsi"/>
            <w:bCs/>
            <w:color w:val="808080" w:themeColor="background1" w:themeShade="80"/>
            <w:sz w:val="16"/>
            <w:szCs w:val="16"/>
          </w:rPr>
          <w:t>Final Report of the President’s Task Force on 21</w:t>
        </w:r>
        <w:r w:rsidRPr="00930562">
          <w:rPr>
            <w:rStyle w:val="Hyperlink"/>
            <w:rFonts w:asciiTheme="minorHAnsi" w:hAnsiTheme="minorHAnsi" w:cstheme="minorHAnsi"/>
            <w:bCs/>
            <w:color w:val="808080" w:themeColor="background1" w:themeShade="80"/>
            <w:sz w:val="16"/>
            <w:szCs w:val="16"/>
            <w:vertAlign w:val="superscript"/>
          </w:rPr>
          <w:t>st</w:t>
        </w:r>
        <w:r w:rsidRPr="00930562">
          <w:rPr>
            <w:rStyle w:val="Hyperlink"/>
            <w:rFonts w:asciiTheme="minorHAnsi" w:hAnsiTheme="minorHAnsi" w:cstheme="minorHAnsi"/>
            <w:bCs/>
            <w:color w:val="808080" w:themeColor="background1" w:themeShade="80"/>
            <w:sz w:val="16"/>
            <w:szCs w:val="16"/>
          </w:rPr>
          <w:t xml:space="preserve"> Century Policing</w:t>
        </w:r>
      </w:hyperlink>
      <w:r w:rsidRPr="00930562">
        <w:rPr>
          <w:rFonts w:asciiTheme="minorHAnsi" w:hAnsiTheme="minorHAnsi" w:cstheme="minorHAnsi"/>
          <w:bCs/>
          <w:color w:val="808080" w:themeColor="background1" w:themeShade="80"/>
          <w:sz w:val="16"/>
          <w:szCs w:val="16"/>
        </w:rPr>
        <w:t>, mayo de 2015</w:t>
      </w:r>
      <w:r w:rsidRPr="00930562">
        <w:rPr>
          <w:rFonts w:asciiTheme="minorHAnsi" w:hAnsiTheme="minorHAnsi" w:cstheme="minorHAnsi"/>
          <w:color w:val="808080" w:themeColor="background1" w:themeShade="80"/>
          <w:sz w:val="16"/>
          <w:szCs w:val="16"/>
        </w:rPr>
        <w:t>, p. 9.</w:t>
      </w:r>
    </w:p>
  </w:footnote>
  <w:footnote w:id="402">
    <w:p w14:paraId="4C612E99"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AR"/>
        </w:rPr>
        <w:t xml:space="preserve"> </w:t>
      </w:r>
      <w:r w:rsidRPr="00930562">
        <w:rPr>
          <w:rFonts w:asciiTheme="minorHAnsi" w:hAnsiTheme="minorHAnsi" w:cstheme="majorHAnsi"/>
          <w:color w:val="808080" w:themeColor="background1" w:themeShade="80"/>
          <w:sz w:val="16"/>
          <w:szCs w:val="16"/>
          <w:lang w:val="es-AR"/>
        </w:rPr>
        <w:tab/>
      </w:r>
      <w:r w:rsidRPr="00930562">
        <w:rPr>
          <w:rFonts w:asciiTheme="minorHAnsi" w:hAnsiTheme="minorHAnsi" w:cstheme="minorHAnsi"/>
          <w:i/>
          <w:color w:val="808080" w:themeColor="background1" w:themeShade="80"/>
          <w:sz w:val="16"/>
          <w:szCs w:val="16"/>
          <w:lang w:val="es-AR"/>
        </w:rPr>
        <w:t>Véase por ejemplo.</w:t>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bCs/>
          <w:color w:val="808080" w:themeColor="background1" w:themeShade="80"/>
          <w:sz w:val="16"/>
          <w:szCs w:val="16"/>
          <w:lang w:val="es-AR"/>
        </w:rPr>
        <w:t xml:space="preserve">CIDH, 153° Período de Sesiones,  </w:t>
      </w:r>
      <w:hyperlink r:id="rId482" w:history="1">
        <w:r w:rsidRPr="00930562">
          <w:rPr>
            <w:rStyle w:val="Hyperlink"/>
            <w:rFonts w:asciiTheme="minorHAnsi" w:hAnsiTheme="minorHAnsi" w:cstheme="minorHAnsi"/>
            <w:bCs/>
            <w:color w:val="808080" w:themeColor="background1" w:themeShade="80"/>
            <w:sz w:val="16"/>
            <w:szCs w:val="16"/>
            <w:lang w:val="es-AR"/>
          </w:rPr>
          <w:t>“Racismo en el Sistema de Justicia”</w:t>
        </w:r>
      </w:hyperlink>
      <w:r w:rsidRPr="00930562">
        <w:rPr>
          <w:rFonts w:asciiTheme="minorHAnsi" w:hAnsiTheme="minorHAnsi" w:cstheme="minorHAnsi"/>
          <w:bCs/>
          <w:color w:val="808080" w:themeColor="background1" w:themeShade="80"/>
          <w:sz w:val="16"/>
          <w:szCs w:val="16"/>
          <w:lang w:val="es-AR"/>
        </w:rPr>
        <w:t xml:space="preserve"> Audiencia, 27 de octubre de 2014</w:t>
      </w:r>
      <w:r w:rsidRPr="00930562">
        <w:rPr>
          <w:rStyle w:val="Hyperlink"/>
          <w:rFonts w:asciiTheme="minorHAnsi" w:hAnsiTheme="minorHAnsi" w:cstheme="minorHAnsi"/>
          <w:color w:val="808080" w:themeColor="background1" w:themeShade="80"/>
          <w:sz w:val="16"/>
          <w:szCs w:val="16"/>
          <w:lang w:val="es-AR"/>
        </w:rPr>
        <w:t>.</w:t>
      </w:r>
    </w:p>
  </w:footnote>
  <w:footnote w:id="403">
    <w:p w14:paraId="4745775A"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DOJ, </w:t>
      </w:r>
      <w:hyperlink r:id="rId483" w:history="1">
        <w:r w:rsidRPr="00930562">
          <w:rPr>
            <w:rStyle w:val="Hyperlink"/>
            <w:rFonts w:asciiTheme="minorHAnsi" w:hAnsiTheme="minorHAnsi" w:cstheme="minorHAnsi"/>
            <w:color w:val="808080" w:themeColor="background1" w:themeShade="80"/>
            <w:sz w:val="16"/>
            <w:szCs w:val="16"/>
          </w:rPr>
          <w:t>Department of Justice Announces Changes to the Collaborative Reform Initiative</w:t>
        </w:r>
      </w:hyperlink>
      <w:r w:rsidRPr="00930562">
        <w:rPr>
          <w:rFonts w:asciiTheme="minorHAnsi" w:hAnsiTheme="minorHAnsi" w:cstheme="minorHAnsi"/>
          <w:color w:val="808080" w:themeColor="background1" w:themeShade="80"/>
          <w:sz w:val="16"/>
          <w:szCs w:val="16"/>
        </w:rPr>
        <w:t xml:space="preserve">, 15 de septiembre de 2017; St. Louis Post-Dispatch, </w:t>
      </w:r>
      <w:hyperlink r:id="rId484" w:history="1">
        <w:r w:rsidRPr="00930562">
          <w:rPr>
            <w:rStyle w:val="Hyperlink"/>
            <w:rFonts w:asciiTheme="minorHAnsi" w:hAnsiTheme="minorHAnsi" w:cstheme="minorHAnsi"/>
            <w:color w:val="808080" w:themeColor="background1" w:themeShade="80"/>
            <w:sz w:val="16"/>
            <w:szCs w:val="16"/>
          </w:rPr>
          <w:t>DOJ shifts from 'collaborative reform' doctrine toward Trump's law-and-order mandate</w:t>
        </w:r>
      </w:hyperlink>
      <w:r w:rsidRPr="00930562">
        <w:rPr>
          <w:rFonts w:asciiTheme="minorHAnsi" w:hAnsiTheme="minorHAnsi" w:cstheme="minorHAnsi"/>
          <w:color w:val="808080" w:themeColor="background1" w:themeShade="80"/>
          <w:sz w:val="16"/>
          <w:szCs w:val="16"/>
        </w:rPr>
        <w:t xml:space="preserve">, 15 de septiembre de 2017.  </w:t>
      </w:r>
    </w:p>
  </w:footnote>
  <w:footnote w:id="404">
    <w:p w14:paraId="4F009462"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DOJ, </w:t>
      </w:r>
      <w:hyperlink r:id="rId485" w:history="1">
        <w:r w:rsidRPr="00930562">
          <w:rPr>
            <w:rStyle w:val="Hyperlink"/>
            <w:rFonts w:asciiTheme="minorHAnsi" w:hAnsiTheme="minorHAnsi" w:cstheme="minorHAnsi"/>
            <w:color w:val="808080" w:themeColor="background1" w:themeShade="80"/>
            <w:sz w:val="16"/>
            <w:szCs w:val="16"/>
          </w:rPr>
          <w:t>Department of Justice Announces Changes to the Collaborative Reform Initiative</w:t>
        </w:r>
      </w:hyperlink>
      <w:r w:rsidRPr="00930562">
        <w:rPr>
          <w:rFonts w:asciiTheme="minorHAnsi" w:hAnsiTheme="minorHAnsi" w:cstheme="minorHAnsi"/>
          <w:color w:val="808080" w:themeColor="background1" w:themeShade="80"/>
          <w:sz w:val="16"/>
          <w:szCs w:val="16"/>
        </w:rPr>
        <w:t>, 15 de septiembre de 2017.</w:t>
      </w:r>
    </w:p>
  </w:footnote>
  <w:footnote w:id="405">
    <w:p w14:paraId="64494186"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The White House, </w:t>
      </w:r>
      <w:r w:rsidRPr="00930562">
        <w:rPr>
          <w:rFonts w:asciiTheme="minorHAnsi" w:hAnsiTheme="minorHAnsi" w:cstheme="minorHAnsi"/>
          <w:iCs/>
          <w:color w:val="808080" w:themeColor="background1" w:themeShade="80"/>
          <w:sz w:val="16"/>
          <w:szCs w:val="16"/>
        </w:rPr>
        <w:t>Standing Up For Our Law Enforcement Community</w:t>
      </w:r>
      <w:r w:rsidRPr="00930562">
        <w:rPr>
          <w:rFonts w:asciiTheme="minorHAnsi" w:hAnsiTheme="minorHAnsi" w:cstheme="minorHAnsi"/>
          <w:color w:val="808080" w:themeColor="background1" w:themeShade="80"/>
          <w:sz w:val="16"/>
          <w:szCs w:val="16"/>
        </w:rPr>
        <w:t xml:space="preserve">, 20 de enero de 2017.  </w:t>
      </w:r>
    </w:p>
  </w:footnote>
  <w:footnote w:id="406">
    <w:p w14:paraId="6963AE49"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Vox, </w:t>
      </w:r>
      <w:hyperlink r:id="rId486" w:history="1">
        <w:r w:rsidRPr="00930562">
          <w:rPr>
            <w:rStyle w:val="Hyperlink"/>
            <w:rFonts w:asciiTheme="minorHAnsi" w:hAnsiTheme="minorHAnsi" w:cstheme="minorHAnsi"/>
            <w:color w:val="808080" w:themeColor="background1" w:themeShade="80"/>
            <w:sz w:val="16"/>
            <w:szCs w:val="16"/>
          </w:rPr>
          <w:t>What Jeff Sessions has done so far is toward one goal: unleashing the police</w:t>
        </w:r>
      </w:hyperlink>
      <w:r w:rsidRPr="00930562">
        <w:rPr>
          <w:rFonts w:asciiTheme="minorHAnsi" w:hAnsiTheme="minorHAnsi" w:cstheme="minorHAnsi"/>
          <w:color w:val="808080" w:themeColor="background1" w:themeShade="80"/>
          <w:sz w:val="16"/>
          <w:szCs w:val="16"/>
        </w:rPr>
        <w:t>, 4 de mayo de 2017</w:t>
      </w:r>
      <w:r w:rsidRPr="00930562">
        <w:rPr>
          <w:rFonts w:asciiTheme="minorHAnsi" w:eastAsia="Times New Roman" w:hAnsiTheme="minorHAnsi" w:cstheme="minorHAnsi"/>
          <w:color w:val="808080" w:themeColor="background1" w:themeShade="80"/>
          <w:sz w:val="16"/>
          <w:szCs w:val="16"/>
        </w:rPr>
        <w:t xml:space="preserve">; NPR, </w:t>
      </w:r>
      <w:hyperlink r:id="rId487" w:history="1">
        <w:r w:rsidRPr="00930562">
          <w:rPr>
            <w:rStyle w:val="Hyperlink"/>
            <w:rFonts w:asciiTheme="minorHAnsi" w:eastAsia="Times New Roman" w:hAnsiTheme="minorHAnsi" w:cstheme="minorHAnsi"/>
            <w:color w:val="808080" w:themeColor="background1" w:themeShade="80"/>
            <w:sz w:val="16"/>
            <w:szCs w:val="16"/>
          </w:rPr>
          <w:t>Justice Department To Review All Civil Rights Agreements On Police Conduct</w:t>
        </w:r>
      </w:hyperlink>
      <w:r w:rsidRPr="00930562">
        <w:rPr>
          <w:rFonts w:asciiTheme="minorHAnsi" w:eastAsia="Times New Roman" w:hAnsiTheme="minorHAnsi" w:cstheme="minorHAnsi"/>
          <w:color w:val="808080" w:themeColor="background1" w:themeShade="80"/>
          <w:sz w:val="16"/>
          <w:szCs w:val="16"/>
        </w:rPr>
        <w:t>,</w:t>
      </w:r>
      <w:r w:rsidRPr="00930562">
        <w:rPr>
          <w:rFonts w:asciiTheme="minorHAnsi" w:hAnsiTheme="minorHAnsi" w:cstheme="minorHAnsi"/>
          <w:color w:val="808080" w:themeColor="background1" w:themeShade="80"/>
          <w:sz w:val="16"/>
          <w:szCs w:val="16"/>
        </w:rPr>
        <w:t xml:space="preserve"> </w:t>
      </w:r>
      <w:r w:rsidRPr="00930562">
        <w:rPr>
          <w:rFonts w:asciiTheme="minorHAnsi" w:eastAsia="Times New Roman" w:hAnsiTheme="minorHAnsi" w:cstheme="minorHAnsi"/>
          <w:color w:val="808080" w:themeColor="background1" w:themeShade="80"/>
          <w:sz w:val="16"/>
          <w:szCs w:val="16"/>
        </w:rPr>
        <w:t xml:space="preserve">3 de abril de 2017; </w:t>
      </w:r>
      <w:r w:rsidRPr="00930562">
        <w:rPr>
          <w:rFonts w:asciiTheme="minorHAnsi" w:hAnsiTheme="minorHAnsi" w:cstheme="minorHAnsi"/>
          <w:color w:val="808080" w:themeColor="background1" w:themeShade="80"/>
          <w:sz w:val="16"/>
          <w:szCs w:val="16"/>
        </w:rPr>
        <w:t xml:space="preserve">New York Times, </w:t>
      </w:r>
      <w:hyperlink r:id="rId488" w:history="1">
        <w:r w:rsidRPr="00930562">
          <w:rPr>
            <w:rStyle w:val="Hyperlink"/>
            <w:rFonts w:asciiTheme="minorHAnsi" w:hAnsiTheme="minorHAnsi" w:cstheme="minorHAnsi"/>
            <w:color w:val="808080" w:themeColor="background1" w:themeShade="80"/>
            <w:sz w:val="16"/>
            <w:szCs w:val="16"/>
          </w:rPr>
          <w:t>Police Chiefs Say Trump’s Law Enforcement Priorities Are Out of Step</w:t>
        </w:r>
      </w:hyperlink>
      <w:r w:rsidRPr="00930562">
        <w:rPr>
          <w:rFonts w:asciiTheme="minorHAnsi" w:hAnsiTheme="minorHAnsi" w:cstheme="minorHAnsi"/>
          <w:color w:val="808080" w:themeColor="background1" w:themeShade="80"/>
          <w:sz w:val="16"/>
          <w:szCs w:val="16"/>
        </w:rPr>
        <w:t xml:space="preserve">, 12 de febrero de 2017; New York Times, </w:t>
      </w:r>
      <w:hyperlink r:id="rId489" w:history="1">
        <w:r w:rsidRPr="00930562">
          <w:rPr>
            <w:rStyle w:val="Hyperlink"/>
            <w:rFonts w:asciiTheme="minorHAnsi" w:hAnsiTheme="minorHAnsi" w:cstheme="minorHAnsi"/>
            <w:color w:val="808080" w:themeColor="background1" w:themeShade="80"/>
            <w:sz w:val="16"/>
            <w:szCs w:val="16"/>
          </w:rPr>
          <w:t>Police Criticize Trump for Urging Officers Not to Be ‘Too Nice’ With Suspects</w:t>
        </w:r>
      </w:hyperlink>
      <w:r w:rsidRPr="00930562">
        <w:rPr>
          <w:rFonts w:asciiTheme="minorHAnsi" w:hAnsiTheme="minorHAnsi" w:cstheme="minorHAnsi"/>
          <w:color w:val="808080" w:themeColor="background1" w:themeShade="80"/>
          <w:sz w:val="16"/>
          <w:szCs w:val="16"/>
        </w:rPr>
        <w:t xml:space="preserve">, 29 de Julio de 2017; Slate, </w:t>
      </w:r>
      <w:hyperlink r:id="rId490" w:history="1">
        <w:r w:rsidRPr="00930562">
          <w:rPr>
            <w:rStyle w:val="Hyperlink"/>
            <w:rFonts w:asciiTheme="minorHAnsi" w:hAnsiTheme="minorHAnsi" w:cstheme="minorHAnsi"/>
            <w:color w:val="808080" w:themeColor="background1" w:themeShade="80"/>
            <w:sz w:val="16"/>
            <w:szCs w:val="16"/>
          </w:rPr>
          <w:t>Trump and Sessions Support Local Cops, Except When Local Cops Support Federal Intervention</w:t>
        </w:r>
      </w:hyperlink>
      <w:r w:rsidRPr="00930562">
        <w:rPr>
          <w:rFonts w:asciiTheme="minorHAnsi" w:hAnsiTheme="minorHAnsi" w:cstheme="minorHAnsi"/>
          <w:color w:val="808080" w:themeColor="background1" w:themeShade="80"/>
          <w:sz w:val="16"/>
          <w:szCs w:val="16"/>
        </w:rPr>
        <w:t>, 6 de abril de 2017.</w:t>
      </w:r>
    </w:p>
  </w:footnote>
  <w:footnote w:id="407">
    <w:p w14:paraId="302202FB"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t xml:space="preserve">USA Today (Fiscal General Jeff Sessions), </w:t>
      </w:r>
      <w:hyperlink r:id="rId491" w:history="1">
        <w:r w:rsidRPr="00930562">
          <w:rPr>
            <w:rStyle w:val="Hyperlink"/>
            <w:rFonts w:asciiTheme="minorHAnsi" w:hAnsiTheme="minorHAnsi" w:cstheme="minorHAnsi"/>
            <w:color w:val="808080" w:themeColor="background1" w:themeShade="80"/>
            <w:sz w:val="16"/>
            <w:szCs w:val="16"/>
            <w:lang w:val="es-AR"/>
          </w:rPr>
          <w:t>Avoid harmful federal intrusion</w:t>
        </w:r>
      </w:hyperlink>
      <w:r w:rsidRPr="00930562">
        <w:rPr>
          <w:rFonts w:asciiTheme="minorHAnsi" w:hAnsiTheme="minorHAnsi" w:cstheme="minorHAnsi"/>
          <w:color w:val="808080" w:themeColor="background1" w:themeShade="80"/>
          <w:sz w:val="16"/>
          <w:szCs w:val="16"/>
          <w:lang w:val="es-AR"/>
        </w:rPr>
        <w:t xml:space="preserve">, 17 de abril de 2017.  </w:t>
      </w:r>
    </w:p>
  </w:footnote>
  <w:footnote w:id="408">
    <w:p w14:paraId="23D93692"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bCs/>
          <w:color w:val="808080" w:themeColor="background1" w:themeShade="80"/>
          <w:sz w:val="16"/>
          <w:szCs w:val="16"/>
          <w:lang w:val="es-AR"/>
        </w:rPr>
        <w:t xml:space="preserve">166° Período de Sesiones, </w:t>
      </w:r>
      <w:hyperlink r:id="rId492" w:history="1">
        <w:r w:rsidRPr="00930562">
          <w:rPr>
            <w:rStyle w:val="Hyperlink"/>
            <w:rFonts w:asciiTheme="minorHAnsi" w:hAnsiTheme="minorHAnsi" w:cstheme="minorHAnsi"/>
            <w:bCs/>
            <w:color w:val="808080" w:themeColor="background1" w:themeShade="80"/>
            <w:sz w:val="16"/>
            <w:szCs w:val="16"/>
            <w:lang w:val="es-AR"/>
          </w:rPr>
          <w:t>Audiencia “Impunidad de Asesinatos Policiales”</w:t>
        </w:r>
      </w:hyperlink>
      <w:r w:rsidRPr="00930562">
        <w:rPr>
          <w:rFonts w:asciiTheme="minorHAnsi" w:hAnsiTheme="minorHAnsi" w:cstheme="minorHAnsi"/>
          <w:bCs/>
          <w:color w:val="808080" w:themeColor="background1" w:themeShade="80"/>
          <w:sz w:val="16"/>
          <w:szCs w:val="16"/>
          <w:lang w:val="es-AR"/>
        </w:rPr>
        <w:t>,</w:t>
      </w:r>
      <w:r w:rsidRPr="00930562">
        <w:rPr>
          <w:rFonts w:asciiTheme="minorHAnsi" w:hAnsiTheme="minorHAnsi" w:cstheme="minorHAnsi"/>
          <w:color w:val="808080" w:themeColor="background1" w:themeShade="80"/>
          <w:sz w:val="16"/>
          <w:szCs w:val="16"/>
          <w:lang w:val="es-AR"/>
        </w:rPr>
        <w:t xml:space="preserve"> 7 de diciembre de </w:t>
      </w:r>
      <w:r w:rsidRPr="00930562">
        <w:rPr>
          <w:rFonts w:asciiTheme="minorHAnsi" w:hAnsiTheme="minorHAnsi" w:cstheme="minorHAnsi"/>
          <w:bCs/>
          <w:color w:val="808080" w:themeColor="background1" w:themeShade="80"/>
          <w:sz w:val="16"/>
          <w:szCs w:val="16"/>
          <w:lang w:val="es-AR"/>
        </w:rPr>
        <w:t>2017</w:t>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i/>
          <w:color w:val="808080" w:themeColor="background1" w:themeShade="80"/>
          <w:sz w:val="16"/>
          <w:szCs w:val="16"/>
        </w:rPr>
        <w:t>Véase por ejemplo,</w:t>
      </w:r>
      <w:r w:rsidRPr="00930562">
        <w:rPr>
          <w:rFonts w:asciiTheme="minorHAnsi" w:hAnsiTheme="minorHAnsi" w:cstheme="minorHAnsi"/>
          <w:color w:val="808080" w:themeColor="background1" w:themeShade="80"/>
          <w:sz w:val="16"/>
          <w:szCs w:val="16"/>
        </w:rPr>
        <w:t xml:space="preserve"> New York Times, </w:t>
      </w:r>
      <w:hyperlink r:id="rId493" w:history="1">
        <w:r w:rsidRPr="00930562">
          <w:rPr>
            <w:rStyle w:val="Hyperlink"/>
            <w:rFonts w:asciiTheme="minorHAnsi" w:hAnsiTheme="minorHAnsi" w:cstheme="minorHAnsi"/>
            <w:color w:val="808080" w:themeColor="background1" w:themeShade="80"/>
            <w:sz w:val="16"/>
            <w:szCs w:val="16"/>
          </w:rPr>
          <w:t>How Trump’s Hands-Off Approach to Policing is Frustrating Some Chiefs</w:t>
        </w:r>
      </w:hyperlink>
      <w:r w:rsidRPr="00930562">
        <w:rPr>
          <w:rFonts w:asciiTheme="minorHAnsi" w:hAnsiTheme="minorHAnsi" w:cstheme="minorHAnsi"/>
          <w:iCs/>
          <w:color w:val="808080" w:themeColor="background1" w:themeShade="80"/>
          <w:sz w:val="16"/>
          <w:szCs w:val="16"/>
        </w:rPr>
        <w:t>,</w:t>
      </w:r>
      <w:r w:rsidRPr="00930562">
        <w:rPr>
          <w:rFonts w:asciiTheme="minorHAnsi" w:hAnsiTheme="minorHAnsi" w:cstheme="minorHAnsi"/>
          <w:color w:val="808080" w:themeColor="background1" w:themeShade="80"/>
          <w:sz w:val="16"/>
          <w:szCs w:val="16"/>
        </w:rPr>
        <w:t xml:space="preserve"> 21 de noviembre de 2017.</w:t>
      </w:r>
    </w:p>
  </w:footnote>
  <w:footnote w:id="409">
    <w:p w14:paraId="5F0F3B48"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rPr>
        <w:t xml:space="preserve"> </w:t>
      </w:r>
      <w:r w:rsidRPr="00930562">
        <w:rPr>
          <w:rFonts w:asciiTheme="minorHAnsi" w:hAnsiTheme="minorHAnsi" w:cstheme="majorHAnsi"/>
          <w:color w:val="808080" w:themeColor="background1" w:themeShade="80"/>
          <w:sz w:val="16"/>
          <w:szCs w:val="16"/>
        </w:rPr>
        <w:tab/>
      </w:r>
      <w:r w:rsidRPr="00930562">
        <w:rPr>
          <w:rFonts w:asciiTheme="minorHAnsi" w:hAnsiTheme="minorHAnsi" w:cstheme="minorHAnsi"/>
          <w:color w:val="808080" w:themeColor="background1" w:themeShade="80"/>
          <w:sz w:val="16"/>
          <w:szCs w:val="16"/>
        </w:rPr>
        <w:t xml:space="preserve">Office of the Attorney General, </w:t>
      </w:r>
      <w:hyperlink r:id="rId494" w:history="1">
        <w:r w:rsidRPr="00930562">
          <w:rPr>
            <w:rStyle w:val="Hyperlink"/>
            <w:rFonts w:asciiTheme="minorHAnsi" w:hAnsiTheme="minorHAnsi" w:cstheme="minorHAnsi"/>
            <w:color w:val="808080" w:themeColor="background1" w:themeShade="80"/>
            <w:sz w:val="16"/>
            <w:szCs w:val="16"/>
          </w:rPr>
          <w:t>Memorandum for Heads of Department Components and United States Attorneys</w:t>
        </w:r>
      </w:hyperlink>
      <w:r w:rsidRPr="00930562">
        <w:rPr>
          <w:rFonts w:asciiTheme="minorHAnsi" w:hAnsiTheme="minorHAnsi" w:cstheme="minorHAnsi"/>
          <w:color w:val="808080" w:themeColor="background1" w:themeShade="80"/>
          <w:sz w:val="16"/>
          <w:szCs w:val="16"/>
        </w:rPr>
        <w:t xml:space="preserve">, 31 de marzo de 2017; The Guardian, </w:t>
      </w:r>
      <w:hyperlink r:id="rId495" w:history="1">
        <w:r w:rsidRPr="00930562">
          <w:rPr>
            <w:rStyle w:val="Hyperlink"/>
            <w:rFonts w:asciiTheme="minorHAnsi" w:hAnsiTheme="minorHAnsi" w:cstheme="minorHAnsi"/>
            <w:color w:val="808080" w:themeColor="background1" w:themeShade="80"/>
            <w:sz w:val="16"/>
            <w:szCs w:val="16"/>
          </w:rPr>
          <w:t>Jeff Sessions orders review of police reforms prompted by high-profile shootings</w:t>
        </w:r>
      </w:hyperlink>
      <w:r w:rsidRPr="00930562">
        <w:rPr>
          <w:rFonts w:asciiTheme="minorHAnsi" w:hAnsiTheme="minorHAnsi" w:cstheme="minorHAnsi"/>
          <w:color w:val="808080" w:themeColor="background1" w:themeShade="80"/>
          <w:sz w:val="16"/>
          <w:szCs w:val="16"/>
        </w:rPr>
        <w:t>, 3 de abril de 2017.</w:t>
      </w:r>
    </w:p>
  </w:footnote>
  <w:footnote w:id="410">
    <w:p w14:paraId="6662147E"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i/>
          <w:color w:val="808080" w:themeColor="background1" w:themeShade="80"/>
          <w:sz w:val="16"/>
          <w:szCs w:val="16"/>
          <w:lang w:val="es-AR"/>
        </w:rPr>
        <w:t xml:space="preserve">Véase </w:t>
      </w:r>
      <w:r w:rsidRPr="00930562">
        <w:rPr>
          <w:rFonts w:asciiTheme="minorHAnsi" w:hAnsiTheme="minorHAnsi" w:cstheme="minorHAnsi"/>
          <w:color w:val="808080" w:themeColor="background1" w:themeShade="80"/>
          <w:sz w:val="16"/>
          <w:szCs w:val="16"/>
          <w:lang w:val="es-AR"/>
        </w:rPr>
        <w:t>Información recibida de American Civil Liberties Union durante 166° Período de Sesiones, Audiencia Temática: Informes de Impunidad en Ejecuciones Extrajudiciales en Estados Unidos, 7 de diciembre de 2017, p. 2-3.</w:t>
      </w:r>
    </w:p>
  </w:footnote>
  <w:footnote w:id="411">
    <w:p w14:paraId="5BB90FB8"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U.S. News &amp; World Report, </w:t>
      </w:r>
      <w:hyperlink r:id="rId496" w:history="1">
        <w:r w:rsidRPr="00930562">
          <w:rPr>
            <w:rStyle w:val="Hyperlink"/>
            <w:rFonts w:asciiTheme="minorHAnsi" w:hAnsiTheme="minorHAnsi" w:cstheme="minorHAnsi"/>
            <w:color w:val="808080" w:themeColor="background1" w:themeShade="80"/>
            <w:sz w:val="16"/>
            <w:szCs w:val="16"/>
          </w:rPr>
          <w:t>Sessions slams Baltimore consent decree</w:t>
        </w:r>
      </w:hyperlink>
      <w:r w:rsidRPr="00930562">
        <w:rPr>
          <w:rFonts w:asciiTheme="minorHAnsi" w:hAnsiTheme="minorHAnsi" w:cstheme="minorHAnsi"/>
          <w:color w:val="808080" w:themeColor="background1" w:themeShade="80"/>
          <w:sz w:val="16"/>
          <w:szCs w:val="16"/>
        </w:rPr>
        <w:t xml:space="preserve">, 7 de abril de 2017.  </w:t>
      </w:r>
    </w:p>
  </w:footnote>
  <w:footnote w:id="412">
    <w:p w14:paraId="659CFFE6"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Chicago Tribune, </w:t>
      </w:r>
      <w:hyperlink r:id="rId497" w:history="1">
        <w:r w:rsidRPr="00930562">
          <w:rPr>
            <w:rStyle w:val="Hyperlink"/>
            <w:rFonts w:asciiTheme="minorHAnsi" w:hAnsiTheme="minorHAnsi" w:cstheme="minorHAnsi"/>
            <w:color w:val="808080" w:themeColor="background1" w:themeShade="80"/>
            <w:sz w:val="16"/>
            <w:szCs w:val="16"/>
          </w:rPr>
          <w:t>Emanuel backs off from commitment to court oversight of Chicago police reform</w:t>
        </w:r>
      </w:hyperlink>
      <w:r w:rsidRPr="00930562">
        <w:rPr>
          <w:rFonts w:asciiTheme="minorHAnsi" w:hAnsiTheme="minorHAnsi" w:cstheme="minorHAnsi"/>
          <w:color w:val="808080" w:themeColor="background1" w:themeShade="80"/>
          <w:sz w:val="16"/>
          <w:szCs w:val="16"/>
        </w:rPr>
        <w:t xml:space="preserve">, 2 de junio de 2017.  </w:t>
      </w:r>
    </w:p>
  </w:footnote>
  <w:footnote w:id="413">
    <w:p w14:paraId="531216A3"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DOJ, </w:t>
      </w:r>
      <w:hyperlink r:id="rId498" w:history="1">
        <w:r w:rsidRPr="00930562">
          <w:rPr>
            <w:rStyle w:val="Hyperlink"/>
            <w:rFonts w:asciiTheme="minorHAnsi" w:hAnsiTheme="minorHAnsi" w:cstheme="minorHAnsi"/>
            <w:color w:val="808080" w:themeColor="background1" w:themeShade="80"/>
            <w:sz w:val="16"/>
            <w:szCs w:val="16"/>
          </w:rPr>
          <w:t>Investigation of the Chicago Police Department</w:t>
        </w:r>
      </w:hyperlink>
      <w:r w:rsidRPr="00930562">
        <w:rPr>
          <w:rFonts w:asciiTheme="minorHAnsi" w:hAnsiTheme="minorHAnsi" w:cstheme="minorHAnsi"/>
          <w:color w:val="808080" w:themeColor="background1" w:themeShade="80"/>
          <w:sz w:val="16"/>
          <w:szCs w:val="16"/>
        </w:rPr>
        <w:t xml:space="preserve">, 13 de enero de 2017; DOJ, </w:t>
      </w:r>
      <w:hyperlink r:id="rId499" w:history="1">
        <w:r w:rsidRPr="00930562">
          <w:rPr>
            <w:rStyle w:val="Hyperlink"/>
            <w:rFonts w:asciiTheme="minorHAnsi" w:hAnsiTheme="minorHAnsi" w:cstheme="minorHAnsi"/>
            <w:color w:val="808080" w:themeColor="background1" w:themeShade="80"/>
            <w:sz w:val="16"/>
            <w:szCs w:val="16"/>
          </w:rPr>
          <w:t>Investigation of the Baltimore City Police Department</w:t>
        </w:r>
      </w:hyperlink>
      <w:r w:rsidRPr="00930562">
        <w:rPr>
          <w:rFonts w:asciiTheme="minorHAnsi" w:hAnsiTheme="minorHAnsi" w:cstheme="minorHAnsi"/>
          <w:color w:val="808080" w:themeColor="background1" w:themeShade="80"/>
          <w:sz w:val="16"/>
          <w:szCs w:val="16"/>
        </w:rPr>
        <w:t xml:space="preserve">, 10 de agosto de 2016.  </w:t>
      </w:r>
    </w:p>
  </w:footnote>
  <w:footnote w:id="414">
    <w:p w14:paraId="77FB3D42"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i/>
          <w:color w:val="808080" w:themeColor="background1" w:themeShade="80"/>
          <w:sz w:val="16"/>
          <w:szCs w:val="16"/>
          <w:lang w:val="es-AR"/>
        </w:rPr>
        <w:t xml:space="preserve">Véase </w:t>
      </w:r>
      <w:r w:rsidRPr="00930562">
        <w:rPr>
          <w:rFonts w:asciiTheme="minorHAnsi" w:hAnsiTheme="minorHAnsi" w:cstheme="minorHAnsi"/>
          <w:color w:val="808080" w:themeColor="background1" w:themeShade="80"/>
          <w:sz w:val="16"/>
          <w:szCs w:val="16"/>
          <w:lang w:val="es-AR"/>
        </w:rPr>
        <w:t xml:space="preserve">Información recibida de American Civil Liberties Union durante 166° Período de Sesiones, Audiencia Temática: Informes de Impunidad en Ejecuciones Extrajudiciales en Estados Unidos, 7 de diciembre de 2017, p. 2-3. </w:t>
      </w:r>
    </w:p>
  </w:footnote>
  <w:footnote w:id="415">
    <w:p w14:paraId="7C6A0934" w14:textId="19CA2E7D"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r>
      <w:r w:rsidRPr="00930562">
        <w:rPr>
          <w:rFonts w:asciiTheme="minorHAnsi" w:hAnsiTheme="minorHAnsi" w:cstheme="minorHAnsi"/>
          <w:i/>
          <w:color w:val="808080" w:themeColor="background1" w:themeShade="80"/>
          <w:sz w:val="16"/>
          <w:szCs w:val="16"/>
        </w:rPr>
        <w:t xml:space="preserve">Véase supra </w:t>
      </w:r>
      <w:r w:rsidRPr="00930562">
        <w:rPr>
          <w:rFonts w:asciiTheme="minorHAnsi" w:hAnsiTheme="minorHAnsi" w:cstheme="minorHAnsi"/>
          <w:color w:val="808080" w:themeColor="background1" w:themeShade="80"/>
          <w:sz w:val="16"/>
          <w:szCs w:val="16"/>
        </w:rPr>
        <w:t xml:space="preserve">párr. </w:t>
      </w:r>
      <w:r w:rsidRPr="00930562">
        <w:rPr>
          <w:rFonts w:asciiTheme="minorHAnsi" w:hAnsiTheme="minorHAnsi" w:cstheme="minorHAnsi"/>
          <w:color w:val="808080" w:themeColor="background1" w:themeShade="80"/>
          <w:sz w:val="16"/>
          <w:szCs w:val="16"/>
        </w:rPr>
        <w:fldChar w:fldCharType="begin"/>
      </w:r>
      <w:r w:rsidRPr="00930562">
        <w:rPr>
          <w:rFonts w:asciiTheme="minorHAnsi" w:hAnsiTheme="minorHAnsi" w:cstheme="minorHAnsi"/>
          <w:color w:val="808080" w:themeColor="background1" w:themeShade="80"/>
          <w:sz w:val="16"/>
          <w:szCs w:val="16"/>
        </w:rPr>
        <w:instrText xml:space="preserve"> REF _Ref504669959 \r \h  \* MERGEFORMAT </w:instrText>
      </w:r>
      <w:r w:rsidRPr="00930562">
        <w:rPr>
          <w:rFonts w:asciiTheme="minorHAnsi" w:hAnsiTheme="minorHAnsi" w:cstheme="minorHAnsi"/>
          <w:color w:val="808080" w:themeColor="background1" w:themeShade="80"/>
          <w:sz w:val="16"/>
          <w:szCs w:val="16"/>
        </w:rPr>
      </w:r>
      <w:r w:rsidRPr="00930562">
        <w:rPr>
          <w:rFonts w:asciiTheme="minorHAnsi" w:hAnsiTheme="minorHAnsi" w:cstheme="minorHAnsi"/>
          <w:color w:val="808080" w:themeColor="background1" w:themeShade="80"/>
          <w:sz w:val="16"/>
          <w:szCs w:val="16"/>
        </w:rPr>
        <w:fldChar w:fldCharType="separate"/>
      </w:r>
      <w:r w:rsidRPr="00930562">
        <w:rPr>
          <w:rFonts w:asciiTheme="minorHAnsi" w:hAnsiTheme="minorHAnsi" w:cstheme="minorHAnsi"/>
          <w:color w:val="808080" w:themeColor="background1" w:themeShade="80"/>
          <w:sz w:val="16"/>
          <w:szCs w:val="16"/>
        </w:rPr>
        <w:t>77</w:t>
      </w:r>
      <w:r w:rsidRPr="00930562">
        <w:rPr>
          <w:rFonts w:asciiTheme="minorHAnsi" w:hAnsiTheme="minorHAnsi" w:cstheme="minorHAnsi"/>
          <w:color w:val="808080" w:themeColor="background1" w:themeShade="80"/>
          <w:sz w:val="16"/>
          <w:szCs w:val="16"/>
        </w:rPr>
        <w:fldChar w:fldCharType="end"/>
      </w:r>
      <w:r w:rsidRPr="00930562">
        <w:rPr>
          <w:rFonts w:asciiTheme="minorHAnsi" w:hAnsiTheme="minorHAnsi" w:cstheme="minorHAnsi"/>
          <w:color w:val="808080" w:themeColor="background1" w:themeShade="80"/>
          <w:sz w:val="16"/>
          <w:szCs w:val="16"/>
        </w:rPr>
        <w:t xml:space="preserve">. White House, Office of the Press Secretary, </w:t>
      </w:r>
      <w:hyperlink r:id="rId500" w:history="1">
        <w:r w:rsidRPr="00930562">
          <w:rPr>
            <w:rStyle w:val="Hyperlink"/>
            <w:rFonts w:asciiTheme="minorHAnsi" w:hAnsiTheme="minorHAnsi" w:cstheme="minorHAnsi"/>
            <w:color w:val="808080" w:themeColor="background1" w:themeShade="80"/>
            <w:sz w:val="16"/>
            <w:szCs w:val="16"/>
          </w:rPr>
          <w:t>Presidential Executive Order on Restoring State, Tribal, and Local Law Enforcement's Access to Life-Saving Equipment and Resources</w:t>
        </w:r>
      </w:hyperlink>
      <w:r w:rsidRPr="00930562">
        <w:rPr>
          <w:rFonts w:asciiTheme="minorHAnsi" w:hAnsiTheme="minorHAnsi" w:cstheme="minorHAnsi"/>
          <w:color w:val="808080" w:themeColor="background1" w:themeShade="80"/>
          <w:sz w:val="16"/>
          <w:szCs w:val="16"/>
        </w:rPr>
        <w:t xml:space="preserve">, 28 de agosto de 2017; New York Times, </w:t>
      </w:r>
      <w:hyperlink r:id="rId501" w:history="1">
        <w:r w:rsidRPr="00930562">
          <w:rPr>
            <w:rStyle w:val="Hyperlink"/>
            <w:rFonts w:asciiTheme="minorHAnsi" w:hAnsiTheme="minorHAnsi" w:cstheme="minorHAnsi"/>
            <w:color w:val="808080" w:themeColor="background1" w:themeShade="80"/>
            <w:sz w:val="16"/>
            <w:szCs w:val="16"/>
          </w:rPr>
          <w:t>Trump Reverses Restrictions on Military Hardware for Police</w:t>
        </w:r>
      </w:hyperlink>
      <w:r w:rsidRPr="00930562">
        <w:rPr>
          <w:rFonts w:asciiTheme="minorHAnsi" w:hAnsiTheme="minorHAnsi" w:cstheme="minorHAnsi"/>
          <w:color w:val="808080" w:themeColor="background1" w:themeShade="80"/>
          <w:sz w:val="16"/>
          <w:szCs w:val="16"/>
        </w:rPr>
        <w:t>, 28 de agosto de 2017.</w:t>
      </w:r>
    </w:p>
  </w:footnote>
  <w:footnote w:id="416">
    <w:p w14:paraId="0AF01664"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r>
      <w:r w:rsidRPr="00930562">
        <w:rPr>
          <w:rFonts w:asciiTheme="minorHAnsi" w:hAnsiTheme="minorHAnsi" w:cstheme="minorHAnsi"/>
          <w:i/>
          <w:color w:val="808080" w:themeColor="background1" w:themeShade="80"/>
          <w:sz w:val="16"/>
          <w:szCs w:val="16"/>
        </w:rPr>
        <w:t xml:space="preserve">Véase arriba </w:t>
      </w:r>
      <w:r w:rsidRPr="00930562">
        <w:rPr>
          <w:rFonts w:asciiTheme="minorHAnsi" w:hAnsiTheme="minorHAnsi" w:cstheme="minorHAnsi"/>
          <w:color w:val="808080" w:themeColor="background1" w:themeShade="80"/>
          <w:sz w:val="16"/>
          <w:szCs w:val="16"/>
        </w:rPr>
        <w:t xml:space="preserve">párr. </w:t>
      </w:r>
      <w:r w:rsidRPr="00930562">
        <w:rPr>
          <w:rFonts w:asciiTheme="minorHAnsi" w:hAnsiTheme="minorHAnsi" w:cstheme="minorHAnsi"/>
          <w:color w:val="808080" w:themeColor="background1" w:themeShade="80"/>
          <w:sz w:val="16"/>
          <w:szCs w:val="16"/>
        </w:rPr>
        <w:fldChar w:fldCharType="begin"/>
      </w:r>
      <w:r w:rsidRPr="00930562">
        <w:rPr>
          <w:rFonts w:asciiTheme="minorHAnsi" w:hAnsiTheme="minorHAnsi" w:cstheme="minorHAnsi"/>
          <w:color w:val="808080" w:themeColor="background1" w:themeShade="80"/>
          <w:sz w:val="16"/>
          <w:szCs w:val="16"/>
        </w:rPr>
        <w:instrText xml:space="preserve"> REF _Ref507171111 \r \h  \* MERGEFORMAT </w:instrText>
      </w:r>
      <w:r w:rsidRPr="00930562">
        <w:rPr>
          <w:rFonts w:asciiTheme="minorHAnsi" w:hAnsiTheme="minorHAnsi" w:cstheme="minorHAnsi"/>
          <w:color w:val="808080" w:themeColor="background1" w:themeShade="80"/>
          <w:sz w:val="16"/>
          <w:szCs w:val="16"/>
        </w:rPr>
      </w:r>
      <w:r w:rsidRPr="00930562">
        <w:rPr>
          <w:rFonts w:asciiTheme="minorHAnsi" w:hAnsiTheme="minorHAnsi" w:cstheme="minorHAnsi"/>
          <w:color w:val="808080" w:themeColor="background1" w:themeShade="80"/>
          <w:sz w:val="16"/>
          <w:szCs w:val="16"/>
        </w:rPr>
        <w:fldChar w:fldCharType="separate"/>
      </w:r>
      <w:r w:rsidRPr="00930562">
        <w:rPr>
          <w:rFonts w:asciiTheme="minorHAnsi" w:hAnsiTheme="minorHAnsi" w:cstheme="minorHAnsi"/>
          <w:color w:val="808080" w:themeColor="background1" w:themeShade="80"/>
          <w:sz w:val="16"/>
          <w:szCs w:val="16"/>
        </w:rPr>
        <w:t>161</w:t>
      </w:r>
      <w:r w:rsidRPr="00930562">
        <w:rPr>
          <w:rFonts w:asciiTheme="minorHAnsi" w:hAnsiTheme="minorHAnsi" w:cstheme="minorHAnsi"/>
          <w:color w:val="808080" w:themeColor="background1" w:themeShade="80"/>
          <w:sz w:val="16"/>
          <w:szCs w:val="16"/>
        </w:rPr>
        <w:fldChar w:fldCharType="end"/>
      </w:r>
      <w:r w:rsidRPr="00930562">
        <w:rPr>
          <w:rFonts w:asciiTheme="minorHAnsi" w:hAnsiTheme="minorHAnsi" w:cstheme="minorHAnsi"/>
          <w:color w:val="808080" w:themeColor="background1" w:themeShade="80"/>
          <w:sz w:val="16"/>
          <w:szCs w:val="16"/>
        </w:rPr>
        <w:t xml:space="preserve">; U.S. DOJ, </w:t>
      </w:r>
      <w:hyperlink r:id="rId502" w:history="1">
        <w:r w:rsidRPr="00930562">
          <w:rPr>
            <w:rStyle w:val="Hyperlink"/>
            <w:rFonts w:asciiTheme="minorHAnsi" w:hAnsiTheme="minorHAnsi" w:cstheme="minorHAnsi"/>
            <w:color w:val="808080" w:themeColor="background1" w:themeShade="80"/>
            <w:sz w:val="16"/>
            <w:szCs w:val="16"/>
          </w:rPr>
          <w:t>Guidance for Federal Law Enforcement Agencies Regarding the Use of Race, Ethnicity, Gender, National Origin, Religion, Sexual Orientation, or Gender Identity</w:t>
        </w:r>
      </w:hyperlink>
      <w:r w:rsidRPr="00930562">
        <w:rPr>
          <w:rFonts w:asciiTheme="minorHAnsi" w:hAnsiTheme="minorHAnsi" w:cstheme="minorHAnsi"/>
          <w:color w:val="808080" w:themeColor="background1" w:themeShade="80"/>
          <w:sz w:val="16"/>
          <w:szCs w:val="16"/>
        </w:rPr>
        <w:t xml:space="preserve">, diciembre de 2014; Washington Post, </w:t>
      </w:r>
      <w:hyperlink r:id="rId503" w:history="1">
        <w:r w:rsidRPr="00930562">
          <w:rPr>
            <w:rStyle w:val="Hyperlink"/>
            <w:rFonts w:asciiTheme="minorHAnsi" w:hAnsiTheme="minorHAnsi" w:cstheme="minorHAnsi"/>
            <w:color w:val="808080" w:themeColor="background1" w:themeShade="80"/>
            <w:sz w:val="16"/>
            <w:szCs w:val="16"/>
          </w:rPr>
          <w:t>Justice Dept. announces new rules to curb racial profiling by federal law enforcement</w:t>
        </w:r>
      </w:hyperlink>
      <w:r w:rsidRPr="00930562">
        <w:rPr>
          <w:rFonts w:asciiTheme="minorHAnsi" w:hAnsiTheme="minorHAnsi" w:cstheme="minorHAnsi"/>
          <w:color w:val="808080" w:themeColor="background1" w:themeShade="80"/>
          <w:sz w:val="16"/>
          <w:szCs w:val="16"/>
        </w:rPr>
        <w:t>, 8 de diciembre de 2014.</w:t>
      </w:r>
    </w:p>
  </w:footnote>
  <w:footnote w:id="417">
    <w:p w14:paraId="3797AF9A"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bCs/>
          <w:color w:val="808080" w:themeColor="background1" w:themeShade="80"/>
          <w:sz w:val="16"/>
          <w:szCs w:val="16"/>
          <w:lang w:val="es-AR"/>
        </w:rPr>
        <w:t xml:space="preserve">CIDH, 153° Período de Sesiones, </w:t>
      </w:r>
      <w:hyperlink r:id="rId504" w:history="1">
        <w:r w:rsidRPr="00930562">
          <w:rPr>
            <w:rStyle w:val="Hyperlink"/>
            <w:rFonts w:asciiTheme="minorHAnsi" w:hAnsiTheme="minorHAnsi" w:cstheme="minorHAnsi"/>
            <w:bCs/>
            <w:color w:val="808080" w:themeColor="background1" w:themeShade="80"/>
            <w:sz w:val="16"/>
            <w:szCs w:val="16"/>
            <w:lang w:val="es-AR"/>
          </w:rPr>
          <w:t>“Racismo en el Sistema de Justicia”</w:t>
        </w:r>
      </w:hyperlink>
      <w:r w:rsidRPr="00930562">
        <w:rPr>
          <w:rFonts w:asciiTheme="minorHAnsi" w:hAnsiTheme="minorHAnsi" w:cstheme="minorHAnsi"/>
          <w:bCs/>
          <w:color w:val="808080" w:themeColor="background1" w:themeShade="80"/>
          <w:sz w:val="16"/>
          <w:szCs w:val="16"/>
          <w:lang w:val="es-AR"/>
        </w:rPr>
        <w:t xml:space="preserve"> Audiencia, 27 de octubre de 2014</w:t>
      </w:r>
      <w:r w:rsidRPr="00930562">
        <w:rPr>
          <w:rStyle w:val="Hyperlink"/>
          <w:rFonts w:asciiTheme="minorHAnsi" w:hAnsiTheme="minorHAnsi" w:cstheme="minorHAnsi"/>
          <w:color w:val="808080" w:themeColor="background1" w:themeShade="80"/>
          <w:sz w:val="16"/>
          <w:szCs w:val="16"/>
          <w:lang w:val="es-AR"/>
        </w:rPr>
        <w:t>;</w:t>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bCs/>
          <w:color w:val="808080" w:themeColor="background1" w:themeShade="80"/>
          <w:sz w:val="16"/>
          <w:szCs w:val="16"/>
          <w:lang w:val="es-AR"/>
        </w:rPr>
        <w:t xml:space="preserve">CERD, </w:t>
      </w:r>
      <w:hyperlink r:id="rId505" w:history="1">
        <w:r w:rsidRPr="00930562">
          <w:rPr>
            <w:rStyle w:val="Hyperlink"/>
            <w:rFonts w:asciiTheme="minorHAnsi" w:hAnsiTheme="minorHAnsi" w:cstheme="minorHAnsi"/>
            <w:bCs/>
            <w:color w:val="808080" w:themeColor="background1" w:themeShade="80"/>
            <w:sz w:val="16"/>
            <w:szCs w:val="16"/>
            <w:lang w:val="es-AR"/>
          </w:rPr>
          <w:t>Observaciones Finales 2014</w:t>
        </w:r>
      </w:hyperlink>
      <w:r w:rsidRPr="00930562">
        <w:rPr>
          <w:rFonts w:asciiTheme="minorHAnsi" w:hAnsiTheme="minorHAnsi" w:cstheme="minorHAnsi"/>
          <w:bCs/>
          <w:color w:val="808080" w:themeColor="background1" w:themeShade="80"/>
          <w:sz w:val="16"/>
          <w:szCs w:val="16"/>
          <w:lang w:val="es-AR"/>
        </w:rPr>
        <w:t>, 25 de septiembre de 2014,</w:t>
      </w:r>
      <w:r w:rsidRPr="00930562">
        <w:rPr>
          <w:rFonts w:asciiTheme="minorHAnsi" w:hAnsiTheme="minorHAnsi" w:cstheme="minorHAnsi"/>
          <w:color w:val="808080" w:themeColor="background1" w:themeShade="80"/>
          <w:sz w:val="16"/>
          <w:szCs w:val="16"/>
          <w:lang w:val="es-AR"/>
        </w:rPr>
        <w:t xml:space="preserve"> párr. 8.</w:t>
      </w:r>
    </w:p>
  </w:footnote>
  <w:footnote w:id="418">
    <w:p w14:paraId="51388667" w14:textId="7F4C9F6C"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AR"/>
        </w:rPr>
        <w:t xml:space="preserve"> </w:t>
      </w:r>
      <w:r w:rsidRPr="00930562">
        <w:rPr>
          <w:rFonts w:asciiTheme="minorHAnsi" w:hAnsiTheme="minorHAnsi" w:cstheme="minorHAnsi"/>
          <w:color w:val="808080" w:themeColor="background1" w:themeShade="80"/>
          <w:sz w:val="16"/>
          <w:szCs w:val="16"/>
          <w:lang w:val="es-AR"/>
        </w:rPr>
        <w:tab/>
      </w:r>
      <w:r w:rsidRPr="00930562">
        <w:rPr>
          <w:rFonts w:asciiTheme="minorHAnsi" w:hAnsiTheme="minorHAnsi" w:cstheme="minorHAnsi"/>
          <w:bCs/>
          <w:color w:val="808080" w:themeColor="background1" w:themeShade="80"/>
          <w:sz w:val="16"/>
          <w:szCs w:val="16"/>
          <w:lang w:val="es-AR"/>
        </w:rPr>
        <w:t xml:space="preserve">Comité de Derechos Humanos. </w:t>
      </w:r>
      <w:hyperlink r:id="rId506" w:history="1">
        <w:r w:rsidRPr="00930562">
          <w:rPr>
            <w:rStyle w:val="Hyperlink"/>
            <w:rFonts w:asciiTheme="minorHAnsi" w:hAnsiTheme="minorHAnsi" w:cstheme="minorHAnsi"/>
            <w:bCs/>
            <w:color w:val="808080" w:themeColor="background1" w:themeShade="80"/>
            <w:sz w:val="16"/>
            <w:szCs w:val="16"/>
            <w:lang w:val="es-AR"/>
          </w:rPr>
          <w:t>Observaciones Finales 2014</w:t>
        </w:r>
      </w:hyperlink>
      <w:r w:rsidRPr="00930562">
        <w:rPr>
          <w:rFonts w:asciiTheme="minorHAnsi" w:hAnsiTheme="minorHAnsi" w:cstheme="minorHAnsi"/>
          <w:bCs/>
          <w:color w:val="808080" w:themeColor="background1" w:themeShade="80"/>
          <w:sz w:val="16"/>
          <w:szCs w:val="16"/>
          <w:lang w:val="es-AR"/>
        </w:rPr>
        <w:t>, 23 de abril de 2014</w:t>
      </w:r>
      <w:r w:rsidRPr="00930562">
        <w:rPr>
          <w:rFonts w:asciiTheme="minorHAnsi" w:hAnsiTheme="minorHAnsi" w:cstheme="minorHAnsi"/>
          <w:color w:val="808080" w:themeColor="background1" w:themeShade="80"/>
          <w:sz w:val="16"/>
          <w:szCs w:val="16"/>
          <w:lang w:val="es-AR"/>
        </w:rPr>
        <w:t xml:space="preserve">, párr. </w:t>
      </w:r>
      <w:r w:rsidRPr="00930562">
        <w:rPr>
          <w:rFonts w:asciiTheme="minorHAnsi" w:hAnsiTheme="minorHAnsi" w:cstheme="minorHAnsi"/>
          <w:color w:val="808080" w:themeColor="background1" w:themeShade="80"/>
          <w:sz w:val="16"/>
          <w:szCs w:val="16"/>
        </w:rPr>
        <w:t>7.</w:t>
      </w:r>
    </w:p>
  </w:footnote>
  <w:footnote w:id="419">
    <w:p w14:paraId="008906FF"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Washington Post, </w:t>
      </w:r>
      <w:hyperlink r:id="rId507" w:history="1">
        <w:r w:rsidRPr="00930562">
          <w:rPr>
            <w:rStyle w:val="Hyperlink"/>
            <w:rFonts w:asciiTheme="minorHAnsi" w:hAnsiTheme="minorHAnsi" w:cstheme="minorHAnsi"/>
            <w:color w:val="808080" w:themeColor="background1" w:themeShade="80"/>
            <w:sz w:val="16"/>
            <w:szCs w:val="16"/>
          </w:rPr>
          <w:t>Justice Dept. announces new rules to curb racial profiling by federal law enforcement</w:t>
        </w:r>
      </w:hyperlink>
      <w:r w:rsidRPr="00930562">
        <w:rPr>
          <w:rFonts w:asciiTheme="minorHAnsi" w:hAnsiTheme="minorHAnsi" w:cstheme="minorHAnsi"/>
          <w:color w:val="808080" w:themeColor="background1" w:themeShade="80"/>
          <w:sz w:val="16"/>
          <w:szCs w:val="16"/>
        </w:rPr>
        <w:t>, 8 de diciembre de 2014.</w:t>
      </w:r>
    </w:p>
  </w:footnote>
  <w:footnote w:id="420">
    <w:p w14:paraId="23D22B4A" w14:textId="77777777" w:rsidR="00F64540" w:rsidRPr="00930562" w:rsidRDefault="00F64540" w:rsidP="00E10935">
      <w:pPr>
        <w:pStyle w:val="FootnoteText"/>
        <w:spacing w:after="40"/>
        <w:ind w:left="547" w:hanging="547"/>
        <w:contextualSpacing/>
        <w:jc w:val="both"/>
        <w:rPr>
          <w:rFonts w:asciiTheme="minorHAnsi" w:hAnsiTheme="minorHAnsi" w:cstheme="majorHAnsi"/>
          <w:color w:val="808080" w:themeColor="background1" w:themeShade="80"/>
          <w:sz w:val="16"/>
          <w:szCs w:val="16"/>
          <w:lang w:val="es-VE"/>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VE"/>
        </w:rPr>
        <w:tab/>
      </w:r>
      <w:r w:rsidRPr="00930562">
        <w:rPr>
          <w:rFonts w:asciiTheme="minorHAnsi" w:hAnsiTheme="minorHAnsi"/>
          <w:color w:val="808080" w:themeColor="background1" w:themeShade="80"/>
          <w:sz w:val="16"/>
          <w:szCs w:val="16"/>
          <w:lang w:val="es-VE"/>
        </w:rPr>
        <w:t xml:space="preserve">CIDH, </w:t>
      </w:r>
      <w:hyperlink r:id="rId508" w:history="1">
        <w:r w:rsidRPr="00930562">
          <w:rPr>
            <w:rStyle w:val="Hyperlink"/>
            <w:rFonts w:asciiTheme="minorHAnsi" w:hAnsiTheme="minorHAnsi"/>
            <w:color w:val="808080" w:themeColor="background1" w:themeShade="80"/>
            <w:sz w:val="16"/>
            <w:szCs w:val="16"/>
            <w:lang w:val="es-VE"/>
          </w:rPr>
          <w:t>Informe sobre Seguridad Ciudadana y Derechos Humanos</w:t>
        </w:r>
      </w:hyperlink>
      <w:r w:rsidRPr="00930562">
        <w:rPr>
          <w:rFonts w:asciiTheme="minorHAnsi" w:hAnsiTheme="minorHAnsi"/>
          <w:color w:val="808080" w:themeColor="background1" w:themeShade="80"/>
          <w:sz w:val="16"/>
          <w:szCs w:val="16"/>
          <w:lang w:val="es-VE"/>
        </w:rPr>
        <w:t xml:space="preserve"> (2009), párr. 97.</w:t>
      </w:r>
    </w:p>
  </w:footnote>
  <w:footnote w:id="421">
    <w:p w14:paraId="50D36FF4" w14:textId="77777777" w:rsidR="00F64540" w:rsidRPr="00930562" w:rsidRDefault="00F64540" w:rsidP="00E10935">
      <w:pPr>
        <w:spacing w:after="40" w:line="240" w:lineRule="auto"/>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VE"/>
        </w:rPr>
        <w:tab/>
      </w:r>
      <w:r w:rsidRPr="00930562">
        <w:rPr>
          <w:rFonts w:asciiTheme="minorHAnsi" w:hAnsiTheme="minorHAnsi" w:cstheme="majorHAnsi"/>
          <w:i/>
          <w:color w:val="808080" w:themeColor="background1" w:themeShade="80"/>
          <w:sz w:val="16"/>
          <w:szCs w:val="16"/>
          <w:lang w:val="es-VE"/>
        </w:rPr>
        <w:t>Ver</w:t>
      </w:r>
      <w:r w:rsidRPr="00930562">
        <w:rPr>
          <w:rFonts w:asciiTheme="minorHAnsi" w:hAnsiTheme="minorHAnsi" w:cstheme="majorHAnsi"/>
          <w:color w:val="808080" w:themeColor="background1" w:themeShade="80"/>
          <w:sz w:val="16"/>
          <w:szCs w:val="16"/>
          <w:lang w:val="es-VE"/>
        </w:rPr>
        <w:t xml:space="preserve"> CIDH, Informe No. 50/16, Caso 12.834, Fondo, </w:t>
      </w:r>
      <w:hyperlink r:id="rId509" w:history="1">
        <w:r w:rsidRPr="00930562">
          <w:rPr>
            <w:rStyle w:val="Hyperlink"/>
            <w:rFonts w:asciiTheme="minorHAnsi" w:hAnsiTheme="minorHAnsi" w:cstheme="majorHAnsi"/>
            <w:i/>
            <w:color w:val="808080" w:themeColor="background1" w:themeShade="80"/>
            <w:sz w:val="16"/>
            <w:szCs w:val="16"/>
            <w:lang w:val="es-VE"/>
          </w:rPr>
          <w:t>Trabajadores Indocumentados</w:t>
        </w:r>
      </w:hyperlink>
      <w:r w:rsidRPr="00930562">
        <w:rPr>
          <w:rStyle w:val="Hyperlink"/>
          <w:rFonts w:asciiTheme="minorHAnsi" w:hAnsiTheme="minorHAnsi" w:cstheme="majorHAnsi"/>
          <w:i/>
          <w:color w:val="808080" w:themeColor="background1" w:themeShade="80"/>
          <w:sz w:val="16"/>
          <w:szCs w:val="16"/>
          <w:lang w:val="es-VE"/>
        </w:rPr>
        <w:t xml:space="preserve"> </w:t>
      </w:r>
      <w:r w:rsidRPr="00930562">
        <w:rPr>
          <w:rFonts w:asciiTheme="minorHAnsi" w:hAnsiTheme="minorHAnsi" w:cstheme="majorHAnsi"/>
          <w:color w:val="808080" w:themeColor="background1" w:themeShade="80"/>
          <w:sz w:val="16"/>
          <w:szCs w:val="16"/>
          <w:lang w:val="es-VE"/>
        </w:rPr>
        <w:t>(Estados Unidos), 30 de noviembre de 2016, p</w:t>
      </w:r>
      <w:r w:rsidRPr="00930562">
        <w:rPr>
          <w:rFonts w:asciiTheme="minorHAnsi" w:hAnsiTheme="minorHAnsi" w:cstheme="majorHAnsi"/>
          <w:color w:val="808080" w:themeColor="background1" w:themeShade="80"/>
          <w:sz w:val="16"/>
          <w:szCs w:val="16"/>
          <w:lang w:val="es-ES_tradnl"/>
        </w:rPr>
        <w:t>árr</w:t>
      </w:r>
      <w:r w:rsidRPr="00930562">
        <w:rPr>
          <w:rFonts w:asciiTheme="minorHAnsi" w:hAnsiTheme="minorHAnsi" w:cstheme="majorHAnsi"/>
          <w:color w:val="808080" w:themeColor="background1" w:themeShade="80"/>
          <w:sz w:val="16"/>
          <w:szCs w:val="16"/>
          <w:lang w:val="es-VE"/>
        </w:rPr>
        <w:t xml:space="preserve">. 72 [en adelante “Informe No. 50/16, </w:t>
      </w:r>
      <w:hyperlink r:id="rId510" w:history="1">
        <w:r w:rsidRPr="00930562">
          <w:rPr>
            <w:rStyle w:val="Hyperlink"/>
            <w:rFonts w:asciiTheme="minorHAnsi" w:hAnsiTheme="minorHAnsi" w:cstheme="majorHAnsi"/>
            <w:i/>
            <w:color w:val="808080" w:themeColor="background1" w:themeShade="80"/>
            <w:sz w:val="16"/>
            <w:szCs w:val="16"/>
            <w:lang w:val="es-VE"/>
          </w:rPr>
          <w:t>Trabajadores Indocumentados</w:t>
        </w:r>
      </w:hyperlink>
      <w:r w:rsidRPr="00930562">
        <w:rPr>
          <w:rFonts w:asciiTheme="minorHAnsi" w:hAnsiTheme="minorHAnsi" w:cstheme="majorHAnsi"/>
          <w:color w:val="808080" w:themeColor="background1" w:themeShade="80"/>
          <w:sz w:val="16"/>
          <w:szCs w:val="16"/>
          <w:lang w:val="es-VE"/>
        </w:rPr>
        <w:t xml:space="preserve"> (2016)”]; Informe No. 80/11, Caso 12.626, Fondo, </w:t>
      </w:r>
      <w:hyperlink r:id="rId511" w:history="1">
        <w:r w:rsidRPr="00930562">
          <w:rPr>
            <w:rStyle w:val="Hyperlink"/>
            <w:rFonts w:asciiTheme="minorHAnsi" w:hAnsiTheme="minorHAnsi" w:cstheme="majorHAnsi"/>
            <w:i/>
            <w:color w:val="808080" w:themeColor="background1" w:themeShade="80"/>
            <w:sz w:val="16"/>
            <w:szCs w:val="16"/>
            <w:lang w:val="es-VE"/>
          </w:rPr>
          <w:t>Jessica Lenahan (Gonzales) et al</w:t>
        </w:r>
        <w:r w:rsidRPr="00930562">
          <w:rPr>
            <w:rStyle w:val="Hyperlink"/>
            <w:rFonts w:asciiTheme="minorHAnsi" w:hAnsiTheme="minorHAnsi" w:cstheme="majorHAnsi"/>
            <w:color w:val="808080" w:themeColor="background1" w:themeShade="80"/>
            <w:sz w:val="16"/>
            <w:szCs w:val="16"/>
            <w:lang w:val="es-VE"/>
          </w:rPr>
          <w:t>.</w:t>
        </w:r>
      </w:hyperlink>
      <w:r w:rsidRPr="00930562">
        <w:rPr>
          <w:rFonts w:asciiTheme="minorHAnsi" w:hAnsiTheme="minorHAnsi" w:cstheme="majorHAnsi"/>
          <w:color w:val="808080" w:themeColor="background1" w:themeShade="80"/>
          <w:sz w:val="16"/>
          <w:szCs w:val="16"/>
          <w:lang w:val="es-VE"/>
        </w:rPr>
        <w:t xml:space="preserve"> (Estados Unidos), 21 de julio de 2011, párr. 107 [en adelante “Informe No. 80/11, </w:t>
      </w:r>
      <w:hyperlink r:id="rId512" w:history="1">
        <w:r w:rsidRPr="00930562">
          <w:rPr>
            <w:rStyle w:val="Hyperlink"/>
            <w:rFonts w:asciiTheme="minorHAnsi" w:hAnsiTheme="minorHAnsi" w:cstheme="majorHAnsi"/>
            <w:i/>
            <w:color w:val="808080" w:themeColor="background1" w:themeShade="80"/>
            <w:sz w:val="16"/>
            <w:szCs w:val="16"/>
            <w:lang w:val="es-VE"/>
          </w:rPr>
          <w:t>Jessica Lenahan</w:t>
        </w:r>
      </w:hyperlink>
      <w:r w:rsidRPr="00930562">
        <w:rPr>
          <w:rFonts w:asciiTheme="minorHAnsi" w:hAnsiTheme="minorHAnsi" w:cstheme="majorHAnsi"/>
          <w:color w:val="808080" w:themeColor="background1" w:themeShade="80"/>
          <w:sz w:val="16"/>
          <w:szCs w:val="16"/>
          <w:lang w:val="es-VE"/>
        </w:rPr>
        <w:t xml:space="preserve"> (2011)”]; Informe 40/04, </w:t>
      </w:r>
      <w:hyperlink r:id="rId513" w:history="1">
        <w:r w:rsidRPr="00930562">
          <w:rPr>
            <w:rStyle w:val="Hyperlink"/>
            <w:rFonts w:asciiTheme="minorHAnsi" w:hAnsiTheme="minorHAnsi" w:cstheme="majorHAnsi"/>
            <w:i/>
            <w:color w:val="808080" w:themeColor="background1" w:themeShade="80"/>
            <w:sz w:val="16"/>
            <w:szCs w:val="16"/>
            <w:lang w:val="es-VE"/>
          </w:rPr>
          <w:t>Comunidades Indígenas Mayas del Distrito de Toledo</w:t>
        </w:r>
      </w:hyperlink>
      <w:r w:rsidRPr="00930562">
        <w:rPr>
          <w:rFonts w:asciiTheme="minorHAnsi" w:hAnsiTheme="minorHAnsi" w:cstheme="majorHAnsi"/>
          <w:color w:val="808080" w:themeColor="background1" w:themeShade="80"/>
          <w:sz w:val="16"/>
          <w:szCs w:val="16"/>
          <w:lang w:val="es-VE"/>
        </w:rPr>
        <w:t xml:space="preserve"> (2004), párr. </w:t>
      </w:r>
      <w:r w:rsidRPr="00930562">
        <w:rPr>
          <w:rFonts w:asciiTheme="minorHAnsi" w:hAnsiTheme="minorHAnsi" w:cstheme="majorHAnsi"/>
          <w:color w:val="808080" w:themeColor="background1" w:themeShade="80"/>
          <w:sz w:val="16"/>
          <w:szCs w:val="16"/>
          <w:lang w:val="es-ES"/>
        </w:rPr>
        <w:t xml:space="preserve">163; Informe No. 67/06, </w:t>
      </w:r>
      <w:hyperlink r:id="rId514" w:history="1">
        <w:r w:rsidRPr="00930562">
          <w:rPr>
            <w:rStyle w:val="Hyperlink"/>
            <w:rFonts w:asciiTheme="minorHAnsi" w:hAnsiTheme="minorHAnsi" w:cstheme="majorHAnsi"/>
            <w:i/>
            <w:color w:val="808080" w:themeColor="background1" w:themeShade="80"/>
            <w:sz w:val="16"/>
            <w:szCs w:val="16"/>
            <w:lang w:val="es-ES"/>
          </w:rPr>
          <w:t>Oscar Elías Bicet y otros</w:t>
        </w:r>
      </w:hyperlink>
      <w:r w:rsidRPr="00930562">
        <w:rPr>
          <w:rFonts w:asciiTheme="minorHAnsi" w:hAnsiTheme="minorHAnsi" w:cstheme="majorHAnsi"/>
          <w:color w:val="808080" w:themeColor="background1" w:themeShade="80"/>
          <w:sz w:val="16"/>
          <w:szCs w:val="16"/>
          <w:lang w:val="es-ES"/>
        </w:rPr>
        <w:t xml:space="preserve"> (2006), párr. 228; </w:t>
      </w:r>
      <w:hyperlink r:id="rId515" w:history="1">
        <w:r w:rsidRPr="00930562">
          <w:rPr>
            <w:rStyle w:val="Hyperlink"/>
            <w:rFonts w:asciiTheme="minorHAnsi" w:hAnsiTheme="minorHAnsi" w:cstheme="majorHAnsi"/>
            <w:color w:val="808080" w:themeColor="background1" w:themeShade="80"/>
            <w:sz w:val="16"/>
            <w:szCs w:val="16"/>
            <w:lang w:val="es-ES"/>
          </w:rPr>
          <w:t xml:space="preserve">Informe sobre Terrorismo y Derechos </w:t>
        </w:r>
        <w:proofErr w:type="gramStart"/>
        <w:r w:rsidRPr="00930562">
          <w:rPr>
            <w:rStyle w:val="Hyperlink"/>
            <w:rFonts w:asciiTheme="minorHAnsi" w:hAnsiTheme="minorHAnsi" w:cstheme="majorHAnsi"/>
            <w:color w:val="808080" w:themeColor="background1" w:themeShade="80"/>
            <w:sz w:val="16"/>
            <w:szCs w:val="16"/>
            <w:lang w:val="es-ES"/>
          </w:rPr>
          <w:t xml:space="preserve">Humanos </w:t>
        </w:r>
        <w:proofErr w:type="gramEnd"/>
      </w:hyperlink>
      <w:r w:rsidRPr="00930562">
        <w:rPr>
          <w:rFonts w:asciiTheme="minorHAnsi" w:hAnsiTheme="minorHAnsi" w:cstheme="majorHAnsi"/>
          <w:color w:val="808080" w:themeColor="background1" w:themeShade="80"/>
          <w:sz w:val="16"/>
          <w:szCs w:val="16"/>
          <w:lang w:val="es-ES"/>
        </w:rPr>
        <w:t xml:space="preserve">, OEA/Ser.L./V/II.116, Doc. 5, rev. 1 corr., 22 (2002), párr. </w:t>
      </w:r>
      <w:r w:rsidRPr="00930562">
        <w:rPr>
          <w:rFonts w:asciiTheme="minorHAnsi" w:hAnsiTheme="minorHAnsi" w:cstheme="majorHAnsi"/>
          <w:color w:val="808080" w:themeColor="background1" w:themeShade="80"/>
          <w:sz w:val="16"/>
          <w:szCs w:val="16"/>
          <w:lang w:val="es-VE"/>
        </w:rPr>
        <w:t>335.</w:t>
      </w:r>
      <w:r w:rsidRPr="00930562">
        <w:rPr>
          <w:rFonts w:asciiTheme="minorHAnsi" w:hAnsiTheme="minorHAnsi"/>
          <w:i/>
          <w:color w:val="808080" w:themeColor="background1" w:themeShade="80"/>
          <w:sz w:val="16"/>
          <w:szCs w:val="16"/>
          <w:lang w:val="es-VE"/>
        </w:rPr>
        <w:t xml:space="preserve">  </w:t>
      </w:r>
    </w:p>
  </w:footnote>
  <w:footnote w:id="422">
    <w:p w14:paraId="5A7AB4B6"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VE"/>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hAnsiTheme="minorHAnsi" w:cstheme="majorHAnsi"/>
          <w:i/>
          <w:color w:val="808080" w:themeColor="background1" w:themeShade="80"/>
          <w:sz w:val="16"/>
          <w:szCs w:val="16"/>
          <w:lang w:val="es-ES"/>
        </w:rPr>
        <w:t>Ver,</w:t>
      </w:r>
      <w:r w:rsidRPr="00930562">
        <w:rPr>
          <w:rFonts w:asciiTheme="minorHAnsi" w:hAnsiTheme="minorHAnsi"/>
          <w:color w:val="808080" w:themeColor="background1" w:themeShade="80"/>
          <w:sz w:val="16"/>
          <w:szCs w:val="16"/>
          <w:lang w:val="es-VE"/>
        </w:rPr>
        <w:t xml:space="preserve"> </w:t>
      </w:r>
      <w:r w:rsidRPr="00930562">
        <w:rPr>
          <w:rFonts w:asciiTheme="minorHAnsi" w:hAnsiTheme="minorHAnsi"/>
          <w:i/>
          <w:color w:val="808080" w:themeColor="background1" w:themeShade="80"/>
          <w:sz w:val="16"/>
          <w:szCs w:val="16"/>
          <w:lang w:val="es-VE"/>
        </w:rPr>
        <w:t>Pacto Internacional de Derechos Civiles y Políticos</w:t>
      </w:r>
      <w:r w:rsidRPr="00930562">
        <w:rPr>
          <w:rFonts w:asciiTheme="minorHAnsi" w:hAnsiTheme="minorHAnsi"/>
          <w:color w:val="808080" w:themeColor="background1" w:themeShade="80"/>
          <w:sz w:val="16"/>
          <w:szCs w:val="16"/>
          <w:lang w:val="es-VE"/>
        </w:rPr>
        <w:t xml:space="preserve"> (Artículos 2, 26); </w:t>
      </w:r>
      <w:r w:rsidRPr="00930562">
        <w:rPr>
          <w:rFonts w:asciiTheme="minorHAnsi" w:hAnsiTheme="minorHAnsi"/>
          <w:i/>
          <w:color w:val="808080" w:themeColor="background1" w:themeShade="80"/>
          <w:sz w:val="16"/>
          <w:szCs w:val="16"/>
          <w:lang w:val="es-VE"/>
        </w:rPr>
        <w:t>Pacto Internacional de Derechos Económicos, Sociales y Culturales</w:t>
      </w:r>
      <w:r w:rsidRPr="00930562">
        <w:rPr>
          <w:rFonts w:asciiTheme="minorHAnsi" w:hAnsiTheme="minorHAnsi"/>
          <w:color w:val="808080" w:themeColor="background1" w:themeShade="80"/>
          <w:sz w:val="16"/>
          <w:szCs w:val="16"/>
          <w:lang w:val="es-VE"/>
        </w:rPr>
        <w:t xml:space="preserve"> (Artículos 2.2, 3); </w:t>
      </w:r>
      <w:r w:rsidRPr="00930562">
        <w:rPr>
          <w:rFonts w:asciiTheme="minorHAnsi" w:hAnsiTheme="minorHAnsi"/>
          <w:i/>
          <w:color w:val="808080" w:themeColor="background1" w:themeShade="80"/>
          <w:sz w:val="16"/>
          <w:szCs w:val="16"/>
          <w:lang w:val="es-VE"/>
        </w:rPr>
        <w:t>Convenio Europeo de Derechos Humanos</w:t>
      </w:r>
      <w:r w:rsidRPr="00930562">
        <w:rPr>
          <w:rFonts w:asciiTheme="minorHAnsi" w:hAnsiTheme="minorHAnsi"/>
          <w:color w:val="808080" w:themeColor="background1" w:themeShade="80"/>
          <w:sz w:val="16"/>
          <w:szCs w:val="16"/>
          <w:lang w:val="es-VE"/>
        </w:rPr>
        <w:t xml:space="preserve"> (Artículo 14); </w:t>
      </w:r>
      <w:r w:rsidRPr="00930562">
        <w:rPr>
          <w:rFonts w:asciiTheme="minorHAnsi" w:hAnsiTheme="minorHAnsi"/>
          <w:i/>
          <w:color w:val="808080" w:themeColor="background1" w:themeShade="80"/>
          <w:sz w:val="16"/>
          <w:szCs w:val="16"/>
          <w:lang w:val="es-VE"/>
        </w:rPr>
        <w:t>Carta Africana de Derechos Humanos y de los Pueblos</w:t>
      </w:r>
      <w:r w:rsidRPr="00930562">
        <w:rPr>
          <w:rFonts w:asciiTheme="minorHAnsi" w:hAnsiTheme="minorHAnsi"/>
          <w:color w:val="808080" w:themeColor="background1" w:themeShade="80"/>
          <w:sz w:val="16"/>
          <w:szCs w:val="16"/>
          <w:lang w:val="es-VE"/>
        </w:rPr>
        <w:t xml:space="preserve"> (Artículo 2).</w:t>
      </w:r>
    </w:p>
  </w:footnote>
  <w:footnote w:id="423">
    <w:p w14:paraId="3073987D"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highlight w:val="yellow"/>
          <w:lang w:val="es-VE"/>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 xml:space="preserve"> </w:t>
      </w:r>
      <w:r w:rsidRPr="00930562">
        <w:rPr>
          <w:rFonts w:asciiTheme="minorHAnsi" w:hAnsiTheme="minorHAnsi" w:cstheme="majorHAnsi"/>
          <w:color w:val="808080" w:themeColor="background1" w:themeShade="80"/>
          <w:sz w:val="16"/>
          <w:szCs w:val="16"/>
          <w:lang w:val="es-ES"/>
        </w:rPr>
        <w:tab/>
        <w:t xml:space="preserve">ONU, </w:t>
      </w:r>
      <w:hyperlink r:id="rId516" w:history="1">
        <w:r w:rsidRPr="00930562">
          <w:rPr>
            <w:rStyle w:val="Hyperlink"/>
            <w:rFonts w:asciiTheme="minorHAnsi" w:hAnsiTheme="minorHAnsi" w:cstheme="majorHAnsi"/>
            <w:i/>
            <w:color w:val="808080" w:themeColor="background1" w:themeShade="80"/>
            <w:sz w:val="16"/>
            <w:szCs w:val="16"/>
            <w:lang w:val="es-ES"/>
          </w:rPr>
          <w:t>Convención Internacional sobre la Eliminación de todas las Formas de Discriminación Racial</w:t>
        </w:r>
      </w:hyperlink>
      <w:r w:rsidRPr="00930562">
        <w:rPr>
          <w:rFonts w:asciiTheme="minorHAnsi" w:hAnsiTheme="minorHAnsi" w:cstheme="majorHAnsi"/>
          <w:color w:val="808080" w:themeColor="background1" w:themeShade="80"/>
          <w:sz w:val="16"/>
          <w:szCs w:val="16"/>
          <w:lang w:val="es-ES"/>
        </w:rPr>
        <w:t xml:space="preserve">, </w:t>
      </w:r>
      <w:r w:rsidRPr="00930562">
        <w:rPr>
          <w:rFonts w:asciiTheme="minorHAnsi" w:hAnsiTheme="minorHAnsi" w:cstheme="majorHAnsi"/>
          <w:color w:val="808080" w:themeColor="background1" w:themeShade="80"/>
          <w:sz w:val="16"/>
          <w:szCs w:val="16"/>
          <w:lang w:val="es-VE"/>
        </w:rPr>
        <w:t>adoptada y abierta para la firma y ratificación por la Asamblea General en su resolución 2106 (XX) del 21 de diciembre de 1965, entrada en vigor el 4 de enero de 1969, de conformidad con el artículo 19, Artículo 1.</w:t>
      </w:r>
    </w:p>
  </w:footnote>
  <w:footnote w:id="424">
    <w:p w14:paraId="5DADBC3D"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VE"/>
        </w:rPr>
        <w:tab/>
      </w:r>
      <w:r w:rsidRPr="00930562">
        <w:rPr>
          <w:rFonts w:asciiTheme="minorHAnsi" w:hAnsiTheme="minorHAnsi" w:cstheme="majorHAnsi"/>
          <w:i/>
          <w:color w:val="808080" w:themeColor="background1" w:themeShade="80"/>
          <w:sz w:val="16"/>
          <w:szCs w:val="16"/>
          <w:lang w:val="es-VE"/>
        </w:rPr>
        <w:t xml:space="preserve">Ver </w:t>
      </w:r>
      <w:r w:rsidRPr="00930562">
        <w:rPr>
          <w:rFonts w:asciiTheme="minorHAnsi" w:hAnsiTheme="minorHAnsi" w:cstheme="majorHAnsi"/>
          <w:color w:val="808080" w:themeColor="background1" w:themeShade="80"/>
          <w:sz w:val="16"/>
          <w:szCs w:val="16"/>
          <w:lang w:val="es-VE"/>
        </w:rPr>
        <w:t xml:space="preserve">Corte IDH. </w:t>
      </w:r>
      <w:hyperlink r:id="rId517" w:history="1">
        <w:r w:rsidRPr="00930562">
          <w:rPr>
            <w:rStyle w:val="Hyperlink"/>
            <w:rFonts w:asciiTheme="minorHAnsi" w:hAnsiTheme="minorHAnsi" w:cstheme="majorHAnsi"/>
            <w:i/>
            <w:color w:val="808080" w:themeColor="background1" w:themeShade="80"/>
            <w:sz w:val="16"/>
            <w:szCs w:val="16"/>
            <w:lang w:val="es-VE"/>
          </w:rPr>
          <w:t>Condición jurídica y derechos de los migrantes indocumentados</w:t>
        </w:r>
      </w:hyperlink>
      <w:r w:rsidRPr="00930562">
        <w:rPr>
          <w:rFonts w:asciiTheme="minorHAnsi" w:hAnsiTheme="minorHAnsi" w:cstheme="majorHAnsi"/>
          <w:i/>
          <w:color w:val="808080" w:themeColor="background1" w:themeShade="80"/>
          <w:sz w:val="16"/>
          <w:szCs w:val="16"/>
          <w:lang w:val="es-VE"/>
        </w:rPr>
        <w:t xml:space="preserve">. </w:t>
      </w:r>
      <w:r w:rsidRPr="00930562">
        <w:rPr>
          <w:rFonts w:asciiTheme="minorHAnsi" w:hAnsiTheme="minorHAnsi" w:cstheme="majorHAnsi"/>
          <w:color w:val="808080" w:themeColor="background1" w:themeShade="80"/>
          <w:sz w:val="16"/>
          <w:szCs w:val="16"/>
          <w:lang w:val="es-VE"/>
        </w:rPr>
        <w:t>Opinión Consultiva OC-18/03 de 17 de septiembre de 2003. Serie A No. 18., p</w:t>
      </w:r>
      <w:r w:rsidRPr="00930562">
        <w:rPr>
          <w:rFonts w:asciiTheme="minorHAnsi" w:hAnsiTheme="minorHAnsi" w:cstheme="majorHAnsi"/>
          <w:color w:val="808080" w:themeColor="background1" w:themeShade="80"/>
          <w:sz w:val="16"/>
          <w:szCs w:val="16"/>
          <w:lang w:val="es-ES_tradnl"/>
        </w:rPr>
        <w:t>árr. 101.</w:t>
      </w:r>
    </w:p>
  </w:footnote>
  <w:footnote w:id="425">
    <w:p w14:paraId="6D1B5F47"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VE"/>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eastAsia="Times New Roman" w:hAnsiTheme="minorHAnsi" w:cstheme="majorHAnsi"/>
          <w:color w:val="808080" w:themeColor="background1" w:themeShade="80"/>
          <w:sz w:val="16"/>
          <w:szCs w:val="16"/>
          <w:lang w:val="es-ES" w:eastAsia="es-ES"/>
        </w:rPr>
        <w:t xml:space="preserve">CIDH, </w:t>
      </w:r>
      <w:hyperlink r:id="rId518" w:history="1">
        <w:r w:rsidRPr="00930562">
          <w:rPr>
            <w:rStyle w:val="Hyperlink"/>
            <w:rFonts w:asciiTheme="minorHAnsi" w:eastAsia="Times New Roman" w:hAnsiTheme="minorHAnsi" w:cstheme="majorHAnsi"/>
            <w:color w:val="808080" w:themeColor="background1" w:themeShade="80"/>
            <w:sz w:val="16"/>
            <w:szCs w:val="16"/>
            <w:lang w:val="es-ES" w:eastAsia="es-ES"/>
          </w:rPr>
          <w:t>La situación</w:t>
        </w:r>
        <w:r w:rsidRPr="00930562">
          <w:rPr>
            <w:rStyle w:val="Hyperlink"/>
            <w:rFonts w:asciiTheme="minorHAnsi" w:eastAsia="Times New Roman" w:hAnsiTheme="minorHAnsi" w:cstheme="majorHAnsi"/>
            <w:color w:val="808080" w:themeColor="background1" w:themeShade="80"/>
            <w:sz w:val="16"/>
            <w:szCs w:val="16"/>
            <w:lang w:val="es-ES_tradnl" w:eastAsia="es-ES"/>
          </w:rPr>
          <w:t xml:space="preserve"> de las personas afrodescendientes en las Américas</w:t>
        </w:r>
      </w:hyperlink>
      <w:r w:rsidRPr="00930562">
        <w:rPr>
          <w:rFonts w:asciiTheme="minorHAnsi" w:eastAsia="Times New Roman" w:hAnsiTheme="minorHAnsi" w:cstheme="majorHAnsi"/>
          <w:color w:val="808080" w:themeColor="background1" w:themeShade="80"/>
          <w:sz w:val="16"/>
          <w:szCs w:val="16"/>
          <w:lang w:val="es-ES_tradnl" w:eastAsia="es-ES"/>
        </w:rPr>
        <w:t xml:space="preserve"> (2011), párr.</w:t>
      </w:r>
      <w:r w:rsidRPr="00930562">
        <w:rPr>
          <w:rFonts w:asciiTheme="minorHAnsi" w:hAnsiTheme="minorHAnsi" w:cstheme="majorHAnsi"/>
          <w:color w:val="808080" w:themeColor="background1" w:themeShade="80"/>
          <w:sz w:val="16"/>
          <w:szCs w:val="16"/>
          <w:lang w:val="es-ES"/>
        </w:rPr>
        <w:t xml:space="preserve"> </w:t>
      </w:r>
      <w:r w:rsidRPr="00930562">
        <w:rPr>
          <w:rFonts w:asciiTheme="minorHAnsi" w:hAnsiTheme="minorHAnsi" w:cstheme="majorHAnsi"/>
          <w:color w:val="808080" w:themeColor="background1" w:themeShade="80"/>
          <w:sz w:val="16"/>
          <w:szCs w:val="16"/>
          <w:lang w:val="es-VE"/>
        </w:rPr>
        <w:t>89 (cita omitida)</w:t>
      </w:r>
    </w:p>
  </w:footnote>
  <w:footnote w:id="426">
    <w:p w14:paraId="4E230EF1"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 xml:space="preserve"> </w:t>
      </w:r>
      <w:r w:rsidRPr="00930562">
        <w:rPr>
          <w:rFonts w:asciiTheme="minorHAnsi" w:hAnsiTheme="minorHAnsi" w:cstheme="majorHAnsi"/>
          <w:color w:val="808080" w:themeColor="background1" w:themeShade="80"/>
          <w:sz w:val="16"/>
          <w:szCs w:val="16"/>
          <w:lang w:val="es-ES"/>
        </w:rPr>
        <w:tab/>
      </w:r>
      <w:r w:rsidRPr="00930562">
        <w:rPr>
          <w:rFonts w:asciiTheme="minorHAnsi" w:eastAsia="Times New Roman" w:hAnsiTheme="minorHAnsi" w:cstheme="majorHAnsi"/>
          <w:color w:val="808080" w:themeColor="background1" w:themeShade="80"/>
          <w:sz w:val="16"/>
          <w:szCs w:val="16"/>
          <w:lang w:val="es-ES" w:eastAsia="es-ES"/>
        </w:rPr>
        <w:t>Id. (cita omitida</w:t>
      </w:r>
      <w:r w:rsidRPr="00930562">
        <w:rPr>
          <w:rFonts w:asciiTheme="minorHAnsi" w:hAnsiTheme="minorHAnsi" w:cstheme="majorHAnsi"/>
          <w:color w:val="808080" w:themeColor="background1" w:themeShade="80"/>
          <w:sz w:val="16"/>
          <w:szCs w:val="16"/>
          <w:lang w:val="es-ES"/>
        </w:rPr>
        <w:t>).</w:t>
      </w:r>
    </w:p>
  </w:footnote>
  <w:footnote w:id="427">
    <w:p w14:paraId="32011FD3" w14:textId="7910D318"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U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 xml:space="preserve"> </w:t>
      </w:r>
      <w:r w:rsidRPr="00930562">
        <w:rPr>
          <w:rFonts w:asciiTheme="minorHAnsi" w:hAnsiTheme="minorHAnsi" w:cstheme="majorHAnsi"/>
          <w:color w:val="808080" w:themeColor="background1" w:themeShade="80"/>
          <w:sz w:val="16"/>
          <w:szCs w:val="16"/>
          <w:lang w:val="es-ES"/>
        </w:rPr>
        <w:tab/>
        <w:t xml:space="preserve">CIDH, Informe No. 80/11, Jessica Lenahan (2011), párr. 109; Informe No. 67/06, </w:t>
      </w:r>
      <w:hyperlink r:id="rId519" w:history="1">
        <w:r w:rsidRPr="00930562">
          <w:rPr>
            <w:rStyle w:val="Hyperlink"/>
            <w:rFonts w:asciiTheme="minorHAnsi" w:hAnsiTheme="minorHAnsi" w:cstheme="majorHAnsi"/>
            <w:i/>
            <w:color w:val="808080" w:themeColor="background1" w:themeShade="80"/>
            <w:sz w:val="16"/>
            <w:szCs w:val="16"/>
            <w:lang w:val="es-ES"/>
          </w:rPr>
          <w:t>Oscar Elías Bicet et al.</w:t>
        </w:r>
      </w:hyperlink>
      <w:r w:rsidRPr="00930562">
        <w:rPr>
          <w:rFonts w:asciiTheme="minorHAnsi" w:hAnsiTheme="minorHAnsi" w:cstheme="majorHAnsi"/>
          <w:color w:val="808080" w:themeColor="background1" w:themeShade="80"/>
          <w:sz w:val="16"/>
          <w:szCs w:val="16"/>
          <w:lang w:val="es-ES"/>
        </w:rPr>
        <w:t xml:space="preserve"> </w:t>
      </w:r>
      <w:r w:rsidRPr="00930562">
        <w:rPr>
          <w:rFonts w:asciiTheme="minorHAnsi" w:hAnsiTheme="minorHAnsi" w:cstheme="majorHAnsi"/>
          <w:color w:val="808080" w:themeColor="background1" w:themeShade="80"/>
          <w:sz w:val="16"/>
          <w:szCs w:val="16"/>
          <w:lang w:val="es-US"/>
        </w:rPr>
        <w:t xml:space="preserve">(2006), párrs. 228-231; Informe 40/04, </w:t>
      </w:r>
      <w:r w:rsidRPr="00930562">
        <w:rPr>
          <w:rStyle w:val="Hyperlink"/>
          <w:rFonts w:asciiTheme="minorHAnsi" w:hAnsiTheme="minorHAnsi" w:cstheme="majorHAnsi"/>
          <w:i/>
          <w:color w:val="808080" w:themeColor="background1" w:themeShade="80"/>
          <w:sz w:val="16"/>
          <w:szCs w:val="16"/>
          <w:lang w:val="es-ES"/>
        </w:rPr>
        <w:t>Comunidades Indigenas Mayas</w:t>
      </w:r>
      <w:r w:rsidRPr="00930562">
        <w:rPr>
          <w:rFonts w:asciiTheme="minorHAnsi" w:hAnsiTheme="minorHAnsi"/>
          <w:color w:val="808080" w:themeColor="background1" w:themeShade="80"/>
          <w:sz w:val="16"/>
          <w:szCs w:val="16"/>
          <w:lang w:val="es-VE"/>
        </w:rPr>
        <w:t xml:space="preserve"> </w:t>
      </w:r>
      <w:r w:rsidRPr="00930562">
        <w:rPr>
          <w:rFonts w:asciiTheme="minorHAnsi" w:hAnsiTheme="minorHAnsi" w:cstheme="majorHAnsi"/>
          <w:color w:val="808080" w:themeColor="background1" w:themeShade="80"/>
          <w:sz w:val="16"/>
          <w:szCs w:val="16"/>
          <w:lang w:val="es-US"/>
        </w:rPr>
        <w:t>(2004), párrs. 162, 166.</w:t>
      </w:r>
    </w:p>
  </w:footnote>
  <w:footnote w:id="428">
    <w:p w14:paraId="702EA72F"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 xml:space="preserve"> </w:t>
      </w:r>
      <w:r w:rsidRPr="00930562">
        <w:rPr>
          <w:rFonts w:asciiTheme="minorHAnsi" w:hAnsiTheme="minorHAnsi" w:cstheme="majorHAnsi"/>
          <w:color w:val="808080" w:themeColor="background1" w:themeShade="80"/>
          <w:sz w:val="16"/>
          <w:szCs w:val="16"/>
          <w:lang w:val="es-ES"/>
        </w:rPr>
        <w:tab/>
        <w:t>CIDH, Informe No. 80/11, Jessica Lenahan (2011), párr. 134 (citando a la Corte Europea de Derechos Humanos, Caso de Opuz vs. Turquía, Aplicación No. 33401/02, 9 de junio de 2009, párr. 191).</w:t>
      </w:r>
    </w:p>
  </w:footnote>
  <w:footnote w:id="429">
    <w:p w14:paraId="48D0A57E"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 xml:space="preserve"> </w:t>
      </w:r>
      <w:r w:rsidRPr="00930562">
        <w:rPr>
          <w:rFonts w:asciiTheme="minorHAnsi" w:hAnsiTheme="minorHAnsi" w:cstheme="majorHAnsi"/>
          <w:color w:val="808080" w:themeColor="background1" w:themeShade="80"/>
          <w:sz w:val="16"/>
          <w:szCs w:val="16"/>
          <w:lang w:val="es-ES"/>
        </w:rPr>
        <w:tab/>
        <w:t>Id. En párr. 109 (cita omitida).</w:t>
      </w:r>
    </w:p>
  </w:footnote>
  <w:footnote w:id="430">
    <w:p w14:paraId="0769B083" w14:textId="4DF8B053" w:rsidR="00F64540" w:rsidRPr="00930562" w:rsidRDefault="00F64540" w:rsidP="00E10935">
      <w:pPr>
        <w:pStyle w:val="Footnotes"/>
        <w:spacing w:after="40"/>
        <w:ind w:left="547" w:hanging="547"/>
        <w:rPr>
          <w:rFonts w:asciiTheme="minorHAnsi" w:hAnsiTheme="minorHAnsi"/>
          <w:color w:val="808080" w:themeColor="background1" w:themeShade="80"/>
          <w:sz w:val="16"/>
          <w:szCs w:val="16"/>
          <w:lang w:val="es-ES"/>
        </w:rPr>
      </w:pPr>
      <w:r w:rsidRPr="00930562">
        <w:rPr>
          <w:rStyle w:val="FootnoteReference"/>
          <w:rFonts w:asciiTheme="minorHAnsi" w:hAnsiTheme="minorHAnsi"/>
          <w:color w:val="808080" w:themeColor="background1" w:themeShade="80"/>
          <w:sz w:val="16"/>
          <w:szCs w:val="16"/>
        </w:rPr>
        <w:footnoteRef/>
      </w:r>
      <w:r w:rsidRPr="00930562">
        <w:rPr>
          <w:rFonts w:asciiTheme="minorHAnsi" w:hAnsiTheme="minorHAnsi"/>
          <w:color w:val="808080" w:themeColor="background1" w:themeShade="80"/>
          <w:sz w:val="16"/>
          <w:szCs w:val="16"/>
          <w:lang w:val="es-ES"/>
        </w:rPr>
        <w:t xml:space="preserve"> </w:t>
      </w:r>
      <w:r w:rsidRPr="00930562">
        <w:rPr>
          <w:rFonts w:asciiTheme="minorHAnsi" w:hAnsiTheme="minorHAnsi"/>
          <w:color w:val="808080" w:themeColor="background1" w:themeShade="80"/>
          <w:sz w:val="16"/>
          <w:szCs w:val="16"/>
          <w:lang w:val="es-ES"/>
        </w:rPr>
        <w:tab/>
        <w:t xml:space="preserve"> CIDH, Informe No. 51/01, Caso 9903, Rafael Ferrer-Mazorra y otros, Estados Unidos, 4 de abril de 2001, párr. 238 (citando como  soporte su posición </w:t>
      </w:r>
      <w:r w:rsidRPr="00930562">
        <w:rPr>
          <w:rFonts w:asciiTheme="minorHAnsi" w:hAnsiTheme="minorHAnsi" w:cstheme="majorHAnsi"/>
          <w:color w:val="808080" w:themeColor="background1" w:themeShade="80"/>
          <w:sz w:val="16"/>
          <w:szCs w:val="16"/>
          <w:lang w:val="es-ES"/>
        </w:rPr>
        <w:t>a la Corte Europea de Derechos Humanos</w:t>
      </w:r>
      <w:r w:rsidRPr="00930562">
        <w:rPr>
          <w:rFonts w:asciiTheme="minorHAnsi" w:hAnsiTheme="minorHAnsi"/>
          <w:color w:val="808080" w:themeColor="background1" w:themeShade="80"/>
          <w:sz w:val="16"/>
          <w:szCs w:val="16"/>
          <w:lang w:val="es-ES"/>
        </w:rPr>
        <w:t>, Caso de Lingüística Belga, 23 de julio de 1968, Serie A Nº 6, 1 E.H.R.R.R. 252, Pág. 35, párrafo 10).</w:t>
      </w:r>
    </w:p>
  </w:footnote>
  <w:footnote w:id="431">
    <w:p w14:paraId="7CA54DFB" w14:textId="3B008A0D" w:rsidR="00F64540" w:rsidRPr="00930562" w:rsidRDefault="00F64540" w:rsidP="00E10935">
      <w:pPr>
        <w:pStyle w:val="Footnotes"/>
        <w:spacing w:after="40"/>
        <w:ind w:left="547" w:hanging="547"/>
        <w:rPr>
          <w:rFonts w:asciiTheme="minorHAnsi" w:hAnsiTheme="minorHAnsi"/>
          <w:color w:val="808080" w:themeColor="background1" w:themeShade="80"/>
          <w:sz w:val="16"/>
          <w:szCs w:val="16"/>
          <w:lang w:val="es-ES"/>
        </w:rPr>
      </w:pPr>
      <w:r w:rsidRPr="00930562">
        <w:rPr>
          <w:rStyle w:val="FootnoteReference"/>
          <w:rFonts w:asciiTheme="minorHAnsi" w:hAnsiTheme="minorHAnsi"/>
          <w:color w:val="808080" w:themeColor="background1" w:themeShade="80"/>
          <w:sz w:val="16"/>
          <w:szCs w:val="16"/>
        </w:rPr>
        <w:footnoteRef/>
      </w:r>
      <w:r w:rsidRPr="00930562">
        <w:rPr>
          <w:rFonts w:asciiTheme="minorHAnsi" w:hAnsiTheme="minorHAnsi"/>
          <w:color w:val="808080" w:themeColor="background1" w:themeShade="80"/>
          <w:sz w:val="16"/>
          <w:szCs w:val="16"/>
          <w:lang w:val="es-ES"/>
        </w:rPr>
        <w:t xml:space="preserve"> </w:t>
      </w:r>
      <w:r w:rsidRPr="00930562">
        <w:rPr>
          <w:rFonts w:asciiTheme="minorHAnsi" w:hAnsiTheme="minorHAnsi"/>
          <w:color w:val="808080" w:themeColor="background1" w:themeShade="80"/>
          <w:sz w:val="16"/>
          <w:szCs w:val="16"/>
          <w:lang w:val="es-ES"/>
        </w:rPr>
        <w:tab/>
        <w:t>Comité de Derechos Humanos de ONU, Recopilación de observaciones generales y recomendaciones generales aprobadas por órganos creados en virtud de tratados de derechos humanos, HRI / GEN / 1 / Rev.1 (1994), Observación general 18, No discriminación, pág. 26.</w:t>
      </w:r>
      <w:r w:rsidRPr="00930562" w:rsidDel="00F52346">
        <w:rPr>
          <w:rFonts w:asciiTheme="minorHAnsi" w:hAnsiTheme="minorHAnsi"/>
          <w:color w:val="808080" w:themeColor="background1" w:themeShade="80"/>
          <w:sz w:val="16"/>
          <w:szCs w:val="16"/>
          <w:lang w:val="es-ES"/>
        </w:rPr>
        <w:t xml:space="preserve"> </w:t>
      </w:r>
    </w:p>
  </w:footnote>
  <w:footnote w:id="432">
    <w:p w14:paraId="6CAD7F75" w14:textId="1EBCF9E1" w:rsidR="00F64540" w:rsidRPr="00930562" w:rsidRDefault="00F64540" w:rsidP="00E10935">
      <w:pPr>
        <w:pStyle w:val="FootnoteText"/>
        <w:spacing w:after="40"/>
        <w:ind w:left="547" w:hanging="547"/>
        <w:rPr>
          <w:rFonts w:asciiTheme="minorHAnsi" w:hAnsiTheme="minorHAnsi"/>
          <w:color w:val="808080" w:themeColor="background1" w:themeShade="80"/>
          <w:sz w:val="16"/>
          <w:szCs w:val="16"/>
          <w:lang w:val="es-ES"/>
        </w:rPr>
      </w:pPr>
      <w:r w:rsidRPr="00930562">
        <w:rPr>
          <w:rStyle w:val="FootnoteReference"/>
          <w:rFonts w:asciiTheme="minorHAnsi" w:hAnsiTheme="minorHAnsi"/>
          <w:color w:val="808080" w:themeColor="background1" w:themeShade="80"/>
          <w:sz w:val="16"/>
          <w:szCs w:val="16"/>
        </w:rPr>
        <w:footnoteRef/>
      </w:r>
      <w:r w:rsidRPr="00930562">
        <w:rPr>
          <w:rFonts w:asciiTheme="minorHAnsi" w:hAnsiTheme="minorHAnsi"/>
          <w:color w:val="808080" w:themeColor="background1" w:themeShade="80"/>
          <w:sz w:val="16"/>
          <w:szCs w:val="16"/>
          <w:lang w:val="es-ES"/>
        </w:rPr>
        <w:t xml:space="preserve"> </w:t>
      </w:r>
      <w:r w:rsidRPr="00930562">
        <w:rPr>
          <w:rFonts w:asciiTheme="minorHAnsi" w:hAnsiTheme="minorHAnsi"/>
          <w:color w:val="808080" w:themeColor="background1" w:themeShade="80"/>
          <w:sz w:val="16"/>
          <w:szCs w:val="16"/>
          <w:lang w:val="es-ES"/>
        </w:rPr>
        <w:tab/>
      </w:r>
      <w:r w:rsidRPr="00930562">
        <w:rPr>
          <w:rFonts w:asciiTheme="minorHAnsi" w:eastAsia="Calibri" w:hAnsiTheme="minorHAnsi"/>
          <w:color w:val="808080" w:themeColor="background1" w:themeShade="80"/>
          <w:sz w:val="16"/>
          <w:szCs w:val="16"/>
          <w:u w:color="000000"/>
          <w:lang w:val="es-ES"/>
        </w:rPr>
        <w:t>CIDH, Afrodescendientes en las Américas (2011), párr. 91; Informe No. 50/16, Trabajadores indocumentados (2016), párrs. 71-92.</w:t>
      </w:r>
    </w:p>
  </w:footnote>
  <w:footnote w:id="433">
    <w:p w14:paraId="24DC0502" w14:textId="52CAE875"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olor w:val="808080" w:themeColor="background1" w:themeShade="80"/>
          <w:sz w:val="16"/>
          <w:szCs w:val="16"/>
        </w:rPr>
        <w:footnoteRef/>
      </w:r>
      <w:r w:rsidRPr="00930562">
        <w:rPr>
          <w:rFonts w:asciiTheme="minorHAnsi" w:hAnsiTheme="minorHAnsi"/>
          <w:color w:val="808080" w:themeColor="background1" w:themeShade="80"/>
          <w:sz w:val="16"/>
          <w:szCs w:val="16"/>
          <w:lang w:val="es-ES"/>
        </w:rPr>
        <w:t xml:space="preserve"> </w:t>
      </w:r>
      <w:r w:rsidRPr="00930562">
        <w:rPr>
          <w:rFonts w:asciiTheme="minorHAnsi" w:hAnsiTheme="minorHAnsi"/>
          <w:color w:val="808080" w:themeColor="background1" w:themeShade="80"/>
          <w:sz w:val="16"/>
          <w:szCs w:val="16"/>
          <w:lang w:val="es-ES"/>
        </w:rPr>
        <w:tab/>
      </w:r>
      <w:r w:rsidRPr="00930562">
        <w:rPr>
          <w:rFonts w:asciiTheme="minorHAnsi" w:eastAsia="Calibri" w:hAnsiTheme="minorHAnsi"/>
          <w:color w:val="808080" w:themeColor="background1" w:themeShade="80"/>
          <w:sz w:val="16"/>
          <w:szCs w:val="16"/>
          <w:u w:color="000000"/>
          <w:lang w:val="es-ES"/>
        </w:rPr>
        <w:t>CIDH, Acceso a la Justicia para las Mujeres Víctimas de Violencia en las Américas, OEA / Ser. L / V / II. Doc.68 (2007), párr. 90; Informe No. 17/17 Petición P-1105-06, Pedro Rosello y otros (Estados Unidos), 27 de enero de 2017.</w:t>
      </w:r>
      <w:r w:rsidRPr="00930562">
        <w:rPr>
          <w:rFonts w:asciiTheme="minorHAnsi" w:hAnsiTheme="minorHAnsi"/>
          <w:color w:val="808080" w:themeColor="background1" w:themeShade="80"/>
          <w:sz w:val="16"/>
          <w:szCs w:val="16"/>
          <w:lang w:val="es-ES"/>
        </w:rPr>
        <w:t xml:space="preserve"> </w:t>
      </w:r>
    </w:p>
  </w:footnote>
  <w:footnote w:id="434">
    <w:p w14:paraId="589916DD" w14:textId="4D44A16D" w:rsidR="00F64540" w:rsidRPr="00930562" w:rsidRDefault="00F64540" w:rsidP="00E10935">
      <w:pPr>
        <w:pStyle w:val="FootnoteText"/>
        <w:spacing w:after="40"/>
        <w:ind w:left="547" w:hanging="547"/>
        <w:rPr>
          <w:rFonts w:asciiTheme="minorHAnsi" w:hAnsiTheme="minorHAnsi" w:cstheme="minorHAnsi"/>
          <w:color w:val="808080" w:themeColor="background1" w:themeShade="80"/>
          <w:sz w:val="16"/>
          <w:szCs w:val="16"/>
          <w:lang w:val="es-MX"/>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rPr>
        <w:t xml:space="preserve"> </w:t>
      </w:r>
      <w:r w:rsidRPr="00930562">
        <w:rPr>
          <w:rFonts w:asciiTheme="minorHAnsi" w:hAnsiTheme="minorHAnsi" w:cstheme="minorHAnsi"/>
          <w:color w:val="808080" w:themeColor="background1" w:themeShade="80"/>
          <w:sz w:val="16"/>
          <w:szCs w:val="16"/>
        </w:rPr>
        <w:tab/>
        <w:t xml:space="preserve">IACHR, Report No. 50/16, </w:t>
      </w:r>
      <w:hyperlink r:id="rId520" w:history="1">
        <w:r w:rsidRPr="00930562">
          <w:rPr>
            <w:rStyle w:val="Hyperlink"/>
            <w:rFonts w:asciiTheme="minorHAnsi" w:hAnsiTheme="minorHAnsi" w:cstheme="minorHAnsi"/>
            <w:i/>
            <w:color w:val="808080" w:themeColor="background1" w:themeShade="80"/>
            <w:sz w:val="16"/>
            <w:szCs w:val="16"/>
          </w:rPr>
          <w:t>Undocumented Workers</w:t>
        </w:r>
      </w:hyperlink>
      <w:r w:rsidRPr="00930562">
        <w:rPr>
          <w:rFonts w:asciiTheme="minorHAnsi" w:hAnsiTheme="minorHAnsi" w:cstheme="minorHAnsi"/>
          <w:color w:val="808080" w:themeColor="background1" w:themeShade="80"/>
          <w:sz w:val="16"/>
          <w:szCs w:val="16"/>
        </w:rPr>
        <w:t xml:space="preserve"> (2016), para. </w:t>
      </w:r>
      <w:r w:rsidRPr="00930562">
        <w:rPr>
          <w:rFonts w:asciiTheme="minorHAnsi" w:hAnsiTheme="minorHAnsi" w:cstheme="minorHAnsi"/>
          <w:color w:val="808080" w:themeColor="background1" w:themeShade="80"/>
          <w:sz w:val="16"/>
          <w:szCs w:val="16"/>
          <w:lang w:val="es-MX"/>
        </w:rPr>
        <w:t xml:space="preserve">72; Report No. 80/11, </w:t>
      </w:r>
      <w:hyperlink r:id="rId521" w:history="1">
        <w:r w:rsidRPr="00930562">
          <w:rPr>
            <w:rStyle w:val="Hyperlink"/>
            <w:rFonts w:asciiTheme="minorHAnsi" w:hAnsiTheme="minorHAnsi" w:cstheme="minorHAnsi"/>
            <w:i/>
            <w:color w:val="808080" w:themeColor="background1" w:themeShade="80"/>
            <w:sz w:val="16"/>
            <w:szCs w:val="16"/>
            <w:lang w:val="es-MX"/>
          </w:rPr>
          <w:t>Jessica Lenahan</w:t>
        </w:r>
      </w:hyperlink>
      <w:r w:rsidRPr="00930562">
        <w:rPr>
          <w:rFonts w:asciiTheme="minorHAnsi" w:hAnsiTheme="minorHAnsi" w:cstheme="minorHAnsi"/>
          <w:color w:val="808080" w:themeColor="background1" w:themeShade="80"/>
          <w:sz w:val="16"/>
          <w:szCs w:val="16"/>
          <w:lang w:val="es-MX"/>
        </w:rPr>
        <w:t xml:space="preserve"> (2011), para. 108; Report 40/04, </w:t>
      </w:r>
      <w:hyperlink r:id="rId522" w:history="1">
        <w:r w:rsidRPr="00930562">
          <w:rPr>
            <w:rStyle w:val="Hyperlink"/>
            <w:rFonts w:asciiTheme="minorHAnsi" w:hAnsiTheme="minorHAnsi" w:cstheme="minorHAnsi"/>
            <w:i/>
            <w:color w:val="808080" w:themeColor="background1" w:themeShade="80"/>
            <w:sz w:val="16"/>
            <w:szCs w:val="16"/>
            <w:lang w:val="es-MX"/>
          </w:rPr>
          <w:t>Maya Indigenous Community</w:t>
        </w:r>
      </w:hyperlink>
      <w:r w:rsidRPr="00930562">
        <w:rPr>
          <w:rFonts w:asciiTheme="minorHAnsi" w:hAnsiTheme="minorHAnsi" w:cstheme="minorHAnsi"/>
          <w:color w:val="808080" w:themeColor="background1" w:themeShade="80"/>
          <w:sz w:val="16"/>
          <w:szCs w:val="16"/>
          <w:lang w:val="es-MX"/>
        </w:rPr>
        <w:t xml:space="preserve"> (2004), para. 162.</w:t>
      </w:r>
    </w:p>
  </w:footnote>
  <w:footnote w:id="435">
    <w:p w14:paraId="27B8EF40" w14:textId="194D6F43" w:rsidR="00F64540" w:rsidRPr="00930562" w:rsidRDefault="00F64540" w:rsidP="00E10935">
      <w:pPr>
        <w:pStyle w:val="FootnoteText"/>
        <w:spacing w:after="40"/>
        <w:ind w:left="547" w:hanging="547"/>
        <w:jc w:val="both"/>
        <w:rPr>
          <w:rFonts w:asciiTheme="minorHAnsi" w:hAnsiTheme="minorHAnsi"/>
          <w:i/>
          <w:color w:val="808080" w:themeColor="background1" w:themeShade="80"/>
          <w:sz w:val="16"/>
          <w:szCs w:val="16"/>
          <w:lang w:val="es-VE"/>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hAnsiTheme="minorHAnsi"/>
          <w:color w:val="808080" w:themeColor="background1" w:themeShade="80"/>
          <w:sz w:val="16"/>
          <w:szCs w:val="16"/>
          <w:lang w:val="es-VE"/>
        </w:rPr>
        <w:t xml:space="preserve">Por ejemplo, el Título VII de la Ley de Derechos Civiles de 1964 (con respecto a la discriminación en el empleo), la Ley de Equidad de Vivienda de 1968 y la Ley de Discriminación por Edad en el Empleo de 1967, entre otras, permiten las causas de acción por un impacto desigual. Ver </w:t>
      </w:r>
      <w:r w:rsidRPr="00930562">
        <w:rPr>
          <w:rFonts w:asciiTheme="minorHAnsi" w:hAnsiTheme="minorHAnsi"/>
          <w:i/>
          <w:color w:val="808080" w:themeColor="background1" w:themeShade="80"/>
          <w:sz w:val="16"/>
          <w:szCs w:val="16"/>
          <w:lang w:val="es-VE"/>
        </w:rPr>
        <w:t>Departamento de Vivienda y Asuntos Comunitarios de Texas vs. Inclusive Communities Project</w:t>
      </w:r>
      <w:r w:rsidRPr="00930562">
        <w:rPr>
          <w:rFonts w:asciiTheme="minorHAnsi" w:hAnsiTheme="minorHAnsi"/>
          <w:color w:val="808080" w:themeColor="background1" w:themeShade="80"/>
          <w:sz w:val="16"/>
          <w:szCs w:val="16"/>
          <w:lang w:val="es-VE"/>
        </w:rPr>
        <w:t xml:space="preserve">, Inc. 575 U.S.  (2015) (sosteniendo que las partes pueden presentar reclamos de impacto desigual cuando lo autorice la ley, para cuestionar prácticas que son </w:t>
      </w:r>
      <w:r w:rsidRPr="00930562">
        <w:rPr>
          <w:rFonts w:asciiTheme="minorHAnsi" w:hAnsiTheme="minorHAnsi"/>
          <w:color w:val="808080" w:themeColor="background1" w:themeShade="80"/>
          <w:sz w:val="16"/>
          <w:szCs w:val="16"/>
          <w:lang w:val="es-ES"/>
        </w:rPr>
        <w:t>“</w:t>
      </w:r>
      <w:r w:rsidRPr="00930562">
        <w:rPr>
          <w:rFonts w:asciiTheme="minorHAnsi" w:hAnsiTheme="minorHAnsi"/>
          <w:color w:val="808080" w:themeColor="background1" w:themeShade="80"/>
          <w:sz w:val="16"/>
          <w:szCs w:val="16"/>
          <w:lang w:val="es-VE"/>
        </w:rPr>
        <w:t xml:space="preserve">de otra manera injustificadas por una razón legítima”); </w:t>
      </w:r>
      <w:r w:rsidRPr="00930562">
        <w:rPr>
          <w:rFonts w:asciiTheme="minorHAnsi" w:hAnsiTheme="minorHAnsi"/>
          <w:i/>
          <w:color w:val="808080" w:themeColor="background1" w:themeShade="80"/>
          <w:sz w:val="16"/>
          <w:szCs w:val="16"/>
          <w:lang w:val="es-VE"/>
        </w:rPr>
        <w:t>Griggs vs. Duke Power Co</w:t>
      </w:r>
      <w:r w:rsidRPr="00930562">
        <w:rPr>
          <w:rFonts w:asciiTheme="minorHAnsi" w:hAnsiTheme="minorHAnsi"/>
          <w:color w:val="808080" w:themeColor="background1" w:themeShade="80"/>
          <w:sz w:val="16"/>
          <w:szCs w:val="16"/>
          <w:lang w:val="es-VE"/>
        </w:rPr>
        <w:t>..</w:t>
      </w:r>
      <w:proofErr w:type="gramStart"/>
      <w:r w:rsidRPr="00930562">
        <w:rPr>
          <w:rFonts w:asciiTheme="minorHAnsi" w:hAnsiTheme="minorHAnsi"/>
          <w:color w:val="808080" w:themeColor="background1" w:themeShade="80"/>
          <w:sz w:val="16"/>
          <w:szCs w:val="16"/>
          <w:lang w:val="es-VE"/>
        </w:rPr>
        <w:t>,</w:t>
      </w:r>
      <w:proofErr w:type="gramEnd"/>
      <w:r w:rsidRPr="00930562">
        <w:rPr>
          <w:rFonts w:asciiTheme="minorHAnsi" w:hAnsiTheme="minorHAnsi"/>
          <w:color w:val="808080" w:themeColor="background1" w:themeShade="80"/>
          <w:sz w:val="16"/>
          <w:szCs w:val="16"/>
          <w:lang w:val="es-VE"/>
        </w:rPr>
        <w:t xml:space="preserve"> 401 U.S. 424 (1971).   </w:t>
      </w:r>
    </w:p>
  </w:footnote>
  <w:footnote w:id="436">
    <w:p w14:paraId="7CBF35B3"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VE"/>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481 U.S. 279 (1987). </w:t>
      </w:r>
      <w:r w:rsidRPr="00930562">
        <w:rPr>
          <w:rFonts w:asciiTheme="minorHAnsi" w:hAnsiTheme="minorHAnsi"/>
          <w:i/>
          <w:color w:val="808080" w:themeColor="background1" w:themeShade="80"/>
          <w:sz w:val="16"/>
          <w:szCs w:val="16"/>
          <w:lang w:val="es-VE"/>
        </w:rPr>
        <w:t>Ver supra</w:t>
      </w:r>
      <w:r w:rsidRPr="00930562">
        <w:rPr>
          <w:rFonts w:asciiTheme="minorHAnsi" w:hAnsiTheme="minorHAnsi"/>
          <w:color w:val="808080" w:themeColor="background1" w:themeShade="80"/>
          <w:sz w:val="16"/>
          <w:szCs w:val="16"/>
          <w:lang w:val="es-VE"/>
        </w:rPr>
        <w:t xml:space="preserve"> la nota 305.</w:t>
      </w:r>
    </w:p>
  </w:footnote>
  <w:footnote w:id="437">
    <w:p w14:paraId="4E7C10DB"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rPr>
        <w:tab/>
        <w:t>Id. 279-80.</w:t>
      </w:r>
    </w:p>
  </w:footnote>
  <w:footnote w:id="438">
    <w:p w14:paraId="002A175B" w14:textId="40DCCCA5" w:rsidR="00F64540" w:rsidRPr="00930562" w:rsidRDefault="00F64540" w:rsidP="00E10935">
      <w:pPr>
        <w:pStyle w:val="FootnoteText"/>
        <w:spacing w:after="40"/>
        <w:ind w:left="547" w:hanging="547"/>
        <w:rPr>
          <w:rFonts w:asciiTheme="minorHAnsi" w:hAnsiTheme="minorHAnsi"/>
          <w:color w:val="808080" w:themeColor="background1" w:themeShade="80"/>
          <w:sz w:val="16"/>
          <w:szCs w:val="16"/>
        </w:rPr>
      </w:pPr>
      <w:r w:rsidRPr="00930562">
        <w:rPr>
          <w:rStyle w:val="FootnoteReference"/>
          <w:rFonts w:asciiTheme="minorHAnsi" w:hAnsiTheme="minorHAnsi"/>
          <w:color w:val="808080" w:themeColor="background1" w:themeShade="80"/>
          <w:sz w:val="16"/>
          <w:szCs w:val="16"/>
        </w:rPr>
        <w:footnoteRef/>
      </w:r>
      <w:r w:rsidRPr="00930562">
        <w:rPr>
          <w:rFonts w:asciiTheme="minorHAnsi" w:hAnsiTheme="minorHAnsi"/>
          <w:color w:val="808080" w:themeColor="background1" w:themeShade="80"/>
          <w:sz w:val="16"/>
          <w:szCs w:val="16"/>
        </w:rPr>
        <w:t xml:space="preserve"> </w:t>
      </w:r>
      <w:r w:rsidRPr="00930562">
        <w:rPr>
          <w:rFonts w:asciiTheme="minorHAnsi" w:hAnsiTheme="minorHAnsi"/>
          <w:color w:val="808080" w:themeColor="background1" w:themeShade="80"/>
          <w:sz w:val="16"/>
          <w:szCs w:val="16"/>
        </w:rPr>
        <w:tab/>
      </w:r>
      <w:r w:rsidRPr="00930562">
        <w:rPr>
          <w:rFonts w:asciiTheme="minorHAnsi" w:hAnsiTheme="minorHAnsi" w:cstheme="majorHAnsi"/>
          <w:color w:val="808080" w:themeColor="background1" w:themeShade="80"/>
          <w:sz w:val="16"/>
          <w:szCs w:val="16"/>
        </w:rPr>
        <w:t xml:space="preserve">ACLU, </w:t>
      </w:r>
      <w:hyperlink r:id="rId523" w:history="1">
        <w:r w:rsidRPr="00930562">
          <w:rPr>
            <w:rStyle w:val="Hyperlink"/>
            <w:rFonts w:asciiTheme="minorHAnsi" w:hAnsiTheme="minorHAnsi" w:cstheme="majorHAnsi"/>
            <w:color w:val="808080" w:themeColor="background1" w:themeShade="80"/>
            <w:sz w:val="16"/>
            <w:szCs w:val="16"/>
          </w:rPr>
          <w:t>North Carolina Racial Justice Act</w:t>
        </w:r>
      </w:hyperlink>
      <w:r w:rsidRPr="00930562">
        <w:rPr>
          <w:rFonts w:asciiTheme="minorHAnsi" w:hAnsiTheme="minorHAnsi" w:cstheme="majorHAnsi"/>
          <w:color w:val="808080" w:themeColor="background1" w:themeShade="80"/>
          <w:sz w:val="16"/>
          <w:szCs w:val="16"/>
        </w:rPr>
        <w:t xml:space="preserve">, last visited Jan. 26, 2018; CNN, </w:t>
      </w:r>
      <w:hyperlink r:id="rId524" w:history="1">
        <w:r w:rsidRPr="00930562">
          <w:rPr>
            <w:rStyle w:val="Hyperlink"/>
            <w:rFonts w:asciiTheme="minorHAnsi" w:hAnsiTheme="minorHAnsi" w:cstheme="majorHAnsi"/>
            <w:color w:val="808080" w:themeColor="background1" w:themeShade="80"/>
            <w:sz w:val="16"/>
            <w:szCs w:val="16"/>
          </w:rPr>
          <w:t>'Racial Justice Act' repealed in North Carolina</w:t>
        </w:r>
      </w:hyperlink>
      <w:r w:rsidRPr="00930562">
        <w:rPr>
          <w:rFonts w:asciiTheme="minorHAnsi" w:hAnsiTheme="minorHAnsi" w:cstheme="majorHAnsi"/>
          <w:color w:val="808080" w:themeColor="background1" w:themeShade="80"/>
          <w:sz w:val="16"/>
          <w:szCs w:val="16"/>
        </w:rPr>
        <w:t>, June 21, 2013.</w:t>
      </w:r>
    </w:p>
  </w:footnote>
  <w:footnote w:id="439">
    <w:p w14:paraId="089F92EE" w14:textId="753E7CDE" w:rsidR="00F64540" w:rsidRPr="00930562" w:rsidRDefault="00F64540" w:rsidP="00E10935">
      <w:pPr>
        <w:pStyle w:val="FootnoteText"/>
        <w:spacing w:after="40"/>
        <w:ind w:left="547" w:hanging="547"/>
        <w:jc w:val="both"/>
        <w:rPr>
          <w:rFonts w:asciiTheme="minorHAnsi" w:hAnsiTheme="minorHAnsi" w:cstheme="minorHAnsi"/>
          <w:bCs/>
          <w:color w:val="808080" w:themeColor="background1" w:themeShade="80"/>
          <w:sz w:val="16"/>
          <w:szCs w:val="16"/>
          <w:lang w:val="es-ES"/>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ES"/>
        </w:rPr>
        <w:tab/>
      </w:r>
      <w:r w:rsidRPr="00930562">
        <w:rPr>
          <w:rFonts w:asciiTheme="minorHAnsi" w:hAnsiTheme="minorHAnsi" w:cstheme="minorHAnsi"/>
          <w:bCs/>
          <w:color w:val="808080" w:themeColor="background1" w:themeShade="80"/>
          <w:sz w:val="16"/>
          <w:szCs w:val="16"/>
          <w:lang w:val="es-ES"/>
        </w:rPr>
        <w:t xml:space="preserve">CERD, </w:t>
      </w:r>
      <w:hyperlink r:id="rId525" w:history="1">
        <w:r w:rsidRPr="00930562">
          <w:rPr>
            <w:rStyle w:val="Hyperlink"/>
            <w:rFonts w:asciiTheme="minorHAnsi" w:hAnsiTheme="minorHAnsi" w:cstheme="minorHAnsi"/>
            <w:bCs/>
            <w:color w:val="808080" w:themeColor="background1" w:themeShade="80"/>
            <w:sz w:val="16"/>
            <w:szCs w:val="16"/>
            <w:lang w:val="es-ES"/>
          </w:rPr>
          <w:t>Observaciones Finales 2014</w:t>
        </w:r>
      </w:hyperlink>
      <w:r w:rsidRPr="00930562">
        <w:rPr>
          <w:rFonts w:asciiTheme="minorHAnsi" w:hAnsiTheme="minorHAnsi" w:cstheme="minorHAnsi"/>
          <w:bCs/>
          <w:color w:val="808080" w:themeColor="background1" w:themeShade="80"/>
          <w:sz w:val="16"/>
          <w:szCs w:val="16"/>
          <w:lang w:val="es-ES"/>
        </w:rPr>
        <w:t>, Estados Unidos, 25 de septiembre de 2014</w:t>
      </w:r>
      <w:r w:rsidRPr="00930562">
        <w:rPr>
          <w:rFonts w:asciiTheme="minorHAnsi" w:hAnsiTheme="minorHAnsi" w:cstheme="minorHAnsi"/>
          <w:color w:val="808080" w:themeColor="background1" w:themeShade="80"/>
          <w:sz w:val="16"/>
          <w:szCs w:val="16"/>
          <w:lang w:val="es-ES"/>
        </w:rPr>
        <w:t>, párrs. 5, 20.</w:t>
      </w:r>
    </w:p>
  </w:footnote>
  <w:footnote w:id="440">
    <w:p w14:paraId="6CD4611E" w14:textId="77777777" w:rsidR="00F64540" w:rsidRPr="00930562" w:rsidRDefault="00F64540" w:rsidP="00E10935">
      <w:pPr>
        <w:pStyle w:val="FootnoteText"/>
        <w:spacing w:after="40"/>
        <w:ind w:left="547" w:hanging="547"/>
        <w:jc w:val="both"/>
        <w:rPr>
          <w:rFonts w:asciiTheme="minorHAnsi" w:hAnsiTheme="minorHAnsi" w:cstheme="minorHAnsi"/>
          <w:color w:val="808080" w:themeColor="background1" w:themeShade="80"/>
          <w:sz w:val="16"/>
          <w:szCs w:val="16"/>
          <w:lang w:val="es-VE"/>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ES"/>
        </w:rPr>
        <w:tab/>
        <w:t xml:space="preserve">CIDH, Informe No. 50/16, </w:t>
      </w:r>
      <w:hyperlink r:id="rId526" w:history="1">
        <w:r w:rsidRPr="00930562">
          <w:rPr>
            <w:rStyle w:val="Hyperlink"/>
            <w:rFonts w:asciiTheme="minorHAnsi" w:hAnsiTheme="minorHAnsi" w:cstheme="minorHAnsi"/>
            <w:i/>
            <w:color w:val="808080" w:themeColor="background1" w:themeShade="80"/>
            <w:sz w:val="16"/>
            <w:szCs w:val="16"/>
            <w:lang w:val="es-ES"/>
          </w:rPr>
          <w:t>Trabajadores Indocumentados</w:t>
        </w:r>
      </w:hyperlink>
      <w:r w:rsidRPr="00930562">
        <w:rPr>
          <w:rFonts w:asciiTheme="minorHAnsi" w:hAnsiTheme="minorHAnsi" w:cstheme="minorHAnsi"/>
          <w:color w:val="808080" w:themeColor="background1" w:themeShade="80"/>
          <w:sz w:val="16"/>
          <w:szCs w:val="16"/>
          <w:lang w:val="es-ES"/>
        </w:rPr>
        <w:t xml:space="preserve"> (2016), párr. </w:t>
      </w:r>
      <w:r w:rsidRPr="00930562">
        <w:rPr>
          <w:rFonts w:asciiTheme="minorHAnsi" w:hAnsiTheme="minorHAnsi" w:cstheme="minorHAnsi"/>
          <w:color w:val="808080" w:themeColor="background1" w:themeShade="80"/>
          <w:sz w:val="16"/>
          <w:szCs w:val="16"/>
          <w:lang w:val="es-VE"/>
        </w:rPr>
        <w:t xml:space="preserve">73; </w:t>
      </w:r>
      <w:r w:rsidRPr="00930562">
        <w:rPr>
          <w:rFonts w:asciiTheme="minorHAnsi" w:hAnsiTheme="minorHAnsi" w:cstheme="minorHAnsi"/>
          <w:color w:val="808080" w:themeColor="background1" w:themeShade="80"/>
          <w:sz w:val="16"/>
          <w:szCs w:val="16"/>
          <w:lang w:val="es-ES"/>
        </w:rPr>
        <w:t xml:space="preserve">Informe No. 67/06, </w:t>
      </w:r>
      <w:hyperlink r:id="rId527" w:history="1">
        <w:r w:rsidRPr="00930562">
          <w:rPr>
            <w:rStyle w:val="Hyperlink"/>
            <w:rFonts w:asciiTheme="minorHAnsi" w:hAnsiTheme="minorHAnsi" w:cstheme="minorHAnsi"/>
            <w:i/>
            <w:color w:val="808080" w:themeColor="background1" w:themeShade="80"/>
            <w:sz w:val="16"/>
            <w:szCs w:val="16"/>
            <w:lang w:val="es-ES"/>
          </w:rPr>
          <w:t>Oscar Elías Bicet y otros</w:t>
        </w:r>
      </w:hyperlink>
      <w:r w:rsidRPr="00930562">
        <w:rPr>
          <w:rFonts w:asciiTheme="minorHAnsi" w:hAnsiTheme="minorHAnsi" w:cstheme="minorHAnsi"/>
          <w:color w:val="808080" w:themeColor="background1" w:themeShade="80"/>
          <w:sz w:val="16"/>
          <w:szCs w:val="16"/>
          <w:lang w:val="es-ES"/>
        </w:rPr>
        <w:t xml:space="preserve"> (2006), párrs.</w:t>
      </w:r>
      <w:r w:rsidRPr="00930562">
        <w:rPr>
          <w:rFonts w:asciiTheme="minorHAnsi" w:hAnsiTheme="minorHAnsi" w:cstheme="minorHAnsi"/>
          <w:color w:val="808080" w:themeColor="background1" w:themeShade="80"/>
          <w:sz w:val="16"/>
          <w:szCs w:val="16"/>
          <w:lang w:val="es-VE"/>
        </w:rPr>
        <w:t xml:space="preserve"> 228-231; </w:t>
      </w:r>
      <w:r w:rsidRPr="00930562">
        <w:rPr>
          <w:rFonts w:asciiTheme="minorHAnsi" w:hAnsiTheme="minorHAnsi" w:cstheme="minorHAnsi"/>
          <w:color w:val="808080" w:themeColor="background1" w:themeShade="80"/>
          <w:sz w:val="16"/>
          <w:szCs w:val="16"/>
          <w:lang w:val="es-ES"/>
        </w:rPr>
        <w:t xml:space="preserve">Informe 40/04, </w:t>
      </w:r>
      <w:hyperlink r:id="rId528" w:history="1">
        <w:r w:rsidRPr="00930562">
          <w:rPr>
            <w:rStyle w:val="Hyperlink"/>
            <w:rFonts w:asciiTheme="minorHAnsi" w:hAnsiTheme="minorHAnsi" w:cstheme="minorHAnsi"/>
            <w:i/>
            <w:color w:val="808080" w:themeColor="background1" w:themeShade="80"/>
            <w:sz w:val="16"/>
            <w:szCs w:val="16"/>
            <w:lang w:val="es-ES"/>
          </w:rPr>
          <w:t>Comunidades Indígenas Mayas del Distrito de Toledo</w:t>
        </w:r>
      </w:hyperlink>
      <w:r w:rsidRPr="00930562">
        <w:rPr>
          <w:rFonts w:asciiTheme="minorHAnsi" w:hAnsiTheme="minorHAnsi" w:cstheme="minorHAnsi"/>
          <w:color w:val="808080" w:themeColor="background1" w:themeShade="80"/>
          <w:sz w:val="16"/>
          <w:szCs w:val="16"/>
          <w:lang w:val="es-ES"/>
        </w:rPr>
        <w:t xml:space="preserve"> (2004), párrs. </w:t>
      </w:r>
      <w:r w:rsidRPr="00930562">
        <w:rPr>
          <w:rFonts w:asciiTheme="minorHAnsi" w:hAnsiTheme="minorHAnsi" w:cstheme="minorHAnsi"/>
          <w:color w:val="808080" w:themeColor="background1" w:themeShade="80"/>
          <w:sz w:val="16"/>
          <w:szCs w:val="16"/>
          <w:lang w:val="es-VE"/>
        </w:rPr>
        <w:t>162, 166.</w:t>
      </w:r>
      <w:r w:rsidRPr="00930562">
        <w:rPr>
          <w:rFonts w:asciiTheme="minorHAnsi" w:hAnsiTheme="minorHAnsi" w:cstheme="minorHAnsi"/>
          <w:i/>
          <w:color w:val="808080" w:themeColor="background1" w:themeShade="80"/>
          <w:sz w:val="16"/>
          <w:szCs w:val="16"/>
          <w:lang w:val="es-VE"/>
        </w:rPr>
        <w:t xml:space="preserve"> </w:t>
      </w:r>
      <w:r w:rsidRPr="00930562">
        <w:rPr>
          <w:rFonts w:asciiTheme="minorHAnsi" w:hAnsiTheme="minorHAnsi" w:cstheme="minorHAnsi"/>
          <w:i/>
          <w:color w:val="808080" w:themeColor="background1" w:themeShade="80"/>
          <w:sz w:val="16"/>
          <w:szCs w:val="16"/>
          <w:u w:val="single"/>
          <w:lang w:val="es-VE"/>
        </w:rPr>
        <w:t xml:space="preserve"> </w:t>
      </w:r>
    </w:p>
  </w:footnote>
  <w:footnote w:id="441">
    <w:p w14:paraId="2A9E9FA1" w14:textId="1FF9E4EE" w:rsidR="00F64540" w:rsidRPr="00930562" w:rsidRDefault="00F64540" w:rsidP="00E10935">
      <w:pPr>
        <w:pStyle w:val="FootnoteText"/>
        <w:spacing w:after="40"/>
        <w:ind w:left="547" w:hanging="547"/>
        <w:rPr>
          <w:rFonts w:asciiTheme="minorHAnsi" w:hAnsiTheme="minorHAnsi" w:cstheme="minorHAnsi"/>
          <w:color w:val="808080" w:themeColor="background1" w:themeShade="80"/>
          <w:sz w:val="16"/>
          <w:szCs w:val="16"/>
          <w:lang w:val="es-ES"/>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ES"/>
        </w:rPr>
        <w:t xml:space="preserve"> </w:t>
      </w:r>
      <w:r w:rsidRPr="00930562">
        <w:rPr>
          <w:rFonts w:asciiTheme="minorHAnsi" w:hAnsiTheme="minorHAnsi" w:cstheme="minorHAnsi"/>
          <w:color w:val="808080" w:themeColor="background1" w:themeShade="80"/>
          <w:sz w:val="16"/>
          <w:szCs w:val="16"/>
          <w:lang w:val="es-ES"/>
        </w:rPr>
        <w:tab/>
        <w:t>CERD, Recomendación General XXXI, Prevención de la Discriminación Racial en la Administración y el Funcionamiento del   Sistema de Justicia Penal, 2005.</w:t>
      </w:r>
    </w:p>
  </w:footnote>
  <w:footnote w:id="442">
    <w:p w14:paraId="1EDF9B4A" w14:textId="30658C74" w:rsidR="00F64540" w:rsidRPr="00930562" w:rsidRDefault="00F64540" w:rsidP="00E10935">
      <w:pPr>
        <w:pStyle w:val="FootnoteText"/>
        <w:spacing w:after="40"/>
        <w:ind w:left="547" w:hanging="547"/>
        <w:rPr>
          <w:rFonts w:asciiTheme="minorHAnsi" w:hAnsiTheme="minorHAnsi" w:cstheme="minorHAnsi"/>
          <w:color w:val="808080" w:themeColor="background1" w:themeShade="80"/>
          <w:sz w:val="16"/>
          <w:szCs w:val="16"/>
          <w:lang w:val="es-MX"/>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MX"/>
        </w:rPr>
        <w:t xml:space="preserve"> </w:t>
      </w:r>
      <w:r w:rsidRPr="00930562">
        <w:rPr>
          <w:rFonts w:asciiTheme="minorHAnsi" w:hAnsiTheme="minorHAnsi" w:cstheme="minorHAnsi"/>
          <w:color w:val="808080" w:themeColor="background1" w:themeShade="80"/>
          <w:sz w:val="16"/>
          <w:szCs w:val="16"/>
          <w:lang w:val="es-MX"/>
        </w:rPr>
        <w:tab/>
        <w:t xml:space="preserve">CIDH, </w:t>
      </w:r>
      <w:hyperlink r:id="rId529" w:history="1">
        <w:r w:rsidRPr="00930562">
          <w:rPr>
            <w:rStyle w:val="Hyperlink"/>
            <w:rFonts w:asciiTheme="minorHAnsi" w:hAnsiTheme="minorHAnsi" w:cstheme="minorHAnsi"/>
            <w:color w:val="808080" w:themeColor="background1" w:themeShade="80"/>
            <w:sz w:val="16"/>
            <w:szCs w:val="16"/>
            <w:lang w:val="es-MX"/>
          </w:rPr>
          <w:t>La situación de las personas afrodescendientes en las Américas</w:t>
        </w:r>
      </w:hyperlink>
      <w:r w:rsidRPr="00930562">
        <w:rPr>
          <w:rFonts w:asciiTheme="minorHAnsi" w:hAnsiTheme="minorHAnsi" w:cstheme="minorHAnsi"/>
          <w:color w:val="808080" w:themeColor="background1" w:themeShade="80"/>
          <w:sz w:val="16"/>
          <w:szCs w:val="16"/>
          <w:lang w:val="es-MX"/>
        </w:rPr>
        <w:t xml:space="preserve">, OEA/Ser.L/V/II.   Doc. 62, 5 diciembre 2011, párrs. 162-163. </w:t>
      </w:r>
    </w:p>
  </w:footnote>
  <w:footnote w:id="443">
    <w:p w14:paraId="225EB457" w14:textId="77777777" w:rsidR="00F64540" w:rsidRPr="00930562" w:rsidRDefault="00F64540" w:rsidP="00E10935">
      <w:pPr>
        <w:pStyle w:val="FootnoteText"/>
        <w:spacing w:after="40"/>
        <w:ind w:left="547" w:hanging="547"/>
        <w:contextualSpacing/>
        <w:jc w:val="both"/>
        <w:rPr>
          <w:rFonts w:asciiTheme="minorHAnsi" w:hAnsiTheme="minorHAnsi" w:cstheme="minorHAnsi"/>
          <w:color w:val="808080" w:themeColor="background1" w:themeShade="80"/>
          <w:sz w:val="16"/>
          <w:szCs w:val="16"/>
          <w:lang w:val="es-ES"/>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ES"/>
        </w:rPr>
        <w:tab/>
      </w:r>
      <w:r w:rsidRPr="00930562">
        <w:rPr>
          <w:rFonts w:asciiTheme="minorHAnsi" w:hAnsiTheme="minorHAnsi" w:cstheme="minorHAnsi"/>
          <w:color w:val="808080" w:themeColor="background1" w:themeShade="80"/>
          <w:sz w:val="16"/>
          <w:szCs w:val="16"/>
          <w:lang w:val="es-VE"/>
        </w:rPr>
        <w:t xml:space="preserve">CIDH, </w:t>
      </w:r>
      <w:hyperlink r:id="rId530" w:history="1">
        <w:r w:rsidRPr="00930562">
          <w:rPr>
            <w:rStyle w:val="Hyperlink"/>
            <w:rFonts w:asciiTheme="minorHAnsi" w:hAnsiTheme="minorHAnsi" w:cstheme="minorHAnsi"/>
            <w:color w:val="808080" w:themeColor="background1" w:themeShade="80"/>
            <w:sz w:val="16"/>
            <w:szCs w:val="16"/>
            <w:lang w:val="es-VE"/>
          </w:rPr>
          <w:t>Informe Anual 2006, Capítulo IV, Desarrollo de los derechos humanos en la región, Venezuela</w:t>
        </w:r>
      </w:hyperlink>
      <w:r w:rsidRPr="00930562">
        <w:rPr>
          <w:rFonts w:asciiTheme="minorHAnsi" w:hAnsiTheme="minorHAnsi" w:cstheme="minorHAnsi"/>
          <w:color w:val="808080" w:themeColor="background1" w:themeShade="80"/>
          <w:sz w:val="16"/>
          <w:szCs w:val="16"/>
          <w:lang w:val="es-VE"/>
        </w:rPr>
        <w:t xml:space="preserve">, párr. 208. </w:t>
      </w:r>
      <w:r w:rsidRPr="00930562">
        <w:rPr>
          <w:rFonts w:asciiTheme="minorHAnsi" w:hAnsiTheme="minorHAnsi" w:cstheme="minorHAnsi"/>
          <w:color w:val="808080" w:themeColor="background1" w:themeShade="80"/>
          <w:sz w:val="16"/>
          <w:szCs w:val="16"/>
          <w:lang w:val="es-ES"/>
        </w:rPr>
        <w:t xml:space="preserve"> </w:t>
      </w:r>
    </w:p>
  </w:footnote>
  <w:footnote w:id="444">
    <w:p w14:paraId="263920B5" w14:textId="77777777" w:rsidR="00F64540" w:rsidRPr="00930562" w:rsidRDefault="00F64540" w:rsidP="00E10935">
      <w:pPr>
        <w:pStyle w:val="FootnoteText"/>
        <w:spacing w:after="40"/>
        <w:ind w:left="547" w:hanging="547"/>
        <w:contextualSpacing/>
        <w:jc w:val="both"/>
        <w:rPr>
          <w:rFonts w:asciiTheme="minorHAnsi" w:hAnsiTheme="minorHAnsi" w:cstheme="minorHAnsi"/>
          <w:color w:val="808080" w:themeColor="background1" w:themeShade="80"/>
          <w:sz w:val="16"/>
          <w:szCs w:val="16"/>
          <w:lang w:val="es-ES"/>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ES"/>
        </w:rPr>
        <w:tab/>
      </w:r>
      <w:r w:rsidRPr="00930562">
        <w:rPr>
          <w:rFonts w:asciiTheme="minorHAnsi" w:eastAsia="Times New Roman" w:hAnsiTheme="minorHAnsi" w:cstheme="minorHAnsi"/>
          <w:color w:val="808080" w:themeColor="background1" w:themeShade="80"/>
          <w:sz w:val="16"/>
          <w:szCs w:val="16"/>
          <w:lang w:val="es-ES" w:eastAsia="es-ES"/>
        </w:rPr>
        <w:t xml:space="preserve">CIDH, </w:t>
      </w:r>
      <w:hyperlink r:id="rId531" w:history="1">
        <w:r w:rsidRPr="00930562">
          <w:rPr>
            <w:rStyle w:val="Hyperlink"/>
            <w:rFonts w:asciiTheme="minorHAnsi" w:eastAsia="Times New Roman" w:hAnsiTheme="minorHAnsi" w:cstheme="minorHAnsi"/>
            <w:color w:val="808080" w:themeColor="background1" w:themeShade="80"/>
            <w:sz w:val="16"/>
            <w:szCs w:val="16"/>
            <w:lang w:val="es-ES" w:eastAsia="es-ES"/>
          </w:rPr>
          <w:t>Informe Anual 2015, Cap</w:t>
        </w:r>
        <w:r w:rsidRPr="00930562">
          <w:rPr>
            <w:rStyle w:val="Hyperlink"/>
            <w:rFonts w:asciiTheme="minorHAnsi" w:eastAsia="Times New Roman" w:hAnsiTheme="minorHAnsi" w:cstheme="minorHAnsi"/>
            <w:color w:val="808080" w:themeColor="background1" w:themeShade="80"/>
            <w:sz w:val="16"/>
            <w:szCs w:val="16"/>
            <w:lang w:val="es-ES_tradnl" w:eastAsia="es-ES"/>
          </w:rPr>
          <w:t>ítulo IV Uso de la fuerza</w:t>
        </w:r>
      </w:hyperlink>
      <w:r w:rsidRPr="00930562">
        <w:rPr>
          <w:rFonts w:asciiTheme="minorHAnsi" w:eastAsia="Times New Roman" w:hAnsiTheme="minorHAnsi" w:cstheme="minorHAnsi"/>
          <w:color w:val="808080" w:themeColor="background1" w:themeShade="80"/>
          <w:sz w:val="16"/>
          <w:szCs w:val="16"/>
          <w:lang w:val="es-ES_tradnl" w:eastAsia="es-ES"/>
        </w:rPr>
        <w:t>, párr.</w:t>
      </w:r>
      <w:r w:rsidRPr="00930562">
        <w:rPr>
          <w:rFonts w:asciiTheme="minorHAnsi" w:hAnsiTheme="minorHAnsi" w:cstheme="minorHAnsi"/>
          <w:color w:val="808080" w:themeColor="background1" w:themeShade="80"/>
          <w:sz w:val="16"/>
          <w:szCs w:val="16"/>
          <w:lang w:val="es-ES"/>
        </w:rPr>
        <w:t xml:space="preserve"> 6. </w:t>
      </w:r>
    </w:p>
  </w:footnote>
  <w:footnote w:id="445">
    <w:p w14:paraId="78A894F2" w14:textId="54B725A4"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inorHAnsi"/>
          <w:color w:val="808080" w:themeColor="background1" w:themeShade="80"/>
          <w:sz w:val="16"/>
          <w:szCs w:val="16"/>
        </w:rPr>
        <w:footnoteRef/>
      </w:r>
      <w:r w:rsidRPr="00930562">
        <w:rPr>
          <w:rFonts w:asciiTheme="minorHAnsi" w:hAnsiTheme="minorHAnsi" w:cstheme="minorHAnsi"/>
          <w:color w:val="808080" w:themeColor="background1" w:themeShade="80"/>
          <w:sz w:val="16"/>
          <w:szCs w:val="16"/>
          <w:lang w:val="es-ES"/>
        </w:rPr>
        <w:tab/>
        <w:t>Declaración Americana, Artículo I. La Convención Internacional sobre la Eliminación de todas las Formas de Discriminación Racial, de la cual los Estados Unidos es parte, establece la obligación de eliminar la discriminación racial en todas sus formas para el</w:t>
      </w:r>
      <w:r w:rsidRPr="00930562">
        <w:rPr>
          <w:rFonts w:asciiTheme="minorHAnsi" w:hAnsiTheme="minorHAnsi" w:cstheme="majorHAnsi"/>
          <w:color w:val="808080" w:themeColor="background1" w:themeShade="80"/>
          <w:sz w:val="16"/>
          <w:szCs w:val="16"/>
          <w:lang w:val="es-ES"/>
        </w:rPr>
        <w:t xml:space="preserve"> goce de  “el derecho a la seguridad personal y a la protección del Estado contra todo acto de violencia o atentado contra la integridad personal cometido por funcionarios públicos o por cualquier individuo, grupo o institución.” Artículo 5.b.</w:t>
      </w:r>
    </w:p>
  </w:footnote>
  <w:footnote w:id="446">
    <w:p w14:paraId="7666F5E8"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Declaración Americana, Artículo II.</w:t>
      </w:r>
    </w:p>
  </w:footnote>
  <w:footnote w:id="447">
    <w:p w14:paraId="66F4B7FF"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Declaración Americana, Artículo XXVI.</w:t>
      </w:r>
    </w:p>
  </w:footnote>
  <w:footnote w:id="448">
    <w:p w14:paraId="55438F12"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Convención contra la Tortura, Artículo 1.</w:t>
      </w:r>
    </w:p>
  </w:footnote>
  <w:footnote w:id="449">
    <w:p w14:paraId="1BD492C9"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MX"/>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eastAsia="Times New Roman" w:hAnsiTheme="minorHAnsi" w:cstheme="majorHAnsi"/>
          <w:color w:val="808080" w:themeColor="background1" w:themeShade="80"/>
          <w:sz w:val="16"/>
          <w:szCs w:val="16"/>
          <w:lang w:val="es-ES" w:eastAsia="es-ES"/>
        </w:rPr>
        <w:t xml:space="preserve">CIDH, </w:t>
      </w:r>
      <w:hyperlink r:id="rId532" w:history="1">
        <w:r w:rsidRPr="00930562">
          <w:rPr>
            <w:rStyle w:val="Hyperlink"/>
            <w:rFonts w:asciiTheme="minorHAnsi" w:eastAsia="Times New Roman" w:hAnsiTheme="minorHAnsi" w:cstheme="majorHAnsi"/>
            <w:color w:val="808080" w:themeColor="background1" w:themeShade="80"/>
            <w:sz w:val="16"/>
            <w:szCs w:val="16"/>
            <w:lang w:val="es-ES" w:eastAsia="es-ES"/>
          </w:rPr>
          <w:t>Informe Anual 2015, Cap</w:t>
        </w:r>
        <w:r w:rsidRPr="00930562">
          <w:rPr>
            <w:rStyle w:val="Hyperlink"/>
            <w:rFonts w:asciiTheme="minorHAnsi" w:eastAsia="Times New Roman" w:hAnsiTheme="minorHAnsi" w:cstheme="majorHAnsi"/>
            <w:color w:val="808080" w:themeColor="background1" w:themeShade="80"/>
            <w:sz w:val="16"/>
            <w:szCs w:val="16"/>
            <w:lang w:val="es-ES_tradnl" w:eastAsia="es-ES"/>
          </w:rPr>
          <w:t>ítulo IV Uso de la fuerza</w:t>
        </w:r>
      </w:hyperlink>
      <w:r w:rsidRPr="00930562">
        <w:rPr>
          <w:rFonts w:asciiTheme="minorHAnsi" w:eastAsia="Times New Roman" w:hAnsiTheme="minorHAnsi" w:cstheme="majorHAnsi"/>
          <w:color w:val="808080" w:themeColor="background1" w:themeShade="80"/>
          <w:sz w:val="16"/>
          <w:szCs w:val="16"/>
          <w:lang w:val="es-ES_tradnl" w:eastAsia="es-ES"/>
        </w:rPr>
        <w:t>, párr.</w:t>
      </w:r>
      <w:r w:rsidRPr="00930562">
        <w:rPr>
          <w:rFonts w:asciiTheme="minorHAnsi" w:hAnsiTheme="minorHAnsi" w:cstheme="majorHAnsi"/>
          <w:color w:val="808080" w:themeColor="background1" w:themeShade="80"/>
          <w:sz w:val="16"/>
          <w:szCs w:val="16"/>
          <w:lang w:val="es-ES"/>
        </w:rPr>
        <w:t xml:space="preserve">6 (citando CIDH, Informe No. 26/09, Caso 12.440, Admisibilidad y Fondo, </w:t>
      </w:r>
      <w:hyperlink r:id="rId533" w:history="1">
        <w:r w:rsidRPr="00930562">
          <w:rPr>
            <w:rStyle w:val="Hyperlink"/>
            <w:rFonts w:asciiTheme="minorHAnsi" w:hAnsiTheme="minorHAnsi" w:cstheme="majorHAnsi"/>
            <w:i/>
            <w:color w:val="808080" w:themeColor="background1" w:themeShade="80"/>
            <w:sz w:val="16"/>
            <w:szCs w:val="16"/>
            <w:lang w:val="es-ES"/>
          </w:rPr>
          <w:t>Wallace de Almeida</w:t>
        </w:r>
      </w:hyperlink>
      <w:r w:rsidRPr="00930562">
        <w:rPr>
          <w:rFonts w:asciiTheme="minorHAnsi" w:hAnsiTheme="minorHAnsi" w:cstheme="majorHAnsi"/>
          <w:color w:val="808080" w:themeColor="background1" w:themeShade="80"/>
          <w:sz w:val="16"/>
          <w:szCs w:val="16"/>
          <w:lang w:val="es-ES"/>
        </w:rPr>
        <w:t xml:space="preserve"> (Brasil), 20 de marzo de 2009, párrs. 102-103, 105; Informe No. 43/08, Fondo</w:t>
      </w:r>
      <w:r w:rsidRPr="00930562">
        <w:rPr>
          <w:rFonts w:asciiTheme="minorHAnsi" w:hAnsiTheme="minorHAnsi" w:cstheme="majorHAnsi"/>
          <w:i/>
          <w:color w:val="808080" w:themeColor="background1" w:themeShade="80"/>
          <w:sz w:val="16"/>
          <w:szCs w:val="16"/>
          <w:lang w:val="es-ES"/>
        </w:rPr>
        <w:t xml:space="preserve">, </w:t>
      </w:r>
      <w:hyperlink r:id="rId534" w:history="1">
        <w:r w:rsidRPr="00930562">
          <w:rPr>
            <w:rStyle w:val="Hyperlink"/>
            <w:rFonts w:asciiTheme="minorHAnsi" w:hAnsiTheme="minorHAnsi" w:cstheme="majorHAnsi"/>
            <w:i/>
            <w:color w:val="808080" w:themeColor="background1" w:themeShade="80"/>
            <w:sz w:val="16"/>
            <w:szCs w:val="16"/>
            <w:lang w:val="es-ES"/>
          </w:rPr>
          <w:t>Leydi Dayán Sánchez</w:t>
        </w:r>
      </w:hyperlink>
      <w:r w:rsidRPr="00930562">
        <w:rPr>
          <w:rStyle w:val="Hyperlink"/>
          <w:rFonts w:asciiTheme="minorHAnsi" w:hAnsiTheme="minorHAnsi" w:cstheme="majorHAnsi"/>
          <w:color w:val="808080" w:themeColor="background1" w:themeShade="80"/>
          <w:sz w:val="16"/>
          <w:szCs w:val="16"/>
          <w:lang w:val="es-ES"/>
        </w:rPr>
        <w:t>,</w:t>
      </w:r>
      <w:r w:rsidRPr="00930562">
        <w:rPr>
          <w:rFonts w:asciiTheme="minorHAnsi" w:hAnsiTheme="minorHAnsi" w:cstheme="majorHAnsi"/>
          <w:color w:val="808080" w:themeColor="background1" w:themeShade="80"/>
          <w:sz w:val="16"/>
          <w:szCs w:val="16"/>
          <w:lang w:val="es-ES"/>
        </w:rPr>
        <w:t xml:space="preserve"> (Colombia), 23 de julio de 2008, párrs. 51, 54-56; Informe No. 92/05, Fondo, </w:t>
      </w:r>
      <w:hyperlink r:id="rId535" w:history="1">
        <w:r w:rsidRPr="00930562">
          <w:rPr>
            <w:rStyle w:val="Hyperlink"/>
            <w:rFonts w:asciiTheme="minorHAnsi" w:hAnsiTheme="minorHAnsi" w:cstheme="majorHAnsi"/>
            <w:i/>
            <w:color w:val="808080" w:themeColor="background1" w:themeShade="80"/>
            <w:sz w:val="16"/>
            <w:szCs w:val="16"/>
            <w:lang w:val="es-ES"/>
          </w:rPr>
          <w:t>Michael Gayle</w:t>
        </w:r>
      </w:hyperlink>
      <w:r w:rsidRPr="00930562">
        <w:rPr>
          <w:rFonts w:asciiTheme="minorHAnsi" w:hAnsiTheme="minorHAnsi" w:cstheme="majorHAnsi"/>
          <w:color w:val="808080" w:themeColor="background1" w:themeShade="80"/>
          <w:sz w:val="16"/>
          <w:szCs w:val="16"/>
          <w:lang w:val="es-ES"/>
        </w:rPr>
        <w:t xml:space="preserve"> (Jamaica), </w:t>
      </w:r>
      <w:r w:rsidRPr="00930562">
        <w:rPr>
          <w:rFonts w:asciiTheme="minorHAnsi" w:hAnsiTheme="minorHAnsi" w:cstheme="majorHAnsi"/>
          <w:bCs/>
          <w:color w:val="808080" w:themeColor="background1" w:themeShade="80"/>
          <w:sz w:val="16"/>
          <w:szCs w:val="16"/>
          <w:lang w:val="es-ES"/>
        </w:rPr>
        <w:t>24 de octubre de</w:t>
      </w:r>
      <w:r w:rsidRPr="00930562">
        <w:rPr>
          <w:rFonts w:asciiTheme="minorHAnsi" w:hAnsiTheme="minorHAnsi" w:cstheme="majorHAnsi"/>
          <w:color w:val="808080" w:themeColor="background1" w:themeShade="80"/>
          <w:sz w:val="16"/>
          <w:szCs w:val="16"/>
          <w:lang w:val="es-ES"/>
        </w:rPr>
        <w:t xml:space="preserve"> 2005, párrs. </w:t>
      </w:r>
      <w:r w:rsidRPr="00930562">
        <w:rPr>
          <w:rFonts w:asciiTheme="minorHAnsi" w:hAnsiTheme="minorHAnsi" w:cstheme="majorHAnsi"/>
          <w:color w:val="808080" w:themeColor="background1" w:themeShade="80"/>
          <w:sz w:val="16"/>
          <w:szCs w:val="16"/>
          <w:lang w:val="es-MX"/>
        </w:rPr>
        <w:t>61-64).</w:t>
      </w:r>
    </w:p>
  </w:footnote>
  <w:footnote w:id="450">
    <w:p w14:paraId="450FFC6A"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eastAsia="Times New Roman" w:hAnsiTheme="minorHAnsi" w:cstheme="majorHAnsi"/>
          <w:color w:val="808080" w:themeColor="background1" w:themeShade="80"/>
          <w:sz w:val="16"/>
          <w:szCs w:val="16"/>
          <w:lang w:val="es-ES" w:eastAsia="es-ES"/>
        </w:rPr>
        <w:t xml:space="preserve">CIDH, </w:t>
      </w:r>
      <w:hyperlink r:id="rId536" w:history="1">
        <w:r w:rsidRPr="00930562">
          <w:rPr>
            <w:rStyle w:val="Hyperlink"/>
            <w:rFonts w:asciiTheme="minorHAnsi" w:eastAsia="Times New Roman" w:hAnsiTheme="minorHAnsi" w:cstheme="majorHAnsi"/>
            <w:color w:val="808080" w:themeColor="background1" w:themeShade="80"/>
            <w:sz w:val="16"/>
            <w:szCs w:val="16"/>
            <w:lang w:val="es-ES" w:eastAsia="es-ES"/>
          </w:rPr>
          <w:t>Informe Anual 2015, Cap</w:t>
        </w:r>
        <w:r w:rsidRPr="00930562">
          <w:rPr>
            <w:rStyle w:val="Hyperlink"/>
            <w:rFonts w:asciiTheme="minorHAnsi" w:eastAsia="Times New Roman" w:hAnsiTheme="minorHAnsi" w:cstheme="majorHAnsi"/>
            <w:color w:val="808080" w:themeColor="background1" w:themeShade="80"/>
            <w:sz w:val="16"/>
            <w:szCs w:val="16"/>
            <w:lang w:val="es-ES_tradnl" w:eastAsia="es-ES"/>
          </w:rPr>
          <w:t>ítulo IV Uso de la fuerza</w:t>
        </w:r>
      </w:hyperlink>
      <w:r w:rsidRPr="00930562">
        <w:rPr>
          <w:rFonts w:asciiTheme="minorHAnsi" w:eastAsia="Times New Roman" w:hAnsiTheme="minorHAnsi" w:cstheme="majorHAnsi"/>
          <w:color w:val="808080" w:themeColor="background1" w:themeShade="80"/>
          <w:sz w:val="16"/>
          <w:szCs w:val="16"/>
          <w:lang w:val="es-ES_tradnl" w:eastAsia="es-ES"/>
        </w:rPr>
        <w:t xml:space="preserve">, párrs. </w:t>
      </w:r>
      <w:r w:rsidRPr="00930562">
        <w:rPr>
          <w:rFonts w:asciiTheme="minorHAnsi" w:hAnsiTheme="minorHAnsi" w:cstheme="majorHAnsi"/>
          <w:color w:val="808080" w:themeColor="background1" w:themeShade="80"/>
          <w:sz w:val="16"/>
          <w:szCs w:val="16"/>
          <w:lang w:val="es-ES"/>
        </w:rPr>
        <w:t xml:space="preserve">7-9; </w:t>
      </w:r>
      <w:hyperlink r:id="rId537" w:history="1">
        <w:r w:rsidRPr="00930562">
          <w:rPr>
            <w:rStyle w:val="Hyperlink"/>
            <w:rFonts w:asciiTheme="minorHAnsi" w:hAnsiTheme="minorHAnsi" w:cstheme="majorHAnsi"/>
            <w:color w:val="808080" w:themeColor="background1" w:themeShade="80"/>
            <w:sz w:val="16"/>
            <w:szCs w:val="16"/>
            <w:lang w:val="es-ES"/>
          </w:rPr>
          <w:t xml:space="preserve">Informe sobre Terrorismo y Derechos </w:t>
        </w:r>
        <w:proofErr w:type="gramStart"/>
        <w:r w:rsidRPr="00930562">
          <w:rPr>
            <w:rStyle w:val="Hyperlink"/>
            <w:rFonts w:asciiTheme="minorHAnsi" w:hAnsiTheme="minorHAnsi" w:cstheme="majorHAnsi"/>
            <w:color w:val="808080" w:themeColor="background1" w:themeShade="80"/>
            <w:sz w:val="16"/>
            <w:szCs w:val="16"/>
            <w:lang w:val="es-ES"/>
          </w:rPr>
          <w:t xml:space="preserve">Humanos </w:t>
        </w:r>
        <w:proofErr w:type="gramEnd"/>
      </w:hyperlink>
      <w:r w:rsidRPr="00930562">
        <w:rPr>
          <w:rFonts w:asciiTheme="minorHAnsi" w:hAnsiTheme="minorHAnsi" w:cstheme="majorHAnsi"/>
          <w:color w:val="808080" w:themeColor="background1" w:themeShade="80"/>
          <w:sz w:val="16"/>
          <w:szCs w:val="16"/>
          <w:lang w:val="es-ES"/>
        </w:rPr>
        <w:t xml:space="preserve">, OEA/Ser.L./V/II.116, Doc. 5, rev. 1 corr., 22 (2002), párr. 87; </w:t>
      </w:r>
      <w:hyperlink r:id="rId538" w:history="1">
        <w:r w:rsidRPr="00930562">
          <w:rPr>
            <w:rStyle w:val="Hyperlink"/>
            <w:rFonts w:asciiTheme="minorHAnsi" w:hAnsiTheme="minorHAnsi"/>
            <w:color w:val="808080" w:themeColor="background1" w:themeShade="80"/>
            <w:sz w:val="16"/>
            <w:szCs w:val="16"/>
            <w:lang w:val="es-VE"/>
          </w:rPr>
          <w:t>Informe sobre Seguridad Ciudadana y Derechos Humanos</w:t>
        </w:r>
      </w:hyperlink>
      <w:r w:rsidRPr="00930562">
        <w:rPr>
          <w:rFonts w:asciiTheme="minorHAnsi" w:hAnsiTheme="minorHAnsi"/>
          <w:color w:val="808080" w:themeColor="background1" w:themeShade="80"/>
          <w:sz w:val="16"/>
          <w:szCs w:val="16"/>
          <w:lang w:val="es-VE"/>
        </w:rPr>
        <w:t xml:space="preserve"> (2009), párr. </w:t>
      </w:r>
      <w:r w:rsidRPr="00930562">
        <w:rPr>
          <w:rFonts w:asciiTheme="minorHAnsi" w:hAnsiTheme="minorHAnsi" w:cstheme="majorHAnsi"/>
          <w:color w:val="808080" w:themeColor="background1" w:themeShade="80"/>
          <w:sz w:val="16"/>
          <w:szCs w:val="16"/>
          <w:lang w:val="es-ES"/>
        </w:rPr>
        <w:t xml:space="preserve">114; CIDH, Oficina del Relator Especial para la Libertad de Expresión, </w:t>
      </w:r>
      <w:hyperlink r:id="rId539" w:history="1">
        <w:r w:rsidRPr="00930562">
          <w:rPr>
            <w:rStyle w:val="Hyperlink"/>
            <w:rFonts w:asciiTheme="minorHAnsi" w:hAnsiTheme="minorHAnsi" w:cstheme="majorHAnsi"/>
            <w:color w:val="808080" w:themeColor="background1" w:themeShade="80"/>
            <w:sz w:val="16"/>
            <w:szCs w:val="16"/>
            <w:lang w:val="es-ES"/>
          </w:rPr>
          <w:t>Informe Anual de la Relatoría para la Libertad de Expresión</w:t>
        </w:r>
      </w:hyperlink>
      <w:r w:rsidRPr="00930562">
        <w:rPr>
          <w:rFonts w:asciiTheme="minorHAnsi" w:hAnsiTheme="minorHAnsi" w:cstheme="majorHAnsi"/>
          <w:i/>
          <w:color w:val="808080" w:themeColor="background1" w:themeShade="80"/>
          <w:sz w:val="16"/>
          <w:szCs w:val="16"/>
          <w:lang w:val="es-ES"/>
        </w:rPr>
        <w:t>,</w:t>
      </w:r>
      <w:r w:rsidRPr="00930562">
        <w:rPr>
          <w:rFonts w:asciiTheme="minorHAnsi" w:hAnsiTheme="minorHAnsi" w:cstheme="majorHAnsi"/>
          <w:color w:val="808080" w:themeColor="background1" w:themeShade="80"/>
          <w:sz w:val="16"/>
          <w:szCs w:val="16"/>
          <w:lang w:val="es-ES"/>
        </w:rPr>
        <w:t xml:space="preserve"> OEA/Ser.L/V/II.Doc. 48/15, 31 de diciembre 2015, párr. 621.</w:t>
      </w:r>
    </w:p>
  </w:footnote>
  <w:footnote w:id="451">
    <w:p w14:paraId="11534EB8"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eastAsia="Times New Roman" w:hAnsiTheme="minorHAnsi" w:cstheme="majorHAnsi"/>
          <w:color w:val="808080" w:themeColor="background1" w:themeShade="80"/>
          <w:sz w:val="16"/>
          <w:szCs w:val="16"/>
          <w:lang w:val="es-ES" w:eastAsia="es-ES"/>
        </w:rPr>
        <w:t xml:space="preserve">CIDH, </w:t>
      </w:r>
      <w:hyperlink r:id="rId540" w:history="1">
        <w:r w:rsidRPr="00930562">
          <w:rPr>
            <w:rStyle w:val="Hyperlink"/>
            <w:rFonts w:asciiTheme="minorHAnsi" w:eastAsia="Times New Roman" w:hAnsiTheme="minorHAnsi" w:cstheme="majorHAnsi"/>
            <w:color w:val="808080" w:themeColor="background1" w:themeShade="80"/>
            <w:sz w:val="16"/>
            <w:szCs w:val="16"/>
            <w:lang w:val="es-ES" w:eastAsia="es-ES"/>
          </w:rPr>
          <w:t>La situación</w:t>
        </w:r>
        <w:r w:rsidRPr="00930562">
          <w:rPr>
            <w:rStyle w:val="Hyperlink"/>
            <w:rFonts w:asciiTheme="minorHAnsi" w:eastAsia="Times New Roman" w:hAnsiTheme="minorHAnsi" w:cstheme="majorHAnsi"/>
            <w:color w:val="808080" w:themeColor="background1" w:themeShade="80"/>
            <w:sz w:val="16"/>
            <w:szCs w:val="16"/>
            <w:lang w:val="es-ES_tradnl" w:eastAsia="es-ES"/>
          </w:rPr>
          <w:t xml:space="preserve"> de las personas afrodescendientes en las Américas</w:t>
        </w:r>
      </w:hyperlink>
      <w:r w:rsidRPr="00930562">
        <w:rPr>
          <w:rFonts w:asciiTheme="minorHAnsi" w:eastAsia="Times New Roman" w:hAnsiTheme="minorHAnsi" w:cstheme="majorHAnsi"/>
          <w:color w:val="808080" w:themeColor="background1" w:themeShade="80"/>
          <w:sz w:val="16"/>
          <w:szCs w:val="16"/>
          <w:lang w:val="es-ES_tradnl" w:eastAsia="es-ES"/>
        </w:rPr>
        <w:t xml:space="preserve"> (2011), párr. 163. </w:t>
      </w:r>
    </w:p>
  </w:footnote>
  <w:footnote w:id="452">
    <w:p w14:paraId="43FFA503" w14:textId="77777777" w:rsidR="00F64540" w:rsidRPr="00930562" w:rsidRDefault="00F64540" w:rsidP="00E10935">
      <w:pPr>
        <w:pStyle w:val="FootnoteText"/>
        <w:spacing w:after="40"/>
        <w:ind w:left="547" w:hanging="547"/>
        <w:jc w:val="both"/>
        <w:rPr>
          <w:rFonts w:asciiTheme="minorHAnsi" w:eastAsia="Times New Roman" w:hAnsiTheme="minorHAnsi" w:cstheme="majorHAnsi"/>
          <w:color w:val="808080" w:themeColor="background1" w:themeShade="80"/>
          <w:sz w:val="16"/>
          <w:szCs w:val="16"/>
          <w:lang w:val="es-ES" w:eastAsia="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eastAsia="Times New Roman" w:hAnsiTheme="minorHAnsi" w:cstheme="majorHAnsi"/>
          <w:color w:val="808080" w:themeColor="background1" w:themeShade="80"/>
          <w:sz w:val="16"/>
          <w:szCs w:val="16"/>
          <w:lang w:val="es-ES" w:eastAsia="es-ES"/>
        </w:rPr>
        <w:t xml:space="preserve">ONU, </w:t>
      </w:r>
      <w:hyperlink r:id="rId541" w:history="1">
        <w:r w:rsidRPr="00930562">
          <w:rPr>
            <w:rStyle w:val="Hyperlink"/>
            <w:rFonts w:asciiTheme="minorHAnsi" w:eastAsia="Times New Roman" w:hAnsiTheme="minorHAnsi" w:cstheme="majorHAnsi"/>
            <w:color w:val="808080" w:themeColor="background1" w:themeShade="80"/>
            <w:sz w:val="16"/>
            <w:szCs w:val="16"/>
            <w:lang w:val="es-ES" w:eastAsia="es-ES"/>
          </w:rPr>
          <w:t>Código de conducta para funcionarios encargados de hacer cumplir la ley</w:t>
        </w:r>
      </w:hyperlink>
      <w:r w:rsidRPr="00930562">
        <w:rPr>
          <w:rFonts w:asciiTheme="minorHAnsi" w:eastAsia="Times New Roman" w:hAnsiTheme="minorHAnsi" w:cstheme="majorHAnsi"/>
          <w:color w:val="808080" w:themeColor="background1" w:themeShade="80"/>
          <w:sz w:val="16"/>
          <w:szCs w:val="16"/>
          <w:lang w:val="es-ES" w:eastAsia="es-ES"/>
        </w:rPr>
        <w:t xml:space="preserve"> [en adelande “C</w:t>
      </w:r>
      <w:r w:rsidRPr="00930562">
        <w:rPr>
          <w:rFonts w:asciiTheme="minorHAnsi" w:eastAsia="Times New Roman" w:hAnsiTheme="minorHAnsi" w:cstheme="majorHAnsi"/>
          <w:color w:val="808080" w:themeColor="background1" w:themeShade="80"/>
          <w:sz w:val="16"/>
          <w:szCs w:val="16"/>
          <w:lang w:val="es-ES_tradnl" w:eastAsia="es-ES"/>
        </w:rPr>
        <w:t>ódigo de conducta de la ONU”</w:t>
      </w:r>
      <w:r w:rsidRPr="00930562">
        <w:rPr>
          <w:rFonts w:asciiTheme="minorHAnsi" w:eastAsia="Times New Roman" w:hAnsiTheme="minorHAnsi" w:cstheme="majorHAnsi"/>
          <w:color w:val="808080" w:themeColor="background1" w:themeShade="80"/>
          <w:sz w:val="16"/>
          <w:szCs w:val="16"/>
          <w:lang w:val="es-ES" w:eastAsia="es-ES"/>
        </w:rPr>
        <w:t xml:space="preserve">] adoptado por la Asamblea General en su resolución 34/169, de 17 de diciembre de 1979; ONU, </w:t>
      </w:r>
      <w:hyperlink r:id="rId542" w:history="1">
        <w:r w:rsidRPr="00930562">
          <w:rPr>
            <w:rStyle w:val="Hyperlink"/>
            <w:rFonts w:asciiTheme="minorHAnsi" w:eastAsia="Times New Roman" w:hAnsiTheme="minorHAnsi" w:cstheme="majorHAnsi"/>
            <w:color w:val="808080" w:themeColor="background1" w:themeShade="80"/>
            <w:sz w:val="16"/>
            <w:szCs w:val="16"/>
            <w:lang w:val="es-ES" w:eastAsia="es-ES"/>
          </w:rPr>
          <w:t>Principios Básicos sobre el Empleo de la Fuerza y de Armas de Fuego por los Funcionarios Encargados de Hacer Cumplir la Ley</w:t>
        </w:r>
      </w:hyperlink>
      <w:r w:rsidRPr="00930562">
        <w:rPr>
          <w:rFonts w:asciiTheme="minorHAnsi" w:eastAsia="Times New Roman" w:hAnsiTheme="minorHAnsi" w:cstheme="majorHAnsi"/>
          <w:color w:val="808080" w:themeColor="background1" w:themeShade="80"/>
          <w:sz w:val="16"/>
          <w:szCs w:val="16"/>
          <w:lang w:val="es-ES" w:eastAsia="es-ES"/>
        </w:rPr>
        <w:t xml:space="preserve"> [en adelante “Principios Básicos de la ONU sobre empleo de la fuerza”] adoptados por el Octavo Congreso de las Naciones Unidas sobre Prevención del Delito y Tratamiento del Delincuente, celebrado en La Habana (Cuba) del 27 de agosto al 7 de septiembre de 1990.</w:t>
      </w:r>
    </w:p>
  </w:footnote>
  <w:footnote w:id="453">
    <w:p w14:paraId="416A3876"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_tradnl"/>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eastAsia="Times New Roman" w:hAnsiTheme="minorHAnsi" w:cstheme="majorHAnsi"/>
          <w:color w:val="808080" w:themeColor="background1" w:themeShade="80"/>
          <w:sz w:val="16"/>
          <w:szCs w:val="16"/>
          <w:lang w:val="es-ES" w:eastAsia="es-ES"/>
        </w:rPr>
        <w:t xml:space="preserve">ONU, </w:t>
      </w:r>
      <w:hyperlink r:id="rId543" w:history="1">
        <w:r w:rsidRPr="00930562">
          <w:rPr>
            <w:rStyle w:val="Hyperlink"/>
            <w:rFonts w:asciiTheme="minorHAnsi" w:eastAsia="Times New Roman" w:hAnsiTheme="minorHAnsi" w:cstheme="majorHAnsi"/>
            <w:color w:val="808080" w:themeColor="background1" w:themeShade="80"/>
            <w:sz w:val="16"/>
            <w:szCs w:val="16"/>
            <w:lang w:val="es-ES" w:eastAsia="es-ES"/>
          </w:rPr>
          <w:t>Principios Básicos de la ONU sobre empleo de la fuerza</w:t>
        </w:r>
      </w:hyperlink>
      <w:r w:rsidRPr="00930562">
        <w:rPr>
          <w:rFonts w:asciiTheme="minorHAnsi" w:eastAsia="Times New Roman" w:hAnsiTheme="minorHAnsi" w:cstheme="majorHAnsi"/>
          <w:color w:val="808080" w:themeColor="background1" w:themeShade="80"/>
          <w:sz w:val="16"/>
          <w:szCs w:val="16"/>
          <w:lang w:val="es-ES" w:eastAsia="es-ES"/>
        </w:rPr>
        <w:t xml:space="preserve">, No 9 (citado en CIDH, </w:t>
      </w:r>
      <w:hyperlink r:id="rId544" w:history="1">
        <w:r w:rsidRPr="00930562">
          <w:rPr>
            <w:rStyle w:val="Hyperlink"/>
            <w:rFonts w:asciiTheme="minorHAnsi" w:eastAsia="Times New Roman" w:hAnsiTheme="minorHAnsi" w:cstheme="majorHAnsi"/>
            <w:color w:val="808080" w:themeColor="background1" w:themeShade="80"/>
            <w:sz w:val="16"/>
            <w:szCs w:val="16"/>
            <w:lang w:val="es-ES" w:eastAsia="es-ES"/>
          </w:rPr>
          <w:t>Informe Anual 2015, Cap</w:t>
        </w:r>
        <w:r w:rsidRPr="00930562">
          <w:rPr>
            <w:rStyle w:val="Hyperlink"/>
            <w:rFonts w:asciiTheme="minorHAnsi" w:eastAsia="Times New Roman" w:hAnsiTheme="minorHAnsi" w:cstheme="majorHAnsi"/>
            <w:color w:val="808080" w:themeColor="background1" w:themeShade="80"/>
            <w:sz w:val="16"/>
            <w:szCs w:val="16"/>
            <w:lang w:val="es-ES_tradnl" w:eastAsia="es-ES"/>
          </w:rPr>
          <w:t>ítulo IV Uso de la fuerza</w:t>
        </w:r>
      </w:hyperlink>
      <w:r w:rsidRPr="00930562">
        <w:rPr>
          <w:rFonts w:asciiTheme="minorHAnsi" w:eastAsia="Times New Roman" w:hAnsiTheme="minorHAnsi" w:cstheme="majorHAnsi"/>
          <w:color w:val="808080" w:themeColor="background1" w:themeShade="80"/>
          <w:sz w:val="16"/>
          <w:szCs w:val="16"/>
          <w:lang w:val="es-ES_tradnl" w:eastAsia="es-ES"/>
        </w:rPr>
        <w:t xml:space="preserve">, párr. 7). </w:t>
      </w:r>
    </w:p>
  </w:footnote>
  <w:footnote w:id="454">
    <w:p w14:paraId="2304CE93"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eastAsia="Times New Roman" w:hAnsiTheme="minorHAnsi" w:cstheme="majorHAnsi"/>
          <w:color w:val="808080" w:themeColor="background1" w:themeShade="80"/>
          <w:sz w:val="16"/>
          <w:szCs w:val="16"/>
          <w:lang w:val="es-ES" w:eastAsia="es-ES"/>
        </w:rPr>
        <w:t xml:space="preserve">CIDH, </w:t>
      </w:r>
      <w:hyperlink r:id="rId545" w:history="1">
        <w:r w:rsidRPr="00930562">
          <w:rPr>
            <w:rStyle w:val="Hyperlink"/>
            <w:rFonts w:asciiTheme="minorHAnsi" w:eastAsia="Times New Roman" w:hAnsiTheme="minorHAnsi" w:cstheme="majorHAnsi"/>
            <w:color w:val="808080" w:themeColor="background1" w:themeShade="80"/>
            <w:sz w:val="16"/>
            <w:szCs w:val="16"/>
            <w:lang w:val="es-ES" w:eastAsia="es-ES"/>
          </w:rPr>
          <w:t>Informe Anual 2015, Cap</w:t>
        </w:r>
        <w:r w:rsidRPr="00930562">
          <w:rPr>
            <w:rStyle w:val="Hyperlink"/>
            <w:rFonts w:asciiTheme="minorHAnsi" w:eastAsia="Times New Roman" w:hAnsiTheme="minorHAnsi" w:cstheme="majorHAnsi"/>
            <w:color w:val="808080" w:themeColor="background1" w:themeShade="80"/>
            <w:sz w:val="16"/>
            <w:szCs w:val="16"/>
            <w:lang w:val="es-ES_tradnl" w:eastAsia="es-ES"/>
          </w:rPr>
          <w:t>ítulo IV Uso de la fuerza</w:t>
        </w:r>
      </w:hyperlink>
      <w:r w:rsidRPr="00930562">
        <w:rPr>
          <w:rFonts w:asciiTheme="minorHAnsi" w:eastAsia="Times New Roman" w:hAnsiTheme="minorHAnsi" w:cstheme="majorHAnsi"/>
          <w:color w:val="808080" w:themeColor="background1" w:themeShade="80"/>
          <w:sz w:val="16"/>
          <w:szCs w:val="16"/>
          <w:lang w:val="es-ES_tradnl" w:eastAsia="es-ES"/>
        </w:rPr>
        <w:t xml:space="preserve">, párr. </w:t>
      </w:r>
      <w:r w:rsidRPr="00930562">
        <w:rPr>
          <w:rFonts w:asciiTheme="minorHAnsi" w:hAnsiTheme="minorHAnsi" w:cstheme="majorHAnsi"/>
          <w:color w:val="808080" w:themeColor="background1" w:themeShade="80"/>
          <w:sz w:val="16"/>
          <w:szCs w:val="16"/>
          <w:lang w:val="es-ES"/>
        </w:rPr>
        <w:t xml:space="preserve">9 (citando </w:t>
      </w:r>
      <w:r w:rsidRPr="00930562">
        <w:rPr>
          <w:rFonts w:asciiTheme="minorHAnsi" w:eastAsia="Times New Roman" w:hAnsiTheme="minorHAnsi" w:cstheme="majorHAnsi"/>
          <w:color w:val="808080" w:themeColor="background1" w:themeShade="80"/>
          <w:sz w:val="16"/>
          <w:szCs w:val="16"/>
          <w:lang w:val="es-ES" w:eastAsia="es-ES"/>
        </w:rPr>
        <w:t xml:space="preserve">ONU, </w:t>
      </w:r>
      <w:hyperlink r:id="rId546" w:history="1">
        <w:r w:rsidRPr="00930562">
          <w:rPr>
            <w:rStyle w:val="Hyperlink"/>
            <w:rFonts w:asciiTheme="minorHAnsi" w:eastAsia="Times New Roman" w:hAnsiTheme="minorHAnsi" w:cstheme="majorHAnsi"/>
            <w:color w:val="808080" w:themeColor="background1" w:themeShade="80"/>
            <w:sz w:val="16"/>
            <w:szCs w:val="16"/>
            <w:lang w:val="es-ES" w:eastAsia="es-ES"/>
          </w:rPr>
          <w:t>Principios Básicos de la ONU sobre empleo de la fuerza</w:t>
        </w:r>
      </w:hyperlink>
      <w:r w:rsidRPr="00930562">
        <w:rPr>
          <w:rFonts w:asciiTheme="minorHAnsi" w:eastAsia="Times New Roman" w:hAnsiTheme="minorHAnsi" w:cstheme="majorHAnsi"/>
          <w:color w:val="808080" w:themeColor="background1" w:themeShade="80"/>
          <w:sz w:val="16"/>
          <w:szCs w:val="16"/>
          <w:lang w:val="es-ES" w:eastAsia="es-ES"/>
        </w:rPr>
        <w:t xml:space="preserve">, </w:t>
      </w:r>
      <w:r w:rsidRPr="00930562">
        <w:rPr>
          <w:rFonts w:asciiTheme="minorHAnsi" w:hAnsiTheme="minorHAnsi" w:cstheme="majorHAnsi"/>
          <w:color w:val="808080" w:themeColor="background1" w:themeShade="80"/>
          <w:sz w:val="16"/>
          <w:szCs w:val="16"/>
          <w:lang w:val="es-ES"/>
        </w:rPr>
        <w:t>No. 20).</w:t>
      </w:r>
      <w:r w:rsidRPr="00930562">
        <w:rPr>
          <w:rFonts w:asciiTheme="minorHAnsi" w:eastAsia="Times New Roman" w:hAnsiTheme="minorHAnsi" w:cstheme="majorHAnsi"/>
          <w:color w:val="808080" w:themeColor="background1" w:themeShade="80"/>
          <w:sz w:val="16"/>
          <w:szCs w:val="16"/>
          <w:lang w:val="es-ES" w:eastAsia="es-ES"/>
        </w:rPr>
        <w:t xml:space="preserve">  </w:t>
      </w:r>
      <w:r w:rsidRPr="00930562">
        <w:rPr>
          <w:rFonts w:asciiTheme="minorHAnsi" w:eastAsia="Times New Roman" w:hAnsiTheme="minorHAnsi" w:cstheme="majorHAnsi"/>
          <w:i/>
          <w:color w:val="808080" w:themeColor="background1" w:themeShade="80"/>
          <w:sz w:val="16"/>
          <w:szCs w:val="16"/>
          <w:lang w:val="es-ES" w:eastAsia="es-ES"/>
        </w:rPr>
        <w:t>Ver también</w:t>
      </w:r>
      <w:r w:rsidRPr="00930562">
        <w:rPr>
          <w:rFonts w:asciiTheme="minorHAnsi" w:eastAsia="Times New Roman" w:hAnsiTheme="minorHAnsi" w:cstheme="majorHAnsi"/>
          <w:color w:val="808080" w:themeColor="background1" w:themeShade="80"/>
          <w:sz w:val="16"/>
          <w:szCs w:val="16"/>
          <w:lang w:val="es-ES" w:eastAsia="es-ES"/>
        </w:rPr>
        <w:t xml:space="preserve"> CIDH, </w:t>
      </w:r>
      <w:hyperlink r:id="rId547" w:history="1">
        <w:r w:rsidRPr="00930562">
          <w:rPr>
            <w:rStyle w:val="Hyperlink"/>
            <w:rFonts w:asciiTheme="minorHAnsi" w:eastAsia="Times New Roman" w:hAnsiTheme="minorHAnsi" w:cstheme="majorHAnsi"/>
            <w:color w:val="808080" w:themeColor="background1" w:themeShade="80"/>
            <w:sz w:val="16"/>
            <w:szCs w:val="16"/>
            <w:lang w:val="es-ES" w:eastAsia="es-ES"/>
          </w:rPr>
          <w:t>La situación</w:t>
        </w:r>
        <w:r w:rsidRPr="00930562">
          <w:rPr>
            <w:rStyle w:val="Hyperlink"/>
            <w:rFonts w:asciiTheme="minorHAnsi" w:eastAsia="Times New Roman" w:hAnsiTheme="minorHAnsi" w:cstheme="majorHAnsi"/>
            <w:color w:val="808080" w:themeColor="background1" w:themeShade="80"/>
            <w:sz w:val="16"/>
            <w:szCs w:val="16"/>
            <w:lang w:val="es-ES_tradnl" w:eastAsia="es-ES"/>
          </w:rPr>
          <w:t xml:space="preserve"> de las personas afrodescendientes en las Américas</w:t>
        </w:r>
      </w:hyperlink>
      <w:r w:rsidRPr="00930562">
        <w:rPr>
          <w:rFonts w:asciiTheme="minorHAnsi" w:eastAsia="Times New Roman" w:hAnsiTheme="minorHAnsi" w:cstheme="majorHAnsi"/>
          <w:color w:val="808080" w:themeColor="background1" w:themeShade="80"/>
          <w:sz w:val="16"/>
          <w:szCs w:val="16"/>
          <w:lang w:val="es-ES_tradnl" w:eastAsia="es-ES"/>
        </w:rPr>
        <w:t xml:space="preserve"> (2011), párr. </w:t>
      </w:r>
      <w:r w:rsidRPr="00930562">
        <w:rPr>
          <w:rFonts w:asciiTheme="minorHAnsi" w:hAnsiTheme="minorHAnsi" w:cstheme="majorHAnsi"/>
          <w:color w:val="808080" w:themeColor="background1" w:themeShade="80"/>
          <w:sz w:val="16"/>
          <w:szCs w:val="16"/>
          <w:lang w:val="es-ES"/>
        </w:rPr>
        <w:t>178.</w:t>
      </w:r>
    </w:p>
  </w:footnote>
  <w:footnote w:id="455">
    <w:p w14:paraId="0A75B0BA" w14:textId="44FF325E"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eastAsia="Times New Roman" w:hAnsiTheme="minorHAnsi" w:cstheme="majorHAnsi"/>
          <w:color w:val="808080" w:themeColor="background1" w:themeShade="80"/>
          <w:sz w:val="16"/>
          <w:szCs w:val="16"/>
          <w:lang w:val="es-ES" w:eastAsia="es-ES"/>
        </w:rPr>
        <w:t xml:space="preserve">CIDH, </w:t>
      </w:r>
      <w:hyperlink r:id="rId548" w:history="1">
        <w:r w:rsidRPr="00930562">
          <w:rPr>
            <w:rStyle w:val="Hyperlink"/>
            <w:rFonts w:asciiTheme="minorHAnsi" w:eastAsia="Times New Roman" w:hAnsiTheme="minorHAnsi" w:cstheme="majorHAnsi"/>
            <w:color w:val="808080" w:themeColor="background1" w:themeShade="80"/>
            <w:sz w:val="16"/>
            <w:szCs w:val="16"/>
            <w:lang w:val="es-ES" w:eastAsia="es-ES"/>
          </w:rPr>
          <w:t>Informe Anual 2015, Cap</w:t>
        </w:r>
        <w:r w:rsidRPr="00930562">
          <w:rPr>
            <w:rStyle w:val="Hyperlink"/>
            <w:rFonts w:asciiTheme="minorHAnsi" w:eastAsia="Times New Roman" w:hAnsiTheme="minorHAnsi" w:cstheme="majorHAnsi"/>
            <w:color w:val="808080" w:themeColor="background1" w:themeShade="80"/>
            <w:sz w:val="16"/>
            <w:szCs w:val="16"/>
            <w:lang w:val="es-ES_tradnl" w:eastAsia="es-ES"/>
          </w:rPr>
          <w:t>ítulo IV Uso de la fuerza</w:t>
        </w:r>
      </w:hyperlink>
      <w:r w:rsidRPr="00930562">
        <w:rPr>
          <w:rFonts w:asciiTheme="minorHAnsi" w:eastAsia="Times New Roman" w:hAnsiTheme="minorHAnsi" w:cstheme="majorHAnsi"/>
          <w:color w:val="808080" w:themeColor="background1" w:themeShade="80"/>
          <w:sz w:val="16"/>
          <w:szCs w:val="16"/>
          <w:lang w:val="es-ES_tradnl" w:eastAsia="es-ES"/>
        </w:rPr>
        <w:t xml:space="preserve">, párr. </w:t>
      </w:r>
      <w:r w:rsidRPr="00930562">
        <w:rPr>
          <w:rFonts w:asciiTheme="minorHAnsi" w:hAnsiTheme="minorHAnsi" w:cstheme="majorHAnsi"/>
          <w:color w:val="808080" w:themeColor="background1" w:themeShade="80"/>
          <w:sz w:val="16"/>
          <w:szCs w:val="16"/>
          <w:lang w:val="es-ES"/>
        </w:rPr>
        <w:t xml:space="preserve">9 (citando Informe del Relator Especial sobre las ejecuciones extrajudiciales, sumarias o arbitrarias, Christof Heyns, A/HRC/26/36, 1 de abril de 2014, </w:t>
      </w:r>
      <w:r>
        <w:rPr>
          <w:rFonts w:asciiTheme="minorHAnsi" w:hAnsiTheme="minorHAnsi" w:cstheme="majorHAnsi"/>
          <w:color w:val="808080" w:themeColor="background1" w:themeShade="80"/>
          <w:sz w:val="16"/>
          <w:szCs w:val="16"/>
          <w:lang w:val="es-ES"/>
        </w:rPr>
        <w:br/>
      </w:r>
      <w:r w:rsidRPr="00930562">
        <w:rPr>
          <w:rFonts w:asciiTheme="minorHAnsi" w:hAnsiTheme="minorHAnsi" w:cstheme="majorHAnsi"/>
          <w:color w:val="808080" w:themeColor="background1" w:themeShade="80"/>
          <w:sz w:val="16"/>
          <w:szCs w:val="16"/>
          <w:lang w:val="es-ES"/>
        </w:rPr>
        <w:t>párr. 29.</w:t>
      </w:r>
    </w:p>
  </w:footnote>
  <w:footnote w:id="456">
    <w:p w14:paraId="60098272"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_tradnl"/>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Corte IDH. </w:t>
      </w:r>
      <w:r w:rsidRPr="00930562">
        <w:rPr>
          <w:rFonts w:asciiTheme="minorHAnsi" w:hAnsiTheme="minorHAnsi" w:cstheme="majorHAnsi"/>
          <w:i/>
          <w:color w:val="808080" w:themeColor="background1" w:themeShade="80"/>
          <w:sz w:val="16"/>
          <w:szCs w:val="16"/>
          <w:lang w:val="es-ES"/>
        </w:rPr>
        <w:t>Caso Nadege Dorzema y otros vs. República Dominicana</w:t>
      </w:r>
      <w:r w:rsidRPr="00930562">
        <w:rPr>
          <w:rFonts w:asciiTheme="minorHAnsi" w:hAnsiTheme="minorHAnsi" w:cstheme="majorHAnsi"/>
          <w:color w:val="808080" w:themeColor="background1" w:themeShade="80"/>
          <w:sz w:val="16"/>
          <w:szCs w:val="16"/>
          <w:lang w:val="es-ES"/>
        </w:rPr>
        <w:t>. Fondo Reparaciones y Costas. Sentencia de 24 de octubre de 2012. Serie C No. 251, párr.</w:t>
      </w:r>
      <w:r w:rsidRPr="00930562">
        <w:rPr>
          <w:rFonts w:asciiTheme="minorHAnsi" w:hAnsiTheme="minorHAnsi" w:cstheme="majorHAnsi"/>
          <w:color w:val="808080" w:themeColor="background1" w:themeShade="80"/>
          <w:sz w:val="16"/>
          <w:szCs w:val="16"/>
          <w:lang w:val="es-ES_tradnl"/>
        </w:rPr>
        <w:t xml:space="preserve"> 80 (cita omitida). </w:t>
      </w:r>
    </w:p>
  </w:footnote>
  <w:footnote w:id="457">
    <w:p w14:paraId="67DE3610"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Id. </w:t>
      </w:r>
    </w:p>
  </w:footnote>
  <w:footnote w:id="458">
    <w:p w14:paraId="52CCFE2B"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eastAsia="Times New Roman" w:hAnsiTheme="minorHAnsi" w:cstheme="majorHAnsi"/>
          <w:color w:val="808080" w:themeColor="background1" w:themeShade="80"/>
          <w:sz w:val="16"/>
          <w:szCs w:val="16"/>
          <w:lang w:val="es-ES" w:eastAsia="es-ES"/>
        </w:rPr>
        <w:t xml:space="preserve">CIDH, </w:t>
      </w:r>
      <w:hyperlink r:id="rId549" w:history="1">
        <w:r w:rsidRPr="00930562">
          <w:rPr>
            <w:rStyle w:val="Hyperlink"/>
            <w:rFonts w:asciiTheme="minorHAnsi" w:eastAsia="Times New Roman" w:hAnsiTheme="minorHAnsi" w:cstheme="majorHAnsi"/>
            <w:color w:val="808080" w:themeColor="background1" w:themeShade="80"/>
            <w:sz w:val="16"/>
            <w:szCs w:val="16"/>
            <w:lang w:val="es-ES" w:eastAsia="es-ES"/>
          </w:rPr>
          <w:t>Informe Anual 2015, Cap</w:t>
        </w:r>
        <w:r w:rsidRPr="00930562">
          <w:rPr>
            <w:rStyle w:val="Hyperlink"/>
            <w:rFonts w:asciiTheme="minorHAnsi" w:eastAsia="Times New Roman" w:hAnsiTheme="minorHAnsi" w:cstheme="majorHAnsi"/>
            <w:color w:val="808080" w:themeColor="background1" w:themeShade="80"/>
            <w:sz w:val="16"/>
            <w:szCs w:val="16"/>
            <w:lang w:val="es-ES_tradnl" w:eastAsia="es-ES"/>
          </w:rPr>
          <w:t>ítulo IV Uso de la fuerza</w:t>
        </w:r>
      </w:hyperlink>
      <w:r w:rsidRPr="00930562">
        <w:rPr>
          <w:rFonts w:asciiTheme="minorHAnsi" w:eastAsia="Times New Roman" w:hAnsiTheme="minorHAnsi" w:cstheme="majorHAnsi"/>
          <w:color w:val="808080" w:themeColor="background1" w:themeShade="80"/>
          <w:sz w:val="16"/>
          <w:szCs w:val="16"/>
          <w:lang w:val="es-ES_tradnl" w:eastAsia="es-ES"/>
        </w:rPr>
        <w:t xml:space="preserve">, párr. </w:t>
      </w:r>
      <w:r w:rsidRPr="00930562">
        <w:rPr>
          <w:rFonts w:asciiTheme="minorHAnsi" w:hAnsiTheme="minorHAnsi" w:cstheme="majorHAnsi"/>
          <w:color w:val="808080" w:themeColor="background1" w:themeShade="80"/>
          <w:sz w:val="16"/>
          <w:szCs w:val="16"/>
          <w:lang w:val="es-ES"/>
        </w:rPr>
        <w:t xml:space="preserve">9 (citando </w:t>
      </w:r>
      <w:r w:rsidRPr="00930562">
        <w:rPr>
          <w:rFonts w:asciiTheme="minorHAnsi" w:eastAsia="Times New Roman" w:hAnsiTheme="minorHAnsi" w:cstheme="majorHAnsi"/>
          <w:color w:val="808080" w:themeColor="background1" w:themeShade="80"/>
          <w:sz w:val="16"/>
          <w:szCs w:val="16"/>
          <w:lang w:val="es-ES" w:eastAsia="es-ES"/>
        </w:rPr>
        <w:t xml:space="preserve">ONU, </w:t>
      </w:r>
      <w:hyperlink r:id="rId550" w:history="1">
        <w:r w:rsidRPr="00930562">
          <w:rPr>
            <w:rStyle w:val="Hyperlink"/>
            <w:rFonts w:asciiTheme="minorHAnsi" w:eastAsia="Times New Roman" w:hAnsiTheme="minorHAnsi" w:cstheme="majorHAnsi"/>
            <w:color w:val="808080" w:themeColor="background1" w:themeShade="80"/>
            <w:sz w:val="16"/>
            <w:szCs w:val="16"/>
            <w:lang w:val="es-ES" w:eastAsia="es-ES"/>
          </w:rPr>
          <w:t>Principios Básicos de la ONU sobre empleo de la fuerza</w:t>
        </w:r>
      </w:hyperlink>
      <w:r w:rsidRPr="00930562">
        <w:rPr>
          <w:rFonts w:asciiTheme="minorHAnsi" w:eastAsia="Times New Roman" w:hAnsiTheme="minorHAnsi" w:cstheme="majorHAnsi"/>
          <w:color w:val="808080" w:themeColor="background1" w:themeShade="80"/>
          <w:sz w:val="16"/>
          <w:szCs w:val="16"/>
          <w:lang w:val="es-ES" w:eastAsia="es-ES"/>
        </w:rPr>
        <w:t>)</w:t>
      </w:r>
    </w:p>
  </w:footnote>
  <w:footnote w:id="459">
    <w:p w14:paraId="1D3FA937"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_tradnl"/>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eastAsia="Times New Roman" w:hAnsiTheme="minorHAnsi" w:cstheme="majorHAnsi"/>
          <w:color w:val="808080" w:themeColor="background1" w:themeShade="80"/>
          <w:sz w:val="16"/>
          <w:szCs w:val="16"/>
          <w:lang w:val="es-ES" w:eastAsia="es-ES"/>
        </w:rPr>
        <w:t xml:space="preserve">CIDH, </w:t>
      </w:r>
      <w:hyperlink r:id="rId551" w:history="1">
        <w:r w:rsidRPr="00930562">
          <w:rPr>
            <w:rStyle w:val="Hyperlink"/>
            <w:rFonts w:asciiTheme="minorHAnsi" w:eastAsia="Times New Roman" w:hAnsiTheme="minorHAnsi" w:cstheme="majorHAnsi"/>
            <w:color w:val="808080" w:themeColor="background1" w:themeShade="80"/>
            <w:sz w:val="16"/>
            <w:szCs w:val="16"/>
            <w:lang w:val="es-ES" w:eastAsia="es-ES"/>
          </w:rPr>
          <w:t>Informe Anual 2015, Cap</w:t>
        </w:r>
        <w:r w:rsidRPr="00930562">
          <w:rPr>
            <w:rStyle w:val="Hyperlink"/>
            <w:rFonts w:asciiTheme="minorHAnsi" w:eastAsia="Times New Roman" w:hAnsiTheme="minorHAnsi" w:cstheme="majorHAnsi"/>
            <w:color w:val="808080" w:themeColor="background1" w:themeShade="80"/>
            <w:sz w:val="16"/>
            <w:szCs w:val="16"/>
            <w:lang w:val="es-ES_tradnl" w:eastAsia="es-ES"/>
          </w:rPr>
          <w:t>ítulo IV Uso de la fuerza</w:t>
        </w:r>
      </w:hyperlink>
      <w:r w:rsidRPr="00930562">
        <w:rPr>
          <w:rFonts w:asciiTheme="minorHAnsi" w:eastAsia="Times New Roman" w:hAnsiTheme="minorHAnsi" w:cstheme="majorHAnsi"/>
          <w:color w:val="808080" w:themeColor="background1" w:themeShade="80"/>
          <w:sz w:val="16"/>
          <w:szCs w:val="16"/>
          <w:lang w:val="es-ES_tradnl" w:eastAsia="es-ES"/>
        </w:rPr>
        <w:t>, párr.</w:t>
      </w:r>
      <w:r w:rsidRPr="00930562">
        <w:rPr>
          <w:rFonts w:asciiTheme="minorHAnsi" w:hAnsiTheme="minorHAnsi" w:cstheme="majorHAnsi"/>
          <w:color w:val="808080" w:themeColor="background1" w:themeShade="80"/>
          <w:sz w:val="16"/>
          <w:szCs w:val="16"/>
          <w:lang w:val="es-ES"/>
        </w:rPr>
        <w:t xml:space="preserve"> 10 (citando </w:t>
      </w:r>
      <w:r w:rsidRPr="00930562">
        <w:rPr>
          <w:rFonts w:asciiTheme="minorHAnsi" w:eastAsia="Times New Roman" w:hAnsiTheme="minorHAnsi" w:cstheme="majorHAnsi"/>
          <w:color w:val="808080" w:themeColor="background1" w:themeShade="80"/>
          <w:sz w:val="16"/>
          <w:szCs w:val="16"/>
          <w:lang w:val="es-ES" w:eastAsia="es-ES"/>
        </w:rPr>
        <w:t xml:space="preserve">ONU, </w:t>
      </w:r>
      <w:hyperlink r:id="rId552" w:history="1">
        <w:r w:rsidRPr="00930562">
          <w:rPr>
            <w:rStyle w:val="Hyperlink"/>
            <w:rFonts w:asciiTheme="minorHAnsi" w:eastAsia="Times New Roman" w:hAnsiTheme="minorHAnsi" w:cstheme="majorHAnsi"/>
            <w:color w:val="808080" w:themeColor="background1" w:themeShade="80"/>
            <w:sz w:val="16"/>
            <w:szCs w:val="16"/>
            <w:lang w:val="es-ES" w:eastAsia="es-ES"/>
          </w:rPr>
          <w:t>Principios Básicos de la ONU sobre empleo de la fuerza</w:t>
        </w:r>
      </w:hyperlink>
      <w:r w:rsidRPr="00930562">
        <w:rPr>
          <w:rFonts w:asciiTheme="minorHAnsi" w:eastAsia="Times New Roman" w:hAnsiTheme="minorHAnsi" w:cstheme="majorHAnsi"/>
          <w:color w:val="808080" w:themeColor="background1" w:themeShade="80"/>
          <w:sz w:val="16"/>
          <w:szCs w:val="16"/>
          <w:lang w:val="es-ES" w:eastAsia="es-ES"/>
        </w:rPr>
        <w:t xml:space="preserve">, No. 4); </w:t>
      </w:r>
      <w:r w:rsidRPr="00930562">
        <w:rPr>
          <w:rFonts w:asciiTheme="minorHAnsi" w:eastAsia="Times New Roman" w:hAnsiTheme="minorHAnsi" w:cstheme="majorHAnsi"/>
          <w:i/>
          <w:color w:val="808080" w:themeColor="background1" w:themeShade="80"/>
          <w:sz w:val="16"/>
          <w:szCs w:val="16"/>
          <w:lang w:val="es-ES" w:eastAsia="es-ES"/>
        </w:rPr>
        <w:t>ver tambi</w:t>
      </w:r>
      <w:r w:rsidRPr="00930562">
        <w:rPr>
          <w:rFonts w:asciiTheme="minorHAnsi" w:eastAsia="Times New Roman" w:hAnsiTheme="minorHAnsi" w:cstheme="majorHAnsi"/>
          <w:i/>
          <w:color w:val="808080" w:themeColor="background1" w:themeShade="80"/>
          <w:sz w:val="16"/>
          <w:szCs w:val="16"/>
          <w:lang w:val="es-ES_tradnl" w:eastAsia="es-ES"/>
        </w:rPr>
        <w:t>én</w:t>
      </w:r>
      <w:r w:rsidRPr="00930562">
        <w:rPr>
          <w:rFonts w:asciiTheme="minorHAnsi" w:eastAsia="Times New Roman" w:hAnsiTheme="minorHAnsi" w:cstheme="majorHAnsi"/>
          <w:color w:val="808080" w:themeColor="background1" w:themeShade="80"/>
          <w:sz w:val="16"/>
          <w:szCs w:val="16"/>
          <w:lang w:val="es-ES_tradnl" w:eastAsia="es-ES"/>
        </w:rPr>
        <w:t xml:space="preserve">, CIDH, </w:t>
      </w:r>
      <w:hyperlink r:id="rId553" w:history="1">
        <w:r w:rsidRPr="00930562">
          <w:rPr>
            <w:rStyle w:val="Hyperlink"/>
            <w:rFonts w:asciiTheme="minorHAnsi" w:eastAsia="Times New Roman" w:hAnsiTheme="minorHAnsi" w:cstheme="majorHAnsi"/>
            <w:color w:val="808080" w:themeColor="background1" w:themeShade="80"/>
            <w:sz w:val="16"/>
            <w:szCs w:val="16"/>
            <w:lang w:val="es-ES_tradnl" w:eastAsia="es-ES"/>
          </w:rPr>
          <w:t>Informe sobre Seguridad Ciudadana y Derechos Humanos</w:t>
        </w:r>
      </w:hyperlink>
      <w:r w:rsidRPr="00930562">
        <w:rPr>
          <w:rFonts w:asciiTheme="minorHAnsi" w:eastAsia="Times New Roman" w:hAnsiTheme="minorHAnsi" w:cstheme="majorHAnsi"/>
          <w:color w:val="808080" w:themeColor="background1" w:themeShade="80"/>
          <w:sz w:val="16"/>
          <w:szCs w:val="16"/>
          <w:lang w:val="es-ES_tradnl" w:eastAsia="es-ES"/>
        </w:rPr>
        <w:t xml:space="preserve"> (2009), párr. 116. </w:t>
      </w:r>
    </w:p>
  </w:footnote>
  <w:footnote w:id="460">
    <w:p w14:paraId="2E4B648B"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_tradnl"/>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_tradnl"/>
        </w:rPr>
        <w:tab/>
      </w:r>
      <w:r w:rsidRPr="00930562">
        <w:rPr>
          <w:rFonts w:asciiTheme="minorHAnsi" w:eastAsia="Times New Roman" w:hAnsiTheme="minorHAnsi" w:cstheme="majorHAnsi"/>
          <w:color w:val="808080" w:themeColor="background1" w:themeShade="80"/>
          <w:sz w:val="16"/>
          <w:szCs w:val="16"/>
          <w:lang w:val="es-ES_tradnl" w:eastAsia="es-ES"/>
        </w:rPr>
        <w:t xml:space="preserve">CIDH, </w:t>
      </w:r>
      <w:hyperlink r:id="rId554" w:history="1">
        <w:r w:rsidRPr="00930562">
          <w:rPr>
            <w:rStyle w:val="Hyperlink"/>
            <w:rFonts w:asciiTheme="minorHAnsi" w:eastAsia="Times New Roman" w:hAnsiTheme="minorHAnsi" w:cstheme="majorHAnsi"/>
            <w:color w:val="808080" w:themeColor="background1" w:themeShade="80"/>
            <w:sz w:val="16"/>
            <w:szCs w:val="16"/>
            <w:lang w:val="es-ES_tradnl" w:eastAsia="es-ES"/>
          </w:rPr>
          <w:t>Informe Anual 2015, Capítulo IV Uso de la fuerza</w:t>
        </w:r>
      </w:hyperlink>
      <w:r w:rsidRPr="00930562">
        <w:rPr>
          <w:rFonts w:asciiTheme="minorHAnsi" w:eastAsia="Times New Roman" w:hAnsiTheme="minorHAnsi" w:cstheme="majorHAnsi"/>
          <w:color w:val="808080" w:themeColor="background1" w:themeShade="80"/>
          <w:sz w:val="16"/>
          <w:szCs w:val="16"/>
          <w:lang w:val="es-ES_tradnl" w:eastAsia="es-ES"/>
        </w:rPr>
        <w:t>, párr.</w:t>
      </w:r>
      <w:r w:rsidRPr="00930562">
        <w:rPr>
          <w:rFonts w:asciiTheme="minorHAnsi" w:hAnsiTheme="minorHAnsi" w:cstheme="majorHAnsi"/>
          <w:color w:val="808080" w:themeColor="background1" w:themeShade="80"/>
          <w:sz w:val="16"/>
          <w:szCs w:val="16"/>
          <w:lang w:val="es-ES_tradnl"/>
        </w:rPr>
        <w:t xml:space="preserve"> 10 (cita omitida).</w:t>
      </w:r>
    </w:p>
  </w:footnote>
  <w:footnote w:id="461">
    <w:p w14:paraId="1D5CFFDD"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_tradnl"/>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_tradnl"/>
        </w:rPr>
        <w:tab/>
        <w:t>Id. párr. 11 (cita omitida).</w:t>
      </w:r>
    </w:p>
  </w:footnote>
  <w:footnote w:id="462">
    <w:p w14:paraId="13D0932F"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_tradnl"/>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_tradnl"/>
        </w:rPr>
        <w:tab/>
        <w:t>Id. párr. 12 (cita omitida).</w:t>
      </w:r>
    </w:p>
  </w:footnote>
  <w:footnote w:id="463">
    <w:p w14:paraId="43AB3A01"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Id. (citando </w:t>
      </w:r>
      <w:r w:rsidRPr="00930562">
        <w:rPr>
          <w:rFonts w:asciiTheme="minorHAnsi" w:eastAsia="Times New Roman" w:hAnsiTheme="minorHAnsi" w:cstheme="majorHAnsi"/>
          <w:color w:val="808080" w:themeColor="background1" w:themeShade="80"/>
          <w:sz w:val="16"/>
          <w:szCs w:val="16"/>
          <w:lang w:val="es-ES_tradnl" w:eastAsia="es-ES"/>
        </w:rPr>
        <w:t xml:space="preserve">CIDH, </w:t>
      </w:r>
      <w:hyperlink r:id="rId555" w:history="1">
        <w:r w:rsidRPr="00930562">
          <w:rPr>
            <w:rStyle w:val="Hyperlink"/>
            <w:rFonts w:asciiTheme="minorHAnsi" w:eastAsia="Times New Roman" w:hAnsiTheme="minorHAnsi" w:cstheme="majorHAnsi"/>
            <w:color w:val="808080" w:themeColor="background1" w:themeShade="80"/>
            <w:sz w:val="16"/>
            <w:szCs w:val="16"/>
            <w:lang w:val="es-ES_tradnl" w:eastAsia="es-ES"/>
          </w:rPr>
          <w:t>Informe sobre Seguridad Ciudadana y Derechos Humanos</w:t>
        </w:r>
      </w:hyperlink>
      <w:r w:rsidRPr="00930562">
        <w:rPr>
          <w:rFonts w:asciiTheme="minorHAnsi" w:eastAsia="Times New Roman" w:hAnsiTheme="minorHAnsi" w:cstheme="majorHAnsi"/>
          <w:color w:val="808080" w:themeColor="background1" w:themeShade="80"/>
          <w:sz w:val="16"/>
          <w:szCs w:val="16"/>
          <w:lang w:val="es-ES_tradnl" w:eastAsia="es-ES"/>
        </w:rPr>
        <w:t xml:space="preserve"> (2009), párr. </w:t>
      </w:r>
      <w:r w:rsidRPr="00930562">
        <w:rPr>
          <w:rFonts w:asciiTheme="minorHAnsi" w:hAnsiTheme="minorHAnsi" w:cstheme="majorHAnsi"/>
          <w:color w:val="808080" w:themeColor="background1" w:themeShade="80"/>
          <w:sz w:val="16"/>
          <w:szCs w:val="16"/>
          <w:lang w:val="es-ES"/>
        </w:rPr>
        <w:t>119).</w:t>
      </w:r>
    </w:p>
  </w:footnote>
  <w:footnote w:id="464">
    <w:p w14:paraId="1ADD2097"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Id. (citando </w:t>
      </w:r>
      <w:r w:rsidRPr="00930562">
        <w:rPr>
          <w:rFonts w:asciiTheme="minorHAnsi" w:eastAsia="Times New Roman" w:hAnsiTheme="minorHAnsi" w:cstheme="majorHAnsi"/>
          <w:color w:val="808080" w:themeColor="background1" w:themeShade="80"/>
          <w:sz w:val="16"/>
          <w:szCs w:val="16"/>
          <w:lang w:val="es-ES" w:eastAsia="es-ES"/>
        </w:rPr>
        <w:t xml:space="preserve">ONU, </w:t>
      </w:r>
      <w:hyperlink r:id="rId556" w:history="1">
        <w:r w:rsidRPr="00930562">
          <w:rPr>
            <w:rStyle w:val="Hyperlink"/>
            <w:rFonts w:asciiTheme="minorHAnsi" w:eastAsia="Times New Roman" w:hAnsiTheme="minorHAnsi" w:cstheme="majorHAnsi"/>
            <w:color w:val="808080" w:themeColor="background1" w:themeShade="80"/>
            <w:sz w:val="16"/>
            <w:szCs w:val="16"/>
            <w:lang w:val="es-ES" w:eastAsia="es-ES"/>
          </w:rPr>
          <w:t>Principios Básicos de la ONU sobre empleo de la fuerza</w:t>
        </w:r>
      </w:hyperlink>
      <w:r w:rsidRPr="00930562">
        <w:rPr>
          <w:rFonts w:asciiTheme="minorHAnsi" w:eastAsia="Times New Roman" w:hAnsiTheme="minorHAnsi" w:cstheme="majorHAnsi"/>
          <w:color w:val="808080" w:themeColor="background1" w:themeShade="80"/>
          <w:sz w:val="16"/>
          <w:szCs w:val="16"/>
          <w:lang w:val="es-ES" w:eastAsia="es-ES"/>
        </w:rPr>
        <w:t xml:space="preserve">, </w:t>
      </w:r>
      <w:r w:rsidRPr="00930562">
        <w:rPr>
          <w:rFonts w:asciiTheme="minorHAnsi" w:hAnsiTheme="minorHAnsi" w:cstheme="majorHAnsi"/>
          <w:color w:val="808080" w:themeColor="background1" w:themeShade="80"/>
          <w:sz w:val="16"/>
          <w:szCs w:val="16"/>
          <w:lang w:val="es-ES"/>
        </w:rPr>
        <w:t>No. 9).</w:t>
      </w:r>
    </w:p>
  </w:footnote>
  <w:footnote w:id="465">
    <w:p w14:paraId="30380DBC" w14:textId="77777777" w:rsidR="00F64540" w:rsidRPr="00930562" w:rsidRDefault="00F64540" w:rsidP="00E10935">
      <w:pPr>
        <w:spacing w:after="40" w:line="240" w:lineRule="auto"/>
        <w:ind w:left="547" w:hanging="547"/>
        <w:contextualSpacing/>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eastAsia="Times New Roman" w:hAnsiTheme="minorHAnsi" w:cstheme="majorHAnsi"/>
          <w:color w:val="808080" w:themeColor="background1" w:themeShade="80"/>
          <w:sz w:val="16"/>
          <w:szCs w:val="16"/>
          <w:lang w:val="es-ES" w:eastAsia="es-ES"/>
        </w:rPr>
        <w:t xml:space="preserve">ONU, </w:t>
      </w:r>
      <w:hyperlink r:id="rId557" w:history="1">
        <w:r w:rsidRPr="00930562">
          <w:rPr>
            <w:rStyle w:val="Hyperlink"/>
            <w:rFonts w:asciiTheme="minorHAnsi" w:eastAsia="Times New Roman" w:hAnsiTheme="minorHAnsi" w:cstheme="majorHAnsi"/>
            <w:color w:val="808080" w:themeColor="background1" w:themeShade="80"/>
            <w:sz w:val="16"/>
            <w:szCs w:val="16"/>
            <w:lang w:val="es-ES" w:eastAsia="es-ES"/>
          </w:rPr>
          <w:t>Principios Básicos de la ONU sobre empleo de la fuerza</w:t>
        </w:r>
      </w:hyperlink>
      <w:r w:rsidRPr="00930562">
        <w:rPr>
          <w:rFonts w:asciiTheme="minorHAnsi" w:eastAsia="Times New Roman" w:hAnsiTheme="minorHAnsi" w:cstheme="majorHAnsi"/>
          <w:color w:val="808080" w:themeColor="background1" w:themeShade="80"/>
          <w:sz w:val="16"/>
          <w:szCs w:val="16"/>
          <w:lang w:val="es-ES" w:eastAsia="es-ES"/>
        </w:rPr>
        <w:t xml:space="preserve">, </w:t>
      </w:r>
      <w:r w:rsidRPr="00930562">
        <w:rPr>
          <w:rFonts w:asciiTheme="minorHAnsi" w:hAnsiTheme="minorHAnsi" w:cstheme="majorHAnsi"/>
          <w:color w:val="808080" w:themeColor="background1" w:themeShade="80"/>
          <w:sz w:val="16"/>
          <w:szCs w:val="16"/>
          <w:lang w:val="es-ES"/>
        </w:rPr>
        <w:t>No. 9.</w:t>
      </w:r>
      <w:r w:rsidRPr="00930562">
        <w:rPr>
          <w:rFonts w:asciiTheme="minorHAnsi" w:hAnsiTheme="minorHAnsi" w:cstheme="majorHAnsi"/>
          <w:i/>
          <w:color w:val="808080" w:themeColor="background1" w:themeShade="80"/>
          <w:sz w:val="16"/>
          <w:szCs w:val="16"/>
          <w:lang w:val="es-ES"/>
        </w:rPr>
        <w:t xml:space="preserve"> Ver también</w:t>
      </w:r>
      <w:r w:rsidRPr="00930562">
        <w:rPr>
          <w:rFonts w:asciiTheme="minorHAnsi" w:hAnsiTheme="minorHAnsi" w:cstheme="majorHAnsi"/>
          <w:color w:val="808080" w:themeColor="background1" w:themeShade="80"/>
          <w:sz w:val="16"/>
          <w:szCs w:val="16"/>
          <w:lang w:val="es-ES"/>
        </w:rPr>
        <w:t xml:space="preserve"> ONU, Informe del Relator Especial sobre las ejecuciones extrajudiciales, sumarias o arbitrarias, Philip Alston, Estudio sobre los mecanismos de supervisión policial, A/HRC/14/2/Ad 6, May 28, 2010.</w:t>
      </w:r>
    </w:p>
  </w:footnote>
  <w:footnote w:id="466">
    <w:p w14:paraId="7173A6B5" w14:textId="77777777" w:rsidR="00F64540" w:rsidRPr="00930562" w:rsidRDefault="00F64540" w:rsidP="00E10935">
      <w:pPr>
        <w:spacing w:after="40" w:line="240" w:lineRule="auto"/>
        <w:ind w:left="547" w:hanging="547"/>
        <w:contextualSpacing/>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ONU, Informe del Relator Especial sobre las ejecuciones extrajudiciales, sumarias o arbitrarias, Philip Alston, Estudio sobre los mecanismos de supervisión policial, A/HRC/14/2/Ad 6, May 28, 2010. </w:t>
      </w:r>
    </w:p>
  </w:footnote>
  <w:footnote w:id="467">
    <w:p w14:paraId="7CCF5D8B" w14:textId="77777777" w:rsidR="00F64540" w:rsidRPr="00930562" w:rsidRDefault="00F64540" w:rsidP="00E10935">
      <w:pPr>
        <w:spacing w:after="40" w:line="240" w:lineRule="auto"/>
        <w:ind w:left="547" w:hanging="547"/>
        <w:contextualSpacing/>
        <w:jc w:val="both"/>
        <w:rPr>
          <w:rFonts w:asciiTheme="minorHAnsi" w:hAnsiTheme="minorHAnsi"/>
          <w:color w:val="808080" w:themeColor="background1" w:themeShade="80"/>
          <w:sz w:val="16"/>
          <w:szCs w:val="16"/>
          <w:lang w:val="es-ES_tradnl"/>
        </w:rPr>
      </w:pPr>
      <w:r w:rsidRPr="00930562">
        <w:rPr>
          <w:rStyle w:val="FootnoteReference"/>
          <w:rFonts w:asciiTheme="minorHAnsi" w:hAnsiTheme="minorHAnsi"/>
          <w:color w:val="808080" w:themeColor="background1" w:themeShade="80"/>
          <w:sz w:val="16"/>
          <w:szCs w:val="16"/>
        </w:rPr>
        <w:footnoteRef/>
      </w:r>
      <w:r w:rsidRPr="00930562">
        <w:rPr>
          <w:rFonts w:asciiTheme="minorHAnsi" w:hAnsiTheme="minorHAnsi"/>
          <w:color w:val="808080" w:themeColor="background1" w:themeShade="80"/>
          <w:sz w:val="16"/>
          <w:szCs w:val="16"/>
          <w:lang w:val="es-ES"/>
        </w:rPr>
        <w:t xml:space="preserve"> </w:t>
      </w:r>
      <w:r w:rsidRPr="00930562">
        <w:rPr>
          <w:rFonts w:asciiTheme="minorHAnsi" w:hAnsiTheme="minorHAnsi"/>
          <w:color w:val="808080" w:themeColor="background1" w:themeShade="80"/>
          <w:sz w:val="16"/>
          <w:szCs w:val="16"/>
          <w:lang w:val="es-ES"/>
        </w:rPr>
        <w:tab/>
      </w:r>
      <w:r w:rsidRPr="00930562">
        <w:rPr>
          <w:rFonts w:asciiTheme="minorHAnsi" w:hAnsiTheme="minorHAnsi" w:cstheme="majorHAnsi"/>
          <w:color w:val="808080" w:themeColor="background1" w:themeShade="80"/>
          <w:sz w:val="16"/>
          <w:szCs w:val="16"/>
          <w:lang w:val="es-ES"/>
        </w:rPr>
        <w:t xml:space="preserve">CIDH. </w:t>
      </w:r>
      <w:hyperlink r:id="rId558" w:history="1">
        <w:r w:rsidRPr="00930562">
          <w:rPr>
            <w:rStyle w:val="Hyperlink"/>
            <w:rFonts w:asciiTheme="minorHAnsi" w:hAnsiTheme="minorHAnsi" w:cstheme="majorHAnsi"/>
            <w:color w:val="808080" w:themeColor="background1" w:themeShade="80"/>
            <w:sz w:val="16"/>
            <w:szCs w:val="16"/>
            <w:lang w:val="es-ES"/>
          </w:rPr>
          <w:t>Audiencia sobre protesta social y derechos humanos en América</w:t>
        </w:r>
      </w:hyperlink>
      <w:r w:rsidRPr="00930562">
        <w:rPr>
          <w:rFonts w:asciiTheme="minorHAnsi" w:hAnsiTheme="minorHAnsi" w:cstheme="majorHAnsi"/>
          <w:color w:val="808080" w:themeColor="background1" w:themeShade="80"/>
          <w:sz w:val="16"/>
          <w:szCs w:val="16"/>
          <w:lang w:val="es-ES"/>
        </w:rPr>
        <w:t>, 154 periodo regular de sesiones, 16 de marzo de 2015;</w:t>
      </w:r>
      <w:r w:rsidRPr="00930562">
        <w:rPr>
          <w:rFonts w:asciiTheme="minorHAnsi" w:hAnsiTheme="minorHAnsi" w:cstheme="majorHAnsi"/>
          <w:i/>
          <w:color w:val="808080" w:themeColor="background1" w:themeShade="80"/>
          <w:sz w:val="16"/>
          <w:szCs w:val="16"/>
          <w:lang w:val="es-ES"/>
        </w:rPr>
        <w:t xml:space="preserve"> ver también </w:t>
      </w:r>
      <w:r w:rsidRPr="00930562">
        <w:rPr>
          <w:rFonts w:asciiTheme="minorHAnsi" w:eastAsia="Times New Roman" w:hAnsiTheme="minorHAnsi" w:cstheme="majorHAnsi"/>
          <w:color w:val="808080" w:themeColor="background1" w:themeShade="80"/>
          <w:sz w:val="16"/>
          <w:szCs w:val="16"/>
          <w:lang w:val="es-ES" w:eastAsia="es-ES"/>
        </w:rPr>
        <w:t xml:space="preserve">CIDH, </w:t>
      </w:r>
      <w:hyperlink r:id="rId559" w:history="1">
        <w:r w:rsidRPr="00930562">
          <w:rPr>
            <w:rStyle w:val="Hyperlink"/>
            <w:rFonts w:asciiTheme="minorHAnsi" w:eastAsia="Times New Roman" w:hAnsiTheme="minorHAnsi" w:cstheme="majorHAnsi"/>
            <w:color w:val="808080" w:themeColor="background1" w:themeShade="80"/>
            <w:sz w:val="16"/>
            <w:szCs w:val="16"/>
            <w:lang w:val="es-ES" w:eastAsia="es-ES"/>
          </w:rPr>
          <w:t>Informe Anual 2015, Cap</w:t>
        </w:r>
        <w:r w:rsidRPr="00930562">
          <w:rPr>
            <w:rStyle w:val="Hyperlink"/>
            <w:rFonts w:asciiTheme="minorHAnsi" w:eastAsia="Times New Roman" w:hAnsiTheme="minorHAnsi" w:cstheme="majorHAnsi"/>
            <w:color w:val="808080" w:themeColor="background1" w:themeShade="80"/>
            <w:sz w:val="16"/>
            <w:szCs w:val="16"/>
            <w:lang w:val="es-ES_tradnl" w:eastAsia="es-ES"/>
          </w:rPr>
          <w:t>ítulo IV Uso de la fuerza</w:t>
        </w:r>
      </w:hyperlink>
      <w:r w:rsidRPr="00930562">
        <w:rPr>
          <w:rFonts w:asciiTheme="minorHAnsi" w:eastAsia="Times New Roman" w:hAnsiTheme="minorHAnsi" w:cstheme="majorHAnsi"/>
          <w:color w:val="808080" w:themeColor="background1" w:themeShade="80"/>
          <w:sz w:val="16"/>
          <w:szCs w:val="16"/>
          <w:lang w:val="es-ES_tradnl" w:eastAsia="es-ES"/>
        </w:rPr>
        <w:t>, párr.</w:t>
      </w:r>
      <w:r w:rsidRPr="00930562">
        <w:rPr>
          <w:rFonts w:asciiTheme="minorHAnsi" w:hAnsiTheme="minorHAnsi" w:cstheme="majorHAnsi"/>
          <w:color w:val="808080" w:themeColor="background1" w:themeShade="80"/>
          <w:sz w:val="16"/>
          <w:szCs w:val="16"/>
          <w:lang w:val="es-ES"/>
        </w:rPr>
        <w:t xml:space="preserve"> 19.</w:t>
      </w:r>
    </w:p>
  </w:footnote>
  <w:footnote w:id="468">
    <w:p w14:paraId="3A449E00"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hAnsiTheme="minorHAnsi" w:cstheme="majorHAnsi"/>
          <w:bCs/>
          <w:color w:val="808080" w:themeColor="background1" w:themeShade="80"/>
          <w:sz w:val="16"/>
          <w:szCs w:val="16"/>
          <w:lang w:val="es-ES"/>
        </w:rPr>
        <w:t xml:space="preserve">CIDH, </w:t>
      </w:r>
      <w:hyperlink r:id="rId560" w:history="1">
        <w:r w:rsidRPr="00930562">
          <w:rPr>
            <w:rStyle w:val="Hyperlink"/>
            <w:rFonts w:asciiTheme="minorHAnsi" w:hAnsiTheme="minorHAnsi" w:cstheme="majorHAnsi"/>
            <w:bCs/>
            <w:color w:val="808080" w:themeColor="background1" w:themeShade="80"/>
            <w:sz w:val="16"/>
            <w:szCs w:val="16"/>
            <w:lang w:val="es-ES"/>
          </w:rPr>
          <w:t>Derechos Humanos de los migrantes y otras personas en el contexto de movilidad humana en México</w:t>
        </w:r>
      </w:hyperlink>
      <w:r w:rsidRPr="00930562">
        <w:rPr>
          <w:rFonts w:asciiTheme="minorHAnsi" w:hAnsiTheme="minorHAnsi" w:cstheme="majorHAnsi"/>
          <w:bCs/>
          <w:color w:val="808080" w:themeColor="background1" w:themeShade="80"/>
          <w:sz w:val="16"/>
          <w:szCs w:val="16"/>
          <w:lang w:val="es-ES"/>
        </w:rPr>
        <w:t>, OEA/Ser.L/V/II, Doc. 48/13 (2013)</w:t>
      </w:r>
      <w:r w:rsidRPr="00930562">
        <w:rPr>
          <w:rFonts w:asciiTheme="minorHAnsi" w:hAnsiTheme="minorHAnsi" w:cstheme="majorHAnsi"/>
          <w:color w:val="808080" w:themeColor="background1" w:themeShade="80"/>
          <w:sz w:val="16"/>
          <w:szCs w:val="16"/>
          <w:lang w:val="es-ES"/>
        </w:rPr>
        <w:t>, párr. 333 (citando Corte IDH</w:t>
      </w:r>
      <w:r w:rsidRPr="00930562">
        <w:rPr>
          <w:rFonts w:asciiTheme="minorHAnsi" w:hAnsiTheme="minorHAnsi" w:cstheme="majorHAnsi"/>
          <w:i/>
          <w:color w:val="808080" w:themeColor="background1" w:themeShade="80"/>
          <w:sz w:val="16"/>
          <w:szCs w:val="16"/>
          <w:lang w:val="es-ES"/>
        </w:rPr>
        <w:t>. Caso de la “Masacre de Mapiripán” vs. Colombia</w:t>
      </w:r>
      <w:r w:rsidRPr="00930562">
        <w:rPr>
          <w:rFonts w:asciiTheme="minorHAnsi" w:hAnsiTheme="minorHAnsi" w:cstheme="majorHAnsi"/>
          <w:color w:val="808080" w:themeColor="background1" w:themeShade="80"/>
          <w:sz w:val="16"/>
          <w:szCs w:val="16"/>
          <w:lang w:val="es-ES"/>
        </w:rPr>
        <w:t xml:space="preserve">. Sentencia de 15 de septiembre de 2005, Serie C, No. 134, párr. 108; y </w:t>
      </w:r>
      <w:r w:rsidRPr="00930562">
        <w:rPr>
          <w:rFonts w:asciiTheme="minorHAnsi" w:hAnsiTheme="minorHAnsi" w:cstheme="majorHAnsi"/>
          <w:i/>
          <w:color w:val="808080" w:themeColor="background1" w:themeShade="80"/>
          <w:sz w:val="16"/>
          <w:szCs w:val="16"/>
          <w:lang w:val="es-ES"/>
        </w:rPr>
        <w:t>Caso de la Masacre de Pueblo Bello vs. Colombia</w:t>
      </w:r>
      <w:r w:rsidRPr="00930562">
        <w:rPr>
          <w:rFonts w:asciiTheme="minorHAnsi" w:hAnsiTheme="minorHAnsi" w:cstheme="majorHAnsi"/>
          <w:color w:val="808080" w:themeColor="background1" w:themeShade="80"/>
          <w:sz w:val="16"/>
          <w:szCs w:val="16"/>
          <w:lang w:val="es-ES"/>
        </w:rPr>
        <w:t>. Sentencia del 31 de enero de 2006, Serie C No.140, párr. 111.).</w:t>
      </w:r>
    </w:p>
  </w:footnote>
  <w:footnote w:id="469">
    <w:p w14:paraId="756E2D41"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VE"/>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Id. (citando </w:t>
      </w:r>
      <w:r w:rsidRPr="00930562">
        <w:rPr>
          <w:rFonts w:asciiTheme="minorHAnsi" w:eastAsia="Times New Roman" w:hAnsiTheme="minorHAnsi" w:cstheme="majorHAnsi"/>
          <w:color w:val="808080" w:themeColor="background1" w:themeShade="80"/>
          <w:sz w:val="16"/>
          <w:szCs w:val="16"/>
          <w:lang w:val="es-ES_tradnl" w:eastAsia="es-ES"/>
        </w:rPr>
        <w:t xml:space="preserve">CIDH, </w:t>
      </w:r>
      <w:hyperlink r:id="rId561" w:history="1">
        <w:r w:rsidRPr="00930562">
          <w:rPr>
            <w:rStyle w:val="Hyperlink"/>
            <w:rFonts w:asciiTheme="minorHAnsi" w:eastAsia="Times New Roman" w:hAnsiTheme="minorHAnsi" w:cstheme="majorHAnsi"/>
            <w:color w:val="808080" w:themeColor="background1" w:themeShade="80"/>
            <w:sz w:val="16"/>
            <w:szCs w:val="16"/>
            <w:lang w:val="es-ES_tradnl" w:eastAsia="es-ES"/>
          </w:rPr>
          <w:t>Informe sobre Seguridad Ciudadana y Derechos Humanos</w:t>
        </w:r>
      </w:hyperlink>
      <w:r w:rsidRPr="00930562">
        <w:rPr>
          <w:rFonts w:asciiTheme="minorHAnsi" w:eastAsia="Times New Roman" w:hAnsiTheme="minorHAnsi" w:cstheme="majorHAnsi"/>
          <w:color w:val="808080" w:themeColor="background1" w:themeShade="80"/>
          <w:sz w:val="16"/>
          <w:szCs w:val="16"/>
          <w:lang w:val="es-ES_tradnl" w:eastAsia="es-ES"/>
        </w:rPr>
        <w:t xml:space="preserve"> (2009), párr. 39). </w:t>
      </w:r>
    </w:p>
  </w:footnote>
  <w:footnote w:id="470">
    <w:p w14:paraId="1ECB0CDA"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CIDH, Informe No. 80/11, </w:t>
      </w:r>
      <w:hyperlink r:id="rId562" w:history="1">
        <w:r w:rsidRPr="00930562">
          <w:rPr>
            <w:rStyle w:val="Hyperlink"/>
            <w:rFonts w:asciiTheme="minorHAnsi" w:hAnsiTheme="minorHAnsi" w:cstheme="majorHAnsi"/>
            <w:i/>
            <w:color w:val="808080" w:themeColor="background1" w:themeShade="80"/>
            <w:sz w:val="16"/>
            <w:szCs w:val="16"/>
            <w:lang w:val="es-ES"/>
          </w:rPr>
          <w:t>Jessica Lenahan</w:t>
        </w:r>
      </w:hyperlink>
      <w:r w:rsidRPr="00930562">
        <w:rPr>
          <w:rFonts w:asciiTheme="minorHAnsi" w:hAnsiTheme="minorHAnsi" w:cstheme="majorHAnsi"/>
          <w:color w:val="808080" w:themeColor="background1" w:themeShade="80"/>
          <w:sz w:val="16"/>
          <w:szCs w:val="16"/>
          <w:lang w:val="es-ES"/>
        </w:rPr>
        <w:t xml:space="preserve"> (2011), párr. </w:t>
      </w:r>
      <w:r w:rsidRPr="00930562">
        <w:rPr>
          <w:rFonts w:asciiTheme="minorHAnsi" w:hAnsiTheme="minorHAnsi" w:cstheme="majorHAnsi"/>
          <w:color w:val="808080" w:themeColor="background1" w:themeShade="80"/>
          <w:sz w:val="16"/>
          <w:szCs w:val="16"/>
          <w:lang w:val="es-VE"/>
        </w:rPr>
        <w:t>125, 128;</w:t>
      </w:r>
      <w:r w:rsidRPr="00930562">
        <w:rPr>
          <w:rFonts w:asciiTheme="minorHAnsi" w:hAnsiTheme="minorHAnsi" w:cstheme="majorHAnsi"/>
          <w:color w:val="808080" w:themeColor="background1" w:themeShade="80"/>
          <w:sz w:val="16"/>
          <w:szCs w:val="16"/>
          <w:lang w:val="es-ES"/>
        </w:rPr>
        <w:t xml:space="preserve"> </w:t>
      </w:r>
      <w:r w:rsidRPr="00930562">
        <w:rPr>
          <w:rFonts w:asciiTheme="minorHAnsi" w:hAnsiTheme="minorHAnsi" w:cstheme="majorHAnsi"/>
          <w:i/>
          <w:color w:val="808080" w:themeColor="background1" w:themeShade="80"/>
          <w:sz w:val="16"/>
          <w:szCs w:val="16"/>
          <w:lang w:val="es-ES"/>
        </w:rPr>
        <w:t>Ver también</w:t>
      </w:r>
      <w:r w:rsidRPr="00930562">
        <w:rPr>
          <w:rFonts w:asciiTheme="minorHAnsi" w:hAnsiTheme="minorHAnsi" w:cstheme="majorHAnsi"/>
          <w:color w:val="808080" w:themeColor="background1" w:themeShade="80"/>
          <w:sz w:val="16"/>
          <w:szCs w:val="16"/>
          <w:lang w:val="es-ES"/>
        </w:rPr>
        <w:t xml:space="preserve"> ONU, </w:t>
      </w:r>
      <w:r w:rsidRPr="00930562">
        <w:rPr>
          <w:rFonts w:asciiTheme="minorHAnsi" w:hAnsiTheme="minorHAnsi" w:cstheme="majorHAnsi"/>
          <w:i/>
          <w:color w:val="808080" w:themeColor="background1" w:themeShade="80"/>
          <w:sz w:val="16"/>
          <w:szCs w:val="16"/>
          <w:lang w:val="es-ES"/>
        </w:rPr>
        <w:t xml:space="preserve">Declaración y Programa de Acción de Durban </w:t>
      </w:r>
      <w:r w:rsidRPr="00930562">
        <w:rPr>
          <w:rFonts w:asciiTheme="minorHAnsi" w:hAnsiTheme="minorHAnsi" w:cstheme="majorHAnsi"/>
          <w:color w:val="808080" w:themeColor="background1" w:themeShade="80"/>
          <w:sz w:val="16"/>
          <w:szCs w:val="16"/>
          <w:lang w:val="es-ES"/>
        </w:rPr>
        <w:t>(adoptado en 2001 Conferencia Mundial Contra el Racismo), párr. 104; C</w:t>
      </w:r>
      <w:r w:rsidRPr="00930562">
        <w:rPr>
          <w:rFonts w:asciiTheme="minorHAnsi" w:hAnsiTheme="minorHAnsi" w:cstheme="majorHAnsi"/>
          <w:i/>
          <w:color w:val="808080" w:themeColor="background1" w:themeShade="80"/>
          <w:sz w:val="16"/>
          <w:szCs w:val="16"/>
          <w:lang w:val="es-ES"/>
        </w:rPr>
        <w:t>onvención Internacional sobre la Eliminación de todas las Formas de Discriminación Racial</w:t>
      </w:r>
      <w:r w:rsidRPr="00930562">
        <w:rPr>
          <w:rFonts w:asciiTheme="minorHAnsi" w:hAnsiTheme="minorHAnsi" w:cstheme="majorHAnsi"/>
          <w:color w:val="808080" w:themeColor="background1" w:themeShade="80"/>
          <w:sz w:val="16"/>
          <w:szCs w:val="16"/>
          <w:lang w:val="es-ES"/>
        </w:rPr>
        <w:t>, adoptada y abierta a la firma y ratificación por la Asamblea General en su resolución 2106 A (XX), de 21 de diciembre de 1965.</w:t>
      </w:r>
    </w:p>
  </w:footnote>
  <w:footnote w:id="471">
    <w:p w14:paraId="6EB8D2CC"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hAnsiTheme="minorHAnsi" w:cstheme="majorHAnsi"/>
          <w:i/>
          <w:color w:val="808080" w:themeColor="background1" w:themeShade="80"/>
          <w:sz w:val="16"/>
          <w:szCs w:val="16"/>
          <w:lang w:val="es-ES"/>
        </w:rPr>
        <w:t>Ver</w:t>
      </w:r>
      <w:r w:rsidRPr="00930562">
        <w:rPr>
          <w:rFonts w:asciiTheme="minorHAnsi" w:hAnsiTheme="minorHAnsi" w:cstheme="majorHAnsi"/>
          <w:color w:val="808080" w:themeColor="background1" w:themeShade="80"/>
          <w:sz w:val="16"/>
          <w:szCs w:val="16"/>
          <w:lang w:val="es-ES"/>
        </w:rPr>
        <w:t xml:space="preserve"> Comit</w:t>
      </w:r>
      <w:r w:rsidRPr="00930562">
        <w:rPr>
          <w:rFonts w:asciiTheme="minorHAnsi" w:hAnsiTheme="minorHAnsi" w:cstheme="majorHAnsi"/>
          <w:color w:val="808080" w:themeColor="background1" w:themeShade="80"/>
          <w:sz w:val="16"/>
          <w:szCs w:val="16"/>
          <w:lang w:val="es-ES_tradnl"/>
        </w:rPr>
        <w:t>é de Derechos Humanos</w:t>
      </w:r>
      <w:r w:rsidRPr="00930562">
        <w:rPr>
          <w:rFonts w:asciiTheme="minorHAnsi" w:hAnsiTheme="minorHAnsi" w:cstheme="majorHAnsi"/>
          <w:color w:val="808080" w:themeColor="background1" w:themeShade="80"/>
          <w:sz w:val="16"/>
          <w:szCs w:val="16"/>
          <w:lang w:val="es-ES"/>
        </w:rPr>
        <w:t xml:space="preserve">, </w:t>
      </w:r>
      <w:hyperlink r:id="rId563" w:history="1">
        <w:r w:rsidRPr="00930562">
          <w:rPr>
            <w:rStyle w:val="Hyperlink"/>
            <w:rFonts w:asciiTheme="minorHAnsi" w:hAnsiTheme="minorHAnsi" w:cstheme="majorHAnsi"/>
            <w:color w:val="808080" w:themeColor="background1" w:themeShade="80"/>
            <w:sz w:val="16"/>
            <w:szCs w:val="16"/>
            <w:lang w:val="es-ES"/>
          </w:rPr>
          <w:t>Observaciones del Comité de Derechos Humanos: Estados Unidos</w:t>
        </w:r>
      </w:hyperlink>
      <w:r w:rsidRPr="00930562">
        <w:rPr>
          <w:rStyle w:val="Hyperlink"/>
          <w:rFonts w:asciiTheme="minorHAnsi" w:hAnsiTheme="minorHAnsi" w:cstheme="majorHAnsi"/>
          <w:color w:val="808080" w:themeColor="background1" w:themeShade="80"/>
          <w:sz w:val="16"/>
          <w:szCs w:val="16"/>
          <w:lang w:val="es-ES"/>
        </w:rPr>
        <w:t xml:space="preserve">, </w:t>
      </w:r>
      <w:r w:rsidRPr="00930562">
        <w:rPr>
          <w:rFonts w:asciiTheme="minorHAnsi" w:hAnsiTheme="minorHAnsi" w:cstheme="majorHAnsi"/>
          <w:color w:val="808080" w:themeColor="background1" w:themeShade="80"/>
          <w:sz w:val="16"/>
          <w:szCs w:val="16"/>
          <w:lang w:val="es-ES"/>
        </w:rPr>
        <w:t xml:space="preserve">CCPR/C/79/Add.50, 3 de octubre de 1995, párr. 297; Comité de Derechos Humanos, </w:t>
      </w:r>
      <w:hyperlink r:id="rId564" w:history="1">
        <w:r w:rsidRPr="00930562">
          <w:rPr>
            <w:rStyle w:val="Hyperlink"/>
            <w:rFonts w:asciiTheme="minorHAnsi" w:hAnsiTheme="minorHAnsi" w:cstheme="majorHAnsi"/>
            <w:color w:val="808080" w:themeColor="background1" w:themeShade="80"/>
            <w:sz w:val="16"/>
            <w:szCs w:val="16"/>
            <w:lang w:val="es-ES"/>
          </w:rPr>
          <w:t>Observaciones Finales del Comité de Derechos Humanos: Estados Unidos</w:t>
        </w:r>
      </w:hyperlink>
      <w:r w:rsidRPr="00930562">
        <w:rPr>
          <w:rFonts w:asciiTheme="minorHAnsi" w:hAnsiTheme="minorHAnsi" w:cstheme="majorHAnsi"/>
          <w:color w:val="808080" w:themeColor="background1" w:themeShade="80"/>
          <w:sz w:val="16"/>
          <w:szCs w:val="16"/>
          <w:lang w:val="es-ES"/>
        </w:rPr>
        <w:t>, CCPR/C/USA/CO/3, 15 de septiembre 2006, párr. 30;</w:t>
      </w:r>
      <w:r w:rsidRPr="00930562">
        <w:rPr>
          <w:rFonts w:asciiTheme="minorHAnsi" w:hAnsiTheme="minorHAnsi" w:cstheme="majorHAnsi"/>
          <w:bCs/>
          <w:color w:val="808080" w:themeColor="background1" w:themeShade="80"/>
          <w:sz w:val="16"/>
          <w:szCs w:val="16"/>
          <w:lang w:val="es-ES"/>
        </w:rPr>
        <w:t xml:space="preserve"> Comité de Derechos Humanos, </w:t>
      </w:r>
      <w:hyperlink r:id="rId565" w:history="1">
        <w:r w:rsidRPr="00930562">
          <w:rPr>
            <w:rStyle w:val="Hyperlink"/>
            <w:rFonts w:asciiTheme="minorHAnsi" w:hAnsiTheme="minorHAnsi" w:cstheme="majorHAnsi"/>
            <w:bCs/>
            <w:color w:val="808080" w:themeColor="background1" w:themeShade="80"/>
            <w:sz w:val="16"/>
            <w:szCs w:val="16"/>
            <w:lang w:val="es-ES"/>
          </w:rPr>
          <w:t xml:space="preserve">Observaciones Finales </w:t>
        </w:r>
        <w:proofErr w:type="gramStart"/>
        <w:r w:rsidRPr="00930562">
          <w:rPr>
            <w:rStyle w:val="Hyperlink"/>
            <w:rFonts w:asciiTheme="minorHAnsi" w:hAnsiTheme="minorHAnsi" w:cstheme="majorHAnsi"/>
            <w:bCs/>
            <w:color w:val="808080" w:themeColor="background1" w:themeShade="80"/>
            <w:sz w:val="16"/>
            <w:szCs w:val="16"/>
            <w:lang w:val="es-ES"/>
          </w:rPr>
          <w:t xml:space="preserve">2014 </w:t>
        </w:r>
        <w:proofErr w:type="gramEnd"/>
      </w:hyperlink>
      <w:r w:rsidRPr="00930562">
        <w:rPr>
          <w:rFonts w:asciiTheme="minorHAnsi" w:hAnsiTheme="minorHAnsi" w:cstheme="majorHAnsi"/>
          <w:bCs/>
          <w:color w:val="808080" w:themeColor="background1" w:themeShade="80"/>
          <w:sz w:val="16"/>
          <w:szCs w:val="16"/>
          <w:lang w:val="es-ES"/>
        </w:rPr>
        <w:t xml:space="preserve">, 23 de abril </w:t>
      </w:r>
      <w:r w:rsidRPr="00930562">
        <w:rPr>
          <w:rFonts w:asciiTheme="minorHAnsi" w:hAnsiTheme="minorHAnsi" w:cstheme="majorHAnsi"/>
          <w:color w:val="808080" w:themeColor="background1" w:themeShade="80"/>
          <w:sz w:val="16"/>
          <w:szCs w:val="16"/>
          <w:lang w:val="es-ES"/>
        </w:rPr>
        <w:t xml:space="preserve">de </w:t>
      </w:r>
      <w:r w:rsidRPr="00930562">
        <w:rPr>
          <w:rFonts w:asciiTheme="minorHAnsi" w:hAnsiTheme="minorHAnsi" w:cstheme="majorHAnsi"/>
          <w:bCs/>
          <w:color w:val="808080" w:themeColor="background1" w:themeShade="80"/>
          <w:sz w:val="16"/>
          <w:szCs w:val="16"/>
          <w:lang w:val="es-ES"/>
        </w:rPr>
        <w:t>2014</w:t>
      </w:r>
      <w:r w:rsidRPr="00930562">
        <w:rPr>
          <w:rFonts w:asciiTheme="minorHAnsi" w:hAnsiTheme="minorHAnsi" w:cstheme="majorHAnsi"/>
          <w:color w:val="808080" w:themeColor="background1" w:themeShade="80"/>
          <w:sz w:val="16"/>
          <w:szCs w:val="16"/>
          <w:lang w:val="es-ES"/>
        </w:rPr>
        <w:t xml:space="preserve">, párr. 11(a); </w:t>
      </w:r>
      <w:r w:rsidRPr="00930562">
        <w:rPr>
          <w:rFonts w:asciiTheme="minorHAnsi" w:hAnsiTheme="minorHAnsi" w:cstheme="majorHAnsi"/>
          <w:bCs/>
          <w:color w:val="808080" w:themeColor="background1" w:themeShade="80"/>
          <w:sz w:val="16"/>
          <w:szCs w:val="16"/>
          <w:lang w:val="es-ES"/>
        </w:rPr>
        <w:t xml:space="preserve">CERD, </w:t>
      </w:r>
      <w:hyperlink r:id="rId566" w:history="1">
        <w:r w:rsidRPr="00930562">
          <w:rPr>
            <w:rStyle w:val="Hyperlink"/>
            <w:rFonts w:asciiTheme="minorHAnsi" w:hAnsiTheme="minorHAnsi" w:cstheme="majorHAnsi"/>
            <w:bCs/>
            <w:color w:val="808080" w:themeColor="background1" w:themeShade="80"/>
            <w:sz w:val="16"/>
            <w:szCs w:val="16"/>
            <w:lang w:val="es-ES"/>
          </w:rPr>
          <w:t>Observaciones Finales 2014</w:t>
        </w:r>
      </w:hyperlink>
      <w:r w:rsidRPr="00930562">
        <w:rPr>
          <w:rFonts w:asciiTheme="minorHAnsi" w:hAnsiTheme="minorHAnsi" w:cstheme="majorHAnsi"/>
          <w:bCs/>
          <w:color w:val="808080" w:themeColor="background1" w:themeShade="80"/>
          <w:sz w:val="16"/>
          <w:szCs w:val="16"/>
          <w:lang w:val="es-ES"/>
        </w:rPr>
        <w:t xml:space="preserve">, </w:t>
      </w:r>
      <w:r w:rsidRPr="00930562">
        <w:rPr>
          <w:rFonts w:asciiTheme="minorHAnsi" w:hAnsiTheme="minorHAnsi" w:cstheme="majorHAnsi"/>
          <w:color w:val="808080" w:themeColor="background1" w:themeShade="80"/>
          <w:sz w:val="16"/>
          <w:szCs w:val="16"/>
          <w:lang w:val="es-ES"/>
        </w:rPr>
        <w:t>25 de semtiembre de 2014, párr. 17 (b).</w:t>
      </w:r>
    </w:p>
  </w:footnote>
  <w:footnote w:id="472">
    <w:p w14:paraId="437BC083"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hAnsiTheme="minorHAnsi"/>
          <w:color w:val="808080" w:themeColor="background1" w:themeShade="80"/>
          <w:sz w:val="16"/>
          <w:szCs w:val="16"/>
          <w:lang w:val="es-VE"/>
        </w:rPr>
        <w:t xml:space="preserve">Ver, por ejemplo, Constitución de los Estados Unidos, enmienda IV; </w:t>
      </w:r>
      <w:r w:rsidRPr="00930562">
        <w:rPr>
          <w:rFonts w:asciiTheme="minorHAnsi" w:hAnsiTheme="minorHAnsi"/>
          <w:i/>
          <w:color w:val="808080" w:themeColor="background1" w:themeShade="80"/>
          <w:sz w:val="16"/>
          <w:szCs w:val="16"/>
          <w:lang w:val="es-VE"/>
        </w:rPr>
        <w:t>Tennessee vs. Garner</w:t>
      </w:r>
      <w:r w:rsidRPr="00930562">
        <w:rPr>
          <w:rFonts w:asciiTheme="minorHAnsi" w:hAnsiTheme="minorHAnsi"/>
          <w:color w:val="808080" w:themeColor="background1" w:themeShade="80"/>
          <w:sz w:val="16"/>
          <w:szCs w:val="16"/>
          <w:lang w:val="es-VE"/>
        </w:rPr>
        <w:t xml:space="preserve">, 471 U.S. 1 (1985); </w:t>
      </w:r>
      <w:r w:rsidRPr="00930562">
        <w:rPr>
          <w:rFonts w:asciiTheme="minorHAnsi" w:hAnsiTheme="minorHAnsi"/>
          <w:i/>
          <w:color w:val="808080" w:themeColor="background1" w:themeShade="80"/>
          <w:sz w:val="16"/>
          <w:szCs w:val="16"/>
          <w:lang w:val="es-VE"/>
        </w:rPr>
        <w:t>Graham vs. Connor</w:t>
      </w:r>
      <w:r w:rsidRPr="00930562">
        <w:rPr>
          <w:rFonts w:asciiTheme="minorHAnsi" w:hAnsiTheme="minorHAnsi"/>
          <w:color w:val="808080" w:themeColor="background1" w:themeShade="80"/>
          <w:sz w:val="16"/>
          <w:szCs w:val="16"/>
          <w:lang w:val="es-VE"/>
        </w:rPr>
        <w:t xml:space="preserve">, 490 U.S. 386 (1989); Tim Longo,  </w:t>
      </w:r>
      <w:r w:rsidRPr="00930562">
        <w:rPr>
          <w:rFonts w:asciiTheme="minorHAnsi" w:hAnsiTheme="minorHAnsi" w:cstheme="majorHAnsi"/>
          <w:i/>
          <w:color w:val="808080" w:themeColor="background1" w:themeShade="80"/>
          <w:sz w:val="16"/>
          <w:szCs w:val="16"/>
          <w:lang w:val="es-ES"/>
        </w:rPr>
        <w:t>Defining Instrumentalities of Deadly Force</w:t>
      </w:r>
      <w:r w:rsidRPr="00930562">
        <w:rPr>
          <w:rFonts w:asciiTheme="minorHAnsi" w:hAnsiTheme="minorHAnsi"/>
          <w:color w:val="808080" w:themeColor="background1" w:themeShade="80"/>
          <w:sz w:val="16"/>
          <w:szCs w:val="16"/>
          <w:lang w:val="es-VE"/>
        </w:rPr>
        <w:t xml:space="preserve"> (</w:t>
      </w:r>
      <w:r w:rsidRPr="00930562">
        <w:rPr>
          <w:rFonts w:asciiTheme="minorHAnsi" w:hAnsiTheme="minorHAnsi"/>
          <w:i/>
          <w:color w:val="808080" w:themeColor="background1" w:themeShade="80"/>
          <w:sz w:val="16"/>
          <w:szCs w:val="16"/>
          <w:lang w:val="es-VE"/>
        </w:rPr>
        <w:t>Definiendo Instrumentalidades de la Fuerza Mortal</w:t>
      </w:r>
      <w:r w:rsidRPr="00930562">
        <w:rPr>
          <w:rFonts w:asciiTheme="minorHAnsi" w:hAnsiTheme="minorHAnsi"/>
          <w:color w:val="808080" w:themeColor="background1" w:themeShade="80"/>
          <w:sz w:val="16"/>
          <w:szCs w:val="16"/>
          <w:lang w:val="es-VE"/>
        </w:rPr>
        <w:t xml:space="preserve">), 27 Touro Law Review 261 (2011); The Nation, </w:t>
      </w:r>
      <w:hyperlink r:id="rId567" w:history="1">
        <w:r w:rsidRPr="00930562">
          <w:rPr>
            <w:rStyle w:val="Hyperlink"/>
            <w:rFonts w:asciiTheme="minorHAnsi" w:hAnsiTheme="minorHAnsi" w:cstheme="majorHAnsi"/>
            <w:color w:val="808080" w:themeColor="background1" w:themeShade="80"/>
            <w:sz w:val="16"/>
            <w:szCs w:val="16"/>
            <w:lang w:val="es-ES"/>
          </w:rPr>
          <w:t>Why It’s Impossible to Indict a Cop</w:t>
        </w:r>
      </w:hyperlink>
      <w:r w:rsidRPr="00930562">
        <w:rPr>
          <w:rFonts w:asciiTheme="minorHAnsi" w:hAnsiTheme="minorHAnsi" w:cstheme="majorHAnsi"/>
          <w:color w:val="808080" w:themeColor="background1" w:themeShade="80"/>
          <w:sz w:val="16"/>
          <w:szCs w:val="16"/>
          <w:lang w:val="es-ES"/>
        </w:rPr>
        <w:t>, (</w:t>
      </w:r>
      <w:r w:rsidRPr="00930562">
        <w:rPr>
          <w:rFonts w:asciiTheme="minorHAnsi" w:hAnsiTheme="minorHAnsi"/>
          <w:i/>
          <w:color w:val="808080" w:themeColor="background1" w:themeShade="80"/>
          <w:sz w:val="16"/>
          <w:szCs w:val="16"/>
          <w:lang w:val="es-VE"/>
        </w:rPr>
        <w:t>Por qué es imposible acusar a un policía</w:t>
      </w:r>
      <w:r w:rsidRPr="00930562">
        <w:rPr>
          <w:rFonts w:asciiTheme="minorHAnsi" w:hAnsiTheme="minorHAnsi"/>
          <w:color w:val="808080" w:themeColor="background1" w:themeShade="80"/>
          <w:sz w:val="16"/>
          <w:szCs w:val="16"/>
          <w:lang w:val="es-VE"/>
        </w:rPr>
        <w:t xml:space="preserve">), 25 de diciembre de 2014.  </w:t>
      </w:r>
    </w:p>
  </w:footnote>
  <w:footnote w:id="473">
    <w:p w14:paraId="7D954AB6"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eastAsia="Times New Roman" w:hAnsiTheme="minorHAnsi" w:cstheme="majorHAnsi"/>
          <w:color w:val="808080" w:themeColor="background1" w:themeShade="80"/>
          <w:sz w:val="16"/>
          <w:szCs w:val="16"/>
          <w:lang w:val="es-ES" w:eastAsia="es-ES"/>
        </w:rPr>
        <w:t xml:space="preserve">ONU, </w:t>
      </w:r>
      <w:hyperlink r:id="rId568" w:history="1">
        <w:r w:rsidRPr="00930562">
          <w:rPr>
            <w:rStyle w:val="Hyperlink"/>
            <w:rFonts w:asciiTheme="minorHAnsi" w:eastAsia="Times New Roman" w:hAnsiTheme="minorHAnsi" w:cstheme="majorHAnsi"/>
            <w:color w:val="808080" w:themeColor="background1" w:themeShade="80"/>
            <w:sz w:val="16"/>
            <w:szCs w:val="16"/>
            <w:lang w:val="es-ES" w:eastAsia="es-ES"/>
          </w:rPr>
          <w:t>Principios Básicos de la ONU sobre empleo de la fuerza</w:t>
        </w:r>
      </w:hyperlink>
      <w:r w:rsidRPr="00930562">
        <w:rPr>
          <w:rFonts w:asciiTheme="minorHAnsi" w:eastAsia="Times New Roman" w:hAnsiTheme="minorHAnsi" w:cstheme="majorHAnsi"/>
          <w:color w:val="808080" w:themeColor="background1" w:themeShade="80"/>
          <w:sz w:val="16"/>
          <w:szCs w:val="16"/>
          <w:lang w:val="es-ES" w:eastAsia="es-ES"/>
        </w:rPr>
        <w:t xml:space="preserve">, </w:t>
      </w:r>
      <w:r w:rsidRPr="00930562">
        <w:rPr>
          <w:rFonts w:asciiTheme="minorHAnsi" w:hAnsiTheme="minorHAnsi" w:cstheme="majorHAnsi"/>
          <w:color w:val="808080" w:themeColor="background1" w:themeShade="80"/>
          <w:sz w:val="16"/>
          <w:szCs w:val="16"/>
          <w:lang w:val="es-ES"/>
        </w:rPr>
        <w:t>No. 9</w:t>
      </w:r>
      <w:r w:rsidRPr="00930562">
        <w:rPr>
          <w:rFonts w:asciiTheme="minorHAnsi" w:hAnsiTheme="minorHAnsi" w:cstheme="majorHAnsi"/>
          <w:i/>
          <w:color w:val="808080" w:themeColor="background1" w:themeShade="80"/>
          <w:sz w:val="16"/>
          <w:szCs w:val="16"/>
          <w:lang w:val="es-ES"/>
        </w:rPr>
        <w:t xml:space="preserve"> </w:t>
      </w:r>
      <w:r w:rsidRPr="00930562">
        <w:rPr>
          <w:rFonts w:asciiTheme="minorHAnsi" w:hAnsiTheme="minorHAnsi" w:cstheme="majorHAnsi"/>
          <w:color w:val="808080" w:themeColor="background1" w:themeShade="80"/>
          <w:sz w:val="16"/>
          <w:szCs w:val="16"/>
          <w:lang w:val="es-ES"/>
        </w:rPr>
        <w:t>(“...En cualquier caso, sólo se podrá hacer uso intencional de armas letales cuando sea estrictamente inevitable para proteger una vida”.).</w:t>
      </w:r>
    </w:p>
  </w:footnote>
  <w:footnote w:id="474">
    <w:p w14:paraId="63602240"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rPr>
        <w:tab/>
        <w:t>471 U.S. 1, 3 (1985).</w:t>
      </w:r>
    </w:p>
  </w:footnote>
  <w:footnote w:id="475">
    <w:p w14:paraId="53FF8744" w14:textId="4E7C9F72" w:rsidR="00F64540" w:rsidRPr="00930562" w:rsidRDefault="00F64540" w:rsidP="00E10935">
      <w:pPr>
        <w:pStyle w:val="FootnoteText"/>
        <w:spacing w:after="40"/>
        <w:ind w:left="547" w:hanging="547"/>
        <w:rPr>
          <w:rFonts w:asciiTheme="minorHAnsi" w:hAnsiTheme="minorHAnsi"/>
          <w:color w:val="808080" w:themeColor="background1" w:themeShade="80"/>
          <w:sz w:val="16"/>
          <w:szCs w:val="16"/>
          <w:highlight w:val="yellow"/>
        </w:rPr>
      </w:pPr>
      <w:r w:rsidRPr="00930562">
        <w:rPr>
          <w:rStyle w:val="FootnoteReference"/>
          <w:rFonts w:asciiTheme="minorHAnsi" w:hAnsiTheme="minorHAnsi"/>
          <w:color w:val="808080" w:themeColor="background1" w:themeShade="80"/>
          <w:sz w:val="16"/>
          <w:szCs w:val="16"/>
        </w:rPr>
        <w:footnoteRef/>
      </w:r>
      <w:r w:rsidRPr="00930562">
        <w:rPr>
          <w:rFonts w:asciiTheme="minorHAnsi" w:hAnsiTheme="minorHAnsi"/>
          <w:color w:val="808080" w:themeColor="background1" w:themeShade="80"/>
          <w:sz w:val="16"/>
          <w:szCs w:val="16"/>
        </w:rPr>
        <w:t xml:space="preserve">          Graham vs. Connor, 490 U.S. 386 (1989).</w:t>
      </w:r>
    </w:p>
  </w:footnote>
  <w:footnote w:id="476">
    <w:p w14:paraId="16D641EF" w14:textId="2AA18DA7" w:rsidR="00F64540" w:rsidRPr="00930562" w:rsidRDefault="00F64540" w:rsidP="00E10935">
      <w:pPr>
        <w:pStyle w:val="FootnoteText"/>
        <w:spacing w:after="40"/>
        <w:ind w:left="547" w:hanging="547"/>
        <w:rPr>
          <w:rFonts w:asciiTheme="minorHAnsi" w:hAnsiTheme="minorHAnsi"/>
          <w:color w:val="808080" w:themeColor="background1" w:themeShade="80"/>
          <w:sz w:val="16"/>
          <w:szCs w:val="16"/>
          <w:highlight w:val="yellow"/>
        </w:rPr>
      </w:pPr>
      <w:r w:rsidRPr="00930562">
        <w:rPr>
          <w:rStyle w:val="FootnoteReference"/>
          <w:rFonts w:asciiTheme="minorHAnsi" w:hAnsiTheme="minorHAnsi"/>
          <w:color w:val="808080" w:themeColor="background1" w:themeShade="80"/>
          <w:sz w:val="16"/>
          <w:szCs w:val="16"/>
        </w:rPr>
        <w:footnoteRef/>
      </w:r>
      <w:r w:rsidRPr="00930562">
        <w:rPr>
          <w:rFonts w:asciiTheme="minorHAnsi" w:hAnsiTheme="minorHAnsi"/>
          <w:color w:val="808080" w:themeColor="background1" w:themeShade="80"/>
          <w:sz w:val="16"/>
          <w:szCs w:val="16"/>
        </w:rPr>
        <w:t xml:space="preserve">          </w:t>
      </w:r>
      <w:r w:rsidRPr="00930562">
        <w:rPr>
          <w:rFonts w:asciiTheme="minorHAnsi" w:hAnsiTheme="minorHAnsi" w:cstheme="majorHAnsi"/>
          <w:color w:val="808080" w:themeColor="background1" w:themeShade="80"/>
          <w:sz w:val="16"/>
          <w:szCs w:val="16"/>
        </w:rPr>
        <w:t>Id. at 396.</w:t>
      </w:r>
    </w:p>
  </w:footnote>
  <w:footnote w:id="477">
    <w:p w14:paraId="778EA7D2" w14:textId="6D9E925D" w:rsidR="00F64540" w:rsidRPr="00930562" w:rsidRDefault="00F64540" w:rsidP="00E10935">
      <w:pPr>
        <w:pStyle w:val="FootnoteText"/>
        <w:spacing w:after="40"/>
        <w:ind w:left="547" w:hanging="547"/>
        <w:rPr>
          <w:rFonts w:asciiTheme="minorHAnsi" w:hAnsiTheme="minorHAnsi"/>
          <w:color w:val="808080" w:themeColor="background1" w:themeShade="80"/>
          <w:sz w:val="16"/>
          <w:szCs w:val="16"/>
        </w:rPr>
      </w:pPr>
      <w:r w:rsidRPr="00930562">
        <w:rPr>
          <w:rStyle w:val="FootnoteReference"/>
          <w:rFonts w:asciiTheme="minorHAnsi" w:hAnsiTheme="minorHAnsi"/>
          <w:color w:val="808080" w:themeColor="background1" w:themeShade="80"/>
          <w:sz w:val="16"/>
          <w:szCs w:val="16"/>
        </w:rPr>
        <w:footnoteRef/>
      </w:r>
      <w:r w:rsidRPr="00930562">
        <w:rPr>
          <w:rFonts w:asciiTheme="minorHAnsi" w:hAnsiTheme="minorHAnsi"/>
          <w:color w:val="808080" w:themeColor="background1" w:themeShade="80"/>
          <w:sz w:val="16"/>
          <w:szCs w:val="16"/>
        </w:rPr>
        <w:t xml:space="preserve">        </w:t>
      </w:r>
      <w:r w:rsidRPr="00930562">
        <w:rPr>
          <w:rFonts w:asciiTheme="minorHAnsi" w:hAnsiTheme="minorHAnsi" w:cstheme="majorHAnsi"/>
          <w:i/>
          <w:color w:val="808080" w:themeColor="background1" w:themeShade="80"/>
          <w:sz w:val="16"/>
          <w:szCs w:val="16"/>
        </w:rPr>
        <w:t>Scott v. Harris</w:t>
      </w:r>
      <w:r w:rsidRPr="00930562">
        <w:rPr>
          <w:rFonts w:asciiTheme="minorHAnsi" w:hAnsiTheme="minorHAnsi" w:cstheme="majorHAnsi"/>
          <w:color w:val="808080" w:themeColor="background1" w:themeShade="80"/>
          <w:sz w:val="16"/>
          <w:szCs w:val="16"/>
        </w:rPr>
        <w:t>, 550 U.S. 372, 382 (2007).</w:t>
      </w:r>
    </w:p>
  </w:footnote>
  <w:footnote w:id="478">
    <w:p w14:paraId="08D0C19B" w14:textId="1F5A7DF3" w:rsidR="00F64540" w:rsidRPr="00930562" w:rsidRDefault="00F64540" w:rsidP="00E10935">
      <w:pPr>
        <w:pStyle w:val="FootnoteText"/>
        <w:spacing w:after="40"/>
        <w:ind w:left="547" w:hanging="547"/>
        <w:rPr>
          <w:rFonts w:asciiTheme="minorHAnsi" w:hAnsiTheme="minorHAnsi"/>
          <w:color w:val="808080" w:themeColor="background1" w:themeShade="80"/>
          <w:sz w:val="16"/>
          <w:szCs w:val="16"/>
        </w:rPr>
      </w:pPr>
      <w:r w:rsidRPr="00930562">
        <w:rPr>
          <w:rStyle w:val="FootnoteReference"/>
          <w:rFonts w:asciiTheme="minorHAnsi" w:hAnsiTheme="minorHAnsi"/>
          <w:color w:val="808080" w:themeColor="background1" w:themeShade="80"/>
          <w:sz w:val="16"/>
          <w:szCs w:val="16"/>
        </w:rPr>
        <w:footnoteRef/>
      </w:r>
      <w:r w:rsidRPr="00930562">
        <w:rPr>
          <w:rFonts w:asciiTheme="minorHAnsi" w:hAnsiTheme="minorHAnsi"/>
          <w:color w:val="808080" w:themeColor="background1" w:themeShade="80"/>
          <w:sz w:val="16"/>
          <w:szCs w:val="16"/>
        </w:rPr>
        <w:t xml:space="preserve">        </w:t>
      </w:r>
      <w:r w:rsidRPr="00930562">
        <w:rPr>
          <w:rFonts w:asciiTheme="minorHAnsi" w:hAnsiTheme="minorHAnsi" w:cstheme="majorHAnsi"/>
          <w:i/>
          <w:color w:val="808080" w:themeColor="background1" w:themeShade="80"/>
          <w:sz w:val="16"/>
          <w:szCs w:val="16"/>
        </w:rPr>
        <w:t xml:space="preserve">See </w:t>
      </w:r>
      <w:hyperlink r:id="rId569" w:history="1">
        <w:r w:rsidRPr="00930562">
          <w:rPr>
            <w:rStyle w:val="Hyperlink"/>
            <w:rFonts w:asciiTheme="minorHAnsi" w:hAnsiTheme="minorHAnsi" w:cstheme="majorHAnsi"/>
            <w:bCs/>
            <w:color w:val="808080" w:themeColor="background1" w:themeShade="80"/>
            <w:sz w:val="16"/>
            <w:szCs w:val="16"/>
          </w:rPr>
          <w:t>U.N. Basic Principles on the Use of Force</w:t>
        </w:r>
      </w:hyperlink>
      <w:r w:rsidRPr="00930562">
        <w:rPr>
          <w:rFonts w:asciiTheme="minorHAnsi" w:hAnsiTheme="minorHAnsi" w:cstheme="majorHAnsi"/>
          <w:bCs/>
          <w:color w:val="808080" w:themeColor="background1" w:themeShade="80"/>
          <w:sz w:val="16"/>
          <w:szCs w:val="16"/>
        </w:rPr>
        <w:t>, No.</w:t>
      </w:r>
      <w:r w:rsidRPr="00930562">
        <w:rPr>
          <w:rFonts w:asciiTheme="minorHAnsi" w:hAnsiTheme="minorHAnsi" w:cstheme="majorHAnsi"/>
          <w:color w:val="808080" w:themeColor="background1" w:themeShade="80"/>
          <w:sz w:val="16"/>
          <w:szCs w:val="16"/>
        </w:rPr>
        <w:t xml:space="preserve"> 9.</w:t>
      </w:r>
    </w:p>
  </w:footnote>
  <w:footnote w:id="479">
    <w:p w14:paraId="24FF3E1D"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Amnistía Internacional, </w:t>
      </w:r>
      <w:hyperlink r:id="rId570" w:history="1">
        <w:r w:rsidRPr="00930562">
          <w:rPr>
            <w:rStyle w:val="Hyperlink"/>
            <w:rFonts w:asciiTheme="minorHAnsi" w:hAnsiTheme="minorHAnsi" w:cstheme="majorHAnsi"/>
            <w:color w:val="808080" w:themeColor="background1" w:themeShade="80"/>
            <w:sz w:val="16"/>
            <w:szCs w:val="16"/>
            <w:lang w:val="es-ES"/>
          </w:rPr>
          <w:t>Fuerza Letal: Uso de la fuerza letal por parte de la policía en Estados Unidos</w:t>
        </w:r>
      </w:hyperlink>
      <w:r w:rsidRPr="00930562">
        <w:rPr>
          <w:rFonts w:asciiTheme="minorHAnsi" w:hAnsiTheme="minorHAnsi" w:cstheme="majorHAnsi"/>
          <w:color w:val="808080" w:themeColor="background1" w:themeShade="80"/>
          <w:sz w:val="16"/>
          <w:szCs w:val="16"/>
          <w:lang w:val="es-ES"/>
        </w:rPr>
        <w:t xml:space="preserve"> Junio 2015, p. 18.</w:t>
      </w:r>
    </w:p>
  </w:footnote>
  <w:footnote w:id="480">
    <w:p w14:paraId="6EFEB4C6"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hAnsiTheme="minorHAnsi" w:cstheme="majorHAnsi"/>
          <w:i/>
          <w:color w:val="808080" w:themeColor="background1" w:themeShade="80"/>
          <w:sz w:val="16"/>
          <w:szCs w:val="16"/>
          <w:lang w:val="es-ES"/>
        </w:rPr>
        <w:t>Ver</w:t>
      </w:r>
      <w:r w:rsidRPr="00930562">
        <w:rPr>
          <w:rFonts w:asciiTheme="minorHAnsi" w:hAnsiTheme="minorHAnsi" w:cstheme="majorHAnsi"/>
          <w:color w:val="808080" w:themeColor="background1" w:themeShade="80"/>
          <w:sz w:val="16"/>
          <w:szCs w:val="16"/>
          <w:lang w:val="es-ES"/>
        </w:rPr>
        <w:t xml:space="preserve"> Instituto de Justicia, </w:t>
      </w:r>
      <w:hyperlink r:id="rId571" w:history="1">
        <w:r w:rsidRPr="00930562">
          <w:rPr>
            <w:rStyle w:val="Hyperlink"/>
            <w:rFonts w:asciiTheme="minorHAnsi" w:hAnsiTheme="minorHAnsi" w:cstheme="majorHAnsi"/>
            <w:color w:val="808080" w:themeColor="background1" w:themeShade="80"/>
            <w:sz w:val="16"/>
            <w:szCs w:val="16"/>
            <w:lang w:val="es-ES"/>
          </w:rPr>
          <w:t>Proteger y Servir: Nuevas Tendencias en las Reformas Policiales a Nivel Estatal 2015-2016,</w:t>
        </w:r>
      </w:hyperlink>
      <w:r w:rsidRPr="00930562">
        <w:rPr>
          <w:rFonts w:asciiTheme="minorHAnsi" w:hAnsiTheme="minorHAnsi" w:cstheme="majorHAnsi"/>
          <w:color w:val="808080" w:themeColor="background1" w:themeShade="80"/>
          <w:sz w:val="16"/>
          <w:szCs w:val="16"/>
          <w:lang w:val="es-ES"/>
        </w:rPr>
        <w:t xml:space="preserve"> Abril 2017.</w:t>
      </w:r>
    </w:p>
  </w:footnote>
  <w:footnote w:id="481">
    <w:p w14:paraId="3C6A12C1" w14:textId="77777777" w:rsidR="00F64540" w:rsidRPr="00930562" w:rsidRDefault="00F64540" w:rsidP="00E10935">
      <w:pPr>
        <w:pStyle w:val="FootnoteText"/>
        <w:spacing w:after="40"/>
        <w:ind w:left="547" w:hanging="547"/>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hAnsiTheme="minorHAnsi" w:cstheme="majorHAnsi"/>
          <w:bCs/>
          <w:color w:val="808080" w:themeColor="background1" w:themeShade="80"/>
          <w:sz w:val="16"/>
          <w:szCs w:val="16"/>
          <w:lang w:val="es-ES"/>
        </w:rPr>
        <w:t xml:space="preserve">CIDH, </w:t>
      </w:r>
      <w:hyperlink r:id="rId572" w:history="1">
        <w:r w:rsidRPr="00930562">
          <w:rPr>
            <w:rStyle w:val="Hyperlink"/>
            <w:rFonts w:asciiTheme="minorHAnsi" w:hAnsiTheme="minorHAnsi" w:cstheme="majorHAnsi"/>
            <w:bCs/>
            <w:color w:val="808080" w:themeColor="background1" w:themeShade="80"/>
            <w:sz w:val="16"/>
            <w:szCs w:val="16"/>
            <w:lang w:val="es-ES"/>
          </w:rPr>
          <w:t>CIDH expresa preocupación frente a las deficiencias en la investigación de casos relacionados con asesinatos de afrodescendientes a manos de la policía en Estados Unidos</w:t>
        </w:r>
      </w:hyperlink>
      <w:r w:rsidRPr="00930562">
        <w:rPr>
          <w:rFonts w:asciiTheme="minorHAnsi" w:hAnsiTheme="minorHAnsi" w:cstheme="majorHAnsi"/>
          <w:bCs/>
          <w:color w:val="808080" w:themeColor="background1" w:themeShade="80"/>
          <w:sz w:val="16"/>
          <w:szCs w:val="16"/>
          <w:lang w:val="es-ES"/>
        </w:rPr>
        <w:t>, 23 de agosto de 2016.</w:t>
      </w:r>
    </w:p>
  </w:footnote>
  <w:footnote w:id="482">
    <w:p w14:paraId="4C5E557F"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En cuanto a la pertinencia de la legislación nacional que prohíbe efectivamente la violación de los derechos internacionalmente reconocidos, véase, por ejemplo, Corte IDH. </w:t>
      </w:r>
      <w:hyperlink r:id="rId573" w:history="1">
        <w:r w:rsidRPr="00930562">
          <w:rPr>
            <w:rStyle w:val="Hyperlink"/>
            <w:rFonts w:asciiTheme="minorHAnsi" w:hAnsiTheme="minorHAnsi" w:cstheme="majorHAnsi"/>
            <w:i/>
            <w:color w:val="808080" w:themeColor="background1" w:themeShade="80"/>
            <w:sz w:val="16"/>
            <w:szCs w:val="16"/>
            <w:lang w:val="es-ES"/>
          </w:rPr>
          <w:t>Responsabilidad internacional por expedición y aplicación de leyes violatorias de la Convención (Arts. 1 y 2 Convención Americana sobre Derechos Humanos).</w:t>
        </w:r>
      </w:hyperlink>
      <w:r w:rsidRPr="00930562">
        <w:rPr>
          <w:rFonts w:asciiTheme="minorHAnsi" w:hAnsiTheme="minorHAnsi" w:cstheme="majorHAnsi"/>
          <w:color w:val="808080" w:themeColor="background1" w:themeShade="80"/>
          <w:sz w:val="16"/>
          <w:szCs w:val="16"/>
          <w:lang w:val="es-ES"/>
        </w:rPr>
        <w:t xml:space="preserve"> Opinión Consultiva OC-14/94 de 9 de diciembre de 1994. Serie A No. 14, párrs. 37-39; ONU, Grupo de Trabajo sobre Desapariciones Forzadas o Involuntarias, </w:t>
      </w:r>
      <w:hyperlink r:id="rId574" w:history="1">
        <w:r w:rsidRPr="00930562">
          <w:rPr>
            <w:rStyle w:val="Hyperlink"/>
            <w:rFonts w:asciiTheme="minorHAnsi" w:hAnsiTheme="minorHAnsi" w:cstheme="majorHAnsi"/>
            <w:i/>
            <w:color w:val="808080" w:themeColor="background1" w:themeShade="80"/>
            <w:sz w:val="16"/>
            <w:szCs w:val="16"/>
            <w:lang w:val="es-ES"/>
          </w:rPr>
          <w:t>Mejores prácticas de legislación penal nacional sobre desapariciones forzadas</w:t>
        </w:r>
      </w:hyperlink>
      <w:r w:rsidRPr="00930562">
        <w:rPr>
          <w:rFonts w:asciiTheme="minorHAnsi" w:hAnsiTheme="minorHAnsi" w:cstheme="majorHAnsi"/>
          <w:color w:val="808080" w:themeColor="background1" w:themeShade="80"/>
          <w:sz w:val="16"/>
          <w:szCs w:val="16"/>
          <w:lang w:val="es-ES"/>
        </w:rPr>
        <w:t>, A/HRC/16/48/Add.3, 28 de diciembre de 2010, párr. 10.</w:t>
      </w:r>
    </w:p>
  </w:footnote>
  <w:footnote w:id="483">
    <w:p w14:paraId="5A02CBBE" w14:textId="2CB9C23D"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hAnsiTheme="minorHAnsi" w:cstheme="majorHAnsi"/>
          <w:i/>
          <w:color w:val="808080" w:themeColor="background1" w:themeShade="80"/>
          <w:sz w:val="16"/>
          <w:szCs w:val="16"/>
          <w:lang w:val="es-ES"/>
        </w:rPr>
        <w:t>Ver también supra</w:t>
      </w:r>
      <w:r w:rsidRPr="00930562">
        <w:rPr>
          <w:rFonts w:asciiTheme="minorHAnsi" w:hAnsiTheme="minorHAnsi" w:cstheme="majorHAnsi"/>
          <w:color w:val="808080" w:themeColor="background1" w:themeShade="80"/>
          <w:sz w:val="16"/>
          <w:szCs w:val="16"/>
          <w:lang w:val="es-ES"/>
        </w:rPr>
        <w:t xml:space="preserve"> párr. </w:t>
      </w:r>
      <w:r w:rsidRPr="00930562">
        <w:rPr>
          <w:rFonts w:asciiTheme="minorHAnsi" w:hAnsiTheme="minorHAnsi"/>
          <w:color w:val="808080" w:themeColor="background1" w:themeShade="80"/>
          <w:sz w:val="16"/>
          <w:szCs w:val="16"/>
          <w:lang w:val="es-MX"/>
        </w:rPr>
        <w:t>208</w:t>
      </w:r>
      <w:r w:rsidRPr="00930562">
        <w:rPr>
          <w:rFonts w:asciiTheme="minorHAnsi" w:hAnsiTheme="minorHAnsi" w:cstheme="majorHAnsi"/>
          <w:color w:val="808080" w:themeColor="background1" w:themeShade="80"/>
          <w:sz w:val="16"/>
          <w:szCs w:val="16"/>
          <w:lang w:val="es-ES"/>
        </w:rPr>
        <w:t>.</w:t>
      </w:r>
    </w:p>
  </w:footnote>
  <w:footnote w:id="484">
    <w:p w14:paraId="384F135D"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eastAsia="Times New Roman" w:hAnsiTheme="minorHAnsi" w:cstheme="majorHAnsi"/>
          <w:color w:val="808080" w:themeColor="background1" w:themeShade="80"/>
          <w:sz w:val="16"/>
          <w:szCs w:val="16"/>
          <w:lang w:val="es-ES" w:eastAsia="es-ES"/>
        </w:rPr>
        <w:t xml:space="preserve">CIDH, </w:t>
      </w:r>
      <w:hyperlink r:id="rId575" w:history="1">
        <w:r w:rsidRPr="00930562">
          <w:rPr>
            <w:rStyle w:val="Hyperlink"/>
            <w:rFonts w:asciiTheme="minorHAnsi" w:eastAsia="Times New Roman" w:hAnsiTheme="minorHAnsi" w:cstheme="majorHAnsi"/>
            <w:color w:val="808080" w:themeColor="background1" w:themeShade="80"/>
            <w:sz w:val="16"/>
            <w:szCs w:val="16"/>
            <w:lang w:val="es-ES" w:eastAsia="es-ES"/>
          </w:rPr>
          <w:t>Informe Anual 2015, Cap</w:t>
        </w:r>
        <w:r w:rsidRPr="00930562">
          <w:rPr>
            <w:rStyle w:val="Hyperlink"/>
            <w:rFonts w:asciiTheme="minorHAnsi" w:eastAsia="Times New Roman" w:hAnsiTheme="minorHAnsi" w:cstheme="majorHAnsi"/>
            <w:color w:val="808080" w:themeColor="background1" w:themeShade="80"/>
            <w:sz w:val="16"/>
            <w:szCs w:val="16"/>
            <w:lang w:val="es-ES_tradnl" w:eastAsia="es-ES"/>
          </w:rPr>
          <w:t>ítulo IV Uso de la fuerza</w:t>
        </w:r>
      </w:hyperlink>
      <w:r w:rsidRPr="00930562">
        <w:rPr>
          <w:rFonts w:asciiTheme="minorHAnsi" w:eastAsia="Times New Roman" w:hAnsiTheme="minorHAnsi" w:cstheme="majorHAnsi"/>
          <w:color w:val="808080" w:themeColor="background1" w:themeShade="80"/>
          <w:sz w:val="16"/>
          <w:szCs w:val="16"/>
          <w:lang w:val="es-ES_tradnl" w:eastAsia="es-ES"/>
        </w:rPr>
        <w:t xml:space="preserve">, párr. </w:t>
      </w:r>
      <w:r w:rsidRPr="00930562">
        <w:rPr>
          <w:rFonts w:asciiTheme="minorHAnsi" w:hAnsiTheme="minorHAnsi" w:cstheme="majorHAnsi"/>
          <w:color w:val="808080" w:themeColor="background1" w:themeShade="80"/>
          <w:sz w:val="16"/>
          <w:szCs w:val="16"/>
          <w:lang w:val="es-ES"/>
        </w:rPr>
        <w:t xml:space="preserve">21 (citando Corte IDH. </w:t>
      </w:r>
      <w:r w:rsidRPr="00930562">
        <w:rPr>
          <w:rFonts w:asciiTheme="minorHAnsi" w:hAnsiTheme="minorHAnsi" w:cstheme="majorHAnsi"/>
          <w:i/>
          <w:color w:val="808080" w:themeColor="background1" w:themeShade="80"/>
          <w:sz w:val="16"/>
          <w:szCs w:val="16"/>
          <w:lang w:val="es-ES"/>
        </w:rPr>
        <w:t>Caso Montero Aranguren y otros (Retén de Catia vs. Venezuela)</w:t>
      </w:r>
      <w:r w:rsidRPr="00930562">
        <w:rPr>
          <w:rFonts w:asciiTheme="minorHAnsi" w:hAnsiTheme="minorHAnsi" w:cstheme="majorHAnsi"/>
          <w:color w:val="808080" w:themeColor="background1" w:themeShade="80"/>
          <w:sz w:val="16"/>
          <w:szCs w:val="16"/>
          <w:lang w:val="es-ES"/>
        </w:rPr>
        <w:t xml:space="preserve">. Excepciones Preliminares, Fondo, Reparaciones y Costas. Sentencia de 5 de julio de 2006. Serie C No. 150, párr. 77; y </w:t>
      </w:r>
      <w:r w:rsidRPr="00930562">
        <w:rPr>
          <w:rFonts w:asciiTheme="minorHAnsi" w:hAnsiTheme="minorHAnsi" w:cstheme="majorHAnsi"/>
          <w:i/>
          <w:color w:val="808080" w:themeColor="background1" w:themeShade="80"/>
          <w:sz w:val="16"/>
          <w:szCs w:val="16"/>
          <w:lang w:val="es-ES"/>
        </w:rPr>
        <w:t>Caso Zambrano Vélez y otros vs. Ecuador</w:t>
      </w:r>
      <w:r w:rsidRPr="00930562">
        <w:rPr>
          <w:rFonts w:asciiTheme="minorHAnsi" w:hAnsiTheme="minorHAnsi" w:cstheme="majorHAnsi"/>
          <w:color w:val="808080" w:themeColor="background1" w:themeShade="80"/>
          <w:sz w:val="16"/>
          <w:szCs w:val="16"/>
          <w:lang w:val="es-ES"/>
        </w:rPr>
        <w:t xml:space="preserve">. Fondo, Reparaciones y Costas. Sentencia de 4 de julio de 2007. Serie C No. 166, párr. 87. </w:t>
      </w:r>
      <w:r w:rsidRPr="00930562">
        <w:rPr>
          <w:rFonts w:asciiTheme="minorHAnsi" w:hAnsiTheme="minorHAnsi" w:cstheme="majorHAnsi"/>
          <w:i/>
          <w:color w:val="808080" w:themeColor="background1" w:themeShade="80"/>
          <w:sz w:val="16"/>
          <w:szCs w:val="16"/>
          <w:lang w:val="es-ES"/>
        </w:rPr>
        <w:t>Ver también</w:t>
      </w:r>
      <w:r w:rsidRPr="00930562">
        <w:rPr>
          <w:rFonts w:asciiTheme="minorHAnsi" w:hAnsiTheme="minorHAnsi" w:cstheme="majorHAnsi"/>
          <w:color w:val="808080" w:themeColor="background1" w:themeShade="80"/>
          <w:sz w:val="16"/>
          <w:szCs w:val="16"/>
          <w:lang w:val="es-ES"/>
        </w:rPr>
        <w:t>, CIDH, Informe sobre seguridad ciudadana y derechos humanos, 31 de diciembre de 2009, párr. 115.)</w:t>
      </w:r>
    </w:p>
  </w:footnote>
  <w:footnote w:id="485">
    <w:p w14:paraId="4CA69A5F"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Id. </w:t>
      </w:r>
      <w:r w:rsidRPr="00930562">
        <w:rPr>
          <w:rFonts w:asciiTheme="minorHAnsi" w:hAnsiTheme="minorHAnsi" w:cstheme="majorHAnsi"/>
          <w:color w:val="808080" w:themeColor="background1" w:themeShade="80"/>
          <w:sz w:val="16"/>
          <w:szCs w:val="16"/>
          <w:lang w:val="es-ES_tradnl"/>
        </w:rPr>
        <w:t>párr.</w:t>
      </w:r>
      <w:r w:rsidRPr="00930562">
        <w:rPr>
          <w:rFonts w:asciiTheme="minorHAnsi" w:hAnsiTheme="minorHAnsi" w:cstheme="majorHAnsi"/>
          <w:color w:val="808080" w:themeColor="background1" w:themeShade="80"/>
          <w:sz w:val="16"/>
          <w:szCs w:val="16"/>
          <w:lang w:val="es-ES"/>
        </w:rPr>
        <w:t xml:space="preserve"> 22.</w:t>
      </w:r>
    </w:p>
  </w:footnote>
  <w:footnote w:id="486">
    <w:p w14:paraId="2E7D0235"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eastAsia="Times New Roman" w:hAnsiTheme="minorHAnsi" w:cstheme="majorHAnsi"/>
          <w:color w:val="808080" w:themeColor="background1" w:themeShade="80"/>
          <w:sz w:val="16"/>
          <w:szCs w:val="16"/>
          <w:lang w:val="es-ES" w:eastAsia="es-ES"/>
        </w:rPr>
        <w:t xml:space="preserve">ONU, </w:t>
      </w:r>
      <w:hyperlink r:id="rId576" w:history="1">
        <w:r w:rsidRPr="00930562">
          <w:rPr>
            <w:rStyle w:val="Hyperlink"/>
            <w:rFonts w:asciiTheme="minorHAnsi" w:eastAsia="Times New Roman" w:hAnsiTheme="minorHAnsi" w:cstheme="majorHAnsi"/>
            <w:color w:val="808080" w:themeColor="background1" w:themeShade="80"/>
            <w:sz w:val="16"/>
            <w:szCs w:val="16"/>
            <w:lang w:val="es-ES" w:eastAsia="es-ES"/>
          </w:rPr>
          <w:t>Principios Básicos de la ONU sobre empleo de la fuerza</w:t>
        </w:r>
      </w:hyperlink>
      <w:r w:rsidRPr="00930562">
        <w:rPr>
          <w:rFonts w:asciiTheme="minorHAnsi" w:eastAsia="Times New Roman" w:hAnsiTheme="minorHAnsi" w:cstheme="majorHAnsi"/>
          <w:color w:val="808080" w:themeColor="background1" w:themeShade="80"/>
          <w:sz w:val="16"/>
          <w:szCs w:val="16"/>
          <w:lang w:val="es-ES" w:eastAsia="es-ES"/>
        </w:rPr>
        <w:t xml:space="preserve">, </w:t>
      </w:r>
      <w:r w:rsidRPr="00930562">
        <w:rPr>
          <w:rFonts w:asciiTheme="minorHAnsi" w:hAnsiTheme="minorHAnsi" w:cstheme="majorHAnsi"/>
          <w:bCs/>
          <w:color w:val="808080" w:themeColor="background1" w:themeShade="80"/>
          <w:sz w:val="16"/>
          <w:szCs w:val="16"/>
          <w:lang w:val="es-ES"/>
        </w:rPr>
        <w:t>No.</w:t>
      </w:r>
      <w:r w:rsidRPr="00930562">
        <w:rPr>
          <w:rFonts w:asciiTheme="minorHAnsi" w:hAnsiTheme="minorHAnsi" w:cstheme="majorHAnsi"/>
          <w:color w:val="808080" w:themeColor="background1" w:themeShade="80"/>
          <w:sz w:val="16"/>
          <w:szCs w:val="16"/>
          <w:lang w:val="es-ES"/>
        </w:rPr>
        <w:t xml:space="preserve"> 18.</w:t>
      </w:r>
    </w:p>
  </w:footnote>
  <w:footnote w:id="487">
    <w:p w14:paraId="0CCA80FA"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eastAsia="Times New Roman" w:hAnsiTheme="minorHAnsi" w:cstheme="majorHAnsi"/>
          <w:color w:val="808080" w:themeColor="background1" w:themeShade="80"/>
          <w:sz w:val="16"/>
          <w:szCs w:val="16"/>
          <w:lang w:val="es-ES" w:eastAsia="es-ES"/>
        </w:rPr>
        <w:t xml:space="preserve">ONU, </w:t>
      </w:r>
      <w:hyperlink r:id="rId577" w:history="1">
        <w:r w:rsidRPr="00930562">
          <w:rPr>
            <w:rStyle w:val="Hyperlink"/>
            <w:rFonts w:asciiTheme="minorHAnsi" w:eastAsia="Times New Roman" w:hAnsiTheme="minorHAnsi" w:cstheme="majorHAnsi"/>
            <w:color w:val="808080" w:themeColor="background1" w:themeShade="80"/>
            <w:sz w:val="16"/>
            <w:szCs w:val="16"/>
            <w:lang w:val="es-ES" w:eastAsia="es-ES"/>
          </w:rPr>
          <w:t>Principios Básicos de la ONU sobre empleo de la fuerza</w:t>
        </w:r>
      </w:hyperlink>
      <w:r w:rsidRPr="00930562">
        <w:rPr>
          <w:rFonts w:asciiTheme="minorHAnsi" w:eastAsia="Times New Roman" w:hAnsiTheme="minorHAnsi" w:cstheme="majorHAnsi"/>
          <w:color w:val="808080" w:themeColor="background1" w:themeShade="80"/>
          <w:sz w:val="16"/>
          <w:szCs w:val="16"/>
          <w:lang w:val="es-ES" w:eastAsia="es-ES"/>
        </w:rPr>
        <w:t xml:space="preserve">, </w:t>
      </w:r>
      <w:r w:rsidRPr="00930562">
        <w:rPr>
          <w:rFonts w:asciiTheme="minorHAnsi" w:hAnsiTheme="minorHAnsi" w:cstheme="majorHAnsi"/>
          <w:bCs/>
          <w:color w:val="808080" w:themeColor="background1" w:themeShade="80"/>
          <w:sz w:val="16"/>
          <w:szCs w:val="16"/>
          <w:lang w:val="es-ES"/>
        </w:rPr>
        <w:t>No.</w:t>
      </w:r>
      <w:r w:rsidRPr="00930562">
        <w:rPr>
          <w:rFonts w:asciiTheme="minorHAnsi" w:hAnsiTheme="minorHAnsi" w:cstheme="majorHAnsi"/>
          <w:color w:val="808080" w:themeColor="background1" w:themeShade="80"/>
          <w:sz w:val="16"/>
          <w:szCs w:val="16"/>
          <w:lang w:val="es-ES"/>
        </w:rPr>
        <w:t xml:space="preserve"> 20.</w:t>
      </w:r>
    </w:p>
  </w:footnote>
  <w:footnote w:id="488">
    <w:p w14:paraId="4FC2A281"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Id.</w:t>
      </w:r>
    </w:p>
  </w:footnote>
  <w:footnote w:id="489">
    <w:p w14:paraId="78E104BA" w14:textId="77777777" w:rsidR="00F64540" w:rsidRPr="00930562" w:rsidRDefault="00F64540" w:rsidP="00E10935">
      <w:pPr>
        <w:pStyle w:val="FootnoteText"/>
        <w:spacing w:after="40"/>
        <w:ind w:left="547" w:hanging="547"/>
        <w:contextualSpacing/>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CERD, </w:t>
      </w:r>
      <w:hyperlink r:id="rId578" w:history="1">
        <w:r w:rsidRPr="00930562">
          <w:rPr>
            <w:rStyle w:val="Hyperlink"/>
            <w:rFonts w:asciiTheme="minorHAnsi" w:hAnsiTheme="minorHAnsi" w:cstheme="majorHAnsi"/>
            <w:color w:val="808080" w:themeColor="background1" w:themeShade="80"/>
            <w:sz w:val="16"/>
            <w:szCs w:val="16"/>
            <w:lang w:val="es-ES"/>
          </w:rPr>
          <w:t>Recomendación general Nº XIII relativa a la formación de los funcionarios encargados de la aplicación de la ley en cuanto a la protección de los derechos humanos</w:t>
        </w:r>
      </w:hyperlink>
      <w:r w:rsidRPr="00930562">
        <w:rPr>
          <w:rStyle w:val="Hyperlink"/>
          <w:rFonts w:asciiTheme="minorHAnsi" w:hAnsiTheme="minorHAnsi" w:cstheme="majorHAnsi"/>
          <w:color w:val="808080" w:themeColor="background1" w:themeShade="80"/>
          <w:sz w:val="16"/>
          <w:szCs w:val="16"/>
          <w:lang w:val="es-ES"/>
        </w:rPr>
        <w:t>,</w:t>
      </w:r>
      <w:r w:rsidRPr="00930562">
        <w:rPr>
          <w:rFonts w:asciiTheme="minorHAnsi" w:hAnsiTheme="minorHAnsi" w:cstheme="majorHAnsi"/>
          <w:color w:val="808080" w:themeColor="background1" w:themeShade="80"/>
          <w:sz w:val="16"/>
          <w:szCs w:val="16"/>
          <w:lang w:val="es-ES"/>
        </w:rPr>
        <w:t xml:space="preserve"> A/48/18, 1993, p</w:t>
      </w:r>
      <w:r w:rsidRPr="00930562">
        <w:rPr>
          <w:rFonts w:asciiTheme="minorHAnsi" w:hAnsiTheme="minorHAnsi" w:cstheme="majorHAnsi"/>
          <w:color w:val="808080" w:themeColor="background1" w:themeShade="80"/>
          <w:sz w:val="16"/>
          <w:szCs w:val="16"/>
          <w:lang w:val="es-ES_tradnl"/>
        </w:rPr>
        <w:t>árr.</w:t>
      </w:r>
      <w:r w:rsidRPr="00930562">
        <w:rPr>
          <w:rFonts w:asciiTheme="minorHAnsi" w:hAnsiTheme="minorHAnsi" w:cstheme="majorHAnsi"/>
          <w:color w:val="808080" w:themeColor="background1" w:themeShade="80"/>
          <w:sz w:val="16"/>
          <w:szCs w:val="16"/>
          <w:lang w:val="es-ES"/>
        </w:rPr>
        <w:t xml:space="preserve"> 2.</w:t>
      </w:r>
    </w:p>
  </w:footnote>
  <w:footnote w:id="490">
    <w:p w14:paraId="6B7F59EA" w14:textId="77777777" w:rsidR="00F64540" w:rsidRPr="00930562" w:rsidRDefault="00F64540" w:rsidP="00E10935">
      <w:pPr>
        <w:pStyle w:val="FootnoteText"/>
        <w:spacing w:after="40"/>
        <w:ind w:left="547" w:hanging="547"/>
        <w:contextualSpacing/>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Id.</w:t>
      </w:r>
    </w:p>
  </w:footnote>
  <w:footnote w:id="491">
    <w:p w14:paraId="0FA95A13" w14:textId="5FBEFB20"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eastAsia="Times New Roman" w:hAnsiTheme="minorHAnsi" w:cstheme="majorHAnsi"/>
          <w:color w:val="808080" w:themeColor="background1" w:themeShade="80"/>
          <w:sz w:val="16"/>
          <w:szCs w:val="16"/>
          <w:lang w:val="es-ES" w:eastAsia="es-ES"/>
        </w:rPr>
        <w:t xml:space="preserve">ONU, </w:t>
      </w:r>
      <w:hyperlink r:id="rId579" w:history="1">
        <w:r w:rsidRPr="00930562">
          <w:rPr>
            <w:rStyle w:val="Hyperlink"/>
            <w:rFonts w:asciiTheme="minorHAnsi" w:eastAsia="Times New Roman" w:hAnsiTheme="minorHAnsi" w:cstheme="majorHAnsi"/>
            <w:color w:val="808080" w:themeColor="background1" w:themeShade="80"/>
            <w:sz w:val="16"/>
            <w:szCs w:val="16"/>
            <w:lang w:val="es-ES" w:eastAsia="es-ES"/>
          </w:rPr>
          <w:t>Principios Básicos de la ONU sobre empleo de la fuerza</w:t>
        </w:r>
      </w:hyperlink>
      <w:r w:rsidRPr="00930562">
        <w:rPr>
          <w:rFonts w:asciiTheme="minorHAnsi" w:eastAsia="Times New Roman" w:hAnsiTheme="minorHAnsi" w:cstheme="majorHAnsi"/>
          <w:color w:val="808080" w:themeColor="background1" w:themeShade="80"/>
          <w:sz w:val="16"/>
          <w:szCs w:val="16"/>
          <w:lang w:val="es-ES" w:eastAsia="es-ES"/>
        </w:rPr>
        <w:t xml:space="preserve">, No. </w:t>
      </w:r>
      <w:r w:rsidRPr="00930562">
        <w:rPr>
          <w:rFonts w:asciiTheme="minorHAnsi" w:hAnsiTheme="minorHAnsi" w:cstheme="majorHAnsi"/>
          <w:color w:val="808080" w:themeColor="background1" w:themeShade="80"/>
          <w:sz w:val="16"/>
          <w:szCs w:val="16"/>
          <w:lang w:val="es-ES"/>
        </w:rPr>
        <w:t xml:space="preserve">19. </w:t>
      </w:r>
      <w:r w:rsidRPr="00930562">
        <w:rPr>
          <w:rFonts w:asciiTheme="minorHAnsi" w:hAnsiTheme="minorHAnsi" w:cstheme="majorHAnsi"/>
          <w:i/>
          <w:color w:val="808080" w:themeColor="background1" w:themeShade="80"/>
          <w:sz w:val="16"/>
          <w:szCs w:val="16"/>
          <w:lang w:val="es-ES"/>
        </w:rPr>
        <w:t>Ver tam</w:t>
      </w:r>
      <w:r w:rsidRPr="00930562">
        <w:rPr>
          <w:rFonts w:asciiTheme="minorHAnsi" w:hAnsiTheme="minorHAnsi" w:cstheme="majorHAnsi"/>
          <w:i/>
          <w:color w:val="808080" w:themeColor="background1" w:themeShade="80"/>
          <w:sz w:val="16"/>
          <w:szCs w:val="16"/>
          <w:lang w:val="es-ES_tradnl"/>
        </w:rPr>
        <w:t xml:space="preserve">bién </w:t>
      </w:r>
      <w:r w:rsidRPr="00930562">
        <w:rPr>
          <w:rFonts w:asciiTheme="minorHAnsi" w:hAnsiTheme="minorHAnsi" w:cstheme="majorHAnsi"/>
          <w:i/>
          <w:color w:val="808080" w:themeColor="background1" w:themeShade="80"/>
          <w:sz w:val="16"/>
          <w:szCs w:val="16"/>
          <w:lang w:val="es-ES"/>
        </w:rPr>
        <w:t xml:space="preserve">supra </w:t>
      </w:r>
      <w:r w:rsidRPr="00930562">
        <w:rPr>
          <w:rFonts w:asciiTheme="minorHAnsi" w:hAnsiTheme="minorHAnsi" w:cstheme="majorHAnsi"/>
          <w:color w:val="808080" w:themeColor="background1" w:themeShade="80"/>
          <w:sz w:val="16"/>
          <w:szCs w:val="16"/>
          <w:lang w:val="es-ES"/>
        </w:rPr>
        <w:t xml:space="preserve">párr. </w:t>
      </w:r>
      <w:r w:rsidRPr="00930562">
        <w:rPr>
          <w:rFonts w:asciiTheme="minorHAnsi" w:hAnsiTheme="minorHAnsi"/>
          <w:color w:val="808080" w:themeColor="background1" w:themeShade="80"/>
          <w:sz w:val="16"/>
          <w:szCs w:val="16"/>
          <w:lang w:val="es-MX"/>
        </w:rPr>
        <w:t>204</w:t>
      </w:r>
      <w:r w:rsidRPr="00930562">
        <w:rPr>
          <w:rFonts w:asciiTheme="minorHAnsi" w:hAnsiTheme="minorHAnsi" w:cstheme="majorHAnsi"/>
          <w:color w:val="808080" w:themeColor="background1" w:themeShade="80"/>
          <w:sz w:val="16"/>
          <w:szCs w:val="16"/>
          <w:lang w:val="es-ES"/>
        </w:rPr>
        <w:t>.</w:t>
      </w:r>
    </w:p>
  </w:footnote>
  <w:footnote w:id="492">
    <w:p w14:paraId="6EF14C50"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_tradnl"/>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eastAsia="Times New Roman" w:hAnsiTheme="minorHAnsi" w:cstheme="majorHAnsi"/>
          <w:color w:val="808080" w:themeColor="background1" w:themeShade="80"/>
          <w:sz w:val="16"/>
          <w:szCs w:val="16"/>
          <w:lang w:val="es-ES" w:eastAsia="es-ES"/>
        </w:rPr>
        <w:t xml:space="preserve">CIDH, </w:t>
      </w:r>
      <w:hyperlink r:id="rId580" w:history="1">
        <w:r w:rsidRPr="00930562">
          <w:rPr>
            <w:rStyle w:val="Hyperlink"/>
            <w:rFonts w:asciiTheme="minorHAnsi" w:eastAsia="Times New Roman" w:hAnsiTheme="minorHAnsi" w:cstheme="majorHAnsi"/>
            <w:color w:val="808080" w:themeColor="background1" w:themeShade="80"/>
            <w:sz w:val="16"/>
            <w:szCs w:val="16"/>
            <w:lang w:val="es-ES" w:eastAsia="es-ES"/>
          </w:rPr>
          <w:t>Informe Anual 2015, Cap</w:t>
        </w:r>
        <w:r w:rsidRPr="00930562">
          <w:rPr>
            <w:rStyle w:val="Hyperlink"/>
            <w:rFonts w:asciiTheme="minorHAnsi" w:eastAsia="Times New Roman" w:hAnsiTheme="minorHAnsi" w:cstheme="majorHAnsi"/>
            <w:color w:val="808080" w:themeColor="background1" w:themeShade="80"/>
            <w:sz w:val="16"/>
            <w:szCs w:val="16"/>
            <w:lang w:val="es-ES_tradnl" w:eastAsia="es-ES"/>
          </w:rPr>
          <w:t>ítulo IV Uso de la fuerza</w:t>
        </w:r>
      </w:hyperlink>
      <w:r w:rsidRPr="00930562">
        <w:rPr>
          <w:rFonts w:asciiTheme="minorHAnsi" w:eastAsia="Times New Roman" w:hAnsiTheme="minorHAnsi" w:cstheme="majorHAnsi"/>
          <w:color w:val="808080" w:themeColor="background1" w:themeShade="80"/>
          <w:sz w:val="16"/>
          <w:szCs w:val="16"/>
          <w:lang w:val="es-ES_tradnl" w:eastAsia="es-ES"/>
        </w:rPr>
        <w:t xml:space="preserve">, párr. </w:t>
      </w:r>
      <w:r w:rsidRPr="00930562">
        <w:rPr>
          <w:rFonts w:asciiTheme="minorHAnsi" w:hAnsiTheme="minorHAnsi" w:cstheme="majorHAnsi"/>
          <w:color w:val="808080" w:themeColor="background1" w:themeShade="80"/>
          <w:sz w:val="16"/>
          <w:szCs w:val="16"/>
          <w:lang w:val="es-ES_tradnl"/>
        </w:rPr>
        <w:t>23.</w:t>
      </w:r>
    </w:p>
  </w:footnote>
  <w:footnote w:id="493">
    <w:p w14:paraId="3A0988DB" w14:textId="7B1098FD"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_tradnl"/>
        </w:rPr>
        <w:tab/>
      </w:r>
      <w:r w:rsidRPr="00930562">
        <w:rPr>
          <w:rFonts w:asciiTheme="minorHAnsi" w:hAnsiTheme="minorHAnsi" w:cstheme="majorHAnsi"/>
          <w:bCs/>
          <w:color w:val="808080" w:themeColor="background1" w:themeShade="80"/>
          <w:sz w:val="16"/>
          <w:szCs w:val="16"/>
          <w:lang w:val="es-ES_tradnl"/>
        </w:rPr>
        <w:t xml:space="preserve">COPS, </w:t>
      </w:r>
      <w:hyperlink r:id="rId581" w:history="1">
        <w:r w:rsidRPr="00930562">
          <w:rPr>
            <w:rStyle w:val="Hyperlink"/>
            <w:rFonts w:asciiTheme="minorHAnsi" w:hAnsiTheme="minorHAnsi" w:cstheme="majorHAnsi"/>
            <w:bCs/>
            <w:color w:val="808080" w:themeColor="background1" w:themeShade="80"/>
            <w:sz w:val="16"/>
            <w:szCs w:val="16"/>
            <w:lang w:val="es-ES_tradnl"/>
          </w:rPr>
          <w:t>Final Report of the President Obama’s Task Force on 21</w:t>
        </w:r>
        <w:r w:rsidRPr="00930562">
          <w:rPr>
            <w:rStyle w:val="Hyperlink"/>
            <w:rFonts w:asciiTheme="minorHAnsi" w:hAnsiTheme="minorHAnsi" w:cstheme="majorHAnsi"/>
            <w:bCs/>
            <w:color w:val="808080" w:themeColor="background1" w:themeShade="80"/>
            <w:sz w:val="16"/>
            <w:szCs w:val="16"/>
            <w:vertAlign w:val="superscript"/>
            <w:lang w:val="es-ES_tradnl"/>
          </w:rPr>
          <w:t>st</w:t>
        </w:r>
        <w:r w:rsidRPr="00930562">
          <w:rPr>
            <w:rStyle w:val="Hyperlink"/>
            <w:rFonts w:asciiTheme="minorHAnsi" w:hAnsiTheme="minorHAnsi" w:cstheme="majorHAnsi"/>
            <w:bCs/>
            <w:color w:val="808080" w:themeColor="background1" w:themeShade="80"/>
            <w:sz w:val="16"/>
            <w:szCs w:val="16"/>
            <w:lang w:val="es-ES_tradnl"/>
          </w:rPr>
          <w:t xml:space="preserve"> Century Policing</w:t>
        </w:r>
      </w:hyperlink>
      <w:r w:rsidRPr="00930562">
        <w:rPr>
          <w:rFonts w:asciiTheme="minorHAnsi" w:hAnsiTheme="minorHAnsi" w:cstheme="majorHAnsi"/>
          <w:bCs/>
          <w:color w:val="808080" w:themeColor="background1" w:themeShade="80"/>
          <w:sz w:val="16"/>
          <w:szCs w:val="16"/>
          <w:lang w:val="es-ES_tradnl"/>
        </w:rPr>
        <w:t xml:space="preserve"> (Informe final del Grupo de Trabajo del Presidente sobre la labor policial en el siglo XXI) mayo 2015</w:t>
      </w:r>
      <w:r w:rsidRPr="00930562">
        <w:rPr>
          <w:rFonts w:asciiTheme="minorHAnsi" w:hAnsiTheme="minorHAnsi" w:cstheme="majorHAnsi"/>
          <w:color w:val="808080" w:themeColor="background1" w:themeShade="80"/>
          <w:sz w:val="16"/>
          <w:szCs w:val="16"/>
          <w:lang w:val="es-ES_tradnl"/>
        </w:rPr>
        <w:t>.</w:t>
      </w:r>
      <w:r w:rsidRPr="00930562">
        <w:rPr>
          <w:rFonts w:asciiTheme="minorHAnsi" w:hAnsiTheme="minorHAnsi"/>
          <w:color w:val="808080" w:themeColor="background1" w:themeShade="80"/>
          <w:sz w:val="16"/>
          <w:szCs w:val="16"/>
          <w:lang w:val="es-ES_tradnl"/>
        </w:rPr>
        <w:t xml:space="preserve">  </w:t>
      </w:r>
      <w:r w:rsidRPr="00930562">
        <w:rPr>
          <w:rFonts w:asciiTheme="minorHAnsi" w:hAnsiTheme="minorHAnsi" w:cstheme="majorHAnsi"/>
          <w:bCs/>
          <w:color w:val="808080" w:themeColor="background1" w:themeShade="80"/>
          <w:sz w:val="16"/>
          <w:szCs w:val="16"/>
          <w:lang w:val="es-ES"/>
        </w:rPr>
        <w:t>Recomendaciones 2</w:t>
      </w:r>
      <w:r w:rsidRPr="00930562">
        <w:rPr>
          <w:rFonts w:asciiTheme="minorHAnsi" w:hAnsiTheme="minorHAnsi" w:cstheme="majorHAnsi"/>
          <w:color w:val="808080" w:themeColor="background1" w:themeShade="80"/>
          <w:sz w:val="16"/>
          <w:szCs w:val="16"/>
          <w:lang w:val="es-ES"/>
        </w:rPr>
        <w:t>.2.1, 3.6.</w:t>
      </w:r>
    </w:p>
  </w:footnote>
  <w:footnote w:id="494">
    <w:p w14:paraId="1AD413B3"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Bureau of Justice Statistics, </w:t>
      </w:r>
      <w:hyperlink r:id="rId582" w:history="1">
        <w:r w:rsidRPr="00930562">
          <w:rPr>
            <w:rStyle w:val="Hyperlink"/>
            <w:rFonts w:asciiTheme="minorHAnsi" w:hAnsiTheme="minorHAnsi" w:cstheme="majorHAnsi"/>
            <w:color w:val="808080" w:themeColor="background1" w:themeShade="80"/>
            <w:sz w:val="16"/>
            <w:szCs w:val="16"/>
            <w:lang w:val="es-ES"/>
          </w:rPr>
          <w:t>Censo de Agencias Estatales y Locales de Cumplimiento de la Ley, 2008</w:t>
        </w:r>
      </w:hyperlink>
      <w:r w:rsidRPr="00930562">
        <w:rPr>
          <w:rFonts w:asciiTheme="minorHAnsi" w:hAnsiTheme="minorHAnsi" w:cstheme="majorHAnsi"/>
          <w:color w:val="808080" w:themeColor="background1" w:themeShade="80"/>
          <w:sz w:val="16"/>
          <w:szCs w:val="16"/>
          <w:lang w:val="es-ES"/>
        </w:rPr>
        <w:t>, julio 2011.</w:t>
      </w:r>
    </w:p>
  </w:footnote>
  <w:footnote w:id="495">
    <w:p w14:paraId="55048135"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RFK Human Rights, </w:t>
      </w:r>
      <w:hyperlink r:id="rId583" w:history="1">
        <w:r w:rsidRPr="00930562">
          <w:rPr>
            <w:rStyle w:val="Hyperlink"/>
            <w:rFonts w:asciiTheme="minorHAnsi" w:hAnsiTheme="minorHAnsi" w:cstheme="majorHAnsi"/>
            <w:color w:val="808080" w:themeColor="background1" w:themeShade="80"/>
            <w:sz w:val="16"/>
            <w:szCs w:val="16"/>
            <w:lang w:val="es-ES"/>
          </w:rPr>
          <w:t>Uso excesivo de la fuerza</w:t>
        </w:r>
      </w:hyperlink>
      <w:r w:rsidRPr="00930562">
        <w:rPr>
          <w:rFonts w:asciiTheme="minorHAnsi" w:hAnsiTheme="minorHAnsi" w:cstheme="majorHAnsi"/>
          <w:color w:val="808080" w:themeColor="background1" w:themeShade="80"/>
          <w:sz w:val="16"/>
          <w:szCs w:val="16"/>
          <w:lang w:val="es-ES"/>
        </w:rPr>
        <w:t xml:space="preserve">, actualizado 12 de febrero de 2016, p. 44. </w:t>
      </w:r>
    </w:p>
  </w:footnote>
  <w:footnote w:id="496">
    <w:p w14:paraId="28DDBD86"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eastAsia="Times New Roman" w:hAnsiTheme="minorHAnsi" w:cstheme="majorHAnsi"/>
          <w:color w:val="808080" w:themeColor="background1" w:themeShade="80"/>
          <w:sz w:val="16"/>
          <w:szCs w:val="16"/>
          <w:lang w:val="es-ES" w:eastAsia="es-ES"/>
        </w:rPr>
        <w:t xml:space="preserve">CIDH, </w:t>
      </w:r>
      <w:hyperlink r:id="rId584" w:history="1">
        <w:r w:rsidRPr="00930562">
          <w:rPr>
            <w:rStyle w:val="Hyperlink"/>
            <w:rFonts w:asciiTheme="minorHAnsi" w:eastAsia="Times New Roman" w:hAnsiTheme="minorHAnsi" w:cstheme="majorHAnsi"/>
            <w:color w:val="808080" w:themeColor="background1" w:themeShade="80"/>
            <w:sz w:val="16"/>
            <w:szCs w:val="16"/>
            <w:lang w:val="es-ES" w:eastAsia="es-ES"/>
          </w:rPr>
          <w:t>Informe Anual 2015, Cap</w:t>
        </w:r>
        <w:r w:rsidRPr="00930562">
          <w:rPr>
            <w:rStyle w:val="Hyperlink"/>
            <w:rFonts w:asciiTheme="minorHAnsi" w:eastAsia="Times New Roman" w:hAnsiTheme="minorHAnsi" w:cstheme="majorHAnsi"/>
            <w:color w:val="808080" w:themeColor="background1" w:themeShade="80"/>
            <w:sz w:val="16"/>
            <w:szCs w:val="16"/>
            <w:lang w:val="es-ES_tradnl" w:eastAsia="es-ES"/>
          </w:rPr>
          <w:t>ítulo IV Uso de la fuerza</w:t>
        </w:r>
      </w:hyperlink>
      <w:r w:rsidRPr="00930562">
        <w:rPr>
          <w:rFonts w:asciiTheme="minorHAnsi" w:eastAsia="Times New Roman" w:hAnsiTheme="minorHAnsi" w:cstheme="majorHAnsi"/>
          <w:color w:val="808080" w:themeColor="background1" w:themeShade="80"/>
          <w:sz w:val="16"/>
          <w:szCs w:val="16"/>
          <w:lang w:val="es-ES_tradnl" w:eastAsia="es-ES"/>
        </w:rPr>
        <w:t xml:space="preserve">, párr. </w:t>
      </w:r>
      <w:r w:rsidRPr="00930562">
        <w:rPr>
          <w:rFonts w:asciiTheme="minorHAnsi" w:hAnsiTheme="minorHAnsi" w:cstheme="majorHAnsi"/>
          <w:color w:val="808080" w:themeColor="background1" w:themeShade="80"/>
          <w:sz w:val="16"/>
          <w:szCs w:val="16"/>
          <w:lang w:val="es-ES"/>
        </w:rPr>
        <w:t xml:space="preserve">19 (citando Corte IDH. </w:t>
      </w:r>
      <w:r w:rsidRPr="00930562">
        <w:rPr>
          <w:rFonts w:asciiTheme="minorHAnsi" w:hAnsiTheme="minorHAnsi" w:cstheme="majorHAnsi"/>
          <w:i/>
          <w:color w:val="808080" w:themeColor="background1" w:themeShade="80"/>
          <w:sz w:val="16"/>
          <w:szCs w:val="16"/>
          <w:lang w:val="es-ES"/>
        </w:rPr>
        <w:t>Caso Hermanos Landaeta Mejías y otros vs. Venezuela</w:t>
      </w:r>
      <w:r w:rsidRPr="00930562">
        <w:rPr>
          <w:rFonts w:asciiTheme="minorHAnsi" w:hAnsiTheme="minorHAnsi" w:cstheme="majorHAnsi"/>
          <w:color w:val="808080" w:themeColor="background1" w:themeShade="80"/>
          <w:sz w:val="16"/>
          <w:szCs w:val="16"/>
          <w:lang w:val="es-ES"/>
        </w:rPr>
        <w:t xml:space="preserve">. Excepciones Preliminares, Fondo, Reparaciones y Costas. Sentencia de 27 de agosto de 2014. Serie C No. 281, párr. 135). </w:t>
      </w:r>
    </w:p>
  </w:footnote>
  <w:footnote w:id="497">
    <w:p w14:paraId="5DBC8D67"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Id. párr.</w:t>
      </w:r>
      <w:r w:rsidRPr="00930562">
        <w:rPr>
          <w:rFonts w:asciiTheme="minorHAnsi" w:hAnsiTheme="minorHAnsi" w:cstheme="majorHAnsi"/>
          <w:color w:val="808080" w:themeColor="background1" w:themeShade="80"/>
          <w:sz w:val="16"/>
          <w:szCs w:val="16"/>
          <w:lang w:val="es-ES_tradnl"/>
        </w:rPr>
        <w:t xml:space="preserve"> </w:t>
      </w:r>
      <w:r w:rsidRPr="00930562">
        <w:rPr>
          <w:rFonts w:asciiTheme="minorHAnsi" w:hAnsiTheme="minorHAnsi" w:cstheme="majorHAnsi"/>
          <w:color w:val="808080" w:themeColor="background1" w:themeShade="80"/>
          <w:sz w:val="16"/>
          <w:szCs w:val="16"/>
          <w:lang w:val="es-ES"/>
        </w:rPr>
        <w:t>18 (citando ONU, Informe del Relator Especial sobre las ejecuciones extrajudiciales, sumarias o arbitrarias, Christof Heyns, A/HRC/26/36, 1 de abril de 2014, párrs. 103-106).</w:t>
      </w:r>
    </w:p>
  </w:footnote>
  <w:footnote w:id="498">
    <w:p w14:paraId="25898C73"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Id. (citando, ONU, Informe del Relator Especial sobre las ejecuciones extrajudiciales, sumarias o arbitrarias, Nota del Secretario General, A/69/265, Aug. 6, 2014, párr. 69).</w:t>
      </w:r>
    </w:p>
  </w:footnote>
  <w:footnote w:id="499">
    <w:p w14:paraId="28DDDE10"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eastAsia="Times New Roman" w:hAnsiTheme="minorHAnsi" w:cstheme="majorHAnsi"/>
          <w:color w:val="808080" w:themeColor="background1" w:themeShade="80"/>
          <w:sz w:val="16"/>
          <w:szCs w:val="16"/>
          <w:lang w:val="es-ES" w:eastAsia="es-ES"/>
        </w:rPr>
        <w:t xml:space="preserve">CIDH, </w:t>
      </w:r>
      <w:hyperlink r:id="rId585" w:history="1">
        <w:r w:rsidRPr="00930562">
          <w:rPr>
            <w:rStyle w:val="Hyperlink"/>
            <w:rFonts w:asciiTheme="minorHAnsi" w:eastAsia="Times New Roman" w:hAnsiTheme="minorHAnsi" w:cstheme="majorHAnsi"/>
            <w:color w:val="808080" w:themeColor="background1" w:themeShade="80"/>
            <w:sz w:val="16"/>
            <w:szCs w:val="16"/>
            <w:lang w:val="es-ES" w:eastAsia="es-ES"/>
          </w:rPr>
          <w:t>Informe Anual 2015, Cap</w:t>
        </w:r>
        <w:r w:rsidRPr="00930562">
          <w:rPr>
            <w:rStyle w:val="Hyperlink"/>
            <w:rFonts w:asciiTheme="minorHAnsi" w:eastAsia="Times New Roman" w:hAnsiTheme="minorHAnsi" w:cstheme="majorHAnsi"/>
            <w:color w:val="808080" w:themeColor="background1" w:themeShade="80"/>
            <w:sz w:val="16"/>
            <w:szCs w:val="16"/>
            <w:lang w:val="es-ES_tradnl" w:eastAsia="es-ES"/>
          </w:rPr>
          <w:t>ítulo IV Uso de la fuerza</w:t>
        </w:r>
      </w:hyperlink>
      <w:r w:rsidRPr="00930562">
        <w:rPr>
          <w:rFonts w:asciiTheme="minorHAnsi" w:eastAsia="Times New Roman" w:hAnsiTheme="minorHAnsi" w:cstheme="majorHAnsi"/>
          <w:color w:val="808080" w:themeColor="background1" w:themeShade="80"/>
          <w:sz w:val="16"/>
          <w:szCs w:val="16"/>
          <w:lang w:val="es-ES_tradnl" w:eastAsia="es-ES"/>
        </w:rPr>
        <w:t xml:space="preserve">, párr. </w:t>
      </w:r>
      <w:r w:rsidRPr="00930562">
        <w:rPr>
          <w:rFonts w:asciiTheme="minorHAnsi" w:hAnsiTheme="minorHAnsi" w:cstheme="majorHAnsi"/>
          <w:color w:val="808080" w:themeColor="background1" w:themeShade="80"/>
          <w:sz w:val="16"/>
          <w:szCs w:val="16"/>
          <w:lang w:val="es-ES"/>
        </w:rPr>
        <w:t xml:space="preserve">18. </w:t>
      </w:r>
      <w:r w:rsidRPr="00930562">
        <w:rPr>
          <w:rFonts w:asciiTheme="minorHAnsi" w:hAnsiTheme="minorHAnsi" w:cstheme="majorHAnsi"/>
          <w:i/>
          <w:color w:val="808080" w:themeColor="background1" w:themeShade="80"/>
          <w:sz w:val="16"/>
          <w:szCs w:val="16"/>
          <w:lang w:val="es-ES"/>
        </w:rPr>
        <w:t>Ver también</w:t>
      </w:r>
      <w:r w:rsidRPr="00930562">
        <w:rPr>
          <w:rFonts w:asciiTheme="minorHAnsi" w:hAnsiTheme="minorHAnsi" w:cstheme="majorHAnsi"/>
          <w:color w:val="808080" w:themeColor="background1" w:themeShade="80"/>
          <w:sz w:val="16"/>
          <w:szCs w:val="16"/>
          <w:lang w:val="es-ES"/>
        </w:rPr>
        <w:t xml:space="preserve">, por ejemplo, Physicians for Human Rights et al., </w:t>
      </w:r>
      <w:hyperlink r:id="rId586" w:history="1">
        <w:r w:rsidRPr="00930562">
          <w:rPr>
            <w:rStyle w:val="Hyperlink"/>
            <w:rFonts w:asciiTheme="minorHAnsi" w:hAnsiTheme="minorHAnsi" w:cstheme="majorHAnsi"/>
            <w:color w:val="808080" w:themeColor="background1" w:themeShade="80"/>
            <w:sz w:val="16"/>
            <w:szCs w:val="16"/>
            <w:lang w:val="es-ES"/>
          </w:rPr>
          <w:t>Letal disfrazado: Las Consecuencias de Salud de las Armas de Control de Multitudes</w:t>
        </w:r>
      </w:hyperlink>
      <w:r w:rsidRPr="00930562">
        <w:rPr>
          <w:rFonts w:asciiTheme="minorHAnsi" w:hAnsiTheme="minorHAnsi" w:cstheme="majorHAnsi"/>
          <w:color w:val="808080" w:themeColor="background1" w:themeShade="80"/>
          <w:sz w:val="16"/>
          <w:szCs w:val="16"/>
          <w:lang w:val="es-ES"/>
        </w:rPr>
        <w:t>, 2016.</w:t>
      </w:r>
    </w:p>
  </w:footnote>
  <w:footnote w:id="500">
    <w:p w14:paraId="629CCDD3"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En los casos de Eric Garner y Freddie Gray, respectivamente. </w:t>
      </w:r>
    </w:p>
  </w:footnote>
  <w:footnote w:id="501">
    <w:p w14:paraId="3490F277" w14:textId="1834BD88"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eastAsia="Times New Roman" w:hAnsiTheme="minorHAnsi" w:cstheme="majorHAnsi"/>
          <w:color w:val="808080" w:themeColor="background1" w:themeShade="80"/>
          <w:sz w:val="16"/>
          <w:szCs w:val="16"/>
          <w:lang w:val="es-ES" w:eastAsia="es-ES"/>
        </w:rPr>
        <w:t xml:space="preserve">CIDH, </w:t>
      </w:r>
      <w:hyperlink r:id="rId587" w:history="1">
        <w:r w:rsidRPr="00930562">
          <w:rPr>
            <w:rStyle w:val="Hyperlink"/>
            <w:rFonts w:asciiTheme="minorHAnsi" w:eastAsia="Times New Roman" w:hAnsiTheme="minorHAnsi" w:cstheme="majorHAnsi"/>
            <w:color w:val="808080" w:themeColor="background1" w:themeShade="80"/>
            <w:sz w:val="16"/>
            <w:szCs w:val="16"/>
            <w:lang w:val="es-ES" w:eastAsia="es-ES"/>
          </w:rPr>
          <w:t>Informe Anual 2015, Cap</w:t>
        </w:r>
        <w:r w:rsidRPr="00930562">
          <w:rPr>
            <w:rStyle w:val="Hyperlink"/>
            <w:rFonts w:asciiTheme="minorHAnsi" w:eastAsia="Times New Roman" w:hAnsiTheme="minorHAnsi" w:cstheme="majorHAnsi"/>
            <w:color w:val="808080" w:themeColor="background1" w:themeShade="80"/>
            <w:sz w:val="16"/>
            <w:szCs w:val="16"/>
            <w:lang w:val="es-ES_tradnl" w:eastAsia="es-ES"/>
          </w:rPr>
          <w:t>ítulo IV Uso de la fuerza</w:t>
        </w:r>
      </w:hyperlink>
      <w:r w:rsidRPr="00930562">
        <w:rPr>
          <w:rFonts w:asciiTheme="minorHAnsi" w:eastAsia="Times New Roman" w:hAnsiTheme="minorHAnsi" w:cstheme="majorHAnsi"/>
          <w:color w:val="808080" w:themeColor="background1" w:themeShade="80"/>
          <w:sz w:val="16"/>
          <w:szCs w:val="16"/>
          <w:lang w:val="es-ES_tradnl" w:eastAsia="es-ES"/>
        </w:rPr>
        <w:t xml:space="preserve">, párr. </w:t>
      </w:r>
      <w:r w:rsidRPr="00930562">
        <w:rPr>
          <w:rFonts w:asciiTheme="minorHAnsi" w:hAnsiTheme="minorHAnsi" w:cstheme="majorHAnsi"/>
          <w:color w:val="808080" w:themeColor="background1" w:themeShade="80"/>
          <w:sz w:val="16"/>
          <w:szCs w:val="16"/>
          <w:lang w:val="es-ES"/>
        </w:rPr>
        <w:t xml:space="preserve">16. </w:t>
      </w:r>
      <w:r w:rsidRPr="00930562">
        <w:rPr>
          <w:rFonts w:asciiTheme="minorHAnsi" w:hAnsiTheme="minorHAnsi" w:cstheme="majorHAnsi"/>
          <w:i/>
          <w:color w:val="808080" w:themeColor="background1" w:themeShade="80"/>
          <w:sz w:val="16"/>
          <w:szCs w:val="16"/>
          <w:lang w:val="es-ES"/>
        </w:rPr>
        <w:t>Ver también</w:t>
      </w:r>
      <w:r w:rsidRPr="00930562">
        <w:rPr>
          <w:rFonts w:asciiTheme="minorHAnsi" w:hAnsiTheme="minorHAnsi" w:cstheme="majorHAnsi"/>
          <w:color w:val="808080" w:themeColor="background1" w:themeShade="80"/>
          <w:sz w:val="16"/>
          <w:szCs w:val="16"/>
          <w:lang w:val="es-ES"/>
        </w:rPr>
        <w:t xml:space="preserve"> </w:t>
      </w:r>
      <w:r w:rsidRPr="00930562">
        <w:rPr>
          <w:rFonts w:asciiTheme="minorHAnsi" w:hAnsiTheme="minorHAnsi" w:cstheme="majorHAnsi"/>
          <w:i/>
          <w:color w:val="808080" w:themeColor="background1" w:themeShade="80"/>
          <w:sz w:val="16"/>
          <w:szCs w:val="16"/>
          <w:lang w:val="es-ES"/>
        </w:rPr>
        <w:t>infra</w:t>
      </w:r>
      <w:r w:rsidRPr="00930562">
        <w:rPr>
          <w:rFonts w:asciiTheme="minorHAnsi" w:hAnsiTheme="minorHAnsi" w:cstheme="majorHAnsi"/>
          <w:color w:val="808080" w:themeColor="background1" w:themeShade="80"/>
          <w:sz w:val="16"/>
          <w:szCs w:val="16"/>
          <w:lang w:val="es-ES"/>
        </w:rPr>
        <w:t xml:space="preserve"> párrs. </w:t>
      </w:r>
      <w:r w:rsidRPr="00930562">
        <w:rPr>
          <w:rFonts w:asciiTheme="minorHAnsi" w:hAnsiTheme="minorHAnsi"/>
          <w:color w:val="808080" w:themeColor="background1" w:themeShade="80"/>
          <w:sz w:val="16"/>
          <w:szCs w:val="16"/>
          <w:lang w:val="es-MX"/>
        </w:rPr>
        <w:t>241-242</w:t>
      </w:r>
      <w:r w:rsidRPr="00930562">
        <w:rPr>
          <w:rFonts w:asciiTheme="minorHAnsi" w:hAnsiTheme="minorHAnsi" w:cstheme="majorHAnsi"/>
          <w:color w:val="808080" w:themeColor="background1" w:themeShade="80"/>
          <w:sz w:val="16"/>
          <w:szCs w:val="16"/>
          <w:lang w:val="es-ES"/>
        </w:rPr>
        <w:t>.</w:t>
      </w:r>
    </w:p>
  </w:footnote>
  <w:footnote w:id="502">
    <w:p w14:paraId="37B29EC4"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Id. (refiriéndose además a las declaraciones del Relator Especial de las Naciones Unidas sobre ejecuciones extrajudiciales, sumarias o arbitrarias y del Comité Internacional de la Cruz Roja).</w:t>
      </w:r>
    </w:p>
  </w:footnote>
  <w:footnote w:id="503">
    <w:p w14:paraId="5A818F61"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Por ejemplo, el Estado debe desarrollar normas que regulen la composición y concentración de sustancias químicas irritantes y el agua utilizada en los cañones de agua, los niveles de descarga de los dispositivos eléctricos, el volumen y frecuencia de las armas acústicas y los niveles de precisión requeridos para los proyectiles, entre otros. CIDH, </w:t>
      </w:r>
      <w:hyperlink r:id="rId588" w:history="1">
        <w:r w:rsidRPr="00930562">
          <w:rPr>
            <w:rStyle w:val="Hyperlink"/>
            <w:rFonts w:asciiTheme="minorHAnsi" w:eastAsia="Times New Roman" w:hAnsiTheme="minorHAnsi" w:cstheme="majorHAnsi"/>
            <w:color w:val="808080" w:themeColor="background1" w:themeShade="80"/>
            <w:sz w:val="16"/>
            <w:szCs w:val="16"/>
            <w:lang w:val="es-ES" w:eastAsia="es-ES"/>
          </w:rPr>
          <w:t>Informe Anual 2015, Cap</w:t>
        </w:r>
        <w:r w:rsidRPr="00930562">
          <w:rPr>
            <w:rStyle w:val="Hyperlink"/>
            <w:rFonts w:asciiTheme="minorHAnsi" w:eastAsia="Times New Roman" w:hAnsiTheme="minorHAnsi" w:cstheme="majorHAnsi"/>
            <w:color w:val="808080" w:themeColor="background1" w:themeShade="80"/>
            <w:sz w:val="16"/>
            <w:szCs w:val="16"/>
            <w:lang w:val="es-ES_tradnl" w:eastAsia="es-ES"/>
          </w:rPr>
          <w:t>ítulo IV Uso de la fuerza</w:t>
        </w:r>
      </w:hyperlink>
      <w:r w:rsidRPr="00930562">
        <w:rPr>
          <w:rFonts w:asciiTheme="minorHAnsi" w:eastAsia="Times New Roman" w:hAnsiTheme="minorHAnsi" w:cstheme="majorHAnsi"/>
          <w:color w:val="808080" w:themeColor="background1" w:themeShade="80"/>
          <w:sz w:val="16"/>
          <w:szCs w:val="16"/>
          <w:lang w:val="es-ES_tradnl" w:eastAsia="es-ES"/>
        </w:rPr>
        <w:t xml:space="preserve">, párr. </w:t>
      </w:r>
      <w:r w:rsidRPr="00930562">
        <w:rPr>
          <w:rFonts w:asciiTheme="minorHAnsi" w:hAnsiTheme="minorHAnsi" w:cstheme="majorHAnsi"/>
          <w:color w:val="808080" w:themeColor="background1" w:themeShade="80"/>
          <w:sz w:val="16"/>
          <w:szCs w:val="16"/>
          <w:lang w:val="es-ES"/>
        </w:rPr>
        <w:t>17.</w:t>
      </w:r>
    </w:p>
  </w:footnote>
  <w:footnote w:id="504">
    <w:p w14:paraId="376675B3"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Id. párr. 16.</w:t>
      </w:r>
    </w:p>
  </w:footnote>
  <w:footnote w:id="505">
    <w:p w14:paraId="70BE185C"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eastAsia="Times New Roman" w:hAnsiTheme="minorHAnsi" w:cstheme="majorHAnsi"/>
          <w:color w:val="808080" w:themeColor="background1" w:themeShade="80"/>
          <w:sz w:val="16"/>
          <w:szCs w:val="16"/>
          <w:lang w:val="es-ES" w:eastAsia="es-ES"/>
        </w:rPr>
        <w:t xml:space="preserve">CIDH, </w:t>
      </w:r>
      <w:hyperlink r:id="rId589" w:history="1">
        <w:r w:rsidRPr="00930562">
          <w:rPr>
            <w:rStyle w:val="Hyperlink"/>
            <w:rFonts w:asciiTheme="minorHAnsi" w:eastAsia="Times New Roman" w:hAnsiTheme="minorHAnsi" w:cstheme="majorHAnsi"/>
            <w:color w:val="808080" w:themeColor="background1" w:themeShade="80"/>
            <w:sz w:val="16"/>
            <w:szCs w:val="16"/>
            <w:lang w:val="es-ES" w:eastAsia="es-ES"/>
          </w:rPr>
          <w:t>Informe Anual 2015, Cap</w:t>
        </w:r>
        <w:r w:rsidRPr="00930562">
          <w:rPr>
            <w:rStyle w:val="Hyperlink"/>
            <w:rFonts w:asciiTheme="minorHAnsi" w:eastAsia="Times New Roman" w:hAnsiTheme="minorHAnsi" w:cstheme="majorHAnsi"/>
            <w:color w:val="808080" w:themeColor="background1" w:themeShade="80"/>
            <w:sz w:val="16"/>
            <w:szCs w:val="16"/>
            <w:lang w:val="es-ES_tradnl" w:eastAsia="es-ES"/>
          </w:rPr>
          <w:t>ítulo IV Uso de la fuerza</w:t>
        </w:r>
      </w:hyperlink>
      <w:r w:rsidRPr="00930562">
        <w:rPr>
          <w:rFonts w:asciiTheme="minorHAnsi" w:eastAsia="Times New Roman" w:hAnsiTheme="minorHAnsi" w:cstheme="majorHAnsi"/>
          <w:color w:val="808080" w:themeColor="background1" w:themeShade="80"/>
          <w:sz w:val="16"/>
          <w:szCs w:val="16"/>
          <w:lang w:val="es-ES_tradnl" w:eastAsia="es-ES"/>
        </w:rPr>
        <w:t xml:space="preserve">, párr. </w:t>
      </w:r>
      <w:r w:rsidRPr="00930562">
        <w:rPr>
          <w:rFonts w:asciiTheme="minorHAnsi" w:hAnsiTheme="minorHAnsi" w:cstheme="majorHAnsi"/>
          <w:color w:val="808080" w:themeColor="background1" w:themeShade="80"/>
          <w:sz w:val="16"/>
          <w:szCs w:val="16"/>
          <w:lang w:val="es-ES"/>
        </w:rPr>
        <w:t>227 (citando CIDH, Informe sobre la situación de los defensores de derechos humanos en las Américas, OEA/Ser.L/V/II.124, Doc. 5 rev. 1 (2006), párr. 68).</w:t>
      </w:r>
    </w:p>
  </w:footnote>
  <w:footnote w:id="506">
    <w:p w14:paraId="47B97470"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hyperlink r:id="rId590" w:history="1">
        <w:r w:rsidRPr="00930562">
          <w:rPr>
            <w:rStyle w:val="Hyperlink"/>
            <w:rFonts w:asciiTheme="minorHAnsi" w:eastAsia="Times New Roman" w:hAnsiTheme="minorHAnsi" w:cstheme="majorHAnsi"/>
            <w:color w:val="808080" w:themeColor="background1" w:themeShade="80"/>
            <w:sz w:val="16"/>
            <w:szCs w:val="16"/>
            <w:lang w:val="es-ES" w:eastAsia="es-ES"/>
          </w:rPr>
          <w:t>Principios Básicos de la ONU sobre empleo de la fuerza</w:t>
        </w:r>
      </w:hyperlink>
      <w:r w:rsidRPr="00930562">
        <w:rPr>
          <w:rFonts w:asciiTheme="minorHAnsi" w:eastAsia="Times New Roman" w:hAnsiTheme="minorHAnsi" w:cstheme="majorHAnsi"/>
          <w:color w:val="808080" w:themeColor="background1" w:themeShade="80"/>
          <w:sz w:val="16"/>
          <w:szCs w:val="16"/>
          <w:lang w:val="es-ES" w:eastAsia="es-ES"/>
        </w:rPr>
        <w:t xml:space="preserve">, </w:t>
      </w:r>
      <w:r w:rsidRPr="00930562">
        <w:rPr>
          <w:rFonts w:asciiTheme="minorHAnsi" w:hAnsiTheme="minorHAnsi" w:cstheme="majorHAnsi"/>
          <w:bCs/>
          <w:color w:val="808080" w:themeColor="background1" w:themeShade="80"/>
          <w:sz w:val="16"/>
          <w:szCs w:val="16"/>
          <w:lang w:val="es-ES"/>
        </w:rPr>
        <w:t xml:space="preserve">No. </w:t>
      </w:r>
      <w:r w:rsidRPr="00930562">
        <w:rPr>
          <w:rFonts w:asciiTheme="minorHAnsi" w:hAnsiTheme="minorHAnsi" w:cstheme="majorHAnsi"/>
          <w:color w:val="808080" w:themeColor="background1" w:themeShade="80"/>
          <w:sz w:val="16"/>
          <w:szCs w:val="16"/>
          <w:lang w:val="es-ES"/>
        </w:rPr>
        <w:t xml:space="preserve">11(d). </w:t>
      </w:r>
    </w:p>
  </w:footnote>
  <w:footnote w:id="507">
    <w:p w14:paraId="30B4BFA2"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eastAsia="Times New Roman" w:hAnsiTheme="minorHAnsi" w:cstheme="majorHAnsi"/>
          <w:color w:val="808080" w:themeColor="background1" w:themeShade="80"/>
          <w:sz w:val="16"/>
          <w:szCs w:val="16"/>
          <w:lang w:val="es-ES" w:eastAsia="es-ES"/>
        </w:rPr>
        <w:t xml:space="preserve">CIDH, </w:t>
      </w:r>
      <w:hyperlink r:id="rId591" w:history="1">
        <w:r w:rsidRPr="00930562">
          <w:rPr>
            <w:rStyle w:val="Hyperlink"/>
            <w:rFonts w:asciiTheme="minorHAnsi" w:eastAsia="Times New Roman" w:hAnsiTheme="minorHAnsi" w:cstheme="majorHAnsi"/>
            <w:color w:val="808080" w:themeColor="background1" w:themeShade="80"/>
            <w:sz w:val="16"/>
            <w:szCs w:val="16"/>
            <w:lang w:val="es-ES" w:eastAsia="es-ES"/>
          </w:rPr>
          <w:t>Informe Anual 2015, Cap</w:t>
        </w:r>
        <w:r w:rsidRPr="00930562">
          <w:rPr>
            <w:rStyle w:val="Hyperlink"/>
            <w:rFonts w:asciiTheme="minorHAnsi" w:eastAsia="Times New Roman" w:hAnsiTheme="minorHAnsi" w:cstheme="majorHAnsi"/>
            <w:color w:val="808080" w:themeColor="background1" w:themeShade="80"/>
            <w:sz w:val="16"/>
            <w:szCs w:val="16"/>
            <w:lang w:val="es-ES_tradnl" w:eastAsia="es-ES"/>
          </w:rPr>
          <w:t>ítulo IV Uso de la fuerza</w:t>
        </w:r>
      </w:hyperlink>
      <w:r w:rsidRPr="00930562">
        <w:rPr>
          <w:rFonts w:asciiTheme="minorHAnsi" w:eastAsia="Times New Roman" w:hAnsiTheme="minorHAnsi" w:cstheme="majorHAnsi"/>
          <w:color w:val="808080" w:themeColor="background1" w:themeShade="80"/>
          <w:sz w:val="16"/>
          <w:szCs w:val="16"/>
          <w:lang w:val="es-ES_tradnl" w:eastAsia="es-ES"/>
        </w:rPr>
        <w:t xml:space="preserve">, párr. </w:t>
      </w:r>
      <w:r w:rsidRPr="00930562">
        <w:rPr>
          <w:rFonts w:asciiTheme="minorHAnsi" w:hAnsiTheme="minorHAnsi" w:cstheme="majorHAnsi"/>
          <w:color w:val="808080" w:themeColor="background1" w:themeShade="80"/>
          <w:sz w:val="16"/>
          <w:szCs w:val="16"/>
          <w:lang w:val="es-ES"/>
        </w:rPr>
        <w:t>227</w:t>
      </w:r>
    </w:p>
  </w:footnote>
  <w:footnote w:id="508">
    <w:p w14:paraId="2128869D"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hAnsiTheme="minorHAnsi" w:cstheme="majorHAnsi"/>
          <w:i/>
          <w:color w:val="808080" w:themeColor="background1" w:themeShade="80"/>
          <w:sz w:val="16"/>
          <w:szCs w:val="16"/>
          <w:lang w:val="es-ES"/>
        </w:rPr>
        <w:t>Ver</w:t>
      </w:r>
      <w:r w:rsidRPr="00930562">
        <w:rPr>
          <w:rFonts w:asciiTheme="minorHAnsi" w:hAnsiTheme="minorHAnsi" w:cstheme="majorHAnsi"/>
          <w:color w:val="808080" w:themeColor="background1" w:themeShade="80"/>
          <w:sz w:val="16"/>
          <w:szCs w:val="16"/>
          <w:lang w:val="es-ES"/>
        </w:rPr>
        <w:t xml:space="preserve">, por ejemplo, CIDH, Informe No. 92/05, Caso 12.418, </w:t>
      </w:r>
      <w:r w:rsidRPr="00930562">
        <w:rPr>
          <w:rFonts w:asciiTheme="minorHAnsi" w:hAnsiTheme="minorHAnsi" w:cstheme="majorHAnsi"/>
          <w:i/>
          <w:color w:val="808080" w:themeColor="background1" w:themeShade="80"/>
          <w:sz w:val="16"/>
          <w:szCs w:val="16"/>
          <w:lang w:val="es-ES"/>
        </w:rPr>
        <w:t>Michael Gayle</w:t>
      </w:r>
      <w:r w:rsidRPr="00930562">
        <w:rPr>
          <w:rFonts w:asciiTheme="minorHAnsi" w:hAnsiTheme="minorHAnsi" w:cstheme="majorHAnsi"/>
          <w:color w:val="808080" w:themeColor="background1" w:themeShade="80"/>
          <w:sz w:val="16"/>
          <w:szCs w:val="16"/>
          <w:lang w:val="es-ES"/>
        </w:rPr>
        <w:t xml:space="preserve"> (Jamaica), </w:t>
      </w:r>
      <w:r w:rsidRPr="00930562">
        <w:rPr>
          <w:rFonts w:asciiTheme="minorHAnsi" w:hAnsiTheme="minorHAnsi" w:cstheme="majorHAnsi"/>
          <w:bCs/>
          <w:color w:val="808080" w:themeColor="background1" w:themeShade="80"/>
          <w:sz w:val="16"/>
          <w:szCs w:val="16"/>
          <w:lang w:val="es-ES"/>
        </w:rPr>
        <w:t>24 de octubre de</w:t>
      </w:r>
      <w:r w:rsidRPr="00930562">
        <w:rPr>
          <w:rFonts w:asciiTheme="minorHAnsi" w:hAnsiTheme="minorHAnsi" w:cstheme="majorHAnsi"/>
          <w:color w:val="808080" w:themeColor="background1" w:themeShade="80"/>
          <w:sz w:val="16"/>
          <w:szCs w:val="16"/>
          <w:lang w:val="es-ES"/>
        </w:rPr>
        <w:t xml:space="preserve"> 2005, párr. 61 (citando Corte IDH. </w:t>
      </w:r>
      <w:r w:rsidRPr="00930562">
        <w:rPr>
          <w:rFonts w:asciiTheme="minorHAnsi" w:hAnsiTheme="minorHAnsi" w:cstheme="majorHAnsi"/>
          <w:i/>
          <w:color w:val="808080" w:themeColor="background1" w:themeShade="80"/>
          <w:sz w:val="16"/>
          <w:szCs w:val="16"/>
          <w:lang w:val="es-ES"/>
        </w:rPr>
        <w:t>Caso Cantoral Benavides vs. Perú</w:t>
      </w:r>
      <w:r w:rsidRPr="00930562">
        <w:rPr>
          <w:rFonts w:asciiTheme="minorHAnsi" w:hAnsiTheme="minorHAnsi" w:cstheme="majorHAnsi"/>
          <w:color w:val="808080" w:themeColor="background1" w:themeShade="80"/>
          <w:sz w:val="16"/>
          <w:szCs w:val="16"/>
          <w:lang w:val="es-ES"/>
        </w:rPr>
        <w:t>. Fondo. Sentencia de 18 de agosto de 2000. Serie C No. 69, párr. 95).</w:t>
      </w:r>
    </w:p>
  </w:footnote>
  <w:footnote w:id="509">
    <w:p w14:paraId="2AC109EE"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Convenc</w:t>
      </w:r>
      <w:r w:rsidRPr="00930562">
        <w:rPr>
          <w:rFonts w:asciiTheme="minorHAnsi" w:hAnsiTheme="minorHAnsi" w:cstheme="majorHAnsi"/>
          <w:color w:val="808080" w:themeColor="background1" w:themeShade="80"/>
          <w:sz w:val="16"/>
          <w:szCs w:val="16"/>
          <w:lang w:val="es-ES_tradnl"/>
        </w:rPr>
        <w:t xml:space="preserve">ión contra la Tortura, </w:t>
      </w:r>
      <w:r w:rsidRPr="00930562">
        <w:rPr>
          <w:rFonts w:asciiTheme="minorHAnsi" w:hAnsiTheme="minorHAnsi" w:cstheme="majorHAnsi"/>
          <w:color w:val="808080" w:themeColor="background1" w:themeShade="80"/>
          <w:sz w:val="16"/>
          <w:szCs w:val="16"/>
          <w:lang w:val="es-ES"/>
        </w:rPr>
        <w:t>Artículo 10(1), (2).</w:t>
      </w:r>
    </w:p>
  </w:footnote>
  <w:footnote w:id="510">
    <w:p w14:paraId="4AA6C195"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hAnsiTheme="minorHAnsi" w:cstheme="majorHAnsi"/>
          <w:color w:val="808080" w:themeColor="background1" w:themeShade="80"/>
          <w:sz w:val="16"/>
          <w:szCs w:val="16"/>
          <w:lang w:val="es-ES_tradnl"/>
        </w:rPr>
        <w:t>Pacto Internacional de Derechos Civiles y Políticos, Artículo</w:t>
      </w:r>
      <w:r w:rsidRPr="00930562">
        <w:rPr>
          <w:rFonts w:asciiTheme="minorHAnsi" w:hAnsiTheme="minorHAnsi" w:cstheme="majorHAnsi"/>
          <w:color w:val="808080" w:themeColor="background1" w:themeShade="80"/>
          <w:sz w:val="16"/>
          <w:szCs w:val="16"/>
          <w:lang w:val="es-ES"/>
        </w:rPr>
        <w:t xml:space="preserve"> 7.</w:t>
      </w:r>
    </w:p>
  </w:footnote>
  <w:footnote w:id="511">
    <w:p w14:paraId="7A5D4DF6"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CIDH, Informe No. 92/05, Caso 12.418, </w:t>
      </w:r>
      <w:r w:rsidRPr="00930562">
        <w:rPr>
          <w:rFonts w:asciiTheme="minorHAnsi" w:hAnsiTheme="minorHAnsi" w:cstheme="majorHAnsi"/>
          <w:i/>
          <w:color w:val="808080" w:themeColor="background1" w:themeShade="80"/>
          <w:sz w:val="16"/>
          <w:szCs w:val="16"/>
          <w:lang w:val="es-ES"/>
        </w:rPr>
        <w:t>Michael Gayle</w:t>
      </w:r>
      <w:r w:rsidRPr="00930562">
        <w:rPr>
          <w:rFonts w:asciiTheme="minorHAnsi" w:hAnsiTheme="minorHAnsi" w:cstheme="majorHAnsi"/>
          <w:color w:val="808080" w:themeColor="background1" w:themeShade="80"/>
          <w:sz w:val="16"/>
          <w:szCs w:val="16"/>
          <w:lang w:val="es-ES"/>
        </w:rPr>
        <w:t xml:space="preserve"> (Jamaica), </w:t>
      </w:r>
      <w:r w:rsidRPr="00930562">
        <w:rPr>
          <w:rFonts w:asciiTheme="minorHAnsi" w:hAnsiTheme="minorHAnsi" w:cstheme="majorHAnsi"/>
          <w:bCs/>
          <w:color w:val="808080" w:themeColor="background1" w:themeShade="80"/>
          <w:sz w:val="16"/>
          <w:szCs w:val="16"/>
          <w:lang w:val="es-ES"/>
        </w:rPr>
        <w:t>24 de octubre de</w:t>
      </w:r>
      <w:r w:rsidRPr="00930562">
        <w:rPr>
          <w:rFonts w:asciiTheme="minorHAnsi" w:hAnsiTheme="minorHAnsi" w:cstheme="majorHAnsi"/>
          <w:color w:val="808080" w:themeColor="background1" w:themeShade="80"/>
          <w:sz w:val="16"/>
          <w:szCs w:val="16"/>
          <w:lang w:val="es-ES"/>
        </w:rPr>
        <w:t xml:space="preserve"> 2005, párr. 62 (citando Caso 10.832, Informe No 35/96, </w:t>
      </w:r>
      <w:r w:rsidRPr="00930562">
        <w:rPr>
          <w:rFonts w:asciiTheme="minorHAnsi" w:hAnsiTheme="minorHAnsi" w:cstheme="majorHAnsi"/>
          <w:i/>
          <w:color w:val="808080" w:themeColor="background1" w:themeShade="80"/>
          <w:sz w:val="16"/>
          <w:szCs w:val="16"/>
          <w:lang w:val="es-ES"/>
        </w:rPr>
        <w:t>Luis Lizardo Cabrera</w:t>
      </w:r>
      <w:r w:rsidRPr="00930562">
        <w:rPr>
          <w:rFonts w:asciiTheme="minorHAnsi" w:hAnsiTheme="minorHAnsi" w:cstheme="majorHAnsi"/>
          <w:color w:val="808080" w:themeColor="background1" w:themeShade="80"/>
          <w:sz w:val="16"/>
          <w:szCs w:val="16"/>
          <w:lang w:val="es-ES"/>
        </w:rPr>
        <w:t xml:space="preserve"> (</w:t>
      </w:r>
      <w:r w:rsidRPr="00930562">
        <w:rPr>
          <w:rFonts w:asciiTheme="minorHAnsi" w:hAnsiTheme="minorHAnsi" w:cstheme="majorHAnsi"/>
          <w:color w:val="808080" w:themeColor="background1" w:themeShade="80"/>
          <w:sz w:val="16"/>
          <w:szCs w:val="16"/>
          <w:lang w:val="es-ES_tradnl"/>
        </w:rPr>
        <w:t>República Dominicana</w:t>
      </w:r>
      <w:r w:rsidRPr="00930562">
        <w:rPr>
          <w:rFonts w:asciiTheme="minorHAnsi" w:hAnsiTheme="minorHAnsi" w:cstheme="majorHAnsi"/>
          <w:color w:val="808080" w:themeColor="background1" w:themeShade="80"/>
          <w:sz w:val="16"/>
          <w:szCs w:val="16"/>
          <w:lang w:val="es-ES"/>
        </w:rPr>
        <w:t>), Informe Annual de la CIDH Annual 1997, párr. 79, citando Comisión Europea de Derechos Humanos, </w:t>
      </w:r>
      <w:r w:rsidRPr="00930562">
        <w:rPr>
          <w:rFonts w:asciiTheme="minorHAnsi" w:hAnsiTheme="minorHAnsi" w:cstheme="majorHAnsi"/>
          <w:i/>
          <w:iCs/>
          <w:color w:val="808080" w:themeColor="background1" w:themeShade="80"/>
          <w:sz w:val="16"/>
          <w:szCs w:val="16"/>
          <w:lang w:val="es-ES"/>
        </w:rPr>
        <w:t>El Caso Griego</w:t>
      </w:r>
      <w:r w:rsidRPr="00930562">
        <w:rPr>
          <w:rFonts w:asciiTheme="minorHAnsi" w:hAnsiTheme="minorHAnsi" w:cstheme="majorHAnsi"/>
          <w:color w:val="808080" w:themeColor="background1" w:themeShade="80"/>
          <w:sz w:val="16"/>
          <w:szCs w:val="16"/>
          <w:lang w:val="es-ES"/>
        </w:rPr>
        <w:t xml:space="preserve"> 1969, 12 Y. B. Eur. Conv. on H.R. 12, 186).</w:t>
      </w:r>
    </w:p>
  </w:footnote>
  <w:footnote w:id="512">
    <w:p w14:paraId="6884D897"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Id. (citando </w:t>
      </w:r>
      <w:r w:rsidRPr="00930562">
        <w:rPr>
          <w:rFonts w:asciiTheme="minorHAnsi" w:hAnsiTheme="minorHAnsi" w:cstheme="majorHAnsi"/>
          <w:i/>
          <w:color w:val="808080" w:themeColor="background1" w:themeShade="80"/>
          <w:sz w:val="16"/>
          <w:szCs w:val="16"/>
          <w:lang w:val="es-ES"/>
        </w:rPr>
        <w:t>Luis Lizardo Cabrera</w:t>
      </w:r>
      <w:r w:rsidRPr="00930562">
        <w:rPr>
          <w:rFonts w:asciiTheme="minorHAnsi" w:hAnsiTheme="minorHAnsi" w:cstheme="majorHAnsi"/>
          <w:color w:val="808080" w:themeColor="background1" w:themeShade="80"/>
          <w:sz w:val="16"/>
          <w:szCs w:val="16"/>
          <w:lang w:val="es-ES"/>
        </w:rPr>
        <w:t xml:space="preserve">, párr. 80, citando Corte Europea de Derechos Humanos, </w:t>
      </w:r>
      <w:r w:rsidRPr="00930562">
        <w:rPr>
          <w:rFonts w:asciiTheme="minorHAnsi" w:hAnsiTheme="minorHAnsi" w:cstheme="majorHAnsi"/>
          <w:i/>
          <w:color w:val="808080" w:themeColor="background1" w:themeShade="80"/>
          <w:sz w:val="16"/>
          <w:szCs w:val="16"/>
          <w:lang w:val="es-ES"/>
        </w:rPr>
        <w:t>Irlanda vs. Reino Unido</w:t>
      </w:r>
      <w:r w:rsidRPr="00930562">
        <w:rPr>
          <w:rFonts w:asciiTheme="minorHAnsi" w:hAnsiTheme="minorHAnsi" w:cstheme="majorHAnsi"/>
          <w:color w:val="808080" w:themeColor="background1" w:themeShade="80"/>
          <w:sz w:val="16"/>
          <w:szCs w:val="16"/>
          <w:lang w:val="es-ES"/>
        </w:rPr>
        <w:t>, decision del 9 de octubre de 1979, Ser. A Nº 25, párr. 167).</w:t>
      </w:r>
    </w:p>
  </w:footnote>
  <w:footnote w:id="513">
    <w:p w14:paraId="4B760D38"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Convenc</w:t>
      </w:r>
      <w:r w:rsidRPr="00930562">
        <w:rPr>
          <w:rFonts w:asciiTheme="minorHAnsi" w:hAnsiTheme="minorHAnsi" w:cstheme="majorHAnsi"/>
          <w:color w:val="808080" w:themeColor="background1" w:themeShade="80"/>
          <w:sz w:val="16"/>
          <w:szCs w:val="16"/>
          <w:lang w:val="es-ES_tradnl"/>
        </w:rPr>
        <w:t xml:space="preserve">ión contra la Tortura, </w:t>
      </w:r>
      <w:r w:rsidRPr="00930562">
        <w:rPr>
          <w:rFonts w:asciiTheme="minorHAnsi" w:hAnsiTheme="minorHAnsi" w:cstheme="majorHAnsi"/>
          <w:color w:val="808080" w:themeColor="background1" w:themeShade="80"/>
          <w:sz w:val="16"/>
          <w:szCs w:val="16"/>
          <w:lang w:val="es-ES"/>
        </w:rPr>
        <w:t>Artículo 1.</w:t>
      </w:r>
    </w:p>
  </w:footnote>
  <w:footnote w:id="514">
    <w:p w14:paraId="0AE5FA8F"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Convenc</w:t>
      </w:r>
      <w:r w:rsidRPr="00930562">
        <w:rPr>
          <w:rFonts w:asciiTheme="minorHAnsi" w:hAnsiTheme="minorHAnsi" w:cstheme="majorHAnsi"/>
          <w:color w:val="808080" w:themeColor="background1" w:themeShade="80"/>
          <w:sz w:val="16"/>
          <w:szCs w:val="16"/>
          <w:lang w:val="es-ES_tradnl"/>
        </w:rPr>
        <w:t xml:space="preserve">ión contra la Tortura, </w:t>
      </w:r>
      <w:r w:rsidRPr="00930562">
        <w:rPr>
          <w:rFonts w:asciiTheme="minorHAnsi" w:hAnsiTheme="minorHAnsi" w:cstheme="majorHAnsi"/>
          <w:color w:val="808080" w:themeColor="background1" w:themeShade="80"/>
          <w:sz w:val="16"/>
          <w:szCs w:val="16"/>
          <w:lang w:val="es-ES"/>
        </w:rPr>
        <w:t>Artículo 1.</w:t>
      </w:r>
    </w:p>
  </w:footnote>
  <w:footnote w:id="515">
    <w:p w14:paraId="33C9F1ED"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CIDH, Informe No. 92/05, Case 12.418, </w:t>
      </w:r>
      <w:r w:rsidRPr="00930562">
        <w:rPr>
          <w:rFonts w:asciiTheme="minorHAnsi" w:hAnsiTheme="minorHAnsi" w:cstheme="majorHAnsi"/>
          <w:i/>
          <w:color w:val="808080" w:themeColor="background1" w:themeShade="80"/>
          <w:sz w:val="16"/>
          <w:szCs w:val="16"/>
          <w:lang w:val="es-ES"/>
        </w:rPr>
        <w:t>Michael Gayle</w:t>
      </w:r>
      <w:r w:rsidRPr="00930562">
        <w:rPr>
          <w:rFonts w:asciiTheme="minorHAnsi" w:hAnsiTheme="minorHAnsi" w:cstheme="majorHAnsi"/>
          <w:color w:val="808080" w:themeColor="background1" w:themeShade="80"/>
          <w:sz w:val="16"/>
          <w:szCs w:val="16"/>
          <w:lang w:val="es-ES"/>
        </w:rPr>
        <w:t xml:space="preserve"> (Jamaica), </w:t>
      </w:r>
      <w:r w:rsidRPr="00930562">
        <w:rPr>
          <w:rFonts w:asciiTheme="minorHAnsi" w:hAnsiTheme="minorHAnsi" w:cstheme="majorHAnsi"/>
          <w:bCs/>
          <w:color w:val="808080" w:themeColor="background1" w:themeShade="80"/>
          <w:sz w:val="16"/>
          <w:szCs w:val="16"/>
          <w:lang w:val="es-ES"/>
        </w:rPr>
        <w:t>24 de octubre de</w:t>
      </w:r>
      <w:r w:rsidRPr="00930562">
        <w:rPr>
          <w:rFonts w:asciiTheme="minorHAnsi" w:hAnsiTheme="minorHAnsi" w:cstheme="majorHAnsi"/>
          <w:color w:val="808080" w:themeColor="background1" w:themeShade="80"/>
          <w:sz w:val="16"/>
          <w:szCs w:val="16"/>
          <w:lang w:val="es-ES"/>
        </w:rPr>
        <w:t xml:space="preserve"> 2005, párrs. 59-60.</w:t>
      </w:r>
    </w:p>
  </w:footnote>
  <w:footnote w:id="516">
    <w:p w14:paraId="6552F0DB"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Id. párr. 63.</w:t>
      </w:r>
    </w:p>
  </w:footnote>
  <w:footnote w:id="517">
    <w:p w14:paraId="1C2CE0AD" w14:textId="77777777" w:rsidR="00F64540" w:rsidRPr="00930562" w:rsidRDefault="00F64540" w:rsidP="00E10935">
      <w:pPr>
        <w:pStyle w:val="FootnoteText"/>
        <w:spacing w:after="40"/>
        <w:ind w:left="547" w:hanging="547"/>
        <w:rPr>
          <w:rFonts w:asciiTheme="minorHAnsi" w:hAnsiTheme="minorHAnsi"/>
          <w:color w:val="808080" w:themeColor="background1" w:themeShade="80"/>
          <w:sz w:val="16"/>
          <w:szCs w:val="16"/>
          <w:lang w:val="es-ES"/>
        </w:rPr>
      </w:pPr>
      <w:r w:rsidRPr="00930562">
        <w:rPr>
          <w:rStyle w:val="FootnoteReference"/>
          <w:rFonts w:asciiTheme="minorHAnsi" w:hAnsiTheme="minorHAnsi"/>
          <w:color w:val="808080" w:themeColor="background1" w:themeShade="80"/>
          <w:sz w:val="16"/>
          <w:szCs w:val="16"/>
        </w:rPr>
        <w:footnoteRef/>
      </w:r>
      <w:r w:rsidRPr="00930562">
        <w:rPr>
          <w:rFonts w:asciiTheme="minorHAnsi" w:hAnsiTheme="minorHAnsi"/>
          <w:color w:val="808080" w:themeColor="background1" w:themeShade="80"/>
          <w:sz w:val="16"/>
          <w:szCs w:val="16"/>
          <w:lang w:val="es-ES"/>
        </w:rPr>
        <w:t xml:space="preserve"> CIDH, Informe No. 64/12, Caso 12.271, Fondo, Benito Tide Méndez et al. (República Dominicana), 29 de marzo de 2012, párr. 209.</w:t>
      </w:r>
    </w:p>
  </w:footnote>
  <w:footnote w:id="518">
    <w:p w14:paraId="00B4124F" w14:textId="77777777" w:rsidR="00F64540" w:rsidRPr="00930562" w:rsidRDefault="00F64540" w:rsidP="00E10935">
      <w:pPr>
        <w:pStyle w:val="FootnoteText"/>
        <w:spacing w:after="40"/>
        <w:ind w:left="547" w:hanging="547"/>
        <w:rPr>
          <w:rFonts w:asciiTheme="minorHAnsi" w:hAnsiTheme="minorHAnsi"/>
          <w:color w:val="808080" w:themeColor="background1" w:themeShade="80"/>
          <w:sz w:val="16"/>
          <w:szCs w:val="16"/>
          <w:lang w:val="es-ES"/>
        </w:rPr>
      </w:pPr>
      <w:r w:rsidRPr="00930562">
        <w:rPr>
          <w:rStyle w:val="FootnoteReference"/>
          <w:rFonts w:asciiTheme="minorHAnsi" w:hAnsiTheme="minorHAnsi"/>
          <w:color w:val="808080" w:themeColor="background1" w:themeShade="80"/>
          <w:sz w:val="16"/>
          <w:szCs w:val="16"/>
        </w:rPr>
        <w:footnoteRef/>
      </w:r>
      <w:r w:rsidRPr="00930562">
        <w:rPr>
          <w:rFonts w:asciiTheme="minorHAnsi" w:hAnsiTheme="minorHAnsi"/>
          <w:color w:val="808080" w:themeColor="background1" w:themeShade="80"/>
          <w:sz w:val="16"/>
          <w:szCs w:val="16"/>
          <w:lang w:val="es-ES"/>
        </w:rPr>
        <w:t xml:space="preserve"> Id. Párr. 194 (citando a la CIDH, Informe No. 35/96, Caso 10.832, Fondo, Luis Lizardo Cabrera (República Dominicana), 19 de febrero de 1998, párrafo 77; citando Comisión Europea de Derechos Humanos, El Caso Griego, 1969, 12 YB EUR. CONV. SOBRE DDHH 12, 186. Véase también CIDH, Informe sobre Terrorismo y Derechos Humanos OEA / Ser.L / V / II.116 Doc 5 rev.1 corr (2002), párrafo 156.)</w:t>
      </w:r>
    </w:p>
  </w:footnote>
  <w:footnote w:id="519">
    <w:p w14:paraId="172F22CA" w14:textId="77777777" w:rsidR="00F64540" w:rsidRPr="00930562" w:rsidRDefault="00F64540" w:rsidP="00E10935">
      <w:pPr>
        <w:pStyle w:val="FootnoteText"/>
        <w:spacing w:after="40"/>
        <w:ind w:left="547" w:hanging="547"/>
        <w:rPr>
          <w:rFonts w:asciiTheme="minorHAnsi" w:hAnsiTheme="minorHAnsi"/>
          <w:color w:val="808080" w:themeColor="background1" w:themeShade="80"/>
          <w:sz w:val="16"/>
          <w:szCs w:val="16"/>
          <w:lang w:val="es-ES"/>
        </w:rPr>
      </w:pPr>
      <w:r w:rsidRPr="00930562">
        <w:rPr>
          <w:rStyle w:val="FootnoteReference"/>
          <w:rFonts w:asciiTheme="minorHAnsi" w:hAnsiTheme="minorHAnsi"/>
          <w:color w:val="808080" w:themeColor="background1" w:themeShade="80"/>
          <w:sz w:val="16"/>
          <w:szCs w:val="16"/>
        </w:rPr>
        <w:footnoteRef/>
      </w:r>
      <w:r w:rsidRPr="00930562">
        <w:rPr>
          <w:rFonts w:asciiTheme="minorHAnsi" w:hAnsiTheme="minorHAnsi"/>
          <w:color w:val="808080" w:themeColor="background1" w:themeShade="80"/>
          <w:sz w:val="16"/>
          <w:szCs w:val="16"/>
          <w:lang w:val="es-ES"/>
        </w:rPr>
        <w:t xml:space="preserve"> Id.</w:t>
      </w:r>
    </w:p>
  </w:footnote>
  <w:footnote w:id="520">
    <w:p w14:paraId="06565ACE" w14:textId="77777777" w:rsidR="00F64540" w:rsidRPr="00930562" w:rsidRDefault="00F64540" w:rsidP="00E10935">
      <w:pPr>
        <w:pStyle w:val="FootnoteText"/>
        <w:spacing w:after="40"/>
        <w:ind w:left="547" w:hanging="547"/>
        <w:rPr>
          <w:rFonts w:asciiTheme="minorHAnsi" w:hAnsiTheme="minorHAnsi"/>
          <w:color w:val="808080" w:themeColor="background1" w:themeShade="80"/>
          <w:sz w:val="16"/>
          <w:szCs w:val="16"/>
          <w:lang w:val="es-ES"/>
        </w:rPr>
      </w:pPr>
      <w:r w:rsidRPr="00930562">
        <w:rPr>
          <w:rStyle w:val="FootnoteReference"/>
          <w:rFonts w:asciiTheme="minorHAnsi" w:hAnsiTheme="minorHAnsi"/>
          <w:color w:val="808080" w:themeColor="background1" w:themeShade="80"/>
          <w:sz w:val="16"/>
          <w:szCs w:val="16"/>
        </w:rPr>
        <w:footnoteRef/>
      </w:r>
      <w:r w:rsidRPr="00930562">
        <w:rPr>
          <w:rFonts w:asciiTheme="minorHAnsi" w:hAnsiTheme="minorHAnsi"/>
          <w:color w:val="808080" w:themeColor="background1" w:themeShade="80"/>
          <w:sz w:val="16"/>
          <w:szCs w:val="16"/>
          <w:lang w:val="es-ES"/>
        </w:rPr>
        <w:t xml:space="preserve"> Id. Citando Corte IDH, Loayza Tamayo v. Perú, 19 de septiembre de 1997, Serie C Nº 33, párrafo 57).</w:t>
      </w:r>
    </w:p>
  </w:footnote>
  <w:footnote w:id="521">
    <w:p w14:paraId="39E65163"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Comité contra la Tortura, </w:t>
      </w:r>
      <w:r w:rsidRPr="00930562">
        <w:rPr>
          <w:rFonts w:asciiTheme="minorHAnsi" w:hAnsiTheme="minorHAnsi" w:cstheme="majorHAnsi"/>
          <w:i/>
          <w:color w:val="808080" w:themeColor="background1" w:themeShade="80"/>
          <w:sz w:val="16"/>
          <w:szCs w:val="16"/>
          <w:lang w:val="es-ES"/>
        </w:rPr>
        <w:t xml:space="preserve">Conclusiones y Recomendaciones: Estados Unidos, </w:t>
      </w:r>
      <w:r w:rsidRPr="00930562">
        <w:rPr>
          <w:rFonts w:asciiTheme="minorHAnsi" w:hAnsiTheme="minorHAnsi" w:cstheme="majorHAnsi"/>
          <w:color w:val="808080" w:themeColor="background1" w:themeShade="80"/>
          <w:sz w:val="16"/>
          <w:szCs w:val="16"/>
          <w:lang w:val="es-ES"/>
        </w:rPr>
        <w:t>CAT/C/USA/CO/2 (25 de Julio de 2006), párr. 23.</w:t>
      </w:r>
    </w:p>
  </w:footnote>
  <w:footnote w:id="522">
    <w:p w14:paraId="53CD1C2B"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 xml:space="preserve"> </w:t>
      </w:r>
      <w:r w:rsidRPr="00930562">
        <w:rPr>
          <w:rFonts w:asciiTheme="minorHAnsi" w:hAnsiTheme="minorHAnsi" w:cstheme="majorHAnsi"/>
          <w:color w:val="808080" w:themeColor="background1" w:themeShade="80"/>
          <w:sz w:val="16"/>
          <w:szCs w:val="16"/>
          <w:lang w:val="es-ES"/>
        </w:rPr>
        <w:tab/>
        <w:t>Id. párr. 37.</w:t>
      </w:r>
    </w:p>
  </w:footnote>
  <w:footnote w:id="523">
    <w:p w14:paraId="7EBE6DA4"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bookmarkStart w:id="197" w:name="_Hlk504833244"/>
      <w:r w:rsidRPr="00930562">
        <w:rPr>
          <w:rFonts w:asciiTheme="minorHAnsi" w:hAnsiTheme="minorHAnsi" w:cstheme="majorHAnsi"/>
          <w:color w:val="808080" w:themeColor="background1" w:themeShade="80"/>
          <w:sz w:val="16"/>
          <w:szCs w:val="16"/>
          <w:lang w:val="es-ES"/>
        </w:rPr>
        <w:tab/>
        <w:t xml:space="preserve">Comité contra la Tortura, </w:t>
      </w:r>
      <w:r w:rsidRPr="00930562">
        <w:rPr>
          <w:rFonts w:asciiTheme="minorHAnsi" w:hAnsiTheme="minorHAnsi" w:cstheme="majorHAnsi"/>
          <w:i/>
          <w:color w:val="808080" w:themeColor="background1" w:themeShade="80"/>
          <w:sz w:val="16"/>
          <w:szCs w:val="16"/>
          <w:lang w:val="es-ES"/>
        </w:rPr>
        <w:t>Observaciones finales sobre los informes periódicos tercero a quinto combinados de los Estados Unidos</w:t>
      </w:r>
      <w:r w:rsidRPr="00930562">
        <w:rPr>
          <w:rFonts w:asciiTheme="minorHAnsi" w:hAnsiTheme="minorHAnsi" w:cstheme="majorHAnsi"/>
          <w:color w:val="808080" w:themeColor="background1" w:themeShade="80"/>
          <w:sz w:val="16"/>
          <w:szCs w:val="16"/>
          <w:lang w:val="es-ES"/>
        </w:rPr>
        <w:t>, CAT/C/USA/CO/3-5, 19 de diciembre de 2014, párr. 26.</w:t>
      </w:r>
      <w:bookmarkEnd w:id="197"/>
    </w:p>
  </w:footnote>
  <w:footnote w:id="524">
    <w:p w14:paraId="6A812C7A" w14:textId="7D613E34"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hAnsiTheme="minorHAnsi" w:cstheme="majorHAnsi"/>
          <w:i/>
          <w:color w:val="808080" w:themeColor="background1" w:themeShade="80"/>
          <w:sz w:val="16"/>
          <w:szCs w:val="16"/>
          <w:lang w:val="es-ES"/>
        </w:rPr>
        <w:t>Ver en general infra</w:t>
      </w:r>
      <w:r w:rsidRPr="00930562">
        <w:rPr>
          <w:rFonts w:asciiTheme="minorHAnsi" w:hAnsiTheme="minorHAnsi" w:cstheme="majorHAnsi"/>
          <w:color w:val="808080" w:themeColor="background1" w:themeShade="80"/>
          <w:sz w:val="16"/>
          <w:szCs w:val="16"/>
          <w:lang w:val="es-ES"/>
        </w:rPr>
        <w:t xml:space="preserve"> párrs. 2</w:t>
      </w:r>
      <w:r w:rsidRPr="00930562">
        <w:rPr>
          <w:rFonts w:asciiTheme="minorHAnsi" w:hAnsiTheme="minorHAnsi"/>
          <w:color w:val="808080" w:themeColor="background1" w:themeShade="80"/>
          <w:sz w:val="16"/>
          <w:szCs w:val="16"/>
          <w:lang w:val="es-MX"/>
        </w:rPr>
        <w:t>50</w:t>
      </w:r>
      <w:r w:rsidRPr="00930562">
        <w:rPr>
          <w:rFonts w:asciiTheme="minorHAnsi" w:hAnsiTheme="minorHAnsi" w:cstheme="majorHAnsi"/>
          <w:color w:val="808080" w:themeColor="background1" w:themeShade="80"/>
          <w:sz w:val="16"/>
          <w:szCs w:val="16"/>
          <w:lang w:val="es-ES"/>
        </w:rPr>
        <w:t>-</w:t>
      </w:r>
      <w:r w:rsidRPr="00930562">
        <w:rPr>
          <w:rFonts w:asciiTheme="minorHAnsi" w:hAnsiTheme="minorHAnsi"/>
          <w:color w:val="808080" w:themeColor="background1" w:themeShade="80"/>
          <w:sz w:val="16"/>
          <w:szCs w:val="16"/>
          <w:lang w:val="es-MX"/>
        </w:rPr>
        <w:t>256</w:t>
      </w:r>
      <w:r w:rsidRPr="00930562">
        <w:rPr>
          <w:rFonts w:asciiTheme="minorHAnsi" w:hAnsiTheme="minorHAnsi" w:cstheme="majorHAnsi"/>
          <w:color w:val="808080" w:themeColor="background1" w:themeShade="80"/>
          <w:sz w:val="16"/>
          <w:szCs w:val="16"/>
          <w:lang w:val="es-ES"/>
        </w:rPr>
        <w:t>.</w:t>
      </w:r>
    </w:p>
  </w:footnote>
  <w:footnote w:id="525">
    <w:p w14:paraId="789446EB"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hAnsiTheme="minorHAnsi" w:cstheme="majorHAnsi"/>
          <w:i/>
          <w:color w:val="808080" w:themeColor="background1" w:themeShade="80"/>
          <w:sz w:val="16"/>
          <w:szCs w:val="16"/>
          <w:lang w:val="es-ES"/>
        </w:rPr>
        <w:t>Ver supra</w:t>
      </w:r>
      <w:r w:rsidRPr="00930562">
        <w:rPr>
          <w:rFonts w:asciiTheme="minorHAnsi" w:hAnsiTheme="minorHAnsi" w:cstheme="majorHAnsi"/>
          <w:color w:val="808080" w:themeColor="background1" w:themeShade="80"/>
          <w:sz w:val="16"/>
          <w:szCs w:val="16"/>
          <w:lang w:val="es-ES"/>
        </w:rPr>
        <w:t xml:space="preserve"> párrs. 66, 87-89,178.</w:t>
      </w:r>
    </w:p>
  </w:footnote>
  <w:footnote w:id="526">
    <w:p w14:paraId="6B719636" w14:textId="77777777" w:rsidR="00F64540" w:rsidRPr="00930562" w:rsidRDefault="00F64540" w:rsidP="00E10935">
      <w:pPr>
        <w:pStyle w:val="FootnoteText"/>
        <w:spacing w:after="40"/>
        <w:ind w:left="547" w:hanging="547"/>
        <w:contextualSpacing/>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ACLU, </w:t>
      </w:r>
      <w:hyperlink r:id="rId592" w:history="1">
        <w:r w:rsidRPr="00930562">
          <w:rPr>
            <w:rStyle w:val="Hyperlink"/>
            <w:rFonts w:asciiTheme="minorHAnsi" w:hAnsiTheme="minorHAnsi" w:cstheme="majorHAnsi"/>
            <w:color w:val="808080" w:themeColor="background1" w:themeShade="80"/>
            <w:sz w:val="16"/>
            <w:szCs w:val="16"/>
            <w:lang w:val="es-ES"/>
          </w:rPr>
          <w:t>La Guerra contra la Marijuana en Blanco y Negro</w:t>
        </w:r>
      </w:hyperlink>
      <w:r w:rsidRPr="00930562">
        <w:rPr>
          <w:rFonts w:asciiTheme="minorHAnsi" w:hAnsiTheme="minorHAnsi" w:cstheme="majorHAnsi"/>
          <w:color w:val="808080" w:themeColor="background1" w:themeShade="80"/>
          <w:sz w:val="16"/>
          <w:szCs w:val="16"/>
          <w:lang w:val="es-ES"/>
        </w:rPr>
        <w:t>, junio 2013.</w:t>
      </w:r>
    </w:p>
  </w:footnote>
  <w:footnote w:id="527">
    <w:p w14:paraId="7F9C8495" w14:textId="77777777" w:rsidR="00F64540" w:rsidRPr="00930562" w:rsidRDefault="00F64540" w:rsidP="00E10935">
      <w:pPr>
        <w:pStyle w:val="FootnoteText"/>
        <w:spacing w:after="40"/>
        <w:ind w:left="547" w:hanging="547"/>
        <w:contextualSpacing/>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ACLU, </w:t>
      </w:r>
      <w:hyperlink r:id="rId593" w:history="1">
        <w:r w:rsidRPr="00930562">
          <w:rPr>
            <w:rStyle w:val="Hyperlink"/>
            <w:rFonts w:asciiTheme="minorHAnsi" w:hAnsiTheme="minorHAnsi" w:cstheme="majorHAnsi"/>
            <w:color w:val="808080" w:themeColor="background1" w:themeShade="80"/>
            <w:sz w:val="16"/>
            <w:szCs w:val="16"/>
            <w:lang w:val="es-ES"/>
          </w:rPr>
          <w:t>La guerra vuelve a casa. La excesiva militarización de la policía estadounidense</w:t>
        </w:r>
      </w:hyperlink>
      <w:r w:rsidRPr="00930562">
        <w:rPr>
          <w:rFonts w:asciiTheme="minorHAnsi" w:hAnsiTheme="minorHAnsi" w:cstheme="majorHAnsi"/>
          <w:color w:val="808080" w:themeColor="background1" w:themeShade="80"/>
          <w:sz w:val="16"/>
          <w:szCs w:val="16"/>
          <w:lang w:val="es-ES"/>
        </w:rPr>
        <w:t>, junio 2014, p. 3.</w:t>
      </w:r>
    </w:p>
  </w:footnote>
  <w:footnote w:id="528">
    <w:p w14:paraId="329748C8" w14:textId="77777777" w:rsidR="00F64540" w:rsidRPr="00930562" w:rsidRDefault="00F64540" w:rsidP="00E10935">
      <w:pPr>
        <w:pStyle w:val="FootnoteText"/>
        <w:spacing w:after="40"/>
        <w:ind w:left="547" w:hanging="547"/>
        <w:contextualSpacing/>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Id. p. 5.</w:t>
      </w:r>
    </w:p>
  </w:footnote>
  <w:footnote w:id="529">
    <w:p w14:paraId="70CFF5D9"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eastAsia="Times New Roman" w:hAnsiTheme="minorHAnsi" w:cstheme="majorHAnsi"/>
          <w:color w:val="808080" w:themeColor="background1" w:themeShade="80"/>
          <w:sz w:val="16"/>
          <w:szCs w:val="16"/>
          <w:lang w:val="es-ES" w:eastAsia="es-ES"/>
        </w:rPr>
        <w:t xml:space="preserve">CIDH, </w:t>
      </w:r>
      <w:hyperlink r:id="rId594" w:history="1">
        <w:r w:rsidRPr="00930562">
          <w:rPr>
            <w:rStyle w:val="Hyperlink"/>
            <w:rFonts w:asciiTheme="minorHAnsi" w:eastAsia="Times New Roman" w:hAnsiTheme="minorHAnsi" w:cstheme="majorHAnsi"/>
            <w:color w:val="808080" w:themeColor="background1" w:themeShade="80"/>
            <w:sz w:val="16"/>
            <w:szCs w:val="16"/>
            <w:lang w:val="es-ES" w:eastAsia="es-ES"/>
          </w:rPr>
          <w:t>Informe Anual 2015, Cap</w:t>
        </w:r>
        <w:r w:rsidRPr="00930562">
          <w:rPr>
            <w:rStyle w:val="Hyperlink"/>
            <w:rFonts w:asciiTheme="minorHAnsi" w:eastAsia="Times New Roman" w:hAnsiTheme="minorHAnsi" w:cstheme="majorHAnsi"/>
            <w:color w:val="808080" w:themeColor="background1" w:themeShade="80"/>
            <w:sz w:val="16"/>
            <w:szCs w:val="16"/>
            <w:lang w:val="es-ES_tradnl" w:eastAsia="es-ES"/>
          </w:rPr>
          <w:t>ítulo IV Uso de la fuerza</w:t>
        </w:r>
      </w:hyperlink>
      <w:r w:rsidRPr="00930562">
        <w:rPr>
          <w:rFonts w:asciiTheme="minorHAnsi" w:eastAsia="Times New Roman" w:hAnsiTheme="minorHAnsi" w:cstheme="majorHAnsi"/>
          <w:color w:val="808080" w:themeColor="background1" w:themeShade="80"/>
          <w:sz w:val="16"/>
          <w:szCs w:val="16"/>
          <w:lang w:val="es-ES_tradnl" w:eastAsia="es-ES"/>
        </w:rPr>
        <w:t xml:space="preserve">, párr. </w:t>
      </w:r>
      <w:r w:rsidRPr="00930562">
        <w:rPr>
          <w:rFonts w:asciiTheme="minorHAnsi" w:hAnsiTheme="minorHAnsi" w:cstheme="majorHAnsi"/>
          <w:color w:val="808080" w:themeColor="background1" w:themeShade="80"/>
          <w:sz w:val="16"/>
          <w:szCs w:val="16"/>
          <w:lang w:val="es-ES"/>
        </w:rPr>
        <w:t>40.</w:t>
      </w:r>
    </w:p>
  </w:footnote>
  <w:footnote w:id="530">
    <w:p w14:paraId="751773D3"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Id. p</w:t>
      </w:r>
      <w:r w:rsidRPr="00930562">
        <w:rPr>
          <w:rFonts w:asciiTheme="minorHAnsi" w:hAnsiTheme="minorHAnsi" w:cstheme="majorHAnsi"/>
          <w:color w:val="808080" w:themeColor="background1" w:themeShade="80"/>
          <w:sz w:val="16"/>
          <w:szCs w:val="16"/>
          <w:lang w:val="es-ES_tradnl"/>
        </w:rPr>
        <w:t>árr</w:t>
      </w:r>
      <w:r w:rsidRPr="00930562">
        <w:rPr>
          <w:rFonts w:asciiTheme="minorHAnsi" w:hAnsiTheme="minorHAnsi" w:cstheme="majorHAnsi"/>
          <w:color w:val="808080" w:themeColor="background1" w:themeShade="80"/>
          <w:sz w:val="16"/>
          <w:szCs w:val="16"/>
          <w:lang w:val="es-ES"/>
        </w:rPr>
        <w:t>. 49.</w:t>
      </w:r>
    </w:p>
  </w:footnote>
  <w:footnote w:id="531">
    <w:p w14:paraId="1FC3585F"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Id. párr. 2.</w:t>
      </w:r>
    </w:p>
  </w:footnote>
  <w:footnote w:id="532">
    <w:p w14:paraId="2421EB96"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hAnsiTheme="minorHAnsi" w:cstheme="majorHAnsi"/>
          <w:i/>
          <w:color w:val="808080" w:themeColor="background1" w:themeShade="80"/>
          <w:sz w:val="16"/>
          <w:szCs w:val="16"/>
          <w:lang w:val="es-ES"/>
        </w:rPr>
        <w:t xml:space="preserve">Ver supra </w:t>
      </w:r>
      <w:r w:rsidRPr="00930562">
        <w:rPr>
          <w:rFonts w:asciiTheme="minorHAnsi" w:hAnsiTheme="minorHAnsi" w:cstheme="majorHAnsi"/>
          <w:color w:val="808080" w:themeColor="background1" w:themeShade="80"/>
          <w:sz w:val="16"/>
          <w:szCs w:val="16"/>
          <w:lang w:val="es-ES"/>
        </w:rPr>
        <w:t>párrs. 119-126.</w:t>
      </w:r>
    </w:p>
  </w:footnote>
  <w:footnote w:id="533">
    <w:p w14:paraId="4457A060"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eastAsia="Times New Roman" w:hAnsiTheme="minorHAnsi" w:cstheme="majorHAnsi"/>
          <w:color w:val="808080" w:themeColor="background1" w:themeShade="80"/>
          <w:sz w:val="16"/>
          <w:szCs w:val="16"/>
          <w:lang w:val="es-ES" w:eastAsia="es-ES"/>
        </w:rPr>
        <w:t xml:space="preserve">CIDH, </w:t>
      </w:r>
      <w:hyperlink r:id="rId595" w:history="1">
        <w:r w:rsidRPr="00930562">
          <w:rPr>
            <w:rStyle w:val="Hyperlink"/>
            <w:rFonts w:asciiTheme="minorHAnsi" w:eastAsia="Times New Roman" w:hAnsiTheme="minorHAnsi" w:cstheme="majorHAnsi"/>
            <w:color w:val="808080" w:themeColor="background1" w:themeShade="80"/>
            <w:sz w:val="16"/>
            <w:szCs w:val="16"/>
            <w:lang w:val="es-ES" w:eastAsia="es-ES"/>
          </w:rPr>
          <w:t>Informe Anual 2015, Cap</w:t>
        </w:r>
        <w:r w:rsidRPr="00930562">
          <w:rPr>
            <w:rStyle w:val="Hyperlink"/>
            <w:rFonts w:asciiTheme="minorHAnsi" w:eastAsia="Times New Roman" w:hAnsiTheme="minorHAnsi" w:cstheme="majorHAnsi"/>
            <w:color w:val="808080" w:themeColor="background1" w:themeShade="80"/>
            <w:sz w:val="16"/>
            <w:szCs w:val="16"/>
            <w:lang w:val="es-ES_tradnl" w:eastAsia="es-ES"/>
          </w:rPr>
          <w:t>ítulo IV Uso de la fuerza</w:t>
        </w:r>
      </w:hyperlink>
      <w:r w:rsidRPr="00930562">
        <w:rPr>
          <w:rFonts w:asciiTheme="minorHAnsi" w:eastAsia="Times New Roman" w:hAnsiTheme="minorHAnsi" w:cstheme="majorHAnsi"/>
          <w:color w:val="808080" w:themeColor="background1" w:themeShade="80"/>
          <w:sz w:val="16"/>
          <w:szCs w:val="16"/>
          <w:lang w:val="es-ES_tradnl" w:eastAsia="es-ES"/>
        </w:rPr>
        <w:t xml:space="preserve">, párr. </w:t>
      </w:r>
      <w:r w:rsidRPr="00930562">
        <w:rPr>
          <w:rFonts w:asciiTheme="minorHAnsi" w:hAnsiTheme="minorHAnsi" w:cstheme="majorHAnsi"/>
          <w:color w:val="808080" w:themeColor="background1" w:themeShade="80"/>
          <w:sz w:val="16"/>
          <w:szCs w:val="16"/>
          <w:lang w:val="es-ES"/>
        </w:rPr>
        <w:t>64.</w:t>
      </w:r>
    </w:p>
  </w:footnote>
  <w:footnote w:id="534">
    <w:p w14:paraId="70B05644"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Id. párr. 68.</w:t>
      </w:r>
    </w:p>
  </w:footnote>
  <w:footnote w:id="535">
    <w:p w14:paraId="37EA7546" w14:textId="1A18AE3C"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Id. párr. 120. </w:t>
      </w:r>
      <w:r w:rsidRPr="00930562">
        <w:rPr>
          <w:rFonts w:asciiTheme="minorHAnsi" w:hAnsiTheme="minorHAnsi" w:cstheme="majorHAnsi"/>
          <w:i/>
          <w:color w:val="808080" w:themeColor="background1" w:themeShade="80"/>
          <w:sz w:val="16"/>
          <w:szCs w:val="16"/>
          <w:lang w:val="es-ES"/>
        </w:rPr>
        <w:t>Ver también supra</w:t>
      </w:r>
      <w:r w:rsidRPr="00930562">
        <w:rPr>
          <w:rFonts w:asciiTheme="minorHAnsi" w:hAnsiTheme="minorHAnsi" w:cstheme="majorHAnsi"/>
          <w:color w:val="808080" w:themeColor="background1" w:themeShade="80"/>
          <w:sz w:val="16"/>
          <w:szCs w:val="16"/>
          <w:lang w:val="es-ES"/>
        </w:rPr>
        <w:t xml:space="preserve"> párrs. </w:t>
      </w:r>
      <w:r w:rsidRPr="00930562">
        <w:rPr>
          <w:rFonts w:asciiTheme="minorHAnsi" w:hAnsiTheme="minorHAnsi"/>
          <w:color w:val="808080" w:themeColor="background1" w:themeShade="80"/>
          <w:sz w:val="16"/>
          <w:szCs w:val="16"/>
          <w:lang w:val="es-MX"/>
        </w:rPr>
        <w:t>221-222</w:t>
      </w:r>
      <w:r w:rsidRPr="00930562">
        <w:rPr>
          <w:rFonts w:asciiTheme="minorHAnsi" w:hAnsiTheme="minorHAnsi" w:cstheme="majorHAnsi"/>
          <w:color w:val="808080" w:themeColor="background1" w:themeShade="80"/>
          <w:sz w:val="16"/>
          <w:szCs w:val="16"/>
          <w:lang w:val="es-ES"/>
        </w:rPr>
        <w:t xml:space="preserve">. </w:t>
      </w:r>
    </w:p>
  </w:footnote>
  <w:footnote w:id="536">
    <w:p w14:paraId="38A1E0F6"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Id. párr. 79.</w:t>
      </w:r>
    </w:p>
  </w:footnote>
  <w:footnote w:id="537">
    <w:p w14:paraId="354011BD"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Id. párr. 79 (citando CIDH, </w:t>
      </w:r>
      <w:hyperlink r:id="rId596" w:history="1">
        <w:r w:rsidRPr="00930562">
          <w:rPr>
            <w:rStyle w:val="Hyperlink"/>
            <w:rFonts w:asciiTheme="minorHAnsi" w:hAnsiTheme="minorHAnsi" w:cstheme="majorHAnsi"/>
            <w:color w:val="808080" w:themeColor="background1" w:themeShade="80"/>
            <w:sz w:val="16"/>
            <w:szCs w:val="16"/>
            <w:lang w:val="es-ES"/>
          </w:rPr>
          <w:t xml:space="preserve">Informe sobre seguridad ciudadana y derechos humanos </w:t>
        </w:r>
      </w:hyperlink>
      <w:r w:rsidRPr="00930562">
        <w:rPr>
          <w:rFonts w:asciiTheme="minorHAnsi" w:hAnsiTheme="minorHAnsi" w:cstheme="majorHAnsi"/>
          <w:color w:val="808080" w:themeColor="background1" w:themeShade="80"/>
          <w:sz w:val="16"/>
          <w:szCs w:val="16"/>
          <w:lang w:val="es-ES"/>
        </w:rPr>
        <w:t xml:space="preserve"> (2009), párr. 193).</w:t>
      </w:r>
    </w:p>
  </w:footnote>
  <w:footnote w:id="538">
    <w:p w14:paraId="75F5475D"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Id. párr. 82 (citando ONU, Informe del Relator Especial sobre las ejecuciones extrajudiciales, sumarias o arbitrarias, Christof Heyns</w:t>
      </w:r>
      <w:r w:rsidRPr="00930562">
        <w:rPr>
          <w:rFonts w:asciiTheme="minorHAnsi" w:hAnsiTheme="minorHAnsi" w:cstheme="majorHAnsi"/>
          <w:i/>
          <w:color w:val="808080" w:themeColor="background1" w:themeShade="80"/>
          <w:sz w:val="16"/>
          <w:szCs w:val="16"/>
          <w:lang w:val="es-ES"/>
        </w:rPr>
        <w:t xml:space="preserve">, </w:t>
      </w:r>
      <w:r w:rsidRPr="00930562">
        <w:rPr>
          <w:rFonts w:asciiTheme="minorHAnsi" w:hAnsiTheme="minorHAnsi" w:cstheme="majorHAnsi"/>
          <w:color w:val="808080" w:themeColor="background1" w:themeShade="80"/>
          <w:sz w:val="16"/>
          <w:szCs w:val="16"/>
          <w:lang w:val="es-ES"/>
        </w:rPr>
        <w:t xml:space="preserve">A/HRC/17/28, 23 de mayo de 2011, párr. 75. Ver también, Amistía International, </w:t>
      </w:r>
      <w:hyperlink r:id="rId597" w:history="1">
        <w:r w:rsidRPr="00930562">
          <w:rPr>
            <w:rStyle w:val="Hyperlink"/>
            <w:rFonts w:asciiTheme="minorHAnsi" w:hAnsiTheme="minorHAnsi" w:cstheme="majorHAnsi"/>
            <w:color w:val="808080" w:themeColor="background1" w:themeShade="80"/>
            <w:sz w:val="16"/>
            <w:szCs w:val="16"/>
            <w:lang w:val="es-ES"/>
          </w:rPr>
          <w:t>Use of force: Guidelines for implementation of the UN Basic Principles on the use of forcé and firearms by law enforcement officials</w:t>
        </w:r>
      </w:hyperlink>
      <w:r w:rsidRPr="00930562">
        <w:rPr>
          <w:rFonts w:asciiTheme="minorHAnsi" w:hAnsiTheme="minorHAnsi" w:cstheme="majorHAnsi"/>
          <w:color w:val="808080" w:themeColor="background1" w:themeShade="80"/>
          <w:sz w:val="16"/>
          <w:szCs w:val="16"/>
          <w:lang w:val="es-ES"/>
        </w:rPr>
        <w:t>, (Uso de la fuerza: Directrices para la implementación de los Principios Básicos sobre el Empleo de la Fuerza y de Armas de Fuego por los Funcionarios Encargados de Hacer Cumplir la Ley), agosto 2015, p. 148(i)).</w:t>
      </w:r>
    </w:p>
  </w:footnote>
  <w:footnote w:id="539">
    <w:p w14:paraId="5DBFB478"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pt-BR"/>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eastAsia="Times New Roman" w:hAnsiTheme="minorHAnsi" w:cstheme="majorHAnsi"/>
          <w:color w:val="808080" w:themeColor="background1" w:themeShade="80"/>
          <w:sz w:val="16"/>
          <w:szCs w:val="16"/>
          <w:lang w:val="es-ES" w:eastAsia="es-ES"/>
        </w:rPr>
        <w:t xml:space="preserve">CIDH, </w:t>
      </w:r>
      <w:hyperlink r:id="rId598" w:history="1">
        <w:r w:rsidRPr="00930562">
          <w:rPr>
            <w:rStyle w:val="Hyperlink"/>
            <w:rFonts w:asciiTheme="minorHAnsi" w:eastAsia="Times New Roman" w:hAnsiTheme="minorHAnsi" w:cstheme="majorHAnsi"/>
            <w:color w:val="808080" w:themeColor="background1" w:themeShade="80"/>
            <w:sz w:val="16"/>
            <w:szCs w:val="16"/>
            <w:lang w:val="es-ES" w:eastAsia="es-ES"/>
          </w:rPr>
          <w:t>Informe Anual 2015, Cap</w:t>
        </w:r>
        <w:r w:rsidRPr="00930562">
          <w:rPr>
            <w:rStyle w:val="Hyperlink"/>
            <w:rFonts w:asciiTheme="minorHAnsi" w:eastAsia="Times New Roman" w:hAnsiTheme="minorHAnsi" w:cstheme="majorHAnsi"/>
            <w:color w:val="808080" w:themeColor="background1" w:themeShade="80"/>
            <w:sz w:val="16"/>
            <w:szCs w:val="16"/>
            <w:lang w:val="es-ES_tradnl" w:eastAsia="es-ES"/>
          </w:rPr>
          <w:t>ítulo IV Uso de la fuerza</w:t>
        </w:r>
      </w:hyperlink>
      <w:r w:rsidRPr="00930562">
        <w:rPr>
          <w:rFonts w:asciiTheme="minorHAnsi" w:eastAsia="Times New Roman" w:hAnsiTheme="minorHAnsi" w:cstheme="majorHAnsi"/>
          <w:color w:val="808080" w:themeColor="background1" w:themeShade="80"/>
          <w:sz w:val="16"/>
          <w:szCs w:val="16"/>
          <w:lang w:val="es-ES_tradnl" w:eastAsia="es-ES"/>
        </w:rPr>
        <w:t xml:space="preserve">, párr. </w:t>
      </w:r>
      <w:r w:rsidRPr="00930562">
        <w:rPr>
          <w:rFonts w:asciiTheme="minorHAnsi" w:hAnsiTheme="minorHAnsi" w:cstheme="majorHAnsi"/>
          <w:color w:val="808080" w:themeColor="background1" w:themeShade="80"/>
          <w:sz w:val="16"/>
          <w:szCs w:val="16"/>
          <w:lang w:val="es-ES"/>
        </w:rPr>
        <w:t>82 (citando Informe sobre la Situaci</w:t>
      </w:r>
      <w:r w:rsidRPr="00930562">
        <w:rPr>
          <w:rFonts w:asciiTheme="minorHAnsi" w:hAnsiTheme="minorHAnsi" w:cstheme="majorHAnsi"/>
          <w:color w:val="808080" w:themeColor="background1" w:themeShade="80"/>
          <w:sz w:val="16"/>
          <w:szCs w:val="16"/>
          <w:lang w:val="es-ES_tradnl"/>
        </w:rPr>
        <w:t>ón de las defensoras y defensores de derechos humanos en las Américas</w:t>
      </w:r>
      <w:r w:rsidRPr="00930562">
        <w:rPr>
          <w:rFonts w:asciiTheme="minorHAnsi" w:hAnsiTheme="minorHAnsi" w:cstheme="majorHAnsi"/>
          <w:color w:val="808080" w:themeColor="background1" w:themeShade="80"/>
          <w:sz w:val="16"/>
          <w:szCs w:val="16"/>
          <w:lang w:val="es-ES"/>
        </w:rPr>
        <w:t xml:space="preserve">, OEA/Ser.L/V/II.124, Doc. 5 rev. 1, Mar. 7, 2006, párr. </w:t>
      </w:r>
      <w:r w:rsidRPr="00930562">
        <w:rPr>
          <w:rFonts w:asciiTheme="minorHAnsi" w:hAnsiTheme="minorHAnsi" w:cstheme="majorHAnsi"/>
          <w:color w:val="808080" w:themeColor="background1" w:themeShade="80"/>
          <w:sz w:val="16"/>
          <w:szCs w:val="16"/>
          <w:lang w:val="pt-BR"/>
        </w:rPr>
        <w:t>68(a)).</w:t>
      </w:r>
    </w:p>
  </w:footnote>
  <w:footnote w:id="540">
    <w:p w14:paraId="1E7B38D6"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pt-BR"/>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pt-BR"/>
        </w:rPr>
        <w:tab/>
      </w:r>
      <w:r w:rsidRPr="00930562">
        <w:rPr>
          <w:rFonts w:asciiTheme="minorHAnsi" w:hAnsiTheme="minorHAnsi" w:cstheme="majorHAnsi"/>
          <w:color w:val="808080" w:themeColor="background1" w:themeShade="80"/>
          <w:sz w:val="16"/>
          <w:szCs w:val="16"/>
          <w:lang w:val="pt-BR"/>
        </w:rPr>
        <w:t>Id. párr. 82 (cita omitida)</w:t>
      </w:r>
    </w:p>
  </w:footnote>
  <w:footnote w:id="541">
    <w:p w14:paraId="78402A07"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pt-BR"/>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pt-BR"/>
        </w:rPr>
        <w:tab/>
      </w:r>
      <w:r w:rsidRPr="00930562">
        <w:rPr>
          <w:rFonts w:asciiTheme="minorHAnsi" w:hAnsiTheme="minorHAnsi" w:cstheme="majorHAnsi"/>
          <w:color w:val="808080" w:themeColor="background1" w:themeShade="80"/>
          <w:sz w:val="16"/>
          <w:szCs w:val="16"/>
          <w:lang w:val="pt-BR"/>
        </w:rPr>
        <w:t>Id. párr. 84.</w:t>
      </w:r>
    </w:p>
  </w:footnote>
  <w:footnote w:id="542">
    <w:p w14:paraId="509948E6"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VE"/>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pt-BR"/>
        </w:rPr>
        <w:tab/>
      </w:r>
      <w:r w:rsidRPr="00930562">
        <w:rPr>
          <w:rFonts w:asciiTheme="minorHAnsi" w:hAnsiTheme="minorHAnsi" w:cstheme="majorHAnsi"/>
          <w:color w:val="808080" w:themeColor="background1" w:themeShade="80"/>
          <w:sz w:val="16"/>
          <w:szCs w:val="16"/>
          <w:lang w:val="pt-BR"/>
        </w:rPr>
        <w:t xml:space="preserve">Id. párr. 121 (citando Corte IDH. </w:t>
      </w:r>
      <w:r w:rsidRPr="00930562">
        <w:rPr>
          <w:rFonts w:asciiTheme="minorHAnsi" w:hAnsiTheme="minorHAnsi" w:cstheme="majorHAnsi"/>
          <w:i/>
          <w:color w:val="808080" w:themeColor="background1" w:themeShade="80"/>
          <w:sz w:val="16"/>
          <w:szCs w:val="16"/>
          <w:lang w:val="es-ES"/>
        </w:rPr>
        <w:t>Caso Servellón García y otros vs. Honduras</w:t>
      </w:r>
      <w:r w:rsidRPr="00930562">
        <w:rPr>
          <w:rFonts w:asciiTheme="minorHAnsi" w:hAnsiTheme="minorHAnsi" w:cstheme="majorHAnsi"/>
          <w:color w:val="808080" w:themeColor="background1" w:themeShade="80"/>
          <w:sz w:val="16"/>
          <w:szCs w:val="16"/>
          <w:lang w:val="es-ES"/>
        </w:rPr>
        <w:t xml:space="preserve">. Sentencia de 21 de septiembre de 2006. Serie C No. 152, párr. 134); </w:t>
      </w:r>
      <w:r w:rsidRPr="00930562">
        <w:rPr>
          <w:rFonts w:asciiTheme="minorHAnsi" w:hAnsiTheme="minorHAnsi" w:cstheme="majorHAnsi"/>
          <w:i/>
          <w:color w:val="808080" w:themeColor="background1" w:themeShade="80"/>
          <w:sz w:val="16"/>
          <w:szCs w:val="16"/>
          <w:lang w:val="es-ES"/>
        </w:rPr>
        <w:t xml:space="preserve">ver también </w:t>
      </w:r>
      <w:r w:rsidRPr="00930562">
        <w:rPr>
          <w:rFonts w:asciiTheme="minorHAnsi" w:hAnsiTheme="minorHAnsi" w:cstheme="majorHAnsi"/>
          <w:color w:val="808080" w:themeColor="background1" w:themeShade="80"/>
          <w:sz w:val="16"/>
          <w:szCs w:val="16"/>
          <w:lang w:val="es-ES"/>
        </w:rPr>
        <w:t xml:space="preserve">Corte IDH. </w:t>
      </w:r>
      <w:r w:rsidRPr="00930562">
        <w:rPr>
          <w:rFonts w:asciiTheme="minorHAnsi" w:hAnsiTheme="minorHAnsi" w:cstheme="majorHAnsi"/>
          <w:i/>
          <w:color w:val="808080" w:themeColor="background1" w:themeShade="80"/>
          <w:sz w:val="16"/>
          <w:szCs w:val="16"/>
          <w:lang w:val="es-ES"/>
        </w:rPr>
        <w:t>Caso Bulacio vs. Argentina</w:t>
      </w:r>
      <w:r w:rsidRPr="00930562">
        <w:rPr>
          <w:rFonts w:asciiTheme="minorHAnsi" w:hAnsiTheme="minorHAnsi" w:cstheme="majorHAnsi"/>
          <w:color w:val="808080" w:themeColor="background1" w:themeShade="80"/>
          <w:sz w:val="16"/>
          <w:szCs w:val="16"/>
          <w:lang w:val="es-ES"/>
        </w:rPr>
        <w:t xml:space="preserve">. Fondo, Reparaciones y Costas. Sentencia de 18 de septiembre de 2003. Serie C No. 100, punto </w:t>
      </w:r>
      <w:r w:rsidRPr="00930562">
        <w:rPr>
          <w:rFonts w:asciiTheme="minorHAnsi" w:hAnsiTheme="minorHAnsi" w:cstheme="majorHAnsi"/>
          <w:color w:val="808080" w:themeColor="background1" w:themeShade="80"/>
          <w:sz w:val="16"/>
          <w:szCs w:val="16"/>
          <w:lang w:val="es-VE"/>
        </w:rPr>
        <w:t>137.</w:t>
      </w:r>
    </w:p>
  </w:footnote>
  <w:footnote w:id="543">
    <w:p w14:paraId="238E9139"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VE"/>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VE"/>
        </w:rPr>
        <w:tab/>
      </w:r>
      <w:r w:rsidRPr="00930562">
        <w:rPr>
          <w:rFonts w:asciiTheme="minorHAnsi" w:hAnsiTheme="minorHAnsi" w:cstheme="majorHAnsi"/>
          <w:i/>
          <w:color w:val="808080" w:themeColor="background1" w:themeShade="80"/>
          <w:sz w:val="16"/>
          <w:szCs w:val="16"/>
          <w:lang w:val="es-VE"/>
        </w:rPr>
        <w:t>Ver supra</w:t>
      </w:r>
      <w:r w:rsidRPr="00930562">
        <w:rPr>
          <w:rFonts w:asciiTheme="minorHAnsi" w:hAnsiTheme="minorHAnsi" w:cstheme="majorHAnsi"/>
          <w:color w:val="808080" w:themeColor="background1" w:themeShade="80"/>
          <w:sz w:val="16"/>
          <w:szCs w:val="16"/>
          <w:lang w:val="es-VE"/>
        </w:rPr>
        <w:t xml:space="preserve"> párrs. </w:t>
      </w:r>
      <w:r w:rsidRPr="00930562">
        <w:rPr>
          <w:rFonts w:asciiTheme="minorHAnsi" w:hAnsiTheme="minorHAnsi"/>
          <w:color w:val="808080" w:themeColor="background1" w:themeShade="80"/>
          <w:sz w:val="16"/>
          <w:szCs w:val="16"/>
        </w:rPr>
        <w:fldChar w:fldCharType="begin"/>
      </w:r>
      <w:r w:rsidRPr="00930562">
        <w:rPr>
          <w:rFonts w:asciiTheme="minorHAnsi" w:hAnsiTheme="minorHAnsi"/>
          <w:color w:val="808080" w:themeColor="background1" w:themeShade="80"/>
          <w:sz w:val="16"/>
          <w:szCs w:val="16"/>
          <w:lang w:val="es-ES"/>
        </w:rPr>
        <w:instrText xml:space="preserve"> REF _Ref507405582 \r \h  \* MERGEFORMAT </w:instrText>
      </w:r>
      <w:r w:rsidRPr="00930562">
        <w:rPr>
          <w:rFonts w:asciiTheme="minorHAnsi" w:hAnsiTheme="minorHAnsi"/>
          <w:color w:val="808080" w:themeColor="background1" w:themeShade="80"/>
          <w:sz w:val="16"/>
          <w:szCs w:val="16"/>
        </w:rPr>
      </w:r>
      <w:r w:rsidRPr="00930562">
        <w:rPr>
          <w:rFonts w:asciiTheme="minorHAnsi" w:hAnsiTheme="minorHAnsi"/>
          <w:color w:val="808080" w:themeColor="background1" w:themeShade="80"/>
          <w:sz w:val="16"/>
          <w:szCs w:val="16"/>
        </w:rPr>
        <w:fldChar w:fldCharType="separate"/>
      </w:r>
      <w:r w:rsidRPr="00930562">
        <w:rPr>
          <w:rFonts w:asciiTheme="minorHAnsi" w:hAnsiTheme="minorHAnsi" w:cstheme="majorHAnsi"/>
          <w:color w:val="808080" w:themeColor="background1" w:themeShade="80"/>
          <w:sz w:val="16"/>
          <w:szCs w:val="16"/>
          <w:lang w:val="es-VE"/>
        </w:rPr>
        <w:t>108</w:t>
      </w:r>
      <w:r w:rsidRPr="00930562">
        <w:rPr>
          <w:rFonts w:asciiTheme="minorHAnsi" w:hAnsiTheme="minorHAnsi"/>
          <w:color w:val="808080" w:themeColor="background1" w:themeShade="80"/>
          <w:sz w:val="16"/>
          <w:szCs w:val="16"/>
        </w:rPr>
        <w:fldChar w:fldCharType="end"/>
      </w:r>
      <w:r w:rsidRPr="00930562">
        <w:rPr>
          <w:rFonts w:asciiTheme="minorHAnsi" w:hAnsiTheme="minorHAnsi" w:cstheme="majorHAnsi"/>
          <w:color w:val="808080" w:themeColor="background1" w:themeShade="80"/>
          <w:sz w:val="16"/>
          <w:szCs w:val="16"/>
          <w:lang w:val="es-VE"/>
        </w:rPr>
        <w:t>-</w:t>
      </w:r>
      <w:r w:rsidRPr="00930562">
        <w:rPr>
          <w:rFonts w:asciiTheme="minorHAnsi" w:hAnsiTheme="minorHAnsi"/>
          <w:color w:val="808080" w:themeColor="background1" w:themeShade="80"/>
          <w:sz w:val="16"/>
          <w:szCs w:val="16"/>
        </w:rPr>
        <w:fldChar w:fldCharType="begin"/>
      </w:r>
      <w:r w:rsidRPr="00930562">
        <w:rPr>
          <w:rFonts w:asciiTheme="minorHAnsi" w:hAnsiTheme="minorHAnsi"/>
          <w:color w:val="808080" w:themeColor="background1" w:themeShade="80"/>
          <w:sz w:val="16"/>
          <w:szCs w:val="16"/>
          <w:lang w:val="es-ES"/>
        </w:rPr>
        <w:instrText xml:space="preserve"> REF _Ref507406888 \r \h  \* MERGEFORMAT </w:instrText>
      </w:r>
      <w:r w:rsidRPr="00930562">
        <w:rPr>
          <w:rFonts w:asciiTheme="minorHAnsi" w:hAnsiTheme="minorHAnsi"/>
          <w:color w:val="808080" w:themeColor="background1" w:themeShade="80"/>
          <w:sz w:val="16"/>
          <w:szCs w:val="16"/>
        </w:rPr>
      </w:r>
      <w:r w:rsidRPr="00930562">
        <w:rPr>
          <w:rFonts w:asciiTheme="minorHAnsi" w:hAnsiTheme="minorHAnsi"/>
          <w:color w:val="808080" w:themeColor="background1" w:themeShade="80"/>
          <w:sz w:val="16"/>
          <w:szCs w:val="16"/>
        </w:rPr>
        <w:fldChar w:fldCharType="separate"/>
      </w:r>
      <w:r w:rsidRPr="00930562">
        <w:rPr>
          <w:rFonts w:asciiTheme="minorHAnsi" w:hAnsiTheme="minorHAnsi" w:cstheme="majorHAnsi"/>
          <w:color w:val="808080" w:themeColor="background1" w:themeShade="80"/>
          <w:sz w:val="16"/>
          <w:szCs w:val="16"/>
          <w:lang w:val="es-VE"/>
        </w:rPr>
        <w:t>109</w:t>
      </w:r>
      <w:r w:rsidRPr="00930562">
        <w:rPr>
          <w:rFonts w:asciiTheme="minorHAnsi" w:hAnsiTheme="minorHAnsi"/>
          <w:color w:val="808080" w:themeColor="background1" w:themeShade="80"/>
          <w:sz w:val="16"/>
          <w:szCs w:val="16"/>
        </w:rPr>
        <w:fldChar w:fldCharType="end"/>
      </w:r>
      <w:r w:rsidRPr="00930562">
        <w:rPr>
          <w:rFonts w:asciiTheme="minorHAnsi" w:hAnsiTheme="minorHAnsi" w:cstheme="majorHAnsi"/>
          <w:color w:val="808080" w:themeColor="background1" w:themeShade="80"/>
          <w:sz w:val="16"/>
          <w:szCs w:val="16"/>
          <w:lang w:val="es-VE"/>
        </w:rPr>
        <w:t>.</w:t>
      </w:r>
    </w:p>
  </w:footnote>
  <w:footnote w:id="544">
    <w:p w14:paraId="2F66003D"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VE"/>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VE"/>
        </w:rPr>
        <w:tab/>
        <w:t>Id. párr. 122.</w:t>
      </w:r>
    </w:p>
  </w:footnote>
  <w:footnote w:id="545">
    <w:p w14:paraId="7723F767"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eastAsia="Times New Roman" w:hAnsiTheme="minorHAnsi" w:cstheme="majorHAnsi"/>
          <w:color w:val="808080" w:themeColor="background1" w:themeShade="80"/>
          <w:sz w:val="16"/>
          <w:szCs w:val="16"/>
          <w:lang w:val="es-ES" w:eastAsia="es-ES"/>
        </w:rPr>
        <w:t xml:space="preserve">CIDH, </w:t>
      </w:r>
      <w:hyperlink r:id="rId599" w:history="1">
        <w:r w:rsidRPr="00930562">
          <w:rPr>
            <w:rStyle w:val="Hyperlink"/>
            <w:rFonts w:asciiTheme="minorHAnsi" w:eastAsia="Times New Roman" w:hAnsiTheme="minorHAnsi" w:cstheme="majorHAnsi"/>
            <w:color w:val="808080" w:themeColor="background1" w:themeShade="80"/>
            <w:sz w:val="16"/>
            <w:szCs w:val="16"/>
            <w:lang w:val="es-ES" w:eastAsia="es-ES"/>
          </w:rPr>
          <w:t>Informe Anual 2015, Cap</w:t>
        </w:r>
        <w:r w:rsidRPr="00930562">
          <w:rPr>
            <w:rStyle w:val="Hyperlink"/>
            <w:rFonts w:asciiTheme="minorHAnsi" w:eastAsia="Times New Roman" w:hAnsiTheme="minorHAnsi" w:cstheme="majorHAnsi"/>
            <w:color w:val="808080" w:themeColor="background1" w:themeShade="80"/>
            <w:sz w:val="16"/>
            <w:szCs w:val="16"/>
            <w:lang w:val="es-ES_tradnl" w:eastAsia="es-ES"/>
          </w:rPr>
          <w:t>ítulo IV Uso de la fuerza</w:t>
        </w:r>
      </w:hyperlink>
      <w:r w:rsidRPr="00930562">
        <w:rPr>
          <w:rFonts w:asciiTheme="minorHAnsi" w:eastAsia="Times New Roman" w:hAnsiTheme="minorHAnsi" w:cstheme="majorHAnsi"/>
          <w:color w:val="808080" w:themeColor="background1" w:themeShade="80"/>
          <w:sz w:val="16"/>
          <w:szCs w:val="16"/>
          <w:lang w:val="es-ES_tradnl" w:eastAsia="es-ES"/>
        </w:rPr>
        <w:t xml:space="preserve">, párr. </w:t>
      </w:r>
      <w:r w:rsidRPr="00930562">
        <w:rPr>
          <w:rFonts w:asciiTheme="minorHAnsi" w:hAnsiTheme="minorHAnsi" w:cstheme="majorHAnsi"/>
          <w:color w:val="808080" w:themeColor="background1" w:themeShade="80"/>
          <w:sz w:val="16"/>
          <w:szCs w:val="16"/>
          <w:lang w:val="es-ES"/>
        </w:rPr>
        <w:t xml:space="preserve">225 (citando Amnistía International, </w:t>
      </w:r>
      <w:hyperlink r:id="rId600" w:history="1">
        <w:r w:rsidRPr="00930562">
          <w:rPr>
            <w:rStyle w:val="Hyperlink"/>
            <w:rFonts w:asciiTheme="minorHAnsi" w:hAnsiTheme="minorHAnsi" w:cstheme="majorHAnsi"/>
            <w:color w:val="808080" w:themeColor="background1" w:themeShade="80"/>
            <w:sz w:val="16"/>
            <w:szCs w:val="16"/>
            <w:lang w:val="es-ES"/>
          </w:rPr>
          <w:t>Use of force: Guidelines for implementation of the UN Basic Principles on the use of forcé and firearms by law enforcement officials</w:t>
        </w:r>
      </w:hyperlink>
      <w:r w:rsidRPr="00930562">
        <w:rPr>
          <w:rFonts w:asciiTheme="minorHAnsi" w:hAnsiTheme="minorHAnsi" w:cstheme="majorHAnsi"/>
          <w:color w:val="808080" w:themeColor="background1" w:themeShade="80"/>
          <w:sz w:val="16"/>
          <w:szCs w:val="16"/>
          <w:lang w:val="es-ES"/>
        </w:rPr>
        <w:t>, (Uso de la fuerza: Directrices para la implementación de los Principios Básicos sobre el Empleo de la Fuerza y de Armas de Fuego por los Funcionarios Encargados de Hacer Cumplir la Ley), agosto 2015).</w:t>
      </w:r>
    </w:p>
  </w:footnote>
  <w:footnote w:id="546">
    <w:p w14:paraId="39D7230E"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Id. párr. 225.</w:t>
      </w:r>
    </w:p>
  </w:footnote>
  <w:footnote w:id="547">
    <w:p w14:paraId="0D689480"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Id. párr. 226 (citando Informe del Relator Especial sobre el derecho a la libertad de reunión pacífica y de asociación, Maina Kiai, en su mission al Reino Unido (14-23 de enero de 2013) A/HRC/23/39/Add.1, párr 24).</w:t>
      </w:r>
    </w:p>
  </w:footnote>
  <w:footnote w:id="548">
    <w:p w14:paraId="00159FC3"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Id. párrs. 168, 170.</w:t>
      </w:r>
    </w:p>
    <w:p w14:paraId="589EA43A"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Fonts w:asciiTheme="minorHAnsi" w:hAnsiTheme="minorHAnsi" w:cstheme="majorHAnsi"/>
          <w:color w:val="808080" w:themeColor="background1" w:themeShade="80"/>
          <w:sz w:val="16"/>
          <w:szCs w:val="16"/>
          <w:lang w:val="es-ES"/>
        </w:rPr>
        <w:t xml:space="preserve">Al respecto “en el contexto de manifestaciones y situaciones de alta conflictividad social, el trabajo de periodistas y comunicadores, y el libre flujo de información a través de medios alternativos como las redes sociales, es fundamental para mantener informada a la población sobre los acontecimientos, a la vez que cumple un importante rol al reportar sobre la actuación del Estado y de la Fuerza Pública ante las manifestaciones, previniendo el uso desproporcionado de la fuerza y el abuso de autoridad.” Relator Especial de las Naciones Unidas (ONU) para la Protección y Promoción del Derecho a la Libertad de Opinión y de Expresión Relatora Especial para la Libertad de Expresión de la Comisión Interamericana de Derechos Humanos de la OEA. </w:t>
      </w:r>
      <w:hyperlink r:id="rId601" w:history="1">
        <w:r w:rsidRPr="00930562">
          <w:rPr>
            <w:rStyle w:val="Hyperlink"/>
            <w:rFonts w:asciiTheme="minorHAnsi" w:hAnsiTheme="minorHAnsi" w:cstheme="majorHAnsi"/>
            <w:color w:val="808080" w:themeColor="background1" w:themeShade="80"/>
            <w:sz w:val="16"/>
            <w:szCs w:val="16"/>
            <w:lang w:val="es-ES"/>
          </w:rPr>
          <w:t>Declaración conjunta sobre violencia contra periodistas y comunicadores en el marco de manifestaciones sociales</w:t>
        </w:r>
      </w:hyperlink>
      <w:r w:rsidRPr="00930562">
        <w:rPr>
          <w:rFonts w:asciiTheme="minorHAnsi" w:hAnsiTheme="minorHAnsi" w:cstheme="majorHAnsi"/>
          <w:color w:val="808080" w:themeColor="background1" w:themeShade="80"/>
          <w:sz w:val="16"/>
          <w:szCs w:val="16"/>
          <w:lang w:val="es-ES"/>
        </w:rPr>
        <w:t>, 13 de septiembre de 2013.</w:t>
      </w:r>
    </w:p>
  </w:footnote>
  <w:footnote w:id="549">
    <w:p w14:paraId="590F1B3D"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eastAsia="Times New Roman" w:hAnsiTheme="minorHAnsi" w:cstheme="majorHAnsi"/>
          <w:color w:val="808080" w:themeColor="background1" w:themeShade="80"/>
          <w:sz w:val="16"/>
          <w:szCs w:val="16"/>
          <w:lang w:val="es-ES" w:eastAsia="es-ES"/>
        </w:rPr>
        <w:t xml:space="preserve">CIDH, </w:t>
      </w:r>
      <w:hyperlink r:id="rId602" w:history="1">
        <w:r w:rsidRPr="00930562">
          <w:rPr>
            <w:rStyle w:val="Hyperlink"/>
            <w:rFonts w:asciiTheme="minorHAnsi" w:eastAsia="Times New Roman" w:hAnsiTheme="minorHAnsi" w:cstheme="majorHAnsi"/>
            <w:color w:val="808080" w:themeColor="background1" w:themeShade="80"/>
            <w:sz w:val="16"/>
            <w:szCs w:val="16"/>
            <w:lang w:val="es-ES" w:eastAsia="es-ES"/>
          </w:rPr>
          <w:t>Informe Anual 2015, Cap</w:t>
        </w:r>
        <w:r w:rsidRPr="00930562">
          <w:rPr>
            <w:rStyle w:val="Hyperlink"/>
            <w:rFonts w:asciiTheme="minorHAnsi" w:eastAsia="Times New Roman" w:hAnsiTheme="minorHAnsi" w:cstheme="majorHAnsi"/>
            <w:color w:val="808080" w:themeColor="background1" w:themeShade="80"/>
            <w:sz w:val="16"/>
            <w:szCs w:val="16"/>
            <w:lang w:val="es-ES_tradnl" w:eastAsia="es-ES"/>
          </w:rPr>
          <w:t>ítulo IV Uso de la fuerza</w:t>
        </w:r>
      </w:hyperlink>
      <w:r w:rsidRPr="00930562">
        <w:rPr>
          <w:rFonts w:asciiTheme="minorHAnsi" w:eastAsia="Times New Roman" w:hAnsiTheme="minorHAnsi" w:cstheme="majorHAnsi"/>
          <w:color w:val="808080" w:themeColor="background1" w:themeShade="80"/>
          <w:sz w:val="16"/>
          <w:szCs w:val="16"/>
          <w:lang w:val="es-ES_tradnl" w:eastAsia="es-ES"/>
        </w:rPr>
        <w:t xml:space="preserve">, párr. </w:t>
      </w:r>
      <w:r w:rsidRPr="00930562">
        <w:rPr>
          <w:rFonts w:asciiTheme="minorHAnsi" w:hAnsiTheme="minorHAnsi" w:cstheme="majorHAnsi"/>
          <w:color w:val="808080" w:themeColor="background1" w:themeShade="80"/>
          <w:sz w:val="16"/>
          <w:szCs w:val="16"/>
          <w:lang w:val="es-ES"/>
        </w:rPr>
        <w:t>172 (citando Directrices sobre la Libertad de Reunión Pacífica, OSCE – ODHIR y Comisión Venecia, cit., párr. 169).</w:t>
      </w:r>
    </w:p>
  </w:footnote>
  <w:footnote w:id="550">
    <w:p w14:paraId="3394D64B"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eastAsia="Times New Roman" w:hAnsiTheme="minorHAnsi" w:cstheme="majorHAnsi"/>
          <w:bCs/>
          <w:color w:val="808080" w:themeColor="background1" w:themeShade="80"/>
          <w:sz w:val="16"/>
          <w:szCs w:val="16"/>
          <w:lang w:val="es-ES" w:eastAsia="es-ES"/>
        </w:rPr>
        <w:t xml:space="preserve">IACHR, </w:t>
      </w:r>
      <w:hyperlink r:id="rId603" w:history="1">
        <w:r w:rsidRPr="00930562">
          <w:rPr>
            <w:rStyle w:val="Hyperlink"/>
            <w:rFonts w:asciiTheme="minorHAnsi" w:eastAsia="Times New Roman" w:hAnsiTheme="minorHAnsi" w:cstheme="majorHAnsi"/>
            <w:bCs/>
            <w:color w:val="808080" w:themeColor="background1" w:themeShade="80"/>
            <w:sz w:val="16"/>
            <w:szCs w:val="16"/>
            <w:lang w:val="es-ES" w:eastAsia="es-ES"/>
          </w:rPr>
          <w:t xml:space="preserve">La Situación de las personas afrodescendientes en las Américas, </w:t>
        </w:r>
      </w:hyperlink>
      <w:r w:rsidRPr="00930562">
        <w:rPr>
          <w:rFonts w:asciiTheme="minorHAnsi" w:eastAsia="Times New Roman" w:hAnsiTheme="minorHAnsi" w:cstheme="majorHAnsi"/>
          <w:bCs/>
          <w:color w:val="808080" w:themeColor="background1" w:themeShade="80"/>
          <w:sz w:val="16"/>
          <w:szCs w:val="16"/>
          <w:lang w:val="es-ES" w:eastAsia="es-ES"/>
        </w:rPr>
        <w:t xml:space="preserve"> (2011)</w:t>
      </w:r>
      <w:r w:rsidRPr="00930562">
        <w:rPr>
          <w:rFonts w:asciiTheme="minorHAnsi" w:eastAsia="Times New Roman" w:hAnsiTheme="minorHAnsi" w:cstheme="majorHAnsi"/>
          <w:color w:val="808080" w:themeColor="background1" w:themeShade="80"/>
          <w:sz w:val="16"/>
          <w:szCs w:val="16"/>
          <w:lang w:val="es-ES" w:eastAsia="es-ES"/>
        </w:rPr>
        <w:t xml:space="preserve">, </w:t>
      </w:r>
      <w:r w:rsidRPr="00930562">
        <w:rPr>
          <w:rFonts w:asciiTheme="minorHAnsi" w:hAnsiTheme="minorHAnsi" w:cstheme="majorHAnsi"/>
          <w:color w:val="808080" w:themeColor="background1" w:themeShade="80"/>
          <w:sz w:val="16"/>
          <w:szCs w:val="16"/>
          <w:lang w:val="es-ES"/>
        </w:rPr>
        <w:t>párr. 15.</w:t>
      </w:r>
    </w:p>
  </w:footnote>
  <w:footnote w:id="551">
    <w:p w14:paraId="6FEDBAA2"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CIDH, </w:t>
      </w:r>
      <w:hyperlink r:id="rId604" w:history="1">
        <w:r w:rsidRPr="00930562">
          <w:rPr>
            <w:rStyle w:val="Hyperlink"/>
            <w:rFonts w:asciiTheme="minorHAnsi" w:hAnsiTheme="minorHAnsi" w:cstheme="majorHAnsi"/>
            <w:color w:val="808080" w:themeColor="background1" w:themeShade="80"/>
            <w:sz w:val="16"/>
            <w:szCs w:val="16"/>
            <w:lang w:val="es-ES"/>
          </w:rPr>
          <w:t xml:space="preserve">Informe sobre seguridad ciudadana y derechos humanos </w:t>
        </w:r>
      </w:hyperlink>
      <w:r w:rsidRPr="00930562">
        <w:rPr>
          <w:rFonts w:asciiTheme="minorHAnsi" w:hAnsiTheme="minorHAnsi" w:cstheme="majorHAnsi"/>
          <w:color w:val="808080" w:themeColor="background1" w:themeShade="80"/>
          <w:sz w:val="16"/>
          <w:szCs w:val="16"/>
          <w:lang w:val="es-ES"/>
        </w:rPr>
        <w:t xml:space="preserve"> (2009), párr. 168.</w:t>
      </w:r>
    </w:p>
  </w:footnote>
  <w:footnote w:id="552">
    <w:p w14:paraId="0E1DCC52"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Id.</w:t>
      </w:r>
    </w:p>
  </w:footnote>
  <w:footnote w:id="553">
    <w:p w14:paraId="283415D2"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VE"/>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eastAsia="Times New Roman" w:hAnsiTheme="minorHAnsi" w:cstheme="majorHAnsi"/>
          <w:color w:val="808080" w:themeColor="background1" w:themeShade="80"/>
          <w:sz w:val="16"/>
          <w:szCs w:val="16"/>
          <w:lang w:val="es-ES" w:eastAsia="es-ES"/>
        </w:rPr>
        <w:t xml:space="preserve">CIDH, </w:t>
      </w:r>
      <w:hyperlink r:id="rId605" w:history="1">
        <w:r w:rsidRPr="00930562">
          <w:rPr>
            <w:rStyle w:val="Hyperlink"/>
            <w:rFonts w:asciiTheme="minorHAnsi" w:eastAsia="Times New Roman" w:hAnsiTheme="minorHAnsi" w:cstheme="majorHAnsi"/>
            <w:color w:val="808080" w:themeColor="background1" w:themeShade="80"/>
            <w:sz w:val="16"/>
            <w:szCs w:val="16"/>
            <w:lang w:val="es-ES" w:eastAsia="es-ES"/>
          </w:rPr>
          <w:t>Informe Anual 2015, Cap</w:t>
        </w:r>
        <w:r w:rsidRPr="00930562">
          <w:rPr>
            <w:rStyle w:val="Hyperlink"/>
            <w:rFonts w:asciiTheme="minorHAnsi" w:eastAsia="Times New Roman" w:hAnsiTheme="minorHAnsi" w:cstheme="majorHAnsi"/>
            <w:color w:val="808080" w:themeColor="background1" w:themeShade="80"/>
            <w:sz w:val="16"/>
            <w:szCs w:val="16"/>
            <w:lang w:val="es-ES_tradnl" w:eastAsia="es-ES"/>
          </w:rPr>
          <w:t>ítulo IV Uso de la fuerza</w:t>
        </w:r>
      </w:hyperlink>
      <w:r w:rsidRPr="00930562">
        <w:rPr>
          <w:rFonts w:asciiTheme="minorHAnsi" w:eastAsia="Times New Roman" w:hAnsiTheme="minorHAnsi" w:cstheme="majorHAnsi"/>
          <w:color w:val="808080" w:themeColor="background1" w:themeShade="80"/>
          <w:sz w:val="16"/>
          <w:szCs w:val="16"/>
          <w:lang w:val="es-ES_tradnl" w:eastAsia="es-ES"/>
        </w:rPr>
        <w:t xml:space="preserve">, párr. </w:t>
      </w:r>
      <w:r w:rsidRPr="00930562">
        <w:rPr>
          <w:rFonts w:asciiTheme="minorHAnsi" w:hAnsiTheme="minorHAnsi" w:cstheme="majorHAnsi"/>
          <w:color w:val="808080" w:themeColor="background1" w:themeShade="80"/>
          <w:sz w:val="16"/>
          <w:szCs w:val="16"/>
          <w:lang w:val="es-VE"/>
        </w:rPr>
        <w:t>236.</w:t>
      </w:r>
    </w:p>
  </w:footnote>
  <w:footnote w:id="554">
    <w:p w14:paraId="7135DD52"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CIDH, Informe No. 80/11, </w:t>
      </w:r>
      <w:hyperlink r:id="rId606" w:history="1">
        <w:r w:rsidRPr="00930562">
          <w:rPr>
            <w:rStyle w:val="Hyperlink"/>
            <w:rFonts w:asciiTheme="minorHAnsi" w:hAnsiTheme="minorHAnsi" w:cstheme="majorHAnsi"/>
            <w:i/>
            <w:color w:val="808080" w:themeColor="background1" w:themeShade="80"/>
            <w:sz w:val="16"/>
            <w:szCs w:val="16"/>
            <w:lang w:val="es-ES"/>
          </w:rPr>
          <w:t>Jessica Lenahan</w:t>
        </w:r>
      </w:hyperlink>
      <w:r w:rsidRPr="00930562">
        <w:rPr>
          <w:rFonts w:asciiTheme="minorHAnsi" w:hAnsiTheme="minorHAnsi" w:cstheme="majorHAnsi"/>
          <w:color w:val="808080" w:themeColor="background1" w:themeShade="80"/>
          <w:sz w:val="16"/>
          <w:szCs w:val="16"/>
          <w:lang w:val="es-ES"/>
        </w:rPr>
        <w:t xml:space="preserve"> (2011), párr. </w:t>
      </w:r>
      <w:r w:rsidRPr="00930562">
        <w:rPr>
          <w:rFonts w:asciiTheme="minorHAnsi" w:hAnsiTheme="minorHAnsi" w:cstheme="majorHAnsi"/>
          <w:color w:val="808080" w:themeColor="background1" w:themeShade="80"/>
          <w:sz w:val="16"/>
          <w:szCs w:val="16"/>
          <w:lang w:val="es-VE"/>
        </w:rPr>
        <w:t xml:space="preserve">125, 128; </w:t>
      </w:r>
      <w:r w:rsidRPr="00930562">
        <w:rPr>
          <w:rFonts w:asciiTheme="minorHAnsi" w:hAnsiTheme="minorHAnsi" w:cstheme="majorHAnsi"/>
          <w:i/>
          <w:color w:val="808080" w:themeColor="background1" w:themeShade="80"/>
          <w:sz w:val="16"/>
          <w:szCs w:val="16"/>
          <w:lang w:val="es-VE"/>
        </w:rPr>
        <w:t>ver también</w:t>
      </w:r>
      <w:r w:rsidRPr="00930562">
        <w:rPr>
          <w:rFonts w:asciiTheme="minorHAnsi" w:hAnsiTheme="minorHAnsi" w:cstheme="majorHAnsi"/>
          <w:color w:val="808080" w:themeColor="background1" w:themeShade="80"/>
          <w:sz w:val="16"/>
          <w:szCs w:val="16"/>
          <w:lang w:val="es-VE"/>
        </w:rPr>
        <w:t xml:space="preserve"> Corte IDH. </w:t>
      </w:r>
      <w:r w:rsidRPr="00930562">
        <w:rPr>
          <w:rFonts w:asciiTheme="minorHAnsi" w:hAnsiTheme="minorHAnsi" w:cstheme="majorHAnsi"/>
          <w:i/>
          <w:color w:val="808080" w:themeColor="background1" w:themeShade="80"/>
          <w:sz w:val="16"/>
          <w:szCs w:val="16"/>
          <w:lang w:val="es-VE"/>
        </w:rPr>
        <w:t>Velásquez Rodríguez</w:t>
      </w:r>
      <w:r w:rsidRPr="00930562">
        <w:rPr>
          <w:rFonts w:asciiTheme="minorHAnsi" w:hAnsiTheme="minorHAnsi" w:cstheme="majorHAnsi"/>
          <w:color w:val="808080" w:themeColor="background1" w:themeShade="80"/>
          <w:sz w:val="16"/>
          <w:szCs w:val="16"/>
          <w:lang w:val="es-VE"/>
        </w:rPr>
        <w:t xml:space="preserve">, Ser. C No. 7 (1989), párr. 166; Corte IDH. </w:t>
      </w:r>
      <w:r w:rsidRPr="00930562">
        <w:rPr>
          <w:rFonts w:asciiTheme="minorHAnsi" w:hAnsiTheme="minorHAnsi" w:cstheme="majorHAnsi"/>
          <w:i/>
          <w:color w:val="808080" w:themeColor="background1" w:themeShade="80"/>
          <w:sz w:val="16"/>
          <w:szCs w:val="16"/>
          <w:lang w:val="es-VE"/>
        </w:rPr>
        <w:t>Campo Algodonero</w:t>
      </w:r>
      <w:r w:rsidRPr="00930562">
        <w:rPr>
          <w:rFonts w:asciiTheme="minorHAnsi" w:hAnsiTheme="minorHAnsi" w:cstheme="majorHAnsi"/>
          <w:color w:val="808080" w:themeColor="background1" w:themeShade="80"/>
          <w:sz w:val="16"/>
          <w:szCs w:val="16"/>
          <w:lang w:val="es-VE"/>
        </w:rPr>
        <w:t xml:space="preserve">, Ser. C No. 205 (2009), párr. 236; CIDH, Informe No. 28/07, </w:t>
      </w:r>
      <w:r w:rsidRPr="00930562">
        <w:rPr>
          <w:rFonts w:asciiTheme="minorHAnsi" w:hAnsiTheme="minorHAnsi" w:cstheme="majorHAnsi"/>
          <w:i/>
          <w:color w:val="808080" w:themeColor="background1" w:themeShade="80"/>
          <w:sz w:val="16"/>
          <w:szCs w:val="16"/>
          <w:lang w:val="es-VE"/>
        </w:rPr>
        <w:t xml:space="preserve">Gonzalez y otras. </w:t>
      </w:r>
      <w:r w:rsidRPr="00930562">
        <w:rPr>
          <w:rFonts w:asciiTheme="minorHAnsi" w:hAnsiTheme="minorHAnsi" w:cstheme="majorHAnsi"/>
          <w:color w:val="808080" w:themeColor="background1" w:themeShade="80"/>
          <w:sz w:val="16"/>
          <w:szCs w:val="16"/>
          <w:lang w:val="es-VE"/>
        </w:rPr>
        <w:t xml:space="preserve">(2007), párrs. </w:t>
      </w:r>
      <w:r w:rsidRPr="00930562">
        <w:rPr>
          <w:rFonts w:asciiTheme="minorHAnsi" w:hAnsiTheme="minorHAnsi" w:cstheme="majorHAnsi"/>
          <w:color w:val="808080" w:themeColor="background1" w:themeShade="80"/>
          <w:sz w:val="16"/>
          <w:szCs w:val="16"/>
          <w:lang w:val="es-ES"/>
        </w:rPr>
        <w:t xml:space="preserve">160-255; </w:t>
      </w:r>
      <w:r w:rsidRPr="00930562">
        <w:rPr>
          <w:rFonts w:asciiTheme="minorHAnsi" w:hAnsiTheme="minorHAnsi" w:cstheme="majorHAnsi"/>
          <w:i/>
          <w:color w:val="808080" w:themeColor="background1" w:themeShade="80"/>
          <w:sz w:val="16"/>
          <w:szCs w:val="16"/>
          <w:lang w:val="es-ES"/>
        </w:rPr>
        <w:t>Ver también</w:t>
      </w:r>
      <w:r w:rsidRPr="00930562">
        <w:rPr>
          <w:rFonts w:asciiTheme="minorHAnsi" w:hAnsiTheme="minorHAnsi" w:cstheme="majorHAnsi"/>
          <w:color w:val="808080" w:themeColor="background1" w:themeShade="80"/>
          <w:sz w:val="16"/>
          <w:szCs w:val="16"/>
          <w:lang w:val="es-ES"/>
        </w:rPr>
        <w:t xml:space="preserve"> ONU, </w:t>
      </w:r>
      <w:r w:rsidRPr="00930562">
        <w:rPr>
          <w:rFonts w:asciiTheme="minorHAnsi" w:hAnsiTheme="minorHAnsi" w:cstheme="majorHAnsi"/>
          <w:i/>
          <w:color w:val="808080" w:themeColor="background1" w:themeShade="80"/>
          <w:sz w:val="16"/>
          <w:szCs w:val="16"/>
          <w:lang w:val="es-ES"/>
        </w:rPr>
        <w:t xml:space="preserve">Declaración y Programa de Acción de Durban </w:t>
      </w:r>
      <w:r w:rsidRPr="00930562">
        <w:rPr>
          <w:rFonts w:asciiTheme="minorHAnsi" w:hAnsiTheme="minorHAnsi" w:cstheme="majorHAnsi"/>
          <w:color w:val="808080" w:themeColor="background1" w:themeShade="80"/>
          <w:sz w:val="16"/>
          <w:szCs w:val="16"/>
          <w:lang w:val="es-ES"/>
        </w:rPr>
        <w:t>(adoptado en 2001 Conferencia Mundial Contra el Racismo), párr. 104; C</w:t>
      </w:r>
      <w:r w:rsidRPr="00930562">
        <w:rPr>
          <w:rFonts w:asciiTheme="minorHAnsi" w:hAnsiTheme="minorHAnsi" w:cstheme="majorHAnsi"/>
          <w:i/>
          <w:color w:val="808080" w:themeColor="background1" w:themeShade="80"/>
          <w:sz w:val="16"/>
          <w:szCs w:val="16"/>
          <w:lang w:val="es-ES"/>
        </w:rPr>
        <w:t>onvención Internacional sobre la Eliminación de todas las Formas de Discriminación Racial</w:t>
      </w:r>
      <w:r w:rsidRPr="00930562">
        <w:rPr>
          <w:rFonts w:asciiTheme="minorHAnsi" w:hAnsiTheme="minorHAnsi" w:cstheme="majorHAnsi"/>
          <w:color w:val="808080" w:themeColor="background1" w:themeShade="80"/>
          <w:sz w:val="16"/>
          <w:szCs w:val="16"/>
          <w:lang w:val="es-ES"/>
        </w:rPr>
        <w:t>, adoptada y abierta a la firma y ratificación por la Asamblea General en su resolución 2106 A (XX), de 21 de diciembre de 1965.</w:t>
      </w:r>
    </w:p>
  </w:footnote>
  <w:footnote w:id="555">
    <w:p w14:paraId="3A78904B"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Pacto Internacional de Derechos Civiles y Políticos, Artículos 6-7; Convención contra la Tortura, Artículo 2; CRC, Artículo 37; Convención Belem do Pará, Artículo 4.</w:t>
      </w:r>
    </w:p>
  </w:footnote>
  <w:footnote w:id="556">
    <w:p w14:paraId="3E4470AD"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hAnsiTheme="minorHAnsi" w:cstheme="majorHAnsi"/>
          <w:bCs/>
          <w:color w:val="808080" w:themeColor="background1" w:themeShade="80"/>
          <w:sz w:val="16"/>
          <w:szCs w:val="16"/>
          <w:lang w:val="es-ES"/>
        </w:rPr>
        <w:t xml:space="preserve">CIDH, </w:t>
      </w:r>
      <w:hyperlink r:id="rId607" w:history="1">
        <w:r w:rsidRPr="00930562">
          <w:rPr>
            <w:rStyle w:val="Hyperlink"/>
            <w:rFonts w:asciiTheme="minorHAnsi" w:hAnsiTheme="minorHAnsi" w:cstheme="majorHAnsi"/>
            <w:bCs/>
            <w:color w:val="808080" w:themeColor="background1" w:themeShade="80"/>
            <w:sz w:val="16"/>
            <w:szCs w:val="16"/>
            <w:lang w:val="es-ES"/>
          </w:rPr>
          <w:t>Derechos Humanos de los migrantes y otras personas en el contexto de movilidad humana en México</w:t>
        </w:r>
      </w:hyperlink>
      <w:r w:rsidRPr="00930562">
        <w:rPr>
          <w:rFonts w:asciiTheme="minorHAnsi" w:hAnsiTheme="minorHAnsi" w:cstheme="majorHAnsi"/>
          <w:bCs/>
          <w:color w:val="808080" w:themeColor="background1" w:themeShade="80"/>
          <w:sz w:val="16"/>
          <w:szCs w:val="16"/>
          <w:lang w:val="es-ES"/>
        </w:rPr>
        <w:t>, OEA/Ser.L/V/II, Doc. 48/13 (2013)</w:t>
      </w:r>
      <w:r w:rsidRPr="00930562">
        <w:rPr>
          <w:rFonts w:asciiTheme="minorHAnsi" w:hAnsiTheme="minorHAnsi" w:cstheme="majorHAnsi"/>
          <w:color w:val="808080" w:themeColor="background1" w:themeShade="80"/>
          <w:sz w:val="16"/>
          <w:szCs w:val="16"/>
          <w:lang w:val="es-ES"/>
        </w:rPr>
        <w:t xml:space="preserve">, párr. 365 (citando Corte IDH. </w:t>
      </w:r>
      <w:r w:rsidRPr="00930562">
        <w:rPr>
          <w:rFonts w:asciiTheme="minorHAnsi" w:hAnsiTheme="minorHAnsi" w:cstheme="majorHAnsi"/>
          <w:i/>
          <w:color w:val="808080" w:themeColor="background1" w:themeShade="80"/>
          <w:sz w:val="16"/>
          <w:szCs w:val="16"/>
          <w:lang w:val="es-ES"/>
        </w:rPr>
        <w:t>Velásquez Rodríguez</w:t>
      </w:r>
      <w:r w:rsidRPr="00930562">
        <w:rPr>
          <w:rFonts w:asciiTheme="minorHAnsi" w:hAnsiTheme="minorHAnsi" w:cstheme="majorHAnsi"/>
          <w:color w:val="808080" w:themeColor="background1" w:themeShade="80"/>
          <w:sz w:val="16"/>
          <w:szCs w:val="16"/>
          <w:lang w:val="es-ES"/>
        </w:rPr>
        <w:t>, Ser. C No. 7 (1989). Otros instrumentos del sistema interamericano de derechos humanos también establecen la obligación del Estado de actuar con la debida diligencia para proteger los derechos humanos. Ejemplos incluyen el Artículo 6 de la Convención Interamericana contra la Tortura y el Artículo 7(b) de la Convención Belém do Pará).</w:t>
      </w:r>
    </w:p>
  </w:footnote>
  <w:footnote w:id="557">
    <w:p w14:paraId="62A3781C"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u w:val="single"/>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pt-BR"/>
        </w:rPr>
        <w:tab/>
      </w:r>
      <w:r w:rsidRPr="00930562">
        <w:rPr>
          <w:rFonts w:asciiTheme="minorHAnsi" w:hAnsiTheme="minorHAnsi" w:cstheme="majorHAnsi"/>
          <w:color w:val="808080" w:themeColor="background1" w:themeShade="80"/>
          <w:sz w:val="16"/>
          <w:szCs w:val="16"/>
          <w:lang w:val="pt-BR"/>
        </w:rPr>
        <w:t>CIDH,</w:t>
      </w:r>
      <w:r w:rsidRPr="00930562">
        <w:rPr>
          <w:rFonts w:asciiTheme="minorHAnsi" w:hAnsiTheme="minorHAnsi" w:cstheme="majorHAnsi"/>
          <w:color w:val="808080" w:themeColor="background1" w:themeShade="80"/>
          <w:sz w:val="16"/>
          <w:szCs w:val="16"/>
          <w:u w:val="single"/>
          <w:lang w:val="pt-BR"/>
        </w:rPr>
        <w:t xml:space="preserve"> </w:t>
      </w:r>
      <w:r w:rsidRPr="00930562">
        <w:rPr>
          <w:rFonts w:asciiTheme="minorHAnsi" w:hAnsiTheme="minorHAnsi" w:cstheme="majorHAnsi"/>
          <w:color w:val="808080" w:themeColor="background1" w:themeShade="80"/>
          <w:sz w:val="16"/>
          <w:szCs w:val="16"/>
          <w:lang w:val="pt-BR"/>
        </w:rPr>
        <w:t xml:space="preserve">Informe No. 80/11, </w:t>
      </w:r>
      <w:hyperlink r:id="rId608" w:history="1">
        <w:r w:rsidRPr="00930562">
          <w:rPr>
            <w:rStyle w:val="Hyperlink"/>
            <w:rFonts w:asciiTheme="minorHAnsi" w:hAnsiTheme="minorHAnsi" w:cstheme="majorHAnsi"/>
            <w:i/>
            <w:color w:val="808080" w:themeColor="background1" w:themeShade="80"/>
            <w:sz w:val="16"/>
            <w:szCs w:val="16"/>
            <w:lang w:val="pt-BR"/>
          </w:rPr>
          <w:t>Jessica Lenahan</w:t>
        </w:r>
      </w:hyperlink>
      <w:r w:rsidRPr="00930562">
        <w:rPr>
          <w:rFonts w:asciiTheme="minorHAnsi" w:hAnsiTheme="minorHAnsi" w:cstheme="majorHAnsi"/>
          <w:color w:val="808080" w:themeColor="background1" w:themeShade="80"/>
          <w:sz w:val="16"/>
          <w:szCs w:val="16"/>
          <w:lang w:val="pt-BR"/>
        </w:rPr>
        <w:t xml:space="preserve"> (2011), párrs.  </w:t>
      </w:r>
      <w:r w:rsidRPr="00930562">
        <w:rPr>
          <w:rFonts w:asciiTheme="minorHAnsi" w:hAnsiTheme="minorHAnsi" w:cstheme="majorHAnsi"/>
          <w:color w:val="808080" w:themeColor="background1" w:themeShade="80"/>
          <w:sz w:val="16"/>
          <w:szCs w:val="16"/>
          <w:lang w:val="es-VE"/>
        </w:rPr>
        <w:t xml:space="preserve">122, 128 (citiando CIDH, Informe No. 28/07, </w:t>
      </w:r>
      <w:r w:rsidRPr="00930562">
        <w:rPr>
          <w:rFonts w:asciiTheme="minorHAnsi" w:hAnsiTheme="minorHAnsi" w:cstheme="majorHAnsi"/>
          <w:i/>
          <w:color w:val="808080" w:themeColor="background1" w:themeShade="80"/>
          <w:sz w:val="16"/>
          <w:szCs w:val="16"/>
          <w:lang w:val="es-VE"/>
        </w:rPr>
        <w:t>Gonzalez y otras</w:t>
      </w:r>
      <w:r w:rsidRPr="00930562">
        <w:rPr>
          <w:rFonts w:asciiTheme="minorHAnsi" w:hAnsiTheme="minorHAnsi" w:cstheme="majorHAnsi"/>
          <w:color w:val="808080" w:themeColor="background1" w:themeShade="80"/>
          <w:sz w:val="16"/>
          <w:szCs w:val="16"/>
          <w:lang w:val="es-VE"/>
        </w:rPr>
        <w:t xml:space="preserve"> (2007), párrs. </w:t>
      </w:r>
      <w:r w:rsidRPr="00930562">
        <w:rPr>
          <w:rFonts w:asciiTheme="minorHAnsi" w:hAnsiTheme="minorHAnsi" w:cstheme="majorHAnsi"/>
          <w:color w:val="808080" w:themeColor="background1" w:themeShade="80"/>
          <w:sz w:val="16"/>
          <w:szCs w:val="16"/>
          <w:lang w:val="es-ES"/>
        </w:rPr>
        <w:t xml:space="preserve">247-255; Corte IDH. </w:t>
      </w:r>
      <w:r w:rsidRPr="00930562">
        <w:rPr>
          <w:rFonts w:asciiTheme="minorHAnsi" w:hAnsiTheme="minorHAnsi" w:cstheme="majorHAnsi"/>
          <w:i/>
          <w:color w:val="808080" w:themeColor="background1" w:themeShade="80"/>
          <w:sz w:val="16"/>
          <w:szCs w:val="16"/>
          <w:lang w:val="es-ES"/>
        </w:rPr>
        <w:t>Campo Algodonero,</w:t>
      </w:r>
      <w:r w:rsidRPr="00930562">
        <w:rPr>
          <w:rFonts w:asciiTheme="minorHAnsi" w:hAnsiTheme="minorHAnsi" w:cstheme="majorHAnsi"/>
          <w:color w:val="808080" w:themeColor="background1" w:themeShade="80"/>
          <w:sz w:val="16"/>
          <w:szCs w:val="16"/>
          <w:lang w:val="es-ES"/>
        </w:rPr>
        <w:t xml:space="preserve"> Ser. C No. 205 (2009), párr. 245); para una discución más detallada, </w:t>
      </w:r>
      <w:r w:rsidRPr="00930562">
        <w:rPr>
          <w:rFonts w:asciiTheme="minorHAnsi" w:hAnsiTheme="minorHAnsi" w:cstheme="majorHAnsi"/>
          <w:i/>
          <w:color w:val="808080" w:themeColor="background1" w:themeShade="80"/>
          <w:sz w:val="16"/>
          <w:szCs w:val="16"/>
          <w:lang w:val="es-ES"/>
        </w:rPr>
        <w:t>ver en general</w:t>
      </w:r>
      <w:r w:rsidRPr="00930562">
        <w:rPr>
          <w:rFonts w:asciiTheme="minorHAnsi" w:hAnsiTheme="minorHAnsi" w:cstheme="majorHAnsi"/>
          <w:color w:val="808080" w:themeColor="background1" w:themeShade="80"/>
          <w:sz w:val="16"/>
          <w:szCs w:val="16"/>
          <w:lang w:val="es-ES"/>
        </w:rPr>
        <w:t xml:space="preserve"> J. Hessbruegge. 2004. “The Historical development of the doctrines of attribution and due diligence in international law” (El Desarollo Histórico de las doctrinas de atribución de debida diligencia en el derecho internacional), </w:t>
      </w:r>
      <w:r w:rsidRPr="00930562">
        <w:rPr>
          <w:rFonts w:asciiTheme="minorHAnsi" w:hAnsiTheme="minorHAnsi" w:cstheme="majorHAnsi"/>
          <w:i/>
          <w:color w:val="808080" w:themeColor="background1" w:themeShade="80"/>
          <w:sz w:val="16"/>
          <w:szCs w:val="16"/>
          <w:lang w:val="es-ES"/>
        </w:rPr>
        <w:t>NYU Journal of Int’l Law</w:t>
      </w:r>
      <w:r w:rsidRPr="00930562">
        <w:rPr>
          <w:rFonts w:asciiTheme="minorHAnsi" w:hAnsiTheme="minorHAnsi" w:cstheme="majorHAnsi"/>
          <w:color w:val="808080" w:themeColor="background1" w:themeShade="80"/>
          <w:sz w:val="16"/>
          <w:szCs w:val="16"/>
          <w:lang w:val="es-ES"/>
        </w:rPr>
        <w:t xml:space="preserve">, vol. 36; Robert P. Barnidge, Jr., The Due Diligence Principle under International Law (El Principio de Debida Diligencia en el Derecho Internacional), </w:t>
      </w:r>
      <w:r w:rsidRPr="00930562">
        <w:rPr>
          <w:rFonts w:asciiTheme="minorHAnsi" w:hAnsiTheme="minorHAnsi" w:cstheme="majorHAnsi"/>
          <w:i/>
          <w:color w:val="808080" w:themeColor="background1" w:themeShade="80"/>
          <w:sz w:val="16"/>
          <w:szCs w:val="16"/>
          <w:lang w:val="es-ES"/>
        </w:rPr>
        <w:t>Int’l Community Law Review</w:t>
      </w:r>
      <w:r w:rsidRPr="00930562">
        <w:rPr>
          <w:rFonts w:asciiTheme="minorHAnsi" w:hAnsiTheme="minorHAnsi" w:cstheme="majorHAnsi"/>
          <w:color w:val="808080" w:themeColor="background1" w:themeShade="80"/>
          <w:sz w:val="16"/>
          <w:szCs w:val="16"/>
          <w:lang w:val="es-ES"/>
        </w:rPr>
        <w:t xml:space="preserve"> (2006).</w:t>
      </w:r>
    </w:p>
  </w:footnote>
  <w:footnote w:id="558">
    <w:p w14:paraId="3443AD27"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CO"/>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CIDH, Informe No. 50/16, </w:t>
      </w:r>
      <w:hyperlink r:id="rId609" w:history="1">
        <w:r w:rsidRPr="00930562">
          <w:rPr>
            <w:rStyle w:val="Hyperlink"/>
            <w:rFonts w:asciiTheme="minorHAnsi" w:hAnsiTheme="minorHAnsi" w:cstheme="majorHAnsi"/>
            <w:i/>
            <w:color w:val="808080" w:themeColor="background1" w:themeShade="80"/>
            <w:sz w:val="16"/>
            <w:szCs w:val="16"/>
            <w:lang w:val="es-ES"/>
          </w:rPr>
          <w:t>Trabajadores Indocumentados</w:t>
        </w:r>
      </w:hyperlink>
      <w:r w:rsidRPr="00930562">
        <w:rPr>
          <w:rFonts w:asciiTheme="minorHAnsi" w:hAnsiTheme="minorHAnsi" w:cstheme="majorHAnsi"/>
          <w:color w:val="808080" w:themeColor="background1" w:themeShade="80"/>
          <w:sz w:val="16"/>
          <w:szCs w:val="16"/>
          <w:lang w:val="es-ES"/>
        </w:rPr>
        <w:t xml:space="preserve"> (2016), párr. 99; Informe No. 80/11, </w:t>
      </w:r>
      <w:hyperlink r:id="rId610" w:history="1">
        <w:r w:rsidRPr="00930562">
          <w:rPr>
            <w:rStyle w:val="Hyperlink"/>
            <w:rFonts w:asciiTheme="minorHAnsi" w:hAnsiTheme="minorHAnsi" w:cstheme="majorHAnsi"/>
            <w:i/>
            <w:color w:val="808080" w:themeColor="background1" w:themeShade="80"/>
            <w:sz w:val="16"/>
            <w:szCs w:val="16"/>
            <w:lang w:val="es-ES"/>
          </w:rPr>
          <w:t>Jessica Lenahan</w:t>
        </w:r>
      </w:hyperlink>
      <w:r w:rsidRPr="00930562">
        <w:rPr>
          <w:rFonts w:asciiTheme="minorHAnsi" w:hAnsiTheme="minorHAnsi" w:cstheme="majorHAnsi"/>
          <w:color w:val="808080" w:themeColor="background1" w:themeShade="80"/>
          <w:sz w:val="16"/>
          <w:szCs w:val="16"/>
          <w:lang w:val="es-ES"/>
        </w:rPr>
        <w:t xml:space="preserve"> (2011), párr. 125; Informe 40/04, </w:t>
      </w:r>
      <w:hyperlink r:id="rId611" w:history="1">
        <w:r w:rsidRPr="00930562">
          <w:rPr>
            <w:rStyle w:val="Hyperlink"/>
            <w:rFonts w:asciiTheme="minorHAnsi" w:hAnsiTheme="minorHAnsi" w:cstheme="majorHAnsi"/>
            <w:i/>
            <w:color w:val="808080" w:themeColor="background1" w:themeShade="80"/>
            <w:sz w:val="16"/>
            <w:szCs w:val="16"/>
            <w:lang w:val="es-ES"/>
          </w:rPr>
          <w:t>Comunidades Indígenas Mayas del Distrito de Toledo</w:t>
        </w:r>
      </w:hyperlink>
      <w:r w:rsidRPr="00930562">
        <w:rPr>
          <w:rFonts w:asciiTheme="minorHAnsi" w:hAnsiTheme="minorHAnsi" w:cstheme="majorHAnsi"/>
          <w:color w:val="808080" w:themeColor="background1" w:themeShade="80"/>
          <w:sz w:val="16"/>
          <w:szCs w:val="16"/>
          <w:lang w:val="es-ES"/>
        </w:rPr>
        <w:t xml:space="preserve"> (2004), párr. </w:t>
      </w:r>
      <w:r w:rsidRPr="00930562">
        <w:rPr>
          <w:rFonts w:asciiTheme="minorHAnsi" w:hAnsiTheme="minorHAnsi" w:cstheme="majorHAnsi"/>
          <w:color w:val="808080" w:themeColor="background1" w:themeShade="80"/>
          <w:sz w:val="16"/>
          <w:szCs w:val="16"/>
          <w:lang w:val="es-CO"/>
        </w:rPr>
        <w:t xml:space="preserve">162; </w:t>
      </w:r>
      <w:r w:rsidRPr="00930562">
        <w:rPr>
          <w:rFonts w:asciiTheme="minorHAnsi" w:hAnsiTheme="minorHAnsi" w:cstheme="majorHAnsi"/>
          <w:color w:val="808080" w:themeColor="background1" w:themeShade="80"/>
          <w:sz w:val="16"/>
          <w:szCs w:val="16"/>
          <w:lang w:val="es-ES"/>
        </w:rPr>
        <w:t xml:space="preserve">Informe No. 67/06, </w:t>
      </w:r>
      <w:hyperlink r:id="rId612" w:history="1">
        <w:r w:rsidRPr="00930562">
          <w:rPr>
            <w:rStyle w:val="Hyperlink"/>
            <w:rFonts w:asciiTheme="minorHAnsi" w:hAnsiTheme="minorHAnsi" w:cstheme="majorHAnsi"/>
            <w:i/>
            <w:color w:val="808080" w:themeColor="background1" w:themeShade="80"/>
            <w:sz w:val="16"/>
            <w:szCs w:val="16"/>
            <w:lang w:val="es-ES"/>
          </w:rPr>
          <w:t>Oscar Elías Bicet y otros</w:t>
        </w:r>
      </w:hyperlink>
      <w:r w:rsidRPr="00930562">
        <w:rPr>
          <w:rFonts w:asciiTheme="minorHAnsi" w:hAnsiTheme="minorHAnsi" w:cstheme="majorHAnsi"/>
          <w:color w:val="808080" w:themeColor="background1" w:themeShade="80"/>
          <w:sz w:val="16"/>
          <w:szCs w:val="16"/>
          <w:lang w:val="es-ES"/>
        </w:rPr>
        <w:t xml:space="preserve"> (2006), párr. </w:t>
      </w:r>
      <w:r w:rsidRPr="00930562">
        <w:rPr>
          <w:rFonts w:asciiTheme="minorHAnsi" w:hAnsiTheme="minorHAnsi" w:cstheme="majorHAnsi"/>
          <w:color w:val="808080" w:themeColor="background1" w:themeShade="80"/>
          <w:sz w:val="16"/>
          <w:szCs w:val="16"/>
          <w:lang w:val="es-CO"/>
        </w:rPr>
        <w:t xml:space="preserve">228. </w:t>
      </w:r>
      <w:r w:rsidRPr="00930562">
        <w:rPr>
          <w:rFonts w:asciiTheme="minorHAnsi" w:hAnsiTheme="minorHAnsi" w:cstheme="majorHAnsi"/>
          <w:i/>
          <w:color w:val="808080" w:themeColor="background1" w:themeShade="80"/>
          <w:sz w:val="16"/>
          <w:szCs w:val="16"/>
          <w:lang w:val="es-VE"/>
        </w:rPr>
        <w:t>Ver también, por ejemplo,</w:t>
      </w:r>
      <w:r w:rsidRPr="00930562">
        <w:rPr>
          <w:rFonts w:asciiTheme="minorHAnsi" w:hAnsiTheme="minorHAnsi" w:cstheme="majorHAnsi"/>
          <w:color w:val="808080" w:themeColor="background1" w:themeShade="80"/>
          <w:sz w:val="16"/>
          <w:szCs w:val="16"/>
          <w:lang w:val="es-VE"/>
        </w:rPr>
        <w:t xml:space="preserve"> CIDH, Informe No. 28/07, </w:t>
      </w:r>
      <w:r w:rsidRPr="00930562">
        <w:rPr>
          <w:rFonts w:asciiTheme="minorHAnsi" w:hAnsiTheme="minorHAnsi" w:cstheme="majorHAnsi"/>
          <w:i/>
          <w:color w:val="808080" w:themeColor="background1" w:themeShade="80"/>
          <w:sz w:val="16"/>
          <w:szCs w:val="16"/>
          <w:lang w:val="es-VE"/>
        </w:rPr>
        <w:t xml:space="preserve">Gonzalez y otras </w:t>
      </w:r>
      <w:r w:rsidRPr="00930562">
        <w:rPr>
          <w:rFonts w:asciiTheme="minorHAnsi" w:hAnsiTheme="minorHAnsi" w:cstheme="majorHAnsi"/>
          <w:color w:val="808080" w:themeColor="background1" w:themeShade="80"/>
          <w:sz w:val="16"/>
          <w:szCs w:val="16"/>
          <w:lang w:val="es-CO"/>
        </w:rPr>
        <w:t>(2007)</w:t>
      </w:r>
      <w:r w:rsidRPr="00930562">
        <w:rPr>
          <w:rFonts w:asciiTheme="minorHAnsi" w:hAnsiTheme="minorHAnsi" w:cstheme="majorHAnsi"/>
          <w:color w:val="808080" w:themeColor="background1" w:themeShade="80"/>
          <w:sz w:val="16"/>
          <w:szCs w:val="16"/>
          <w:lang w:val="es-MX"/>
        </w:rPr>
        <w:t xml:space="preserve">, párrs. </w:t>
      </w:r>
      <w:r w:rsidRPr="00930562">
        <w:rPr>
          <w:rFonts w:asciiTheme="minorHAnsi" w:hAnsiTheme="minorHAnsi" w:cstheme="majorHAnsi"/>
          <w:color w:val="808080" w:themeColor="background1" w:themeShade="80"/>
          <w:sz w:val="16"/>
          <w:szCs w:val="16"/>
          <w:lang w:val="pt-BR"/>
        </w:rPr>
        <w:t xml:space="preserve">160-255; Informe No. 54/01, Caso 12.051, </w:t>
      </w:r>
      <w:r w:rsidRPr="00930562">
        <w:rPr>
          <w:rFonts w:asciiTheme="minorHAnsi" w:hAnsiTheme="minorHAnsi" w:cstheme="majorHAnsi"/>
          <w:i/>
          <w:color w:val="808080" w:themeColor="background1" w:themeShade="80"/>
          <w:sz w:val="16"/>
          <w:szCs w:val="16"/>
          <w:lang w:val="pt-BR"/>
        </w:rPr>
        <w:t>Maria Da Penha Maia Fernandes</w:t>
      </w:r>
      <w:r w:rsidRPr="00930562">
        <w:rPr>
          <w:rFonts w:asciiTheme="minorHAnsi" w:hAnsiTheme="minorHAnsi" w:cstheme="majorHAnsi"/>
          <w:color w:val="808080" w:themeColor="background1" w:themeShade="80"/>
          <w:sz w:val="16"/>
          <w:szCs w:val="16"/>
          <w:lang w:val="pt-BR"/>
        </w:rPr>
        <w:t xml:space="preserve"> (Brasil), 16 de abril de 2001, párrs. </w:t>
      </w:r>
      <w:r w:rsidRPr="00930562">
        <w:rPr>
          <w:rFonts w:asciiTheme="minorHAnsi" w:hAnsiTheme="minorHAnsi" w:cstheme="majorHAnsi"/>
          <w:color w:val="808080" w:themeColor="background1" w:themeShade="80"/>
          <w:sz w:val="16"/>
          <w:szCs w:val="16"/>
          <w:lang w:val="es-ES"/>
        </w:rPr>
        <w:t>55-58 [en adelante “</w:t>
      </w:r>
      <w:bookmarkStart w:id="206" w:name="_Hlk507688268"/>
      <w:r w:rsidRPr="00930562">
        <w:rPr>
          <w:rFonts w:asciiTheme="minorHAnsi" w:hAnsiTheme="minorHAnsi" w:cstheme="majorHAnsi"/>
          <w:color w:val="808080" w:themeColor="background1" w:themeShade="80"/>
          <w:sz w:val="16"/>
          <w:szCs w:val="16"/>
          <w:lang w:val="es-ES"/>
        </w:rPr>
        <w:t xml:space="preserve">Informe No. 54/01, </w:t>
      </w:r>
      <w:r w:rsidRPr="00930562">
        <w:rPr>
          <w:rFonts w:asciiTheme="minorHAnsi" w:hAnsiTheme="minorHAnsi" w:cstheme="majorHAnsi"/>
          <w:i/>
          <w:color w:val="808080" w:themeColor="background1" w:themeShade="80"/>
          <w:sz w:val="16"/>
          <w:szCs w:val="16"/>
          <w:lang w:val="es-ES"/>
        </w:rPr>
        <w:t>Maria da Penha</w:t>
      </w:r>
      <w:r w:rsidRPr="00930562">
        <w:rPr>
          <w:rFonts w:asciiTheme="minorHAnsi" w:hAnsiTheme="minorHAnsi" w:cstheme="majorHAnsi"/>
          <w:color w:val="808080" w:themeColor="background1" w:themeShade="80"/>
          <w:sz w:val="16"/>
          <w:szCs w:val="16"/>
          <w:lang w:val="es-ES"/>
        </w:rPr>
        <w:t xml:space="preserve"> (2001)</w:t>
      </w:r>
      <w:bookmarkEnd w:id="206"/>
      <w:r w:rsidRPr="00930562">
        <w:rPr>
          <w:rFonts w:asciiTheme="minorHAnsi" w:hAnsiTheme="minorHAnsi" w:cstheme="majorHAnsi"/>
          <w:color w:val="808080" w:themeColor="background1" w:themeShade="80"/>
          <w:sz w:val="16"/>
          <w:szCs w:val="16"/>
          <w:lang w:val="es-ES"/>
        </w:rPr>
        <w:t xml:space="preserve">”]; CIDH, </w:t>
      </w:r>
      <w:hyperlink r:id="rId613" w:history="1">
        <w:r w:rsidRPr="00930562">
          <w:rPr>
            <w:rStyle w:val="Hyperlink"/>
            <w:rFonts w:asciiTheme="minorHAnsi" w:hAnsiTheme="minorHAnsi" w:cstheme="majorHAnsi"/>
            <w:iCs/>
            <w:color w:val="808080" w:themeColor="background1" w:themeShade="80"/>
            <w:sz w:val="16"/>
            <w:szCs w:val="16"/>
            <w:lang w:val="es-ES"/>
          </w:rPr>
          <w:t>Acceso a la Justicia para Mujeres Víctimas de Violencia en las Américas</w:t>
        </w:r>
      </w:hyperlink>
      <w:r w:rsidRPr="00930562">
        <w:rPr>
          <w:rFonts w:asciiTheme="minorHAnsi" w:hAnsiTheme="minorHAnsi" w:cstheme="majorHAnsi"/>
          <w:i/>
          <w:iCs/>
          <w:color w:val="808080" w:themeColor="background1" w:themeShade="80"/>
          <w:sz w:val="16"/>
          <w:szCs w:val="16"/>
          <w:lang w:val="es-ES"/>
        </w:rPr>
        <w:t xml:space="preserve">, </w:t>
      </w:r>
      <w:r w:rsidRPr="00930562">
        <w:rPr>
          <w:rFonts w:asciiTheme="minorHAnsi" w:hAnsiTheme="minorHAnsi" w:cstheme="majorHAnsi"/>
          <w:color w:val="808080" w:themeColor="background1" w:themeShade="80"/>
          <w:sz w:val="16"/>
          <w:szCs w:val="16"/>
          <w:lang w:val="es-ES"/>
        </w:rPr>
        <w:t xml:space="preserve">OEA/Ser. L/V/II. Doc.68 (2007), párrs. 26-58; </w:t>
      </w:r>
      <w:r w:rsidRPr="00930562">
        <w:rPr>
          <w:rFonts w:asciiTheme="minorHAnsi" w:hAnsiTheme="minorHAnsi" w:cstheme="majorHAnsi"/>
          <w:i/>
          <w:color w:val="808080" w:themeColor="background1" w:themeShade="80"/>
          <w:sz w:val="16"/>
          <w:szCs w:val="16"/>
          <w:lang w:val="es-ES"/>
        </w:rPr>
        <w:t xml:space="preserve">Ver en general, </w:t>
      </w:r>
      <w:r w:rsidRPr="00930562">
        <w:rPr>
          <w:rFonts w:asciiTheme="minorHAnsi" w:hAnsiTheme="minorHAnsi" w:cstheme="majorHAnsi"/>
          <w:color w:val="808080" w:themeColor="background1" w:themeShade="80"/>
          <w:sz w:val="16"/>
          <w:szCs w:val="16"/>
          <w:lang w:val="es-ES"/>
        </w:rPr>
        <w:t xml:space="preserve">Corte IDH. </w:t>
      </w:r>
      <w:r w:rsidRPr="00930562">
        <w:rPr>
          <w:rFonts w:asciiTheme="minorHAnsi" w:hAnsiTheme="minorHAnsi" w:cstheme="majorHAnsi"/>
          <w:i/>
          <w:color w:val="808080" w:themeColor="background1" w:themeShade="80"/>
          <w:sz w:val="16"/>
          <w:szCs w:val="16"/>
          <w:lang w:val="es-ES"/>
        </w:rPr>
        <w:t>Campo Algodonero</w:t>
      </w:r>
      <w:r w:rsidRPr="00930562">
        <w:rPr>
          <w:rFonts w:asciiTheme="minorHAnsi" w:hAnsiTheme="minorHAnsi" w:cstheme="majorHAnsi"/>
          <w:color w:val="808080" w:themeColor="background1" w:themeShade="80"/>
          <w:sz w:val="16"/>
          <w:szCs w:val="16"/>
          <w:lang w:val="es-ES"/>
        </w:rPr>
        <w:t>, Ser. C No. 205 (2009).</w:t>
      </w:r>
    </w:p>
  </w:footnote>
  <w:footnote w:id="559">
    <w:p w14:paraId="235688FC"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hAnsiTheme="minorHAnsi" w:cstheme="majorHAnsi"/>
          <w:i/>
          <w:color w:val="808080" w:themeColor="background1" w:themeShade="80"/>
          <w:sz w:val="16"/>
          <w:szCs w:val="16"/>
          <w:lang w:val="es-ES"/>
        </w:rPr>
        <w:t>Ver, por ejemplo,</w:t>
      </w:r>
      <w:r w:rsidRPr="00930562">
        <w:rPr>
          <w:rFonts w:asciiTheme="minorHAnsi" w:hAnsiTheme="minorHAnsi" w:cstheme="majorHAnsi"/>
          <w:color w:val="808080" w:themeColor="background1" w:themeShade="80"/>
          <w:sz w:val="16"/>
          <w:szCs w:val="16"/>
          <w:lang w:val="es-ES"/>
        </w:rPr>
        <w:t xml:space="preserve"> CIDH, Informe No. 50/16, </w:t>
      </w:r>
      <w:hyperlink r:id="rId614" w:history="1">
        <w:r w:rsidRPr="00930562">
          <w:rPr>
            <w:rStyle w:val="Hyperlink"/>
            <w:rFonts w:asciiTheme="minorHAnsi" w:hAnsiTheme="minorHAnsi" w:cstheme="majorHAnsi"/>
            <w:i/>
            <w:color w:val="808080" w:themeColor="background1" w:themeShade="80"/>
            <w:sz w:val="16"/>
            <w:szCs w:val="16"/>
            <w:lang w:val="es-ES"/>
          </w:rPr>
          <w:t>Trabajadores Indocumentados</w:t>
        </w:r>
      </w:hyperlink>
      <w:r w:rsidRPr="00930562">
        <w:rPr>
          <w:rFonts w:asciiTheme="minorHAnsi" w:hAnsiTheme="minorHAnsi" w:cstheme="majorHAnsi"/>
          <w:color w:val="808080" w:themeColor="background1" w:themeShade="80"/>
          <w:sz w:val="16"/>
          <w:szCs w:val="16"/>
          <w:lang w:val="es-ES"/>
        </w:rPr>
        <w:t xml:space="preserve"> (2016); Informe No. 80/11, </w:t>
      </w:r>
      <w:hyperlink r:id="rId615" w:history="1">
        <w:r w:rsidRPr="00930562">
          <w:rPr>
            <w:rStyle w:val="Hyperlink"/>
            <w:rFonts w:asciiTheme="minorHAnsi" w:hAnsiTheme="minorHAnsi" w:cstheme="majorHAnsi"/>
            <w:i/>
            <w:color w:val="808080" w:themeColor="background1" w:themeShade="80"/>
            <w:sz w:val="16"/>
            <w:szCs w:val="16"/>
            <w:lang w:val="es-ES"/>
          </w:rPr>
          <w:t>Jessica Lenahan</w:t>
        </w:r>
      </w:hyperlink>
      <w:r w:rsidRPr="00930562">
        <w:rPr>
          <w:rFonts w:asciiTheme="minorHAnsi" w:hAnsiTheme="minorHAnsi" w:cstheme="majorHAnsi"/>
          <w:color w:val="808080" w:themeColor="background1" w:themeShade="80"/>
          <w:sz w:val="16"/>
          <w:szCs w:val="16"/>
          <w:lang w:val="es-ES"/>
        </w:rPr>
        <w:t xml:space="preserve"> (2011), párr. 111); CIDH, </w:t>
      </w:r>
      <w:hyperlink r:id="rId616" w:history="1">
        <w:r w:rsidRPr="00930562">
          <w:rPr>
            <w:rStyle w:val="Hyperlink"/>
            <w:rFonts w:asciiTheme="minorHAnsi" w:hAnsiTheme="minorHAnsi" w:cstheme="majorHAnsi"/>
            <w:color w:val="808080" w:themeColor="background1" w:themeShade="80"/>
            <w:sz w:val="16"/>
            <w:szCs w:val="16"/>
            <w:lang w:val="es-ES"/>
          </w:rPr>
          <w:t>Situación de derechos humanos de familias, niños, niñas y adolescentes no acompañados refugiados y migrantes en los Estados Unidos de América</w:t>
        </w:r>
      </w:hyperlink>
      <w:r w:rsidRPr="00930562">
        <w:rPr>
          <w:rFonts w:asciiTheme="minorHAnsi" w:hAnsiTheme="minorHAnsi" w:cstheme="majorHAnsi"/>
          <w:color w:val="808080" w:themeColor="background1" w:themeShade="80"/>
          <w:sz w:val="16"/>
          <w:szCs w:val="16"/>
          <w:lang w:val="es-ES"/>
        </w:rPr>
        <w:t xml:space="preserve">, OAS/Ser.L/V/II.155, Doc. 16 (2015); CIDH, </w:t>
      </w:r>
      <w:hyperlink r:id="rId617" w:history="1">
        <w:r w:rsidRPr="00930562">
          <w:rPr>
            <w:rStyle w:val="Hyperlink"/>
            <w:rFonts w:asciiTheme="minorHAnsi" w:hAnsiTheme="minorHAnsi" w:cstheme="majorHAnsi"/>
            <w:color w:val="808080" w:themeColor="background1" w:themeShade="80"/>
            <w:sz w:val="16"/>
            <w:szCs w:val="16"/>
            <w:lang w:val="es-ES"/>
          </w:rPr>
          <w:t xml:space="preserve">Informe sobre Inmigración en Estados Unidos: Detenciones y Debido </w:t>
        </w:r>
        <w:proofErr w:type="gramStart"/>
        <w:r w:rsidRPr="00930562">
          <w:rPr>
            <w:rStyle w:val="Hyperlink"/>
            <w:rFonts w:asciiTheme="minorHAnsi" w:hAnsiTheme="minorHAnsi" w:cstheme="majorHAnsi"/>
            <w:color w:val="808080" w:themeColor="background1" w:themeShade="80"/>
            <w:sz w:val="16"/>
            <w:szCs w:val="16"/>
            <w:lang w:val="es-ES"/>
          </w:rPr>
          <w:t xml:space="preserve">Proceso </w:t>
        </w:r>
        <w:proofErr w:type="gramEnd"/>
      </w:hyperlink>
      <w:r w:rsidRPr="00930562">
        <w:rPr>
          <w:rFonts w:asciiTheme="minorHAnsi" w:hAnsiTheme="minorHAnsi" w:cstheme="majorHAnsi"/>
          <w:color w:val="808080" w:themeColor="background1" w:themeShade="80"/>
          <w:sz w:val="16"/>
          <w:szCs w:val="16"/>
          <w:lang w:val="es-ES"/>
        </w:rPr>
        <w:t>, OEA/Ser.L/V/II., Doc. 78/10 (2010).</w:t>
      </w:r>
    </w:p>
  </w:footnote>
  <w:footnote w:id="560">
    <w:p w14:paraId="49D200E4"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hAnsiTheme="minorHAnsi" w:cstheme="majorHAnsi"/>
          <w:bCs/>
          <w:color w:val="808080" w:themeColor="background1" w:themeShade="80"/>
          <w:sz w:val="16"/>
          <w:szCs w:val="16"/>
          <w:lang w:val="es-ES"/>
        </w:rPr>
        <w:t xml:space="preserve">CIDH, </w:t>
      </w:r>
      <w:hyperlink r:id="rId618" w:history="1">
        <w:r w:rsidRPr="00930562">
          <w:rPr>
            <w:rStyle w:val="Hyperlink"/>
            <w:rFonts w:asciiTheme="minorHAnsi" w:hAnsiTheme="minorHAnsi" w:cstheme="majorHAnsi"/>
            <w:bCs/>
            <w:color w:val="808080" w:themeColor="background1" w:themeShade="80"/>
            <w:sz w:val="16"/>
            <w:szCs w:val="16"/>
            <w:lang w:val="es-ES"/>
          </w:rPr>
          <w:t>La CIDH expresa preocupación por la muerte de personas afrodescendientes a manos de la policía en Estados Unidos</w:t>
        </w:r>
      </w:hyperlink>
      <w:r w:rsidRPr="00930562">
        <w:rPr>
          <w:rFonts w:asciiTheme="minorHAnsi" w:hAnsiTheme="minorHAnsi" w:cstheme="majorHAnsi"/>
          <w:bCs/>
          <w:color w:val="808080" w:themeColor="background1" w:themeShade="80"/>
          <w:sz w:val="16"/>
          <w:szCs w:val="16"/>
          <w:lang w:val="es-ES"/>
        </w:rPr>
        <w:t xml:space="preserve">, 22 de agosto de 2014; </w:t>
      </w:r>
      <w:hyperlink r:id="rId619" w:history="1">
        <w:r w:rsidRPr="00930562">
          <w:rPr>
            <w:rStyle w:val="Hyperlink"/>
            <w:rFonts w:asciiTheme="minorHAnsi" w:hAnsiTheme="minorHAnsi" w:cstheme="majorHAnsi"/>
            <w:bCs/>
            <w:color w:val="808080" w:themeColor="background1" w:themeShade="80"/>
            <w:sz w:val="16"/>
            <w:szCs w:val="16"/>
            <w:lang w:val="es-ES"/>
          </w:rPr>
          <w:t>CIDH condena el asesinato de un hombre afrodescendiente en Estados Unidos</w:t>
        </w:r>
      </w:hyperlink>
      <w:r w:rsidRPr="00930562">
        <w:rPr>
          <w:rFonts w:asciiTheme="minorHAnsi" w:hAnsiTheme="minorHAnsi" w:cstheme="majorHAnsi"/>
          <w:bCs/>
          <w:color w:val="808080" w:themeColor="background1" w:themeShade="80"/>
          <w:sz w:val="16"/>
          <w:szCs w:val="16"/>
          <w:lang w:val="es-ES"/>
        </w:rPr>
        <w:t xml:space="preserve">, 17 de abril de 2015; </w:t>
      </w:r>
      <w:hyperlink r:id="rId620" w:history="1">
        <w:r w:rsidRPr="00930562">
          <w:rPr>
            <w:rStyle w:val="Hyperlink"/>
            <w:rFonts w:asciiTheme="minorHAnsi" w:hAnsiTheme="minorHAnsi" w:cstheme="majorHAnsi"/>
            <w:bCs/>
            <w:color w:val="808080" w:themeColor="background1" w:themeShade="80"/>
            <w:sz w:val="16"/>
            <w:szCs w:val="16"/>
            <w:lang w:val="es-ES"/>
          </w:rPr>
          <w:t>CIDH expresa preocupación frente a las deficiencias en la investigación de casos relacionados con asesinatos de afrodescendientes a manos de la policía en Estados Unidos</w:t>
        </w:r>
      </w:hyperlink>
      <w:r w:rsidRPr="00930562">
        <w:rPr>
          <w:rFonts w:asciiTheme="minorHAnsi" w:hAnsiTheme="minorHAnsi" w:cstheme="majorHAnsi"/>
          <w:bCs/>
          <w:color w:val="808080" w:themeColor="background1" w:themeShade="80"/>
          <w:sz w:val="16"/>
          <w:szCs w:val="16"/>
          <w:lang w:val="es-ES"/>
        </w:rPr>
        <w:t xml:space="preserve">, </w:t>
      </w:r>
      <w:r w:rsidRPr="00930562">
        <w:rPr>
          <w:rFonts w:asciiTheme="minorHAnsi" w:hAnsiTheme="minorHAnsi" w:cstheme="majorHAnsi"/>
          <w:color w:val="808080" w:themeColor="background1" w:themeShade="80"/>
          <w:sz w:val="16"/>
          <w:szCs w:val="16"/>
          <w:lang w:val="es-ES"/>
        </w:rPr>
        <w:t xml:space="preserve">23 de agosto de </w:t>
      </w:r>
      <w:r w:rsidRPr="00930562">
        <w:rPr>
          <w:rFonts w:asciiTheme="minorHAnsi" w:hAnsiTheme="minorHAnsi" w:cstheme="majorHAnsi"/>
          <w:bCs/>
          <w:color w:val="808080" w:themeColor="background1" w:themeShade="80"/>
          <w:sz w:val="16"/>
          <w:szCs w:val="16"/>
          <w:lang w:val="es-ES"/>
        </w:rPr>
        <w:t xml:space="preserve">2016; </w:t>
      </w:r>
      <w:hyperlink r:id="rId621" w:history="1">
        <w:r w:rsidRPr="00930562">
          <w:rPr>
            <w:rStyle w:val="Hyperlink"/>
            <w:rFonts w:asciiTheme="minorHAnsi" w:hAnsiTheme="minorHAnsi" w:cstheme="majorHAnsi"/>
            <w:bCs/>
            <w:color w:val="808080" w:themeColor="background1" w:themeShade="80"/>
            <w:sz w:val="16"/>
            <w:szCs w:val="16"/>
            <w:lang w:val="es-ES"/>
          </w:rPr>
          <w:t xml:space="preserve">CIDH repudia el discurso de odio y violencia en Charlottesville, Virginia, Estados Unidos </w:t>
        </w:r>
      </w:hyperlink>
      <w:r w:rsidRPr="00930562">
        <w:rPr>
          <w:rFonts w:asciiTheme="minorHAnsi" w:hAnsiTheme="minorHAnsi" w:cstheme="majorHAnsi"/>
          <w:bCs/>
          <w:color w:val="808080" w:themeColor="background1" w:themeShade="80"/>
          <w:sz w:val="16"/>
          <w:szCs w:val="16"/>
          <w:lang w:val="es-ES"/>
        </w:rPr>
        <w:t xml:space="preserve">, </w:t>
      </w:r>
      <w:r w:rsidRPr="00930562">
        <w:rPr>
          <w:rFonts w:asciiTheme="minorHAnsi" w:hAnsiTheme="minorHAnsi" w:cstheme="majorHAnsi"/>
          <w:color w:val="808080" w:themeColor="background1" w:themeShade="80"/>
          <w:sz w:val="16"/>
          <w:szCs w:val="16"/>
          <w:lang w:val="es-ES"/>
        </w:rPr>
        <w:t>18 de agosto de</w:t>
      </w:r>
      <w:r w:rsidRPr="00930562">
        <w:rPr>
          <w:rFonts w:asciiTheme="minorHAnsi" w:hAnsiTheme="minorHAnsi" w:cstheme="majorHAnsi"/>
          <w:bCs/>
          <w:color w:val="808080" w:themeColor="background1" w:themeShade="80"/>
          <w:sz w:val="16"/>
          <w:szCs w:val="16"/>
          <w:lang w:val="es-ES"/>
        </w:rPr>
        <w:t xml:space="preserve"> 2017.</w:t>
      </w:r>
    </w:p>
  </w:footnote>
  <w:footnote w:id="561">
    <w:p w14:paraId="18790066"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pt-BR"/>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hAnsiTheme="minorHAnsi" w:cstheme="majorHAnsi"/>
          <w:i/>
          <w:color w:val="808080" w:themeColor="background1" w:themeShade="80"/>
          <w:sz w:val="16"/>
          <w:szCs w:val="16"/>
          <w:lang w:val="es-ES"/>
        </w:rPr>
        <w:t xml:space="preserve">Ver </w:t>
      </w:r>
      <w:r w:rsidRPr="00930562">
        <w:rPr>
          <w:rFonts w:asciiTheme="minorHAnsi" w:hAnsiTheme="minorHAnsi" w:cstheme="majorHAnsi"/>
          <w:color w:val="808080" w:themeColor="background1" w:themeShade="80"/>
          <w:sz w:val="16"/>
          <w:szCs w:val="16"/>
          <w:lang w:val="es-ES"/>
        </w:rPr>
        <w:t xml:space="preserve">por ejemplo, CIDH, Informe No. 80/11, </w:t>
      </w:r>
      <w:hyperlink r:id="rId622" w:history="1">
        <w:r w:rsidRPr="00930562">
          <w:rPr>
            <w:rStyle w:val="Hyperlink"/>
            <w:rFonts w:asciiTheme="minorHAnsi" w:hAnsiTheme="minorHAnsi" w:cstheme="majorHAnsi"/>
            <w:i/>
            <w:color w:val="808080" w:themeColor="background1" w:themeShade="80"/>
            <w:sz w:val="16"/>
            <w:szCs w:val="16"/>
            <w:lang w:val="es-ES"/>
          </w:rPr>
          <w:t>Jessica Lenahan</w:t>
        </w:r>
      </w:hyperlink>
      <w:r w:rsidRPr="00930562">
        <w:rPr>
          <w:rFonts w:asciiTheme="minorHAnsi" w:hAnsiTheme="minorHAnsi" w:cstheme="majorHAnsi"/>
          <w:color w:val="808080" w:themeColor="background1" w:themeShade="80"/>
          <w:sz w:val="16"/>
          <w:szCs w:val="16"/>
          <w:lang w:val="es-ES"/>
        </w:rPr>
        <w:t xml:space="preserve"> (2011); Informe No. 28/07, </w:t>
      </w:r>
      <w:r w:rsidRPr="00930562">
        <w:rPr>
          <w:rFonts w:asciiTheme="minorHAnsi" w:hAnsiTheme="minorHAnsi" w:cstheme="majorHAnsi"/>
          <w:i/>
          <w:color w:val="808080" w:themeColor="background1" w:themeShade="80"/>
          <w:sz w:val="16"/>
          <w:szCs w:val="16"/>
          <w:lang w:val="es-ES"/>
        </w:rPr>
        <w:t>Gonzalez y otras</w:t>
      </w:r>
      <w:r w:rsidRPr="00930562">
        <w:rPr>
          <w:rFonts w:asciiTheme="minorHAnsi" w:hAnsiTheme="minorHAnsi" w:cstheme="majorHAnsi"/>
          <w:color w:val="808080" w:themeColor="background1" w:themeShade="80"/>
          <w:sz w:val="16"/>
          <w:szCs w:val="16"/>
          <w:lang w:val="es-ES"/>
        </w:rPr>
        <w:t xml:space="preserve"> (2007); Corte IDH. </w:t>
      </w:r>
      <w:r w:rsidRPr="00930562">
        <w:rPr>
          <w:rFonts w:asciiTheme="minorHAnsi" w:hAnsiTheme="minorHAnsi" w:cstheme="majorHAnsi"/>
          <w:i/>
          <w:color w:val="808080" w:themeColor="background1" w:themeShade="80"/>
          <w:sz w:val="16"/>
          <w:szCs w:val="16"/>
          <w:lang w:val="pt-BR"/>
        </w:rPr>
        <w:t>Campo Algodonero</w:t>
      </w:r>
      <w:r w:rsidRPr="00930562">
        <w:rPr>
          <w:rFonts w:asciiTheme="minorHAnsi" w:hAnsiTheme="minorHAnsi" w:cstheme="majorHAnsi"/>
          <w:color w:val="808080" w:themeColor="background1" w:themeShade="80"/>
          <w:sz w:val="16"/>
          <w:szCs w:val="16"/>
          <w:lang w:val="pt-BR"/>
        </w:rPr>
        <w:t xml:space="preserve">, Ser. C No. 205 (2009); CIDH, Informe No. 54/01, </w:t>
      </w:r>
      <w:r w:rsidRPr="00930562">
        <w:rPr>
          <w:rFonts w:asciiTheme="minorHAnsi" w:hAnsiTheme="minorHAnsi" w:cstheme="majorHAnsi"/>
          <w:i/>
          <w:color w:val="808080" w:themeColor="background1" w:themeShade="80"/>
          <w:sz w:val="16"/>
          <w:szCs w:val="16"/>
          <w:lang w:val="pt-BR"/>
        </w:rPr>
        <w:t>Maria da Penha</w:t>
      </w:r>
      <w:r w:rsidRPr="00930562">
        <w:rPr>
          <w:rFonts w:asciiTheme="minorHAnsi" w:hAnsiTheme="minorHAnsi" w:cstheme="majorHAnsi"/>
          <w:color w:val="808080" w:themeColor="background1" w:themeShade="80"/>
          <w:sz w:val="16"/>
          <w:szCs w:val="16"/>
          <w:lang w:val="pt-BR"/>
        </w:rPr>
        <w:t xml:space="preserve"> (2001).</w:t>
      </w:r>
    </w:p>
  </w:footnote>
  <w:footnote w:id="562">
    <w:p w14:paraId="75110D29"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pt-BR"/>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pt-BR"/>
        </w:rPr>
        <w:tab/>
      </w:r>
      <w:r w:rsidRPr="00930562">
        <w:rPr>
          <w:rFonts w:asciiTheme="minorHAnsi" w:hAnsiTheme="minorHAnsi" w:cstheme="majorHAnsi"/>
          <w:color w:val="808080" w:themeColor="background1" w:themeShade="80"/>
          <w:sz w:val="16"/>
          <w:szCs w:val="16"/>
          <w:lang w:val="pt-BR"/>
        </w:rPr>
        <w:t>Id.</w:t>
      </w:r>
    </w:p>
  </w:footnote>
  <w:footnote w:id="563">
    <w:p w14:paraId="2A32E25F"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pt-BR"/>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pt-BR"/>
        </w:rPr>
        <w:tab/>
      </w:r>
      <w:r w:rsidRPr="00930562">
        <w:rPr>
          <w:rFonts w:asciiTheme="minorHAnsi" w:hAnsiTheme="minorHAnsi" w:cstheme="majorHAnsi"/>
          <w:color w:val="808080" w:themeColor="background1" w:themeShade="80"/>
          <w:sz w:val="16"/>
          <w:szCs w:val="16"/>
          <w:lang w:val="pt-BR"/>
        </w:rPr>
        <w:t xml:space="preserve">CIDH, Informe No. 80/11, </w:t>
      </w:r>
      <w:hyperlink r:id="rId623" w:history="1">
        <w:r w:rsidRPr="00930562">
          <w:rPr>
            <w:rStyle w:val="Hyperlink"/>
            <w:rFonts w:asciiTheme="minorHAnsi" w:hAnsiTheme="minorHAnsi" w:cstheme="majorHAnsi"/>
            <w:i/>
            <w:color w:val="808080" w:themeColor="background1" w:themeShade="80"/>
            <w:sz w:val="16"/>
            <w:szCs w:val="16"/>
            <w:lang w:val="pt-BR"/>
          </w:rPr>
          <w:t>Jessica Lenahan</w:t>
        </w:r>
      </w:hyperlink>
      <w:r w:rsidRPr="00930562">
        <w:rPr>
          <w:rFonts w:asciiTheme="minorHAnsi" w:hAnsiTheme="minorHAnsi" w:cstheme="majorHAnsi"/>
          <w:color w:val="808080" w:themeColor="background1" w:themeShade="80"/>
          <w:sz w:val="16"/>
          <w:szCs w:val="16"/>
          <w:lang w:val="pt-BR"/>
        </w:rPr>
        <w:t xml:space="preserve"> (2011), párr. 131 (citando Informe No. 54/01, </w:t>
      </w:r>
      <w:r w:rsidRPr="00930562">
        <w:rPr>
          <w:rFonts w:asciiTheme="minorHAnsi" w:hAnsiTheme="minorHAnsi" w:cstheme="majorHAnsi"/>
          <w:i/>
          <w:color w:val="808080" w:themeColor="background1" w:themeShade="80"/>
          <w:sz w:val="16"/>
          <w:szCs w:val="16"/>
          <w:lang w:val="pt-BR"/>
        </w:rPr>
        <w:t>Maria da Penha</w:t>
      </w:r>
      <w:r w:rsidRPr="00930562">
        <w:rPr>
          <w:rFonts w:asciiTheme="minorHAnsi" w:hAnsiTheme="minorHAnsi" w:cstheme="majorHAnsi"/>
          <w:color w:val="808080" w:themeColor="background1" w:themeShade="80"/>
          <w:sz w:val="16"/>
          <w:szCs w:val="16"/>
          <w:lang w:val="pt-BR"/>
        </w:rPr>
        <w:t xml:space="preserve"> (2001), párr. 56).</w:t>
      </w:r>
    </w:p>
  </w:footnote>
  <w:footnote w:id="564">
    <w:p w14:paraId="7D230F61"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pt-BR"/>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pt-BR"/>
        </w:rPr>
        <w:tab/>
      </w:r>
      <w:r w:rsidRPr="00930562">
        <w:rPr>
          <w:rFonts w:asciiTheme="minorHAnsi" w:hAnsiTheme="minorHAnsi" w:cstheme="majorHAnsi"/>
          <w:color w:val="808080" w:themeColor="background1" w:themeShade="80"/>
          <w:sz w:val="16"/>
          <w:szCs w:val="16"/>
          <w:lang w:val="pt-BR"/>
        </w:rPr>
        <w:t>Id. párr. 126 (cita omitida).</w:t>
      </w:r>
    </w:p>
  </w:footnote>
  <w:footnote w:id="565">
    <w:p w14:paraId="4511F745"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pt-BR"/>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pt-BR"/>
        </w:rPr>
        <w:tab/>
      </w:r>
      <w:r w:rsidRPr="00930562">
        <w:rPr>
          <w:rFonts w:asciiTheme="minorHAnsi" w:hAnsiTheme="minorHAnsi" w:cstheme="majorHAnsi"/>
          <w:color w:val="808080" w:themeColor="background1" w:themeShade="80"/>
          <w:sz w:val="16"/>
          <w:szCs w:val="16"/>
          <w:lang w:val="pt-BR"/>
        </w:rPr>
        <w:t>Id.</w:t>
      </w:r>
    </w:p>
  </w:footnote>
  <w:footnote w:id="566">
    <w:p w14:paraId="5D47F5A5" w14:textId="77777777" w:rsidR="00F64540" w:rsidRPr="00930562" w:rsidRDefault="00F64540" w:rsidP="00E10935">
      <w:pPr>
        <w:pStyle w:val="NormalWeb"/>
        <w:spacing w:before="0" w:beforeAutospacing="0" w:after="40" w:afterAutospacing="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pt-BR"/>
        </w:rPr>
        <w:tab/>
      </w:r>
      <w:r w:rsidRPr="00930562">
        <w:rPr>
          <w:rFonts w:asciiTheme="minorHAnsi" w:hAnsiTheme="minorHAnsi" w:cstheme="majorHAnsi"/>
          <w:color w:val="808080" w:themeColor="background1" w:themeShade="80"/>
          <w:sz w:val="16"/>
          <w:szCs w:val="16"/>
          <w:lang w:val="pt-BR"/>
        </w:rPr>
        <w:t xml:space="preserve">Id. párr. 121 (citando Informe No. 54/01, </w:t>
      </w:r>
      <w:r w:rsidRPr="00930562">
        <w:rPr>
          <w:rFonts w:asciiTheme="minorHAnsi" w:hAnsiTheme="minorHAnsi" w:cstheme="majorHAnsi"/>
          <w:i/>
          <w:color w:val="808080" w:themeColor="background1" w:themeShade="80"/>
          <w:sz w:val="16"/>
          <w:szCs w:val="16"/>
          <w:lang w:val="pt-BR"/>
        </w:rPr>
        <w:t>Maria da Penha</w:t>
      </w:r>
      <w:r w:rsidRPr="00930562">
        <w:rPr>
          <w:rFonts w:asciiTheme="minorHAnsi" w:hAnsiTheme="minorHAnsi" w:cstheme="majorHAnsi"/>
          <w:color w:val="808080" w:themeColor="background1" w:themeShade="80"/>
          <w:sz w:val="16"/>
          <w:szCs w:val="16"/>
          <w:lang w:val="pt-BR"/>
        </w:rPr>
        <w:t xml:space="preserve"> (2001), párr. </w:t>
      </w:r>
      <w:r w:rsidRPr="00930562">
        <w:rPr>
          <w:rFonts w:asciiTheme="minorHAnsi" w:hAnsiTheme="minorHAnsi" w:cstheme="majorHAnsi"/>
          <w:color w:val="808080" w:themeColor="background1" w:themeShade="80"/>
          <w:sz w:val="16"/>
          <w:szCs w:val="16"/>
          <w:lang w:val="es-ES"/>
        </w:rPr>
        <w:t>55).</w:t>
      </w:r>
    </w:p>
  </w:footnote>
  <w:footnote w:id="567">
    <w:p w14:paraId="2CA7A424"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CDIH,</w:t>
      </w:r>
      <w:r w:rsidRPr="00930562">
        <w:rPr>
          <w:rFonts w:asciiTheme="minorHAnsi" w:hAnsiTheme="minorHAnsi" w:cstheme="majorHAnsi"/>
          <w:bCs/>
          <w:color w:val="808080" w:themeColor="background1" w:themeShade="80"/>
          <w:sz w:val="16"/>
          <w:szCs w:val="16"/>
          <w:lang w:val="es-ES"/>
        </w:rPr>
        <w:t xml:space="preserve"> </w:t>
      </w:r>
      <w:hyperlink r:id="rId624" w:history="1">
        <w:r w:rsidRPr="00930562">
          <w:rPr>
            <w:rStyle w:val="Hyperlink"/>
            <w:rFonts w:asciiTheme="minorHAnsi" w:hAnsiTheme="minorHAnsi" w:cstheme="majorHAnsi"/>
            <w:bCs/>
            <w:color w:val="808080" w:themeColor="background1" w:themeShade="80"/>
            <w:sz w:val="16"/>
            <w:szCs w:val="16"/>
            <w:lang w:val="es-ES"/>
          </w:rPr>
          <w:t>La CIDH concluye su visita a Florida, Luisiana y Misuri, en Estados Unidos</w:t>
        </w:r>
      </w:hyperlink>
      <w:r w:rsidRPr="00930562">
        <w:rPr>
          <w:rFonts w:asciiTheme="minorHAnsi" w:hAnsiTheme="minorHAnsi" w:cstheme="majorHAnsi"/>
          <w:bCs/>
          <w:color w:val="808080" w:themeColor="background1" w:themeShade="80"/>
          <w:sz w:val="16"/>
          <w:szCs w:val="16"/>
          <w:lang w:val="es-ES"/>
        </w:rPr>
        <w:t>, 16 de octubre de 2015.</w:t>
      </w:r>
    </w:p>
  </w:footnote>
  <w:footnote w:id="568">
    <w:p w14:paraId="3650D3D1"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Id. </w:t>
      </w:r>
    </w:p>
  </w:footnote>
  <w:footnote w:id="569">
    <w:p w14:paraId="55DAD17D" w14:textId="7730EA05"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hAnsiTheme="minorHAnsi" w:cstheme="majorHAnsi"/>
          <w:i/>
          <w:color w:val="808080" w:themeColor="background1" w:themeShade="80"/>
          <w:sz w:val="16"/>
          <w:szCs w:val="16"/>
          <w:lang w:val="es-ES"/>
        </w:rPr>
        <w:t>Ver también infra</w:t>
      </w:r>
      <w:r w:rsidRPr="00930562">
        <w:rPr>
          <w:rFonts w:asciiTheme="minorHAnsi" w:hAnsiTheme="minorHAnsi" w:cstheme="majorHAnsi"/>
          <w:color w:val="808080" w:themeColor="background1" w:themeShade="80"/>
          <w:sz w:val="16"/>
          <w:szCs w:val="16"/>
          <w:lang w:val="es-ES"/>
        </w:rPr>
        <w:t xml:space="preserve"> párr. 294</w:t>
      </w:r>
    </w:p>
  </w:footnote>
  <w:footnote w:id="570">
    <w:p w14:paraId="46A39D13"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pt-BR"/>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eastAsia="Times New Roman" w:hAnsiTheme="minorHAnsi" w:cstheme="majorHAnsi"/>
          <w:color w:val="808080" w:themeColor="background1" w:themeShade="80"/>
          <w:sz w:val="16"/>
          <w:szCs w:val="16"/>
          <w:lang w:val="es-ES" w:eastAsia="es-ES"/>
        </w:rPr>
        <w:t xml:space="preserve">CIDH, </w:t>
      </w:r>
      <w:hyperlink r:id="rId625" w:history="1">
        <w:r w:rsidRPr="00930562">
          <w:rPr>
            <w:rStyle w:val="Hyperlink"/>
            <w:rFonts w:asciiTheme="minorHAnsi" w:eastAsia="Times New Roman" w:hAnsiTheme="minorHAnsi" w:cstheme="majorHAnsi"/>
            <w:color w:val="808080" w:themeColor="background1" w:themeShade="80"/>
            <w:sz w:val="16"/>
            <w:szCs w:val="16"/>
            <w:lang w:val="es-ES" w:eastAsia="es-ES"/>
          </w:rPr>
          <w:t>La situación</w:t>
        </w:r>
        <w:r w:rsidRPr="00930562">
          <w:rPr>
            <w:rStyle w:val="Hyperlink"/>
            <w:rFonts w:asciiTheme="minorHAnsi" w:eastAsia="Times New Roman" w:hAnsiTheme="minorHAnsi" w:cstheme="majorHAnsi"/>
            <w:color w:val="808080" w:themeColor="background1" w:themeShade="80"/>
            <w:sz w:val="16"/>
            <w:szCs w:val="16"/>
            <w:lang w:val="es-ES_tradnl" w:eastAsia="es-ES"/>
          </w:rPr>
          <w:t xml:space="preserve"> de las personas afrodescendientes en las Américas</w:t>
        </w:r>
      </w:hyperlink>
      <w:r w:rsidRPr="00930562">
        <w:rPr>
          <w:rFonts w:asciiTheme="minorHAnsi" w:eastAsia="Times New Roman" w:hAnsiTheme="minorHAnsi" w:cstheme="majorHAnsi"/>
          <w:color w:val="808080" w:themeColor="background1" w:themeShade="80"/>
          <w:sz w:val="16"/>
          <w:szCs w:val="16"/>
          <w:lang w:val="es-ES_tradnl" w:eastAsia="es-ES"/>
        </w:rPr>
        <w:t xml:space="preserve"> (2011), párr.</w:t>
      </w:r>
      <w:r w:rsidRPr="00930562">
        <w:rPr>
          <w:rFonts w:asciiTheme="minorHAnsi" w:hAnsiTheme="minorHAnsi" w:cstheme="majorHAnsi"/>
          <w:color w:val="808080" w:themeColor="background1" w:themeShade="80"/>
          <w:sz w:val="16"/>
          <w:szCs w:val="16"/>
          <w:lang w:val="es-ES"/>
        </w:rPr>
        <w:t xml:space="preserve"> </w:t>
      </w:r>
      <w:r w:rsidRPr="00930562">
        <w:rPr>
          <w:rFonts w:asciiTheme="minorHAnsi" w:hAnsiTheme="minorHAnsi" w:cstheme="majorHAnsi"/>
          <w:color w:val="808080" w:themeColor="background1" w:themeShade="80"/>
          <w:sz w:val="16"/>
          <w:szCs w:val="16"/>
          <w:lang w:val="pt-BR"/>
        </w:rPr>
        <w:t>162.</w:t>
      </w:r>
    </w:p>
  </w:footnote>
  <w:footnote w:id="571">
    <w:p w14:paraId="0DCDB4A0" w14:textId="4B9AA5B9" w:rsidR="00F64540" w:rsidRPr="00930562" w:rsidRDefault="00F64540" w:rsidP="00E10935">
      <w:pPr>
        <w:pStyle w:val="FootnoteText"/>
        <w:spacing w:after="40"/>
        <w:ind w:left="547" w:hanging="547"/>
        <w:jc w:val="both"/>
        <w:rPr>
          <w:rFonts w:asciiTheme="minorHAnsi" w:hAnsiTheme="minorHAnsi" w:cstheme="majorHAnsi"/>
          <w:i/>
          <w:color w:val="808080" w:themeColor="background1" w:themeShade="80"/>
          <w:sz w:val="16"/>
          <w:szCs w:val="16"/>
          <w:lang w:val="pt-BR"/>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pt-BR"/>
        </w:rPr>
        <w:tab/>
      </w:r>
      <w:r w:rsidRPr="00930562">
        <w:rPr>
          <w:rFonts w:asciiTheme="minorHAnsi" w:hAnsiTheme="minorHAnsi" w:cstheme="majorHAnsi"/>
          <w:color w:val="808080" w:themeColor="background1" w:themeShade="80"/>
          <w:sz w:val="16"/>
          <w:szCs w:val="16"/>
          <w:lang w:val="pt-BR"/>
        </w:rPr>
        <w:t xml:space="preserve">CIDH, Informe No. 80/11, </w:t>
      </w:r>
      <w:hyperlink r:id="rId626" w:history="1">
        <w:r w:rsidRPr="00930562">
          <w:rPr>
            <w:rStyle w:val="Hyperlink"/>
            <w:rFonts w:asciiTheme="minorHAnsi" w:hAnsiTheme="minorHAnsi" w:cstheme="majorHAnsi"/>
            <w:i/>
            <w:color w:val="808080" w:themeColor="background1" w:themeShade="80"/>
            <w:sz w:val="16"/>
            <w:szCs w:val="16"/>
            <w:lang w:val="pt-BR"/>
          </w:rPr>
          <w:t>Jessica Lenahan</w:t>
        </w:r>
      </w:hyperlink>
      <w:r w:rsidRPr="00930562">
        <w:rPr>
          <w:rFonts w:asciiTheme="minorHAnsi" w:hAnsiTheme="minorHAnsi" w:cstheme="majorHAnsi"/>
          <w:color w:val="808080" w:themeColor="background1" w:themeShade="80"/>
          <w:sz w:val="16"/>
          <w:szCs w:val="16"/>
          <w:lang w:val="pt-BR"/>
        </w:rPr>
        <w:t xml:space="preserve"> (2011), párr. 127 (cita omitida); </w:t>
      </w:r>
      <w:r w:rsidRPr="00930562">
        <w:rPr>
          <w:rFonts w:asciiTheme="minorHAnsi" w:hAnsiTheme="minorHAnsi" w:cstheme="majorHAnsi"/>
          <w:i/>
          <w:color w:val="808080" w:themeColor="background1" w:themeShade="80"/>
          <w:sz w:val="16"/>
          <w:szCs w:val="16"/>
          <w:lang w:val="pt-BR"/>
        </w:rPr>
        <w:t>ver también infra</w:t>
      </w:r>
      <w:r w:rsidRPr="00930562">
        <w:rPr>
          <w:rFonts w:asciiTheme="minorHAnsi" w:hAnsiTheme="minorHAnsi" w:cstheme="majorHAnsi"/>
          <w:color w:val="808080" w:themeColor="background1" w:themeShade="80"/>
          <w:sz w:val="16"/>
          <w:szCs w:val="16"/>
          <w:lang w:val="pt-BR"/>
        </w:rPr>
        <w:t xml:space="preserve"> párrs. </w:t>
      </w:r>
      <w:r w:rsidRPr="00930562">
        <w:rPr>
          <w:rFonts w:asciiTheme="minorHAnsi" w:hAnsiTheme="minorHAnsi"/>
          <w:color w:val="808080" w:themeColor="background1" w:themeShade="80"/>
          <w:sz w:val="16"/>
          <w:szCs w:val="16"/>
          <w:lang w:val="pt-BR"/>
        </w:rPr>
        <w:t>279-288</w:t>
      </w:r>
      <w:r w:rsidRPr="00930562">
        <w:rPr>
          <w:rFonts w:asciiTheme="minorHAnsi" w:hAnsiTheme="minorHAnsi" w:cstheme="majorHAnsi"/>
          <w:color w:val="808080" w:themeColor="background1" w:themeShade="80"/>
          <w:sz w:val="16"/>
          <w:szCs w:val="16"/>
          <w:lang w:val="pt-BR"/>
        </w:rPr>
        <w:t>.</w:t>
      </w:r>
    </w:p>
  </w:footnote>
  <w:footnote w:id="572">
    <w:p w14:paraId="279725FC"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pt-BR"/>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pt-BR"/>
        </w:rPr>
        <w:tab/>
      </w:r>
      <w:r w:rsidRPr="00930562">
        <w:rPr>
          <w:rFonts w:asciiTheme="minorHAnsi" w:hAnsiTheme="minorHAnsi" w:cstheme="majorHAnsi"/>
          <w:i/>
          <w:color w:val="808080" w:themeColor="background1" w:themeShade="80"/>
          <w:sz w:val="16"/>
          <w:szCs w:val="16"/>
          <w:lang w:val="pt-BR"/>
        </w:rPr>
        <w:t>Ver infra</w:t>
      </w:r>
      <w:r w:rsidRPr="00930562">
        <w:rPr>
          <w:rFonts w:asciiTheme="minorHAnsi" w:hAnsiTheme="minorHAnsi" w:cstheme="majorHAnsi"/>
          <w:color w:val="808080" w:themeColor="background1" w:themeShade="80"/>
          <w:sz w:val="16"/>
          <w:szCs w:val="16"/>
          <w:lang w:val="pt-BR"/>
        </w:rPr>
        <w:t xml:space="preserve"> párr.49.</w:t>
      </w:r>
    </w:p>
  </w:footnote>
  <w:footnote w:id="573">
    <w:p w14:paraId="6C98EF70"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MX"/>
        </w:rPr>
        <w:tab/>
      </w:r>
      <w:r w:rsidRPr="00930562">
        <w:rPr>
          <w:rFonts w:asciiTheme="minorHAnsi" w:eastAsia="Times New Roman" w:hAnsiTheme="minorHAnsi" w:cstheme="majorHAnsi"/>
          <w:color w:val="808080" w:themeColor="background1" w:themeShade="80"/>
          <w:sz w:val="16"/>
          <w:szCs w:val="16"/>
          <w:lang w:val="es-MX" w:eastAsia="es-ES"/>
        </w:rPr>
        <w:t xml:space="preserve">CIDH, </w:t>
      </w:r>
      <w:hyperlink r:id="rId627" w:history="1">
        <w:r w:rsidRPr="00930562">
          <w:rPr>
            <w:rStyle w:val="Hyperlink"/>
            <w:rFonts w:asciiTheme="minorHAnsi" w:eastAsia="Times New Roman" w:hAnsiTheme="minorHAnsi" w:cstheme="majorHAnsi"/>
            <w:color w:val="808080" w:themeColor="background1" w:themeShade="80"/>
            <w:sz w:val="16"/>
            <w:szCs w:val="16"/>
            <w:lang w:val="es-MX" w:eastAsia="es-ES"/>
          </w:rPr>
          <w:t>Informe Anual 2015, Capítulo IV Uso de la fuerza</w:t>
        </w:r>
      </w:hyperlink>
      <w:r w:rsidRPr="00930562">
        <w:rPr>
          <w:rFonts w:asciiTheme="minorHAnsi" w:eastAsia="Times New Roman" w:hAnsiTheme="minorHAnsi" w:cstheme="majorHAnsi"/>
          <w:color w:val="808080" w:themeColor="background1" w:themeShade="80"/>
          <w:sz w:val="16"/>
          <w:szCs w:val="16"/>
          <w:lang w:val="es-MX" w:eastAsia="es-ES"/>
        </w:rPr>
        <w:t>, párr.</w:t>
      </w:r>
      <w:r w:rsidRPr="00930562">
        <w:rPr>
          <w:rFonts w:asciiTheme="minorHAnsi" w:hAnsiTheme="minorHAnsi" w:cstheme="majorHAnsi"/>
          <w:color w:val="808080" w:themeColor="background1" w:themeShade="80"/>
          <w:sz w:val="16"/>
          <w:szCs w:val="16"/>
          <w:lang w:val="es-MX"/>
        </w:rPr>
        <w:t xml:space="preserve"> 222 (citando Corte IDH. </w:t>
      </w:r>
      <w:r w:rsidRPr="00930562">
        <w:rPr>
          <w:rFonts w:asciiTheme="minorHAnsi" w:hAnsiTheme="minorHAnsi" w:cstheme="majorHAnsi"/>
          <w:i/>
          <w:color w:val="808080" w:themeColor="background1" w:themeShade="80"/>
          <w:sz w:val="16"/>
          <w:szCs w:val="16"/>
          <w:lang w:val="es-ES"/>
        </w:rPr>
        <w:t>Caso familia Barrios vs. Venezuela</w:t>
      </w:r>
      <w:r w:rsidRPr="00930562">
        <w:rPr>
          <w:rFonts w:asciiTheme="minorHAnsi" w:hAnsiTheme="minorHAnsi" w:cstheme="majorHAnsi"/>
          <w:color w:val="808080" w:themeColor="background1" w:themeShade="80"/>
          <w:sz w:val="16"/>
          <w:szCs w:val="16"/>
          <w:lang w:val="es-ES"/>
        </w:rPr>
        <w:t xml:space="preserve">. Fondo, Reparaciones y Costas. Sentencia de 24 de noviembre de 2011. Serie C No. 237. párr. 234).  </w:t>
      </w:r>
    </w:p>
  </w:footnote>
  <w:footnote w:id="574">
    <w:p w14:paraId="4226930C"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eastAsia="Times New Roman" w:hAnsiTheme="minorHAnsi" w:cstheme="majorHAnsi"/>
          <w:color w:val="808080" w:themeColor="background1" w:themeShade="80"/>
          <w:sz w:val="16"/>
          <w:szCs w:val="16"/>
          <w:lang w:val="es-ES" w:eastAsia="es-ES"/>
        </w:rPr>
        <w:t xml:space="preserve">CIDH, </w:t>
      </w:r>
      <w:hyperlink r:id="rId628" w:history="1">
        <w:r w:rsidRPr="00930562">
          <w:rPr>
            <w:rStyle w:val="Hyperlink"/>
            <w:rFonts w:asciiTheme="minorHAnsi" w:eastAsia="Times New Roman" w:hAnsiTheme="minorHAnsi" w:cstheme="majorHAnsi"/>
            <w:color w:val="808080" w:themeColor="background1" w:themeShade="80"/>
            <w:sz w:val="16"/>
            <w:szCs w:val="16"/>
            <w:lang w:val="es-ES" w:eastAsia="es-ES"/>
          </w:rPr>
          <w:t>Informe Anual 2015, Cap</w:t>
        </w:r>
        <w:r w:rsidRPr="00930562">
          <w:rPr>
            <w:rStyle w:val="Hyperlink"/>
            <w:rFonts w:asciiTheme="minorHAnsi" w:eastAsia="Times New Roman" w:hAnsiTheme="minorHAnsi" w:cstheme="majorHAnsi"/>
            <w:color w:val="808080" w:themeColor="background1" w:themeShade="80"/>
            <w:sz w:val="16"/>
            <w:szCs w:val="16"/>
            <w:lang w:val="es-ES_tradnl" w:eastAsia="es-ES"/>
          </w:rPr>
          <w:t>ítulo IV Uso de la fuerza</w:t>
        </w:r>
      </w:hyperlink>
      <w:r w:rsidRPr="00930562">
        <w:rPr>
          <w:rFonts w:asciiTheme="minorHAnsi" w:eastAsia="Times New Roman" w:hAnsiTheme="minorHAnsi" w:cstheme="majorHAnsi"/>
          <w:color w:val="808080" w:themeColor="background1" w:themeShade="80"/>
          <w:sz w:val="16"/>
          <w:szCs w:val="16"/>
          <w:lang w:val="es-ES_tradnl" w:eastAsia="es-ES"/>
        </w:rPr>
        <w:t>, párr.</w:t>
      </w:r>
      <w:r w:rsidRPr="00930562">
        <w:rPr>
          <w:rFonts w:asciiTheme="minorHAnsi" w:hAnsiTheme="minorHAnsi" w:cstheme="majorHAnsi"/>
          <w:color w:val="808080" w:themeColor="background1" w:themeShade="80"/>
          <w:sz w:val="16"/>
          <w:szCs w:val="16"/>
          <w:lang w:val="es-ES"/>
        </w:rPr>
        <w:t xml:space="preserve"> 216; </w:t>
      </w:r>
      <w:r w:rsidRPr="00930562">
        <w:rPr>
          <w:rFonts w:asciiTheme="minorHAnsi" w:hAnsiTheme="minorHAnsi" w:cstheme="majorHAnsi"/>
          <w:i/>
          <w:color w:val="808080" w:themeColor="background1" w:themeShade="80"/>
          <w:sz w:val="16"/>
          <w:szCs w:val="16"/>
          <w:lang w:val="es-ES"/>
        </w:rPr>
        <w:t>ver también,</w:t>
      </w:r>
      <w:r w:rsidRPr="00930562">
        <w:rPr>
          <w:rFonts w:asciiTheme="minorHAnsi" w:hAnsiTheme="minorHAnsi" w:cstheme="majorHAnsi"/>
          <w:color w:val="808080" w:themeColor="background1" w:themeShade="80"/>
          <w:sz w:val="16"/>
          <w:szCs w:val="16"/>
          <w:lang w:val="es-ES"/>
        </w:rPr>
        <w:t xml:space="preserve"> Washington Post, </w:t>
      </w:r>
      <w:hyperlink r:id="rId629" w:history="1">
        <w:r w:rsidRPr="00930562">
          <w:rPr>
            <w:rStyle w:val="Hyperlink"/>
            <w:rFonts w:asciiTheme="minorHAnsi" w:hAnsiTheme="minorHAnsi" w:cstheme="majorHAnsi"/>
            <w:color w:val="808080" w:themeColor="background1" w:themeShade="80"/>
            <w:sz w:val="16"/>
            <w:szCs w:val="16"/>
            <w:lang w:val="es-ES"/>
          </w:rPr>
          <w:t>FBI director calls lack of data on police shootings ‘ridiculous,’ ‘embarrassing’</w:t>
        </w:r>
      </w:hyperlink>
      <w:r w:rsidRPr="00930562">
        <w:rPr>
          <w:rFonts w:asciiTheme="minorHAnsi" w:hAnsiTheme="minorHAnsi" w:cstheme="majorHAnsi"/>
          <w:color w:val="808080" w:themeColor="background1" w:themeShade="80"/>
          <w:sz w:val="16"/>
          <w:szCs w:val="16"/>
          <w:lang w:val="es-ES"/>
        </w:rPr>
        <w:t xml:space="preserve"> (El director del FBI dice que la falta de datos sobre tiroteos policiales es “ridícula”, “vergonzosa”)  7 de octubre de 2015.</w:t>
      </w:r>
    </w:p>
  </w:footnote>
  <w:footnote w:id="575">
    <w:p w14:paraId="5CE41AD5"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eastAsia="Times New Roman" w:hAnsiTheme="minorHAnsi" w:cstheme="majorHAnsi"/>
          <w:color w:val="808080" w:themeColor="background1" w:themeShade="80"/>
          <w:sz w:val="16"/>
          <w:szCs w:val="16"/>
          <w:lang w:val="es-ES" w:eastAsia="es-ES"/>
        </w:rPr>
        <w:t xml:space="preserve">CIDH, </w:t>
      </w:r>
      <w:hyperlink r:id="rId630" w:history="1">
        <w:r w:rsidRPr="00930562">
          <w:rPr>
            <w:rStyle w:val="Hyperlink"/>
            <w:rFonts w:asciiTheme="minorHAnsi" w:eastAsia="Times New Roman" w:hAnsiTheme="minorHAnsi" w:cstheme="majorHAnsi"/>
            <w:color w:val="808080" w:themeColor="background1" w:themeShade="80"/>
            <w:sz w:val="16"/>
            <w:szCs w:val="16"/>
            <w:lang w:val="es-ES" w:eastAsia="es-ES"/>
          </w:rPr>
          <w:t>Informe Anual 2015, Cap</w:t>
        </w:r>
        <w:r w:rsidRPr="00930562">
          <w:rPr>
            <w:rStyle w:val="Hyperlink"/>
            <w:rFonts w:asciiTheme="minorHAnsi" w:eastAsia="Times New Roman" w:hAnsiTheme="minorHAnsi" w:cstheme="majorHAnsi"/>
            <w:color w:val="808080" w:themeColor="background1" w:themeShade="80"/>
            <w:sz w:val="16"/>
            <w:szCs w:val="16"/>
            <w:lang w:val="es-ES_tradnl" w:eastAsia="es-ES"/>
          </w:rPr>
          <w:t>ítulo IV Uso de la fuerza</w:t>
        </w:r>
      </w:hyperlink>
      <w:r w:rsidRPr="00930562">
        <w:rPr>
          <w:rFonts w:asciiTheme="minorHAnsi" w:eastAsia="Times New Roman" w:hAnsiTheme="minorHAnsi" w:cstheme="majorHAnsi"/>
          <w:color w:val="808080" w:themeColor="background1" w:themeShade="80"/>
          <w:sz w:val="16"/>
          <w:szCs w:val="16"/>
          <w:lang w:val="es-ES_tradnl" w:eastAsia="es-ES"/>
        </w:rPr>
        <w:t>, párr.</w:t>
      </w:r>
      <w:r w:rsidRPr="00930562">
        <w:rPr>
          <w:rFonts w:asciiTheme="minorHAnsi" w:hAnsiTheme="minorHAnsi" w:cstheme="majorHAnsi"/>
          <w:color w:val="808080" w:themeColor="background1" w:themeShade="80"/>
          <w:sz w:val="16"/>
          <w:szCs w:val="16"/>
          <w:lang w:val="es-ES"/>
        </w:rPr>
        <w:t xml:space="preserve"> 216.</w:t>
      </w:r>
    </w:p>
  </w:footnote>
  <w:footnote w:id="576">
    <w:p w14:paraId="35E657AA"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eastAsia="Times New Roman" w:hAnsiTheme="minorHAnsi" w:cstheme="majorHAnsi"/>
          <w:color w:val="808080" w:themeColor="background1" w:themeShade="80"/>
          <w:sz w:val="16"/>
          <w:szCs w:val="16"/>
          <w:lang w:val="es-ES" w:eastAsia="es-ES"/>
        </w:rPr>
        <w:t xml:space="preserve">CIDH, </w:t>
      </w:r>
      <w:hyperlink r:id="rId631" w:history="1">
        <w:r w:rsidRPr="00930562">
          <w:rPr>
            <w:rStyle w:val="Hyperlink"/>
            <w:rFonts w:asciiTheme="minorHAnsi" w:eastAsia="Times New Roman" w:hAnsiTheme="minorHAnsi" w:cstheme="majorHAnsi"/>
            <w:color w:val="808080" w:themeColor="background1" w:themeShade="80"/>
            <w:sz w:val="16"/>
            <w:szCs w:val="16"/>
            <w:lang w:val="es-ES" w:eastAsia="es-ES"/>
          </w:rPr>
          <w:t>Informe Anual 2015, Cap</w:t>
        </w:r>
        <w:r w:rsidRPr="00930562">
          <w:rPr>
            <w:rStyle w:val="Hyperlink"/>
            <w:rFonts w:asciiTheme="minorHAnsi" w:eastAsia="Times New Roman" w:hAnsiTheme="minorHAnsi" w:cstheme="majorHAnsi"/>
            <w:color w:val="808080" w:themeColor="background1" w:themeShade="80"/>
            <w:sz w:val="16"/>
            <w:szCs w:val="16"/>
            <w:lang w:val="es-ES_tradnl" w:eastAsia="es-ES"/>
          </w:rPr>
          <w:t>ítulo IV Uso de la fuerza</w:t>
        </w:r>
      </w:hyperlink>
      <w:r w:rsidRPr="00930562">
        <w:rPr>
          <w:rFonts w:asciiTheme="minorHAnsi" w:eastAsia="Times New Roman" w:hAnsiTheme="minorHAnsi" w:cstheme="majorHAnsi"/>
          <w:color w:val="808080" w:themeColor="background1" w:themeShade="80"/>
          <w:sz w:val="16"/>
          <w:szCs w:val="16"/>
          <w:lang w:val="es-ES_tradnl" w:eastAsia="es-ES"/>
        </w:rPr>
        <w:t>, párr.</w:t>
      </w:r>
      <w:r w:rsidRPr="00930562">
        <w:rPr>
          <w:rFonts w:asciiTheme="minorHAnsi" w:hAnsiTheme="minorHAnsi" w:cstheme="majorHAnsi"/>
          <w:color w:val="808080" w:themeColor="background1" w:themeShade="80"/>
          <w:sz w:val="16"/>
          <w:szCs w:val="16"/>
          <w:lang w:val="es-ES"/>
        </w:rPr>
        <w:t xml:space="preserve"> 215.</w:t>
      </w:r>
    </w:p>
  </w:footnote>
  <w:footnote w:id="577">
    <w:p w14:paraId="60BDD904"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hAnsiTheme="minorHAnsi" w:cstheme="majorHAnsi"/>
          <w:bCs/>
          <w:color w:val="808080" w:themeColor="background1" w:themeShade="80"/>
          <w:sz w:val="16"/>
          <w:szCs w:val="16"/>
          <w:lang w:val="es-ES"/>
        </w:rPr>
        <w:t xml:space="preserve">COPS, </w:t>
      </w:r>
      <w:hyperlink r:id="rId632" w:history="1">
        <w:r w:rsidRPr="00930562">
          <w:rPr>
            <w:rStyle w:val="Hyperlink"/>
            <w:rFonts w:asciiTheme="minorHAnsi" w:hAnsiTheme="minorHAnsi" w:cstheme="majorHAnsi"/>
            <w:bCs/>
            <w:color w:val="808080" w:themeColor="background1" w:themeShade="80"/>
            <w:sz w:val="16"/>
            <w:szCs w:val="16"/>
            <w:lang w:val="es-ES"/>
          </w:rPr>
          <w:t>Final Report of the President’s Task Force on 21</w:t>
        </w:r>
        <w:r w:rsidRPr="00930562">
          <w:rPr>
            <w:rStyle w:val="Hyperlink"/>
            <w:rFonts w:asciiTheme="minorHAnsi" w:hAnsiTheme="minorHAnsi" w:cstheme="majorHAnsi"/>
            <w:bCs/>
            <w:color w:val="808080" w:themeColor="background1" w:themeShade="80"/>
            <w:sz w:val="16"/>
            <w:szCs w:val="16"/>
            <w:vertAlign w:val="superscript"/>
            <w:lang w:val="es-ES"/>
          </w:rPr>
          <w:t>st</w:t>
        </w:r>
        <w:r w:rsidRPr="00930562">
          <w:rPr>
            <w:rStyle w:val="Hyperlink"/>
            <w:rFonts w:asciiTheme="minorHAnsi" w:hAnsiTheme="minorHAnsi" w:cstheme="majorHAnsi"/>
            <w:bCs/>
            <w:color w:val="808080" w:themeColor="background1" w:themeShade="80"/>
            <w:sz w:val="16"/>
            <w:szCs w:val="16"/>
            <w:lang w:val="es-ES"/>
          </w:rPr>
          <w:t xml:space="preserve"> Century Policing</w:t>
        </w:r>
      </w:hyperlink>
      <w:r w:rsidRPr="00930562">
        <w:rPr>
          <w:rFonts w:asciiTheme="minorHAnsi" w:hAnsiTheme="minorHAnsi" w:cstheme="majorHAnsi"/>
          <w:bCs/>
          <w:color w:val="808080" w:themeColor="background1" w:themeShade="80"/>
          <w:sz w:val="16"/>
          <w:szCs w:val="16"/>
          <w:lang w:val="es-ES"/>
        </w:rPr>
        <w:t xml:space="preserve"> (Informe final del Grupo de Trabajo del Presidente sobre la labor policial en el siglo XXI) mayo 2015. Recomendaciones 2.2.4, 2.2.5.</w:t>
      </w:r>
    </w:p>
  </w:footnote>
  <w:footnote w:id="578">
    <w:p w14:paraId="6E3B5A7F"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MX"/>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MX"/>
        </w:rPr>
        <w:tab/>
      </w:r>
      <w:r w:rsidRPr="00930562">
        <w:rPr>
          <w:rFonts w:asciiTheme="minorHAnsi" w:hAnsiTheme="minorHAnsi" w:cstheme="majorHAnsi"/>
          <w:i/>
          <w:color w:val="808080" w:themeColor="background1" w:themeShade="80"/>
          <w:sz w:val="16"/>
          <w:szCs w:val="16"/>
          <w:lang w:val="es-MX"/>
        </w:rPr>
        <w:t>Ver supra</w:t>
      </w:r>
      <w:r w:rsidRPr="00930562">
        <w:rPr>
          <w:rFonts w:asciiTheme="minorHAnsi" w:hAnsiTheme="minorHAnsi" w:cstheme="majorHAnsi"/>
          <w:color w:val="808080" w:themeColor="background1" w:themeShade="80"/>
          <w:sz w:val="16"/>
          <w:szCs w:val="16"/>
          <w:lang w:val="es-MX"/>
        </w:rPr>
        <w:t xml:space="preserve"> párr.79.</w:t>
      </w:r>
    </w:p>
  </w:footnote>
  <w:footnote w:id="579">
    <w:p w14:paraId="760BB77D" w14:textId="647E21C8"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MX"/>
        </w:rPr>
        <w:tab/>
      </w:r>
      <w:r w:rsidRPr="00930562">
        <w:rPr>
          <w:rFonts w:asciiTheme="minorHAnsi" w:hAnsiTheme="minorHAnsi" w:cstheme="majorHAnsi"/>
          <w:i/>
          <w:color w:val="808080" w:themeColor="background1" w:themeShade="80"/>
          <w:sz w:val="16"/>
          <w:szCs w:val="16"/>
          <w:lang w:val="es-MX"/>
        </w:rPr>
        <w:t>Ver supra</w:t>
      </w:r>
      <w:r w:rsidRPr="00930562">
        <w:rPr>
          <w:rFonts w:asciiTheme="minorHAnsi" w:hAnsiTheme="minorHAnsi" w:cstheme="majorHAnsi"/>
          <w:color w:val="808080" w:themeColor="background1" w:themeShade="80"/>
          <w:sz w:val="16"/>
          <w:szCs w:val="16"/>
          <w:lang w:val="es-MX"/>
        </w:rPr>
        <w:t xml:space="preserve"> párr. </w:t>
      </w:r>
      <w:r w:rsidRPr="00930562">
        <w:rPr>
          <w:rFonts w:asciiTheme="minorHAnsi" w:hAnsiTheme="minorHAnsi"/>
          <w:color w:val="808080" w:themeColor="background1" w:themeShade="80"/>
          <w:sz w:val="16"/>
          <w:szCs w:val="16"/>
          <w:lang w:val="es-MX"/>
        </w:rPr>
        <w:t>242</w:t>
      </w:r>
      <w:r w:rsidRPr="00930562">
        <w:rPr>
          <w:rFonts w:asciiTheme="minorHAnsi" w:hAnsiTheme="minorHAnsi" w:cstheme="majorHAnsi"/>
          <w:color w:val="808080" w:themeColor="background1" w:themeShade="80"/>
          <w:sz w:val="16"/>
          <w:szCs w:val="16"/>
          <w:lang w:val="es-ES"/>
        </w:rPr>
        <w:t>.</w:t>
      </w:r>
    </w:p>
  </w:footnote>
  <w:footnote w:id="580">
    <w:p w14:paraId="3A8B3244"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hAnsiTheme="minorHAnsi"/>
          <w:color w:val="808080" w:themeColor="background1" w:themeShade="80"/>
          <w:sz w:val="16"/>
          <w:szCs w:val="16"/>
          <w:lang w:val="es-VE"/>
        </w:rPr>
        <w:t xml:space="preserve">CIDH, </w:t>
      </w:r>
      <w:hyperlink r:id="rId633" w:history="1">
        <w:r w:rsidRPr="00930562">
          <w:rPr>
            <w:rStyle w:val="Hyperlink"/>
            <w:rFonts w:asciiTheme="minorHAnsi" w:hAnsiTheme="minorHAnsi"/>
            <w:color w:val="808080" w:themeColor="background1" w:themeShade="80"/>
            <w:sz w:val="16"/>
            <w:szCs w:val="16"/>
            <w:lang w:val="es-VE"/>
          </w:rPr>
          <w:t>Informe sobre Seguridad Ciudadana y Derechos Humanos</w:t>
        </w:r>
      </w:hyperlink>
      <w:r w:rsidRPr="00930562">
        <w:rPr>
          <w:rFonts w:asciiTheme="minorHAnsi" w:hAnsiTheme="minorHAnsi"/>
          <w:color w:val="808080" w:themeColor="background1" w:themeShade="80"/>
          <w:sz w:val="16"/>
          <w:szCs w:val="16"/>
          <w:lang w:val="es-VE"/>
        </w:rPr>
        <w:t xml:space="preserve"> (2009), párr. </w:t>
      </w:r>
      <w:r w:rsidRPr="00930562">
        <w:rPr>
          <w:rFonts w:asciiTheme="minorHAnsi" w:hAnsiTheme="minorHAnsi" w:cstheme="majorHAnsi"/>
          <w:color w:val="808080" w:themeColor="background1" w:themeShade="80"/>
          <w:sz w:val="16"/>
          <w:szCs w:val="16"/>
          <w:lang w:val="es-ES"/>
        </w:rPr>
        <w:t>46.</w:t>
      </w:r>
    </w:p>
  </w:footnote>
  <w:footnote w:id="581">
    <w:p w14:paraId="09143E49"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Id. párr. 45.</w:t>
      </w:r>
    </w:p>
  </w:footnote>
  <w:footnote w:id="582">
    <w:p w14:paraId="68A6395A"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Id. (citando Corte IDH. </w:t>
      </w:r>
      <w:r w:rsidRPr="00930562">
        <w:rPr>
          <w:rFonts w:asciiTheme="minorHAnsi" w:hAnsiTheme="minorHAnsi" w:cstheme="majorHAnsi"/>
          <w:i/>
          <w:color w:val="808080" w:themeColor="background1" w:themeShade="80"/>
          <w:sz w:val="16"/>
          <w:szCs w:val="16"/>
          <w:lang w:val="es-ES"/>
        </w:rPr>
        <w:t>Caso de la "Masacre de Mapiripán" vs. Colombia</w:t>
      </w:r>
      <w:r w:rsidRPr="00930562">
        <w:rPr>
          <w:rFonts w:asciiTheme="minorHAnsi" w:hAnsiTheme="minorHAnsi" w:cstheme="majorHAnsi"/>
          <w:color w:val="808080" w:themeColor="background1" w:themeShade="80"/>
          <w:sz w:val="16"/>
          <w:szCs w:val="16"/>
          <w:lang w:val="es-ES"/>
        </w:rPr>
        <w:t xml:space="preserve">. Sentencia de 15 de septiembre de 2005. Serie C No. 134, párr. 219; </w:t>
      </w:r>
      <w:r w:rsidRPr="00930562">
        <w:rPr>
          <w:rFonts w:asciiTheme="minorHAnsi" w:hAnsiTheme="minorHAnsi" w:cstheme="majorHAnsi"/>
          <w:i/>
          <w:iCs/>
          <w:color w:val="808080" w:themeColor="background1" w:themeShade="80"/>
          <w:sz w:val="16"/>
          <w:szCs w:val="16"/>
          <w:lang w:val="es-ES"/>
        </w:rPr>
        <w:t xml:space="preserve">Caso de la Comunidad Moiwana vs. Surinam. </w:t>
      </w:r>
      <w:r w:rsidRPr="00930562">
        <w:rPr>
          <w:rFonts w:asciiTheme="minorHAnsi" w:hAnsiTheme="minorHAnsi" w:cstheme="majorHAnsi"/>
          <w:iCs/>
          <w:color w:val="808080" w:themeColor="background1" w:themeShade="80"/>
          <w:sz w:val="16"/>
          <w:szCs w:val="16"/>
          <w:lang w:val="es-ES"/>
        </w:rPr>
        <w:t>Excepciones Preliminares, Fondo, Reparaciones y Costas. Sentencia 15 de junio de 2005. Serie C No. 124</w:t>
      </w:r>
      <w:r w:rsidRPr="00930562">
        <w:rPr>
          <w:rFonts w:asciiTheme="minorHAnsi" w:hAnsiTheme="minorHAnsi" w:cstheme="majorHAnsi"/>
          <w:i/>
          <w:iCs/>
          <w:color w:val="808080" w:themeColor="background1" w:themeShade="80"/>
          <w:sz w:val="16"/>
          <w:szCs w:val="16"/>
          <w:lang w:val="es-ES"/>
        </w:rPr>
        <w:t xml:space="preserve">, </w:t>
      </w:r>
      <w:r w:rsidRPr="00930562">
        <w:rPr>
          <w:rFonts w:asciiTheme="minorHAnsi" w:hAnsiTheme="minorHAnsi" w:cstheme="majorHAnsi"/>
          <w:color w:val="808080" w:themeColor="background1" w:themeShade="80"/>
          <w:sz w:val="16"/>
          <w:szCs w:val="16"/>
          <w:lang w:val="es-ES"/>
        </w:rPr>
        <w:t xml:space="preserve">párr. </w:t>
      </w:r>
      <w:r w:rsidRPr="00930562">
        <w:rPr>
          <w:rFonts w:asciiTheme="minorHAnsi" w:hAnsiTheme="minorHAnsi" w:cstheme="majorHAnsi"/>
          <w:color w:val="808080" w:themeColor="background1" w:themeShade="80"/>
          <w:sz w:val="16"/>
          <w:szCs w:val="16"/>
          <w:lang w:val="es-VE"/>
        </w:rPr>
        <w:t xml:space="preserve">147; </w:t>
      </w:r>
      <w:r w:rsidRPr="00930562">
        <w:rPr>
          <w:rFonts w:asciiTheme="minorHAnsi" w:hAnsiTheme="minorHAnsi" w:cstheme="majorHAnsi"/>
          <w:i/>
          <w:color w:val="808080" w:themeColor="background1" w:themeShade="80"/>
          <w:sz w:val="16"/>
          <w:szCs w:val="16"/>
          <w:lang w:val="es-VE"/>
        </w:rPr>
        <w:t>C</w:t>
      </w:r>
      <w:r w:rsidRPr="00930562">
        <w:rPr>
          <w:rFonts w:asciiTheme="minorHAnsi" w:hAnsiTheme="minorHAnsi" w:cstheme="majorHAnsi"/>
          <w:i/>
          <w:iCs/>
          <w:color w:val="808080" w:themeColor="background1" w:themeShade="80"/>
          <w:sz w:val="16"/>
          <w:szCs w:val="16"/>
          <w:lang w:val="es-VE"/>
        </w:rPr>
        <w:t xml:space="preserve">aso de las Hermanas Serrano Cruz vs. El Salvador. </w:t>
      </w:r>
      <w:r w:rsidRPr="00930562">
        <w:rPr>
          <w:rFonts w:asciiTheme="minorHAnsi" w:hAnsiTheme="minorHAnsi" w:cstheme="majorHAnsi"/>
          <w:iCs/>
          <w:color w:val="808080" w:themeColor="background1" w:themeShade="80"/>
          <w:sz w:val="16"/>
          <w:szCs w:val="16"/>
          <w:lang w:val="es-VE"/>
        </w:rPr>
        <w:t>Fondo, Reparaciones y Costas. Sentencia de 1 de marzo de 2005. Serie C No. 120</w:t>
      </w:r>
      <w:r w:rsidRPr="00930562">
        <w:rPr>
          <w:rFonts w:asciiTheme="minorHAnsi" w:hAnsiTheme="minorHAnsi" w:cstheme="majorHAnsi"/>
          <w:color w:val="808080" w:themeColor="background1" w:themeShade="80"/>
          <w:sz w:val="16"/>
          <w:szCs w:val="16"/>
          <w:lang w:val="es-VE"/>
        </w:rPr>
        <w:t xml:space="preserve">, párr. </w:t>
      </w:r>
      <w:r w:rsidRPr="00930562">
        <w:rPr>
          <w:rFonts w:asciiTheme="minorHAnsi" w:hAnsiTheme="minorHAnsi" w:cstheme="majorHAnsi"/>
          <w:color w:val="808080" w:themeColor="background1" w:themeShade="80"/>
          <w:sz w:val="16"/>
          <w:szCs w:val="16"/>
          <w:lang w:val="es-ES"/>
        </w:rPr>
        <w:t xml:space="preserve">63).  </w:t>
      </w:r>
    </w:p>
  </w:footnote>
  <w:footnote w:id="583">
    <w:p w14:paraId="4BF332CC"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Id.</w:t>
      </w:r>
    </w:p>
  </w:footnote>
  <w:footnote w:id="584">
    <w:p w14:paraId="4BF094AD"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eastAsia="Times New Roman" w:hAnsiTheme="minorHAnsi" w:cstheme="majorHAnsi"/>
          <w:color w:val="808080" w:themeColor="background1" w:themeShade="80"/>
          <w:sz w:val="16"/>
          <w:szCs w:val="16"/>
          <w:lang w:val="es-ES" w:eastAsia="es-ES"/>
        </w:rPr>
        <w:t xml:space="preserve">CIDH, </w:t>
      </w:r>
      <w:hyperlink r:id="rId634" w:history="1">
        <w:r w:rsidRPr="00930562">
          <w:rPr>
            <w:rStyle w:val="Hyperlink"/>
            <w:rFonts w:asciiTheme="minorHAnsi" w:eastAsia="Times New Roman" w:hAnsiTheme="minorHAnsi" w:cstheme="majorHAnsi"/>
            <w:color w:val="808080" w:themeColor="background1" w:themeShade="80"/>
            <w:sz w:val="16"/>
            <w:szCs w:val="16"/>
            <w:lang w:val="es-ES" w:eastAsia="es-ES"/>
          </w:rPr>
          <w:t>Informe Anual 2015, Cap</w:t>
        </w:r>
        <w:r w:rsidRPr="00930562">
          <w:rPr>
            <w:rStyle w:val="Hyperlink"/>
            <w:rFonts w:asciiTheme="minorHAnsi" w:eastAsia="Times New Roman" w:hAnsiTheme="minorHAnsi" w:cstheme="majorHAnsi"/>
            <w:color w:val="808080" w:themeColor="background1" w:themeShade="80"/>
            <w:sz w:val="16"/>
            <w:szCs w:val="16"/>
            <w:lang w:val="es-ES_tradnl" w:eastAsia="es-ES"/>
          </w:rPr>
          <w:t>ítulo IV Uso de la fuerza</w:t>
        </w:r>
      </w:hyperlink>
      <w:r w:rsidRPr="00930562">
        <w:rPr>
          <w:rFonts w:asciiTheme="minorHAnsi" w:eastAsia="Times New Roman" w:hAnsiTheme="minorHAnsi" w:cstheme="majorHAnsi"/>
          <w:color w:val="808080" w:themeColor="background1" w:themeShade="80"/>
          <w:sz w:val="16"/>
          <w:szCs w:val="16"/>
          <w:lang w:val="es-ES_tradnl" w:eastAsia="es-ES"/>
        </w:rPr>
        <w:t>, párr.</w:t>
      </w:r>
      <w:r w:rsidRPr="00930562">
        <w:rPr>
          <w:rFonts w:asciiTheme="minorHAnsi" w:hAnsiTheme="minorHAnsi" w:cstheme="majorHAnsi"/>
          <w:color w:val="808080" w:themeColor="background1" w:themeShade="80"/>
          <w:sz w:val="16"/>
          <w:szCs w:val="16"/>
          <w:lang w:val="es-ES"/>
        </w:rPr>
        <w:t xml:space="preserve"> 231; </w:t>
      </w:r>
      <w:r w:rsidRPr="00930562">
        <w:rPr>
          <w:rFonts w:asciiTheme="minorHAnsi" w:hAnsiTheme="minorHAnsi" w:cstheme="majorHAnsi"/>
          <w:i/>
          <w:color w:val="808080" w:themeColor="background1" w:themeShade="80"/>
          <w:sz w:val="16"/>
          <w:szCs w:val="16"/>
          <w:lang w:val="es-ES"/>
        </w:rPr>
        <w:t xml:space="preserve">see also </w:t>
      </w:r>
      <w:r w:rsidRPr="00930562">
        <w:rPr>
          <w:rFonts w:asciiTheme="minorHAnsi" w:eastAsiaTheme="minorEastAsia" w:hAnsiTheme="minorHAnsi" w:cstheme="majorHAnsi"/>
          <w:color w:val="808080" w:themeColor="background1" w:themeShade="80"/>
          <w:sz w:val="16"/>
          <w:szCs w:val="16"/>
          <w:lang w:val="es-ES" w:eastAsia="es-ES"/>
        </w:rPr>
        <w:t xml:space="preserve">Corte IDH. </w:t>
      </w:r>
      <w:r w:rsidRPr="00930562">
        <w:rPr>
          <w:rFonts w:asciiTheme="minorHAnsi" w:eastAsiaTheme="minorEastAsia" w:hAnsiTheme="minorHAnsi" w:cstheme="majorHAnsi"/>
          <w:i/>
          <w:color w:val="808080" w:themeColor="background1" w:themeShade="80"/>
          <w:sz w:val="16"/>
          <w:szCs w:val="16"/>
          <w:lang w:val="es-ES" w:eastAsia="es-ES"/>
        </w:rPr>
        <w:t>Caso de los “Niños de la Calle” (Villagrán Morales y otros) vs. Guatemala</w:t>
      </w:r>
      <w:r w:rsidRPr="00930562">
        <w:rPr>
          <w:rFonts w:asciiTheme="minorHAnsi" w:eastAsiaTheme="minorEastAsia" w:hAnsiTheme="minorHAnsi" w:cstheme="majorHAnsi"/>
          <w:color w:val="808080" w:themeColor="background1" w:themeShade="80"/>
          <w:sz w:val="16"/>
          <w:szCs w:val="16"/>
          <w:lang w:val="es-ES" w:eastAsia="es-ES"/>
        </w:rPr>
        <w:t xml:space="preserve">. Fondo. Sentencia de 19 de noviembre de 1999. Serie C No. 63, párr. 22 [en adelante “Corte IDH. </w:t>
      </w:r>
      <w:r w:rsidRPr="00930562">
        <w:rPr>
          <w:rFonts w:asciiTheme="minorHAnsi" w:eastAsiaTheme="minorEastAsia" w:hAnsiTheme="minorHAnsi" w:cstheme="majorHAnsi"/>
          <w:i/>
          <w:color w:val="808080" w:themeColor="background1" w:themeShade="80"/>
          <w:sz w:val="16"/>
          <w:szCs w:val="16"/>
          <w:lang w:val="es-ES" w:eastAsia="es-ES"/>
        </w:rPr>
        <w:t>“Niños de la Calle”</w:t>
      </w:r>
      <w:r w:rsidRPr="00930562">
        <w:rPr>
          <w:rFonts w:asciiTheme="minorHAnsi" w:eastAsiaTheme="minorEastAsia" w:hAnsiTheme="minorHAnsi" w:cstheme="majorHAnsi"/>
          <w:color w:val="808080" w:themeColor="background1" w:themeShade="80"/>
          <w:sz w:val="16"/>
          <w:szCs w:val="16"/>
          <w:lang w:val="es-ES" w:eastAsia="es-ES"/>
        </w:rPr>
        <w:t xml:space="preserve"> Ser. </w:t>
      </w:r>
      <w:r w:rsidRPr="00930562">
        <w:rPr>
          <w:rFonts w:asciiTheme="minorHAnsi" w:eastAsiaTheme="minorEastAsia" w:hAnsiTheme="minorHAnsi" w:cstheme="majorHAnsi"/>
          <w:color w:val="808080" w:themeColor="background1" w:themeShade="80"/>
          <w:sz w:val="16"/>
          <w:szCs w:val="16"/>
          <w:lang w:val="es-VE" w:eastAsia="es-ES"/>
        </w:rPr>
        <w:t>C No. 63 (1999)”]</w:t>
      </w:r>
      <w:r w:rsidRPr="00930562">
        <w:rPr>
          <w:rFonts w:asciiTheme="minorHAnsi" w:hAnsiTheme="minorHAnsi" w:cstheme="majorHAnsi"/>
          <w:color w:val="808080" w:themeColor="background1" w:themeShade="80"/>
          <w:sz w:val="16"/>
          <w:szCs w:val="16"/>
          <w:lang w:val="es-VE"/>
        </w:rPr>
        <w:t xml:space="preserve">; </w:t>
      </w:r>
      <w:r w:rsidRPr="00930562">
        <w:rPr>
          <w:rFonts w:asciiTheme="minorHAnsi" w:hAnsiTheme="minorHAnsi" w:cstheme="majorHAnsi"/>
          <w:i/>
          <w:color w:val="808080" w:themeColor="background1" w:themeShade="80"/>
          <w:sz w:val="16"/>
          <w:szCs w:val="16"/>
          <w:lang w:val="es-VE"/>
        </w:rPr>
        <w:t>Velásquez Rodríguez</w:t>
      </w:r>
      <w:r w:rsidRPr="00930562">
        <w:rPr>
          <w:rFonts w:asciiTheme="minorHAnsi" w:hAnsiTheme="minorHAnsi" w:cstheme="majorHAnsi"/>
          <w:color w:val="808080" w:themeColor="background1" w:themeShade="80"/>
          <w:sz w:val="16"/>
          <w:szCs w:val="16"/>
          <w:lang w:val="es-VE"/>
        </w:rPr>
        <w:t xml:space="preserve">, Ser. </w:t>
      </w:r>
      <w:r w:rsidRPr="00930562">
        <w:rPr>
          <w:rFonts w:asciiTheme="minorHAnsi" w:hAnsiTheme="minorHAnsi" w:cstheme="majorHAnsi"/>
          <w:color w:val="808080" w:themeColor="background1" w:themeShade="80"/>
          <w:sz w:val="16"/>
          <w:szCs w:val="16"/>
          <w:lang w:val="es-ES"/>
        </w:rPr>
        <w:t xml:space="preserve">C No. 7 (1989), párr. 177; </w:t>
      </w:r>
      <w:r w:rsidRPr="00930562">
        <w:rPr>
          <w:rFonts w:asciiTheme="minorHAnsi" w:hAnsiTheme="minorHAnsi"/>
          <w:color w:val="808080" w:themeColor="background1" w:themeShade="80"/>
          <w:sz w:val="16"/>
          <w:szCs w:val="16"/>
          <w:lang w:val="es-VE"/>
        </w:rPr>
        <w:t xml:space="preserve">CIDH, </w:t>
      </w:r>
      <w:hyperlink r:id="rId635" w:history="1">
        <w:r w:rsidRPr="00930562">
          <w:rPr>
            <w:rStyle w:val="Hyperlink"/>
            <w:rFonts w:asciiTheme="minorHAnsi" w:hAnsiTheme="minorHAnsi"/>
            <w:color w:val="808080" w:themeColor="background1" w:themeShade="80"/>
            <w:sz w:val="16"/>
            <w:szCs w:val="16"/>
            <w:lang w:val="es-VE"/>
          </w:rPr>
          <w:t>Informe sobre Seguridad Ciudadana y Derechos Humanos</w:t>
        </w:r>
      </w:hyperlink>
      <w:r w:rsidRPr="00930562">
        <w:rPr>
          <w:rFonts w:asciiTheme="minorHAnsi" w:hAnsiTheme="minorHAnsi"/>
          <w:color w:val="808080" w:themeColor="background1" w:themeShade="80"/>
          <w:sz w:val="16"/>
          <w:szCs w:val="16"/>
          <w:lang w:val="es-VE"/>
        </w:rPr>
        <w:t xml:space="preserve"> (2009), párr. </w:t>
      </w:r>
      <w:r w:rsidRPr="00930562">
        <w:rPr>
          <w:rFonts w:asciiTheme="minorHAnsi" w:hAnsiTheme="minorHAnsi" w:cstheme="majorHAnsi"/>
          <w:color w:val="808080" w:themeColor="background1" w:themeShade="80"/>
          <w:sz w:val="16"/>
          <w:szCs w:val="16"/>
          <w:lang w:val="es-ES"/>
        </w:rPr>
        <w:t>45.</w:t>
      </w:r>
    </w:p>
  </w:footnote>
  <w:footnote w:id="585">
    <w:p w14:paraId="67847F25"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eastAsia="Times New Roman" w:hAnsiTheme="minorHAnsi" w:cstheme="majorHAnsi"/>
          <w:color w:val="808080" w:themeColor="background1" w:themeShade="80"/>
          <w:sz w:val="16"/>
          <w:szCs w:val="16"/>
          <w:lang w:val="es-ES" w:eastAsia="es-ES"/>
        </w:rPr>
        <w:t xml:space="preserve">CIDH, </w:t>
      </w:r>
      <w:hyperlink r:id="rId636" w:history="1">
        <w:r w:rsidRPr="00930562">
          <w:rPr>
            <w:rStyle w:val="Hyperlink"/>
            <w:rFonts w:asciiTheme="minorHAnsi" w:eastAsia="Times New Roman" w:hAnsiTheme="minorHAnsi" w:cstheme="majorHAnsi"/>
            <w:color w:val="808080" w:themeColor="background1" w:themeShade="80"/>
            <w:sz w:val="16"/>
            <w:szCs w:val="16"/>
            <w:lang w:val="es-ES" w:eastAsia="es-ES"/>
          </w:rPr>
          <w:t>Informe Anual 2015, Cap</w:t>
        </w:r>
        <w:r w:rsidRPr="00930562">
          <w:rPr>
            <w:rStyle w:val="Hyperlink"/>
            <w:rFonts w:asciiTheme="minorHAnsi" w:eastAsia="Times New Roman" w:hAnsiTheme="minorHAnsi" w:cstheme="majorHAnsi"/>
            <w:color w:val="808080" w:themeColor="background1" w:themeShade="80"/>
            <w:sz w:val="16"/>
            <w:szCs w:val="16"/>
            <w:lang w:val="es-ES_tradnl" w:eastAsia="es-ES"/>
          </w:rPr>
          <w:t>ítulo IV Uso de la fuerza</w:t>
        </w:r>
      </w:hyperlink>
      <w:r w:rsidRPr="00930562">
        <w:rPr>
          <w:rFonts w:asciiTheme="minorHAnsi" w:eastAsia="Times New Roman" w:hAnsiTheme="minorHAnsi" w:cstheme="majorHAnsi"/>
          <w:color w:val="808080" w:themeColor="background1" w:themeShade="80"/>
          <w:sz w:val="16"/>
          <w:szCs w:val="16"/>
          <w:lang w:val="es-ES_tradnl" w:eastAsia="es-ES"/>
        </w:rPr>
        <w:t>, párr.</w:t>
      </w:r>
      <w:r w:rsidRPr="00930562">
        <w:rPr>
          <w:rFonts w:asciiTheme="minorHAnsi" w:hAnsiTheme="minorHAnsi" w:cstheme="majorHAnsi"/>
          <w:color w:val="808080" w:themeColor="background1" w:themeShade="80"/>
          <w:sz w:val="16"/>
          <w:szCs w:val="16"/>
          <w:lang w:val="es-ES"/>
        </w:rPr>
        <w:t xml:space="preserve"> 231; </w:t>
      </w:r>
      <w:r w:rsidRPr="00930562">
        <w:rPr>
          <w:rFonts w:asciiTheme="minorHAnsi" w:hAnsiTheme="minorHAnsi" w:cstheme="majorHAnsi"/>
          <w:i/>
          <w:color w:val="808080" w:themeColor="background1" w:themeShade="80"/>
          <w:sz w:val="16"/>
          <w:szCs w:val="16"/>
          <w:lang w:val="es-ES_tradnl"/>
        </w:rPr>
        <w:t>ver también</w:t>
      </w:r>
      <w:r w:rsidRPr="00930562">
        <w:rPr>
          <w:rFonts w:asciiTheme="minorHAnsi" w:hAnsiTheme="minorHAnsi" w:cstheme="majorHAnsi"/>
          <w:i/>
          <w:color w:val="808080" w:themeColor="background1" w:themeShade="80"/>
          <w:sz w:val="16"/>
          <w:szCs w:val="16"/>
          <w:lang w:val="es-ES"/>
        </w:rPr>
        <w:t xml:space="preserve"> </w:t>
      </w:r>
      <w:r w:rsidRPr="00930562">
        <w:rPr>
          <w:rFonts w:asciiTheme="minorHAnsi" w:eastAsiaTheme="minorEastAsia" w:hAnsiTheme="minorHAnsi" w:cstheme="majorHAnsi"/>
          <w:color w:val="808080" w:themeColor="background1" w:themeShade="80"/>
          <w:sz w:val="16"/>
          <w:szCs w:val="16"/>
          <w:lang w:val="es-ES" w:eastAsia="es-ES"/>
        </w:rPr>
        <w:t xml:space="preserve">Corte IDH. </w:t>
      </w:r>
      <w:r w:rsidRPr="00930562">
        <w:rPr>
          <w:rFonts w:asciiTheme="minorHAnsi" w:eastAsiaTheme="minorEastAsia" w:hAnsiTheme="minorHAnsi" w:cstheme="majorHAnsi"/>
          <w:i/>
          <w:color w:val="808080" w:themeColor="background1" w:themeShade="80"/>
          <w:sz w:val="16"/>
          <w:szCs w:val="16"/>
          <w:lang w:val="es-ES" w:eastAsia="es-ES"/>
        </w:rPr>
        <w:t>“Niños de la Calle”</w:t>
      </w:r>
      <w:r w:rsidRPr="00930562">
        <w:rPr>
          <w:rFonts w:asciiTheme="minorHAnsi" w:eastAsiaTheme="minorEastAsia" w:hAnsiTheme="minorHAnsi" w:cstheme="majorHAnsi"/>
          <w:color w:val="808080" w:themeColor="background1" w:themeShade="80"/>
          <w:sz w:val="16"/>
          <w:szCs w:val="16"/>
          <w:lang w:val="es-ES" w:eastAsia="es-ES"/>
        </w:rPr>
        <w:t xml:space="preserve"> Ser. </w:t>
      </w:r>
      <w:r w:rsidRPr="00930562">
        <w:rPr>
          <w:rFonts w:asciiTheme="minorHAnsi" w:eastAsiaTheme="minorEastAsia" w:hAnsiTheme="minorHAnsi" w:cstheme="majorHAnsi"/>
          <w:color w:val="808080" w:themeColor="background1" w:themeShade="80"/>
          <w:sz w:val="16"/>
          <w:szCs w:val="16"/>
          <w:lang w:val="es-VE" w:eastAsia="es-ES"/>
        </w:rPr>
        <w:t>C No. 63 (1999)</w:t>
      </w:r>
      <w:r w:rsidRPr="00930562">
        <w:rPr>
          <w:rFonts w:asciiTheme="minorHAnsi" w:hAnsiTheme="minorHAnsi" w:cstheme="majorHAnsi"/>
          <w:color w:val="808080" w:themeColor="background1" w:themeShade="80"/>
          <w:sz w:val="16"/>
          <w:szCs w:val="16"/>
          <w:lang w:val="es-ES"/>
        </w:rPr>
        <w:t>, párr. 22.</w:t>
      </w:r>
    </w:p>
  </w:footnote>
  <w:footnote w:id="586">
    <w:p w14:paraId="610EA786"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Protocolo de Estambul: Manual para la investigación y documentación eficaces de la tortura y otros tratos o penas crueles, inhumanos o degradantes (2004), disponible en: </w:t>
      </w:r>
      <w:hyperlink r:id="rId637" w:history="1">
        <w:r w:rsidRPr="00930562">
          <w:rPr>
            <w:rStyle w:val="Hyperlink"/>
            <w:rFonts w:asciiTheme="minorHAnsi" w:hAnsiTheme="minorHAnsi"/>
            <w:color w:val="808080" w:themeColor="background1" w:themeShade="80"/>
            <w:sz w:val="16"/>
            <w:szCs w:val="16"/>
            <w:lang w:val="es-ES"/>
          </w:rPr>
          <w:t>http://www.ohchr.org/Documents/Publications/training8Rev1sp.pdf</w:t>
        </w:r>
      </w:hyperlink>
      <w:r w:rsidRPr="00930562">
        <w:rPr>
          <w:rFonts w:asciiTheme="minorHAnsi" w:hAnsiTheme="minorHAnsi"/>
          <w:color w:val="808080" w:themeColor="background1" w:themeShade="80"/>
          <w:sz w:val="16"/>
          <w:szCs w:val="16"/>
          <w:lang w:val="es-ES"/>
        </w:rPr>
        <w:t xml:space="preserve"> </w:t>
      </w:r>
    </w:p>
  </w:footnote>
  <w:footnote w:id="587">
    <w:p w14:paraId="0A3DADE7"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Protocolo de Minnesota sobre la Investigación de Muertes Potencialmente Ilícitas (2016), Versión revisada del Manual de las Naciones Unidas sobre la Prevención e Investigación Eficaces de las Ejecuciones Extralegales, Arbitrarias o Sumarias, disponible en: </w:t>
      </w:r>
      <w:hyperlink r:id="rId638" w:history="1">
        <w:r w:rsidRPr="00930562">
          <w:rPr>
            <w:rStyle w:val="Hyperlink"/>
            <w:rFonts w:asciiTheme="minorHAnsi" w:hAnsiTheme="minorHAnsi"/>
            <w:color w:val="808080" w:themeColor="background1" w:themeShade="80"/>
            <w:sz w:val="16"/>
            <w:szCs w:val="16"/>
            <w:lang w:val="es-ES"/>
          </w:rPr>
          <w:t>http://www.ohchr.org/Documents/Publications/MinnesotaProtocol_SP.pdf</w:t>
        </w:r>
      </w:hyperlink>
      <w:r w:rsidRPr="00930562">
        <w:rPr>
          <w:rFonts w:asciiTheme="minorHAnsi" w:hAnsiTheme="minorHAnsi"/>
          <w:color w:val="808080" w:themeColor="background1" w:themeShade="80"/>
          <w:sz w:val="16"/>
          <w:szCs w:val="16"/>
          <w:lang w:val="es-ES"/>
        </w:rPr>
        <w:t xml:space="preserve"> </w:t>
      </w:r>
    </w:p>
  </w:footnote>
  <w:footnote w:id="588">
    <w:p w14:paraId="7B4531CF"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eastAsia="Times New Roman" w:hAnsiTheme="minorHAnsi" w:cstheme="majorHAnsi"/>
          <w:color w:val="808080" w:themeColor="background1" w:themeShade="80"/>
          <w:sz w:val="16"/>
          <w:szCs w:val="16"/>
          <w:lang w:val="es-ES" w:eastAsia="es-ES"/>
        </w:rPr>
        <w:t xml:space="preserve">CIDH, </w:t>
      </w:r>
      <w:hyperlink r:id="rId639" w:history="1">
        <w:r w:rsidRPr="00930562">
          <w:rPr>
            <w:rStyle w:val="Hyperlink"/>
            <w:rFonts w:asciiTheme="minorHAnsi" w:eastAsia="Times New Roman" w:hAnsiTheme="minorHAnsi" w:cstheme="majorHAnsi"/>
            <w:color w:val="808080" w:themeColor="background1" w:themeShade="80"/>
            <w:sz w:val="16"/>
            <w:szCs w:val="16"/>
            <w:lang w:val="es-ES" w:eastAsia="es-ES"/>
          </w:rPr>
          <w:t>Informe Anual 2015, Cap</w:t>
        </w:r>
        <w:r w:rsidRPr="00930562">
          <w:rPr>
            <w:rStyle w:val="Hyperlink"/>
            <w:rFonts w:asciiTheme="minorHAnsi" w:eastAsia="Times New Roman" w:hAnsiTheme="minorHAnsi" w:cstheme="majorHAnsi"/>
            <w:color w:val="808080" w:themeColor="background1" w:themeShade="80"/>
            <w:sz w:val="16"/>
            <w:szCs w:val="16"/>
            <w:lang w:val="es-ES_tradnl" w:eastAsia="es-ES"/>
          </w:rPr>
          <w:t>ítulo IV Uso de la fuerza</w:t>
        </w:r>
      </w:hyperlink>
      <w:r w:rsidRPr="00930562">
        <w:rPr>
          <w:rFonts w:asciiTheme="minorHAnsi" w:eastAsia="Times New Roman" w:hAnsiTheme="minorHAnsi" w:cstheme="majorHAnsi"/>
          <w:color w:val="808080" w:themeColor="background1" w:themeShade="80"/>
          <w:sz w:val="16"/>
          <w:szCs w:val="16"/>
          <w:lang w:val="es-ES_tradnl" w:eastAsia="es-ES"/>
        </w:rPr>
        <w:t>, párr.</w:t>
      </w:r>
      <w:r w:rsidRPr="00930562">
        <w:rPr>
          <w:rFonts w:asciiTheme="minorHAnsi" w:hAnsiTheme="minorHAnsi" w:cstheme="majorHAnsi"/>
          <w:color w:val="808080" w:themeColor="background1" w:themeShade="80"/>
          <w:sz w:val="16"/>
          <w:szCs w:val="16"/>
          <w:lang w:val="es-ES"/>
        </w:rPr>
        <w:t xml:space="preserve"> 234.</w:t>
      </w:r>
    </w:p>
  </w:footnote>
  <w:footnote w:id="589">
    <w:p w14:paraId="2894C990"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Id. párr. 229 (citando Corte IDH. </w:t>
      </w:r>
      <w:r w:rsidRPr="00930562">
        <w:rPr>
          <w:rFonts w:asciiTheme="minorHAnsi" w:hAnsiTheme="minorHAnsi" w:cstheme="majorHAnsi"/>
          <w:i/>
          <w:color w:val="808080" w:themeColor="background1" w:themeShade="80"/>
          <w:sz w:val="16"/>
          <w:szCs w:val="16"/>
          <w:lang w:val="es-ES"/>
        </w:rPr>
        <w:t xml:space="preserve">Caso Montero Aranguren y </w:t>
      </w:r>
      <w:proofErr w:type="gramStart"/>
      <w:r w:rsidRPr="00930562">
        <w:rPr>
          <w:rFonts w:asciiTheme="minorHAnsi" w:hAnsiTheme="minorHAnsi" w:cstheme="majorHAnsi"/>
          <w:i/>
          <w:color w:val="808080" w:themeColor="background1" w:themeShade="80"/>
          <w:sz w:val="16"/>
          <w:szCs w:val="16"/>
          <w:lang w:val="es-ES"/>
        </w:rPr>
        <w:t>otros</w:t>
      </w:r>
      <w:proofErr w:type="gramEnd"/>
      <w:r w:rsidRPr="00930562">
        <w:rPr>
          <w:rFonts w:asciiTheme="minorHAnsi" w:hAnsiTheme="minorHAnsi" w:cstheme="majorHAnsi"/>
          <w:i/>
          <w:color w:val="808080" w:themeColor="background1" w:themeShade="80"/>
          <w:sz w:val="16"/>
          <w:szCs w:val="16"/>
          <w:lang w:val="es-ES"/>
        </w:rPr>
        <w:t xml:space="preserve"> (Retén de Catia) vs. Venezuela</w:t>
      </w:r>
      <w:r w:rsidRPr="00930562">
        <w:rPr>
          <w:rFonts w:asciiTheme="minorHAnsi" w:hAnsiTheme="minorHAnsi" w:cstheme="majorHAnsi"/>
          <w:color w:val="808080" w:themeColor="background1" w:themeShade="80"/>
          <w:sz w:val="16"/>
          <w:szCs w:val="16"/>
          <w:lang w:val="es-ES"/>
        </w:rPr>
        <w:t xml:space="preserve">. Excepción Preliminar, Fondo, Reparaciones y Costas. Sentencia de 5 de julio de 2006. Serie C No. 150, párr. 81. Al referirse sobre la independencia real del órgano investigador, también la Corte encontró problemática la asistencia proporcionada al órgano investigador principal, llámese Ministerio Público, por parte de la Institución involucrada en los hechos relacionados al supuesto uso excesivo de la fuerza, a saber el Cuerpo Técnico de Policía Judicial, situación que pudo haber contribuido a las irregularidades constatadas en el proceso. Corte IDH. </w:t>
      </w:r>
      <w:r w:rsidRPr="00930562">
        <w:rPr>
          <w:rFonts w:asciiTheme="minorHAnsi" w:hAnsiTheme="minorHAnsi" w:cstheme="majorHAnsi"/>
          <w:i/>
          <w:color w:val="808080" w:themeColor="background1" w:themeShade="80"/>
          <w:sz w:val="16"/>
          <w:szCs w:val="16"/>
          <w:lang w:val="es-ES"/>
        </w:rPr>
        <w:t>Caso Uzcátegui y otros vs. Venezuela</w:t>
      </w:r>
      <w:r w:rsidRPr="00930562">
        <w:rPr>
          <w:rFonts w:asciiTheme="minorHAnsi" w:hAnsiTheme="minorHAnsi" w:cstheme="majorHAnsi"/>
          <w:color w:val="808080" w:themeColor="background1" w:themeShade="80"/>
          <w:sz w:val="16"/>
          <w:szCs w:val="16"/>
          <w:lang w:val="es-ES"/>
        </w:rPr>
        <w:t>. Fondo y Reparaciones. Sentencia de 3 de septiembre de 2012 Serie C No. 249, párr. 220).</w:t>
      </w:r>
    </w:p>
  </w:footnote>
  <w:footnote w:id="590">
    <w:p w14:paraId="6F055A6C"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Id. párr. 230 (añadiendo que la Corte Interamericana de Derechos Humanos ha señalado que “la falta de protección adecuada de la escena del crimen puede afectar la investigación por tratarse de un elemento fundamental para su buen curso” (Corte IDH. </w:t>
      </w:r>
      <w:r w:rsidRPr="00930562">
        <w:rPr>
          <w:rFonts w:asciiTheme="minorHAnsi" w:hAnsiTheme="minorHAnsi" w:cstheme="majorHAnsi"/>
          <w:i/>
          <w:color w:val="808080" w:themeColor="background1" w:themeShade="80"/>
          <w:sz w:val="16"/>
          <w:szCs w:val="16"/>
          <w:lang w:val="es-ES"/>
        </w:rPr>
        <w:t>Caso Myrna Mack Chang vs. Guatemala</w:t>
      </w:r>
      <w:r w:rsidRPr="00930562">
        <w:rPr>
          <w:rFonts w:asciiTheme="minorHAnsi" w:hAnsiTheme="minorHAnsi" w:cstheme="majorHAnsi"/>
          <w:color w:val="808080" w:themeColor="background1" w:themeShade="80"/>
          <w:sz w:val="16"/>
          <w:szCs w:val="16"/>
          <w:lang w:val="es-ES"/>
        </w:rPr>
        <w:t xml:space="preserve">, supra nota 4, párr. 166) y el Consejo de Derechos Humanos de Naciones Unidas ha exhortado “a los Estados a que investiguen cualquier caso de muerte o lesiones provocadas durante manifestaciones, incluidas las que sean resultado de disparos de armas de fuego o del uso de armas no letales por parte de funcionarios que ejercen tareas de aplicación de la ley” (CDH ONU, A/HRC/25/L.20, párr. 12)). </w:t>
      </w:r>
    </w:p>
  </w:footnote>
  <w:footnote w:id="591">
    <w:p w14:paraId="3B6ADB85"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Id. (cita omitida).</w:t>
      </w:r>
    </w:p>
  </w:footnote>
  <w:footnote w:id="592">
    <w:p w14:paraId="0D744194"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Id. párr. 214 (citando ONU, Informe del Relator Especial sobre las ejecuciones extrajudiciales, sumarias o arbitrarias, Christof Heyns: El uso de la tecnología de la información y las comunicaciones para garantizar el derecho a la vida, 24 de abril de 2015.).</w:t>
      </w:r>
    </w:p>
  </w:footnote>
  <w:footnote w:id="593">
    <w:p w14:paraId="40049073"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Id. </w:t>
      </w:r>
    </w:p>
  </w:footnote>
  <w:footnote w:id="594">
    <w:p w14:paraId="0A2662C6"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Id. párr. 222.</w:t>
      </w:r>
    </w:p>
  </w:footnote>
  <w:footnote w:id="595">
    <w:p w14:paraId="7DA7F4FB"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Id. (citando ONU, Informe del Relator Especial sobre las ejecuciones extrajudiciales, sumarias o arbitrarias, Christof Heyns, A/HRC/26/36, 1 de abril de 2014, párr. 23).</w:t>
      </w:r>
    </w:p>
  </w:footnote>
  <w:footnote w:id="596">
    <w:p w14:paraId="2F6E4416"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hAnsiTheme="minorHAnsi" w:cstheme="majorHAnsi"/>
          <w:bCs/>
          <w:color w:val="808080" w:themeColor="background1" w:themeShade="80"/>
          <w:sz w:val="16"/>
          <w:szCs w:val="16"/>
          <w:lang w:val="es-ES"/>
        </w:rPr>
        <w:t xml:space="preserve">CIDH, </w:t>
      </w:r>
      <w:hyperlink r:id="rId640" w:history="1">
        <w:r w:rsidRPr="00930562">
          <w:rPr>
            <w:rStyle w:val="Hyperlink"/>
            <w:rFonts w:asciiTheme="minorHAnsi" w:hAnsiTheme="minorHAnsi" w:cstheme="majorHAnsi"/>
            <w:bCs/>
            <w:color w:val="808080" w:themeColor="background1" w:themeShade="80"/>
            <w:sz w:val="16"/>
            <w:szCs w:val="16"/>
            <w:lang w:val="es-ES"/>
          </w:rPr>
          <w:t>La CIDH concluye su visita a Florida, Luisiana y Misuri, en Estados Unidos</w:t>
        </w:r>
      </w:hyperlink>
      <w:r w:rsidRPr="00930562">
        <w:rPr>
          <w:rFonts w:asciiTheme="minorHAnsi" w:hAnsiTheme="minorHAnsi" w:cstheme="majorHAnsi"/>
          <w:bCs/>
          <w:color w:val="808080" w:themeColor="background1" w:themeShade="80"/>
          <w:sz w:val="16"/>
          <w:szCs w:val="16"/>
          <w:lang w:val="es-ES"/>
        </w:rPr>
        <w:t>, 16 de octubre de 2015.</w:t>
      </w:r>
    </w:p>
  </w:footnote>
  <w:footnote w:id="597">
    <w:p w14:paraId="3436C00F"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eastAsia="Times New Roman" w:hAnsiTheme="minorHAnsi" w:cstheme="majorHAnsi"/>
          <w:color w:val="808080" w:themeColor="background1" w:themeShade="80"/>
          <w:sz w:val="16"/>
          <w:szCs w:val="16"/>
          <w:lang w:val="es-ES" w:eastAsia="es-ES"/>
        </w:rPr>
        <w:t xml:space="preserve">ONU, </w:t>
      </w:r>
      <w:hyperlink r:id="rId641" w:history="1">
        <w:r w:rsidRPr="00930562">
          <w:rPr>
            <w:rStyle w:val="Hyperlink"/>
            <w:rFonts w:asciiTheme="minorHAnsi" w:eastAsia="Times New Roman" w:hAnsiTheme="minorHAnsi" w:cstheme="majorHAnsi"/>
            <w:color w:val="808080" w:themeColor="background1" w:themeShade="80"/>
            <w:sz w:val="16"/>
            <w:szCs w:val="16"/>
            <w:lang w:val="es-ES" w:eastAsia="es-ES"/>
          </w:rPr>
          <w:t>Principios Básicos de la ONU sobre empleo de la fuerza</w:t>
        </w:r>
      </w:hyperlink>
      <w:r w:rsidRPr="00930562">
        <w:rPr>
          <w:rFonts w:asciiTheme="minorHAnsi" w:eastAsia="Times New Roman" w:hAnsiTheme="minorHAnsi" w:cstheme="majorHAnsi"/>
          <w:color w:val="808080" w:themeColor="background1" w:themeShade="80"/>
          <w:sz w:val="16"/>
          <w:szCs w:val="16"/>
          <w:lang w:val="es-ES" w:eastAsia="es-ES"/>
        </w:rPr>
        <w:t xml:space="preserve">, </w:t>
      </w:r>
      <w:r w:rsidRPr="00930562">
        <w:rPr>
          <w:rFonts w:asciiTheme="minorHAnsi" w:hAnsiTheme="minorHAnsi" w:cstheme="majorHAnsi"/>
          <w:color w:val="808080" w:themeColor="background1" w:themeShade="80"/>
          <w:sz w:val="16"/>
          <w:szCs w:val="16"/>
          <w:lang w:val="es-ES"/>
        </w:rPr>
        <w:t>Nos. 22 and 11.</w:t>
      </w:r>
    </w:p>
  </w:footnote>
  <w:footnote w:id="598">
    <w:p w14:paraId="3372BE8A"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eastAsia="Times New Roman" w:hAnsiTheme="minorHAnsi" w:cstheme="majorHAnsi"/>
          <w:color w:val="808080" w:themeColor="background1" w:themeShade="80"/>
          <w:sz w:val="16"/>
          <w:szCs w:val="16"/>
          <w:lang w:val="es-ES" w:eastAsia="es-ES"/>
        </w:rPr>
        <w:t xml:space="preserve">ONU, </w:t>
      </w:r>
      <w:hyperlink r:id="rId642" w:history="1">
        <w:r w:rsidRPr="00930562">
          <w:rPr>
            <w:rStyle w:val="Hyperlink"/>
            <w:rFonts w:asciiTheme="minorHAnsi" w:eastAsia="Times New Roman" w:hAnsiTheme="minorHAnsi" w:cstheme="majorHAnsi"/>
            <w:color w:val="808080" w:themeColor="background1" w:themeShade="80"/>
            <w:sz w:val="16"/>
            <w:szCs w:val="16"/>
            <w:lang w:val="es-ES" w:eastAsia="es-ES"/>
          </w:rPr>
          <w:t>Principios Básicos de la ONU sobre empleo de la fuerza</w:t>
        </w:r>
      </w:hyperlink>
      <w:r w:rsidRPr="00930562">
        <w:rPr>
          <w:rFonts w:asciiTheme="minorHAnsi" w:eastAsia="Times New Roman" w:hAnsiTheme="minorHAnsi" w:cstheme="majorHAnsi"/>
          <w:color w:val="808080" w:themeColor="background1" w:themeShade="80"/>
          <w:sz w:val="16"/>
          <w:szCs w:val="16"/>
          <w:lang w:val="es-ES" w:eastAsia="es-ES"/>
        </w:rPr>
        <w:t xml:space="preserve">, </w:t>
      </w:r>
      <w:r w:rsidRPr="00930562">
        <w:rPr>
          <w:rFonts w:asciiTheme="minorHAnsi" w:hAnsiTheme="minorHAnsi" w:cstheme="majorHAnsi"/>
          <w:color w:val="808080" w:themeColor="background1" w:themeShade="80"/>
          <w:sz w:val="16"/>
          <w:szCs w:val="16"/>
          <w:lang w:val="es-ES"/>
        </w:rPr>
        <w:t>No. 26.</w:t>
      </w:r>
    </w:p>
  </w:footnote>
  <w:footnote w:id="599">
    <w:p w14:paraId="54048BB9"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hAnsiTheme="minorHAnsi" w:cstheme="majorHAnsi"/>
          <w:i/>
          <w:color w:val="808080" w:themeColor="background1" w:themeShade="80"/>
          <w:sz w:val="16"/>
          <w:szCs w:val="16"/>
          <w:lang w:val="es-ES"/>
        </w:rPr>
        <w:t>Ver supra</w:t>
      </w:r>
      <w:r w:rsidRPr="00930562">
        <w:rPr>
          <w:rFonts w:asciiTheme="minorHAnsi" w:hAnsiTheme="minorHAnsi" w:cstheme="majorHAnsi"/>
          <w:color w:val="808080" w:themeColor="background1" w:themeShade="80"/>
          <w:sz w:val="16"/>
          <w:szCs w:val="16"/>
          <w:lang w:val="es-ES"/>
        </w:rPr>
        <w:t xml:space="preserve"> párrs. 110-111.</w:t>
      </w:r>
    </w:p>
  </w:footnote>
  <w:footnote w:id="600">
    <w:p w14:paraId="4D711F02"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Información proporcionada por el Robert F. Kennedy Human Rights durante el 166 Período de Sesiones, Audiencia Temática: Denuncias de impunidad por ejecuciones extrajudiciales en Estados Unidos, 7 de diciembre de 2017, p. 1 (citando MSNBC, </w:t>
      </w:r>
      <w:hyperlink r:id="rId643" w:history="1">
        <w:r w:rsidRPr="00930562">
          <w:rPr>
            <w:rStyle w:val="Hyperlink"/>
            <w:rFonts w:asciiTheme="minorHAnsi" w:hAnsiTheme="minorHAnsi" w:cstheme="majorHAnsi"/>
            <w:color w:val="808080" w:themeColor="background1" w:themeShade="80"/>
            <w:sz w:val="16"/>
            <w:szCs w:val="16"/>
            <w:lang w:val="es-ES"/>
          </w:rPr>
          <w:t>Prosecutors and police: The inherent conflict in our courts</w:t>
        </w:r>
      </w:hyperlink>
      <w:r w:rsidRPr="00930562">
        <w:rPr>
          <w:rFonts w:asciiTheme="minorHAnsi" w:hAnsiTheme="minorHAnsi" w:cstheme="majorHAnsi"/>
          <w:color w:val="808080" w:themeColor="background1" w:themeShade="80"/>
          <w:sz w:val="16"/>
          <w:szCs w:val="16"/>
          <w:lang w:val="es-ES"/>
        </w:rPr>
        <w:t xml:space="preserve"> (Fiscales y policía: El conflicto inherente en nuestras cortes), 5 de diciembre de 2014; FiveThirtyEight, </w:t>
      </w:r>
      <w:hyperlink r:id="rId644" w:history="1">
        <w:r w:rsidRPr="00930562">
          <w:rPr>
            <w:rStyle w:val="Hyperlink"/>
            <w:rFonts w:asciiTheme="minorHAnsi" w:hAnsiTheme="minorHAnsi" w:cstheme="majorHAnsi"/>
            <w:color w:val="808080" w:themeColor="background1" w:themeShade="80"/>
            <w:sz w:val="16"/>
            <w:szCs w:val="16"/>
            <w:lang w:val="es-ES"/>
          </w:rPr>
          <w:t>Allegations Of Police Misconduct Rarely Result In Charges</w:t>
        </w:r>
      </w:hyperlink>
      <w:r w:rsidRPr="00930562">
        <w:rPr>
          <w:rStyle w:val="Hyperlink"/>
          <w:rFonts w:asciiTheme="minorHAnsi" w:hAnsiTheme="minorHAnsi" w:cstheme="majorHAnsi"/>
          <w:color w:val="808080" w:themeColor="background1" w:themeShade="80"/>
          <w:sz w:val="16"/>
          <w:szCs w:val="16"/>
          <w:lang w:val="es-ES"/>
        </w:rPr>
        <w:t xml:space="preserve"> (Las acusaciones de mala conducta policial rara vez resultan en cargos)</w:t>
      </w:r>
      <w:r w:rsidRPr="00930562">
        <w:rPr>
          <w:rFonts w:asciiTheme="minorHAnsi" w:hAnsiTheme="minorHAnsi" w:cstheme="majorHAnsi"/>
          <w:color w:val="808080" w:themeColor="background1" w:themeShade="80"/>
          <w:sz w:val="16"/>
          <w:szCs w:val="16"/>
          <w:lang w:val="es-ES"/>
        </w:rPr>
        <w:t xml:space="preserve">, 25 de noviembre de 2014; Washington Post, </w:t>
      </w:r>
      <w:hyperlink r:id="rId645" w:history="1">
        <w:r w:rsidRPr="00930562">
          <w:rPr>
            <w:rStyle w:val="Hyperlink"/>
            <w:rFonts w:asciiTheme="minorHAnsi" w:hAnsiTheme="minorHAnsi" w:cstheme="majorHAnsi"/>
            <w:color w:val="808080" w:themeColor="background1" w:themeShade="80"/>
            <w:sz w:val="16"/>
            <w:szCs w:val="16"/>
            <w:lang w:val="es-ES"/>
          </w:rPr>
          <w:t>Thousands Dead, Few Prosecuted</w:t>
        </w:r>
      </w:hyperlink>
      <w:r w:rsidRPr="00930562">
        <w:rPr>
          <w:rStyle w:val="Hyperlink"/>
          <w:rFonts w:asciiTheme="minorHAnsi" w:hAnsiTheme="minorHAnsi" w:cstheme="majorHAnsi"/>
          <w:color w:val="808080" w:themeColor="background1" w:themeShade="80"/>
          <w:sz w:val="16"/>
          <w:szCs w:val="16"/>
          <w:lang w:val="es-ES"/>
        </w:rPr>
        <w:t xml:space="preserve"> (Miles muertos, pocos procesados)</w:t>
      </w:r>
      <w:r w:rsidRPr="00930562">
        <w:rPr>
          <w:rFonts w:asciiTheme="minorHAnsi" w:hAnsiTheme="minorHAnsi" w:cstheme="majorHAnsi"/>
          <w:color w:val="808080" w:themeColor="background1" w:themeShade="80"/>
          <w:sz w:val="16"/>
          <w:szCs w:val="16"/>
          <w:lang w:val="es-ES"/>
        </w:rPr>
        <w:t xml:space="preserve">, 11 de abril de 2015; Houston Chronicle, </w:t>
      </w:r>
      <w:hyperlink r:id="rId646" w:history="1">
        <w:r w:rsidRPr="00930562">
          <w:rPr>
            <w:rStyle w:val="Hyperlink"/>
            <w:rFonts w:asciiTheme="minorHAnsi" w:hAnsiTheme="minorHAnsi" w:cstheme="majorHAnsi"/>
            <w:color w:val="808080" w:themeColor="background1" w:themeShade="80"/>
            <w:sz w:val="16"/>
            <w:szCs w:val="16"/>
            <w:lang w:val="es-ES"/>
          </w:rPr>
          <w:t>Hard to Charge</w:t>
        </w:r>
      </w:hyperlink>
      <w:r w:rsidRPr="00930562">
        <w:rPr>
          <w:rFonts w:asciiTheme="minorHAnsi" w:hAnsiTheme="minorHAnsi" w:cstheme="majorHAnsi"/>
          <w:color w:val="808080" w:themeColor="background1" w:themeShade="80"/>
          <w:sz w:val="16"/>
          <w:szCs w:val="16"/>
          <w:lang w:val="es-ES"/>
        </w:rPr>
        <w:t xml:space="preserve"> (Difícil de cargar), visitado el 5 de octubre 2015; Bureau of Justice Statistics, </w:t>
      </w:r>
      <w:hyperlink r:id="rId647" w:history="1">
        <w:r w:rsidRPr="00930562">
          <w:rPr>
            <w:rStyle w:val="Hyperlink"/>
            <w:rFonts w:asciiTheme="minorHAnsi" w:hAnsiTheme="minorHAnsi" w:cstheme="majorHAnsi"/>
            <w:color w:val="808080" w:themeColor="background1" w:themeShade="80"/>
            <w:sz w:val="16"/>
            <w:szCs w:val="16"/>
            <w:lang w:val="es-ES"/>
          </w:rPr>
          <w:t>Federal Justice Statistics 2010 – Statistical Tables</w:t>
        </w:r>
      </w:hyperlink>
      <w:r w:rsidRPr="00930562">
        <w:rPr>
          <w:rFonts w:asciiTheme="minorHAnsi" w:hAnsiTheme="minorHAnsi" w:cstheme="majorHAnsi"/>
          <w:color w:val="808080" w:themeColor="background1" w:themeShade="80"/>
          <w:sz w:val="16"/>
          <w:szCs w:val="16"/>
          <w:u w:val="single"/>
          <w:lang w:val="es-ES"/>
        </w:rPr>
        <w:t xml:space="preserve"> </w:t>
      </w:r>
      <w:r w:rsidRPr="00930562">
        <w:rPr>
          <w:rFonts w:asciiTheme="minorHAnsi" w:hAnsiTheme="minorHAnsi" w:cstheme="majorHAnsi"/>
          <w:color w:val="808080" w:themeColor="background1" w:themeShade="80"/>
          <w:sz w:val="16"/>
          <w:szCs w:val="16"/>
          <w:lang w:val="es-ES"/>
        </w:rPr>
        <w:t xml:space="preserve">(Estadísticas de la Justicia Federal 2010 - Tablas Estadísticas), diciembre 2013). </w:t>
      </w:r>
    </w:p>
  </w:footnote>
  <w:footnote w:id="601">
    <w:p w14:paraId="07BF71A9"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hAnsiTheme="minorHAnsi" w:cstheme="majorHAnsi"/>
          <w:bCs/>
          <w:color w:val="808080" w:themeColor="background1" w:themeShade="80"/>
          <w:sz w:val="16"/>
          <w:szCs w:val="16"/>
          <w:lang w:val="es-ES"/>
        </w:rPr>
        <w:t xml:space="preserve">COPS, </w:t>
      </w:r>
      <w:hyperlink r:id="rId648" w:history="1">
        <w:r w:rsidRPr="00930562">
          <w:rPr>
            <w:rStyle w:val="Hyperlink"/>
            <w:rFonts w:asciiTheme="minorHAnsi" w:hAnsiTheme="minorHAnsi" w:cstheme="majorHAnsi"/>
            <w:bCs/>
            <w:color w:val="808080" w:themeColor="background1" w:themeShade="80"/>
            <w:sz w:val="16"/>
            <w:szCs w:val="16"/>
            <w:lang w:val="es-ES"/>
          </w:rPr>
          <w:t>Final Report of the President’s Task Force on 21</w:t>
        </w:r>
        <w:r w:rsidRPr="00930562">
          <w:rPr>
            <w:rStyle w:val="Hyperlink"/>
            <w:rFonts w:asciiTheme="minorHAnsi" w:hAnsiTheme="minorHAnsi" w:cstheme="majorHAnsi"/>
            <w:bCs/>
            <w:color w:val="808080" w:themeColor="background1" w:themeShade="80"/>
            <w:sz w:val="16"/>
            <w:szCs w:val="16"/>
            <w:vertAlign w:val="superscript"/>
            <w:lang w:val="es-ES"/>
          </w:rPr>
          <w:t>st</w:t>
        </w:r>
        <w:r w:rsidRPr="00930562">
          <w:rPr>
            <w:rStyle w:val="Hyperlink"/>
            <w:rFonts w:asciiTheme="minorHAnsi" w:hAnsiTheme="minorHAnsi" w:cstheme="majorHAnsi"/>
            <w:bCs/>
            <w:color w:val="808080" w:themeColor="background1" w:themeShade="80"/>
            <w:sz w:val="16"/>
            <w:szCs w:val="16"/>
            <w:lang w:val="es-ES"/>
          </w:rPr>
          <w:t xml:space="preserve"> Century Policing</w:t>
        </w:r>
      </w:hyperlink>
      <w:r w:rsidRPr="00930562">
        <w:rPr>
          <w:rFonts w:asciiTheme="minorHAnsi" w:hAnsiTheme="minorHAnsi" w:cstheme="majorHAnsi"/>
          <w:bCs/>
          <w:color w:val="808080" w:themeColor="background1" w:themeShade="80"/>
          <w:sz w:val="16"/>
          <w:szCs w:val="16"/>
          <w:lang w:val="es-ES"/>
        </w:rPr>
        <w:t xml:space="preserve"> (Informe final del Grupo de Trabajo del Presidente sobre la labor policial en el siglo XXI) mayo 2015</w:t>
      </w:r>
      <w:r w:rsidRPr="00930562">
        <w:rPr>
          <w:rFonts w:asciiTheme="minorHAnsi" w:hAnsiTheme="minorHAnsi" w:cstheme="majorHAnsi"/>
          <w:color w:val="808080" w:themeColor="background1" w:themeShade="80"/>
          <w:sz w:val="16"/>
          <w:szCs w:val="16"/>
          <w:lang w:val="es-ES"/>
        </w:rPr>
        <w:t>.</w:t>
      </w:r>
      <w:r w:rsidRPr="00930562">
        <w:rPr>
          <w:rFonts w:asciiTheme="minorHAnsi" w:hAnsiTheme="minorHAnsi"/>
          <w:color w:val="808080" w:themeColor="background1" w:themeShade="80"/>
          <w:sz w:val="16"/>
          <w:szCs w:val="16"/>
          <w:lang w:val="es-ES"/>
        </w:rPr>
        <w:t xml:space="preserve">  Recomendación </w:t>
      </w:r>
      <w:r w:rsidRPr="00930562">
        <w:rPr>
          <w:rFonts w:asciiTheme="minorHAnsi" w:hAnsiTheme="minorHAnsi" w:cstheme="majorHAnsi"/>
          <w:color w:val="808080" w:themeColor="background1" w:themeShade="80"/>
          <w:sz w:val="16"/>
          <w:szCs w:val="16"/>
          <w:lang w:val="es-ES"/>
        </w:rPr>
        <w:t xml:space="preserve">2.2.2. </w:t>
      </w:r>
    </w:p>
  </w:footnote>
  <w:footnote w:id="602">
    <w:p w14:paraId="56782361"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eastAsia="Times New Roman" w:hAnsiTheme="minorHAnsi" w:cstheme="majorHAnsi"/>
          <w:color w:val="808080" w:themeColor="background1" w:themeShade="80"/>
          <w:sz w:val="16"/>
          <w:szCs w:val="16"/>
          <w:lang w:val="es-ES" w:eastAsia="es-ES"/>
        </w:rPr>
        <w:t xml:space="preserve">ONU, </w:t>
      </w:r>
      <w:hyperlink r:id="rId649" w:history="1">
        <w:r w:rsidRPr="00930562">
          <w:rPr>
            <w:rStyle w:val="Hyperlink"/>
            <w:rFonts w:asciiTheme="minorHAnsi" w:eastAsia="Times New Roman" w:hAnsiTheme="minorHAnsi" w:cstheme="majorHAnsi"/>
            <w:color w:val="808080" w:themeColor="background1" w:themeShade="80"/>
            <w:sz w:val="16"/>
            <w:szCs w:val="16"/>
            <w:lang w:val="es-ES" w:eastAsia="es-ES"/>
          </w:rPr>
          <w:t>Principios Básicos de la ONU sobre empleo de la fuerza</w:t>
        </w:r>
      </w:hyperlink>
      <w:r w:rsidRPr="00930562">
        <w:rPr>
          <w:rFonts w:asciiTheme="minorHAnsi" w:eastAsia="Times New Roman" w:hAnsiTheme="minorHAnsi" w:cstheme="majorHAnsi"/>
          <w:color w:val="808080" w:themeColor="background1" w:themeShade="80"/>
          <w:sz w:val="16"/>
          <w:szCs w:val="16"/>
          <w:lang w:val="es-ES" w:eastAsia="es-ES"/>
        </w:rPr>
        <w:t xml:space="preserve">, </w:t>
      </w:r>
      <w:r w:rsidRPr="00930562">
        <w:rPr>
          <w:rFonts w:asciiTheme="minorHAnsi" w:hAnsiTheme="minorHAnsi" w:cstheme="majorHAnsi"/>
          <w:color w:val="808080" w:themeColor="background1" w:themeShade="80"/>
          <w:sz w:val="16"/>
          <w:szCs w:val="16"/>
          <w:lang w:val="es-ES"/>
        </w:rPr>
        <w:t>No. 22.</w:t>
      </w:r>
    </w:p>
  </w:footnote>
  <w:footnote w:id="603">
    <w:p w14:paraId="59F228E9"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eastAsia="Times New Roman" w:hAnsiTheme="minorHAnsi" w:cstheme="majorHAnsi"/>
          <w:color w:val="808080" w:themeColor="background1" w:themeShade="80"/>
          <w:sz w:val="16"/>
          <w:szCs w:val="16"/>
          <w:lang w:val="es-ES" w:eastAsia="es-ES"/>
        </w:rPr>
        <w:t xml:space="preserve">ONU, </w:t>
      </w:r>
      <w:hyperlink r:id="rId650" w:history="1">
        <w:r w:rsidRPr="00930562">
          <w:rPr>
            <w:rStyle w:val="Hyperlink"/>
            <w:rFonts w:asciiTheme="minorHAnsi" w:eastAsia="Times New Roman" w:hAnsiTheme="minorHAnsi" w:cstheme="majorHAnsi"/>
            <w:color w:val="808080" w:themeColor="background1" w:themeShade="80"/>
            <w:sz w:val="16"/>
            <w:szCs w:val="16"/>
            <w:lang w:val="es-ES" w:eastAsia="es-ES"/>
          </w:rPr>
          <w:t>Principios Básicos de la ONU sobre empleo de la fuerza</w:t>
        </w:r>
      </w:hyperlink>
      <w:r w:rsidRPr="00930562">
        <w:rPr>
          <w:rFonts w:asciiTheme="minorHAnsi" w:hAnsiTheme="minorHAnsi" w:cstheme="majorHAnsi"/>
          <w:iCs/>
          <w:color w:val="808080" w:themeColor="background1" w:themeShade="80"/>
          <w:sz w:val="16"/>
          <w:szCs w:val="16"/>
          <w:lang w:val="es-ES"/>
        </w:rPr>
        <w:t xml:space="preserve">, </w:t>
      </w:r>
      <w:r w:rsidRPr="00930562">
        <w:rPr>
          <w:rFonts w:asciiTheme="minorHAnsi" w:hAnsiTheme="minorHAnsi" w:cstheme="majorHAnsi"/>
          <w:color w:val="808080" w:themeColor="background1" w:themeShade="80"/>
          <w:sz w:val="16"/>
          <w:szCs w:val="16"/>
          <w:lang w:val="es-ES"/>
        </w:rPr>
        <w:t>No. 22.</w:t>
      </w:r>
    </w:p>
  </w:footnote>
  <w:footnote w:id="604">
    <w:p w14:paraId="3A186955"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hAnsiTheme="minorHAnsi" w:cstheme="majorHAnsi"/>
          <w:i/>
          <w:color w:val="808080" w:themeColor="background1" w:themeShade="80"/>
          <w:sz w:val="16"/>
          <w:szCs w:val="16"/>
          <w:lang w:val="es-ES"/>
        </w:rPr>
        <w:t>Ver supra</w:t>
      </w:r>
      <w:r w:rsidRPr="00930562">
        <w:rPr>
          <w:rFonts w:asciiTheme="minorHAnsi" w:hAnsiTheme="minorHAnsi" w:cstheme="majorHAnsi"/>
          <w:color w:val="808080" w:themeColor="background1" w:themeShade="80"/>
          <w:sz w:val="16"/>
          <w:szCs w:val="16"/>
          <w:lang w:val="es-ES"/>
        </w:rPr>
        <w:t xml:space="preserve"> párr.113.</w:t>
      </w:r>
    </w:p>
  </w:footnote>
  <w:footnote w:id="605">
    <w:p w14:paraId="558DB0ED"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eastAsia="Times New Roman" w:hAnsiTheme="minorHAnsi" w:cstheme="majorHAnsi"/>
          <w:color w:val="808080" w:themeColor="background1" w:themeShade="80"/>
          <w:sz w:val="16"/>
          <w:szCs w:val="16"/>
          <w:lang w:val="es-ES" w:eastAsia="es-ES"/>
        </w:rPr>
        <w:t xml:space="preserve">CIDH, </w:t>
      </w:r>
      <w:hyperlink r:id="rId651" w:history="1">
        <w:r w:rsidRPr="00930562">
          <w:rPr>
            <w:rStyle w:val="Hyperlink"/>
            <w:rFonts w:asciiTheme="minorHAnsi" w:eastAsia="Times New Roman" w:hAnsiTheme="minorHAnsi" w:cstheme="majorHAnsi"/>
            <w:color w:val="808080" w:themeColor="background1" w:themeShade="80"/>
            <w:sz w:val="16"/>
            <w:szCs w:val="16"/>
            <w:lang w:val="es-ES" w:eastAsia="es-ES"/>
          </w:rPr>
          <w:t>Informe Anual 2015, Cap</w:t>
        </w:r>
        <w:r w:rsidRPr="00930562">
          <w:rPr>
            <w:rStyle w:val="Hyperlink"/>
            <w:rFonts w:asciiTheme="minorHAnsi" w:eastAsia="Times New Roman" w:hAnsiTheme="minorHAnsi" w:cstheme="majorHAnsi"/>
            <w:color w:val="808080" w:themeColor="background1" w:themeShade="80"/>
            <w:sz w:val="16"/>
            <w:szCs w:val="16"/>
            <w:lang w:val="es-ES_tradnl" w:eastAsia="es-ES"/>
          </w:rPr>
          <w:t>ítulo IV Uso de la fuerza</w:t>
        </w:r>
      </w:hyperlink>
      <w:r w:rsidRPr="00930562">
        <w:rPr>
          <w:rFonts w:asciiTheme="minorHAnsi" w:eastAsia="Times New Roman" w:hAnsiTheme="minorHAnsi" w:cstheme="majorHAnsi"/>
          <w:color w:val="808080" w:themeColor="background1" w:themeShade="80"/>
          <w:sz w:val="16"/>
          <w:szCs w:val="16"/>
          <w:lang w:val="es-ES_tradnl" w:eastAsia="es-ES"/>
        </w:rPr>
        <w:t>, párr.</w:t>
      </w:r>
      <w:r w:rsidRPr="00930562">
        <w:rPr>
          <w:rFonts w:asciiTheme="minorHAnsi" w:hAnsiTheme="minorHAnsi" w:cstheme="majorHAnsi"/>
          <w:color w:val="808080" w:themeColor="background1" w:themeShade="80"/>
          <w:sz w:val="16"/>
          <w:szCs w:val="16"/>
          <w:lang w:val="es-ES"/>
        </w:rPr>
        <w:t xml:space="preserve"> 228 (cita omitida).</w:t>
      </w:r>
    </w:p>
  </w:footnote>
  <w:footnote w:id="606">
    <w:p w14:paraId="37C96624"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hAnsiTheme="minorHAnsi" w:cstheme="majorHAnsi"/>
          <w:i/>
          <w:color w:val="808080" w:themeColor="background1" w:themeShade="80"/>
          <w:sz w:val="16"/>
          <w:szCs w:val="16"/>
          <w:lang w:val="es-ES"/>
        </w:rPr>
        <w:t>Ver supra</w:t>
      </w:r>
      <w:r w:rsidRPr="00930562">
        <w:rPr>
          <w:rFonts w:asciiTheme="minorHAnsi" w:hAnsiTheme="minorHAnsi" w:cstheme="majorHAnsi"/>
          <w:color w:val="808080" w:themeColor="background1" w:themeShade="80"/>
          <w:sz w:val="16"/>
          <w:szCs w:val="16"/>
          <w:lang w:val="es-ES"/>
        </w:rPr>
        <w:t xml:space="preserve"> párr. </w:t>
      </w:r>
      <w:r w:rsidRPr="00930562">
        <w:rPr>
          <w:rFonts w:asciiTheme="minorHAnsi" w:hAnsiTheme="minorHAnsi"/>
          <w:color w:val="808080" w:themeColor="background1" w:themeShade="80"/>
          <w:sz w:val="16"/>
          <w:szCs w:val="16"/>
          <w:lang w:val="es-ES"/>
        </w:rPr>
        <w:t>112</w:t>
      </w:r>
      <w:r w:rsidRPr="00930562">
        <w:rPr>
          <w:rFonts w:asciiTheme="minorHAnsi" w:hAnsiTheme="minorHAnsi" w:cstheme="majorHAnsi"/>
          <w:color w:val="808080" w:themeColor="background1" w:themeShade="80"/>
          <w:sz w:val="16"/>
          <w:szCs w:val="16"/>
          <w:lang w:val="es-ES"/>
        </w:rPr>
        <w:t>.</w:t>
      </w:r>
    </w:p>
  </w:footnote>
  <w:footnote w:id="607">
    <w:p w14:paraId="44603816"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Comité contra la Tortura, </w:t>
      </w:r>
      <w:r w:rsidRPr="00930562">
        <w:rPr>
          <w:rFonts w:asciiTheme="minorHAnsi" w:hAnsiTheme="minorHAnsi" w:cstheme="majorHAnsi"/>
          <w:i/>
          <w:color w:val="808080" w:themeColor="background1" w:themeShade="80"/>
          <w:sz w:val="16"/>
          <w:szCs w:val="16"/>
          <w:lang w:val="es-ES"/>
        </w:rPr>
        <w:t>Observaciones finales sobre los informes periódicos tercero a quinto combinados de los Estados Unidos</w:t>
      </w:r>
      <w:r w:rsidRPr="00930562">
        <w:rPr>
          <w:rFonts w:asciiTheme="minorHAnsi" w:hAnsiTheme="minorHAnsi" w:cstheme="majorHAnsi"/>
          <w:color w:val="808080" w:themeColor="background1" w:themeShade="80"/>
          <w:sz w:val="16"/>
          <w:szCs w:val="16"/>
          <w:lang w:val="es-ES"/>
        </w:rPr>
        <w:t xml:space="preserve">, CAT/C/USA/CO/3-5, 19 de diciembre de 2014, párr. 26. </w:t>
      </w:r>
    </w:p>
  </w:footnote>
  <w:footnote w:id="608">
    <w:p w14:paraId="3A5488FF"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eastAsia="Times New Roman" w:hAnsiTheme="minorHAnsi" w:cstheme="majorHAnsi"/>
          <w:color w:val="808080" w:themeColor="background1" w:themeShade="80"/>
          <w:sz w:val="16"/>
          <w:szCs w:val="16"/>
          <w:lang w:val="es-ES" w:eastAsia="es-ES"/>
        </w:rPr>
        <w:t xml:space="preserve">CIDH, </w:t>
      </w:r>
      <w:hyperlink r:id="rId652" w:history="1">
        <w:r w:rsidRPr="00930562">
          <w:rPr>
            <w:rStyle w:val="Hyperlink"/>
            <w:rFonts w:asciiTheme="minorHAnsi" w:eastAsia="Times New Roman" w:hAnsiTheme="minorHAnsi" w:cstheme="majorHAnsi"/>
            <w:color w:val="808080" w:themeColor="background1" w:themeShade="80"/>
            <w:sz w:val="16"/>
            <w:szCs w:val="16"/>
            <w:lang w:val="es-ES" w:eastAsia="es-ES"/>
          </w:rPr>
          <w:t>Informe Anual 2015, Cap</w:t>
        </w:r>
        <w:r w:rsidRPr="00930562">
          <w:rPr>
            <w:rStyle w:val="Hyperlink"/>
            <w:rFonts w:asciiTheme="minorHAnsi" w:eastAsia="Times New Roman" w:hAnsiTheme="minorHAnsi" w:cstheme="majorHAnsi"/>
            <w:color w:val="808080" w:themeColor="background1" w:themeShade="80"/>
            <w:sz w:val="16"/>
            <w:szCs w:val="16"/>
            <w:lang w:val="es-ES_tradnl" w:eastAsia="es-ES"/>
          </w:rPr>
          <w:t>ítulo IV Uso de la fuerza</w:t>
        </w:r>
      </w:hyperlink>
      <w:r w:rsidRPr="00930562">
        <w:rPr>
          <w:rFonts w:asciiTheme="minorHAnsi" w:eastAsia="Times New Roman" w:hAnsiTheme="minorHAnsi" w:cstheme="majorHAnsi"/>
          <w:color w:val="808080" w:themeColor="background1" w:themeShade="80"/>
          <w:sz w:val="16"/>
          <w:szCs w:val="16"/>
          <w:lang w:val="es-ES_tradnl" w:eastAsia="es-ES"/>
        </w:rPr>
        <w:t>, párr</w:t>
      </w:r>
      <w:r w:rsidRPr="00930562">
        <w:rPr>
          <w:rFonts w:asciiTheme="minorHAnsi" w:hAnsiTheme="minorHAnsi" w:cstheme="majorHAnsi"/>
          <w:color w:val="808080" w:themeColor="background1" w:themeShade="80"/>
          <w:sz w:val="16"/>
          <w:szCs w:val="16"/>
          <w:lang w:val="es-ES"/>
        </w:rPr>
        <w:t xml:space="preserve">. 233 (citando </w:t>
      </w:r>
      <w:r w:rsidRPr="00930562">
        <w:rPr>
          <w:rFonts w:asciiTheme="minorHAnsi" w:eastAsia="Times New Roman" w:hAnsiTheme="minorHAnsi" w:cstheme="majorHAnsi"/>
          <w:color w:val="808080" w:themeColor="background1" w:themeShade="80"/>
          <w:sz w:val="16"/>
          <w:szCs w:val="16"/>
          <w:lang w:val="es-ES" w:eastAsia="es-ES"/>
        </w:rPr>
        <w:t xml:space="preserve">ONU, </w:t>
      </w:r>
      <w:hyperlink r:id="rId653" w:history="1">
        <w:r w:rsidRPr="00930562">
          <w:rPr>
            <w:rStyle w:val="Hyperlink"/>
            <w:rFonts w:asciiTheme="minorHAnsi" w:eastAsia="Times New Roman" w:hAnsiTheme="minorHAnsi" w:cstheme="majorHAnsi"/>
            <w:color w:val="808080" w:themeColor="background1" w:themeShade="80"/>
            <w:sz w:val="16"/>
            <w:szCs w:val="16"/>
            <w:lang w:val="es-ES" w:eastAsia="es-ES"/>
          </w:rPr>
          <w:t>Principios Básicos de la ONU sobre empleo de la fuerza</w:t>
        </w:r>
      </w:hyperlink>
      <w:r w:rsidRPr="00930562">
        <w:rPr>
          <w:rFonts w:asciiTheme="minorHAnsi" w:eastAsia="Times New Roman" w:hAnsiTheme="minorHAnsi" w:cstheme="majorHAnsi"/>
          <w:color w:val="808080" w:themeColor="background1" w:themeShade="80"/>
          <w:sz w:val="16"/>
          <w:szCs w:val="16"/>
          <w:lang w:val="es-ES" w:eastAsia="es-ES"/>
        </w:rPr>
        <w:t xml:space="preserve">, </w:t>
      </w:r>
      <w:r w:rsidRPr="00930562">
        <w:rPr>
          <w:rFonts w:asciiTheme="minorHAnsi" w:hAnsiTheme="minorHAnsi" w:cstheme="majorHAnsi"/>
          <w:color w:val="808080" w:themeColor="background1" w:themeShade="80"/>
          <w:sz w:val="16"/>
          <w:szCs w:val="16"/>
          <w:lang w:val="es-ES"/>
        </w:rPr>
        <w:t>No. 24).</w:t>
      </w:r>
    </w:p>
  </w:footnote>
  <w:footnote w:id="609">
    <w:p w14:paraId="581872C8"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Id. (citando </w:t>
      </w:r>
      <w:r w:rsidRPr="00930562">
        <w:rPr>
          <w:rFonts w:asciiTheme="minorHAnsi" w:eastAsia="Times New Roman" w:hAnsiTheme="minorHAnsi" w:cstheme="majorHAnsi"/>
          <w:color w:val="808080" w:themeColor="background1" w:themeShade="80"/>
          <w:sz w:val="16"/>
          <w:szCs w:val="16"/>
          <w:lang w:val="es-ES" w:eastAsia="es-ES"/>
        </w:rPr>
        <w:t xml:space="preserve">ONU, </w:t>
      </w:r>
      <w:hyperlink r:id="rId654" w:history="1">
        <w:r w:rsidRPr="00930562">
          <w:rPr>
            <w:rStyle w:val="Hyperlink"/>
            <w:rFonts w:asciiTheme="minorHAnsi" w:eastAsia="Times New Roman" w:hAnsiTheme="minorHAnsi" w:cstheme="majorHAnsi"/>
            <w:color w:val="808080" w:themeColor="background1" w:themeShade="80"/>
            <w:sz w:val="16"/>
            <w:szCs w:val="16"/>
            <w:lang w:val="es-ES" w:eastAsia="es-ES"/>
          </w:rPr>
          <w:t>Principios Básicos de la ONU sobre empleo de la fuerza</w:t>
        </w:r>
      </w:hyperlink>
      <w:r w:rsidRPr="00930562">
        <w:rPr>
          <w:rFonts w:asciiTheme="minorHAnsi" w:eastAsia="Times New Roman" w:hAnsiTheme="minorHAnsi" w:cstheme="majorHAnsi"/>
          <w:color w:val="808080" w:themeColor="background1" w:themeShade="80"/>
          <w:sz w:val="16"/>
          <w:szCs w:val="16"/>
          <w:lang w:val="es-ES" w:eastAsia="es-ES"/>
        </w:rPr>
        <w:t xml:space="preserve">, </w:t>
      </w:r>
      <w:r w:rsidRPr="00930562">
        <w:rPr>
          <w:rFonts w:asciiTheme="minorHAnsi" w:hAnsiTheme="minorHAnsi" w:cstheme="majorHAnsi"/>
          <w:color w:val="808080" w:themeColor="background1" w:themeShade="80"/>
          <w:sz w:val="16"/>
          <w:szCs w:val="16"/>
          <w:lang w:val="es-ES"/>
        </w:rPr>
        <w:t>No. 26).</w:t>
      </w:r>
    </w:p>
  </w:footnote>
  <w:footnote w:id="610">
    <w:p w14:paraId="3CF83BD2"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pt-BR"/>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pt-BR"/>
        </w:rPr>
        <w:tab/>
      </w:r>
      <w:r w:rsidRPr="00930562">
        <w:rPr>
          <w:rFonts w:asciiTheme="minorHAnsi" w:hAnsiTheme="minorHAnsi" w:cstheme="majorHAnsi"/>
          <w:color w:val="808080" w:themeColor="background1" w:themeShade="80"/>
          <w:sz w:val="16"/>
          <w:szCs w:val="16"/>
          <w:lang w:val="pt-BR"/>
        </w:rPr>
        <w:t>Id. párr. 232.</w:t>
      </w:r>
    </w:p>
  </w:footnote>
  <w:footnote w:id="611">
    <w:p w14:paraId="1A1BC6FA"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pt-BR"/>
        </w:rPr>
        <w:tab/>
      </w:r>
      <w:r w:rsidRPr="00930562">
        <w:rPr>
          <w:rFonts w:asciiTheme="minorHAnsi" w:hAnsiTheme="minorHAnsi" w:cstheme="majorHAnsi"/>
          <w:i/>
          <w:color w:val="808080" w:themeColor="background1" w:themeShade="80"/>
          <w:sz w:val="16"/>
          <w:szCs w:val="16"/>
          <w:lang w:val="pt-BR"/>
        </w:rPr>
        <w:t>Ver supra</w:t>
      </w:r>
      <w:r w:rsidRPr="00930562">
        <w:rPr>
          <w:rFonts w:asciiTheme="minorHAnsi" w:hAnsiTheme="minorHAnsi" w:cstheme="majorHAnsi"/>
          <w:color w:val="808080" w:themeColor="background1" w:themeShade="80"/>
          <w:sz w:val="16"/>
          <w:szCs w:val="16"/>
          <w:lang w:val="pt-BR"/>
        </w:rPr>
        <w:t xml:space="preserve"> párrs. </w:t>
      </w:r>
      <w:r w:rsidRPr="00930562">
        <w:rPr>
          <w:rFonts w:asciiTheme="minorHAnsi" w:hAnsiTheme="minorHAnsi" w:cstheme="majorHAnsi"/>
          <w:color w:val="808080" w:themeColor="background1" w:themeShade="80"/>
          <w:sz w:val="16"/>
          <w:szCs w:val="16"/>
          <w:lang w:val="es-ES"/>
        </w:rPr>
        <w:t>103-105.</w:t>
      </w:r>
    </w:p>
  </w:footnote>
  <w:footnote w:id="612">
    <w:p w14:paraId="36AD1693"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hAnsiTheme="minorHAnsi" w:cstheme="majorHAnsi"/>
          <w:i/>
          <w:color w:val="808080" w:themeColor="background1" w:themeShade="80"/>
          <w:sz w:val="16"/>
          <w:szCs w:val="16"/>
          <w:lang w:val="es-ES"/>
        </w:rPr>
        <w:t xml:space="preserve">Ver </w:t>
      </w:r>
      <w:r w:rsidRPr="00930562">
        <w:rPr>
          <w:rFonts w:asciiTheme="minorHAnsi" w:hAnsiTheme="minorHAnsi" w:cstheme="majorHAnsi"/>
          <w:color w:val="808080" w:themeColor="background1" w:themeShade="80"/>
          <w:sz w:val="16"/>
          <w:szCs w:val="16"/>
          <w:lang w:val="es-ES"/>
        </w:rPr>
        <w:t>CIDH</w:t>
      </w:r>
      <w:r w:rsidRPr="00930562">
        <w:rPr>
          <w:rFonts w:asciiTheme="minorHAnsi" w:hAnsiTheme="minorHAnsi" w:cstheme="majorHAnsi"/>
          <w:bCs/>
          <w:color w:val="808080" w:themeColor="background1" w:themeShade="80"/>
          <w:sz w:val="16"/>
          <w:szCs w:val="16"/>
          <w:lang w:val="es-ES"/>
        </w:rPr>
        <w:t xml:space="preserve">, </w:t>
      </w:r>
      <w:hyperlink r:id="rId655" w:history="1">
        <w:r w:rsidRPr="00930562">
          <w:rPr>
            <w:rStyle w:val="Hyperlink"/>
            <w:rFonts w:asciiTheme="minorHAnsi" w:hAnsiTheme="minorHAnsi" w:cstheme="majorHAnsi"/>
            <w:bCs/>
            <w:color w:val="808080" w:themeColor="background1" w:themeShade="80"/>
            <w:sz w:val="16"/>
            <w:szCs w:val="16"/>
            <w:lang w:val="es-ES"/>
          </w:rPr>
          <w:t>CIDH expresa preocupación frente a las deficiencias en la investigación de casos relacionados con asesinatos de afrodescendientes a manos de la policía en Estados Unidos</w:t>
        </w:r>
      </w:hyperlink>
      <w:r w:rsidRPr="00930562">
        <w:rPr>
          <w:rFonts w:asciiTheme="minorHAnsi" w:hAnsiTheme="minorHAnsi" w:cstheme="majorHAnsi"/>
          <w:bCs/>
          <w:color w:val="808080" w:themeColor="background1" w:themeShade="80"/>
          <w:sz w:val="16"/>
          <w:szCs w:val="16"/>
          <w:lang w:val="es-ES"/>
        </w:rPr>
        <w:t xml:space="preserve">, </w:t>
      </w:r>
      <w:r w:rsidRPr="00930562">
        <w:rPr>
          <w:rFonts w:asciiTheme="minorHAnsi" w:hAnsiTheme="minorHAnsi" w:cstheme="majorHAnsi"/>
          <w:color w:val="808080" w:themeColor="background1" w:themeShade="80"/>
          <w:sz w:val="16"/>
          <w:szCs w:val="16"/>
          <w:lang w:val="es-ES"/>
        </w:rPr>
        <w:t xml:space="preserve">23 de agosto de </w:t>
      </w:r>
      <w:r w:rsidRPr="00930562">
        <w:rPr>
          <w:rFonts w:asciiTheme="minorHAnsi" w:hAnsiTheme="minorHAnsi" w:cstheme="majorHAnsi"/>
          <w:bCs/>
          <w:color w:val="808080" w:themeColor="background1" w:themeShade="80"/>
          <w:sz w:val="16"/>
          <w:szCs w:val="16"/>
          <w:lang w:val="es-ES"/>
        </w:rPr>
        <w:t>2016.</w:t>
      </w:r>
    </w:p>
  </w:footnote>
  <w:footnote w:id="613">
    <w:p w14:paraId="2947D042" w14:textId="4B748D06"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hAnsiTheme="minorHAnsi" w:cstheme="majorHAnsi"/>
          <w:i/>
          <w:color w:val="808080" w:themeColor="background1" w:themeShade="80"/>
          <w:sz w:val="16"/>
          <w:szCs w:val="16"/>
          <w:lang w:val="es-ES"/>
        </w:rPr>
        <w:t>Ver supra</w:t>
      </w:r>
      <w:r>
        <w:rPr>
          <w:rFonts w:asciiTheme="minorHAnsi" w:hAnsiTheme="minorHAnsi" w:cstheme="majorHAnsi"/>
          <w:color w:val="808080" w:themeColor="background1" w:themeShade="80"/>
          <w:sz w:val="16"/>
          <w:szCs w:val="16"/>
          <w:lang w:val="es-ES"/>
        </w:rPr>
        <w:t xml:space="preserve"> párr. 116.</w:t>
      </w:r>
    </w:p>
  </w:footnote>
  <w:footnote w:id="614">
    <w:p w14:paraId="430D3910" w14:textId="77777777" w:rsidR="00F64540" w:rsidRPr="00930562" w:rsidRDefault="00F64540" w:rsidP="00E10935">
      <w:pPr>
        <w:pStyle w:val="NormalWeb"/>
        <w:shd w:val="clear" w:color="auto" w:fill="FFFFFF"/>
        <w:spacing w:before="0" w:beforeAutospacing="0" w:after="40" w:afterAutospacing="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eastAsia="Times New Roman" w:hAnsiTheme="minorHAnsi" w:cstheme="majorHAnsi"/>
          <w:color w:val="808080" w:themeColor="background1" w:themeShade="80"/>
          <w:sz w:val="16"/>
          <w:szCs w:val="16"/>
        </w:rPr>
        <w:t xml:space="preserve">CIDH, </w:t>
      </w:r>
      <w:hyperlink r:id="rId656" w:history="1">
        <w:r w:rsidRPr="00930562">
          <w:rPr>
            <w:rStyle w:val="Hyperlink"/>
            <w:rFonts w:asciiTheme="minorHAnsi" w:eastAsia="Times New Roman" w:hAnsiTheme="minorHAnsi" w:cstheme="majorHAnsi"/>
            <w:color w:val="808080" w:themeColor="background1" w:themeShade="80"/>
            <w:sz w:val="16"/>
            <w:szCs w:val="16"/>
          </w:rPr>
          <w:t>La situación de las personas afrodescendientes en las Américas</w:t>
        </w:r>
      </w:hyperlink>
      <w:r w:rsidRPr="00930562">
        <w:rPr>
          <w:rFonts w:asciiTheme="minorHAnsi" w:eastAsia="Times New Roman" w:hAnsiTheme="minorHAnsi" w:cstheme="majorHAnsi"/>
          <w:color w:val="808080" w:themeColor="background1" w:themeShade="80"/>
          <w:sz w:val="16"/>
          <w:szCs w:val="16"/>
        </w:rPr>
        <w:t xml:space="preserve"> (2011), párr.</w:t>
      </w:r>
      <w:r w:rsidRPr="00930562">
        <w:rPr>
          <w:rFonts w:asciiTheme="minorHAnsi" w:hAnsiTheme="minorHAnsi" w:cstheme="majorHAnsi"/>
          <w:color w:val="808080" w:themeColor="background1" w:themeShade="80"/>
          <w:sz w:val="16"/>
          <w:szCs w:val="16"/>
          <w:lang w:val="es-ES"/>
        </w:rPr>
        <w:t xml:space="preserve"> 141; CIDH, </w:t>
      </w:r>
      <w:hyperlink r:id="rId657" w:history="1">
        <w:r w:rsidRPr="00930562">
          <w:rPr>
            <w:rStyle w:val="Hyperlink"/>
            <w:rFonts w:asciiTheme="minorHAnsi" w:hAnsiTheme="minorHAnsi" w:cstheme="majorHAnsi"/>
            <w:bCs/>
            <w:color w:val="808080" w:themeColor="background1" w:themeShade="80"/>
            <w:sz w:val="16"/>
            <w:szCs w:val="16"/>
            <w:lang w:val="es-ES"/>
          </w:rPr>
          <w:t>La CIDH expresa preocupación por la muerte de personas afrodescendientes a manos de la policía en Estados Unidos</w:t>
        </w:r>
      </w:hyperlink>
      <w:r w:rsidRPr="00930562">
        <w:rPr>
          <w:rFonts w:asciiTheme="minorHAnsi" w:hAnsiTheme="minorHAnsi" w:cstheme="majorHAnsi"/>
          <w:bCs/>
          <w:color w:val="808080" w:themeColor="background1" w:themeShade="80"/>
          <w:sz w:val="16"/>
          <w:szCs w:val="16"/>
          <w:lang w:val="es-ES"/>
        </w:rPr>
        <w:t xml:space="preserve">, </w:t>
      </w:r>
      <w:r w:rsidRPr="00930562">
        <w:rPr>
          <w:rFonts w:asciiTheme="minorHAnsi" w:hAnsiTheme="minorHAnsi" w:cstheme="majorHAnsi"/>
          <w:color w:val="808080" w:themeColor="background1" w:themeShade="80"/>
          <w:sz w:val="16"/>
          <w:szCs w:val="16"/>
          <w:lang w:val="es-ES"/>
        </w:rPr>
        <w:t>22 de agosto de</w:t>
      </w:r>
      <w:r w:rsidRPr="00930562">
        <w:rPr>
          <w:rFonts w:asciiTheme="minorHAnsi" w:hAnsiTheme="minorHAnsi" w:cstheme="majorHAnsi"/>
          <w:bCs/>
          <w:color w:val="808080" w:themeColor="background1" w:themeShade="80"/>
          <w:sz w:val="16"/>
          <w:szCs w:val="16"/>
          <w:lang w:val="es-ES"/>
        </w:rPr>
        <w:t xml:space="preserve"> 2014; </w:t>
      </w:r>
      <w:hyperlink r:id="rId658" w:history="1">
        <w:r w:rsidRPr="00930562">
          <w:rPr>
            <w:rStyle w:val="Hyperlink"/>
            <w:rFonts w:asciiTheme="minorHAnsi" w:hAnsiTheme="minorHAnsi" w:cstheme="majorHAnsi"/>
            <w:bCs/>
            <w:color w:val="808080" w:themeColor="background1" w:themeShade="80"/>
            <w:sz w:val="16"/>
            <w:szCs w:val="16"/>
            <w:lang w:val="es-ES"/>
          </w:rPr>
          <w:t xml:space="preserve">CIDH condena el asesinato de un hombre afrodescendiente en Estados Unidos </w:t>
        </w:r>
      </w:hyperlink>
      <w:r w:rsidRPr="00930562">
        <w:rPr>
          <w:rFonts w:asciiTheme="minorHAnsi" w:hAnsiTheme="minorHAnsi" w:cstheme="majorHAnsi"/>
          <w:bCs/>
          <w:color w:val="808080" w:themeColor="background1" w:themeShade="80"/>
          <w:sz w:val="16"/>
          <w:szCs w:val="16"/>
          <w:lang w:val="es-ES"/>
        </w:rPr>
        <w:t xml:space="preserve">, </w:t>
      </w:r>
      <w:r w:rsidRPr="00930562">
        <w:rPr>
          <w:rFonts w:asciiTheme="minorHAnsi" w:hAnsiTheme="minorHAnsi" w:cstheme="majorHAnsi"/>
          <w:color w:val="808080" w:themeColor="background1" w:themeShade="80"/>
          <w:sz w:val="16"/>
          <w:szCs w:val="16"/>
          <w:lang w:val="es-ES"/>
        </w:rPr>
        <w:t>17 de abril de 2015</w:t>
      </w:r>
      <w:r w:rsidRPr="00930562">
        <w:rPr>
          <w:rFonts w:asciiTheme="minorHAnsi" w:hAnsiTheme="minorHAnsi" w:cstheme="majorHAnsi"/>
          <w:bCs/>
          <w:color w:val="808080" w:themeColor="background1" w:themeShade="80"/>
          <w:sz w:val="16"/>
          <w:szCs w:val="16"/>
          <w:lang w:val="es-ES"/>
        </w:rPr>
        <w:t xml:space="preserve">; </w:t>
      </w:r>
      <w:hyperlink r:id="rId659" w:history="1">
        <w:r w:rsidRPr="00930562">
          <w:rPr>
            <w:rStyle w:val="Hyperlink"/>
            <w:rFonts w:asciiTheme="minorHAnsi" w:hAnsiTheme="minorHAnsi" w:cstheme="majorHAnsi"/>
            <w:bCs/>
            <w:color w:val="808080" w:themeColor="background1" w:themeShade="80"/>
            <w:sz w:val="16"/>
            <w:szCs w:val="16"/>
            <w:lang w:val="es-ES"/>
          </w:rPr>
          <w:t>CIDH expresa preocupación frente a las deficiencias en la investigación de casos relacionados con asesinatos de afrodescendientes a manos de la policía en Estados Unidos</w:t>
        </w:r>
      </w:hyperlink>
      <w:r w:rsidRPr="00930562">
        <w:rPr>
          <w:rFonts w:asciiTheme="minorHAnsi" w:hAnsiTheme="minorHAnsi" w:cstheme="majorHAnsi"/>
          <w:bCs/>
          <w:color w:val="808080" w:themeColor="background1" w:themeShade="80"/>
          <w:sz w:val="16"/>
          <w:szCs w:val="16"/>
          <w:lang w:val="es-ES"/>
        </w:rPr>
        <w:t xml:space="preserve">, </w:t>
      </w:r>
      <w:r w:rsidRPr="00930562">
        <w:rPr>
          <w:rFonts w:asciiTheme="minorHAnsi" w:hAnsiTheme="minorHAnsi" w:cstheme="majorHAnsi"/>
          <w:color w:val="808080" w:themeColor="background1" w:themeShade="80"/>
          <w:sz w:val="16"/>
          <w:szCs w:val="16"/>
          <w:lang w:val="es-ES"/>
        </w:rPr>
        <w:t>23 de agosto de</w:t>
      </w:r>
      <w:r w:rsidRPr="00930562">
        <w:rPr>
          <w:rFonts w:asciiTheme="minorHAnsi" w:hAnsiTheme="minorHAnsi" w:cstheme="majorHAnsi"/>
          <w:bCs/>
          <w:color w:val="808080" w:themeColor="background1" w:themeShade="80"/>
          <w:sz w:val="16"/>
          <w:szCs w:val="16"/>
          <w:lang w:val="es-ES"/>
        </w:rPr>
        <w:t xml:space="preserve"> 2016.</w:t>
      </w:r>
    </w:p>
  </w:footnote>
  <w:footnote w:id="615">
    <w:p w14:paraId="6D52E06B"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CIDH, Informe No. 50/16, </w:t>
      </w:r>
      <w:hyperlink r:id="rId660" w:history="1">
        <w:r w:rsidRPr="00930562">
          <w:rPr>
            <w:rStyle w:val="Hyperlink"/>
            <w:rFonts w:asciiTheme="minorHAnsi" w:hAnsiTheme="minorHAnsi" w:cstheme="majorHAnsi"/>
            <w:i/>
            <w:color w:val="808080" w:themeColor="background1" w:themeShade="80"/>
            <w:sz w:val="16"/>
            <w:szCs w:val="16"/>
            <w:lang w:val="es-ES"/>
          </w:rPr>
          <w:t>Trabajadores Indocumentados</w:t>
        </w:r>
      </w:hyperlink>
      <w:r w:rsidRPr="00930562">
        <w:rPr>
          <w:rFonts w:asciiTheme="minorHAnsi" w:hAnsiTheme="minorHAnsi" w:cstheme="majorHAnsi"/>
          <w:color w:val="808080" w:themeColor="background1" w:themeShade="80"/>
          <w:sz w:val="16"/>
          <w:szCs w:val="16"/>
          <w:lang w:val="es-ES"/>
        </w:rPr>
        <w:t xml:space="preserve"> (2016), párr. 98.</w:t>
      </w:r>
    </w:p>
  </w:footnote>
  <w:footnote w:id="616">
    <w:p w14:paraId="1F785F43"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pt-BR"/>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Id. (citando </w:t>
      </w:r>
      <w:r w:rsidRPr="00930562">
        <w:rPr>
          <w:rFonts w:asciiTheme="minorHAnsi" w:eastAsiaTheme="minorEastAsia" w:hAnsiTheme="minorHAnsi" w:cstheme="majorHAnsi"/>
          <w:color w:val="808080" w:themeColor="background1" w:themeShade="80"/>
          <w:sz w:val="16"/>
          <w:szCs w:val="16"/>
          <w:lang w:val="es-ES" w:eastAsia="es-ES"/>
        </w:rPr>
        <w:t xml:space="preserve">CIDH, Informe No. 51/01, Case 9903, </w:t>
      </w:r>
      <w:r w:rsidRPr="00930562">
        <w:rPr>
          <w:rFonts w:asciiTheme="minorHAnsi" w:eastAsiaTheme="minorEastAsia" w:hAnsiTheme="minorHAnsi" w:cstheme="majorHAnsi"/>
          <w:i/>
          <w:iCs/>
          <w:color w:val="808080" w:themeColor="background1" w:themeShade="80"/>
          <w:sz w:val="16"/>
          <w:szCs w:val="16"/>
          <w:lang w:val="es-ES" w:eastAsia="es-ES"/>
        </w:rPr>
        <w:t>Rafael Ferrer-Mazorra y otros</w:t>
      </w:r>
      <w:r w:rsidRPr="00930562">
        <w:rPr>
          <w:rFonts w:asciiTheme="minorHAnsi" w:eastAsiaTheme="minorEastAsia" w:hAnsiTheme="minorHAnsi" w:cstheme="majorHAnsi"/>
          <w:color w:val="808080" w:themeColor="background1" w:themeShade="80"/>
          <w:sz w:val="16"/>
          <w:szCs w:val="16"/>
          <w:lang w:val="es-ES" w:eastAsia="es-ES"/>
        </w:rPr>
        <w:t xml:space="preserve">, Estados Unidos, 4 de abril de 2001, párr. </w:t>
      </w:r>
      <w:r w:rsidRPr="00930562">
        <w:rPr>
          <w:rFonts w:asciiTheme="minorHAnsi" w:eastAsiaTheme="minorEastAsia" w:hAnsiTheme="minorHAnsi" w:cstheme="majorHAnsi"/>
          <w:color w:val="808080" w:themeColor="background1" w:themeShade="80"/>
          <w:sz w:val="16"/>
          <w:szCs w:val="16"/>
          <w:lang w:val="pt-BR" w:eastAsia="es-ES"/>
        </w:rPr>
        <w:t>243).</w:t>
      </w:r>
    </w:p>
  </w:footnote>
  <w:footnote w:id="617">
    <w:p w14:paraId="67EB4084"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pt-BR"/>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pt-BR"/>
        </w:rPr>
        <w:tab/>
      </w:r>
      <w:r w:rsidRPr="00930562">
        <w:rPr>
          <w:rFonts w:asciiTheme="minorHAnsi" w:hAnsiTheme="minorHAnsi" w:cstheme="majorHAnsi"/>
          <w:color w:val="808080" w:themeColor="background1" w:themeShade="80"/>
          <w:sz w:val="16"/>
          <w:szCs w:val="16"/>
          <w:lang w:val="pt-BR"/>
        </w:rPr>
        <w:t xml:space="preserve">Id. (citiando CIDH, Informe No. 80/11, </w:t>
      </w:r>
      <w:hyperlink r:id="rId661" w:history="1">
        <w:r w:rsidRPr="00930562">
          <w:rPr>
            <w:rStyle w:val="Hyperlink"/>
            <w:rFonts w:asciiTheme="minorHAnsi" w:hAnsiTheme="minorHAnsi" w:cstheme="majorHAnsi"/>
            <w:i/>
            <w:color w:val="808080" w:themeColor="background1" w:themeShade="80"/>
            <w:sz w:val="16"/>
            <w:szCs w:val="16"/>
            <w:lang w:val="pt-BR"/>
          </w:rPr>
          <w:t>Jessica Lenahan</w:t>
        </w:r>
      </w:hyperlink>
      <w:r w:rsidRPr="00930562">
        <w:rPr>
          <w:rFonts w:asciiTheme="minorHAnsi" w:hAnsiTheme="minorHAnsi" w:cstheme="majorHAnsi"/>
          <w:color w:val="808080" w:themeColor="background1" w:themeShade="80"/>
          <w:sz w:val="16"/>
          <w:szCs w:val="16"/>
          <w:lang w:val="pt-BR"/>
        </w:rPr>
        <w:t xml:space="preserve"> (2011), </w:t>
      </w:r>
      <w:r w:rsidRPr="00930562">
        <w:rPr>
          <w:rFonts w:asciiTheme="minorHAnsi" w:eastAsiaTheme="minorEastAsia" w:hAnsiTheme="minorHAnsi" w:cstheme="majorHAnsi"/>
          <w:color w:val="808080" w:themeColor="background1" w:themeShade="80"/>
          <w:sz w:val="16"/>
          <w:szCs w:val="16"/>
          <w:lang w:val="pt-BR" w:eastAsia="es-ES"/>
        </w:rPr>
        <w:t>párr. 172;</w:t>
      </w:r>
      <w:r w:rsidRPr="00930562">
        <w:rPr>
          <w:rFonts w:asciiTheme="minorHAnsi" w:hAnsiTheme="minorHAnsi" w:cstheme="majorHAnsi"/>
          <w:color w:val="808080" w:themeColor="background1" w:themeShade="80"/>
          <w:sz w:val="16"/>
          <w:szCs w:val="16"/>
          <w:lang w:val="pt-BR"/>
        </w:rPr>
        <w:t xml:space="preserve"> Informe No. 54/01, </w:t>
      </w:r>
      <w:r w:rsidRPr="00930562">
        <w:rPr>
          <w:rFonts w:asciiTheme="minorHAnsi" w:hAnsiTheme="minorHAnsi" w:cstheme="majorHAnsi"/>
          <w:i/>
          <w:color w:val="808080" w:themeColor="background1" w:themeShade="80"/>
          <w:sz w:val="16"/>
          <w:szCs w:val="16"/>
          <w:lang w:val="pt-BR"/>
        </w:rPr>
        <w:t>Maria da Penha</w:t>
      </w:r>
      <w:r w:rsidRPr="00930562">
        <w:rPr>
          <w:rFonts w:asciiTheme="minorHAnsi" w:hAnsiTheme="minorHAnsi" w:cstheme="majorHAnsi"/>
          <w:color w:val="808080" w:themeColor="background1" w:themeShade="80"/>
          <w:sz w:val="16"/>
          <w:szCs w:val="16"/>
          <w:lang w:val="pt-BR"/>
        </w:rPr>
        <w:t xml:space="preserve"> (2001)</w:t>
      </w:r>
      <w:r w:rsidRPr="00930562">
        <w:rPr>
          <w:rFonts w:asciiTheme="minorHAnsi" w:eastAsiaTheme="minorEastAsia" w:hAnsiTheme="minorHAnsi" w:cstheme="majorHAnsi"/>
          <w:color w:val="808080" w:themeColor="background1" w:themeShade="80"/>
          <w:sz w:val="16"/>
          <w:szCs w:val="16"/>
          <w:lang w:val="pt-BR" w:eastAsia="es-ES"/>
        </w:rPr>
        <w:t>, párr. 37).</w:t>
      </w:r>
    </w:p>
  </w:footnote>
  <w:footnote w:id="618">
    <w:p w14:paraId="4716E41D"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pt-BR"/>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pt-BR"/>
        </w:rPr>
        <w:tab/>
      </w:r>
      <w:r w:rsidRPr="00930562">
        <w:rPr>
          <w:rFonts w:asciiTheme="minorHAnsi" w:hAnsiTheme="minorHAnsi" w:cstheme="majorHAnsi"/>
          <w:color w:val="808080" w:themeColor="background1" w:themeShade="80"/>
          <w:sz w:val="16"/>
          <w:szCs w:val="16"/>
          <w:lang w:val="pt-BR"/>
        </w:rPr>
        <w:t xml:space="preserve">Id. (citando CIDH, Informe No. 80/11, </w:t>
      </w:r>
      <w:hyperlink r:id="rId662" w:history="1">
        <w:r w:rsidRPr="00930562">
          <w:rPr>
            <w:rStyle w:val="Hyperlink"/>
            <w:rFonts w:asciiTheme="minorHAnsi" w:hAnsiTheme="minorHAnsi" w:cstheme="majorHAnsi"/>
            <w:i/>
            <w:color w:val="808080" w:themeColor="background1" w:themeShade="80"/>
            <w:sz w:val="16"/>
            <w:szCs w:val="16"/>
            <w:lang w:val="pt-BR"/>
          </w:rPr>
          <w:t>Jessica Lenahan</w:t>
        </w:r>
      </w:hyperlink>
      <w:r w:rsidRPr="00930562">
        <w:rPr>
          <w:rFonts w:asciiTheme="minorHAnsi" w:hAnsiTheme="minorHAnsi" w:cstheme="majorHAnsi"/>
          <w:color w:val="808080" w:themeColor="background1" w:themeShade="80"/>
          <w:sz w:val="16"/>
          <w:szCs w:val="16"/>
          <w:lang w:val="pt-BR"/>
        </w:rPr>
        <w:t xml:space="preserve"> (2011), </w:t>
      </w:r>
      <w:r w:rsidRPr="00930562">
        <w:rPr>
          <w:rFonts w:asciiTheme="minorHAnsi" w:eastAsiaTheme="minorEastAsia" w:hAnsiTheme="minorHAnsi" w:cstheme="majorHAnsi"/>
          <w:color w:val="808080" w:themeColor="background1" w:themeShade="80"/>
          <w:sz w:val="16"/>
          <w:szCs w:val="16"/>
          <w:lang w:val="pt-BR" w:eastAsia="es-ES"/>
        </w:rPr>
        <w:t>párr. 172;</w:t>
      </w:r>
      <w:r w:rsidRPr="00930562">
        <w:rPr>
          <w:rFonts w:asciiTheme="minorHAnsi" w:hAnsiTheme="minorHAnsi" w:cstheme="majorHAnsi"/>
          <w:color w:val="808080" w:themeColor="background1" w:themeShade="80"/>
          <w:sz w:val="16"/>
          <w:szCs w:val="16"/>
          <w:lang w:val="pt-BR"/>
        </w:rPr>
        <w:t xml:space="preserve"> Informe 40/04, </w:t>
      </w:r>
      <w:hyperlink r:id="rId663" w:history="1">
        <w:r w:rsidRPr="00930562">
          <w:rPr>
            <w:rStyle w:val="Hyperlink"/>
            <w:rFonts w:asciiTheme="minorHAnsi" w:hAnsiTheme="minorHAnsi" w:cstheme="majorHAnsi"/>
            <w:i/>
            <w:color w:val="808080" w:themeColor="background1" w:themeShade="80"/>
            <w:sz w:val="16"/>
            <w:szCs w:val="16"/>
            <w:lang w:val="pt-BR"/>
          </w:rPr>
          <w:t>Comunidades Indígenas Mayas del Distrito de Toledo</w:t>
        </w:r>
      </w:hyperlink>
      <w:r w:rsidRPr="00930562">
        <w:rPr>
          <w:rFonts w:asciiTheme="minorHAnsi" w:hAnsiTheme="minorHAnsi" w:cstheme="majorHAnsi"/>
          <w:color w:val="808080" w:themeColor="background1" w:themeShade="80"/>
          <w:sz w:val="16"/>
          <w:szCs w:val="16"/>
          <w:lang w:val="pt-BR"/>
        </w:rPr>
        <w:t xml:space="preserve"> (2004), párr. </w:t>
      </w:r>
      <w:r w:rsidRPr="00930562">
        <w:rPr>
          <w:rFonts w:asciiTheme="minorHAnsi" w:eastAsiaTheme="minorEastAsia" w:hAnsiTheme="minorHAnsi" w:cstheme="majorHAnsi"/>
          <w:color w:val="808080" w:themeColor="background1" w:themeShade="80"/>
          <w:sz w:val="16"/>
          <w:szCs w:val="16"/>
          <w:lang w:val="pt-BR" w:eastAsia="es-ES"/>
        </w:rPr>
        <w:t>174;</w:t>
      </w:r>
      <w:r w:rsidRPr="00930562">
        <w:rPr>
          <w:rFonts w:asciiTheme="minorHAnsi" w:hAnsiTheme="minorHAnsi" w:cstheme="majorHAnsi"/>
          <w:color w:val="808080" w:themeColor="background1" w:themeShade="80"/>
          <w:sz w:val="16"/>
          <w:szCs w:val="16"/>
          <w:lang w:val="pt-BR"/>
        </w:rPr>
        <w:t xml:space="preserve"> Report No. 54/01, </w:t>
      </w:r>
      <w:r w:rsidRPr="00930562">
        <w:rPr>
          <w:rFonts w:asciiTheme="minorHAnsi" w:hAnsiTheme="minorHAnsi" w:cstheme="majorHAnsi"/>
          <w:i/>
          <w:color w:val="808080" w:themeColor="background1" w:themeShade="80"/>
          <w:sz w:val="16"/>
          <w:szCs w:val="16"/>
          <w:lang w:val="pt-BR"/>
        </w:rPr>
        <w:t>Maria da Penha</w:t>
      </w:r>
      <w:r w:rsidRPr="00930562">
        <w:rPr>
          <w:rFonts w:asciiTheme="minorHAnsi" w:hAnsiTheme="minorHAnsi" w:cstheme="majorHAnsi"/>
          <w:color w:val="808080" w:themeColor="background1" w:themeShade="80"/>
          <w:sz w:val="16"/>
          <w:szCs w:val="16"/>
          <w:lang w:val="pt-BR"/>
        </w:rPr>
        <w:t xml:space="preserve"> (2001)</w:t>
      </w:r>
      <w:r w:rsidRPr="00930562">
        <w:rPr>
          <w:rFonts w:asciiTheme="minorHAnsi" w:eastAsiaTheme="minorEastAsia" w:hAnsiTheme="minorHAnsi" w:cstheme="majorHAnsi"/>
          <w:color w:val="808080" w:themeColor="background1" w:themeShade="80"/>
          <w:sz w:val="16"/>
          <w:szCs w:val="16"/>
          <w:lang w:val="pt-BR" w:eastAsia="es-ES"/>
        </w:rPr>
        <w:t>, para. 37).</w:t>
      </w:r>
    </w:p>
  </w:footnote>
  <w:footnote w:id="619">
    <w:p w14:paraId="543A1668"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pt-BR"/>
        </w:rPr>
        <w:tab/>
      </w:r>
      <w:r w:rsidRPr="00930562">
        <w:rPr>
          <w:rFonts w:asciiTheme="minorHAnsi" w:hAnsiTheme="minorHAnsi" w:cstheme="majorHAnsi"/>
          <w:color w:val="808080" w:themeColor="background1" w:themeShade="80"/>
          <w:sz w:val="16"/>
          <w:szCs w:val="16"/>
          <w:lang w:val="pt-BR"/>
        </w:rPr>
        <w:t xml:space="preserve">Id. párr. 99 (citando, </w:t>
      </w:r>
      <w:r w:rsidRPr="00930562">
        <w:rPr>
          <w:rFonts w:asciiTheme="minorHAnsi" w:hAnsiTheme="minorHAnsi" w:cstheme="majorHAnsi"/>
          <w:i/>
          <w:color w:val="808080" w:themeColor="background1" w:themeShade="80"/>
          <w:sz w:val="16"/>
          <w:szCs w:val="16"/>
          <w:lang w:val="pt-BR"/>
        </w:rPr>
        <w:t>inter alia</w:t>
      </w:r>
      <w:r w:rsidRPr="00930562">
        <w:rPr>
          <w:rFonts w:asciiTheme="minorHAnsi" w:hAnsiTheme="minorHAnsi" w:cstheme="majorHAnsi"/>
          <w:color w:val="808080" w:themeColor="background1" w:themeShade="80"/>
          <w:sz w:val="16"/>
          <w:szCs w:val="16"/>
          <w:lang w:val="pt-BR"/>
        </w:rPr>
        <w:t xml:space="preserve">, CIDH Informe No. 80/11, </w:t>
      </w:r>
      <w:hyperlink r:id="rId664" w:history="1">
        <w:r w:rsidRPr="00930562">
          <w:rPr>
            <w:rStyle w:val="Hyperlink"/>
            <w:rFonts w:asciiTheme="minorHAnsi" w:hAnsiTheme="minorHAnsi" w:cstheme="majorHAnsi"/>
            <w:i/>
            <w:color w:val="808080" w:themeColor="background1" w:themeShade="80"/>
            <w:sz w:val="16"/>
            <w:szCs w:val="16"/>
            <w:lang w:val="pt-BR"/>
          </w:rPr>
          <w:t>Jessica Lenahan</w:t>
        </w:r>
      </w:hyperlink>
      <w:r w:rsidRPr="00930562">
        <w:rPr>
          <w:rFonts w:asciiTheme="minorHAnsi" w:hAnsiTheme="minorHAnsi" w:cstheme="majorHAnsi"/>
          <w:color w:val="808080" w:themeColor="background1" w:themeShade="80"/>
          <w:sz w:val="16"/>
          <w:szCs w:val="16"/>
          <w:lang w:val="pt-BR"/>
        </w:rPr>
        <w:t xml:space="preserve"> (2011), párr</w:t>
      </w:r>
      <w:r w:rsidRPr="00930562">
        <w:rPr>
          <w:rFonts w:asciiTheme="minorHAnsi" w:eastAsiaTheme="minorEastAsia" w:hAnsiTheme="minorHAnsi" w:cstheme="majorHAnsi"/>
          <w:color w:val="808080" w:themeColor="background1" w:themeShade="80"/>
          <w:sz w:val="16"/>
          <w:szCs w:val="16"/>
          <w:lang w:val="pt-BR" w:eastAsia="es-ES"/>
        </w:rPr>
        <w:t xml:space="preserve">. </w:t>
      </w:r>
      <w:r w:rsidRPr="00930562">
        <w:rPr>
          <w:rFonts w:asciiTheme="minorHAnsi" w:eastAsiaTheme="minorEastAsia" w:hAnsiTheme="minorHAnsi" w:cstheme="majorHAnsi"/>
          <w:color w:val="808080" w:themeColor="background1" w:themeShade="80"/>
          <w:sz w:val="16"/>
          <w:szCs w:val="16"/>
          <w:lang w:val="es-ES" w:eastAsia="es-ES"/>
        </w:rPr>
        <w:t xml:space="preserve">173; Informe No. 81/10, Caso 12.562, </w:t>
      </w:r>
      <w:r w:rsidRPr="00930562">
        <w:rPr>
          <w:rFonts w:asciiTheme="minorHAnsi" w:eastAsiaTheme="minorEastAsia" w:hAnsiTheme="minorHAnsi" w:cstheme="majorHAnsi"/>
          <w:i/>
          <w:iCs/>
          <w:color w:val="808080" w:themeColor="background1" w:themeShade="80"/>
          <w:sz w:val="16"/>
          <w:szCs w:val="16"/>
          <w:lang w:val="es-ES" w:eastAsia="es-ES"/>
        </w:rPr>
        <w:t xml:space="preserve">Wayne Smith, Hugo Armendatriz, y otors, </w:t>
      </w:r>
      <w:r w:rsidRPr="00930562">
        <w:rPr>
          <w:rFonts w:asciiTheme="minorHAnsi" w:eastAsiaTheme="minorEastAsia" w:hAnsiTheme="minorHAnsi" w:cstheme="majorHAnsi"/>
          <w:color w:val="808080" w:themeColor="background1" w:themeShade="80"/>
          <w:sz w:val="16"/>
          <w:szCs w:val="16"/>
          <w:lang w:val="es-ES" w:eastAsia="es-ES"/>
        </w:rPr>
        <w:t>Estados Unidos, 12 de Julio de 2010, párr. 62).</w:t>
      </w:r>
    </w:p>
  </w:footnote>
  <w:footnote w:id="620">
    <w:p w14:paraId="537A86DF"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Id. (citando </w:t>
      </w:r>
      <w:r w:rsidRPr="00930562">
        <w:rPr>
          <w:rFonts w:asciiTheme="minorHAnsi" w:eastAsiaTheme="minorEastAsia" w:hAnsiTheme="minorHAnsi" w:cstheme="majorHAnsi"/>
          <w:color w:val="808080" w:themeColor="background1" w:themeShade="80"/>
          <w:sz w:val="16"/>
          <w:szCs w:val="16"/>
          <w:lang w:val="es-ES" w:eastAsia="es-ES"/>
        </w:rPr>
        <w:t xml:space="preserve">CIDH, </w:t>
      </w:r>
      <w:hyperlink r:id="rId665" w:history="1">
        <w:r w:rsidRPr="00930562">
          <w:rPr>
            <w:rStyle w:val="Hyperlink"/>
            <w:rFonts w:asciiTheme="minorHAnsi" w:eastAsiaTheme="minorEastAsia" w:hAnsiTheme="minorHAnsi" w:cstheme="majorHAnsi"/>
            <w:color w:val="808080" w:themeColor="background1" w:themeShade="80"/>
            <w:sz w:val="16"/>
            <w:szCs w:val="16"/>
            <w:lang w:val="es-ES" w:eastAsia="es-ES"/>
          </w:rPr>
          <w:t>Acceso a la Justicia como Garantía de los Derechos Económicos, Sociales y Culturales</w:t>
        </w:r>
      </w:hyperlink>
      <w:r w:rsidRPr="00930562">
        <w:rPr>
          <w:rFonts w:asciiTheme="minorHAnsi" w:eastAsiaTheme="minorEastAsia" w:hAnsiTheme="minorHAnsi" w:cstheme="majorHAnsi"/>
          <w:color w:val="808080" w:themeColor="background1" w:themeShade="80"/>
          <w:sz w:val="16"/>
          <w:szCs w:val="16"/>
          <w:lang w:val="es-ES" w:eastAsia="es-ES"/>
        </w:rPr>
        <w:t>, OEA/Ser.L/V/II.129 Doc.4, (2007) (en adelante “CIDH, Informe sobre Acceso a la Justicia”), párr. 245 (cita omitida)).</w:t>
      </w:r>
    </w:p>
  </w:footnote>
  <w:footnote w:id="621">
    <w:p w14:paraId="1E94F2DA"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Id. (citando </w:t>
      </w:r>
      <w:r w:rsidRPr="00930562">
        <w:rPr>
          <w:rFonts w:asciiTheme="minorHAnsi" w:eastAsiaTheme="minorEastAsia" w:hAnsiTheme="minorHAnsi" w:cstheme="majorHAnsi"/>
          <w:color w:val="808080" w:themeColor="background1" w:themeShade="80"/>
          <w:sz w:val="16"/>
          <w:szCs w:val="16"/>
          <w:lang w:val="es-ES" w:eastAsia="es-ES"/>
        </w:rPr>
        <w:t>CIDH, Informe sobre Acceso a la Justicia, párrs. 246-47).</w:t>
      </w:r>
    </w:p>
  </w:footnote>
  <w:footnote w:id="622">
    <w:p w14:paraId="533566DE"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Id. párr. 100 (citando </w:t>
      </w:r>
      <w:r w:rsidRPr="00930562">
        <w:rPr>
          <w:rFonts w:asciiTheme="minorHAnsi" w:eastAsiaTheme="minorEastAsia" w:hAnsiTheme="minorHAnsi" w:cstheme="majorHAnsi"/>
          <w:color w:val="808080" w:themeColor="background1" w:themeShade="80"/>
          <w:sz w:val="16"/>
          <w:szCs w:val="16"/>
          <w:lang w:val="es-ES" w:eastAsia="es-ES"/>
        </w:rPr>
        <w:t>CIDH, Informe sobre Acceso a la Justicia, párr. 251).</w:t>
      </w:r>
    </w:p>
  </w:footnote>
  <w:footnote w:id="623">
    <w:p w14:paraId="42B82C0A"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Id. (citando </w:t>
      </w:r>
      <w:r w:rsidRPr="00930562">
        <w:rPr>
          <w:rFonts w:asciiTheme="minorHAnsi" w:eastAsiaTheme="minorEastAsia" w:hAnsiTheme="minorHAnsi" w:cstheme="majorHAnsi"/>
          <w:color w:val="808080" w:themeColor="background1" w:themeShade="80"/>
          <w:sz w:val="16"/>
          <w:szCs w:val="16"/>
          <w:lang w:val="es-ES" w:eastAsia="es-ES"/>
        </w:rPr>
        <w:t>CIDH, Informe sobre Acceso a la Justicia, párr. 251).</w:t>
      </w:r>
    </w:p>
  </w:footnote>
  <w:footnote w:id="624">
    <w:p w14:paraId="2E7E49DC"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hAnsiTheme="minorHAnsi" w:cstheme="majorHAnsi"/>
          <w:i/>
          <w:color w:val="808080" w:themeColor="background1" w:themeShade="80"/>
          <w:sz w:val="16"/>
          <w:szCs w:val="16"/>
          <w:lang w:val="es-ES"/>
        </w:rPr>
        <w:t>Ver supra</w:t>
      </w:r>
      <w:r w:rsidRPr="00930562">
        <w:rPr>
          <w:rFonts w:asciiTheme="minorHAnsi" w:hAnsiTheme="minorHAnsi" w:cstheme="majorHAnsi"/>
          <w:color w:val="808080" w:themeColor="background1" w:themeShade="80"/>
          <w:sz w:val="16"/>
          <w:szCs w:val="16"/>
          <w:lang w:val="es-ES"/>
        </w:rPr>
        <w:t xml:space="preserve"> párr. </w:t>
      </w:r>
      <w:r w:rsidRPr="00930562">
        <w:rPr>
          <w:rFonts w:asciiTheme="minorHAnsi" w:hAnsiTheme="minorHAnsi"/>
          <w:color w:val="808080" w:themeColor="background1" w:themeShade="80"/>
          <w:sz w:val="16"/>
          <w:szCs w:val="16"/>
          <w:lang w:val="es-ES"/>
        </w:rPr>
        <w:t>114.</w:t>
      </w:r>
    </w:p>
  </w:footnote>
  <w:footnote w:id="625">
    <w:p w14:paraId="3DE448AD"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Id.</w:t>
      </w:r>
    </w:p>
  </w:footnote>
  <w:footnote w:id="626">
    <w:p w14:paraId="79C4E0D2"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pt-BR"/>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CIDH, Informe No. 50/16, </w:t>
      </w:r>
      <w:hyperlink r:id="rId666" w:history="1">
        <w:r w:rsidRPr="00930562">
          <w:rPr>
            <w:rStyle w:val="Hyperlink"/>
            <w:rFonts w:asciiTheme="minorHAnsi" w:hAnsiTheme="minorHAnsi" w:cstheme="majorHAnsi"/>
            <w:i/>
            <w:color w:val="808080" w:themeColor="background1" w:themeShade="80"/>
            <w:sz w:val="16"/>
            <w:szCs w:val="16"/>
            <w:lang w:val="es-ES"/>
          </w:rPr>
          <w:t>Trabajadores Indocumentados</w:t>
        </w:r>
      </w:hyperlink>
      <w:r w:rsidRPr="00930562">
        <w:rPr>
          <w:rFonts w:asciiTheme="minorHAnsi" w:hAnsiTheme="minorHAnsi" w:cstheme="majorHAnsi"/>
          <w:color w:val="808080" w:themeColor="background1" w:themeShade="80"/>
          <w:sz w:val="16"/>
          <w:szCs w:val="16"/>
          <w:lang w:val="es-ES"/>
        </w:rPr>
        <w:t xml:space="preserve"> (2016), párr. </w:t>
      </w:r>
      <w:r w:rsidRPr="00930562">
        <w:rPr>
          <w:rFonts w:asciiTheme="minorHAnsi" w:hAnsiTheme="minorHAnsi" w:cstheme="majorHAnsi"/>
          <w:color w:val="808080" w:themeColor="background1" w:themeShade="80"/>
          <w:sz w:val="16"/>
          <w:szCs w:val="16"/>
          <w:lang w:val="es-MX"/>
        </w:rPr>
        <w:t xml:space="preserve">101 (citando CIDH, Informe No. 80/11, </w:t>
      </w:r>
      <w:hyperlink r:id="rId667" w:history="1">
        <w:r w:rsidRPr="00930562">
          <w:rPr>
            <w:rStyle w:val="Hyperlink"/>
            <w:rFonts w:asciiTheme="minorHAnsi" w:hAnsiTheme="minorHAnsi" w:cstheme="majorHAnsi"/>
            <w:i/>
            <w:color w:val="808080" w:themeColor="background1" w:themeShade="80"/>
            <w:sz w:val="16"/>
            <w:szCs w:val="16"/>
            <w:lang w:val="es-MX"/>
          </w:rPr>
          <w:t>Jessica Lenahan</w:t>
        </w:r>
      </w:hyperlink>
      <w:r w:rsidRPr="00930562">
        <w:rPr>
          <w:rFonts w:asciiTheme="minorHAnsi" w:hAnsiTheme="minorHAnsi" w:cstheme="majorHAnsi"/>
          <w:color w:val="808080" w:themeColor="background1" w:themeShade="80"/>
          <w:sz w:val="16"/>
          <w:szCs w:val="16"/>
          <w:lang w:val="es-MX"/>
        </w:rPr>
        <w:t xml:space="preserve"> (2011), </w:t>
      </w:r>
      <w:r w:rsidRPr="00930562">
        <w:rPr>
          <w:rFonts w:asciiTheme="minorHAnsi" w:eastAsiaTheme="minorEastAsia" w:hAnsiTheme="minorHAnsi" w:cstheme="majorHAnsi"/>
          <w:color w:val="808080" w:themeColor="background1" w:themeShade="80"/>
          <w:sz w:val="16"/>
          <w:szCs w:val="16"/>
          <w:lang w:val="es-MX" w:eastAsia="es-ES"/>
        </w:rPr>
        <w:t xml:space="preserve">párr. </w:t>
      </w:r>
      <w:r w:rsidRPr="00930562">
        <w:rPr>
          <w:rFonts w:asciiTheme="minorHAnsi" w:eastAsiaTheme="minorEastAsia" w:hAnsiTheme="minorHAnsi" w:cstheme="majorHAnsi"/>
          <w:color w:val="808080" w:themeColor="background1" w:themeShade="80"/>
          <w:sz w:val="16"/>
          <w:szCs w:val="16"/>
          <w:lang w:val="es-ES" w:eastAsia="es-ES"/>
        </w:rPr>
        <w:t>173; CIDH</w:t>
      </w:r>
      <w:r w:rsidRPr="00930562">
        <w:rPr>
          <w:rFonts w:asciiTheme="minorHAnsi" w:hAnsiTheme="minorHAnsi" w:cstheme="majorHAnsi"/>
          <w:color w:val="808080" w:themeColor="background1" w:themeShade="80"/>
          <w:sz w:val="16"/>
          <w:szCs w:val="16"/>
          <w:lang w:val="es-ES"/>
        </w:rPr>
        <w:t xml:space="preserve">, </w:t>
      </w:r>
      <w:hyperlink r:id="rId668" w:history="1">
        <w:r w:rsidRPr="00930562">
          <w:rPr>
            <w:rStyle w:val="Hyperlink"/>
            <w:rFonts w:asciiTheme="minorHAnsi" w:hAnsiTheme="minorHAnsi" w:cstheme="majorHAnsi"/>
            <w:color w:val="808080" w:themeColor="background1" w:themeShade="80"/>
            <w:sz w:val="16"/>
            <w:szCs w:val="16"/>
            <w:lang w:val="es-ES"/>
          </w:rPr>
          <w:t>La Situación de los Derechos de la Mujer en Ciudad Juárez, México</w:t>
        </w:r>
      </w:hyperlink>
      <w:r w:rsidRPr="00930562">
        <w:rPr>
          <w:rFonts w:asciiTheme="minorHAnsi" w:hAnsiTheme="minorHAnsi" w:cstheme="majorHAnsi"/>
          <w:color w:val="808080" w:themeColor="background1" w:themeShade="80"/>
          <w:sz w:val="16"/>
          <w:szCs w:val="16"/>
          <w:lang w:val="es-ES"/>
        </w:rPr>
        <w:t xml:space="preserve">, OEA/Ser. </w:t>
      </w:r>
      <w:r w:rsidRPr="00930562">
        <w:rPr>
          <w:rFonts w:asciiTheme="minorHAnsi" w:hAnsiTheme="minorHAnsi" w:cstheme="majorHAnsi"/>
          <w:color w:val="808080" w:themeColor="background1" w:themeShade="80"/>
          <w:sz w:val="16"/>
          <w:szCs w:val="16"/>
          <w:lang w:val="pt-BR"/>
        </w:rPr>
        <w:t xml:space="preserve">L/V/II.117. Doc. 44 (2003), párr. 51).  </w:t>
      </w:r>
    </w:p>
  </w:footnote>
  <w:footnote w:id="627">
    <w:p w14:paraId="10F1DF8A"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pt-BR"/>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pt-BR"/>
        </w:rPr>
        <w:tab/>
      </w:r>
      <w:r w:rsidRPr="00930562">
        <w:rPr>
          <w:rFonts w:asciiTheme="minorHAnsi" w:hAnsiTheme="minorHAnsi" w:cstheme="majorHAnsi"/>
          <w:color w:val="808080" w:themeColor="background1" w:themeShade="80"/>
          <w:sz w:val="16"/>
          <w:szCs w:val="16"/>
          <w:lang w:val="pt-BR"/>
        </w:rPr>
        <w:t>Id.</w:t>
      </w:r>
    </w:p>
  </w:footnote>
  <w:footnote w:id="628">
    <w:p w14:paraId="2A195F5E"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pt-BR"/>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pt-BR"/>
        </w:rPr>
        <w:tab/>
      </w:r>
      <w:r w:rsidRPr="00930562">
        <w:rPr>
          <w:rFonts w:asciiTheme="minorHAnsi" w:hAnsiTheme="minorHAnsi" w:cstheme="majorHAnsi"/>
          <w:i/>
          <w:color w:val="808080" w:themeColor="background1" w:themeShade="80"/>
          <w:sz w:val="16"/>
          <w:szCs w:val="16"/>
          <w:lang w:val="pt-BR"/>
        </w:rPr>
        <w:t>Ver supra</w:t>
      </w:r>
      <w:r w:rsidRPr="00930562">
        <w:rPr>
          <w:rFonts w:asciiTheme="minorHAnsi" w:hAnsiTheme="minorHAnsi" w:cstheme="majorHAnsi"/>
          <w:color w:val="808080" w:themeColor="background1" w:themeShade="80"/>
          <w:sz w:val="16"/>
          <w:szCs w:val="16"/>
          <w:lang w:val="pt-BR"/>
        </w:rPr>
        <w:t xml:space="preserve"> párrs. 103-105..</w:t>
      </w:r>
    </w:p>
  </w:footnote>
  <w:footnote w:id="629">
    <w:p w14:paraId="2A6C4F66"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pt-BR"/>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pt-BR"/>
        </w:rPr>
        <w:tab/>
      </w:r>
      <w:r w:rsidRPr="00930562">
        <w:rPr>
          <w:rFonts w:asciiTheme="minorHAnsi" w:hAnsiTheme="minorHAnsi" w:cstheme="majorHAnsi"/>
          <w:i/>
          <w:color w:val="808080" w:themeColor="background1" w:themeShade="80"/>
          <w:sz w:val="16"/>
          <w:szCs w:val="16"/>
          <w:lang w:val="pt-BR"/>
        </w:rPr>
        <w:t>Ver supra</w:t>
      </w:r>
      <w:r w:rsidRPr="00930562">
        <w:rPr>
          <w:rFonts w:asciiTheme="minorHAnsi" w:hAnsiTheme="minorHAnsi" w:cstheme="majorHAnsi"/>
          <w:color w:val="808080" w:themeColor="background1" w:themeShade="80"/>
          <w:sz w:val="16"/>
          <w:szCs w:val="16"/>
          <w:lang w:val="pt-BR"/>
        </w:rPr>
        <w:t xml:space="preserve"> párr.148.</w:t>
      </w:r>
    </w:p>
  </w:footnote>
  <w:footnote w:id="630">
    <w:p w14:paraId="182EC304" w14:textId="77777777" w:rsidR="00F64540" w:rsidRPr="00930562" w:rsidRDefault="00F64540" w:rsidP="00E10935">
      <w:pPr>
        <w:spacing w:after="40" w:line="240" w:lineRule="auto"/>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pt-BR"/>
        </w:rPr>
        <w:tab/>
      </w:r>
      <w:r w:rsidRPr="00930562">
        <w:rPr>
          <w:rFonts w:asciiTheme="minorHAnsi" w:hAnsiTheme="minorHAnsi" w:cstheme="majorHAnsi"/>
          <w:color w:val="808080" w:themeColor="background1" w:themeShade="80"/>
          <w:sz w:val="16"/>
          <w:szCs w:val="16"/>
          <w:lang w:val="pt-BR"/>
        </w:rPr>
        <w:t xml:space="preserve">CIDH, Informe No. 50/16, </w:t>
      </w:r>
      <w:hyperlink r:id="rId669" w:history="1">
        <w:r w:rsidRPr="00930562">
          <w:rPr>
            <w:rStyle w:val="Hyperlink"/>
            <w:rFonts w:asciiTheme="minorHAnsi" w:hAnsiTheme="minorHAnsi" w:cstheme="majorHAnsi"/>
            <w:i/>
            <w:color w:val="808080" w:themeColor="background1" w:themeShade="80"/>
            <w:sz w:val="16"/>
            <w:szCs w:val="16"/>
            <w:lang w:val="pt-BR"/>
          </w:rPr>
          <w:t>Trabajadores Indocumentados</w:t>
        </w:r>
      </w:hyperlink>
      <w:r w:rsidRPr="00930562">
        <w:rPr>
          <w:rFonts w:asciiTheme="minorHAnsi" w:hAnsiTheme="minorHAnsi" w:cstheme="majorHAnsi"/>
          <w:color w:val="808080" w:themeColor="background1" w:themeShade="80"/>
          <w:sz w:val="16"/>
          <w:szCs w:val="16"/>
          <w:lang w:val="pt-BR"/>
        </w:rPr>
        <w:t xml:space="preserve"> (2016), párrs. 71-92; Informe No. 80/11, </w:t>
      </w:r>
      <w:hyperlink r:id="rId670" w:history="1">
        <w:r w:rsidRPr="00930562">
          <w:rPr>
            <w:rStyle w:val="Hyperlink"/>
            <w:rFonts w:asciiTheme="minorHAnsi" w:hAnsiTheme="minorHAnsi" w:cstheme="majorHAnsi"/>
            <w:i/>
            <w:color w:val="808080" w:themeColor="background1" w:themeShade="80"/>
            <w:sz w:val="16"/>
            <w:szCs w:val="16"/>
            <w:lang w:val="pt-BR"/>
          </w:rPr>
          <w:t>Jessica Lenahan</w:t>
        </w:r>
      </w:hyperlink>
      <w:r w:rsidRPr="00930562">
        <w:rPr>
          <w:rFonts w:asciiTheme="minorHAnsi" w:hAnsiTheme="minorHAnsi" w:cstheme="majorHAnsi"/>
          <w:color w:val="808080" w:themeColor="background1" w:themeShade="80"/>
          <w:sz w:val="16"/>
          <w:szCs w:val="16"/>
          <w:lang w:val="pt-BR"/>
        </w:rPr>
        <w:t xml:space="preserve"> (2011), párr. 108; Informe 40/04, </w:t>
      </w:r>
      <w:hyperlink r:id="rId671" w:history="1">
        <w:r w:rsidRPr="00930562">
          <w:rPr>
            <w:rStyle w:val="Hyperlink"/>
            <w:rFonts w:asciiTheme="minorHAnsi" w:hAnsiTheme="minorHAnsi" w:cstheme="majorHAnsi"/>
            <w:i/>
            <w:color w:val="808080" w:themeColor="background1" w:themeShade="80"/>
            <w:sz w:val="16"/>
            <w:szCs w:val="16"/>
            <w:lang w:val="pt-BR"/>
          </w:rPr>
          <w:t>Comunidades Indígenas Mayas del Distrito de Toledo</w:t>
        </w:r>
      </w:hyperlink>
      <w:r w:rsidRPr="00930562">
        <w:rPr>
          <w:rFonts w:asciiTheme="minorHAnsi" w:hAnsiTheme="minorHAnsi" w:cstheme="majorHAnsi"/>
          <w:color w:val="808080" w:themeColor="background1" w:themeShade="80"/>
          <w:sz w:val="16"/>
          <w:szCs w:val="16"/>
          <w:lang w:val="pt-BR"/>
        </w:rPr>
        <w:t xml:space="preserve"> (2004), párr. </w:t>
      </w:r>
      <w:r w:rsidRPr="00930562">
        <w:rPr>
          <w:rFonts w:asciiTheme="minorHAnsi" w:hAnsiTheme="minorHAnsi" w:cstheme="majorHAnsi"/>
          <w:color w:val="808080" w:themeColor="background1" w:themeShade="80"/>
          <w:sz w:val="16"/>
          <w:szCs w:val="16"/>
          <w:lang w:val="es-VE"/>
        </w:rPr>
        <w:t xml:space="preserve">162; </w:t>
      </w:r>
      <w:r w:rsidRPr="00930562">
        <w:rPr>
          <w:rFonts w:asciiTheme="minorHAnsi" w:hAnsiTheme="minorHAnsi" w:cstheme="majorHAnsi"/>
          <w:color w:val="808080" w:themeColor="background1" w:themeShade="80"/>
          <w:sz w:val="16"/>
          <w:szCs w:val="16"/>
          <w:lang w:val="es-ES"/>
        </w:rPr>
        <w:t xml:space="preserve">Informe No. 67/06, </w:t>
      </w:r>
      <w:hyperlink r:id="rId672" w:history="1">
        <w:r w:rsidRPr="00930562">
          <w:rPr>
            <w:rStyle w:val="Hyperlink"/>
            <w:rFonts w:asciiTheme="minorHAnsi" w:hAnsiTheme="minorHAnsi" w:cstheme="majorHAnsi"/>
            <w:i/>
            <w:color w:val="808080" w:themeColor="background1" w:themeShade="80"/>
            <w:sz w:val="16"/>
            <w:szCs w:val="16"/>
            <w:lang w:val="es-ES"/>
          </w:rPr>
          <w:t>Oscar Elías Bicet y otros</w:t>
        </w:r>
      </w:hyperlink>
      <w:r w:rsidRPr="00930562">
        <w:rPr>
          <w:rFonts w:asciiTheme="minorHAnsi" w:hAnsiTheme="minorHAnsi" w:cstheme="majorHAnsi"/>
          <w:color w:val="808080" w:themeColor="background1" w:themeShade="80"/>
          <w:sz w:val="16"/>
          <w:szCs w:val="16"/>
          <w:lang w:val="es-ES"/>
        </w:rPr>
        <w:t xml:space="preserve"> (2006), párr. 228.</w:t>
      </w:r>
    </w:p>
  </w:footnote>
  <w:footnote w:id="631">
    <w:p w14:paraId="54FC2474"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VE"/>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CIDH, </w:t>
      </w:r>
      <w:hyperlink r:id="rId673" w:history="1">
        <w:r w:rsidRPr="00930562">
          <w:rPr>
            <w:rStyle w:val="Hyperlink"/>
            <w:rFonts w:asciiTheme="minorHAnsi" w:hAnsiTheme="minorHAnsi" w:cstheme="majorHAnsi"/>
            <w:color w:val="808080" w:themeColor="background1" w:themeShade="80"/>
            <w:sz w:val="16"/>
            <w:szCs w:val="16"/>
            <w:lang w:val="es-ES"/>
          </w:rPr>
          <w:t>Informe sobre la Situación de las defensoras y defensores de derechos humanos en las Américas</w:t>
        </w:r>
      </w:hyperlink>
      <w:r w:rsidRPr="00930562">
        <w:rPr>
          <w:rFonts w:asciiTheme="minorHAnsi" w:hAnsiTheme="minorHAnsi" w:cstheme="majorHAnsi"/>
          <w:color w:val="808080" w:themeColor="background1" w:themeShade="80"/>
          <w:sz w:val="16"/>
          <w:szCs w:val="16"/>
          <w:lang w:val="es-ES"/>
        </w:rPr>
        <w:t xml:space="preserve">, OEA/Ser.L/V/II.124 Doc. 5 rev.1 (2006), párr. </w:t>
      </w:r>
      <w:r w:rsidRPr="00930562">
        <w:rPr>
          <w:rFonts w:asciiTheme="minorHAnsi" w:hAnsiTheme="minorHAnsi" w:cstheme="majorHAnsi"/>
          <w:color w:val="808080" w:themeColor="background1" w:themeShade="80"/>
          <w:sz w:val="16"/>
          <w:szCs w:val="16"/>
          <w:lang w:val="es-VE"/>
        </w:rPr>
        <w:t>349.</w:t>
      </w:r>
    </w:p>
  </w:footnote>
  <w:footnote w:id="632">
    <w:p w14:paraId="680F523A"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VE"/>
        </w:rPr>
        <w:tab/>
        <w:t xml:space="preserve">Corte IDH. </w:t>
      </w:r>
      <w:r w:rsidRPr="00930562">
        <w:rPr>
          <w:rFonts w:asciiTheme="minorHAnsi" w:hAnsiTheme="minorHAnsi" w:cstheme="majorHAnsi"/>
          <w:i/>
          <w:color w:val="808080" w:themeColor="background1" w:themeShade="80"/>
          <w:sz w:val="16"/>
          <w:szCs w:val="16"/>
          <w:lang w:val="es-VE"/>
        </w:rPr>
        <w:t>Velásquez Rodríguez</w:t>
      </w:r>
      <w:r w:rsidRPr="00930562">
        <w:rPr>
          <w:rFonts w:asciiTheme="minorHAnsi" w:hAnsiTheme="minorHAnsi" w:cstheme="majorHAnsi"/>
          <w:color w:val="808080" w:themeColor="background1" w:themeShade="80"/>
          <w:sz w:val="16"/>
          <w:szCs w:val="16"/>
          <w:lang w:val="es-VE"/>
        </w:rPr>
        <w:t xml:space="preserve">, Ser. C No. 7 (1989), párr. </w:t>
      </w:r>
      <w:r w:rsidRPr="00930562">
        <w:rPr>
          <w:rFonts w:asciiTheme="minorHAnsi" w:hAnsiTheme="minorHAnsi" w:cstheme="majorHAnsi"/>
          <w:color w:val="808080" w:themeColor="background1" w:themeShade="80"/>
          <w:sz w:val="16"/>
          <w:szCs w:val="16"/>
          <w:lang w:val="es-ES"/>
        </w:rPr>
        <w:t>166.</w:t>
      </w:r>
    </w:p>
  </w:footnote>
  <w:footnote w:id="633">
    <w:p w14:paraId="2ED25DFA"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hAnsiTheme="minorHAnsi" w:cstheme="majorHAnsi"/>
          <w:i/>
          <w:color w:val="808080" w:themeColor="background1" w:themeShade="80"/>
          <w:sz w:val="16"/>
          <w:szCs w:val="16"/>
          <w:lang w:val="es-ES"/>
        </w:rPr>
        <w:t>Ver supra</w:t>
      </w:r>
      <w:r w:rsidRPr="00930562">
        <w:rPr>
          <w:rFonts w:asciiTheme="minorHAnsi" w:hAnsiTheme="minorHAnsi" w:cstheme="majorHAnsi"/>
          <w:color w:val="808080" w:themeColor="background1" w:themeShade="80"/>
          <w:sz w:val="16"/>
          <w:szCs w:val="16"/>
          <w:lang w:val="es-ES"/>
        </w:rPr>
        <w:t xml:space="preserve"> párrs. </w:t>
      </w:r>
      <w:r w:rsidRPr="00930562">
        <w:rPr>
          <w:rFonts w:asciiTheme="minorHAnsi" w:hAnsiTheme="minorHAnsi"/>
          <w:color w:val="808080" w:themeColor="background1" w:themeShade="80"/>
          <w:sz w:val="16"/>
          <w:szCs w:val="16"/>
          <w:lang w:val="es-ES"/>
        </w:rPr>
        <w:t>111-116.</w:t>
      </w:r>
    </w:p>
  </w:footnote>
  <w:footnote w:id="634">
    <w:p w14:paraId="576C10AB"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MX"/>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CIDH, Informe No. 50/16, </w:t>
      </w:r>
      <w:hyperlink r:id="rId674" w:history="1">
        <w:r w:rsidRPr="00930562">
          <w:rPr>
            <w:rStyle w:val="Hyperlink"/>
            <w:rFonts w:asciiTheme="minorHAnsi" w:hAnsiTheme="minorHAnsi" w:cstheme="majorHAnsi"/>
            <w:i/>
            <w:color w:val="808080" w:themeColor="background1" w:themeShade="80"/>
            <w:sz w:val="16"/>
            <w:szCs w:val="16"/>
            <w:lang w:val="es-ES"/>
          </w:rPr>
          <w:t>Trabajadores Indocumentados</w:t>
        </w:r>
      </w:hyperlink>
      <w:r w:rsidRPr="00930562">
        <w:rPr>
          <w:rFonts w:asciiTheme="minorHAnsi" w:hAnsiTheme="minorHAnsi" w:cstheme="majorHAnsi"/>
          <w:color w:val="808080" w:themeColor="background1" w:themeShade="80"/>
          <w:sz w:val="16"/>
          <w:szCs w:val="16"/>
          <w:lang w:val="es-ES"/>
        </w:rPr>
        <w:t xml:space="preserve"> (2016), párr. 102  (citando </w:t>
      </w:r>
      <w:r w:rsidRPr="00930562">
        <w:rPr>
          <w:rFonts w:asciiTheme="minorHAnsi" w:eastAsiaTheme="minorEastAsia" w:hAnsiTheme="minorHAnsi" w:cstheme="majorHAnsi"/>
          <w:color w:val="808080" w:themeColor="background1" w:themeShade="80"/>
          <w:sz w:val="16"/>
          <w:szCs w:val="16"/>
          <w:lang w:val="es-ES" w:eastAsia="es-ES"/>
        </w:rPr>
        <w:t xml:space="preserve">CIDH, Informe sobre Acceso a la Justicia, párrs. </w:t>
      </w:r>
      <w:r w:rsidRPr="00930562">
        <w:rPr>
          <w:rFonts w:asciiTheme="minorHAnsi" w:hAnsiTheme="minorHAnsi" w:cstheme="majorHAnsi"/>
          <w:color w:val="808080" w:themeColor="background1" w:themeShade="80"/>
          <w:sz w:val="16"/>
          <w:szCs w:val="16"/>
          <w:lang w:val="es-MX"/>
        </w:rPr>
        <w:t>19-20).</w:t>
      </w:r>
    </w:p>
  </w:footnote>
  <w:footnote w:id="635">
    <w:p w14:paraId="67C84995" w14:textId="77777777" w:rsidR="00F64540" w:rsidRPr="00930562" w:rsidRDefault="00F64540" w:rsidP="00E10935">
      <w:pPr>
        <w:pStyle w:val="FootnoteText"/>
        <w:spacing w:after="40"/>
        <w:ind w:left="547" w:hanging="547"/>
        <w:rPr>
          <w:rFonts w:asciiTheme="minorHAnsi" w:hAnsiTheme="minorHAnsi" w:cstheme="majorHAnsi"/>
          <w:color w:val="808080" w:themeColor="background1" w:themeShade="80"/>
          <w:sz w:val="16"/>
          <w:szCs w:val="16"/>
          <w:lang w:val="es-MX"/>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MX"/>
        </w:rPr>
        <w:tab/>
      </w:r>
      <w:r w:rsidRPr="00930562">
        <w:rPr>
          <w:rFonts w:asciiTheme="minorHAnsi" w:hAnsiTheme="minorHAnsi" w:cstheme="majorHAnsi"/>
          <w:i/>
          <w:color w:val="808080" w:themeColor="background1" w:themeShade="80"/>
          <w:sz w:val="16"/>
          <w:szCs w:val="16"/>
          <w:lang w:val="es-MX"/>
        </w:rPr>
        <w:t>Ver supra</w:t>
      </w:r>
      <w:r w:rsidRPr="00930562">
        <w:rPr>
          <w:rFonts w:asciiTheme="minorHAnsi" w:hAnsiTheme="minorHAnsi" w:cstheme="majorHAnsi"/>
          <w:color w:val="808080" w:themeColor="background1" w:themeShade="80"/>
          <w:sz w:val="16"/>
          <w:szCs w:val="16"/>
          <w:lang w:val="es-MX"/>
        </w:rPr>
        <w:t xml:space="preserve"> párrs. </w:t>
      </w:r>
      <w:r w:rsidRPr="00930562">
        <w:rPr>
          <w:rFonts w:asciiTheme="minorHAnsi" w:hAnsiTheme="minorHAnsi"/>
          <w:color w:val="808080" w:themeColor="background1" w:themeShade="80"/>
          <w:sz w:val="16"/>
          <w:szCs w:val="16"/>
          <w:lang w:val="es-MX"/>
        </w:rPr>
        <w:t>133-166.</w:t>
      </w:r>
    </w:p>
  </w:footnote>
  <w:footnote w:id="636">
    <w:p w14:paraId="09BBD4B0"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MX"/>
        </w:rPr>
        <w:tab/>
        <w:t xml:space="preserve">Id. párr. </w:t>
      </w:r>
      <w:r w:rsidRPr="00930562">
        <w:rPr>
          <w:rFonts w:asciiTheme="minorHAnsi" w:hAnsiTheme="minorHAnsi" w:cstheme="majorHAnsi"/>
          <w:color w:val="808080" w:themeColor="background1" w:themeShade="80"/>
          <w:sz w:val="16"/>
          <w:szCs w:val="16"/>
          <w:lang w:val="es-ES"/>
        </w:rPr>
        <w:t xml:space="preserve">103 (citando </w:t>
      </w:r>
      <w:r w:rsidRPr="00930562">
        <w:rPr>
          <w:rFonts w:asciiTheme="minorHAnsi" w:eastAsiaTheme="minorEastAsia" w:hAnsiTheme="minorHAnsi" w:cstheme="majorHAnsi"/>
          <w:color w:val="808080" w:themeColor="background1" w:themeShade="80"/>
          <w:sz w:val="16"/>
          <w:szCs w:val="16"/>
          <w:lang w:val="es-ES" w:eastAsia="es-ES"/>
        </w:rPr>
        <w:t xml:space="preserve">CIDH, Informe sobre Acceso a la Justicia, párr. </w:t>
      </w:r>
      <w:r w:rsidRPr="00930562">
        <w:rPr>
          <w:rFonts w:asciiTheme="minorHAnsi" w:hAnsiTheme="minorHAnsi" w:cstheme="majorHAnsi"/>
          <w:color w:val="808080" w:themeColor="background1" w:themeShade="80"/>
          <w:sz w:val="16"/>
          <w:szCs w:val="16"/>
          <w:lang w:val="es-ES"/>
        </w:rPr>
        <w:t>20).</w:t>
      </w:r>
    </w:p>
  </w:footnote>
  <w:footnote w:id="637">
    <w:p w14:paraId="05DB2B93"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Id.</w:t>
      </w:r>
    </w:p>
  </w:footnote>
  <w:footnote w:id="638">
    <w:p w14:paraId="44234C64"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eastAsia="Times New Roman" w:hAnsiTheme="minorHAnsi" w:cstheme="majorHAnsi"/>
          <w:color w:val="808080" w:themeColor="background1" w:themeShade="80"/>
          <w:sz w:val="16"/>
          <w:szCs w:val="16"/>
          <w:lang w:val="es-ES" w:eastAsia="es-ES"/>
        </w:rPr>
        <w:t xml:space="preserve">CIDH, </w:t>
      </w:r>
      <w:hyperlink r:id="rId675" w:history="1">
        <w:r w:rsidRPr="00930562">
          <w:rPr>
            <w:rStyle w:val="Hyperlink"/>
            <w:rFonts w:asciiTheme="minorHAnsi" w:eastAsia="Times New Roman" w:hAnsiTheme="minorHAnsi" w:cstheme="majorHAnsi"/>
            <w:color w:val="808080" w:themeColor="background1" w:themeShade="80"/>
            <w:sz w:val="16"/>
            <w:szCs w:val="16"/>
            <w:lang w:val="es-ES" w:eastAsia="es-ES"/>
          </w:rPr>
          <w:t>La situación</w:t>
        </w:r>
        <w:r w:rsidRPr="00930562">
          <w:rPr>
            <w:rStyle w:val="Hyperlink"/>
            <w:rFonts w:asciiTheme="minorHAnsi" w:eastAsia="Times New Roman" w:hAnsiTheme="minorHAnsi" w:cstheme="majorHAnsi"/>
            <w:color w:val="808080" w:themeColor="background1" w:themeShade="80"/>
            <w:sz w:val="16"/>
            <w:szCs w:val="16"/>
            <w:lang w:val="es-ES_tradnl" w:eastAsia="es-ES"/>
          </w:rPr>
          <w:t xml:space="preserve"> de las personas afrodescendientes en las Américas</w:t>
        </w:r>
      </w:hyperlink>
      <w:r w:rsidRPr="00930562">
        <w:rPr>
          <w:rFonts w:asciiTheme="minorHAnsi" w:eastAsia="Times New Roman" w:hAnsiTheme="minorHAnsi" w:cstheme="majorHAnsi"/>
          <w:color w:val="808080" w:themeColor="background1" w:themeShade="80"/>
          <w:sz w:val="16"/>
          <w:szCs w:val="16"/>
          <w:lang w:val="es-ES_tradnl" w:eastAsia="es-ES"/>
        </w:rPr>
        <w:t xml:space="preserve"> (2011), párr.</w:t>
      </w:r>
      <w:r w:rsidRPr="00930562">
        <w:rPr>
          <w:rFonts w:asciiTheme="minorHAnsi" w:hAnsiTheme="minorHAnsi" w:cstheme="majorHAnsi"/>
          <w:color w:val="808080" w:themeColor="background1" w:themeShade="80"/>
          <w:sz w:val="16"/>
          <w:szCs w:val="16"/>
          <w:lang w:val="es-ES"/>
        </w:rPr>
        <w:t xml:space="preserve"> 15.</w:t>
      </w:r>
    </w:p>
  </w:footnote>
  <w:footnote w:id="639">
    <w:p w14:paraId="193675B1"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Id. párr. 16.</w:t>
      </w:r>
    </w:p>
  </w:footnote>
  <w:footnote w:id="640">
    <w:p w14:paraId="594DC737"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eastAsia="Times New Roman" w:hAnsiTheme="minorHAnsi" w:cstheme="majorHAnsi"/>
          <w:color w:val="808080" w:themeColor="background1" w:themeShade="80"/>
          <w:sz w:val="16"/>
          <w:szCs w:val="16"/>
          <w:lang w:val="es-ES" w:eastAsia="es-ES"/>
        </w:rPr>
        <w:t xml:space="preserve">CIDH, </w:t>
      </w:r>
      <w:hyperlink r:id="rId676" w:history="1">
        <w:r w:rsidRPr="00930562">
          <w:rPr>
            <w:rStyle w:val="Hyperlink"/>
            <w:rFonts w:asciiTheme="minorHAnsi" w:eastAsia="Times New Roman" w:hAnsiTheme="minorHAnsi" w:cstheme="majorHAnsi"/>
            <w:color w:val="808080" w:themeColor="background1" w:themeShade="80"/>
            <w:sz w:val="16"/>
            <w:szCs w:val="16"/>
            <w:lang w:val="es-ES" w:eastAsia="es-ES"/>
          </w:rPr>
          <w:t>La situación</w:t>
        </w:r>
        <w:r w:rsidRPr="00930562">
          <w:rPr>
            <w:rStyle w:val="Hyperlink"/>
            <w:rFonts w:asciiTheme="minorHAnsi" w:eastAsia="Times New Roman" w:hAnsiTheme="minorHAnsi" w:cstheme="majorHAnsi"/>
            <w:color w:val="808080" w:themeColor="background1" w:themeShade="80"/>
            <w:sz w:val="16"/>
            <w:szCs w:val="16"/>
            <w:lang w:val="es-ES_tradnl" w:eastAsia="es-ES"/>
          </w:rPr>
          <w:t xml:space="preserve"> de las personas afrodescendientes en las Américas</w:t>
        </w:r>
      </w:hyperlink>
      <w:r w:rsidRPr="00930562">
        <w:rPr>
          <w:rFonts w:asciiTheme="minorHAnsi" w:eastAsia="Times New Roman" w:hAnsiTheme="minorHAnsi" w:cstheme="majorHAnsi"/>
          <w:color w:val="808080" w:themeColor="background1" w:themeShade="80"/>
          <w:sz w:val="16"/>
          <w:szCs w:val="16"/>
          <w:lang w:val="es-ES_tradnl" w:eastAsia="es-ES"/>
        </w:rPr>
        <w:t xml:space="preserve"> (2011), párr.</w:t>
      </w:r>
      <w:r w:rsidRPr="00930562">
        <w:rPr>
          <w:rFonts w:asciiTheme="minorHAnsi" w:hAnsiTheme="minorHAnsi" w:cstheme="majorHAnsi"/>
          <w:color w:val="808080" w:themeColor="background1" w:themeShade="80"/>
          <w:sz w:val="16"/>
          <w:szCs w:val="16"/>
          <w:lang w:val="es-ES"/>
        </w:rPr>
        <w:t xml:space="preserve"> 128</w:t>
      </w:r>
    </w:p>
  </w:footnote>
  <w:footnote w:id="641">
    <w:p w14:paraId="17E06080" w14:textId="77777777" w:rsidR="00F64540" w:rsidRPr="00930562" w:rsidRDefault="00F64540" w:rsidP="00E10935">
      <w:pPr>
        <w:spacing w:after="40" w:line="240" w:lineRule="auto"/>
        <w:ind w:left="547" w:hanging="547"/>
        <w:jc w:val="both"/>
        <w:rPr>
          <w:rFonts w:asciiTheme="minorHAnsi" w:hAnsiTheme="minorHAnsi" w:cstheme="majorHAnsi"/>
          <w:iCs/>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i/>
          <w:color w:val="808080" w:themeColor="background1" w:themeShade="80"/>
          <w:sz w:val="16"/>
          <w:szCs w:val="16"/>
          <w:lang w:val="es-ES"/>
        </w:rPr>
        <w:tab/>
      </w:r>
      <w:r w:rsidRPr="00930562">
        <w:rPr>
          <w:rFonts w:asciiTheme="minorHAnsi" w:hAnsiTheme="minorHAnsi" w:cstheme="majorHAnsi"/>
          <w:color w:val="808080" w:themeColor="background1" w:themeShade="80"/>
          <w:sz w:val="16"/>
          <w:szCs w:val="16"/>
          <w:lang w:val="es-ES"/>
        </w:rPr>
        <w:t xml:space="preserve">CIDH, </w:t>
      </w:r>
      <w:hyperlink r:id="rId677" w:history="1">
        <w:r w:rsidRPr="00930562">
          <w:rPr>
            <w:rStyle w:val="Hyperlink"/>
            <w:rFonts w:asciiTheme="minorHAnsi" w:hAnsiTheme="minorHAnsi" w:cstheme="majorHAnsi"/>
            <w:color w:val="808080" w:themeColor="background1" w:themeShade="80"/>
            <w:sz w:val="16"/>
            <w:szCs w:val="16"/>
            <w:lang w:val="es-ES"/>
          </w:rPr>
          <w:t>Derecho a la verdad en las Américas</w:t>
        </w:r>
      </w:hyperlink>
      <w:r w:rsidRPr="00930562">
        <w:rPr>
          <w:rFonts w:asciiTheme="minorHAnsi" w:hAnsiTheme="minorHAnsi" w:cstheme="majorHAnsi"/>
          <w:color w:val="808080" w:themeColor="background1" w:themeShade="80"/>
          <w:sz w:val="16"/>
          <w:szCs w:val="16"/>
          <w:lang w:val="es-ES"/>
        </w:rPr>
        <w:t xml:space="preserve"> (2014), párr. </w:t>
      </w:r>
      <w:r w:rsidRPr="00930562">
        <w:rPr>
          <w:rFonts w:asciiTheme="minorHAnsi" w:hAnsiTheme="minorHAnsi" w:cstheme="majorHAnsi"/>
          <w:color w:val="808080" w:themeColor="background1" w:themeShade="80"/>
          <w:sz w:val="16"/>
          <w:szCs w:val="16"/>
          <w:lang w:val="es-VE"/>
        </w:rPr>
        <w:t xml:space="preserve">122 (citando Corte IDH. </w:t>
      </w:r>
      <w:r w:rsidRPr="00930562">
        <w:rPr>
          <w:rFonts w:asciiTheme="minorHAnsi" w:hAnsiTheme="minorHAnsi" w:cstheme="majorHAnsi"/>
          <w:i/>
          <w:color w:val="808080" w:themeColor="background1" w:themeShade="80"/>
          <w:sz w:val="16"/>
          <w:szCs w:val="16"/>
          <w:lang w:val="es-VE"/>
        </w:rPr>
        <w:t>Velásquez Rodríguez</w:t>
      </w:r>
      <w:r w:rsidRPr="00930562">
        <w:rPr>
          <w:rFonts w:asciiTheme="minorHAnsi" w:hAnsiTheme="minorHAnsi" w:cstheme="majorHAnsi"/>
          <w:color w:val="808080" w:themeColor="background1" w:themeShade="80"/>
          <w:sz w:val="16"/>
          <w:szCs w:val="16"/>
          <w:lang w:val="es-VE"/>
        </w:rPr>
        <w:t xml:space="preserve">, Ser. C No. 7 (1989), párr. </w:t>
      </w:r>
      <w:r w:rsidRPr="00930562">
        <w:rPr>
          <w:rFonts w:asciiTheme="minorHAnsi" w:hAnsiTheme="minorHAnsi" w:cstheme="majorHAnsi"/>
          <w:color w:val="808080" w:themeColor="background1" w:themeShade="80"/>
          <w:sz w:val="16"/>
          <w:szCs w:val="16"/>
          <w:lang w:val="es-ES"/>
        </w:rPr>
        <w:t>25)</w:t>
      </w:r>
      <w:r w:rsidRPr="00930562">
        <w:rPr>
          <w:rFonts w:asciiTheme="minorHAnsi" w:hAnsiTheme="minorHAnsi" w:cstheme="majorHAnsi"/>
          <w:iCs/>
          <w:color w:val="808080" w:themeColor="background1" w:themeShade="80"/>
          <w:sz w:val="16"/>
          <w:szCs w:val="16"/>
          <w:lang w:val="es-ES"/>
        </w:rPr>
        <w:t>.</w:t>
      </w:r>
    </w:p>
  </w:footnote>
  <w:footnote w:id="642">
    <w:p w14:paraId="15E2C7F9"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CIDH, </w:t>
      </w:r>
      <w:hyperlink r:id="rId678" w:history="1">
        <w:r w:rsidRPr="00930562">
          <w:rPr>
            <w:rStyle w:val="Hyperlink"/>
            <w:rFonts w:asciiTheme="minorHAnsi" w:hAnsiTheme="minorHAnsi" w:cstheme="majorHAnsi"/>
            <w:color w:val="808080" w:themeColor="background1" w:themeShade="80"/>
            <w:sz w:val="16"/>
            <w:szCs w:val="16"/>
            <w:lang w:val="es-ES"/>
          </w:rPr>
          <w:t>Derecho a la verdad en las Américas</w:t>
        </w:r>
      </w:hyperlink>
      <w:r w:rsidRPr="00930562">
        <w:rPr>
          <w:rFonts w:asciiTheme="minorHAnsi" w:hAnsiTheme="minorHAnsi" w:cstheme="majorHAnsi"/>
          <w:color w:val="808080" w:themeColor="background1" w:themeShade="80"/>
          <w:sz w:val="16"/>
          <w:szCs w:val="16"/>
          <w:lang w:val="es-ES"/>
        </w:rPr>
        <w:t xml:space="preserve"> (2014), párr. 122 (cita omitida).</w:t>
      </w:r>
    </w:p>
  </w:footnote>
  <w:footnote w:id="643">
    <w:p w14:paraId="381E5B26"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Id. (citando CIDH, </w:t>
      </w:r>
      <w:hyperlink r:id="rId679" w:history="1">
        <w:r w:rsidRPr="00930562">
          <w:rPr>
            <w:rStyle w:val="Hyperlink"/>
            <w:rFonts w:asciiTheme="minorHAnsi" w:hAnsiTheme="minorHAnsi" w:cstheme="majorHAnsi"/>
            <w:color w:val="808080" w:themeColor="background1" w:themeShade="80"/>
            <w:sz w:val="16"/>
            <w:szCs w:val="16"/>
            <w:lang w:val="es-ES"/>
          </w:rPr>
          <w:t>Lineamientos principales para una política integral de reparaciones</w:t>
        </w:r>
      </w:hyperlink>
      <w:r w:rsidRPr="00930562">
        <w:rPr>
          <w:rFonts w:asciiTheme="minorHAnsi" w:hAnsiTheme="minorHAnsi" w:cstheme="majorHAnsi"/>
          <w:color w:val="808080" w:themeColor="background1" w:themeShade="80"/>
          <w:sz w:val="16"/>
          <w:szCs w:val="16"/>
          <w:lang w:val="es-ES"/>
        </w:rPr>
        <w:t>, OEA/Ser/L/V/II.131, Doc. 1, 19 de febrero de 2008).</w:t>
      </w:r>
    </w:p>
  </w:footnote>
  <w:footnote w:id="644">
    <w:p w14:paraId="7F9B836A"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ONU, </w:t>
      </w:r>
      <w:hyperlink r:id="rId680" w:history="1">
        <w:r w:rsidRPr="00930562">
          <w:rPr>
            <w:rStyle w:val="Hyperlink"/>
            <w:rFonts w:asciiTheme="minorHAnsi" w:hAnsiTheme="minorHAnsi" w:cstheme="majorHAnsi"/>
            <w:color w:val="808080" w:themeColor="background1" w:themeShade="80"/>
            <w:sz w:val="16"/>
            <w:szCs w:val="16"/>
            <w:lang w:val="es-ES"/>
          </w:rPr>
          <w:t>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930562">
        <w:rPr>
          <w:rFonts w:asciiTheme="minorHAnsi" w:hAnsiTheme="minorHAnsi" w:cstheme="majorHAnsi"/>
          <w:color w:val="808080" w:themeColor="background1" w:themeShade="80"/>
          <w:sz w:val="16"/>
          <w:szCs w:val="16"/>
          <w:lang w:val="es-ES"/>
        </w:rPr>
        <w:t xml:space="preserve"> [en adelante “Principios de la ONU sobre el derecho a interponer recursos y obtener reparaciones”], adoptados por la Asamblea General, Resolución 60/147 del 16 de diciembre de 2005, párr. 11.</w:t>
      </w:r>
    </w:p>
  </w:footnote>
  <w:footnote w:id="645">
    <w:p w14:paraId="0C0D65B5"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hyperlink r:id="rId681" w:history="1">
        <w:r w:rsidRPr="00930562">
          <w:rPr>
            <w:rStyle w:val="Hyperlink"/>
            <w:rFonts w:asciiTheme="minorHAnsi" w:hAnsiTheme="minorHAnsi" w:cstheme="majorHAnsi"/>
            <w:color w:val="808080" w:themeColor="background1" w:themeShade="80"/>
            <w:sz w:val="16"/>
            <w:szCs w:val="16"/>
            <w:lang w:val="es-ES"/>
          </w:rPr>
          <w:t>Principios de la ONU sobre el derecho a interponer recursos y obtener reparaciones</w:t>
        </w:r>
      </w:hyperlink>
      <w:r w:rsidRPr="00930562">
        <w:rPr>
          <w:rFonts w:asciiTheme="minorHAnsi" w:hAnsiTheme="minorHAnsi" w:cstheme="majorHAnsi"/>
          <w:color w:val="808080" w:themeColor="background1" w:themeShade="80"/>
          <w:sz w:val="16"/>
          <w:szCs w:val="16"/>
          <w:lang w:val="es-ES"/>
        </w:rPr>
        <w:t>, párr. 12.</w:t>
      </w:r>
    </w:p>
  </w:footnote>
  <w:footnote w:id="646">
    <w:p w14:paraId="79038F51"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MX"/>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hyperlink r:id="rId682" w:history="1">
        <w:r w:rsidRPr="00930562">
          <w:rPr>
            <w:rStyle w:val="Hyperlink"/>
            <w:rFonts w:asciiTheme="minorHAnsi" w:hAnsiTheme="minorHAnsi" w:cstheme="majorHAnsi"/>
            <w:color w:val="808080" w:themeColor="background1" w:themeShade="80"/>
            <w:sz w:val="16"/>
            <w:szCs w:val="16"/>
            <w:lang w:val="es-ES"/>
          </w:rPr>
          <w:t>Principios de la ONU sobre el derecho a interponer recursos y obtener reparaciones</w:t>
        </w:r>
      </w:hyperlink>
      <w:r w:rsidRPr="00930562">
        <w:rPr>
          <w:rFonts w:asciiTheme="minorHAnsi" w:hAnsiTheme="minorHAnsi" w:cstheme="majorHAnsi"/>
          <w:color w:val="808080" w:themeColor="background1" w:themeShade="80"/>
          <w:sz w:val="16"/>
          <w:szCs w:val="16"/>
          <w:lang w:val="es-ES"/>
        </w:rPr>
        <w:t xml:space="preserve">, párr. </w:t>
      </w:r>
      <w:r w:rsidRPr="00930562">
        <w:rPr>
          <w:rFonts w:asciiTheme="minorHAnsi" w:hAnsiTheme="minorHAnsi" w:cstheme="majorHAnsi"/>
          <w:color w:val="808080" w:themeColor="background1" w:themeShade="80"/>
          <w:sz w:val="16"/>
          <w:szCs w:val="16"/>
          <w:lang w:val="es-MX"/>
        </w:rPr>
        <w:t>14.</w:t>
      </w:r>
    </w:p>
  </w:footnote>
  <w:footnote w:id="647">
    <w:p w14:paraId="189E09F8"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MX"/>
        </w:rPr>
        <w:tab/>
        <w:t xml:space="preserve">Corte IDH. </w:t>
      </w:r>
      <w:r w:rsidRPr="00930562">
        <w:rPr>
          <w:rFonts w:asciiTheme="minorHAnsi" w:hAnsiTheme="minorHAnsi" w:cstheme="majorHAnsi"/>
          <w:i/>
          <w:color w:val="808080" w:themeColor="background1" w:themeShade="80"/>
          <w:sz w:val="16"/>
          <w:szCs w:val="16"/>
          <w:lang w:val="es-MX"/>
        </w:rPr>
        <w:t>Campo Algodonero,</w:t>
      </w:r>
      <w:r w:rsidRPr="00930562">
        <w:rPr>
          <w:rFonts w:asciiTheme="minorHAnsi" w:hAnsiTheme="minorHAnsi" w:cstheme="majorHAnsi"/>
          <w:color w:val="808080" w:themeColor="background1" w:themeShade="80"/>
          <w:sz w:val="16"/>
          <w:szCs w:val="16"/>
          <w:lang w:val="es-MX"/>
        </w:rPr>
        <w:t xml:space="preserve"> Ser. </w:t>
      </w:r>
      <w:r w:rsidRPr="00930562">
        <w:rPr>
          <w:rFonts w:asciiTheme="minorHAnsi" w:hAnsiTheme="minorHAnsi" w:cstheme="majorHAnsi"/>
          <w:color w:val="808080" w:themeColor="background1" w:themeShade="80"/>
          <w:sz w:val="16"/>
          <w:szCs w:val="16"/>
          <w:lang w:val="es-ES"/>
        </w:rPr>
        <w:t>C No. 205 (2009), párr. 450.</w:t>
      </w:r>
    </w:p>
  </w:footnote>
  <w:footnote w:id="648">
    <w:p w14:paraId="01F12605"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hyperlink r:id="rId683" w:history="1">
        <w:r w:rsidRPr="00930562">
          <w:rPr>
            <w:rStyle w:val="Hyperlink"/>
            <w:rFonts w:asciiTheme="minorHAnsi" w:hAnsiTheme="minorHAnsi" w:cstheme="majorHAnsi"/>
            <w:color w:val="808080" w:themeColor="background1" w:themeShade="80"/>
            <w:sz w:val="16"/>
            <w:szCs w:val="16"/>
            <w:lang w:val="es-ES"/>
          </w:rPr>
          <w:t>Principios de la ONU sobre el derecho a interponer recursos y obtener reparaciones</w:t>
        </w:r>
      </w:hyperlink>
      <w:r w:rsidRPr="00930562">
        <w:rPr>
          <w:rFonts w:asciiTheme="minorHAnsi" w:hAnsiTheme="minorHAnsi" w:cstheme="majorHAnsi"/>
          <w:color w:val="808080" w:themeColor="background1" w:themeShade="80"/>
          <w:sz w:val="16"/>
          <w:szCs w:val="16"/>
          <w:lang w:val="es-ES"/>
        </w:rPr>
        <w:t>, párr. 15.</w:t>
      </w:r>
    </w:p>
  </w:footnote>
  <w:footnote w:id="649">
    <w:p w14:paraId="1B4C46C4"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MX"/>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CIDH, </w:t>
      </w:r>
      <w:hyperlink r:id="rId684" w:history="1">
        <w:r w:rsidRPr="00930562">
          <w:rPr>
            <w:rStyle w:val="Hyperlink"/>
            <w:rFonts w:asciiTheme="minorHAnsi" w:hAnsiTheme="minorHAnsi" w:cstheme="majorHAnsi"/>
            <w:color w:val="808080" w:themeColor="background1" w:themeShade="80"/>
            <w:sz w:val="16"/>
            <w:szCs w:val="16"/>
            <w:lang w:val="es-ES"/>
          </w:rPr>
          <w:t>Derecho a la verdad en las Américas</w:t>
        </w:r>
      </w:hyperlink>
      <w:r w:rsidRPr="00930562">
        <w:rPr>
          <w:rFonts w:asciiTheme="minorHAnsi" w:hAnsiTheme="minorHAnsi" w:cstheme="majorHAnsi"/>
          <w:color w:val="808080" w:themeColor="background1" w:themeShade="80"/>
          <w:sz w:val="16"/>
          <w:szCs w:val="16"/>
          <w:lang w:val="es-ES"/>
        </w:rPr>
        <w:t xml:space="preserve"> (2014), párr. 123 (CIDH, </w:t>
      </w:r>
      <w:hyperlink r:id="rId685" w:history="1">
        <w:r w:rsidRPr="00930562">
          <w:rPr>
            <w:rStyle w:val="Hyperlink"/>
            <w:rFonts w:asciiTheme="minorHAnsi" w:hAnsiTheme="minorHAnsi" w:cstheme="majorHAnsi"/>
            <w:color w:val="808080" w:themeColor="background1" w:themeShade="80"/>
            <w:sz w:val="16"/>
            <w:szCs w:val="16"/>
            <w:lang w:val="es-ES"/>
          </w:rPr>
          <w:t>Lineamientos principales para una política integral de reparaciones</w:t>
        </w:r>
      </w:hyperlink>
      <w:r w:rsidRPr="00930562">
        <w:rPr>
          <w:rFonts w:asciiTheme="minorHAnsi" w:hAnsiTheme="minorHAnsi" w:cstheme="majorHAnsi"/>
          <w:color w:val="808080" w:themeColor="background1" w:themeShade="80"/>
          <w:sz w:val="16"/>
          <w:szCs w:val="16"/>
          <w:lang w:val="es-ES"/>
        </w:rPr>
        <w:t xml:space="preserve">, OEA/Ser/L/V/II.131, Doc. 1, 19 de febrero de 2008; Corte IDH. </w:t>
      </w:r>
      <w:r w:rsidRPr="00930562">
        <w:rPr>
          <w:rFonts w:asciiTheme="minorHAnsi" w:hAnsiTheme="minorHAnsi" w:cstheme="majorHAnsi"/>
          <w:i/>
          <w:color w:val="808080" w:themeColor="background1" w:themeShade="80"/>
          <w:sz w:val="16"/>
          <w:szCs w:val="16"/>
          <w:lang w:val="es-ES"/>
        </w:rPr>
        <w:t>Caso Myrna Mack Chang vs. Guatemala</w:t>
      </w:r>
      <w:r w:rsidRPr="00930562">
        <w:rPr>
          <w:rFonts w:asciiTheme="minorHAnsi" w:hAnsiTheme="minorHAnsi" w:cstheme="majorHAnsi"/>
          <w:color w:val="808080" w:themeColor="background1" w:themeShade="80"/>
          <w:sz w:val="16"/>
          <w:szCs w:val="16"/>
          <w:lang w:val="es-ES"/>
        </w:rPr>
        <w:t xml:space="preserve">. Fondo, Reparaciones y Costas. Sentencia de 25 de noviembre de 2003. Serie C No. 101, párrs. 236-237; </w:t>
      </w:r>
      <w:r w:rsidRPr="00930562">
        <w:rPr>
          <w:rFonts w:asciiTheme="minorHAnsi" w:hAnsiTheme="minorHAnsi" w:cstheme="majorHAnsi"/>
          <w:i/>
          <w:color w:val="808080" w:themeColor="background1" w:themeShade="80"/>
          <w:sz w:val="16"/>
          <w:szCs w:val="16"/>
          <w:lang w:val="es-ES"/>
        </w:rPr>
        <w:t>Caso del Caracazo vs. Venezuela</w:t>
      </w:r>
      <w:r w:rsidRPr="00930562">
        <w:rPr>
          <w:rFonts w:asciiTheme="minorHAnsi" w:hAnsiTheme="minorHAnsi" w:cstheme="majorHAnsi"/>
          <w:color w:val="808080" w:themeColor="background1" w:themeShade="80"/>
          <w:sz w:val="16"/>
          <w:szCs w:val="16"/>
          <w:lang w:val="es-ES"/>
        </w:rPr>
        <w:t xml:space="preserve">. Reparaciones y Costas. Sentencia de 29 de agosto de 2002. Serie C No. 95, párrs. 77-78; </w:t>
      </w:r>
      <w:r w:rsidRPr="00930562">
        <w:rPr>
          <w:rFonts w:asciiTheme="minorHAnsi" w:hAnsiTheme="minorHAnsi" w:cstheme="majorHAnsi"/>
          <w:i/>
          <w:color w:val="808080" w:themeColor="background1" w:themeShade="80"/>
          <w:sz w:val="16"/>
          <w:szCs w:val="16"/>
          <w:lang w:val="es-ES"/>
        </w:rPr>
        <w:t>Caso Blake vs. Guatemala</w:t>
      </w:r>
      <w:r w:rsidRPr="00930562">
        <w:rPr>
          <w:rFonts w:asciiTheme="minorHAnsi" w:hAnsiTheme="minorHAnsi" w:cstheme="majorHAnsi"/>
          <w:color w:val="808080" w:themeColor="background1" w:themeShade="80"/>
          <w:sz w:val="16"/>
          <w:szCs w:val="16"/>
          <w:lang w:val="es-ES"/>
        </w:rPr>
        <w:t xml:space="preserve">. Reparaciones y Costas. Sentencia de 22 de enero de 1999. </w:t>
      </w:r>
      <w:r w:rsidRPr="00930562">
        <w:rPr>
          <w:rFonts w:asciiTheme="minorHAnsi" w:hAnsiTheme="minorHAnsi" w:cstheme="majorHAnsi"/>
          <w:color w:val="808080" w:themeColor="background1" w:themeShade="80"/>
          <w:sz w:val="16"/>
          <w:szCs w:val="16"/>
          <w:lang w:val="es-MX"/>
        </w:rPr>
        <w:t xml:space="preserve">Serie C No. 48. párrs. 31-32). </w:t>
      </w:r>
    </w:p>
  </w:footnote>
  <w:footnote w:id="650">
    <w:p w14:paraId="5843827A"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MX"/>
        </w:rPr>
        <w:tab/>
        <w:t xml:space="preserve">Corte IDH. </w:t>
      </w:r>
      <w:r w:rsidRPr="00930562">
        <w:rPr>
          <w:rFonts w:asciiTheme="minorHAnsi" w:hAnsiTheme="minorHAnsi" w:cstheme="majorHAnsi"/>
          <w:i/>
          <w:color w:val="808080" w:themeColor="background1" w:themeShade="80"/>
          <w:sz w:val="16"/>
          <w:szCs w:val="16"/>
          <w:lang w:val="es-MX"/>
        </w:rPr>
        <w:t>Campo Algodonero,</w:t>
      </w:r>
      <w:r w:rsidRPr="00930562">
        <w:rPr>
          <w:rFonts w:asciiTheme="minorHAnsi" w:hAnsiTheme="minorHAnsi" w:cstheme="majorHAnsi"/>
          <w:color w:val="808080" w:themeColor="background1" w:themeShade="80"/>
          <w:sz w:val="16"/>
          <w:szCs w:val="16"/>
          <w:lang w:val="es-MX"/>
        </w:rPr>
        <w:t xml:space="preserve"> Ser. </w:t>
      </w:r>
      <w:r w:rsidRPr="00930562">
        <w:rPr>
          <w:rFonts w:asciiTheme="minorHAnsi" w:hAnsiTheme="minorHAnsi" w:cstheme="majorHAnsi"/>
          <w:color w:val="808080" w:themeColor="background1" w:themeShade="80"/>
          <w:sz w:val="16"/>
          <w:szCs w:val="16"/>
          <w:lang w:val="es-ES"/>
        </w:rPr>
        <w:t>C No. 205 (2009), párr. 450.</w:t>
      </w:r>
    </w:p>
  </w:footnote>
  <w:footnote w:id="651">
    <w:p w14:paraId="30F178C8"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hyperlink r:id="rId686" w:history="1">
        <w:r w:rsidRPr="00930562">
          <w:rPr>
            <w:rStyle w:val="Hyperlink"/>
            <w:rFonts w:asciiTheme="minorHAnsi" w:hAnsiTheme="minorHAnsi" w:cstheme="majorHAnsi"/>
            <w:color w:val="808080" w:themeColor="background1" w:themeShade="80"/>
            <w:sz w:val="16"/>
            <w:szCs w:val="16"/>
            <w:lang w:val="es-ES"/>
          </w:rPr>
          <w:t>Principios de la ONU sobre el derecho a interponer recursos y obtener reparaciones</w:t>
        </w:r>
      </w:hyperlink>
      <w:r w:rsidRPr="00930562">
        <w:rPr>
          <w:rFonts w:asciiTheme="minorHAnsi" w:hAnsiTheme="minorHAnsi" w:cstheme="majorHAnsi"/>
          <w:color w:val="808080" w:themeColor="background1" w:themeShade="80"/>
          <w:sz w:val="16"/>
          <w:szCs w:val="16"/>
          <w:lang w:val="es-ES"/>
        </w:rPr>
        <w:t>, párr. 15.</w:t>
      </w:r>
    </w:p>
  </w:footnote>
  <w:footnote w:id="652">
    <w:p w14:paraId="3AB3712A"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hyperlink r:id="rId687" w:history="1">
        <w:r w:rsidRPr="00930562">
          <w:rPr>
            <w:rStyle w:val="Hyperlink"/>
            <w:rFonts w:asciiTheme="minorHAnsi" w:hAnsiTheme="minorHAnsi" w:cstheme="majorHAnsi"/>
            <w:color w:val="808080" w:themeColor="background1" w:themeShade="80"/>
            <w:sz w:val="16"/>
            <w:szCs w:val="16"/>
            <w:lang w:val="es-ES"/>
          </w:rPr>
          <w:t>Principios de la ONU sobre el derecho a interponer recursos y obtener reparaciones</w:t>
        </w:r>
      </w:hyperlink>
      <w:r w:rsidRPr="00930562">
        <w:rPr>
          <w:rFonts w:asciiTheme="minorHAnsi" w:hAnsiTheme="minorHAnsi" w:cstheme="majorHAnsi"/>
          <w:color w:val="808080" w:themeColor="background1" w:themeShade="80"/>
          <w:sz w:val="16"/>
          <w:szCs w:val="16"/>
          <w:lang w:val="es-ES"/>
        </w:rPr>
        <w:t>, párr. 16.</w:t>
      </w:r>
    </w:p>
  </w:footnote>
  <w:footnote w:id="653">
    <w:p w14:paraId="1109304D"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CIDH, </w:t>
      </w:r>
      <w:hyperlink r:id="rId688" w:history="1">
        <w:r w:rsidRPr="00930562">
          <w:rPr>
            <w:rStyle w:val="Hyperlink"/>
            <w:rFonts w:asciiTheme="minorHAnsi" w:hAnsiTheme="minorHAnsi" w:cstheme="majorHAnsi"/>
            <w:color w:val="808080" w:themeColor="background1" w:themeShade="80"/>
            <w:sz w:val="16"/>
            <w:szCs w:val="16"/>
            <w:lang w:val="es-ES"/>
          </w:rPr>
          <w:t>Derecho a la Verdad en las Américas</w:t>
        </w:r>
      </w:hyperlink>
      <w:r w:rsidRPr="00930562">
        <w:rPr>
          <w:rFonts w:asciiTheme="minorHAnsi" w:hAnsiTheme="minorHAnsi" w:cstheme="majorHAnsi"/>
          <w:color w:val="808080" w:themeColor="background1" w:themeShade="80"/>
          <w:sz w:val="16"/>
          <w:szCs w:val="16"/>
          <w:lang w:val="es-ES"/>
        </w:rPr>
        <w:t xml:space="preserve"> (2014), p</w:t>
      </w:r>
      <w:r w:rsidRPr="00930562">
        <w:rPr>
          <w:rFonts w:asciiTheme="minorHAnsi" w:hAnsiTheme="minorHAnsi" w:cstheme="majorHAnsi"/>
          <w:color w:val="808080" w:themeColor="background1" w:themeShade="80"/>
          <w:sz w:val="16"/>
          <w:szCs w:val="16"/>
          <w:lang w:val="es-ES_tradnl"/>
        </w:rPr>
        <w:t>árr</w:t>
      </w:r>
      <w:r w:rsidRPr="00930562">
        <w:rPr>
          <w:rFonts w:asciiTheme="minorHAnsi" w:hAnsiTheme="minorHAnsi" w:cstheme="majorHAnsi"/>
          <w:color w:val="808080" w:themeColor="background1" w:themeShade="80"/>
          <w:sz w:val="16"/>
          <w:szCs w:val="16"/>
          <w:lang w:val="es-ES"/>
        </w:rPr>
        <w:t xml:space="preserve">. 123 (citando Corte IDH. </w:t>
      </w:r>
      <w:r w:rsidRPr="00930562">
        <w:rPr>
          <w:rFonts w:asciiTheme="minorHAnsi" w:hAnsiTheme="minorHAnsi" w:cstheme="majorHAnsi"/>
          <w:i/>
          <w:color w:val="808080" w:themeColor="background1" w:themeShade="80"/>
          <w:sz w:val="16"/>
          <w:szCs w:val="16"/>
          <w:lang w:val="es-ES"/>
        </w:rPr>
        <w:t>Caso de la Masacre de la Rochela vs. Colombia</w:t>
      </w:r>
      <w:r w:rsidRPr="00930562">
        <w:rPr>
          <w:rFonts w:asciiTheme="minorHAnsi" w:hAnsiTheme="minorHAnsi" w:cstheme="majorHAnsi"/>
          <w:color w:val="808080" w:themeColor="background1" w:themeShade="80"/>
          <w:sz w:val="16"/>
          <w:szCs w:val="16"/>
          <w:lang w:val="es-ES"/>
        </w:rPr>
        <w:t>, Sentencia de Fondo y Reparaciones, 11 de mayo de 2007. Serie C No. 163, párr. 220).</w:t>
      </w:r>
    </w:p>
  </w:footnote>
  <w:footnote w:id="654">
    <w:p w14:paraId="288EBDDC"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hyperlink r:id="rId689" w:history="1">
        <w:r w:rsidRPr="00930562">
          <w:rPr>
            <w:rStyle w:val="Hyperlink"/>
            <w:rFonts w:asciiTheme="minorHAnsi" w:hAnsiTheme="minorHAnsi" w:cstheme="majorHAnsi"/>
            <w:color w:val="808080" w:themeColor="background1" w:themeShade="80"/>
            <w:sz w:val="16"/>
            <w:szCs w:val="16"/>
            <w:lang w:val="es-ES"/>
          </w:rPr>
          <w:t>Principios de la ONU sobre el derecho a interponer recursos y obtener reparaciones</w:t>
        </w:r>
      </w:hyperlink>
      <w:r w:rsidRPr="00930562">
        <w:rPr>
          <w:rFonts w:asciiTheme="minorHAnsi" w:hAnsiTheme="minorHAnsi" w:cstheme="majorHAnsi"/>
          <w:color w:val="808080" w:themeColor="background1" w:themeShade="80"/>
          <w:sz w:val="16"/>
          <w:szCs w:val="16"/>
          <w:lang w:val="es-ES"/>
        </w:rPr>
        <w:t>, párr. 15.</w:t>
      </w:r>
    </w:p>
  </w:footnote>
  <w:footnote w:id="655">
    <w:p w14:paraId="07166A21"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hyperlink r:id="rId690" w:history="1">
        <w:r w:rsidRPr="00930562">
          <w:rPr>
            <w:rStyle w:val="Hyperlink"/>
            <w:rFonts w:asciiTheme="minorHAnsi" w:hAnsiTheme="minorHAnsi" w:cstheme="majorHAnsi"/>
            <w:color w:val="808080" w:themeColor="background1" w:themeShade="80"/>
            <w:sz w:val="16"/>
            <w:szCs w:val="16"/>
            <w:lang w:val="es-ES"/>
          </w:rPr>
          <w:t>Principios de la ONU sobre el derecho a interponer recursos y obtener reparaciones</w:t>
        </w:r>
      </w:hyperlink>
      <w:r w:rsidRPr="00930562">
        <w:rPr>
          <w:rFonts w:asciiTheme="minorHAnsi" w:hAnsiTheme="minorHAnsi" w:cstheme="majorHAnsi"/>
          <w:color w:val="808080" w:themeColor="background1" w:themeShade="80"/>
          <w:sz w:val="16"/>
          <w:szCs w:val="16"/>
          <w:lang w:val="es-ES"/>
        </w:rPr>
        <w:t>, párr. 16.</w:t>
      </w:r>
    </w:p>
  </w:footnote>
  <w:footnote w:id="656">
    <w:p w14:paraId="01F2393A"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hyperlink r:id="rId691" w:history="1">
        <w:r w:rsidRPr="00930562">
          <w:rPr>
            <w:rStyle w:val="Hyperlink"/>
            <w:rFonts w:asciiTheme="minorHAnsi" w:hAnsiTheme="minorHAnsi" w:cstheme="majorHAnsi"/>
            <w:color w:val="808080" w:themeColor="background1" w:themeShade="80"/>
            <w:sz w:val="16"/>
            <w:szCs w:val="16"/>
            <w:lang w:val="es-ES"/>
          </w:rPr>
          <w:t>Principios de la ONU sobre el derecho a interponer recursos y obtener reparaciones</w:t>
        </w:r>
      </w:hyperlink>
      <w:r w:rsidRPr="00930562">
        <w:rPr>
          <w:rFonts w:asciiTheme="minorHAnsi" w:hAnsiTheme="minorHAnsi" w:cstheme="majorHAnsi"/>
          <w:color w:val="808080" w:themeColor="background1" w:themeShade="80"/>
          <w:sz w:val="16"/>
          <w:szCs w:val="16"/>
          <w:lang w:val="es-ES"/>
        </w:rPr>
        <w:t>, párr. 15.</w:t>
      </w:r>
    </w:p>
  </w:footnote>
  <w:footnote w:id="657">
    <w:p w14:paraId="448A1341"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Corte IDH. </w:t>
      </w:r>
      <w:r w:rsidRPr="00930562">
        <w:rPr>
          <w:rFonts w:asciiTheme="minorHAnsi" w:hAnsiTheme="minorHAnsi" w:cstheme="majorHAnsi"/>
          <w:i/>
          <w:color w:val="808080" w:themeColor="background1" w:themeShade="80"/>
          <w:sz w:val="16"/>
          <w:szCs w:val="16"/>
          <w:lang w:val="es-ES"/>
        </w:rPr>
        <w:t>Campo Algodonero</w:t>
      </w:r>
      <w:r w:rsidRPr="00930562">
        <w:rPr>
          <w:rFonts w:asciiTheme="minorHAnsi" w:hAnsiTheme="minorHAnsi" w:cstheme="majorHAnsi"/>
          <w:color w:val="808080" w:themeColor="background1" w:themeShade="80"/>
          <w:sz w:val="16"/>
          <w:szCs w:val="16"/>
          <w:lang w:val="es-ES"/>
        </w:rPr>
        <w:t>, Ser. C No. 205 (2009), párr. 450.</w:t>
      </w:r>
    </w:p>
  </w:footnote>
  <w:footnote w:id="658">
    <w:p w14:paraId="00116C67"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hyperlink r:id="rId692" w:history="1">
        <w:r w:rsidRPr="00930562">
          <w:rPr>
            <w:rStyle w:val="Hyperlink"/>
            <w:rFonts w:asciiTheme="minorHAnsi" w:hAnsiTheme="minorHAnsi" w:cstheme="majorHAnsi"/>
            <w:color w:val="808080" w:themeColor="background1" w:themeShade="80"/>
            <w:sz w:val="16"/>
            <w:szCs w:val="16"/>
            <w:lang w:val="es-ES"/>
          </w:rPr>
          <w:t>Principios de la ONU sobre el derecho a interponer recursos y obtener reparaciones</w:t>
        </w:r>
      </w:hyperlink>
      <w:r w:rsidRPr="00930562">
        <w:rPr>
          <w:rFonts w:asciiTheme="minorHAnsi" w:hAnsiTheme="minorHAnsi" w:cstheme="majorHAnsi"/>
          <w:color w:val="808080" w:themeColor="background1" w:themeShade="80"/>
          <w:sz w:val="16"/>
          <w:szCs w:val="16"/>
          <w:lang w:val="es-ES"/>
        </w:rPr>
        <w:t>, párr. 15.</w:t>
      </w:r>
    </w:p>
  </w:footnote>
  <w:footnote w:id="659">
    <w:p w14:paraId="37784FFC"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hyperlink r:id="rId693" w:history="1">
        <w:r w:rsidRPr="00930562">
          <w:rPr>
            <w:rStyle w:val="Hyperlink"/>
            <w:rFonts w:asciiTheme="minorHAnsi" w:hAnsiTheme="minorHAnsi" w:cstheme="majorHAnsi"/>
            <w:color w:val="808080" w:themeColor="background1" w:themeShade="80"/>
            <w:sz w:val="16"/>
            <w:szCs w:val="16"/>
            <w:lang w:val="es-ES"/>
          </w:rPr>
          <w:t>Principios de la ONU sobre el derecho a interponer recursos y obtener reparaciones</w:t>
        </w:r>
      </w:hyperlink>
      <w:r w:rsidRPr="00930562">
        <w:rPr>
          <w:rFonts w:asciiTheme="minorHAnsi" w:hAnsiTheme="minorHAnsi" w:cstheme="majorHAnsi"/>
          <w:color w:val="808080" w:themeColor="background1" w:themeShade="80"/>
          <w:sz w:val="16"/>
          <w:szCs w:val="16"/>
          <w:lang w:val="es-ES"/>
        </w:rPr>
        <w:t>, párr. 17.</w:t>
      </w:r>
    </w:p>
  </w:footnote>
  <w:footnote w:id="660">
    <w:p w14:paraId="1DA1429A"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CIDH, </w:t>
      </w:r>
      <w:hyperlink r:id="rId694" w:history="1">
        <w:r w:rsidRPr="00930562">
          <w:rPr>
            <w:rStyle w:val="Hyperlink"/>
            <w:rFonts w:asciiTheme="minorHAnsi" w:hAnsiTheme="minorHAnsi" w:cstheme="majorHAnsi"/>
            <w:color w:val="808080" w:themeColor="background1" w:themeShade="80"/>
            <w:sz w:val="16"/>
            <w:szCs w:val="16"/>
            <w:lang w:val="es-ES"/>
          </w:rPr>
          <w:t xml:space="preserve">Derecho a la Verdad en las Américas </w:t>
        </w:r>
      </w:hyperlink>
      <w:r w:rsidRPr="00930562">
        <w:rPr>
          <w:rFonts w:asciiTheme="minorHAnsi" w:hAnsiTheme="minorHAnsi" w:cstheme="majorHAnsi"/>
          <w:color w:val="808080" w:themeColor="background1" w:themeShade="80"/>
          <w:sz w:val="16"/>
          <w:szCs w:val="16"/>
          <w:lang w:val="es-ES"/>
        </w:rPr>
        <w:t xml:space="preserve"> (2014), p</w:t>
      </w:r>
      <w:r w:rsidRPr="00930562">
        <w:rPr>
          <w:rFonts w:asciiTheme="minorHAnsi" w:hAnsiTheme="minorHAnsi" w:cstheme="majorHAnsi"/>
          <w:color w:val="808080" w:themeColor="background1" w:themeShade="80"/>
          <w:sz w:val="16"/>
          <w:szCs w:val="16"/>
          <w:lang w:val="es-ES_tradnl"/>
        </w:rPr>
        <w:t>árr</w:t>
      </w:r>
      <w:r w:rsidRPr="00930562">
        <w:rPr>
          <w:rFonts w:asciiTheme="minorHAnsi" w:hAnsiTheme="minorHAnsi" w:cstheme="majorHAnsi"/>
          <w:color w:val="808080" w:themeColor="background1" w:themeShade="80"/>
          <w:sz w:val="16"/>
          <w:szCs w:val="16"/>
          <w:lang w:val="es-ES"/>
        </w:rPr>
        <w:t xml:space="preserve">. 123 (citando Corte IDH. </w:t>
      </w:r>
      <w:r w:rsidRPr="00930562">
        <w:rPr>
          <w:rFonts w:asciiTheme="minorHAnsi" w:hAnsiTheme="minorHAnsi" w:cstheme="majorHAnsi"/>
          <w:i/>
          <w:color w:val="808080" w:themeColor="background1" w:themeShade="80"/>
          <w:sz w:val="16"/>
          <w:szCs w:val="16"/>
          <w:lang w:val="es-ES"/>
        </w:rPr>
        <w:t>Campo Algodonero</w:t>
      </w:r>
      <w:r w:rsidRPr="00930562">
        <w:rPr>
          <w:rFonts w:asciiTheme="minorHAnsi" w:hAnsiTheme="minorHAnsi" w:cstheme="majorHAnsi"/>
          <w:color w:val="808080" w:themeColor="background1" w:themeShade="80"/>
          <w:sz w:val="16"/>
          <w:szCs w:val="16"/>
          <w:lang w:val="es-ES"/>
        </w:rPr>
        <w:t>, Ser. C No. 205 (2009), párr. 450).</w:t>
      </w:r>
    </w:p>
  </w:footnote>
  <w:footnote w:id="661">
    <w:p w14:paraId="4E84DD12"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Corte IDH. </w:t>
      </w:r>
      <w:r w:rsidRPr="00930562">
        <w:rPr>
          <w:rFonts w:asciiTheme="minorHAnsi" w:hAnsiTheme="minorHAnsi" w:cstheme="majorHAnsi"/>
          <w:i/>
          <w:color w:val="808080" w:themeColor="background1" w:themeShade="80"/>
          <w:sz w:val="16"/>
          <w:szCs w:val="16"/>
          <w:lang w:val="es-ES"/>
        </w:rPr>
        <w:t>Campo Algodonero</w:t>
      </w:r>
      <w:r w:rsidRPr="00930562">
        <w:rPr>
          <w:rFonts w:asciiTheme="minorHAnsi" w:hAnsiTheme="minorHAnsi" w:cstheme="majorHAnsi"/>
          <w:color w:val="808080" w:themeColor="background1" w:themeShade="80"/>
          <w:sz w:val="16"/>
          <w:szCs w:val="16"/>
          <w:lang w:val="es-ES"/>
        </w:rPr>
        <w:t>, Ser. C No. 205 (2009), párr. 450.</w:t>
      </w:r>
    </w:p>
  </w:footnote>
  <w:footnote w:id="662">
    <w:p w14:paraId="5A21CE2F"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hAnsiTheme="minorHAnsi" w:cstheme="majorHAnsi"/>
          <w:i/>
          <w:color w:val="808080" w:themeColor="background1" w:themeShade="80"/>
          <w:sz w:val="16"/>
          <w:szCs w:val="16"/>
          <w:lang w:val="es-ES"/>
        </w:rPr>
        <w:t>Ver también supra</w:t>
      </w:r>
      <w:r w:rsidRPr="00930562">
        <w:rPr>
          <w:rFonts w:asciiTheme="minorHAnsi" w:hAnsiTheme="minorHAnsi" w:cstheme="majorHAnsi"/>
          <w:color w:val="808080" w:themeColor="background1" w:themeShade="80"/>
          <w:sz w:val="16"/>
          <w:szCs w:val="16"/>
          <w:lang w:val="es-ES"/>
        </w:rPr>
        <w:t xml:space="preserve"> párrs. </w:t>
      </w:r>
      <w:r w:rsidRPr="00930562">
        <w:rPr>
          <w:rFonts w:asciiTheme="minorHAnsi" w:hAnsiTheme="minorHAnsi"/>
          <w:color w:val="808080" w:themeColor="background1" w:themeShade="80"/>
          <w:sz w:val="16"/>
          <w:szCs w:val="16"/>
        </w:rPr>
        <w:fldChar w:fldCharType="begin"/>
      </w:r>
      <w:r w:rsidRPr="00930562">
        <w:rPr>
          <w:rFonts w:asciiTheme="minorHAnsi" w:hAnsiTheme="minorHAnsi"/>
          <w:color w:val="808080" w:themeColor="background1" w:themeShade="80"/>
          <w:sz w:val="16"/>
          <w:szCs w:val="16"/>
          <w:lang w:val="es-ES"/>
        </w:rPr>
        <w:instrText xml:space="preserve"> REF _Ref507497216 \r \h  \* MERGEFORMAT </w:instrText>
      </w:r>
      <w:r w:rsidRPr="00930562">
        <w:rPr>
          <w:rFonts w:asciiTheme="minorHAnsi" w:hAnsiTheme="minorHAnsi"/>
          <w:color w:val="808080" w:themeColor="background1" w:themeShade="80"/>
          <w:sz w:val="16"/>
          <w:szCs w:val="16"/>
        </w:rPr>
      </w:r>
      <w:r w:rsidRPr="00930562">
        <w:rPr>
          <w:rFonts w:asciiTheme="minorHAnsi" w:hAnsiTheme="minorHAnsi"/>
          <w:color w:val="808080" w:themeColor="background1" w:themeShade="80"/>
          <w:sz w:val="16"/>
          <w:szCs w:val="16"/>
        </w:rPr>
        <w:fldChar w:fldCharType="separate"/>
      </w:r>
      <w:r w:rsidRPr="00930562">
        <w:rPr>
          <w:rFonts w:asciiTheme="minorHAnsi" w:hAnsiTheme="minorHAnsi" w:cstheme="majorHAnsi"/>
          <w:color w:val="808080" w:themeColor="background1" w:themeShade="80"/>
          <w:sz w:val="16"/>
          <w:szCs w:val="16"/>
          <w:lang w:val="es-ES"/>
        </w:rPr>
        <w:t>248</w:t>
      </w:r>
      <w:r w:rsidRPr="00930562">
        <w:rPr>
          <w:rFonts w:asciiTheme="minorHAnsi" w:hAnsiTheme="minorHAnsi"/>
          <w:color w:val="808080" w:themeColor="background1" w:themeShade="80"/>
          <w:sz w:val="16"/>
          <w:szCs w:val="16"/>
        </w:rPr>
        <w:fldChar w:fldCharType="end"/>
      </w:r>
      <w:r w:rsidRPr="00930562">
        <w:rPr>
          <w:rFonts w:asciiTheme="minorHAnsi" w:hAnsiTheme="minorHAnsi" w:cstheme="majorHAnsi"/>
          <w:color w:val="808080" w:themeColor="background1" w:themeShade="80"/>
          <w:sz w:val="16"/>
          <w:szCs w:val="16"/>
          <w:lang w:val="es-ES"/>
        </w:rPr>
        <w:t>-</w:t>
      </w:r>
      <w:r w:rsidRPr="00930562">
        <w:rPr>
          <w:rFonts w:asciiTheme="minorHAnsi" w:hAnsiTheme="minorHAnsi"/>
          <w:color w:val="808080" w:themeColor="background1" w:themeShade="80"/>
          <w:sz w:val="16"/>
          <w:szCs w:val="16"/>
        </w:rPr>
        <w:fldChar w:fldCharType="begin"/>
      </w:r>
      <w:r w:rsidRPr="00930562">
        <w:rPr>
          <w:rFonts w:asciiTheme="minorHAnsi" w:hAnsiTheme="minorHAnsi"/>
          <w:color w:val="808080" w:themeColor="background1" w:themeShade="80"/>
          <w:sz w:val="16"/>
          <w:szCs w:val="16"/>
          <w:lang w:val="es-ES"/>
        </w:rPr>
        <w:instrText xml:space="preserve"> REF _Ref507497229 \r \h  \* MERGEFORMAT </w:instrText>
      </w:r>
      <w:r w:rsidRPr="00930562">
        <w:rPr>
          <w:rFonts w:asciiTheme="minorHAnsi" w:hAnsiTheme="minorHAnsi"/>
          <w:color w:val="808080" w:themeColor="background1" w:themeShade="80"/>
          <w:sz w:val="16"/>
          <w:szCs w:val="16"/>
        </w:rPr>
      </w:r>
      <w:r w:rsidRPr="00930562">
        <w:rPr>
          <w:rFonts w:asciiTheme="minorHAnsi" w:hAnsiTheme="minorHAnsi"/>
          <w:color w:val="808080" w:themeColor="background1" w:themeShade="80"/>
          <w:sz w:val="16"/>
          <w:szCs w:val="16"/>
        </w:rPr>
        <w:fldChar w:fldCharType="separate"/>
      </w:r>
      <w:r w:rsidRPr="00930562">
        <w:rPr>
          <w:rFonts w:asciiTheme="minorHAnsi" w:hAnsiTheme="minorHAnsi" w:cstheme="majorHAnsi"/>
          <w:color w:val="808080" w:themeColor="background1" w:themeShade="80"/>
          <w:sz w:val="16"/>
          <w:szCs w:val="16"/>
          <w:lang w:val="es-ES"/>
        </w:rPr>
        <w:t>250</w:t>
      </w:r>
      <w:r w:rsidRPr="00930562">
        <w:rPr>
          <w:rFonts w:asciiTheme="minorHAnsi" w:hAnsiTheme="minorHAnsi"/>
          <w:color w:val="808080" w:themeColor="background1" w:themeShade="80"/>
          <w:sz w:val="16"/>
          <w:szCs w:val="16"/>
        </w:rPr>
        <w:fldChar w:fldCharType="end"/>
      </w:r>
      <w:r w:rsidRPr="00930562">
        <w:rPr>
          <w:rFonts w:asciiTheme="minorHAnsi" w:hAnsiTheme="minorHAnsi" w:cstheme="majorHAnsi"/>
          <w:color w:val="808080" w:themeColor="background1" w:themeShade="80"/>
          <w:sz w:val="16"/>
          <w:szCs w:val="16"/>
          <w:lang w:val="es-ES"/>
        </w:rPr>
        <w:t>.</w:t>
      </w:r>
    </w:p>
  </w:footnote>
  <w:footnote w:id="663">
    <w:p w14:paraId="5DEFC853"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hAnsiTheme="minorHAnsi" w:cstheme="majorHAnsi"/>
          <w:i/>
          <w:color w:val="808080" w:themeColor="background1" w:themeShade="80"/>
          <w:sz w:val="16"/>
          <w:szCs w:val="16"/>
          <w:lang w:val="es-ES"/>
        </w:rPr>
        <w:t xml:space="preserve">Ver en general </w:t>
      </w:r>
      <w:r w:rsidRPr="00930562">
        <w:rPr>
          <w:rFonts w:asciiTheme="minorHAnsi" w:eastAsia="Times New Roman" w:hAnsiTheme="minorHAnsi" w:cstheme="majorHAnsi"/>
          <w:color w:val="808080" w:themeColor="background1" w:themeShade="80"/>
          <w:sz w:val="16"/>
          <w:szCs w:val="16"/>
          <w:lang w:val="es-ES" w:eastAsia="es-ES"/>
        </w:rPr>
        <w:t xml:space="preserve">CIDH, </w:t>
      </w:r>
      <w:hyperlink r:id="rId695" w:history="1">
        <w:r w:rsidRPr="00930562">
          <w:rPr>
            <w:rStyle w:val="Hyperlink"/>
            <w:rFonts w:asciiTheme="minorHAnsi" w:eastAsia="Times New Roman" w:hAnsiTheme="minorHAnsi" w:cstheme="majorHAnsi"/>
            <w:color w:val="808080" w:themeColor="background1" w:themeShade="80"/>
            <w:sz w:val="16"/>
            <w:szCs w:val="16"/>
            <w:lang w:val="es-ES" w:eastAsia="es-ES"/>
          </w:rPr>
          <w:t>La situación</w:t>
        </w:r>
        <w:r w:rsidRPr="00930562">
          <w:rPr>
            <w:rStyle w:val="Hyperlink"/>
            <w:rFonts w:asciiTheme="minorHAnsi" w:eastAsia="Times New Roman" w:hAnsiTheme="minorHAnsi" w:cstheme="majorHAnsi"/>
            <w:color w:val="808080" w:themeColor="background1" w:themeShade="80"/>
            <w:sz w:val="16"/>
            <w:szCs w:val="16"/>
            <w:lang w:val="es-ES_tradnl" w:eastAsia="es-ES"/>
          </w:rPr>
          <w:t xml:space="preserve"> de las personas afrodescendientes en las Américas</w:t>
        </w:r>
      </w:hyperlink>
      <w:r w:rsidRPr="00930562">
        <w:rPr>
          <w:rFonts w:asciiTheme="minorHAnsi" w:eastAsia="Times New Roman" w:hAnsiTheme="minorHAnsi" w:cstheme="majorHAnsi"/>
          <w:color w:val="808080" w:themeColor="background1" w:themeShade="80"/>
          <w:sz w:val="16"/>
          <w:szCs w:val="16"/>
          <w:lang w:val="es-ES_tradnl" w:eastAsia="es-ES"/>
        </w:rPr>
        <w:t xml:space="preserve"> (2011)</w:t>
      </w:r>
      <w:r w:rsidRPr="00930562">
        <w:rPr>
          <w:rFonts w:asciiTheme="minorHAnsi" w:hAnsiTheme="minorHAnsi" w:cstheme="majorHAnsi"/>
          <w:color w:val="808080" w:themeColor="background1" w:themeShade="80"/>
          <w:sz w:val="16"/>
          <w:szCs w:val="16"/>
          <w:lang w:val="es-ES"/>
        </w:rPr>
        <w:t xml:space="preserve">; </w:t>
      </w:r>
      <w:hyperlink r:id="rId696" w:history="1">
        <w:r w:rsidRPr="00930562">
          <w:rPr>
            <w:rStyle w:val="Hyperlink"/>
            <w:rFonts w:asciiTheme="minorHAnsi" w:hAnsiTheme="minorHAnsi" w:cstheme="majorHAnsi"/>
            <w:bCs/>
            <w:color w:val="808080" w:themeColor="background1" w:themeShade="80"/>
            <w:sz w:val="16"/>
            <w:szCs w:val="16"/>
            <w:lang w:val="es-ES"/>
          </w:rPr>
          <w:t>CIDH expresa preocupación frente a las deficiencias en la investigación de casos relacionados con asesinatos de afrodescendientes a manos de la policía en Estados Unidos</w:t>
        </w:r>
      </w:hyperlink>
      <w:r w:rsidRPr="00930562">
        <w:rPr>
          <w:rFonts w:asciiTheme="minorHAnsi" w:hAnsiTheme="minorHAnsi" w:cstheme="majorHAnsi"/>
          <w:bCs/>
          <w:color w:val="808080" w:themeColor="background1" w:themeShade="80"/>
          <w:sz w:val="16"/>
          <w:szCs w:val="16"/>
          <w:lang w:val="es-ES"/>
        </w:rPr>
        <w:t xml:space="preserve">, </w:t>
      </w:r>
      <w:r w:rsidRPr="00930562">
        <w:rPr>
          <w:rFonts w:asciiTheme="minorHAnsi" w:hAnsiTheme="minorHAnsi" w:cstheme="majorHAnsi"/>
          <w:color w:val="808080" w:themeColor="background1" w:themeShade="80"/>
          <w:sz w:val="16"/>
          <w:szCs w:val="16"/>
          <w:lang w:val="es-ES"/>
        </w:rPr>
        <w:t>23 de agosto de</w:t>
      </w:r>
      <w:r w:rsidRPr="00930562">
        <w:rPr>
          <w:rFonts w:asciiTheme="minorHAnsi" w:hAnsiTheme="minorHAnsi" w:cstheme="majorHAnsi"/>
          <w:bCs/>
          <w:color w:val="808080" w:themeColor="background1" w:themeShade="80"/>
          <w:sz w:val="16"/>
          <w:szCs w:val="16"/>
          <w:lang w:val="es-ES"/>
        </w:rPr>
        <w:t xml:space="preserve"> 2016.</w:t>
      </w:r>
    </w:p>
  </w:footnote>
  <w:footnote w:id="664">
    <w:p w14:paraId="52E4FD88"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hyperlink r:id="rId697" w:history="1">
        <w:r w:rsidRPr="00930562">
          <w:rPr>
            <w:rStyle w:val="Hyperlink"/>
            <w:rFonts w:asciiTheme="minorHAnsi" w:hAnsiTheme="minorHAnsi" w:cstheme="majorHAnsi"/>
            <w:color w:val="808080" w:themeColor="background1" w:themeShade="80"/>
            <w:sz w:val="16"/>
            <w:szCs w:val="16"/>
            <w:lang w:val="es-ES"/>
          </w:rPr>
          <w:t>Principios de la ONU sobre el derecho a interponer recursos y obtener reparaciones</w:t>
        </w:r>
      </w:hyperlink>
      <w:r w:rsidRPr="00930562">
        <w:rPr>
          <w:rFonts w:asciiTheme="minorHAnsi" w:hAnsiTheme="minorHAnsi" w:cstheme="majorHAnsi"/>
          <w:color w:val="808080" w:themeColor="background1" w:themeShade="80"/>
          <w:sz w:val="16"/>
          <w:szCs w:val="16"/>
          <w:lang w:val="es-ES"/>
        </w:rPr>
        <w:t>, párr. 19.</w:t>
      </w:r>
    </w:p>
  </w:footnote>
  <w:footnote w:id="665">
    <w:p w14:paraId="35DF1B08"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hyperlink r:id="rId698" w:history="1">
        <w:r w:rsidRPr="00930562">
          <w:rPr>
            <w:rStyle w:val="Hyperlink"/>
            <w:rFonts w:asciiTheme="minorHAnsi" w:hAnsiTheme="minorHAnsi" w:cstheme="majorHAnsi"/>
            <w:color w:val="808080" w:themeColor="background1" w:themeShade="80"/>
            <w:sz w:val="16"/>
            <w:szCs w:val="16"/>
            <w:lang w:val="es-ES"/>
          </w:rPr>
          <w:t>Principios de la ONU sobre el derecho a interponer recursos y obtener reparaciones</w:t>
        </w:r>
      </w:hyperlink>
      <w:r w:rsidRPr="00930562">
        <w:rPr>
          <w:rFonts w:asciiTheme="minorHAnsi" w:hAnsiTheme="minorHAnsi" w:cstheme="majorHAnsi"/>
          <w:color w:val="808080" w:themeColor="background1" w:themeShade="80"/>
          <w:sz w:val="16"/>
          <w:szCs w:val="16"/>
          <w:lang w:val="es-ES"/>
        </w:rPr>
        <w:t>, párr. 20.</w:t>
      </w:r>
    </w:p>
  </w:footnote>
  <w:footnote w:id="666">
    <w:p w14:paraId="4B1CC677"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Corte IDH. </w:t>
      </w:r>
      <w:r w:rsidRPr="00930562">
        <w:rPr>
          <w:rFonts w:asciiTheme="minorHAnsi" w:hAnsiTheme="minorHAnsi" w:cstheme="majorHAnsi"/>
          <w:i/>
          <w:color w:val="808080" w:themeColor="background1" w:themeShade="80"/>
          <w:sz w:val="16"/>
          <w:szCs w:val="16"/>
          <w:lang w:val="es-ES"/>
        </w:rPr>
        <w:t>Campo Algodonero</w:t>
      </w:r>
      <w:r w:rsidRPr="00930562">
        <w:rPr>
          <w:rFonts w:asciiTheme="minorHAnsi" w:hAnsiTheme="minorHAnsi" w:cstheme="majorHAnsi"/>
          <w:color w:val="808080" w:themeColor="background1" w:themeShade="80"/>
          <w:sz w:val="16"/>
          <w:szCs w:val="16"/>
          <w:lang w:val="es-ES"/>
        </w:rPr>
        <w:t xml:space="preserve">, Ser. C No. 205 (2009), nota al pie 547 (citando </w:t>
      </w:r>
      <w:r w:rsidRPr="00930562">
        <w:rPr>
          <w:rFonts w:asciiTheme="minorHAnsi" w:hAnsiTheme="minorHAnsi" w:cstheme="majorHAnsi"/>
          <w:i/>
          <w:iCs/>
          <w:color w:val="808080" w:themeColor="background1" w:themeShade="80"/>
          <w:sz w:val="16"/>
          <w:szCs w:val="16"/>
          <w:lang w:val="es-ES"/>
        </w:rPr>
        <w:t>Anzualdo Castro vs. Perú</w:t>
      </w:r>
      <w:r w:rsidRPr="00930562">
        <w:rPr>
          <w:rFonts w:asciiTheme="minorHAnsi" w:hAnsiTheme="minorHAnsi" w:cstheme="majorHAnsi"/>
          <w:i/>
          <w:color w:val="808080" w:themeColor="background1" w:themeShade="80"/>
          <w:sz w:val="16"/>
          <w:szCs w:val="16"/>
          <w:lang w:val="es-ES"/>
        </w:rPr>
        <w:t xml:space="preserve">, </w:t>
      </w:r>
      <w:r w:rsidRPr="00930562">
        <w:rPr>
          <w:rFonts w:asciiTheme="minorHAnsi" w:hAnsiTheme="minorHAnsi" w:cstheme="majorHAnsi"/>
          <w:iCs/>
          <w:color w:val="808080" w:themeColor="background1" w:themeShade="80"/>
          <w:sz w:val="16"/>
          <w:szCs w:val="16"/>
          <w:lang w:val="es-ES"/>
        </w:rPr>
        <w:t xml:space="preserve">párr. 218, y </w:t>
      </w:r>
      <w:r w:rsidRPr="00930562">
        <w:rPr>
          <w:rFonts w:asciiTheme="minorHAnsi" w:hAnsiTheme="minorHAnsi" w:cstheme="majorHAnsi"/>
          <w:i/>
          <w:iCs/>
          <w:color w:val="808080" w:themeColor="background1" w:themeShade="80"/>
          <w:sz w:val="16"/>
          <w:szCs w:val="16"/>
          <w:lang w:val="es-ES"/>
        </w:rPr>
        <w:t xml:space="preserve">Dacosta Cadogan vs. Barbados, </w:t>
      </w:r>
      <w:r w:rsidRPr="00930562">
        <w:rPr>
          <w:rFonts w:asciiTheme="minorHAnsi" w:hAnsiTheme="minorHAnsi" w:cstheme="majorHAnsi"/>
          <w:iCs/>
          <w:color w:val="808080" w:themeColor="background1" w:themeShade="80"/>
          <w:sz w:val="16"/>
          <w:szCs w:val="16"/>
          <w:lang w:val="es-ES"/>
        </w:rPr>
        <w:t>párr. 111).</w:t>
      </w:r>
    </w:p>
  </w:footnote>
  <w:footnote w:id="667">
    <w:p w14:paraId="29F6A4CA"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 xml:space="preserve"> </w:t>
      </w:r>
      <w:r w:rsidRPr="00930562">
        <w:rPr>
          <w:rFonts w:asciiTheme="minorHAnsi" w:hAnsiTheme="minorHAnsi" w:cstheme="majorHAnsi"/>
          <w:color w:val="808080" w:themeColor="background1" w:themeShade="80"/>
          <w:sz w:val="16"/>
          <w:szCs w:val="16"/>
          <w:lang w:val="es-ES"/>
        </w:rPr>
        <w:tab/>
        <w:t xml:space="preserve">Corte IDH. </w:t>
      </w:r>
      <w:r w:rsidRPr="00930562">
        <w:rPr>
          <w:rFonts w:asciiTheme="minorHAnsi" w:hAnsiTheme="minorHAnsi" w:cstheme="majorHAnsi"/>
          <w:i/>
          <w:color w:val="808080" w:themeColor="background1" w:themeShade="80"/>
          <w:sz w:val="16"/>
          <w:szCs w:val="16"/>
          <w:lang w:val="es-ES"/>
        </w:rPr>
        <w:t>Campo Algodonero</w:t>
      </w:r>
      <w:r w:rsidRPr="00930562">
        <w:rPr>
          <w:rFonts w:asciiTheme="minorHAnsi" w:hAnsiTheme="minorHAnsi" w:cstheme="majorHAnsi"/>
          <w:color w:val="808080" w:themeColor="background1" w:themeShade="80"/>
          <w:sz w:val="16"/>
          <w:szCs w:val="16"/>
          <w:lang w:val="es-ES"/>
        </w:rPr>
        <w:t xml:space="preserve">, Ser. C No. 205 (2009), párr. 549; </w:t>
      </w:r>
      <w:hyperlink r:id="rId699" w:history="1">
        <w:r w:rsidRPr="00930562">
          <w:rPr>
            <w:rStyle w:val="Hyperlink"/>
            <w:rFonts w:asciiTheme="minorHAnsi" w:hAnsiTheme="minorHAnsi" w:cstheme="majorHAnsi"/>
            <w:color w:val="808080" w:themeColor="background1" w:themeShade="80"/>
            <w:sz w:val="16"/>
            <w:szCs w:val="16"/>
            <w:lang w:val="es-ES"/>
          </w:rPr>
          <w:t>Principios de la ONU sobre el derecho a interponer recursos y obtener reparaciones</w:t>
        </w:r>
      </w:hyperlink>
      <w:r w:rsidRPr="00930562">
        <w:rPr>
          <w:rFonts w:asciiTheme="minorHAnsi" w:hAnsiTheme="minorHAnsi" w:cstheme="majorHAnsi"/>
          <w:color w:val="808080" w:themeColor="background1" w:themeShade="80"/>
          <w:sz w:val="16"/>
          <w:szCs w:val="16"/>
          <w:lang w:val="es-ES"/>
        </w:rPr>
        <w:t xml:space="preserve">, párr. 21; </w:t>
      </w:r>
      <w:r w:rsidRPr="00930562">
        <w:rPr>
          <w:rFonts w:asciiTheme="minorHAnsi" w:hAnsiTheme="minorHAnsi" w:cstheme="majorHAnsi"/>
          <w:i/>
          <w:color w:val="808080" w:themeColor="background1" w:themeShade="80"/>
          <w:sz w:val="16"/>
          <w:szCs w:val="16"/>
          <w:lang w:val="es-ES"/>
        </w:rPr>
        <w:t>Cf.</w:t>
      </w:r>
      <w:r w:rsidRPr="00930562">
        <w:rPr>
          <w:rFonts w:asciiTheme="minorHAnsi" w:hAnsiTheme="minorHAnsi" w:cstheme="majorHAnsi"/>
          <w:color w:val="808080" w:themeColor="background1" w:themeShade="80"/>
          <w:sz w:val="16"/>
          <w:szCs w:val="16"/>
          <w:lang w:val="es-ES"/>
        </w:rPr>
        <w:t xml:space="preserve"> </w:t>
      </w:r>
      <w:r w:rsidRPr="00930562">
        <w:rPr>
          <w:rFonts w:asciiTheme="minorHAnsi" w:hAnsiTheme="minorHAnsi" w:cstheme="majorHAnsi"/>
          <w:i/>
          <w:color w:val="808080" w:themeColor="background1" w:themeShade="80"/>
          <w:sz w:val="16"/>
          <w:szCs w:val="16"/>
          <w:lang w:val="es-ES"/>
        </w:rPr>
        <w:t>Kawas Fernández vs. Honduras</w:t>
      </w:r>
      <w:r w:rsidRPr="00930562">
        <w:rPr>
          <w:rFonts w:asciiTheme="minorHAnsi" w:hAnsiTheme="minorHAnsi" w:cstheme="majorHAnsi"/>
          <w:color w:val="808080" w:themeColor="background1" w:themeShade="80"/>
          <w:sz w:val="16"/>
          <w:szCs w:val="16"/>
          <w:lang w:val="es-ES"/>
        </w:rPr>
        <w:t xml:space="preserve">, párr. 209; </w:t>
      </w:r>
      <w:r w:rsidRPr="00930562">
        <w:rPr>
          <w:rFonts w:asciiTheme="minorHAnsi" w:hAnsiTheme="minorHAnsi" w:cstheme="majorHAnsi"/>
          <w:i/>
          <w:color w:val="808080" w:themeColor="background1" w:themeShade="80"/>
          <w:sz w:val="16"/>
          <w:szCs w:val="16"/>
          <w:lang w:val="es-ES"/>
        </w:rPr>
        <w:t>Anzualdo Castro vs. Perú</w:t>
      </w:r>
      <w:r w:rsidRPr="00930562">
        <w:rPr>
          <w:rFonts w:asciiTheme="minorHAnsi" w:hAnsiTheme="minorHAnsi" w:cstheme="majorHAnsi"/>
          <w:color w:val="808080" w:themeColor="background1" w:themeShade="80"/>
          <w:sz w:val="16"/>
          <w:szCs w:val="16"/>
          <w:lang w:val="es-ES"/>
        </w:rPr>
        <w:t>, párr. 203.</w:t>
      </w:r>
    </w:p>
  </w:footnote>
  <w:footnote w:id="668">
    <w:p w14:paraId="761C9FE3"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Corte IDH. </w:t>
      </w:r>
      <w:r w:rsidRPr="00930562">
        <w:rPr>
          <w:rFonts w:asciiTheme="minorHAnsi" w:hAnsiTheme="minorHAnsi" w:cstheme="majorHAnsi"/>
          <w:i/>
          <w:color w:val="808080" w:themeColor="background1" w:themeShade="80"/>
          <w:sz w:val="16"/>
          <w:szCs w:val="16"/>
          <w:lang w:val="es-ES"/>
        </w:rPr>
        <w:t>Campo Algodonero</w:t>
      </w:r>
      <w:r w:rsidRPr="00930562">
        <w:rPr>
          <w:rFonts w:asciiTheme="minorHAnsi" w:hAnsiTheme="minorHAnsi" w:cstheme="majorHAnsi"/>
          <w:color w:val="808080" w:themeColor="background1" w:themeShade="80"/>
          <w:sz w:val="16"/>
          <w:szCs w:val="16"/>
          <w:lang w:val="es-ES"/>
        </w:rPr>
        <w:t>, Ser. C No. 205 (2009), párr. 549.</w:t>
      </w:r>
    </w:p>
  </w:footnote>
  <w:footnote w:id="669">
    <w:p w14:paraId="432EC4BF"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hAnsiTheme="minorHAnsi" w:cstheme="majorHAnsi"/>
          <w:i/>
          <w:color w:val="808080" w:themeColor="background1" w:themeShade="80"/>
          <w:sz w:val="16"/>
          <w:szCs w:val="16"/>
          <w:lang w:val="es-ES"/>
        </w:rPr>
        <w:t xml:space="preserve">Ver por ejemplo, </w:t>
      </w:r>
      <w:r w:rsidRPr="00930562">
        <w:rPr>
          <w:rFonts w:asciiTheme="minorHAnsi" w:hAnsiTheme="minorHAnsi" w:cstheme="majorHAnsi"/>
          <w:color w:val="808080" w:themeColor="background1" w:themeShade="80"/>
          <w:sz w:val="16"/>
          <w:szCs w:val="16"/>
          <w:lang w:val="es-ES"/>
        </w:rPr>
        <w:t xml:space="preserve">Corte IDH. </w:t>
      </w:r>
      <w:r w:rsidRPr="00930562">
        <w:rPr>
          <w:rFonts w:asciiTheme="minorHAnsi" w:hAnsiTheme="minorHAnsi" w:cstheme="majorHAnsi"/>
          <w:i/>
          <w:color w:val="808080" w:themeColor="background1" w:themeShade="80"/>
          <w:sz w:val="16"/>
          <w:szCs w:val="16"/>
          <w:lang w:val="es-ES"/>
        </w:rPr>
        <w:t>Campo Algodonero</w:t>
      </w:r>
      <w:r w:rsidRPr="00930562">
        <w:rPr>
          <w:rFonts w:asciiTheme="minorHAnsi" w:hAnsiTheme="minorHAnsi" w:cstheme="majorHAnsi"/>
          <w:color w:val="808080" w:themeColor="background1" w:themeShade="80"/>
          <w:sz w:val="16"/>
          <w:szCs w:val="16"/>
          <w:lang w:val="es-ES"/>
        </w:rPr>
        <w:t>, Ser. C No. 205 (2009), párr</w:t>
      </w:r>
      <w:r w:rsidRPr="00930562">
        <w:rPr>
          <w:rFonts w:asciiTheme="minorHAnsi" w:hAnsiTheme="minorHAnsi" w:cstheme="majorHAnsi"/>
          <w:color w:val="808080" w:themeColor="background1" w:themeShade="80"/>
          <w:sz w:val="16"/>
          <w:szCs w:val="16"/>
          <w:lang w:val="es-VE"/>
        </w:rPr>
        <w:t xml:space="preserve">. 468; </w:t>
      </w:r>
      <w:r w:rsidRPr="00930562">
        <w:rPr>
          <w:rFonts w:asciiTheme="minorHAnsi" w:hAnsiTheme="minorHAnsi" w:cstheme="majorHAnsi"/>
          <w:i/>
          <w:color w:val="808080" w:themeColor="background1" w:themeShade="80"/>
          <w:sz w:val="16"/>
          <w:szCs w:val="16"/>
          <w:lang w:val="es-VE"/>
        </w:rPr>
        <w:t>Garibaldi vs. Brasil</w:t>
      </w:r>
      <w:r w:rsidRPr="00930562">
        <w:rPr>
          <w:rFonts w:asciiTheme="minorHAnsi" w:hAnsiTheme="minorHAnsi" w:cstheme="majorHAnsi"/>
          <w:color w:val="808080" w:themeColor="background1" w:themeShade="80"/>
          <w:sz w:val="16"/>
          <w:szCs w:val="16"/>
          <w:lang w:val="es-VE"/>
        </w:rPr>
        <w:t xml:space="preserve">, párr. 157; </w:t>
      </w:r>
      <w:r w:rsidRPr="00930562">
        <w:rPr>
          <w:rFonts w:asciiTheme="minorHAnsi" w:hAnsiTheme="minorHAnsi" w:cstheme="majorHAnsi"/>
          <w:i/>
          <w:color w:val="808080" w:themeColor="background1" w:themeShade="80"/>
          <w:sz w:val="16"/>
          <w:szCs w:val="16"/>
          <w:lang w:val="es-VE"/>
        </w:rPr>
        <w:t>Kawas Fernández vs. Honduras</w:t>
      </w:r>
      <w:r w:rsidRPr="00930562">
        <w:rPr>
          <w:rFonts w:asciiTheme="minorHAnsi" w:hAnsiTheme="minorHAnsi" w:cstheme="majorHAnsi"/>
          <w:color w:val="808080" w:themeColor="background1" w:themeShade="80"/>
          <w:sz w:val="16"/>
          <w:szCs w:val="16"/>
          <w:lang w:val="es-VE"/>
        </w:rPr>
        <w:t xml:space="preserve">, párr. 199; </w:t>
      </w:r>
      <w:r w:rsidRPr="00930562">
        <w:rPr>
          <w:rFonts w:asciiTheme="minorHAnsi" w:hAnsiTheme="minorHAnsi" w:cstheme="majorHAnsi"/>
          <w:i/>
          <w:color w:val="808080" w:themeColor="background1" w:themeShade="80"/>
          <w:sz w:val="16"/>
          <w:szCs w:val="16"/>
          <w:lang w:val="es-VE"/>
        </w:rPr>
        <w:t>Escher y otros. vs. Brazil</w:t>
      </w:r>
      <w:r w:rsidRPr="00930562">
        <w:rPr>
          <w:rFonts w:asciiTheme="minorHAnsi" w:hAnsiTheme="minorHAnsi" w:cstheme="majorHAnsi"/>
          <w:color w:val="808080" w:themeColor="background1" w:themeShade="80"/>
          <w:sz w:val="16"/>
          <w:szCs w:val="16"/>
          <w:lang w:val="es-VE"/>
        </w:rPr>
        <w:t xml:space="preserve">, párr. </w:t>
      </w:r>
      <w:r w:rsidRPr="00930562">
        <w:rPr>
          <w:rFonts w:asciiTheme="minorHAnsi" w:hAnsiTheme="minorHAnsi" w:cstheme="majorHAnsi"/>
          <w:color w:val="808080" w:themeColor="background1" w:themeShade="80"/>
          <w:sz w:val="16"/>
          <w:szCs w:val="16"/>
          <w:lang w:val="es-ES"/>
        </w:rPr>
        <w:t xml:space="preserve">239; </w:t>
      </w:r>
      <w:r w:rsidRPr="00930562">
        <w:rPr>
          <w:rFonts w:asciiTheme="minorHAnsi" w:hAnsiTheme="minorHAnsi" w:cstheme="majorHAnsi"/>
          <w:i/>
          <w:color w:val="808080" w:themeColor="background1" w:themeShade="80"/>
          <w:sz w:val="16"/>
          <w:szCs w:val="16"/>
          <w:lang w:val="es-ES"/>
        </w:rPr>
        <w:t>Hermanas Serrano Cruz vs. El Salvador</w:t>
      </w:r>
      <w:r w:rsidRPr="00930562">
        <w:rPr>
          <w:rFonts w:asciiTheme="minorHAnsi" w:hAnsiTheme="minorHAnsi" w:cstheme="majorHAnsi"/>
          <w:color w:val="808080" w:themeColor="background1" w:themeShade="80"/>
          <w:sz w:val="16"/>
          <w:szCs w:val="16"/>
          <w:lang w:val="es-ES"/>
        </w:rPr>
        <w:t>, párr. 195.</w:t>
      </w:r>
    </w:p>
  </w:footnote>
  <w:footnote w:id="670">
    <w:p w14:paraId="743EA1D5"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hyperlink r:id="rId700" w:history="1">
        <w:r w:rsidRPr="00930562">
          <w:rPr>
            <w:rStyle w:val="Hyperlink"/>
            <w:rFonts w:asciiTheme="minorHAnsi" w:hAnsiTheme="minorHAnsi" w:cstheme="majorHAnsi"/>
            <w:color w:val="808080" w:themeColor="background1" w:themeShade="80"/>
            <w:sz w:val="16"/>
            <w:szCs w:val="16"/>
            <w:lang w:val="es-ES"/>
          </w:rPr>
          <w:t>Principios de la ONU sobre el derecho a interponer recursos y obtener reparaciones</w:t>
        </w:r>
      </w:hyperlink>
      <w:r w:rsidRPr="00930562">
        <w:rPr>
          <w:rFonts w:asciiTheme="minorHAnsi" w:hAnsiTheme="minorHAnsi" w:cstheme="majorHAnsi"/>
          <w:color w:val="808080" w:themeColor="background1" w:themeShade="80"/>
          <w:sz w:val="16"/>
          <w:szCs w:val="16"/>
          <w:lang w:val="es-ES"/>
        </w:rPr>
        <w:t>, párr. 22.</w:t>
      </w:r>
    </w:p>
  </w:footnote>
  <w:footnote w:id="671">
    <w:p w14:paraId="21D36F67"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hyperlink r:id="rId701" w:history="1">
        <w:r w:rsidRPr="00930562">
          <w:rPr>
            <w:rStyle w:val="Hyperlink"/>
            <w:rFonts w:asciiTheme="minorHAnsi" w:hAnsiTheme="minorHAnsi" w:cstheme="majorHAnsi"/>
            <w:color w:val="808080" w:themeColor="background1" w:themeShade="80"/>
            <w:sz w:val="16"/>
            <w:szCs w:val="16"/>
            <w:lang w:val="es-ES"/>
          </w:rPr>
          <w:t>Principios de la ONU sobre el derecho a interponer recursos y obtener reparaciones</w:t>
        </w:r>
      </w:hyperlink>
      <w:r w:rsidRPr="00930562">
        <w:rPr>
          <w:rFonts w:asciiTheme="minorHAnsi" w:hAnsiTheme="minorHAnsi" w:cstheme="majorHAnsi"/>
          <w:color w:val="808080" w:themeColor="background1" w:themeShade="80"/>
          <w:sz w:val="16"/>
          <w:szCs w:val="16"/>
          <w:lang w:val="es-ES"/>
        </w:rPr>
        <w:t>, párr. 23.</w:t>
      </w:r>
    </w:p>
  </w:footnote>
  <w:footnote w:id="672">
    <w:p w14:paraId="47658208"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MX"/>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t xml:space="preserve">CIDH, </w:t>
      </w:r>
      <w:hyperlink r:id="rId702" w:history="1">
        <w:r w:rsidRPr="00930562">
          <w:rPr>
            <w:rStyle w:val="Hyperlink"/>
            <w:rFonts w:asciiTheme="minorHAnsi" w:hAnsiTheme="minorHAnsi" w:cstheme="majorHAnsi"/>
            <w:color w:val="808080" w:themeColor="background1" w:themeShade="80"/>
            <w:sz w:val="16"/>
            <w:szCs w:val="16"/>
            <w:lang w:val="es-ES"/>
          </w:rPr>
          <w:t xml:space="preserve">Derecho a la Verdad en las Américas </w:t>
        </w:r>
      </w:hyperlink>
      <w:r w:rsidRPr="00930562">
        <w:rPr>
          <w:rFonts w:asciiTheme="minorHAnsi" w:hAnsiTheme="minorHAnsi" w:cstheme="majorHAnsi"/>
          <w:color w:val="808080" w:themeColor="background1" w:themeShade="80"/>
          <w:sz w:val="16"/>
          <w:szCs w:val="16"/>
          <w:lang w:val="es-ES"/>
        </w:rPr>
        <w:t>(2014), p</w:t>
      </w:r>
      <w:r w:rsidRPr="00930562">
        <w:rPr>
          <w:rFonts w:asciiTheme="minorHAnsi" w:hAnsiTheme="minorHAnsi" w:cstheme="majorHAnsi"/>
          <w:color w:val="808080" w:themeColor="background1" w:themeShade="80"/>
          <w:sz w:val="16"/>
          <w:szCs w:val="16"/>
          <w:lang w:val="es-ES_tradnl"/>
        </w:rPr>
        <w:t>árr</w:t>
      </w:r>
      <w:r w:rsidRPr="00930562">
        <w:rPr>
          <w:rFonts w:asciiTheme="minorHAnsi" w:hAnsiTheme="minorHAnsi" w:cstheme="majorHAnsi"/>
          <w:color w:val="808080" w:themeColor="background1" w:themeShade="80"/>
          <w:sz w:val="16"/>
          <w:szCs w:val="16"/>
          <w:lang w:val="es-ES"/>
        </w:rPr>
        <w:t xml:space="preserve">. 124 (citando </w:t>
      </w:r>
      <w:r w:rsidRPr="00930562">
        <w:rPr>
          <w:rFonts w:asciiTheme="minorHAnsi" w:hAnsiTheme="minorHAnsi" w:cstheme="majorHAnsi"/>
          <w:color w:val="808080" w:themeColor="background1" w:themeShade="80"/>
          <w:sz w:val="16"/>
          <w:szCs w:val="16"/>
          <w:lang w:val="es-MX"/>
        </w:rPr>
        <w:t>ONU, Consejo de Derechos Humanos, Informe del Relator Especial sobre la promoción de la verdad, la justicia, la reparación y las garantías de no repetición, Pablo de Greiff, A/HRC/21/46, 9 de agosto de 2012, párr. 30.).</w:t>
      </w:r>
    </w:p>
  </w:footnote>
  <w:footnote w:id="673">
    <w:p w14:paraId="1C3A4EEA"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MX"/>
        </w:rPr>
        <w:tab/>
        <w:t xml:space="preserve">IACHR, Report No. 37/00, Case 11.481, </w:t>
      </w:r>
      <w:r w:rsidRPr="00930562">
        <w:rPr>
          <w:rFonts w:asciiTheme="minorHAnsi" w:hAnsiTheme="minorHAnsi" w:cstheme="majorHAnsi"/>
          <w:i/>
          <w:color w:val="808080" w:themeColor="background1" w:themeShade="80"/>
          <w:sz w:val="16"/>
          <w:szCs w:val="16"/>
          <w:lang w:val="es-MX"/>
        </w:rPr>
        <w:t>Monsignor Oscar Arnulfo Romero y Galdámez</w:t>
      </w:r>
      <w:r w:rsidRPr="00930562">
        <w:rPr>
          <w:rFonts w:asciiTheme="minorHAnsi" w:hAnsiTheme="minorHAnsi" w:cstheme="majorHAnsi"/>
          <w:color w:val="808080" w:themeColor="background1" w:themeShade="80"/>
          <w:sz w:val="16"/>
          <w:szCs w:val="16"/>
          <w:lang w:val="es-MX"/>
        </w:rPr>
        <w:t xml:space="preserve"> (El Salvador), </w:t>
      </w:r>
      <w:r w:rsidRPr="00930562">
        <w:rPr>
          <w:rFonts w:asciiTheme="minorHAnsi" w:hAnsiTheme="minorHAnsi" w:cstheme="majorHAnsi"/>
          <w:color w:val="808080" w:themeColor="background1" w:themeShade="80"/>
          <w:sz w:val="16"/>
          <w:szCs w:val="16"/>
          <w:lang w:val="es-US"/>
        </w:rPr>
        <w:t xml:space="preserve">Apr. </w:t>
      </w:r>
      <w:r w:rsidRPr="00930562">
        <w:rPr>
          <w:rFonts w:asciiTheme="minorHAnsi" w:hAnsiTheme="minorHAnsi" w:cstheme="majorHAnsi"/>
          <w:color w:val="808080" w:themeColor="background1" w:themeShade="80"/>
          <w:sz w:val="16"/>
          <w:szCs w:val="16"/>
          <w:lang w:val="es-MX"/>
        </w:rPr>
        <w:t xml:space="preserve">13, 2000, para. </w:t>
      </w:r>
      <w:r w:rsidRPr="00930562">
        <w:rPr>
          <w:rFonts w:asciiTheme="minorHAnsi" w:hAnsiTheme="minorHAnsi" w:cstheme="majorHAnsi"/>
          <w:color w:val="808080" w:themeColor="background1" w:themeShade="80"/>
          <w:sz w:val="16"/>
          <w:szCs w:val="16"/>
          <w:lang w:val="es-ES"/>
        </w:rPr>
        <w:t>148.</w:t>
      </w:r>
    </w:p>
    <w:p w14:paraId="03F230F7" w14:textId="77777777" w:rsidR="00F64540" w:rsidRPr="00930562" w:rsidRDefault="00F64540" w:rsidP="00130E54">
      <w:pPr>
        <w:pStyle w:val="FootnoteText"/>
        <w:spacing w:after="40"/>
        <w:ind w:left="547"/>
        <w:jc w:val="both"/>
        <w:rPr>
          <w:rFonts w:asciiTheme="minorHAnsi" w:hAnsiTheme="minorHAnsi" w:cstheme="majorHAnsi"/>
          <w:color w:val="808080" w:themeColor="background1" w:themeShade="80"/>
          <w:sz w:val="16"/>
          <w:szCs w:val="16"/>
          <w:lang w:val="es-ES"/>
        </w:rPr>
      </w:pPr>
      <w:r w:rsidRPr="00930562">
        <w:rPr>
          <w:rFonts w:asciiTheme="minorHAnsi" w:hAnsiTheme="minorHAnsi" w:cstheme="majorHAnsi"/>
          <w:color w:val="808080" w:themeColor="background1" w:themeShade="80"/>
          <w:sz w:val="16"/>
          <w:szCs w:val="16"/>
          <w:lang w:val="es-ES"/>
        </w:rPr>
        <w:t xml:space="preserve">La Comisión ha definido previamente algunas medidas de reparación destinadas a garantizar el derecho a la verdad ordenado por la Corte Interamericana, incluyendo, entre otras: </w:t>
      </w:r>
    </w:p>
    <w:p w14:paraId="1580FB6F" w14:textId="6E751E9C" w:rsidR="00F64540" w:rsidRPr="00930562" w:rsidRDefault="00F64540" w:rsidP="00130E54">
      <w:pPr>
        <w:pStyle w:val="FootnoteText"/>
        <w:tabs>
          <w:tab w:val="left" w:pos="900"/>
        </w:tabs>
        <w:spacing w:after="40"/>
        <w:ind w:left="900" w:hanging="360"/>
        <w:jc w:val="both"/>
        <w:rPr>
          <w:rFonts w:asciiTheme="minorHAnsi" w:hAnsiTheme="minorHAnsi" w:cstheme="majorHAnsi"/>
          <w:color w:val="808080" w:themeColor="background1" w:themeShade="80"/>
          <w:sz w:val="16"/>
          <w:szCs w:val="16"/>
          <w:lang w:val="es-ES"/>
        </w:rPr>
      </w:pPr>
      <w:r w:rsidRPr="00930562">
        <w:rPr>
          <w:rFonts w:asciiTheme="minorHAnsi" w:hAnsiTheme="minorHAnsi" w:cstheme="majorHAnsi"/>
          <w:color w:val="808080" w:themeColor="background1" w:themeShade="80"/>
          <w:sz w:val="16"/>
          <w:szCs w:val="16"/>
          <w:lang w:val="es-ES"/>
        </w:rPr>
        <w:t>(i) “iniciar, impulsar, reabrir, dirigir, continuar y concluir, según  corresponda, con la mayor diligencia las investigaciones y procesos</w:t>
      </w:r>
      <w:r>
        <w:rPr>
          <w:rFonts w:asciiTheme="minorHAnsi" w:hAnsiTheme="minorHAnsi" w:cstheme="majorHAnsi"/>
          <w:color w:val="808080" w:themeColor="background1" w:themeShade="80"/>
          <w:sz w:val="16"/>
          <w:szCs w:val="16"/>
          <w:lang w:val="es-ES"/>
        </w:rPr>
        <w:t xml:space="preserve"> </w:t>
      </w:r>
      <w:r w:rsidRPr="00930562">
        <w:rPr>
          <w:rFonts w:asciiTheme="minorHAnsi" w:hAnsiTheme="minorHAnsi" w:cstheme="majorHAnsi"/>
          <w:color w:val="808080" w:themeColor="background1" w:themeShade="80"/>
          <w:sz w:val="16"/>
          <w:szCs w:val="16"/>
          <w:lang w:val="es-ES"/>
        </w:rPr>
        <w:t>pertinentes en un plazo razonable, con el fin de establecer toda la verdad de los hechos y determinar las responsabilidades penales que pudieran existir, y remover todos los obstáculos de facto y de jure que mantienen la impunidad total”;</w:t>
      </w:r>
    </w:p>
    <w:p w14:paraId="103A9CEE" w14:textId="77777777" w:rsidR="00F64540" w:rsidRPr="00930562" w:rsidRDefault="00F64540" w:rsidP="00130E54">
      <w:pPr>
        <w:pStyle w:val="FootnoteText"/>
        <w:tabs>
          <w:tab w:val="left" w:pos="900"/>
        </w:tabs>
        <w:spacing w:after="40"/>
        <w:ind w:left="900" w:hanging="360"/>
        <w:jc w:val="both"/>
        <w:rPr>
          <w:rFonts w:asciiTheme="minorHAnsi" w:hAnsiTheme="minorHAnsi" w:cstheme="majorHAnsi"/>
          <w:color w:val="808080" w:themeColor="background1" w:themeShade="80"/>
          <w:sz w:val="16"/>
          <w:szCs w:val="16"/>
          <w:lang w:val="es-ES"/>
        </w:rPr>
      </w:pPr>
      <w:r w:rsidRPr="00930562">
        <w:rPr>
          <w:rFonts w:asciiTheme="minorHAnsi" w:hAnsiTheme="minorHAnsi" w:cstheme="majorHAnsi"/>
          <w:color w:val="808080" w:themeColor="background1" w:themeShade="80"/>
          <w:sz w:val="16"/>
          <w:szCs w:val="16"/>
          <w:lang w:val="es-ES"/>
        </w:rPr>
        <w:t>(ii) “abstenerse de recurrir a figuras como la amnistía en beneficio de los autores, así como ninguna otra disposición análoga, la prescripción, irretroactividad de la ley penal, cosa juzgada, ne bis in idem o cualquier eximente similar de responsabilidad, para excusarse de esta obligación”;</w:t>
      </w:r>
    </w:p>
    <w:p w14:paraId="33A31481" w14:textId="77777777" w:rsidR="00F64540" w:rsidRPr="00930562" w:rsidRDefault="00F64540" w:rsidP="00130E54">
      <w:pPr>
        <w:pStyle w:val="FootnoteText"/>
        <w:tabs>
          <w:tab w:val="left" w:pos="900"/>
        </w:tabs>
        <w:spacing w:after="40"/>
        <w:ind w:left="900" w:hanging="360"/>
        <w:jc w:val="both"/>
        <w:rPr>
          <w:rFonts w:asciiTheme="minorHAnsi" w:hAnsiTheme="minorHAnsi" w:cstheme="majorHAnsi"/>
          <w:color w:val="808080" w:themeColor="background1" w:themeShade="80"/>
          <w:sz w:val="16"/>
          <w:szCs w:val="16"/>
          <w:lang w:val="es-ES"/>
        </w:rPr>
      </w:pPr>
      <w:r w:rsidRPr="00930562">
        <w:rPr>
          <w:rFonts w:asciiTheme="minorHAnsi" w:hAnsiTheme="minorHAnsi" w:cstheme="majorHAnsi"/>
          <w:color w:val="808080" w:themeColor="background1" w:themeShade="80"/>
          <w:sz w:val="16"/>
          <w:szCs w:val="16"/>
          <w:lang w:val="es-ES"/>
        </w:rPr>
        <w:t>(iii) “tomar en cuenta el patrón sistemático de violaciones a derechos humanos […] con el objeto de que los procesos y las investigaciones pertinentes sean conducidos en consideración de la complejidad de estos hechos y el contexto en que ocurrieron, evitando omisiones en la recolección de prueba y en el seguimiento de líneas lógicas de investigación con base en una correcta valoración de los patrones sistemáticos que dieron origen a los hechos que se investigan”;</w:t>
      </w:r>
    </w:p>
    <w:p w14:paraId="12565BA1" w14:textId="77777777" w:rsidR="00F64540" w:rsidRPr="00930562" w:rsidRDefault="00F64540" w:rsidP="00130E54">
      <w:pPr>
        <w:pStyle w:val="FootnoteText"/>
        <w:tabs>
          <w:tab w:val="left" w:pos="450"/>
          <w:tab w:val="left" w:pos="900"/>
        </w:tabs>
        <w:spacing w:after="40"/>
        <w:ind w:left="900" w:hanging="360"/>
        <w:jc w:val="both"/>
        <w:rPr>
          <w:rFonts w:asciiTheme="minorHAnsi" w:hAnsiTheme="minorHAnsi" w:cstheme="majorHAnsi"/>
          <w:color w:val="808080" w:themeColor="background1" w:themeShade="80"/>
          <w:sz w:val="16"/>
          <w:szCs w:val="16"/>
          <w:lang w:val="es-ES"/>
        </w:rPr>
      </w:pPr>
      <w:r w:rsidRPr="00930562">
        <w:rPr>
          <w:rFonts w:asciiTheme="minorHAnsi" w:hAnsiTheme="minorHAnsi" w:cstheme="majorHAnsi"/>
          <w:color w:val="808080" w:themeColor="background1" w:themeShade="80"/>
          <w:sz w:val="16"/>
          <w:szCs w:val="16"/>
          <w:lang w:val="es-ES"/>
        </w:rPr>
        <w:t>(iv) “identificar e individualizar a todos los autores materiales e intelectuales […]. La debida diligencia en la investigación implica que todas las autoridades estatales están obligadas a colaborar en la recaudación de la prueba, por lo que deberán brindar al juez, fiscal u otra autoridad judicial toda la información que requiera y abstenerse de actos que impliquen la obstrucción para la marcha del proceso investigativo”;</w:t>
      </w:r>
    </w:p>
    <w:p w14:paraId="1605DCE6" w14:textId="26145EC1" w:rsidR="00F64540" w:rsidRPr="00930562" w:rsidRDefault="00F64540" w:rsidP="00130E54">
      <w:pPr>
        <w:pStyle w:val="FootnoteText"/>
        <w:tabs>
          <w:tab w:val="left" w:pos="450"/>
          <w:tab w:val="left" w:pos="900"/>
        </w:tabs>
        <w:spacing w:after="40"/>
        <w:ind w:left="900" w:hanging="360"/>
        <w:jc w:val="both"/>
        <w:rPr>
          <w:rFonts w:asciiTheme="minorHAnsi" w:hAnsiTheme="minorHAnsi" w:cstheme="majorHAnsi"/>
          <w:color w:val="808080" w:themeColor="background1" w:themeShade="80"/>
          <w:sz w:val="16"/>
          <w:szCs w:val="16"/>
          <w:lang w:val="es-ES"/>
        </w:rPr>
      </w:pPr>
      <w:r w:rsidRPr="00930562">
        <w:rPr>
          <w:rFonts w:asciiTheme="minorHAnsi" w:hAnsiTheme="minorHAnsi" w:cstheme="majorHAnsi"/>
          <w:color w:val="808080" w:themeColor="background1" w:themeShade="80"/>
          <w:sz w:val="16"/>
          <w:szCs w:val="16"/>
          <w:lang w:val="es-ES"/>
        </w:rPr>
        <w:t>(v) “asegurarse que las autoridades competentes realicen las investigaciones correspondientes ex oficio, y que para tal efecto tengan a su alcance y utilicen todos los recursos logísticos y científicos necesarios para recabar y procesar las pruebas y, en particular, tengan las facultades para acceder a la documentación e información pertinentes para investigar los hechos denunciados y llevar a cabo con prontitud aquellas actuaciones y averiguaciones esenciales para esclarecer lo sucedido en el presente caso”;</w:t>
      </w:r>
    </w:p>
    <w:p w14:paraId="79F819E0" w14:textId="77777777" w:rsidR="00F64540" w:rsidRPr="00930562" w:rsidRDefault="00F64540" w:rsidP="00130E54">
      <w:pPr>
        <w:pStyle w:val="FootnoteText"/>
        <w:tabs>
          <w:tab w:val="left" w:pos="450"/>
          <w:tab w:val="left" w:pos="900"/>
        </w:tabs>
        <w:spacing w:after="40"/>
        <w:ind w:left="900" w:hanging="360"/>
        <w:jc w:val="both"/>
        <w:rPr>
          <w:rFonts w:asciiTheme="minorHAnsi" w:hAnsiTheme="minorHAnsi" w:cstheme="majorHAnsi"/>
          <w:color w:val="808080" w:themeColor="background1" w:themeShade="80"/>
          <w:sz w:val="16"/>
          <w:szCs w:val="16"/>
          <w:lang w:val="es-ES"/>
        </w:rPr>
      </w:pPr>
      <w:r w:rsidRPr="00930562">
        <w:rPr>
          <w:rFonts w:asciiTheme="minorHAnsi" w:hAnsiTheme="minorHAnsi" w:cstheme="majorHAnsi"/>
          <w:color w:val="808080" w:themeColor="background1" w:themeShade="80"/>
          <w:sz w:val="16"/>
          <w:szCs w:val="16"/>
          <w:lang w:val="es-ES"/>
        </w:rPr>
        <w:t>(vi) “garantizar que las investigaciones […] se mantengan, en todo momento, bajo conocimiento de la jurisdicción ordinaria”;</w:t>
      </w:r>
    </w:p>
    <w:p w14:paraId="3E059AAA" w14:textId="77777777" w:rsidR="00F64540" w:rsidRPr="00930562" w:rsidRDefault="00F64540" w:rsidP="00130E54">
      <w:pPr>
        <w:pStyle w:val="FootnoteText"/>
        <w:tabs>
          <w:tab w:val="left" w:pos="450"/>
          <w:tab w:val="left" w:pos="900"/>
        </w:tabs>
        <w:spacing w:after="40"/>
        <w:ind w:left="900" w:hanging="360"/>
        <w:jc w:val="both"/>
        <w:rPr>
          <w:rFonts w:asciiTheme="minorHAnsi" w:hAnsiTheme="minorHAnsi" w:cstheme="majorHAnsi"/>
          <w:color w:val="808080" w:themeColor="background1" w:themeShade="80"/>
          <w:sz w:val="16"/>
          <w:szCs w:val="16"/>
          <w:lang w:val="es-ES"/>
        </w:rPr>
      </w:pPr>
      <w:r w:rsidRPr="00930562">
        <w:rPr>
          <w:rFonts w:asciiTheme="minorHAnsi" w:hAnsiTheme="minorHAnsi" w:cstheme="majorHAnsi"/>
          <w:color w:val="808080" w:themeColor="background1" w:themeShade="80"/>
          <w:sz w:val="16"/>
          <w:szCs w:val="16"/>
          <w:lang w:val="es-ES"/>
        </w:rPr>
        <w:t>(vii) “asegurarse que los distintos órganos del sistema de justicia involucrados en el caso cuenten con los recursos humanos, económicos, logísticos, científicos o de cualquier índole necesarios para desempeñar sus tareas de manera adecuada, independiente e imparcial”;</w:t>
      </w:r>
    </w:p>
    <w:p w14:paraId="780B41FF" w14:textId="77777777" w:rsidR="00F64540" w:rsidRPr="00930562" w:rsidRDefault="00F64540" w:rsidP="00130E54">
      <w:pPr>
        <w:pStyle w:val="FootnoteText"/>
        <w:tabs>
          <w:tab w:val="left" w:pos="450"/>
          <w:tab w:val="left" w:pos="900"/>
        </w:tabs>
        <w:spacing w:after="40"/>
        <w:ind w:left="900" w:hanging="360"/>
        <w:jc w:val="both"/>
        <w:rPr>
          <w:rFonts w:asciiTheme="minorHAnsi" w:hAnsiTheme="minorHAnsi" w:cstheme="majorHAnsi"/>
          <w:color w:val="808080" w:themeColor="background1" w:themeShade="80"/>
          <w:sz w:val="16"/>
          <w:szCs w:val="16"/>
          <w:lang w:val="es-ES"/>
        </w:rPr>
      </w:pPr>
      <w:r w:rsidRPr="00930562">
        <w:rPr>
          <w:rFonts w:asciiTheme="minorHAnsi" w:hAnsiTheme="minorHAnsi" w:cstheme="majorHAnsi"/>
          <w:color w:val="808080" w:themeColor="background1" w:themeShade="80"/>
          <w:sz w:val="16"/>
          <w:szCs w:val="16"/>
          <w:lang w:val="es-ES"/>
        </w:rPr>
        <w:t>(viii) “asegurar el pleno acceso y capacidad de actuar de las víctimas o sus familiares en todas las etapas de la investigación y el juzgamiento de los responsables”;</w:t>
      </w:r>
    </w:p>
    <w:p w14:paraId="62EFD676" w14:textId="77777777" w:rsidR="00F64540" w:rsidRPr="00930562" w:rsidRDefault="00F64540" w:rsidP="00130E54">
      <w:pPr>
        <w:pStyle w:val="FootnoteText"/>
        <w:tabs>
          <w:tab w:val="left" w:pos="450"/>
          <w:tab w:val="left" w:pos="900"/>
        </w:tabs>
        <w:spacing w:after="40"/>
        <w:ind w:left="900" w:hanging="360"/>
        <w:jc w:val="both"/>
        <w:rPr>
          <w:rFonts w:asciiTheme="minorHAnsi" w:hAnsiTheme="minorHAnsi" w:cstheme="majorHAnsi"/>
          <w:color w:val="808080" w:themeColor="background1" w:themeShade="80"/>
          <w:sz w:val="16"/>
          <w:szCs w:val="16"/>
          <w:lang w:val="es-ES"/>
        </w:rPr>
      </w:pPr>
      <w:r w:rsidRPr="00930562">
        <w:rPr>
          <w:rFonts w:asciiTheme="minorHAnsi" w:hAnsiTheme="minorHAnsi" w:cstheme="majorHAnsi"/>
          <w:color w:val="808080" w:themeColor="background1" w:themeShade="80"/>
          <w:sz w:val="16"/>
          <w:szCs w:val="16"/>
          <w:lang w:val="es-ES"/>
        </w:rPr>
        <w:t>(ix) “[publicar] los resultados de los procesos correspondientes”;</w:t>
      </w:r>
    </w:p>
    <w:p w14:paraId="26034C41" w14:textId="77777777" w:rsidR="00F64540" w:rsidRPr="00930562" w:rsidRDefault="00F64540" w:rsidP="00130E54">
      <w:pPr>
        <w:pStyle w:val="FootnoteText"/>
        <w:tabs>
          <w:tab w:val="left" w:pos="450"/>
        </w:tabs>
        <w:spacing w:after="40"/>
        <w:ind w:left="900" w:hanging="360"/>
        <w:jc w:val="both"/>
        <w:rPr>
          <w:rFonts w:asciiTheme="minorHAnsi" w:hAnsiTheme="minorHAnsi" w:cstheme="majorHAnsi"/>
          <w:color w:val="808080" w:themeColor="background1" w:themeShade="80"/>
          <w:sz w:val="16"/>
          <w:szCs w:val="16"/>
          <w:lang w:val="es-ES"/>
        </w:rPr>
      </w:pPr>
      <w:r w:rsidRPr="00930562">
        <w:rPr>
          <w:rFonts w:asciiTheme="minorHAnsi" w:hAnsiTheme="minorHAnsi" w:cstheme="majorHAnsi"/>
          <w:color w:val="808080" w:themeColor="background1" w:themeShade="80"/>
          <w:sz w:val="16"/>
          <w:szCs w:val="16"/>
          <w:lang w:val="es-ES"/>
        </w:rPr>
        <w:t>(x) “garantizar a los operadores de justicia, así como a la sociedad, el acceso público, técnico y sistematizado a los archivos que contengan información útil y relevante para la investigación en causas seguidas por violaciones a los derechos humanos”;</w:t>
      </w:r>
    </w:p>
    <w:p w14:paraId="679115DB" w14:textId="77777777" w:rsidR="00F64540" w:rsidRPr="00930562" w:rsidRDefault="00F64540" w:rsidP="00130E54">
      <w:pPr>
        <w:pStyle w:val="FootnoteText"/>
        <w:tabs>
          <w:tab w:val="left" w:pos="450"/>
        </w:tabs>
        <w:spacing w:after="40"/>
        <w:ind w:left="900" w:hanging="360"/>
        <w:jc w:val="both"/>
        <w:rPr>
          <w:rFonts w:asciiTheme="minorHAnsi" w:hAnsiTheme="minorHAnsi" w:cstheme="majorHAnsi"/>
          <w:color w:val="808080" w:themeColor="background1" w:themeShade="80"/>
          <w:sz w:val="16"/>
          <w:szCs w:val="16"/>
          <w:lang w:val="es-ES"/>
        </w:rPr>
      </w:pPr>
      <w:r w:rsidRPr="00930562">
        <w:rPr>
          <w:rFonts w:asciiTheme="minorHAnsi" w:hAnsiTheme="minorHAnsi" w:cstheme="majorHAnsi"/>
          <w:color w:val="808080" w:themeColor="background1" w:themeShade="80"/>
          <w:sz w:val="16"/>
          <w:szCs w:val="16"/>
          <w:lang w:val="es-ES"/>
        </w:rPr>
        <w:t>(xi) “articular mecanismos de coordinación entre los diferentes órganos e instituciones estatales con facultades de investigación, así como de seguimiento de las causas que se tramiten”;</w:t>
      </w:r>
    </w:p>
    <w:p w14:paraId="44004DE5" w14:textId="77777777" w:rsidR="00F64540" w:rsidRPr="00930562" w:rsidRDefault="00F64540" w:rsidP="00130E54">
      <w:pPr>
        <w:pStyle w:val="FootnoteText"/>
        <w:tabs>
          <w:tab w:val="left" w:pos="450"/>
        </w:tabs>
        <w:spacing w:after="40"/>
        <w:ind w:left="900" w:hanging="360"/>
        <w:jc w:val="both"/>
        <w:rPr>
          <w:rFonts w:asciiTheme="minorHAnsi" w:hAnsiTheme="minorHAnsi" w:cstheme="majorHAnsi"/>
          <w:color w:val="808080" w:themeColor="background1" w:themeShade="80"/>
          <w:sz w:val="16"/>
          <w:szCs w:val="16"/>
          <w:lang w:val="es-ES"/>
        </w:rPr>
      </w:pPr>
      <w:r w:rsidRPr="00930562">
        <w:rPr>
          <w:rFonts w:asciiTheme="minorHAnsi" w:hAnsiTheme="minorHAnsi" w:cstheme="majorHAnsi"/>
          <w:color w:val="808080" w:themeColor="background1" w:themeShade="80"/>
          <w:sz w:val="16"/>
          <w:szCs w:val="16"/>
          <w:lang w:val="es-ES"/>
        </w:rPr>
        <w:t>(xii) “elaborar protocolos de actuación en la materia bajo un enfoque interdisciplinario y capacitar a los funcionarios involucrados en la investigación de graves violaciones a los derechos humanos”;</w:t>
      </w:r>
    </w:p>
    <w:p w14:paraId="5AB93424" w14:textId="77777777" w:rsidR="00F64540" w:rsidRPr="00930562" w:rsidRDefault="00F64540" w:rsidP="00130E54">
      <w:pPr>
        <w:pStyle w:val="FootnoteText"/>
        <w:tabs>
          <w:tab w:val="left" w:pos="450"/>
        </w:tabs>
        <w:spacing w:after="40"/>
        <w:ind w:left="900" w:hanging="360"/>
        <w:jc w:val="both"/>
        <w:rPr>
          <w:rFonts w:asciiTheme="minorHAnsi" w:hAnsiTheme="minorHAnsi" w:cstheme="majorHAnsi"/>
          <w:color w:val="808080" w:themeColor="background1" w:themeShade="80"/>
          <w:sz w:val="16"/>
          <w:szCs w:val="16"/>
          <w:lang w:val="es-ES"/>
        </w:rPr>
      </w:pPr>
      <w:r w:rsidRPr="00930562">
        <w:rPr>
          <w:rFonts w:asciiTheme="minorHAnsi" w:hAnsiTheme="minorHAnsi" w:cstheme="majorHAnsi"/>
          <w:color w:val="808080" w:themeColor="background1" w:themeShade="80"/>
          <w:sz w:val="16"/>
          <w:szCs w:val="16"/>
          <w:lang w:val="es-ES"/>
        </w:rPr>
        <w:t>(xiii) “promover acciones pertinentes de cooperación internacional con otros Estados, a fin de facilitar la recopilación y el intercambio de información, así como otras acciones legales que correspondan”;</w:t>
      </w:r>
    </w:p>
    <w:p w14:paraId="0E121CC7" w14:textId="77777777" w:rsidR="00F64540" w:rsidRPr="00930562" w:rsidRDefault="00F64540" w:rsidP="00130E54">
      <w:pPr>
        <w:pStyle w:val="FootnoteText"/>
        <w:tabs>
          <w:tab w:val="left" w:pos="450"/>
        </w:tabs>
        <w:spacing w:after="40"/>
        <w:ind w:left="900" w:hanging="360"/>
        <w:jc w:val="both"/>
        <w:rPr>
          <w:rFonts w:asciiTheme="minorHAnsi" w:hAnsiTheme="minorHAnsi" w:cstheme="majorHAnsi"/>
          <w:color w:val="808080" w:themeColor="background1" w:themeShade="80"/>
          <w:sz w:val="16"/>
          <w:szCs w:val="16"/>
          <w:lang w:val="es-ES"/>
        </w:rPr>
      </w:pPr>
      <w:r w:rsidRPr="00930562">
        <w:rPr>
          <w:rFonts w:asciiTheme="minorHAnsi" w:hAnsiTheme="minorHAnsi" w:cstheme="majorHAnsi"/>
          <w:color w:val="808080" w:themeColor="background1" w:themeShade="80"/>
          <w:sz w:val="16"/>
          <w:szCs w:val="16"/>
          <w:lang w:val="es-ES"/>
        </w:rPr>
        <w:t>(xiv) “tomar en cuenta los impactos diferenciados”;</w:t>
      </w:r>
    </w:p>
    <w:p w14:paraId="67E6ADA5" w14:textId="77777777" w:rsidR="00F64540" w:rsidRPr="00930562" w:rsidRDefault="00F64540" w:rsidP="00130E54">
      <w:pPr>
        <w:pStyle w:val="FootnoteText"/>
        <w:tabs>
          <w:tab w:val="left" w:pos="450"/>
        </w:tabs>
        <w:spacing w:after="40"/>
        <w:ind w:left="900" w:hanging="360"/>
        <w:jc w:val="both"/>
        <w:rPr>
          <w:rFonts w:asciiTheme="minorHAnsi" w:hAnsiTheme="minorHAnsi" w:cstheme="majorHAnsi"/>
          <w:color w:val="808080" w:themeColor="background1" w:themeShade="80"/>
          <w:sz w:val="16"/>
          <w:szCs w:val="16"/>
          <w:lang w:val="es-ES"/>
        </w:rPr>
      </w:pPr>
      <w:r w:rsidRPr="00930562">
        <w:rPr>
          <w:rFonts w:asciiTheme="minorHAnsi" w:hAnsiTheme="minorHAnsi" w:cstheme="majorHAnsi"/>
          <w:color w:val="808080" w:themeColor="background1" w:themeShade="80"/>
          <w:sz w:val="16"/>
          <w:szCs w:val="16"/>
          <w:lang w:val="es-ES"/>
        </w:rPr>
        <w:t>(xv) “ejecutar las órdenes de captura de los presuntos responsables que se encuentran pendientes y emitir las que sean pertinentes a efecto de enjuiciar a todos los responsables”; y</w:t>
      </w:r>
    </w:p>
    <w:p w14:paraId="17A08B5B" w14:textId="77777777" w:rsidR="00F64540" w:rsidRPr="00930562" w:rsidRDefault="00F64540" w:rsidP="00130E54">
      <w:pPr>
        <w:pStyle w:val="FootnoteText"/>
        <w:tabs>
          <w:tab w:val="left" w:pos="450"/>
        </w:tabs>
        <w:spacing w:after="40"/>
        <w:ind w:left="900" w:hanging="360"/>
        <w:jc w:val="both"/>
        <w:rPr>
          <w:rFonts w:asciiTheme="minorHAnsi" w:hAnsiTheme="minorHAnsi" w:cstheme="majorHAnsi"/>
          <w:color w:val="808080" w:themeColor="background1" w:themeShade="80"/>
          <w:sz w:val="16"/>
          <w:szCs w:val="16"/>
          <w:lang w:val="es-ES"/>
        </w:rPr>
      </w:pPr>
      <w:r w:rsidRPr="00930562">
        <w:rPr>
          <w:rFonts w:asciiTheme="minorHAnsi" w:hAnsiTheme="minorHAnsi" w:cstheme="majorHAnsi"/>
          <w:color w:val="808080" w:themeColor="background1" w:themeShade="80"/>
          <w:sz w:val="16"/>
          <w:szCs w:val="16"/>
          <w:lang w:val="es-ES"/>
        </w:rPr>
        <w:t>(xvi) “iniciar las acciones disciplinarias, administrativas o penales, de acuerdo con su legislación interna, de las posibles autoridades del Estado que han obstaculizado e impedido la investigación debida de los hechos, así como los responsables de las distintas irregularidades procesales”.</w:t>
      </w:r>
    </w:p>
    <w:p w14:paraId="050ED191" w14:textId="04935ADD" w:rsidR="00F64540" w:rsidRPr="00930562" w:rsidRDefault="00F64540" w:rsidP="00130E54">
      <w:pPr>
        <w:pStyle w:val="FootnoteText"/>
        <w:tabs>
          <w:tab w:val="left" w:pos="540"/>
        </w:tabs>
        <w:spacing w:after="40"/>
        <w:ind w:left="547" w:hanging="547"/>
        <w:jc w:val="both"/>
        <w:rPr>
          <w:rFonts w:asciiTheme="minorHAnsi" w:hAnsiTheme="minorHAnsi" w:cstheme="majorHAnsi"/>
          <w:color w:val="808080" w:themeColor="background1" w:themeShade="80"/>
          <w:sz w:val="16"/>
          <w:szCs w:val="16"/>
          <w:lang w:val="es-ES"/>
        </w:rPr>
      </w:pPr>
      <w:r>
        <w:rPr>
          <w:rFonts w:asciiTheme="minorHAnsi" w:hAnsiTheme="minorHAnsi" w:cstheme="majorHAnsi"/>
          <w:color w:val="808080" w:themeColor="background1" w:themeShade="80"/>
          <w:sz w:val="16"/>
          <w:szCs w:val="16"/>
          <w:lang w:val="es-ES"/>
        </w:rPr>
        <w:tab/>
      </w:r>
      <w:r w:rsidRPr="00930562">
        <w:rPr>
          <w:rFonts w:asciiTheme="minorHAnsi" w:hAnsiTheme="minorHAnsi" w:cstheme="majorHAnsi"/>
          <w:color w:val="808080" w:themeColor="background1" w:themeShade="80"/>
          <w:sz w:val="16"/>
          <w:szCs w:val="16"/>
          <w:lang w:val="es-ES"/>
        </w:rPr>
        <w:t xml:space="preserve">CIDH, </w:t>
      </w:r>
      <w:hyperlink r:id="rId703" w:history="1">
        <w:r w:rsidRPr="00930562">
          <w:rPr>
            <w:rStyle w:val="Hyperlink"/>
            <w:rFonts w:asciiTheme="minorHAnsi" w:hAnsiTheme="minorHAnsi" w:cstheme="majorHAnsi"/>
            <w:color w:val="808080" w:themeColor="background1" w:themeShade="80"/>
            <w:sz w:val="16"/>
            <w:szCs w:val="16"/>
            <w:lang w:val="es-ES"/>
          </w:rPr>
          <w:t xml:space="preserve">Derecho a la Verdad en las Américas </w:t>
        </w:r>
      </w:hyperlink>
      <w:r w:rsidRPr="00930562">
        <w:rPr>
          <w:rFonts w:asciiTheme="minorHAnsi" w:hAnsiTheme="minorHAnsi" w:cstheme="majorHAnsi"/>
          <w:color w:val="808080" w:themeColor="background1" w:themeShade="80"/>
          <w:sz w:val="16"/>
          <w:szCs w:val="16"/>
          <w:lang w:val="es-ES"/>
        </w:rPr>
        <w:t>(2014), p</w:t>
      </w:r>
      <w:r w:rsidRPr="00930562">
        <w:rPr>
          <w:rFonts w:asciiTheme="minorHAnsi" w:hAnsiTheme="minorHAnsi" w:cstheme="majorHAnsi"/>
          <w:color w:val="808080" w:themeColor="background1" w:themeShade="80"/>
          <w:sz w:val="16"/>
          <w:szCs w:val="16"/>
          <w:lang w:val="es-ES_tradnl"/>
        </w:rPr>
        <w:t>árr</w:t>
      </w:r>
      <w:r w:rsidRPr="00930562">
        <w:rPr>
          <w:rFonts w:asciiTheme="minorHAnsi" w:hAnsiTheme="minorHAnsi" w:cstheme="majorHAnsi"/>
          <w:color w:val="808080" w:themeColor="background1" w:themeShade="80"/>
          <w:sz w:val="16"/>
          <w:szCs w:val="16"/>
          <w:lang w:val="es-ES"/>
        </w:rPr>
        <w:t>. 126 (cita omitida).</w:t>
      </w:r>
    </w:p>
  </w:footnote>
  <w:footnote w:id="674">
    <w:p w14:paraId="248A614C"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hAnsiTheme="minorHAnsi" w:cstheme="majorHAnsi"/>
          <w:bCs/>
          <w:color w:val="808080" w:themeColor="background1" w:themeShade="80"/>
          <w:sz w:val="16"/>
          <w:szCs w:val="16"/>
          <w:lang w:val="es-ES"/>
        </w:rPr>
        <w:t xml:space="preserve">CIDH, </w:t>
      </w:r>
      <w:hyperlink r:id="rId704" w:history="1">
        <w:r w:rsidRPr="00930562">
          <w:rPr>
            <w:rStyle w:val="Hyperlink"/>
            <w:rFonts w:asciiTheme="minorHAnsi" w:hAnsiTheme="minorHAnsi" w:cstheme="majorHAnsi"/>
            <w:bCs/>
            <w:color w:val="808080" w:themeColor="background1" w:themeShade="80"/>
            <w:sz w:val="16"/>
            <w:szCs w:val="16"/>
            <w:lang w:val="es-ES"/>
          </w:rPr>
          <w:t>La CIDH concluye su visita a Florida, Luisiana y Misuri, en Estados Unidos</w:t>
        </w:r>
      </w:hyperlink>
      <w:r w:rsidRPr="00930562">
        <w:rPr>
          <w:rFonts w:asciiTheme="minorHAnsi" w:hAnsiTheme="minorHAnsi" w:cstheme="majorHAnsi"/>
          <w:bCs/>
          <w:color w:val="808080" w:themeColor="background1" w:themeShade="80"/>
          <w:sz w:val="16"/>
          <w:szCs w:val="16"/>
          <w:lang w:val="es-ES"/>
        </w:rPr>
        <w:t>, 16 de octubre de 2015.</w:t>
      </w:r>
    </w:p>
  </w:footnote>
  <w:footnote w:id="675">
    <w:p w14:paraId="6BC36E3C" w14:textId="68AAB285" w:rsidR="00F64540" w:rsidRPr="00930562" w:rsidRDefault="00F64540" w:rsidP="00E10935">
      <w:pPr>
        <w:pStyle w:val="FootnoteText"/>
        <w:spacing w:after="40"/>
        <w:ind w:left="547" w:hanging="547"/>
        <w:rPr>
          <w:rFonts w:asciiTheme="minorHAnsi" w:hAnsiTheme="minorHAnsi"/>
          <w:color w:val="808080" w:themeColor="background1" w:themeShade="80"/>
          <w:sz w:val="16"/>
          <w:szCs w:val="16"/>
          <w:lang w:val="pt-BR"/>
        </w:rPr>
      </w:pPr>
      <w:r w:rsidRPr="00930562">
        <w:rPr>
          <w:rStyle w:val="FootnoteReference"/>
          <w:rFonts w:asciiTheme="minorHAnsi" w:hAnsiTheme="minorHAnsi"/>
          <w:color w:val="808080" w:themeColor="background1" w:themeShade="80"/>
          <w:sz w:val="16"/>
          <w:szCs w:val="16"/>
        </w:rPr>
        <w:footnoteRef/>
      </w:r>
      <w:r>
        <w:rPr>
          <w:rFonts w:asciiTheme="minorHAnsi" w:hAnsiTheme="minorHAnsi" w:cstheme="majorHAnsi"/>
          <w:i/>
          <w:color w:val="808080" w:themeColor="background1" w:themeShade="80"/>
          <w:sz w:val="16"/>
          <w:szCs w:val="16"/>
          <w:lang w:val="pt-BR"/>
        </w:rPr>
        <w:t xml:space="preserve"> </w:t>
      </w:r>
      <w:r>
        <w:rPr>
          <w:rFonts w:asciiTheme="minorHAnsi" w:hAnsiTheme="minorHAnsi" w:cstheme="majorHAnsi"/>
          <w:i/>
          <w:color w:val="808080" w:themeColor="background1" w:themeShade="80"/>
          <w:sz w:val="16"/>
          <w:szCs w:val="16"/>
          <w:lang w:val="pt-BR"/>
        </w:rPr>
        <w:tab/>
      </w:r>
      <w:r w:rsidRPr="00930562">
        <w:rPr>
          <w:rFonts w:asciiTheme="minorHAnsi" w:hAnsiTheme="minorHAnsi" w:cstheme="majorHAnsi"/>
          <w:i/>
          <w:color w:val="808080" w:themeColor="background1" w:themeShade="80"/>
          <w:sz w:val="16"/>
          <w:szCs w:val="16"/>
          <w:lang w:val="pt-BR"/>
        </w:rPr>
        <w:t>Ver supra</w:t>
      </w:r>
      <w:r w:rsidRPr="00930562">
        <w:rPr>
          <w:rFonts w:asciiTheme="minorHAnsi" w:hAnsiTheme="minorHAnsi" w:cstheme="majorHAnsi"/>
          <w:color w:val="808080" w:themeColor="background1" w:themeShade="80"/>
          <w:sz w:val="16"/>
          <w:szCs w:val="16"/>
          <w:lang w:val="pt-BR"/>
        </w:rPr>
        <w:t xml:space="preserve"> párr. </w:t>
      </w:r>
      <w:r w:rsidRPr="00930562">
        <w:rPr>
          <w:rFonts w:asciiTheme="minorHAnsi" w:hAnsiTheme="minorHAnsi"/>
          <w:color w:val="808080" w:themeColor="background1" w:themeShade="80"/>
          <w:sz w:val="16"/>
          <w:szCs w:val="16"/>
          <w:lang w:val="pt-BR"/>
        </w:rPr>
        <w:t>115.</w:t>
      </w:r>
    </w:p>
  </w:footnote>
  <w:footnote w:id="676">
    <w:p w14:paraId="4368D488"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pt-BR"/>
        </w:rPr>
        <w:t xml:space="preserve"> </w:t>
      </w:r>
      <w:r w:rsidRPr="00930562">
        <w:rPr>
          <w:rFonts w:asciiTheme="minorHAnsi" w:hAnsiTheme="minorHAnsi" w:cstheme="majorHAnsi"/>
          <w:color w:val="808080" w:themeColor="background1" w:themeShade="80"/>
          <w:sz w:val="16"/>
          <w:szCs w:val="16"/>
          <w:lang w:val="pt-BR"/>
        </w:rPr>
        <w:tab/>
      </w:r>
      <w:r w:rsidRPr="00930562">
        <w:rPr>
          <w:rFonts w:asciiTheme="minorHAnsi" w:hAnsiTheme="minorHAnsi" w:cstheme="majorHAnsi"/>
          <w:i/>
          <w:color w:val="808080" w:themeColor="background1" w:themeShade="80"/>
          <w:sz w:val="16"/>
          <w:szCs w:val="16"/>
          <w:lang w:val="pt-BR"/>
        </w:rPr>
        <w:t>Ver supra</w:t>
      </w:r>
      <w:r w:rsidRPr="00930562">
        <w:rPr>
          <w:rFonts w:asciiTheme="minorHAnsi" w:hAnsiTheme="minorHAnsi" w:cstheme="majorHAnsi"/>
          <w:color w:val="808080" w:themeColor="background1" w:themeShade="80"/>
          <w:sz w:val="16"/>
          <w:szCs w:val="16"/>
          <w:lang w:val="pt-BR"/>
        </w:rPr>
        <w:t xml:space="preserve"> párr. </w:t>
      </w:r>
      <w:r w:rsidRPr="00930562">
        <w:rPr>
          <w:rFonts w:asciiTheme="minorHAnsi" w:hAnsiTheme="minorHAnsi" w:cstheme="majorHAnsi"/>
          <w:color w:val="808080" w:themeColor="background1" w:themeShade="80"/>
          <w:sz w:val="16"/>
          <w:szCs w:val="16"/>
        </w:rPr>
        <w:fldChar w:fldCharType="begin"/>
      </w:r>
      <w:r w:rsidRPr="00930562">
        <w:rPr>
          <w:rFonts w:asciiTheme="minorHAnsi" w:hAnsiTheme="minorHAnsi" w:cstheme="majorHAnsi"/>
          <w:color w:val="808080" w:themeColor="background1" w:themeShade="80"/>
          <w:sz w:val="16"/>
          <w:szCs w:val="16"/>
          <w:lang w:val="pt-BR"/>
        </w:rPr>
        <w:instrText xml:space="preserve"> REF _Ref507430107 \r \h  \* MERGEFORMAT </w:instrText>
      </w:r>
      <w:r w:rsidRPr="00930562">
        <w:rPr>
          <w:rFonts w:asciiTheme="minorHAnsi" w:hAnsiTheme="minorHAnsi" w:cstheme="majorHAnsi"/>
          <w:color w:val="808080" w:themeColor="background1" w:themeShade="80"/>
          <w:sz w:val="16"/>
          <w:szCs w:val="16"/>
        </w:rPr>
      </w:r>
      <w:r w:rsidRPr="00930562">
        <w:rPr>
          <w:rFonts w:asciiTheme="minorHAnsi" w:hAnsiTheme="minorHAnsi" w:cstheme="majorHAnsi"/>
          <w:color w:val="808080" w:themeColor="background1" w:themeShade="80"/>
          <w:sz w:val="16"/>
          <w:szCs w:val="16"/>
        </w:rPr>
        <w:fldChar w:fldCharType="separate"/>
      </w:r>
      <w:r w:rsidRPr="00930562">
        <w:rPr>
          <w:rFonts w:asciiTheme="minorHAnsi" w:hAnsiTheme="minorHAnsi" w:cstheme="majorHAnsi"/>
          <w:color w:val="808080" w:themeColor="background1" w:themeShade="80"/>
          <w:sz w:val="16"/>
          <w:szCs w:val="16"/>
          <w:lang w:val="es-ES"/>
        </w:rPr>
        <w:t>1</w:t>
      </w:r>
      <w:r w:rsidRPr="00930562">
        <w:rPr>
          <w:rFonts w:asciiTheme="minorHAnsi" w:hAnsiTheme="minorHAnsi" w:cstheme="majorHAnsi"/>
          <w:color w:val="808080" w:themeColor="background1" w:themeShade="80"/>
          <w:sz w:val="16"/>
          <w:szCs w:val="16"/>
        </w:rPr>
        <w:fldChar w:fldCharType="end"/>
      </w:r>
      <w:r w:rsidRPr="00930562">
        <w:rPr>
          <w:rFonts w:asciiTheme="minorHAnsi" w:hAnsiTheme="minorHAnsi" w:cstheme="majorHAnsi"/>
          <w:color w:val="808080" w:themeColor="background1" w:themeShade="80"/>
          <w:sz w:val="16"/>
          <w:szCs w:val="16"/>
          <w:lang w:val="es-MX"/>
        </w:rPr>
        <w:t>16</w:t>
      </w:r>
      <w:r w:rsidRPr="00930562">
        <w:rPr>
          <w:rFonts w:asciiTheme="minorHAnsi" w:hAnsiTheme="minorHAnsi" w:cstheme="majorHAnsi"/>
          <w:color w:val="808080" w:themeColor="background1" w:themeShade="80"/>
          <w:sz w:val="16"/>
          <w:szCs w:val="16"/>
          <w:lang w:val="es-ES"/>
        </w:rPr>
        <w:t>.</w:t>
      </w:r>
    </w:p>
  </w:footnote>
  <w:footnote w:id="677">
    <w:p w14:paraId="27AE2C11"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lang w:val="es-ES"/>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bCs/>
          <w:color w:val="808080" w:themeColor="background1" w:themeShade="80"/>
          <w:sz w:val="16"/>
          <w:szCs w:val="16"/>
          <w:lang w:val="es-ES"/>
        </w:rPr>
        <w:tab/>
        <w:t xml:space="preserve">CIDH, </w:t>
      </w:r>
      <w:hyperlink r:id="rId705" w:history="1">
        <w:r w:rsidRPr="00930562">
          <w:rPr>
            <w:rStyle w:val="Hyperlink"/>
            <w:rFonts w:asciiTheme="minorHAnsi" w:hAnsiTheme="minorHAnsi" w:cstheme="majorHAnsi"/>
            <w:bCs/>
            <w:color w:val="808080" w:themeColor="background1" w:themeShade="80"/>
            <w:sz w:val="16"/>
            <w:szCs w:val="16"/>
            <w:lang w:val="es-ES"/>
          </w:rPr>
          <w:t>La CIDH concluye su visita a Florida, Luisiana y Misuri, en Estados Unidos</w:t>
        </w:r>
      </w:hyperlink>
      <w:r w:rsidRPr="00930562">
        <w:rPr>
          <w:rFonts w:asciiTheme="minorHAnsi" w:hAnsiTheme="minorHAnsi" w:cstheme="majorHAnsi"/>
          <w:bCs/>
          <w:color w:val="808080" w:themeColor="background1" w:themeShade="80"/>
          <w:sz w:val="16"/>
          <w:szCs w:val="16"/>
          <w:lang w:val="es-ES"/>
        </w:rPr>
        <w:t>, 16 de octubre de 2015.</w:t>
      </w:r>
    </w:p>
  </w:footnote>
  <w:footnote w:id="678">
    <w:p w14:paraId="5FDD46AA" w14:textId="77777777" w:rsidR="00F64540" w:rsidRPr="00930562" w:rsidRDefault="00F64540" w:rsidP="00E10935">
      <w:pPr>
        <w:pStyle w:val="FootnoteText"/>
        <w:spacing w:after="40"/>
        <w:ind w:left="547" w:hanging="547"/>
        <w:jc w:val="both"/>
        <w:rPr>
          <w:rFonts w:asciiTheme="minorHAnsi" w:hAnsiTheme="minorHAnsi" w:cstheme="majorHAnsi"/>
          <w:color w:val="808080" w:themeColor="background1" w:themeShade="80"/>
          <w:sz w:val="16"/>
          <w:szCs w:val="16"/>
        </w:rPr>
      </w:pPr>
      <w:r w:rsidRPr="00930562">
        <w:rPr>
          <w:rStyle w:val="FootnoteReference"/>
          <w:rFonts w:asciiTheme="minorHAnsi" w:hAnsiTheme="minorHAnsi" w:cstheme="majorHAnsi"/>
          <w:color w:val="808080" w:themeColor="background1" w:themeShade="80"/>
          <w:sz w:val="16"/>
          <w:szCs w:val="16"/>
        </w:rPr>
        <w:footnoteRef/>
      </w:r>
      <w:r w:rsidRPr="00930562">
        <w:rPr>
          <w:rFonts w:asciiTheme="minorHAnsi" w:hAnsiTheme="minorHAnsi" w:cstheme="majorHAnsi"/>
          <w:color w:val="808080" w:themeColor="background1" w:themeShade="80"/>
          <w:sz w:val="16"/>
          <w:szCs w:val="16"/>
          <w:lang w:val="es-ES"/>
        </w:rPr>
        <w:tab/>
      </w:r>
      <w:r w:rsidRPr="00930562">
        <w:rPr>
          <w:rFonts w:asciiTheme="minorHAnsi" w:eastAsia="Times New Roman" w:hAnsiTheme="minorHAnsi" w:cstheme="majorHAnsi"/>
          <w:color w:val="808080" w:themeColor="background1" w:themeShade="80"/>
          <w:sz w:val="16"/>
          <w:szCs w:val="16"/>
          <w:lang w:val="es-ES" w:eastAsia="es-ES"/>
        </w:rPr>
        <w:t xml:space="preserve">CIDH, </w:t>
      </w:r>
      <w:hyperlink r:id="rId706" w:history="1">
        <w:r w:rsidRPr="00930562">
          <w:rPr>
            <w:rStyle w:val="Hyperlink"/>
            <w:rFonts w:asciiTheme="minorHAnsi" w:eastAsia="Times New Roman" w:hAnsiTheme="minorHAnsi" w:cstheme="majorHAnsi"/>
            <w:color w:val="808080" w:themeColor="background1" w:themeShade="80"/>
            <w:sz w:val="16"/>
            <w:szCs w:val="16"/>
            <w:lang w:val="es-ES" w:eastAsia="es-ES"/>
          </w:rPr>
          <w:t>La situación</w:t>
        </w:r>
        <w:r w:rsidRPr="00930562">
          <w:rPr>
            <w:rStyle w:val="Hyperlink"/>
            <w:rFonts w:asciiTheme="minorHAnsi" w:eastAsia="Times New Roman" w:hAnsiTheme="minorHAnsi" w:cstheme="majorHAnsi"/>
            <w:color w:val="808080" w:themeColor="background1" w:themeShade="80"/>
            <w:sz w:val="16"/>
            <w:szCs w:val="16"/>
            <w:lang w:val="es-ES_tradnl" w:eastAsia="es-ES"/>
          </w:rPr>
          <w:t xml:space="preserve"> de las personas afrodescendientes en las Américas</w:t>
        </w:r>
      </w:hyperlink>
      <w:r w:rsidRPr="00930562">
        <w:rPr>
          <w:rFonts w:asciiTheme="minorHAnsi" w:eastAsia="Times New Roman" w:hAnsiTheme="minorHAnsi" w:cstheme="majorHAnsi"/>
          <w:color w:val="808080" w:themeColor="background1" w:themeShade="80"/>
          <w:sz w:val="16"/>
          <w:szCs w:val="16"/>
          <w:lang w:val="es-ES_tradnl" w:eastAsia="es-ES"/>
        </w:rPr>
        <w:t xml:space="preserve"> (2011), párr.</w:t>
      </w:r>
      <w:r w:rsidRPr="00930562">
        <w:rPr>
          <w:rFonts w:asciiTheme="minorHAnsi" w:hAnsiTheme="minorHAnsi" w:cstheme="majorHAnsi"/>
          <w:color w:val="808080" w:themeColor="background1" w:themeShade="80"/>
          <w:sz w:val="16"/>
          <w:szCs w:val="16"/>
          <w:lang w:val="es-ES"/>
        </w:rPr>
        <w:t xml:space="preserve"> </w:t>
      </w:r>
      <w:r w:rsidRPr="00930562">
        <w:rPr>
          <w:rFonts w:asciiTheme="minorHAnsi" w:hAnsiTheme="minorHAnsi" w:cstheme="majorHAnsi"/>
          <w:color w:val="808080" w:themeColor="background1" w:themeShade="80"/>
          <w:sz w:val="16"/>
          <w:szCs w:val="16"/>
        </w:rPr>
        <w:t xml:space="preserve">22.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07CC6" w14:textId="77777777" w:rsidR="00C43321" w:rsidRDefault="00C4332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6C077" w14:textId="77777777" w:rsidR="00F64540" w:rsidRPr="00E10935" w:rsidRDefault="00F64540" w:rsidP="000D5EFB">
    <w:pPr>
      <w:pStyle w:val="Header"/>
      <w:spacing w:after="420"/>
      <w:jc w:val="right"/>
      <w:rPr>
        <w:rFonts w:asciiTheme="minorHAnsi" w:hAnsiTheme="minorHAnsi"/>
        <w:color w:val="4A442A" w:themeColor="background2" w:themeShade="40"/>
        <w:sz w:val="16"/>
        <w:szCs w:val="16"/>
      </w:rPr>
    </w:pPr>
    <w:r>
      <w:rPr>
        <w:rFonts w:asciiTheme="minorHAnsi" w:hAnsiTheme="minorHAnsi"/>
        <w:color w:val="4A442A" w:themeColor="background2" w:themeShade="40"/>
        <w:sz w:val="16"/>
        <w:szCs w:val="16"/>
      </w:rPr>
      <w:t xml:space="preserve">Capítulo 1: </w:t>
    </w:r>
    <w:r w:rsidRPr="00E10935">
      <w:rPr>
        <w:rFonts w:asciiTheme="minorHAnsi" w:hAnsiTheme="minorHAnsi"/>
        <w:color w:val="4A442A" w:themeColor="background2" w:themeShade="40"/>
        <w:sz w:val="16"/>
        <w:szCs w:val="16"/>
      </w:rPr>
      <w:t xml:space="preserve">Introducción | </w:t>
    </w:r>
    <w:sdt>
      <w:sdtPr>
        <w:rPr>
          <w:rFonts w:asciiTheme="minorHAnsi" w:hAnsiTheme="minorHAnsi"/>
          <w:color w:val="4A442A" w:themeColor="background2" w:themeShade="40"/>
          <w:sz w:val="16"/>
          <w:szCs w:val="16"/>
        </w:rPr>
        <w:id w:val="-768387567"/>
        <w:docPartObj>
          <w:docPartGallery w:val="Page Numbers (Top of Page)"/>
          <w:docPartUnique/>
        </w:docPartObj>
      </w:sdtPr>
      <w:sdtEndPr>
        <w:rPr>
          <w:noProof/>
        </w:rPr>
      </w:sdtEndPr>
      <w:sdtContent>
        <w:r w:rsidRPr="00E10935">
          <w:rPr>
            <w:rFonts w:asciiTheme="minorHAnsi" w:hAnsiTheme="minorHAnsi"/>
            <w:color w:val="4A442A" w:themeColor="background2" w:themeShade="40"/>
            <w:sz w:val="16"/>
            <w:szCs w:val="16"/>
          </w:rPr>
          <w:fldChar w:fldCharType="begin"/>
        </w:r>
        <w:r w:rsidRPr="00E10935">
          <w:rPr>
            <w:rFonts w:asciiTheme="minorHAnsi" w:hAnsiTheme="minorHAnsi"/>
            <w:color w:val="4A442A" w:themeColor="background2" w:themeShade="40"/>
            <w:sz w:val="16"/>
            <w:szCs w:val="16"/>
          </w:rPr>
          <w:instrText xml:space="preserve"> PAGE   \* MERGEFORMAT </w:instrText>
        </w:r>
        <w:r w:rsidRPr="00E10935">
          <w:rPr>
            <w:rFonts w:asciiTheme="minorHAnsi" w:hAnsiTheme="minorHAnsi"/>
            <w:color w:val="4A442A" w:themeColor="background2" w:themeShade="40"/>
            <w:sz w:val="16"/>
            <w:szCs w:val="16"/>
          </w:rPr>
          <w:fldChar w:fldCharType="separate"/>
        </w:r>
        <w:r w:rsidR="00A922E4">
          <w:rPr>
            <w:rFonts w:asciiTheme="minorHAnsi" w:hAnsiTheme="minorHAnsi"/>
            <w:noProof/>
            <w:color w:val="4A442A" w:themeColor="background2" w:themeShade="40"/>
            <w:sz w:val="16"/>
            <w:szCs w:val="16"/>
          </w:rPr>
          <w:t>25</w:t>
        </w:r>
        <w:r w:rsidRPr="00E10935">
          <w:rPr>
            <w:rFonts w:asciiTheme="minorHAnsi" w:hAnsiTheme="minorHAnsi"/>
            <w:noProof/>
            <w:color w:val="4A442A" w:themeColor="background2" w:themeShade="40"/>
            <w:sz w:val="16"/>
            <w:szCs w:val="16"/>
          </w:rPr>
          <w:fldChar w:fldCharType="end"/>
        </w:r>
      </w:sdtContent>
    </w:sdt>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5C454" w14:textId="7925132B" w:rsidR="00F64540" w:rsidRPr="00961CA2" w:rsidRDefault="00F64540" w:rsidP="00961CA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7AC68" w14:textId="77777777" w:rsidR="00F64540" w:rsidRPr="001018E6" w:rsidRDefault="00F64540" w:rsidP="000D5EFB">
    <w:pPr>
      <w:pStyle w:val="Header"/>
      <w:spacing w:after="420"/>
      <w:jc w:val="right"/>
      <w:rPr>
        <w:rFonts w:asciiTheme="minorHAnsi" w:hAnsiTheme="minorHAnsi"/>
        <w:color w:val="4A442A" w:themeColor="background2" w:themeShade="40"/>
        <w:sz w:val="16"/>
        <w:szCs w:val="16"/>
        <w:lang w:val="es-ES"/>
      </w:rPr>
    </w:pPr>
    <w:r w:rsidRPr="001018E6">
      <w:rPr>
        <w:rFonts w:asciiTheme="minorHAnsi" w:hAnsiTheme="minorHAnsi"/>
        <w:color w:val="4A442A" w:themeColor="background2" w:themeShade="40"/>
        <w:sz w:val="16"/>
        <w:szCs w:val="16"/>
        <w:lang w:val="es-ES"/>
      </w:rPr>
      <w:t>Capítulo 2: Discriminación estructural y uso excesi</w:t>
    </w:r>
    <w:r>
      <w:rPr>
        <w:rFonts w:asciiTheme="minorHAnsi" w:hAnsiTheme="minorHAnsi"/>
        <w:color w:val="4A442A" w:themeColor="background2" w:themeShade="40"/>
        <w:sz w:val="16"/>
        <w:szCs w:val="16"/>
        <w:lang w:val="es-ES"/>
      </w:rPr>
      <w:t>v</w:t>
    </w:r>
    <w:r w:rsidRPr="001018E6">
      <w:rPr>
        <w:rFonts w:asciiTheme="minorHAnsi" w:hAnsiTheme="minorHAnsi"/>
        <w:color w:val="4A442A" w:themeColor="background2" w:themeShade="40"/>
        <w:sz w:val="16"/>
        <w:szCs w:val="16"/>
        <w:lang w:val="es-ES"/>
      </w:rPr>
      <w:t xml:space="preserve">o de la fuerza en Estados Unidos | </w:t>
    </w:r>
    <w:sdt>
      <w:sdtPr>
        <w:rPr>
          <w:rFonts w:asciiTheme="minorHAnsi" w:hAnsiTheme="minorHAnsi"/>
          <w:color w:val="4A442A" w:themeColor="background2" w:themeShade="40"/>
          <w:sz w:val="16"/>
          <w:szCs w:val="16"/>
        </w:rPr>
        <w:id w:val="1076479885"/>
        <w:docPartObj>
          <w:docPartGallery w:val="Page Numbers (Top of Page)"/>
          <w:docPartUnique/>
        </w:docPartObj>
      </w:sdtPr>
      <w:sdtEndPr>
        <w:rPr>
          <w:noProof/>
        </w:rPr>
      </w:sdtEndPr>
      <w:sdtContent>
        <w:r w:rsidRPr="00E10935">
          <w:rPr>
            <w:rFonts w:asciiTheme="minorHAnsi" w:hAnsiTheme="minorHAnsi"/>
            <w:color w:val="4A442A" w:themeColor="background2" w:themeShade="40"/>
            <w:sz w:val="16"/>
            <w:szCs w:val="16"/>
          </w:rPr>
          <w:fldChar w:fldCharType="begin"/>
        </w:r>
        <w:r w:rsidRPr="001018E6">
          <w:rPr>
            <w:rFonts w:asciiTheme="minorHAnsi" w:hAnsiTheme="minorHAnsi"/>
            <w:color w:val="4A442A" w:themeColor="background2" w:themeShade="40"/>
            <w:sz w:val="16"/>
            <w:szCs w:val="16"/>
            <w:lang w:val="es-ES"/>
          </w:rPr>
          <w:instrText xml:space="preserve"> PAGE   \* MERGEFORMAT </w:instrText>
        </w:r>
        <w:r w:rsidRPr="00E10935">
          <w:rPr>
            <w:rFonts w:asciiTheme="minorHAnsi" w:hAnsiTheme="minorHAnsi"/>
            <w:color w:val="4A442A" w:themeColor="background2" w:themeShade="40"/>
            <w:sz w:val="16"/>
            <w:szCs w:val="16"/>
          </w:rPr>
          <w:fldChar w:fldCharType="separate"/>
        </w:r>
        <w:r w:rsidR="00A922E4">
          <w:rPr>
            <w:rFonts w:asciiTheme="minorHAnsi" w:hAnsiTheme="minorHAnsi"/>
            <w:noProof/>
            <w:color w:val="4A442A" w:themeColor="background2" w:themeShade="40"/>
            <w:sz w:val="16"/>
            <w:szCs w:val="16"/>
            <w:lang w:val="es-ES"/>
          </w:rPr>
          <w:t>109</w:t>
        </w:r>
        <w:r w:rsidRPr="00E10935">
          <w:rPr>
            <w:rFonts w:asciiTheme="minorHAnsi" w:hAnsiTheme="minorHAnsi"/>
            <w:noProof/>
            <w:color w:val="4A442A" w:themeColor="background2" w:themeShade="40"/>
            <w:sz w:val="16"/>
            <w:szCs w:val="16"/>
          </w:rPr>
          <w:fldChar w:fldCharType="end"/>
        </w:r>
      </w:sdtContent>
    </w:sdt>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8ACC9" w14:textId="795DC70B" w:rsidR="00F64540" w:rsidRPr="00B41EFF" w:rsidRDefault="00F64540" w:rsidP="00B41EF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8"/>
      <w:gridCol w:w="630"/>
    </w:tblGrid>
    <w:tr w:rsidR="00F64540" w:rsidRPr="00723D3C" w14:paraId="157A3718" w14:textId="77777777" w:rsidTr="004D711A">
      <w:tc>
        <w:tcPr>
          <w:tcW w:w="7218" w:type="dxa"/>
        </w:tcPr>
        <w:p w14:paraId="7D4033F2" w14:textId="48B7DF2A" w:rsidR="00F64540" w:rsidRPr="00723D3C" w:rsidRDefault="00F64540" w:rsidP="00723D3C">
          <w:pPr>
            <w:pStyle w:val="Header"/>
            <w:spacing w:after="420"/>
            <w:jc w:val="right"/>
            <w:rPr>
              <w:rFonts w:asciiTheme="minorHAnsi" w:hAnsiTheme="minorHAnsi" w:cstheme="minorHAnsi"/>
              <w:color w:val="4A442A" w:themeColor="background2" w:themeShade="40"/>
              <w:sz w:val="16"/>
              <w:szCs w:val="16"/>
              <w:lang w:val="es-US"/>
            </w:rPr>
          </w:pPr>
          <w:r w:rsidRPr="00723D3C">
            <w:rPr>
              <w:rFonts w:asciiTheme="minorHAnsi" w:hAnsiTheme="minorHAnsi" w:cstheme="minorHAnsi"/>
              <w:color w:val="4A442A" w:themeColor="background2" w:themeShade="40"/>
              <w:sz w:val="16"/>
              <w:szCs w:val="16"/>
              <w:lang w:val="es-US"/>
            </w:rPr>
            <w:t xml:space="preserve">Capítulo 3: </w:t>
          </w:r>
          <w:r w:rsidRPr="00723D3C">
            <w:rPr>
              <w:rFonts w:asciiTheme="minorHAnsi" w:hAnsiTheme="minorHAnsi" w:cstheme="minorHAnsi"/>
              <w:color w:val="4A442A" w:themeColor="background2" w:themeShade="40"/>
              <w:sz w:val="16"/>
              <w:szCs w:val="16"/>
              <w:lang w:val="es-ES"/>
            </w:rPr>
            <w:t xml:space="preserve">Obligaciones interamericanas e internacionales de Estados Unidos </w:t>
          </w:r>
          <w:r>
            <w:rPr>
              <w:rFonts w:asciiTheme="minorHAnsi" w:hAnsiTheme="minorHAnsi" w:cstheme="minorHAnsi"/>
              <w:color w:val="4A442A" w:themeColor="background2" w:themeShade="40"/>
              <w:sz w:val="16"/>
              <w:szCs w:val="16"/>
              <w:lang w:val="es-ES"/>
            </w:rPr>
            <w:br/>
          </w:r>
          <w:r w:rsidRPr="00723D3C">
            <w:rPr>
              <w:rFonts w:asciiTheme="minorHAnsi" w:hAnsiTheme="minorHAnsi" w:cstheme="minorHAnsi"/>
              <w:color w:val="4A442A" w:themeColor="background2" w:themeShade="40"/>
              <w:sz w:val="16"/>
              <w:szCs w:val="16"/>
              <w:lang w:val="es-ES"/>
            </w:rPr>
            <w:t>en materia de no</w:t>
          </w:r>
          <w:r>
            <w:rPr>
              <w:rFonts w:asciiTheme="minorHAnsi" w:hAnsiTheme="minorHAnsi" w:cstheme="minorHAnsi"/>
              <w:color w:val="4A442A" w:themeColor="background2" w:themeShade="40"/>
              <w:sz w:val="16"/>
              <w:szCs w:val="16"/>
              <w:lang w:val="es-ES"/>
            </w:rPr>
            <w:t xml:space="preserve"> </w:t>
          </w:r>
          <w:r w:rsidRPr="00723D3C">
            <w:rPr>
              <w:rFonts w:asciiTheme="minorHAnsi" w:hAnsiTheme="minorHAnsi" w:cstheme="minorHAnsi"/>
              <w:color w:val="4A442A" w:themeColor="background2" w:themeShade="40"/>
              <w:sz w:val="16"/>
              <w:szCs w:val="16"/>
              <w:lang w:val="es-ES"/>
            </w:rPr>
            <w:t>discriminación, uso de la fuerza y acceso a la justicia</w:t>
          </w:r>
        </w:p>
      </w:tc>
      <w:tc>
        <w:tcPr>
          <w:tcW w:w="630" w:type="dxa"/>
        </w:tcPr>
        <w:p w14:paraId="2315C6D9" w14:textId="77777777" w:rsidR="00F64540" w:rsidRPr="00723D3C" w:rsidRDefault="00F64540" w:rsidP="003D6C90">
          <w:pPr>
            <w:pStyle w:val="Header"/>
            <w:spacing w:after="420"/>
            <w:jc w:val="right"/>
            <w:rPr>
              <w:rFonts w:asciiTheme="minorHAnsi" w:hAnsiTheme="minorHAnsi" w:cstheme="minorHAnsi"/>
              <w:color w:val="4A442A" w:themeColor="background2" w:themeShade="40"/>
              <w:sz w:val="16"/>
              <w:szCs w:val="16"/>
              <w:lang w:val="es-US"/>
            </w:rPr>
          </w:pPr>
          <w:r w:rsidRPr="00723D3C">
            <w:rPr>
              <w:rFonts w:asciiTheme="minorHAnsi" w:hAnsiTheme="minorHAnsi" w:cstheme="minorHAnsi"/>
              <w:color w:val="4A442A" w:themeColor="background2" w:themeShade="40"/>
              <w:sz w:val="16"/>
              <w:szCs w:val="16"/>
              <w:lang w:val="es-US"/>
            </w:rPr>
            <w:t xml:space="preserve">| </w:t>
          </w:r>
          <w:sdt>
            <w:sdtPr>
              <w:rPr>
                <w:rFonts w:asciiTheme="minorHAnsi" w:hAnsiTheme="minorHAnsi" w:cstheme="minorHAnsi"/>
                <w:color w:val="4A442A" w:themeColor="background2" w:themeShade="40"/>
                <w:sz w:val="16"/>
                <w:szCs w:val="16"/>
              </w:rPr>
              <w:id w:val="-65724287"/>
              <w:docPartObj>
                <w:docPartGallery w:val="Page Numbers (Top of Page)"/>
                <w:docPartUnique/>
              </w:docPartObj>
            </w:sdtPr>
            <w:sdtEndPr>
              <w:rPr>
                <w:noProof/>
              </w:rPr>
            </w:sdtEndPr>
            <w:sdtContent>
              <w:r w:rsidRPr="00723D3C">
                <w:rPr>
                  <w:rFonts w:asciiTheme="minorHAnsi" w:hAnsiTheme="minorHAnsi" w:cstheme="minorHAnsi"/>
                  <w:color w:val="4A442A" w:themeColor="background2" w:themeShade="40"/>
                  <w:sz w:val="16"/>
                  <w:szCs w:val="16"/>
                </w:rPr>
                <w:fldChar w:fldCharType="begin"/>
              </w:r>
              <w:r w:rsidRPr="00723D3C">
                <w:rPr>
                  <w:rFonts w:asciiTheme="minorHAnsi" w:hAnsiTheme="minorHAnsi" w:cstheme="minorHAnsi"/>
                  <w:color w:val="4A442A" w:themeColor="background2" w:themeShade="40"/>
                  <w:sz w:val="16"/>
                  <w:szCs w:val="16"/>
                  <w:lang w:val="es-US"/>
                </w:rPr>
                <w:instrText xml:space="preserve"> PAGE   \* MERGEFORMAT </w:instrText>
              </w:r>
              <w:r w:rsidRPr="00723D3C">
                <w:rPr>
                  <w:rFonts w:asciiTheme="minorHAnsi" w:hAnsiTheme="minorHAnsi" w:cstheme="minorHAnsi"/>
                  <w:color w:val="4A442A" w:themeColor="background2" w:themeShade="40"/>
                  <w:sz w:val="16"/>
                  <w:szCs w:val="16"/>
                </w:rPr>
                <w:fldChar w:fldCharType="separate"/>
              </w:r>
              <w:r w:rsidR="00A922E4">
                <w:rPr>
                  <w:rFonts w:asciiTheme="minorHAnsi" w:hAnsiTheme="minorHAnsi" w:cstheme="minorHAnsi"/>
                  <w:noProof/>
                  <w:color w:val="4A442A" w:themeColor="background2" w:themeShade="40"/>
                  <w:sz w:val="16"/>
                  <w:szCs w:val="16"/>
                  <w:lang w:val="es-US"/>
                </w:rPr>
                <w:t>167</w:t>
              </w:r>
              <w:r w:rsidRPr="00723D3C">
                <w:rPr>
                  <w:rFonts w:asciiTheme="minorHAnsi" w:hAnsiTheme="minorHAnsi" w:cstheme="minorHAnsi"/>
                  <w:noProof/>
                  <w:color w:val="4A442A" w:themeColor="background2" w:themeShade="40"/>
                  <w:sz w:val="16"/>
                  <w:szCs w:val="16"/>
                </w:rPr>
                <w:fldChar w:fldCharType="end"/>
              </w:r>
            </w:sdtContent>
          </w:sdt>
        </w:p>
      </w:tc>
    </w:tr>
  </w:tbl>
  <w:p w14:paraId="1CB0F58D" w14:textId="72F1A33D" w:rsidR="00F64540" w:rsidRPr="00723D3C" w:rsidRDefault="00F64540" w:rsidP="00723D3C">
    <w:pPr>
      <w:pStyle w:val="Header"/>
      <w:rPr>
        <w:rFonts w:asciiTheme="minorHAnsi" w:hAnsiTheme="minorHAnsi" w:cstheme="minorHAnsi"/>
        <w:color w:val="4A442A" w:themeColor="background2" w:themeShade="40"/>
        <w:sz w:val="4"/>
        <w:szCs w:val="4"/>
        <w:lang w:val="es-E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73B99" w14:textId="77777777" w:rsidR="00F64540" w:rsidRPr="00723D3C" w:rsidRDefault="00F64540" w:rsidP="00723D3C">
    <w:pPr>
      <w:pStyle w:val="Header"/>
      <w:rPr>
        <w:rFonts w:asciiTheme="minorHAnsi" w:hAnsiTheme="minorHAnsi" w:cstheme="minorHAnsi"/>
        <w:color w:val="4A442A" w:themeColor="background2" w:themeShade="40"/>
        <w:sz w:val="4"/>
        <w:szCs w:val="4"/>
        <w:lang w:val="es-ES"/>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4455A" w14:textId="70F690F1" w:rsidR="00F64540" w:rsidRPr="001018E6" w:rsidRDefault="00F64540" w:rsidP="000D5EFB">
    <w:pPr>
      <w:pStyle w:val="Header"/>
      <w:spacing w:after="420"/>
      <w:jc w:val="right"/>
      <w:rPr>
        <w:rFonts w:asciiTheme="minorHAnsi" w:hAnsiTheme="minorHAnsi"/>
        <w:color w:val="4A442A" w:themeColor="background2" w:themeShade="40"/>
        <w:sz w:val="16"/>
        <w:szCs w:val="16"/>
        <w:lang w:val="es-ES"/>
      </w:rPr>
    </w:pPr>
    <w:r>
      <w:rPr>
        <w:rFonts w:asciiTheme="minorHAnsi" w:hAnsiTheme="minorHAnsi"/>
        <w:color w:val="4A442A" w:themeColor="background2" w:themeShade="40"/>
        <w:sz w:val="16"/>
        <w:szCs w:val="16"/>
        <w:lang w:val="es-ES"/>
      </w:rPr>
      <w:t>Capítulo 4</w:t>
    </w:r>
    <w:r w:rsidRPr="001018E6">
      <w:rPr>
        <w:rFonts w:asciiTheme="minorHAnsi" w:hAnsiTheme="minorHAnsi"/>
        <w:color w:val="4A442A" w:themeColor="background2" w:themeShade="40"/>
        <w:sz w:val="16"/>
        <w:szCs w:val="16"/>
        <w:lang w:val="es-ES"/>
      </w:rPr>
      <w:t xml:space="preserve">: </w:t>
    </w:r>
    <w:r>
      <w:rPr>
        <w:rFonts w:asciiTheme="minorHAnsi" w:hAnsiTheme="minorHAnsi"/>
        <w:color w:val="4A442A" w:themeColor="background2" w:themeShade="40"/>
        <w:sz w:val="16"/>
        <w:szCs w:val="16"/>
        <w:lang w:val="es-ES"/>
      </w:rPr>
      <w:t>Conclusión y recomendaciones</w:t>
    </w:r>
    <w:r w:rsidRPr="000D76E9">
      <w:rPr>
        <w:rFonts w:asciiTheme="minorHAnsi" w:hAnsiTheme="minorHAnsi"/>
        <w:color w:val="4A442A" w:themeColor="background2" w:themeShade="40"/>
        <w:sz w:val="16"/>
        <w:szCs w:val="16"/>
        <w:lang w:val="es-ES"/>
      </w:rPr>
      <w:t xml:space="preserve"> </w:t>
    </w:r>
    <w:r w:rsidRPr="001018E6">
      <w:rPr>
        <w:rFonts w:asciiTheme="minorHAnsi" w:hAnsiTheme="minorHAnsi"/>
        <w:color w:val="4A442A" w:themeColor="background2" w:themeShade="40"/>
        <w:sz w:val="16"/>
        <w:szCs w:val="16"/>
        <w:lang w:val="es-ES"/>
      </w:rPr>
      <w:t xml:space="preserve">| </w:t>
    </w:r>
    <w:sdt>
      <w:sdtPr>
        <w:rPr>
          <w:rFonts w:asciiTheme="minorHAnsi" w:hAnsiTheme="minorHAnsi"/>
          <w:color w:val="4A442A" w:themeColor="background2" w:themeShade="40"/>
          <w:sz w:val="16"/>
          <w:szCs w:val="16"/>
        </w:rPr>
        <w:id w:val="-1389795952"/>
        <w:docPartObj>
          <w:docPartGallery w:val="Page Numbers (Top of Page)"/>
          <w:docPartUnique/>
        </w:docPartObj>
      </w:sdtPr>
      <w:sdtEndPr>
        <w:rPr>
          <w:noProof/>
        </w:rPr>
      </w:sdtEndPr>
      <w:sdtContent>
        <w:r w:rsidRPr="00E10935">
          <w:rPr>
            <w:rFonts w:asciiTheme="minorHAnsi" w:hAnsiTheme="minorHAnsi"/>
            <w:color w:val="4A442A" w:themeColor="background2" w:themeShade="40"/>
            <w:sz w:val="16"/>
            <w:szCs w:val="16"/>
          </w:rPr>
          <w:fldChar w:fldCharType="begin"/>
        </w:r>
        <w:r w:rsidRPr="001018E6">
          <w:rPr>
            <w:rFonts w:asciiTheme="minorHAnsi" w:hAnsiTheme="minorHAnsi"/>
            <w:color w:val="4A442A" w:themeColor="background2" w:themeShade="40"/>
            <w:sz w:val="16"/>
            <w:szCs w:val="16"/>
            <w:lang w:val="es-ES"/>
          </w:rPr>
          <w:instrText xml:space="preserve"> PAGE   \* MERGEFORMAT </w:instrText>
        </w:r>
        <w:r w:rsidRPr="00E10935">
          <w:rPr>
            <w:rFonts w:asciiTheme="minorHAnsi" w:hAnsiTheme="minorHAnsi"/>
            <w:color w:val="4A442A" w:themeColor="background2" w:themeShade="40"/>
            <w:sz w:val="16"/>
            <w:szCs w:val="16"/>
          </w:rPr>
          <w:fldChar w:fldCharType="separate"/>
        </w:r>
        <w:r w:rsidR="00A922E4">
          <w:rPr>
            <w:rFonts w:asciiTheme="minorHAnsi" w:hAnsiTheme="minorHAnsi"/>
            <w:noProof/>
            <w:color w:val="4A442A" w:themeColor="background2" w:themeShade="40"/>
            <w:sz w:val="16"/>
            <w:szCs w:val="16"/>
            <w:lang w:val="es-ES"/>
          </w:rPr>
          <w:t>181</w:t>
        </w:r>
        <w:r w:rsidRPr="00E10935">
          <w:rPr>
            <w:rFonts w:asciiTheme="minorHAnsi" w:hAnsiTheme="minorHAnsi"/>
            <w:noProof/>
            <w:color w:val="4A442A" w:themeColor="background2" w:themeShade="40"/>
            <w:sz w:val="16"/>
            <w:szCs w:val="16"/>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22FB1" w14:textId="77777777" w:rsidR="00C43321" w:rsidRDefault="00C433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28E3F" w14:textId="77777777" w:rsidR="00F64540" w:rsidRPr="00D034F3" w:rsidRDefault="00F64540" w:rsidP="000D5EFB">
    <w:pPr>
      <w:pStyle w:val="Header"/>
      <w:spacing w:after="420"/>
      <w:jc w:val="right"/>
      <w:rPr>
        <w:rFonts w:asciiTheme="majorHAnsi" w:hAnsiTheme="majorHAnsi"/>
        <w:color w:val="4A442A" w:themeColor="background2" w:themeShade="40"/>
        <w:sz w:val="16"/>
        <w:szCs w:val="16"/>
      </w:rPr>
    </w:pPr>
    <w:r w:rsidRPr="00D034F3">
      <w:rPr>
        <w:rFonts w:asciiTheme="majorHAnsi" w:hAnsiTheme="majorHAnsi"/>
        <w:color w:val="4A442A" w:themeColor="background2" w:themeShade="40"/>
        <w:sz w:val="16"/>
        <w:szCs w:val="16"/>
      </w:rPr>
      <w:t xml:space="preserve">Introduction | </w:t>
    </w:r>
    <w:sdt>
      <w:sdtPr>
        <w:rPr>
          <w:rFonts w:asciiTheme="majorHAnsi" w:hAnsiTheme="majorHAnsi"/>
          <w:color w:val="4A442A" w:themeColor="background2" w:themeShade="40"/>
          <w:sz w:val="16"/>
          <w:szCs w:val="16"/>
        </w:rPr>
        <w:id w:val="1117264799"/>
        <w:docPartObj>
          <w:docPartGallery w:val="Page Numbers (Top of Page)"/>
          <w:docPartUnique/>
        </w:docPartObj>
      </w:sdtPr>
      <w:sdtEndPr>
        <w:rPr>
          <w:noProof/>
        </w:rPr>
      </w:sdtEndPr>
      <w:sdtContent>
        <w:r w:rsidRPr="00D034F3">
          <w:rPr>
            <w:rFonts w:asciiTheme="majorHAnsi" w:hAnsiTheme="majorHAnsi"/>
            <w:color w:val="4A442A" w:themeColor="background2" w:themeShade="40"/>
            <w:sz w:val="16"/>
            <w:szCs w:val="16"/>
          </w:rPr>
          <w:fldChar w:fldCharType="begin"/>
        </w:r>
        <w:r w:rsidRPr="00D034F3">
          <w:rPr>
            <w:rFonts w:asciiTheme="majorHAnsi" w:hAnsiTheme="majorHAnsi"/>
            <w:color w:val="4A442A" w:themeColor="background2" w:themeShade="40"/>
            <w:sz w:val="16"/>
            <w:szCs w:val="16"/>
          </w:rPr>
          <w:instrText xml:space="preserve"> PAGE   \* MERGEFORMAT </w:instrText>
        </w:r>
        <w:r w:rsidRPr="00D034F3">
          <w:rPr>
            <w:rFonts w:asciiTheme="majorHAnsi" w:hAnsiTheme="majorHAnsi"/>
            <w:color w:val="4A442A" w:themeColor="background2" w:themeShade="40"/>
            <w:sz w:val="16"/>
            <w:szCs w:val="16"/>
          </w:rPr>
          <w:fldChar w:fldCharType="separate"/>
        </w:r>
        <w:r>
          <w:rPr>
            <w:rFonts w:asciiTheme="majorHAnsi" w:hAnsiTheme="majorHAnsi"/>
            <w:noProof/>
            <w:color w:val="4A442A" w:themeColor="background2" w:themeShade="40"/>
            <w:sz w:val="16"/>
            <w:szCs w:val="16"/>
          </w:rPr>
          <w:t>15</w:t>
        </w:r>
        <w:r w:rsidRPr="00D034F3">
          <w:rPr>
            <w:rFonts w:asciiTheme="majorHAnsi" w:hAnsiTheme="majorHAnsi"/>
            <w:noProof/>
            <w:color w:val="4A442A" w:themeColor="background2" w:themeShade="40"/>
            <w:sz w:val="16"/>
            <w:szCs w:val="16"/>
          </w:rPr>
          <w:fldChar w:fldCharType="end"/>
        </w:r>
      </w:sdtContent>
    </w:sdt>
  </w:p>
  <w:p w14:paraId="7376DB52" w14:textId="77777777" w:rsidR="00F64540" w:rsidRDefault="00F6454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FE8DE" w14:textId="77777777" w:rsidR="00F64540" w:rsidRDefault="00F6454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6FD77" w14:textId="6DCBDD4B" w:rsidR="00F64540" w:rsidRPr="00FD21AD" w:rsidRDefault="00F64540" w:rsidP="00FD21A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4A442A" w:themeColor="background2" w:themeShade="40"/>
        <w:sz w:val="16"/>
        <w:szCs w:val="16"/>
      </w:rPr>
      <w:id w:val="1516492652"/>
      <w:docPartObj>
        <w:docPartGallery w:val="Page Numbers (Top of Page)"/>
        <w:docPartUnique/>
      </w:docPartObj>
    </w:sdtPr>
    <w:sdtEndPr>
      <w:rPr>
        <w:noProof/>
      </w:rPr>
    </w:sdtEndPr>
    <w:sdtContent>
      <w:p w14:paraId="7F92BCBA" w14:textId="2DC58AFA" w:rsidR="00F64540" w:rsidRPr="00F6369E" w:rsidRDefault="00F64540" w:rsidP="00386C11">
        <w:pPr>
          <w:pStyle w:val="Header"/>
          <w:spacing w:after="420"/>
          <w:rPr>
            <w:rFonts w:asciiTheme="minorHAnsi" w:hAnsiTheme="minorHAnsi"/>
            <w:color w:val="4A442A" w:themeColor="background2" w:themeShade="40"/>
            <w:sz w:val="16"/>
            <w:szCs w:val="16"/>
            <w:lang w:val="es-ES"/>
          </w:rPr>
        </w:pPr>
        <w:r w:rsidRPr="00F6369E">
          <w:rPr>
            <w:rFonts w:asciiTheme="minorHAnsi" w:hAnsiTheme="minorHAnsi"/>
            <w:color w:val="4A442A" w:themeColor="background2" w:themeShade="40"/>
            <w:sz w:val="16"/>
            <w:szCs w:val="16"/>
          </w:rPr>
          <w:fldChar w:fldCharType="begin"/>
        </w:r>
        <w:r w:rsidRPr="00F6369E">
          <w:rPr>
            <w:rFonts w:asciiTheme="minorHAnsi" w:hAnsiTheme="minorHAnsi"/>
            <w:color w:val="4A442A" w:themeColor="background2" w:themeShade="40"/>
            <w:sz w:val="16"/>
            <w:szCs w:val="16"/>
            <w:lang w:val="es-ES"/>
          </w:rPr>
          <w:instrText xml:space="preserve"> PAGE   \* MERGEFORMAT </w:instrText>
        </w:r>
        <w:r w:rsidRPr="00F6369E">
          <w:rPr>
            <w:rFonts w:asciiTheme="minorHAnsi" w:hAnsiTheme="minorHAnsi"/>
            <w:color w:val="4A442A" w:themeColor="background2" w:themeShade="40"/>
            <w:sz w:val="16"/>
            <w:szCs w:val="16"/>
          </w:rPr>
          <w:fldChar w:fldCharType="separate"/>
        </w:r>
        <w:r w:rsidR="00A922E4">
          <w:rPr>
            <w:rFonts w:asciiTheme="minorHAnsi" w:hAnsiTheme="minorHAnsi"/>
            <w:noProof/>
            <w:color w:val="4A442A" w:themeColor="background2" w:themeShade="40"/>
            <w:sz w:val="16"/>
            <w:szCs w:val="16"/>
            <w:lang w:val="es-ES"/>
          </w:rPr>
          <w:t>24</w:t>
        </w:r>
        <w:r w:rsidRPr="00F6369E">
          <w:rPr>
            <w:rFonts w:asciiTheme="minorHAnsi" w:hAnsiTheme="minorHAnsi"/>
            <w:noProof/>
            <w:color w:val="4A442A" w:themeColor="background2" w:themeShade="40"/>
            <w:sz w:val="16"/>
            <w:szCs w:val="16"/>
          </w:rPr>
          <w:fldChar w:fldCharType="end"/>
        </w:r>
        <w:r w:rsidRPr="00F6369E">
          <w:rPr>
            <w:rFonts w:asciiTheme="minorHAnsi" w:hAnsiTheme="minorHAnsi"/>
            <w:noProof/>
            <w:color w:val="4A442A" w:themeColor="background2" w:themeShade="40"/>
            <w:sz w:val="16"/>
            <w:szCs w:val="16"/>
            <w:lang w:val="es-ES"/>
          </w:rPr>
          <w:t xml:space="preserve"> | Afrodescendientes, violencia policial, y derechos humanos en los Estados Unidos</w:t>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6F160" w14:textId="25DBD96D" w:rsidR="00F64540" w:rsidRPr="00724FB5" w:rsidRDefault="00F64540" w:rsidP="00724FB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B502E" w14:textId="0C618BFB" w:rsidR="00F64540" w:rsidRPr="00724FB5" w:rsidRDefault="00F64540" w:rsidP="00724FB5">
    <w:pPr>
      <w:pStyle w:val="Header"/>
      <w:spacing w:after="420"/>
      <w:jc w:val="right"/>
      <w:rPr>
        <w:rFonts w:asciiTheme="minorHAnsi" w:hAnsiTheme="minorHAnsi" w:cstheme="minorHAnsi"/>
        <w:color w:val="4A442A" w:themeColor="background2" w:themeShade="40"/>
        <w:sz w:val="16"/>
        <w:szCs w:val="16"/>
      </w:rPr>
    </w:pPr>
    <w:r>
      <w:rPr>
        <w:rFonts w:asciiTheme="minorHAnsi" w:hAnsiTheme="minorHAnsi" w:cstheme="minorHAnsi"/>
        <w:color w:val="4A442A" w:themeColor="background2" w:themeShade="40"/>
        <w:sz w:val="16"/>
        <w:szCs w:val="16"/>
      </w:rPr>
      <w:t>Resumen ejecutivo</w:t>
    </w:r>
    <w:r w:rsidRPr="00724FB5">
      <w:rPr>
        <w:rFonts w:asciiTheme="minorHAnsi" w:hAnsiTheme="minorHAnsi" w:cstheme="minorHAnsi"/>
        <w:color w:val="4A442A" w:themeColor="background2" w:themeShade="40"/>
        <w:sz w:val="16"/>
        <w:szCs w:val="16"/>
      </w:rPr>
      <w:t xml:space="preserve"> | </w:t>
    </w:r>
    <w:sdt>
      <w:sdtPr>
        <w:rPr>
          <w:rFonts w:asciiTheme="minorHAnsi" w:hAnsiTheme="minorHAnsi" w:cstheme="minorHAnsi"/>
          <w:color w:val="4A442A" w:themeColor="background2" w:themeShade="40"/>
          <w:sz w:val="16"/>
          <w:szCs w:val="16"/>
        </w:rPr>
        <w:id w:val="796726473"/>
        <w:docPartObj>
          <w:docPartGallery w:val="Page Numbers (Top of Page)"/>
          <w:docPartUnique/>
        </w:docPartObj>
      </w:sdtPr>
      <w:sdtEndPr>
        <w:rPr>
          <w:noProof/>
        </w:rPr>
      </w:sdtEndPr>
      <w:sdtContent>
        <w:r w:rsidRPr="00724FB5">
          <w:rPr>
            <w:rFonts w:asciiTheme="minorHAnsi" w:hAnsiTheme="minorHAnsi" w:cstheme="minorHAnsi"/>
            <w:color w:val="4A442A" w:themeColor="background2" w:themeShade="40"/>
            <w:sz w:val="16"/>
            <w:szCs w:val="16"/>
          </w:rPr>
          <w:fldChar w:fldCharType="begin"/>
        </w:r>
        <w:r w:rsidRPr="00724FB5">
          <w:rPr>
            <w:rFonts w:asciiTheme="minorHAnsi" w:hAnsiTheme="minorHAnsi" w:cstheme="minorHAnsi"/>
            <w:color w:val="4A442A" w:themeColor="background2" w:themeShade="40"/>
            <w:sz w:val="16"/>
            <w:szCs w:val="16"/>
          </w:rPr>
          <w:instrText xml:space="preserve"> PAGE   \* MERGEFORMAT </w:instrText>
        </w:r>
        <w:r w:rsidRPr="00724FB5">
          <w:rPr>
            <w:rFonts w:asciiTheme="minorHAnsi" w:hAnsiTheme="minorHAnsi" w:cstheme="minorHAnsi"/>
            <w:color w:val="4A442A" w:themeColor="background2" w:themeShade="40"/>
            <w:sz w:val="16"/>
            <w:szCs w:val="16"/>
          </w:rPr>
          <w:fldChar w:fldCharType="separate"/>
        </w:r>
        <w:r w:rsidR="00A922E4">
          <w:rPr>
            <w:rFonts w:asciiTheme="minorHAnsi" w:hAnsiTheme="minorHAnsi" w:cstheme="minorHAnsi"/>
            <w:noProof/>
            <w:color w:val="4A442A" w:themeColor="background2" w:themeShade="40"/>
            <w:sz w:val="16"/>
            <w:szCs w:val="16"/>
          </w:rPr>
          <w:t>15</w:t>
        </w:r>
        <w:r w:rsidRPr="00724FB5">
          <w:rPr>
            <w:rFonts w:asciiTheme="minorHAnsi" w:hAnsiTheme="minorHAnsi" w:cstheme="minorHAnsi"/>
            <w:noProof/>
            <w:color w:val="4A442A" w:themeColor="background2" w:themeShade="40"/>
            <w:sz w:val="16"/>
            <w:szCs w:val="16"/>
          </w:rPr>
          <w:fldChar w:fldCharType="end"/>
        </w:r>
      </w:sdtContent>
    </w:sdt>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CA732" w14:textId="6E530383" w:rsidR="00F64540" w:rsidRPr="004D711A" w:rsidRDefault="00F64540" w:rsidP="004D71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1DDF"/>
    <w:multiLevelType w:val="hybridMultilevel"/>
    <w:tmpl w:val="688C1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3928EC"/>
    <w:multiLevelType w:val="hybridMultilevel"/>
    <w:tmpl w:val="58DA2B3A"/>
    <w:lvl w:ilvl="0" w:tplc="D3D656A0">
      <w:start w:val="1"/>
      <w:numFmt w:val="bullet"/>
      <w:lvlText w:val=""/>
      <w:lvlJc w:val="left"/>
      <w:pPr>
        <w:ind w:left="2956" w:hanging="360"/>
      </w:pPr>
      <w:rPr>
        <w:rFonts w:ascii="Symbol" w:hAnsi="Symbol" w:hint="default"/>
        <w:lang w:val="es-MX"/>
      </w:rPr>
    </w:lvl>
    <w:lvl w:ilvl="1" w:tplc="04090003">
      <w:start w:val="1"/>
      <w:numFmt w:val="bullet"/>
      <w:lvlText w:val="o"/>
      <w:lvlJc w:val="left"/>
      <w:pPr>
        <w:ind w:left="2956" w:hanging="360"/>
      </w:pPr>
      <w:rPr>
        <w:rFonts w:ascii="Courier New" w:hAnsi="Courier New" w:cs="Courier New" w:hint="default"/>
      </w:rPr>
    </w:lvl>
    <w:lvl w:ilvl="2" w:tplc="04090005" w:tentative="1">
      <w:start w:val="1"/>
      <w:numFmt w:val="bullet"/>
      <w:lvlText w:val=""/>
      <w:lvlJc w:val="left"/>
      <w:pPr>
        <w:ind w:left="4396" w:hanging="360"/>
      </w:pPr>
      <w:rPr>
        <w:rFonts w:ascii="Wingdings" w:hAnsi="Wingdings" w:hint="default"/>
      </w:rPr>
    </w:lvl>
    <w:lvl w:ilvl="3" w:tplc="04090001" w:tentative="1">
      <w:start w:val="1"/>
      <w:numFmt w:val="bullet"/>
      <w:lvlText w:val=""/>
      <w:lvlJc w:val="left"/>
      <w:pPr>
        <w:ind w:left="5116" w:hanging="360"/>
      </w:pPr>
      <w:rPr>
        <w:rFonts w:ascii="Symbol" w:hAnsi="Symbol" w:hint="default"/>
      </w:rPr>
    </w:lvl>
    <w:lvl w:ilvl="4" w:tplc="04090003" w:tentative="1">
      <w:start w:val="1"/>
      <w:numFmt w:val="bullet"/>
      <w:lvlText w:val="o"/>
      <w:lvlJc w:val="left"/>
      <w:pPr>
        <w:ind w:left="5836" w:hanging="360"/>
      </w:pPr>
      <w:rPr>
        <w:rFonts w:ascii="Courier New" w:hAnsi="Courier New" w:cs="Courier New" w:hint="default"/>
      </w:rPr>
    </w:lvl>
    <w:lvl w:ilvl="5" w:tplc="04090005" w:tentative="1">
      <w:start w:val="1"/>
      <w:numFmt w:val="bullet"/>
      <w:lvlText w:val=""/>
      <w:lvlJc w:val="left"/>
      <w:pPr>
        <w:ind w:left="6556" w:hanging="360"/>
      </w:pPr>
      <w:rPr>
        <w:rFonts w:ascii="Wingdings" w:hAnsi="Wingdings" w:hint="default"/>
      </w:rPr>
    </w:lvl>
    <w:lvl w:ilvl="6" w:tplc="04090001" w:tentative="1">
      <w:start w:val="1"/>
      <w:numFmt w:val="bullet"/>
      <w:lvlText w:val=""/>
      <w:lvlJc w:val="left"/>
      <w:pPr>
        <w:ind w:left="7276" w:hanging="360"/>
      </w:pPr>
      <w:rPr>
        <w:rFonts w:ascii="Symbol" w:hAnsi="Symbol" w:hint="default"/>
      </w:rPr>
    </w:lvl>
    <w:lvl w:ilvl="7" w:tplc="04090003" w:tentative="1">
      <w:start w:val="1"/>
      <w:numFmt w:val="bullet"/>
      <w:lvlText w:val="o"/>
      <w:lvlJc w:val="left"/>
      <w:pPr>
        <w:ind w:left="7996" w:hanging="360"/>
      </w:pPr>
      <w:rPr>
        <w:rFonts w:ascii="Courier New" w:hAnsi="Courier New" w:cs="Courier New" w:hint="default"/>
      </w:rPr>
    </w:lvl>
    <w:lvl w:ilvl="8" w:tplc="04090005" w:tentative="1">
      <w:start w:val="1"/>
      <w:numFmt w:val="bullet"/>
      <w:lvlText w:val=""/>
      <w:lvlJc w:val="left"/>
      <w:pPr>
        <w:ind w:left="8716" w:hanging="360"/>
      </w:pPr>
      <w:rPr>
        <w:rFonts w:ascii="Wingdings" w:hAnsi="Wingdings" w:hint="default"/>
      </w:rPr>
    </w:lvl>
  </w:abstractNum>
  <w:abstractNum w:abstractNumId="2" w15:restartNumberingAfterBreak="0">
    <w:nsid w:val="0D8B3461"/>
    <w:multiLevelType w:val="hybridMultilevel"/>
    <w:tmpl w:val="57EC4C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277D84"/>
    <w:multiLevelType w:val="hybridMultilevel"/>
    <w:tmpl w:val="2768482E"/>
    <w:lvl w:ilvl="0" w:tplc="9E70C254">
      <w:start w:val="1"/>
      <w:numFmt w:val="decimal"/>
      <w:lvlText w:val="%1."/>
      <w:lvlJc w:val="left"/>
      <w:pPr>
        <w:ind w:left="720" w:hanging="360"/>
      </w:pPr>
      <w:rPr>
        <w:rFonts w:ascii="Cambria" w:hAnsi="Cambria" w:hint="default"/>
        <w:b w:val="0"/>
        <w:i w:val="0"/>
        <w:color w:val="808080" w:themeColor="background1" w:themeShade="8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00863"/>
    <w:multiLevelType w:val="hybridMultilevel"/>
    <w:tmpl w:val="54D4C74E"/>
    <w:lvl w:ilvl="0" w:tplc="8774D1BC">
      <w:start w:val="1"/>
      <w:numFmt w:val="decimal"/>
      <w:pStyle w:val="Heading3"/>
      <w:lvlText w:val="%1."/>
      <w:lvlJc w:val="left"/>
      <w:pPr>
        <w:ind w:left="1170" w:hanging="720"/>
      </w:pPr>
      <w:rPr>
        <w:rFonts w:ascii="Cambria" w:hAnsi="Cambria" w:hint="default"/>
        <w:b/>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A884B80"/>
    <w:multiLevelType w:val="hybridMultilevel"/>
    <w:tmpl w:val="A8E00AB6"/>
    <w:lvl w:ilvl="0" w:tplc="23D2BAF2">
      <w:start w:val="1"/>
      <w:numFmt w:val="lowerLetter"/>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0566A8"/>
    <w:multiLevelType w:val="hybridMultilevel"/>
    <w:tmpl w:val="57EC4C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5AC259F"/>
    <w:multiLevelType w:val="hybridMultilevel"/>
    <w:tmpl w:val="A9B07052"/>
    <w:lvl w:ilvl="0" w:tplc="6A24763A">
      <w:start w:val="1"/>
      <w:numFmt w:val="upperLetter"/>
      <w:pStyle w:val="Heading2"/>
      <w:lvlText w:val="%1."/>
      <w:lvlJc w:val="left"/>
      <w:pPr>
        <w:ind w:left="720" w:hanging="360"/>
      </w:pPr>
      <w:rPr>
        <w:rFonts w:asciiTheme="majorHAnsi" w:hAnsiTheme="majorHAns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6708A2"/>
    <w:multiLevelType w:val="hybridMultilevel"/>
    <w:tmpl w:val="16F4172E"/>
    <w:lvl w:ilvl="0" w:tplc="7DE2DB74">
      <w:start w:val="200"/>
      <w:numFmt w:val="decimal"/>
      <w:lvlText w:val="%1."/>
      <w:lvlJc w:val="left"/>
      <w:pPr>
        <w:ind w:left="450" w:hanging="360"/>
      </w:pPr>
      <w:rPr>
        <w:rFonts w:asciiTheme="majorHAnsi" w:hAnsiTheme="majorHAnsi" w:hint="default"/>
        <w:b w:val="0"/>
        <w:color w:val="auto"/>
        <w:sz w:val="22"/>
        <w:szCs w:val="20"/>
        <w:lang w:val="es-V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2F3D97"/>
    <w:multiLevelType w:val="hybridMultilevel"/>
    <w:tmpl w:val="1DCC84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887C0E"/>
    <w:multiLevelType w:val="hybridMultilevel"/>
    <w:tmpl w:val="67606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4F312FC"/>
    <w:multiLevelType w:val="hybridMultilevel"/>
    <w:tmpl w:val="76E0D342"/>
    <w:lvl w:ilvl="0" w:tplc="07D4A7C4">
      <w:start w:val="1"/>
      <w:numFmt w:val="decimal"/>
      <w:lvlText w:val="%1."/>
      <w:lvlJc w:val="left"/>
      <w:pPr>
        <w:ind w:left="360" w:hanging="360"/>
      </w:pPr>
      <w:rPr>
        <w:rFonts w:asciiTheme="majorHAnsi" w:hAnsiTheme="majorHAnsi" w:hint="default"/>
        <w:b w:val="0"/>
        <w:color w:val="808080" w:themeColor="background1" w:themeShade="80"/>
        <w:sz w:val="22"/>
        <w:szCs w:val="20"/>
        <w:lang w:val="es-MX"/>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A64C29"/>
    <w:multiLevelType w:val="hybridMultilevel"/>
    <w:tmpl w:val="FAE23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BC4959"/>
    <w:multiLevelType w:val="hybridMultilevel"/>
    <w:tmpl w:val="57EC4C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1"/>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7"/>
    <w:lvlOverride w:ilvl="0">
      <w:startOverride w:val="1"/>
    </w:lvlOverride>
  </w:num>
  <w:num w:numId="8">
    <w:abstractNumId w:val="4"/>
    <w:lvlOverride w:ilvl="0">
      <w:startOverride w:val="1"/>
    </w:lvlOverride>
  </w:num>
  <w:num w:numId="9">
    <w:abstractNumId w:val="5"/>
  </w:num>
  <w:num w:numId="10">
    <w:abstractNumId w:val="3"/>
  </w:num>
  <w:num w:numId="11">
    <w:abstractNumId w:val="0"/>
  </w:num>
  <w:num w:numId="12">
    <w:abstractNumId w:val="8"/>
  </w:num>
  <w:num w:numId="13">
    <w:abstractNumId w:val="7"/>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5"/>
    <w:lvlOverride w:ilvl="0">
      <w:startOverride w:val="1"/>
    </w:lvlOverride>
  </w:num>
  <w:num w:numId="19">
    <w:abstractNumId w:val="4"/>
    <w:lvlOverride w:ilvl="0">
      <w:startOverride w:val="1"/>
    </w:lvlOverride>
  </w:num>
  <w:num w:numId="20">
    <w:abstractNumId w:val="5"/>
    <w:lvlOverride w:ilvl="0">
      <w:startOverride w:val="1"/>
    </w:lvlOverride>
  </w:num>
  <w:num w:numId="21">
    <w:abstractNumId w:val="13"/>
  </w:num>
  <w:num w:numId="22">
    <w:abstractNumId w:val="6"/>
  </w:num>
  <w:num w:numId="23">
    <w:abstractNumId w:val="9"/>
  </w:num>
  <w:num w:numId="24">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80B"/>
    <w:rsid w:val="00000024"/>
    <w:rsid w:val="00000625"/>
    <w:rsid w:val="000042EB"/>
    <w:rsid w:val="00012DB4"/>
    <w:rsid w:val="00012E75"/>
    <w:rsid w:val="00015474"/>
    <w:rsid w:val="00016213"/>
    <w:rsid w:val="0001631B"/>
    <w:rsid w:val="00016B43"/>
    <w:rsid w:val="00017655"/>
    <w:rsid w:val="00017D95"/>
    <w:rsid w:val="00020211"/>
    <w:rsid w:val="000202BB"/>
    <w:rsid w:val="000207C5"/>
    <w:rsid w:val="00020D79"/>
    <w:rsid w:val="00025623"/>
    <w:rsid w:val="00027BB6"/>
    <w:rsid w:val="000307D1"/>
    <w:rsid w:val="00031040"/>
    <w:rsid w:val="0003121C"/>
    <w:rsid w:val="00036EBD"/>
    <w:rsid w:val="000376D1"/>
    <w:rsid w:val="0004507D"/>
    <w:rsid w:val="00045291"/>
    <w:rsid w:val="00046A76"/>
    <w:rsid w:val="000500C9"/>
    <w:rsid w:val="00051C13"/>
    <w:rsid w:val="00051C87"/>
    <w:rsid w:val="00054582"/>
    <w:rsid w:val="0005616A"/>
    <w:rsid w:val="00061E8E"/>
    <w:rsid w:val="00062B76"/>
    <w:rsid w:val="000712BA"/>
    <w:rsid w:val="000719CA"/>
    <w:rsid w:val="000754CB"/>
    <w:rsid w:val="00076107"/>
    <w:rsid w:val="0008018C"/>
    <w:rsid w:val="000807AF"/>
    <w:rsid w:val="0008262D"/>
    <w:rsid w:val="0008466B"/>
    <w:rsid w:val="00085873"/>
    <w:rsid w:val="0008655E"/>
    <w:rsid w:val="0008677C"/>
    <w:rsid w:val="000878F7"/>
    <w:rsid w:val="0009003F"/>
    <w:rsid w:val="00091193"/>
    <w:rsid w:val="00091CC3"/>
    <w:rsid w:val="00095257"/>
    <w:rsid w:val="000962CA"/>
    <w:rsid w:val="0009762F"/>
    <w:rsid w:val="000A1451"/>
    <w:rsid w:val="000A3075"/>
    <w:rsid w:val="000A3981"/>
    <w:rsid w:val="000A3B0E"/>
    <w:rsid w:val="000A46DB"/>
    <w:rsid w:val="000A5E21"/>
    <w:rsid w:val="000B18E7"/>
    <w:rsid w:val="000B2306"/>
    <w:rsid w:val="000B3FF3"/>
    <w:rsid w:val="000B5039"/>
    <w:rsid w:val="000B7AD9"/>
    <w:rsid w:val="000C0708"/>
    <w:rsid w:val="000C072D"/>
    <w:rsid w:val="000C3F9C"/>
    <w:rsid w:val="000C4E80"/>
    <w:rsid w:val="000D277F"/>
    <w:rsid w:val="000D5EFB"/>
    <w:rsid w:val="000D5F32"/>
    <w:rsid w:val="000D76E9"/>
    <w:rsid w:val="000E0249"/>
    <w:rsid w:val="000E091A"/>
    <w:rsid w:val="000E2C40"/>
    <w:rsid w:val="000E4810"/>
    <w:rsid w:val="000E499C"/>
    <w:rsid w:val="000E5163"/>
    <w:rsid w:val="000F6831"/>
    <w:rsid w:val="000F7B04"/>
    <w:rsid w:val="001010DA"/>
    <w:rsid w:val="001018E6"/>
    <w:rsid w:val="00103892"/>
    <w:rsid w:val="00104893"/>
    <w:rsid w:val="00104E44"/>
    <w:rsid w:val="00113671"/>
    <w:rsid w:val="00113FF0"/>
    <w:rsid w:val="00115D35"/>
    <w:rsid w:val="0011746B"/>
    <w:rsid w:val="00117486"/>
    <w:rsid w:val="001240C6"/>
    <w:rsid w:val="00124272"/>
    <w:rsid w:val="00124887"/>
    <w:rsid w:val="00130E54"/>
    <w:rsid w:val="00132279"/>
    <w:rsid w:val="0013380B"/>
    <w:rsid w:val="001361B3"/>
    <w:rsid w:val="0013748E"/>
    <w:rsid w:val="001419BC"/>
    <w:rsid w:val="00142DAF"/>
    <w:rsid w:val="001450D9"/>
    <w:rsid w:val="0014703D"/>
    <w:rsid w:val="00153144"/>
    <w:rsid w:val="00153E0D"/>
    <w:rsid w:val="00154A6D"/>
    <w:rsid w:val="00156A88"/>
    <w:rsid w:val="00162E82"/>
    <w:rsid w:val="001638B6"/>
    <w:rsid w:val="00170423"/>
    <w:rsid w:val="0017386A"/>
    <w:rsid w:val="00174CE8"/>
    <w:rsid w:val="00175DCD"/>
    <w:rsid w:val="00177469"/>
    <w:rsid w:val="00177AAB"/>
    <w:rsid w:val="00185ACA"/>
    <w:rsid w:val="001933A8"/>
    <w:rsid w:val="00193914"/>
    <w:rsid w:val="0019398E"/>
    <w:rsid w:val="00193C50"/>
    <w:rsid w:val="00196DB7"/>
    <w:rsid w:val="00197739"/>
    <w:rsid w:val="001A0369"/>
    <w:rsid w:val="001A0BCE"/>
    <w:rsid w:val="001A219F"/>
    <w:rsid w:val="001A78DD"/>
    <w:rsid w:val="001B19EF"/>
    <w:rsid w:val="001B4A35"/>
    <w:rsid w:val="001B4C3F"/>
    <w:rsid w:val="001B56C3"/>
    <w:rsid w:val="001B6DF5"/>
    <w:rsid w:val="001B73E9"/>
    <w:rsid w:val="001C05E5"/>
    <w:rsid w:val="001C0AEE"/>
    <w:rsid w:val="001C18EC"/>
    <w:rsid w:val="001C3229"/>
    <w:rsid w:val="001C559C"/>
    <w:rsid w:val="001C67EE"/>
    <w:rsid w:val="001D0882"/>
    <w:rsid w:val="001D3725"/>
    <w:rsid w:val="001D5551"/>
    <w:rsid w:val="001E172E"/>
    <w:rsid w:val="001E382F"/>
    <w:rsid w:val="001E59E4"/>
    <w:rsid w:val="001E688B"/>
    <w:rsid w:val="001F06D5"/>
    <w:rsid w:val="001F07B0"/>
    <w:rsid w:val="001F0DAD"/>
    <w:rsid w:val="001F0E2D"/>
    <w:rsid w:val="001F14D8"/>
    <w:rsid w:val="001F1B52"/>
    <w:rsid w:val="001F3BB9"/>
    <w:rsid w:val="001F7834"/>
    <w:rsid w:val="00200954"/>
    <w:rsid w:val="00201FCE"/>
    <w:rsid w:val="0020221D"/>
    <w:rsid w:val="00202EF5"/>
    <w:rsid w:val="00203256"/>
    <w:rsid w:val="002050F5"/>
    <w:rsid w:val="002052E4"/>
    <w:rsid w:val="00210707"/>
    <w:rsid w:val="00210CE3"/>
    <w:rsid w:val="00211E77"/>
    <w:rsid w:val="002120EC"/>
    <w:rsid w:val="002130A9"/>
    <w:rsid w:val="002148AC"/>
    <w:rsid w:val="002164C6"/>
    <w:rsid w:val="002217DB"/>
    <w:rsid w:val="00222E84"/>
    <w:rsid w:val="00230169"/>
    <w:rsid w:val="00233A4B"/>
    <w:rsid w:val="00235E19"/>
    <w:rsid w:val="00237806"/>
    <w:rsid w:val="002413C9"/>
    <w:rsid w:val="00243860"/>
    <w:rsid w:val="00244E37"/>
    <w:rsid w:val="0024551C"/>
    <w:rsid w:val="00247C7B"/>
    <w:rsid w:val="002516CA"/>
    <w:rsid w:val="00251F2E"/>
    <w:rsid w:val="0025254C"/>
    <w:rsid w:val="0025376B"/>
    <w:rsid w:val="00255488"/>
    <w:rsid w:val="00256920"/>
    <w:rsid w:val="00257149"/>
    <w:rsid w:val="0026089E"/>
    <w:rsid w:val="002626A0"/>
    <w:rsid w:val="00264098"/>
    <w:rsid w:val="0026420E"/>
    <w:rsid w:val="00264225"/>
    <w:rsid w:val="00265A4E"/>
    <w:rsid w:val="00267C15"/>
    <w:rsid w:val="0027012F"/>
    <w:rsid w:val="002740F1"/>
    <w:rsid w:val="002748AF"/>
    <w:rsid w:val="002761F9"/>
    <w:rsid w:val="00276C25"/>
    <w:rsid w:val="0027728F"/>
    <w:rsid w:val="00282065"/>
    <w:rsid w:val="0028231F"/>
    <w:rsid w:val="002836F8"/>
    <w:rsid w:val="00290087"/>
    <w:rsid w:val="00290224"/>
    <w:rsid w:val="002913E4"/>
    <w:rsid w:val="00291638"/>
    <w:rsid w:val="00291816"/>
    <w:rsid w:val="00292568"/>
    <w:rsid w:val="002931AE"/>
    <w:rsid w:val="00294637"/>
    <w:rsid w:val="002947D7"/>
    <w:rsid w:val="00296EE9"/>
    <w:rsid w:val="002A15BC"/>
    <w:rsid w:val="002A257B"/>
    <w:rsid w:val="002A26CF"/>
    <w:rsid w:val="002A7134"/>
    <w:rsid w:val="002B0E36"/>
    <w:rsid w:val="002B29E6"/>
    <w:rsid w:val="002B48B3"/>
    <w:rsid w:val="002B5008"/>
    <w:rsid w:val="002B5EB5"/>
    <w:rsid w:val="002B7367"/>
    <w:rsid w:val="002C0258"/>
    <w:rsid w:val="002C2B2A"/>
    <w:rsid w:val="002C3DD9"/>
    <w:rsid w:val="002D151C"/>
    <w:rsid w:val="002D3DCF"/>
    <w:rsid w:val="002D4C8A"/>
    <w:rsid w:val="002D4D5E"/>
    <w:rsid w:val="002D6B54"/>
    <w:rsid w:val="002D7E9D"/>
    <w:rsid w:val="002E11F4"/>
    <w:rsid w:val="002E2789"/>
    <w:rsid w:val="002E2C0E"/>
    <w:rsid w:val="002E3B50"/>
    <w:rsid w:val="002E7BF9"/>
    <w:rsid w:val="002F24FA"/>
    <w:rsid w:val="002F74A0"/>
    <w:rsid w:val="0030354D"/>
    <w:rsid w:val="003044F8"/>
    <w:rsid w:val="0030730B"/>
    <w:rsid w:val="00310F06"/>
    <w:rsid w:val="0031750F"/>
    <w:rsid w:val="00317556"/>
    <w:rsid w:val="003176F7"/>
    <w:rsid w:val="00321BA8"/>
    <w:rsid w:val="003240B3"/>
    <w:rsid w:val="003276E7"/>
    <w:rsid w:val="00330970"/>
    <w:rsid w:val="00333CD4"/>
    <w:rsid w:val="00334EC9"/>
    <w:rsid w:val="00342A9F"/>
    <w:rsid w:val="00344B35"/>
    <w:rsid w:val="00346D16"/>
    <w:rsid w:val="00347423"/>
    <w:rsid w:val="00347BBC"/>
    <w:rsid w:val="003509EE"/>
    <w:rsid w:val="00352BAE"/>
    <w:rsid w:val="00353ED3"/>
    <w:rsid w:val="0036267A"/>
    <w:rsid w:val="0036410B"/>
    <w:rsid w:val="003642A1"/>
    <w:rsid w:val="003663F0"/>
    <w:rsid w:val="00367234"/>
    <w:rsid w:val="003703DD"/>
    <w:rsid w:val="00372571"/>
    <w:rsid w:val="00373E27"/>
    <w:rsid w:val="003743EB"/>
    <w:rsid w:val="00376AF9"/>
    <w:rsid w:val="00380C5F"/>
    <w:rsid w:val="00381653"/>
    <w:rsid w:val="00382903"/>
    <w:rsid w:val="00382F55"/>
    <w:rsid w:val="00383F5B"/>
    <w:rsid w:val="00385712"/>
    <w:rsid w:val="00386C11"/>
    <w:rsid w:val="003916BF"/>
    <w:rsid w:val="0039298D"/>
    <w:rsid w:val="00394094"/>
    <w:rsid w:val="0039575D"/>
    <w:rsid w:val="00395EF4"/>
    <w:rsid w:val="00397B7F"/>
    <w:rsid w:val="003A3791"/>
    <w:rsid w:val="003A453E"/>
    <w:rsid w:val="003A49A1"/>
    <w:rsid w:val="003A71B8"/>
    <w:rsid w:val="003B244C"/>
    <w:rsid w:val="003B59D3"/>
    <w:rsid w:val="003B5D50"/>
    <w:rsid w:val="003B615B"/>
    <w:rsid w:val="003B69AF"/>
    <w:rsid w:val="003C0962"/>
    <w:rsid w:val="003C0F53"/>
    <w:rsid w:val="003C1784"/>
    <w:rsid w:val="003C3B19"/>
    <w:rsid w:val="003C5A12"/>
    <w:rsid w:val="003C733B"/>
    <w:rsid w:val="003D13D5"/>
    <w:rsid w:val="003D375C"/>
    <w:rsid w:val="003D3B7D"/>
    <w:rsid w:val="003D6C90"/>
    <w:rsid w:val="003D71D8"/>
    <w:rsid w:val="003E0890"/>
    <w:rsid w:val="003E1C81"/>
    <w:rsid w:val="003E3D03"/>
    <w:rsid w:val="003E3D45"/>
    <w:rsid w:val="003E4033"/>
    <w:rsid w:val="003E6783"/>
    <w:rsid w:val="003F306D"/>
    <w:rsid w:val="003F3617"/>
    <w:rsid w:val="003F4267"/>
    <w:rsid w:val="003F58F7"/>
    <w:rsid w:val="004020BF"/>
    <w:rsid w:val="00405C8F"/>
    <w:rsid w:val="00406592"/>
    <w:rsid w:val="00412423"/>
    <w:rsid w:val="00413DCA"/>
    <w:rsid w:val="00417274"/>
    <w:rsid w:val="00417ADB"/>
    <w:rsid w:val="00420183"/>
    <w:rsid w:val="00420E79"/>
    <w:rsid w:val="00421256"/>
    <w:rsid w:val="004216EC"/>
    <w:rsid w:val="00426643"/>
    <w:rsid w:val="0042691F"/>
    <w:rsid w:val="00433BBD"/>
    <w:rsid w:val="004366C2"/>
    <w:rsid w:val="00440138"/>
    <w:rsid w:val="0044116E"/>
    <w:rsid w:val="00441623"/>
    <w:rsid w:val="00442914"/>
    <w:rsid w:val="00442A70"/>
    <w:rsid w:val="00443420"/>
    <w:rsid w:val="00445B0B"/>
    <w:rsid w:val="00445FCC"/>
    <w:rsid w:val="00450EC2"/>
    <w:rsid w:val="00452C42"/>
    <w:rsid w:val="00453A38"/>
    <w:rsid w:val="00453EFE"/>
    <w:rsid w:val="00454C49"/>
    <w:rsid w:val="00455884"/>
    <w:rsid w:val="00457A18"/>
    <w:rsid w:val="0046100D"/>
    <w:rsid w:val="00462005"/>
    <w:rsid w:val="0046477D"/>
    <w:rsid w:val="00466EA0"/>
    <w:rsid w:val="004671C7"/>
    <w:rsid w:val="004706E2"/>
    <w:rsid w:val="00471268"/>
    <w:rsid w:val="004727C9"/>
    <w:rsid w:val="00474E56"/>
    <w:rsid w:val="004753E8"/>
    <w:rsid w:val="0047621A"/>
    <w:rsid w:val="00480ECC"/>
    <w:rsid w:val="00481CB3"/>
    <w:rsid w:val="00483437"/>
    <w:rsid w:val="004847A8"/>
    <w:rsid w:val="00485A18"/>
    <w:rsid w:val="004908C6"/>
    <w:rsid w:val="004917C3"/>
    <w:rsid w:val="00492F9B"/>
    <w:rsid w:val="004A306C"/>
    <w:rsid w:val="004A3D0C"/>
    <w:rsid w:val="004A433C"/>
    <w:rsid w:val="004A4BB1"/>
    <w:rsid w:val="004A6319"/>
    <w:rsid w:val="004B0EC3"/>
    <w:rsid w:val="004B155D"/>
    <w:rsid w:val="004B1627"/>
    <w:rsid w:val="004B2B68"/>
    <w:rsid w:val="004B2D44"/>
    <w:rsid w:val="004B59C9"/>
    <w:rsid w:val="004B7923"/>
    <w:rsid w:val="004B7EDD"/>
    <w:rsid w:val="004C07C2"/>
    <w:rsid w:val="004C259C"/>
    <w:rsid w:val="004C38DB"/>
    <w:rsid w:val="004C5CDF"/>
    <w:rsid w:val="004C5D99"/>
    <w:rsid w:val="004C649C"/>
    <w:rsid w:val="004D23DA"/>
    <w:rsid w:val="004D2D42"/>
    <w:rsid w:val="004D4209"/>
    <w:rsid w:val="004D6658"/>
    <w:rsid w:val="004D6AB1"/>
    <w:rsid w:val="004D6F56"/>
    <w:rsid w:val="004D711A"/>
    <w:rsid w:val="004D7912"/>
    <w:rsid w:val="004E0482"/>
    <w:rsid w:val="004E0798"/>
    <w:rsid w:val="004E1B53"/>
    <w:rsid w:val="004E465A"/>
    <w:rsid w:val="004E500A"/>
    <w:rsid w:val="004E5C3B"/>
    <w:rsid w:val="004E6A37"/>
    <w:rsid w:val="004F114B"/>
    <w:rsid w:val="004F1227"/>
    <w:rsid w:val="004F1A0E"/>
    <w:rsid w:val="004F3188"/>
    <w:rsid w:val="004F3CD5"/>
    <w:rsid w:val="004F7AC5"/>
    <w:rsid w:val="005009DE"/>
    <w:rsid w:val="00502A2B"/>
    <w:rsid w:val="005031AD"/>
    <w:rsid w:val="00505D05"/>
    <w:rsid w:val="005067CB"/>
    <w:rsid w:val="00507F83"/>
    <w:rsid w:val="00512CC7"/>
    <w:rsid w:val="0051310E"/>
    <w:rsid w:val="00515EF1"/>
    <w:rsid w:val="00517A59"/>
    <w:rsid w:val="00517E51"/>
    <w:rsid w:val="00526287"/>
    <w:rsid w:val="0052790E"/>
    <w:rsid w:val="005316BD"/>
    <w:rsid w:val="0053220B"/>
    <w:rsid w:val="00533D18"/>
    <w:rsid w:val="00537193"/>
    <w:rsid w:val="00537EE0"/>
    <w:rsid w:val="005408A9"/>
    <w:rsid w:val="00545EFE"/>
    <w:rsid w:val="00546410"/>
    <w:rsid w:val="005466A6"/>
    <w:rsid w:val="00546874"/>
    <w:rsid w:val="005507AC"/>
    <w:rsid w:val="005511CC"/>
    <w:rsid w:val="0055282C"/>
    <w:rsid w:val="00552939"/>
    <w:rsid w:val="00565D4D"/>
    <w:rsid w:val="005667EE"/>
    <w:rsid w:val="00567030"/>
    <w:rsid w:val="005703AD"/>
    <w:rsid w:val="00573DB8"/>
    <w:rsid w:val="005754A8"/>
    <w:rsid w:val="00576A35"/>
    <w:rsid w:val="00580A7B"/>
    <w:rsid w:val="00580C23"/>
    <w:rsid w:val="00581CB2"/>
    <w:rsid w:val="005822E5"/>
    <w:rsid w:val="00587A22"/>
    <w:rsid w:val="0059063B"/>
    <w:rsid w:val="005907EA"/>
    <w:rsid w:val="00594BC4"/>
    <w:rsid w:val="00594C65"/>
    <w:rsid w:val="0059614D"/>
    <w:rsid w:val="00597139"/>
    <w:rsid w:val="00597E67"/>
    <w:rsid w:val="005A03FB"/>
    <w:rsid w:val="005A2A1D"/>
    <w:rsid w:val="005A467B"/>
    <w:rsid w:val="005A536B"/>
    <w:rsid w:val="005A6108"/>
    <w:rsid w:val="005B11A4"/>
    <w:rsid w:val="005B5156"/>
    <w:rsid w:val="005B58F4"/>
    <w:rsid w:val="005B636F"/>
    <w:rsid w:val="005B672D"/>
    <w:rsid w:val="005C0313"/>
    <w:rsid w:val="005C10FF"/>
    <w:rsid w:val="005C254B"/>
    <w:rsid w:val="005C6412"/>
    <w:rsid w:val="005C775A"/>
    <w:rsid w:val="005D2FE6"/>
    <w:rsid w:val="005D4667"/>
    <w:rsid w:val="005D4E60"/>
    <w:rsid w:val="005E0CEF"/>
    <w:rsid w:val="005E1518"/>
    <w:rsid w:val="005E1CCE"/>
    <w:rsid w:val="005E4CDD"/>
    <w:rsid w:val="005E5B1C"/>
    <w:rsid w:val="005E7374"/>
    <w:rsid w:val="005F1CAE"/>
    <w:rsid w:val="005F2B84"/>
    <w:rsid w:val="005F4A56"/>
    <w:rsid w:val="005F4FA8"/>
    <w:rsid w:val="005F587B"/>
    <w:rsid w:val="005F7DBF"/>
    <w:rsid w:val="00601ED0"/>
    <w:rsid w:val="006024A5"/>
    <w:rsid w:val="006025C4"/>
    <w:rsid w:val="00603864"/>
    <w:rsid w:val="0060706C"/>
    <w:rsid w:val="00607C84"/>
    <w:rsid w:val="00610C4C"/>
    <w:rsid w:val="00610F0F"/>
    <w:rsid w:val="006110A0"/>
    <w:rsid w:val="00614E17"/>
    <w:rsid w:val="00615C77"/>
    <w:rsid w:val="00616EC7"/>
    <w:rsid w:val="0061794C"/>
    <w:rsid w:val="00620077"/>
    <w:rsid w:val="006247C7"/>
    <w:rsid w:val="006248CA"/>
    <w:rsid w:val="0062769A"/>
    <w:rsid w:val="00632138"/>
    <w:rsid w:val="0063255B"/>
    <w:rsid w:val="006351FA"/>
    <w:rsid w:val="00635C47"/>
    <w:rsid w:val="006401E2"/>
    <w:rsid w:val="00640CE1"/>
    <w:rsid w:val="00644B62"/>
    <w:rsid w:val="00646CE3"/>
    <w:rsid w:val="00646FC9"/>
    <w:rsid w:val="0065026F"/>
    <w:rsid w:val="00651599"/>
    <w:rsid w:val="00652822"/>
    <w:rsid w:val="00652A2E"/>
    <w:rsid w:val="00653669"/>
    <w:rsid w:val="006575B9"/>
    <w:rsid w:val="0066050C"/>
    <w:rsid w:val="00660633"/>
    <w:rsid w:val="0066151A"/>
    <w:rsid w:val="00661CB6"/>
    <w:rsid w:val="00661F38"/>
    <w:rsid w:val="006652C2"/>
    <w:rsid w:val="006666FB"/>
    <w:rsid w:val="00670EE2"/>
    <w:rsid w:val="006739C0"/>
    <w:rsid w:val="00673D65"/>
    <w:rsid w:val="00674C0F"/>
    <w:rsid w:val="00675513"/>
    <w:rsid w:val="00675FAC"/>
    <w:rsid w:val="00676A39"/>
    <w:rsid w:val="00681F8B"/>
    <w:rsid w:val="00690446"/>
    <w:rsid w:val="006929A5"/>
    <w:rsid w:val="00693BA4"/>
    <w:rsid w:val="00694DAD"/>
    <w:rsid w:val="00694DD0"/>
    <w:rsid w:val="006961E6"/>
    <w:rsid w:val="006965ED"/>
    <w:rsid w:val="00697DDA"/>
    <w:rsid w:val="006A0BD7"/>
    <w:rsid w:val="006A4389"/>
    <w:rsid w:val="006A48AA"/>
    <w:rsid w:val="006A63A6"/>
    <w:rsid w:val="006A7769"/>
    <w:rsid w:val="006A78C7"/>
    <w:rsid w:val="006B422C"/>
    <w:rsid w:val="006B6C02"/>
    <w:rsid w:val="006C1F35"/>
    <w:rsid w:val="006C4CE8"/>
    <w:rsid w:val="006C74EC"/>
    <w:rsid w:val="006C7721"/>
    <w:rsid w:val="006D78AA"/>
    <w:rsid w:val="006D7A1E"/>
    <w:rsid w:val="006E0EEE"/>
    <w:rsid w:val="006E177E"/>
    <w:rsid w:val="006E3AED"/>
    <w:rsid w:val="006E4FDE"/>
    <w:rsid w:val="006E76A8"/>
    <w:rsid w:val="006F36B9"/>
    <w:rsid w:val="006F3763"/>
    <w:rsid w:val="006F4145"/>
    <w:rsid w:val="006F5FF3"/>
    <w:rsid w:val="006F6911"/>
    <w:rsid w:val="00701958"/>
    <w:rsid w:val="00704C0F"/>
    <w:rsid w:val="00707ECB"/>
    <w:rsid w:val="00710583"/>
    <w:rsid w:val="0071496D"/>
    <w:rsid w:val="007157A5"/>
    <w:rsid w:val="00721054"/>
    <w:rsid w:val="0072126C"/>
    <w:rsid w:val="00722F0C"/>
    <w:rsid w:val="00723578"/>
    <w:rsid w:val="00723D3C"/>
    <w:rsid w:val="00724857"/>
    <w:rsid w:val="00724FB5"/>
    <w:rsid w:val="00725F73"/>
    <w:rsid w:val="0073061F"/>
    <w:rsid w:val="007317D8"/>
    <w:rsid w:val="00731B3A"/>
    <w:rsid w:val="00733C3C"/>
    <w:rsid w:val="007358A7"/>
    <w:rsid w:val="00736153"/>
    <w:rsid w:val="0074154E"/>
    <w:rsid w:val="0074172B"/>
    <w:rsid w:val="00745C8D"/>
    <w:rsid w:val="00746487"/>
    <w:rsid w:val="00751684"/>
    <w:rsid w:val="007535BB"/>
    <w:rsid w:val="0075463C"/>
    <w:rsid w:val="00754C7E"/>
    <w:rsid w:val="007556DD"/>
    <w:rsid w:val="00755B75"/>
    <w:rsid w:val="007562D6"/>
    <w:rsid w:val="00756542"/>
    <w:rsid w:val="0075656B"/>
    <w:rsid w:val="00757332"/>
    <w:rsid w:val="00757A5C"/>
    <w:rsid w:val="00757AD7"/>
    <w:rsid w:val="00765F23"/>
    <w:rsid w:val="00766B0C"/>
    <w:rsid w:val="00767B7C"/>
    <w:rsid w:val="00767E71"/>
    <w:rsid w:val="00777049"/>
    <w:rsid w:val="00781A61"/>
    <w:rsid w:val="007825E3"/>
    <w:rsid w:val="0078450D"/>
    <w:rsid w:val="00787EF2"/>
    <w:rsid w:val="00790266"/>
    <w:rsid w:val="007923F1"/>
    <w:rsid w:val="007938C7"/>
    <w:rsid w:val="00793A0E"/>
    <w:rsid w:val="00794111"/>
    <w:rsid w:val="007A3F4F"/>
    <w:rsid w:val="007B5B72"/>
    <w:rsid w:val="007B5F38"/>
    <w:rsid w:val="007C04EB"/>
    <w:rsid w:val="007C0C6E"/>
    <w:rsid w:val="007C13B2"/>
    <w:rsid w:val="007C2C1A"/>
    <w:rsid w:val="007C40B3"/>
    <w:rsid w:val="007C44D2"/>
    <w:rsid w:val="007C529A"/>
    <w:rsid w:val="007C530F"/>
    <w:rsid w:val="007C6D1E"/>
    <w:rsid w:val="007D05FD"/>
    <w:rsid w:val="007D1472"/>
    <w:rsid w:val="007D1E70"/>
    <w:rsid w:val="007D2D1B"/>
    <w:rsid w:val="007D690B"/>
    <w:rsid w:val="007E1AEE"/>
    <w:rsid w:val="007E27C7"/>
    <w:rsid w:val="007E2C95"/>
    <w:rsid w:val="007E3383"/>
    <w:rsid w:val="007E38B4"/>
    <w:rsid w:val="007E620D"/>
    <w:rsid w:val="007F1719"/>
    <w:rsid w:val="007F1F1C"/>
    <w:rsid w:val="007F237F"/>
    <w:rsid w:val="007F2B7C"/>
    <w:rsid w:val="007F48F0"/>
    <w:rsid w:val="007F4C8A"/>
    <w:rsid w:val="007F4D92"/>
    <w:rsid w:val="00800950"/>
    <w:rsid w:val="00806C56"/>
    <w:rsid w:val="008075A7"/>
    <w:rsid w:val="00810E35"/>
    <w:rsid w:val="0081375C"/>
    <w:rsid w:val="00814E21"/>
    <w:rsid w:val="008150BF"/>
    <w:rsid w:val="00815633"/>
    <w:rsid w:val="008158EE"/>
    <w:rsid w:val="00815E45"/>
    <w:rsid w:val="00815EE6"/>
    <w:rsid w:val="008163C1"/>
    <w:rsid w:val="00817837"/>
    <w:rsid w:val="0082035D"/>
    <w:rsid w:val="00823959"/>
    <w:rsid w:val="00826BF9"/>
    <w:rsid w:val="008273B5"/>
    <w:rsid w:val="00827D30"/>
    <w:rsid w:val="0083030A"/>
    <w:rsid w:val="00831472"/>
    <w:rsid w:val="00832722"/>
    <w:rsid w:val="0083677D"/>
    <w:rsid w:val="00836AB8"/>
    <w:rsid w:val="00836FDC"/>
    <w:rsid w:val="00837AD3"/>
    <w:rsid w:val="00837C92"/>
    <w:rsid w:val="00840323"/>
    <w:rsid w:val="008403E8"/>
    <w:rsid w:val="00840751"/>
    <w:rsid w:val="00840FA4"/>
    <w:rsid w:val="00842DFD"/>
    <w:rsid w:val="0084385C"/>
    <w:rsid w:val="00844812"/>
    <w:rsid w:val="00844FCC"/>
    <w:rsid w:val="008460BE"/>
    <w:rsid w:val="008505BD"/>
    <w:rsid w:val="00852013"/>
    <w:rsid w:val="008537FC"/>
    <w:rsid w:val="00855EB4"/>
    <w:rsid w:val="00861553"/>
    <w:rsid w:val="008616E5"/>
    <w:rsid w:val="008630FC"/>
    <w:rsid w:val="00863371"/>
    <w:rsid w:val="00865089"/>
    <w:rsid w:val="008656BA"/>
    <w:rsid w:val="0086599D"/>
    <w:rsid w:val="0086721D"/>
    <w:rsid w:val="0086738B"/>
    <w:rsid w:val="00872777"/>
    <w:rsid w:val="00873742"/>
    <w:rsid w:val="00875B52"/>
    <w:rsid w:val="00877AB2"/>
    <w:rsid w:val="00881710"/>
    <w:rsid w:val="00881B77"/>
    <w:rsid w:val="00881C15"/>
    <w:rsid w:val="00883F86"/>
    <w:rsid w:val="00886315"/>
    <w:rsid w:val="00886E2A"/>
    <w:rsid w:val="00886EE4"/>
    <w:rsid w:val="008914EF"/>
    <w:rsid w:val="00891D04"/>
    <w:rsid w:val="00893F22"/>
    <w:rsid w:val="00895465"/>
    <w:rsid w:val="00895662"/>
    <w:rsid w:val="008A35EE"/>
    <w:rsid w:val="008A5D51"/>
    <w:rsid w:val="008B08BD"/>
    <w:rsid w:val="008B242A"/>
    <w:rsid w:val="008B2C0D"/>
    <w:rsid w:val="008B49FA"/>
    <w:rsid w:val="008B562C"/>
    <w:rsid w:val="008B5CAC"/>
    <w:rsid w:val="008B60B8"/>
    <w:rsid w:val="008B6BDF"/>
    <w:rsid w:val="008C6B32"/>
    <w:rsid w:val="008C7D01"/>
    <w:rsid w:val="008D09B0"/>
    <w:rsid w:val="008D146F"/>
    <w:rsid w:val="008D53FC"/>
    <w:rsid w:val="008D5772"/>
    <w:rsid w:val="008D5E01"/>
    <w:rsid w:val="008D6106"/>
    <w:rsid w:val="008D61EC"/>
    <w:rsid w:val="008D6626"/>
    <w:rsid w:val="008D71BB"/>
    <w:rsid w:val="008D7216"/>
    <w:rsid w:val="008E0AA7"/>
    <w:rsid w:val="008E0ADD"/>
    <w:rsid w:val="008E14C5"/>
    <w:rsid w:val="008E1D7B"/>
    <w:rsid w:val="008E27B8"/>
    <w:rsid w:val="008E27F6"/>
    <w:rsid w:val="008E342F"/>
    <w:rsid w:val="008E557A"/>
    <w:rsid w:val="008E7888"/>
    <w:rsid w:val="008F0DD5"/>
    <w:rsid w:val="008F7546"/>
    <w:rsid w:val="008F7796"/>
    <w:rsid w:val="00901B9B"/>
    <w:rsid w:val="009033EF"/>
    <w:rsid w:val="00903FC7"/>
    <w:rsid w:val="00904396"/>
    <w:rsid w:val="00906EC2"/>
    <w:rsid w:val="009072BB"/>
    <w:rsid w:val="00907718"/>
    <w:rsid w:val="00907F95"/>
    <w:rsid w:val="00907FF2"/>
    <w:rsid w:val="0091052D"/>
    <w:rsid w:val="00911463"/>
    <w:rsid w:val="00912766"/>
    <w:rsid w:val="0091367D"/>
    <w:rsid w:val="00913AA6"/>
    <w:rsid w:val="00913AA7"/>
    <w:rsid w:val="00914DB5"/>
    <w:rsid w:val="00915368"/>
    <w:rsid w:val="00915F0E"/>
    <w:rsid w:val="00916BC1"/>
    <w:rsid w:val="009173B9"/>
    <w:rsid w:val="00920911"/>
    <w:rsid w:val="009216B0"/>
    <w:rsid w:val="00922E00"/>
    <w:rsid w:val="00924252"/>
    <w:rsid w:val="009254DC"/>
    <w:rsid w:val="00925901"/>
    <w:rsid w:val="00930562"/>
    <w:rsid w:val="00930B9C"/>
    <w:rsid w:val="00931CE0"/>
    <w:rsid w:val="00932FE3"/>
    <w:rsid w:val="009348D9"/>
    <w:rsid w:val="009355DB"/>
    <w:rsid w:val="00935B3B"/>
    <w:rsid w:val="009423CE"/>
    <w:rsid w:val="0094419A"/>
    <w:rsid w:val="00945880"/>
    <w:rsid w:val="009471E2"/>
    <w:rsid w:val="00947DFE"/>
    <w:rsid w:val="009540AB"/>
    <w:rsid w:val="009567ED"/>
    <w:rsid w:val="0095787D"/>
    <w:rsid w:val="00960326"/>
    <w:rsid w:val="009604F2"/>
    <w:rsid w:val="00961CA2"/>
    <w:rsid w:val="0096654C"/>
    <w:rsid w:val="00966FAC"/>
    <w:rsid w:val="00970F7A"/>
    <w:rsid w:val="009743F4"/>
    <w:rsid w:val="00974818"/>
    <w:rsid w:val="0097492D"/>
    <w:rsid w:val="00976517"/>
    <w:rsid w:val="00977F1B"/>
    <w:rsid w:val="00980FAD"/>
    <w:rsid w:val="0098142F"/>
    <w:rsid w:val="00985683"/>
    <w:rsid w:val="0098763C"/>
    <w:rsid w:val="00991BFC"/>
    <w:rsid w:val="00991FF3"/>
    <w:rsid w:val="00993D42"/>
    <w:rsid w:val="009958D8"/>
    <w:rsid w:val="00995FAB"/>
    <w:rsid w:val="00996F70"/>
    <w:rsid w:val="00997537"/>
    <w:rsid w:val="009A31F4"/>
    <w:rsid w:val="009A5CC2"/>
    <w:rsid w:val="009A7EB5"/>
    <w:rsid w:val="009B2ABD"/>
    <w:rsid w:val="009B3621"/>
    <w:rsid w:val="009B364C"/>
    <w:rsid w:val="009B7796"/>
    <w:rsid w:val="009B7B19"/>
    <w:rsid w:val="009C0320"/>
    <w:rsid w:val="009C05C4"/>
    <w:rsid w:val="009C3F58"/>
    <w:rsid w:val="009C4B68"/>
    <w:rsid w:val="009C685D"/>
    <w:rsid w:val="009C789F"/>
    <w:rsid w:val="009D0051"/>
    <w:rsid w:val="009D08A1"/>
    <w:rsid w:val="009D0DDC"/>
    <w:rsid w:val="009D1D6C"/>
    <w:rsid w:val="009D306E"/>
    <w:rsid w:val="009D3876"/>
    <w:rsid w:val="009D3A04"/>
    <w:rsid w:val="009E02DF"/>
    <w:rsid w:val="009E0C04"/>
    <w:rsid w:val="009E0E47"/>
    <w:rsid w:val="009E1DCA"/>
    <w:rsid w:val="009E4FCA"/>
    <w:rsid w:val="009E65CD"/>
    <w:rsid w:val="009E7168"/>
    <w:rsid w:val="009F292D"/>
    <w:rsid w:val="009F3105"/>
    <w:rsid w:val="009F352E"/>
    <w:rsid w:val="009F51BC"/>
    <w:rsid w:val="009F6AAD"/>
    <w:rsid w:val="00A0354C"/>
    <w:rsid w:val="00A06B2E"/>
    <w:rsid w:val="00A12238"/>
    <w:rsid w:val="00A1366A"/>
    <w:rsid w:val="00A24B3C"/>
    <w:rsid w:val="00A31121"/>
    <w:rsid w:val="00A3374D"/>
    <w:rsid w:val="00A34DD2"/>
    <w:rsid w:val="00A37164"/>
    <w:rsid w:val="00A412DD"/>
    <w:rsid w:val="00A4221B"/>
    <w:rsid w:val="00A4321C"/>
    <w:rsid w:val="00A43A4F"/>
    <w:rsid w:val="00A44628"/>
    <w:rsid w:val="00A45524"/>
    <w:rsid w:val="00A456F3"/>
    <w:rsid w:val="00A5160C"/>
    <w:rsid w:val="00A51BEC"/>
    <w:rsid w:val="00A535C3"/>
    <w:rsid w:val="00A53777"/>
    <w:rsid w:val="00A550C4"/>
    <w:rsid w:val="00A55DAC"/>
    <w:rsid w:val="00A56C07"/>
    <w:rsid w:val="00A60E63"/>
    <w:rsid w:val="00A61919"/>
    <w:rsid w:val="00A65090"/>
    <w:rsid w:val="00A704F6"/>
    <w:rsid w:val="00A707D0"/>
    <w:rsid w:val="00A724D5"/>
    <w:rsid w:val="00A76027"/>
    <w:rsid w:val="00A8258F"/>
    <w:rsid w:val="00A83B41"/>
    <w:rsid w:val="00A90BBE"/>
    <w:rsid w:val="00A90CAC"/>
    <w:rsid w:val="00A90D47"/>
    <w:rsid w:val="00A911C0"/>
    <w:rsid w:val="00A922E4"/>
    <w:rsid w:val="00A9384E"/>
    <w:rsid w:val="00A94F9B"/>
    <w:rsid w:val="00AA099D"/>
    <w:rsid w:val="00AA0E77"/>
    <w:rsid w:val="00AA0EA8"/>
    <w:rsid w:val="00AA4364"/>
    <w:rsid w:val="00AA598A"/>
    <w:rsid w:val="00AA6F02"/>
    <w:rsid w:val="00AA77B0"/>
    <w:rsid w:val="00AB015F"/>
    <w:rsid w:val="00AB1203"/>
    <w:rsid w:val="00AB4881"/>
    <w:rsid w:val="00AB52A5"/>
    <w:rsid w:val="00AC03D3"/>
    <w:rsid w:val="00AC048F"/>
    <w:rsid w:val="00AC4091"/>
    <w:rsid w:val="00AC4187"/>
    <w:rsid w:val="00AC6869"/>
    <w:rsid w:val="00AC7501"/>
    <w:rsid w:val="00AD0248"/>
    <w:rsid w:val="00AD0E88"/>
    <w:rsid w:val="00AD5E76"/>
    <w:rsid w:val="00AE15BA"/>
    <w:rsid w:val="00AE2246"/>
    <w:rsid w:val="00AE2449"/>
    <w:rsid w:val="00AE2880"/>
    <w:rsid w:val="00AE34F4"/>
    <w:rsid w:val="00AE3721"/>
    <w:rsid w:val="00AE3BBB"/>
    <w:rsid w:val="00AE45BF"/>
    <w:rsid w:val="00AE49B5"/>
    <w:rsid w:val="00AE55C2"/>
    <w:rsid w:val="00AE75F1"/>
    <w:rsid w:val="00AF220B"/>
    <w:rsid w:val="00AF2ECD"/>
    <w:rsid w:val="00AF2F8B"/>
    <w:rsid w:val="00AF357F"/>
    <w:rsid w:val="00AF3BB1"/>
    <w:rsid w:val="00B05D33"/>
    <w:rsid w:val="00B0700E"/>
    <w:rsid w:val="00B11EA9"/>
    <w:rsid w:val="00B13023"/>
    <w:rsid w:val="00B13D83"/>
    <w:rsid w:val="00B213B9"/>
    <w:rsid w:val="00B21F5F"/>
    <w:rsid w:val="00B222ED"/>
    <w:rsid w:val="00B22A58"/>
    <w:rsid w:val="00B231C1"/>
    <w:rsid w:val="00B23440"/>
    <w:rsid w:val="00B318AC"/>
    <w:rsid w:val="00B3767B"/>
    <w:rsid w:val="00B41EFF"/>
    <w:rsid w:val="00B42B71"/>
    <w:rsid w:val="00B42C9D"/>
    <w:rsid w:val="00B43FEF"/>
    <w:rsid w:val="00B45282"/>
    <w:rsid w:val="00B466C6"/>
    <w:rsid w:val="00B5066D"/>
    <w:rsid w:val="00B525BF"/>
    <w:rsid w:val="00B5273D"/>
    <w:rsid w:val="00B54767"/>
    <w:rsid w:val="00B554A4"/>
    <w:rsid w:val="00B55739"/>
    <w:rsid w:val="00B567E8"/>
    <w:rsid w:val="00B57248"/>
    <w:rsid w:val="00B615A2"/>
    <w:rsid w:val="00B6324B"/>
    <w:rsid w:val="00B635BB"/>
    <w:rsid w:val="00B63F45"/>
    <w:rsid w:val="00B64B82"/>
    <w:rsid w:val="00B6501B"/>
    <w:rsid w:val="00B71F2A"/>
    <w:rsid w:val="00B7584A"/>
    <w:rsid w:val="00B75E72"/>
    <w:rsid w:val="00B83C8B"/>
    <w:rsid w:val="00B8516B"/>
    <w:rsid w:val="00B86C50"/>
    <w:rsid w:val="00B87119"/>
    <w:rsid w:val="00B87600"/>
    <w:rsid w:val="00B879E1"/>
    <w:rsid w:val="00B921E9"/>
    <w:rsid w:val="00B92D9A"/>
    <w:rsid w:val="00B93D9C"/>
    <w:rsid w:val="00B95544"/>
    <w:rsid w:val="00B95753"/>
    <w:rsid w:val="00B95BAC"/>
    <w:rsid w:val="00B9657A"/>
    <w:rsid w:val="00BA0185"/>
    <w:rsid w:val="00BA2036"/>
    <w:rsid w:val="00BA22B0"/>
    <w:rsid w:val="00BA3853"/>
    <w:rsid w:val="00BA7BC4"/>
    <w:rsid w:val="00BB15BB"/>
    <w:rsid w:val="00BB2A5D"/>
    <w:rsid w:val="00BB4F54"/>
    <w:rsid w:val="00BB64D6"/>
    <w:rsid w:val="00BB6D46"/>
    <w:rsid w:val="00BB7C78"/>
    <w:rsid w:val="00BC12E9"/>
    <w:rsid w:val="00BC695E"/>
    <w:rsid w:val="00BC7734"/>
    <w:rsid w:val="00BD154B"/>
    <w:rsid w:val="00BD2501"/>
    <w:rsid w:val="00BD4949"/>
    <w:rsid w:val="00BD4A60"/>
    <w:rsid w:val="00BD4D96"/>
    <w:rsid w:val="00BD7AAB"/>
    <w:rsid w:val="00BE0392"/>
    <w:rsid w:val="00BE0C64"/>
    <w:rsid w:val="00BE153F"/>
    <w:rsid w:val="00BE3A61"/>
    <w:rsid w:val="00BE4F6F"/>
    <w:rsid w:val="00BF1C81"/>
    <w:rsid w:val="00BF1D6A"/>
    <w:rsid w:val="00BF6529"/>
    <w:rsid w:val="00C004BA"/>
    <w:rsid w:val="00C02B1B"/>
    <w:rsid w:val="00C064C2"/>
    <w:rsid w:val="00C06579"/>
    <w:rsid w:val="00C0659A"/>
    <w:rsid w:val="00C07130"/>
    <w:rsid w:val="00C07DAB"/>
    <w:rsid w:val="00C11B0B"/>
    <w:rsid w:val="00C208ED"/>
    <w:rsid w:val="00C2487D"/>
    <w:rsid w:val="00C32895"/>
    <w:rsid w:val="00C33FB6"/>
    <w:rsid w:val="00C40E70"/>
    <w:rsid w:val="00C43321"/>
    <w:rsid w:val="00C45F0D"/>
    <w:rsid w:val="00C4626D"/>
    <w:rsid w:val="00C46501"/>
    <w:rsid w:val="00C466ED"/>
    <w:rsid w:val="00C46CF9"/>
    <w:rsid w:val="00C501E5"/>
    <w:rsid w:val="00C53CB3"/>
    <w:rsid w:val="00C55245"/>
    <w:rsid w:val="00C55E61"/>
    <w:rsid w:val="00C56115"/>
    <w:rsid w:val="00C56998"/>
    <w:rsid w:val="00C57330"/>
    <w:rsid w:val="00C63B86"/>
    <w:rsid w:val="00C6404E"/>
    <w:rsid w:val="00C64A10"/>
    <w:rsid w:val="00C65545"/>
    <w:rsid w:val="00C6626D"/>
    <w:rsid w:val="00C70163"/>
    <w:rsid w:val="00C72D74"/>
    <w:rsid w:val="00C732CC"/>
    <w:rsid w:val="00C73480"/>
    <w:rsid w:val="00C7440A"/>
    <w:rsid w:val="00C76BFB"/>
    <w:rsid w:val="00C77FB6"/>
    <w:rsid w:val="00C8126D"/>
    <w:rsid w:val="00C8211E"/>
    <w:rsid w:val="00C831B7"/>
    <w:rsid w:val="00C84931"/>
    <w:rsid w:val="00C95B9E"/>
    <w:rsid w:val="00CA028F"/>
    <w:rsid w:val="00CA2FCC"/>
    <w:rsid w:val="00CA4BF6"/>
    <w:rsid w:val="00CA63C4"/>
    <w:rsid w:val="00CA6917"/>
    <w:rsid w:val="00CA75CC"/>
    <w:rsid w:val="00CB0AD7"/>
    <w:rsid w:val="00CB169C"/>
    <w:rsid w:val="00CB67A6"/>
    <w:rsid w:val="00CB6846"/>
    <w:rsid w:val="00CB7D62"/>
    <w:rsid w:val="00CC0CBA"/>
    <w:rsid w:val="00CC2B0F"/>
    <w:rsid w:val="00CC377F"/>
    <w:rsid w:val="00CC6E1A"/>
    <w:rsid w:val="00CC6E6E"/>
    <w:rsid w:val="00CC7BD2"/>
    <w:rsid w:val="00CC7CE7"/>
    <w:rsid w:val="00CD1494"/>
    <w:rsid w:val="00CD1E72"/>
    <w:rsid w:val="00CD3D45"/>
    <w:rsid w:val="00CD56BB"/>
    <w:rsid w:val="00CE3B51"/>
    <w:rsid w:val="00CE496F"/>
    <w:rsid w:val="00CE6852"/>
    <w:rsid w:val="00CE784B"/>
    <w:rsid w:val="00CF054A"/>
    <w:rsid w:val="00CF0D4A"/>
    <w:rsid w:val="00CF58AC"/>
    <w:rsid w:val="00CF6282"/>
    <w:rsid w:val="00D026DB"/>
    <w:rsid w:val="00D02E5A"/>
    <w:rsid w:val="00D058B7"/>
    <w:rsid w:val="00D11733"/>
    <w:rsid w:val="00D12248"/>
    <w:rsid w:val="00D122BE"/>
    <w:rsid w:val="00D135AD"/>
    <w:rsid w:val="00D205B3"/>
    <w:rsid w:val="00D215E2"/>
    <w:rsid w:val="00D23A38"/>
    <w:rsid w:val="00D26717"/>
    <w:rsid w:val="00D33D9C"/>
    <w:rsid w:val="00D35CCC"/>
    <w:rsid w:val="00D402E2"/>
    <w:rsid w:val="00D40B5B"/>
    <w:rsid w:val="00D40F58"/>
    <w:rsid w:val="00D44398"/>
    <w:rsid w:val="00D46339"/>
    <w:rsid w:val="00D4759D"/>
    <w:rsid w:val="00D513DF"/>
    <w:rsid w:val="00D516F7"/>
    <w:rsid w:val="00D53B11"/>
    <w:rsid w:val="00D543DE"/>
    <w:rsid w:val="00D573E3"/>
    <w:rsid w:val="00D604E4"/>
    <w:rsid w:val="00D606EB"/>
    <w:rsid w:val="00D62986"/>
    <w:rsid w:val="00D63AFD"/>
    <w:rsid w:val="00D63E21"/>
    <w:rsid w:val="00D657F3"/>
    <w:rsid w:val="00D71120"/>
    <w:rsid w:val="00D73123"/>
    <w:rsid w:val="00D73125"/>
    <w:rsid w:val="00D740ED"/>
    <w:rsid w:val="00D81F83"/>
    <w:rsid w:val="00D83B9C"/>
    <w:rsid w:val="00D86C63"/>
    <w:rsid w:val="00D913E7"/>
    <w:rsid w:val="00D92F57"/>
    <w:rsid w:val="00D95EA5"/>
    <w:rsid w:val="00D97467"/>
    <w:rsid w:val="00DA2298"/>
    <w:rsid w:val="00DA7811"/>
    <w:rsid w:val="00DB08C4"/>
    <w:rsid w:val="00DB12F9"/>
    <w:rsid w:val="00DB2970"/>
    <w:rsid w:val="00DB4DD9"/>
    <w:rsid w:val="00DB598B"/>
    <w:rsid w:val="00DB713E"/>
    <w:rsid w:val="00DB717D"/>
    <w:rsid w:val="00DC2553"/>
    <w:rsid w:val="00DC306B"/>
    <w:rsid w:val="00DC3087"/>
    <w:rsid w:val="00DC50EA"/>
    <w:rsid w:val="00DD084B"/>
    <w:rsid w:val="00DD265D"/>
    <w:rsid w:val="00DD42A6"/>
    <w:rsid w:val="00DD4F76"/>
    <w:rsid w:val="00DD731F"/>
    <w:rsid w:val="00DE2DE1"/>
    <w:rsid w:val="00DE38BF"/>
    <w:rsid w:val="00DE4F5D"/>
    <w:rsid w:val="00DE6246"/>
    <w:rsid w:val="00DE6271"/>
    <w:rsid w:val="00DE6A47"/>
    <w:rsid w:val="00DE7D26"/>
    <w:rsid w:val="00DF0C42"/>
    <w:rsid w:val="00DF125A"/>
    <w:rsid w:val="00DF3E8B"/>
    <w:rsid w:val="00DF5174"/>
    <w:rsid w:val="00DF79D5"/>
    <w:rsid w:val="00DF7ED0"/>
    <w:rsid w:val="00E00D6E"/>
    <w:rsid w:val="00E014C7"/>
    <w:rsid w:val="00E023C3"/>
    <w:rsid w:val="00E03491"/>
    <w:rsid w:val="00E04394"/>
    <w:rsid w:val="00E068D4"/>
    <w:rsid w:val="00E06F8A"/>
    <w:rsid w:val="00E107D9"/>
    <w:rsid w:val="00E10935"/>
    <w:rsid w:val="00E10BC1"/>
    <w:rsid w:val="00E11889"/>
    <w:rsid w:val="00E123BC"/>
    <w:rsid w:val="00E134F8"/>
    <w:rsid w:val="00E16F31"/>
    <w:rsid w:val="00E17870"/>
    <w:rsid w:val="00E20824"/>
    <w:rsid w:val="00E22A11"/>
    <w:rsid w:val="00E22A3E"/>
    <w:rsid w:val="00E24166"/>
    <w:rsid w:val="00E25464"/>
    <w:rsid w:val="00E25DC3"/>
    <w:rsid w:val="00E31064"/>
    <w:rsid w:val="00E313A4"/>
    <w:rsid w:val="00E32C0C"/>
    <w:rsid w:val="00E3330D"/>
    <w:rsid w:val="00E335F5"/>
    <w:rsid w:val="00E339FE"/>
    <w:rsid w:val="00E3563B"/>
    <w:rsid w:val="00E4102A"/>
    <w:rsid w:val="00E422E0"/>
    <w:rsid w:val="00E4276A"/>
    <w:rsid w:val="00E42F3A"/>
    <w:rsid w:val="00E43112"/>
    <w:rsid w:val="00E442FA"/>
    <w:rsid w:val="00E450DB"/>
    <w:rsid w:val="00E65F35"/>
    <w:rsid w:val="00E66146"/>
    <w:rsid w:val="00E7180D"/>
    <w:rsid w:val="00E73016"/>
    <w:rsid w:val="00E81919"/>
    <w:rsid w:val="00E8491B"/>
    <w:rsid w:val="00E84BD5"/>
    <w:rsid w:val="00E90184"/>
    <w:rsid w:val="00E9078A"/>
    <w:rsid w:val="00E914CF"/>
    <w:rsid w:val="00E91823"/>
    <w:rsid w:val="00E924F1"/>
    <w:rsid w:val="00E927E2"/>
    <w:rsid w:val="00E93C3B"/>
    <w:rsid w:val="00E9536C"/>
    <w:rsid w:val="00EA262E"/>
    <w:rsid w:val="00EA2805"/>
    <w:rsid w:val="00EA4BFB"/>
    <w:rsid w:val="00EA5C78"/>
    <w:rsid w:val="00EA75E2"/>
    <w:rsid w:val="00EB0F94"/>
    <w:rsid w:val="00EB18C5"/>
    <w:rsid w:val="00EB4BC9"/>
    <w:rsid w:val="00EB7936"/>
    <w:rsid w:val="00EB7C07"/>
    <w:rsid w:val="00EC07D8"/>
    <w:rsid w:val="00EC4020"/>
    <w:rsid w:val="00EC4939"/>
    <w:rsid w:val="00EC5B18"/>
    <w:rsid w:val="00ED014C"/>
    <w:rsid w:val="00ED33A5"/>
    <w:rsid w:val="00ED5361"/>
    <w:rsid w:val="00ED5A0A"/>
    <w:rsid w:val="00ED765D"/>
    <w:rsid w:val="00ED7C1B"/>
    <w:rsid w:val="00EE0270"/>
    <w:rsid w:val="00EE241D"/>
    <w:rsid w:val="00EE4A51"/>
    <w:rsid w:val="00EE62F7"/>
    <w:rsid w:val="00EE6B75"/>
    <w:rsid w:val="00EE6FDE"/>
    <w:rsid w:val="00EF11F0"/>
    <w:rsid w:val="00EF65C6"/>
    <w:rsid w:val="00EF734C"/>
    <w:rsid w:val="00F01B0E"/>
    <w:rsid w:val="00F02D79"/>
    <w:rsid w:val="00F02E96"/>
    <w:rsid w:val="00F10831"/>
    <w:rsid w:val="00F123E6"/>
    <w:rsid w:val="00F162B2"/>
    <w:rsid w:val="00F1711B"/>
    <w:rsid w:val="00F17CAB"/>
    <w:rsid w:val="00F236D9"/>
    <w:rsid w:val="00F238C6"/>
    <w:rsid w:val="00F2653F"/>
    <w:rsid w:val="00F26DE1"/>
    <w:rsid w:val="00F32001"/>
    <w:rsid w:val="00F34287"/>
    <w:rsid w:val="00F34579"/>
    <w:rsid w:val="00F34FFF"/>
    <w:rsid w:val="00F37BC3"/>
    <w:rsid w:val="00F40CD6"/>
    <w:rsid w:val="00F40D7C"/>
    <w:rsid w:val="00F43C66"/>
    <w:rsid w:val="00F44A62"/>
    <w:rsid w:val="00F44D8D"/>
    <w:rsid w:val="00F5020D"/>
    <w:rsid w:val="00F52554"/>
    <w:rsid w:val="00F54AF3"/>
    <w:rsid w:val="00F554E1"/>
    <w:rsid w:val="00F566C8"/>
    <w:rsid w:val="00F577CD"/>
    <w:rsid w:val="00F6369E"/>
    <w:rsid w:val="00F64540"/>
    <w:rsid w:val="00F65345"/>
    <w:rsid w:val="00F65407"/>
    <w:rsid w:val="00F656CD"/>
    <w:rsid w:val="00F70572"/>
    <w:rsid w:val="00F7206A"/>
    <w:rsid w:val="00F742F5"/>
    <w:rsid w:val="00F77A4C"/>
    <w:rsid w:val="00F80791"/>
    <w:rsid w:val="00F819AC"/>
    <w:rsid w:val="00F82C2C"/>
    <w:rsid w:val="00F82D7A"/>
    <w:rsid w:val="00F83F59"/>
    <w:rsid w:val="00F842D9"/>
    <w:rsid w:val="00F8450B"/>
    <w:rsid w:val="00F848F1"/>
    <w:rsid w:val="00F87DFE"/>
    <w:rsid w:val="00F9077B"/>
    <w:rsid w:val="00F9443F"/>
    <w:rsid w:val="00F973AE"/>
    <w:rsid w:val="00FA1735"/>
    <w:rsid w:val="00FA2065"/>
    <w:rsid w:val="00FA2110"/>
    <w:rsid w:val="00FA3FE5"/>
    <w:rsid w:val="00FA63B6"/>
    <w:rsid w:val="00FA6D7B"/>
    <w:rsid w:val="00FB0386"/>
    <w:rsid w:val="00FB0F80"/>
    <w:rsid w:val="00FB45F3"/>
    <w:rsid w:val="00FB4704"/>
    <w:rsid w:val="00FC09BF"/>
    <w:rsid w:val="00FC213B"/>
    <w:rsid w:val="00FC64DF"/>
    <w:rsid w:val="00FC7E63"/>
    <w:rsid w:val="00FD0440"/>
    <w:rsid w:val="00FD21AD"/>
    <w:rsid w:val="00FD6DDB"/>
    <w:rsid w:val="00FE2AE5"/>
    <w:rsid w:val="00FE434F"/>
    <w:rsid w:val="00FE6C7E"/>
    <w:rsid w:val="00FE775B"/>
    <w:rsid w:val="00FF6B2D"/>
    <w:rsid w:val="00FF72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5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80B"/>
    <w:rPr>
      <w:rFonts w:ascii="Calibri" w:eastAsia="Calibri" w:hAnsi="Calibri" w:cs="Times New Roman"/>
      <w:lang w:val="en-US"/>
    </w:rPr>
  </w:style>
  <w:style w:type="paragraph" w:styleId="Heading1">
    <w:name w:val="heading 1"/>
    <w:basedOn w:val="Normal"/>
    <w:next w:val="Normal"/>
    <w:link w:val="Heading1Char"/>
    <w:qFormat/>
    <w:rsid w:val="00724FB5"/>
    <w:pPr>
      <w:keepNext/>
      <w:spacing w:before="960" w:after="640" w:line="240" w:lineRule="auto"/>
      <w:outlineLvl w:val="0"/>
    </w:pPr>
    <w:rPr>
      <w:rFonts w:asciiTheme="majorHAnsi" w:eastAsia="Times New Roman" w:hAnsiTheme="majorHAnsi"/>
      <w:b/>
      <w:bCs/>
      <w:color w:val="4A442A" w:themeColor="background2" w:themeShade="40"/>
      <w:kern w:val="32"/>
      <w:sz w:val="32"/>
      <w:szCs w:val="32"/>
      <w:lang w:val="es-MX"/>
    </w:rPr>
  </w:style>
  <w:style w:type="paragraph" w:styleId="Heading2">
    <w:name w:val="heading 2"/>
    <w:basedOn w:val="Normal"/>
    <w:next w:val="Normal"/>
    <w:link w:val="Heading2Char"/>
    <w:uiPriority w:val="9"/>
    <w:unhideWhenUsed/>
    <w:qFormat/>
    <w:rsid w:val="0013380B"/>
    <w:pPr>
      <w:keepNext/>
      <w:keepLines/>
      <w:numPr>
        <w:numId w:val="1"/>
      </w:numPr>
      <w:spacing w:before="480" w:after="360" w:line="240" w:lineRule="auto"/>
      <w:ind w:left="0" w:firstLine="0"/>
      <w:outlineLvl w:val="1"/>
    </w:pPr>
    <w:rPr>
      <w:rFonts w:asciiTheme="minorHAnsi" w:eastAsiaTheme="majorEastAsia" w:hAnsiTheme="minorHAnsi" w:cstheme="majorBidi"/>
      <w:b/>
      <w:i/>
      <w:sz w:val="28"/>
    </w:rPr>
  </w:style>
  <w:style w:type="paragraph" w:styleId="Heading3">
    <w:name w:val="heading 3"/>
    <w:basedOn w:val="Normal"/>
    <w:next w:val="Normal"/>
    <w:link w:val="Heading3Char"/>
    <w:uiPriority w:val="9"/>
    <w:unhideWhenUsed/>
    <w:qFormat/>
    <w:rsid w:val="001E382F"/>
    <w:pPr>
      <w:numPr>
        <w:numId w:val="6"/>
      </w:numPr>
      <w:spacing w:before="480" w:after="360" w:line="240" w:lineRule="auto"/>
      <w:ind w:left="0" w:firstLine="0"/>
      <w:outlineLvl w:val="2"/>
    </w:pPr>
    <w:rPr>
      <w:rFonts w:asciiTheme="majorHAnsi" w:hAnsiTheme="majorHAnsi"/>
      <w:b/>
      <w:sz w:val="24"/>
      <w:szCs w:val="20"/>
      <w:lang w:val="es-VE"/>
    </w:rPr>
  </w:style>
  <w:style w:type="paragraph" w:styleId="Heading4">
    <w:name w:val="heading 4"/>
    <w:basedOn w:val="Normal"/>
    <w:next w:val="Normal"/>
    <w:link w:val="Heading4Char"/>
    <w:uiPriority w:val="9"/>
    <w:unhideWhenUsed/>
    <w:qFormat/>
    <w:rsid w:val="001E382F"/>
    <w:pPr>
      <w:keepNext/>
      <w:keepLines/>
      <w:numPr>
        <w:numId w:val="9"/>
      </w:numPr>
      <w:spacing w:before="480" w:after="360" w:line="240" w:lineRule="auto"/>
      <w:ind w:left="540" w:hanging="540"/>
      <w:outlineLvl w:val="3"/>
    </w:pPr>
    <w:rPr>
      <w:rFonts w:asciiTheme="majorHAnsi" w:eastAsia="MS Gothic" w:hAnsiTheme="majorHAnsi" w:cstheme="majorBidi"/>
      <w:b/>
      <w:iCs/>
      <w:sz w:val="24"/>
      <w:szCs w:val="20"/>
      <w:lang w:val="es-VE"/>
    </w:rPr>
  </w:style>
  <w:style w:type="paragraph" w:styleId="Heading8">
    <w:name w:val="heading 8"/>
    <w:basedOn w:val="Normal"/>
    <w:next w:val="Normal"/>
    <w:link w:val="Heading8Char"/>
    <w:uiPriority w:val="9"/>
    <w:semiHidden/>
    <w:unhideWhenUsed/>
    <w:qFormat/>
    <w:rsid w:val="0013380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4FB5"/>
    <w:rPr>
      <w:rFonts w:asciiTheme="majorHAnsi" w:eastAsia="Times New Roman" w:hAnsiTheme="majorHAnsi" w:cs="Times New Roman"/>
      <w:b/>
      <w:bCs/>
      <w:color w:val="4A442A" w:themeColor="background2" w:themeShade="40"/>
      <w:kern w:val="32"/>
      <w:sz w:val="32"/>
      <w:szCs w:val="32"/>
    </w:rPr>
  </w:style>
  <w:style w:type="character" w:customStyle="1" w:styleId="Heading2Char">
    <w:name w:val="Heading 2 Char"/>
    <w:basedOn w:val="DefaultParagraphFont"/>
    <w:link w:val="Heading2"/>
    <w:uiPriority w:val="9"/>
    <w:rsid w:val="0013380B"/>
    <w:rPr>
      <w:rFonts w:eastAsiaTheme="majorEastAsia" w:cstheme="majorBidi"/>
      <w:b/>
      <w:i/>
      <w:sz w:val="28"/>
      <w:lang w:val="en-US"/>
    </w:rPr>
  </w:style>
  <w:style w:type="character" w:customStyle="1" w:styleId="Heading3Char">
    <w:name w:val="Heading 3 Char"/>
    <w:basedOn w:val="DefaultParagraphFont"/>
    <w:link w:val="Heading3"/>
    <w:uiPriority w:val="9"/>
    <w:rsid w:val="001E382F"/>
    <w:rPr>
      <w:rFonts w:asciiTheme="majorHAnsi" w:eastAsia="Calibri" w:hAnsiTheme="majorHAnsi" w:cs="Times New Roman"/>
      <w:b/>
      <w:sz w:val="24"/>
      <w:szCs w:val="20"/>
      <w:lang w:val="es-VE"/>
    </w:rPr>
  </w:style>
  <w:style w:type="character" w:customStyle="1" w:styleId="Heading4Char">
    <w:name w:val="Heading 4 Char"/>
    <w:basedOn w:val="DefaultParagraphFont"/>
    <w:link w:val="Heading4"/>
    <w:uiPriority w:val="9"/>
    <w:rsid w:val="001E382F"/>
    <w:rPr>
      <w:rFonts w:asciiTheme="majorHAnsi" w:eastAsia="MS Gothic" w:hAnsiTheme="majorHAnsi" w:cstheme="majorBidi"/>
      <w:b/>
      <w:iCs/>
      <w:sz w:val="24"/>
      <w:szCs w:val="20"/>
      <w:lang w:val="es-VE"/>
    </w:rPr>
  </w:style>
  <w:style w:type="character" w:customStyle="1" w:styleId="Heading8Char">
    <w:name w:val="Heading 8 Char"/>
    <w:basedOn w:val="DefaultParagraphFont"/>
    <w:link w:val="Heading8"/>
    <w:uiPriority w:val="9"/>
    <w:semiHidden/>
    <w:rsid w:val="0013380B"/>
    <w:rPr>
      <w:rFonts w:asciiTheme="majorHAnsi" w:eastAsiaTheme="majorEastAsia" w:hAnsiTheme="majorHAnsi" w:cstheme="majorBidi"/>
      <w:color w:val="404040" w:themeColor="text1" w:themeTint="BF"/>
      <w:sz w:val="20"/>
      <w:szCs w:val="20"/>
      <w:lang w:val="en-US"/>
    </w:rPr>
  </w:style>
  <w:style w:type="numbering" w:customStyle="1" w:styleId="NoList1">
    <w:name w:val="No List1"/>
    <w:next w:val="NoList"/>
    <w:uiPriority w:val="99"/>
    <w:semiHidden/>
    <w:unhideWhenUsed/>
    <w:rsid w:val="0013380B"/>
  </w:style>
  <w:style w:type="numbering" w:customStyle="1" w:styleId="NoList11">
    <w:name w:val="No List11"/>
    <w:next w:val="NoList"/>
    <w:uiPriority w:val="99"/>
    <w:semiHidden/>
    <w:unhideWhenUsed/>
    <w:rsid w:val="0013380B"/>
  </w:style>
  <w:style w:type="numbering" w:customStyle="1" w:styleId="NoList111">
    <w:name w:val="No List111"/>
    <w:next w:val="NoList"/>
    <w:uiPriority w:val="99"/>
    <w:semiHidden/>
    <w:unhideWhenUsed/>
    <w:rsid w:val="0013380B"/>
  </w:style>
  <w:style w:type="numbering" w:customStyle="1" w:styleId="NoList1111">
    <w:name w:val="No List1111"/>
    <w:next w:val="NoList"/>
    <w:uiPriority w:val="99"/>
    <w:semiHidden/>
    <w:unhideWhenUsed/>
    <w:rsid w:val="0013380B"/>
  </w:style>
  <w:style w:type="paragraph" w:styleId="ListParagraph">
    <w:name w:val="List Paragraph"/>
    <w:basedOn w:val="Normal"/>
    <w:link w:val="ListParagraphChar"/>
    <w:uiPriority w:val="34"/>
    <w:qFormat/>
    <w:rsid w:val="0013380B"/>
    <w:pPr>
      <w:ind w:left="720"/>
      <w:contextualSpacing/>
    </w:pPr>
    <w:rPr>
      <w:rFonts w:ascii="Cambria" w:eastAsia="Cambria" w:hAnsi="Cambria"/>
    </w:rPr>
  </w:style>
  <w:style w:type="paragraph" w:styleId="FootnoteText">
    <w:name w:val="footnote text"/>
    <w:aliases w:val="Footnote reference,FA Fu,Footnote Text Char Char Char Char Char,Footnote Text Char Char Char Char,Footnote Text Char Char Char,Footnote Text Cha,FA Fußnotentext,FA Fuﬂnotentext,Footnote Text Char Char,footnote text,Ca,f,FA Fu?notentext,f1"/>
    <w:basedOn w:val="Normal"/>
    <w:link w:val="FootnoteTextChar"/>
    <w:unhideWhenUsed/>
    <w:qFormat/>
    <w:rsid w:val="0013380B"/>
    <w:pPr>
      <w:spacing w:after="0" w:line="240" w:lineRule="auto"/>
    </w:pPr>
    <w:rPr>
      <w:rFonts w:ascii="Cambria" w:eastAsia="Cambria" w:hAnsi="Cambria"/>
      <w:sz w:val="20"/>
      <w:szCs w:val="20"/>
    </w:rPr>
  </w:style>
  <w:style w:type="character" w:customStyle="1" w:styleId="TextonotapieCar">
    <w:name w:val="Texto nota pie Car"/>
    <w:aliases w:val="FA Fu?notentext Car"/>
    <w:basedOn w:val="DefaultParagraphFont"/>
    <w:uiPriority w:val="99"/>
    <w:rsid w:val="0013380B"/>
    <w:rPr>
      <w:rFonts w:ascii="Calibri" w:eastAsia="Calibri" w:hAnsi="Calibri" w:cs="Times New Roman"/>
      <w:sz w:val="20"/>
      <w:szCs w:val="20"/>
      <w:lang w:val="en-US"/>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f Char"/>
    <w:link w:val="FootnoteText"/>
    <w:rsid w:val="0013380B"/>
    <w:rPr>
      <w:rFonts w:ascii="Cambria" w:eastAsia="Cambria" w:hAnsi="Cambria" w:cs="Times New Roman"/>
      <w:sz w:val="20"/>
      <w:szCs w:val="20"/>
      <w:lang w:val="en-US"/>
    </w:rPr>
  </w:style>
  <w:style w:type="character" w:styleId="FootnoteReference">
    <w:name w:val="footnote reference"/>
    <w:aliases w:val="Footnotes refss,Texto de nota al pie,Appel note de bas de page,referencia nota al pie,BVI fnr,Footnote number,Ref. de nota al pie.,Footnote symbol,Footnote,4_G,16 Point,Superscript 6 Point,Texto nota al pie,Footnote Reference Char3"/>
    <w:link w:val="BVIfnrCar1CarCarCarCar"/>
    <w:uiPriority w:val="99"/>
    <w:unhideWhenUsed/>
    <w:qFormat/>
    <w:rsid w:val="0013380B"/>
    <w:rPr>
      <w:vertAlign w:val="superscript"/>
    </w:rPr>
  </w:style>
  <w:style w:type="paragraph" w:styleId="BalloonText">
    <w:name w:val="Balloon Text"/>
    <w:basedOn w:val="Normal"/>
    <w:link w:val="BalloonTextChar"/>
    <w:uiPriority w:val="99"/>
    <w:semiHidden/>
    <w:unhideWhenUsed/>
    <w:rsid w:val="0013380B"/>
    <w:pPr>
      <w:spacing w:after="0" w:line="240" w:lineRule="auto"/>
    </w:pPr>
    <w:rPr>
      <w:rFonts w:ascii="Tahoma" w:eastAsia="Cambria" w:hAnsi="Tahoma" w:cs="Tahoma"/>
      <w:sz w:val="16"/>
      <w:szCs w:val="16"/>
    </w:rPr>
  </w:style>
  <w:style w:type="character" w:customStyle="1" w:styleId="BalloonTextChar">
    <w:name w:val="Balloon Text Char"/>
    <w:basedOn w:val="DefaultParagraphFont"/>
    <w:link w:val="BalloonText"/>
    <w:uiPriority w:val="99"/>
    <w:semiHidden/>
    <w:rsid w:val="0013380B"/>
    <w:rPr>
      <w:rFonts w:ascii="Tahoma" w:eastAsia="Cambria" w:hAnsi="Tahoma" w:cs="Tahoma"/>
      <w:sz w:val="16"/>
      <w:szCs w:val="16"/>
      <w:lang w:val="en-US"/>
    </w:rPr>
  </w:style>
  <w:style w:type="character" w:customStyle="1" w:styleId="apple-converted-space">
    <w:name w:val="apple-converted-space"/>
    <w:rsid w:val="0013380B"/>
  </w:style>
  <w:style w:type="paragraph" w:styleId="NormalWeb">
    <w:name w:val="Normal (Web)"/>
    <w:basedOn w:val="Normal"/>
    <w:unhideWhenUsed/>
    <w:rsid w:val="0013380B"/>
    <w:pPr>
      <w:spacing w:before="100" w:beforeAutospacing="1" w:after="100" w:afterAutospacing="1" w:line="240" w:lineRule="auto"/>
    </w:pPr>
    <w:rPr>
      <w:rFonts w:ascii="Times" w:eastAsia="MS Mincho" w:hAnsi="Times"/>
      <w:sz w:val="20"/>
      <w:szCs w:val="20"/>
      <w:lang w:val="es-ES_tradnl" w:eastAsia="es-ES"/>
    </w:rPr>
  </w:style>
  <w:style w:type="character" w:customStyle="1" w:styleId="apple-style-span">
    <w:name w:val="apple-style-span"/>
    <w:rsid w:val="0013380B"/>
  </w:style>
  <w:style w:type="paragraph" w:customStyle="1" w:styleId="Default">
    <w:name w:val="Default"/>
    <w:rsid w:val="0013380B"/>
    <w:pPr>
      <w:autoSpaceDE w:val="0"/>
      <w:autoSpaceDN w:val="0"/>
      <w:adjustRightInd w:val="0"/>
      <w:spacing w:after="0" w:line="240" w:lineRule="auto"/>
    </w:pPr>
    <w:rPr>
      <w:rFonts w:ascii="Calibri" w:eastAsia="MS Mincho" w:hAnsi="Calibri" w:cs="Calibri"/>
      <w:color w:val="000000"/>
      <w:sz w:val="24"/>
      <w:szCs w:val="24"/>
      <w:lang w:val="en-US" w:eastAsia="es-ES"/>
    </w:rPr>
  </w:style>
  <w:style w:type="paragraph" w:styleId="Header">
    <w:name w:val="header"/>
    <w:basedOn w:val="Normal"/>
    <w:link w:val="HeaderChar"/>
    <w:uiPriority w:val="99"/>
    <w:unhideWhenUsed/>
    <w:rsid w:val="0013380B"/>
    <w:pPr>
      <w:tabs>
        <w:tab w:val="center" w:pos="4680"/>
        <w:tab w:val="right" w:pos="9360"/>
      </w:tabs>
      <w:spacing w:after="0" w:line="240" w:lineRule="auto"/>
    </w:pPr>
    <w:rPr>
      <w:rFonts w:ascii="Cambria" w:eastAsia="Cambria" w:hAnsi="Cambria"/>
    </w:rPr>
  </w:style>
  <w:style w:type="character" w:customStyle="1" w:styleId="HeaderChar">
    <w:name w:val="Header Char"/>
    <w:basedOn w:val="DefaultParagraphFont"/>
    <w:link w:val="Header"/>
    <w:uiPriority w:val="99"/>
    <w:rsid w:val="0013380B"/>
    <w:rPr>
      <w:rFonts w:ascii="Cambria" w:eastAsia="Cambria" w:hAnsi="Cambria" w:cs="Times New Roman"/>
      <w:lang w:val="en-US"/>
    </w:rPr>
  </w:style>
  <w:style w:type="paragraph" w:styleId="Footer">
    <w:name w:val="footer"/>
    <w:basedOn w:val="Normal"/>
    <w:link w:val="FooterChar"/>
    <w:uiPriority w:val="99"/>
    <w:unhideWhenUsed/>
    <w:rsid w:val="0013380B"/>
    <w:pPr>
      <w:tabs>
        <w:tab w:val="center" w:pos="4680"/>
        <w:tab w:val="right" w:pos="9360"/>
      </w:tabs>
      <w:spacing w:after="0" w:line="240" w:lineRule="auto"/>
    </w:pPr>
    <w:rPr>
      <w:rFonts w:ascii="Cambria" w:eastAsia="Cambria" w:hAnsi="Cambria"/>
    </w:rPr>
  </w:style>
  <w:style w:type="character" w:customStyle="1" w:styleId="FooterChar">
    <w:name w:val="Footer Char"/>
    <w:basedOn w:val="DefaultParagraphFont"/>
    <w:link w:val="Footer"/>
    <w:uiPriority w:val="99"/>
    <w:rsid w:val="0013380B"/>
    <w:rPr>
      <w:rFonts w:ascii="Cambria" w:eastAsia="Cambria" w:hAnsi="Cambria" w:cs="Times New Roman"/>
      <w:lang w:val="en-US"/>
    </w:rPr>
  </w:style>
  <w:style w:type="character" w:styleId="Hyperlink">
    <w:name w:val="Hyperlink"/>
    <w:uiPriority w:val="99"/>
    <w:unhideWhenUsed/>
    <w:rsid w:val="0013380B"/>
    <w:rPr>
      <w:color w:val="0000FF"/>
      <w:u w:val="single"/>
    </w:rPr>
  </w:style>
  <w:style w:type="character" w:customStyle="1" w:styleId="reference-text">
    <w:name w:val="reference-text"/>
    <w:rsid w:val="0013380B"/>
  </w:style>
  <w:style w:type="character" w:styleId="HTMLCite">
    <w:name w:val="HTML Cite"/>
    <w:uiPriority w:val="99"/>
    <w:semiHidden/>
    <w:unhideWhenUsed/>
    <w:rsid w:val="0013380B"/>
    <w:rPr>
      <w:i/>
      <w:iCs/>
    </w:rPr>
  </w:style>
  <w:style w:type="character" w:customStyle="1" w:styleId="reference-accessdate">
    <w:name w:val="reference-accessdate"/>
    <w:rsid w:val="0013380B"/>
  </w:style>
  <w:style w:type="character" w:styleId="CommentReference">
    <w:name w:val="annotation reference"/>
    <w:uiPriority w:val="99"/>
    <w:semiHidden/>
    <w:unhideWhenUsed/>
    <w:rsid w:val="0013380B"/>
    <w:rPr>
      <w:sz w:val="18"/>
      <w:szCs w:val="18"/>
    </w:rPr>
  </w:style>
  <w:style w:type="paragraph" w:styleId="CommentText">
    <w:name w:val="annotation text"/>
    <w:basedOn w:val="Normal"/>
    <w:link w:val="CommentTextChar"/>
    <w:unhideWhenUsed/>
    <w:rsid w:val="0013380B"/>
    <w:pPr>
      <w:spacing w:line="240" w:lineRule="auto"/>
    </w:pPr>
    <w:rPr>
      <w:rFonts w:ascii="Cambria" w:eastAsia="Cambria" w:hAnsi="Cambria"/>
      <w:sz w:val="24"/>
      <w:szCs w:val="24"/>
    </w:rPr>
  </w:style>
  <w:style w:type="character" w:customStyle="1" w:styleId="CommentTextChar">
    <w:name w:val="Comment Text Char"/>
    <w:basedOn w:val="DefaultParagraphFont"/>
    <w:link w:val="CommentText"/>
    <w:rsid w:val="0013380B"/>
    <w:rPr>
      <w:rFonts w:ascii="Cambria" w:eastAsia="Cambria" w:hAnsi="Cambria" w:cs="Times New Roman"/>
      <w:sz w:val="24"/>
      <w:szCs w:val="24"/>
      <w:lang w:val="en-US"/>
    </w:rPr>
  </w:style>
  <w:style w:type="paragraph" w:styleId="NoSpacing">
    <w:name w:val="No Spacing"/>
    <w:uiPriority w:val="1"/>
    <w:qFormat/>
    <w:rsid w:val="0013380B"/>
    <w:pPr>
      <w:spacing w:after="0" w:line="240" w:lineRule="auto"/>
    </w:pPr>
    <w:rPr>
      <w:rFonts w:ascii="Calibri" w:eastAsia="Calibri" w:hAnsi="Calibri" w:cs="Times New Roman"/>
      <w:lang w:val="en-US"/>
    </w:rPr>
  </w:style>
  <w:style w:type="paragraph" w:styleId="CommentSubject">
    <w:name w:val="annotation subject"/>
    <w:basedOn w:val="CommentText"/>
    <w:next w:val="CommentText"/>
    <w:link w:val="CommentSubjectChar"/>
    <w:uiPriority w:val="99"/>
    <w:semiHidden/>
    <w:unhideWhenUsed/>
    <w:rsid w:val="0013380B"/>
    <w:rPr>
      <w:b/>
      <w:bCs/>
      <w:sz w:val="20"/>
      <w:szCs w:val="20"/>
    </w:rPr>
  </w:style>
  <w:style w:type="character" w:customStyle="1" w:styleId="CommentSubjectChar">
    <w:name w:val="Comment Subject Char"/>
    <w:basedOn w:val="CommentTextChar"/>
    <w:link w:val="CommentSubject"/>
    <w:uiPriority w:val="99"/>
    <w:semiHidden/>
    <w:rsid w:val="0013380B"/>
    <w:rPr>
      <w:rFonts w:ascii="Cambria" w:eastAsia="Cambria" w:hAnsi="Cambria" w:cs="Times New Roman"/>
      <w:b/>
      <w:bCs/>
      <w:sz w:val="20"/>
      <w:szCs w:val="20"/>
      <w:lang w:val="en-US"/>
    </w:rPr>
  </w:style>
  <w:style w:type="character" w:customStyle="1" w:styleId="nowrap">
    <w:name w:val="nowrap"/>
    <w:rsid w:val="0013380B"/>
  </w:style>
  <w:style w:type="character" w:customStyle="1" w:styleId="hps">
    <w:name w:val="hps"/>
    <w:rsid w:val="0013380B"/>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13380B"/>
    <w:pPr>
      <w:spacing w:before="200" w:after="160" w:line="240" w:lineRule="exact"/>
    </w:pPr>
    <w:rPr>
      <w:rFonts w:asciiTheme="minorHAnsi" w:eastAsiaTheme="minorHAnsi" w:hAnsiTheme="minorHAnsi" w:cstheme="minorBidi"/>
      <w:vertAlign w:val="superscript"/>
      <w:lang w:val="es-MX"/>
    </w:rPr>
  </w:style>
  <w:style w:type="character" w:styleId="FollowedHyperlink">
    <w:name w:val="FollowedHyperlink"/>
    <w:uiPriority w:val="99"/>
    <w:semiHidden/>
    <w:unhideWhenUsed/>
    <w:rsid w:val="0013380B"/>
    <w:rPr>
      <w:color w:val="800080"/>
      <w:u w:val="single"/>
    </w:rPr>
  </w:style>
  <w:style w:type="character" w:customStyle="1" w:styleId="nowrap1">
    <w:name w:val="nowrap1"/>
    <w:rsid w:val="0013380B"/>
  </w:style>
  <w:style w:type="character" w:styleId="Strong">
    <w:name w:val="Strong"/>
    <w:qFormat/>
    <w:rsid w:val="0013380B"/>
    <w:rPr>
      <w:b/>
      <w:bCs/>
    </w:rPr>
  </w:style>
  <w:style w:type="character" w:styleId="Emphasis">
    <w:name w:val="Emphasis"/>
    <w:uiPriority w:val="20"/>
    <w:qFormat/>
    <w:rsid w:val="0013380B"/>
    <w:rPr>
      <w:i/>
      <w:iCs/>
    </w:rPr>
  </w:style>
  <w:style w:type="character" w:customStyle="1" w:styleId="A5">
    <w:name w:val="A5"/>
    <w:uiPriority w:val="99"/>
    <w:rsid w:val="0013380B"/>
    <w:rPr>
      <w:rFonts w:cs="TradeGothic"/>
      <w:color w:val="000000"/>
      <w:sz w:val="22"/>
      <w:szCs w:val="22"/>
    </w:rPr>
  </w:style>
  <w:style w:type="character" w:customStyle="1" w:styleId="A6">
    <w:name w:val="A6"/>
    <w:uiPriority w:val="99"/>
    <w:rsid w:val="0013380B"/>
    <w:rPr>
      <w:rFonts w:cs="TradeGothic"/>
      <w:b/>
      <w:bCs/>
      <w:color w:val="000000"/>
      <w:sz w:val="12"/>
      <w:szCs w:val="12"/>
    </w:rPr>
  </w:style>
  <w:style w:type="paragraph" w:customStyle="1" w:styleId="Pa11">
    <w:name w:val="Pa1+1"/>
    <w:basedOn w:val="Default"/>
    <w:next w:val="Default"/>
    <w:uiPriority w:val="99"/>
    <w:rsid w:val="0013380B"/>
    <w:pPr>
      <w:spacing w:line="241" w:lineRule="atLeast"/>
    </w:pPr>
    <w:rPr>
      <w:rFonts w:ascii="TradeGothic Light" w:eastAsia="Calibri" w:hAnsi="TradeGothic Light" w:cs="Times New Roman"/>
      <w:color w:val="auto"/>
      <w:lang w:eastAsia="en-US"/>
    </w:rPr>
  </w:style>
  <w:style w:type="character" w:customStyle="1" w:styleId="A41">
    <w:name w:val="A4+1"/>
    <w:uiPriority w:val="99"/>
    <w:rsid w:val="0013380B"/>
    <w:rPr>
      <w:rFonts w:cs="TradeGothic Light"/>
      <w:b/>
      <w:bCs/>
      <w:color w:val="000000"/>
      <w:sz w:val="22"/>
      <w:szCs w:val="22"/>
    </w:rPr>
  </w:style>
  <w:style w:type="paragraph" w:customStyle="1" w:styleId="Pa21">
    <w:name w:val="Pa2+1"/>
    <w:basedOn w:val="Default"/>
    <w:next w:val="Default"/>
    <w:uiPriority w:val="99"/>
    <w:rsid w:val="0013380B"/>
    <w:pPr>
      <w:spacing w:line="241" w:lineRule="atLeast"/>
    </w:pPr>
    <w:rPr>
      <w:rFonts w:ascii="TradeGothic Light" w:eastAsia="Calibri" w:hAnsi="TradeGothic Light" w:cs="Times New Roman"/>
      <w:color w:val="auto"/>
      <w:lang w:eastAsia="en-US"/>
    </w:rPr>
  </w:style>
  <w:style w:type="paragraph" w:customStyle="1" w:styleId="Pa31">
    <w:name w:val="Pa3+1"/>
    <w:basedOn w:val="Default"/>
    <w:next w:val="Default"/>
    <w:uiPriority w:val="99"/>
    <w:rsid w:val="0013380B"/>
    <w:pPr>
      <w:spacing w:line="241" w:lineRule="atLeast"/>
    </w:pPr>
    <w:rPr>
      <w:rFonts w:ascii="TradeGothic Light" w:eastAsia="Calibri" w:hAnsi="TradeGothic Light" w:cs="Times New Roman"/>
      <w:color w:val="auto"/>
      <w:lang w:eastAsia="en-US"/>
    </w:rPr>
  </w:style>
  <w:style w:type="paragraph" w:customStyle="1" w:styleId="Pa71">
    <w:name w:val="Pa7+1"/>
    <w:basedOn w:val="Default"/>
    <w:next w:val="Default"/>
    <w:uiPriority w:val="99"/>
    <w:rsid w:val="0013380B"/>
    <w:pPr>
      <w:spacing w:line="241" w:lineRule="atLeast"/>
    </w:pPr>
    <w:rPr>
      <w:rFonts w:ascii="TradeGothic Light" w:eastAsia="Calibri" w:hAnsi="TradeGothic Light" w:cs="Times New Roman"/>
      <w:color w:val="auto"/>
      <w:lang w:eastAsia="en-US"/>
    </w:rPr>
  </w:style>
  <w:style w:type="character" w:customStyle="1" w:styleId="ListParagraphChar">
    <w:name w:val="List Paragraph Char"/>
    <w:link w:val="ListParagraph"/>
    <w:uiPriority w:val="34"/>
    <w:locked/>
    <w:rsid w:val="0013380B"/>
    <w:rPr>
      <w:rFonts w:ascii="Cambria" w:eastAsia="Cambria" w:hAnsi="Cambria" w:cs="Times New Roman"/>
      <w:lang w:val="en-US"/>
    </w:rPr>
  </w:style>
  <w:style w:type="paragraph" w:styleId="List">
    <w:name w:val="List"/>
    <w:basedOn w:val="Normal"/>
    <w:uiPriority w:val="99"/>
    <w:unhideWhenUsed/>
    <w:rsid w:val="0013380B"/>
    <w:pPr>
      <w:ind w:left="360" w:hanging="360"/>
      <w:contextualSpacing/>
    </w:pPr>
    <w:rPr>
      <w:rFonts w:eastAsia="MS Mincho"/>
    </w:rPr>
  </w:style>
  <w:style w:type="paragraph" w:customStyle="1" w:styleId="SingleTxtG">
    <w:name w:val="_ Single Txt_G"/>
    <w:basedOn w:val="Normal"/>
    <w:link w:val="SingleTxtGChar"/>
    <w:rsid w:val="0013380B"/>
    <w:pPr>
      <w:spacing w:after="120" w:line="240" w:lineRule="atLeast"/>
      <w:ind w:left="1134" w:right="1134"/>
      <w:jc w:val="both"/>
    </w:pPr>
    <w:rPr>
      <w:rFonts w:ascii="Times New Roman" w:eastAsia="Times New Roman" w:hAnsi="Times New Roman"/>
      <w:sz w:val="20"/>
      <w:szCs w:val="20"/>
      <w:lang w:val="es-ES" w:eastAsia="es-ES"/>
    </w:rPr>
  </w:style>
  <w:style w:type="character" w:customStyle="1" w:styleId="atn">
    <w:name w:val="atn"/>
    <w:basedOn w:val="DefaultParagraphFont"/>
    <w:rsid w:val="0013380B"/>
  </w:style>
  <w:style w:type="paragraph" w:customStyle="1" w:styleId="Body">
    <w:name w:val="Body"/>
    <w:uiPriority w:val="99"/>
    <w:rsid w:val="0013380B"/>
    <w:rPr>
      <w:rFonts w:ascii="Calibri" w:eastAsia="Arial Unicode MS" w:hAnsi="Calibri" w:cs="Calibri"/>
      <w:color w:val="000000"/>
      <w:u w:color="000000"/>
      <w:lang w:val="en-US"/>
    </w:rPr>
  </w:style>
  <w:style w:type="paragraph" w:customStyle="1" w:styleId="Normal1">
    <w:name w:val="Normal1"/>
    <w:rsid w:val="0013380B"/>
    <w:pPr>
      <w:spacing w:after="0"/>
    </w:pPr>
    <w:rPr>
      <w:rFonts w:ascii="Arial" w:eastAsia="Arial" w:hAnsi="Arial" w:cs="Arial"/>
      <w:color w:val="000000"/>
      <w:lang w:val="en-US"/>
    </w:rPr>
  </w:style>
  <w:style w:type="paragraph" w:styleId="TOCHeading">
    <w:name w:val="TOC Heading"/>
    <w:basedOn w:val="Heading1"/>
    <w:next w:val="Normal"/>
    <w:uiPriority w:val="39"/>
    <w:unhideWhenUsed/>
    <w:qFormat/>
    <w:rsid w:val="0013380B"/>
    <w:pPr>
      <w:keepLines/>
      <w:spacing w:after="0" w:line="259" w:lineRule="auto"/>
      <w:outlineLvl w:val="9"/>
    </w:pPr>
    <w:rPr>
      <w:rFonts w:eastAsiaTheme="majorEastAsia" w:cstheme="majorBidi"/>
      <w:b w:val="0"/>
      <w:bCs w:val="0"/>
      <w:color w:val="122030" w:themeColor="accent1" w:themeShade="40"/>
      <w:kern w:val="0"/>
    </w:rPr>
  </w:style>
  <w:style w:type="paragraph" w:styleId="TOC2">
    <w:name w:val="toc 2"/>
    <w:basedOn w:val="Normal"/>
    <w:next w:val="Normal"/>
    <w:autoRedefine/>
    <w:uiPriority w:val="39"/>
    <w:unhideWhenUsed/>
    <w:rsid w:val="00F64540"/>
    <w:pPr>
      <w:tabs>
        <w:tab w:val="left" w:pos="660"/>
        <w:tab w:val="right" w:pos="7560"/>
      </w:tabs>
      <w:spacing w:line="20" w:lineRule="atLeast"/>
      <w:ind w:left="360" w:hanging="360"/>
    </w:pPr>
    <w:rPr>
      <w:rFonts w:asciiTheme="majorHAnsi" w:eastAsiaTheme="majorEastAsia" w:hAnsiTheme="majorHAnsi" w:cstheme="majorBidi"/>
      <w:i/>
      <w:noProof/>
      <w:lang w:val="es-US"/>
    </w:rPr>
  </w:style>
  <w:style w:type="paragraph" w:styleId="TOC1">
    <w:name w:val="toc 1"/>
    <w:basedOn w:val="Normal"/>
    <w:next w:val="Normal"/>
    <w:autoRedefine/>
    <w:uiPriority w:val="39"/>
    <w:unhideWhenUsed/>
    <w:rsid w:val="00373E27"/>
    <w:pPr>
      <w:pBdr>
        <w:bottom w:val="single" w:sz="4" w:space="1" w:color="auto"/>
      </w:pBdr>
      <w:tabs>
        <w:tab w:val="right" w:pos="7560"/>
      </w:tabs>
      <w:spacing w:after="240" w:line="240" w:lineRule="auto"/>
      <w:ind w:left="1440" w:hanging="1440"/>
    </w:pPr>
    <w:rPr>
      <w:rFonts w:asciiTheme="majorHAnsi" w:eastAsiaTheme="minorEastAsia" w:hAnsiTheme="majorHAnsi"/>
      <w:noProof/>
      <w:lang w:val="es-US"/>
    </w:rPr>
  </w:style>
  <w:style w:type="paragraph" w:styleId="TOC3">
    <w:name w:val="toc 3"/>
    <w:basedOn w:val="Normal"/>
    <w:next w:val="Normal"/>
    <w:autoRedefine/>
    <w:uiPriority w:val="39"/>
    <w:unhideWhenUsed/>
    <w:rsid w:val="0098142F"/>
    <w:pPr>
      <w:tabs>
        <w:tab w:val="left" w:pos="660"/>
        <w:tab w:val="right" w:pos="8828"/>
      </w:tabs>
      <w:spacing w:line="20" w:lineRule="atLeast"/>
      <w:ind w:left="630" w:hanging="414"/>
      <w:contextualSpacing/>
    </w:pPr>
    <w:rPr>
      <w:rFonts w:asciiTheme="minorHAnsi" w:eastAsiaTheme="minorEastAsia" w:hAnsiTheme="minorHAnsi"/>
    </w:rPr>
  </w:style>
  <w:style w:type="paragraph" w:styleId="Title">
    <w:name w:val="Title"/>
    <w:basedOn w:val="Normal"/>
    <w:link w:val="TitleChar"/>
    <w:uiPriority w:val="10"/>
    <w:qFormat/>
    <w:rsid w:val="0013380B"/>
    <w:pPr>
      <w:spacing w:before="100" w:beforeAutospacing="1" w:after="100" w:afterAutospacing="1" w:line="240" w:lineRule="auto"/>
    </w:pPr>
    <w:rPr>
      <w:rFonts w:ascii="Times New Roman" w:eastAsia="Times New Roman" w:hAnsi="Times New Roman"/>
      <w:sz w:val="24"/>
      <w:szCs w:val="24"/>
    </w:rPr>
  </w:style>
  <w:style w:type="character" w:customStyle="1" w:styleId="TitleChar">
    <w:name w:val="Title Char"/>
    <w:basedOn w:val="DefaultParagraphFont"/>
    <w:link w:val="Title"/>
    <w:uiPriority w:val="10"/>
    <w:rsid w:val="0013380B"/>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1338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380B"/>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13380B"/>
    <w:rPr>
      <w:vertAlign w:val="superscript"/>
    </w:rPr>
  </w:style>
  <w:style w:type="paragraph" w:styleId="HTMLPreformatted">
    <w:name w:val="HTML Preformatted"/>
    <w:basedOn w:val="Normal"/>
    <w:link w:val="HTMLPreformattedChar"/>
    <w:uiPriority w:val="99"/>
    <w:unhideWhenUsed/>
    <w:rsid w:val="0013380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13380B"/>
    <w:rPr>
      <w:rFonts w:ascii="Consolas" w:eastAsia="Calibri" w:hAnsi="Consolas" w:cs="Times New Roman"/>
      <w:sz w:val="20"/>
      <w:szCs w:val="20"/>
      <w:lang w:val="en-US"/>
    </w:rPr>
  </w:style>
  <w:style w:type="character" w:customStyle="1" w:styleId="contenttext">
    <w:name w:val="contenttext"/>
    <w:basedOn w:val="DefaultParagraphFont"/>
    <w:rsid w:val="0013380B"/>
  </w:style>
  <w:style w:type="character" w:customStyle="1" w:styleId="SingleTxtGChar">
    <w:name w:val="_ Single Txt_G Char"/>
    <w:link w:val="SingleTxtG"/>
    <w:rsid w:val="0013380B"/>
    <w:rPr>
      <w:rFonts w:ascii="Times New Roman" w:eastAsia="Times New Roman" w:hAnsi="Times New Roman" w:cs="Times New Roman"/>
      <w:sz w:val="20"/>
      <w:szCs w:val="20"/>
      <w:lang w:val="es-ES" w:eastAsia="es-ES"/>
    </w:rPr>
  </w:style>
  <w:style w:type="character" w:styleId="HTMLTypewriter">
    <w:name w:val="HTML Typewriter"/>
    <w:basedOn w:val="DefaultParagraphFont"/>
    <w:rsid w:val="0013380B"/>
    <w:rPr>
      <w:rFonts w:ascii="Courier New" w:eastAsia="Times New Roman" w:hAnsi="Courier New" w:cs="Courier New"/>
      <w:sz w:val="20"/>
      <w:szCs w:val="20"/>
    </w:rPr>
  </w:style>
  <w:style w:type="paragraph" w:styleId="Revision">
    <w:name w:val="Revision"/>
    <w:hidden/>
    <w:uiPriority w:val="99"/>
    <w:semiHidden/>
    <w:rsid w:val="0013380B"/>
    <w:pPr>
      <w:spacing w:after="0" w:line="240" w:lineRule="auto"/>
    </w:pPr>
    <w:rPr>
      <w:rFonts w:ascii="Calibri" w:eastAsia="Calibri" w:hAnsi="Calibri" w:cs="Times New Roman"/>
      <w:lang w:val="en-US"/>
    </w:rPr>
  </w:style>
  <w:style w:type="character" w:styleId="PageNumber">
    <w:name w:val="page number"/>
    <w:basedOn w:val="DefaultParagraphFont"/>
    <w:uiPriority w:val="99"/>
    <w:semiHidden/>
    <w:unhideWhenUsed/>
    <w:rsid w:val="0013380B"/>
  </w:style>
  <w:style w:type="character" w:customStyle="1" w:styleId="UnresolvedMention1">
    <w:name w:val="Unresolved Mention1"/>
    <w:basedOn w:val="DefaultParagraphFont"/>
    <w:uiPriority w:val="99"/>
    <w:semiHidden/>
    <w:unhideWhenUsed/>
    <w:rsid w:val="0013380B"/>
    <w:rPr>
      <w:color w:val="808080"/>
      <w:shd w:val="clear" w:color="auto" w:fill="E6E6E6"/>
    </w:rPr>
  </w:style>
  <w:style w:type="paragraph" w:styleId="TOC4">
    <w:name w:val="toc 4"/>
    <w:basedOn w:val="Normal"/>
    <w:next w:val="Normal"/>
    <w:autoRedefine/>
    <w:uiPriority w:val="39"/>
    <w:unhideWhenUsed/>
    <w:rsid w:val="0098142F"/>
    <w:pPr>
      <w:tabs>
        <w:tab w:val="left" w:pos="1100"/>
        <w:tab w:val="right" w:pos="8828"/>
      </w:tabs>
      <w:spacing w:after="100"/>
      <w:ind w:left="1080" w:hanging="420"/>
    </w:pPr>
  </w:style>
  <w:style w:type="character" w:customStyle="1" w:styleId="UnresolvedMention2">
    <w:name w:val="Unresolved Mention2"/>
    <w:basedOn w:val="DefaultParagraphFont"/>
    <w:uiPriority w:val="99"/>
    <w:semiHidden/>
    <w:unhideWhenUsed/>
    <w:rsid w:val="0013380B"/>
    <w:rPr>
      <w:color w:val="808080"/>
      <w:shd w:val="clear" w:color="auto" w:fill="E6E6E6"/>
    </w:rPr>
  </w:style>
  <w:style w:type="character" w:customStyle="1" w:styleId="UnresolvedMention3">
    <w:name w:val="Unresolved Mention3"/>
    <w:basedOn w:val="DefaultParagraphFont"/>
    <w:uiPriority w:val="99"/>
    <w:semiHidden/>
    <w:unhideWhenUsed/>
    <w:rsid w:val="0013380B"/>
    <w:rPr>
      <w:color w:val="808080"/>
      <w:shd w:val="clear" w:color="auto" w:fill="E6E6E6"/>
    </w:rPr>
  </w:style>
  <w:style w:type="character" w:customStyle="1" w:styleId="UnresolvedMention4">
    <w:name w:val="Unresolved Mention4"/>
    <w:basedOn w:val="DefaultParagraphFont"/>
    <w:uiPriority w:val="99"/>
    <w:semiHidden/>
    <w:unhideWhenUsed/>
    <w:rsid w:val="0013380B"/>
    <w:rPr>
      <w:color w:val="808080"/>
      <w:shd w:val="clear" w:color="auto" w:fill="E6E6E6"/>
    </w:rPr>
  </w:style>
  <w:style w:type="character" w:customStyle="1" w:styleId="UnresolvedMention5">
    <w:name w:val="Unresolved Mention5"/>
    <w:basedOn w:val="DefaultParagraphFont"/>
    <w:uiPriority w:val="99"/>
    <w:semiHidden/>
    <w:unhideWhenUsed/>
    <w:rsid w:val="0013380B"/>
    <w:rPr>
      <w:color w:val="808080"/>
      <w:shd w:val="clear" w:color="auto" w:fill="E6E6E6"/>
    </w:rPr>
  </w:style>
  <w:style w:type="character" w:customStyle="1" w:styleId="UnresolvedMention6">
    <w:name w:val="Unresolved Mention6"/>
    <w:basedOn w:val="DefaultParagraphFont"/>
    <w:uiPriority w:val="99"/>
    <w:semiHidden/>
    <w:unhideWhenUsed/>
    <w:rsid w:val="0013380B"/>
    <w:rPr>
      <w:color w:val="808080"/>
      <w:shd w:val="clear" w:color="auto" w:fill="E6E6E6"/>
    </w:rPr>
  </w:style>
  <w:style w:type="character" w:customStyle="1" w:styleId="UnresolvedMention7">
    <w:name w:val="Unresolved Mention7"/>
    <w:basedOn w:val="DefaultParagraphFont"/>
    <w:uiPriority w:val="99"/>
    <w:semiHidden/>
    <w:unhideWhenUsed/>
    <w:rsid w:val="0013380B"/>
    <w:rPr>
      <w:color w:val="808080"/>
      <w:shd w:val="clear" w:color="auto" w:fill="E6E6E6"/>
    </w:rPr>
  </w:style>
  <w:style w:type="character" w:customStyle="1" w:styleId="UnresolvedMention8">
    <w:name w:val="Unresolved Mention8"/>
    <w:basedOn w:val="DefaultParagraphFont"/>
    <w:uiPriority w:val="99"/>
    <w:semiHidden/>
    <w:unhideWhenUsed/>
    <w:rsid w:val="0013380B"/>
    <w:rPr>
      <w:color w:val="808080"/>
      <w:shd w:val="clear" w:color="auto" w:fill="E6E6E6"/>
    </w:rPr>
  </w:style>
  <w:style w:type="character" w:customStyle="1" w:styleId="Hyperlink6">
    <w:name w:val="Hyperlink.6"/>
    <w:basedOn w:val="DefaultParagraphFont"/>
    <w:rsid w:val="0013380B"/>
    <w:rPr>
      <w:rFonts w:ascii="Cambria" w:eastAsia="Cambria" w:hAnsi="Cambria" w:cs="Cambria"/>
      <w:i/>
      <w:iCs/>
      <w:color w:val="0000FF"/>
      <w:sz w:val="16"/>
      <w:szCs w:val="16"/>
      <w:u w:val="single" w:color="0000FF"/>
    </w:rPr>
  </w:style>
  <w:style w:type="numbering" w:customStyle="1" w:styleId="NoList2">
    <w:name w:val="No List2"/>
    <w:next w:val="NoList"/>
    <w:uiPriority w:val="99"/>
    <w:semiHidden/>
    <w:unhideWhenUsed/>
    <w:rsid w:val="006E177E"/>
  </w:style>
  <w:style w:type="numbering" w:customStyle="1" w:styleId="NoList12">
    <w:name w:val="No List12"/>
    <w:next w:val="NoList"/>
    <w:uiPriority w:val="99"/>
    <w:semiHidden/>
    <w:unhideWhenUsed/>
    <w:rsid w:val="006E177E"/>
  </w:style>
  <w:style w:type="numbering" w:customStyle="1" w:styleId="NoList112">
    <w:name w:val="No List112"/>
    <w:next w:val="NoList"/>
    <w:uiPriority w:val="99"/>
    <w:semiHidden/>
    <w:unhideWhenUsed/>
    <w:rsid w:val="006E177E"/>
  </w:style>
  <w:style w:type="numbering" w:customStyle="1" w:styleId="NoList1112">
    <w:name w:val="No List1112"/>
    <w:next w:val="NoList"/>
    <w:uiPriority w:val="99"/>
    <w:semiHidden/>
    <w:unhideWhenUsed/>
    <w:rsid w:val="006E177E"/>
  </w:style>
  <w:style w:type="numbering" w:customStyle="1" w:styleId="NoList11111">
    <w:name w:val="No List11111"/>
    <w:next w:val="NoList"/>
    <w:uiPriority w:val="99"/>
    <w:semiHidden/>
    <w:unhideWhenUsed/>
    <w:rsid w:val="006E177E"/>
  </w:style>
  <w:style w:type="paragraph" w:customStyle="1" w:styleId="Subtitle1">
    <w:name w:val="Subtitle1"/>
    <w:basedOn w:val="Normal"/>
    <w:next w:val="Normal"/>
    <w:uiPriority w:val="11"/>
    <w:qFormat/>
    <w:rsid w:val="006E177E"/>
    <w:pPr>
      <w:numPr>
        <w:ilvl w:val="1"/>
      </w:numPr>
    </w:pPr>
    <w:rPr>
      <w:rFonts w:eastAsia="MS Gothic"/>
      <w:i/>
      <w:iCs/>
      <w:color w:val="4F81BD"/>
      <w:spacing w:val="15"/>
      <w:sz w:val="24"/>
      <w:szCs w:val="24"/>
    </w:rPr>
  </w:style>
  <w:style w:type="character" w:customStyle="1" w:styleId="SubtitleChar">
    <w:name w:val="Subtitle Char"/>
    <w:basedOn w:val="DefaultParagraphFont"/>
    <w:link w:val="Subtitle"/>
    <w:uiPriority w:val="11"/>
    <w:rsid w:val="006E177E"/>
    <w:rPr>
      <w:rFonts w:ascii="Calibri" w:eastAsia="MS Gothic" w:hAnsi="Calibri" w:cs="Times New Roman"/>
      <w:i/>
      <w:iCs/>
      <w:color w:val="4F81BD"/>
      <w:spacing w:val="15"/>
      <w:lang w:val="en-US" w:eastAsia="en-US"/>
    </w:rPr>
  </w:style>
  <w:style w:type="character" w:customStyle="1" w:styleId="SubtleEmphasis1">
    <w:name w:val="Subtle Emphasis1"/>
    <w:basedOn w:val="DefaultParagraphFont"/>
    <w:uiPriority w:val="19"/>
    <w:qFormat/>
    <w:rsid w:val="006E177E"/>
    <w:rPr>
      <w:i/>
      <w:iCs/>
      <w:color w:val="808080"/>
    </w:rPr>
  </w:style>
  <w:style w:type="paragraph" w:customStyle="1" w:styleId="Quote1">
    <w:name w:val="Quote1"/>
    <w:basedOn w:val="Normal"/>
    <w:next w:val="Normal"/>
    <w:uiPriority w:val="29"/>
    <w:qFormat/>
    <w:rsid w:val="006E177E"/>
    <w:rPr>
      <w:i/>
      <w:iCs/>
      <w:color w:val="000000"/>
    </w:rPr>
  </w:style>
  <w:style w:type="character" w:customStyle="1" w:styleId="QuoteChar">
    <w:name w:val="Quote Char"/>
    <w:basedOn w:val="DefaultParagraphFont"/>
    <w:link w:val="Quote"/>
    <w:uiPriority w:val="29"/>
    <w:rsid w:val="006E177E"/>
    <w:rPr>
      <w:rFonts w:ascii="Calibri" w:eastAsia="Calibri" w:hAnsi="Calibri" w:cs="Times New Roman"/>
      <w:i/>
      <w:iCs/>
      <w:color w:val="000000"/>
      <w:sz w:val="22"/>
      <w:szCs w:val="22"/>
      <w:lang w:val="en-US" w:eastAsia="en-US"/>
    </w:rPr>
  </w:style>
  <w:style w:type="paragraph" w:customStyle="1" w:styleId="Footnotes">
    <w:name w:val="Footnotes"/>
    <w:basedOn w:val="FootnoteText"/>
    <w:qFormat/>
    <w:rsid w:val="006E177E"/>
    <w:pPr>
      <w:spacing w:after="120"/>
      <w:ind w:firstLine="720"/>
      <w:jc w:val="both"/>
    </w:pPr>
    <w:rPr>
      <w:rFonts w:eastAsia="Calibri"/>
      <w:sz w:val="18"/>
      <w:szCs w:val="18"/>
      <w:u w:color="000000"/>
    </w:rPr>
  </w:style>
  <w:style w:type="paragraph" w:styleId="Subtitle">
    <w:name w:val="Subtitle"/>
    <w:basedOn w:val="Normal"/>
    <w:next w:val="Normal"/>
    <w:link w:val="SubtitleChar"/>
    <w:uiPriority w:val="11"/>
    <w:qFormat/>
    <w:rsid w:val="006E177E"/>
    <w:pPr>
      <w:numPr>
        <w:ilvl w:val="1"/>
      </w:numPr>
    </w:pPr>
    <w:rPr>
      <w:rFonts w:eastAsia="MS Gothic"/>
      <w:i/>
      <w:iCs/>
      <w:color w:val="4F81BD"/>
      <w:spacing w:val="15"/>
    </w:rPr>
  </w:style>
  <w:style w:type="character" w:customStyle="1" w:styleId="SubtitleChar1">
    <w:name w:val="Subtitle Char1"/>
    <w:basedOn w:val="DefaultParagraphFont"/>
    <w:uiPriority w:val="11"/>
    <w:rsid w:val="006E177E"/>
    <w:rPr>
      <w:rFonts w:asciiTheme="majorHAnsi" w:eastAsiaTheme="majorEastAsia" w:hAnsiTheme="majorHAnsi" w:cstheme="majorBidi"/>
      <w:i/>
      <w:iCs/>
      <w:color w:val="4F81BD" w:themeColor="accent1"/>
      <w:spacing w:val="15"/>
      <w:sz w:val="24"/>
      <w:szCs w:val="24"/>
      <w:lang w:val="en-US"/>
    </w:rPr>
  </w:style>
  <w:style w:type="character" w:styleId="SubtleEmphasis">
    <w:name w:val="Subtle Emphasis"/>
    <w:basedOn w:val="DefaultParagraphFont"/>
    <w:uiPriority w:val="19"/>
    <w:qFormat/>
    <w:rsid w:val="006E177E"/>
    <w:rPr>
      <w:i/>
      <w:iCs/>
      <w:color w:val="808080" w:themeColor="text1" w:themeTint="7F"/>
    </w:rPr>
  </w:style>
  <w:style w:type="paragraph" w:styleId="Quote">
    <w:name w:val="Quote"/>
    <w:basedOn w:val="Normal"/>
    <w:next w:val="Normal"/>
    <w:link w:val="QuoteChar"/>
    <w:uiPriority w:val="29"/>
    <w:qFormat/>
    <w:rsid w:val="006E177E"/>
    <w:rPr>
      <w:i/>
      <w:iCs/>
      <w:color w:val="000000"/>
    </w:rPr>
  </w:style>
  <w:style w:type="character" w:customStyle="1" w:styleId="QuoteChar1">
    <w:name w:val="Quote Char1"/>
    <w:basedOn w:val="DefaultParagraphFont"/>
    <w:uiPriority w:val="29"/>
    <w:rsid w:val="006E177E"/>
    <w:rPr>
      <w:rFonts w:ascii="Calibri" w:eastAsia="Calibri" w:hAnsi="Calibri" w:cs="Times New Roman"/>
      <w:i/>
      <w:iCs/>
      <w:color w:val="000000" w:themeColor="text1"/>
      <w:lang w:val="en-US"/>
    </w:rPr>
  </w:style>
  <w:style w:type="character" w:customStyle="1" w:styleId="UnresolvedMention">
    <w:name w:val="Unresolved Mention"/>
    <w:basedOn w:val="DefaultParagraphFont"/>
    <w:uiPriority w:val="99"/>
    <w:semiHidden/>
    <w:unhideWhenUsed/>
    <w:rsid w:val="004B2B68"/>
    <w:rPr>
      <w:color w:val="605E5C"/>
      <w:shd w:val="clear" w:color="auto" w:fill="E1DFDD"/>
    </w:rPr>
  </w:style>
  <w:style w:type="table" w:styleId="TableGrid">
    <w:name w:val="Table Grid"/>
    <w:basedOn w:val="TableNormal"/>
    <w:uiPriority w:val="99"/>
    <w:rsid w:val="00E22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2">
    <w:name w:val="CAP 2"/>
    <w:basedOn w:val="Heading1"/>
    <w:link w:val="CAP2Char"/>
    <w:qFormat/>
    <w:rsid w:val="004D711A"/>
    <w:pPr>
      <w:spacing w:before="0" w:after="0"/>
      <w:jc w:val="center"/>
    </w:pPr>
    <w:rPr>
      <w:b w:val="0"/>
      <w:sz w:val="52"/>
      <w:szCs w:val="52"/>
    </w:rPr>
  </w:style>
  <w:style w:type="character" w:customStyle="1" w:styleId="CAP2Char">
    <w:name w:val="CAP 2 Char"/>
    <w:basedOn w:val="Heading1Char"/>
    <w:link w:val="CAP2"/>
    <w:rsid w:val="004D711A"/>
    <w:rPr>
      <w:rFonts w:asciiTheme="majorHAnsi" w:eastAsia="Times New Roman" w:hAnsiTheme="majorHAnsi" w:cs="Times New Roman"/>
      <w:b w:val="0"/>
      <w:bCs/>
      <w:color w:val="4A442A" w:themeColor="background2" w:themeShade="40"/>
      <w:kern w:val="32"/>
      <w:sz w:val="52"/>
      <w:szCs w:val="52"/>
    </w:rPr>
  </w:style>
  <w:style w:type="paragraph" w:customStyle="1" w:styleId="CAP1">
    <w:name w:val="CAP 1"/>
    <w:basedOn w:val="CAP2"/>
    <w:link w:val="CAP1Char"/>
    <w:qFormat/>
    <w:rsid w:val="004D711A"/>
    <w:rPr>
      <w:color w:val="808080" w:themeColor="background1" w:themeShade="80"/>
      <w:sz w:val="44"/>
      <w:szCs w:val="44"/>
    </w:rPr>
  </w:style>
  <w:style w:type="character" w:customStyle="1" w:styleId="CAP1Char">
    <w:name w:val="CAP 1 Char"/>
    <w:basedOn w:val="CAP2Char"/>
    <w:link w:val="CAP1"/>
    <w:rsid w:val="004D711A"/>
    <w:rPr>
      <w:rFonts w:asciiTheme="majorHAnsi" w:eastAsia="Times New Roman" w:hAnsiTheme="majorHAnsi" w:cs="Times New Roman"/>
      <w:b w:val="0"/>
      <w:bCs/>
      <w:color w:val="808080" w:themeColor="background1" w:themeShade="80"/>
      <w:kern w:val="32"/>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4601">
      <w:bodyDiv w:val="1"/>
      <w:marLeft w:val="0"/>
      <w:marRight w:val="0"/>
      <w:marTop w:val="0"/>
      <w:marBottom w:val="0"/>
      <w:divBdr>
        <w:top w:val="none" w:sz="0" w:space="0" w:color="auto"/>
        <w:left w:val="none" w:sz="0" w:space="0" w:color="auto"/>
        <w:bottom w:val="none" w:sz="0" w:space="0" w:color="auto"/>
        <w:right w:val="none" w:sz="0" w:space="0" w:color="auto"/>
      </w:divBdr>
    </w:div>
    <w:div w:id="9381356">
      <w:bodyDiv w:val="1"/>
      <w:marLeft w:val="0"/>
      <w:marRight w:val="0"/>
      <w:marTop w:val="0"/>
      <w:marBottom w:val="0"/>
      <w:divBdr>
        <w:top w:val="none" w:sz="0" w:space="0" w:color="auto"/>
        <w:left w:val="none" w:sz="0" w:space="0" w:color="auto"/>
        <w:bottom w:val="none" w:sz="0" w:space="0" w:color="auto"/>
        <w:right w:val="none" w:sz="0" w:space="0" w:color="auto"/>
      </w:divBdr>
    </w:div>
    <w:div w:id="16782755">
      <w:bodyDiv w:val="1"/>
      <w:marLeft w:val="0"/>
      <w:marRight w:val="0"/>
      <w:marTop w:val="0"/>
      <w:marBottom w:val="0"/>
      <w:divBdr>
        <w:top w:val="none" w:sz="0" w:space="0" w:color="auto"/>
        <w:left w:val="none" w:sz="0" w:space="0" w:color="auto"/>
        <w:bottom w:val="none" w:sz="0" w:space="0" w:color="auto"/>
        <w:right w:val="none" w:sz="0" w:space="0" w:color="auto"/>
      </w:divBdr>
    </w:div>
    <w:div w:id="19166520">
      <w:bodyDiv w:val="1"/>
      <w:marLeft w:val="0"/>
      <w:marRight w:val="0"/>
      <w:marTop w:val="0"/>
      <w:marBottom w:val="0"/>
      <w:divBdr>
        <w:top w:val="none" w:sz="0" w:space="0" w:color="auto"/>
        <w:left w:val="none" w:sz="0" w:space="0" w:color="auto"/>
        <w:bottom w:val="none" w:sz="0" w:space="0" w:color="auto"/>
        <w:right w:val="none" w:sz="0" w:space="0" w:color="auto"/>
      </w:divBdr>
    </w:div>
    <w:div w:id="21900538">
      <w:bodyDiv w:val="1"/>
      <w:marLeft w:val="0"/>
      <w:marRight w:val="0"/>
      <w:marTop w:val="0"/>
      <w:marBottom w:val="0"/>
      <w:divBdr>
        <w:top w:val="none" w:sz="0" w:space="0" w:color="auto"/>
        <w:left w:val="none" w:sz="0" w:space="0" w:color="auto"/>
        <w:bottom w:val="none" w:sz="0" w:space="0" w:color="auto"/>
        <w:right w:val="none" w:sz="0" w:space="0" w:color="auto"/>
      </w:divBdr>
    </w:div>
    <w:div w:id="42682266">
      <w:bodyDiv w:val="1"/>
      <w:marLeft w:val="0"/>
      <w:marRight w:val="0"/>
      <w:marTop w:val="0"/>
      <w:marBottom w:val="0"/>
      <w:divBdr>
        <w:top w:val="none" w:sz="0" w:space="0" w:color="auto"/>
        <w:left w:val="none" w:sz="0" w:space="0" w:color="auto"/>
        <w:bottom w:val="none" w:sz="0" w:space="0" w:color="auto"/>
        <w:right w:val="none" w:sz="0" w:space="0" w:color="auto"/>
      </w:divBdr>
    </w:div>
    <w:div w:id="45496403">
      <w:bodyDiv w:val="1"/>
      <w:marLeft w:val="0"/>
      <w:marRight w:val="0"/>
      <w:marTop w:val="0"/>
      <w:marBottom w:val="0"/>
      <w:divBdr>
        <w:top w:val="none" w:sz="0" w:space="0" w:color="auto"/>
        <w:left w:val="none" w:sz="0" w:space="0" w:color="auto"/>
        <w:bottom w:val="none" w:sz="0" w:space="0" w:color="auto"/>
        <w:right w:val="none" w:sz="0" w:space="0" w:color="auto"/>
      </w:divBdr>
    </w:div>
    <w:div w:id="60832653">
      <w:bodyDiv w:val="1"/>
      <w:marLeft w:val="0"/>
      <w:marRight w:val="0"/>
      <w:marTop w:val="0"/>
      <w:marBottom w:val="0"/>
      <w:divBdr>
        <w:top w:val="none" w:sz="0" w:space="0" w:color="auto"/>
        <w:left w:val="none" w:sz="0" w:space="0" w:color="auto"/>
        <w:bottom w:val="none" w:sz="0" w:space="0" w:color="auto"/>
        <w:right w:val="none" w:sz="0" w:space="0" w:color="auto"/>
      </w:divBdr>
      <w:divsChild>
        <w:div w:id="2119833605">
          <w:marLeft w:val="0"/>
          <w:marRight w:val="0"/>
          <w:marTop w:val="0"/>
          <w:marBottom w:val="0"/>
          <w:divBdr>
            <w:top w:val="none" w:sz="0" w:space="0" w:color="auto"/>
            <w:left w:val="none" w:sz="0" w:space="0" w:color="auto"/>
            <w:bottom w:val="none" w:sz="0" w:space="0" w:color="auto"/>
            <w:right w:val="none" w:sz="0" w:space="0" w:color="auto"/>
          </w:divBdr>
        </w:div>
      </w:divsChild>
    </w:div>
    <w:div w:id="92216034">
      <w:bodyDiv w:val="1"/>
      <w:marLeft w:val="0"/>
      <w:marRight w:val="0"/>
      <w:marTop w:val="0"/>
      <w:marBottom w:val="0"/>
      <w:divBdr>
        <w:top w:val="none" w:sz="0" w:space="0" w:color="auto"/>
        <w:left w:val="none" w:sz="0" w:space="0" w:color="auto"/>
        <w:bottom w:val="none" w:sz="0" w:space="0" w:color="auto"/>
        <w:right w:val="none" w:sz="0" w:space="0" w:color="auto"/>
      </w:divBdr>
    </w:div>
    <w:div w:id="103421655">
      <w:bodyDiv w:val="1"/>
      <w:marLeft w:val="0"/>
      <w:marRight w:val="0"/>
      <w:marTop w:val="0"/>
      <w:marBottom w:val="0"/>
      <w:divBdr>
        <w:top w:val="none" w:sz="0" w:space="0" w:color="auto"/>
        <w:left w:val="none" w:sz="0" w:space="0" w:color="auto"/>
        <w:bottom w:val="none" w:sz="0" w:space="0" w:color="auto"/>
        <w:right w:val="none" w:sz="0" w:space="0" w:color="auto"/>
      </w:divBdr>
    </w:div>
    <w:div w:id="108399145">
      <w:bodyDiv w:val="1"/>
      <w:marLeft w:val="0"/>
      <w:marRight w:val="0"/>
      <w:marTop w:val="0"/>
      <w:marBottom w:val="0"/>
      <w:divBdr>
        <w:top w:val="none" w:sz="0" w:space="0" w:color="auto"/>
        <w:left w:val="none" w:sz="0" w:space="0" w:color="auto"/>
        <w:bottom w:val="none" w:sz="0" w:space="0" w:color="auto"/>
        <w:right w:val="none" w:sz="0" w:space="0" w:color="auto"/>
      </w:divBdr>
    </w:div>
    <w:div w:id="110514031">
      <w:bodyDiv w:val="1"/>
      <w:marLeft w:val="0"/>
      <w:marRight w:val="0"/>
      <w:marTop w:val="0"/>
      <w:marBottom w:val="0"/>
      <w:divBdr>
        <w:top w:val="none" w:sz="0" w:space="0" w:color="auto"/>
        <w:left w:val="none" w:sz="0" w:space="0" w:color="auto"/>
        <w:bottom w:val="none" w:sz="0" w:space="0" w:color="auto"/>
        <w:right w:val="none" w:sz="0" w:space="0" w:color="auto"/>
      </w:divBdr>
    </w:div>
    <w:div w:id="125969795">
      <w:bodyDiv w:val="1"/>
      <w:marLeft w:val="0"/>
      <w:marRight w:val="0"/>
      <w:marTop w:val="0"/>
      <w:marBottom w:val="0"/>
      <w:divBdr>
        <w:top w:val="none" w:sz="0" w:space="0" w:color="auto"/>
        <w:left w:val="none" w:sz="0" w:space="0" w:color="auto"/>
        <w:bottom w:val="none" w:sz="0" w:space="0" w:color="auto"/>
        <w:right w:val="none" w:sz="0" w:space="0" w:color="auto"/>
      </w:divBdr>
    </w:div>
    <w:div w:id="128862394">
      <w:bodyDiv w:val="1"/>
      <w:marLeft w:val="0"/>
      <w:marRight w:val="0"/>
      <w:marTop w:val="0"/>
      <w:marBottom w:val="0"/>
      <w:divBdr>
        <w:top w:val="none" w:sz="0" w:space="0" w:color="auto"/>
        <w:left w:val="none" w:sz="0" w:space="0" w:color="auto"/>
        <w:bottom w:val="none" w:sz="0" w:space="0" w:color="auto"/>
        <w:right w:val="none" w:sz="0" w:space="0" w:color="auto"/>
      </w:divBdr>
    </w:div>
    <w:div w:id="132061059">
      <w:bodyDiv w:val="1"/>
      <w:marLeft w:val="0"/>
      <w:marRight w:val="0"/>
      <w:marTop w:val="0"/>
      <w:marBottom w:val="0"/>
      <w:divBdr>
        <w:top w:val="none" w:sz="0" w:space="0" w:color="auto"/>
        <w:left w:val="none" w:sz="0" w:space="0" w:color="auto"/>
        <w:bottom w:val="none" w:sz="0" w:space="0" w:color="auto"/>
        <w:right w:val="none" w:sz="0" w:space="0" w:color="auto"/>
      </w:divBdr>
    </w:div>
    <w:div w:id="178782853">
      <w:bodyDiv w:val="1"/>
      <w:marLeft w:val="0"/>
      <w:marRight w:val="0"/>
      <w:marTop w:val="0"/>
      <w:marBottom w:val="0"/>
      <w:divBdr>
        <w:top w:val="none" w:sz="0" w:space="0" w:color="auto"/>
        <w:left w:val="none" w:sz="0" w:space="0" w:color="auto"/>
        <w:bottom w:val="none" w:sz="0" w:space="0" w:color="auto"/>
        <w:right w:val="none" w:sz="0" w:space="0" w:color="auto"/>
      </w:divBdr>
    </w:div>
    <w:div w:id="190194201">
      <w:bodyDiv w:val="1"/>
      <w:marLeft w:val="0"/>
      <w:marRight w:val="0"/>
      <w:marTop w:val="0"/>
      <w:marBottom w:val="0"/>
      <w:divBdr>
        <w:top w:val="none" w:sz="0" w:space="0" w:color="auto"/>
        <w:left w:val="none" w:sz="0" w:space="0" w:color="auto"/>
        <w:bottom w:val="none" w:sz="0" w:space="0" w:color="auto"/>
        <w:right w:val="none" w:sz="0" w:space="0" w:color="auto"/>
      </w:divBdr>
    </w:div>
    <w:div w:id="208541130">
      <w:bodyDiv w:val="1"/>
      <w:marLeft w:val="0"/>
      <w:marRight w:val="0"/>
      <w:marTop w:val="0"/>
      <w:marBottom w:val="0"/>
      <w:divBdr>
        <w:top w:val="none" w:sz="0" w:space="0" w:color="auto"/>
        <w:left w:val="none" w:sz="0" w:space="0" w:color="auto"/>
        <w:bottom w:val="none" w:sz="0" w:space="0" w:color="auto"/>
        <w:right w:val="none" w:sz="0" w:space="0" w:color="auto"/>
      </w:divBdr>
    </w:div>
    <w:div w:id="271205287">
      <w:bodyDiv w:val="1"/>
      <w:marLeft w:val="0"/>
      <w:marRight w:val="0"/>
      <w:marTop w:val="0"/>
      <w:marBottom w:val="0"/>
      <w:divBdr>
        <w:top w:val="none" w:sz="0" w:space="0" w:color="auto"/>
        <w:left w:val="none" w:sz="0" w:space="0" w:color="auto"/>
        <w:bottom w:val="none" w:sz="0" w:space="0" w:color="auto"/>
        <w:right w:val="none" w:sz="0" w:space="0" w:color="auto"/>
      </w:divBdr>
    </w:div>
    <w:div w:id="284894988">
      <w:bodyDiv w:val="1"/>
      <w:marLeft w:val="0"/>
      <w:marRight w:val="0"/>
      <w:marTop w:val="0"/>
      <w:marBottom w:val="0"/>
      <w:divBdr>
        <w:top w:val="none" w:sz="0" w:space="0" w:color="auto"/>
        <w:left w:val="none" w:sz="0" w:space="0" w:color="auto"/>
        <w:bottom w:val="none" w:sz="0" w:space="0" w:color="auto"/>
        <w:right w:val="none" w:sz="0" w:space="0" w:color="auto"/>
      </w:divBdr>
    </w:div>
    <w:div w:id="293683281">
      <w:bodyDiv w:val="1"/>
      <w:marLeft w:val="0"/>
      <w:marRight w:val="0"/>
      <w:marTop w:val="0"/>
      <w:marBottom w:val="0"/>
      <w:divBdr>
        <w:top w:val="none" w:sz="0" w:space="0" w:color="auto"/>
        <w:left w:val="none" w:sz="0" w:space="0" w:color="auto"/>
        <w:bottom w:val="none" w:sz="0" w:space="0" w:color="auto"/>
        <w:right w:val="none" w:sz="0" w:space="0" w:color="auto"/>
      </w:divBdr>
    </w:div>
    <w:div w:id="300580836">
      <w:bodyDiv w:val="1"/>
      <w:marLeft w:val="0"/>
      <w:marRight w:val="0"/>
      <w:marTop w:val="0"/>
      <w:marBottom w:val="0"/>
      <w:divBdr>
        <w:top w:val="none" w:sz="0" w:space="0" w:color="auto"/>
        <w:left w:val="none" w:sz="0" w:space="0" w:color="auto"/>
        <w:bottom w:val="none" w:sz="0" w:space="0" w:color="auto"/>
        <w:right w:val="none" w:sz="0" w:space="0" w:color="auto"/>
      </w:divBdr>
    </w:div>
    <w:div w:id="301664997">
      <w:bodyDiv w:val="1"/>
      <w:marLeft w:val="0"/>
      <w:marRight w:val="0"/>
      <w:marTop w:val="0"/>
      <w:marBottom w:val="0"/>
      <w:divBdr>
        <w:top w:val="none" w:sz="0" w:space="0" w:color="auto"/>
        <w:left w:val="none" w:sz="0" w:space="0" w:color="auto"/>
        <w:bottom w:val="none" w:sz="0" w:space="0" w:color="auto"/>
        <w:right w:val="none" w:sz="0" w:space="0" w:color="auto"/>
      </w:divBdr>
    </w:div>
    <w:div w:id="308897506">
      <w:bodyDiv w:val="1"/>
      <w:marLeft w:val="0"/>
      <w:marRight w:val="0"/>
      <w:marTop w:val="0"/>
      <w:marBottom w:val="0"/>
      <w:divBdr>
        <w:top w:val="none" w:sz="0" w:space="0" w:color="auto"/>
        <w:left w:val="none" w:sz="0" w:space="0" w:color="auto"/>
        <w:bottom w:val="none" w:sz="0" w:space="0" w:color="auto"/>
        <w:right w:val="none" w:sz="0" w:space="0" w:color="auto"/>
      </w:divBdr>
    </w:div>
    <w:div w:id="310405594">
      <w:bodyDiv w:val="1"/>
      <w:marLeft w:val="0"/>
      <w:marRight w:val="0"/>
      <w:marTop w:val="0"/>
      <w:marBottom w:val="0"/>
      <w:divBdr>
        <w:top w:val="none" w:sz="0" w:space="0" w:color="auto"/>
        <w:left w:val="none" w:sz="0" w:space="0" w:color="auto"/>
        <w:bottom w:val="none" w:sz="0" w:space="0" w:color="auto"/>
        <w:right w:val="none" w:sz="0" w:space="0" w:color="auto"/>
      </w:divBdr>
    </w:div>
    <w:div w:id="322050052">
      <w:bodyDiv w:val="1"/>
      <w:marLeft w:val="0"/>
      <w:marRight w:val="0"/>
      <w:marTop w:val="0"/>
      <w:marBottom w:val="0"/>
      <w:divBdr>
        <w:top w:val="none" w:sz="0" w:space="0" w:color="auto"/>
        <w:left w:val="none" w:sz="0" w:space="0" w:color="auto"/>
        <w:bottom w:val="none" w:sz="0" w:space="0" w:color="auto"/>
        <w:right w:val="none" w:sz="0" w:space="0" w:color="auto"/>
      </w:divBdr>
    </w:div>
    <w:div w:id="326131740">
      <w:bodyDiv w:val="1"/>
      <w:marLeft w:val="0"/>
      <w:marRight w:val="0"/>
      <w:marTop w:val="0"/>
      <w:marBottom w:val="0"/>
      <w:divBdr>
        <w:top w:val="none" w:sz="0" w:space="0" w:color="auto"/>
        <w:left w:val="none" w:sz="0" w:space="0" w:color="auto"/>
        <w:bottom w:val="none" w:sz="0" w:space="0" w:color="auto"/>
        <w:right w:val="none" w:sz="0" w:space="0" w:color="auto"/>
      </w:divBdr>
    </w:div>
    <w:div w:id="328875799">
      <w:bodyDiv w:val="1"/>
      <w:marLeft w:val="0"/>
      <w:marRight w:val="0"/>
      <w:marTop w:val="0"/>
      <w:marBottom w:val="0"/>
      <w:divBdr>
        <w:top w:val="none" w:sz="0" w:space="0" w:color="auto"/>
        <w:left w:val="none" w:sz="0" w:space="0" w:color="auto"/>
        <w:bottom w:val="none" w:sz="0" w:space="0" w:color="auto"/>
        <w:right w:val="none" w:sz="0" w:space="0" w:color="auto"/>
      </w:divBdr>
    </w:div>
    <w:div w:id="338968483">
      <w:bodyDiv w:val="1"/>
      <w:marLeft w:val="0"/>
      <w:marRight w:val="0"/>
      <w:marTop w:val="0"/>
      <w:marBottom w:val="0"/>
      <w:divBdr>
        <w:top w:val="none" w:sz="0" w:space="0" w:color="auto"/>
        <w:left w:val="none" w:sz="0" w:space="0" w:color="auto"/>
        <w:bottom w:val="none" w:sz="0" w:space="0" w:color="auto"/>
        <w:right w:val="none" w:sz="0" w:space="0" w:color="auto"/>
      </w:divBdr>
    </w:div>
    <w:div w:id="342779787">
      <w:bodyDiv w:val="1"/>
      <w:marLeft w:val="0"/>
      <w:marRight w:val="0"/>
      <w:marTop w:val="0"/>
      <w:marBottom w:val="0"/>
      <w:divBdr>
        <w:top w:val="none" w:sz="0" w:space="0" w:color="auto"/>
        <w:left w:val="none" w:sz="0" w:space="0" w:color="auto"/>
        <w:bottom w:val="none" w:sz="0" w:space="0" w:color="auto"/>
        <w:right w:val="none" w:sz="0" w:space="0" w:color="auto"/>
      </w:divBdr>
    </w:div>
    <w:div w:id="359357364">
      <w:bodyDiv w:val="1"/>
      <w:marLeft w:val="0"/>
      <w:marRight w:val="0"/>
      <w:marTop w:val="0"/>
      <w:marBottom w:val="0"/>
      <w:divBdr>
        <w:top w:val="none" w:sz="0" w:space="0" w:color="auto"/>
        <w:left w:val="none" w:sz="0" w:space="0" w:color="auto"/>
        <w:bottom w:val="none" w:sz="0" w:space="0" w:color="auto"/>
        <w:right w:val="none" w:sz="0" w:space="0" w:color="auto"/>
      </w:divBdr>
    </w:div>
    <w:div w:id="361781395">
      <w:bodyDiv w:val="1"/>
      <w:marLeft w:val="0"/>
      <w:marRight w:val="0"/>
      <w:marTop w:val="0"/>
      <w:marBottom w:val="0"/>
      <w:divBdr>
        <w:top w:val="none" w:sz="0" w:space="0" w:color="auto"/>
        <w:left w:val="none" w:sz="0" w:space="0" w:color="auto"/>
        <w:bottom w:val="none" w:sz="0" w:space="0" w:color="auto"/>
        <w:right w:val="none" w:sz="0" w:space="0" w:color="auto"/>
      </w:divBdr>
    </w:div>
    <w:div w:id="364402763">
      <w:bodyDiv w:val="1"/>
      <w:marLeft w:val="0"/>
      <w:marRight w:val="0"/>
      <w:marTop w:val="0"/>
      <w:marBottom w:val="0"/>
      <w:divBdr>
        <w:top w:val="none" w:sz="0" w:space="0" w:color="auto"/>
        <w:left w:val="none" w:sz="0" w:space="0" w:color="auto"/>
        <w:bottom w:val="none" w:sz="0" w:space="0" w:color="auto"/>
        <w:right w:val="none" w:sz="0" w:space="0" w:color="auto"/>
      </w:divBdr>
    </w:div>
    <w:div w:id="389040907">
      <w:bodyDiv w:val="1"/>
      <w:marLeft w:val="0"/>
      <w:marRight w:val="0"/>
      <w:marTop w:val="0"/>
      <w:marBottom w:val="0"/>
      <w:divBdr>
        <w:top w:val="none" w:sz="0" w:space="0" w:color="auto"/>
        <w:left w:val="none" w:sz="0" w:space="0" w:color="auto"/>
        <w:bottom w:val="none" w:sz="0" w:space="0" w:color="auto"/>
        <w:right w:val="none" w:sz="0" w:space="0" w:color="auto"/>
      </w:divBdr>
    </w:div>
    <w:div w:id="391080978">
      <w:bodyDiv w:val="1"/>
      <w:marLeft w:val="0"/>
      <w:marRight w:val="0"/>
      <w:marTop w:val="0"/>
      <w:marBottom w:val="0"/>
      <w:divBdr>
        <w:top w:val="none" w:sz="0" w:space="0" w:color="auto"/>
        <w:left w:val="none" w:sz="0" w:space="0" w:color="auto"/>
        <w:bottom w:val="none" w:sz="0" w:space="0" w:color="auto"/>
        <w:right w:val="none" w:sz="0" w:space="0" w:color="auto"/>
      </w:divBdr>
    </w:div>
    <w:div w:id="401294417">
      <w:bodyDiv w:val="1"/>
      <w:marLeft w:val="0"/>
      <w:marRight w:val="0"/>
      <w:marTop w:val="0"/>
      <w:marBottom w:val="0"/>
      <w:divBdr>
        <w:top w:val="none" w:sz="0" w:space="0" w:color="auto"/>
        <w:left w:val="none" w:sz="0" w:space="0" w:color="auto"/>
        <w:bottom w:val="none" w:sz="0" w:space="0" w:color="auto"/>
        <w:right w:val="none" w:sz="0" w:space="0" w:color="auto"/>
      </w:divBdr>
    </w:div>
    <w:div w:id="404574008">
      <w:bodyDiv w:val="1"/>
      <w:marLeft w:val="0"/>
      <w:marRight w:val="0"/>
      <w:marTop w:val="0"/>
      <w:marBottom w:val="0"/>
      <w:divBdr>
        <w:top w:val="none" w:sz="0" w:space="0" w:color="auto"/>
        <w:left w:val="none" w:sz="0" w:space="0" w:color="auto"/>
        <w:bottom w:val="none" w:sz="0" w:space="0" w:color="auto"/>
        <w:right w:val="none" w:sz="0" w:space="0" w:color="auto"/>
      </w:divBdr>
    </w:div>
    <w:div w:id="412168667">
      <w:bodyDiv w:val="1"/>
      <w:marLeft w:val="0"/>
      <w:marRight w:val="0"/>
      <w:marTop w:val="0"/>
      <w:marBottom w:val="0"/>
      <w:divBdr>
        <w:top w:val="none" w:sz="0" w:space="0" w:color="auto"/>
        <w:left w:val="none" w:sz="0" w:space="0" w:color="auto"/>
        <w:bottom w:val="none" w:sz="0" w:space="0" w:color="auto"/>
        <w:right w:val="none" w:sz="0" w:space="0" w:color="auto"/>
      </w:divBdr>
    </w:div>
    <w:div w:id="417945361">
      <w:bodyDiv w:val="1"/>
      <w:marLeft w:val="0"/>
      <w:marRight w:val="0"/>
      <w:marTop w:val="0"/>
      <w:marBottom w:val="0"/>
      <w:divBdr>
        <w:top w:val="none" w:sz="0" w:space="0" w:color="auto"/>
        <w:left w:val="none" w:sz="0" w:space="0" w:color="auto"/>
        <w:bottom w:val="none" w:sz="0" w:space="0" w:color="auto"/>
        <w:right w:val="none" w:sz="0" w:space="0" w:color="auto"/>
      </w:divBdr>
    </w:div>
    <w:div w:id="421029763">
      <w:bodyDiv w:val="1"/>
      <w:marLeft w:val="0"/>
      <w:marRight w:val="0"/>
      <w:marTop w:val="0"/>
      <w:marBottom w:val="0"/>
      <w:divBdr>
        <w:top w:val="none" w:sz="0" w:space="0" w:color="auto"/>
        <w:left w:val="none" w:sz="0" w:space="0" w:color="auto"/>
        <w:bottom w:val="none" w:sz="0" w:space="0" w:color="auto"/>
        <w:right w:val="none" w:sz="0" w:space="0" w:color="auto"/>
      </w:divBdr>
    </w:div>
    <w:div w:id="431166381">
      <w:bodyDiv w:val="1"/>
      <w:marLeft w:val="0"/>
      <w:marRight w:val="0"/>
      <w:marTop w:val="0"/>
      <w:marBottom w:val="0"/>
      <w:divBdr>
        <w:top w:val="none" w:sz="0" w:space="0" w:color="auto"/>
        <w:left w:val="none" w:sz="0" w:space="0" w:color="auto"/>
        <w:bottom w:val="none" w:sz="0" w:space="0" w:color="auto"/>
        <w:right w:val="none" w:sz="0" w:space="0" w:color="auto"/>
      </w:divBdr>
    </w:div>
    <w:div w:id="437214159">
      <w:bodyDiv w:val="1"/>
      <w:marLeft w:val="0"/>
      <w:marRight w:val="0"/>
      <w:marTop w:val="0"/>
      <w:marBottom w:val="0"/>
      <w:divBdr>
        <w:top w:val="none" w:sz="0" w:space="0" w:color="auto"/>
        <w:left w:val="none" w:sz="0" w:space="0" w:color="auto"/>
        <w:bottom w:val="none" w:sz="0" w:space="0" w:color="auto"/>
        <w:right w:val="none" w:sz="0" w:space="0" w:color="auto"/>
      </w:divBdr>
    </w:div>
    <w:div w:id="448355665">
      <w:bodyDiv w:val="1"/>
      <w:marLeft w:val="0"/>
      <w:marRight w:val="0"/>
      <w:marTop w:val="0"/>
      <w:marBottom w:val="0"/>
      <w:divBdr>
        <w:top w:val="none" w:sz="0" w:space="0" w:color="auto"/>
        <w:left w:val="none" w:sz="0" w:space="0" w:color="auto"/>
        <w:bottom w:val="none" w:sz="0" w:space="0" w:color="auto"/>
        <w:right w:val="none" w:sz="0" w:space="0" w:color="auto"/>
      </w:divBdr>
    </w:div>
    <w:div w:id="469596086">
      <w:bodyDiv w:val="1"/>
      <w:marLeft w:val="0"/>
      <w:marRight w:val="0"/>
      <w:marTop w:val="0"/>
      <w:marBottom w:val="0"/>
      <w:divBdr>
        <w:top w:val="none" w:sz="0" w:space="0" w:color="auto"/>
        <w:left w:val="none" w:sz="0" w:space="0" w:color="auto"/>
        <w:bottom w:val="none" w:sz="0" w:space="0" w:color="auto"/>
        <w:right w:val="none" w:sz="0" w:space="0" w:color="auto"/>
      </w:divBdr>
    </w:div>
    <w:div w:id="469711416">
      <w:bodyDiv w:val="1"/>
      <w:marLeft w:val="0"/>
      <w:marRight w:val="0"/>
      <w:marTop w:val="0"/>
      <w:marBottom w:val="0"/>
      <w:divBdr>
        <w:top w:val="none" w:sz="0" w:space="0" w:color="auto"/>
        <w:left w:val="none" w:sz="0" w:space="0" w:color="auto"/>
        <w:bottom w:val="none" w:sz="0" w:space="0" w:color="auto"/>
        <w:right w:val="none" w:sz="0" w:space="0" w:color="auto"/>
      </w:divBdr>
    </w:div>
    <w:div w:id="482087265">
      <w:bodyDiv w:val="1"/>
      <w:marLeft w:val="0"/>
      <w:marRight w:val="0"/>
      <w:marTop w:val="0"/>
      <w:marBottom w:val="0"/>
      <w:divBdr>
        <w:top w:val="none" w:sz="0" w:space="0" w:color="auto"/>
        <w:left w:val="none" w:sz="0" w:space="0" w:color="auto"/>
        <w:bottom w:val="none" w:sz="0" w:space="0" w:color="auto"/>
        <w:right w:val="none" w:sz="0" w:space="0" w:color="auto"/>
      </w:divBdr>
    </w:div>
    <w:div w:id="486871579">
      <w:bodyDiv w:val="1"/>
      <w:marLeft w:val="0"/>
      <w:marRight w:val="0"/>
      <w:marTop w:val="0"/>
      <w:marBottom w:val="0"/>
      <w:divBdr>
        <w:top w:val="none" w:sz="0" w:space="0" w:color="auto"/>
        <w:left w:val="none" w:sz="0" w:space="0" w:color="auto"/>
        <w:bottom w:val="none" w:sz="0" w:space="0" w:color="auto"/>
        <w:right w:val="none" w:sz="0" w:space="0" w:color="auto"/>
      </w:divBdr>
    </w:div>
    <w:div w:id="490675872">
      <w:bodyDiv w:val="1"/>
      <w:marLeft w:val="0"/>
      <w:marRight w:val="0"/>
      <w:marTop w:val="0"/>
      <w:marBottom w:val="0"/>
      <w:divBdr>
        <w:top w:val="none" w:sz="0" w:space="0" w:color="auto"/>
        <w:left w:val="none" w:sz="0" w:space="0" w:color="auto"/>
        <w:bottom w:val="none" w:sz="0" w:space="0" w:color="auto"/>
        <w:right w:val="none" w:sz="0" w:space="0" w:color="auto"/>
      </w:divBdr>
    </w:div>
    <w:div w:id="495345428">
      <w:bodyDiv w:val="1"/>
      <w:marLeft w:val="0"/>
      <w:marRight w:val="0"/>
      <w:marTop w:val="0"/>
      <w:marBottom w:val="0"/>
      <w:divBdr>
        <w:top w:val="none" w:sz="0" w:space="0" w:color="auto"/>
        <w:left w:val="none" w:sz="0" w:space="0" w:color="auto"/>
        <w:bottom w:val="none" w:sz="0" w:space="0" w:color="auto"/>
        <w:right w:val="none" w:sz="0" w:space="0" w:color="auto"/>
      </w:divBdr>
    </w:div>
    <w:div w:id="529758333">
      <w:bodyDiv w:val="1"/>
      <w:marLeft w:val="0"/>
      <w:marRight w:val="0"/>
      <w:marTop w:val="0"/>
      <w:marBottom w:val="0"/>
      <w:divBdr>
        <w:top w:val="none" w:sz="0" w:space="0" w:color="auto"/>
        <w:left w:val="none" w:sz="0" w:space="0" w:color="auto"/>
        <w:bottom w:val="none" w:sz="0" w:space="0" w:color="auto"/>
        <w:right w:val="none" w:sz="0" w:space="0" w:color="auto"/>
      </w:divBdr>
    </w:div>
    <w:div w:id="537934337">
      <w:bodyDiv w:val="1"/>
      <w:marLeft w:val="0"/>
      <w:marRight w:val="0"/>
      <w:marTop w:val="0"/>
      <w:marBottom w:val="0"/>
      <w:divBdr>
        <w:top w:val="none" w:sz="0" w:space="0" w:color="auto"/>
        <w:left w:val="none" w:sz="0" w:space="0" w:color="auto"/>
        <w:bottom w:val="none" w:sz="0" w:space="0" w:color="auto"/>
        <w:right w:val="none" w:sz="0" w:space="0" w:color="auto"/>
      </w:divBdr>
    </w:div>
    <w:div w:id="544297831">
      <w:bodyDiv w:val="1"/>
      <w:marLeft w:val="0"/>
      <w:marRight w:val="0"/>
      <w:marTop w:val="0"/>
      <w:marBottom w:val="0"/>
      <w:divBdr>
        <w:top w:val="none" w:sz="0" w:space="0" w:color="auto"/>
        <w:left w:val="none" w:sz="0" w:space="0" w:color="auto"/>
        <w:bottom w:val="none" w:sz="0" w:space="0" w:color="auto"/>
        <w:right w:val="none" w:sz="0" w:space="0" w:color="auto"/>
      </w:divBdr>
    </w:div>
    <w:div w:id="591134739">
      <w:bodyDiv w:val="1"/>
      <w:marLeft w:val="0"/>
      <w:marRight w:val="0"/>
      <w:marTop w:val="0"/>
      <w:marBottom w:val="0"/>
      <w:divBdr>
        <w:top w:val="none" w:sz="0" w:space="0" w:color="auto"/>
        <w:left w:val="none" w:sz="0" w:space="0" w:color="auto"/>
        <w:bottom w:val="none" w:sz="0" w:space="0" w:color="auto"/>
        <w:right w:val="none" w:sz="0" w:space="0" w:color="auto"/>
      </w:divBdr>
    </w:div>
    <w:div w:id="592516590">
      <w:bodyDiv w:val="1"/>
      <w:marLeft w:val="0"/>
      <w:marRight w:val="0"/>
      <w:marTop w:val="0"/>
      <w:marBottom w:val="0"/>
      <w:divBdr>
        <w:top w:val="none" w:sz="0" w:space="0" w:color="auto"/>
        <w:left w:val="none" w:sz="0" w:space="0" w:color="auto"/>
        <w:bottom w:val="none" w:sz="0" w:space="0" w:color="auto"/>
        <w:right w:val="none" w:sz="0" w:space="0" w:color="auto"/>
      </w:divBdr>
    </w:div>
    <w:div w:id="595212165">
      <w:bodyDiv w:val="1"/>
      <w:marLeft w:val="0"/>
      <w:marRight w:val="0"/>
      <w:marTop w:val="0"/>
      <w:marBottom w:val="0"/>
      <w:divBdr>
        <w:top w:val="none" w:sz="0" w:space="0" w:color="auto"/>
        <w:left w:val="none" w:sz="0" w:space="0" w:color="auto"/>
        <w:bottom w:val="none" w:sz="0" w:space="0" w:color="auto"/>
        <w:right w:val="none" w:sz="0" w:space="0" w:color="auto"/>
      </w:divBdr>
    </w:div>
    <w:div w:id="612174660">
      <w:bodyDiv w:val="1"/>
      <w:marLeft w:val="0"/>
      <w:marRight w:val="0"/>
      <w:marTop w:val="0"/>
      <w:marBottom w:val="0"/>
      <w:divBdr>
        <w:top w:val="none" w:sz="0" w:space="0" w:color="auto"/>
        <w:left w:val="none" w:sz="0" w:space="0" w:color="auto"/>
        <w:bottom w:val="none" w:sz="0" w:space="0" w:color="auto"/>
        <w:right w:val="none" w:sz="0" w:space="0" w:color="auto"/>
      </w:divBdr>
    </w:div>
    <w:div w:id="618418113">
      <w:bodyDiv w:val="1"/>
      <w:marLeft w:val="0"/>
      <w:marRight w:val="0"/>
      <w:marTop w:val="0"/>
      <w:marBottom w:val="0"/>
      <w:divBdr>
        <w:top w:val="none" w:sz="0" w:space="0" w:color="auto"/>
        <w:left w:val="none" w:sz="0" w:space="0" w:color="auto"/>
        <w:bottom w:val="none" w:sz="0" w:space="0" w:color="auto"/>
        <w:right w:val="none" w:sz="0" w:space="0" w:color="auto"/>
      </w:divBdr>
    </w:div>
    <w:div w:id="623659200">
      <w:bodyDiv w:val="1"/>
      <w:marLeft w:val="0"/>
      <w:marRight w:val="0"/>
      <w:marTop w:val="0"/>
      <w:marBottom w:val="0"/>
      <w:divBdr>
        <w:top w:val="none" w:sz="0" w:space="0" w:color="auto"/>
        <w:left w:val="none" w:sz="0" w:space="0" w:color="auto"/>
        <w:bottom w:val="none" w:sz="0" w:space="0" w:color="auto"/>
        <w:right w:val="none" w:sz="0" w:space="0" w:color="auto"/>
      </w:divBdr>
    </w:div>
    <w:div w:id="630746937">
      <w:bodyDiv w:val="1"/>
      <w:marLeft w:val="0"/>
      <w:marRight w:val="0"/>
      <w:marTop w:val="0"/>
      <w:marBottom w:val="0"/>
      <w:divBdr>
        <w:top w:val="none" w:sz="0" w:space="0" w:color="auto"/>
        <w:left w:val="none" w:sz="0" w:space="0" w:color="auto"/>
        <w:bottom w:val="none" w:sz="0" w:space="0" w:color="auto"/>
        <w:right w:val="none" w:sz="0" w:space="0" w:color="auto"/>
      </w:divBdr>
    </w:div>
    <w:div w:id="647593190">
      <w:bodyDiv w:val="1"/>
      <w:marLeft w:val="0"/>
      <w:marRight w:val="0"/>
      <w:marTop w:val="0"/>
      <w:marBottom w:val="0"/>
      <w:divBdr>
        <w:top w:val="none" w:sz="0" w:space="0" w:color="auto"/>
        <w:left w:val="none" w:sz="0" w:space="0" w:color="auto"/>
        <w:bottom w:val="none" w:sz="0" w:space="0" w:color="auto"/>
        <w:right w:val="none" w:sz="0" w:space="0" w:color="auto"/>
      </w:divBdr>
    </w:div>
    <w:div w:id="651909459">
      <w:bodyDiv w:val="1"/>
      <w:marLeft w:val="0"/>
      <w:marRight w:val="0"/>
      <w:marTop w:val="0"/>
      <w:marBottom w:val="0"/>
      <w:divBdr>
        <w:top w:val="none" w:sz="0" w:space="0" w:color="auto"/>
        <w:left w:val="none" w:sz="0" w:space="0" w:color="auto"/>
        <w:bottom w:val="none" w:sz="0" w:space="0" w:color="auto"/>
        <w:right w:val="none" w:sz="0" w:space="0" w:color="auto"/>
      </w:divBdr>
    </w:div>
    <w:div w:id="661857631">
      <w:bodyDiv w:val="1"/>
      <w:marLeft w:val="0"/>
      <w:marRight w:val="0"/>
      <w:marTop w:val="0"/>
      <w:marBottom w:val="0"/>
      <w:divBdr>
        <w:top w:val="none" w:sz="0" w:space="0" w:color="auto"/>
        <w:left w:val="none" w:sz="0" w:space="0" w:color="auto"/>
        <w:bottom w:val="none" w:sz="0" w:space="0" w:color="auto"/>
        <w:right w:val="none" w:sz="0" w:space="0" w:color="auto"/>
      </w:divBdr>
    </w:div>
    <w:div w:id="662975459">
      <w:bodyDiv w:val="1"/>
      <w:marLeft w:val="0"/>
      <w:marRight w:val="0"/>
      <w:marTop w:val="0"/>
      <w:marBottom w:val="0"/>
      <w:divBdr>
        <w:top w:val="none" w:sz="0" w:space="0" w:color="auto"/>
        <w:left w:val="none" w:sz="0" w:space="0" w:color="auto"/>
        <w:bottom w:val="none" w:sz="0" w:space="0" w:color="auto"/>
        <w:right w:val="none" w:sz="0" w:space="0" w:color="auto"/>
      </w:divBdr>
    </w:div>
    <w:div w:id="666440398">
      <w:bodyDiv w:val="1"/>
      <w:marLeft w:val="0"/>
      <w:marRight w:val="0"/>
      <w:marTop w:val="0"/>
      <w:marBottom w:val="0"/>
      <w:divBdr>
        <w:top w:val="none" w:sz="0" w:space="0" w:color="auto"/>
        <w:left w:val="none" w:sz="0" w:space="0" w:color="auto"/>
        <w:bottom w:val="none" w:sz="0" w:space="0" w:color="auto"/>
        <w:right w:val="none" w:sz="0" w:space="0" w:color="auto"/>
      </w:divBdr>
    </w:div>
    <w:div w:id="670328687">
      <w:bodyDiv w:val="1"/>
      <w:marLeft w:val="0"/>
      <w:marRight w:val="0"/>
      <w:marTop w:val="0"/>
      <w:marBottom w:val="0"/>
      <w:divBdr>
        <w:top w:val="none" w:sz="0" w:space="0" w:color="auto"/>
        <w:left w:val="none" w:sz="0" w:space="0" w:color="auto"/>
        <w:bottom w:val="none" w:sz="0" w:space="0" w:color="auto"/>
        <w:right w:val="none" w:sz="0" w:space="0" w:color="auto"/>
      </w:divBdr>
    </w:div>
    <w:div w:id="675765369">
      <w:bodyDiv w:val="1"/>
      <w:marLeft w:val="0"/>
      <w:marRight w:val="0"/>
      <w:marTop w:val="0"/>
      <w:marBottom w:val="0"/>
      <w:divBdr>
        <w:top w:val="none" w:sz="0" w:space="0" w:color="auto"/>
        <w:left w:val="none" w:sz="0" w:space="0" w:color="auto"/>
        <w:bottom w:val="none" w:sz="0" w:space="0" w:color="auto"/>
        <w:right w:val="none" w:sz="0" w:space="0" w:color="auto"/>
      </w:divBdr>
    </w:div>
    <w:div w:id="677150377">
      <w:bodyDiv w:val="1"/>
      <w:marLeft w:val="0"/>
      <w:marRight w:val="0"/>
      <w:marTop w:val="0"/>
      <w:marBottom w:val="0"/>
      <w:divBdr>
        <w:top w:val="none" w:sz="0" w:space="0" w:color="auto"/>
        <w:left w:val="none" w:sz="0" w:space="0" w:color="auto"/>
        <w:bottom w:val="none" w:sz="0" w:space="0" w:color="auto"/>
        <w:right w:val="none" w:sz="0" w:space="0" w:color="auto"/>
      </w:divBdr>
    </w:div>
    <w:div w:id="680547486">
      <w:bodyDiv w:val="1"/>
      <w:marLeft w:val="0"/>
      <w:marRight w:val="0"/>
      <w:marTop w:val="0"/>
      <w:marBottom w:val="0"/>
      <w:divBdr>
        <w:top w:val="none" w:sz="0" w:space="0" w:color="auto"/>
        <w:left w:val="none" w:sz="0" w:space="0" w:color="auto"/>
        <w:bottom w:val="none" w:sz="0" w:space="0" w:color="auto"/>
        <w:right w:val="none" w:sz="0" w:space="0" w:color="auto"/>
      </w:divBdr>
    </w:div>
    <w:div w:id="680815332">
      <w:bodyDiv w:val="1"/>
      <w:marLeft w:val="0"/>
      <w:marRight w:val="0"/>
      <w:marTop w:val="0"/>
      <w:marBottom w:val="0"/>
      <w:divBdr>
        <w:top w:val="none" w:sz="0" w:space="0" w:color="auto"/>
        <w:left w:val="none" w:sz="0" w:space="0" w:color="auto"/>
        <w:bottom w:val="none" w:sz="0" w:space="0" w:color="auto"/>
        <w:right w:val="none" w:sz="0" w:space="0" w:color="auto"/>
      </w:divBdr>
    </w:div>
    <w:div w:id="687563241">
      <w:bodyDiv w:val="1"/>
      <w:marLeft w:val="0"/>
      <w:marRight w:val="0"/>
      <w:marTop w:val="0"/>
      <w:marBottom w:val="0"/>
      <w:divBdr>
        <w:top w:val="none" w:sz="0" w:space="0" w:color="auto"/>
        <w:left w:val="none" w:sz="0" w:space="0" w:color="auto"/>
        <w:bottom w:val="none" w:sz="0" w:space="0" w:color="auto"/>
        <w:right w:val="none" w:sz="0" w:space="0" w:color="auto"/>
      </w:divBdr>
    </w:div>
    <w:div w:id="699547818">
      <w:bodyDiv w:val="1"/>
      <w:marLeft w:val="0"/>
      <w:marRight w:val="0"/>
      <w:marTop w:val="0"/>
      <w:marBottom w:val="0"/>
      <w:divBdr>
        <w:top w:val="none" w:sz="0" w:space="0" w:color="auto"/>
        <w:left w:val="none" w:sz="0" w:space="0" w:color="auto"/>
        <w:bottom w:val="none" w:sz="0" w:space="0" w:color="auto"/>
        <w:right w:val="none" w:sz="0" w:space="0" w:color="auto"/>
      </w:divBdr>
      <w:divsChild>
        <w:div w:id="1711764697">
          <w:marLeft w:val="360"/>
          <w:marRight w:val="0"/>
          <w:marTop w:val="0"/>
          <w:marBottom w:val="360"/>
          <w:divBdr>
            <w:top w:val="none" w:sz="0" w:space="0" w:color="auto"/>
            <w:left w:val="none" w:sz="0" w:space="0" w:color="auto"/>
            <w:bottom w:val="none" w:sz="0" w:space="0" w:color="auto"/>
            <w:right w:val="none" w:sz="0" w:space="0" w:color="auto"/>
          </w:divBdr>
          <w:divsChild>
            <w:div w:id="1856377861">
              <w:marLeft w:val="0"/>
              <w:marRight w:val="0"/>
              <w:marTop w:val="0"/>
              <w:marBottom w:val="0"/>
              <w:divBdr>
                <w:top w:val="none" w:sz="0" w:space="0" w:color="auto"/>
                <w:left w:val="none" w:sz="0" w:space="0" w:color="auto"/>
                <w:bottom w:val="none" w:sz="0" w:space="0" w:color="auto"/>
                <w:right w:val="none" w:sz="0" w:space="0" w:color="auto"/>
              </w:divBdr>
              <w:divsChild>
                <w:div w:id="346754949">
                  <w:marLeft w:val="0"/>
                  <w:marRight w:val="0"/>
                  <w:marTop w:val="0"/>
                  <w:marBottom w:val="0"/>
                  <w:divBdr>
                    <w:top w:val="none" w:sz="0" w:space="0" w:color="auto"/>
                    <w:left w:val="none" w:sz="0" w:space="0" w:color="auto"/>
                    <w:bottom w:val="none" w:sz="0" w:space="0" w:color="auto"/>
                    <w:right w:val="none" w:sz="0" w:space="0" w:color="auto"/>
                  </w:divBdr>
                  <w:divsChild>
                    <w:div w:id="1755056395">
                      <w:marLeft w:val="0"/>
                      <w:marRight w:val="0"/>
                      <w:marTop w:val="0"/>
                      <w:marBottom w:val="0"/>
                      <w:divBdr>
                        <w:top w:val="none" w:sz="0" w:space="0" w:color="auto"/>
                        <w:left w:val="none" w:sz="0" w:space="0" w:color="auto"/>
                        <w:bottom w:val="none" w:sz="0" w:space="0" w:color="auto"/>
                        <w:right w:val="none" w:sz="0" w:space="0" w:color="auto"/>
                      </w:divBdr>
                    </w:div>
                    <w:div w:id="528958502">
                      <w:marLeft w:val="0"/>
                      <w:marRight w:val="0"/>
                      <w:marTop w:val="0"/>
                      <w:marBottom w:val="0"/>
                      <w:divBdr>
                        <w:top w:val="none" w:sz="0" w:space="0" w:color="auto"/>
                        <w:left w:val="none" w:sz="0" w:space="0" w:color="auto"/>
                        <w:bottom w:val="none" w:sz="0" w:space="0" w:color="auto"/>
                        <w:right w:val="none" w:sz="0" w:space="0" w:color="auto"/>
                      </w:divBdr>
                      <w:divsChild>
                        <w:div w:id="332998164">
                          <w:marLeft w:val="0"/>
                          <w:marRight w:val="0"/>
                          <w:marTop w:val="0"/>
                          <w:marBottom w:val="0"/>
                          <w:divBdr>
                            <w:top w:val="none" w:sz="0" w:space="0" w:color="auto"/>
                            <w:left w:val="none" w:sz="0" w:space="0" w:color="auto"/>
                            <w:bottom w:val="none" w:sz="0" w:space="0" w:color="auto"/>
                            <w:right w:val="none" w:sz="0" w:space="0" w:color="auto"/>
                          </w:divBdr>
                          <w:divsChild>
                            <w:div w:id="648287818">
                              <w:marLeft w:val="0"/>
                              <w:marRight w:val="0"/>
                              <w:marTop w:val="0"/>
                              <w:marBottom w:val="0"/>
                              <w:divBdr>
                                <w:top w:val="none" w:sz="0" w:space="0" w:color="auto"/>
                                <w:left w:val="none" w:sz="0" w:space="0" w:color="auto"/>
                                <w:bottom w:val="none" w:sz="0" w:space="0" w:color="auto"/>
                                <w:right w:val="none" w:sz="0" w:space="0" w:color="auto"/>
                              </w:divBdr>
                            </w:div>
                          </w:divsChild>
                        </w:div>
                        <w:div w:id="211408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8833">
                  <w:marLeft w:val="0"/>
                  <w:marRight w:val="0"/>
                  <w:marTop w:val="0"/>
                  <w:marBottom w:val="0"/>
                  <w:divBdr>
                    <w:top w:val="none" w:sz="0" w:space="0" w:color="auto"/>
                    <w:left w:val="none" w:sz="0" w:space="0" w:color="auto"/>
                    <w:bottom w:val="none" w:sz="0" w:space="0" w:color="auto"/>
                    <w:right w:val="none" w:sz="0" w:space="0" w:color="auto"/>
                  </w:divBdr>
                  <w:divsChild>
                    <w:div w:id="8261024">
                      <w:marLeft w:val="0"/>
                      <w:marRight w:val="0"/>
                      <w:marTop w:val="0"/>
                      <w:marBottom w:val="0"/>
                      <w:divBdr>
                        <w:top w:val="none" w:sz="0" w:space="0" w:color="auto"/>
                        <w:left w:val="none" w:sz="0" w:space="0" w:color="auto"/>
                        <w:bottom w:val="none" w:sz="0" w:space="0" w:color="auto"/>
                        <w:right w:val="none" w:sz="0" w:space="0" w:color="auto"/>
                      </w:divBdr>
                    </w:div>
                    <w:div w:id="544102577">
                      <w:marLeft w:val="0"/>
                      <w:marRight w:val="0"/>
                      <w:marTop w:val="0"/>
                      <w:marBottom w:val="0"/>
                      <w:divBdr>
                        <w:top w:val="none" w:sz="0" w:space="0" w:color="auto"/>
                        <w:left w:val="none" w:sz="0" w:space="0" w:color="auto"/>
                        <w:bottom w:val="none" w:sz="0" w:space="0" w:color="auto"/>
                        <w:right w:val="none" w:sz="0" w:space="0" w:color="auto"/>
                      </w:divBdr>
                      <w:divsChild>
                        <w:div w:id="1955557700">
                          <w:marLeft w:val="0"/>
                          <w:marRight w:val="0"/>
                          <w:marTop w:val="0"/>
                          <w:marBottom w:val="0"/>
                          <w:divBdr>
                            <w:top w:val="none" w:sz="0" w:space="0" w:color="auto"/>
                            <w:left w:val="none" w:sz="0" w:space="0" w:color="auto"/>
                            <w:bottom w:val="none" w:sz="0" w:space="0" w:color="auto"/>
                            <w:right w:val="none" w:sz="0" w:space="0" w:color="auto"/>
                          </w:divBdr>
                          <w:divsChild>
                            <w:div w:id="1708530476">
                              <w:marLeft w:val="0"/>
                              <w:marRight w:val="0"/>
                              <w:marTop w:val="0"/>
                              <w:marBottom w:val="0"/>
                              <w:divBdr>
                                <w:top w:val="none" w:sz="0" w:space="0" w:color="auto"/>
                                <w:left w:val="none" w:sz="0" w:space="0" w:color="auto"/>
                                <w:bottom w:val="none" w:sz="0" w:space="0" w:color="auto"/>
                                <w:right w:val="none" w:sz="0" w:space="0" w:color="auto"/>
                              </w:divBdr>
                            </w:div>
                          </w:divsChild>
                        </w:div>
                        <w:div w:id="2283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1812">
                  <w:marLeft w:val="0"/>
                  <w:marRight w:val="0"/>
                  <w:marTop w:val="0"/>
                  <w:marBottom w:val="0"/>
                  <w:divBdr>
                    <w:top w:val="none" w:sz="0" w:space="0" w:color="auto"/>
                    <w:left w:val="none" w:sz="0" w:space="0" w:color="auto"/>
                    <w:bottom w:val="none" w:sz="0" w:space="0" w:color="auto"/>
                    <w:right w:val="none" w:sz="0" w:space="0" w:color="auto"/>
                  </w:divBdr>
                  <w:divsChild>
                    <w:div w:id="239365848">
                      <w:marLeft w:val="0"/>
                      <w:marRight w:val="0"/>
                      <w:marTop w:val="0"/>
                      <w:marBottom w:val="0"/>
                      <w:divBdr>
                        <w:top w:val="none" w:sz="0" w:space="0" w:color="auto"/>
                        <w:left w:val="none" w:sz="0" w:space="0" w:color="auto"/>
                        <w:bottom w:val="none" w:sz="0" w:space="0" w:color="auto"/>
                        <w:right w:val="none" w:sz="0" w:space="0" w:color="auto"/>
                      </w:divBdr>
                    </w:div>
                    <w:div w:id="1943688106">
                      <w:marLeft w:val="0"/>
                      <w:marRight w:val="0"/>
                      <w:marTop w:val="0"/>
                      <w:marBottom w:val="0"/>
                      <w:divBdr>
                        <w:top w:val="none" w:sz="0" w:space="0" w:color="auto"/>
                        <w:left w:val="none" w:sz="0" w:space="0" w:color="auto"/>
                        <w:bottom w:val="none" w:sz="0" w:space="0" w:color="auto"/>
                        <w:right w:val="none" w:sz="0" w:space="0" w:color="auto"/>
                      </w:divBdr>
                      <w:divsChild>
                        <w:div w:id="736322077">
                          <w:marLeft w:val="0"/>
                          <w:marRight w:val="0"/>
                          <w:marTop w:val="0"/>
                          <w:marBottom w:val="0"/>
                          <w:divBdr>
                            <w:top w:val="none" w:sz="0" w:space="0" w:color="auto"/>
                            <w:left w:val="none" w:sz="0" w:space="0" w:color="auto"/>
                            <w:bottom w:val="none" w:sz="0" w:space="0" w:color="auto"/>
                            <w:right w:val="none" w:sz="0" w:space="0" w:color="auto"/>
                          </w:divBdr>
                          <w:divsChild>
                            <w:div w:id="721254820">
                              <w:marLeft w:val="0"/>
                              <w:marRight w:val="0"/>
                              <w:marTop w:val="0"/>
                              <w:marBottom w:val="0"/>
                              <w:divBdr>
                                <w:top w:val="none" w:sz="0" w:space="0" w:color="auto"/>
                                <w:left w:val="none" w:sz="0" w:space="0" w:color="auto"/>
                                <w:bottom w:val="none" w:sz="0" w:space="0" w:color="auto"/>
                                <w:right w:val="none" w:sz="0" w:space="0" w:color="auto"/>
                              </w:divBdr>
                            </w:div>
                          </w:divsChild>
                        </w:div>
                        <w:div w:id="5168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7393">
                  <w:marLeft w:val="0"/>
                  <w:marRight w:val="0"/>
                  <w:marTop w:val="0"/>
                  <w:marBottom w:val="0"/>
                  <w:divBdr>
                    <w:top w:val="none" w:sz="0" w:space="0" w:color="auto"/>
                    <w:left w:val="none" w:sz="0" w:space="0" w:color="auto"/>
                    <w:bottom w:val="none" w:sz="0" w:space="0" w:color="auto"/>
                    <w:right w:val="none" w:sz="0" w:space="0" w:color="auto"/>
                  </w:divBdr>
                  <w:divsChild>
                    <w:div w:id="1390034525">
                      <w:marLeft w:val="0"/>
                      <w:marRight w:val="0"/>
                      <w:marTop w:val="0"/>
                      <w:marBottom w:val="0"/>
                      <w:divBdr>
                        <w:top w:val="none" w:sz="0" w:space="0" w:color="auto"/>
                        <w:left w:val="none" w:sz="0" w:space="0" w:color="auto"/>
                        <w:bottom w:val="none" w:sz="0" w:space="0" w:color="auto"/>
                        <w:right w:val="none" w:sz="0" w:space="0" w:color="auto"/>
                      </w:divBdr>
                    </w:div>
                    <w:div w:id="1815946694">
                      <w:marLeft w:val="0"/>
                      <w:marRight w:val="0"/>
                      <w:marTop w:val="0"/>
                      <w:marBottom w:val="0"/>
                      <w:divBdr>
                        <w:top w:val="none" w:sz="0" w:space="0" w:color="auto"/>
                        <w:left w:val="none" w:sz="0" w:space="0" w:color="auto"/>
                        <w:bottom w:val="none" w:sz="0" w:space="0" w:color="auto"/>
                        <w:right w:val="none" w:sz="0" w:space="0" w:color="auto"/>
                      </w:divBdr>
                      <w:divsChild>
                        <w:div w:id="378163841">
                          <w:marLeft w:val="0"/>
                          <w:marRight w:val="0"/>
                          <w:marTop w:val="0"/>
                          <w:marBottom w:val="0"/>
                          <w:divBdr>
                            <w:top w:val="none" w:sz="0" w:space="0" w:color="auto"/>
                            <w:left w:val="none" w:sz="0" w:space="0" w:color="auto"/>
                            <w:bottom w:val="none" w:sz="0" w:space="0" w:color="auto"/>
                            <w:right w:val="none" w:sz="0" w:space="0" w:color="auto"/>
                          </w:divBdr>
                          <w:divsChild>
                            <w:div w:id="825171013">
                              <w:marLeft w:val="0"/>
                              <w:marRight w:val="0"/>
                              <w:marTop w:val="0"/>
                              <w:marBottom w:val="0"/>
                              <w:divBdr>
                                <w:top w:val="none" w:sz="0" w:space="0" w:color="auto"/>
                                <w:left w:val="none" w:sz="0" w:space="0" w:color="auto"/>
                                <w:bottom w:val="none" w:sz="0" w:space="0" w:color="auto"/>
                                <w:right w:val="none" w:sz="0" w:space="0" w:color="auto"/>
                              </w:divBdr>
                            </w:div>
                          </w:divsChild>
                        </w:div>
                        <w:div w:id="192479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0917">
                  <w:marLeft w:val="0"/>
                  <w:marRight w:val="0"/>
                  <w:marTop w:val="0"/>
                  <w:marBottom w:val="0"/>
                  <w:divBdr>
                    <w:top w:val="none" w:sz="0" w:space="0" w:color="auto"/>
                    <w:left w:val="none" w:sz="0" w:space="0" w:color="auto"/>
                    <w:bottom w:val="none" w:sz="0" w:space="0" w:color="auto"/>
                    <w:right w:val="none" w:sz="0" w:space="0" w:color="auto"/>
                  </w:divBdr>
                  <w:divsChild>
                    <w:div w:id="1638603733">
                      <w:marLeft w:val="0"/>
                      <w:marRight w:val="0"/>
                      <w:marTop w:val="0"/>
                      <w:marBottom w:val="0"/>
                      <w:divBdr>
                        <w:top w:val="none" w:sz="0" w:space="0" w:color="auto"/>
                        <w:left w:val="none" w:sz="0" w:space="0" w:color="auto"/>
                        <w:bottom w:val="none" w:sz="0" w:space="0" w:color="auto"/>
                        <w:right w:val="none" w:sz="0" w:space="0" w:color="auto"/>
                      </w:divBdr>
                    </w:div>
                    <w:div w:id="1813519757">
                      <w:marLeft w:val="0"/>
                      <w:marRight w:val="0"/>
                      <w:marTop w:val="0"/>
                      <w:marBottom w:val="0"/>
                      <w:divBdr>
                        <w:top w:val="none" w:sz="0" w:space="0" w:color="auto"/>
                        <w:left w:val="none" w:sz="0" w:space="0" w:color="auto"/>
                        <w:bottom w:val="none" w:sz="0" w:space="0" w:color="auto"/>
                        <w:right w:val="none" w:sz="0" w:space="0" w:color="auto"/>
                      </w:divBdr>
                      <w:divsChild>
                        <w:div w:id="1532765997">
                          <w:marLeft w:val="0"/>
                          <w:marRight w:val="0"/>
                          <w:marTop w:val="0"/>
                          <w:marBottom w:val="0"/>
                          <w:divBdr>
                            <w:top w:val="none" w:sz="0" w:space="0" w:color="auto"/>
                            <w:left w:val="none" w:sz="0" w:space="0" w:color="auto"/>
                            <w:bottom w:val="none" w:sz="0" w:space="0" w:color="auto"/>
                            <w:right w:val="none" w:sz="0" w:space="0" w:color="auto"/>
                          </w:divBdr>
                          <w:divsChild>
                            <w:div w:id="1442649882">
                              <w:marLeft w:val="0"/>
                              <w:marRight w:val="0"/>
                              <w:marTop w:val="0"/>
                              <w:marBottom w:val="0"/>
                              <w:divBdr>
                                <w:top w:val="none" w:sz="0" w:space="0" w:color="auto"/>
                                <w:left w:val="none" w:sz="0" w:space="0" w:color="auto"/>
                                <w:bottom w:val="none" w:sz="0" w:space="0" w:color="auto"/>
                                <w:right w:val="none" w:sz="0" w:space="0" w:color="auto"/>
                              </w:divBdr>
                            </w:div>
                          </w:divsChild>
                        </w:div>
                        <w:div w:id="6471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8986">
                  <w:marLeft w:val="0"/>
                  <w:marRight w:val="0"/>
                  <w:marTop w:val="0"/>
                  <w:marBottom w:val="0"/>
                  <w:divBdr>
                    <w:top w:val="none" w:sz="0" w:space="0" w:color="auto"/>
                    <w:left w:val="none" w:sz="0" w:space="0" w:color="auto"/>
                    <w:bottom w:val="none" w:sz="0" w:space="0" w:color="auto"/>
                    <w:right w:val="none" w:sz="0" w:space="0" w:color="auto"/>
                  </w:divBdr>
                  <w:divsChild>
                    <w:div w:id="1717193391">
                      <w:marLeft w:val="0"/>
                      <w:marRight w:val="0"/>
                      <w:marTop w:val="0"/>
                      <w:marBottom w:val="0"/>
                      <w:divBdr>
                        <w:top w:val="none" w:sz="0" w:space="0" w:color="auto"/>
                        <w:left w:val="none" w:sz="0" w:space="0" w:color="auto"/>
                        <w:bottom w:val="none" w:sz="0" w:space="0" w:color="auto"/>
                        <w:right w:val="none" w:sz="0" w:space="0" w:color="auto"/>
                      </w:divBdr>
                      <w:divsChild>
                        <w:div w:id="2013294429">
                          <w:marLeft w:val="0"/>
                          <w:marRight w:val="0"/>
                          <w:marTop w:val="0"/>
                          <w:marBottom w:val="0"/>
                          <w:divBdr>
                            <w:top w:val="none" w:sz="0" w:space="0" w:color="auto"/>
                            <w:left w:val="none" w:sz="0" w:space="0" w:color="auto"/>
                            <w:bottom w:val="none" w:sz="0" w:space="0" w:color="auto"/>
                            <w:right w:val="none" w:sz="0" w:space="0" w:color="auto"/>
                          </w:divBdr>
                          <w:divsChild>
                            <w:div w:id="768702662">
                              <w:marLeft w:val="0"/>
                              <w:marRight w:val="0"/>
                              <w:marTop w:val="0"/>
                              <w:marBottom w:val="0"/>
                              <w:divBdr>
                                <w:top w:val="none" w:sz="0" w:space="0" w:color="auto"/>
                                <w:left w:val="none" w:sz="0" w:space="0" w:color="auto"/>
                                <w:bottom w:val="none" w:sz="0" w:space="0" w:color="auto"/>
                                <w:right w:val="none" w:sz="0" w:space="0" w:color="auto"/>
                              </w:divBdr>
                            </w:div>
                          </w:divsChild>
                        </w:div>
                        <w:div w:id="9014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2189">
                  <w:marLeft w:val="0"/>
                  <w:marRight w:val="0"/>
                  <w:marTop w:val="0"/>
                  <w:marBottom w:val="0"/>
                  <w:divBdr>
                    <w:top w:val="none" w:sz="0" w:space="0" w:color="auto"/>
                    <w:left w:val="none" w:sz="0" w:space="0" w:color="auto"/>
                    <w:bottom w:val="none" w:sz="0" w:space="0" w:color="auto"/>
                    <w:right w:val="none" w:sz="0" w:space="0" w:color="auto"/>
                  </w:divBdr>
                  <w:divsChild>
                    <w:div w:id="1302538382">
                      <w:marLeft w:val="0"/>
                      <w:marRight w:val="0"/>
                      <w:marTop w:val="0"/>
                      <w:marBottom w:val="0"/>
                      <w:divBdr>
                        <w:top w:val="none" w:sz="0" w:space="0" w:color="auto"/>
                        <w:left w:val="none" w:sz="0" w:space="0" w:color="auto"/>
                        <w:bottom w:val="none" w:sz="0" w:space="0" w:color="auto"/>
                        <w:right w:val="none" w:sz="0" w:space="0" w:color="auto"/>
                      </w:divBdr>
                      <w:divsChild>
                        <w:div w:id="422073821">
                          <w:marLeft w:val="0"/>
                          <w:marRight w:val="0"/>
                          <w:marTop w:val="0"/>
                          <w:marBottom w:val="0"/>
                          <w:divBdr>
                            <w:top w:val="none" w:sz="0" w:space="0" w:color="auto"/>
                            <w:left w:val="none" w:sz="0" w:space="0" w:color="auto"/>
                            <w:bottom w:val="none" w:sz="0" w:space="0" w:color="auto"/>
                            <w:right w:val="none" w:sz="0" w:space="0" w:color="auto"/>
                          </w:divBdr>
                          <w:divsChild>
                            <w:div w:id="1406028562">
                              <w:marLeft w:val="0"/>
                              <w:marRight w:val="0"/>
                              <w:marTop w:val="0"/>
                              <w:marBottom w:val="0"/>
                              <w:divBdr>
                                <w:top w:val="none" w:sz="0" w:space="0" w:color="auto"/>
                                <w:left w:val="none" w:sz="0" w:space="0" w:color="auto"/>
                                <w:bottom w:val="none" w:sz="0" w:space="0" w:color="auto"/>
                                <w:right w:val="none" w:sz="0" w:space="0" w:color="auto"/>
                              </w:divBdr>
                            </w:div>
                          </w:divsChild>
                        </w:div>
                        <w:div w:id="19608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32202">
                  <w:marLeft w:val="0"/>
                  <w:marRight w:val="0"/>
                  <w:marTop w:val="0"/>
                  <w:marBottom w:val="0"/>
                  <w:divBdr>
                    <w:top w:val="none" w:sz="0" w:space="0" w:color="auto"/>
                    <w:left w:val="none" w:sz="0" w:space="0" w:color="auto"/>
                    <w:bottom w:val="none" w:sz="0" w:space="0" w:color="auto"/>
                    <w:right w:val="none" w:sz="0" w:space="0" w:color="auto"/>
                  </w:divBdr>
                  <w:divsChild>
                    <w:div w:id="2019885088">
                      <w:marLeft w:val="0"/>
                      <w:marRight w:val="0"/>
                      <w:marTop w:val="0"/>
                      <w:marBottom w:val="0"/>
                      <w:divBdr>
                        <w:top w:val="none" w:sz="0" w:space="0" w:color="auto"/>
                        <w:left w:val="none" w:sz="0" w:space="0" w:color="auto"/>
                        <w:bottom w:val="none" w:sz="0" w:space="0" w:color="auto"/>
                        <w:right w:val="none" w:sz="0" w:space="0" w:color="auto"/>
                      </w:divBdr>
                      <w:divsChild>
                        <w:div w:id="595788733">
                          <w:marLeft w:val="0"/>
                          <w:marRight w:val="0"/>
                          <w:marTop w:val="0"/>
                          <w:marBottom w:val="0"/>
                          <w:divBdr>
                            <w:top w:val="none" w:sz="0" w:space="0" w:color="auto"/>
                            <w:left w:val="none" w:sz="0" w:space="0" w:color="auto"/>
                            <w:bottom w:val="none" w:sz="0" w:space="0" w:color="auto"/>
                            <w:right w:val="none" w:sz="0" w:space="0" w:color="auto"/>
                          </w:divBdr>
                          <w:divsChild>
                            <w:div w:id="265580032">
                              <w:marLeft w:val="0"/>
                              <w:marRight w:val="0"/>
                              <w:marTop w:val="0"/>
                              <w:marBottom w:val="0"/>
                              <w:divBdr>
                                <w:top w:val="none" w:sz="0" w:space="0" w:color="auto"/>
                                <w:left w:val="none" w:sz="0" w:space="0" w:color="auto"/>
                                <w:bottom w:val="none" w:sz="0" w:space="0" w:color="auto"/>
                                <w:right w:val="none" w:sz="0" w:space="0" w:color="auto"/>
                              </w:divBdr>
                            </w:div>
                          </w:divsChild>
                        </w:div>
                        <w:div w:id="175747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2048">
                  <w:marLeft w:val="0"/>
                  <w:marRight w:val="0"/>
                  <w:marTop w:val="0"/>
                  <w:marBottom w:val="0"/>
                  <w:divBdr>
                    <w:top w:val="none" w:sz="0" w:space="0" w:color="auto"/>
                    <w:left w:val="none" w:sz="0" w:space="0" w:color="auto"/>
                    <w:bottom w:val="none" w:sz="0" w:space="0" w:color="auto"/>
                    <w:right w:val="none" w:sz="0" w:space="0" w:color="auto"/>
                  </w:divBdr>
                  <w:divsChild>
                    <w:div w:id="1704357837">
                      <w:marLeft w:val="0"/>
                      <w:marRight w:val="0"/>
                      <w:marTop w:val="0"/>
                      <w:marBottom w:val="0"/>
                      <w:divBdr>
                        <w:top w:val="none" w:sz="0" w:space="0" w:color="auto"/>
                        <w:left w:val="none" w:sz="0" w:space="0" w:color="auto"/>
                        <w:bottom w:val="none" w:sz="0" w:space="0" w:color="auto"/>
                        <w:right w:val="none" w:sz="0" w:space="0" w:color="auto"/>
                      </w:divBdr>
                      <w:divsChild>
                        <w:div w:id="1273170657">
                          <w:marLeft w:val="0"/>
                          <w:marRight w:val="0"/>
                          <w:marTop w:val="0"/>
                          <w:marBottom w:val="0"/>
                          <w:divBdr>
                            <w:top w:val="none" w:sz="0" w:space="0" w:color="auto"/>
                            <w:left w:val="none" w:sz="0" w:space="0" w:color="auto"/>
                            <w:bottom w:val="none" w:sz="0" w:space="0" w:color="auto"/>
                            <w:right w:val="none" w:sz="0" w:space="0" w:color="auto"/>
                          </w:divBdr>
                          <w:divsChild>
                            <w:div w:id="697004646">
                              <w:marLeft w:val="0"/>
                              <w:marRight w:val="0"/>
                              <w:marTop w:val="0"/>
                              <w:marBottom w:val="0"/>
                              <w:divBdr>
                                <w:top w:val="none" w:sz="0" w:space="0" w:color="auto"/>
                                <w:left w:val="none" w:sz="0" w:space="0" w:color="auto"/>
                                <w:bottom w:val="none" w:sz="0" w:space="0" w:color="auto"/>
                                <w:right w:val="none" w:sz="0" w:space="0" w:color="auto"/>
                              </w:divBdr>
                            </w:div>
                          </w:divsChild>
                        </w:div>
                        <w:div w:id="11910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75877">
                  <w:marLeft w:val="0"/>
                  <w:marRight w:val="0"/>
                  <w:marTop w:val="0"/>
                  <w:marBottom w:val="0"/>
                  <w:divBdr>
                    <w:top w:val="none" w:sz="0" w:space="0" w:color="auto"/>
                    <w:left w:val="none" w:sz="0" w:space="0" w:color="auto"/>
                    <w:bottom w:val="none" w:sz="0" w:space="0" w:color="auto"/>
                    <w:right w:val="none" w:sz="0" w:space="0" w:color="auto"/>
                  </w:divBdr>
                  <w:divsChild>
                    <w:div w:id="1617909965">
                      <w:marLeft w:val="0"/>
                      <w:marRight w:val="0"/>
                      <w:marTop w:val="0"/>
                      <w:marBottom w:val="0"/>
                      <w:divBdr>
                        <w:top w:val="none" w:sz="0" w:space="0" w:color="auto"/>
                        <w:left w:val="none" w:sz="0" w:space="0" w:color="auto"/>
                        <w:bottom w:val="none" w:sz="0" w:space="0" w:color="auto"/>
                        <w:right w:val="none" w:sz="0" w:space="0" w:color="auto"/>
                      </w:divBdr>
                      <w:divsChild>
                        <w:div w:id="1276521280">
                          <w:marLeft w:val="0"/>
                          <w:marRight w:val="0"/>
                          <w:marTop w:val="0"/>
                          <w:marBottom w:val="0"/>
                          <w:divBdr>
                            <w:top w:val="none" w:sz="0" w:space="0" w:color="auto"/>
                            <w:left w:val="none" w:sz="0" w:space="0" w:color="auto"/>
                            <w:bottom w:val="none" w:sz="0" w:space="0" w:color="auto"/>
                            <w:right w:val="none" w:sz="0" w:space="0" w:color="auto"/>
                          </w:divBdr>
                          <w:divsChild>
                            <w:div w:id="1007169858">
                              <w:marLeft w:val="0"/>
                              <w:marRight w:val="0"/>
                              <w:marTop w:val="0"/>
                              <w:marBottom w:val="0"/>
                              <w:divBdr>
                                <w:top w:val="none" w:sz="0" w:space="0" w:color="auto"/>
                                <w:left w:val="none" w:sz="0" w:space="0" w:color="auto"/>
                                <w:bottom w:val="none" w:sz="0" w:space="0" w:color="auto"/>
                                <w:right w:val="none" w:sz="0" w:space="0" w:color="auto"/>
                              </w:divBdr>
                            </w:div>
                          </w:divsChild>
                        </w:div>
                        <w:div w:id="104340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8048">
                  <w:marLeft w:val="0"/>
                  <w:marRight w:val="0"/>
                  <w:marTop w:val="0"/>
                  <w:marBottom w:val="0"/>
                  <w:divBdr>
                    <w:top w:val="none" w:sz="0" w:space="0" w:color="auto"/>
                    <w:left w:val="none" w:sz="0" w:space="0" w:color="auto"/>
                    <w:bottom w:val="none" w:sz="0" w:space="0" w:color="auto"/>
                    <w:right w:val="none" w:sz="0" w:space="0" w:color="auto"/>
                  </w:divBdr>
                  <w:divsChild>
                    <w:div w:id="596671221">
                      <w:marLeft w:val="0"/>
                      <w:marRight w:val="0"/>
                      <w:marTop w:val="0"/>
                      <w:marBottom w:val="0"/>
                      <w:divBdr>
                        <w:top w:val="none" w:sz="0" w:space="0" w:color="auto"/>
                        <w:left w:val="none" w:sz="0" w:space="0" w:color="auto"/>
                        <w:bottom w:val="none" w:sz="0" w:space="0" w:color="auto"/>
                        <w:right w:val="none" w:sz="0" w:space="0" w:color="auto"/>
                      </w:divBdr>
                      <w:divsChild>
                        <w:div w:id="743183996">
                          <w:marLeft w:val="0"/>
                          <w:marRight w:val="0"/>
                          <w:marTop w:val="0"/>
                          <w:marBottom w:val="0"/>
                          <w:divBdr>
                            <w:top w:val="none" w:sz="0" w:space="0" w:color="auto"/>
                            <w:left w:val="none" w:sz="0" w:space="0" w:color="auto"/>
                            <w:bottom w:val="none" w:sz="0" w:space="0" w:color="auto"/>
                            <w:right w:val="none" w:sz="0" w:space="0" w:color="auto"/>
                          </w:divBdr>
                          <w:divsChild>
                            <w:div w:id="297807042">
                              <w:marLeft w:val="0"/>
                              <w:marRight w:val="0"/>
                              <w:marTop w:val="0"/>
                              <w:marBottom w:val="0"/>
                              <w:divBdr>
                                <w:top w:val="none" w:sz="0" w:space="0" w:color="auto"/>
                                <w:left w:val="none" w:sz="0" w:space="0" w:color="auto"/>
                                <w:bottom w:val="none" w:sz="0" w:space="0" w:color="auto"/>
                                <w:right w:val="none" w:sz="0" w:space="0" w:color="auto"/>
                              </w:divBdr>
                            </w:div>
                          </w:divsChild>
                        </w:div>
                        <w:div w:id="2067025906">
                          <w:marLeft w:val="0"/>
                          <w:marRight w:val="0"/>
                          <w:marTop w:val="0"/>
                          <w:marBottom w:val="0"/>
                          <w:divBdr>
                            <w:top w:val="none" w:sz="0" w:space="0" w:color="auto"/>
                            <w:left w:val="none" w:sz="0" w:space="0" w:color="auto"/>
                            <w:bottom w:val="none" w:sz="0" w:space="0" w:color="auto"/>
                            <w:right w:val="none" w:sz="0" w:space="0" w:color="auto"/>
                          </w:divBdr>
                        </w:div>
                      </w:divsChild>
                    </w:div>
                    <w:div w:id="1164786216">
                      <w:marLeft w:val="0"/>
                      <w:marRight w:val="0"/>
                      <w:marTop w:val="0"/>
                      <w:marBottom w:val="0"/>
                      <w:divBdr>
                        <w:top w:val="single" w:sz="6" w:space="2" w:color="E62117"/>
                        <w:left w:val="single" w:sz="6" w:space="3" w:color="E62117"/>
                        <w:bottom w:val="single" w:sz="6" w:space="2" w:color="E62117"/>
                        <w:right w:val="single" w:sz="6" w:space="3" w:color="E62117"/>
                      </w:divBdr>
                    </w:div>
                  </w:divsChild>
                </w:div>
                <w:div w:id="220290644">
                  <w:marLeft w:val="0"/>
                  <w:marRight w:val="0"/>
                  <w:marTop w:val="0"/>
                  <w:marBottom w:val="0"/>
                  <w:divBdr>
                    <w:top w:val="none" w:sz="0" w:space="0" w:color="auto"/>
                    <w:left w:val="none" w:sz="0" w:space="0" w:color="auto"/>
                    <w:bottom w:val="none" w:sz="0" w:space="0" w:color="auto"/>
                    <w:right w:val="none" w:sz="0" w:space="0" w:color="auto"/>
                  </w:divBdr>
                  <w:divsChild>
                    <w:div w:id="1663309539">
                      <w:marLeft w:val="0"/>
                      <w:marRight w:val="0"/>
                      <w:marTop w:val="0"/>
                      <w:marBottom w:val="0"/>
                      <w:divBdr>
                        <w:top w:val="none" w:sz="0" w:space="0" w:color="auto"/>
                        <w:left w:val="none" w:sz="0" w:space="0" w:color="auto"/>
                        <w:bottom w:val="none" w:sz="0" w:space="0" w:color="auto"/>
                        <w:right w:val="none" w:sz="0" w:space="0" w:color="auto"/>
                      </w:divBdr>
                      <w:divsChild>
                        <w:div w:id="1457289710">
                          <w:marLeft w:val="0"/>
                          <w:marRight w:val="0"/>
                          <w:marTop w:val="0"/>
                          <w:marBottom w:val="0"/>
                          <w:divBdr>
                            <w:top w:val="none" w:sz="0" w:space="0" w:color="auto"/>
                            <w:left w:val="none" w:sz="0" w:space="0" w:color="auto"/>
                            <w:bottom w:val="none" w:sz="0" w:space="0" w:color="auto"/>
                            <w:right w:val="none" w:sz="0" w:space="0" w:color="auto"/>
                          </w:divBdr>
                          <w:divsChild>
                            <w:div w:id="1124621344">
                              <w:marLeft w:val="0"/>
                              <w:marRight w:val="0"/>
                              <w:marTop w:val="0"/>
                              <w:marBottom w:val="0"/>
                              <w:divBdr>
                                <w:top w:val="none" w:sz="0" w:space="0" w:color="auto"/>
                                <w:left w:val="none" w:sz="0" w:space="0" w:color="auto"/>
                                <w:bottom w:val="none" w:sz="0" w:space="0" w:color="auto"/>
                                <w:right w:val="none" w:sz="0" w:space="0" w:color="auto"/>
                              </w:divBdr>
                            </w:div>
                          </w:divsChild>
                        </w:div>
                        <w:div w:id="4362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70286">
                  <w:marLeft w:val="0"/>
                  <w:marRight w:val="0"/>
                  <w:marTop w:val="0"/>
                  <w:marBottom w:val="0"/>
                  <w:divBdr>
                    <w:top w:val="none" w:sz="0" w:space="0" w:color="auto"/>
                    <w:left w:val="none" w:sz="0" w:space="0" w:color="auto"/>
                    <w:bottom w:val="none" w:sz="0" w:space="0" w:color="auto"/>
                    <w:right w:val="none" w:sz="0" w:space="0" w:color="auto"/>
                  </w:divBdr>
                  <w:divsChild>
                    <w:div w:id="2005819689">
                      <w:marLeft w:val="0"/>
                      <w:marRight w:val="0"/>
                      <w:marTop w:val="0"/>
                      <w:marBottom w:val="0"/>
                      <w:divBdr>
                        <w:top w:val="none" w:sz="0" w:space="0" w:color="auto"/>
                        <w:left w:val="none" w:sz="0" w:space="0" w:color="auto"/>
                        <w:bottom w:val="none" w:sz="0" w:space="0" w:color="auto"/>
                        <w:right w:val="none" w:sz="0" w:space="0" w:color="auto"/>
                      </w:divBdr>
                      <w:divsChild>
                        <w:div w:id="1675568470">
                          <w:marLeft w:val="0"/>
                          <w:marRight w:val="0"/>
                          <w:marTop w:val="0"/>
                          <w:marBottom w:val="0"/>
                          <w:divBdr>
                            <w:top w:val="none" w:sz="0" w:space="0" w:color="auto"/>
                            <w:left w:val="none" w:sz="0" w:space="0" w:color="auto"/>
                            <w:bottom w:val="none" w:sz="0" w:space="0" w:color="auto"/>
                            <w:right w:val="none" w:sz="0" w:space="0" w:color="auto"/>
                          </w:divBdr>
                          <w:divsChild>
                            <w:div w:id="213124359">
                              <w:marLeft w:val="0"/>
                              <w:marRight w:val="0"/>
                              <w:marTop w:val="0"/>
                              <w:marBottom w:val="0"/>
                              <w:divBdr>
                                <w:top w:val="none" w:sz="0" w:space="0" w:color="auto"/>
                                <w:left w:val="none" w:sz="0" w:space="0" w:color="auto"/>
                                <w:bottom w:val="none" w:sz="0" w:space="0" w:color="auto"/>
                                <w:right w:val="none" w:sz="0" w:space="0" w:color="auto"/>
                              </w:divBdr>
                            </w:div>
                          </w:divsChild>
                        </w:div>
                        <w:div w:id="17694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3720">
                  <w:marLeft w:val="0"/>
                  <w:marRight w:val="0"/>
                  <w:marTop w:val="0"/>
                  <w:marBottom w:val="0"/>
                  <w:divBdr>
                    <w:top w:val="none" w:sz="0" w:space="0" w:color="auto"/>
                    <w:left w:val="none" w:sz="0" w:space="0" w:color="auto"/>
                    <w:bottom w:val="none" w:sz="0" w:space="0" w:color="auto"/>
                    <w:right w:val="none" w:sz="0" w:space="0" w:color="auto"/>
                  </w:divBdr>
                  <w:divsChild>
                    <w:div w:id="54622372">
                      <w:marLeft w:val="0"/>
                      <w:marRight w:val="0"/>
                      <w:marTop w:val="0"/>
                      <w:marBottom w:val="0"/>
                      <w:divBdr>
                        <w:top w:val="none" w:sz="0" w:space="0" w:color="auto"/>
                        <w:left w:val="none" w:sz="0" w:space="0" w:color="auto"/>
                        <w:bottom w:val="none" w:sz="0" w:space="0" w:color="auto"/>
                        <w:right w:val="none" w:sz="0" w:space="0" w:color="auto"/>
                      </w:divBdr>
                      <w:divsChild>
                        <w:div w:id="1170363568">
                          <w:marLeft w:val="0"/>
                          <w:marRight w:val="0"/>
                          <w:marTop w:val="0"/>
                          <w:marBottom w:val="0"/>
                          <w:divBdr>
                            <w:top w:val="none" w:sz="0" w:space="0" w:color="auto"/>
                            <w:left w:val="none" w:sz="0" w:space="0" w:color="auto"/>
                            <w:bottom w:val="none" w:sz="0" w:space="0" w:color="auto"/>
                            <w:right w:val="none" w:sz="0" w:space="0" w:color="auto"/>
                          </w:divBdr>
                          <w:divsChild>
                            <w:div w:id="32654319">
                              <w:marLeft w:val="0"/>
                              <w:marRight w:val="0"/>
                              <w:marTop w:val="0"/>
                              <w:marBottom w:val="0"/>
                              <w:divBdr>
                                <w:top w:val="none" w:sz="0" w:space="0" w:color="auto"/>
                                <w:left w:val="none" w:sz="0" w:space="0" w:color="auto"/>
                                <w:bottom w:val="none" w:sz="0" w:space="0" w:color="auto"/>
                                <w:right w:val="none" w:sz="0" w:space="0" w:color="auto"/>
                              </w:divBdr>
                            </w:div>
                          </w:divsChild>
                        </w:div>
                        <w:div w:id="102459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68877">
                  <w:marLeft w:val="0"/>
                  <w:marRight w:val="0"/>
                  <w:marTop w:val="0"/>
                  <w:marBottom w:val="0"/>
                  <w:divBdr>
                    <w:top w:val="none" w:sz="0" w:space="0" w:color="auto"/>
                    <w:left w:val="none" w:sz="0" w:space="0" w:color="auto"/>
                    <w:bottom w:val="none" w:sz="0" w:space="0" w:color="auto"/>
                    <w:right w:val="none" w:sz="0" w:space="0" w:color="auto"/>
                  </w:divBdr>
                  <w:divsChild>
                    <w:div w:id="1690057985">
                      <w:marLeft w:val="0"/>
                      <w:marRight w:val="0"/>
                      <w:marTop w:val="0"/>
                      <w:marBottom w:val="0"/>
                      <w:divBdr>
                        <w:top w:val="none" w:sz="0" w:space="0" w:color="auto"/>
                        <w:left w:val="none" w:sz="0" w:space="0" w:color="auto"/>
                        <w:bottom w:val="none" w:sz="0" w:space="0" w:color="auto"/>
                        <w:right w:val="none" w:sz="0" w:space="0" w:color="auto"/>
                      </w:divBdr>
                      <w:divsChild>
                        <w:div w:id="1353219728">
                          <w:marLeft w:val="0"/>
                          <w:marRight w:val="0"/>
                          <w:marTop w:val="0"/>
                          <w:marBottom w:val="0"/>
                          <w:divBdr>
                            <w:top w:val="none" w:sz="0" w:space="0" w:color="auto"/>
                            <w:left w:val="none" w:sz="0" w:space="0" w:color="auto"/>
                            <w:bottom w:val="none" w:sz="0" w:space="0" w:color="auto"/>
                            <w:right w:val="none" w:sz="0" w:space="0" w:color="auto"/>
                          </w:divBdr>
                          <w:divsChild>
                            <w:div w:id="2141603807">
                              <w:marLeft w:val="0"/>
                              <w:marRight w:val="0"/>
                              <w:marTop w:val="0"/>
                              <w:marBottom w:val="0"/>
                              <w:divBdr>
                                <w:top w:val="none" w:sz="0" w:space="0" w:color="auto"/>
                                <w:left w:val="none" w:sz="0" w:space="0" w:color="auto"/>
                                <w:bottom w:val="none" w:sz="0" w:space="0" w:color="auto"/>
                                <w:right w:val="none" w:sz="0" w:space="0" w:color="auto"/>
                              </w:divBdr>
                            </w:div>
                          </w:divsChild>
                        </w:div>
                        <w:div w:id="172703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26448">
              <w:marLeft w:val="0"/>
              <w:marRight w:val="0"/>
              <w:marTop w:val="0"/>
              <w:marBottom w:val="0"/>
              <w:divBdr>
                <w:top w:val="none" w:sz="0" w:space="0" w:color="auto"/>
                <w:left w:val="none" w:sz="0" w:space="0" w:color="auto"/>
                <w:bottom w:val="none" w:sz="0" w:space="0" w:color="auto"/>
                <w:right w:val="none" w:sz="0" w:space="0" w:color="auto"/>
              </w:divBdr>
            </w:div>
          </w:divsChild>
        </w:div>
        <w:div w:id="1101529883">
          <w:marLeft w:val="0"/>
          <w:marRight w:val="0"/>
          <w:marTop w:val="0"/>
          <w:marBottom w:val="0"/>
          <w:divBdr>
            <w:top w:val="none" w:sz="0" w:space="0" w:color="auto"/>
            <w:left w:val="none" w:sz="0" w:space="0" w:color="auto"/>
            <w:bottom w:val="none" w:sz="0" w:space="0" w:color="auto"/>
            <w:right w:val="none" w:sz="0" w:space="0" w:color="auto"/>
          </w:divBdr>
          <w:divsChild>
            <w:div w:id="271134762">
              <w:marLeft w:val="0"/>
              <w:marRight w:val="0"/>
              <w:marTop w:val="0"/>
              <w:marBottom w:val="0"/>
              <w:divBdr>
                <w:top w:val="none" w:sz="0" w:space="0" w:color="auto"/>
                <w:left w:val="none" w:sz="0" w:space="0" w:color="auto"/>
                <w:bottom w:val="none" w:sz="0" w:space="0" w:color="auto"/>
                <w:right w:val="none" w:sz="0" w:space="0" w:color="auto"/>
              </w:divBdr>
              <w:divsChild>
                <w:div w:id="15597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52151">
      <w:bodyDiv w:val="1"/>
      <w:marLeft w:val="0"/>
      <w:marRight w:val="0"/>
      <w:marTop w:val="0"/>
      <w:marBottom w:val="0"/>
      <w:divBdr>
        <w:top w:val="none" w:sz="0" w:space="0" w:color="auto"/>
        <w:left w:val="none" w:sz="0" w:space="0" w:color="auto"/>
        <w:bottom w:val="none" w:sz="0" w:space="0" w:color="auto"/>
        <w:right w:val="none" w:sz="0" w:space="0" w:color="auto"/>
      </w:divBdr>
    </w:div>
    <w:div w:id="711613824">
      <w:bodyDiv w:val="1"/>
      <w:marLeft w:val="0"/>
      <w:marRight w:val="0"/>
      <w:marTop w:val="0"/>
      <w:marBottom w:val="0"/>
      <w:divBdr>
        <w:top w:val="none" w:sz="0" w:space="0" w:color="auto"/>
        <w:left w:val="none" w:sz="0" w:space="0" w:color="auto"/>
        <w:bottom w:val="none" w:sz="0" w:space="0" w:color="auto"/>
        <w:right w:val="none" w:sz="0" w:space="0" w:color="auto"/>
      </w:divBdr>
    </w:div>
    <w:div w:id="718482788">
      <w:bodyDiv w:val="1"/>
      <w:marLeft w:val="0"/>
      <w:marRight w:val="0"/>
      <w:marTop w:val="0"/>
      <w:marBottom w:val="0"/>
      <w:divBdr>
        <w:top w:val="none" w:sz="0" w:space="0" w:color="auto"/>
        <w:left w:val="none" w:sz="0" w:space="0" w:color="auto"/>
        <w:bottom w:val="none" w:sz="0" w:space="0" w:color="auto"/>
        <w:right w:val="none" w:sz="0" w:space="0" w:color="auto"/>
      </w:divBdr>
    </w:div>
    <w:div w:id="719327812">
      <w:bodyDiv w:val="1"/>
      <w:marLeft w:val="0"/>
      <w:marRight w:val="0"/>
      <w:marTop w:val="0"/>
      <w:marBottom w:val="0"/>
      <w:divBdr>
        <w:top w:val="none" w:sz="0" w:space="0" w:color="auto"/>
        <w:left w:val="none" w:sz="0" w:space="0" w:color="auto"/>
        <w:bottom w:val="none" w:sz="0" w:space="0" w:color="auto"/>
        <w:right w:val="none" w:sz="0" w:space="0" w:color="auto"/>
      </w:divBdr>
    </w:div>
    <w:div w:id="737174500">
      <w:bodyDiv w:val="1"/>
      <w:marLeft w:val="0"/>
      <w:marRight w:val="0"/>
      <w:marTop w:val="0"/>
      <w:marBottom w:val="0"/>
      <w:divBdr>
        <w:top w:val="none" w:sz="0" w:space="0" w:color="auto"/>
        <w:left w:val="none" w:sz="0" w:space="0" w:color="auto"/>
        <w:bottom w:val="none" w:sz="0" w:space="0" w:color="auto"/>
        <w:right w:val="none" w:sz="0" w:space="0" w:color="auto"/>
      </w:divBdr>
    </w:div>
    <w:div w:id="741567725">
      <w:bodyDiv w:val="1"/>
      <w:marLeft w:val="0"/>
      <w:marRight w:val="0"/>
      <w:marTop w:val="0"/>
      <w:marBottom w:val="0"/>
      <w:divBdr>
        <w:top w:val="none" w:sz="0" w:space="0" w:color="auto"/>
        <w:left w:val="none" w:sz="0" w:space="0" w:color="auto"/>
        <w:bottom w:val="none" w:sz="0" w:space="0" w:color="auto"/>
        <w:right w:val="none" w:sz="0" w:space="0" w:color="auto"/>
      </w:divBdr>
    </w:div>
    <w:div w:id="747270187">
      <w:bodyDiv w:val="1"/>
      <w:marLeft w:val="0"/>
      <w:marRight w:val="0"/>
      <w:marTop w:val="0"/>
      <w:marBottom w:val="0"/>
      <w:divBdr>
        <w:top w:val="none" w:sz="0" w:space="0" w:color="auto"/>
        <w:left w:val="none" w:sz="0" w:space="0" w:color="auto"/>
        <w:bottom w:val="none" w:sz="0" w:space="0" w:color="auto"/>
        <w:right w:val="none" w:sz="0" w:space="0" w:color="auto"/>
      </w:divBdr>
    </w:div>
    <w:div w:id="748700626">
      <w:bodyDiv w:val="1"/>
      <w:marLeft w:val="0"/>
      <w:marRight w:val="0"/>
      <w:marTop w:val="0"/>
      <w:marBottom w:val="0"/>
      <w:divBdr>
        <w:top w:val="none" w:sz="0" w:space="0" w:color="auto"/>
        <w:left w:val="none" w:sz="0" w:space="0" w:color="auto"/>
        <w:bottom w:val="none" w:sz="0" w:space="0" w:color="auto"/>
        <w:right w:val="none" w:sz="0" w:space="0" w:color="auto"/>
      </w:divBdr>
    </w:div>
    <w:div w:id="749354317">
      <w:bodyDiv w:val="1"/>
      <w:marLeft w:val="0"/>
      <w:marRight w:val="0"/>
      <w:marTop w:val="0"/>
      <w:marBottom w:val="0"/>
      <w:divBdr>
        <w:top w:val="none" w:sz="0" w:space="0" w:color="auto"/>
        <w:left w:val="none" w:sz="0" w:space="0" w:color="auto"/>
        <w:bottom w:val="none" w:sz="0" w:space="0" w:color="auto"/>
        <w:right w:val="none" w:sz="0" w:space="0" w:color="auto"/>
      </w:divBdr>
    </w:div>
    <w:div w:id="751271308">
      <w:bodyDiv w:val="1"/>
      <w:marLeft w:val="0"/>
      <w:marRight w:val="0"/>
      <w:marTop w:val="0"/>
      <w:marBottom w:val="0"/>
      <w:divBdr>
        <w:top w:val="none" w:sz="0" w:space="0" w:color="auto"/>
        <w:left w:val="none" w:sz="0" w:space="0" w:color="auto"/>
        <w:bottom w:val="none" w:sz="0" w:space="0" w:color="auto"/>
        <w:right w:val="none" w:sz="0" w:space="0" w:color="auto"/>
      </w:divBdr>
    </w:div>
    <w:div w:id="755790673">
      <w:bodyDiv w:val="1"/>
      <w:marLeft w:val="0"/>
      <w:marRight w:val="0"/>
      <w:marTop w:val="0"/>
      <w:marBottom w:val="0"/>
      <w:divBdr>
        <w:top w:val="none" w:sz="0" w:space="0" w:color="auto"/>
        <w:left w:val="none" w:sz="0" w:space="0" w:color="auto"/>
        <w:bottom w:val="none" w:sz="0" w:space="0" w:color="auto"/>
        <w:right w:val="none" w:sz="0" w:space="0" w:color="auto"/>
      </w:divBdr>
    </w:div>
    <w:div w:id="773476292">
      <w:bodyDiv w:val="1"/>
      <w:marLeft w:val="0"/>
      <w:marRight w:val="0"/>
      <w:marTop w:val="0"/>
      <w:marBottom w:val="0"/>
      <w:divBdr>
        <w:top w:val="none" w:sz="0" w:space="0" w:color="auto"/>
        <w:left w:val="none" w:sz="0" w:space="0" w:color="auto"/>
        <w:bottom w:val="none" w:sz="0" w:space="0" w:color="auto"/>
        <w:right w:val="none" w:sz="0" w:space="0" w:color="auto"/>
      </w:divBdr>
    </w:div>
    <w:div w:id="774709462">
      <w:bodyDiv w:val="1"/>
      <w:marLeft w:val="0"/>
      <w:marRight w:val="0"/>
      <w:marTop w:val="0"/>
      <w:marBottom w:val="0"/>
      <w:divBdr>
        <w:top w:val="none" w:sz="0" w:space="0" w:color="auto"/>
        <w:left w:val="none" w:sz="0" w:space="0" w:color="auto"/>
        <w:bottom w:val="none" w:sz="0" w:space="0" w:color="auto"/>
        <w:right w:val="none" w:sz="0" w:space="0" w:color="auto"/>
      </w:divBdr>
    </w:div>
    <w:div w:id="784233349">
      <w:bodyDiv w:val="1"/>
      <w:marLeft w:val="0"/>
      <w:marRight w:val="0"/>
      <w:marTop w:val="0"/>
      <w:marBottom w:val="0"/>
      <w:divBdr>
        <w:top w:val="none" w:sz="0" w:space="0" w:color="auto"/>
        <w:left w:val="none" w:sz="0" w:space="0" w:color="auto"/>
        <w:bottom w:val="none" w:sz="0" w:space="0" w:color="auto"/>
        <w:right w:val="none" w:sz="0" w:space="0" w:color="auto"/>
      </w:divBdr>
    </w:div>
    <w:div w:id="793719872">
      <w:bodyDiv w:val="1"/>
      <w:marLeft w:val="0"/>
      <w:marRight w:val="0"/>
      <w:marTop w:val="0"/>
      <w:marBottom w:val="0"/>
      <w:divBdr>
        <w:top w:val="none" w:sz="0" w:space="0" w:color="auto"/>
        <w:left w:val="none" w:sz="0" w:space="0" w:color="auto"/>
        <w:bottom w:val="none" w:sz="0" w:space="0" w:color="auto"/>
        <w:right w:val="none" w:sz="0" w:space="0" w:color="auto"/>
      </w:divBdr>
    </w:div>
    <w:div w:id="801465929">
      <w:bodyDiv w:val="1"/>
      <w:marLeft w:val="0"/>
      <w:marRight w:val="0"/>
      <w:marTop w:val="0"/>
      <w:marBottom w:val="0"/>
      <w:divBdr>
        <w:top w:val="none" w:sz="0" w:space="0" w:color="auto"/>
        <w:left w:val="none" w:sz="0" w:space="0" w:color="auto"/>
        <w:bottom w:val="none" w:sz="0" w:space="0" w:color="auto"/>
        <w:right w:val="none" w:sz="0" w:space="0" w:color="auto"/>
      </w:divBdr>
    </w:div>
    <w:div w:id="814376178">
      <w:bodyDiv w:val="1"/>
      <w:marLeft w:val="0"/>
      <w:marRight w:val="0"/>
      <w:marTop w:val="0"/>
      <w:marBottom w:val="0"/>
      <w:divBdr>
        <w:top w:val="none" w:sz="0" w:space="0" w:color="auto"/>
        <w:left w:val="none" w:sz="0" w:space="0" w:color="auto"/>
        <w:bottom w:val="none" w:sz="0" w:space="0" w:color="auto"/>
        <w:right w:val="none" w:sz="0" w:space="0" w:color="auto"/>
      </w:divBdr>
    </w:div>
    <w:div w:id="815150579">
      <w:bodyDiv w:val="1"/>
      <w:marLeft w:val="0"/>
      <w:marRight w:val="0"/>
      <w:marTop w:val="0"/>
      <w:marBottom w:val="0"/>
      <w:divBdr>
        <w:top w:val="none" w:sz="0" w:space="0" w:color="auto"/>
        <w:left w:val="none" w:sz="0" w:space="0" w:color="auto"/>
        <w:bottom w:val="none" w:sz="0" w:space="0" w:color="auto"/>
        <w:right w:val="none" w:sz="0" w:space="0" w:color="auto"/>
      </w:divBdr>
    </w:div>
    <w:div w:id="822239016">
      <w:bodyDiv w:val="1"/>
      <w:marLeft w:val="0"/>
      <w:marRight w:val="0"/>
      <w:marTop w:val="0"/>
      <w:marBottom w:val="0"/>
      <w:divBdr>
        <w:top w:val="none" w:sz="0" w:space="0" w:color="auto"/>
        <w:left w:val="none" w:sz="0" w:space="0" w:color="auto"/>
        <w:bottom w:val="none" w:sz="0" w:space="0" w:color="auto"/>
        <w:right w:val="none" w:sz="0" w:space="0" w:color="auto"/>
      </w:divBdr>
    </w:div>
    <w:div w:id="838035964">
      <w:bodyDiv w:val="1"/>
      <w:marLeft w:val="0"/>
      <w:marRight w:val="0"/>
      <w:marTop w:val="0"/>
      <w:marBottom w:val="0"/>
      <w:divBdr>
        <w:top w:val="none" w:sz="0" w:space="0" w:color="auto"/>
        <w:left w:val="none" w:sz="0" w:space="0" w:color="auto"/>
        <w:bottom w:val="none" w:sz="0" w:space="0" w:color="auto"/>
        <w:right w:val="none" w:sz="0" w:space="0" w:color="auto"/>
      </w:divBdr>
    </w:div>
    <w:div w:id="840584023">
      <w:bodyDiv w:val="1"/>
      <w:marLeft w:val="0"/>
      <w:marRight w:val="0"/>
      <w:marTop w:val="0"/>
      <w:marBottom w:val="0"/>
      <w:divBdr>
        <w:top w:val="none" w:sz="0" w:space="0" w:color="auto"/>
        <w:left w:val="none" w:sz="0" w:space="0" w:color="auto"/>
        <w:bottom w:val="none" w:sz="0" w:space="0" w:color="auto"/>
        <w:right w:val="none" w:sz="0" w:space="0" w:color="auto"/>
      </w:divBdr>
    </w:div>
    <w:div w:id="842277438">
      <w:bodyDiv w:val="1"/>
      <w:marLeft w:val="0"/>
      <w:marRight w:val="0"/>
      <w:marTop w:val="0"/>
      <w:marBottom w:val="0"/>
      <w:divBdr>
        <w:top w:val="none" w:sz="0" w:space="0" w:color="auto"/>
        <w:left w:val="none" w:sz="0" w:space="0" w:color="auto"/>
        <w:bottom w:val="none" w:sz="0" w:space="0" w:color="auto"/>
        <w:right w:val="none" w:sz="0" w:space="0" w:color="auto"/>
      </w:divBdr>
    </w:div>
    <w:div w:id="849491987">
      <w:bodyDiv w:val="1"/>
      <w:marLeft w:val="0"/>
      <w:marRight w:val="0"/>
      <w:marTop w:val="0"/>
      <w:marBottom w:val="0"/>
      <w:divBdr>
        <w:top w:val="none" w:sz="0" w:space="0" w:color="auto"/>
        <w:left w:val="none" w:sz="0" w:space="0" w:color="auto"/>
        <w:bottom w:val="none" w:sz="0" w:space="0" w:color="auto"/>
        <w:right w:val="none" w:sz="0" w:space="0" w:color="auto"/>
      </w:divBdr>
    </w:div>
    <w:div w:id="862519943">
      <w:bodyDiv w:val="1"/>
      <w:marLeft w:val="0"/>
      <w:marRight w:val="0"/>
      <w:marTop w:val="0"/>
      <w:marBottom w:val="0"/>
      <w:divBdr>
        <w:top w:val="none" w:sz="0" w:space="0" w:color="auto"/>
        <w:left w:val="none" w:sz="0" w:space="0" w:color="auto"/>
        <w:bottom w:val="none" w:sz="0" w:space="0" w:color="auto"/>
        <w:right w:val="none" w:sz="0" w:space="0" w:color="auto"/>
      </w:divBdr>
    </w:div>
    <w:div w:id="879054647">
      <w:bodyDiv w:val="1"/>
      <w:marLeft w:val="0"/>
      <w:marRight w:val="0"/>
      <w:marTop w:val="0"/>
      <w:marBottom w:val="0"/>
      <w:divBdr>
        <w:top w:val="none" w:sz="0" w:space="0" w:color="auto"/>
        <w:left w:val="none" w:sz="0" w:space="0" w:color="auto"/>
        <w:bottom w:val="none" w:sz="0" w:space="0" w:color="auto"/>
        <w:right w:val="none" w:sz="0" w:space="0" w:color="auto"/>
      </w:divBdr>
    </w:div>
    <w:div w:id="885410224">
      <w:bodyDiv w:val="1"/>
      <w:marLeft w:val="0"/>
      <w:marRight w:val="0"/>
      <w:marTop w:val="0"/>
      <w:marBottom w:val="0"/>
      <w:divBdr>
        <w:top w:val="none" w:sz="0" w:space="0" w:color="auto"/>
        <w:left w:val="none" w:sz="0" w:space="0" w:color="auto"/>
        <w:bottom w:val="none" w:sz="0" w:space="0" w:color="auto"/>
        <w:right w:val="none" w:sz="0" w:space="0" w:color="auto"/>
      </w:divBdr>
    </w:div>
    <w:div w:id="899638135">
      <w:bodyDiv w:val="1"/>
      <w:marLeft w:val="0"/>
      <w:marRight w:val="0"/>
      <w:marTop w:val="0"/>
      <w:marBottom w:val="0"/>
      <w:divBdr>
        <w:top w:val="none" w:sz="0" w:space="0" w:color="auto"/>
        <w:left w:val="none" w:sz="0" w:space="0" w:color="auto"/>
        <w:bottom w:val="none" w:sz="0" w:space="0" w:color="auto"/>
        <w:right w:val="none" w:sz="0" w:space="0" w:color="auto"/>
      </w:divBdr>
    </w:div>
    <w:div w:id="903373506">
      <w:bodyDiv w:val="1"/>
      <w:marLeft w:val="0"/>
      <w:marRight w:val="0"/>
      <w:marTop w:val="0"/>
      <w:marBottom w:val="0"/>
      <w:divBdr>
        <w:top w:val="none" w:sz="0" w:space="0" w:color="auto"/>
        <w:left w:val="none" w:sz="0" w:space="0" w:color="auto"/>
        <w:bottom w:val="none" w:sz="0" w:space="0" w:color="auto"/>
        <w:right w:val="none" w:sz="0" w:space="0" w:color="auto"/>
      </w:divBdr>
    </w:div>
    <w:div w:id="917909601">
      <w:bodyDiv w:val="1"/>
      <w:marLeft w:val="0"/>
      <w:marRight w:val="0"/>
      <w:marTop w:val="0"/>
      <w:marBottom w:val="0"/>
      <w:divBdr>
        <w:top w:val="none" w:sz="0" w:space="0" w:color="auto"/>
        <w:left w:val="none" w:sz="0" w:space="0" w:color="auto"/>
        <w:bottom w:val="none" w:sz="0" w:space="0" w:color="auto"/>
        <w:right w:val="none" w:sz="0" w:space="0" w:color="auto"/>
      </w:divBdr>
    </w:div>
    <w:div w:id="927888774">
      <w:bodyDiv w:val="1"/>
      <w:marLeft w:val="0"/>
      <w:marRight w:val="0"/>
      <w:marTop w:val="0"/>
      <w:marBottom w:val="0"/>
      <w:divBdr>
        <w:top w:val="none" w:sz="0" w:space="0" w:color="auto"/>
        <w:left w:val="none" w:sz="0" w:space="0" w:color="auto"/>
        <w:bottom w:val="none" w:sz="0" w:space="0" w:color="auto"/>
        <w:right w:val="none" w:sz="0" w:space="0" w:color="auto"/>
      </w:divBdr>
    </w:div>
    <w:div w:id="939291959">
      <w:bodyDiv w:val="1"/>
      <w:marLeft w:val="0"/>
      <w:marRight w:val="0"/>
      <w:marTop w:val="0"/>
      <w:marBottom w:val="0"/>
      <w:divBdr>
        <w:top w:val="none" w:sz="0" w:space="0" w:color="auto"/>
        <w:left w:val="none" w:sz="0" w:space="0" w:color="auto"/>
        <w:bottom w:val="none" w:sz="0" w:space="0" w:color="auto"/>
        <w:right w:val="none" w:sz="0" w:space="0" w:color="auto"/>
      </w:divBdr>
    </w:div>
    <w:div w:id="939794985">
      <w:bodyDiv w:val="1"/>
      <w:marLeft w:val="0"/>
      <w:marRight w:val="0"/>
      <w:marTop w:val="0"/>
      <w:marBottom w:val="0"/>
      <w:divBdr>
        <w:top w:val="none" w:sz="0" w:space="0" w:color="auto"/>
        <w:left w:val="none" w:sz="0" w:space="0" w:color="auto"/>
        <w:bottom w:val="none" w:sz="0" w:space="0" w:color="auto"/>
        <w:right w:val="none" w:sz="0" w:space="0" w:color="auto"/>
      </w:divBdr>
    </w:div>
    <w:div w:id="956326223">
      <w:bodyDiv w:val="1"/>
      <w:marLeft w:val="0"/>
      <w:marRight w:val="0"/>
      <w:marTop w:val="0"/>
      <w:marBottom w:val="0"/>
      <w:divBdr>
        <w:top w:val="none" w:sz="0" w:space="0" w:color="auto"/>
        <w:left w:val="none" w:sz="0" w:space="0" w:color="auto"/>
        <w:bottom w:val="none" w:sz="0" w:space="0" w:color="auto"/>
        <w:right w:val="none" w:sz="0" w:space="0" w:color="auto"/>
      </w:divBdr>
    </w:div>
    <w:div w:id="957448066">
      <w:bodyDiv w:val="1"/>
      <w:marLeft w:val="0"/>
      <w:marRight w:val="0"/>
      <w:marTop w:val="0"/>
      <w:marBottom w:val="0"/>
      <w:divBdr>
        <w:top w:val="none" w:sz="0" w:space="0" w:color="auto"/>
        <w:left w:val="none" w:sz="0" w:space="0" w:color="auto"/>
        <w:bottom w:val="none" w:sz="0" w:space="0" w:color="auto"/>
        <w:right w:val="none" w:sz="0" w:space="0" w:color="auto"/>
      </w:divBdr>
    </w:div>
    <w:div w:id="973633188">
      <w:bodyDiv w:val="1"/>
      <w:marLeft w:val="0"/>
      <w:marRight w:val="0"/>
      <w:marTop w:val="0"/>
      <w:marBottom w:val="0"/>
      <w:divBdr>
        <w:top w:val="none" w:sz="0" w:space="0" w:color="auto"/>
        <w:left w:val="none" w:sz="0" w:space="0" w:color="auto"/>
        <w:bottom w:val="none" w:sz="0" w:space="0" w:color="auto"/>
        <w:right w:val="none" w:sz="0" w:space="0" w:color="auto"/>
      </w:divBdr>
    </w:div>
    <w:div w:id="989939541">
      <w:bodyDiv w:val="1"/>
      <w:marLeft w:val="0"/>
      <w:marRight w:val="0"/>
      <w:marTop w:val="0"/>
      <w:marBottom w:val="0"/>
      <w:divBdr>
        <w:top w:val="none" w:sz="0" w:space="0" w:color="auto"/>
        <w:left w:val="none" w:sz="0" w:space="0" w:color="auto"/>
        <w:bottom w:val="none" w:sz="0" w:space="0" w:color="auto"/>
        <w:right w:val="none" w:sz="0" w:space="0" w:color="auto"/>
      </w:divBdr>
    </w:div>
    <w:div w:id="990210232">
      <w:bodyDiv w:val="1"/>
      <w:marLeft w:val="0"/>
      <w:marRight w:val="0"/>
      <w:marTop w:val="0"/>
      <w:marBottom w:val="0"/>
      <w:divBdr>
        <w:top w:val="none" w:sz="0" w:space="0" w:color="auto"/>
        <w:left w:val="none" w:sz="0" w:space="0" w:color="auto"/>
        <w:bottom w:val="none" w:sz="0" w:space="0" w:color="auto"/>
        <w:right w:val="none" w:sz="0" w:space="0" w:color="auto"/>
      </w:divBdr>
    </w:div>
    <w:div w:id="1005597749">
      <w:bodyDiv w:val="1"/>
      <w:marLeft w:val="0"/>
      <w:marRight w:val="0"/>
      <w:marTop w:val="0"/>
      <w:marBottom w:val="0"/>
      <w:divBdr>
        <w:top w:val="none" w:sz="0" w:space="0" w:color="auto"/>
        <w:left w:val="none" w:sz="0" w:space="0" w:color="auto"/>
        <w:bottom w:val="none" w:sz="0" w:space="0" w:color="auto"/>
        <w:right w:val="none" w:sz="0" w:space="0" w:color="auto"/>
      </w:divBdr>
    </w:div>
    <w:div w:id="1039208276">
      <w:bodyDiv w:val="1"/>
      <w:marLeft w:val="0"/>
      <w:marRight w:val="0"/>
      <w:marTop w:val="0"/>
      <w:marBottom w:val="0"/>
      <w:divBdr>
        <w:top w:val="none" w:sz="0" w:space="0" w:color="auto"/>
        <w:left w:val="none" w:sz="0" w:space="0" w:color="auto"/>
        <w:bottom w:val="none" w:sz="0" w:space="0" w:color="auto"/>
        <w:right w:val="none" w:sz="0" w:space="0" w:color="auto"/>
      </w:divBdr>
    </w:div>
    <w:div w:id="1047995730">
      <w:bodyDiv w:val="1"/>
      <w:marLeft w:val="0"/>
      <w:marRight w:val="0"/>
      <w:marTop w:val="0"/>
      <w:marBottom w:val="0"/>
      <w:divBdr>
        <w:top w:val="none" w:sz="0" w:space="0" w:color="auto"/>
        <w:left w:val="none" w:sz="0" w:space="0" w:color="auto"/>
        <w:bottom w:val="none" w:sz="0" w:space="0" w:color="auto"/>
        <w:right w:val="none" w:sz="0" w:space="0" w:color="auto"/>
      </w:divBdr>
    </w:div>
    <w:div w:id="1049263540">
      <w:bodyDiv w:val="1"/>
      <w:marLeft w:val="0"/>
      <w:marRight w:val="0"/>
      <w:marTop w:val="0"/>
      <w:marBottom w:val="0"/>
      <w:divBdr>
        <w:top w:val="none" w:sz="0" w:space="0" w:color="auto"/>
        <w:left w:val="none" w:sz="0" w:space="0" w:color="auto"/>
        <w:bottom w:val="none" w:sz="0" w:space="0" w:color="auto"/>
        <w:right w:val="none" w:sz="0" w:space="0" w:color="auto"/>
      </w:divBdr>
    </w:div>
    <w:div w:id="1050307965">
      <w:bodyDiv w:val="1"/>
      <w:marLeft w:val="0"/>
      <w:marRight w:val="0"/>
      <w:marTop w:val="0"/>
      <w:marBottom w:val="0"/>
      <w:divBdr>
        <w:top w:val="none" w:sz="0" w:space="0" w:color="auto"/>
        <w:left w:val="none" w:sz="0" w:space="0" w:color="auto"/>
        <w:bottom w:val="none" w:sz="0" w:space="0" w:color="auto"/>
        <w:right w:val="none" w:sz="0" w:space="0" w:color="auto"/>
      </w:divBdr>
    </w:div>
    <w:div w:id="1059137683">
      <w:bodyDiv w:val="1"/>
      <w:marLeft w:val="0"/>
      <w:marRight w:val="0"/>
      <w:marTop w:val="0"/>
      <w:marBottom w:val="0"/>
      <w:divBdr>
        <w:top w:val="none" w:sz="0" w:space="0" w:color="auto"/>
        <w:left w:val="none" w:sz="0" w:space="0" w:color="auto"/>
        <w:bottom w:val="none" w:sz="0" w:space="0" w:color="auto"/>
        <w:right w:val="none" w:sz="0" w:space="0" w:color="auto"/>
      </w:divBdr>
    </w:div>
    <w:div w:id="1061975979">
      <w:bodyDiv w:val="1"/>
      <w:marLeft w:val="0"/>
      <w:marRight w:val="0"/>
      <w:marTop w:val="0"/>
      <w:marBottom w:val="0"/>
      <w:divBdr>
        <w:top w:val="none" w:sz="0" w:space="0" w:color="auto"/>
        <w:left w:val="none" w:sz="0" w:space="0" w:color="auto"/>
        <w:bottom w:val="none" w:sz="0" w:space="0" w:color="auto"/>
        <w:right w:val="none" w:sz="0" w:space="0" w:color="auto"/>
      </w:divBdr>
    </w:div>
    <w:div w:id="1098792650">
      <w:bodyDiv w:val="1"/>
      <w:marLeft w:val="0"/>
      <w:marRight w:val="0"/>
      <w:marTop w:val="0"/>
      <w:marBottom w:val="0"/>
      <w:divBdr>
        <w:top w:val="none" w:sz="0" w:space="0" w:color="auto"/>
        <w:left w:val="none" w:sz="0" w:space="0" w:color="auto"/>
        <w:bottom w:val="none" w:sz="0" w:space="0" w:color="auto"/>
        <w:right w:val="none" w:sz="0" w:space="0" w:color="auto"/>
      </w:divBdr>
    </w:div>
    <w:div w:id="1105153206">
      <w:bodyDiv w:val="1"/>
      <w:marLeft w:val="0"/>
      <w:marRight w:val="0"/>
      <w:marTop w:val="0"/>
      <w:marBottom w:val="0"/>
      <w:divBdr>
        <w:top w:val="none" w:sz="0" w:space="0" w:color="auto"/>
        <w:left w:val="none" w:sz="0" w:space="0" w:color="auto"/>
        <w:bottom w:val="none" w:sz="0" w:space="0" w:color="auto"/>
        <w:right w:val="none" w:sz="0" w:space="0" w:color="auto"/>
      </w:divBdr>
    </w:div>
    <w:div w:id="1105615114">
      <w:bodyDiv w:val="1"/>
      <w:marLeft w:val="0"/>
      <w:marRight w:val="0"/>
      <w:marTop w:val="0"/>
      <w:marBottom w:val="0"/>
      <w:divBdr>
        <w:top w:val="none" w:sz="0" w:space="0" w:color="auto"/>
        <w:left w:val="none" w:sz="0" w:space="0" w:color="auto"/>
        <w:bottom w:val="none" w:sz="0" w:space="0" w:color="auto"/>
        <w:right w:val="none" w:sz="0" w:space="0" w:color="auto"/>
      </w:divBdr>
    </w:div>
    <w:div w:id="1108114199">
      <w:bodyDiv w:val="1"/>
      <w:marLeft w:val="0"/>
      <w:marRight w:val="0"/>
      <w:marTop w:val="0"/>
      <w:marBottom w:val="0"/>
      <w:divBdr>
        <w:top w:val="none" w:sz="0" w:space="0" w:color="auto"/>
        <w:left w:val="none" w:sz="0" w:space="0" w:color="auto"/>
        <w:bottom w:val="none" w:sz="0" w:space="0" w:color="auto"/>
        <w:right w:val="none" w:sz="0" w:space="0" w:color="auto"/>
      </w:divBdr>
    </w:div>
    <w:div w:id="1111170118">
      <w:bodyDiv w:val="1"/>
      <w:marLeft w:val="0"/>
      <w:marRight w:val="0"/>
      <w:marTop w:val="0"/>
      <w:marBottom w:val="0"/>
      <w:divBdr>
        <w:top w:val="none" w:sz="0" w:space="0" w:color="auto"/>
        <w:left w:val="none" w:sz="0" w:space="0" w:color="auto"/>
        <w:bottom w:val="none" w:sz="0" w:space="0" w:color="auto"/>
        <w:right w:val="none" w:sz="0" w:space="0" w:color="auto"/>
      </w:divBdr>
    </w:div>
    <w:div w:id="1113330790">
      <w:bodyDiv w:val="1"/>
      <w:marLeft w:val="0"/>
      <w:marRight w:val="0"/>
      <w:marTop w:val="0"/>
      <w:marBottom w:val="0"/>
      <w:divBdr>
        <w:top w:val="none" w:sz="0" w:space="0" w:color="auto"/>
        <w:left w:val="none" w:sz="0" w:space="0" w:color="auto"/>
        <w:bottom w:val="none" w:sz="0" w:space="0" w:color="auto"/>
        <w:right w:val="none" w:sz="0" w:space="0" w:color="auto"/>
      </w:divBdr>
    </w:div>
    <w:div w:id="1129208407">
      <w:bodyDiv w:val="1"/>
      <w:marLeft w:val="0"/>
      <w:marRight w:val="0"/>
      <w:marTop w:val="0"/>
      <w:marBottom w:val="0"/>
      <w:divBdr>
        <w:top w:val="none" w:sz="0" w:space="0" w:color="auto"/>
        <w:left w:val="none" w:sz="0" w:space="0" w:color="auto"/>
        <w:bottom w:val="none" w:sz="0" w:space="0" w:color="auto"/>
        <w:right w:val="none" w:sz="0" w:space="0" w:color="auto"/>
      </w:divBdr>
    </w:div>
    <w:div w:id="1137644906">
      <w:bodyDiv w:val="1"/>
      <w:marLeft w:val="0"/>
      <w:marRight w:val="0"/>
      <w:marTop w:val="0"/>
      <w:marBottom w:val="0"/>
      <w:divBdr>
        <w:top w:val="none" w:sz="0" w:space="0" w:color="auto"/>
        <w:left w:val="none" w:sz="0" w:space="0" w:color="auto"/>
        <w:bottom w:val="none" w:sz="0" w:space="0" w:color="auto"/>
        <w:right w:val="none" w:sz="0" w:space="0" w:color="auto"/>
      </w:divBdr>
    </w:div>
    <w:div w:id="1144934621">
      <w:bodyDiv w:val="1"/>
      <w:marLeft w:val="0"/>
      <w:marRight w:val="0"/>
      <w:marTop w:val="0"/>
      <w:marBottom w:val="0"/>
      <w:divBdr>
        <w:top w:val="none" w:sz="0" w:space="0" w:color="auto"/>
        <w:left w:val="none" w:sz="0" w:space="0" w:color="auto"/>
        <w:bottom w:val="none" w:sz="0" w:space="0" w:color="auto"/>
        <w:right w:val="none" w:sz="0" w:space="0" w:color="auto"/>
      </w:divBdr>
    </w:div>
    <w:div w:id="1159463087">
      <w:bodyDiv w:val="1"/>
      <w:marLeft w:val="0"/>
      <w:marRight w:val="0"/>
      <w:marTop w:val="0"/>
      <w:marBottom w:val="0"/>
      <w:divBdr>
        <w:top w:val="none" w:sz="0" w:space="0" w:color="auto"/>
        <w:left w:val="none" w:sz="0" w:space="0" w:color="auto"/>
        <w:bottom w:val="none" w:sz="0" w:space="0" w:color="auto"/>
        <w:right w:val="none" w:sz="0" w:space="0" w:color="auto"/>
      </w:divBdr>
    </w:div>
    <w:div w:id="1163231141">
      <w:bodyDiv w:val="1"/>
      <w:marLeft w:val="0"/>
      <w:marRight w:val="0"/>
      <w:marTop w:val="0"/>
      <w:marBottom w:val="0"/>
      <w:divBdr>
        <w:top w:val="none" w:sz="0" w:space="0" w:color="auto"/>
        <w:left w:val="none" w:sz="0" w:space="0" w:color="auto"/>
        <w:bottom w:val="none" w:sz="0" w:space="0" w:color="auto"/>
        <w:right w:val="none" w:sz="0" w:space="0" w:color="auto"/>
      </w:divBdr>
    </w:div>
    <w:div w:id="1164904400">
      <w:bodyDiv w:val="1"/>
      <w:marLeft w:val="0"/>
      <w:marRight w:val="0"/>
      <w:marTop w:val="0"/>
      <w:marBottom w:val="0"/>
      <w:divBdr>
        <w:top w:val="none" w:sz="0" w:space="0" w:color="auto"/>
        <w:left w:val="none" w:sz="0" w:space="0" w:color="auto"/>
        <w:bottom w:val="none" w:sz="0" w:space="0" w:color="auto"/>
        <w:right w:val="none" w:sz="0" w:space="0" w:color="auto"/>
      </w:divBdr>
    </w:div>
    <w:div w:id="1187409679">
      <w:bodyDiv w:val="1"/>
      <w:marLeft w:val="0"/>
      <w:marRight w:val="0"/>
      <w:marTop w:val="0"/>
      <w:marBottom w:val="0"/>
      <w:divBdr>
        <w:top w:val="none" w:sz="0" w:space="0" w:color="auto"/>
        <w:left w:val="none" w:sz="0" w:space="0" w:color="auto"/>
        <w:bottom w:val="none" w:sz="0" w:space="0" w:color="auto"/>
        <w:right w:val="none" w:sz="0" w:space="0" w:color="auto"/>
      </w:divBdr>
    </w:div>
    <w:div w:id="1223446963">
      <w:bodyDiv w:val="1"/>
      <w:marLeft w:val="0"/>
      <w:marRight w:val="0"/>
      <w:marTop w:val="0"/>
      <w:marBottom w:val="0"/>
      <w:divBdr>
        <w:top w:val="none" w:sz="0" w:space="0" w:color="auto"/>
        <w:left w:val="none" w:sz="0" w:space="0" w:color="auto"/>
        <w:bottom w:val="none" w:sz="0" w:space="0" w:color="auto"/>
        <w:right w:val="none" w:sz="0" w:space="0" w:color="auto"/>
      </w:divBdr>
    </w:div>
    <w:div w:id="1228227272">
      <w:bodyDiv w:val="1"/>
      <w:marLeft w:val="0"/>
      <w:marRight w:val="0"/>
      <w:marTop w:val="0"/>
      <w:marBottom w:val="0"/>
      <w:divBdr>
        <w:top w:val="none" w:sz="0" w:space="0" w:color="auto"/>
        <w:left w:val="none" w:sz="0" w:space="0" w:color="auto"/>
        <w:bottom w:val="none" w:sz="0" w:space="0" w:color="auto"/>
        <w:right w:val="none" w:sz="0" w:space="0" w:color="auto"/>
      </w:divBdr>
    </w:div>
    <w:div w:id="1228607685">
      <w:bodyDiv w:val="1"/>
      <w:marLeft w:val="0"/>
      <w:marRight w:val="0"/>
      <w:marTop w:val="0"/>
      <w:marBottom w:val="0"/>
      <w:divBdr>
        <w:top w:val="none" w:sz="0" w:space="0" w:color="auto"/>
        <w:left w:val="none" w:sz="0" w:space="0" w:color="auto"/>
        <w:bottom w:val="none" w:sz="0" w:space="0" w:color="auto"/>
        <w:right w:val="none" w:sz="0" w:space="0" w:color="auto"/>
      </w:divBdr>
    </w:div>
    <w:div w:id="1238318792">
      <w:bodyDiv w:val="1"/>
      <w:marLeft w:val="0"/>
      <w:marRight w:val="0"/>
      <w:marTop w:val="0"/>
      <w:marBottom w:val="0"/>
      <w:divBdr>
        <w:top w:val="none" w:sz="0" w:space="0" w:color="auto"/>
        <w:left w:val="none" w:sz="0" w:space="0" w:color="auto"/>
        <w:bottom w:val="none" w:sz="0" w:space="0" w:color="auto"/>
        <w:right w:val="none" w:sz="0" w:space="0" w:color="auto"/>
      </w:divBdr>
    </w:div>
    <w:div w:id="1239097155">
      <w:bodyDiv w:val="1"/>
      <w:marLeft w:val="0"/>
      <w:marRight w:val="0"/>
      <w:marTop w:val="0"/>
      <w:marBottom w:val="0"/>
      <w:divBdr>
        <w:top w:val="none" w:sz="0" w:space="0" w:color="auto"/>
        <w:left w:val="none" w:sz="0" w:space="0" w:color="auto"/>
        <w:bottom w:val="none" w:sz="0" w:space="0" w:color="auto"/>
        <w:right w:val="none" w:sz="0" w:space="0" w:color="auto"/>
      </w:divBdr>
    </w:div>
    <w:div w:id="1240866233">
      <w:bodyDiv w:val="1"/>
      <w:marLeft w:val="0"/>
      <w:marRight w:val="0"/>
      <w:marTop w:val="0"/>
      <w:marBottom w:val="0"/>
      <w:divBdr>
        <w:top w:val="none" w:sz="0" w:space="0" w:color="auto"/>
        <w:left w:val="none" w:sz="0" w:space="0" w:color="auto"/>
        <w:bottom w:val="none" w:sz="0" w:space="0" w:color="auto"/>
        <w:right w:val="none" w:sz="0" w:space="0" w:color="auto"/>
      </w:divBdr>
    </w:div>
    <w:div w:id="1242253531">
      <w:bodyDiv w:val="1"/>
      <w:marLeft w:val="0"/>
      <w:marRight w:val="0"/>
      <w:marTop w:val="0"/>
      <w:marBottom w:val="0"/>
      <w:divBdr>
        <w:top w:val="none" w:sz="0" w:space="0" w:color="auto"/>
        <w:left w:val="none" w:sz="0" w:space="0" w:color="auto"/>
        <w:bottom w:val="none" w:sz="0" w:space="0" w:color="auto"/>
        <w:right w:val="none" w:sz="0" w:space="0" w:color="auto"/>
      </w:divBdr>
    </w:div>
    <w:div w:id="1251699911">
      <w:bodyDiv w:val="1"/>
      <w:marLeft w:val="0"/>
      <w:marRight w:val="0"/>
      <w:marTop w:val="0"/>
      <w:marBottom w:val="0"/>
      <w:divBdr>
        <w:top w:val="none" w:sz="0" w:space="0" w:color="auto"/>
        <w:left w:val="none" w:sz="0" w:space="0" w:color="auto"/>
        <w:bottom w:val="none" w:sz="0" w:space="0" w:color="auto"/>
        <w:right w:val="none" w:sz="0" w:space="0" w:color="auto"/>
      </w:divBdr>
    </w:div>
    <w:div w:id="1261913010">
      <w:bodyDiv w:val="1"/>
      <w:marLeft w:val="0"/>
      <w:marRight w:val="0"/>
      <w:marTop w:val="0"/>
      <w:marBottom w:val="0"/>
      <w:divBdr>
        <w:top w:val="none" w:sz="0" w:space="0" w:color="auto"/>
        <w:left w:val="none" w:sz="0" w:space="0" w:color="auto"/>
        <w:bottom w:val="none" w:sz="0" w:space="0" w:color="auto"/>
        <w:right w:val="none" w:sz="0" w:space="0" w:color="auto"/>
      </w:divBdr>
    </w:div>
    <w:div w:id="1263302983">
      <w:bodyDiv w:val="1"/>
      <w:marLeft w:val="0"/>
      <w:marRight w:val="0"/>
      <w:marTop w:val="0"/>
      <w:marBottom w:val="0"/>
      <w:divBdr>
        <w:top w:val="none" w:sz="0" w:space="0" w:color="auto"/>
        <w:left w:val="none" w:sz="0" w:space="0" w:color="auto"/>
        <w:bottom w:val="none" w:sz="0" w:space="0" w:color="auto"/>
        <w:right w:val="none" w:sz="0" w:space="0" w:color="auto"/>
      </w:divBdr>
    </w:div>
    <w:div w:id="1266497329">
      <w:bodyDiv w:val="1"/>
      <w:marLeft w:val="0"/>
      <w:marRight w:val="0"/>
      <w:marTop w:val="0"/>
      <w:marBottom w:val="0"/>
      <w:divBdr>
        <w:top w:val="none" w:sz="0" w:space="0" w:color="auto"/>
        <w:left w:val="none" w:sz="0" w:space="0" w:color="auto"/>
        <w:bottom w:val="none" w:sz="0" w:space="0" w:color="auto"/>
        <w:right w:val="none" w:sz="0" w:space="0" w:color="auto"/>
      </w:divBdr>
    </w:div>
    <w:div w:id="1267302387">
      <w:bodyDiv w:val="1"/>
      <w:marLeft w:val="0"/>
      <w:marRight w:val="0"/>
      <w:marTop w:val="0"/>
      <w:marBottom w:val="0"/>
      <w:divBdr>
        <w:top w:val="none" w:sz="0" w:space="0" w:color="auto"/>
        <w:left w:val="none" w:sz="0" w:space="0" w:color="auto"/>
        <w:bottom w:val="none" w:sz="0" w:space="0" w:color="auto"/>
        <w:right w:val="none" w:sz="0" w:space="0" w:color="auto"/>
      </w:divBdr>
    </w:div>
    <w:div w:id="1302425713">
      <w:bodyDiv w:val="1"/>
      <w:marLeft w:val="0"/>
      <w:marRight w:val="0"/>
      <w:marTop w:val="0"/>
      <w:marBottom w:val="0"/>
      <w:divBdr>
        <w:top w:val="none" w:sz="0" w:space="0" w:color="auto"/>
        <w:left w:val="none" w:sz="0" w:space="0" w:color="auto"/>
        <w:bottom w:val="none" w:sz="0" w:space="0" w:color="auto"/>
        <w:right w:val="none" w:sz="0" w:space="0" w:color="auto"/>
      </w:divBdr>
    </w:div>
    <w:div w:id="1313830774">
      <w:bodyDiv w:val="1"/>
      <w:marLeft w:val="0"/>
      <w:marRight w:val="0"/>
      <w:marTop w:val="0"/>
      <w:marBottom w:val="0"/>
      <w:divBdr>
        <w:top w:val="none" w:sz="0" w:space="0" w:color="auto"/>
        <w:left w:val="none" w:sz="0" w:space="0" w:color="auto"/>
        <w:bottom w:val="none" w:sz="0" w:space="0" w:color="auto"/>
        <w:right w:val="none" w:sz="0" w:space="0" w:color="auto"/>
      </w:divBdr>
    </w:div>
    <w:div w:id="1347364010">
      <w:bodyDiv w:val="1"/>
      <w:marLeft w:val="0"/>
      <w:marRight w:val="0"/>
      <w:marTop w:val="0"/>
      <w:marBottom w:val="0"/>
      <w:divBdr>
        <w:top w:val="none" w:sz="0" w:space="0" w:color="auto"/>
        <w:left w:val="none" w:sz="0" w:space="0" w:color="auto"/>
        <w:bottom w:val="none" w:sz="0" w:space="0" w:color="auto"/>
        <w:right w:val="none" w:sz="0" w:space="0" w:color="auto"/>
      </w:divBdr>
    </w:div>
    <w:div w:id="1349137962">
      <w:bodyDiv w:val="1"/>
      <w:marLeft w:val="0"/>
      <w:marRight w:val="0"/>
      <w:marTop w:val="0"/>
      <w:marBottom w:val="0"/>
      <w:divBdr>
        <w:top w:val="none" w:sz="0" w:space="0" w:color="auto"/>
        <w:left w:val="none" w:sz="0" w:space="0" w:color="auto"/>
        <w:bottom w:val="none" w:sz="0" w:space="0" w:color="auto"/>
        <w:right w:val="none" w:sz="0" w:space="0" w:color="auto"/>
      </w:divBdr>
    </w:div>
    <w:div w:id="1351644365">
      <w:bodyDiv w:val="1"/>
      <w:marLeft w:val="0"/>
      <w:marRight w:val="0"/>
      <w:marTop w:val="0"/>
      <w:marBottom w:val="0"/>
      <w:divBdr>
        <w:top w:val="none" w:sz="0" w:space="0" w:color="auto"/>
        <w:left w:val="none" w:sz="0" w:space="0" w:color="auto"/>
        <w:bottom w:val="none" w:sz="0" w:space="0" w:color="auto"/>
        <w:right w:val="none" w:sz="0" w:space="0" w:color="auto"/>
      </w:divBdr>
    </w:div>
    <w:div w:id="1355225637">
      <w:bodyDiv w:val="1"/>
      <w:marLeft w:val="0"/>
      <w:marRight w:val="0"/>
      <w:marTop w:val="0"/>
      <w:marBottom w:val="0"/>
      <w:divBdr>
        <w:top w:val="none" w:sz="0" w:space="0" w:color="auto"/>
        <w:left w:val="none" w:sz="0" w:space="0" w:color="auto"/>
        <w:bottom w:val="none" w:sz="0" w:space="0" w:color="auto"/>
        <w:right w:val="none" w:sz="0" w:space="0" w:color="auto"/>
      </w:divBdr>
    </w:div>
    <w:div w:id="1356152774">
      <w:bodyDiv w:val="1"/>
      <w:marLeft w:val="0"/>
      <w:marRight w:val="0"/>
      <w:marTop w:val="0"/>
      <w:marBottom w:val="0"/>
      <w:divBdr>
        <w:top w:val="none" w:sz="0" w:space="0" w:color="auto"/>
        <w:left w:val="none" w:sz="0" w:space="0" w:color="auto"/>
        <w:bottom w:val="none" w:sz="0" w:space="0" w:color="auto"/>
        <w:right w:val="none" w:sz="0" w:space="0" w:color="auto"/>
      </w:divBdr>
    </w:div>
    <w:div w:id="1360204393">
      <w:bodyDiv w:val="1"/>
      <w:marLeft w:val="0"/>
      <w:marRight w:val="0"/>
      <w:marTop w:val="0"/>
      <w:marBottom w:val="0"/>
      <w:divBdr>
        <w:top w:val="none" w:sz="0" w:space="0" w:color="auto"/>
        <w:left w:val="none" w:sz="0" w:space="0" w:color="auto"/>
        <w:bottom w:val="none" w:sz="0" w:space="0" w:color="auto"/>
        <w:right w:val="none" w:sz="0" w:space="0" w:color="auto"/>
      </w:divBdr>
    </w:div>
    <w:div w:id="1362051349">
      <w:bodyDiv w:val="1"/>
      <w:marLeft w:val="0"/>
      <w:marRight w:val="0"/>
      <w:marTop w:val="0"/>
      <w:marBottom w:val="0"/>
      <w:divBdr>
        <w:top w:val="none" w:sz="0" w:space="0" w:color="auto"/>
        <w:left w:val="none" w:sz="0" w:space="0" w:color="auto"/>
        <w:bottom w:val="none" w:sz="0" w:space="0" w:color="auto"/>
        <w:right w:val="none" w:sz="0" w:space="0" w:color="auto"/>
      </w:divBdr>
    </w:div>
    <w:div w:id="1372804349">
      <w:bodyDiv w:val="1"/>
      <w:marLeft w:val="0"/>
      <w:marRight w:val="0"/>
      <w:marTop w:val="0"/>
      <w:marBottom w:val="0"/>
      <w:divBdr>
        <w:top w:val="none" w:sz="0" w:space="0" w:color="auto"/>
        <w:left w:val="none" w:sz="0" w:space="0" w:color="auto"/>
        <w:bottom w:val="none" w:sz="0" w:space="0" w:color="auto"/>
        <w:right w:val="none" w:sz="0" w:space="0" w:color="auto"/>
      </w:divBdr>
    </w:div>
    <w:div w:id="1382948322">
      <w:bodyDiv w:val="1"/>
      <w:marLeft w:val="0"/>
      <w:marRight w:val="0"/>
      <w:marTop w:val="0"/>
      <w:marBottom w:val="0"/>
      <w:divBdr>
        <w:top w:val="none" w:sz="0" w:space="0" w:color="auto"/>
        <w:left w:val="none" w:sz="0" w:space="0" w:color="auto"/>
        <w:bottom w:val="none" w:sz="0" w:space="0" w:color="auto"/>
        <w:right w:val="none" w:sz="0" w:space="0" w:color="auto"/>
      </w:divBdr>
    </w:div>
    <w:div w:id="1395273393">
      <w:bodyDiv w:val="1"/>
      <w:marLeft w:val="0"/>
      <w:marRight w:val="0"/>
      <w:marTop w:val="0"/>
      <w:marBottom w:val="0"/>
      <w:divBdr>
        <w:top w:val="none" w:sz="0" w:space="0" w:color="auto"/>
        <w:left w:val="none" w:sz="0" w:space="0" w:color="auto"/>
        <w:bottom w:val="none" w:sz="0" w:space="0" w:color="auto"/>
        <w:right w:val="none" w:sz="0" w:space="0" w:color="auto"/>
      </w:divBdr>
    </w:div>
    <w:div w:id="1406105311">
      <w:bodyDiv w:val="1"/>
      <w:marLeft w:val="0"/>
      <w:marRight w:val="0"/>
      <w:marTop w:val="0"/>
      <w:marBottom w:val="0"/>
      <w:divBdr>
        <w:top w:val="none" w:sz="0" w:space="0" w:color="auto"/>
        <w:left w:val="none" w:sz="0" w:space="0" w:color="auto"/>
        <w:bottom w:val="none" w:sz="0" w:space="0" w:color="auto"/>
        <w:right w:val="none" w:sz="0" w:space="0" w:color="auto"/>
      </w:divBdr>
    </w:div>
    <w:div w:id="1409495025">
      <w:bodyDiv w:val="1"/>
      <w:marLeft w:val="0"/>
      <w:marRight w:val="0"/>
      <w:marTop w:val="0"/>
      <w:marBottom w:val="0"/>
      <w:divBdr>
        <w:top w:val="none" w:sz="0" w:space="0" w:color="auto"/>
        <w:left w:val="none" w:sz="0" w:space="0" w:color="auto"/>
        <w:bottom w:val="none" w:sz="0" w:space="0" w:color="auto"/>
        <w:right w:val="none" w:sz="0" w:space="0" w:color="auto"/>
      </w:divBdr>
    </w:div>
    <w:div w:id="1411267887">
      <w:bodyDiv w:val="1"/>
      <w:marLeft w:val="0"/>
      <w:marRight w:val="0"/>
      <w:marTop w:val="0"/>
      <w:marBottom w:val="0"/>
      <w:divBdr>
        <w:top w:val="none" w:sz="0" w:space="0" w:color="auto"/>
        <w:left w:val="none" w:sz="0" w:space="0" w:color="auto"/>
        <w:bottom w:val="none" w:sz="0" w:space="0" w:color="auto"/>
        <w:right w:val="none" w:sz="0" w:space="0" w:color="auto"/>
      </w:divBdr>
    </w:div>
    <w:div w:id="1413088852">
      <w:bodyDiv w:val="1"/>
      <w:marLeft w:val="0"/>
      <w:marRight w:val="0"/>
      <w:marTop w:val="0"/>
      <w:marBottom w:val="0"/>
      <w:divBdr>
        <w:top w:val="none" w:sz="0" w:space="0" w:color="auto"/>
        <w:left w:val="none" w:sz="0" w:space="0" w:color="auto"/>
        <w:bottom w:val="none" w:sz="0" w:space="0" w:color="auto"/>
        <w:right w:val="none" w:sz="0" w:space="0" w:color="auto"/>
      </w:divBdr>
    </w:div>
    <w:div w:id="1422793590">
      <w:bodyDiv w:val="1"/>
      <w:marLeft w:val="0"/>
      <w:marRight w:val="0"/>
      <w:marTop w:val="0"/>
      <w:marBottom w:val="0"/>
      <w:divBdr>
        <w:top w:val="none" w:sz="0" w:space="0" w:color="auto"/>
        <w:left w:val="none" w:sz="0" w:space="0" w:color="auto"/>
        <w:bottom w:val="none" w:sz="0" w:space="0" w:color="auto"/>
        <w:right w:val="none" w:sz="0" w:space="0" w:color="auto"/>
      </w:divBdr>
    </w:div>
    <w:div w:id="1423255768">
      <w:bodyDiv w:val="1"/>
      <w:marLeft w:val="0"/>
      <w:marRight w:val="0"/>
      <w:marTop w:val="0"/>
      <w:marBottom w:val="0"/>
      <w:divBdr>
        <w:top w:val="none" w:sz="0" w:space="0" w:color="auto"/>
        <w:left w:val="none" w:sz="0" w:space="0" w:color="auto"/>
        <w:bottom w:val="none" w:sz="0" w:space="0" w:color="auto"/>
        <w:right w:val="none" w:sz="0" w:space="0" w:color="auto"/>
      </w:divBdr>
    </w:div>
    <w:div w:id="1426998281">
      <w:bodyDiv w:val="1"/>
      <w:marLeft w:val="0"/>
      <w:marRight w:val="0"/>
      <w:marTop w:val="0"/>
      <w:marBottom w:val="0"/>
      <w:divBdr>
        <w:top w:val="none" w:sz="0" w:space="0" w:color="auto"/>
        <w:left w:val="none" w:sz="0" w:space="0" w:color="auto"/>
        <w:bottom w:val="none" w:sz="0" w:space="0" w:color="auto"/>
        <w:right w:val="none" w:sz="0" w:space="0" w:color="auto"/>
      </w:divBdr>
    </w:div>
    <w:div w:id="1434130219">
      <w:bodyDiv w:val="1"/>
      <w:marLeft w:val="0"/>
      <w:marRight w:val="0"/>
      <w:marTop w:val="0"/>
      <w:marBottom w:val="0"/>
      <w:divBdr>
        <w:top w:val="none" w:sz="0" w:space="0" w:color="auto"/>
        <w:left w:val="none" w:sz="0" w:space="0" w:color="auto"/>
        <w:bottom w:val="none" w:sz="0" w:space="0" w:color="auto"/>
        <w:right w:val="none" w:sz="0" w:space="0" w:color="auto"/>
      </w:divBdr>
    </w:div>
    <w:div w:id="1435980905">
      <w:bodyDiv w:val="1"/>
      <w:marLeft w:val="0"/>
      <w:marRight w:val="0"/>
      <w:marTop w:val="0"/>
      <w:marBottom w:val="0"/>
      <w:divBdr>
        <w:top w:val="none" w:sz="0" w:space="0" w:color="auto"/>
        <w:left w:val="none" w:sz="0" w:space="0" w:color="auto"/>
        <w:bottom w:val="none" w:sz="0" w:space="0" w:color="auto"/>
        <w:right w:val="none" w:sz="0" w:space="0" w:color="auto"/>
      </w:divBdr>
    </w:div>
    <w:div w:id="1437746773">
      <w:bodyDiv w:val="1"/>
      <w:marLeft w:val="0"/>
      <w:marRight w:val="0"/>
      <w:marTop w:val="0"/>
      <w:marBottom w:val="0"/>
      <w:divBdr>
        <w:top w:val="none" w:sz="0" w:space="0" w:color="auto"/>
        <w:left w:val="none" w:sz="0" w:space="0" w:color="auto"/>
        <w:bottom w:val="none" w:sz="0" w:space="0" w:color="auto"/>
        <w:right w:val="none" w:sz="0" w:space="0" w:color="auto"/>
      </w:divBdr>
    </w:div>
    <w:div w:id="1443954820">
      <w:bodyDiv w:val="1"/>
      <w:marLeft w:val="0"/>
      <w:marRight w:val="0"/>
      <w:marTop w:val="0"/>
      <w:marBottom w:val="0"/>
      <w:divBdr>
        <w:top w:val="none" w:sz="0" w:space="0" w:color="auto"/>
        <w:left w:val="none" w:sz="0" w:space="0" w:color="auto"/>
        <w:bottom w:val="none" w:sz="0" w:space="0" w:color="auto"/>
        <w:right w:val="none" w:sz="0" w:space="0" w:color="auto"/>
      </w:divBdr>
    </w:div>
    <w:div w:id="1457720917">
      <w:bodyDiv w:val="1"/>
      <w:marLeft w:val="0"/>
      <w:marRight w:val="0"/>
      <w:marTop w:val="0"/>
      <w:marBottom w:val="0"/>
      <w:divBdr>
        <w:top w:val="none" w:sz="0" w:space="0" w:color="auto"/>
        <w:left w:val="none" w:sz="0" w:space="0" w:color="auto"/>
        <w:bottom w:val="none" w:sz="0" w:space="0" w:color="auto"/>
        <w:right w:val="none" w:sz="0" w:space="0" w:color="auto"/>
      </w:divBdr>
    </w:div>
    <w:div w:id="1480268907">
      <w:bodyDiv w:val="1"/>
      <w:marLeft w:val="0"/>
      <w:marRight w:val="0"/>
      <w:marTop w:val="0"/>
      <w:marBottom w:val="0"/>
      <w:divBdr>
        <w:top w:val="none" w:sz="0" w:space="0" w:color="auto"/>
        <w:left w:val="none" w:sz="0" w:space="0" w:color="auto"/>
        <w:bottom w:val="none" w:sz="0" w:space="0" w:color="auto"/>
        <w:right w:val="none" w:sz="0" w:space="0" w:color="auto"/>
      </w:divBdr>
    </w:div>
    <w:div w:id="1506439458">
      <w:bodyDiv w:val="1"/>
      <w:marLeft w:val="0"/>
      <w:marRight w:val="0"/>
      <w:marTop w:val="0"/>
      <w:marBottom w:val="0"/>
      <w:divBdr>
        <w:top w:val="none" w:sz="0" w:space="0" w:color="auto"/>
        <w:left w:val="none" w:sz="0" w:space="0" w:color="auto"/>
        <w:bottom w:val="none" w:sz="0" w:space="0" w:color="auto"/>
        <w:right w:val="none" w:sz="0" w:space="0" w:color="auto"/>
      </w:divBdr>
    </w:div>
    <w:div w:id="1543588834">
      <w:bodyDiv w:val="1"/>
      <w:marLeft w:val="0"/>
      <w:marRight w:val="0"/>
      <w:marTop w:val="0"/>
      <w:marBottom w:val="0"/>
      <w:divBdr>
        <w:top w:val="none" w:sz="0" w:space="0" w:color="auto"/>
        <w:left w:val="none" w:sz="0" w:space="0" w:color="auto"/>
        <w:bottom w:val="none" w:sz="0" w:space="0" w:color="auto"/>
        <w:right w:val="none" w:sz="0" w:space="0" w:color="auto"/>
      </w:divBdr>
    </w:div>
    <w:div w:id="1568570376">
      <w:bodyDiv w:val="1"/>
      <w:marLeft w:val="0"/>
      <w:marRight w:val="0"/>
      <w:marTop w:val="0"/>
      <w:marBottom w:val="0"/>
      <w:divBdr>
        <w:top w:val="none" w:sz="0" w:space="0" w:color="auto"/>
        <w:left w:val="none" w:sz="0" w:space="0" w:color="auto"/>
        <w:bottom w:val="none" w:sz="0" w:space="0" w:color="auto"/>
        <w:right w:val="none" w:sz="0" w:space="0" w:color="auto"/>
      </w:divBdr>
    </w:div>
    <w:div w:id="1579825592">
      <w:bodyDiv w:val="1"/>
      <w:marLeft w:val="0"/>
      <w:marRight w:val="0"/>
      <w:marTop w:val="0"/>
      <w:marBottom w:val="0"/>
      <w:divBdr>
        <w:top w:val="none" w:sz="0" w:space="0" w:color="auto"/>
        <w:left w:val="none" w:sz="0" w:space="0" w:color="auto"/>
        <w:bottom w:val="none" w:sz="0" w:space="0" w:color="auto"/>
        <w:right w:val="none" w:sz="0" w:space="0" w:color="auto"/>
      </w:divBdr>
    </w:div>
    <w:div w:id="1588146534">
      <w:bodyDiv w:val="1"/>
      <w:marLeft w:val="0"/>
      <w:marRight w:val="0"/>
      <w:marTop w:val="0"/>
      <w:marBottom w:val="0"/>
      <w:divBdr>
        <w:top w:val="none" w:sz="0" w:space="0" w:color="auto"/>
        <w:left w:val="none" w:sz="0" w:space="0" w:color="auto"/>
        <w:bottom w:val="none" w:sz="0" w:space="0" w:color="auto"/>
        <w:right w:val="none" w:sz="0" w:space="0" w:color="auto"/>
      </w:divBdr>
    </w:div>
    <w:div w:id="1597984350">
      <w:bodyDiv w:val="1"/>
      <w:marLeft w:val="0"/>
      <w:marRight w:val="0"/>
      <w:marTop w:val="0"/>
      <w:marBottom w:val="0"/>
      <w:divBdr>
        <w:top w:val="none" w:sz="0" w:space="0" w:color="auto"/>
        <w:left w:val="none" w:sz="0" w:space="0" w:color="auto"/>
        <w:bottom w:val="none" w:sz="0" w:space="0" w:color="auto"/>
        <w:right w:val="none" w:sz="0" w:space="0" w:color="auto"/>
      </w:divBdr>
    </w:div>
    <w:div w:id="1622957854">
      <w:bodyDiv w:val="1"/>
      <w:marLeft w:val="0"/>
      <w:marRight w:val="0"/>
      <w:marTop w:val="0"/>
      <w:marBottom w:val="0"/>
      <w:divBdr>
        <w:top w:val="none" w:sz="0" w:space="0" w:color="auto"/>
        <w:left w:val="none" w:sz="0" w:space="0" w:color="auto"/>
        <w:bottom w:val="none" w:sz="0" w:space="0" w:color="auto"/>
        <w:right w:val="none" w:sz="0" w:space="0" w:color="auto"/>
      </w:divBdr>
    </w:div>
    <w:div w:id="1625114619">
      <w:bodyDiv w:val="1"/>
      <w:marLeft w:val="0"/>
      <w:marRight w:val="0"/>
      <w:marTop w:val="0"/>
      <w:marBottom w:val="0"/>
      <w:divBdr>
        <w:top w:val="none" w:sz="0" w:space="0" w:color="auto"/>
        <w:left w:val="none" w:sz="0" w:space="0" w:color="auto"/>
        <w:bottom w:val="none" w:sz="0" w:space="0" w:color="auto"/>
        <w:right w:val="none" w:sz="0" w:space="0" w:color="auto"/>
      </w:divBdr>
    </w:div>
    <w:div w:id="1632248305">
      <w:bodyDiv w:val="1"/>
      <w:marLeft w:val="0"/>
      <w:marRight w:val="0"/>
      <w:marTop w:val="0"/>
      <w:marBottom w:val="0"/>
      <w:divBdr>
        <w:top w:val="none" w:sz="0" w:space="0" w:color="auto"/>
        <w:left w:val="none" w:sz="0" w:space="0" w:color="auto"/>
        <w:bottom w:val="none" w:sz="0" w:space="0" w:color="auto"/>
        <w:right w:val="none" w:sz="0" w:space="0" w:color="auto"/>
      </w:divBdr>
    </w:div>
    <w:div w:id="1643005104">
      <w:bodyDiv w:val="1"/>
      <w:marLeft w:val="0"/>
      <w:marRight w:val="0"/>
      <w:marTop w:val="0"/>
      <w:marBottom w:val="0"/>
      <w:divBdr>
        <w:top w:val="none" w:sz="0" w:space="0" w:color="auto"/>
        <w:left w:val="none" w:sz="0" w:space="0" w:color="auto"/>
        <w:bottom w:val="none" w:sz="0" w:space="0" w:color="auto"/>
        <w:right w:val="none" w:sz="0" w:space="0" w:color="auto"/>
      </w:divBdr>
    </w:div>
    <w:div w:id="1643316548">
      <w:bodyDiv w:val="1"/>
      <w:marLeft w:val="0"/>
      <w:marRight w:val="0"/>
      <w:marTop w:val="0"/>
      <w:marBottom w:val="0"/>
      <w:divBdr>
        <w:top w:val="none" w:sz="0" w:space="0" w:color="auto"/>
        <w:left w:val="none" w:sz="0" w:space="0" w:color="auto"/>
        <w:bottom w:val="none" w:sz="0" w:space="0" w:color="auto"/>
        <w:right w:val="none" w:sz="0" w:space="0" w:color="auto"/>
      </w:divBdr>
    </w:div>
    <w:div w:id="1652706966">
      <w:bodyDiv w:val="1"/>
      <w:marLeft w:val="0"/>
      <w:marRight w:val="0"/>
      <w:marTop w:val="0"/>
      <w:marBottom w:val="0"/>
      <w:divBdr>
        <w:top w:val="none" w:sz="0" w:space="0" w:color="auto"/>
        <w:left w:val="none" w:sz="0" w:space="0" w:color="auto"/>
        <w:bottom w:val="none" w:sz="0" w:space="0" w:color="auto"/>
        <w:right w:val="none" w:sz="0" w:space="0" w:color="auto"/>
      </w:divBdr>
    </w:div>
    <w:div w:id="1657295141">
      <w:bodyDiv w:val="1"/>
      <w:marLeft w:val="0"/>
      <w:marRight w:val="0"/>
      <w:marTop w:val="0"/>
      <w:marBottom w:val="0"/>
      <w:divBdr>
        <w:top w:val="none" w:sz="0" w:space="0" w:color="auto"/>
        <w:left w:val="none" w:sz="0" w:space="0" w:color="auto"/>
        <w:bottom w:val="none" w:sz="0" w:space="0" w:color="auto"/>
        <w:right w:val="none" w:sz="0" w:space="0" w:color="auto"/>
      </w:divBdr>
    </w:div>
    <w:div w:id="1668745792">
      <w:bodyDiv w:val="1"/>
      <w:marLeft w:val="0"/>
      <w:marRight w:val="0"/>
      <w:marTop w:val="0"/>
      <w:marBottom w:val="0"/>
      <w:divBdr>
        <w:top w:val="none" w:sz="0" w:space="0" w:color="auto"/>
        <w:left w:val="none" w:sz="0" w:space="0" w:color="auto"/>
        <w:bottom w:val="none" w:sz="0" w:space="0" w:color="auto"/>
        <w:right w:val="none" w:sz="0" w:space="0" w:color="auto"/>
      </w:divBdr>
    </w:div>
    <w:div w:id="1668944199">
      <w:bodyDiv w:val="1"/>
      <w:marLeft w:val="0"/>
      <w:marRight w:val="0"/>
      <w:marTop w:val="0"/>
      <w:marBottom w:val="0"/>
      <w:divBdr>
        <w:top w:val="none" w:sz="0" w:space="0" w:color="auto"/>
        <w:left w:val="none" w:sz="0" w:space="0" w:color="auto"/>
        <w:bottom w:val="none" w:sz="0" w:space="0" w:color="auto"/>
        <w:right w:val="none" w:sz="0" w:space="0" w:color="auto"/>
      </w:divBdr>
    </w:div>
    <w:div w:id="1682273335">
      <w:bodyDiv w:val="1"/>
      <w:marLeft w:val="0"/>
      <w:marRight w:val="0"/>
      <w:marTop w:val="0"/>
      <w:marBottom w:val="0"/>
      <w:divBdr>
        <w:top w:val="none" w:sz="0" w:space="0" w:color="auto"/>
        <w:left w:val="none" w:sz="0" w:space="0" w:color="auto"/>
        <w:bottom w:val="none" w:sz="0" w:space="0" w:color="auto"/>
        <w:right w:val="none" w:sz="0" w:space="0" w:color="auto"/>
      </w:divBdr>
    </w:div>
    <w:div w:id="1684480214">
      <w:bodyDiv w:val="1"/>
      <w:marLeft w:val="0"/>
      <w:marRight w:val="0"/>
      <w:marTop w:val="0"/>
      <w:marBottom w:val="0"/>
      <w:divBdr>
        <w:top w:val="none" w:sz="0" w:space="0" w:color="auto"/>
        <w:left w:val="none" w:sz="0" w:space="0" w:color="auto"/>
        <w:bottom w:val="none" w:sz="0" w:space="0" w:color="auto"/>
        <w:right w:val="none" w:sz="0" w:space="0" w:color="auto"/>
      </w:divBdr>
    </w:div>
    <w:div w:id="1698651129">
      <w:bodyDiv w:val="1"/>
      <w:marLeft w:val="0"/>
      <w:marRight w:val="0"/>
      <w:marTop w:val="0"/>
      <w:marBottom w:val="0"/>
      <w:divBdr>
        <w:top w:val="none" w:sz="0" w:space="0" w:color="auto"/>
        <w:left w:val="none" w:sz="0" w:space="0" w:color="auto"/>
        <w:bottom w:val="none" w:sz="0" w:space="0" w:color="auto"/>
        <w:right w:val="none" w:sz="0" w:space="0" w:color="auto"/>
      </w:divBdr>
    </w:div>
    <w:div w:id="1713453668">
      <w:bodyDiv w:val="1"/>
      <w:marLeft w:val="0"/>
      <w:marRight w:val="0"/>
      <w:marTop w:val="0"/>
      <w:marBottom w:val="0"/>
      <w:divBdr>
        <w:top w:val="none" w:sz="0" w:space="0" w:color="auto"/>
        <w:left w:val="none" w:sz="0" w:space="0" w:color="auto"/>
        <w:bottom w:val="none" w:sz="0" w:space="0" w:color="auto"/>
        <w:right w:val="none" w:sz="0" w:space="0" w:color="auto"/>
      </w:divBdr>
    </w:div>
    <w:div w:id="1719281332">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4816941">
      <w:bodyDiv w:val="1"/>
      <w:marLeft w:val="0"/>
      <w:marRight w:val="0"/>
      <w:marTop w:val="0"/>
      <w:marBottom w:val="0"/>
      <w:divBdr>
        <w:top w:val="none" w:sz="0" w:space="0" w:color="auto"/>
        <w:left w:val="none" w:sz="0" w:space="0" w:color="auto"/>
        <w:bottom w:val="none" w:sz="0" w:space="0" w:color="auto"/>
        <w:right w:val="none" w:sz="0" w:space="0" w:color="auto"/>
      </w:divBdr>
    </w:div>
    <w:div w:id="1755273319">
      <w:bodyDiv w:val="1"/>
      <w:marLeft w:val="0"/>
      <w:marRight w:val="0"/>
      <w:marTop w:val="0"/>
      <w:marBottom w:val="0"/>
      <w:divBdr>
        <w:top w:val="none" w:sz="0" w:space="0" w:color="auto"/>
        <w:left w:val="none" w:sz="0" w:space="0" w:color="auto"/>
        <w:bottom w:val="none" w:sz="0" w:space="0" w:color="auto"/>
        <w:right w:val="none" w:sz="0" w:space="0" w:color="auto"/>
      </w:divBdr>
    </w:div>
    <w:div w:id="1759208470">
      <w:bodyDiv w:val="1"/>
      <w:marLeft w:val="0"/>
      <w:marRight w:val="0"/>
      <w:marTop w:val="0"/>
      <w:marBottom w:val="0"/>
      <w:divBdr>
        <w:top w:val="none" w:sz="0" w:space="0" w:color="auto"/>
        <w:left w:val="none" w:sz="0" w:space="0" w:color="auto"/>
        <w:bottom w:val="none" w:sz="0" w:space="0" w:color="auto"/>
        <w:right w:val="none" w:sz="0" w:space="0" w:color="auto"/>
      </w:divBdr>
    </w:div>
    <w:div w:id="1764762270">
      <w:bodyDiv w:val="1"/>
      <w:marLeft w:val="0"/>
      <w:marRight w:val="0"/>
      <w:marTop w:val="0"/>
      <w:marBottom w:val="0"/>
      <w:divBdr>
        <w:top w:val="none" w:sz="0" w:space="0" w:color="auto"/>
        <w:left w:val="none" w:sz="0" w:space="0" w:color="auto"/>
        <w:bottom w:val="none" w:sz="0" w:space="0" w:color="auto"/>
        <w:right w:val="none" w:sz="0" w:space="0" w:color="auto"/>
      </w:divBdr>
    </w:div>
    <w:div w:id="1766532005">
      <w:bodyDiv w:val="1"/>
      <w:marLeft w:val="0"/>
      <w:marRight w:val="0"/>
      <w:marTop w:val="0"/>
      <w:marBottom w:val="0"/>
      <w:divBdr>
        <w:top w:val="none" w:sz="0" w:space="0" w:color="auto"/>
        <w:left w:val="none" w:sz="0" w:space="0" w:color="auto"/>
        <w:bottom w:val="none" w:sz="0" w:space="0" w:color="auto"/>
        <w:right w:val="none" w:sz="0" w:space="0" w:color="auto"/>
      </w:divBdr>
    </w:div>
    <w:div w:id="1796633542">
      <w:bodyDiv w:val="1"/>
      <w:marLeft w:val="0"/>
      <w:marRight w:val="0"/>
      <w:marTop w:val="0"/>
      <w:marBottom w:val="0"/>
      <w:divBdr>
        <w:top w:val="none" w:sz="0" w:space="0" w:color="auto"/>
        <w:left w:val="none" w:sz="0" w:space="0" w:color="auto"/>
        <w:bottom w:val="none" w:sz="0" w:space="0" w:color="auto"/>
        <w:right w:val="none" w:sz="0" w:space="0" w:color="auto"/>
      </w:divBdr>
    </w:div>
    <w:div w:id="1818187964">
      <w:bodyDiv w:val="1"/>
      <w:marLeft w:val="0"/>
      <w:marRight w:val="0"/>
      <w:marTop w:val="0"/>
      <w:marBottom w:val="0"/>
      <w:divBdr>
        <w:top w:val="none" w:sz="0" w:space="0" w:color="auto"/>
        <w:left w:val="none" w:sz="0" w:space="0" w:color="auto"/>
        <w:bottom w:val="none" w:sz="0" w:space="0" w:color="auto"/>
        <w:right w:val="none" w:sz="0" w:space="0" w:color="auto"/>
      </w:divBdr>
    </w:div>
    <w:div w:id="1836415303">
      <w:bodyDiv w:val="1"/>
      <w:marLeft w:val="0"/>
      <w:marRight w:val="0"/>
      <w:marTop w:val="0"/>
      <w:marBottom w:val="0"/>
      <w:divBdr>
        <w:top w:val="none" w:sz="0" w:space="0" w:color="auto"/>
        <w:left w:val="none" w:sz="0" w:space="0" w:color="auto"/>
        <w:bottom w:val="none" w:sz="0" w:space="0" w:color="auto"/>
        <w:right w:val="none" w:sz="0" w:space="0" w:color="auto"/>
      </w:divBdr>
    </w:div>
    <w:div w:id="1836602605">
      <w:bodyDiv w:val="1"/>
      <w:marLeft w:val="0"/>
      <w:marRight w:val="0"/>
      <w:marTop w:val="0"/>
      <w:marBottom w:val="0"/>
      <w:divBdr>
        <w:top w:val="none" w:sz="0" w:space="0" w:color="auto"/>
        <w:left w:val="none" w:sz="0" w:space="0" w:color="auto"/>
        <w:bottom w:val="none" w:sz="0" w:space="0" w:color="auto"/>
        <w:right w:val="none" w:sz="0" w:space="0" w:color="auto"/>
      </w:divBdr>
    </w:div>
    <w:div w:id="1841577394">
      <w:bodyDiv w:val="1"/>
      <w:marLeft w:val="0"/>
      <w:marRight w:val="0"/>
      <w:marTop w:val="0"/>
      <w:marBottom w:val="0"/>
      <w:divBdr>
        <w:top w:val="none" w:sz="0" w:space="0" w:color="auto"/>
        <w:left w:val="none" w:sz="0" w:space="0" w:color="auto"/>
        <w:bottom w:val="none" w:sz="0" w:space="0" w:color="auto"/>
        <w:right w:val="none" w:sz="0" w:space="0" w:color="auto"/>
      </w:divBdr>
    </w:div>
    <w:div w:id="1850681097">
      <w:bodyDiv w:val="1"/>
      <w:marLeft w:val="0"/>
      <w:marRight w:val="0"/>
      <w:marTop w:val="0"/>
      <w:marBottom w:val="0"/>
      <w:divBdr>
        <w:top w:val="none" w:sz="0" w:space="0" w:color="auto"/>
        <w:left w:val="none" w:sz="0" w:space="0" w:color="auto"/>
        <w:bottom w:val="none" w:sz="0" w:space="0" w:color="auto"/>
        <w:right w:val="none" w:sz="0" w:space="0" w:color="auto"/>
      </w:divBdr>
    </w:div>
    <w:div w:id="1851069021">
      <w:bodyDiv w:val="1"/>
      <w:marLeft w:val="0"/>
      <w:marRight w:val="0"/>
      <w:marTop w:val="0"/>
      <w:marBottom w:val="0"/>
      <w:divBdr>
        <w:top w:val="none" w:sz="0" w:space="0" w:color="auto"/>
        <w:left w:val="none" w:sz="0" w:space="0" w:color="auto"/>
        <w:bottom w:val="none" w:sz="0" w:space="0" w:color="auto"/>
        <w:right w:val="none" w:sz="0" w:space="0" w:color="auto"/>
      </w:divBdr>
    </w:div>
    <w:div w:id="1855609069">
      <w:bodyDiv w:val="1"/>
      <w:marLeft w:val="0"/>
      <w:marRight w:val="0"/>
      <w:marTop w:val="0"/>
      <w:marBottom w:val="0"/>
      <w:divBdr>
        <w:top w:val="none" w:sz="0" w:space="0" w:color="auto"/>
        <w:left w:val="none" w:sz="0" w:space="0" w:color="auto"/>
        <w:bottom w:val="none" w:sz="0" w:space="0" w:color="auto"/>
        <w:right w:val="none" w:sz="0" w:space="0" w:color="auto"/>
      </w:divBdr>
    </w:div>
    <w:div w:id="1855997667">
      <w:bodyDiv w:val="1"/>
      <w:marLeft w:val="0"/>
      <w:marRight w:val="0"/>
      <w:marTop w:val="0"/>
      <w:marBottom w:val="0"/>
      <w:divBdr>
        <w:top w:val="none" w:sz="0" w:space="0" w:color="auto"/>
        <w:left w:val="none" w:sz="0" w:space="0" w:color="auto"/>
        <w:bottom w:val="none" w:sz="0" w:space="0" w:color="auto"/>
        <w:right w:val="none" w:sz="0" w:space="0" w:color="auto"/>
      </w:divBdr>
    </w:div>
    <w:div w:id="1865361293">
      <w:bodyDiv w:val="1"/>
      <w:marLeft w:val="0"/>
      <w:marRight w:val="0"/>
      <w:marTop w:val="0"/>
      <w:marBottom w:val="0"/>
      <w:divBdr>
        <w:top w:val="none" w:sz="0" w:space="0" w:color="auto"/>
        <w:left w:val="none" w:sz="0" w:space="0" w:color="auto"/>
        <w:bottom w:val="none" w:sz="0" w:space="0" w:color="auto"/>
        <w:right w:val="none" w:sz="0" w:space="0" w:color="auto"/>
      </w:divBdr>
    </w:div>
    <w:div w:id="1878814191">
      <w:bodyDiv w:val="1"/>
      <w:marLeft w:val="0"/>
      <w:marRight w:val="0"/>
      <w:marTop w:val="0"/>
      <w:marBottom w:val="0"/>
      <w:divBdr>
        <w:top w:val="none" w:sz="0" w:space="0" w:color="auto"/>
        <w:left w:val="none" w:sz="0" w:space="0" w:color="auto"/>
        <w:bottom w:val="none" w:sz="0" w:space="0" w:color="auto"/>
        <w:right w:val="none" w:sz="0" w:space="0" w:color="auto"/>
      </w:divBdr>
    </w:div>
    <w:div w:id="1882013246">
      <w:bodyDiv w:val="1"/>
      <w:marLeft w:val="0"/>
      <w:marRight w:val="0"/>
      <w:marTop w:val="0"/>
      <w:marBottom w:val="0"/>
      <w:divBdr>
        <w:top w:val="none" w:sz="0" w:space="0" w:color="auto"/>
        <w:left w:val="none" w:sz="0" w:space="0" w:color="auto"/>
        <w:bottom w:val="none" w:sz="0" w:space="0" w:color="auto"/>
        <w:right w:val="none" w:sz="0" w:space="0" w:color="auto"/>
      </w:divBdr>
    </w:div>
    <w:div w:id="1887527583">
      <w:bodyDiv w:val="1"/>
      <w:marLeft w:val="0"/>
      <w:marRight w:val="0"/>
      <w:marTop w:val="0"/>
      <w:marBottom w:val="0"/>
      <w:divBdr>
        <w:top w:val="none" w:sz="0" w:space="0" w:color="auto"/>
        <w:left w:val="none" w:sz="0" w:space="0" w:color="auto"/>
        <w:bottom w:val="none" w:sz="0" w:space="0" w:color="auto"/>
        <w:right w:val="none" w:sz="0" w:space="0" w:color="auto"/>
      </w:divBdr>
    </w:div>
    <w:div w:id="1899052019">
      <w:bodyDiv w:val="1"/>
      <w:marLeft w:val="0"/>
      <w:marRight w:val="0"/>
      <w:marTop w:val="0"/>
      <w:marBottom w:val="0"/>
      <w:divBdr>
        <w:top w:val="none" w:sz="0" w:space="0" w:color="auto"/>
        <w:left w:val="none" w:sz="0" w:space="0" w:color="auto"/>
        <w:bottom w:val="none" w:sz="0" w:space="0" w:color="auto"/>
        <w:right w:val="none" w:sz="0" w:space="0" w:color="auto"/>
      </w:divBdr>
    </w:div>
    <w:div w:id="1899438084">
      <w:bodyDiv w:val="1"/>
      <w:marLeft w:val="0"/>
      <w:marRight w:val="0"/>
      <w:marTop w:val="0"/>
      <w:marBottom w:val="0"/>
      <w:divBdr>
        <w:top w:val="none" w:sz="0" w:space="0" w:color="auto"/>
        <w:left w:val="none" w:sz="0" w:space="0" w:color="auto"/>
        <w:bottom w:val="none" w:sz="0" w:space="0" w:color="auto"/>
        <w:right w:val="none" w:sz="0" w:space="0" w:color="auto"/>
      </w:divBdr>
    </w:div>
    <w:div w:id="1903834570">
      <w:bodyDiv w:val="1"/>
      <w:marLeft w:val="0"/>
      <w:marRight w:val="0"/>
      <w:marTop w:val="0"/>
      <w:marBottom w:val="0"/>
      <w:divBdr>
        <w:top w:val="none" w:sz="0" w:space="0" w:color="auto"/>
        <w:left w:val="none" w:sz="0" w:space="0" w:color="auto"/>
        <w:bottom w:val="none" w:sz="0" w:space="0" w:color="auto"/>
        <w:right w:val="none" w:sz="0" w:space="0" w:color="auto"/>
      </w:divBdr>
    </w:div>
    <w:div w:id="1905942342">
      <w:bodyDiv w:val="1"/>
      <w:marLeft w:val="0"/>
      <w:marRight w:val="0"/>
      <w:marTop w:val="0"/>
      <w:marBottom w:val="0"/>
      <w:divBdr>
        <w:top w:val="none" w:sz="0" w:space="0" w:color="auto"/>
        <w:left w:val="none" w:sz="0" w:space="0" w:color="auto"/>
        <w:bottom w:val="none" w:sz="0" w:space="0" w:color="auto"/>
        <w:right w:val="none" w:sz="0" w:space="0" w:color="auto"/>
      </w:divBdr>
    </w:div>
    <w:div w:id="1921257708">
      <w:bodyDiv w:val="1"/>
      <w:marLeft w:val="0"/>
      <w:marRight w:val="0"/>
      <w:marTop w:val="0"/>
      <w:marBottom w:val="0"/>
      <w:divBdr>
        <w:top w:val="none" w:sz="0" w:space="0" w:color="auto"/>
        <w:left w:val="none" w:sz="0" w:space="0" w:color="auto"/>
        <w:bottom w:val="none" w:sz="0" w:space="0" w:color="auto"/>
        <w:right w:val="none" w:sz="0" w:space="0" w:color="auto"/>
      </w:divBdr>
    </w:div>
    <w:div w:id="1943564697">
      <w:bodyDiv w:val="1"/>
      <w:marLeft w:val="0"/>
      <w:marRight w:val="0"/>
      <w:marTop w:val="0"/>
      <w:marBottom w:val="0"/>
      <w:divBdr>
        <w:top w:val="none" w:sz="0" w:space="0" w:color="auto"/>
        <w:left w:val="none" w:sz="0" w:space="0" w:color="auto"/>
        <w:bottom w:val="none" w:sz="0" w:space="0" w:color="auto"/>
        <w:right w:val="none" w:sz="0" w:space="0" w:color="auto"/>
      </w:divBdr>
    </w:div>
    <w:div w:id="1944609202">
      <w:bodyDiv w:val="1"/>
      <w:marLeft w:val="0"/>
      <w:marRight w:val="0"/>
      <w:marTop w:val="0"/>
      <w:marBottom w:val="0"/>
      <w:divBdr>
        <w:top w:val="none" w:sz="0" w:space="0" w:color="auto"/>
        <w:left w:val="none" w:sz="0" w:space="0" w:color="auto"/>
        <w:bottom w:val="none" w:sz="0" w:space="0" w:color="auto"/>
        <w:right w:val="none" w:sz="0" w:space="0" w:color="auto"/>
      </w:divBdr>
    </w:div>
    <w:div w:id="1945140929">
      <w:bodyDiv w:val="1"/>
      <w:marLeft w:val="0"/>
      <w:marRight w:val="0"/>
      <w:marTop w:val="0"/>
      <w:marBottom w:val="0"/>
      <w:divBdr>
        <w:top w:val="none" w:sz="0" w:space="0" w:color="auto"/>
        <w:left w:val="none" w:sz="0" w:space="0" w:color="auto"/>
        <w:bottom w:val="none" w:sz="0" w:space="0" w:color="auto"/>
        <w:right w:val="none" w:sz="0" w:space="0" w:color="auto"/>
      </w:divBdr>
    </w:div>
    <w:div w:id="1949893287">
      <w:bodyDiv w:val="1"/>
      <w:marLeft w:val="0"/>
      <w:marRight w:val="0"/>
      <w:marTop w:val="0"/>
      <w:marBottom w:val="0"/>
      <w:divBdr>
        <w:top w:val="none" w:sz="0" w:space="0" w:color="auto"/>
        <w:left w:val="none" w:sz="0" w:space="0" w:color="auto"/>
        <w:bottom w:val="none" w:sz="0" w:space="0" w:color="auto"/>
        <w:right w:val="none" w:sz="0" w:space="0" w:color="auto"/>
      </w:divBdr>
    </w:div>
    <w:div w:id="1976258044">
      <w:bodyDiv w:val="1"/>
      <w:marLeft w:val="0"/>
      <w:marRight w:val="0"/>
      <w:marTop w:val="0"/>
      <w:marBottom w:val="0"/>
      <w:divBdr>
        <w:top w:val="none" w:sz="0" w:space="0" w:color="auto"/>
        <w:left w:val="none" w:sz="0" w:space="0" w:color="auto"/>
        <w:bottom w:val="none" w:sz="0" w:space="0" w:color="auto"/>
        <w:right w:val="none" w:sz="0" w:space="0" w:color="auto"/>
      </w:divBdr>
    </w:div>
    <w:div w:id="2007783526">
      <w:bodyDiv w:val="1"/>
      <w:marLeft w:val="0"/>
      <w:marRight w:val="0"/>
      <w:marTop w:val="0"/>
      <w:marBottom w:val="0"/>
      <w:divBdr>
        <w:top w:val="none" w:sz="0" w:space="0" w:color="auto"/>
        <w:left w:val="none" w:sz="0" w:space="0" w:color="auto"/>
        <w:bottom w:val="none" w:sz="0" w:space="0" w:color="auto"/>
        <w:right w:val="none" w:sz="0" w:space="0" w:color="auto"/>
      </w:divBdr>
    </w:div>
    <w:div w:id="2022782913">
      <w:bodyDiv w:val="1"/>
      <w:marLeft w:val="0"/>
      <w:marRight w:val="0"/>
      <w:marTop w:val="0"/>
      <w:marBottom w:val="0"/>
      <w:divBdr>
        <w:top w:val="none" w:sz="0" w:space="0" w:color="auto"/>
        <w:left w:val="none" w:sz="0" w:space="0" w:color="auto"/>
        <w:bottom w:val="none" w:sz="0" w:space="0" w:color="auto"/>
        <w:right w:val="none" w:sz="0" w:space="0" w:color="auto"/>
      </w:divBdr>
    </w:div>
    <w:div w:id="2036076996">
      <w:bodyDiv w:val="1"/>
      <w:marLeft w:val="0"/>
      <w:marRight w:val="0"/>
      <w:marTop w:val="0"/>
      <w:marBottom w:val="0"/>
      <w:divBdr>
        <w:top w:val="none" w:sz="0" w:space="0" w:color="auto"/>
        <w:left w:val="none" w:sz="0" w:space="0" w:color="auto"/>
        <w:bottom w:val="none" w:sz="0" w:space="0" w:color="auto"/>
        <w:right w:val="none" w:sz="0" w:space="0" w:color="auto"/>
      </w:divBdr>
    </w:div>
    <w:div w:id="2048674205">
      <w:bodyDiv w:val="1"/>
      <w:marLeft w:val="0"/>
      <w:marRight w:val="0"/>
      <w:marTop w:val="0"/>
      <w:marBottom w:val="0"/>
      <w:divBdr>
        <w:top w:val="none" w:sz="0" w:space="0" w:color="auto"/>
        <w:left w:val="none" w:sz="0" w:space="0" w:color="auto"/>
        <w:bottom w:val="none" w:sz="0" w:space="0" w:color="auto"/>
        <w:right w:val="none" w:sz="0" w:space="0" w:color="auto"/>
      </w:divBdr>
    </w:div>
    <w:div w:id="2049060892">
      <w:bodyDiv w:val="1"/>
      <w:marLeft w:val="0"/>
      <w:marRight w:val="0"/>
      <w:marTop w:val="0"/>
      <w:marBottom w:val="0"/>
      <w:divBdr>
        <w:top w:val="none" w:sz="0" w:space="0" w:color="auto"/>
        <w:left w:val="none" w:sz="0" w:space="0" w:color="auto"/>
        <w:bottom w:val="none" w:sz="0" w:space="0" w:color="auto"/>
        <w:right w:val="none" w:sz="0" w:space="0" w:color="auto"/>
      </w:divBdr>
    </w:div>
    <w:div w:id="2059238192">
      <w:bodyDiv w:val="1"/>
      <w:marLeft w:val="0"/>
      <w:marRight w:val="0"/>
      <w:marTop w:val="0"/>
      <w:marBottom w:val="0"/>
      <w:divBdr>
        <w:top w:val="none" w:sz="0" w:space="0" w:color="auto"/>
        <w:left w:val="none" w:sz="0" w:space="0" w:color="auto"/>
        <w:bottom w:val="none" w:sz="0" w:space="0" w:color="auto"/>
        <w:right w:val="none" w:sz="0" w:space="0" w:color="auto"/>
      </w:divBdr>
    </w:div>
    <w:div w:id="2064672579">
      <w:bodyDiv w:val="1"/>
      <w:marLeft w:val="0"/>
      <w:marRight w:val="0"/>
      <w:marTop w:val="0"/>
      <w:marBottom w:val="0"/>
      <w:divBdr>
        <w:top w:val="none" w:sz="0" w:space="0" w:color="auto"/>
        <w:left w:val="none" w:sz="0" w:space="0" w:color="auto"/>
        <w:bottom w:val="none" w:sz="0" w:space="0" w:color="auto"/>
        <w:right w:val="none" w:sz="0" w:space="0" w:color="auto"/>
      </w:divBdr>
    </w:div>
    <w:div w:id="2066492230">
      <w:bodyDiv w:val="1"/>
      <w:marLeft w:val="0"/>
      <w:marRight w:val="0"/>
      <w:marTop w:val="0"/>
      <w:marBottom w:val="0"/>
      <w:divBdr>
        <w:top w:val="none" w:sz="0" w:space="0" w:color="auto"/>
        <w:left w:val="none" w:sz="0" w:space="0" w:color="auto"/>
        <w:bottom w:val="none" w:sz="0" w:space="0" w:color="auto"/>
        <w:right w:val="none" w:sz="0" w:space="0" w:color="auto"/>
      </w:divBdr>
    </w:div>
    <w:div w:id="2078278467">
      <w:bodyDiv w:val="1"/>
      <w:marLeft w:val="0"/>
      <w:marRight w:val="0"/>
      <w:marTop w:val="0"/>
      <w:marBottom w:val="0"/>
      <w:divBdr>
        <w:top w:val="none" w:sz="0" w:space="0" w:color="auto"/>
        <w:left w:val="none" w:sz="0" w:space="0" w:color="auto"/>
        <w:bottom w:val="none" w:sz="0" w:space="0" w:color="auto"/>
        <w:right w:val="none" w:sz="0" w:space="0" w:color="auto"/>
      </w:divBdr>
    </w:div>
    <w:div w:id="2081098914">
      <w:bodyDiv w:val="1"/>
      <w:marLeft w:val="0"/>
      <w:marRight w:val="0"/>
      <w:marTop w:val="0"/>
      <w:marBottom w:val="0"/>
      <w:divBdr>
        <w:top w:val="none" w:sz="0" w:space="0" w:color="auto"/>
        <w:left w:val="none" w:sz="0" w:space="0" w:color="auto"/>
        <w:bottom w:val="none" w:sz="0" w:space="0" w:color="auto"/>
        <w:right w:val="none" w:sz="0" w:space="0" w:color="auto"/>
      </w:divBdr>
    </w:div>
    <w:div w:id="2095086556">
      <w:bodyDiv w:val="1"/>
      <w:marLeft w:val="0"/>
      <w:marRight w:val="0"/>
      <w:marTop w:val="0"/>
      <w:marBottom w:val="0"/>
      <w:divBdr>
        <w:top w:val="none" w:sz="0" w:space="0" w:color="auto"/>
        <w:left w:val="none" w:sz="0" w:space="0" w:color="auto"/>
        <w:bottom w:val="none" w:sz="0" w:space="0" w:color="auto"/>
        <w:right w:val="none" w:sz="0" w:space="0" w:color="auto"/>
      </w:divBdr>
    </w:div>
    <w:div w:id="2099713143">
      <w:bodyDiv w:val="1"/>
      <w:marLeft w:val="0"/>
      <w:marRight w:val="0"/>
      <w:marTop w:val="0"/>
      <w:marBottom w:val="0"/>
      <w:divBdr>
        <w:top w:val="none" w:sz="0" w:space="0" w:color="auto"/>
        <w:left w:val="none" w:sz="0" w:space="0" w:color="auto"/>
        <w:bottom w:val="none" w:sz="0" w:space="0" w:color="auto"/>
        <w:right w:val="none" w:sz="0" w:space="0" w:color="auto"/>
      </w:divBdr>
    </w:div>
    <w:div w:id="2115860949">
      <w:bodyDiv w:val="1"/>
      <w:marLeft w:val="0"/>
      <w:marRight w:val="0"/>
      <w:marTop w:val="0"/>
      <w:marBottom w:val="0"/>
      <w:divBdr>
        <w:top w:val="none" w:sz="0" w:space="0" w:color="auto"/>
        <w:left w:val="none" w:sz="0" w:space="0" w:color="auto"/>
        <w:bottom w:val="none" w:sz="0" w:space="0" w:color="auto"/>
        <w:right w:val="none" w:sz="0" w:space="0" w:color="auto"/>
      </w:divBdr>
    </w:div>
    <w:div w:id="2135437167">
      <w:bodyDiv w:val="1"/>
      <w:marLeft w:val="0"/>
      <w:marRight w:val="0"/>
      <w:marTop w:val="0"/>
      <w:marBottom w:val="0"/>
      <w:divBdr>
        <w:top w:val="none" w:sz="0" w:space="0" w:color="auto"/>
        <w:left w:val="none" w:sz="0" w:space="0" w:color="auto"/>
        <w:bottom w:val="none" w:sz="0" w:space="0" w:color="auto"/>
        <w:right w:val="none" w:sz="0" w:space="0" w:color="auto"/>
      </w:divBdr>
    </w:div>
    <w:div w:id="2135520112">
      <w:bodyDiv w:val="1"/>
      <w:marLeft w:val="0"/>
      <w:marRight w:val="0"/>
      <w:marTop w:val="0"/>
      <w:marBottom w:val="0"/>
      <w:divBdr>
        <w:top w:val="none" w:sz="0" w:space="0" w:color="auto"/>
        <w:left w:val="none" w:sz="0" w:space="0" w:color="auto"/>
        <w:bottom w:val="none" w:sz="0" w:space="0" w:color="auto"/>
        <w:right w:val="none" w:sz="0" w:space="0" w:color="auto"/>
      </w:divBdr>
    </w:div>
    <w:div w:id="2141261297">
      <w:bodyDiv w:val="1"/>
      <w:marLeft w:val="0"/>
      <w:marRight w:val="0"/>
      <w:marTop w:val="0"/>
      <w:marBottom w:val="0"/>
      <w:divBdr>
        <w:top w:val="none" w:sz="0" w:space="0" w:color="auto"/>
        <w:left w:val="none" w:sz="0" w:space="0" w:color="auto"/>
        <w:bottom w:val="none" w:sz="0" w:space="0" w:color="auto"/>
        <w:right w:val="none" w:sz="0" w:space="0" w:color="auto"/>
      </w:divBdr>
    </w:div>
    <w:div w:id="214515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17" Type="http://schemas.openxmlformats.org/officeDocument/2006/relationships/hyperlink" Target="https://eh.net/encyclopedia/the-economics-of-the-civil-war/" TargetMode="External"/><Relationship Id="rId299" Type="http://schemas.openxmlformats.org/officeDocument/2006/relationships/hyperlink" Target="https://www.policemisconduct.net/the-truth-about-police-misconduct-litigation/" TargetMode="External"/><Relationship Id="rId671" Type="http://schemas.openxmlformats.org/officeDocument/2006/relationships/hyperlink" Target="http://cidh.org/annualrep/2004eng/Belize.12053eng.htm" TargetMode="External"/><Relationship Id="rId21" Type="http://schemas.openxmlformats.org/officeDocument/2006/relationships/hyperlink" Target="http://www.cidh.oas.org/annualrep/86.87sp/Indice.htm" TargetMode="External"/><Relationship Id="rId63" Type="http://schemas.openxmlformats.org/officeDocument/2006/relationships/hyperlink" Target="http://www.nationalpartnership.org/research-library/workplace-fairness/fair-pay/african-american-women-wage-gap.pdf" TargetMode="External"/><Relationship Id="rId159" Type="http://schemas.openxmlformats.org/officeDocument/2006/relationships/hyperlink" Target="http://www.oas.org/es/cidh/informes/pdfs/ViolenciaNinez2016.pdf" TargetMode="External"/><Relationship Id="rId324" Type="http://schemas.openxmlformats.org/officeDocument/2006/relationships/hyperlink" Target="https://www.washingtonpost.com/news/wonk/wp/2014/08/14/the-pentagon-gave-nearly-half-a-billion-dollars-of-military-gear-to-local-law-enforcement-last-year/" TargetMode="External"/><Relationship Id="rId366" Type="http://schemas.openxmlformats.org/officeDocument/2006/relationships/hyperlink" Target="https://www.themarshallproject.org/2014/12/26/plea-bargaining-and-the-innocent" TargetMode="External"/><Relationship Id="rId531" Type="http://schemas.openxmlformats.org/officeDocument/2006/relationships/hyperlink" Target="http://www.oas.org/es/cidh/docs/anual/2015/doc-es/InformeAnual2015-cap4A-fuerza-ES.pdf" TargetMode="External"/><Relationship Id="rId573" Type="http://schemas.openxmlformats.org/officeDocument/2006/relationships/hyperlink" Target="http://www.corteidh.or.cr/docs/opiniones/seriea_14_esp.pdf" TargetMode="External"/><Relationship Id="rId629" Type="http://schemas.openxmlformats.org/officeDocument/2006/relationships/hyperlink" Target="https://www.washingtonpost.com/national/fbi-director-calls-lack-of-data-on-police-shootings-ridiculous-embarrassing/2015/10/07/c0ebaf7a-6d16-11e5-b31c-d80d62b53e28_story.html" TargetMode="External"/><Relationship Id="rId170" Type="http://schemas.openxmlformats.org/officeDocument/2006/relationships/hyperlink" Target="http://archives.civilrights.org/publications/reports/racial-profiling2011/racial_profiling2011.pdf" TargetMode="External"/><Relationship Id="rId226" Type="http://schemas.openxmlformats.org/officeDocument/2006/relationships/hyperlink" Target="http://www.fatalencounters.org/" TargetMode="External"/><Relationship Id="rId433" Type="http://schemas.openxmlformats.org/officeDocument/2006/relationships/hyperlink" Target="https://www.americanbar.org/content/dam/aba/images/diversity/SYG_Report_Book.pdf" TargetMode="External"/><Relationship Id="rId268" Type="http://schemas.openxmlformats.org/officeDocument/2006/relationships/hyperlink" Target="https://www.nytimes.com/interactive/2016/07/12/us/looking-for-accountability-in-police-involved-deaths-of-blacks.html" TargetMode="External"/><Relationship Id="rId475" Type="http://schemas.openxmlformats.org/officeDocument/2006/relationships/hyperlink" Target="https://le.utah.gov/~2016/bills/static/HB0355.html" TargetMode="External"/><Relationship Id="rId640" Type="http://schemas.openxmlformats.org/officeDocument/2006/relationships/hyperlink" Target="http://www.oas.org/es/cidh/prensa/Comunicados/2015/118.asp" TargetMode="External"/><Relationship Id="rId682" Type="http://schemas.openxmlformats.org/officeDocument/2006/relationships/hyperlink" Target="http://www.ohchr.org/SP/ProfessionalInterest/Pages/RemedyAndReparation.aspx" TargetMode="External"/><Relationship Id="rId32" Type="http://schemas.openxmlformats.org/officeDocument/2006/relationships/hyperlink" Target="http://www.oas.org/es/cidh/prensa/Comunicados/2016/082.asp" TargetMode="External"/><Relationship Id="rId74" Type="http://schemas.openxmlformats.org/officeDocument/2006/relationships/hyperlink" Target="https://www.washingtonpost.com/local/freddie-grays-life-a-study-in-the-sad-effects-of-lead-paint-on-poor-blacks/2015/04/29/0be898e6-eea8-11e4-8abc-d6aa3bad79dd_story.html?utm_term=.55c13c731e4f" TargetMode="External"/><Relationship Id="rId128" Type="http://schemas.openxmlformats.org/officeDocument/2006/relationships/hyperlink" Target="https://documents-dds-ny.un.org/doc/UNDOC/GEN/G16/183/30/PDF/G1618330.pdf?OpenElement" TargetMode="External"/><Relationship Id="rId335" Type="http://schemas.openxmlformats.org/officeDocument/2006/relationships/hyperlink" Target="http://foreignpolicy.com/2017/10/06/the-fbi-has-identified-a-new-domestic-terrorist-threat-and-its-black-identity-extremists/" TargetMode="External"/><Relationship Id="rId377" Type="http://schemas.openxmlformats.org/officeDocument/2006/relationships/hyperlink" Target="https://deathpenaltyinfo.org/race-death-row-inmates-executed-1976" TargetMode="External"/><Relationship Id="rId500" Type="http://schemas.openxmlformats.org/officeDocument/2006/relationships/hyperlink" Target="https://www.whitehouse.gov/the-press-office/2017/08/28/presidential-executive-order-restoring-state-tribal-and-local-law" TargetMode="External"/><Relationship Id="rId542" Type="http://schemas.openxmlformats.org/officeDocument/2006/relationships/hyperlink" Target="http://www.ohchr.org/SP/ProfessionalInterest/Pages/UseOfForceAndFirearms.aspx" TargetMode="External"/><Relationship Id="rId584" Type="http://schemas.openxmlformats.org/officeDocument/2006/relationships/hyperlink" Target="http://www.oas.org/es/cidh/docs/anual/2015/doc-es/InformeAnual2015-cap4A-fuerza-ES.pdf" TargetMode="External"/><Relationship Id="rId5" Type="http://schemas.openxmlformats.org/officeDocument/2006/relationships/hyperlink" Target="http://www.oas.org/es/cidh/prensa/Comunicados/2015/120.asp" TargetMode="External"/><Relationship Id="rId181" Type="http://schemas.openxmlformats.org/officeDocument/2006/relationships/hyperlink" Target="http://www.nyclu.org/files/publications/NYCLU_2011_Stop-and-Frisk_Report.pdf" TargetMode="External"/><Relationship Id="rId237" Type="http://schemas.openxmlformats.org/officeDocument/2006/relationships/hyperlink" Target="https://www.youtube.com/watch?v=c_ZLnaWeXCk" TargetMode="External"/><Relationship Id="rId402" Type="http://schemas.openxmlformats.org/officeDocument/2006/relationships/hyperlink" Target="https://www.npr.org/sections/thetwo-way/2016/04/04/472878724/denying-housing-over-criminal-record-may-be-discrimination-feds-say" TargetMode="External"/><Relationship Id="rId279" Type="http://schemas.openxmlformats.org/officeDocument/2006/relationships/hyperlink" Target="https://www.theguardian.com/us-news/video/2015/jan/08/new-video-tamir-rice-shooting-sister-video" TargetMode="External"/><Relationship Id="rId444" Type="http://schemas.openxmlformats.org/officeDocument/2006/relationships/hyperlink" Target="http://www.oas.org/es/cidh/prensa/Comunicados/2015/118.asp" TargetMode="External"/><Relationship Id="rId486" Type="http://schemas.openxmlformats.org/officeDocument/2006/relationships/hyperlink" Target="https://www.vox.com/policy-and-politics/2017/5/4/15537952/jeff-sessions-police-justice-department-trump" TargetMode="External"/><Relationship Id="rId651" Type="http://schemas.openxmlformats.org/officeDocument/2006/relationships/hyperlink" Target="http://www.oas.org/es/cidh/docs/anual/2015/doc-es/InformeAnual2015-cap4A-fuerza-ES.pdf" TargetMode="External"/><Relationship Id="rId693" Type="http://schemas.openxmlformats.org/officeDocument/2006/relationships/hyperlink" Target="http://www.ohchr.org/SP/ProfessionalInterest/Pages/RemedyAndReparation.aspx" TargetMode="External"/><Relationship Id="rId43" Type="http://schemas.openxmlformats.org/officeDocument/2006/relationships/hyperlink" Target="http://www.cidh.oas.org/annualrep/2004sp/Belize.12053.htm" TargetMode="External"/><Relationship Id="rId139" Type="http://schemas.openxmlformats.org/officeDocument/2006/relationships/hyperlink" Target="https://lynchinginamerica.eji.org/report/" TargetMode="External"/><Relationship Id="rId290" Type="http://schemas.openxmlformats.org/officeDocument/2006/relationships/hyperlink" Target="https://www.aclu-nj.org/files/3413/6059/3876/ACLU_NJ_Internal_Affairs.pdf" TargetMode="External"/><Relationship Id="rId304" Type="http://schemas.openxmlformats.org/officeDocument/2006/relationships/hyperlink" Target="http://www.slate.com/articles/news_and_politics/jurisprudence/2014/11/will_justice_department_charge_darren_wilson_supreme%20_court_gutted_civil.html" TargetMode="External"/><Relationship Id="rId346" Type="http://schemas.openxmlformats.org/officeDocument/2006/relationships/hyperlink" Target="http://www.oas.org/es/cidh/informes/pdfs/PrisionPreventiva.pdf" TargetMode="External"/><Relationship Id="rId388" Type="http://schemas.openxmlformats.org/officeDocument/2006/relationships/hyperlink" Target="https://www.nytimes.com/2017/11/17/opinion/jay-z-meek-mill-probation.html?_r=0" TargetMode="External"/><Relationship Id="rId511" Type="http://schemas.openxmlformats.org/officeDocument/2006/relationships/hyperlink" Target="http://www.oas.org/en/iachr/decisions/2011/uspu12626en.doc" TargetMode="External"/><Relationship Id="rId553" Type="http://schemas.openxmlformats.org/officeDocument/2006/relationships/hyperlink" Target="https://www.oas.org/es/cidh/docs/pdfs/seguridad%20ciudadana%202009%20esp.pdf" TargetMode="External"/><Relationship Id="rId609" Type="http://schemas.openxmlformats.org/officeDocument/2006/relationships/hyperlink" Target="http://www.oas.org/es/cidh/decisiones/2016/USPU12834ES.pdf" TargetMode="External"/><Relationship Id="rId85" Type="http://schemas.openxmlformats.org/officeDocument/2006/relationships/hyperlink" Target="http://cepa.stanford.edu/sites/default/files/reardon%20robinson-cimpian%20weathers%20HREFP%20chapter%20april2014.pdf" TargetMode="External"/><Relationship Id="rId150" Type="http://schemas.openxmlformats.org/officeDocument/2006/relationships/hyperlink" Target="https://www.google.com/url?sa=t&amp;rct=j&amp;q=&amp;esrc=s&amp;source=web&amp;cd=3&amp;cad=rja&amp;uact=8&amp;ved=0ahUKEwjDq6-ms8nXAhVX1WMKHSWvCCYQFggyMAI&amp;url=https%3A%2F%2Fwww.aclu.org%2Fsites%2Fdefault%2Ffiles%2Fassets%2Fjus14-warcomeshome-report-web-rel1.pdf&amp;usg=AOvVaw3fhNaAmqvLJFi7p5LwHkuv" TargetMode="External"/><Relationship Id="rId192" Type="http://schemas.openxmlformats.org/officeDocument/2006/relationships/hyperlink" Target="https://www.justice.gov/sites/default/files/opa/press-releases/attachments/2015/03/04/ferguson_police_department_report_1.pdf" TargetMode="External"/><Relationship Id="rId206" Type="http://schemas.openxmlformats.org/officeDocument/2006/relationships/hyperlink" Target="https://www.aclu.org/report/war-comes-home-excessive-militarization-american-police" TargetMode="External"/><Relationship Id="rId413" Type="http://schemas.openxmlformats.org/officeDocument/2006/relationships/hyperlink" Target="http://www.cnn.com/2017/01/10/us/dylann-roof-trial/index.html" TargetMode="External"/><Relationship Id="rId595" Type="http://schemas.openxmlformats.org/officeDocument/2006/relationships/hyperlink" Target="http://www.oas.org/es/cidh/docs/anual/2015/doc-es/InformeAnual2015-cap4A-fuerza-ES.pdf" TargetMode="External"/><Relationship Id="rId248" Type="http://schemas.openxmlformats.org/officeDocument/2006/relationships/hyperlink" Target="https://storage.googleapis.com/vera-web-assets/downloads/Publications/protect-and-serve-policing-trends-2015-2016/legacy_downloads/041417-PolicingTrendsReport-web.pdf" TargetMode="External"/><Relationship Id="rId455" Type="http://schemas.openxmlformats.org/officeDocument/2006/relationships/hyperlink" Target="http://www.miamiherald.com/news/local/crime/article17882108.html" TargetMode="External"/><Relationship Id="rId497" Type="http://schemas.openxmlformats.org/officeDocument/2006/relationships/hyperlink" Target="http://www.chicagotribune.com/news/local/breaking/ct-chicago-police-independent-monitor-met-20170602-story.html" TargetMode="External"/><Relationship Id="rId620" Type="http://schemas.openxmlformats.org/officeDocument/2006/relationships/hyperlink" Target="http://www.oas.org/es/cidh/prensa/Comunicados/2016/120.asp" TargetMode="External"/><Relationship Id="rId662" Type="http://schemas.openxmlformats.org/officeDocument/2006/relationships/hyperlink" Target="http://www.oas.org/en/iachr/decisions/2011/uspu12626en.doc" TargetMode="External"/><Relationship Id="rId12" Type="http://schemas.openxmlformats.org/officeDocument/2006/relationships/hyperlink" Target="http://www.oas.org/es/cidh/prensa/Comunicados/2015/040.asp" TargetMode="External"/><Relationship Id="rId108" Type="http://schemas.openxmlformats.org/officeDocument/2006/relationships/hyperlink" Target="http://plsonline.eku.edu/insidelook/brief-history-slavery-and-origins-american-policing" TargetMode="External"/><Relationship Id="rId315" Type="http://schemas.openxmlformats.org/officeDocument/2006/relationships/hyperlink" Target="http://www.oas.org/es/cidh/prensa/Comunicados/2015/118.asp" TargetMode="External"/><Relationship Id="rId357" Type="http://schemas.openxmlformats.org/officeDocument/2006/relationships/hyperlink" Target="http://www.oas.org/es/cidh/prensa/Comunicados/2014/104.asp" TargetMode="External"/><Relationship Id="rId522" Type="http://schemas.openxmlformats.org/officeDocument/2006/relationships/hyperlink" Target="http://cidh.org/annualrep/2004eng/Belize.12053eng.htm" TargetMode="External"/><Relationship Id="rId54" Type="http://schemas.openxmlformats.org/officeDocument/2006/relationships/hyperlink" Target="http://www.oas.org/es/cidh/afrodescendientes/docs/pdf/AFROS_2011_ESP.pdf" TargetMode="External"/><Relationship Id="rId96" Type="http://schemas.openxmlformats.org/officeDocument/2006/relationships/hyperlink" Target="https://www.nytimes.com/2016/08/21/us/milwaukee-segregation-wealthy-black-families.html" TargetMode="External"/><Relationship Id="rId161" Type="http://schemas.openxmlformats.org/officeDocument/2006/relationships/hyperlink" Target="http://www.oas.org/es/cidh/afrodescendientes/docs/pdf/AFROS_2011_ESP.pdf" TargetMode="External"/><Relationship Id="rId217" Type="http://schemas.openxmlformats.org/officeDocument/2006/relationships/hyperlink" Target="http://www.oas.org/es/cidh/prensa/Comunicados/2015/120.asp" TargetMode="External"/><Relationship Id="rId399" Type="http://schemas.openxmlformats.org/officeDocument/2006/relationships/hyperlink" Target="https://www.youtube.com/watch?v=j_OIkzDAaxA" TargetMode="External"/><Relationship Id="rId564" Type="http://schemas.openxmlformats.org/officeDocument/2006/relationships/hyperlink" Target="http://www.refworld.org/docid/5374afcd4.html" TargetMode="External"/><Relationship Id="rId259" Type="http://schemas.openxmlformats.org/officeDocument/2006/relationships/hyperlink" Target="https://www.youtube.com/watch?v=c_ZLnaWeXCk" TargetMode="External"/><Relationship Id="rId424" Type="http://schemas.openxmlformats.org/officeDocument/2006/relationships/hyperlink" Target="http://www.cnn.com/2017/10/12/us/charlottesville-deandre-harris-arrest/index.html" TargetMode="External"/><Relationship Id="rId466" Type="http://schemas.openxmlformats.org/officeDocument/2006/relationships/hyperlink" Target="http://www.transequality.org/sites/default/files/docs/resources/NCTE%20Federal%20Blueprint%20Chapter%206%20Police%20and%20Ending%20Violence.pdf" TargetMode="External"/><Relationship Id="rId631" Type="http://schemas.openxmlformats.org/officeDocument/2006/relationships/hyperlink" Target="http://www.oas.org/es/cidh/docs/anual/2015/doc-es/InformeAnual2015-cap4A-fuerza-ES.pdf" TargetMode="External"/><Relationship Id="rId673" Type="http://schemas.openxmlformats.org/officeDocument/2006/relationships/hyperlink" Target="http://www.cidh.org/countryrep/defensores/defensoresindice.htm" TargetMode="External"/><Relationship Id="rId23" Type="http://schemas.openxmlformats.org/officeDocument/2006/relationships/hyperlink" Target="http://www.oas.org/en/iachr/decisions/2017/USAD1105-06EN.pdf" TargetMode="External"/><Relationship Id="rId119" Type="http://schemas.openxmlformats.org/officeDocument/2006/relationships/hyperlink" Target="http://www.history.com/topics/american-civil-war/black-leaders-during-reconstruction" TargetMode="External"/><Relationship Id="rId270" Type="http://schemas.openxmlformats.org/officeDocument/2006/relationships/hyperlink" Target="http://www.oas.org/es/cidh/prensa/Comunicados/2016/120.asp" TargetMode="External"/><Relationship Id="rId326" Type="http://schemas.openxmlformats.org/officeDocument/2006/relationships/hyperlink" Target="https://www.amnestyusa.org/files/onthestreetsofamericaamnestyinternational.pdf" TargetMode="External"/><Relationship Id="rId533" Type="http://schemas.openxmlformats.org/officeDocument/2006/relationships/hyperlink" Target="http://www.cidh.org/annualrep/2009eng/Brazil12440eng.htm" TargetMode="External"/><Relationship Id="rId65" Type="http://schemas.openxmlformats.org/officeDocument/2006/relationships/hyperlink" Target="http://tbinternet.ohchr.org/_layouts/treatybodyexternal/Download.aspx?symbolno=CERD%2fC%2fUSA%2fCO%2f7-9&amp;Lang=en" TargetMode="External"/><Relationship Id="rId130" Type="http://schemas.openxmlformats.org/officeDocument/2006/relationships/hyperlink" Target="https://www.splcenter.org/sites/default/files/Ku-Klux-Klan-A-History-of-Racism.pdf" TargetMode="External"/><Relationship Id="rId368" Type="http://schemas.openxmlformats.org/officeDocument/2006/relationships/hyperlink" Target="http://www.sentencingproject.org/doc/publications/rd_sentencing_review.pdf" TargetMode="External"/><Relationship Id="rId575" Type="http://schemas.openxmlformats.org/officeDocument/2006/relationships/hyperlink" Target="http://www.oas.org/es/cidh/docs/anual/2015/doc-es/InformeAnual2015-cap4A-fuerza-ES.pdf" TargetMode="External"/><Relationship Id="rId172" Type="http://schemas.openxmlformats.org/officeDocument/2006/relationships/hyperlink" Target="https://www.nytimes.com/2018/01/07/opinion/stop-and-frisk-celebrate.html" TargetMode="External"/><Relationship Id="rId228" Type="http://schemas.openxmlformats.org/officeDocument/2006/relationships/hyperlink" Target="https://www.nytimes.com/2017/08/11/opinion/sunday/traffic-stop-police-accident.html" TargetMode="External"/><Relationship Id="rId435" Type="http://schemas.openxmlformats.org/officeDocument/2006/relationships/hyperlink" Target="http://www.usccr.gov/calendar/trnscrpt/CommissionBriefingTranscript_Part1_10-17-2014_Final.pdf" TargetMode="External"/><Relationship Id="rId477" Type="http://schemas.openxmlformats.org/officeDocument/2006/relationships/hyperlink" Target="https://www.cga.ct.gov/2015/TOB/H/2015HB-07103-R00-HB.htm" TargetMode="External"/><Relationship Id="rId600" Type="http://schemas.openxmlformats.org/officeDocument/2006/relationships/hyperlink" Target="http://www.amnesty.nl/sites/default/files/public/amnesty_use_of_force_final_web_0.pdf" TargetMode="External"/><Relationship Id="rId642" Type="http://schemas.openxmlformats.org/officeDocument/2006/relationships/hyperlink" Target="http://www.ohchr.org/SP/ProfessionalInterest/Pages/UseOfForceAndFirearms.aspx" TargetMode="External"/><Relationship Id="rId684" Type="http://schemas.openxmlformats.org/officeDocument/2006/relationships/hyperlink" Target="http://www.oas.org/es/cidh/informes/pdfs/Derecho-Verdad-es.pdf" TargetMode="External"/><Relationship Id="rId281" Type="http://schemas.openxmlformats.org/officeDocument/2006/relationships/hyperlink" Target="https://www.nytimes.com/2017/12/30/nyregion/erica-garner-dead.html" TargetMode="External"/><Relationship Id="rId337" Type="http://schemas.openxmlformats.org/officeDocument/2006/relationships/hyperlink" Target="https://www.nytimes.com/2017/11/15/opinion/black-identity-extremism-fbi-trump.html" TargetMode="External"/><Relationship Id="rId502" Type="http://schemas.openxmlformats.org/officeDocument/2006/relationships/hyperlink" Target="https://www.justice.gov/sites/default/files/ag/pages/attachments/2014/12/08/use-of-race-policy.pdf" TargetMode="External"/><Relationship Id="rId34" Type="http://schemas.openxmlformats.org/officeDocument/2006/relationships/hyperlink" Target="https://www.oas.org/es/cidh/prensa/Comunicados/2012/117.asp" TargetMode="External"/><Relationship Id="rId76" Type="http://schemas.openxmlformats.org/officeDocument/2006/relationships/hyperlink" Target="https://publichealthreviews.biomedcentral.com/articles/10.1186/s40985-016-0025-4" TargetMode="External"/><Relationship Id="rId141" Type="http://schemas.openxmlformats.org/officeDocument/2006/relationships/hyperlink" Target="http://www.oas.org/es/cidh/informes/pdfs/PrisionPreventiva.pdf" TargetMode="External"/><Relationship Id="rId379" Type="http://schemas.openxmlformats.org/officeDocument/2006/relationships/hyperlink" Target="http://www.sentencingproject.org/publications/color-of-justice-racial-and-ethnic-disparity-in-state-prisons/" TargetMode="External"/><Relationship Id="rId544" Type="http://schemas.openxmlformats.org/officeDocument/2006/relationships/hyperlink" Target="http://www.oas.org/es/cidh/docs/anual/2015/doc-es/InformeAnual2015-cap4A-fuerza-ES.pdf" TargetMode="External"/><Relationship Id="rId586" Type="http://schemas.openxmlformats.org/officeDocument/2006/relationships/hyperlink" Target="https://www.aclu.org/sites/default/files/field_document/lethal_in_disguise_inclo_single_page.pdf" TargetMode="External"/><Relationship Id="rId7" Type="http://schemas.openxmlformats.org/officeDocument/2006/relationships/hyperlink" Target="file:///C:\Users\victoria\Documents\Traducciones\CIDH\La%20CIDH%20concluye%20su%20visita%20a%20Florida,%20Luisiana%20y%20Misuri,%20en%20Estados%20Unidos" TargetMode="External"/><Relationship Id="rId183" Type="http://schemas.openxmlformats.org/officeDocument/2006/relationships/hyperlink" Target="https://www.nyclu.org/en/stop-and-frisk-data" TargetMode="External"/><Relationship Id="rId239" Type="http://schemas.openxmlformats.org/officeDocument/2006/relationships/hyperlink" Target="http://www.latimes.com/opinion/op-ed/la-oe-stinson-cop-shootings-20161215-story.html" TargetMode="External"/><Relationship Id="rId390" Type="http://schemas.openxmlformats.org/officeDocument/2006/relationships/hyperlink" Target="http://www.oas.org/es/cidh/prensa/comunicados/2015/037.asp" TargetMode="External"/><Relationship Id="rId404" Type="http://schemas.openxmlformats.org/officeDocument/2006/relationships/hyperlink" Target="https://ucr.fbi.gov/hate-crime/2016/topic-pages/incidentsandoffenses.pdf" TargetMode="External"/><Relationship Id="rId446" Type="http://schemas.openxmlformats.org/officeDocument/2006/relationships/hyperlink" Target="http://tbinternet.ohchr.org/_layouts/treatybodyexternal/Download.aspx?symbolno=CERD%2fC%2fUSA%2fCO%2f7-9&amp;Lang=en" TargetMode="External"/><Relationship Id="rId611" Type="http://schemas.openxmlformats.org/officeDocument/2006/relationships/hyperlink" Target="http://cidh.org/annualrep/2004eng/Belize.12053eng.htm" TargetMode="External"/><Relationship Id="rId653" Type="http://schemas.openxmlformats.org/officeDocument/2006/relationships/hyperlink" Target="http://www.ohchr.org/SP/ProfessionalInterest/Pages/UseOfForceAndFirearms.aspx" TargetMode="External"/><Relationship Id="rId250" Type="http://schemas.openxmlformats.org/officeDocument/2006/relationships/hyperlink" Target="http://www.oas.org/es/cidh/prensa/Comunicados/2014/090.asp" TargetMode="External"/><Relationship Id="rId292" Type="http://schemas.openxmlformats.org/officeDocument/2006/relationships/hyperlink" Target="http://www.newyorker.com/magazine/2015/12/21/badcops-good-cops" TargetMode="External"/><Relationship Id="rId306" Type="http://schemas.openxmlformats.org/officeDocument/2006/relationships/hyperlink" Target="http://rfkhumanrights.org/media/filer_public/7d/84/7d8409c1-588f-4163-b552-1f6428e685db/iachr_thematic_hearing_submission_-_excessive_use_of_force_by_police_against_black_americans.pdf" TargetMode="External"/><Relationship Id="rId488" Type="http://schemas.openxmlformats.org/officeDocument/2006/relationships/hyperlink" Target="https://www.nytimes.com/2017/02/12/us/police-chiefs-trump-law-enforcement-priorities.html?mcubz=1" TargetMode="External"/><Relationship Id="rId695" Type="http://schemas.openxmlformats.org/officeDocument/2006/relationships/hyperlink" Target="http://www.oas.org/es/cidh/afrodescendientes/docs/pdf/AFROS_2011_ESP.pdf" TargetMode="External"/><Relationship Id="rId45" Type="http://schemas.openxmlformats.org/officeDocument/2006/relationships/hyperlink" Target="https://www.oas.org/en/iachr/reports/pdfs/Universalization-InterAmerican-System.docx" TargetMode="External"/><Relationship Id="rId87" Type="http://schemas.openxmlformats.org/officeDocument/2006/relationships/hyperlink" Target="http://www.oas.org/es/cidh/afrodescendientes/docs/pdf/AFROS_2011_ESP.pdf" TargetMode="External"/><Relationship Id="rId110" Type="http://schemas.openxmlformats.org/officeDocument/2006/relationships/hyperlink" Target="https://opinionator.blogs.nytimes.com/2015/04/03/how-the-slave-trade-built-america/" TargetMode="External"/><Relationship Id="rId348" Type="http://schemas.openxmlformats.org/officeDocument/2006/relationships/hyperlink" Target="https://eji.org/news/people-of-color-disproportionately-detained-pretrial" TargetMode="External"/><Relationship Id="rId513" Type="http://schemas.openxmlformats.org/officeDocument/2006/relationships/hyperlink" Target="http://cidh.org/annualrep/2004eng/Belize.12053eng.htm" TargetMode="External"/><Relationship Id="rId555" Type="http://schemas.openxmlformats.org/officeDocument/2006/relationships/hyperlink" Target="https://www.oas.org/es/cidh/docs/pdfs/seguridad%20ciudadana%202009%20esp.pdf" TargetMode="External"/><Relationship Id="rId597" Type="http://schemas.openxmlformats.org/officeDocument/2006/relationships/hyperlink" Target="http://www.amnesty.nl/sites/default/files/public/amnesty_use_of_force_final_web_0.pdf" TargetMode="External"/><Relationship Id="rId152" Type="http://schemas.openxmlformats.org/officeDocument/2006/relationships/hyperlink" Target="https://www.youtube.com/watch?v=c_ZLnaWeXCk" TargetMode="External"/><Relationship Id="rId194" Type="http://schemas.openxmlformats.org/officeDocument/2006/relationships/hyperlink" Target="https://harvardlawreview.org/2015/04/policing-and-profit/" TargetMode="External"/><Relationship Id="rId208" Type="http://schemas.openxmlformats.org/officeDocument/2006/relationships/hyperlink" Target="https://www.reuters.com/article/us-usa-race-obama/obama-sets-new-limits-on-police-use-of-military-equipment-idUSKBN0O30UQ20150518" TargetMode="External"/><Relationship Id="rId415" Type="http://schemas.openxmlformats.org/officeDocument/2006/relationships/hyperlink" Target="https://www.nbcnews.com/storyline/charleston-church-shooting/charlotte-church-shooting-renews-debate-over-removing-confederate-flag-n378651" TargetMode="External"/><Relationship Id="rId457" Type="http://schemas.openxmlformats.org/officeDocument/2006/relationships/hyperlink" Target="https://www.youtube.com/watch?v=U5SvLoYX71M" TargetMode="External"/><Relationship Id="rId622" Type="http://schemas.openxmlformats.org/officeDocument/2006/relationships/hyperlink" Target="http://www.oas.org/en/iachr/decisions/2011/uspu12626en.doc" TargetMode="External"/><Relationship Id="rId261" Type="http://schemas.openxmlformats.org/officeDocument/2006/relationships/hyperlink" Target="http://www.oas.org/es/cidh/prensa/Comunicados/2015/040.asp" TargetMode="External"/><Relationship Id="rId499" Type="http://schemas.openxmlformats.org/officeDocument/2006/relationships/hyperlink" Target="https://www.justice.gov/crt/file/883296/download" TargetMode="External"/><Relationship Id="rId664" Type="http://schemas.openxmlformats.org/officeDocument/2006/relationships/hyperlink" Target="http://www.oas.org/en/iachr/decisions/2011/uspu12626en.doc" TargetMode="External"/><Relationship Id="rId14" Type="http://schemas.openxmlformats.org/officeDocument/2006/relationships/hyperlink" Target="http://www.oas.org/es/cidh/prensa/Comunicados/2017/124.asp" TargetMode="External"/><Relationship Id="rId56" Type="http://schemas.openxmlformats.org/officeDocument/2006/relationships/hyperlink" Target="http://www.oas.org/es/cidh/afrodescendientes/docs/pdf/AFROS_2011_ESP.pdf" TargetMode="External"/><Relationship Id="rId317" Type="http://schemas.openxmlformats.org/officeDocument/2006/relationships/hyperlink" Target="https://s3.amazonaws.com/s3.document%20cloud.org/documents/1310115/5-second-rule-injunction.pdf" TargetMode="External"/><Relationship Id="rId359" Type="http://schemas.openxmlformats.org/officeDocument/2006/relationships/hyperlink" Target="https://www.state.gov/documents/organization/235641.pdf" TargetMode="External"/><Relationship Id="rId524" Type="http://schemas.openxmlformats.org/officeDocument/2006/relationships/hyperlink" Target="https://www.cnn.com/2013/06/20/justice/north-carolina-death-penalty/index.html" TargetMode="External"/><Relationship Id="rId566" Type="http://schemas.openxmlformats.org/officeDocument/2006/relationships/hyperlink" Target="http://tbinternet.ohchr.org/_layouts/treatybodyexternal/Download.aspx?symbolno=CERD%2fC%2fUSA%2fCO%2f7-9&amp;Lang=en" TargetMode="External"/><Relationship Id="rId98" Type="http://schemas.openxmlformats.org/officeDocument/2006/relationships/hyperlink" Target="https://www.theatlantic.com/magazine/archive/2014/05/segregation-now/359813/" TargetMode="External"/><Relationship Id="rId121" Type="http://schemas.openxmlformats.org/officeDocument/2006/relationships/hyperlink" Target="https://www.smithsonianmag.com/smart-news/1873-colfax-massacre-crippled-reconstruction-180958746/" TargetMode="External"/><Relationship Id="rId163" Type="http://schemas.openxmlformats.org/officeDocument/2006/relationships/hyperlink" Target="https://www.aclu.org/report/war-comes-home-excessive-militarization-american-police" TargetMode="External"/><Relationship Id="rId219" Type="http://schemas.openxmlformats.org/officeDocument/2006/relationships/hyperlink" Target="https://documents-dds-ny.un.org/doc/UNDOC/GEN/G16/183/30/PDF/G1618330.pdf?OpenElement" TargetMode="External"/><Relationship Id="rId370" Type="http://schemas.openxmlformats.org/officeDocument/2006/relationships/hyperlink" Target="http://www.justicestudies.com/pubs/livelink3-1.pdf" TargetMode="External"/><Relationship Id="rId426" Type="http://schemas.openxmlformats.org/officeDocument/2006/relationships/hyperlink" Target="http://www.baltimoresun.com/news/maryland/crime/bs-md-charlottesville-arrest-0827-story.html" TargetMode="External"/><Relationship Id="rId633" Type="http://schemas.openxmlformats.org/officeDocument/2006/relationships/hyperlink" Target="https://www.oas.org/es/cidh/docs/pdfs/seguridad%20ciudadana%202009%20esp.pdf" TargetMode="External"/><Relationship Id="rId230" Type="http://schemas.openxmlformats.org/officeDocument/2006/relationships/hyperlink" Target="https://www.washingtonpost.com/investigations/nationwide-police-shot-and-killed-nearly-1000-people-in-2017/2018/01/04/4eed5f34-e4e9-11e7-ab50-621fe0588340_story.html?utm_term=.3161bdeaacce" TargetMode="External"/><Relationship Id="rId468" Type="http://schemas.openxmlformats.org/officeDocument/2006/relationships/hyperlink" Target="http://www.washingtonpost.com/wp-dyn/content/article/2010/06/30/AR2010063001356.html" TargetMode="External"/><Relationship Id="rId675" Type="http://schemas.openxmlformats.org/officeDocument/2006/relationships/hyperlink" Target="http://www.oas.org/es/cidh/afrodescendientes/docs/pdf/AFROS_2011_ESP.pdf" TargetMode="External"/><Relationship Id="rId25" Type="http://schemas.openxmlformats.org/officeDocument/2006/relationships/hyperlink" Target="http://www.oas.org/dil/access_to_information_human_right_American_Declaration_of_the_Rights_and_Duties_of_Man.pdf" TargetMode="External"/><Relationship Id="rId67" Type="http://schemas.openxmlformats.org/officeDocument/2006/relationships/hyperlink" Target="http://www.feedingamerica.org/assets/pdfs/fact-sheets/african-american-hunger-fact-sheet.pdf" TargetMode="External"/><Relationship Id="rId272" Type="http://schemas.openxmlformats.org/officeDocument/2006/relationships/hyperlink" Target="https://www.nytimes.com/interactive/2017/05/17/us/nfl-kneeling-national-anthem.html" TargetMode="External"/><Relationship Id="rId328" Type="http://schemas.openxmlformats.org/officeDocument/2006/relationships/hyperlink" Target="https://www.nbcnews.com/storyline/baltimore-unrest/baltimore-protests-100-arrested-new-york-rally-over-freddie-gray-n350951" TargetMode="External"/><Relationship Id="rId535" Type="http://schemas.openxmlformats.org/officeDocument/2006/relationships/hyperlink" Target="http://cidh.org/annualrep/2005eng/Jamaica.12418eng.htm" TargetMode="External"/><Relationship Id="rId577" Type="http://schemas.openxmlformats.org/officeDocument/2006/relationships/hyperlink" Target="http://www.ohchr.org/SP/ProfessionalInterest/Pages/UseOfForceAndFirearms.aspx" TargetMode="External"/><Relationship Id="rId700" Type="http://schemas.openxmlformats.org/officeDocument/2006/relationships/hyperlink" Target="http://www.ohchr.org/SP/ProfessionalInterest/Pages/RemedyAndReparation.aspx" TargetMode="External"/><Relationship Id="rId132" Type="http://schemas.openxmlformats.org/officeDocument/2006/relationships/hyperlink" Target="https://documents-dds-ny.un.org/doc/UNDOC/GEN/G16/183/30/PDF/G1618330.pdf?OpenElement" TargetMode="External"/><Relationship Id="rId174" Type="http://schemas.openxmlformats.org/officeDocument/2006/relationships/hyperlink" Target="https://www.youtube.com/watch?v=ieGOtPqlHLM&amp;feature=youtu.be" TargetMode="External"/><Relationship Id="rId381" Type="http://schemas.openxmlformats.org/officeDocument/2006/relationships/hyperlink" Target="http://www.oas.org/es/cidh/prensa/Comunicados/2012/120.asp" TargetMode="External"/><Relationship Id="rId602" Type="http://schemas.openxmlformats.org/officeDocument/2006/relationships/hyperlink" Target="http://www.oas.org/es/cidh/docs/anual/2015/doc-es/InformeAnual2015-cap4A-fuerza-ES.pdf" TargetMode="External"/><Relationship Id="rId241" Type="http://schemas.openxmlformats.org/officeDocument/2006/relationships/hyperlink" Target="http://www.oas.org/es/cidh/docs/pdfs/SEGURIDAD%20CIUDADANA%202009%20ESP.pdf" TargetMode="External"/><Relationship Id="rId437" Type="http://schemas.openxmlformats.org/officeDocument/2006/relationships/hyperlink" Target="http://www.orlandosentinel.com/news/breaking-news/os-florida-stand-your-ground-civil-rights-20141017-story.html" TargetMode="External"/><Relationship Id="rId479" Type="http://schemas.openxmlformats.org/officeDocument/2006/relationships/hyperlink" Target="https://www.youtube.com/watch?v=j_OIkzDAaxA" TargetMode="External"/><Relationship Id="rId644" Type="http://schemas.openxmlformats.org/officeDocument/2006/relationships/hyperlink" Target="https://fivethirtyeight.com/features/allegations-of-police-misconduct-rarely-result-in-charges/" TargetMode="External"/><Relationship Id="rId686" Type="http://schemas.openxmlformats.org/officeDocument/2006/relationships/hyperlink" Target="http://www.ohchr.org/SP/ProfessionalInterest/Pages/RemedyAndReparation.aspx" TargetMode="External"/><Relationship Id="rId36" Type="http://schemas.openxmlformats.org/officeDocument/2006/relationships/hyperlink" Target="http://www.cidh.oas.org/annualrep/2004sp/Belize.12053.htm" TargetMode="External"/><Relationship Id="rId283" Type="http://schemas.openxmlformats.org/officeDocument/2006/relationships/hyperlink" Target="https://www.nytimes.com/2014/12/08/nyregion/grand-juries-seldom-charge-police-officers-in-fatal-actions.html?_r=0" TargetMode="External"/><Relationship Id="rId339" Type="http://schemas.openxmlformats.org/officeDocument/2006/relationships/hyperlink" Target="http://www.oas.org/es/cidh/prensa/Comunicados/2015/118.asp" TargetMode="External"/><Relationship Id="rId490" Type="http://schemas.openxmlformats.org/officeDocument/2006/relationships/hyperlink" Target="http://www.slate.com/blogs/the_slatest/2017/04/06/trump_and_sessions_are_undermining_the_baltimore_consent_decree.html" TargetMode="External"/><Relationship Id="rId504" Type="http://schemas.openxmlformats.org/officeDocument/2006/relationships/hyperlink" Target="https://www.youtube.com/watch?v=ieGOtPqlHLM&amp;feature=youtu.be" TargetMode="External"/><Relationship Id="rId546" Type="http://schemas.openxmlformats.org/officeDocument/2006/relationships/hyperlink" Target="http://www.ohchr.org/SP/ProfessionalInterest/Pages/UseOfForceAndFirearms.aspx" TargetMode="External"/><Relationship Id="rId78" Type="http://schemas.openxmlformats.org/officeDocument/2006/relationships/hyperlink" Target="http://tbinternet.ohchr.org/_layouts/treatybodyexternal/Download.aspx?symbolno=CERD%2fC%2fUSA%2fCO%2f7-9&amp;Lang=en" TargetMode="External"/><Relationship Id="rId101" Type="http://schemas.openxmlformats.org/officeDocument/2006/relationships/hyperlink" Target="https://chicagounbound.uchicago.edu/cgi/viewcontent.cgi?referer=http://www.law.columbia.edu/news/2017/06/kimberle-crenshaw-intersectionality&amp;httpsredir=1&amp;article=1052&amp;context=uclf" TargetMode="External"/><Relationship Id="rId143" Type="http://schemas.openxmlformats.org/officeDocument/2006/relationships/hyperlink" Target="http://www.ohchr.org/EN/HRBodies/HRC/RegularSessions/Session35/Documents/A_HRC_35_28_Add.2_AEV.docx" TargetMode="External"/><Relationship Id="rId185" Type="http://schemas.openxmlformats.org/officeDocument/2006/relationships/hyperlink" Target="https://www.aclu-il.org/en/campaigns/stop-and-frisk" TargetMode="External"/><Relationship Id="rId350" Type="http://schemas.openxmlformats.org/officeDocument/2006/relationships/hyperlink" Target="http://www.pretrial.org/download/research/Give%20Us%20Free-Addressing%20Racial%20Disparities%20in%20bail%20Determinations%20-%20Jones%202014.pdf" TargetMode="External"/><Relationship Id="rId406" Type="http://schemas.openxmlformats.org/officeDocument/2006/relationships/hyperlink" Target="https://www.splcenter.org/hatewatch/2017/11/13/fbi-hate-crimes-reach-5-year-high-2016-jumped-trump-rolled-toward-presidency-0" TargetMode="External"/><Relationship Id="rId588" Type="http://schemas.openxmlformats.org/officeDocument/2006/relationships/hyperlink" Target="http://www.oas.org/es/cidh/docs/anual/2015/doc-es/InformeAnual2015-cap4A-fuerza-ES.pdf" TargetMode="External"/><Relationship Id="rId9" Type="http://schemas.openxmlformats.org/officeDocument/2006/relationships/hyperlink" Target="file:///C:\Users\victoria\Documents\Traducciones\CIDH\La%20CIDH%20expresa%20preocupaci&#243;n%20por%20la%20muerte%20de%20personas%20afrodescendientes%20a%20manos%20de%20la%20polic&#237;a%20en%20Estados%20Unidos" TargetMode="External"/><Relationship Id="rId210" Type="http://schemas.openxmlformats.org/officeDocument/2006/relationships/hyperlink" Target="https://www.washingtonpost.com/news/the-watch/wp/2015/05/18/obama-moves-to-demilitarize-americas-police/?utm_term=.b659b1e140ec" TargetMode="External"/><Relationship Id="rId392" Type="http://schemas.openxmlformats.org/officeDocument/2006/relationships/hyperlink" Target="http://www.oas.org/es/cidh/prensa/Comunicados/2015/118.asp" TargetMode="External"/><Relationship Id="rId448" Type="http://schemas.openxmlformats.org/officeDocument/2006/relationships/hyperlink" Target="https://www.washingtonpost.com/news/post-nation/wp/2016/01/21/disgraced-ex-officer-daniel-holtzclaw-to-be-sentenced-after-sex-crimes-conviction/?utm_term=.d690235e4eb3" TargetMode="External"/><Relationship Id="rId613" Type="http://schemas.openxmlformats.org/officeDocument/2006/relationships/hyperlink" Target="https://www.cidh.oas.org/women/Acceso07/indiceacceso.htm" TargetMode="External"/><Relationship Id="rId655" Type="http://schemas.openxmlformats.org/officeDocument/2006/relationships/hyperlink" Target="http://www.oas.org/es/cidh/prensa/Comunicados/2016/120.asp" TargetMode="External"/><Relationship Id="rId697" Type="http://schemas.openxmlformats.org/officeDocument/2006/relationships/hyperlink" Target="http://www.ohchr.org/SP/ProfessionalInterest/Pages/RemedyAndReparation.aspx" TargetMode="External"/><Relationship Id="rId252" Type="http://schemas.openxmlformats.org/officeDocument/2006/relationships/hyperlink" Target="http://www.oas.org/es/cidh/prensa/Comunicados/2016/120.asp" TargetMode="External"/><Relationship Id="rId294" Type="http://schemas.openxmlformats.org/officeDocument/2006/relationships/hyperlink" Target="https://www.nytimes.com/roomfordebate/2015/04/29/baltimore-and-bolstering-a-police-officers-right-to-remain-silent/the-police-officers-bill-of-rights-creates-a-double-standard" TargetMode="External"/><Relationship Id="rId308" Type="http://schemas.openxmlformats.org/officeDocument/2006/relationships/hyperlink" Target="http://www.oas.org/es/cidh/prensa/Comunicados/2015/118.asp" TargetMode="External"/><Relationship Id="rId515" Type="http://schemas.openxmlformats.org/officeDocument/2006/relationships/hyperlink" Target="http://www.cidh.org/Terrorism/Span/indice.htm" TargetMode="External"/><Relationship Id="rId47" Type="http://schemas.openxmlformats.org/officeDocument/2006/relationships/hyperlink" Target="file:///C:\Users\cidhbec10\Downloads\,%20Report%20N&#186;%2081\10,%20Case%2012.562,%20Wayne%20Smith,%20Hugo%20Armendariz,%20et%20al" TargetMode="External"/><Relationship Id="rId89" Type="http://schemas.openxmlformats.org/officeDocument/2006/relationships/hyperlink" Target="http://college.usatoday.com/2017/03/07/report-the-race-gap-in-higher-education-is-very-real/" TargetMode="External"/><Relationship Id="rId112" Type="http://schemas.openxmlformats.org/officeDocument/2006/relationships/hyperlink" Target="https://www.theatlantic.com/politics/archive/2014/10/the-old-jim-crow/381473/" TargetMode="External"/><Relationship Id="rId154" Type="http://schemas.openxmlformats.org/officeDocument/2006/relationships/hyperlink" Target="http://www.nytimes.com/1999/02/05/nyregion/officers-in-bronx-fire-41-shots-and-an-unarmed-man-is-killed.html" TargetMode="External"/><Relationship Id="rId361" Type="http://schemas.openxmlformats.org/officeDocument/2006/relationships/hyperlink" Target="https://documents-dds-ny.un.org/doc/UNDOC/GEN/G16/183/30/PDF/G1618330.pdf?OpenElement" TargetMode="External"/><Relationship Id="rId557" Type="http://schemas.openxmlformats.org/officeDocument/2006/relationships/hyperlink" Target="http://www.ohchr.org/SP/ProfessionalInterest/Pages/UseOfForceAndFirearms.aspx" TargetMode="External"/><Relationship Id="rId599" Type="http://schemas.openxmlformats.org/officeDocument/2006/relationships/hyperlink" Target="http://www.oas.org/es/cidh/docs/anual/2015/doc-es/InformeAnual2015-cap4A-fuerza-ES.pdf" TargetMode="External"/><Relationship Id="rId196" Type="http://schemas.openxmlformats.org/officeDocument/2006/relationships/hyperlink" Target="https://www.justice.gov/sites/default/files/opa/press-releases/attachments/2015/03/04/ferguson_police_department_report_1.pdf" TargetMode="External"/><Relationship Id="rId417" Type="http://schemas.openxmlformats.org/officeDocument/2006/relationships/hyperlink" Target="https://www.nytimes.com/2017/08/12/us/charlottesville-protest-white-nationalist.html?mcubz=1" TargetMode="External"/><Relationship Id="rId459" Type="http://schemas.openxmlformats.org/officeDocument/2006/relationships/hyperlink" Target="https://www.nbcnews.com/news/us-news/newly-released-interview-footage-reveal-shifting-stories-officers-who-shot-n751401" TargetMode="External"/><Relationship Id="rId624" Type="http://schemas.openxmlformats.org/officeDocument/2006/relationships/hyperlink" Target="http://www.oas.org/es/cidh/prensa/Comunicados/2015/118.asp" TargetMode="External"/><Relationship Id="rId666" Type="http://schemas.openxmlformats.org/officeDocument/2006/relationships/hyperlink" Target="http://www.oas.org/es/cidh/decisiones/2016/USPU12834ES.pdf" TargetMode="External"/><Relationship Id="rId16" Type="http://schemas.openxmlformats.org/officeDocument/2006/relationships/hyperlink" Target="http://www.oas.org/es/cidh/informes/pdfs/Mujeres-indigenas-BC-Canada-es.pdf" TargetMode="External"/><Relationship Id="rId221" Type="http://schemas.openxmlformats.org/officeDocument/2006/relationships/hyperlink" Target="http://www.oas.org/es/cidh/prensa/Comunicados/2015/040.asp" TargetMode="External"/><Relationship Id="rId263" Type="http://schemas.openxmlformats.org/officeDocument/2006/relationships/hyperlink" Target="http://www.washingtonpost.com/sf/investigative/2015/04/11/thousands-dead-few-prosecuted/?utm_term=.43b0b694a26e" TargetMode="External"/><Relationship Id="rId319" Type="http://schemas.openxmlformats.org/officeDocument/2006/relationships/hyperlink" Target="http://www.oas.org/es/cidh/docs/anual/2015/doc-es/InformeAnual2015-cap4A-fuerza-ES.pdf" TargetMode="External"/><Relationship Id="rId470" Type="http://schemas.openxmlformats.org/officeDocument/2006/relationships/hyperlink" Target="http://www.oas.org/es/cidh/informes/pdfs/PrisionPreventiva.pdf" TargetMode="External"/><Relationship Id="rId526" Type="http://schemas.openxmlformats.org/officeDocument/2006/relationships/hyperlink" Target="http://www.oas.org/es/cidh/decisiones/2016/USPU12834ES.pdf" TargetMode="External"/><Relationship Id="rId58" Type="http://schemas.openxmlformats.org/officeDocument/2006/relationships/hyperlink" Target="http://tbinternet.ohchr.org/_layouts/treatybodyexternal/Download.aspx?symbolno=CERD%2fC%2fUSA%2fCO%2f7-9&amp;Lang=en" TargetMode="External"/><Relationship Id="rId123" Type="http://schemas.openxmlformats.org/officeDocument/2006/relationships/hyperlink" Target="https://lynchinginamerica.eji.org/report/" TargetMode="External"/><Relationship Id="rId330" Type="http://schemas.openxmlformats.org/officeDocument/2006/relationships/hyperlink" Target="http://www.oas.org/es/cidh/docs/anual/2015/doc-es/InformeAnual2015-cap4A-fuerza-ES.pdf" TargetMode="External"/><Relationship Id="rId568" Type="http://schemas.openxmlformats.org/officeDocument/2006/relationships/hyperlink" Target="http://www.ohchr.org/SP/ProfessionalInterest/Pages/UseOfForceAndFirearms.aspx" TargetMode="External"/><Relationship Id="rId165" Type="http://schemas.openxmlformats.org/officeDocument/2006/relationships/hyperlink" Target="https://www.youtube.com/watch?v=j_OIkzDAaxA" TargetMode="External"/><Relationship Id="rId372" Type="http://schemas.openxmlformats.org/officeDocument/2006/relationships/hyperlink" Target="https://www.prisonpolicy.org/global/" TargetMode="External"/><Relationship Id="rId428" Type="http://schemas.openxmlformats.org/officeDocument/2006/relationships/hyperlink" Target="https://www.npr.org/sections/thetwo-way/2018/02/28/589451855/shrouds-pulled-from-charlottesville-confederate-statues-following-ruling" TargetMode="External"/><Relationship Id="rId635" Type="http://schemas.openxmlformats.org/officeDocument/2006/relationships/hyperlink" Target="https://www.oas.org/es/cidh/docs/pdfs/seguridad%20ciudadana%202009%20esp.pdf" TargetMode="External"/><Relationship Id="rId677" Type="http://schemas.openxmlformats.org/officeDocument/2006/relationships/hyperlink" Target="http://www.oas.org/es/cidh/informes/pdfs/Derecho-Verdad-es.pdf" TargetMode="External"/><Relationship Id="rId232" Type="http://schemas.openxmlformats.org/officeDocument/2006/relationships/hyperlink" Target="https://www.washingtonpost.com/graphics/national/police-shootings-2017/" TargetMode="External"/><Relationship Id="rId274" Type="http://schemas.openxmlformats.org/officeDocument/2006/relationships/hyperlink" Target="http://abcnews.go.com/US/tulsa-police-officer-acquitted-death-unarmed-african-american/story?id=47480144" TargetMode="External"/><Relationship Id="rId481" Type="http://schemas.openxmlformats.org/officeDocument/2006/relationships/hyperlink" Target="https://www.phillypolice.com/assets/forms-reports/TaskForce_FinalReport.pdf" TargetMode="External"/><Relationship Id="rId702" Type="http://schemas.openxmlformats.org/officeDocument/2006/relationships/hyperlink" Target="http://www.oas.org/es/cidh/informes/pdfs/Derecho-Verdad-es.pdf" TargetMode="External"/><Relationship Id="rId27" Type="http://schemas.openxmlformats.org/officeDocument/2006/relationships/hyperlink" Target="http://www.oas.org/es/cidh/informes/pdfs/Hacia-cierre-Guantanamo.pdf" TargetMode="External"/><Relationship Id="rId69" Type="http://schemas.openxmlformats.org/officeDocument/2006/relationships/hyperlink" Target="https://www.usnews.com/news/best-states/michigan/articles/2017-09-15/expert-declares-qualified-end-to-water-crisis-in-flint" TargetMode="External"/><Relationship Id="rId134" Type="http://schemas.openxmlformats.org/officeDocument/2006/relationships/hyperlink" Target="https://www.theatlantic.com/magazine/archive/2014/06/the-case-for-reparations/361631/" TargetMode="External"/><Relationship Id="rId537" Type="http://schemas.openxmlformats.org/officeDocument/2006/relationships/hyperlink" Target="http://www.cidh.org/Terrorism/Span/indice.htm" TargetMode="External"/><Relationship Id="rId579" Type="http://schemas.openxmlformats.org/officeDocument/2006/relationships/hyperlink" Target="http://www.ohchr.org/SP/ProfessionalInterest/Pages/UseOfForceAndFirearms.aspx" TargetMode="External"/><Relationship Id="rId80" Type="http://schemas.openxmlformats.org/officeDocument/2006/relationships/hyperlink" Target="http://blackrj.org/wp-content/uploads/2017/06/http:/blackrj.org/wp-content/uploads/2017/06/FINAL-InOurVoices_Report_final.pdfFINAL-InOurVoices_Report_final.pdf" TargetMode="External"/><Relationship Id="rId176" Type="http://schemas.openxmlformats.org/officeDocument/2006/relationships/hyperlink" Target="http://www1.nyc.gov/assets/oignypd/downloads/pdf/Quality-of-Life-Report-2010-2015.pdf" TargetMode="External"/><Relationship Id="rId341" Type="http://schemas.openxmlformats.org/officeDocument/2006/relationships/hyperlink" Target="https://www.usatoday.com/story/news/nation/2014/11/18/ferguson-black-arrest-rates/19043207/" TargetMode="External"/><Relationship Id="rId383" Type="http://schemas.openxmlformats.org/officeDocument/2006/relationships/hyperlink" Target="http://www.oas.org/es/cidh/prensa/Comunicados/2015/118.asp" TargetMode="External"/><Relationship Id="rId439" Type="http://schemas.openxmlformats.org/officeDocument/2006/relationships/hyperlink" Target="https://www.theguardian.com/us-news/2014/oct/17/michael-dunn-sentenced-life-without-parole-florida" TargetMode="External"/><Relationship Id="rId590" Type="http://schemas.openxmlformats.org/officeDocument/2006/relationships/hyperlink" Target="http://www.ohchr.org/SP/ProfessionalInterest/Pages/UseOfForceAndFirearms.aspx" TargetMode="External"/><Relationship Id="rId604" Type="http://schemas.openxmlformats.org/officeDocument/2006/relationships/hyperlink" Target="https://www.oas.org/es/cidh/docs/pdfs/seguridad%20ciudadana%202009%20esp.pdf" TargetMode="External"/><Relationship Id="rId646" Type="http://schemas.openxmlformats.org/officeDocument/2006/relationships/hyperlink" Target="https://www.houstonchronicle.com/local/item/Bulletproof-Part-3-Hard-to-charge-24421.php" TargetMode="External"/><Relationship Id="rId201" Type="http://schemas.openxmlformats.org/officeDocument/2006/relationships/hyperlink" Target="https://harvardlawreview.org/2015/04/policing-and-profit/" TargetMode="External"/><Relationship Id="rId243" Type="http://schemas.openxmlformats.org/officeDocument/2006/relationships/hyperlink" Target="https://www.state.gov/documents/organization/235641.pdf" TargetMode="External"/><Relationship Id="rId285" Type="http://schemas.openxmlformats.org/officeDocument/2006/relationships/hyperlink" Target="https://fivethirtyeight.com/features/allegations-of-police-misconduct-rarely-result-in-charges/" TargetMode="External"/><Relationship Id="rId450" Type="http://schemas.openxmlformats.org/officeDocument/2006/relationships/hyperlink" Target="http://rudermanfoundation.org/wp-content/uploads/2017/08/MediaStudy-PoliceDisability_final-final.pdf" TargetMode="External"/><Relationship Id="rId506" Type="http://schemas.openxmlformats.org/officeDocument/2006/relationships/hyperlink" Target="https://www.state.gov/documents/organization/235641.pdf" TargetMode="External"/><Relationship Id="rId688" Type="http://schemas.openxmlformats.org/officeDocument/2006/relationships/hyperlink" Target="http://www.oas.org/es/cidh/informes/pdfs/Derecho-Verdad-es.pdf" TargetMode="External"/><Relationship Id="rId38" Type="http://schemas.openxmlformats.org/officeDocument/2006/relationships/hyperlink" Target="http://www.cidh.oas.org/annualrep/2006sp/Cuba12476sp.htm" TargetMode="External"/><Relationship Id="rId103" Type="http://schemas.openxmlformats.org/officeDocument/2006/relationships/hyperlink" Target="http://www.oas.org/es/cidh/afrodescendientes/docs/pdf/AFROS_2011_ESP.pdf" TargetMode="External"/><Relationship Id="rId310" Type="http://schemas.openxmlformats.org/officeDocument/2006/relationships/hyperlink" Target="https://www.youtube.com/watch?v=yft7VCzxXUg" TargetMode="External"/><Relationship Id="rId492" Type="http://schemas.openxmlformats.org/officeDocument/2006/relationships/hyperlink" Target="https://www.youtube.com/watch?v=U5SvLoYX71M" TargetMode="External"/><Relationship Id="rId548" Type="http://schemas.openxmlformats.org/officeDocument/2006/relationships/hyperlink" Target="http://www.oas.org/es/cidh/docs/anual/2015/doc-es/InformeAnual2015-cap4A-fuerza-ES.pdf" TargetMode="External"/><Relationship Id="rId91" Type="http://schemas.openxmlformats.org/officeDocument/2006/relationships/hyperlink" Target="https://www.washingtonpost.com/news/monkey-cage/wp/2017/02/15/do-voter-identification-laws-suppress-minority-voting-yes-we-did-the-research/?utm_term=.d330504d6a8e" TargetMode="External"/><Relationship Id="rId145" Type="http://schemas.openxmlformats.org/officeDocument/2006/relationships/hyperlink" Target="https://www.bjs.gov/content/pub/pdf/p2581.pdf" TargetMode="External"/><Relationship Id="rId187" Type="http://schemas.openxmlformats.org/officeDocument/2006/relationships/hyperlink" Target="http://www.washlaw.org/pdf/wlc_report_racial_disparities.PDF" TargetMode="External"/><Relationship Id="rId352" Type="http://schemas.openxmlformats.org/officeDocument/2006/relationships/hyperlink" Target="https://www.huffingtonpost.com/cynthia-jones/pretrial-detention-blacks-and-latinos_b_8537602.html" TargetMode="External"/><Relationship Id="rId394" Type="http://schemas.openxmlformats.org/officeDocument/2006/relationships/hyperlink" Target="https://www.youtube.com/watch?v=ieGOtPqlHLM&amp;feature=youtu.be" TargetMode="External"/><Relationship Id="rId408" Type="http://schemas.openxmlformats.org/officeDocument/2006/relationships/hyperlink" Target="https://ucr.fbi.gov/hate-crime/2016/topic-pages/incidentsandoffenses.pdf" TargetMode="External"/><Relationship Id="rId615" Type="http://schemas.openxmlformats.org/officeDocument/2006/relationships/hyperlink" Target="http://www.oas.org/en/iachr/decisions/2011/uspu12626en.doc" TargetMode="External"/><Relationship Id="rId212" Type="http://schemas.openxmlformats.org/officeDocument/2006/relationships/hyperlink" Target="http://www.oas.org/es/cidh/expresion/docs/informes/anuales/InformeAnual2016RELE.pdf" TargetMode="External"/><Relationship Id="rId254" Type="http://schemas.openxmlformats.org/officeDocument/2006/relationships/hyperlink" Target="https://www.youtube.com/watch?v=U5SvLoYX71M" TargetMode="External"/><Relationship Id="rId657" Type="http://schemas.openxmlformats.org/officeDocument/2006/relationships/hyperlink" Target="http://www.oas.org/es/cidh/prensa/Comunicados/2014/090.asp" TargetMode="External"/><Relationship Id="rId699" Type="http://schemas.openxmlformats.org/officeDocument/2006/relationships/hyperlink" Target="http://www.ohchr.org/SP/ProfessionalInterest/Pages/RemedyAndReparation.aspx" TargetMode="External"/><Relationship Id="rId49" Type="http://schemas.openxmlformats.org/officeDocument/2006/relationships/hyperlink" Target="http://www.cidh.oas.org/annualrep/2004sp/Belize.12053.htm" TargetMode="External"/><Relationship Id="rId114" Type="http://schemas.openxmlformats.org/officeDocument/2006/relationships/hyperlink" Target="http://plsonline.eku.edu/insidelook/brief-history-slavery-and-origins-american-policing" TargetMode="External"/><Relationship Id="rId296" Type="http://schemas.openxmlformats.org/officeDocument/2006/relationships/hyperlink" Target="http://rfkhumanrights.org/media/filer_public/7d/84/7d8409c1-588f-4163-b552-1f6428e685db/iachr_thematic_%20hearing_submission_-_excessive_use_of_force_by_police_against_black_americans.pdf" TargetMode="External"/><Relationship Id="rId461" Type="http://schemas.openxmlformats.org/officeDocument/2006/relationships/hyperlink" Target="http://www.oas.org/es/cidh/prensa/Comunicados/2015/118.asp" TargetMode="External"/><Relationship Id="rId517" Type="http://schemas.openxmlformats.org/officeDocument/2006/relationships/hyperlink" Target="http://www.corteidh.or.cr/docs/opiniones/seriea_18_esp.pdf" TargetMode="External"/><Relationship Id="rId559" Type="http://schemas.openxmlformats.org/officeDocument/2006/relationships/hyperlink" Target="http://www.oas.org/es/cidh/docs/anual/2015/doc-es/InformeAnual2015-cap4A-fuerza-ES.pdf" TargetMode="External"/><Relationship Id="rId60" Type="http://schemas.openxmlformats.org/officeDocument/2006/relationships/hyperlink" Target="https://www.theatlantic.com/business/archive/2015/12/black-white-unemployment-gap/421497/" TargetMode="External"/><Relationship Id="rId156" Type="http://schemas.openxmlformats.org/officeDocument/2006/relationships/hyperlink" Target="http://blacklivesmatter.com/" TargetMode="External"/><Relationship Id="rId198" Type="http://schemas.openxmlformats.org/officeDocument/2006/relationships/hyperlink" Target="https://www.justice.gov/sites/default/files/opa/press-releases/attachments/2015/03/04/ferguson_police_department_report_1.pdf" TargetMode="External"/><Relationship Id="rId321" Type="http://schemas.openxmlformats.org/officeDocument/2006/relationships/hyperlink" Target="http://www.latimes.com/local/lanow/la-me-ln-arrests-oakland-los-angeles-michael-brown-protests-20141125-story.html" TargetMode="External"/><Relationship Id="rId363" Type="http://schemas.openxmlformats.org/officeDocument/2006/relationships/hyperlink" Target="http://www.oas.org/es/cidh/prensa/Comunicados/2015/118.asp" TargetMode="External"/><Relationship Id="rId419" Type="http://schemas.openxmlformats.org/officeDocument/2006/relationships/hyperlink" Target="https://www.washingtonpost.com/local/black-man-beaten-in-charlottesville-found-not-guilty-of-assaulting-white-supremacist/2018/03/16/92160a88-288f-11e8-b79d-f3d931db7f68_story.html?utm_term=.dc3f4332f340" TargetMode="External"/><Relationship Id="rId570" Type="http://schemas.openxmlformats.org/officeDocument/2006/relationships/hyperlink" Target="http://www.amnestyusa.org/research/reports/deadly-force-police-use-of-lethal-force-in-the-united-states" TargetMode="External"/><Relationship Id="rId626" Type="http://schemas.openxmlformats.org/officeDocument/2006/relationships/hyperlink" Target="http://www.oas.org/en/iachr/decisions/2011/uspu12626en.doc" TargetMode="External"/><Relationship Id="rId223" Type="http://schemas.openxmlformats.org/officeDocument/2006/relationships/hyperlink" Target="https://www.washingtonpost.com/national/fbi-director-calls-lack-of-data-on-police-shootings-ridiculous-embarrassing/2015/10/07/c0ebaf7a-6d16-11e5-b31c-d80d62b53e28_story.html?utm_term=.49ff17ab78d0" TargetMode="External"/><Relationship Id="rId430" Type="http://schemas.openxmlformats.org/officeDocument/2006/relationships/hyperlink" Target="https://www.theatlantic.com/politics/archive/2017/08/take-the-statues-down/536727/" TargetMode="External"/><Relationship Id="rId668" Type="http://schemas.openxmlformats.org/officeDocument/2006/relationships/hyperlink" Target="http://www.cidh.org/annualrep/2002sp/cap.vi.juarez.htm" TargetMode="External"/><Relationship Id="rId18" Type="http://schemas.openxmlformats.org/officeDocument/2006/relationships/hyperlink" Target="http://www.oas.org/en/sla/docs/ag03796E01.pdf" TargetMode="External"/><Relationship Id="rId265" Type="http://schemas.openxmlformats.org/officeDocument/2006/relationships/hyperlink" Target="https://www.wsj.com/articles/more-police-go-to-trial-in-killings-but-convictions-remain-rare-1443044871?cb=logged0.7918145186267793&amp;cb=logged0.3802703696374774" TargetMode="External"/><Relationship Id="rId472" Type="http://schemas.openxmlformats.org/officeDocument/2006/relationships/hyperlink" Target="https://www.dhs.gov/sites/default/files/publications/use-of-race-policy_0.pdf" TargetMode="External"/><Relationship Id="rId528" Type="http://schemas.openxmlformats.org/officeDocument/2006/relationships/hyperlink" Target="http://cidh.org/annualrep/2004eng/Belize.12053eng.htm" TargetMode="External"/><Relationship Id="rId125" Type="http://schemas.openxmlformats.org/officeDocument/2006/relationships/hyperlink" Target="https://lynchinginamerica.eji.org/report/" TargetMode="External"/><Relationship Id="rId167" Type="http://schemas.openxmlformats.org/officeDocument/2006/relationships/hyperlink" Target="https://www.youtube.com/watch?v=ieGOtPqlHLM&amp;feature=youtu.be" TargetMode="External"/><Relationship Id="rId332" Type="http://schemas.openxmlformats.org/officeDocument/2006/relationships/hyperlink" Target="https://www.theguardian.com/us-news/2017/sep/22/st-louis-missouri-ferguson-protests-black-lives-matter" TargetMode="External"/><Relationship Id="rId374" Type="http://schemas.openxmlformats.org/officeDocument/2006/relationships/hyperlink" Target="https://www.prisonpolicy.org/reports/pie2017.html" TargetMode="External"/><Relationship Id="rId581" Type="http://schemas.openxmlformats.org/officeDocument/2006/relationships/hyperlink" Target="https://www.phillypolice.com/assets/forms-reports/TaskForce_FinalReport.pdf" TargetMode="External"/><Relationship Id="rId71" Type="http://schemas.openxmlformats.org/officeDocument/2006/relationships/hyperlink" Target="http://www.cnn.com/2016/01/26/us/flint-michigan-water-crisis-race-poverty/index.html" TargetMode="External"/><Relationship Id="rId234" Type="http://schemas.openxmlformats.org/officeDocument/2006/relationships/hyperlink" Target="https://www.washingtonpost.com/graphics/national/police-shootings/" TargetMode="External"/><Relationship Id="rId637" Type="http://schemas.openxmlformats.org/officeDocument/2006/relationships/hyperlink" Target="http://www.ohchr.org/Documents/Publications/training8Rev1sp.pdf" TargetMode="External"/><Relationship Id="rId679" Type="http://schemas.openxmlformats.org/officeDocument/2006/relationships/hyperlink" Target="http://www.cidh.org/pdf%20files/Lineamientos%20principales%20para%20una%20pol%C3%ADtica%20integral%20de%20reparaciones.pdf" TargetMode="External"/><Relationship Id="rId2" Type="http://schemas.openxmlformats.org/officeDocument/2006/relationships/hyperlink" Target="https://www.youtube.com/watch?v=ieGOtPqlHLM&amp;feature=youtu.be" TargetMode="External"/><Relationship Id="rId29" Type="http://schemas.openxmlformats.org/officeDocument/2006/relationships/hyperlink" Target="http://www.oas.org/es/cidh/migrantes/docs/pdf/Migrantes2011.pdf" TargetMode="External"/><Relationship Id="rId276" Type="http://schemas.openxmlformats.org/officeDocument/2006/relationships/hyperlink" Target="http://www.cnn.com/2017/09/15/us/jason-stockley-officer-shooting-verdict/index.html" TargetMode="External"/><Relationship Id="rId441" Type="http://schemas.openxmlformats.org/officeDocument/2006/relationships/hyperlink" Target="https://www.washingtonpost.com/news/morning-mix/wp/2016/05/12/george-zimmermans-many-many-controversies-since-the-trayvon-martin-case/?utm_term=.f4c045ad78e1" TargetMode="External"/><Relationship Id="rId483" Type="http://schemas.openxmlformats.org/officeDocument/2006/relationships/hyperlink" Target="https://www.justice.gov/opa/pr/department-justice-announces-changes-collaborative-reform-initiative" TargetMode="External"/><Relationship Id="rId539" Type="http://schemas.openxmlformats.org/officeDocument/2006/relationships/hyperlink" Target="http://www.oas.org/es/cidh/expresion/docs/informes/anuales/InformeAnual2015RELE.pdf" TargetMode="External"/><Relationship Id="rId690" Type="http://schemas.openxmlformats.org/officeDocument/2006/relationships/hyperlink" Target="http://www.ohchr.org/SP/ProfessionalInterest/Pages/RemedyAndReparation.aspx" TargetMode="External"/><Relationship Id="rId704" Type="http://schemas.openxmlformats.org/officeDocument/2006/relationships/hyperlink" Target="http://www.oas.org/es/cidh/prensa/Comunicados/2015/118.asp" TargetMode="External"/><Relationship Id="rId40" Type="http://schemas.openxmlformats.org/officeDocument/2006/relationships/hyperlink" Target="http://www.cidh.oas.org/annualrep/2008sp/EEUU12534.sp.htm" TargetMode="External"/><Relationship Id="rId136" Type="http://schemas.openxmlformats.org/officeDocument/2006/relationships/hyperlink" Target="https://www.forbes.com/sites/laurashin/2015/03/26/the-racial-wealth-gap-why-a-typical-white-household-has-16-times-the-wealth-of-a-black-one/" TargetMode="External"/><Relationship Id="rId178" Type="http://schemas.openxmlformats.org/officeDocument/2006/relationships/hyperlink" Target="http://chicagounbound.uchicago.edu/cgi/viewcontent.cgi?article=1250&amp;context=public_law_and_legal_theory" TargetMode="External"/><Relationship Id="rId301" Type="http://schemas.openxmlformats.org/officeDocument/2006/relationships/hyperlink" Target="http://fsrn.org/2015/06/civil-suits-against-police-cost-taxpayers-millions-but-rarely-result-in-reforms" TargetMode="External"/><Relationship Id="rId343" Type="http://schemas.openxmlformats.org/officeDocument/2006/relationships/hyperlink" Target="http://archives.civilrights.org/publications/reports/racial-profiling2011/racial_profiling2011.pdf" TargetMode="External"/><Relationship Id="rId550" Type="http://schemas.openxmlformats.org/officeDocument/2006/relationships/hyperlink" Target="http://www.ohchr.org/SP/ProfessionalInterest/Pages/UseOfForceAndFirearms.aspx" TargetMode="External"/><Relationship Id="rId82" Type="http://schemas.openxmlformats.org/officeDocument/2006/relationships/hyperlink" Target="http://www.oas.org/es/cidh/afrodescendientes/docs/pdf/AFROS_2011_ESP.pdf" TargetMode="External"/><Relationship Id="rId203" Type="http://schemas.openxmlformats.org/officeDocument/2006/relationships/hyperlink" Target="http://www.oas.org/es/cidh/docs/pdfs/SEGURIDAD%20CIUDADANA%202009%20ESP.pdf" TargetMode="External"/><Relationship Id="rId385" Type="http://schemas.openxmlformats.org/officeDocument/2006/relationships/hyperlink" Target="http://solitarywatch.com/2013/11/02/prison-segregation-racial-disparities/" TargetMode="External"/><Relationship Id="rId592" Type="http://schemas.openxmlformats.org/officeDocument/2006/relationships/hyperlink" Target="file:///C:/Users/AAlmeida/AppData/Local/Microsoft/Windows/INetCache/Content.Outlook/EYNCVJAP/The%20War%20on%20Marijuana%20in%20Black%20and%20White" TargetMode="External"/><Relationship Id="rId606" Type="http://schemas.openxmlformats.org/officeDocument/2006/relationships/hyperlink" Target="http://www.oas.org/en/iachr/decisions/2011/uspu12626en.doc" TargetMode="External"/><Relationship Id="rId648" Type="http://schemas.openxmlformats.org/officeDocument/2006/relationships/hyperlink" Target="https://www.phillypolice.com/assets/forms-reports/TaskForce_FinalReport.pdf" TargetMode="External"/><Relationship Id="rId19" Type="http://schemas.openxmlformats.org/officeDocument/2006/relationships/hyperlink" Target="http://www.corteidh.or.cr/docs/opiniones/seriea_10_esp1.pdf" TargetMode="External"/><Relationship Id="rId224" Type="http://schemas.openxmlformats.org/officeDocument/2006/relationships/hyperlink" Target="https://www.theguardian.com/us-news/ng-interactive/2015/jun/01/the-counted-police-killings-us-database" TargetMode="External"/><Relationship Id="rId245" Type="http://schemas.openxmlformats.org/officeDocument/2006/relationships/hyperlink" Target="https://www.npr.org/sections/thetwo-way/2017/06/26/533968647/supreme-court-sends-cross-border-shooting-case-back-to-lower-court" TargetMode="External"/><Relationship Id="rId266" Type="http://schemas.openxmlformats.org/officeDocument/2006/relationships/hyperlink" Target="https://mappingpoliceviolence.org" TargetMode="External"/><Relationship Id="rId287" Type="http://schemas.openxmlformats.org/officeDocument/2006/relationships/hyperlink" Target="http://www.houstonchronicle.com/local/investigations/item/Bulletproof-Part-3-Hard-to-charge-24421.php" TargetMode="External"/><Relationship Id="rId410" Type="http://schemas.openxmlformats.org/officeDocument/2006/relationships/hyperlink" Target="http://www.bbc.com/news/world-us-canada-33179019" TargetMode="External"/><Relationship Id="rId431" Type="http://schemas.openxmlformats.org/officeDocument/2006/relationships/hyperlink" Target="http://www.oas.org/es/cidh/informes/pdfs/Derecho-Verdad-es.pdf" TargetMode="External"/><Relationship Id="rId452" Type="http://schemas.openxmlformats.org/officeDocument/2006/relationships/hyperlink" Target="https://www.washingtonpost.com/graphics/national/police-shootings-2017/" TargetMode="External"/><Relationship Id="rId473" Type="http://schemas.openxmlformats.org/officeDocument/2006/relationships/hyperlink" Target="https://www.phillypolice.com/assets/forms-reports/TaskForce_FinalReport.pdf" TargetMode="External"/><Relationship Id="rId494" Type="http://schemas.openxmlformats.org/officeDocument/2006/relationships/hyperlink" Target="https://www.documentcloud.org/documents/3535148-Consentdecreebaltimore.html" TargetMode="External"/><Relationship Id="rId508" Type="http://schemas.openxmlformats.org/officeDocument/2006/relationships/hyperlink" Target="https://www.oas.org/es/cidh/docs/pdfs/seguridad%20ciudadana%202009%20esp.pdf" TargetMode="External"/><Relationship Id="rId529" Type="http://schemas.openxmlformats.org/officeDocument/2006/relationships/hyperlink" Target="http://www.oas.org/es/cidh/afrodescendientes/docs/pdf/AFROS_2011_ESP.pdf" TargetMode="External"/><Relationship Id="rId680" Type="http://schemas.openxmlformats.org/officeDocument/2006/relationships/hyperlink" Target="http://www.ohchr.org/SP/ProfessionalInterest/Pages/RemedyAndReparation.aspx" TargetMode="External"/><Relationship Id="rId30" Type="http://schemas.openxmlformats.org/officeDocument/2006/relationships/hyperlink" Target="https://www.oas.org/en/iachr/reports/pdfs/Universalization-InterAmerican-System.docx" TargetMode="External"/><Relationship Id="rId105" Type="http://schemas.openxmlformats.org/officeDocument/2006/relationships/hyperlink" Target="http://www.oas.org/en/iachr/afro-descendants/docs/pdf/AFROS_2011_ENG.pdf" TargetMode="External"/><Relationship Id="rId126" Type="http://schemas.openxmlformats.org/officeDocument/2006/relationships/hyperlink" Target="https://www.wsj.com/articles/SB120674340028272915" TargetMode="External"/><Relationship Id="rId147" Type="http://schemas.openxmlformats.org/officeDocument/2006/relationships/hyperlink" Target="https://www.theatlantic.com/magazine/archive/1982/03/broken-windows/304465/" TargetMode="External"/><Relationship Id="rId168" Type="http://schemas.openxmlformats.org/officeDocument/2006/relationships/hyperlink" Target="http://www.nyclu.org/content/testimony-city-council-public-safety-courts-and-legal-services-committees-summons-court-oper" TargetMode="External"/><Relationship Id="rId312" Type="http://schemas.openxmlformats.org/officeDocument/2006/relationships/hyperlink" Target="http://www.oas.org/es/cidh/prensa/Comunicados/2015/118.asp" TargetMode="External"/><Relationship Id="rId333" Type="http://schemas.openxmlformats.org/officeDocument/2006/relationships/hyperlink" Target="http://www.chicagotribune.com/news/nationworld/sns-tns-bc-stlouis-police-20171120-story.html" TargetMode="External"/><Relationship Id="rId354" Type="http://schemas.openxmlformats.org/officeDocument/2006/relationships/hyperlink" Target="https://www.newyorker.com/magazine/2014/10/06/before-the-law" TargetMode="External"/><Relationship Id="rId540" Type="http://schemas.openxmlformats.org/officeDocument/2006/relationships/hyperlink" Target="http://www.oas.org/es/cidh/afrodescendientes/docs/pdf/AFROS_2011_ESP.pdf" TargetMode="External"/><Relationship Id="rId51" Type="http://schemas.openxmlformats.org/officeDocument/2006/relationships/hyperlink" Target="http://www.cidh.oas.org/annualrep/2002sp/EEUU.12285.htm" TargetMode="External"/><Relationship Id="rId72" Type="http://schemas.openxmlformats.org/officeDocument/2006/relationships/hyperlink" Target="https://www.nrdc.org/media/2017/170502" TargetMode="External"/><Relationship Id="rId93" Type="http://schemas.openxmlformats.org/officeDocument/2006/relationships/hyperlink" Target="https://www.state.gov/documents/organization/235641.pdf" TargetMode="External"/><Relationship Id="rId189" Type="http://schemas.openxmlformats.org/officeDocument/2006/relationships/hyperlink" Target="https://features.propublica.org/walking-while-black/jacksonville-pedestrian-violations-racial-profiling/" TargetMode="External"/><Relationship Id="rId375" Type="http://schemas.openxmlformats.org/officeDocument/2006/relationships/hyperlink" Target="http://www.pewtrusts.org/en/research-and-analysis/issue-briefs/2017/03/state-reforms-reverse-decades-of-incarceration-growth" TargetMode="External"/><Relationship Id="rId396" Type="http://schemas.openxmlformats.org/officeDocument/2006/relationships/hyperlink" Target="https://www.state.gov/documents/organization/235641.pdf" TargetMode="External"/><Relationship Id="rId561" Type="http://schemas.openxmlformats.org/officeDocument/2006/relationships/hyperlink" Target="https://www.oas.org/es/cidh/docs/pdfs/seguridad%20ciudadana%202009%20esp.pdf" TargetMode="External"/><Relationship Id="rId582" Type="http://schemas.openxmlformats.org/officeDocument/2006/relationships/hyperlink" Target="https://www.bjs.gov/content/pub/pdf/csllea08.pdf" TargetMode="External"/><Relationship Id="rId617" Type="http://schemas.openxmlformats.org/officeDocument/2006/relationships/hyperlink" Target="https://www.oas.org/es/cidh/migrantes/docs/pdf/migrantes2011.pdf" TargetMode="External"/><Relationship Id="rId638" Type="http://schemas.openxmlformats.org/officeDocument/2006/relationships/hyperlink" Target="http://www.ohchr.org/Documents/Publications/MinnesotaProtocol_SP.pdf" TargetMode="External"/><Relationship Id="rId659" Type="http://schemas.openxmlformats.org/officeDocument/2006/relationships/hyperlink" Target="http://www.oas.org/es/cidh/prensa/Comunicados/2016/120.asp" TargetMode="External"/><Relationship Id="rId3" Type="http://schemas.openxmlformats.org/officeDocument/2006/relationships/hyperlink" Target="https://www.youtube.com/watch?v=j_OIkzDAaxA" TargetMode="External"/><Relationship Id="rId214" Type="http://schemas.openxmlformats.org/officeDocument/2006/relationships/hyperlink" Target="https://www.gao.gov/assets/690/685915.pdf" TargetMode="External"/><Relationship Id="rId235" Type="http://schemas.openxmlformats.org/officeDocument/2006/relationships/hyperlink" Target="https://www.youtube.com/watch?v=c_ZLnaWeXCk" TargetMode="External"/><Relationship Id="rId256" Type="http://schemas.openxmlformats.org/officeDocument/2006/relationships/hyperlink" Target="http://www.oas.org/es/cidh/prensa/Comunicados/2015/118.asp" TargetMode="External"/><Relationship Id="rId277" Type="http://schemas.openxmlformats.org/officeDocument/2006/relationships/hyperlink" Target="https://www.cbsnews.com/news/terence-crutcher-shooting-ignites-debate/" TargetMode="External"/><Relationship Id="rId298" Type="http://schemas.openxmlformats.org/officeDocument/2006/relationships/hyperlink" Target="http://rfkhumanrights.org/media/filer_public/7d/84/7d8409c1-588f-4163-b552-1f6428e685db/iachr_thematic_hearing_submission_-_excessive_use_of_force_by_police_against_black_americans.pdf" TargetMode="External"/><Relationship Id="rId400" Type="http://schemas.openxmlformats.org/officeDocument/2006/relationships/hyperlink" Target="https://lawyerscommittee.org/publication/best-practice-standards-the-proper-use-of-criminal-records-in-hiring/" TargetMode="External"/><Relationship Id="rId421" Type="http://schemas.openxmlformats.org/officeDocument/2006/relationships/hyperlink" Target="http://time.com/5009452/charlottesville-white-supremacy-dennis-mothersbaugh/" TargetMode="External"/><Relationship Id="rId442" Type="http://schemas.openxmlformats.org/officeDocument/2006/relationships/hyperlink" Target="https://www.youtube.com/watch?v=X0EV8Rbpg2s" TargetMode="External"/><Relationship Id="rId463" Type="http://schemas.openxmlformats.org/officeDocument/2006/relationships/hyperlink" Target="http://www.oas.org/es/cidh/prensa/Comunicados/2014/044.asp" TargetMode="External"/><Relationship Id="rId484" Type="http://schemas.openxmlformats.org/officeDocument/2006/relationships/hyperlink" Target="http://www.stltoday.com/news/local/govt-and-politics/doj-shifts-from-collaborative-reform-doctrine-toward-trump-s-law/article_c3b1daa7-7dbb-5607-82d8-55ff0660460d.html" TargetMode="External"/><Relationship Id="rId519" Type="http://schemas.openxmlformats.org/officeDocument/2006/relationships/hyperlink" Target="http://www.cidh.oas.org/annualrep/2006eng/CUBA.12476eng.htm" TargetMode="External"/><Relationship Id="rId670" Type="http://schemas.openxmlformats.org/officeDocument/2006/relationships/hyperlink" Target="http://www.oas.org/en/iachr/decisions/2011/uspu12626en.doc" TargetMode="External"/><Relationship Id="rId705" Type="http://schemas.openxmlformats.org/officeDocument/2006/relationships/hyperlink" Target="http://www.oas.org/es/cidh/prensa/Comunicados/2015/118.asp" TargetMode="External"/><Relationship Id="rId116" Type="http://schemas.openxmlformats.org/officeDocument/2006/relationships/hyperlink" Target="http://oyc.yale.edu/history/hist-119" TargetMode="External"/><Relationship Id="rId137" Type="http://schemas.openxmlformats.org/officeDocument/2006/relationships/hyperlink" Target="http://www.chicagotribune.com/business/ct-black-homeownership-plunges-0723-biz-20170720-story.html" TargetMode="External"/><Relationship Id="rId158" Type="http://schemas.openxmlformats.org/officeDocument/2006/relationships/hyperlink" Target="http://www.oas.org/es/cidh/prensa/Comunicados/2015/040.asp" TargetMode="External"/><Relationship Id="rId302" Type="http://schemas.openxmlformats.org/officeDocument/2006/relationships/hyperlink" Target="http://www.wsj.com/articles/cost-of-police-misconduct-cases-soars-in-big-u-s-cities-1437013834" TargetMode="External"/><Relationship Id="rId323" Type="http://schemas.openxmlformats.org/officeDocument/2006/relationships/hyperlink" Target="https://www.washingtonpost.com/politics/obama-orders-review-of-military-equipment-supplied-to-police/2014/08/23/6316b8aa-2b03-11e4-8593-da634b334390_story.html" TargetMode="External"/><Relationship Id="rId344" Type="http://schemas.openxmlformats.org/officeDocument/2006/relationships/hyperlink" Target="https://www.hrw.org/report/2009/03/02/decades-disparity/drug-arrests-and-race-united-states" TargetMode="External"/><Relationship Id="rId530" Type="http://schemas.openxmlformats.org/officeDocument/2006/relationships/hyperlink" Target="https://www.cidh.oas.org/annualrep/2006sp/cap4d.2006.sp.htm" TargetMode="External"/><Relationship Id="rId691" Type="http://schemas.openxmlformats.org/officeDocument/2006/relationships/hyperlink" Target="http://www.ohchr.org/SP/ProfessionalInterest/Pages/RemedyAndReparation.aspx" TargetMode="External"/><Relationship Id="rId20" Type="http://schemas.openxmlformats.org/officeDocument/2006/relationships/hyperlink" Target="http://www.cidh.org/annualrep/86.87eng/EUU9647.htm" TargetMode="External"/><Relationship Id="rId41" Type="http://schemas.openxmlformats.org/officeDocument/2006/relationships/hyperlink" Target="http://www.cidh.oas.org/annualrep/2002sp/EEUU.12285.htm" TargetMode="External"/><Relationship Id="rId62" Type="http://schemas.openxmlformats.org/officeDocument/2006/relationships/hyperlink" Target="http://money.cnn.com/2016/09/20/news/economy/black-white-wage-gap/index.html" TargetMode="External"/><Relationship Id="rId83" Type="http://schemas.openxmlformats.org/officeDocument/2006/relationships/hyperlink" Target="http://www.cnn.com/2016/10/26/health/doctors-discrimination-racism/index.html" TargetMode="External"/><Relationship Id="rId179" Type="http://schemas.openxmlformats.org/officeDocument/2006/relationships/hyperlink" Target="https://www.nyclu.org/en/press-releases/nyc-must-reform-aggressive-policing-low-level-offenses-and-summons-court-operations" TargetMode="External"/><Relationship Id="rId365" Type="http://schemas.openxmlformats.org/officeDocument/2006/relationships/hyperlink" Target="https://www.yalelawjournal.org/pdf/1181_phnpdw1u.pdf" TargetMode="External"/><Relationship Id="rId386" Type="http://schemas.openxmlformats.org/officeDocument/2006/relationships/hyperlink" Target="https://documents-dds-ny.un.org/doc/UNDOC/GEN/G16/183/30/PDF/G1618330.pdf?OpenElement" TargetMode="External"/><Relationship Id="rId551" Type="http://schemas.openxmlformats.org/officeDocument/2006/relationships/hyperlink" Target="http://www.oas.org/es/cidh/docs/anual/2015/doc-es/InformeAnual2015-cap4A-fuerza-ES.pdf" TargetMode="External"/><Relationship Id="rId572" Type="http://schemas.openxmlformats.org/officeDocument/2006/relationships/hyperlink" Target="http://www.oas.org/es/cidh/prensa/Comunicados/2016/120.asp" TargetMode="External"/><Relationship Id="rId593" Type="http://schemas.openxmlformats.org/officeDocument/2006/relationships/hyperlink" Target="https://www.aclu.org/report/war-comes-home-excessive-militarization-american-police" TargetMode="External"/><Relationship Id="rId607" Type="http://schemas.openxmlformats.org/officeDocument/2006/relationships/hyperlink" Target="http://www.oas.org/es/cidh/migrantes/docs/pdf/informe-migrantes-mexico-2013.pdf" TargetMode="External"/><Relationship Id="rId628" Type="http://schemas.openxmlformats.org/officeDocument/2006/relationships/hyperlink" Target="http://www.oas.org/es/cidh/docs/anual/2015/doc-es/InformeAnual2015-cap4A-fuerza-ES.pdf" TargetMode="External"/><Relationship Id="rId649" Type="http://schemas.openxmlformats.org/officeDocument/2006/relationships/hyperlink" Target="http://www.ohchr.org/SP/ProfessionalInterest/Pages/UseOfForceAndFirearms.aspx" TargetMode="External"/><Relationship Id="rId190" Type="http://schemas.openxmlformats.org/officeDocument/2006/relationships/hyperlink" Target="https://www.vox.com/cards/police-brutality-shootings-us/police-abuse-cases" TargetMode="External"/><Relationship Id="rId204" Type="http://schemas.openxmlformats.org/officeDocument/2006/relationships/hyperlink" Target="https://www.state.gov/documents/organization/235641.pdf" TargetMode="External"/><Relationship Id="rId225" Type="http://schemas.openxmlformats.org/officeDocument/2006/relationships/hyperlink" Target="https://www.washingtonpost.com/graphics/national/police-shootings-2017/" TargetMode="External"/><Relationship Id="rId246" Type="http://schemas.openxmlformats.org/officeDocument/2006/relationships/hyperlink" Target="https://documents-dds-ny.un.org/doc/UNDOC/GEN/G16/183/30/PDF/G1618330.pdf?OpenElement" TargetMode="External"/><Relationship Id="rId267" Type="http://schemas.openxmlformats.org/officeDocument/2006/relationships/hyperlink" Target="http://www.latimes.com/opinion/op-ed/la-oe-stinson-cop-shootings-20161215-story.html" TargetMode="External"/><Relationship Id="rId288" Type="http://schemas.openxmlformats.org/officeDocument/2006/relationships/hyperlink" Target="http://www.bjs.gov/content/pub/pdf/fjs10st.pdf" TargetMode="External"/><Relationship Id="rId411" Type="http://schemas.openxmlformats.org/officeDocument/2006/relationships/hyperlink" Target="http://www.chicagotribune.com/news/nationworld/ct-fbi-dylann-roof-sentencing-trial-20170106-story.html" TargetMode="External"/><Relationship Id="rId432" Type="http://schemas.openxmlformats.org/officeDocument/2006/relationships/hyperlink" Target="https://static1.squarespace.com/static/54179ca4e4b0b0c7bc710d3d/t/54223af0e4b07fc30d1ea182/1411529456971/SYG_Shadow_Report_ICCPR.pdf" TargetMode="External"/><Relationship Id="rId453" Type="http://schemas.openxmlformats.org/officeDocument/2006/relationships/hyperlink" Target="https://www.washingtonpost.com/graphics/national/police-shootings-2016/" TargetMode="External"/><Relationship Id="rId474" Type="http://schemas.openxmlformats.org/officeDocument/2006/relationships/hyperlink" Target="http://lawfilesext.leg.wa.gov/biennium/2015-16/Pdf/Bills/House%20Passed%20Legislature/2908-S.PL.pdf" TargetMode="External"/><Relationship Id="rId509" Type="http://schemas.openxmlformats.org/officeDocument/2006/relationships/hyperlink" Target="http://www.oas.org/es/cidh/decisiones/2016/USPU12834ES.pdf" TargetMode="External"/><Relationship Id="rId660" Type="http://schemas.openxmlformats.org/officeDocument/2006/relationships/hyperlink" Target="http://www.oas.org/es/cidh/decisiones/2016/USPU12834ES.pdf" TargetMode="External"/><Relationship Id="rId106" Type="http://schemas.openxmlformats.org/officeDocument/2006/relationships/hyperlink" Target="http://www.oas.org/es/cidh/informes/pdfs/RepublicaDominicana-2015.pdf" TargetMode="External"/><Relationship Id="rId127" Type="http://schemas.openxmlformats.org/officeDocument/2006/relationships/hyperlink" Target="https://www.wsj.com/articles/SB995228253461746936" TargetMode="External"/><Relationship Id="rId313" Type="http://schemas.openxmlformats.org/officeDocument/2006/relationships/hyperlink" Target="http://www.cnn.com/2014/08/22/us/ferguson-arrests/" TargetMode="External"/><Relationship Id="rId495" Type="http://schemas.openxmlformats.org/officeDocument/2006/relationships/hyperlink" Target="https://www.theguardian.com/us-news/2017/apr/04/jeff-sessions-review-police-reforms-high-profile-shootings" TargetMode="External"/><Relationship Id="rId681" Type="http://schemas.openxmlformats.org/officeDocument/2006/relationships/hyperlink" Target="http://www.ohchr.org/SP/ProfessionalInterest/Pages/RemedyAndReparation.aspx" TargetMode="External"/><Relationship Id="rId10" Type="http://schemas.openxmlformats.org/officeDocument/2006/relationships/hyperlink" Target="http://www.oas.org/es/cidh/prensa/Comunicados/2015/031.asp" TargetMode="External"/><Relationship Id="rId31" Type="http://schemas.openxmlformats.org/officeDocument/2006/relationships/hyperlink" Target="http://www.oas.org/es/cidh/prensa/Comunicados/2016/117.asp" TargetMode="External"/><Relationship Id="rId52" Type="http://schemas.openxmlformats.org/officeDocument/2006/relationships/hyperlink" Target="http://www.oas.org/es/cidh/informes/pdfs/RepublicaDominicana-2015.pdf" TargetMode="External"/><Relationship Id="rId73" Type="http://schemas.openxmlformats.org/officeDocument/2006/relationships/hyperlink" Target="http://tbinternet.ohchr.org/_layouts/treatybodyexternal/Download.aspx?symbolno=CERD%2fC%2fUSA%2fCO%2f7-9&amp;Lang=en" TargetMode="External"/><Relationship Id="rId94" Type="http://schemas.openxmlformats.org/officeDocument/2006/relationships/hyperlink" Target="http://www.oas.org/es/cidh/afrodescendientes/docs/pdf/AFROS_2011_ESP.pdf" TargetMode="External"/><Relationship Id="rId148" Type="http://schemas.openxmlformats.org/officeDocument/2006/relationships/hyperlink" Target="https://www.theatlantic.com/magazine/archive/1982/03/broken-windows/304465/" TargetMode="External"/><Relationship Id="rId169" Type="http://schemas.openxmlformats.org/officeDocument/2006/relationships/hyperlink" Target="https://www.pbs.org/wgbh/frontline/article/the-problem-with-broken-windows-policing/" TargetMode="External"/><Relationship Id="rId334" Type="http://schemas.openxmlformats.org/officeDocument/2006/relationships/hyperlink" Target="https://theintercept.com/2015/07/24/documents-show-department-homeland-security-monitoring-black-lives-matter-since-ferguson/" TargetMode="External"/><Relationship Id="rId355" Type="http://schemas.openxmlformats.org/officeDocument/2006/relationships/hyperlink" Target="https://www.newyorker.com/news/news-desk/kalief-browder-1993-2015" TargetMode="External"/><Relationship Id="rId376" Type="http://schemas.openxmlformats.org/officeDocument/2006/relationships/hyperlink" Target="http://www.sentencingproject.org/publications/color-of-justice-racial-and-ethnic-disparity-in-state-prisons/" TargetMode="External"/><Relationship Id="rId397" Type="http://schemas.openxmlformats.org/officeDocument/2006/relationships/hyperlink" Target="http://tbinternet.ohchr.org/_layouts/treatybodyexternal/Download.aspx?symbolno=CERD%2fC%2fUSA%2fCO%2f7-9&amp;Lang=en" TargetMode="External"/><Relationship Id="rId520" Type="http://schemas.openxmlformats.org/officeDocument/2006/relationships/hyperlink" Target="https://www.oas.org/en/iachr/decisions/2016/USPU12834EN.pdf" TargetMode="External"/><Relationship Id="rId541" Type="http://schemas.openxmlformats.org/officeDocument/2006/relationships/hyperlink" Target="http://www.ohchr.org/SP/ProfessionalInterest/Pages/LawEnforcementOfficials.aspx" TargetMode="External"/><Relationship Id="rId562" Type="http://schemas.openxmlformats.org/officeDocument/2006/relationships/hyperlink" Target="http://www.oas.org/en/iachr/decisions/2011/uspu12626en.doc" TargetMode="External"/><Relationship Id="rId583" Type="http://schemas.openxmlformats.org/officeDocument/2006/relationships/hyperlink" Target="http://rfkhumanrights.org/media/filer_public/7d/84/7d8409c1-588f-4163-b552-1f6428e685db/iachr_thematic_hearing_submission_-_excessive_use_of_force_by_police_against_black_americans.pdf" TargetMode="External"/><Relationship Id="rId618" Type="http://schemas.openxmlformats.org/officeDocument/2006/relationships/hyperlink" Target="http://www.oas.org/es/cidh/prensa/Comunicados/2014/090.asp" TargetMode="External"/><Relationship Id="rId639" Type="http://schemas.openxmlformats.org/officeDocument/2006/relationships/hyperlink" Target="http://www.oas.org/es/cidh/docs/anual/2015/doc-es/InformeAnual2015-cap4A-fuerza-ES.pdf" TargetMode="External"/><Relationship Id="rId4" Type="http://schemas.openxmlformats.org/officeDocument/2006/relationships/hyperlink" Target="https://www.youtube.com/watch?v=c_ZLnaWeXCk" TargetMode="External"/><Relationship Id="rId180" Type="http://schemas.openxmlformats.org/officeDocument/2006/relationships/hyperlink" Target="https://www.nyclu.org/en/stop-and-frisk-data" TargetMode="External"/><Relationship Id="rId215" Type="http://schemas.openxmlformats.org/officeDocument/2006/relationships/hyperlink" Target="https://www.youtube.com/watch?v=c_ZLnaWeXCk" TargetMode="External"/><Relationship Id="rId236" Type="http://schemas.openxmlformats.org/officeDocument/2006/relationships/hyperlink" Target="http://ajph.aphapublications.org/doi/abs/10.2105/AJPH.2016.303575" TargetMode="External"/><Relationship Id="rId257" Type="http://schemas.openxmlformats.org/officeDocument/2006/relationships/hyperlink" Target="https://www.youtube.com/watch?v=c_ZLnaWeXCk" TargetMode="External"/><Relationship Id="rId278" Type="http://schemas.openxmlformats.org/officeDocument/2006/relationships/hyperlink" Target="https://www.nytimes.com/interactive/2016/07/12/us/looking-for-accountability-in-police-involved-deaths-of-blacks.html?_r=0" TargetMode="External"/><Relationship Id="rId401" Type="http://schemas.openxmlformats.org/officeDocument/2006/relationships/hyperlink" Target="https://csgjusticecenter.org/reentry/posts/researchers-examine-effects-of-a-criminal-record-on-prospects-for-employment/" TargetMode="External"/><Relationship Id="rId422" Type="http://schemas.openxmlformats.org/officeDocument/2006/relationships/hyperlink" Target="http://wric.com/2017/08/14/court-documents-6-out-of-8-arrested-in-charlottesville-protests-from-out-of-state/" TargetMode="External"/><Relationship Id="rId443" Type="http://schemas.openxmlformats.org/officeDocument/2006/relationships/hyperlink" Target="https://www.nytimes.com/2017/02/07/us/marissa-alexander-released-stand-your-ground.html" TargetMode="External"/><Relationship Id="rId464" Type="http://schemas.openxmlformats.org/officeDocument/2006/relationships/hyperlink" Target="http://www.oas.org/es/cidh/informes/pdfs/ViolenciaNinez2016.pdf" TargetMode="External"/><Relationship Id="rId650" Type="http://schemas.openxmlformats.org/officeDocument/2006/relationships/hyperlink" Target="http://www.ohchr.org/SP/ProfessionalInterest/Pages/UseOfForceAndFirearms.aspx" TargetMode="External"/><Relationship Id="rId303" Type="http://schemas.openxmlformats.org/officeDocument/2006/relationships/hyperlink" Target="https://www.law.cornell.edu/uscode/text/18/242" TargetMode="External"/><Relationship Id="rId485" Type="http://schemas.openxmlformats.org/officeDocument/2006/relationships/hyperlink" Target="https://www.justice.gov/opa/pr/department-justice-announces-changes-collaborative-reform-initiative" TargetMode="External"/><Relationship Id="rId692" Type="http://schemas.openxmlformats.org/officeDocument/2006/relationships/hyperlink" Target="http://www.ohchr.org/SP/ProfessionalInterest/Pages/RemedyAndReparation.aspx" TargetMode="External"/><Relationship Id="rId706" Type="http://schemas.openxmlformats.org/officeDocument/2006/relationships/hyperlink" Target="http://www.oas.org/es/cidh/afrodescendientes/docs/pdf/AFROS_2011_ESP.pdf" TargetMode="External"/><Relationship Id="rId42" Type="http://schemas.openxmlformats.org/officeDocument/2006/relationships/hyperlink" Target="file:///C:\Users\cidhbec10\Downloads\,%20Report%20N&#186;%2081\10,%20Case%2012.562,%20Wayne%20Smith,%20Hugo%20Armendariz,%20et%20al" TargetMode="External"/><Relationship Id="rId84" Type="http://schemas.openxmlformats.org/officeDocument/2006/relationships/hyperlink" Target="https://health.usnews.com/health-news/patient-advice/articles/2016-02-11/racial-bias-in-medicine-leads-to-worse-care-for-minorities" TargetMode="External"/><Relationship Id="rId138" Type="http://schemas.openxmlformats.org/officeDocument/2006/relationships/hyperlink" Target="https://www.nytimes.com/2017/05/09/magazine/how-homeownership-became-the-engine-of-american-inequality.html?_r=0" TargetMode="External"/><Relationship Id="rId345" Type="http://schemas.openxmlformats.org/officeDocument/2006/relationships/hyperlink" Target="http://projects.heraldtribune.com/bias/sentencing/" TargetMode="External"/><Relationship Id="rId387" Type="http://schemas.openxmlformats.org/officeDocument/2006/relationships/hyperlink" Target="https://www.oas.org/es/cidh/prensa/Comunicados/2013/051.asp" TargetMode="External"/><Relationship Id="rId510" Type="http://schemas.openxmlformats.org/officeDocument/2006/relationships/hyperlink" Target="http://www.oas.org/es/cidh/decisiones/2016/USPU12834ES.pdf" TargetMode="External"/><Relationship Id="rId552" Type="http://schemas.openxmlformats.org/officeDocument/2006/relationships/hyperlink" Target="http://www.ohchr.org/SP/ProfessionalInterest/Pages/UseOfForceAndFirearms.aspx" TargetMode="External"/><Relationship Id="rId594" Type="http://schemas.openxmlformats.org/officeDocument/2006/relationships/hyperlink" Target="http://www.oas.org/es/cidh/docs/anual/2015/doc-es/InformeAnual2015-cap4A-fuerza-ES.pdf" TargetMode="External"/><Relationship Id="rId608" Type="http://schemas.openxmlformats.org/officeDocument/2006/relationships/hyperlink" Target="http://www.oas.org/en/iachr/decisions/2011/uspu12626en.doc" TargetMode="External"/><Relationship Id="rId191" Type="http://schemas.openxmlformats.org/officeDocument/2006/relationships/hyperlink" Target="https://www.justice.gov/opa/pr/justice-department-announces-findings-two-civil-rights-investigations-ferguson-missouri" TargetMode="External"/><Relationship Id="rId205" Type="http://schemas.openxmlformats.org/officeDocument/2006/relationships/hyperlink" Target="http://tbinternet.ohchr.org/_layouts/treatybodyexternal/Download.aspx?symbolno=CERD%2fC%2fUSA%2fCO%2f7-9&amp;Lang=en" TargetMode="External"/><Relationship Id="rId247" Type="http://schemas.openxmlformats.org/officeDocument/2006/relationships/hyperlink" Target="http://www.amnestyusa.org/research/reports/deadly-force-police-use-of-lethal-force-in-the-united-states" TargetMode="External"/><Relationship Id="rId412" Type="http://schemas.openxmlformats.org/officeDocument/2006/relationships/hyperlink" Target="https://www.washingtonpost.com/world/national-security/charleston-church-shooter-i-would-like-to-make-it-crystal-clear-i-do-not-regret-what-i-did/2017/01/04/05b0061e-d1da-11e6-a783-cd3fa950f2fd_story.html?utm_term=.038494112939" TargetMode="External"/><Relationship Id="rId107" Type="http://schemas.openxmlformats.org/officeDocument/2006/relationships/hyperlink" Target="http://www.slate.com/articles/life/reconstruction/2017/11/how_freed_people_in_alabama_took_over_the_plantation_they_were_formerly.html" TargetMode="External"/><Relationship Id="rId289" Type="http://schemas.openxmlformats.org/officeDocument/2006/relationships/hyperlink" Target="https://www.bjs.gov/content/pub/pdf/ccpuf.pdf" TargetMode="External"/><Relationship Id="rId454" Type="http://schemas.openxmlformats.org/officeDocument/2006/relationships/hyperlink" Target="https://www.washingtonpost.com/graphics/national/police-shootings/" TargetMode="External"/><Relationship Id="rId496" Type="http://schemas.openxmlformats.org/officeDocument/2006/relationships/hyperlink" Target="https://www.usnews.com/news/national-news/articles/2017-04-07/attorney-general-jeff-sessions-slams-baltimore-consent-decree" TargetMode="External"/><Relationship Id="rId661" Type="http://schemas.openxmlformats.org/officeDocument/2006/relationships/hyperlink" Target="http://www.oas.org/en/iachr/decisions/2011/uspu12626en.doc" TargetMode="External"/><Relationship Id="rId11" Type="http://schemas.openxmlformats.org/officeDocument/2006/relationships/hyperlink" Target="http://www.oas.org/es/cidh/prensa/Comunicados/2015/037.asp" TargetMode="External"/><Relationship Id="rId53" Type="http://schemas.openxmlformats.org/officeDocument/2006/relationships/hyperlink" Target="https://www.yalelawjournal.org/forum/the-first-amendment-freedom-of-assembly-as-a-racial-project" TargetMode="External"/><Relationship Id="rId149" Type="http://schemas.openxmlformats.org/officeDocument/2006/relationships/hyperlink" Target="http://articles.latimes.com/2006/apr/20/opinion/oe-harcourt20" TargetMode="External"/><Relationship Id="rId314" Type="http://schemas.openxmlformats.org/officeDocument/2006/relationships/hyperlink" Target="http://i2.cdn.turner.com/cnn/2014/images/08/22/arrest.data.from.8-10.to.8-22.pdf" TargetMode="External"/><Relationship Id="rId356" Type="http://schemas.openxmlformats.org/officeDocument/2006/relationships/hyperlink" Target="https://www.citylab.com/equity/2017/03/browder-family-keeps-fighting/518520/" TargetMode="External"/><Relationship Id="rId398" Type="http://schemas.openxmlformats.org/officeDocument/2006/relationships/hyperlink" Target="https://www.brennancenter.org/blog/judge-sotomayor-good-company-restoring-voting-rights" TargetMode="External"/><Relationship Id="rId521" Type="http://schemas.openxmlformats.org/officeDocument/2006/relationships/hyperlink" Target="http://www.oas.org/en/iachr/decisions/2011/uspu12626en.doc" TargetMode="External"/><Relationship Id="rId563" Type="http://schemas.openxmlformats.org/officeDocument/2006/relationships/hyperlink" Target="http://www.un.org/documents/ga/docs/50/plenary/a50-40.htm" TargetMode="External"/><Relationship Id="rId619" Type="http://schemas.openxmlformats.org/officeDocument/2006/relationships/hyperlink" Target="http://www.oas.org/es/cidh/prensa/Comunicados/2015/040.asp" TargetMode="External"/><Relationship Id="rId95" Type="http://schemas.openxmlformats.org/officeDocument/2006/relationships/hyperlink" Target="http://www.slate.com/articles/business/metropolis/2017/07/why_even_diverse_neighborhoods_remain_segregated_by_race.html" TargetMode="External"/><Relationship Id="rId160" Type="http://schemas.openxmlformats.org/officeDocument/2006/relationships/hyperlink" Target="http://www.oas.org/es/cidh/afrodescendientes/docs/pdf/AFROS_2011_ESP.pdf" TargetMode="External"/><Relationship Id="rId216" Type="http://schemas.openxmlformats.org/officeDocument/2006/relationships/hyperlink" Target="http://www.oas.org/es/cidh/prensa/Comunicados/2015/120.asp" TargetMode="External"/><Relationship Id="rId423" Type="http://schemas.openxmlformats.org/officeDocument/2006/relationships/hyperlink" Target="https://thinkprogress.org/charlottesville-protest-arrests-9484856f4489/" TargetMode="External"/><Relationship Id="rId258" Type="http://schemas.openxmlformats.org/officeDocument/2006/relationships/hyperlink" Target="http://www.oas.org/es/cidh/docs/anual/2015/doc-es/InformeAnual2015-cap4A-fuerza-ES.pdf" TargetMode="External"/><Relationship Id="rId465" Type="http://schemas.openxmlformats.org/officeDocument/2006/relationships/hyperlink" Target="http://endtransdiscrimination.org/PDDs/NTDS_Exec_Summary.pdf" TargetMode="External"/><Relationship Id="rId630" Type="http://schemas.openxmlformats.org/officeDocument/2006/relationships/hyperlink" Target="http://www.oas.org/es/cidh/docs/anual/2015/doc-es/InformeAnual2015-cap4A-fuerza-ES.pdf" TargetMode="External"/><Relationship Id="rId672" Type="http://schemas.openxmlformats.org/officeDocument/2006/relationships/hyperlink" Target="http://www.cidh.oas.org/annualrep/2006eng/CUBA.12476eng.htm" TargetMode="External"/><Relationship Id="rId22" Type="http://schemas.openxmlformats.org/officeDocument/2006/relationships/hyperlink" Target="http://www.oas.org/es/cidh/decisiones/2016/USAD419-08ES.pdf" TargetMode="External"/><Relationship Id="rId64" Type="http://schemas.openxmlformats.org/officeDocument/2006/relationships/hyperlink" Target="http://tbinternet.ohchr.org/_layouts/treatybodyexternal/Download.aspx?symbolno=CERD%2fC%2fUSA%2fCO%2f7-9&amp;Lang=en" TargetMode="External"/><Relationship Id="rId118" Type="http://schemas.openxmlformats.org/officeDocument/2006/relationships/hyperlink" Target="https://lynchinginamerica.eji.org/report/" TargetMode="External"/><Relationship Id="rId325" Type="http://schemas.openxmlformats.org/officeDocument/2006/relationships/hyperlink" Target="https://www.aclu.org/blog/speak-freely/365-days-and-605-armored-military-vehicles-later-police-militarization-year-after" TargetMode="External"/><Relationship Id="rId367" Type="http://schemas.openxmlformats.org/officeDocument/2006/relationships/hyperlink" Target="http://www.nybooks.com/articles/2014/11/20/why-innocent-people-plead-guilty/?insrc=whc" TargetMode="External"/><Relationship Id="rId532" Type="http://schemas.openxmlformats.org/officeDocument/2006/relationships/hyperlink" Target="http://www.oas.org/es/cidh/docs/anual/2015/doc-es/InformeAnual2015-cap4A-fuerza-ES.pdf" TargetMode="External"/><Relationship Id="rId574" Type="http://schemas.openxmlformats.org/officeDocument/2006/relationships/hyperlink" Target="http://www2.ohchr.org/english/bodies/hrcouncil/docs/16session/A.HRC.16.48.Add.3_sp.pdf" TargetMode="External"/><Relationship Id="rId171" Type="http://schemas.openxmlformats.org/officeDocument/2006/relationships/hyperlink" Target="http://www.oas.org/es/cidh/prensa/Comunicados/2015/118.asp" TargetMode="External"/><Relationship Id="rId227" Type="http://schemas.openxmlformats.org/officeDocument/2006/relationships/hyperlink" Target="http://killedbypolice.net/" TargetMode="External"/><Relationship Id="rId269" Type="http://schemas.openxmlformats.org/officeDocument/2006/relationships/hyperlink" Target="http://www.oas.org/es/cidh/prensa/Comunicados/2014/090.asp" TargetMode="External"/><Relationship Id="rId434" Type="http://schemas.openxmlformats.org/officeDocument/2006/relationships/hyperlink" Target="https://www.npr.org/2013/01/02/167984117/-stand-your-ground-linked-to-increase-in-homicide" TargetMode="External"/><Relationship Id="rId476" Type="http://schemas.openxmlformats.org/officeDocument/2006/relationships/hyperlink" Target="https://leg.colorado.gov/sites/default/files/documents/2016a/bills/2016A_1264_signed.pdf" TargetMode="External"/><Relationship Id="rId641" Type="http://schemas.openxmlformats.org/officeDocument/2006/relationships/hyperlink" Target="http://www.ohchr.org/SP/ProfessionalInterest/Pages/UseOfForceAndFirearms.aspx" TargetMode="External"/><Relationship Id="rId683" Type="http://schemas.openxmlformats.org/officeDocument/2006/relationships/hyperlink" Target="http://www.ohchr.org/SP/ProfessionalInterest/Pages/RemedyAndReparation.aspx" TargetMode="External"/><Relationship Id="rId33" Type="http://schemas.openxmlformats.org/officeDocument/2006/relationships/hyperlink" Target="http://www.oas.org/es/cidh/prensa/Comunicados/2016/187.asp" TargetMode="External"/><Relationship Id="rId129" Type="http://schemas.openxmlformats.org/officeDocument/2006/relationships/hyperlink" Target="https://lynchinginamerica.eji.org/report/" TargetMode="External"/><Relationship Id="rId280" Type="http://schemas.openxmlformats.org/officeDocument/2006/relationships/hyperlink" Target="https://www.youtube.com/watch?v=c_ZLnaWeXCk" TargetMode="External"/><Relationship Id="rId336" Type="http://schemas.openxmlformats.org/officeDocument/2006/relationships/hyperlink" Target="https://www.nytimes.com/2017/10/19/opinion/columnists/fbi-blacks-civil-rights.html" TargetMode="External"/><Relationship Id="rId501" Type="http://schemas.openxmlformats.org/officeDocument/2006/relationships/hyperlink" Target="https://www.nytimes.com/2017/08/28/us/politics/trump-police-military-surplus-equipment.html?mcubz=1" TargetMode="External"/><Relationship Id="rId543" Type="http://schemas.openxmlformats.org/officeDocument/2006/relationships/hyperlink" Target="http://www.ohchr.org/SP/ProfessionalInterest/Pages/UseOfForceAndFirearms.aspx" TargetMode="External"/><Relationship Id="rId75" Type="http://schemas.openxmlformats.org/officeDocument/2006/relationships/hyperlink" Target="http://www.oas.org/es/cidh/informes/pdfs/IndustriasExtractivas2016.pdf" TargetMode="External"/><Relationship Id="rId140" Type="http://schemas.openxmlformats.org/officeDocument/2006/relationships/hyperlink" Target="https://harpers.org/archive/2016/04/legalize-it-all/" TargetMode="External"/><Relationship Id="rId182" Type="http://schemas.openxmlformats.org/officeDocument/2006/relationships/hyperlink" Target="https://www.census.gov/quickfacts/fact/table/US/RHI725216" TargetMode="External"/><Relationship Id="rId378" Type="http://schemas.openxmlformats.org/officeDocument/2006/relationships/hyperlink" Target="https://www.prisonpolicy.org/reports/rates.html" TargetMode="External"/><Relationship Id="rId403" Type="http://schemas.openxmlformats.org/officeDocument/2006/relationships/hyperlink" Target="https://www.sentencingproject.org/news/state-advocacy-update-ban-ban-efforts-address-federal-drug-felony-ban-public-benefits/" TargetMode="External"/><Relationship Id="rId585" Type="http://schemas.openxmlformats.org/officeDocument/2006/relationships/hyperlink" Target="http://www.oas.org/es/cidh/docs/anual/2015/doc-es/InformeAnual2015-cap4A-fuerza-ES.pdf" TargetMode="External"/><Relationship Id="rId6" Type="http://schemas.openxmlformats.org/officeDocument/2006/relationships/hyperlink" Target="https://www.youtube.com/watch?v=U5SvLoYX71M" TargetMode="External"/><Relationship Id="rId238" Type="http://schemas.openxmlformats.org/officeDocument/2006/relationships/hyperlink" Target="http://www.nytimes.com/1999/02/05/nyregion/officers-in-bronx-fire-41-shots-and-an-unarmed-man-is-killed.html" TargetMode="External"/><Relationship Id="rId445" Type="http://schemas.openxmlformats.org/officeDocument/2006/relationships/hyperlink" Target="https://www.state.gov/documents/organization/235641.pdf" TargetMode="External"/><Relationship Id="rId487" Type="http://schemas.openxmlformats.org/officeDocument/2006/relationships/hyperlink" Target="http://www.npr.org/sections/thetwo-way/2017/04/03/522309537/justice-department-to-review-all-civil-rights-agreements-on-police-conduct" TargetMode="External"/><Relationship Id="rId610" Type="http://schemas.openxmlformats.org/officeDocument/2006/relationships/hyperlink" Target="http://www.oas.org/en/iachr/decisions/2011/uspu12626en.doc" TargetMode="External"/><Relationship Id="rId652" Type="http://schemas.openxmlformats.org/officeDocument/2006/relationships/hyperlink" Target="http://www.oas.org/es/cidh/docs/anual/2015/doc-es/InformeAnual2015-cap4A-fuerza-ES.pdf" TargetMode="External"/><Relationship Id="rId694" Type="http://schemas.openxmlformats.org/officeDocument/2006/relationships/hyperlink" Target="http://www.oas.org/es/cidh/informes/pdfs/Derecho-Verdad-es.pdf" TargetMode="External"/><Relationship Id="rId291" Type="http://schemas.openxmlformats.org/officeDocument/2006/relationships/hyperlink" Target="http://www.latimes.com/local/lanow/la-me-ln-lapd-biased-policing-report-20151215-story.html" TargetMode="External"/><Relationship Id="rId305" Type="http://schemas.openxmlformats.org/officeDocument/2006/relationships/hyperlink" Target="https://www.politico.com/story/2015/02/eric-holder-civil-rights-interview-mike-allen-115575" TargetMode="External"/><Relationship Id="rId347" Type="http://schemas.openxmlformats.org/officeDocument/2006/relationships/hyperlink" Target="https://www.huffingtonpost.com/cynthia-jones/pretrial-detention-blacks-and-latinos_b_8537602.html" TargetMode="External"/><Relationship Id="rId512" Type="http://schemas.openxmlformats.org/officeDocument/2006/relationships/hyperlink" Target="http://www.oas.org/en/iachr/decisions/2011/uspu12626en.doc" TargetMode="External"/><Relationship Id="rId44" Type="http://schemas.openxmlformats.org/officeDocument/2006/relationships/hyperlink" Target="http://www.cidh.oas.org/annualrep/2002sp/EEUU.11140.htm" TargetMode="External"/><Relationship Id="rId86" Type="http://schemas.openxmlformats.org/officeDocument/2006/relationships/hyperlink" Target="https://www.brookings.edu/blog/brown-center-chalkboard/2016/06/06/7-findings-that-illustrate-racial-disparities-in-education/" TargetMode="External"/><Relationship Id="rId151" Type="http://schemas.openxmlformats.org/officeDocument/2006/relationships/hyperlink" Target="http://www.oas.org/es/cidh/prensa/Comunicados/2015/040.asp" TargetMode="External"/><Relationship Id="rId389" Type="http://schemas.openxmlformats.org/officeDocument/2006/relationships/hyperlink" Target="https://www.youtube.com/watch?v=j_OIkzDAaxA" TargetMode="External"/><Relationship Id="rId554" Type="http://schemas.openxmlformats.org/officeDocument/2006/relationships/hyperlink" Target="http://www.oas.org/es/cidh/docs/anual/2015/doc-es/InformeAnual2015-cap4A-fuerza-ES.pdf" TargetMode="External"/><Relationship Id="rId596" Type="http://schemas.openxmlformats.org/officeDocument/2006/relationships/hyperlink" Target="https://www.oas.org/es/cidh/docs/pdfs/seguridad%20ciudadana%202009%20esp.pdf" TargetMode="External"/><Relationship Id="rId193" Type="http://schemas.openxmlformats.org/officeDocument/2006/relationships/hyperlink" Target="https://www.youtube.com/watch?v=j_OIkzDAaxA" TargetMode="External"/><Relationship Id="rId207" Type="http://schemas.openxmlformats.org/officeDocument/2006/relationships/hyperlink" Target="https://www.aclu.org/report/war-comes-home-excessive-militarization-american-police" TargetMode="External"/><Relationship Id="rId249" Type="http://schemas.openxmlformats.org/officeDocument/2006/relationships/hyperlink" Target="https://www.washingtonpost.com/news/post-nation/wp/2018/02/12/an-officer-who-was-fired-after-refusing-to-shoot-an-armed-man-just-won-175000-in-a-settlement/?utm_term=.6ac635a671cf" TargetMode="External"/><Relationship Id="rId414" Type="http://schemas.openxmlformats.org/officeDocument/2006/relationships/hyperlink" Target="https://www.nbcnews.com/news/us-news/dylann-roof-charleston-church-shooter-pleads-guilty-state-charges-n744746" TargetMode="External"/><Relationship Id="rId456" Type="http://schemas.openxmlformats.org/officeDocument/2006/relationships/hyperlink" Target="https://www.npr.org/2015/07/04/420019849/paper-finds-one-quarter-of-those-killed-by-police-are-mentally-ill" TargetMode="External"/><Relationship Id="rId498" Type="http://schemas.openxmlformats.org/officeDocument/2006/relationships/hyperlink" Target="https://www.justice.gov/crt/case-document/file/925771/download" TargetMode="External"/><Relationship Id="rId621" Type="http://schemas.openxmlformats.org/officeDocument/2006/relationships/hyperlink" Target="http://www.oas.org/es/cidh/prensa/Comunicados/2017/124.asp" TargetMode="External"/><Relationship Id="rId663" Type="http://schemas.openxmlformats.org/officeDocument/2006/relationships/hyperlink" Target="http://cidh.org/annualrep/2004eng/Belize.12053eng.htm" TargetMode="External"/><Relationship Id="rId13" Type="http://schemas.openxmlformats.org/officeDocument/2006/relationships/hyperlink" Target="http://www.oas.org/es/cidh/prensa/Comunicados/2016/120.asp" TargetMode="External"/><Relationship Id="rId109" Type="http://schemas.openxmlformats.org/officeDocument/2006/relationships/hyperlink" Target="https://www.splcenter.org/sites/default/files/Ku-Klux-Klan-A-History-of-Racism.pdf" TargetMode="External"/><Relationship Id="rId260" Type="http://schemas.openxmlformats.org/officeDocument/2006/relationships/hyperlink" Target="http://www.oas.org/es/cidh/prensa/Comunicados/2014/090.asp" TargetMode="External"/><Relationship Id="rId316" Type="http://schemas.openxmlformats.org/officeDocument/2006/relationships/hyperlink" Target="https://www.amnestyusa.org/files/onthestreetsofamericaamnestyinternational.pdf" TargetMode="External"/><Relationship Id="rId523" Type="http://schemas.openxmlformats.org/officeDocument/2006/relationships/hyperlink" Target="https://www.aclu.org/north-carolina-racial-justice-act" TargetMode="External"/><Relationship Id="rId55" Type="http://schemas.openxmlformats.org/officeDocument/2006/relationships/hyperlink" Target="http://www.oas.org/es/cidh/informes/pdfs/RepublicaDominicana-2015.pdf" TargetMode="External"/><Relationship Id="rId97" Type="http://schemas.openxmlformats.org/officeDocument/2006/relationships/hyperlink" Target="https://www.seattletimes.com/opinion/segregation-worse-in-schools-60-years-after-brown-v-board-of-education/" TargetMode="External"/><Relationship Id="rId120" Type="http://schemas.openxmlformats.org/officeDocument/2006/relationships/hyperlink" Target="https://lynchinginamerica.eji.org/report/" TargetMode="External"/><Relationship Id="rId358" Type="http://schemas.openxmlformats.org/officeDocument/2006/relationships/hyperlink" Target="https://www.oas.org/es/cidh/prensa/Comunicados/2013/051.asp" TargetMode="External"/><Relationship Id="rId565" Type="http://schemas.openxmlformats.org/officeDocument/2006/relationships/hyperlink" Target="https://www.state.gov/documents/organization/235641.pdf" TargetMode="External"/><Relationship Id="rId162" Type="http://schemas.openxmlformats.org/officeDocument/2006/relationships/hyperlink" Target="https://www.smithsonianmag.com/smart-news/study-shows-little-change-segregation-and-poverty-over-last-fifty-years-180968317/" TargetMode="External"/><Relationship Id="rId218" Type="http://schemas.openxmlformats.org/officeDocument/2006/relationships/hyperlink" Target="http://tbinternet.ohchr.org/_layouts/treatybodyexternal/Download.aspx?symbolno=CERD%2fC%2fUSA%2fCO%2f7-9&amp;Lang=en" TargetMode="External"/><Relationship Id="rId425" Type="http://schemas.openxmlformats.org/officeDocument/2006/relationships/hyperlink" Target="http://www.cnn.com/2017/08/18/us/charlottesville-james-alex-fields-charges/index.html" TargetMode="External"/><Relationship Id="rId467" Type="http://schemas.openxmlformats.org/officeDocument/2006/relationships/hyperlink" Target="http://www.oas.org/es/cidh/prensa/Comunicados/2015/118.asp" TargetMode="External"/><Relationship Id="rId632" Type="http://schemas.openxmlformats.org/officeDocument/2006/relationships/hyperlink" Target="https://www.phillypolice.com/assets/forms-reports/TaskForce_FinalReport.pdf" TargetMode="External"/><Relationship Id="rId271" Type="http://schemas.openxmlformats.org/officeDocument/2006/relationships/hyperlink" Target="http://www.oas.org/es/cidh/prensa/Comunicados/2016/120.asp" TargetMode="External"/><Relationship Id="rId674" Type="http://schemas.openxmlformats.org/officeDocument/2006/relationships/hyperlink" Target="http://www.oas.org/es/cidh/decisiones/2016/USPU12834ES.pdf" TargetMode="External"/><Relationship Id="rId24" Type="http://schemas.openxmlformats.org/officeDocument/2006/relationships/hyperlink" Target="http://www.oas.org/es/cidh/decisiones/2015/USADM1752-09ES.pdf" TargetMode="External"/><Relationship Id="rId66" Type="http://schemas.openxmlformats.org/officeDocument/2006/relationships/hyperlink" Target="https://www.propublica.org/article/living-apart-how-the-government-betrayed-a-landmark-civil-rights-law" TargetMode="External"/><Relationship Id="rId131" Type="http://schemas.openxmlformats.org/officeDocument/2006/relationships/hyperlink" Target="https://lynchinginamerica.eji.org/report/" TargetMode="External"/><Relationship Id="rId327" Type="http://schemas.openxmlformats.org/officeDocument/2006/relationships/hyperlink" Target="https://www.washingtonpost.com/local/crime/high-number-of-arrests-in-baltimore-leads-to-confusion-in-charging/2015/05/04/d71ad79c-f28e-11e4-bcc4-e8141e5eb0c9_story.html?utm_term=.9b3ecd9b3dc7" TargetMode="External"/><Relationship Id="rId369" Type="http://schemas.openxmlformats.org/officeDocument/2006/relationships/hyperlink" Target="http://www.ussc.gov/news/congressional-testimony-and-reports/booker-reports/report-continuing-impact-united-states-v-bookerfederal-sentencing" TargetMode="External"/><Relationship Id="rId534" Type="http://schemas.openxmlformats.org/officeDocument/2006/relationships/hyperlink" Target="http://www.cidh.oas.org/annualrep/2008eng/Colombia12.009eng.htm" TargetMode="External"/><Relationship Id="rId576" Type="http://schemas.openxmlformats.org/officeDocument/2006/relationships/hyperlink" Target="http://www.ohchr.org/SP/ProfessionalInterest/Pages/UseOfForceAndFirearms.aspx" TargetMode="External"/><Relationship Id="rId173" Type="http://schemas.openxmlformats.org/officeDocument/2006/relationships/hyperlink" Target="https://convention2.allacademic.com/one/asc/asc17/index.php?program_focus=view_paper&amp;selected_paper_id=1276548&amp;cmd=online_program_direct_link&amp;sub_action=online_program" TargetMode="External"/><Relationship Id="rId229" Type="http://schemas.openxmlformats.org/officeDocument/2006/relationships/hyperlink" Target="https://www.washingtonpost.com/graphics/national/police-shootings-2017/" TargetMode="External"/><Relationship Id="rId380" Type="http://schemas.openxmlformats.org/officeDocument/2006/relationships/hyperlink" Target="http://www.oas.org/es/cidh/informes/pdfs/PrisionPreventiva.pdf" TargetMode="External"/><Relationship Id="rId436" Type="http://schemas.openxmlformats.org/officeDocument/2006/relationships/hyperlink" Target="http://www.foxnews.com/world/2014/10/18/experts-tell-us-commission-stand-your-ground-law-is-discriminatory.html" TargetMode="External"/><Relationship Id="rId601" Type="http://schemas.openxmlformats.org/officeDocument/2006/relationships/hyperlink" Target="http://www.oas.org/en/iachr/expression/showarticle.asp?artID=931&amp;lID=1" TargetMode="External"/><Relationship Id="rId643" Type="http://schemas.openxmlformats.org/officeDocument/2006/relationships/hyperlink" Target="http://www.msnbc.com/msnbc/prosecutors-police-inherent-conflict-our-courts" TargetMode="External"/><Relationship Id="rId240" Type="http://schemas.openxmlformats.org/officeDocument/2006/relationships/hyperlink" Target="https://www.youtube.com/watch?v=U5SvLoYX71M" TargetMode="External"/><Relationship Id="rId478" Type="http://schemas.openxmlformats.org/officeDocument/2006/relationships/hyperlink" Target="http://www.ilga.gov/legislation/99/SB/PDF/09900SB1304enr.pdf" TargetMode="External"/><Relationship Id="rId685" Type="http://schemas.openxmlformats.org/officeDocument/2006/relationships/hyperlink" Target="http://www.cidh.org/pdf%20files/Lineamientos%20principales%20para%20una%20pol%C3%ADtica%20integral%20de%20reparaciones.pdf" TargetMode="External"/><Relationship Id="rId35" Type="http://schemas.openxmlformats.org/officeDocument/2006/relationships/hyperlink" Target="http://www.oas.org/es/cidh/prensa/Comunicados/2015/031.asp" TargetMode="External"/><Relationship Id="rId77" Type="http://schemas.openxmlformats.org/officeDocument/2006/relationships/hyperlink" Target="http://www.oas.org/es/cidh/afrodescendientes/docs/pdf/AFROS_2011_ESP.pdf" TargetMode="External"/><Relationship Id="rId100" Type="http://schemas.openxmlformats.org/officeDocument/2006/relationships/hyperlink" Target="https://www.washingtonpost.com/blogs/govbeat/wp/2014/05/15/the-most-segregated-schools-may-not-be-in-the-states-youd-expect-2/?utm_term=.55d8808fcd7a" TargetMode="External"/><Relationship Id="rId282" Type="http://schemas.openxmlformats.org/officeDocument/2006/relationships/hyperlink" Target="http://www.houstonchronicle.com/local/investigations/item/Bulletproof-Part-3-Hard-to-charge-24421.php" TargetMode="External"/><Relationship Id="rId338" Type="http://schemas.openxmlformats.org/officeDocument/2006/relationships/hyperlink" Target="https://www.state.gov/documents/organization/235641.pdf" TargetMode="External"/><Relationship Id="rId503" Type="http://schemas.openxmlformats.org/officeDocument/2006/relationships/hyperlink" Target="https://www.washingtonpost.com/world/national-security/justice-dept-to-announce-new-rules-to-curb-racial-profiling-by-federal-law-enforcement/2014/12/07/e00eca18-7e79-11e4-9f38-95a187e4c1f7_story.html?utm_term=.ef5e86ff32a5" TargetMode="External"/><Relationship Id="rId545" Type="http://schemas.openxmlformats.org/officeDocument/2006/relationships/hyperlink" Target="http://www.oas.org/es/cidh/docs/anual/2015/doc-es/InformeAnual2015-cap4A-fuerza-ES.pdf" TargetMode="External"/><Relationship Id="rId587" Type="http://schemas.openxmlformats.org/officeDocument/2006/relationships/hyperlink" Target="http://www.oas.org/es/cidh/docs/anual/2015/doc-es/InformeAnual2015-cap4A-fuerza-ES.pdf" TargetMode="External"/><Relationship Id="rId8" Type="http://schemas.openxmlformats.org/officeDocument/2006/relationships/hyperlink" Target="http://www.oas.org/es/cidh/desc/docs/Pobreza-DDHH-InformePreliminar-2016-en.pdf" TargetMode="External"/><Relationship Id="rId142" Type="http://schemas.openxmlformats.org/officeDocument/2006/relationships/hyperlink" Target="https://www.youtube.com/watch?v=YqsAddPVcMI" TargetMode="External"/><Relationship Id="rId184" Type="http://schemas.openxmlformats.org/officeDocument/2006/relationships/hyperlink" Target="http://www.oas.org/es/cidh/prensa/Comunicados/2015/118.asp" TargetMode="External"/><Relationship Id="rId391" Type="http://schemas.openxmlformats.org/officeDocument/2006/relationships/hyperlink" Target="https://www.youtube.com/watch?v=ieGOtPqlHLM&amp;feature=youtu.be" TargetMode="External"/><Relationship Id="rId405" Type="http://schemas.openxmlformats.org/officeDocument/2006/relationships/hyperlink" Target="https://www.bjs.gov/index.cfm?ty=pbdetail&amp;iid=5967" TargetMode="External"/><Relationship Id="rId447" Type="http://schemas.openxmlformats.org/officeDocument/2006/relationships/hyperlink" Target="http://static1.squarespace.com/static/53f20d90e4b0b80451158d8c/t/560c068ee4b0af26f72741df/1443628686535/AAPF_SMN_Brief_Full_singles-min.pdf" TargetMode="External"/><Relationship Id="rId612" Type="http://schemas.openxmlformats.org/officeDocument/2006/relationships/hyperlink" Target="http://www.cidh.oas.org/annualrep/2006eng/CUBA.12476eng.htm" TargetMode="External"/><Relationship Id="rId251" Type="http://schemas.openxmlformats.org/officeDocument/2006/relationships/hyperlink" Target="http://www.oas.org/es/cidh/prensa/Comunicados/2015/040.asp" TargetMode="External"/><Relationship Id="rId489" Type="http://schemas.openxmlformats.org/officeDocument/2006/relationships/hyperlink" Target="https://www.nytimes.com/2017/07/29/nyregion/trump-police-too-nice.html" TargetMode="External"/><Relationship Id="rId654" Type="http://schemas.openxmlformats.org/officeDocument/2006/relationships/hyperlink" Target="http://www.ohchr.org/SP/ProfessionalInterest/Pages/UseOfForceAndFirearms.aspx" TargetMode="External"/><Relationship Id="rId696" Type="http://schemas.openxmlformats.org/officeDocument/2006/relationships/hyperlink" Target="http://www.oas.org/es/cidh/prensa/Comunicados/2016/120.asp" TargetMode="External"/><Relationship Id="rId46" Type="http://schemas.openxmlformats.org/officeDocument/2006/relationships/hyperlink" Target="http://www.refworld.org/cases,IACHR,502ccca62.html" TargetMode="External"/><Relationship Id="rId293" Type="http://schemas.openxmlformats.org/officeDocument/2006/relationships/hyperlink" Target="https://www.themarshallproject.org/2015/04/27/blue-shield" TargetMode="External"/><Relationship Id="rId307" Type="http://schemas.openxmlformats.org/officeDocument/2006/relationships/hyperlink" Target="https://www.youtube.com/watch?v=c_ZLnaWeXCk" TargetMode="External"/><Relationship Id="rId349" Type="http://schemas.openxmlformats.org/officeDocument/2006/relationships/hyperlink" Target="https://www.huffingtonpost.com/cynthia-jones/pretrial-detention-blacks-and-latinos_b_8537602.html" TargetMode="External"/><Relationship Id="rId514" Type="http://schemas.openxmlformats.org/officeDocument/2006/relationships/hyperlink" Target="http://www.cidh.oas.org/annualrep/2006eng/CUBA.12476eng.htm" TargetMode="External"/><Relationship Id="rId556" Type="http://schemas.openxmlformats.org/officeDocument/2006/relationships/hyperlink" Target="http://www.ohchr.org/SP/ProfessionalInterest/Pages/UseOfForceAndFirearms.aspx" TargetMode="External"/><Relationship Id="rId88" Type="http://schemas.openxmlformats.org/officeDocument/2006/relationships/hyperlink" Target="http://tbinternet.ohchr.org/_layouts/treatybodyexternal/Download.aspx?symbolno=CERD%2fC%2fUSA%2fCO%2f7-9&amp;Lang=en" TargetMode="External"/><Relationship Id="rId111" Type="http://schemas.openxmlformats.org/officeDocument/2006/relationships/hyperlink" Target="https://www.bostonglobe.com/arts/2016/06/22/slave-trade-helped-build-early-new-england-economy/GqMvV4Al8Yjmf8YjP6Ot4N/story.html" TargetMode="External"/><Relationship Id="rId153" Type="http://schemas.openxmlformats.org/officeDocument/2006/relationships/hyperlink" Target="https://www.npr.org/2017/04/26/524744989/when-la-erupted-in-anger-a-look-back-at-the-rodney-king-riots" TargetMode="External"/><Relationship Id="rId195" Type="http://schemas.openxmlformats.org/officeDocument/2006/relationships/hyperlink" Target="https://www.justice.gov/opa/pr/justice-department-announces-findings-two-civil-rights-investigations-ferguson-missouri" TargetMode="External"/><Relationship Id="rId209" Type="http://schemas.openxmlformats.org/officeDocument/2006/relationships/hyperlink" Target="https://www.bja.gov/publications/LEEWG_Report_Final.pdf" TargetMode="External"/><Relationship Id="rId360" Type="http://schemas.openxmlformats.org/officeDocument/2006/relationships/hyperlink" Target="http://tbinternet.ohchr.org/_layouts/treatybodyexternal/Download.aspx?symbolno=CERD%2fC%2fUSA%2fCO%2f7-9&amp;Lang=en" TargetMode="External"/><Relationship Id="rId416" Type="http://schemas.openxmlformats.org/officeDocument/2006/relationships/hyperlink" Target="http://www.oas.org/en/iachr/media_center/PReleases/2017/124.asp" TargetMode="External"/><Relationship Id="rId598" Type="http://schemas.openxmlformats.org/officeDocument/2006/relationships/hyperlink" Target="http://www.oas.org/es/cidh/docs/anual/2015/doc-es/InformeAnual2015-cap4A-fuerza-ES.pdf" TargetMode="External"/><Relationship Id="rId220" Type="http://schemas.openxmlformats.org/officeDocument/2006/relationships/hyperlink" Target="http://www.oas.org/es/cidh/prensa/Comunicados/2014/090.asp" TargetMode="External"/><Relationship Id="rId458" Type="http://schemas.openxmlformats.org/officeDocument/2006/relationships/hyperlink" Target="https://www.youtube.com/watch?v=ieGOtPqlHLM&amp;feature=youtu.be" TargetMode="External"/><Relationship Id="rId623" Type="http://schemas.openxmlformats.org/officeDocument/2006/relationships/hyperlink" Target="http://www.oas.org/en/iachr/decisions/2011/uspu12626en.doc" TargetMode="External"/><Relationship Id="rId665" Type="http://schemas.openxmlformats.org/officeDocument/2006/relationships/hyperlink" Target="http://www.cidh.org/pdf%20files/ACCESO%20A%20LA%20JUSTICIA%20DESC.pdf" TargetMode="External"/><Relationship Id="rId15" Type="http://schemas.openxmlformats.org/officeDocument/2006/relationships/hyperlink" Target="http://scm.oas.org/pdfs/agres/ag03791E01.PDF" TargetMode="External"/><Relationship Id="rId57" Type="http://schemas.openxmlformats.org/officeDocument/2006/relationships/hyperlink" Target="http://www.ohchr.org/EN/HRBodies/HRC/RegularSessions/Session35/Documents/A_HRC_35_28_Add.2_AEV.docx" TargetMode="External"/><Relationship Id="rId262" Type="http://schemas.openxmlformats.org/officeDocument/2006/relationships/hyperlink" Target="https://documents-dds-ny.un.org/doc/UNDOC/GEN/G16/183/30/PDF/G1618330.pdf?OpenElement" TargetMode="External"/><Relationship Id="rId318" Type="http://schemas.openxmlformats.org/officeDocument/2006/relationships/hyperlink" Target="https://www.washingtonpost.com/news/post-nation/wp/2014/10/06/federal-judges-tosses-5-second-rule-being-used-to-police-ferguson-protests/" TargetMode="External"/><Relationship Id="rId525" Type="http://schemas.openxmlformats.org/officeDocument/2006/relationships/hyperlink" Target="http://tbinternet.ohchr.org/_layouts/treatybodyexternal/Download.aspx?symbolno=CERD%2fC%2fUSA%2fCO%2f7-9&amp;Lang=en" TargetMode="External"/><Relationship Id="rId567" Type="http://schemas.openxmlformats.org/officeDocument/2006/relationships/hyperlink" Target="https://www.thenation.com/article/why-its-impossible-indictcop/" TargetMode="External"/><Relationship Id="rId99" Type="http://schemas.openxmlformats.org/officeDocument/2006/relationships/hyperlink" Target="https://www.propublica.org/article/segregation-now-the-resegregation-of-americas-schools/" TargetMode="External"/><Relationship Id="rId122" Type="http://schemas.openxmlformats.org/officeDocument/2006/relationships/hyperlink" Target="https://lynchinginamerica.eji.org/report/" TargetMode="External"/><Relationship Id="rId164" Type="http://schemas.openxmlformats.org/officeDocument/2006/relationships/hyperlink" Target="https://documents-dds-ny.un.org/doc/UNDOC/GEN/G16/183/30/PDF/G1618330.pdf?OpenElement" TargetMode="External"/><Relationship Id="rId371" Type="http://schemas.openxmlformats.org/officeDocument/2006/relationships/hyperlink" Target="http://projects.heraldtribune.com/bias/sentencing/" TargetMode="External"/><Relationship Id="rId427" Type="http://schemas.openxmlformats.org/officeDocument/2006/relationships/hyperlink" Target="https://www.nytimes.com/2017/08/13/us/charlottesville-rally-protest-statue.html" TargetMode="External"/><Relationship Id="rId469" Type="http://schemas.openxmlformats.org/officeDocument/2006/relationships/hyperlink" Target="https://www.theguardian.com/society/2017/dec/15/america-extreme-poverty-un-special-rapporteur" TargetMode="External"/><Relationship Id="rId634" Type="http://schemas.openxmlformats.org/officeDocument/2006/relationships/hyperlink" Target="http://www.oas.org/es/cidh/docs/anual/2015/doc-es/InformeAnual2015-cap4A-fuerza-ES.pdf" TargetMode="External"/><Relationship Id="rId676" Type="http://schemas.openxmlformats.org/officeDocument/2006/relationships/hyperlink" Target="http://www.oas.org/es/cidh/afrodescendientes/docs/pdf/AFROS_2011_ESP.pdf" TargetMode="External"/><Relationship Id="rId26" Type="http://schemas.openxmlformats.org/officeDocument/2006/relationships/hyperlink" Target="http://www.oas.org/es/sla/ddi/docs/tratados_multilaterales_interamericanos_A-41_carta_OEA.pdf" TargetMode="External"/><Relationship Id="rId231" Type="http://schemas.openxmlformats.org/officeDocument/2006/relationships/hyperlink" Target="https://www.pri.org/stories/2016-07-12/when-it-comes-police-shootings-us-doesnt-look-developed-nation" TargetMode="External"/><Relationship Id="rId273" Type="http://schemas.openxmlformats.org/officeDocument/2006/relationships/hyperlink" Target="https://www.nytimes.com/2017/06/16/us/police-shooting-trial-philando-castile.html" TargetMode="External"/><Relationship Id="rId329" Type="http://schemas.openxmlformats.org/officeDocument/2006/relationships/hyperlink" Target="http://www.oas.org/es/cidh/docs/anual/2015/doc-es/InformeAnual2015-cap4A-fuerza-ES.pdf" TargetMode="External"/><Relationship Id="rId480" Type="http://schemas.openxmlformats.org/officeDocument/2006/relationships/hyperlink" Target="https://www.phillypolice.com/assets/forms-reports/TaskForce_FinalReport.pdf" TargetMode="External"/><Relationship Id="rId536" Type="http://schemas.openxmlformats.org/officeDocument/2006/relationships/hyperlink" Target="http://www.oas.org/es/cidh/docs/anual/2015/doc-es/InformeAnual2015-cap4A-fuerza-ES.pdf" TargetMode="External"/><Relationship Id="rId701" Type="http://schemas.openxmlformats.org/officeDocument/2006/relationships/hyperlink" Target="http://www.ohchr.org/SP/ProfessionalInterest/Pages/RemedyAndReparation.aspx" TargetMode="External"/><Relationship Id="rId68" Type="http://schemas.openxmlformats.org/officeDocument/2006/relationships/hyperlink" Target="https://www.npr.org/sections/thetwo-way/2016/04/20/465545378/lead-laced-water-in-flint-a-step-by-step-look-at-the-makings-of-a-crisis" TargetMode="External"/><Relationship Id="rId133" Type="http://schemas.openxmlformats.org/officeDocument/2006/relationships/hyperlink" Target="https://lynchinginamerica.eji.org/report/" TargetMode="External"/><Relationship Id="rId175" Type="http://schemas.openxmlformats.org/officeDocument/2006/relationships/hyperlink" Target="http://oag.state.ny.us/sites/default/files/pdfs/bureaus/civil_rights/stp_frsk.pdf" TargetMode="External"/><Relationship Id="rId340" Type="http://schemas.openxmlformats.org/officeDocument/2006/relationships/hyperlink" Target="http://archives.civilrights.org/publications/reports/racial-profiling2011/racial_profiling2011.pdf" TargetMode="External"/><Relationship Id="rId578" Type="http://schemas.openxmlformats.org/officeDocument/2006/relationships/hyperlink" Target="http://www.ohchr.org/EN/Issues/Education/Training/Compilation/Pages/b)GeneralRecommendationXIIIonthetrainingoflawenforcementofficialsintheprotectionofhumanrights(1993).aspx" TargetMode="External"/><Relationship Id="rId200" Type="http://schemas.openxmlformats.org/officeDocument/2006/relationships/hyperlink" Target="https://www.justice.gov/sites/default/files/opa/press-releases/attachments/2015/03/04/ferguson_police_department_report_1.pdf" TargetMode="External"/><Relationship Id="rId382" Type="http://schemas.openxmlformats.org/officeDocument/2006/relationships/hyperlink" Target="http://www.oas.org/es/cidh/prensa/Comunicados/2014/104.asp" TargetMode="External"/><Relationship Id="rId438" Type="http://schemas.openxmlformats.org/officeDocument/2006/relationships/hyperlink" Target="https://www.youtube.com/watch?v=X0EV8Rbpg2s" TargetMode="External"/><Relationship Id="rId603" Type="http://schemas.openxmlformats.org/officeDocument/2006/relationships/hyperlink" Target="https://www.oas.org/es/cidh/afrodescendientes/docs/pdf/afros_2011_esp.pdf" TargetMode="External"/><Relationship Id="rId645" Type="http://schemas.openxmlformats.org/officeDocument/2006/relationships/hyperlink" Target="http://www.washingtonpost.com/sf/investigative/2015/04/11/thousands-dead-few-prosecuted/?utm_term=.05d5e58e187d" TargetMode="External"/><Relationship Id="rId687" Type="http://schemas.openxmlformats.org/officeDocument/2006/relationships/hyperlink" Target="http://www.ohchr.org/SP/ProfessionalInterest/Pages/RemedyAndReparation.aspx" TargetMode="External"/><Relationship Id="rId242" Type="http://schemas.openxmlformats.org/officeDocument/2006/relationships/hyperlink" Target="https://www.state.gov/documents/organization/235641.pdf" TargetMode="External"/><Relationship Id="rId284" Type="http://schemas.openxmlformats.org/officeDocument/2006/relationships/hyperlink" Target="http://www.msnbc.com/msnbc/prosecutors-police-inherent-conflict-our-courts" TargetMode="External"/><Relationship Id="rId491" Type="http://schemas.openxmlformats.org/officeDocument/2006/relationships/hyperlink" Target="https://www.usatoday.com/story/opinion/2017/04/17/jeff-sessions-avoid-harmful-federal-intrusion-editorials-debates/100579848/" TargetMode="External"/><Relationship Id="rId505" Type="http://schemas.openxmlformats.org/officeDocument/2006/relationships/hyperlink" Target="http://tbinternet.ohchr.org/_layouts/treatybodyexternal/Download.aspx?symbolno=CERD%2fC%2fUSA%2fCO%2f7-9&amp;Lang=en" TargetMode="External"/><Relationship Id="rId37" Type="http://schemas.openxmlformats.org/officeDocument/2006/relationships/hyperlink" Target="http://www.cidh.oas.org/annualrep/2004sp/Belize.12053.htm" TargetMode="External"/><Relationship Id="rId79" Type="http://schemas.openxmlformats.org/officeDocument/2006/relationships/hyperlink" Target="http://www.latimes.com/world/global-development/la-na-texas-black-maternal-mortality-2017-htmlstory.html" TargetMode="External"/><Relationship Id="rId102" Type="http://schemas.openxmlformats.org/officeDocument/2006/relationships/hyperlink" Target="http://www.law.columbia.edu/news/2017/06/kimberle-crenshaw-intersectionality" TargetMode="External"/><Relationship Id="rId144" Type="http://schemas.openxmlformats.org/officeDocument/2006/relationships/hyperlink" Target="https://documents-dds-ny.un.org/doc/UNDOC/GEN/G16/183/30/PDF/G1618330.pdf?OpenElement" TargetMode="External"/><Relationship Id="rId547" Type="http://schemas.openxmlformats.org/officeDocument/2006/relationships/hyperlink" Target="http://www.oas.org/es/cidh/afrodescendientes/docs/pdf/AFROS_2011_ESP.pdf" TargetMode="External"/><Relationship Id="rId589" Type="http://schemas.openxmlformats.org/officeDocument/2006/relationships/hyperlink" Target="http://www.oas.org/es/cidh/docs/anual/2015/doc-es/InformeAnual2015-cap4A-fuerza-ES.pdf" TargetMode="External"/><Relationship Id="rId90" Type="http://schemas.openxmlformats.org/officeDocument/2006/relationships/hyperlink" Target="https://www.chronicle.com/article/Racial-Disparities-in-Higher/234129" TargetMode="External"/><Relationship Id="rId186" Type="http://schemas.openxmlformats.org/officeDocument/2006/relationships/hyperlink" Target="https://www.aclu.org/news/aclu-finds-severe-racial-disparities-low-level-arrests-minneapolis-police" TargetMode="External"/><Relationship Id="rId351" Type="http://schemas.openxmlformats.org/officeDocument/2006/relationships/hyperlink" Target="http://www.arnoldfoundation.org/wp-content/uploads/2014/02/LJAF-Pretrial-CJ-Research-brief_FNL.pdf" TargetMode="External"/><Relationship Id="rId393" Type="http://schemas.openxmlformats.org/officeDocument/2006/relationships/hyperlink" Target="http://ohchr.org/SP/NewsEvents/Pages/DisplayNews.aspx?NewsID=22533&amp;LangID=S" TargetMode="External"/><Relationship Id="rId407" Type="http://schemas.openxmlformats.org/officeDocument/2006/relationships/hyperlink" Target="https://elpais.com/internacional/2017/11/13/estados_unidos/1510598646_373966.html" TargetMode="External"/><Relationship Id="rId449" Type="http://schemas.openxmlformats.org/officeDocument/2006/relationships/hyperlink" Target="http://www.oas.org/es/cidh/prensa/Comunicados/2015/118.asp" TargetMode="External"/><Relationship Id="rId614" Type="http://schemas.openxmlformats.org/officeDocument/2006/relationships/hyperlink" Target="http://www.oas.org/es/cidh/decisiones/2016/USPU12834ES.pdf" TargetMode="External"/><Relationship Id="rId656" Type="http://schemas.openxmlformats.org/officeDocument/2006/relationships/hyperlink" Target="http://www.oas.org/es/cidh/afrodescendientes/docs/pdf/AFROS_2011_ESP.pdf" TargetMode="External"/><Relationship Id="rId211" Type="http://schemas.openxmlformats.org/officeDocument/2006/relationships/hyperlink" Target="https://www.whitehouse.gov/the-press-office/2017/08/28/presidential-executive-order-restoring-state-tribal-and-local-law" TargetMode="External"/><Relationship Id="rId253" Type="http://schemas.openxmlformats.org/officeDocument/2006/relationships/hyperlink" Target="https://www.youtube.com/watch?v=c_ZLnaWeXCk" TargetMode="External"/><Relationship Id="rId295" Type="http://schemas.openxmlformats.org/officeDocument/2006/relationships/hyperlink" Target="http://www.ohchr.org/EN/HRBodies/HRC/RegularSessions/Session35/Documents/A_HRC_35_28_Add.2_AEV.docx" TargetMode="External"/><Relationship Id="rId309" Type="http://schemas.openxmlformats.org/officeDocument/2006/relationships/hyperlink" Target="https://www.yalelawjournal.org/forum/the-first-amendment-freedom-of-assembly-as-a-racial-project" TargetMode="External"/><Relationship Id="rId460" Type="http://schemas.openxmlformats.org/officeDocument/2006/relationships/hyperlink" Target="https://www.washingtonpost.com/news/morning-mix/wp/2014/11/25/why-darren-wilson-said-he-killed-michael-brown/?utm_term=.44e8a2cf20aa" TargetMode="External"/><Relationship Id="rId516" Type="http://schemas.openxmlformats.org/officeDocument/2006/relationships/hyperlink" Target="http://www.ohchr.org/SP/ProfessionalInterest/Pages/CERD.aspx" TargetMode="External"/><Relationship Id="rId698" Type="http://schemas.openxmlformats.org/officeDocument/2006/relationships/hyperlink" Target="http://www.ohchr.org/SP/ProfessionalInterest/Pages/RemedyAndReparation.aspx" TargetMode="External"/><Relationship Id="rId48" Type="http://schemas.openxmlformats.org/officeDocument/2006/relationships/hyperlink" Target="http://www.cidh.oas.org/annualrep/2008sp/EEUU12534.sp.htm" TargetMode="External"/><Relationship Id="rId113" Type="http://schemas.openxmlformats.org/officeDocument/2006/relationships/hyperlink" Target="https://www.theatlantic.com/politics/archive/2014/10/the-old-jim-crow/381473/" TargetMode="External"/><Relationship Id="rId320" Type="http://schemas.openxmlformats.org/officeDocument/2006/relationships/hyperlink" Target="https://www.youtube.com/watch?v=ieGOtPqlHLM&amp;feature=youtu.be" TargetMode="External"/><Relationship Id="rId558" Type="http://schemas.openxmlformats.org/officeDocument/2006/relationships/hyperlink" Target="https://www.youtube.com/watch?v=_NF0K33bkLI" TargetMode="External"/><Relationship Id="rId155" Type="http://schemas.openxmlformats.org/officeDocument/2006/relationships/hyperlink" Target="https://www.youtube.com/watch?v=X0EV8Rbpg2s" TargetMode="External"/><Relationship Id="rId197" Type="http://schemas.openxmlformats.org/officeDocument/2006/relationships/hyperlink" Target="https://www.youtube.com/watch?v=j_OIkzDAaxA" TargetMode="External"/><Relationship Id="rId362" Type="http://schemas.openxmlformats.org/officeDocument/2006/relationships/hyperlink" Target="http://tbinternet.ohchr.org/_layouts/treatybodyexternal/Download.aspx?symbolno=CERD%2fC%2fUSA%2fCO%2f7-9&amp;Lang=en" TargetMode="External"/><Relationship Id="rId418" Type="http://schemas.openxmlformats.org/officeDocument/2006/relationships/hyperlink" Target="https://www.washingtonpost.com/local/the-brutal-beating-of-black-man-by-white-supremacists-still-roils-charlottesville/2017/10/10/e5994132-a515-11e7-8cfe-d5b912fabc99_story.html?utm_term=.20cf12e91304" TargetMode="External"/><Relationship Id="rId625" Type="http://schemas.openxmlformats.org/officeDocument/2006/relationships/hyperlink" Target="http://www.oas.org/es/cidh/afrodescendientes/docs/pdf/AFROS_2011_ESP.pdf" TargetMode="External"/><Relationship Id="rId222" Type="http://schemas.openxmlformats.org/officeDocument/2006/relationships/hyperlink" Target="http://www.oas.org/es/cidh/prensa/Comunicados/2016/120.asp" TargetMode="External"/><Relationship Id="rId264" Type="http://schemas.openxmlformats.org/officeDocument/2006/relationships/hyperlink" Target="file:///C:\Users\AAlmeida\AppData\Local\Microsoft\Windows\INetCache\Content.Outlook\EYNCVJAP\Dozens%20of%20killings%20by%20US%20police%20ruled%20justified%20without%20public%20being%20notified" TargetMode="External"/><Relationship Id="rId471" Type="http://schemas.openxmlformats.org/officeDocument/2006/relationships/hyperlink" Target="https://www.justice.gov/opa/pr/justice-department-releases-report-civil-rights-division-s-pattern-and-practice-police-reform" TargetMode="External"/><Relationship Id="rId667" Type="http://schemas.openxmlformats.org/officeDocument/2006/relationships/hyperlink" Target="http://www.oas.org/en/iachr/decisions/2011/uspu12626en.doc" TargetMode="External"/><Relationship Id="rId17" Type="http://schemas.openxmlformats.org/officeDocument/2006/relationships/hyperlink" Target="http://www.oas.org/en/sla/docs/ag03792E01.pdf" TargetMode="External"/><Relationship Id="rId59" Type="http://schemas.openxmlformats.org/officeDocument/2006/relationships/hyperlink" Target="https://documents-dds-ny.un.org/doc/UNDOC/GEN/G16/183/30/PDF/G1618330.pdf?OpenElement" TargetMode="External"/><Relationship Id="rId124" Type="http://schemas.openxmlformats.org/officeDocument/2006/relationships/hyperlink" Target="https://lynchinginamerica.eji.org/report/" TargetMode="External"/><Relationship Id="rId527" Type="http://schemas.openxmlformats.org/officeDocument/2006/relationships/hyperlink" Target="http://www.cidh.oas.org/annualrep/2006eng/CUBA.12476eng.htm" TargetMode="External"/><Relationship Id="rId569" Type="http://schemas.openxmlformats.org/officeDocument/2006/relationships/hyperlink" Target="http://www.ohchr.org/EN/ProfessionalInterest/Pages/UseOfForceAndFirearms.aspx" TargetMode="External"/><Relationship Id="rId70" Type="http://schemas.openxmlformats.org/officeDocument/2006/relationships/hyperlink" Target="http://www.detroitnews.com/story/news/michigan/flint-water-crisis/2017/03/07/flint-water-conference/98862674/" TargetMode="External"/><Relationship Id="rId166" Type="http://schemas.openxmlformats.org/officeDocument/2006/relationships/hyperlink" Target="http://tbinternet.ohchr.org/_layouts/treatybodyexternal/Download.aspx?symbolno=CERD%2fC%2fUSA%2fCO%2f7-9&amp;Lang=en" TargetMode="External"/><Relationship Id="rId331" Type="http://schemas.openxmlformats.org/officeDocument/2006/relationships/hyperlink" Target="https://www.theguardian.com/us-news/2017/sep/18/militaristic-and-intimidating-st-louis-police-criticized-as-protests-stretch-on" TargetMode="External"/><Relationship Id="rId373" Type="http://schemas.openxmlformats.org/officeDocument/2006/relationships/hyperlink" Target="https://www.prisonpolicy.org/global/2016.html" TargetMode="External"/><Relationship Id="rId429" Type="http://schemas.openxmlformats.org/officeDocument/2006/relationships/hyperlink" Target="https://www.cnn.com/2017/08/15/us/confederate-memorial-removal-us-trnd/index.html" TargetMode="External"/><Relationship Id="rId580" Type="http://schemas.openxmlformats.org/officeDocument/2006/relationships/hyperlink" Target="http://www.oas.org/es/cidh/docs/anual/2015/doc-es/InformeAnual2015-cap4A-fuerza-ES.pdf" TargetMode="External"/><Relationship Id="rId636" Type="http://schemas.openxmlformats.org/officeDocument/2006/relationships/hyperlink" Target="http://www.oas.org/es/cidh/docs/anual/2015/doc-es/InformeAnual2015-cap4A-fuerza-ES.pdf" TargetMode="External"/><Relationship Id="rId1" Type="http://schemas.openxmlformats.org/officeDocument/2006/relationships/hyperlink" Target="https://www.youtube.com/watch?v=X0EV8Rbpg2s" TargetMode="External"/><Relationship Id="rId233" Type="http://schemas.openxmlformats.org/officeDocument/2006/relationships/hyperlink" Target="https://www.washingtonpost.com/graphics/national/police-shootings-2016/" TargetMode="External"/><Relationship Id="rId440" Type="http://schemas.openxmlformats.org/officeDocument/2006/relationships/hyperlink" Target="https://www.youtube.com/watch?v=X0EV8Rbpg2s" TargetMode="External"/><Relationship Id="rId678" Type="http://schemas.openxmlformats.org/officeDocument/2006/relationships/hyperlink" Target="http://www.oas.org/es/cidh/informes/pdfs/Derecho-Verdad-es.pdf" TargetMode="External"/><Relationship Id="rId28" Type="http://schemas.openxmlformats.org/officeDocument/2006/relationships/hyperlink" Target="http://www.oas.org/es/cidh/informes/pdfs/Refugiados-Migrantes-EEUU.pdf" TargetMode="External"/><Relationship Id="rId275" Type="http://schemas.openxmlformats.org/officeDocument/2006/relationships/hyperlink" Target="http://www.cnn.com/2017/05/03/us/alton-sterling-doj-death-investigation/index.html" TargetMode="External"/><Relationship Id="rId300" Type="http://schemas.openxmlformats.org/officeDocument/2006/relationships/hyperlink" Target="http://rfkhumanrights.org/media/filer_public/7d/84/7d8409c1-588f-4163-b552-1f6428e685db/iachr_thematic_hearing_submission_-_excessive_use_of_force_by_police_against_black_americans.pdf" TargetMode="External"/><Relationship Id="rId482" Type="http://schemas.openxmlformats.org/officeDocument/2006/relationships/hyperlink" Target="https://www.youtube.com/watch?v=ieGOtPqlHLM&amp;feature=youtu.be" TargetMode="External"/><Relationship Id="rId538" Type="http://schemas.openxmlformats.org/officeDocument/2006/relationships/hyperlink" Target="https://www.oas.org/es/cidh/docs/pdfs/seguridad%20ciudadana%202009%20esp.pdf" TargetMode="External"/><Relationship Id="rId703" Type="http://schemas.openxmlformats.org/officeDocument/2006/relationships/hyperlink" Target="http://www.oas.org/es/cidh/informes/pdfs/Derecho-Verdad-es.pdf" TargetMode="External"/><Relationship Id="rId81" Type="http://schemas.openxmlformats.org/officeDocument/2006/relationships/hyperlink" Target="http://tbinternet.ohchr.org/_layouts/treatybodyexternal/Download.aspx?symbolno=CERD%2fC%2fUSA%2fCO%2f7-9&amp;Lang=en" TargetMode="External"/><Relationship Id="rId135" Type="http://schemas.openxmlformats.org/officeDocument/2006/relationships/hyperlink" Target="https://www.newyorker.com/magazine/2016/10/10/the-widening-racial-wealth-divide" TargetMode="External"/><Relationship Id="rId177" Type="http://schemas.openxmlformats.org/officeDocument/2006/relationships/hyperlink" Target="https://ssrn.com/abstract=743284" TargetMode="External"/><Relationship Id="rId342" Type="http://schemas.openxmlformats.org/officeDocument/2006/relationships/hyperlink" Target="http://www.app.com/story/news/investigations/2014/11/18/racial-arrest-disparity-nj/19247461/" TargetMode="External"/><Relationship Id="rId384" Type="http://schemas.openxmlformats.org/officeDocument/2006/relationships/hyperlink" Target="https://documents-dds-ny.un.org/doc/UNDOC/GEN/G16/183/30/PDF/G1618330.pdf?OpenElement" TargetMode="External"/><Relationship Id="rId591" Type="http://schemas.openxmlformats.org/officeDocument/2006/relationships/hyperlink" Target="http://www.oas.org/es/cidh/docs/anual/2015/doc-es/InformeAnual2015-cap4A-fuerza-ES.pdf" TargetMode="External"/><Relationship Id="rId605" Type="http://schemas.openxmlformats.org/officeDocument/2006/relationships/hyperlink" Target="http://www.oas.org/es/cidh/docs/anual/2015/doc-es/InformeAnual2015-cap4A-fuerza-ES.pdf" TargetMode="External"/><Relationship Id="rId202" Type="http://schemas.openxmlformats.org/officeDocument/2006/relationships/hyperlink" Target="http://ohchr.org/SP/NewsEvents/Pages/DisplayNews.aspx?NewsID=22533&amp;LangID=S" TargetMode="External"/><Relationship Id="rId244" Type="http://schemas.openxmlformats.org/officeDocument/2006/relationships/hyperlink" Target="http://www.slate.com/articles/news_and_politics/jurisprudence/2017/02/an_interview_with_deepak_gupta_the_attorney_in_hernandez_v_mesa.html" TargetMode="External"/><Relationship Id="rId647" Type="http://schemas.openxmlformats.org/officeDocument/2006/relationships/hyperlink" Target="https://www.bjs.gov/index.cfm?ty=pbdetail&amp;iid=4862" TargetMode="External"/><Relationship Id="rId689" Type="http://schemas.openxmlformats.org/officeDocument/2006/relationships/hyperlink" Target="http://www.ohchr.org/SP/ProfessionalInterest/Pages/RemedyAndReparation.aspx" TargetMode="External"/><Relationship Id="rId39" Type="http://schemas.openxmlformats.org/officeDocument/2006/relationships/hyperlink" Target="http://www.cidh.oas.org/annualrep/2006sp/Cuba12476sp.htm" TargetMode="External"/><Relationship Id="rId286" Type="http://schemas.openxmlformats.org/officeDocument/2006/relationships/hyperlink" Target="http://www.washingtonpost.com/sf/investigative/2015/04/11/thousands-dead-fewprosecuted/?utm_term=.90c3d610122a" TargetMode="External"/><Relationship Id="rId451" Type="http://schemas.openxmlformats.org/officeDocument/2006/relationships/hyperlink" Target="http://www.treatmentadvocacycenter.org/overlooked-in-the-undercounted" TargetMode="External"/><Relationship Id="rId493" Type="http://schemas.openxmlformats.org/officeDocument/2006/relationships/hyperlink" Target="https://www.nytimes.com/2017/11/21/us/trump-justice-department-police.html" TargetMode="External"/><Relationship Id="rId507" Type="http://schemas.openxmlformats.org/officeDocument/2006/relationships/hyperlink" Target="https://www.washingtonpost.com/world/national-security/justice-dept-to-announce-new-rules-to-curb-racial-profiling-by-federal-law-enforcement/2014/12/07/e00eca18-7e79-11e4-9f38-95a187e4c1f7_story.html?utm_term=.ef5e86ff32a5" TargetMode="External"/><Relationship Id="rId549" Type="http://schemas.openxmlformats.org/officeDocument/2006/relationships/hyperlink" Target="http://www.oas.org/es/cidh/docs/anual/2015/doc-es/InformeAnual2015-cap4A-fuerza-ES.pdf" TargetMode="External"/><Relationship Id="rId50" Type="http://schemas.openxmlformats.org/officeDocument/2006/relationships/hyperlink" Target="http://www.cidh.oas.org/annualrep/2002sp/EEUU.11140.htm" TargetMode="External"/><Relationship Id="rId104" Type="http://schemas.openxmlformats.org/officeDocument/2006/relationships/hyperlink" Target="http://www.oas.org/es/cidh/informes/pdfs/MujeresIndigenas.pdf" TargetMode="External"/><Relationship Id="rId146" Type="http://schemas.openxmlformats.org/officeDocument/2006/relationships/hyperlink" Target="https://www.bjs.gov/index.cfm?ty=pbdetail&amp;iid=6187" TargetMode="External"/><Relationship Id="rId188" Type="http://schemas.openxmlformats.org/officeDocument/2006/relationships/hyperlink" Target="https://www.npr.org/sections/thetwo-way/2016/11/15/502193667/lapd-report-finds-racial-disparity-in-approval-and-trust-of-police" TargetMode="External"/><Relationship Id="rId311" Type="http://schemas.openxmlformats.org/officeDocument/2006/relationships/hyperlink" Target="http://www.ohchr.org/EN/HRBodies/HRC/RegularSessions/Session35/Documents/A_HRC_35_28_Add.2_AEV.docx" TargetMode="External"/><Relationship Id="rId353" Type="http://schemas.openxmlformats.org/officeDocument/2006/relationships/hyperlink" Target="https://www.state.gov/documents/organization/235641.pdf" TargetMode="External"/><Relationship Id="rId395" Type="http://schemas.openxmlformats.org/officeDocument/2006/relationships/hyperlink" Target="http://www.oas.org/es/cidh/prensa/Comunicados/2016/077.asp" TargetMode="External"/><Relationship Id="rId409" Type="http://schemas.openxmlformats.org/officeDocument/2006/relationships/hyperlink" Target="https://www.vox.com/identities/2017/4/10/15183902/hate-crime-trump-law" TargetMode="External"/><Relationship Id="rId560" Type="http://schemas.openxmlformats.org/officeDocument/2006/relationships/hyperlink" Target="http://www.oas.org/es/cidh/migrantes/docs/pdf/informe-migrantes-mexico-2013.pdf" TargetMode="External"/><Relationship Id="rId92" Type="http://schemas.openxmlformats.org/officeDocument/2006/relationships/hyperlink" Target="https://www.politico.com/magazine/story/2016/10/the-real-voting-problem-in-the-2016-election-214386" TargetMode="External"/><Relationship Id="rId213" Type="http://schemas.openxmlformats.org/officeDocument/2006/relationships/hyperlink" Target="https://www.aclu.org/blog/criminal-law-reform/reforming-police-practices/trump-just-gave-thousands-bayonets-and-hundreds" TargetMode="External"/><Relationship Id="rId420" Type="http://schemas.openxmlformats.org/officeDocument/2006/relationships/hyperlink" Target="https://www.nytimes.com/2017/08/25/us/charlottesville-protest-police.html" TargetMode="External"/><Relationship Id="rId616" Type="http://schemas.openxmlformats.org/officeDocument/2006/relationships/hyperlink" Target="https://www.oas.org/es/cidh/informes/pdfs/Refugiados-Migrantes-EEUU.pdf" TargetMode="External"/><Relationship Id="rId658" Type="http://schemas.openxmlformats.org/officeDocument/2006/relationships/hyperlink" Target="http://www.oas.org/es/cidh/prensa/Comunicados/2015/040.asp" TargetMode="External"/><Relationship Id="rId255" Type="http://schemas.openxmlformats.org/officeDocument/2006/relationships/hyperlink" Target="https://www.nytimes.com/2018/03/30/us/stephon-clark-independent-autopsy.html" TargetMode="External"/><Relationship Id="rId297" Type="http://schemas.openxmlformats.org/officeDocument/2006/relationships/hyperlink" Target="https://storage.googleapis.com/vera-web-assets/downloads/Publications/civilian-oversight-of-policing-lessons-from-the-literature/legacy_downloads/Civilian_oversight.pdf" TargetMode="External"/><Relationship Id="rId462" Type="http://schemas.openxmlformats.org/officeDocument/2006/relationships/hyperlink" Target="http://www.oas.org/es/cidh/prensa/Comunicados/2014/134.asp" TargetMode="External"/><Relationship Id="rId518" Type="http://schemas.openxmlformats.org/officeDocument/2006/relationships/hyperlink" Target="http://www.oas.org/es/cidh/afrodescendientes/docs/pdf/AFROS_2011_ESP.pdf" TargetMode="External"/><Relationship Id="rId115" Type="http://schemas.openxmlformats.org/officeDocument/2006/relationships/hyperlink" Target="https://www.theatlantic.com/business/archive/2014/06/slavery-made-america/373288/" TargetMode="External"/><Relationship Id="rId157" Type="http://schemas.openxmlformats.org/officeDocument/2006/relationships/hyperlink" Target="http://www.oas.org/es/cidh/prensa/Comunicados/2014/090.asp" TargetMode="External"/><Relationship Id="rId322" Type="http://schemas.openxmlformats.org/officeDocument/2006/relationships/hyperlink" Target="http://www.oas.org/es/cidh/docs/anual/2015/doc-es/InformeAnual2015-cap4A-fuerza-ES.pdf" TargetMode="External"/><Relationship Id="rId364" Type="http://schemas.openxmlformats.org/officeDocument/2006/relationships/hyperlink" Target="http://tbinternet.ohchr.org/_layouts/treatybodyexternal/Download.aspx?symbolno=CERD%2fC%2fUSA%2fCO%2f7-9&amp;Lang=en" TargetMode="External"/><Relationship Id="rId61" Type="http://schemas.openxmlformats.org/officeDocument/2006/relationships/hyperlink" Target="http://www.oas.org/es/cidh/afrodescendientes/docs/pdf/AFROS_2011_ESP.pdf" TargetMode="External"/><Relationship Id="rId199" Type="http://schemas.openxmlformats.org/officeDocument/2006/relationships/hyperlink" Target="https://www.justice.gov/opa/pr/justice-department-announces-findings-two-civil-rights-investigations-ferguson-missouri" TargetMode="External"/><Relationship Id="rId571" Type="http://schemas.openxmlformats.org/officeDocument/2006/relationships/hyperlink" Target="https://storage.googleapis.com/vera-web-assets/downloads/Publications/protect-and-serve-policing-trends-2015-2016/legacy_downloads/041417-PolicingTrendsReport-web.pdf" TargetMode="External"/><Relationship Id="rId627" Type="http://schemas.openxmlformats.org/officeDocument/2006/relationships/hyperlink" Target="http://www.oas.org/es/cidh/docs/anual/2015/doc-es/InformeAnual2015-cap4A-fuerza-ES.pdf" TargetMode="External"/><Relationship Id="rId669" Type="http://schemas.openxmlformats.org/officeDocument/2006/relationships/hyperlink" Target="http://www.oas.org/es/cidh/decisiones/2016/USPU12834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8F54A-0E88-4037-B55B-244B491D0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181</Pages>
  <Words>50822</Words>
  <Characters>276478</Characters>
  <Application>Microsoft Office Word</Application>
  <DocSecurity>0</DocSecurity>
  <Lines>5026</Lines>
  <Paragraphs>705</Paragraphs>
  <ScaleCrop>false</ScaleCrop>
  <Company/>
  <LinksUpToDate>false</LinksUpToDate>
  <CharactersWithSpaces>326595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Afrodescendientes, violencia policial, y derechos humanos en los Estados Unidos</dc:title>
  <dc:creator/>
  <cp:lastModifiedBy/>
  <cp:revision>1</cp:revision>
  <dcterms:created xsi:type="dcterms:W3CDTF">2018-12-17T20:43:00Z</dcterms:created>
  <dcterms:modified xsi:type="dcterms:W3CDTF">2018-12-17T22:30:00Z</dcterms:modified>
</cp:coreProperties>
</file>