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24AE" w14:textId="77777777" w:rsidR="008E74BF" w:rsidRDefault="008E74BF" w:rsidP="40BF5389">
      <w:pPr>
        <w:pStyle w:val="Header"/>
        <w:jc w:val="center"/>
        <w:rPr>
          <w:rFonts w:ascii="Cambria" w:hAnsi="Cambria"/>
          <w:b/>
          <w:bCs/>
          <w:color w:val="000000" w:themeColor="text1"/>
          <w:lang w:val="es-ES"/>
        </w:rPr>
      </w:pPr>
    </w:p>
    <w:p w14:paraId="2E5107CB" w14:textId="77777777" w:rsidR="00BB56C4" w:rsidRPr="000F3531" w:rsidRDefault="009969F9" w:rsidP="40BF5389">
      <w:pPr>
        <w:pStyle w:val="Header"/>
        <w:jc w:val="center"/>
        <w:rPr>
          <w:rFonts w:ascii="Cambria" w:hAnsi="Cambria"/>
          <w:color w:val="000000" w:themeColor="text1"/>
          <w:sz w:val="20"/>
          <w:szCs w:val="20"/>
          <w:lang w:val="es-ES"/>
        </w:rPr>
      </w:pPr>
      <w:r w:rsidRPr="000F3531">
        <w:rPr>
          <w:rFonts w:ascii="Cambria" w:hAnsi="Cambria"/>
          <w:b/>
          <w:bCs/>
          <w:color w:val="000000" w:themeColor="text1"/>
          <w:sz w:val="20"/>
          <w:szCs w:val="20"/>
          <w:lang w:val="es-ES"/>
        </w:rPr>
        <w:t xml:space="preserve">FICHA DE SEGUIMIENTO DEL INFORME </w:t>
      </w:r>
      <w:proofErr w:type="spellStart"/>
      <w:r w:rsidRPr="000F3531">
        <w:rPr>
          <w:rFonts w:ascii="Cambria" w:hAnsi="Cambria"/>
          <w:b/>
          <w:bCs/>
          <w:color w:val="000000" w:themeColor="text1"/>
          <w:sz w:val="20"/>
          <w:szCs w:val="20"/>
          <w:lang w:val="es-ES"/>
        </w:rPr>
        <w:t>Nº</w:t>
      </w:r>
      <w:proofErr w:type="spellEnd"/>
      <w:r w:rsidRPr="000F3531">
        <w:rPr>
          <w:rFonts w:ascii="Cambria" w:hAnsi="Cambria"/>
          <w:b/>
          <w:bCs/>
          <w:color w:val="000000" w:themeColor="text1"/>
          <w:sz w:val="20"/>
          <w:szCs w:val="20"/>
          <w:lang w:val="es-ES"/>
        </w:rPr>
        <w:t xml:space="preserve"> 78/07</w:t>
      </w:r>
    </w:p>
    <w:p w14:paraId="75A4D5C1" w14:textId="77777777" w:rsidR="00BB56C4" w:rsidRPr="000F3531" w:rsidRDefault="002E3D31" w:rsidP="40BF5389">
      <w:pPr>
        <w:spacing w:after="0" w:line="240" w:lineRule="auto"/>
        <w:jc w:val="center"/>
        <w:rPr>
          <w:rFonts w:ascii="Cambria" w:hAnsi="Cambria"/>
          <w:b/>
          <w:bCs/>
          <w:color w:val="000000" w:themeColor="text1"/>
          <w:sz w:val="20"/>
          <w:szCs w:val="20"/>
          <w:lang w:val="es-ES"/>
        </w:rPr>
      </w:pPr>
      <w:r w:rsidRPr="000F3531">
        <w:rPr>
          <w:rFonts w:ascii="Cambria" w:hAnsi="Cambria"/>
          <w:b/>
          <w:bCs/>
          <w:color w:val="000000" w:themeColor="text1"/>
          <w:sz w:val="20"/>
          <w:szCs w:val="20"/>
          <w:lang w:val="es-ES"/>
        </w:rPr>
        <w:t>CASO 12.265</w:t>
      </w:r>
    </w:p>
    <w:p w14:paraId="4FA9333D" w14:textId="77777777" w:rsidR="00BB56C4" w:rsidRPr="000F3531" w:rsidRDefault="002E3D31" w:rsidP="40BF5389">
      <w:pPr>
        <w:spacing w:after="0" w:line="240" w:lineRule="auto"/>
        <w:jc w:val="center"/>
        <w:rPr>
          <w:rFonts w:ascii="Cambria" w:hAnsi="Cambria"/>
          <w:b/>
          <w:bCs/>
          <w:color w:val="000000" w:themeColor="text1"/>
          <w:sz w:val="20"/>
          <w:szCs w:val="20"/>
          <w:lang w:val="es-ES"/>
        </w:rPr>
      </w:pPr>
      <w:r w:rsidRPr="000F3531">
        <w:rPr>
          <w:rFonts w:ascii="Cambria" w:hAnsi="Cambria"/>
          <w:b/>
          <w:bCs/>
          <w:color w:val="000000" w:themeColor="text1"/>
          <w:sz w:val="20"/>
          <w:szCs w:val="20"/>
          <w:lang w:val="es-ES"/>
        </w:rPr>
        <w:t>CHAD ROGER GOODMAN</w:t>
      </w:r>
    </w:p>
    <w:p w14:paraId="291F9B2E" w14:textId="77777777" w:rsidR="00BB56C4" w:rsidRPr="000F3531" w:rsidRDefault="00BB56C4" w:rsidP="40BF5389">
      <w:pPr>
        <w:spacing w:after="0" w:line="240" w:lineRule="auto"/>
        <w:jc w:val="center"/>
        <w:rPr>
          <w:rFonts w:ascii="Cambria" w:hAnsi="Cambria"/>
          <w:b/>
          <w:bCs/>
          <w:color w:val="000000" w:themeColor="text1"/>
          <w:sz w:val="20"/>
          <w:szCs w:val="20"/>
          <w:lang w:val="es-ES"/>
        </w:rPr>
      </w:pPr>
      <w:r w:rsidRPr="000F3531">
        <w:rPr>
          <w:rFonts w:ascii="Cambria" w:hAnsi="Cambria"/>
          <w:b/>
          <w:bCs/>
          <w:color w:val="000000" w:themeColor="text1"/>
          <w:sz w:val="20"/>
          <w:szCs w:val="20"/>
          <w:lang w:val="es-ES"/>
        </w:rPr>
        <w:t>(</w:t>
      </w:r>
      <w:r w:rsidR="007D2FC4" w:rsidRPr="000F3531">
        <w:rPr>
          <w:rFonts w:ascii="Cambria" w:hAnsi="Cambria"/>
          <w:b/>
          <w:bCs/>
          <w:color w:val="000000" w:themeColor="text1"/>
          <w:sz w:val="20"/>
          <w:szCs w:val="20"/>
          <w:lang w:val="es-ES"/>
        </w:rPr>
        <w:t xml:space="preserve">Las </w:t>
      </w:r>
      <w:r w:rsidRPr="000F3531">
        <w:rPr>
          <w:rFonts w:ascii="Cambria" w:hAnsi="Cambria"/>
          <w:b/>
          <w:bCs/>
          <w:color w:val="000000" w:themeColor="text1"/>
          <w:sz w:val="20"/>
          <w:szCs w:val="20"/>
          <w:lang w:val="es-ES"/>
        </w:rPr>
        <w:t>Bahamas</w:t>
      </w:r>
      <w:r w:rsidR="007D2FC4" w:rsidRPr="000F3531">
        <w:rPr>
          <w:rFonts w:ascii="Cambria" w:hAnsi="Cambria"/>
          <w:b/>
          <w:bCs/>
          <w:color w:val="000000" w:themeColor="text1"/>
          <w:sz w:val="20"/>
          <w:szCs w:val="20"/>
          <w:lang w:val="es-ES"/>
        </w:rPr>
        <w:t xml:space="preserve"> (Commonwealth de)</w:t>
      </w:r>
      <w:r w:rsidRPr="000F3531">
        <w:rPr>
          <w:rFonts w:ascii="Cambria" w:hAnsi="Cambria"/>
          <w:b/>
          <w:bCs/>
          <w:color w:val="000000" w:themeColor="text1"/>
          <w:sz w:val="20"/>
          <w:szCs w:val="20"/>
          <w:lang w:val="es-ES"/>
        </w:rPr>
        <w:t>)</w:t>
      </w:r>
    </w:p>
    <w:p w14:paraId="3C90FC64" w14:textId="77777777" w:rsidR="00BB56C4" w:rsidRPr="002C4DFE" w:rsidRDefault="00BB56C4" w:rsidP="40BF5389">
      <w:pPr>
        <w:spacing w:after="0" w:line="240" w:lineRule="auto"/>
        <w:jc w:val="center"/>
        <w:rPr>
          <w:rFonts w:ascii="Cambria" w:hAnsi="Cambria"/>
          <w:color w:val="000000" w:themeColor="text1"/>
          <w:sz w:val="20"/>
          <w:szCs w:val="20"/>
          <w:lang w:val="es-ES"/>
        </w:rPr>
      </w:pPr>
    </w:p>
    <w:p w14:paraId="212F6983" w14:textId="77777777" w:rsidR="00BB56C4" w:rsidRPr="002C4DFE" w:rsidRDefault="00BB56C4" w:rsidP="40BF5389">
      <w:pPr>
        <w:pStyle w:val="NoSpacing"/>
        <w:numPr>
          <w:ilvl w:val="0"/>
          <w:numId w:val="18"/>
        </w:numPr>
        <w:ind w:left="1440" w:hanging="720"/>
        <w:jc w:val="both"/>
        <w:rPr>
          <w:rFonts w:ascii="Cambria" w:hAnsi="Cambria" w:cs="Calibri Light"/>
          <w:b/>
          <w:bCs/>
          <w:color w:val="000000" w:themeColor="text1"/>
          <w:sz w:val="20"/>
          <w:szCs w:val="20"/>
          <w:lang w:val="es-ES"/>
        </w:rPr>
      </w:pPr>
      <w:r w:rsidRPr="40BF5389">
        <w:rPr>
          <w:rFonts w:ascii="Cambria" w:hAnsi="Cambria" w:cs="Calibri Light"/>
          <w:b/>
          <w:bCs/>
          <w:color w:val="000000" w:themeColor="text1"/>
          <w:sz w:val="20"/>
          <w:szCs w:val="20"/>
          <w:lang w:val="es-ES"/>
        </w:rPr>
        <w:t xml:space="preserve">Resumen del caso </w:t>
      </w:r>
    </w:p>
    <w:p w14:paraId="32EF909F" w14:textId="77777777" w:rsidR="00BB56C4" w:rsidRPr="002C4DFE" w:rsidRDefault="00BB56C4" w:rsidP="40BF5389">
      <w:pPr>
        <w:spacing w:after="0" w:line="240" w:lineRule="auto"/>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BB56C4" w:rsidRPr="00A4696C" w14:paraId="7B717212" w14:textId="77777777" w:rsidTr="40BF5389">
        <w:trPr>
          <w:trHeight w:val="4715"/>
          <w:jc w:val="center"/>
        </w:trPr>
        <w:tc>
          <w:tcPr>
            <w:tcW w:w="9576" w:type="dxa"/>
            <w:shd w:val="clear" w:color="auto" w:fill="F2F2F2" w:themeFill="background1" w:themeFillShade="F2"/>
          </w:tcPr>
          <w:p w14:paraId="2B8BE8EC" w14:textId="77777777" w:rsidR="00BB56C4" w:rsidRPr="002C4DFE" w:rsidRDefault="00BB56C4" w:rsidP="40BF5389">
            <w:pPr>
              <w:spacing w:before="120" w:after="0" w:line="240" w:lineRule="auto"/>
              <w:jc w:val="both"/>
              <w:rPr>
                <w:rFonts w:ascii="Cambria" w:hAnsi="Cambria"/>
                <w:b/>
                <w:bCs/>
                <w:color w:val="000000" w:themeColor="text1"/>
                <w:sz w:val="20"/>
                <w:szCs w:val="20"/>
                <w:lang w:val="es-ES"/>
              </w:rPr>
            </w:pPr>
            <w:r w:rsidRPr="40BF5389">
              <w:rPr>
                <w:rFonts w:ascii="Cambria" w:hAnsi="Cambria"/>
                <w:b/>
                <w:bCs/>
                <w:color w:val="000000" w:themeColor="text1"/>
                <w:sz w:val="20"/>
                <w:szCs w:val="20"/>
                <w:lang w:val="es-ES"/>
              </w:rPr>
              <w:t xml:space="preserve">Víctima (s): </w:t>
            </w:r>
            <w:r w:rsidRPr="40BF5389">
              <w:rPr>
                <w:rFonts w:ascii="Cambria" w:hAnsi="Cambria"/>
                <w:color w:val="000000" w:themeColor="text1"/>
                <w:sz w:val="20"/>
                <w:szCs w:val="20"/>
                <w:lang w:val="es-ES"/>
              </w:rPr>
              <w:t>Chad Roger Goodman</w:t>
            </w:r>
          </w:p>
          <w:p w14:paraId="31737250" w14:textId="77777777" w:rsidR="00BB56C4" w:rsidRPr="002C4DFE" w:rsidRDefault="00BB56C4" w:rsidP="40BF5389">
            <w:pPr>
              <w:spacing w:after="0" w:line="240" w:lineRule="auto"/>
              <w:ind w:left="-23"/>
              <w:jc w:val="both"/>
              <w:rPr>
                <w:rFonts w:ascii="Cambria" w:hAnsi="Cambria"/>
                <w:color w:val="000000" w:themeColor="text1"/>
                <w:sz w:val="20"/>
                <w:szCs w:val="20"/>
                <w:lang w:val="es-ES"/>
              </w:rPr>
            </w:pPr>
            <w:r w:rsidRPr="40BF5389">
              <w:rPr>
                <w:rFonts w:ascii="Cambria" w:hAnsi="Cambria"/>
                <w:b/>
                <w:bCs/>
                <w:color w:val="000000" w:themeColor="text1"/>
                <w:sz w:val="20"/>
                <w:szCs w:val="20"/>
                <w:lang w:val="es-ES"/>
              </w:rPr>
              <w:t xml:space="preserve">Peticionario (s): </w:t>
            </w:r>
            <w:r w:rsidRPr="40BF5389">
              <w:rPr>
                <w:rFonts w:ascii="Cambria" w:hAnsi="Cambria"/>
                <w:color w:val="000000" w:themeColor="text1"/>
                <w:sz w:val="20"/>
                <w:szCs w:val="20"/>
                <w:lang w:val="es-ES"/>
              </w:rPr>
              <w:t xml:space="preserve">Richard </w:t>
            </w:r>
            <w:proofErr w:type="spellStart"/>
            <w:r w:rsidRPr="40BF5389">
              <w:rPr>
                <w:rFonts w:ascii="Cambria" w:hAnsi="Cambria"/>
                <w:color w:val="000000" w:themeColor="text1"/>
                <w:sz w:val="20"/>
                <w:szCs w:val="20"/>
                <w:lang w:val="es-ES"/>
              </w:rPr>
              <w:t>Sallybanks</w:t>
            </w:r>
            <w:proofErr w:type="spellEnd"/>
          </w:p>
          <w:p w14:paraId="34F532F7" w14:textId="77777777" w:rsidR="00BB56C4" w:rsidRPr="002C4DFE" w:rsidRDefault="00BB56C4" w:rsidP="40BF5389">
            <w:pPr>
              <w:spacing w:after="0" w:line="240" w:lineRule="auto"/>
              <w:ind w:left="-23"/>
              <w:jc w:val="both"/>
              <w:rPr>
                <w:rFonts w:ascii="Cambria" w:hAnsi="Cambria"/>
                <w:color w:val="000000" w:themeColor="text1"/>
                <w:sz w:val="20"/>
                <w:szCs w:val="20"/>
                <w:lang w:val="es-ES"/>
              </w:rPr>
            </w:pPr>
            <w:r w:rsidRPr="40BF5389">
              <w:rPr>
                <w:rFonts w:ascii="Cambria" w:hAnsi="Cambria"/>
                <w:b/>
                <w:bCs/>
                <w:color w:val="000000" w:themeColor="text1"/>
                <w:sz w:val="20"/>
                <w:szCs w:val="20"/>
                <w:lang w:val="es-ES"/>
              </w:rPr>
              <w:t xml:space="preserve">Estado: </w:t>
            </w:r>
            <w:r w:rsidR="007D2FC4" w:rsidRPr="40BF5389">
              <w:rPr>
                <w:rFonts w:ascii="Cambria" w:hAnsi="Cambria"/>
                <w:color w:val="000000" w:themeColor="text1"/>
                <w:sz w:val="20"/>
                <w:szCs w:val="20"/>
                <w:lang w:val="es-ES"/>
              </w:rPr>
              <w:t>Las</w:t>
            </w:r>
            <w:r w:rsidRPr="40BF5389">
              <w:rPr>
                <w:rFonts w:ascii="Cambria" w:hAnsi="Cambria"/>
                <w:b/>
                <w:bCs/>
                <w:color w:val="000000" w:themeColor="text1"/>
                <w:sz w:val="20"/>
                <w:szCs w:val="20"/>
                <w:lang w:val="es-ES"/>
              </w:rPr>
              <w:t xml:space="preserve"> </w:t>
            </w:r>
            <w:r w:rsidRPr="40BF5389">
              <w:rPr>
                <w:rFonts w:ascii="Cambria" w:hAnsi="Cambria"/>
                <w:color w:val="000000" w:themeColor="text1"/>
                <w:sz w:val="20"/>
                <w:szCs w:val="20"/>
                <w:lang w:val="es-ES"/>
              </w:rPr>
              <w:t xml:space="preserve">Bahamas (Commonwealth </w:t>
            </w:r>
            <w:r w:rsidR="007D2FC4" w:rsidRPr="40BF5389">
              <w:rPr>
                <w:rFonts w:ascii="Cambria" w:hAnsi="Cambria"/>
                <w:color w:val="000000" w:themeColor="text1"/>
                <w:sz w:val="20"/>
                <w:szCs w:val="20"/>
                <w:lang w:val="es-ES"/>
              </w:rPr>
              <w:t>de</w:t>
            </w:r>
            <w:r w:rsidRPr="40BF5389">
              <w:rPr>
                <w:rFonts w:ascii="Cambria" w:hAnsi="Cambria"/>
                <w:color w:val="000000" w:themeColor="text1"/>
                <w:sz w:val="20"/>
                <w:szCs w:val="20"/>
                <w:lang w:val="es-ES"/>
              </w:rPr>
              <w:t>)</w:t>
            </w:r>
          </w:p>
          <w:p w14:paraId="3DB107A5" w14:textId="77777777" w:rsidR="00BB56C4" w:rsidRPr="002C4DFE" w:rsidRDefault="003C1898" w:rsidP="40BF5389">
            <w:pPr>
              <w:spacing w:after="0" w:line="240" w:lineRule="auto"/>
              <w:ind w:left="-23"/>
              <w:jc w:val="both"/>
              <w:rPr>
                <w:rFonts w:ascii="Cambria" w:hAnsi="Cambria"/>
                <w:color w:val="000000" w:themeColor="text1"/>
                <w:sz w:val="20"/>
                <w:szCs w:val="20"/>
                <w:lang w:val="es-ES"/>
              </w:rPr>
            </w:pPr>
            <w:r w:rsidRPr="40BF5389">
              <w:rPr>
                <w:rFonts w:ascii="Cambria" w:hAnsi="Cambria"/>
                <w:b/>
                <w:bCs/>
                <w:color w:val="000000" w:themeColor="text1"/>
                <w:sz w:val="20"/>
                <w:szCs w:val="20"/>
                <w:lang w:val="es-ES"/>
              </w:rPr>
              <w:t xml:space="preserve">Informe de Fondo </w:t>
            </w:r>
            <w:proofErr w:type="spellStart"/>
            <w:r w:rsidRPr="40BF5389">
              <w:rPr>
                <w:rFonts w:ascii="Cambria" w:hAnsi="Cambria"/>
                <w:b/>
                <w:bCs/>
                <w:color w:val="000000" w:themeColor="text1"/>
                <w:sz w:val="20"/>
                <w:szCs w:val="20"/>
                <w:lang w:val="es-ES"/>
              </w:rPr>
              <w:t>Nº</w:t>
            </w:r>
            <w:proofErr w:type="spellEnd"/>
            <w:r w:rsidR="00BB56C4" w:rsidRPr="40BF5389">
              <w:rPr>
                <w:rFonts w:ascii="Cambria" w:hAnsi="Cambria"/>
                <w:b/>
                <w:bCs/>
                <w:color w:val="000000" w:themeColor="text1"/>
                <w:sz w:val="20"/>
                <w:szCs w:val="20"/>
                <w:lang w:val="es-ES"/>
              </w:rPr>
              <w:t xml:space="preserve">: </w:t>
            </w:r>
            <w:hyperlink r:id="rId8">
              <w:r w:rsidR="00BB56C4" w:rsidRPr="40BF5389">
                <w:rPr>
                  <w:rStyle w:val="Hyperlink"/>
                  <w:rFonts w:ascii="Cambria" w:hAnsi="Cambria"/>
                  <w:color w:val="000000" w:themeColor="text1"/>
                  <w:sz w:val="20"/>
                  <w:szCs w:val="20"/>
                  <w:lang w:val="es-ES"/>
                </w:rPr>
                <w:t>78/07</w:t>
              </w:r>
            </w:hyperlink>
            <w:r w:rsidR="00BB56C4" w:rsidRPr="40BF5389">
              <w:rPr>
                <w:rFonts w:ascii="Cambria" w:hAnsi="Cambria"/>
                <w:color w:val="000000" w:themeColor="text1"/>
                <w:sz w:val="20"/>
                <w:szCs w:val="20"/>
                <w:lang w:val="es-ES"/>
              </w:rPr>
              <w:t>, publicado en 15 de octubre de 2007</w:t>
            </w:r>
          </w:p>
          <w:p w14:paraId="4B7F1D95" w14:textId="77777777" w:rsidR="00BB56C4" w:rsidRPr="002C4DFE" w:rsidRDefault="00BB56C4" w:rsidP="40BF5389">
            <w:pPr>
              <w:spacing w:after="0" w:line="240" w:lineRule="auto"/>
              <w:ind w:left="-23"/>
              <w:jc w:val="both"/>
              <w:rPr>
                <w:rFonts w:ascii="Cambria" w:hAnsi="Cambria"/>
                <w:color w:val="000000" w:themeColor="text1"/>
                <w:sz w:val="20"/>
                <w:szCs w:val="20"/>
                <w:lang w:val="es-ES"/>
              </w:rPr>
            </w:pPr>
            <w:r w:rsidRPr="40BF5389">
              <w:rPr>
                <w:rFonts w:ascii="Cambria" w:hAnsi="Cambria"/>
                <w:b/>
                <w:bCs/>
                <w:color w:val="000000" w:themeColor="text1"/>
                <w:sz w:val="20"/>
                <w:szCs w:val="20"/>
                <w:lang w:val="es-ES"/>
              </w:rPr>
              <w:t xml:space="preserve">Informe de Admisibilidad: </w:t>
            </w:r>
            <w:r w:rsidRPr="40BF5389">
              <w:rPr>
                <w:rFonts w:ascii="Cambria" w:hAnsi="Cambria"/>
                <w:color w:val="000000" w:themeColor="text1"/>
                <w:sz w:val="20"/>
                <w:szCs w:val="20"/>
                <w:lang w:val="es-ES"/>
              </w:rPr>
              <w:t xml:space="preserve">Analizado junto con el Informe de Fondo </w:t>
            </w:r>
            <w:proofErr w:type="spellStart"/>
            <w:r w:rsidRPr="40BF5389">
              <w:rPr>
                <w:rFonts w:ascii="Cambria" w:hAnsi="Cambria"/>
                <w:color w:val="000000" w:themeColor="text1"/>
                <w:sz w:val="20"/>
                <w:szCs w:val="20"/>
                <w:lang w:val="es-ES"/>
              </w:rPr>
              <w:t>Nº</w:t>
            </w:r>
            <w:proofErr w:type="spellEnd"/>
            <w:r w:rsidRPr="40BF5389">
              <w:rPr>
                <w:rFonts w:ascii="Cambria" w:hAnsi="Cambria"/>
                <w:color w:val="000000" w:themeColor="text1"/>
                <w:sz w:val="20"/>
                <w:szCs w:val="20"/>
                <w:lang w:val="es-ES"/>
              </w:rPr>
              <w:t>.</w:t>
            </w:r>
            <w:r w:rsidRPr="40BF5389">
              <w:rPr>
                <w:rFonts w:ascii="Cambria" w:hAnsi="Cambria"/>
                <w:b/>
                <w:bCs/>
                <w:color w:val="000000" w:themeColor="text1"/>
                <w:sz w:val="20"/>
                <w:szCs w:val="20"/>
                <w:lang w:val="es-ES"/>
              </w:rPr>
              <w:t xml:space="preserve"> </w:t>
            </w:r>
            <w:r w:rsidRPr="40BF5389">
              <w:rPr>
                <w:rFonts w:ascii="Cambria" w:hAnsi="Cambria"/>
                <w:color w:val="000000" w:themeColor="text1"/>
                <w:sz w:val="20"/>
                <w:szCs w:val="20"/>
                <w:lang w:val="es-ES"/>
              </w:rPr>
              <w:t>78/07</w:t>
            </w:r>
          </w:p>
          <w:p w14:paraId="669EB265" w14:textId="77777777" w:rsidR="00BB56C4" w:rsidRPr="002C4DFE" w:rsidRDefault="00BB56C4" w:rsidP="40BF5389">
            <w:pPr>
              <w:spacing w:after="120" w:line="240" w:lineRule="auto"/>
              <w:ind w:left="-29"/>
              <w:jc w:val="both"/>
              <w:rPr>
                <w:rFonts w:ascii="Cambria" w:hAnsi="Cambria"/>
                <w:color w:val="000000" w:themeColor="text1"/>
                <w:sz w:val="20"/>
                <w:szCs w:val="20"/>
                <w:lang w:val="es-ES"/>
              </w:rPr>
            </w:pPr>
            <w:r w:rsidRPr="40BF5389">
              <w:rPr>
                <w:rFonts w:ascii="Cambria" w:hAnsi="Cambria"/>
                <w:b/>
                <w:bCs/>
                <w:color w:val="000000" w:themeColor="text1"/>
                <w:sz w:val="20"/>
                <w:szCs w:val="20"/>
                <w:lang w:val="es-ES"/>
              </w:rPr>
              <w:t>Temas:</w:t>
            </w:r>
            <w:r w:rsidRPr="40BF5389">
              <w:rPr>
                <w:rFonts w:ascii="Cambria" w:hAnsi="Cambria"/>
                <w:color w:val="000000" w:themeColor="text1"/>
                <w:sz w:val="20"/>
                <w:szCs w:val="20"/>
                <w:lang w:val="es-ES"/>
              </w:rPr>
              <w:t xml:space="preserve"> </w:t>
            </w:r>
            <w:r w:rsidR="00A47664" w:rsidRPr="40BF5389">
              <w:rPr>
                <w:rFonts w:ascii="Cambria" w:eastAsia="Times New Roman" w:hAnsi="Cambria"/>
                <w:color w:val="000000" w:themeColor="text1"/>
                <w:sz w:val="20"/>
                <w:szCs w:val="20"/>
                <w:lang w:val="es-MX" w:eastAsia="es-MX"/>
              </w:rPr>
              <w:t>Deber de Adoptar Medidas y Disposiciones de Derecho Interno</w:t>
            </w:r>
            <w:r w:rsidR="00A47664" w:rsidRPr="40BF5389">
              <w:rPr>
                <w:rFonts w:ascii="Cambria" w:hAnsi="Cambria"/>
                <w:color w:val="000000" w:themeColor="text1"/>
                <w:sz w:val="20"/>
                <w:szCs w:val="20"/>
                <w:lang w:val="es-ES"/>
              </w:rPr>
              <w:t xml:space="preserve"> / Derecho a la Vida / Derecho a la Integridad Personal / Derecho a la Libertad Personal / Garantías Judiciales / Protección Judicial / Pena de Muerte / Condiciones de Detención / </w:t>
            </w:r>
            <w:r w:rsidR="00A47664" w:rsidRPr="40BF5389">
              <w:rPr>
                <w:rFonts w:ascii="Cambria" w:eastAsia="Times New Roman" w:hAnsi="Cambria"/>
                <w:color w:val="000000" w:themeColor="text1"/>
                <w:sz w:val="20"/>
                <w:szCs w:val="20"/>
                <w:lang w:val="es-MX" w:eastAsia="es-MX"/>
              </w:rPr>
              <w:t>Tortura, Tratos Crueles, Inhumanos y/o Degradantes / Detención Arbitraria</w:t>
            </w:r>
          </w:p>
          <w:p w14:paraId="712EC1A7" w14:textId="77777777" w:rsidR="00BB56C4" w:rsidRPr="002C4DFE" w:rsidRDefault="00BB56C4" w:rsidP="40BF5389">
            <w:pPr>
              <w:spacing w:after="120" w:line="240" w:lineRule="auto"/>
              <w:ind w:left="-29"/>
              <w:jc w:val="both"/>
              <w:rPr>
                <w:rFonts w:ascii="Cambria" w:hAnsi="Cambria"/>
                <w:color w:val="000000" w:themeColor="text1"/>
                <w:sz w:val="20"/>
                <w:szCs w:val="20"/>
                <w:lang w:val="es-ES"/>
              </w:rPr>
            </w:pPr>
            <w:r w:rsidRPr="40BF5389">
              <w:rPr>
                <w:rFonts w:ascii="Cambria" w:hAnsi="Cambria"/>
                <w:b/>
                <w:bCs/>
                <w:color w:val="000000" w:themeColor="text1"/>
                <w:sz w:val="20"/>
                <w:szCs w:val="20"/>
                <w:lang w:val="es-ES"/>
              </w:rPr>
              <w:t xml:space="preserve">Hechos: </w:t>
            </w:r>
            <w:r w:rsidRPr="40BF5389">
              <w:rPr>
                <w:rFonts w:ascii="Cambria" w:hAnsi="Cambria"/>
                <w:color w:val="000000" w:themeColor="text1"/>
                <w:sz w:val="20"/>
                <w:szCs w:val="20"/>
                <w:lang w:val="es-ES"/>
              </w:rPr>
              <w:t>El caso se refiere al señor Goodman quien fue condenado por el Estado de</w:t>
            </w:r>
            <w:r w:rsidR="002B12D9" w:rsidRPr="40BF5389">
              <w:rPr>
                <w:rFonts w:ascii="Cambria" w:hAnsi="Cambria"/>
                <w:color w:val="000000" w:themeColor="text1"/>
                <w:sz w:val="20"/>
                <w:szCs w:val="20"/>
                <w:lang w:val="es-ES"/>
              </w:rPr>
              <w:t xml:space="preserve"> Bahamas por</w:t>
            </w:r>
            <w:r w:rsidRPr="40BF5389">
              <w:rPr>
                <w:rFonts w:ascii="Cambria" w:hAnsi="Cambria"/>
                <w:color w:val="000000" w:themeColor="text1"/>
                <w:sz w:val="20"/>
                <w:szCs w:val="20"/>
                <w:lang w:val="es-ES"/>
              </w:rPr>
              <w:t xml:space="preserve"> homicidio, secuestro y robo a mano armada</w:t>
            </w:r>
            <w:r w:rsidR="002B12D9" w:rsidRPr="40BF5389">
              <w:rPr>
                <w:rFonts w:ascii="Cambria" w:hAnsi="Cambria"/>
                <w:color w:val="000000" w:themeColor="text1"/>
                <w:sz w:val="20"/>
                <w:szCs w:val="20"/>
                <w:lang w:val="es-ES"/>
              </w:rPr>
              <w:t>;</w:t>
            </w:r>
            <w:r w:rsidRPr="40BF5389">
              <w:rPr>
                <w:rFonts w:ascii="Cambria" w:hAnsi="Cambria"/>
                <w:color w:val="000000" w:themeColor="text1"/>
                <w:sz w:val="20"/>
                <w:szCs w:val="20"/>
                <w:lang w:val="es-ES"/>
              </w:rPr>
              <w:t xml:space="preserve"> fue sentenciado a pena de muerte por homicidio, en concurrencia con penas de prisión de 10 años por secuestro y 15 años por robo a mano armada</w:t>
            </w:r>
            <w:r w:rsidRPr="40BF5389">
              <w:rPr>
                <w:rFonts w:ascii="Verdana" w:hAnsi="Verdana"/>
                <w:color w:val="000000" w:themeColor="text1"/>
                <w:sz w:val="20"/>
                <w:szCs w:val="20"/>
                <w:lang w:val="es-ES"/>
              </w:rPr>
              <w:t>.</w:t>
            </w:r>
          </w:p>
          <w:p w14:paraId="29C81244" w14:textId="77777777" w:rsidR="00BB56C4" w:rsidRPr="002C4DFE" w:rsidRDefault="00BB56C4" w:rsidP="40BF5389">
            <w:pPr>
              <w:spacing w:after="120" w:line="240" w:lineRule="auto"/>
              <w:ind w:left="-29"/>
              <w:jc w:val="both"/>
              <w:rPr>
                <w:rFonts w:ascii="Cambria" w:hAnsi="Cambria"/>
                <w:color w:val="000000" w:themeColor="text1"/>
                <w:sz w:val="20"/>
                <w:szCs w:val="20"/>
                <w:lang w:val="es-ES"/>
              </w:rPr>
            </w:pPr>
            <w:r w:rsidRPr="40BF5389">
              <w:rPr>
                <w:rFonts w:ascii="Cambria" w:hAnsi="Cambria"/>
                <w:b/>
                <w:bCs/>
                <w:color w:val="000000" w:themeColor="text1"/>
                <w:sz w:val="20"/>
                <w:szCs w:val="20"/>
                <w:lang w:val="es-ES"/>
              </w:rPr>
              <w:t xml:space="preserve">Derechos violados: </w:t>
            </w:r>
            <w:r w:rsidRPr="40BF5389">
              <w:rPr>
                <w:rFonts w:ascii="Cambria" w:hAnsi="Cambria"/>
                <w:color w:val="000000" w:themeColor="text1"/>
                <w:sz w:val="20"/>
                <w:szCs w:val="20"/>
                <w:lang w:val="es-ES"/>
              </w:rPr>
              <w:t xml:space="preserve">La Comisión concluyó que el Estado era responsable: a) de la violación de los artículos I, XXV y XXVI de la Declaración Americana por haber sentenciado al señor Goodman a una pena de muerte obligatoria; b) de la violación del derecho del señor Goodman consagrado en los artículos I, XXV y XXVI de la Declaración Americana, por no otorgar al señor Goodman un recurso efectivo para solicitar la amnistía, el indulto o la conmutación de la sentencia; c) de la violación del derecho del señor Goodman a ser juzgado sin demora injustificada, de acuerdo con el artículo XXV de la Declaración Americana; d) de la violación del derecho del señor Goodman a un tratamiento humano, conforme a los artículos XXV y XXVI de la Declaración Americana, en particular, su derecho a no ser objeto de un castigo cruel, degradante o inusual. </w:t>
            </w:r>
          </w:p>
        </w:tc>
      </w:tr>
    </w:tbl>
    <w:p w14:paraId="4A3225A8" w14:textId="77777777" w:rsidR="00BB56C4" w:rsidRPr="002C4DFE" w:rsidRDefault="00BB56C4" w:rsidP="40BF5389">
      <w:pPr>
        <w:spacing w:after="0" w:line="240" w:lineRule="auto"/>
        <w:ind w:left="180"/>
        <w:rPr>
          <w:rFonts w:ascii="Cambria" w:hAnsi="Cambria"/>
          <w:color w:val="000000" w:themeColor="text1"/>
          <w:sz w:val="20"/>
          <w:szCs w:val="20"/>
          <w:lang w:val="es-ES"/>
        </w:rPr>
      </w:pPr>
    </w:p>
    <w:p w14:paraId="00DB8776" w14:textId="77777777" w:rsidR="00BB56C4" w:rsidRPr="002C4DFE" w:rsidRDefault="009A2EED" w:rsidP="40BF5389">
      <w:pPr>
        <w:numPr>
          <w:ilvl w:val="0"/>
          <w:numId w:val="18"/>
        </w:numPr>
        <w:spacing w:after="0" w:line="240" w:lineRule="auto"/>
        <w:ind w:firstLine="0"/>
        <w:jc w:val="both"/>
        <w:rPr>
          <w:rFonts w:ascii="Cambria" w:hAnsi="Cambria" w:cs="Calibri Light"/>
          <w:b/>
          <w:bCs/>
          <w:color w:val="000000" w:themeColor="text1"/>
          <w:sz w:val="20"/>
          <w:szCs w:val="20"/>
          <w:lang w:val="es-ES"/>
        </w:rPr>
      </w:pPr>
      <w:r w:rsidRPr="40BF5389">
        <w:rPr>
          <w:rFonts w:ascii="Cambria" w:hAnsi="Cambria" w:cs="Calibri Light"/>
          <w:b/>
          <w:bCs/>
          <w:color w:val="000000" w:themeColor="text1"/>
          <w:sz w:val="20"/>
          <w:szCs w:val="20"/>
          <w:lang w:val="es-ES"/>
        </w:rPr>
        <w:t>Recom</w:t>
      </w:r>
      <w:r w:rsidR="00BB56C4" w:rsidRPr="40BF5389">
        <w:rPr>
          <w:rFonts w:ascii="Cambria" w:hAnsi="Cambria" w:cs="Calibri Light"/>
          <w:b/>
          <w:bCs/>
          <w:color w:val="000000" w:themeColor="text1"/>
          <w:sz w:val="20"/>
          <w:szCs w:val="20"/>
          <w:lang w:val="es-ES"/>
        </w:rPr>
        <w:t>enda</w:t>
      </w:r>
      <w:r w:rsidRPr="40BF5389">
        <w:rPr>
          <w:rFonts w:ascii="Cambria" w:hAnsi="Cambria" w:cs="Calibri Light"/>
          <w:b/>
          <w:bCs/>
          <w:color w:val="000000" w:themeColor="text1"/>
          <w:sz w:val="20"/>
          <w:szCs w:val="20"/>
          <w:lang w:val="es-ES"/>
        </w:rPr>
        <w:t xml:space="preserve">ciones </w:t>
      </w:r>
    </w:p>
    <w:p w14:paraId="00E85CCA" w14:textId="77777777" w:rsidR="00BB56C4" w:rsidRPr="002C4DFE" w:rsidRDefault="00BB56C4" w:rsidP="40BF5389">
      <w:pPr>
        <w:spacing w:after="0" w:line="240" w:lineRule="auto"/>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1"/>
        <w:gridCol w:w="2481"/>
      </w:tblGrid>
      <w:tr w:rsidR="00BB56C4" w:rsidRPr="00A4696C" w14:paraId="588406C4" w14:textId="77777777" w:rsidTr="40BF5389">
        <w:tc>
          <w:tcPr>
            <w:tcW w:w="7020" w:type="dxa"/>
            <w:shd w:val="clear" w:color="auto" w:fill="auto"/>
          </w:tcPr>
          <w:p w14:paraId="6D3C5738" w14:textId="77777777" w:rsidR="00BB56C4" w:rsidRPr="002C4DFE" w:rsidRDefault="009A2EED" w:rsidP="40BF5389">
            <w:pPr>
              <w:spacing w:after="0" w:line="240" w:lineRule="auto"/>
              <w:ind w:left="316"/>
              <w:jc w:val="center"/>
              <w:rPr>
                <w:rFonts w:ascii="Cambria" w:hAnsi="Cambria" w:cs="Calibri Light"/>
                <w:b/>
                <w:bCs/>
                <w:color w:val="000000" w:themeColor="text1"/>
                <w:sz w:val="18"/>
                <w:szCs w:val="18"/>
                <w:lang w:val="es-ES"/>
              </w:rPr>
            </w:pPr>
            <w:r w:rsidRPr="40BF5389">
              <w:rPr>
                <w:rFonts w:ascii="Cambria" w:hAnsi="Cambria" w:cs="Calibri Light"/>
                <w:b/>
                <w:bCs/>
                <w:color w:val="000000" w:themeColor="text1"/>
                <w:sz w:val="18"/>
                <w:szCs w:val="18"/>
                <w:lang w:val="es-ES"/>
              </w:rPr>
              <w:t>Recomendaciones</w:t>
            </w:r>
          </w:p>
        </w:tc>
        <w:tc>
          <w:tcPr>
            <w:tcW w:w="2520" w:type="dxa"/>
            <w:shd w:val="clear" w:color="auto" w:fill="auto"/>
          </w:tcPr>
          <w:p w14:paraId="3EEB00A1" w14:textId="7DA84DEF" w:rsidR="00BB56C4" w:rsidRPr="002C4DFE" w:rsidRDefault="009A2EED" w:rsidP="40BF5389">
            <w:pPr>
              <w:spacing w:after="0" w:line="240" w:lineRule="auto"/>
              <w:jc w:val="center"/>
              <w:rPr>
                <w:rFonts w:ascii="Cambria" w:hAnsi="Cambria" w:cs="Calibri Light"/>
                <w:b/>
                <w:bCs/>
                <w:color w:val="000000" w:themeColor="text1"/>
                <w:sz w:val="18"/>
                <w:szCs w:val="18"/>
                <w:lang w:val="es-ES"/>
              </w:rPr>
            </w:pPr>
            <w:r w:rsidRPr="40BF5389">
              <w:rPr>
                <w:rFonts w:ascii="Cambria" w:hAnsi="Cambria" w:cs="Calibri Light"/>
                <w:b/>
                <w:bCs/>
                <w:color w:val="000000" w:themeColor="text1"/>
                <w:sz w:val="18"/>
                <w:szCs w:val="18"/>
                <w:lang w:val="es-ES"/>
              </w:rPr>
              <w:t>E</w:t>
            </w:r>
            <w:r w:rsidR="003069AE" w:rsidRPr="40BF5389">
              <w:rPr>
                <w:rFonts w:ascii="Cambria" w:hAnsi="Cambria" w:cs="Calibri Light"/>
                <w:b/>
                <w:bCs/>
                <w:color w:val="000000" w:themeColor="text1"/>
                <w:sz w:val="18"/>
                <w:szCs w:val="18"/>
                <w:lang w:val="es-ES"/>
              </w:rPr>
              <w:t>stado de cumplimiento en el 20</w:t>
            </w:r>
            <w:r w:rsidR="00A21B68" w:rsidRPr="40BF5389">
              <w:rPr>
                <w:rFonts w:ascii="Cambria" w:hAnsi="Cambria" w:cs="Calibri Light"/>
                <w:b/>
                <w:bCs/>
                <w:color w:val="000000" w:themeColor="text1"/>
                <w:sz w:val="18"/>
                <w:szCs w:val="18"/>
                <w:lang w:val="es-ES"/>
              </w:rPr>
              <w:t>21</w:t>
            </w:r>
          </w:p>
        </w:tc>
      </w:tr>
      <w:tr w:rsidR="00BB56C4" w:rsidRPr="002C4DFE" w14:paraId="130AC0E7" w14:textId="77777777" w:rsidTr="40BF5389">
        <w:tc>
          <w:tcPr>
            <w:tcW w:w="7020" w:type="dxa"/>
            <w:shd w:val="clear" w:color="auto" w:fill="auto"/>
            <w:vAlign w:val="center"/>
          </w:tcPr>
          <w:p w14:paraId="5C0464B8" w14:textId="77777777" w:rsidR="00BB56C4" w:rsidRPr="002C4DFE" w:rsidRDefault="00BB56C4" w:rsidP="40BF5389">
            <w:pPr>
              <w:spacing w:after="0" w:line="240" w:lineRule="auto"/>
              <w:jc w:val="both"/>
              <w:rPr>
                <w:rFonts w:ascii="Cambria" w:hAnsi="Cambria" w:cs="Calibri Light"/>
                <w:color w:val="000000" w:themeColor="text1"/>
                <w:sz w:val="18"/>
                <w:szCs w:val="18"/>
                <w:lang w:val="es-ES"/>
              </w:rPr>
            </w:pPr>
            <w:r w:rsidRPr="40BF5389">
              <w:rPr>
                <w:rFonts w:ascii="Cambria" w:hAnsi="Cambria"/>
                <w:color w:val="000000" w:themeColor="text1"/>
                <w:sz w:val="18"/>
                <w:szCs w:val="18"/>
                <w:lang w:val="es-ES"/>
              </w:rPr>
              <w:t>1.  Otorgue al señor Goodman una reparación efectiva que incluya la conmutación de la sentencia y una indemnización por la violación de los artículos I, XI, XVIII, XXIV, XXV y XXVI de la Declaración Americana.</w:t>
            </w:r>
          </w:p>
        </w:tc>
        <w:tc>
          <w:tcPr>
            <w:tcW w:w="2520" w:type="dxa"/>
            <w:shd w:val="clear" w:color="auto" w:fill="auto"/>
            <w:vAlign w:val="center"/>
          </w:tcPr>
          <w:p w14:paraId="2F98C6AE" w14:textId="16A03FBA" w:rsidR="00BB56C4" w:rsidRPr="002C4DFE" w:rsidRDefault="00BA4BE2" w:rsidP="40BF5389">
            <w:pPr>
              <w:spacing w:after="0" w:line="240" w:lineRule="auto"/>
              <w:jc w:val="center"/>
              <w:rPr>
                <w:rFonts w:ascii="Cambria" w:hAnsi="Cambria" w:cs="Calibri Light"/>
                <w:b/>
                <w:bCs/>
                <w:color w:val="000000" w:themeColor="text1"/>
                <w:sz w:val="18"/>
                <w:szCs w:val="18"/>
                <w:lang w:val="es-ES"/>
              </w:rPr>
            </w:pPr>
            <w:r w:rsidRPr="40BF5389">
              <w:rPr>
                <w:rFonts w:ascii="Cambria" w:hAnsi="Cambria" w:cs="Calibri"/>
                <w:color w:val="000000" w:themeColor="text1"/>
                <w:sz w:val="18"/>
                <w:szCs w:val="18"/>
                <w:lang w:val="es-ES"/>
              </w:rPr>
              <w:t>C</w:t>
            </w:r>
            <w:r w:rsidR="00BB56C4" w:rsidRPr="40BF5389">
              <w:rPr>
                <w:rFonts w:ascii="Cambria" w:hAnsi="Cambria" w:cs="Calibri"/>
                <w:color w:val="000000" w:themeColor="text1"/>
                <w:sz w:val="18"/>
                <w:szCs w:val="18"/>
                <w:lang w:val="es-ES"/>
              </w:rPr>
              <w:t>umplimiento</w:t>
            </w:r>
            <w:r w:rsidRPr="40BF5389">
              <w:rPr>
                <w:rFonts w:ascii="Cambria" w:hAnsi="Cambria" w:cs="Calibri"/>
                <w:color w:val="000000" w:themeColor="text1"/>
                <w:sz w:val="18"/>
                <w:szCs w:val="18"/>
                <w:lang w:val="es-ES"/>
              </w:rPr>
              <w:t xml:space="preserve"> </w:t>
            </w:r>
            <w:r w:rsidR="00D83C67" w:rsidRPr="40BF5389">
              <w:rPr>
                <w:rFonts w:ascii="Cambria" w:hAnsi="Cambria" w:cs="Calibri"/>
                <w:color w:val="000000" w:themeColor="text1"/>
                <w:sz w:val="18"/>
                <w:szCs w:val="18"/>
                <w:lang w:val="es-ES"/>
              </w:rPr>
              <w:t>parcial sustancial</w:t>
            </w:r>
          </w:p>
        </w:tc>
      </w:tr>
      <w:tr w:rsidR="00BB56C4" w:rsidRPr="002C4DFE" w14:paraId="59335416" w14:textId="77777777" w:rsidTr="40BF5389">
        <w:tc>
          <w:tcPr>
            <w:tcW w:w="7020" w:type="dxa"/>
            <w:shd w:val="clear" w:color="auto" w:fill="auto"/>
            <w:vAlign w:val="center"/>
          </w:tcPr>
          <w:p w14:paraId="1E972088" w14:textId="77777777" w:rsidR="00BB56C4" w:rsidRPr="002C4DFE" w:rsidRDefault="00BB56C4" w:rsidP="40BF5389">
            <w:pPr>
              <w:spacing w:after="0" w:line="240" w:lineRule="auto"/>
              <w:jc w:val="both"/>
              <w:rPr>
                <w:rFonts w:ascii="Cambria" w:hAnsi="Cambria" w:cs="Calibri Light"/>
                <w:color w:val="000000" w:themeColor="text1"/>
                <w:sz w:val="18"/>
                <w:szCs w:val="18"/>
                <w:lang w:val="es-ES"/>
              </w:rPr>
            </w:pPr>
            <w:r w:rsidRPr="40BF5389">
              <w:rPr>
                <w:rFonts w:ascii="Cambria" w:hAnsi="Cambria"/>
                <w:color w:val="000000" w:themeColor="text1"/>
                <w:sz w:val="18"/>
                <w:szCs w:val="18"/>
                <w:lang w:val="es-ES"/>
              </w:rPr>
              <w:t>2.  Adopte las medidas legislativas y de otra índole que sean necesarias para garantizar que la pena de muerte sea impuesta en cumplimiento de los derechos y libertades garantizadas por la Declaración Americana, incluidos y en particular, los artículos I, XXV y XXVI, y asegure que ninguna persona sea sentenciada a muerte por una ley de sentencia obligatoria en Bahamas.</w:t>
            </w:r>
          </w:p>
        </w:tc>
        <w:tc>
          <w:tcPr>
            <w:tcW w:w="2520" w:type="dxa"/>
            <w:shd w:val="clear" w:color="auto" w:fill="auto"/>
            <w:vAlign w:val="center"/>
          </w:tcPr>
          <w:p w14:paraId="26C7C73E" w14:textId="41EA70A8" w:rsidR="00BB56C4" w:rsidRPr="002C4DFE" w:rsidRDefault="00924ADA" w:rsidP="40BF5389">
            <w:pPr>
              <w:spacing w:after="0" w:line="240" w:lineRule="auto"/>
              <w:jc w:val="center"/>
              <w:rPr>
                <w:rFonts w:ascii="Cambria" w:hAnsi="Cambria" w:cs="Calibri Light"/>
                <w:b/>
                <w:bCs/>
                <w:color w:val="000000" w:themeColor="text1"/>
                <w:sz w:val="18"/>
                <w:szCs w:val="18"/>
                <w:lang w:val="es-ES"/>
              </w:rPr>
            </w:pPr>
            <w:r w:rsidRPr="40BF5389">
              <w:rPr>
                <w:rFonts w:ascii="Cambria" w:hAnsi="Cambria" w:cs="Calibri"/>
                <w:color w:val="000000" w:themeColor="text1"/>
                <w:sz w:val="18"/>
                <w:szCs w:val="18"/>
                <w:lang w:val="es-ES"/>
              </w:rPr>
              <w:t>Cumplimiento total</w:t>
            </w:r>
          </w:p>
        </w:tc>
      </w:tr>
      <w:tr w:rsidR="00BB56C4" w:rsidRPr="002C4DFE" w14:paraId="3854069C" w14:textId="77777777" w:rsidTr="40BF5389">
        <w:tc>
          <w:tcPr>
            <w:tcW w:w="7020" w:type="dxa"/>
            <w:shd w:val="clear" w:color="auto" w:fill="auto"/>
            <w:vAlign w:val="center"/>
          </w:tcPr>
          <w:p w14:paraId="212DC389" w14:textId="77777777" w:rsidR="00BB56C4" w:rsidRPr="002C4DFE" w:rsidRDefault="00BB56C4" w:rsidP="40BF5389">
            <w:pPr>
              <w:spacing w:after="0" w:line="240" w:lineRule="auto"/>
              <w:jc w:val="both"/>
              <w:rPr>
                <w:rFonts w:ascii="Cambria" w:hAnsi="Cambria" w:cs="Calibri Light"/>
                <w:color w:val="000000" w:themeColor="text1"/>
                <w:sz w:val="18"/>
                <w:szCs w:val="18"/>
                <w:lang w:val="es-ES"/>
              </w:rPr>
            </w:pPr>
            <w:r w:rsidRPr="40BF5389">
              <w:rPr>
                <w:rFonts w:ascii="Cambria" w:hAnsi="Cambria"/>
                <w:color w:val="000000" w:themeColor="text1"/>
                <w:sz w:val="18"/>
                <w:szCs w:val="18"/>
                <w:lang w:val="es-ES"/>
              </w:rPr>
              <w:t>3. Adopte las medidas legislativas y de otra índole que sean necesarias para garantizar la vigencia en Bahamas del derecho consagrado en el artículo XXV de la Declaración Americana a ser juzgado sin demora injustificada.</w:t>
            </w:r>
          </w:p>
        </w:tc>
        <w:tc>
          <w:tcPr>
            <w:tcW w:w="2520" w:type="dxa"/>
            <w:shd w:val="clear" w:color="auto" w:fill="auto"/>
            <w:vAlign w:val="center"/>
          </w:tcPr>
          <w:p w14:paraId="73B315B0" w14:textId="03BC37F4" w:rsidR="00BB56C4" w:rsidRPr="002C4DFE" w:rsidRDefault="002746B8" w:rsidP="40BF5389">
            <w:pPr>
              <w:spacing w:after="0" w:line="240" w:lineRule="auto"/>
              <w:jc w:val="center"/>
              <w:rPr>
                <w:rFonts w:ascii="Cambria" w:hAnsi="Cambria" w:cs="Calibri Light"/>
                <w:b/>
                <w:bCs/>
                <w:color w:val="000000" w:themeColor="text1"/>
                <w:sz w:val="18"/>
                <w:szCs w:val="18"/>
                <w:lang w:val="es-ES"/>
              </w:rPr>
            </w:pPr>
            <w:r w:rsidRPr="40BF5389">
              <w:rPr>
                <w:rFonts w:ascii="Cambria" w:hAnsi="Cambria" w:cs="Calibri"/>
                <w:color w:val="000000" w:themeColor="text1"/>
                <w:sz w:val="18"/>
                <w:szCs w:val="18"/>
                <w:lang w:val="es-ES"/>
              </w:rPr>
              <w:t>Cumplimiento parcial</w:t>
            </w:r>
          </w:p>
        </w:tc>
      </w:tr>
      <w:tr w:rsidR="00BB56C4" w:rsidRPr="002C4DFE" w14:paraId="2224401B" w14:textId="77777777" w:rsidTr="40BF5389">
        <w:tc>
          <w:tcPr>
            <w:tcW w:w="7020" w:type="dxa"/>
            <w:shd w:val="clear" w:color="auto" w:fill="auto"/>
            <w:vAlign w:val="center"/>
          </w:tcPr>
          <w:p w14:paraId="0A8E6A50" w14:textId="77777777" w:rsidR="00BB56C4" w:rsidRPr="002C4DFE" w:rsidRDefault="00BB56C4" w:rsidP="40BF5389">
            <w:pPr>
              <w:spacing w:after="0" w:line="240" w:lineRule="auto"/>
              <w:jc w:val="both"/>
              <w:rPr>
                <w:rFonts w:ascii="Cambria" w:hAnsi="Cambria" w:cs="Calibri Light"/>
                <w:color w:val="000000" w:themeColor="text1"/>
                <w:sz w:val="18"/>
                <w:szCs w:val="18"/>
                <w:lang w:val="es-ES"/>
              </w:rPr>
            </w:pPr>
            <w:r w:rsidRPr="40BF5389">
              <w:rPr>
                <w:rFonts w:ascii="Cambria" w:hAnsi="Cambria"/>
                <w:color w:val="000000" w:themeColor="text1"/>
                <w:sz w:val="18"/>
                <w:szCs w:val="18"/>
                <w:lang w:val="es-ES"/>
              </w:rPr>
              <w:t>4.  Adopte las medidas legislativas y de otra índole que sean necesarias para asegurar la vigencia en Bahamas del derecho a un trato humano y del derecho a no ser objeto de un castigo cruel, degradante o inusual, dispuesto en los artículos XI, XXV y XXVI de la Declaración Americana, en relación con las condiciones de detención</w:t>
            </w:r>
          </w:p>
        </w:tc>
        <w:tc>
          <w:tcPr>
            <w:tcW w:w="2520" w:type="dxa"/>
            <w:shd w:val="clear" w:color="auto" w:fill="auto"/>
            <w:vAlign w:val="center"/>
          </w:tcPr>
          <w:p w14:paraId="14913829" w14:textId="2760C116" w:rsidR="00BB56C4" w:rsidRPr="002C4DFE" w:rsidRDefault="002746B8" w:rsidP="40BF5389">
            <w:pPr>
              <w:spacing w:after="0" w:line="240" w:lineRule="auto"/>
              <w:jc w:val="center"/>
              <w:rPr>
                <w:rFonts w:ascii="Cambria" w:hAnsi="Cambria" w:cs="Calibri Light"/>
                <w:b/>
                <w:bCs/>
                <w:color w:val="000000" w:themeColor="text1"/>
                <w:sz w:val="18"/>
                <w:szCs w:val="18"/>
                <w:lang w:val="es-ES"/>
              </w:rPr>
            </w:pPr>
            <w:r w:rsidRPr="40BF5389">
              <w:rPr>
                <w:rFonts w:ascii="Cambria" w:hAnsi="Cambria" w:cs="Calibri"/>
                <w:color w:val="000000" w:themeColor="text1"/>
                <w:sz w:val="18"/>
                <w:szCs w:val="18"/>
                <w:lang w:val="es-ES"/>
              </w:rPr>
              <w:t>Cumplimiento parcial</w:t>
            </w:r>
          </w:p>
        </w:tc>
      </w:tr>
    </w:tbl>
    <w:p w14:paraId="63BC2306" w14:textId="17DDA007" w:rsidR="00BB56C4" w:rsidRPr="002C4DFE" w:rsidRDefault="00BB56C4" w:rsidP="40BF5389">
      <w:pPr>
        <w:spacing w:after="0" w:line="240" w:lineRule="auto"/>
        <w:jc w:val="both"/>
        <w:rPr>
          <w:rFonts w:ascii="Cambria" w:hAnsi="Cambria" w:cs="Calibri Light"/>
          <w:color w:val="000000" w:themeColor="text1"/>
          <w:sz w:val="20"/>
          <w:szCs w:val="20"/>
          <w:lang w:val="es-ES"/>
        </w:rPr>
      </w:pPr>
    </w:p>
    <w:p w14:paraId="00FB8567" w14:textId="77777777" w:rsidR="00EB4C81" w:rsidRPr="002C4DFE" w:rsidRDefault="00EB4C81" w:rsidP="40BF5389">
      <w:pPr>
        <w:spacing w:after="0" w:line="240" w:lineRule="auto"/>
        <w:jc w:val="both"/>
        <w:rPr>
          <w:rFonts w:ascii="Cambria" w:hAnsi="Cambria" w:cs="Calibri Light"/>
          <w:color w:val="000000" w:themeColor="text1"/>
          <w:sz w:val="20"/>
          <w:szCs w:val="20"/>
          <w:lang w:val="es-ES"/>
        </w:rPr>
      </w:pPr>
    </w:p>
    <w:p w14:paraId="43988781" w14:textId="5ABA8C6A" w:rsidR="00BB56C4" w:rsidRPr="002C4DFE" w:rsidRDefault="00BB56C4" w:rsidP="40BF5389">
      <w:pPr>
        <w:pStyle w:val="ListParagraph"/>
        <w:numPr>
          <w:ilvl w:val="0"/>
          <w:numId w:val="18"/>
        </w:numPr>
        <w:spacing w:after="0" w:line="240" w:lineRule="auto"/>
        <w:ind w:firstLine="0"/>
        <w:jc w:val="both"/>
        <w:rPr>
          <w:rFonts w:ascii="Cambria" w:hAnsi="Cambria" w:cs="Calibri Light"/>
          <w:b/>
          <w:bCs/>
          <w:color w:val="000000" w:themeColor="text1"/>
          <w:sz w:val="20"/>
          <w:szCs w:val="20"/>
          <w:lang w:val="es-ES"/>
        </w:rPr>
      </w:pPr>
      <w:r w:rsidRPr="40BF5389">
        <w:rPr>
          <w:rFonts w:ascii="Cambria" w:hAnsi="Cambria"/>
          <w:b/>
          <w:bCs/>
          <w:color w:val="000000" w:themeColor="text1"/>
          <w:sz w:val="20"/>
          <w:szCs w:val="20"/>
          <w:lang w:val="es-ES"/>
        </w:rPr>
        <w:lastRenderedPageBreak/>
        <w:t xml:space="preserve">Actividad </w:t>
      </w:r>
      <w:r w:rsidR="00B006D9" w:rsidRPr="40BF5389">
        <w:rPr>
          <w:rFonts w:ascii="Cambria" w:hAnsi="Cambria"/>
          <w:b/>
          <w:bCs/>
          <w:color w:val="000000" w:themeColor="text1"/>
          <w:sz w:val="20"/>
          <w:szCs w:val="20"/>
          <w:lang w:val="es-ES"/>
        </w:rPr>
        <w:t>p</w:t>
      </w:r>
      <w:r w:rsidRPr="40BF5389">
        <w:rPr>
          <w:rFonts w:ascii="Cambria" w:hAnsi="Cambria"/>
          <w:b/>
          <w:bCs/>
          <w:color w:val="000000" w:themeColor="text1"/>
          <w:sz w:val="20"/>
          <w:szCs w:val="20"/>
          <w:lang w:val="es-ES"/>
        </w:rPr>
        <w:t>rocesal</w:t>
      </w:r>
    </w:p>
    <w:p w14:paraId="2208AFC3" w14:textId="77777777" w:rsidR="00A21B68" w:rsidRPr="002C4DFE" w:rsidRDefault="00A21B68" w:rsidP="00A21B68">
      <w:pPr>
        <w:spacing w:after="0" w:line="240" w:lineRule="auto"/>
        <w:jc w:val="both"/>
        <w:rPr>
          <w:rFonts w:ascii="Cambria" w:hAnsi="Cambria" w:cs="Calibri Light"/>
          <w:color w:val="000000" w:themeColor="text1"/>
          <w:sz w:val="20"/>
          <w:szCs w:val="20"/>
          <w:lang w:val="es-ES"/>
        </w:rPr>
      </w:pPr>
    </w:p>
    <w:p w14:paraId="1A893405" w14:textId="77777777" w:rsidR="00A21B68" w:rsidRPr="002C4DFE" w:rsidRDefault="00A21B68" w:rsidP="00A21B68">
      <w:pPr>
        <w:pStyle w:val="ListParagraph"/>
        <w:numPr>
          <w:ilvl w:val="0"/>
          <w:numId w:val="12"/>
        </w:numPr>
        <w:spacing w:after="0" w:line="240" w:lineRule="auto"/>
        <w:ind w:left="0" w:firstLine="634"/>
        <w:jc w:val="both"/>
        <w:rPr>
          <w:rFonts w:ascii="Cambria" w:hAnsi="Cambria" w:cs="Calibri Light"/>
          <w:color w:val="000000" w:themeColor="text1"/>
          <w:sz w:val="20"/>
          <w:szCs w:val="20"/>
          <w:lang w:val="es-ES"/>
        </w:rPr>
      </w:pPr>
      <w:r w:rsidRPr="40BF5389">
        <w:rPr>
          <w:rFonts w:ascii="Cambria" w:hAnsi="Cambria" w:cs="Calibri Light"/>
          <w:color w:val="000000" w:themeColor="text1"/>
          <w:sz w:val="20"/>
          <w:szCs w:val="20"/>
          <w:lang w:val="es-ES"/>
        </w:rPr>
        <w:t xml:space="preserve">El 16 de agosto de 2021, la CIDH solicitó al Estado información actualizada sobre el cumplimiento de las recomendaciones emitidas en el Informe de Fondo </w:t>
      </w:r>
      <w:proofErr w:type="spellStart"/>
      <w:r w:rsidRPr="40BF5389">
        <w:rPr>
          <w:rFonts w:ascii="Cambria" w:hAnsi="Cambria" w:cs="Calibri Light"/>
          <w:color w:val="000000" w:themeColor="text1"/>
          <w:sz w:val="20"/>
          <w:szCs w:val="20"/>
          <w:lang w:val="es-ES"/>
        </w:rPr>
        <w:t>Nº</w:t>
      </w:r>
      <w:proofErr w:type="spellEnd"/>
      <w:r w:rsidRPr="40BF5389">
        <w:rPr>
          <w:rFonts w:ascii="Cambria" w:hAnsi="Cambria" w:cs="Calibri Light"/>
          <w:color w:val="000000" w:themeColor="text1"/>
          <w:sz w:val="20"/>
          <w:szCs w:val="20"/>
          <w:lang w:val="es-ES"/>
        </w:rPr>
        <w:t xml:space="preserve"> 78/07. Dicha información fue presentada a la Comisión el 17 de agosto de 2021.</w:t>
      </w:r>
    </w:p>
    <w:p w14:paraId="1C9D65FB" w14:textId="77777777" w:rsidR="00A21B68" w:rsidRPr="002C4DFE" w:rsidRDefault="00A21B68" w:rsidP="00A21B68">
      <w:pPr>
        <w:pStyle w:val="ListParagraph"/>
        <w:rPr>
          <w:rFonts w:ascii="Cambria" w:hAnsi="Cambria"/>
          <w:color w:val="000000" w:themeColor="text1"/>
          <w:sz w:val="20"/>
          <w:szCs w:val="20"/>
          <w:lang w:val="es-US" w:eastAsia="pt-BR"/>
        </w:rPr>
      </w:pPr>
    </w:p>
    <w:p w14:paraId="676580D1" w14:textId="3E10BD04" w:rsidR="00A21B68" w:rsidRPr="002C4DFE" w:rsidRDefault="00A21B68" w:rsidP="00A21B68">
      <w:pPr>
        <w:pStyle w:val="ListParagraph"/>
        <w:numPr>
          <w:ilvl w:val="0"/>
          <w:numId w:val="12"/>
        </w:numPr>
        <w:spacing w:after="0" w:line="240" w:lineRule="auto"/>
        <w:ind w:left="0" w:firstLine="634"/>
        <w:jc w:val="both"/>
        <w:rPr>
          <w:rFonts w:ascii="Cambria" w:hAnsi="Cambria" w:cs="Calibri Light"/>
          <w:color w:val="000000" w:themeColor="text1"/>
          <w:sz w:val="20"/>
          <w:szCs w:val="20"/>
          <w:lang w:val="es-ES"/>
        </w:rPr>
      </w:pPr>
      <w:r w:rsidRPr="40BF5389">
        <w:rPr>
          <w:rFonts w:ascii="Cambria" w:hAnsi="Cambria"/>
          <w:color w:val="000000" w:themeColor="text1"/>
          <w:sz w:val="20"/>
          <w:szCs w:val="20"/>
          <w:lang w:val="es-US" w:eastAsia="pt-BR"/>
        </w:rPr>
        <w:t xml:space="preserve">El 16 de agosto de 2021, la CIDH solicitó información actualizada a </w:t>
      </w:r>
      <w:r w:rsidR="002746B8" w:rsidRPr="40BF5389">
        <w:rPr>
          <w:rFonts w:ascii="Cambria" w:hAnsi="Cambria"/>
          <w:color w:val="000000" w:themeColor="text1"/>
          <w:sz w:val="20"/>
          <w:szCs w:val="20"/>
          <w:lang w:val="es-US" w:eastAsia="pt-BR"/>
        </w:rPr>
        <w:t>la parte peticionaria</w:t>
      </w:r>
      <w:r w:rsidRPr="40BF5389">
        <w:rPr>
          <w:rFonts w:ascii="Cambria" w:hAnsi="Cambria"/>
          <w:color w:val="000000" w:themeColor="text1"/>
          <w:sz w:val="20"/>
          <w:szCs w:val="20"/>
          <w:lang w:val="es-US" w:eastAsia="pt-BR"/>
        </w:rPr>
        <w:t xml:space="preserve"> sobre el cumplimiento de las recomendaciones emitidas en el Informe de Fondo </w:t>
      </w:r>
      <w:proofErr w:type="spellStart"/>
      <w:r w:rsidRPr="40BF5389">
        <w:rPr>
          <w:rFonts w:ascii="Cambria" w:hAnsi="Cambria"/>
          <w:color w:val="000000" w:themeColor="text1"/>
          <w:sz w:val="20"/>
          <w:szCs w:val="20"/>
          <w:lang w:val="es-US" w:eastAsia="pt-BR"/>
        </w:rPr>
        <w:t>Nº</w:t>
      </w:r>
      <w:proofErr w:type="spellEnd"/>
      <w:r w:rsidRPr="40BF5389">
        <w:rPr>
          <w:rFonts w:ascii="Cambria" w:hAnsi="Cambria"/>
          <w:color w:val="000000" w:themeColor="text1"/>
          <w:sz w:val="20"/>
          <w:szCs w:val="20"/>
          <w:lang w:val="es-US" w:eastAsia="pt-BR"/>
        </w:rPr>
        <w:t xml:space="preserve"> </w:t>
      </w:r>
      <w:r w:rsidR="00102DB2" w:rsidRPr="40BF5389">
        <w:rPr>
          <w:rFonts w:ascii="Cambria" w:hAnsi="Cambria"/>
          <w:color w:val="000000" w:themeColor="text1"/>
          <w:sz w:val="20"/>
          <w:szCs w:val="20"/>
          <w:lang w:val="es-US" w:eastAsia="pt-BR"/>
        </w:rPr>
        <w:t>78</w:t>
      </w:r>
      <w:r w:rsidRPr="40BF5389">
        <w:rPr>
          <w:rFonts w:ascii="Cambria" w:hAnsi="Cambria"/>
          <w:color w:val="000000" w:themeColor="text1"/>
          <w:sz w:val="20"/>
          <w:szCs w:val="20"/>
          <w:lang w:val="es-US" w:eastAsia="pt-BR"/>
        </w:rPr>
        <w:t>/0</w:t>
      </w:r>
      <w:r w:rsidR="00102DB2" w:rsidRPr="40BF5389">
        <w:rPr>
          <w:rFonts w:ascii="Cambria" w:hAnsi="Cambria"/>
          <w:color w:val="000000" w:themeColor="text1"/>
          <w:sz w:val="20"/>
          <w:szCs w:val="20"/>
          <w:lang w:val="es-US" w:eastAsia="pt-BR"/>
        </w:rPr>
        <w:t>7</w:t>
      </w:r>
      <w:r w:rsidRPr="40BF5389">
        <w:rPr>
          <w:rFonts w:ascii="Cambria" w:hAnsi="Cambria"/>
          <w:color w:val="000000" w:themeColor="text1"/>
          <w:sz w:val="20"/>
          <w:szCs w:val="20"/>
          <w:lang w:val="es-US" w:eastAsia="pt-BR"/>
        </w:rPr>
        <w:t>. A la fecha de cierre del presente informe, la parte peticionaria no había proporcionado esta información.</w:t>
      </w:r>
      <w:r w:rsidRPr="40BF5389">
        <w:rPr>
          <w:rFonts w:ascii="Cambria" w:hAnsi="Cambria" w:cs="Calibri Light"/>
          <w:color w:val="000000" w:themeColor="text1"/>
          <w:sz w:val="20"/>
          <w:szCs w:val="20"/>
          <w:lang w:val="es-ES"/>
        </w:rPr>
        <w:t xml:space="preserve"> </w:t>
      </w:r>
    </w:p>
    <w:p w14:paraId="6FD7634E" w14:textId="77777777" w:rsidR="004C528C" w:rsidRPr="003C4D23" w:rsidRDefault="004C528C" w:rsidP="40BF5389">
      <w:pPr>
        <w:spacing w:after="0" w:line="240" w:lineRule="auto"/>
        <w:jc w:val="both"/>
        <w:rPr>
          <w:rFonts w:ascii="Cambria" w:hAnsi="Cambria" w:cs="Calibri Light"/>
          <w:color w:val="000000" w:themeColor="text1"/>
          <w:sz w:val="20"/>
          <w:szCs w:val="20"/>
          <w:lang w:val="es-CO"/>
        </w:rPr>
      </w:pPr>
    </w:p>
    <w:p w14:paraId="350991F6" w14:textId="77777777" w:rsidR="00BB56C4" w:rsidRPr="002C4DFE" w:rsidRDefault="00503E3B" w:rsidP="40BF5389">
      <w:pPr>
        <w:pStyle w:val="ListParagraph"/>
        <w:numPr>
          <w:ilvl w:val="0"/>
          <w:numId w:val="18"/>
        </w:numPr>
        <w:spacing w:after="0" w:line="240" w:lineRule="auto"/>
        <w:ind w:firstLine="0"/>
        <w:jc w:val="both"/>
        <w:rPr>
          <w:rFonts w:ascii="Cambria" w:hAnsi="Cambria" w:cs="Calibri Light"/>
          <w:b/>
          <w:bCs/>
          <w:color w:val="000000" w:themeColor="text1"/>
          <w:sz w:val="20"/>
          <w:szCs w:val="20"/>
          <w:lang w:val="es-ES"/>
        </w:rPr>
      </w:pPr>
      <w:r w:rsidRPr="40BF5389">
        <w:rPr>
          <w:rFonts w:ascii="Cambria" w:hAnsi="Cambria" w:cs="Calibri Light"/>
          <w:b/>
          <w:bCs/>
          <w:color w:val="000000" w:themeColor="text1"/>
          <w:sz w:val="20"/>
          <w:szCs w:val="20"/>
          <w:lang w:val="es-ES"/>
        </w:rPr>
        <w:t>Análisis relativo</w:t>
      </w:r>
      <w:r w:rsidR="00BB56C4" w:rsidRPr="40BF5389">
        <w:rPr>
          <w:rFonts w:ascii="Cambria" w:hAnsi="Cambria" w:cs="Calibri Light"/>
          <w:b/>
          <w:bCs/>
          <w:color w:val="000000" w:themeColor="text1"/>
          <w:sz w:val="20"/>
          <w:szCs w:val="20"/>
          <w:lang w:val="es-ES"/>
        </w:rPr>
        <w:t xml:space="preserve"> a </w:t>
      </w:r>
      <w:r w:rsidR="007F670C" w:rsidRPr="40BF5389">
        <w:rPr>
          <w:rFonts w:ascii="Cambria" w:hAnsi="Cambria" w:cs="Calibri Light"/>
          <w:b/>
          <w:bCs/>
          <w:color w:val="000000" w:themeColor="text1"/>
          <w:sz w:val="20"/>
          <w:szCs w:val="20"/>
          <w:lang w:val="es-ES"/>
        </w:rPr>
        <w:t xml:space="preserve">la </w:t>
      </w:r>
      <w:r w:rsidR="00BB56C4" w:rsidRPr="40BF5389">
        <w:rPr>
          <w:rFonts w:ascii="Cambria" w:hAnsi="Cambria" w:cs="Calibri Light"/>
          <w:b/>
          <w:bCs/>
          <w:color w:val="000000" w:themeColor="text1"/>
          <w:sz w:val="20"/>
          <w:szCs w:val="20"/>
          <w:lang w:val="es-ES"/>
        </w:rPr>
        <w:t>información proporcionada</w:t>
      </w:r>
    </w:p>
    <w:p w14:paraId="4B315020" w14:textId="77777777" w:rsidR="00BB56C4" w:rsidRPr="002C4DFE" w:rsidRDefault="00BB56C4" w:rsidP="40BF5389">
      <w:pPr>
        <w:spacing w:after="0" w:line="240" w:lineRule="auto"/>
        <w:jc w:val="both"/>
        <w:rPr>
          <w:rFonts w:ascii="Cambria" w:hAnsi="Cambria" w:cs="Calibri Light"/>
          <w:color w:val="000000" w:themeColor="text1"/>
          <w:sz w:val="20"/>
          <w:szCs w:val="20"/>
          <w:lang w:val="es-ES"/>
        </w:rPr>
      </w:pPr>
    </w:p>
    <w:p w14:paraId="29BB3681" w14:textId="0E26B21B" w:rsidR="00A21B68" w:rsidRPr="002C4DFE" w:rsidRDefault="00A21B68" w:rsidP="00A21B68">
      <w:pPr>
        <w:pStyle w:val="ListParagraph"/>
        <w:numPr>
          <w:ilvl w:val="0"/>
          <w:numId w:val="12"/>
        </w:numPr>
        <w:suppressAutoHyphens/>
        <w:spacing w:after="0" w:line="240" w:lineRule="auto"/>
        <w:ind w:left="0" w:firstLine="630"/>
        <w:jc w:val="both"/>
        <w:textDirection w:val="btLr"/>
        <w:textAlignment w:val="top"/>
        <w:outlineLvl w:val="0"/>
        <w:rPr>
          <w:rFonts w:ascii="Cambria" w:hAnsi="Cambria" w:cs="Calibri Light"/>
          <w:color w:val="000000" w:themeColor="text1"/>
          <w:sz w:val="20"/>
          <w:szCs w:val="20"/>
          <w:lang w:val="es-ES"/>
        </w:rPr>
      </w:pPr>
      <w:r w:rsidRPr="40BF5389">
        <w:rPr>
          <w:rFonts w:ascii="Cambria" w:eastAsia="Cambria" w:hAnsi="Cambria" w:cs="Cambria"/>
          <w:color w:val="000000" w:themeColor="text1"/>
          <w:sz w:val="20"/>
          <w:szCs w:val="20"/>
          <w:lang w:val="es-CO"/>
        </w:rPr>
        <w:t xml:space="preserve">La Comisión considera que la información proporcionada por el Estado en 2021 es relevante sobre medidas adoptadas relativas al cumplimiento de las recomendaciones emitidas en el Informe de Fondo </w:t>
      </w:r>
      <w:proofErr w:type="spellStart"/>
      <w:r w:rsidRPr="40BF5389">
        <w:rPr>
          <w:rFonts w:ascii="Cambria" w:eastAsia="Cambria" w:hAnsi="Cambria" w:cs="Cambria"/>
          <w:color w:val="000000" w:themeColor="text1"/>
          <w:sz w:val="20"/>
          <w:szCs w:val="20"/>
          <w:lang w:val="es-CO"/>
        </w:rPr>
        <w:t>N°</w:t>
      </w:r>
      <w:proofErr w:type="spellEnd"/>
      <w:r w:rsidRPr="40BF5389">
        <w:rPr>
          <w:rFonts w:ascii="Cambria" w:eastAsia="Cambria" w:hAnsi="Cambria" w:cs="Cambria"/>
          <w:color w:val="000000" w:themeColor="text1"/>
          <w:sz w:val="20"/>
          <w:szCs w:val="20"/>
          <w:lang w:val="es-CO"/>
        </w:rPr>
        <w:t xml:space="preserve"> 78/07. La Comisión valora que el Estado hubiese presentado información respecto al cumplimiento de las recomendaciones después de 9 nueves años.</w:t>
      </w:r>
    </w:p>
    <w:p w14:paraId="7D8B74F8" w14:textId="77777777" w:rsidR="00A21B68" w:rsidRPr="002C4DFE" w:rsidRDefault="00A21B68" w:rsidP="00A21B68">
      <w:pPr>
        <w:pStyle w:val="ListParagraph"/>
        <w:suppressAutoHyphens/>
        <w:spacing w:after="0" w:line="240" w:lineRule="auto"/>
        <w:ind w:left="630"/>
        <w:jc w:val="both"/>
        <w:textDirection w:val="btLr"/>
        <w:textAlignment w:val="top"/>
        <w:outlineLvl w:val="0"/>
        <w:rPr>
          <w:rFonts w:ascii="Cambria" w:hAnsi="Cambria" w:cs="Calibri Light"/>
          <w:color w:val="000000" w:themeColor="text1"/>
          <w:sz w:val="20"/>
          <w:szCs w:val="20"/>
          <w:lang w:val="es-ES"/>
        </w:rPr>
      </w:pPr>
    </w:p>
    <w:p w14:paraId="56F9B9C5" w14:textId="39D36588" w:rsidR="006D5231" w:rsidRPr="002C4DFE" w:rsidRDefault="00A21B68" w:rsidP="40BF5389">
      <w:pPr>
        <w:pStyle w:val="ListParagraph"/>
        <w:numPr>
          <w:ilvl w:val="0"/>
          <w:numId w:val="12"/>
        </w:numPr>
        <w:suppressAutoHyphens/>
        <w:spacing w:after="0" w:line="240" w:lineRule="auto"/>
        <w:ind w:left="0" w:firstLine="630"/>
        <w:jc w:val="both"/>
        <w:textDirection w:val="btLr"/>
        <w:textAlignment w:val="top"/>
        <w:outlineLvl w:val="0"/>
        <w:rPr>
          <w:rFonts w:ascii="Cambria" w:hAnsi="Cambria" w:cs="Calibri Light"/>
          <w:color w:val="000000" w:themeColor="text1"/>
          <w:sz w:val="20"/>
          <w:szCs w:val="20"/>
          <w:lang w:val="es-ES"/>
        </w:rPr>
      </w:pPr>
      <w:r w:rsidRPr="40BF5389">
        <w:rPr>
          <w:rFonts w:ascii="Cambria" w:hAnsi="Cambria" w:cs="Calibri Light"/>
          <w:color w:val="000000" w:themeColor="text1"/>
          <w:sz w:val="20"/>
          <w:szCs w:val="20"/>
          <w:lang w:val="es-ES"/>
        </w:rPr>
        <w:t>En 2021, la parte peticionaria no proporcionó la información solicitada. La Comisión observa con preocupación que la parte peticionaria no ha presentado información sobre las medidas adoptadas por el Estado para implementar las recomendaciones desde el 2007.</w:t>
      </w:r>
      <w:r w:rsidR="006D5231" w:rsidRPr="40BF5389">
        <w:rPr>
          <w:rFonts w:ascii="Cambria" w:hAnsi="Cambria" w:cs="Calibri Light"/>
          <w:color w:val="000000" w:themeColor="text1"/>
          <w:sz w:val="20"/>
          <w:szCs w:val="20"/>
          <w:lang w:val="es-ES"/>
        </w:rPr>
        <w:t xml:space="preserve"> </w:t>
      </w:r>
    </w:p>
    <w:p w14:paraId="316B80CA" w14:textId="77777777" w:rsidR="00E626AB" w:rsidRPr="00D6172A" w:rsidRDefault="00E626AB" w:rsidP="00E626AB">
      <w:pPr>
        <w:pStyle w:val="ListParagraph"/>
        <w:spacing w:after="0" w:line="240" w:lineRule="auto"/>
        <w:jc w:val="both"/>
        <w:rPr>
          <w:rFonts w:ascii="Cambria" w:hAnsi="Cambria" w:cs="Calibri Light"/>
          <w:color w:val="000000" w:themeColor="text1"/>
          <w:sz w:val="20"/>
          <w:szCs w:val="20"/>
          <w:lang w:val="es-CO"/>
        </w:rPr>
      </w:pPr>
    </w:p>
    <w:p w14:paraId="05A49B26" w14:textId="77777777" w:rsidR="00BB56C4" w:rsidRPr="002C4DFE" w:rsidRDefault="00BB56C4" w:rsidP="40BF5389">
      <w:pPr>
        <w:pStyle w:val="ListParagraph"/>
        <w:numPr>
          <w:ilvl w:val="0"/>
          <w:numId w:val="18"/>
        </w:numPr>
        <w:shd w:val="clear" w:color="auto" w:fill="FFFFFF" w:themeFill="background1"/>
        <w:spacing w:after="0" w:line="240" w:lineRule="auto"/>
        <w:ind w:firstLine="0"/>
        <w:jc w:val="both"/>
        <w:rPr>
          <w:rFonts w:ascii="Cambria" w:hAnsi="Cambria" w:cs="Calibri Light"/>
          <w:color w:val="000000" w:themeColor="text1"/>
          <w:sz w:val="20"/>
          <w:szCs w:val="20"/>
          <w:lang w:val="es-ES"/>
        </w:rPr>
      </w:pPr>
      <w:r w:rsidRPr="40BF5389">
        <w:rPr>
          <w:rFonts w:ascii="Cambria" w:hAnsi="Cambria" w:cs="Calibri Light"/>
          <w:b/>
          <w:bCs/>
          <w:color w:val="000000" w:themeColor="text1"/>
          <w:sz w:val="20"/>
          <w:szCs w:val="20"/>
          <w:lang w:val="es-ES"/>
        </w:rPr>
        <w:t>Análisis del cumplimiento de las recomendaciones</w:t>
      </w:r>
    </w:p>
    <w:p w14:paraId="16E0B808" w14:textId="77777777" w:rsidR="00BB56C4" w:rsidRPr="002C4DFE" w:rsidRDefault="00BB56C4" w:rsidP="40BF5389">
      <w:pPr>
        <w:spacing w:after="0" w:line="240" w:lineRule="auto"/>
        <w:jc w:val="both"/>
        <w:rPr>
          <w:rFonts w:ascii="Cambria" w:hAnsi="Cambria" w:cs="Calibri Light"/>
          <w:color w:val="000000" w:themeColor="text1"/>
          <w:sz w:val="20"/>
          <w:szCs w:val="20"/>
          <w:lang w:val="es-ES"/>
        </w:rPr>
      </w:pPr>
    </w:p>
    <w:p w14:paraId="43A98356" w14:textId="367B2BB0" w:rsidR="006D5231" w:rsidRPr="002C4DFE" w:rsidRDefault="00922B34" w:rsidP="40BF5389">
      <w:pPr>
        <w:pStyle w:val="ListParagraph"/>
        <w:numPr>
          <w:ilvl w:val="0"/>
          <w:numId w:val="12"/>
        </w:numPr>
        <w:shd w:val="clear" w:color="auto" w:fill="FFFFFF" w:themeFill="background1"/>
        <w:spacing w:after="0" w:line="240" w:lineRule="auto"/>
        <w:ind w:left="0" w:firstLine="630"/>
        <w:jc w:val="both"/>
        <w:rPr>
          <w:rFonts w:ascii="Cambria" w:hAnsi="Cambria" w:cs="Calibri Light"/>
          <w:color w:val="000000" w:themeColor="text1"/>
          <w:sz w:val="20"/>
          <w:szCs w:val="20"/>
          <w:lang w:val="es-ES"/>
        </w:rPr>
      </w:pPr>
      <w:r w:rsidRPr="40BF5389">
        <w:rPr>
          <w:rFonts w:ascii="Cambria" w:hAnsi="Cambria" w:cs="Calibri Light"/>
          <w:b/>
          <w:bCs/>
          <w:color w:val="000000" w:themeColor="text1"/>
          <w:sz w:val="20"/>
          <w:szCs w:val="20"/>
          <w:lang w:val="es-ES"/>
        </w:rPr>
        <w:t xml:space="preserve">Con respecto a la primera recomendación, </w:t>
      </w:r>
      <w:r w:rsidRPr="40BF5389">
        <w:rPr>
          <w:rFonts w:ascii="Cambria" w:hAnsi="Cambria" w:cs="Calibri Light"/>
          <w:color w:val="000000" w:themeColor="text1"/>
          <w:sz w:val="20"/>
          <w:szCs w:val="20"/>
          <w:lang w:val="es-ES"/>
        </w:rPr>
        <w:t>el 10 de abril de 2012</w:t>
      </w:r>
      <w:r w:rsidR="00412B40" w:rsidRPr="40BF5389">
        <w:rPr>
          <w:rFonts w:ascii="Cambria" w:hAnsi="Cambria" w:cs="Calibri Light"/>
          <w:color w:val="000000" w:themeColor="text1"/>
          <w:sz w:val="20"/>
          <w:szCs w:val="20"/>
          <w:lang w:val="es-ES"/>
        </w:rPr>
        <w:t>,</w:t>
      </w:r>
      <w:r w:rsidRPr="40BF5389">
        <w:rPr>
          <w:rFonts w:ascii="Cambria" w:hAnsi="Cambria" w:cs="Calibri Light"/>
          <w:color w:val="000000" w:themeColor="text1"/>
          <w:sz w:val="20"/>
          <w:szCs w:val="20"/>
          <w:lang w:val="es-ES"/>
        </w:rPr>
        <w:t xml:space="preserve"> el Estado inform</w:t>
      </w:r>
      <w:r w:rsidR="00E75A18" w:rsidRPr="40BF5389">
        <w:rPr>
          <w:rFonts w:ascii="Cambria" w:hAnsi="Cambria" w:cs="Calibri Light"/>
          <w:color w:val="000000" w:themeColor="text1"/>
          <w:sz w:val="20"/>
          <w:szCs w:val="20"/>
          <w:lang w:val="es-ES"/>
        </w:rPr>
        <w:t>ó</w:t>
      </w:r>
      <w:r w:rsidRPr="40BF5389">
        <w:rPr>
          <w:rFonts w:ascii="Cambria" w:hAnsi="Cambria" w:cs="Calibri Light"/>
          <w:color w:val="000000" w:themeColor="text1"/>
          <w:sz w:val="20"/>
          <w:szCs w:val="20"/>
          <w:lang w:val="es-ES"/>
        </w:rPr>
        <w:t xml:space="preserve"> que el 23 de octubre de </w:t>
      </w:r>
      <w:r w:rsidR="00BB56C4" w:rsidRPr="40BF5389">
        <w:rPr>
          <w:rFonts w:ascii="Cambria" w:hAnsi="Cambria" w:cs="Calibri Light"/>
          <w:color w:val="000000" w:themeColor="text1"/>
          <w:sz w:val="20"/>
          <w:szCs w:val="20"/>
          <w:lang w:val="es-ES"/>
        </w:rPr>
        <w:t xml:space="preserve">2008, </w:t>
      </w:r>
      <w:r w:rsidRPr="40BF5389">
        <w:rPr>
          <w:rFonts w:ascii="Cambria" w:hAnsi="Cambria" w:cs="Calibri Light"/>
          <w:color w:val="000000" w:themeColor="text1"/>
          <w:sz w:val="20"/>
          <w:szCs w:val="20"/>
          <w:lang w:val="es-ES"/>
        </w:rPr>
        <w:t>el señor</w:t>
      </w:r>
      <w:r w:rsidR="00BB56C4" w:rsidRPr="40BF5389">
        <w:rPr>
          <w:rFonts w:ascii="Cambria" w:hAnsi="Cambria" w:cs="Calibri Light"/>
          <w:color w:val="000000" w:themeColor="text1"/>
          <w:sz w:val="20"/>
          <w:szCs w:val="20"/>
          <w:lang w:val="es-ES"/>
        </w:rPr>
        <w:t xml:space="preserve"> Goodman </w:t>
      </w:r>
      <w:r w:rsidRPr="40BF5389">
        <w:rPr>
          <w:rFonts w:ascii="Cambria" w:hAnsi="Cambria" w:cs="Calibri Light"/>
          <w:color w:val="000000" w:themeColor="text1"/>
          <w:sz w:val="20"/>
          <w:szCs w:val="20"/>
          <w:lang w:val="es-ES"/>
        </w:rPr>
        <w:t>fue sentenciado nuevamente a 50 años de prisión. Sin embargo, el Esta</w:t>
      </w:r>
      <w:r w:rsidR="00E75A18" w:rsidRPr="40BF5389">
        <w:rPr>
          <w:rFonts w:ascii="Cambria" w:hAnsi="Cambria" w:cs="Calibri Light"/>
          <w:color w:val="000000" w:themeColor="text1"/>
          <w:sz w:val="20"/>
          <w:szCs w:val="20"/>
          <w:lang w:val="es-ES"/>
        </w:rPr>
        <w:t>d</w:t>
      </w:r>
      <w:r w:rsidRPr="40BF5389">
        <w:rPr>
          <w:rFonts w:ascii="Cambria" w:hAnsi="Cambria" w:cs="Calibri Light"/>
          <w:color w:val="000000" w:themeColor="text1"/>
          <w:sz w:val="20"/>
          <w:szCs w:val="20"/>
          <w:lang w:val="es-ES"/>
        </w:rPr>
        <w:t xml:space="preserve">o no presentó ninguna información sobre la disposición </w:t>
      </w:r>
      <w:r w:rsidR="0036721A" w:rsidRPr="40BF5389">
        <w:rPr>
          <w:rFonts w:ascii="Cambria" w:hAnsi="Cambria" w:cs="Calibri Light"/>
          <w:color w:val="000000" w:themeColor="text1"/>
          <w:sz w:val="20"/>
          <w:szCs w:val="20"/>
          <w:lang w:val="es-ES"/>
        </w:rPr>
        <w:t xml:space="preserve">para </w:t>
      </w:r>
      <w:r w:rsidR="00E75A18" w:rsidRPr="40BF5389">
        <w:rPr>
          <w:rFonts w:ascii="Cambria" w:hAnsi="Cambria" w:cs="Calibri Light"/>
          <w:color w:val="000000" w:themeColor="text1"/>
          <w:sz w:val="20"/>
          <w:szCs w:val="20"/>
          <w:lang w:val="es-ES"/>
        </w:rPr>
        <w:t>indemnizar</w:t>
      </w:r>
      <w:r w:rsidR="002B12D9" w:rsidRPr="40BF5389">
        <w:rPr>
          <w:rFonts w:ascii="Cambria" w:hAnsi="Cambria" w:cs="Calibri Light"/>
          <w:color w:val="000000" w:themeColor="text1"/>
          <w:sz w:val="20"/>
          <w:szCs w:val="20"/>
          <w:lang w:val="es-ES"/>
        </w:rPr>
        <w:t xml:space="preserve"> a </w:t>
      </w:r>
      <w:r w:rsidR="0036721A" w:rsidRPr="40BF5389">
        <w:rPr>
          <w:rFonts w:ascii="Cambria" w:hAnsi="Cambria" w:cs="Calibri Light"/>
          <w:color w:val="000000" w:themeColor="text1"/>
          <w:sz w:val="20"/>
          <w:szCs w:val="20"/>
          <w:lang w:val="es-ES"/>
        </w:rPr>
        <w:t xml:space="preserve">la víctima por las violaciones de los artículos </w:t>
      </w:r>
      <w:r w:rsidR="00BB56C4" w:rsidRPr="40BF5389">
        <w:rPr>
          <w:rFonts w:ascii="Cambria" w:hAnsi="Cambria" w:cs="Calibri Light"/>
          <w:color w:val="000000" w:themeColor="text1"/>
          <w:sz w:val="20"/>
          <w:szCs w:val="20"/>
          <w:lang w:val="es-ES"/>
        </w:rPr>
        <w:t xml:space="preserve">I, XVIII, XXIV, XXV, </w:t>
      </w:r>
      <w:r w:rsidR="0036721A" w:rsidRPr="40BF5389">
        <w:rPr>
          <w:rFonts w:ascii="Cambria" w:hAnsi="Cambria" w:cs="Calibri Light"/>
          <w:color w:val="000000" w:themeColor="text1"/>
          <w:sz w:val="20"/>
          <w:szCs w:val="20"/>
          <w:lang w:val="es-ES"/>
        </w:rPr>
        <w:t>y</w:t>
      </w:r>
      <w:r w:rsidR="00BB56C4" w:rsidRPr="40BF5389">
        <w:rPr>
          <w:rFonts w:ascii="Cambria" w:hAnsi="Cambria" w:cs="Calibri Light"/>
          <w:color w:val="000000" w:themeColor="text1"/>
          <w:sz w:val="20"/>
          <w:szCs w:val="20"/>
          <w:lang w:val="es-ES"/>
        </w:rPr>
        <w:t xml:space="preserve"> XXVI </w:t>
      </w:r>
      <w:r w:rsidR="0036721A" w:rsidRPr="40BF5389">
        <w:rPr>
          <w:rFonts w:ascii="Cambria" w:hAnsi="Cambria" w:cs="Calibri Light"/>
          <w:color w:val="000000" w:themeColor="text1"/>
          <w:sz w:val="20"/>
          <w:szCs w:val="20"/>
          <w:lang w:val="es-ES"/>
        </w:rPr>
        <w:t>de la Declaración Americana</w:t>
      </w:r>
      <w:r w:rsidR="00BB56C4" w:rsidRPr="40BF5389">
        <w:rPr>
          <w:rFonts w:ascii="Cambria" w:hAnsi="Cambria" w:cs="Calibri Light"/>
          <w:color w:val="000000" w:themeColor="text1"/>
          <w:sz w:val="20"/>
          <w:szCs w:val="20"/>
          <w:lang w:val="es-ES"/>
        </w:rPr>
        <w:t xml:space="preserve">. </w:t>
      </w:r>
    </w:p>
    <w:p w14:paraId="2C8C50B9" w14:textId="77777777" w:rsidR="006D5231" w:rsidRPr="002C4DFE" w:rsidRDefault="006D5231" w:rsidP="40BF5389">
      <w:pPr>
        <w:pStyle w:val="ListParagraph"/>
        <w:shd w:val="clear" w:color="auto" w:fill="FFFFFF" w:themeFill="background1"/>
        <w:spacing w:after="0" w:line="240" w:lineRule="auto"/>
        <w:jc w:val="both"/>
        <w:rPr>
          <w:rFonts w:ascii="Cambria" w:hAnsi="Cambria" w:cs="Calibri Light"/>
          <w:color w:val="000000" w:themeColor="text1"/>
          <w:sz w:val="20"/>
          <w:szCs w:val="20"/>
          <w:lang w:val="es-ES"/>
        </w:rPr>
      </w:pPr>
    </w:p>
    <w:p w14:paraId="33C5576C" w14:textId="1F1A59EC" w:rsidR="003F5FAE" w:rsidRPr="002C4DFE" w:rsidRDefault="006D5231" w:rsidP="40BF5389">
      <w:pPr>
        <w:pStyle w:val="ListParagraph"/>
        <w:numPr>
          <w:ilvl w:val="0"/>
          <w:numId w:val="12"/>
        </w:numPr>
        <w:shd w:val="clear" w:color="auto" w:fill="FFFFFF" w:themeFill="background1"/>
        <w:spacing w:after="0" w:line="240" w:lineRule="auto"/>
        <w:ind w:left="0" w:firstLine="720"/>
        <w:jc w:val="both"/>
        <w:rPr>
          <w:rFonts w:ascii="Cambria" w:hAnsi="Cambria" w:cs="Calibri Light"/>
          <w:color w:val="000000" w:themeColor="text1"/>
          <w:sz w:val="20"/>
          <w:szCs w:val="20"/>
          <w:lang w:val="es-ES"/>
        </w:rPr>
      </w:pPr>
      <w:r w:rsidRPr="40BF5389">
        <w:rPr>
          <w:rFonts w:ascii="Cambria" w:hAnsi="Cambria" w:cs="Calibri Light"/>
          <w:color w:val="000000" w:themeColor="text1"/>
          <w:sz w:val="20"/>
          <w:szCs w:val="20"/>
          <w:lang w:val="es-ES"/>
        </w:rPr>
        <w:t xml:space="preserve">En 2021, el Estado recordó lo informado en 2012, señalando que Chad Goodman está cumpliendo su condena actualmente y se espera que sea liberado en 2029. Por </w:t>
      </w:r>
      <w:r w:rsidR="00095FA8" w:rsidRPr="40BF5389">
        <w:rPr>
          <w:rFonts w:ascii="Cambria" w:hAnsi="Cambria" w:cs="Calibri Light"/>
          <w:color w:val="000000" w:themeColor="text1"/>
          <w:sz w:val="20"/>
          <w:szCs w:val="20"/>
          <w:lang w:val="es-ES"/>
        </w:rPr>
        <w:t>otra</w:t>
      </w:r>
      <w:r w:rsidRPr="40BF5389">
        <w:rPr>
          <w:rFonts w:ascii="Cambria" w:hAnsi="Cambria" w:cs="Calibri Light"/>
          <w:color w:val="000000" w:themeColor="text1"/>
          <w:sz w:val="20"/>
          <w:szCs w:val="20"/>
          <w:lang w:val="es-ES"/>
        </w:rPr>
        <w:t xml:space="preserve"> parte, el Estado </w:t>
      </w:r>
      <w:r w:rsidR="00D729F2" w:rsidRPr="40BF5389">
        <w:rPr>
          <w:rFonts w:ascii="Cambria" w:hAnsi="Cambria" w:cs="Calibri Light"/>
          <w:color w:val="000000" w:themeColor="text1"/>
          <w:sz w:val="20"/>
          <w:szCs w:val="20"/>
          <w:lang w:val="es-ES"/>
        </w:rPr>
        <w:t>rechazó</w:t>
      </w:r>
      <w:r w:rsidRPr="40BF5389">
        <w:rPr>
          <w:rFonts w:ascii="Cambria" w:hAnsi="Cambria" w:cs="Calibri Light"/>
          <w:color w:val="000000" w:themeColor="text1"/>
          <w:sz w:val="20"/>
          <w:szCs w:val="20"/>
          <w:lang w:val="es-ES"/>
        </w:rPr>
        <w:t xml:space="preserve"> la recomendación </w:t>
      </w:r>
      <w:r w:rsidR="00D729F2" w:rsidRPr="40BF5389">
        <w:rPr>
          <w:rFonts w:ascii="Cambria" w:hAnsi="Cambria" w:cs="Calibri Light"/>
          <w:color w:val="000000" w:themeColor="text1"/>
          <w:sz w:val="20"/>
          <w:szCs w:val="20"/>
          <w:lang w:val="es-ES"/>
        </w:rPr>
        <w:t>de indemnización</w:t>
      </w:r>
      <w:r w:rsidRPr="40BF5389">
        <w:rPr>
          <w:rFonts w:ascii="Cambria" w:hAnsi="Cambria" w:cs="Calibri Light"/>
          <w:color w:val="000000" w:themeColor="text1"/>
          <w:sz w:val="20"/>
          <w:szCs w:val="20"/>
          <w:lang w:val="es-ES"/>
        </w:rPr>
        <w:t xml:space="preserve">. </w:t>
      </w:r>
    </w:p>
    <w:p w14:paraId="5FB59927" w14:textId="77777777" w:rsidR="00772AD0" w:rsidRPr="002C4DFE" w:rsidRDefault="00772AD0" w:rsidP="40BF5389">
      <w:pPr>
        <w:shd w:val="clear" w:color="auto" w:fill="FFFFFF" w:themeFill="background1"/>
        <w:spacing w:after="0" w:line="240" w:lineRule="auto"/>
        <w:jc w:val="both"/>
        <w:rPr>
          <w:rFonts w:ascii="Cambria" w:hAnsi="Cambria" w:cs="Calibri Light"/>
          <w:color w:val="000000" w:themeColor="text1"/>
          <w:sz w:val="20"/>
          <w:szCs w:val="20"/>
          <w:lang w:val="es-ES"/>
        </w:rPr>
      </w:pPr>
    </w:p>
    <w:p w14:paraId="44C6D8F3" w14:textId="51DC7547" w:rsidR="009B2E28" w:rsidRPr="002C4DFE" w:rsidRDefault="00772AD0" w:rsidP="00D83C67">
      <w:pPr>
        <w:pStyle w:val="Default"/>
        <w:numPr>
          <w:ilvl w:val="0"/>
          <w:numId w:val="12"/>
        </w:numPr>
        <w:ind w:left="0" w:firstLine="720"/>
        <w:jc w:val="both"/>
        <w:rPr>
          <w:rStyle w:val="eop"/>
          <w:rFonts w:cs="Calibri Light"/>
          <w:color w:val="000000" w:themeColor="text1"/>
          <w:sz w:val="20"/>
          <w:szCs w:val="20"/>
          <w:lang w:val="es-ES"/>
        </w:rPr>
      </w:pPr>
      <w:r w:rsidRPr="40BF5389">
        <w:rPr>
          <w:rFonts w:cs="Calibri Light"/>
          <w:color w:val="000000" w:themeColor="text1"/>
          <w:sz w:val="20"/>
          <w:szCs w:val="20"/>
          <w:lang w:val="es-ES"/>
        </w:rPr>
        <w:t xml:space="preserve">La Comisión toma nota de la información proporcionada por el Estado en cuanto a que </w:t>
      </w:r>
      <w:r w:rsidR="009B2E28" w:rsidRPr="40BF5389">
        <w:rPr>
          <w:rFonts w:cs="Calibri Light"/>
          <w:color w:val="000000" w:themeColor="text1"/>
          <w:sz w:val="20"/>
          <w:szCs w:val="20"/>
          <w:lang w:val="es-ES"/>
        </w:rPr>
        <w:t xml:space="preserve">la sentencia del señor Goodman fue conmutada, que </w:t>
      </w:r>
      <w:r w:rsidRPr="40BF5389">
        <w:rPr>
          <w:rFonts w:cs="Calibri Light"/>
          <w:color w:val="000000" w:themeColor="text1"/>
          <w:sz w:val="20"/>
          <w:szCs w:val="20"/>
          <w:lang w:val="es-ES"/>
        </w:rPr>
        <w:t xml:space="preserve">actualmente cumple su condena y se espera que sea liberado en 2029. </w:t>
      </w:r>
      <w:r w:rsidR="009B2E28" w:rsidRPr="40BF5389">
        <w:rPr>
          <w:rStyle w:val="normaltextrun"/>
          <w:color w:val="000000" w:themeColor="text1"/>
          <w:sz w:val="20"/>
          <w:szCs w:val="20"/>
          <w:lang w:val="es-ES"/>
        </w:rPr>
        <w:t>Al respecto, la CIDH identifica que estas medidas constituyen mecanismos para restituir el ejercicio del derecho de la víctima.</w:t>
      </w:r>
      <w:r w:rsidR="00D83C67" w:rsidRPr="002C4DFE">
        <w:rPr>
          <w:rStyle w:val="eop"/>
          <w:rFonts w:cs="Calibri Light"/>
          <w:color w:val="000000" w:themeColor="text1"/>
          <w:sz w:val="20"/>
          <w:szCs w:val="20"/>
          <w:lang w:val="es-ES"/>
        </w:rPr>
        <w:t xml:space="preserve"> </w:t>
      </w:r>
      <w:r w:rsidR="009B2E28" w:rsidRPr="40BF5389">
        <w:rPr>
          <w:rStyle w:val="normaltextrun"/>
          <w:color w:val="000000" w:themeColor="text1"/>
          <w:sz w:val="20"/>
          <w:szCs w:val="20"/>
          <w:lang w:val="es-ES"/>
        </w:rPr>
        <w:t>Por su parte, en relación con el otorgamiento de una reparación integral a las víctimas de violaciones a los derechos humanos</w:t>
      </w:r>
      <w:r w:rsidR="00D83C67" w:rsidRPr="40BF5389">
        <w:rPr>
          <w:rStyle w:val="normaltextrun"/>
          <w:color w:val="000000" w:themeColor="text1"/>
          <w:sz w:val="20"/>
          <w:szCs w:val="20"/>
          <w:lang w:val="es-ES"/>
        </w:rPr>
        <w:t xml:space="preserve"> que incluya una indemnización</w:t>
      </w:r>
      <w:r w:rsidR="009B2E28" w:rsidRPr="40BF5389">
        <w:rPr>
          <w:rStyle w:val="normaltextrun"/>
          <w:color w:val="000000" w:themeColor="text1"/>
          <w:sz w:val="20"/>
          <w:szCs w:val="20"/>
          <w:lang w:val="es-ES"/>
        </w:rPr>
        <w:t>, la CIDH recuerda que, de acuerdo con los principios del derecho internacional, todo incumplimiento de una obligación internacional que ocasione un perjuicio da lugar al deber de repararlo de manera adecuada</w:t>
      </w:r>
      <w:r w:rsidR="00412B40" w:rsidRPr="40BF5389">
        <w:rPr>
          <w:rStyle w:val="FootnoteReference"/>
          <w:color w:val="000000" w:themeColor="text1"/>
          <w:sz w:val="20"/>
          <w:szCs w:val="20"/>
          <w:lang w:val="es-ES"/>
        </w:rPr>
        <w:footnoteReference w:id="1"/>
      </w:r>
      <w:r w:rsidR="009B2E28" w:rsidRPr="40BF5389">
        <w:rPr>
          <w:rStyle w:val="normaltextrun"/>
          <w:color w:val="000000" w:themeColor="text1"/>
          <w:sz w:val="20"/>
          <w:szCs w:val="20"/>
          <w:lang w:val="es-ES"/>
        </w:rPr>
        <w:t>. De conformidad con la jurisprudencia del sistema interamericano, las víctimas de violaciones de derechos humanos tienen derecho a percibir una reparación adecuada por el daño sufrido, la cual debe concretarse en medidas individuales para restituir, indemnizar y rehabilitar a la víctima, así como medidas de satisfacción y garantías de que no se repitan tales actos</w:t>
      </w:r>
      <w:bookmarkStart w:id="0" w:name="_Hlk92288198"/>
      <w:r w:rsidR="00412B40" w:rsidRPr="40BF5389">
        <w:rPr>
          <w:rStyle w:val="FootnoteReference"/>
          <w:color w:val="000000" w:themeColor="text1"/>
          <w:sz w:val="20"/>
          <w:szCs w:val="20"/>
          <w:lang w:val="es-ES"/>
        </w:rPr>
        <w:footnoteReference w:id="2"/>
      </w:r>
      <w:bookmarkEnd w:id="0"/>
      <w:r w:rsidR="009B2E28" w:rsidRPr="40BF5389">
        <w:rPr>
          <w:rStyle w:val="normaltextrun"/>
          <w:color w:val="000000" w:themeColor="text1"/>
          <w:sz w:val="20"/>
          <w:szCs w:val="20"/>
          <w:lang w:val="es-ES"/>
        </w:rPr>
        <w:t>. </w:t>
      </w:r>
      <w:r w:rsidR="009B2E28" w:rsidRPr="40BF5389">
        <w:rPr>
          <w:rStyle w:val="eop"/>
          <w:color w:val="000000" w:themeColor="text1"/>
          <w:sz w:val="20"/>
          <w:szCs w:val="20"/>
          <w:lang w:val="es-CO"/>
        </w:rPr>
        <w:t> </w:t>
      </w:r>
    </w:p>
    <w:p w14:paraId="1B7DAA10" w14:textId="77777777" w:rsidR="009B2E28" w:rsidRPr="002C4DFE" w:rsidRDefault="009B2E28" w:rsidP="009B2E28">
      <w:pPr>
        <w:pStyle w:val="Default"/>
        <w:jc w:val="both"/>
        <w:rPr>
          <w:rStyle w:val="normaltextrun"/>
          <w:rFonts w:cs="Calibri Light"/>
          <w:color w:val="000000" w:themeColor="text1"/>
          <w:sz w:val="20"/>
          <w:szCs w:val="20"/>
          <w:lang w:val="es-ES"/>
        </w:rPr>
      </w:pPr>
    </w:p>
    <w:p w14:paraId="4600B95D" w14:textId="05E4D813" w:rsidR="00BB56C4" w:rsidRPr="002C4DFE" w:rsidRDefault="00892979" w:rsidP="009D001C">
      <w:pPr>
        <w:pStyle w:val="Default"/>
        <w:numPr>
          <w:ilvl w:val="0"/>
          <w:numId w:val="12"/>
        </w:numPr>
        <w:ind w:left="0" w:firstLine="720"/>
        <w:jc w:val="both"/>
        <w:rPr>
          <w:rFonts w:cs="Calibri Light"/>
          <w:color w:val="000000" w:themeColor="text1"/>
          <w:sz w:val="20"/>
          <w:szCs w:val="20"/>
          <w:lang w:val="es-ES"/>
        </w:rPr>
      </w:pPr>
      <w:r w:rsidRPr="40BF5389">
        <w:rPr>
          <w:rStyle w:val="normaltextrun"/>
          <w:color w:val="000000" w:themeColor="text1"/>
          <w:sz w:val="20"/>
          <w:szCs w:val="20"/>
          <w:lang w:val="es-ES"/>
        </w:rPr>
        <w:t xml:space="preserve">A partir de lo anterior y de acuerdo con el principio de participación de las víctimas, la Comisión considera indispensable que la evaluación de </w:t>
      </w:r>
      <w:r w:rsidRPr="40BF5389">
        <w:rPr>
          <w:rStyle w:val="normaltextrun"/>
          <w:color w:val="000000" w:themeColor="text1"/>
          <w:sz w:val="20"/>
          <w:szCs w:val="20"/>
          <w:lang w:val="es-CO"/>
        </w:rPr>
        <w:t xml:space="preserve">las acciones adoptadas por el Estado para cumplir con esta recomendación </w:t>
      </w:r>
      <w:r w:rsidRPr="40BF5389">
        <w:rPr>
          <w:rStyle w:val="normaltextrun"/>
          <w:color w:val="000000" w:themeColor="text1"/>
          <w:sz w:val="20"/>
          <w:szCs w:val="20"/>
          <w:lang w:val="es-ES"/>
        </w:rPr>
        <w:t>tenga en cuenta la perspectiva de las víctimas y sus representantes</w:t>
      </w:r>
      <w:r w:rsidRPr="40BF5389">
        <w:rPr>
          <w:rStyle w:val="normaltextrun"/>
          <w:color w:val="000000" w:themeColor="text1"/>
          <w:sz w:val="20"/>
          <w:szCs w:val="20"/>
          <w:lang w:val="es-CO"/>
        </w:rPr>
        <w:t xml:space="preserve"> y que, además, esta </w:t>
      </w:r>
      <w:r w:rsidRPr="40BF5389">
        <w:rPr>
          <w:rStyle w:val="normaltextrun"/>
          <w:color w:val="000000" w:themeColor="text1"/>
          <w:sz w:val="20"/>
          <w:szCs w:val="20"/>
          <w:lang w:val="es-CO"/>
        </w:rPr>
        <w:lastRenderedPageBreak/>
        <w:t xml:space="preserve">perspectiva sea debidamente tenida en cuenta por el Estado al momento de determinar las medidas a implementar para garantizar a las víctimas una reparación integral de los daños causados, incluida la indemnización por los daños causados. </w:t>
      </w:r>
      <w:bookmarkStart w:id="1" w:name="_Hlk90370607"/>
      <w:r w:rsidRPr="40BF5389">
        <w:rPr>
          <w:rStyle w:val="normaltextrun"/>
          <w:color w:val="000000" w:themeColor="text1"/>
          <w:sz w:val="20"/>
          <w:szCs w:val="20"/>
          <w:lang w:val="es-CO"/>
        </w:rPr>
        <w:t xml:space="preserve">En este sentido, la Comisión invita a ambas partes a aportar información relativa a avances en el cumplimiento de esta recomendación. </w:t>
      </w:r>
      <w:bookmarkEnd w:id="1"/>
      <w:r w:rsidRPr="40BF5389">
        <w:rPr>
          <w:color w:val="000000" w:themeColor="text1"/>
          <w:sz w:val="20"/>
          <w:szCs w:val="20"/>
          <w:lang w:val="es-CO"/>
        </w:rPr>
        <w:t>En vista de lo anterior, la Comisión observa que el Estado ha aportado información relevante para actualizar el estado de cumplimiento de esta recomendación y considera que el nivel de cumplimiento de dicha recomendación es parcial sustancial</w:t>
      </w:r>
      <w:r w:rsidR="009B2E28" w:rsidRPr="40BF5389">
        <w:rPr>
          <w:rStyle w:val="normaltextrun"/>
          <w:color w:val="000000" w:themeColor="text1"/>
          <w:sz w:val="20"/>
          <w:szCs w:val="20"/>
          <w:lang w:val="es-US"/>
        </w:rPr>
        <w:t>.</w:t>
      </w:r>
      <w:r w:rsidR="009B2E28" w:rsidRPr="40BF5389">
        <w:rPr>
          <w:rStyle w:val="eop"/>
          <w:color w:val="000000" w:themeColor="text1"/>
          <w:sz w:val="20"/>
          <w:szCs w:val="20"/>
          <w:lang w:val="es-CO"/>
        </w:rPr>
        <w:t> </w:t>
      </w:r>
    </w:p>
    <w:p w14:paraId="24D3EFF1" w14:textId="77777777" w:rsidR="00BB56C4" w:rsidRPr="002C4DFE" w:rsidRDefault="00BB56C4" w:rsidP="40BF5389">
      <w:pPr>
        <w:pStyle w:val="ListParagraph"/>
        <w:shd w:val="clear" w:color="auto" w:fill="FFFFFF" w:themeFill="background1"/>
        <w:spacing w:after="0" w:line="240" w:lineRule="auto"/>
        <w:ind w:left="0" w:firstLine="720"/>
        <w:jc w:val="both"/>
        <w:rPr>
          <w:rFonts w:ascii="Cambria" w:hAnsi="Cambria" w:cs="Calibri Light"/>
          <w:color w:val="000000" w:themeColor="text1"/>
          <w:sz w:val="20"/>
          <w:szCs w:val="20"/>
          <w:lang w:val="es-ES"/>
        </w:rPr>
      </w:pPr>
    </w:p>
    <w:p w14:paraId="54B8862C" w14:textId="77777777" w:rsidR="00A5352D" w:rsidRPr="002C4DFE" w:rsidRDefault="003A4926" w:rsidP="40BF5389">
      <w:pPr>
        <w:pStyle w:val="Default"/>
        <w:numPr>
          <w:ilvl w:val="0"/>
          <w:numId w:val="12"/>
        </w:numPr>
        <w:ind w:left="0" w:firstLine="720"/>
        <w:jc w:val="both"/>
        <w:rPr>
          <w:rFonts w:cs="Calibri Light"/>
          <w:color w:val="000000" w:themeColor="text1"/>
          <w:sz w:val="20"/>
          <w:szCs w:val="20"/>
          <w:lang w:val="es-ES"/>
        </w:rPr>
      </w:pPr>
      <w:r w:rsidRPr="40BF5389">
        <w:rPr>
          <w:rFonts w:cs="Calibri Light"/>
          <w:b/>
          <w:bCs/>
          <w:color w:val="000000" w:themeColor="text1"/>
          <w:sz w:val="20"/>
          <w:szCs w:val="20"/>
          <w:lang w:val="es-ES"/>
        </w:rPr>
        <w:t xml:space="preserve">Con respecto a </w:t>
      </w:r>
      <w:r w:rsidR="00095FA8" w:rsidRPr="40BF5389">
        <w:rPr>
          <w:rFonts w:cs="Calibri Light"/>
          <w:b/>
          <w:bCs/>
          <w:color w:val="000000" w:themeColor="text1"/>
          <w:sz w:val="20"/>
          <w:szCs w:val="20"/>
          <w:lang w:val="es-ES"/>
        </w:rPr>
        <w:t xml:space="preserve">la segunda recomendación, </w:t>
      </w:r>
      <w:bookmarkStart w:id="2" w:name="_Hlk85359765"/>
      <w:bookmarkStart w:id="3" w:name="_Hlk89267443"/>
      <w:r w:rsidR="00A5352D" w:rsidRPr="40BF5389">
        <w:rPr>
          <w:rFonts w:cs="Calibri Light"/>
          <w:color w:val="000000" w:themeColor="text1"/>
          <w:sz w:val="20"/>
          <w:szCs w:val="20"/>
          <w:lang w:val="es-ES"/>
        </w:rPr>
        <w:t xml:space="preserve">en 2021, el Estado señaló que se modificó la legislación penal del país por la decisión adoptada en el caso </w:t>
      </w:r>
      <w:bookmarkStart w:id="4" w:name="_Hlk85359801"/>
      <w:proofErr w:type="spellStart"/>
      <w:r w:rsidR="00A5352D" w:rsidRPr="40BF5389">
        <w:rPr>
          <w:rFonts w:cs="Calibri Light"/>
          <w:i/>
          <w:iCs/>
          <w:color w:val="000000" w:themeColor="text1"/>
          <w:sz w:val="20"/>
          <w:szCs w:val="20"/>
          <w:lang w:val="es-ES"/>
        </w:rPr>
        <w:t>Bowe</w:t>
      </w:r>
      <w:proofErr w:type="spellEnd"/>
      <w:r w:rsidR="00A5352D" w:rsidRPr="40BF5389">
        <w:rPr>
          <w:rFonts w:cs="Calibri Light"/>
          <w:i/>
          <w:iCs/>
          <w:color w:val="000000" w:themeColor="text1"/>
          <w:sz w:val="20"/>
          <w:szCs w:val="20"/>
          <w:lang w:val="es-ES"/>
        </w:rPr>
        <w:t xml:space="preserve"> and </w:t>
      </w:r>
      <w:proofErr w:type="spellStart"/>
      <w:r w:rsidR="00A5352D" w:rsidRPr="40BF5389">
        <w:rPr>
          <w:rFonts w:cs="Calibri Light"/>
          <w:i/>
          <w:iCs/>
          <w:color w:val="000000" w:themeColor="text1"/>
          <w:sz w:val="20"/>
          <w:szCs w:val="20"/>
          <w:lang w:val="es-ES"/>
        </w:rPr>
        <w:t>Another</w:t>
      </w:r>
      <w:proofErr w:type="spellEnd"/>
      <w:r w:rsidR="00A5352D" w:rsidRPr="40BF5389">
        <w:rPr>
          <w:rFonts w:cs="Calibri Light"/>
          <w:i/>
          <w:iCs/>
          <w:color w:val="000000" w:themeColor="text1"/>
          <w:sz w:val="20"/>
          <w:szCs w:val="20"/>
          <w:lang w:val="es-ES"/>
        </w:rPr>
        <w:t xml:space="preserve"> v. Queen [2006]</w:t>
      </w:r>
      <w:r w:rsidR="00A5352D" w:rsidRPr="40BF5389">
        <w:rPr>
          <w:rFonts w:cs="Calibri Light"/>
          <w:color w:val="000000" w:themeColor="text1"/>
          <w:sz w:val="20"/>
          <w:szCs w:val="20"/>
          <w:lang w:val="es-ES"/>
        </w:rPr>
        <w:t xml:space="preserve">, en la que el </w:t>
      </w:r>
      <w:r w:rsidR="00A5352D" w:rsidRPr="40BF5389">
        <w:rPr>
          <w:rFonts w:cs="Calibri Light"/>
          <w:i/>
          <w:iCs/>
          <w:color w:val="000000" w:themeColor="text1"/>
          <w:sz w:val="20"/>
          <w:szCs w:val="20"/>
          <w:lang w:val="es-ES"/>
        </w:rPr>
        <w:t xml:space="preserve">Judicial </w:t>
      </w:r>
      <w:proofErr w:type="spellStart"/>
      <w:r w:rsidR="00A5352D" w:rsidRPr="40BF5389">
        <w:rPr>
          <w:rFonts w:cs="Calibri Light"/>
          <w:i/>
          <w:iCs/>
          <w:color w:val="000000" w:themeColor="text1"/>
          <w:sz w:val="20"/>
          <w:szCs w:val="20"/>
          <w:lang w:val="es-ES"/>
        </w:rPr>
        <w:t>Committee</w:t>
      </w:r>
      <w:proofErr w:type="spellEnd"/>
      <w:r w:rsidR="00A5352D" w:rsidRPr="40BF5389">
        <w:rPr>
          <w:rFonts w:cs="Calibri Light"/>
          <w:i/>
          <w:iCs/>
          <w:color w:val="000000" w:themeColor="text1"/>
          <w:sz w:val="20"/>
          <w:szCs w:val="20"/>
          <w:lang w:val="es-ES"/>
        </w:rPr>
        <w:t xml:space="preserve"> of </w:t>
      </w:r>
      <w:proofErr w:type="spellStart"/>
      <w:r w:rsidR="00A5352D" w:rsidRPr="40BF5389">
        <w:rPr>
          <w:rFonts w:cs="Calibri Light"/>
          <w:i/>
          <w:iCs/>
          <w:color w:val="000000" w:themeColor="text1"/>
          <w:sz w:val="20"/>
          <w:szCs w:val="20"/>
          <w:lang w:val="es-ES"/>
        </w:rPr>
        <w:t>the</w:t>
      </w:r>
      <w:proofErr w:type="spellEnd"/>
      <w:r w:rsidR="00A5352D" w:rsidRPr="40BF5389">
        <w:rPr>
          <w:rFonts w:cs="Calibri Light"/>
          <w:i/>
          <w:iCs/>
          <w:color w:val="000000" w:themeColor="text1"/>
          <w:sz w:val="20"/>
          <w:szCs w:val="20"/>
          <w:lang w:val="es-ES"/>
        </w:rPr>
        <w:t xml:space="preserve"> </w:t>
      </w:r>
      <w:proofErr w:type="spellStart"/>
      <w:r w:rsidR="00A5352D" w:rsidRPr="40BF5389">
        <w:rPr>
          <w:rFonts w:cs="Calibri Light"/>
          <w:i/>
          <w:iCs/>
          <w:color w:val="000000" w:themeColor="text1"/>
          <w:sz w:val="20"/>
          <w:szCs w:val="20"/>
          <w:lang w:val="es-ES"/>
        </w:rPr>
        <w:t>Privy</w:t>
      </w:r>
      <w:proofErr w:type="spellEnd"/>
      <w:r w:rsidR="00A5352D" w:rsidRPr="40BF5389">
        <w:rPr>
          <w:rFonts w:cs="Calibri Light"/>
          <w:i/>
          <w:iCs/>
          <w:color w:val="000000" w:themeColor="text1"/>
          <w:sz w:val="20"/>
          <w:szCs w:val="20"/>
          <w:lang w:val="es-ES"/>
        </w:rPr>
        <w:t xml:space="preserve"> Council</w:t>
      </w:r>
      <w:r w:rsidR="00A5352D" w:rsidRPr="40BF5389">
        <w:rPr>
          <w:rFonts w:cs="Calibri Light"/>
          <w:color w:val="000000" w:themeColor="text1"/>
          <w:sz w:val="20"/>
          <w:szCs w:val="20"/>
          <w:lang w:val="es-ES"/>
        </w:rPr>
        <w:t xml:space="preserve"> admitió la impugnación a la constitucionalidad de la pena de muerte obligatoria por asesinato, por contravenir la prohibición constitucional de las penas inhumanas y degradantes por su falta de individualización</w:t>
      </w:r>
      <w:bookmarkEnd w:id="4"/>
      <w:r w:rsidR="00A5352D" w:rsidRPr="40BF5389">
        <w:rPr>
          <w:rFonts w:cs="Calibri Light"/>
          <w:color w:val="000000" w:themeColor="text1"/>
          <w:sz w:val="20"/>
          <w:szCs w:val="20"/>
          <w:lang w:val="es-ES"/>
        </w:rPr>
        <w:t>. En consecuencia, todas las personas que habían sido condenadas a muerte antes de la decisión en el mencionado caso obtuvieron una revisión de su sentencia, decisión que benefició a los peticionarios de este informe. El Estado afirmó que ha venido adoptando medidas progresivas para conmutar las penas de muerte por las de cadena perpetua.</w:t>
      </w:r>
    </w:p>
    <w:p w14:paraId="46001FC0" w14:textId="77777777" w:rsidR="00A5352D" w:rsidRPr="002C4DFE" w:rsidRDefault="00A5352D" w:rsidP="40BF5389">
      <w:pPr>
        <w:pStyle w:val="Default"/>
        <w:ind w:left="720"/>
        <w:jc w:val="both"/>
        <w:rPr>
          <w:rFonts w:cs="Calibri Light"/>
          <w:color w:val="000000" w:themeColor="text1"/>
          <w:sz w:val="20"/>
          <w:szCs w:val="20"/>
          <w:lang w:val="es-ES"/>
        </w:rPr>
      </w:pPr>
    </w:p>
    <w:p w14:paraId="0DCED375" w14:textId="77777777" w:rsidR="00A5352D" w:rsidRPr="002C4DFE" w:rsidRDefault="00A5352D" w:rsidP="40BF5389">
      <w:pPr>
        <w:pStyle w:val="Default"/>
        <w:numPr>
          <w:ilvl w:val="0"/>
          <w:numId w:val="12"/>
        </w:numPr>
        <w:ind w:left="0" w:firstLine="720"/>
        <w:jc w:val="both"/>
        <w:rPr>
          <w:rFonts w:cs="Calibri Light"/>
          <w:color w:val="000000" w:themeColor="text1"/>
          <w:sz w:val="20"/>
          <w:szCs w:val="20"/>
          <w:lang w:val="es-ES"/>
        </w:rPr>
      </w:pPr>
      <w:r w:rsidRPr="40BF5389">
        <w:rPr>
          <w:rFonts w:cs="Calibri Light"/>
          <w:color w:val="000000" w:themeColor="text1"/>
          <w:sz w:val="20"/>
          <w:szCs w:val="20"/>
          <w:lang w:val="es-ES"/>
        </w:rPr>
        <w:t xml:space="preserve">Al respecto, en 2021, el Estado precisó que, a raíz de la decisión en el caso </w:t>
      </w:r>
      <w:proofErr w:type="spellStart"/>
      <w:r w:rsidRPr="40BF5389">
        <w:rPr>
          <w:rFonts w:cs="Calibri Light"/>
          <w:i/>
          <w:iCs/>
          <w:color w:val="000000" w:themeColor="text1"/>
          <w:sz w:val="20"/>
          <w:szCs w:val="20"/>
          <w:lang w:val="es-ES"/>
        </w:rPr>
        <w:t>Bowe</w:t>
      </w:r>
      <w:proofErr w:type="spellEnd"/>
      <w:r w:rsidRPr="40BF5389">
        <w:rPr>
          <w:rFonts w:cs="Calibri Light"/>
          <w:i/>
          <w:iCs/>
          <w:color w:val="000000" w:themeColor="text1"/>
          <w:sz w:val="20"/>
          <w:szCs w:val="20"/>
          <w:lang w:val="es-ES"/>
        </w:rPr>
        <w:t xml:space="preserve">, </w:t>
      </w:r>
      <w:r w:rsidRPr="40BF5389">
        <w:rPr>
          <w:rFonts w:cs="Calibri Light"/>
          <w:color w:val="000000" w:themeColor="text1"/>
          <w:sz w:val="20"/>
          <w:szCs w:val="20"/>
          <w:lang w:val="es-ES"/>
        </w:rPr>
        <w:t xml:space="preserve">se adoptaron medidas legislativas como: 1) Derogar y sustituir la pena de muerte obligatoria en el Código Penal (Ley de Enmienda) en 2011 y crear directrices para reevaluar las sentencias en las condenas por homicidio; 2) Por la decisión del caso </w:t>
      </w:r>
      <w:proofErr w:type="spellStart"/>
      <w:r w:rsidRPr="40BF5389">
        <w:rPr>
          <w:rFonts w:cs="Calibri Light"/>
          <w:i/>
          <w:iCs/>
          <w:color w:val="000000" w:themeColor="text1"/>
          <w:sz w:val="20"/>
          <w:szCs w:val="20"/>
          <w:lang w:val="es-ES"/>
        </w:rPr>
        <w:t>Tido</w:t>
      </w:r>
      <w:proofErr w:type="spellEnd"/>
      <w:r w:rsidRPr="40BF5389">
        <w:rPr>
          <w:rFonts w:cs="Calibri Light"/>
          <w:i/>
          <w:iCs/>
          <w:color w:val="000000" w:themeColor="text1"/>
          <w:sz w:val="20"/>
          <w:szCs w:val="20"/>
          <w:lang w:val="es-ES"/>
        </w:rPr>
        <w:t xml:space="preserve"> v </w:t>
      </w:r>
      <w:proofErr w:type="spellStart"/>
      <w:r w:rsidRPr="40BF5389">
        <w:rPr>
          <w:rFonts w:cs="Calibri Light"/>
          <w:i/>
          <w:iCs/>
          <w:color w:val="000000" w:themeColor="text1"/>
          <w:sz w:val="20"/>
          <w:szCs w:val="20"/>
          <w:lang w:val="es-ES"/>
        </w:rPr>
        <w:t>The</w:t>
      </w:r>
      <w:proofErr w:type="spellEnd"/>
      <w:r w:rsidRPr="40BF5389">
        <w:rPr>
          <w:rFonts w:cs="Calibri Light"/>
          <w:i/>
          <w:iCs/>
          <w:color w:val="000000" w:themeColor="text1"/>
          <w:sz w:val="20"/>
          <w:szCs w:val="20"/>
          <w:lang w:val="es-ES"/>
        </w:rPr>
        <w:t xml:space="preserve"> Queen [2011]</w:t>
      </w:r>
      <w:r w:rsidRPr="40BF5389">
        <w:rPr>
          <w:rFonts w:cs="Calibri Light"/>
          <w:color w:val="000000" w:themeColor="text1"/>
          <w:sz w:val="20"/>
          <w:szCs w:val="20"/>
          <w:lang w:val="es-ES"/>
        </w:rPr>
        <w:t xml:space="preserve">, el </w:t>
      </w:r>
      <w:proofErr w:type="spellStart"/>
      <w:r w:rsidRPr="40BF5389">
        <w:rPr>
          <w:rFonts w:cs="Calibri Light"/>
          <w:i/>
          <w:iCs/>
          <w:color w:val="000000" w:themeColor="text1"/>
          <w:sz w:val="20"/>
          <w:szCs w:val="20"/>
          <w:lang w:val="es-ES"/>
        </w:rPr>
        <w:t>Privy</w:t>
      </w:r>
      <w:proofErr w:type="spellEnd"/>
      <w:r w:rsidRPr="40BF5389">
        <w:rPr>
          <w:rFonts w:cs="Calibri Light"/>
          <w:i/>
          <w:iCs/>
          <w:color w:val="000000" w:themeColor="text1"/>
          <w:sz w:val="20"/>
          <w:szCs w:val="20"/>
          <w:lang w:val="es-ES"/>
        </w:rPr>
        <w:t xml:space="preserve"> Council</w:t>
      </w:r>
      <w:r w:rsidRPr="40BF5389">
        <w:rPr>
          <w:rFonts w:cs="Calibri Light"/>
          <w:color w:val="000000" w:themeColor="text1"/>
          <w:sz w:val="20"/>
          <w:szCs w:val="20"/>
          <w:lang w:val="es-ES"/>
        </w:rPr>
        <w:t xml:space="preserve"> estableció los criterios y estándares judiciales para la imposición de la pena de muerte sólo en los casos en los que los hechos del delito son los más extremos y excepcionales, a partir de la aplicación del test denominado “</w:t>
      </w:r>
      <w:proofErr w:type="spellStart"/>
      <w:r w:rsidRPr="40BF5389">
        <w:rPr>
          <w:rFonts w:cs="Calibri Light"/>
          <w:i/>
          <w:iCs/>
          <w:color w:val="000000" w:themeColor="text1"/>
          <w:sz w:val="20"/>
          <w:szCs w:val="20"/>
          <w:lang w:val="es-ES"/>
        </w:rPr>
        <w:t>worst</w:t>
      </w:r>
      <w:proofErr w:type="spellEnd"/>
      <w:r w:rsidRPr="40BF5389">
        <w:rPr>
          <w:rFonts w:cs="Calibri Light"/>
          <w:i/>
          <w:iCs/>
          <w:color w:val="000000" w:themeColor="text1"/>
          <w:sz w:val="20"/>
          <w:szCs w:val="20"/>
          <w:lang w:val="es-ES"/>
        </w:rPr>
        <w:t xml:space="preserve"> of </w:t>
      </w:r>
      <w:proofErr w:type="spellStart"/>
      <w:r w:rsidRPr="40BF5389">
        <w:rPr>
          <w:rFonts w:cs="Calibri Light"/>
          <w:i/>
          <w:iCs/>
          <w:color w:val="000000" w:themeColor="text1"/>
          <w:sz w:val="20"/>
          <w:szCs w:val="20"/>
          <w:lang w:val="es-ES"/>
        </w:rPr>
        <w:t>the</w:t>
      </w:r>
      <w:proofErr w:type="spellEnd"/>
      <w:r w:rsidRPr="40BF5389">
        <w:rPr>
          <w:rFonts w:cs="Calibri Light"/>
          <w:i/>
          <w:iCs/>
          <w:color w:val="000000" w:themeColor="text1"/>
          <w:sz w:val="20"/>
          <w:szCs w:val="20"/>
          <w:lang w:val="es-ES"/>
        </w:rPr>
        <w:t xml:space="preserve"> </w:t>
      </w:r>
      <w:proofErr w:type="spellStart"/>
      <w:r w:rsidRPr="40BF5389">
        <w:rPr>
          <w:rFonts w:cs="Calibri Light"/>
          <w:i/>
          <w:iCs/>
          <w:color w:val="000000" w:themeColor="text1"/>
          <w:sz w:val="20"/>
          <w:szCs w:val="20"/>
          <w:lang w:val="es-ES"/>
        </w:rPr>
        <w:t>worst</w:t>
      </w:r>
      <w:proofErr w:type="spellEnd"/>
      <w:r w:rsidRPr="40BF5389">
        <w:rPr>
          <w:rFonts w:cs="Calibri Light"/>
          <w:color w:val="000000" w:themeColor="text1"/>
          <w:sz w:val="20"/>
          <w:szCs w:val="20"/>
          <w:lang w:val="es-ES"/>
        </w:rPr>
        <w:t xml:space="preserve">” </w:t>
      </w:r>
      <w:proofErr w:type="spellStart"/>
      <w:r w:rsidRPr="40BF5389">
        <w:rPr>
          <w:rFonts w:cs="Calibri Light"/>
          <w:color w:val="000000" w:themeColor="text1"/>
          <w:sz w:val="20"/>
          <w:szCs w:val="20"/>
          <w:lang w:val="es-ES"/>
        </w:rPr>
        <w:t>or</w:t>
      </w:r>
      <w:proofErr w:type="spellEnd"/>
      <w:r w:rsidRPr="40BF5389">
        <w:rPr>
          <w:rFonts w:cs="Calibri Light"/>
          <w:color w:val="000000" w:themeColor="text1"/>
          <w:sz w:val="20"/>
          <w:szCs w:val="20"/>
          <w:lang w:val="es-ES"/>
        </w:rPr>
        <w:t xml:space="preserve"> “</w:t>
      </w:r>
      <w:proofErr w:type="spellStart"/>
      <w:r w:rsidRPr="40BF5389">
        <w:rPr>
          <w:rFonts w:cs="Calibri Light"/>
          <w:i/>
          <w:iCs/>
          <w:color w:val="000000" w:themeColor="text1"/>
          <w:sz w:val="20"/>
          <w:szCs w:val="20"/>
          <w:lang w:val="es-ES"/>
        </w:rPr>
        <w:t>the</w:t>
      </w:r>
      <w:proofErr w:type="spellEnd"/>
      <w:r w:rsidRPr="40BF5389">
        <w:rPr>
          <w:rFonts w:cs="Calibri Light"/>
          <w:i/>
          <w:iCs/>
          <w:color w:val="000000" w:themeColor="text1"/>
          <w:sz w:val="20"/>
          <w:szCs w:val="20"/>
          <w:lang w:val="es-ES"/>
        </w:rPr>
        <w:t xml:space="preserve"> </w:t>
      </w:r>
      <w:proofErr w:type="spellStart"/>
      <w:r w:rsidRPr="40BF5389">
        <w:rPr>
          <w:rFonts w:cs="Calibri Light"/>
          <w:i/>
          <w:iCs/>
          <w:color w:val="000000" w:themeColor="text1"/>
          <w:sz w:val="20"/>
          <w:szCs w:val="20"/>
          <w:lang w:val="es-ES"/>
        </w:rPr>
        <w:t>rarest</w:t>
      </w:r>
      <w:proofErr w:type="spellEnd"/>
      <w:r w:rsidRPr="40BF5389">
        <w:rPr>
          <w:rFonts w:cs="Calibri Light"/>
          <w:i/>
          <w:iCs/>
          <w:color w:val="000000" w:themeColor="text1"/>
          <w:sz w:val="20"/>
          <w:szCs w:val="20"/>
          <w:lang w:val="es-ES"/>
        </w:rPr>
        <w:t xml:space="preserve"> of rare</w:t>
      </w:r>
      <w:r w:rsidRPr="40BF5389">
        <w:rPr>
          <w:rFonts w:cs="Calibri Light"/>
          <w:color w:val="000000" w:themeColor="text1"/>
          <w:sz w:val="20"/>
          <w:szCs w:val="20"/>
          <w:lang w:val="es-ES"/>
        </w:rPr>
        <w:t>”.</w:t>
      </w:r>
      <w:bookmarkEnd w:id="2"/>
    </w:p>
    <w:p w14:paraId="5292E6A6" w14:textId="77777777" w:rsidR="00A5352D" w:rsidRPr="002C4DFE" w:rsidRDefault="00A5352D" w:rsidP="40BF5389">
      <w:pPr>
        <w:pStyle w:val="Default"/>
        <w:jc w:val="both"/>
        <w:rPr>
          <w:rFonts w:cs="Calibri Light"/>
          <w:color w:val="000000" w:themeColor="text1"/>
          <w:sz w:val="20"/>
          <w:szCs w:val="20"/>
          <w:lang w:val="es-ES"/>
        </w:rPr>
      </w:pPr>
      <w:bookmarkStart w:id="5" w:name="_Hlk85199679"/>
    </w:p>
    <w:p w14:paraId="53C29CC5" w14:textId="76B214F7" w:rsidR="00527BCE" w:rsidRPr="002C4DFE" w:rsidRDefault="00A5352D" w:rsidP="40BF5389">
      <w:pPr>
        <w:pStyle w:val="Default"/>
        <w:numPr>
          <w:ilvl w:val="0"/>
          <w:numId w:val="12"/>
        </w:numPr>
        <w:ind w:left="0" w:firstLine="720"/>
        <w:jc w:val="both"/>
        <w:rPr>
          <w:rFonts w:cs="Calibri Light"/>
          <w:color w:val="000000" w:themeColor="text1"/>
          <w:sz w:val="20"/>
          <w:szCs w:val="20"/>
          <w:lang w:val="es-ES"/>
        </w:rPr>
      </w:pPr>
      <w:r w:rsidRPr="40BF5389">
        <w:rPr>
          <w:color w:val="000000" w:themeColor="text1"/>
          <w:sz w:val="20"/>
          <w:szCs w:val="20"/>
          <w:lang w:val="es-CO"/>
        </w:rPr>
        <w:t>La Comisión toma nota de la información proporcionada por el Estado y valora positivamente que haya adoptado las medidas para garantizar que la pena de muerte no sea impuesta en virtud de una ley de sentencia obligatoria y acoge con satisfacción la información presentada con respecto a la revisión progresiva de las sentencias de penas de muerte, lo que ha llevado a la conmutación de la pena en muchos casos. A falta de información proporcionada por la parte peticionaria desde el año 200</w:t>
      </w:r>
      <w:r w:rsidR="003C4D23" w:rsidRPr="40BF5389">
        <w:rPr>
          <w:color w:val="000000" w:themeColor="text1"/>
          <w:sz w:val="20"/>
          <w:szCs w:val="20"/>
          <w:lang w:val="es-CO"/>
        </w:rPr>
        <w:t>7</w:t>
      </w:r>
      <w:r w:rsidRPr="40BF5389">
        <w:rPr>
          <w:rFonts w:cs="Calibri Light"/>
          <w:color w:val="000000" w:themeColor="text1"/>
          <w:sz w:val="20"/>
          <w:szCs w:val="20"/>
          <w:lang w:val="es-ES"/>
        </w:rPr>
        <w:t>,</w:t>
      </w:r>
      <w:r w:rsidRPr="40BF5389">
        <w:rPr>
          <w:color w:val="000000" w:themeColor="text1"/>
          <w:sz w:val="20"/>
          <w:szCs w:val="20"/>
          <w:lang w:val="es-CO"/>
        </w:rPr>
        <w:t xml:space="preserve"> la Comisión observa que el Estado ha aportado información relevante para actualizar el estado de cumplimiento de esta recomendación y considera que el nivel de dicha recomendación es total</w:t>
      </w:r>
      <w:bookmarkEnd w:id="5"/>
      <w:r w:rsidR="00527BCE" w:rsidRPr="40BF5389">
        <w:rPr>
          <w:color w:val="000000" w:themeColor="text1"/>
          <w:sz w:val="20"/>
          <w:szCs w:val="20"/>
          <w:lang w:val="es-ES"/>
        </w:rPr>
        <w:t xml:space="preserve">.  </w:t>
      </w:r>
    </w:p>
    <w:bookmarkEnd w:id="3"/>
    <w:p w14:paraId="5B6871BC" w14:textId="77777777" w:rsidR="00095FA8" w:rsidRPr="002C4DFE" w:rsidRDefault="00095FA8" w:rsidP="40BF5389">
      <w:pPr>
        <w:pStyle w:val="Default"/>
        <w:jc w:val="both"/>
        <w:rPr>
          <w:rFonts w:cs="Calibri Light"/>
          <w:color w:val="000000" w:themeColor="text1"/>
          <w:sz w:val="20"/>
          <w:szCs w:val="20"/>
          <w:lang w:val="es-ES"/>
        </w:rPr>
      </w:pPr>
    </w:p>
    <w:p w14:paraId="57A16F1A" w14:textId="77777777" w:rsidR="00923272" w:rsidRPr="002C4DFE" w:rsidRDefault="00095FA8" w:rsidP="40BF5389">
      <w:pPr>
        <w:pStyle w:val="Default"/>
        <w:numPr>
          <w:ilvl w:val="0"/>
          <w:numId w:val="12"/>
        </w:numPr>
        <w:ind w:left="0" w:firstLine="720"/>
        <w:jc w:val="both"/>
        <w:rPr>
          <w:rFonts w:cs="Calibri Light"/>
          <w:color w:val="000000" w:themeColor="text1"/>
          <w:sz w:val="20"/>
          <w:szCs w:val="20"/>
          <w:lang w:val="es-ES"/>
        </w:rPr>
      </w:pPr>
      <w:r w:rsidRPr="40BF5389">
        <w:rPr>
          <w:rFonts w:cs="Calibri Light"/>
          <w:b/>
          <w:bCs/>
          <w:color w:val="000000" w:themeColor="text1"/>
          <w:sz w:val="20"/>
          <w:szCs w:val="20"/>
          <w:lang w:val="es-ES"/>
        </w:rPr>
        <w:t>Con respecto a la tercera recomendación,</w:t>
      </w:r>
      <w:r w:rsidRPr="40BF5389">
        <w:rPr>
          <w:rFonts w:cs="Calibri Light"/>
          <w:color w:val="000000" w:themeColor="text1"/>
          <w:sz w:val="20"/>
          <w:szCs w:val="20"/>
          <w:lang w:val="es-ES"/>
        </w:rPr>
        <w:t xml:space="preserve"> </w:t>
      </w:r>
      <w:r w:rsidR="00923272" w:rsidRPr="40BF5389">
        <w:rPr>
          <w:rFonts w:cs="Calibri Light"/>
          <w:color w:val="000000" w:themeColor="text1"/>
          <w:sz w:val="20"/>
          <w:szCs w:val="20"/>
          <w:lang w:val="es-ES"/>
        </w:rPr>
        <w:t>en 2021, el Estado afirmó que existen varias medidas de carácter legislativo y administrativo que buscan garantizar el derecho a ser juzgado sin retrasos indebidos, dentro de las que destacó: a) enmiendas para permitir la presentación de una acusación voluntaria (</w:t>
      </w:r>
      <w:proofErr w:type="spellStart"/>
      <w:r w:rsidR="00923272" w:rsidRPr="40BF5389">
        <w:rPr>
          <w:i/>
          <w:iCs/>
          <w:color w:val="000000" w:themeColor="text1"/>
          <w:sz w:val="20"/>
          <w:szCs w:val="20"/>
          <w:lang w:val="es-CO"/>
        </w:rPr>
        <w:t>Voluntary</w:t>
      </w:r>
      <w:proofErr w:type="spellEnd"/>
      <w:r w:rsidR="00923272" w:rsidRPr="40BF5389">
        <w:rPr>
          <w:i/>
          <w:iCs/>
          <w:color w:val="000000" w:themeColor="text1"/>
          <w:sz w:val="20"/>
          <w:szCs w:val="20"/>
          <w:lang w:val="es-CO"/>
        </w:rPr>
        <w:t xml:space="preserve"> Bill of </w:t>
      </w:r>
      <w:proofErr w:type="spellStart"/>
      <w:r w:rsidR="00923272" w:rsidRPr="40BF5389">
        <w:rPr>
          <w:i/>
          <w:iCs/>
          <w:color w:val="000000" w:themeColor="text1"/>
          <w:sz w:val="20"/>
          <w:szCs w:val="20"/>
          <w:lang w:val="es-CO"/>
        </w:rPr>
        <w:t>Indictment</w:t>
      </w:r>
      <w:proofErr w:type="spellEnd"/>
      <w:r w:rsidR="00923272" w:rsidRPr="40BF5389">
        <w:rPr>
          <w:color w:val="000000" w:themeColor="text1"/>
          <w:sz w:val="20"/>
          <w:szCs w:val="20"/>
          <w:lang w:val="es-CO"/>
        </w:rPr>
        <w:t xml:space="preserve"> - </w:t>
      </w:r>
      <w:r w:rsidR="00923272" w:rsidRPr="40BF5389">
        <w:rPr>
          <w:rFonts w:cs="Calibri Light"/>
          <w:color w:val="000000" w:themeColor="text1"/>
          <w:sz w:val="20"/>
          <w:szCs w:val="20"/>
          <w:lang w:val="es-ES"/>
        </w:rPr>
        <w:t>VBI) como alternativa al trámite de Investigación Preliminar, con el fin de acelerar los juicios, prevista en las reglas de 2021 la Corte Suprema (</w:t>
      </w:r>
      <w:r w:rsidR="00923272" w:rsidRPr="40BF5389">
        <w:rPr>
          <w:rFonts w:cs="Calibri Light"/>
          <w:i/>
          <w:iCs/>
          <w:color w:val="000000" w:themeColor="text1"/>
          <w:sz w:val="20"/>
          <w:szCs w:val="20"/>
          <w:lang w:val="es-ES"/>
        </w:rPr>
        <w:t xml:space="preserve">Supreme </w:t>
      </w:r>
      <w:proofErr w:type="spellStart"/>
      <w:r w:rsidR="00923272" w:rsidRPr="40BF5389">
        <w:rPr>
          <w:rFonts w:cs="Calibri Light"/>
          <w:i/>
          <w:iCs/>
          <w:color w:val="000000" w:themeColor="text1"/>
          <w:sz w:val="20"/>
          <w:szCs w:val="20"/>
          <w:lang w:val="es-ES"/>
        </w:rPr>
        <w:t>Court</w:t>
      </w:r>
      <w:proofErr w:type="spellEnd"/>
      <w:r w:rsidR="00923272" w:rsidRPr="40BF5389">
        <w:rPr>
          <w:rFonts w:cs="Calibri Light"/>
          <w:i/>
          <w:iCs/>
          <w:color w:val="000000" w:themeColor="text1"/>
          <w:sz w:val="20"/>
          <w:szCs w:val="20"/>
          <w:lang w:val="es-ES"/>
        </w:rPr>
        <w:t>)</w:t>
      </w:r>
      <w:r w:rsidR="00923272" w:rsidRPr="40BF5389">
        <w:rPr>
          <w:rFonts w:cs="Calibri Light"/>
          <w:color w:val="000000" w:themeColor="text1"/>
          <w:sz w:val="20"/>
          <w:szCs w:val="20"/>
          <w:lang w:val="es-ES"/>
        </w:rPr>
        <w:t xml:space="preserve">; b) la modificación de la Ley de Fianzas que prevé que una persona acusada de un delito sea juzgada en un plazo de tres años a partir de la fecha de su arresto y que establece la opción de que se le conceda la libertad bajo fianza, aun cuando se le imputen delitos graves; c) introducción de la iniciativa </w:t>
      </w:r>
      <w:r w:rsidR="00923272" w:rsidRPr="40BF5389">
        <w:rPr>
          <w:rFonts w:cs="Calibri Light"/>
          <w:i/>
          <w:iCs/>
          <w:color w:val="000000" w:themeColor="text1"/>
          <w:sz w:val="20"/>
          <w:szCs w:val="20"/>
          <w:lang w:val="es-ES"/>
        </w:rPr>
        <w:t xml:space="preserve">Swift </w:t>
      </w:r>
      <w:proofErr w:type="spellStart"/>
      <w:r w:rsidR="00923272" w:rsidRPr="40BF5389">
        <w:rPr>
          <w:rFonts w:cs="Calibri Light"/>
          <w:i/>
          <w:iCs/>
          <w:color w:val="000000" w:themeColor="text1"/>
          <w:sz w:val="20"/>
          <w:szCs w:val="20"/>
          <w:lang w:val="es-ES"/>
        </w:rPr>
        <w:t>Justice</w:t>
      </w:r>
      <w:proofErr w:type="spellEnd"/>
      <w:r w:rsidR="00923272" w:rsidRPr="40BF5389">
        <w:rPr>
          <w:rFonts w:cs="Calibri Light"/>
          <w:i/>
          <w:iCs/>
          <w:color w:val="000000" w:themeColor="text1"/>
          <w:sz w:val="20"/>
          <w:szCs w:val="20"/>
          <w:lang w:val="es-ES"/>
        </w:rPr>
        <w:t xml:space="preserve">, </w:t>
      </w:r>
      <w:r w:rsidR="00923272" w:rsidRPr="40BF5389">
        <w:rPr>
          <w:rFonts w:cs="Calibri Light"/>
          <w:color w:val="000000" w:themeColor="text1"/>
          <w:sz w:val="20"/>
          <w:szCs w:val="20"/>
          <w:lang w:val="es-ES"/>
        </w:rPr>
        <w:t>con el objetivo de reducir la acumulación de casos y aumentar la velocidad y la eficiencia del sistema de justicia, asegurando que los crímenes sean investigados en debida forma y que los juicios inicien y se procesen en un tiempo razonable. De acuerdo con el Estado, esta iniciativa ha dado lugar a: (i) un mayor uso de la VBI; (</w:t>
      </w:r>
      <w:proofErr w:type="spellStart"/>
      <w:r w:rsidR="00923272" w:rsidRPr="40BF5389">
        <w:rPr>
          <w:rFonts w:cs="Calibri Light"/>
          <w:color w:val="000000" w:themeColor="text1"/>
          <w:sz w:val="20"/>
          <w:szCs w:val="20"/>
          <w:lang w:val="es-ES"/>
        </w:rPr>
        <w:t>ii</w:t>
      </w:r>
      <w:proofErr w:type="spellEnd"/>
      <w:r w:rsidR="00923272" w:rsidRPr="40BF5389">
        <w:rPr>
          <w:rFonts w:cs="Calibri Light"/>
          <w:color w:val="000000" w:themeColor="text1"/>
          <w:sz w:val="20"/>
          <w:szCs w:val="20"/>
          <w:lang w:val="es-ES"/>
        </w:rPr>
        <w:t xml:space="preserve">) una mayor cooperación entre la policía, los fiscales y otros agentes del proceso de justicia penal; </w:t>
      </w:r>
      <w:proofErr w:type="spellStart"/>
      <w:r w:rsidR="00923272" w:rsidRPr="40BF5389">
        <w:rPr>
          <w:rFonts w:cs="Calibri Light"/>
          <w:color w:val="000000" w:themeColor="text1"/>
          <w:sz w:val="20"/>
          <w:szCs w:val="20"/>
          <w:lang w:val="es-ES"/>
        </w:rPr>
        <w:t>iii</w:t>
      </w:r>
      <w:proofErr w:type="spellEnd"/>
      <w:r w:rsidR="00923272" w:rsidRPr="40BF5389">
        <w:rPr>
          <w:rFonts w:cs="Calibri Light"/>
          <w:color w:val="000000" w:themeColor="text1"/>
          <w:sz w:val="20"/>
          <w:szCs w:val="20"/>
          <w:lang w:val="es-ES"/>
        </w:rPr>
        <w:t>) el uso del sistema de justicia integrado que proporciona un sistema de información para gestionar casos graves (especialmente los asesinatos); (</w:t>
      </w:r>
      <w:proofErr w:type="spellStart"/>
      <w:r w:rsidR="00923272" w:rsidRPr="40BF5389">
        <w:rPr>
          <w:rFonts w:cs="Calibri Light"/>
          <w:color w:val="000000" w:themeColor="text1"/>
          <w:sz w:val="20"/>
          <w:szCs w:val="20"/>
          <w:lang w:val="es-ES"/>
        </w:rPr>
        <w:t>iv</w:t>
      </w:r>
      <w:proofErr w:type="spellEnd"/>
      <w:r w:rsidR="00923272" w:rsidRPr="40BF5389">
        <w:rPr>
          <w:rFonts w:cs="Calibri Light"/>
          <w:color w:val="000000" w:themeColor="text1"/>
          <w:sz w:val="20"/>
          <w:szCs w:val="20"/>
          <w:lang w:val="es-ES"/>
        </w:rPr>
        <w:t>) la mejora del sistema de información judicial; (v) el uso de equipos de gestión de proyectos y casos de la Oficina del Director de la Fiscalía; y (vi) el establecimiento de más tribunales penales.</w:t>
      </w:r>
    </w:p>
    <w:p w14:paraId="67302BFC" w14:textId="77777777" w:rsidR="00923272" w:rsidRPr="002C4DFE" w:rsidRDefault="00923272" w:rsidP="40BF5389">
      <w:pPr>
        <w:pStyle w:val="Default"/>
        <w:jc w:val="both"/>
        <w:rPr>
          <w:rFonts w:cs="Calibri Light"/>
          <w:color w:val="000000" w:themeColor="text1"/>
          <w:sz w:val="20"/>
          <w:szCs w:val="20"/>
          <w:lang w:val="es-ES"/>
        </w:rPr>
      </w:pPr>
    </w:p>
    <w:p w14:paraId="42A8E0E8" w14:textId="14A17825" w:rsidR="00527BCE" w:rsidRPr="002C4DFE" w:rsidRDefault="00923272" w:rsidP="40BF5389">
      <w:pPr>
        <w:pStyle w:val="Default"/>
        <w:numPr>
          <w:ilvl w:val="0"/>
          <w:numId w:val="12"/>
        </w:numPr>
        <w:ind w:left="0" w:firstLine="720"/>
        <w:jc w:val="both"/>
        <w:rPr>
          <w:rFonts w:cs="Calibri Light"/>
          <w:color w:val="000000" w:themeColor="text1"/>
          <w:sz w:val="20"/>
          <w:szCs w:val="20"/>
          <w:lang w:val="es-ES"/>
        </w:rPr>
      </w:pPr>
      <w:r w:rsidRPr="40BF5389">
        <w:rPr>
          <w:rFonts w:cs="Calibri Light"/>
          <w:color w:val="000000" w:themeColor="text1"/>
          <w:sz w:val="20"/>
          <w:szCs w:val="20"/>
          <w:lang w:val="es-ES"/>
        </w:rPr>
        <w:t xml:space="preserve">La Comisión valora positivamente la información proporcionada por el Estado de Bahamas respecto a las medidas que han permitido garantizar el derecho a ser juzgado sin dilaciones injustificadas. Asimismo, valora que haya especificado las contribuciones de la iniciativa </w:t>
      </w:r>
      <w:r w:rsidRPr="40BF5389">
        <w:rPr>
          <w:rFonts w:cs="Calibri Light"/>
          <w:i/>
          <w:iCs/>
          <w:color w:val="000000" w:themeColor="text1"/>
          <w:sz w:val="20"/>
          <w:szCs w:val="20"/>
          <w:lang w:val="es-ES"/>
        </w:rPr>
        <w:t xml:space="preserve">Swift </w:t>
      </w:r>
      <w:proofErr w:type="spellStart"/>
      <w:r w:rsidRPr="40BF5389">
        <w:rPr>
          <w:rFonts w:cs="Calibri Light"/>
          <w:i/>
          <w:iCs/>
          <w:color w:val="000000" w:themeColor="text1"/>
          <w:sz w:val="20"/>
          <w:szCs w:val="20"/>
          <w:lang w:val="es-ES"/>
        </w:rPr>
        <w:t>Justice</w:t>
      </w:r>
      <w:proofErr w:type="spellEnd"/>
      <w:r w:rsidRPr="40BF5389">
        <w:rPr>
          <w:rFonts w:cs="Calibri Light"/>
          <w:color w:val="000000" w:themeColor="text1"/>
          <w:sz w:val="20"/>
          <w:szCs w:val="20"/>
          <w:lang w:val="es-ES"/>
        </w:rPr>
        <w:t xml:space="preserve">. Con miras a determinar un incremento en el nivel de cumplimiento de esta recomendación, la Comisión solicita al Estado información que demuestre de qué manera estas medidas han contribuido en la práctica a que el derecho a ser juzgado sin dilaciones injustificadas sea plenamente garantizado, así como información sobre otras medidas dirigidas a este propósito. Igualmente, la CIDH solicita información adicional que permita entender, con más detalles, el </w:t>
      </w:r>
      <w:r w:rsidRPr="40BF5389">
        <w:rPr>
          <w:rFonts w:cs="Calibri Light"/>
          <w:color w:val="000000" w:themeColor="text1"/>
          <w:sz w:val="20"/>
          <w:szCs w:val="20"/>
          <w:lang w:val="es-ES"/>
        </w:rPr>
        <w:lastRenderedPageBreak/>
        <w:t xml:space="preserve">funcionamiento de las figuras del </w:t>
      </w:r>
      <w:proofErr w:type="spellStart"/>
      <w:r w:rsidRPr="40BF5389">
        <w:rPr>
          <w:rFonts w:cs="Calibri Light"/>
          <w:i/>
          <w:iCs/>
          <w:color w:val="000000" w:themeColor="text1"/>
          <w:sz w:val="20"/>
          <w:szCs w:val="20"/>
          <w:lang w:val="es-ES"/>
        </w:rPr>
        <w:t>Voluntary</w:t>
      </w:r>
      <w:proofErr w:type="spellEnd"/>
      <w:r w:rsidRPr="40BF5389">
        <w:rPr>
          <w:rFonts w:cs="Calibri Light"/>
          <w:i/>
          <w:iCs/>
          <w:color w:val="000000" w:themeColor="text1"/>
          <w:sz w:val="20"/>
          <w:szCs w:val="20"/>
          <w:lang w:val="es-ES"/>
        </w:rPr>
        <w:t xml:space="preserve"> Bill of </w:t>
      </w:r>
      <w:proofErr w:type="spellStart"/>
      <w:r w:rsidRPr="40BF5389">
        <w:rPr>
          <w:rFonts w:cs="Calibri Light"/>
          <w:i/>
          <w:iCs/>
          <w:color w:val="000000" w:themeColor="text1"/>
          <w:sz w:val="20"/>
          <w:szCs w:val="20"/>
          <w:lang w:val="es-ES"/>
        </w:rPr>
        <w:t>Indictment</w:t>
      </w:r>
      <w:proofErr w:type="spellEnd"/>
      <w:r w:rsidRPr="40BF5389">
        <w:rPr>
          <w:rFonts w:cs="Calibri Light"/>
          <w:color w:val="000000" w:themeColor="text1"/>
          <w:sz w:val="20"/>
          <w:szCs w:val="20"/>
          <w:lang w:val="es-ES"/>
        </w:rPr>
        <w:t xml:space="preserve">; la ley de fianzas, y la iniciativa </w:t>
      </w:r>
      <w:r w:rsidRPr="40BF5389">
        <w:rPr>
          <w:rFonts w:cs="Calibri Light"/>
          <w:i/>
          <w:iCs/>
          <w:color w:val="000000" w:themeColor="text1"/>
          <w:sz w:val="20"/>
          <w:szCs w:val="20"/>
          <w:lang w:val="es-ES"/>
        </w:rPr>
        <w:t xml:space="preserve">Swift </w:t>
      </w:r>
      <w:proofErr w:type="spellStart"/>
      <w:r w:rsidRPr="40BF5389">
        <w:rPr>
          <w:rFonts w:cs="Calibri Light"/>
          <w:i/>
          <w:iCs/>
          <w:color w:val="000000" w:themeColor="text1"/>
          <w:sz w:val="20"/>
          <w:szCs w:val="20"/>
          <w:lang w:val="es-ES"/>
        </w:rPr>
        <w:t>Justice</w:t>
      </w:r>
      <w:proofErr w:type="spellEnd"/>
      <w:r w:rsidRPr="40BF5389">
        <w:rPr>
          <w:rFonts w:cs="Calibri Light"/>
          <w:i/>
          <w:iCs/>
          <w:color w:val="000000" w:themeColor="text1"/>
          <w:sz w:val="20"/>
          <w:szCs w:val="20"/>
          <w:lang w:val="es-ES"/>
        </w:rPr>
        <w:t xml:space="preserve"> </w:t>
      </w:r>
      <w:r w:rsidRPr="40BF5389">
        <w:rPr>
          <w:rFonts w:cs="Calibri Light"/>
          <w:color w:val="000000" w:themeColor="text1"/>
          <w:sz w:val="20"/>
          <w:szCs w:val="20"/>
          <w:lang w:val="es-ES"/>
        </w:rPr>
        <w:t xml:space="preserve">en torno a la garantía a ser juzgado sin dilaciones injustificadas. </w:t>
      </w:r>
      <w:r w:rsidRPr="40BF5389">
        <w:rPr>
          <w:color w:val="000000" w:themeColor="text1"/>
          <w:sz w:val="20"/>
          <w:szCs w:val="20"/>
          <w:lang w:val="es-CO"/>
        </w:rPr>
        <w:t>En vista de lo anterior, la Comisión observa que las partes han aportado información relevante para actualizar el estado de cumplimiento de esta recomendación y considera que el nivel de dicha recomendación es parcial</w:t>
      </w:r>
      <w:r w:rsidR="00527BCE" w:rsidRPr="40BF5389">
        <w:rPr>
          <w:color w:val="000000" w:themeColor="text1"/>
          <w:sz w:val="20"/>
          <w:szCs w:val="20"/>
          <w:lang w:val="es-CO"/>
        </w:rPr>
        <w:t>.</w:t>
      </w:r>
    </w:p>
    <w:p w14:paraId="072A185F" w14:textId="63C8E997" w:rsidR="00095FA8" w:rsidRPr="002C4DFE" w:rsidRDefault="00095FA8" w:rsidP="40BF5389">
      <w:pPr>
        <w:pStyle w:val="Default"/>
        <w:ind w:left="720"/>
        <w:jc w:val="both"/>
        <w:rPr>
          <w:rFonts w:cs="Calibri Light"/>
          <w:color w:val="000000" w:themeColor="text1"/>
          <w:sz w:val="20"/>
          <w:szCs w:val="20"/>
          <w:lang w:val="es-ES"/>
        </w:rPr>
      </w:pPr>
    </w:p>
    <w:p w14:paraId="00AC80F0" w14:textId="7080A1DE" w:rsidR="004748B7" w:rsidRPr="002C4DFE" w:rsidRDefault="00095FA8" w:rsidP="40BF5389">
      <w:pPr>
        <w:pStyle w:val="Default"/>
        <w:numPr>
          <w:ilvl w:val="0"/>
          <w:numId w:val="12"/>
        </w:numPr>
        <w:ind w:left="0" w:firstLine="720"/>
        <w:jc w:val="both"/>
        <w:rPr>
          <w:rFonts w:cs="Calibri Light"/>
          <w:color w:val="000000" w:themeColor="text1"/>
          <w:sz w:val="20"/>
          <w:szCs w:val="20"/>
          <w:lang w:val="es-ES"/>
        </w:rPr>
      </w:pPr>
      <w:bookmarkStart w:id="6" w:name="_Hlk85361340"/>
      <w:r w:rsidRPr="40BF5389">
        <w:rPr>
          <w:rFonts w:cs="Calibri Light"/>
          <w:b/>
          <w:bCs/>
          <w:color w:val="000000" w:themeColor="text1"/>
          <w:sz w:val="20"/>
          <w:szCs w:val="20"/>
          <w:lang w:val="es-ES"/>
        </w:rPr>
        <w:t>Con respecto a la cuarta recomendación</w:t>
      </w:r>
      <w:r w:rsidRPr="40BF5389">
        <w:rPr>
          <w:rFonts w:cs="Calibri Light"/>
          <w:color w:val="000000" w:themeColor="text1"/>
          <w:sz w:val="20"/>
          <w:szCs w:val="20"/>
          <w:lang w:val="es-ES"/>
        </w:rPr>
        <w:t xml:space="preserve">, </w:t>
      </w:r>
      <w:bookmarkEnd w:id="6"/>
      <w:r w:rsidR="004748B7" w:rsidRPr="40BF5389">
        <w:rPr>
          <w:rFonts w:cs="Calibri Light"/>
          <w:color w:val="000000" w:themeColor="text1"/>
          <w:sz w:val="20"/>
          <w:szCs w:val="20"/>
          <w:lang w:val="es-ES"/>
        </w:rPr>
        <w:t>en 2021, el Estado informó que se ha emprendido una iniciativa para la transformación del Departamento de Servicios Correccionales de las Bahamas, por lo que, a lo largo de los años, ha habido mejoras en infraestructura y respecto a medidas de rehabilitación para las personas reclusas. Sin embargo, el Estado reconoció que persiste la necesidad de seguir mejorando en materia de infraestructura, por lo que se han aprovechado las oportunidades para forjar vínculos con homólogos internacionales y para continuar con la implementación de estándares internacionales. Al respecto, informó que algunas de las mejoras de la infraestructura incluyen la creación de un centro de admisión central (</w:t>
      </w:r>
      <w:r w:rsidR="004748B7" w:rsidRPr="40BF5389">
        <w:rPr>
          <w:rFonts w:cs="Calibri Light"/>
          <w:i/>
          <w:iCs/>
          <w:color w:val="000000" w:themeColor="text1"/>
          <w:sz w:val="20"/>
          <w:szCs w:val="20"/>
          <w:lang w:val="es-ES"/>
        </w:rPr>
        <w:t xml:space="preserve">Central </w:t>
      </w:r>
      <w:proofErr w:type="spellStart"/>
      <w:r w:rsidR="004748B7" w:rsidRPr="40BF5389">
        <w:rPr>
          <w:rFonts w:cs="Calibri Light"/>
          <w:i/>
          <w:iCs/>
          <w:color w:val="000000" w:themeColor="text1"/>
          <w:sz w:val="20"/>
          <w:szCs w:val="20"/>
          <w:lang w:val="es-ES"/>
        </w:rPr>
        <w:t>Intake</w:t>
      </w:r>
      <w:proofErr w:type="spellEnd"/>
      <w:r w:rsidR="004748B7" w:rsidRPr="40BF5389">
        <w:rPr>
          <w:rFonts w:cs="Calibri Light"/>
          <w:i/>
          <w:iCs/>
          <w:color w:val="000000" w:themeColor="text1"/>
          <w:sz w:val="20"/>
          <w:szCs w:val="20"/>
          <w:lang w:val="es-ES"/>
        </w:rPr>
        <w:t xml:space="preserve"> </w:t>
      </w:r>
      <w:proofErr w:type="spellStart"/>
      <w:r w:rsidR="004748B7" w:rsidRPr="40BF5389">
        <w:rPr>
          <w:rFonts w:cs="Calibri Light"/>
          <w:i/>
          <w:iCs/>
          <w:color w:val="000000" w:themeColor="text1"/>
          <w:sz w:val="20"/>
          <w:szCs w:val="20"/>
          <w:lang w:val="es-ES"/>
        </w:rPr>
        <w:t>Facility</w:t>
      </w:r>
      <w:proofErr w:type="spellEnd"/>
      <w:r w:rsidR="004748B7" w:rsidRPr="40BF5389">
        <w:rPr>
          <w:rFonts w:cs="Calibri Light"/>
          <w:color w:val="000000" w:themeColor="text1"/>
          <w:sz w:val="20"/>
          <w:szCs w:val="20"/>
          <w:lang w:val="es-ES"/>
        </w:rPr>
        <w:t>) y un sistema estandarizado de clasificación de reclusos (</w:t>
      </w:r>
      <w:proofErr w:type="spellStart"/>
      <w:r w:rsidR="004748B7" w:rsidRPr="40BF5389">
        <w:rPr>
          <w:rFonts w:cs="Calibri Light"/>
          <w:i/>
          <w:iCs/>
          <w:color w:val="000000" w:themeColor="text1"/>
          <w:sz w:val="20"/>
          <w:szCs w:val="20"/>
          <w:lang w:val="es-ES"/>
        </w:rPr>
        <w:t>Inmate</w:t>
      </w:r>
      <w:proofErr w:type="spellEnd"/>
      <w:r w:rsidR="004748B7" w:rsidRPr="40BF5389">
        <w:rPr>
          <w:rFonts w:cs="Calibri Light"/>
          <w:i/>
          <w:iCs/>
          <w:color w:val="000000" w:themeColor="text1"/>
          <w:sz w:val="20"/>
          <w:szCs w:val="20"/>
          <w:lang w:val="es-ES"/>
        </w:rPr>
        <w:t xml:space="preserve"> </w:t>
      </w:r>
      <w:proofErr w:type="spellStart"/>
      <w:r w:rsidR="004748B7" w:rsidRPr="40BF5389">
        <w:rPr>
          <w:rFonts w:cs="Calibri Light"/>
          <w:i/>
          <w:iCs/>
          <w:color w:val="000000" w:themeColor="text1"/>
          <w:sz w:val="20"/>
          <w:szCs w:val="20"/>
          <w:lang w:val="es-ES"/>
        </w:rPr>
        <w:t>Classification</w:t>
      </w:r>
      <w:proofErr w:type="spellEnd"/>
      <w:r w:rsidR="004748B7" w:rsidRPr="40BF5389">
        <w:rPr>
          <w:rFonts w:cs="Calibri Light"/>
          <w:i/>
          <w:iCs/>
          <w:color w:val="000000" w:themeColor="text1"/>
          <w:sz w:val="20"/>
          <w:szCs w:val="20"/>
          <w:lang w:val="es-ES"/>
        </w:rPr>
        <w:t xml:space="preserve"> </w:t>
      </w:r>
      <w:proofErr w:type="spellStart"/>
      <w:r w:rsidR="004748B7" w:rsidRPr="40BF5389">
        <w:rPr>
          <w:rFonts w:cs="Calibri Light"/>
          <w:i/>
          <w:iCs/>
          <w:color w:val="000000" w:themeColor="text1"/>
          <w:sz w:val="20"/>
          <w:szCs w:val="20"/>
          <w:lang w:val="es-ES"/>
        </w:rPr>
        <w:t>System</w:t>
      </w:r>
      <w:proofErr w:type="spellEnd"/>
      <w:r w:rsidR="004748B7" w:rsidRPr="40BF5389">
        <w:rPr>
          <w:rFonts w:cs="Calibri Light"/>
          <w:color w:val="000000" w:themeColor="text1"/>
          <w:sz w:val="20"/>
          <w:szCs w:val="20"/>
          <w:lang w:val="es-ES"/>
        </w:rPr>
        <w:t>).</w:t>
      </w:r>
    </w:p>
    <w:p w14:paraId="74DB214B" w14:textId="77777777" w:rsidR="004748B7" w:rsidRPr="002C4DFE" w:rsidRDefault="004748B7" w:rsidP="40BF5389">
      <w:pPr>
        <w:pStyle w:val="Default"/>
        <w:jc w:val="both"/>
        <w:rPr>
          <w:rFonts w:cs="Calibri Light"/>
          <w:color w:val="000000" w:themeColor="text1"/>
          <w:sz w:val="20"/>
          <w:szCs w:val="20"/>
          <w:lang w:val="es-ES"/>
        </w:rPr>
      </w:pPr>
    </w:p>
    <w:p w14:paraId="15993D99" w14:textId="77777777" w:rsidR="004748B7" w:rsidRPr="002C4DFE" w:rsidRDefault="004748B7" w:rsidP="40BF5389">
      <w:pPr>
        <w:pStyle w:val="Default"/>
        <w:numPr>
          <w:ilvl w:val="0"/>
          <w:numId w:val="12"/>
        </w:numPr>
        <w:ind w:left="0" w:firstLine="720"/>
        <w:jc w:val="both"/>
        <w:rPr>
          <w:rFonts w:cs="Calibri Light"/>
          <w:color w:val="000000" w:themeColor="text1"/>
          <w:sz w:val="20"/>
          <w:szCs w:val="20"/>
          <w:lang w:val="es-ES"/>
        </w:rPr>
      </w:pPr>
      <w:r w:rsidRPr="40BF5389">
        <w:rPr>
          <w:rFonts w:cs="Calibri Light"/>
          <w:color w:val="000000" w:themeColor="text1"/>
          <w:sz w:val="20"/>
          <w:szCs w:val="20"/>
          <w:lang w:val="es-ES"/>
        </w:rPr>
        <w:t>También en 2021, en lo que se refiere a medidas de rehabilitación, el Estado señaló que uno de los objetivos del Departamento de Servicios Correccionales es reducir la reincidencia mediante la rehabilitación e integración de los delincuentes. Dentro de estas iniciativas, destacó la finalización del Instituto de Formación Penitenciaria (</w:t>
      </w:r>
      <w:proofErr w:type="spellStart"/>
      <w:r w:rsidRPr="40BF5389">
        <w:rPr>
          <w:rFonts w:cs="Calibri Light"/>
          <w:i/>
          <w:iCs/>
          <w:color w:val="000000" w:themeColor="text1"/>
          <w:sz w:val="20"/>
          <w:szCs w:val="20"/>
          <w:lang w:val="es-ES"/>
        </w:rPr>
        <w:t>Correctional</w:t>
      </w:r>
      <w:proofErr w:type="spellEnd"/>
      <w:r w:rsidRPr="40BF5389">
        <w:rPr>
          <w:rFonts w:cs="Calibri Light"/>
          <w:i/>
          <w:iCs/>
          <w:color w:val="000000" w:themeColor="text1"/>
          <w:sz w:val="20"/>
          <w:szCs w:val="20"/>
          <w:lang w:val="es-ES"/>
        </w:rPr>
        <w:t xml:space="preserve"> Training </w:t>
      </w:r>
      <w:proofErr w:type="spellStart"/>
      <w:r w:rsidRPr="40BF5389">
        <w:rPr>
          <w:rFonts w:cs="Calibri Light"/>
          <w:i/>
          <w:iCs/>
          <w:color w:val="000000" w:themeColor="text1"/>
          <w:sz w:val="20"/>
          <w:szCs w:val="20"/>
          <w:lang w:val="es-ES"/>
        </w:rPr>
        <w:t>Institute</w:t>
      </w:r>
      <w:proofErr w:type="spellEnd"/>
      <w:r w:rsidRPr="40BF5389">
        <w:rPr>
          <w:rFonts w:cs="Calibri Light"/>
          <w:color w:val="000000" w:themeColor="text1"/>
          <w:sz w:val="20"/>
          <w:szCs w:val="20"/>
          <w:lang w:val="es-ES"/>
        </w:rPr>
        <w:t xml:space="preserve">), que proporciona a los reclusos la educación para obtener un empleo cuando sean puestos en libertad; la ampliación de la capacidad del Programa </w:t>
      </w:r>
      <w:proofErr w:type="gramStart"/>
      <w:r w:rsidRPr="40BF5389">
        <w:rPr>
          <w:rFonts w:cs="Calibri Light"/>
          <w:color w:val="000000" w:themeColor="text1"/>
          <w:sz w:val="20"/>
          <w:szCs w:val="20"/>
          <w:lang w:val="es-ES"/>
        </w:rPr>
        <w:t>Extra Mural</w:t>
      </w:r>
      <w:proofErr w:type="gramEnd"/>
      <w:r w:rsidRPr="40BF5389">
        <w:rPr>
          <w:rFonts w:cs="Calibri Light"/>
          <w:color w:val="000000" w:themeColor="text1"/>
          <w:sz w:val="20"/>
          <w:szCs w:val="20"/>
          <w:lang w:val="es-ES"/>
        </w:rPr>
        <w:t>, la introducción de la Feria Anual de Empleo, y la inauguración del Programa de Desarrollo Basado en Fe y Carácter. Finalmente, el Estado indicó que alguna de la formación ofrecida a los reclusos es en las áreas de mecánica de automóviles, comunicaciones básicas, lectura, matemáticas, carpintería, informática básica, cerámica, soldadura, cosmetología y certificados juveniles de Bahamas en inglés y matemáticas. Concluyó diciendo que la política del Gobierno es garantizar que la mayoría de los reclusos tengan acceso a una formación orientada a equiparlos para su reinserción en la comunidad.</w:t>
      </w:r>
    </w:p>
    <w:p w14:paraId="32DCE5A2" w14:textId="77777777" w:rsidR="004748B7" w:rsidRPr="002C4DFE" w:rsidRDefault="004748B7" w:rsidP="40BF5389">
      <w:pPr>
        <w:pStyle w:val="Default"/>
        <w:ind w:left="720"/>
        <w:jc w:val="both"/>
        <w:rPr>
          <w:rFonts w:cs="Calibri Light"/>
          <w:color w:val="000000" w:themeColor="text1"/>
          <w:sz w:val="20"/>
          <w:szCs w:val="20"/>
          <w:lang w:val="es-ES"/>
        </w:rPr>
      </w:pPr>
    </w:p>
    <w:p w14:paraId="5F624387" w14:textId="77777777" w:rsidR="004748B7" w:rsidRPr="002C4DFE" w:rsidRDefault="004748B7" w:rsidP="40BF5389">
      <w:pPr>
        <w:pStyle w:val="Default"/>
        <w:numPr>
          <w:ilvl w:val="0"/>
          <w:numId w:val="12"/>
        </w:numPr>
        <w:ind w:left="0" w:firstLine="720"/>
        <w:jc w:val="both"/>
        <w:rPr>
          <w:rFonts w:eastAsia="Times New Roman"/>
          <w:color w:val="000000" w:themeColor="text1"/>
          <w:sz w:val="20"/>
          <w:szCs w:val="20"/>
          <w:lang w:val="es-ES"/>
        </w:rPr>
      </w:pPr>
      <w:r w:rsidRPr="40BF5389">
        <w:rPr>
          <w:rFonts w:cs="Calibri Light"/>
          <w:color w:val="000000" w:themeColor="text1"/>
          <w:sz w:val="20"/>
          <w:szCs w:val="20"/>
          <w:lang w:val="es-ES"/>
        </w:rPr>
        <w:t xml:space="preserve">La Comisión valora positivamente la información remitida por el Estado de Bahamas y considera que estas medidas están encaminadas a avanzar en </w:t>
      </w:r>
      <w:r w:rsidRPr="40BF5389">
        <w:rPr>
          <w:rFonts w:eastAsia="Times New Roman"/>
          <w:color w:val="000000" w:themeColor="text1"/>
          <w:sz w:val="20"/>
          <w:szCs w:val="20"/>
          <w:lang w:val="es-ES"/>
        </w:rPr>
        <w:t xml:space="preserve">brindar un tratamiento humano y a garantizar que no se reciba un castigo cruel, infamante o inusitado en los centros de reclusión del país. Con miras a que se determine un nivel más avanzado en el cumplimiento de esta recomendación, la Comisión solicita información sobre el funcionamiento del </w:t>
      </w:r>
      <w:r w:rsidRPr="40BF5389">
        <w:rPr>
          <w:rFonts w:cs="Calibri Light"/>
          <w:color w:val="000000" w:themeColor="text1"/>
          <w:sz w:val="20"/>
          <w:szCs w:val="20"/>
          <w:lang w:val="es-ES"/>
        </w:rPr>
        <w:t>centro de admisión central (</w:t>
      </w:r>
      <w:r w:rsidRPr="40BF5389">
        <w:rPr>
          <w:rFonts w:cs="Calibri Light"/>
          <w:i/>
          <w:iCs/>
          <w:color w:val="000000" w:themeColor="text1"/>
          <w:sz w:val="20"/>
          <w:szCs w:val="20"/>
          <w:lang w:val="es-ES"/>
        </w:rPr>
        <w:t xml:space="preserve">Central </w:t>
      </w:r>
      <w:proofErr w:type="spellStart"/>
      <w:r w:rsidRPr="40BF5389">
        <w:rPr>
          <w:rFonts w:cs="Calibri Light"/>
          <w:i/>
          <w:iCs/>
          <w:color w:val="000000" w:themeColor="text1"/>
          <w:sz w:val="20"/>
          <w:szCs w:val="20"/>
          <w:lang w:val="es-ES"/>
        </w:rPr>
        <w:t>Intake</w:t>
      </w:r>
      <w:proofErr w:type="spellEnd"/>
      <w:r w:rsidRPr="40BF5389">
        <w:rPr>
          <w:rFonts w:cs="Calibri Light"/>
          <w:i/>
          <w:iCs/>
          <w:color w:val="000000" w:themeColor="text1"/>
          <w:sz w:val="20"/>
          <w:szCs w:val="20"/>
          <w:lang w:val="es-ES"/>
        </w:rPr>
        <w:t xml:space="preserve"> </w:t>
      </w:r>
      <w:proofErr w:type="spellStart"/>
      <w:r w:rsidRPr="40BF5389">
        <w:rPr>
          <w:rFonts w:cs="Calibri Light"/>
          <w:i/>
          <w:iCs/>
          <w:color w:val="000000" w:themeColor="text1"/>
          <w:sz w:val="20"/>
          <w:szCs w:val="20"/>
          <w:lang w:val="es-ES"/>
        </w:rPr>
        <w:t>Facility</w:t>
      </w:r>
      <w:proofErr w:type="spellEnd"/>
      <w:r w:rsidRPr="40BF5389">
        <w:rPr>
          <w:rFonts w:cs="Calibri Light"/>
          <w:color w:val="000000" w:themeColor="text1"/>
          <w:sz w:val="20"/>
          <w:szCs w:val="20"/>
          <w:lang w:val="es-ES"/>
        </w:rPr>
        <w:t>) y del sistema estandarizado de clasificación de reclusos (</w:t>
      </w:r>
      <w:proofErr w:type="spellStart"/>
      <w:r w:rsidRPr="40BF5389">
        <w:rPr>
          <w:rFonts w:cs="Calibri Light"/>
          <w:i/>
          <w:iCs/>
          <w:color w:val="000000" w:themeColor="text1"/>
          <w:sz w:val="20"/>
          <w:szCs w:val="20"/>
          <w:lang w:val="es-ES"/>
        </w:rPr>
        <w:t>Inmate</w:t>
      </w:r>
      <w:proofErr w:type="spellEnd"/>
      <w:r w:rsidRPr="40BF5389">
        <w:rPr>
          <w:rFonts w:cs="Calibri Light"/>
          <w:i/>
          <w:iCs/>
          <w:color w:val="000000" w:themeColor="text1"/>
          <w:sz w:val="20"/>
          <w:szCs w:val="20"/>
          <w:lang w:val="es-ES"/>
        </w:rPr>
        <w:t xml:space="preserve"> </w:t>
      </w:r>
      <w:proofErr w:type="spellStart"/>
      <w:r w:rsidRPr="40BF5389">
        <w:rPr>
          <w:rFonts w:cs="Calibri Light"/>
          <w:i/>
          <w:iCs/>
          <w:color w:val="000000" w:themeColor="text1"/>
          <w:sz w:val="20"/>
          <w:szCs w:val="20"/>
          <w:lang w:val="es-ES"/>
        </w:rPr>
        <w:t>Classification</w:t>
      </w:r>
      <w:proofErr w:type="spellEnd"/>
      <w:r w:rsidRPr="40BF5389">
        <w:rPr>
          <w:rFonts w:cs="Calibri Light"/>
          <w:i/>
          <w:iCs/>
          <w:color w:val="000000" w:themeColor="text1"/>
          <w:sz w:val="20"/>
          <w:szCs w:val="20"/>
          <w:lang w:val="es-ES"/>
        </w:rPr>
        <w:t xml:space="preserve"> </w:t>
      </w:r>
      <w:proofErr w:type="spellStart"/>
      <w:r w:rsidRPr="40BF5389">
        <w:rPr>
          <w:rFonts w:cs="Calibri Light"/>
          <w:i/>
          <w:iCs/>
          <w:color w:val="000000" w:themeColor="text1"/>
          <w:sz w:val="20"/>
          <w:szCs w:val="20"/>
          <w:lang w:val="es-ES"/>
        </w:rPr>
        <w:t>System</w:t>
      </w:r>
      <w:proofErr w:type="spellEnd"/>
      <w:r w:rsidRPr="40BF5389">
        <w:rPr>
          <w:rFonts w:cs="Calibri Light"/>
          <w:i/>
          <w:iCs/>
          <w:color w:val="000000" w:themeColor="text1"/>
          <w:sz w:val="20"/>
          <w:szCs w:val="20"/>
          <w:lang w:val="es-ES"/>
        </w:rPr>
        <w:t xml:space="preserve">) </w:t>
      </w:r>
      <w:r w:rsidRPr="40BF5389">
        <w:rPr>
          <w:rFonts w:cs="Calibri Light"/>
          <w:color w:val="000000" w:themeColor="text1"/>
          <w:sz w:val="20"/>
          <w:szCs w:val="20"/>
          <w:lang w:val="es-ES"/>
        </w:rPr>
        <w:t xml:space="preserve">con miras a entender de qué manera estas medidas contribuyen a garantizar la recomendación. Asimismo, solicita detalles sobre las medidas adoptadas en materia de infraestructura -especialmente respecto de condiciones de alojamiento, higiene, ventilación, luz y ejercicio para las personas reclusas-, el número de centros de reclusión intervenidos, los que aún faltan por intervenir, la fecha de realización de las mejoras e información que señale en qué han consistido las intervenciones. Adicionalmente, la Comisión solicita información que permita verificar medidas dirigidas a prevenir actos de violencia al interior de los centros de reclusión por parte del personal de vigilancia. </w:t>
      </w:r>
      <w:r w:rsidRPr="40BF5389">
        <w:rPr>
          <w:color w:val="000000" w:themeColor="text1"/>
          <w:sz w:val="20"/>
          <w:szCs w:val="20"/>
          <w:lang w:val="es-CO"/>
        </w:rPr>
        <w:t>En vista de lo anterior, la Comisión observa que las partes han aportado información relevante para actualizar el estado de cumplimiento de esta recomendación y considera que el nivel de dicha recomendación es parcial.</w:t>
      </w:r>
    </w:p>
    <w:p w14:paraId="6EBA85ED" w14:textId="57C57D6A" w:rsidR="00BB56C4" w:rsidRPr="002C4DFE" w:rsidRDefault="00BB56C4" w:rsidP="40BF5389">
      <w:pPr>
        <w:pStyle w:val="Default"/>
        <w:ind w:left="720"/>
        <w:jc w:val="both"/>
        <w:rPr>
          <w:rFonts w:cs="Calibri Light"/>
          <w:color w:val="000000" w:themeColor="text1"/>
          <w:sz w:val="20"/>
          <w:szCs w:val="20"/>
          <w:lang w:val="es-ES"/>
        </w:rPr>
      </w:pPr>
    </w:p>
    <w:p w14:paraId="04B0CD10" w14:textId="77777777" w:rsidR="00BB56C4" w:rsidRPr="002C4DFE" w:rsidRDefault="00BB56C4" w:rsidP="40BF5389">
      <w:pPr>
        <w:pStyle w:val="ListParagraph"/>
        <w:numPr>
          <w:ilvl w:val="0"/>
          <w:numId w:val="18"/>
        </w:numPr>
        <w:shd w:val="clear" w:color="auto" w:fill="FFFFFF" w:themeFill="background1"/>
        <w:spacing w:after="0" w:line="240" w:lineRule="auto"/>
        <w:ind w:firstLine="0"/>
        <w:jc w:val="both"/>
        <w:rPr>
          <w:rFonts w:ascii="Cambria" w:hAnsi="Cambria" w:cs="Calibri Light"/>
          <w:color w:val="000000" w:themeColor="text1"/>
          <w:sz w:val="20"/>
          <w:szCs w:val="20"/>
          <w:lang w:val="es-ES"/>
        </w:rPr>
      </w:pPr>
      <w:r w:rsidRPr="40BF5389">
        <w:rPr>
          <w:rFonts w:ascii="Cambria" w:hAnsi="Cambria" w:cs="Calibri Light"/>
          <w:b/>
          <w:bCs/>
          <w:color w:val="000000" w:themeColor="text1"/>
          <w:sz w:val="20"/>
          <w:szCs w:val="20"/>
          <w:lang w:val="es-ES"/>
        </w:rPr>
        <w:t>Nivel del cumplimiento del caso</w:t>
      </w:r>
    </w:p>
    <w:p w14:paraId="0DB78AF3" w14:textId="77777777" w:rsidR="00BB56C4" w:rsidRPr="002C4DFE" w:rsidRDefault="00BB56C4" w:rsidP="40BF5389">
      <w:pPr>
        <w:pStyle w:val="ListParagraph"/>
        <w:shd w:val="clear" w:color="auto" w:fill="FFFFFF" w:themeFill="background1"/>
        <w:spacing w:after="0" w:line="240" w:lineRule="auto"/>
        <w:jc w:val="both"/>
        <w:rPr>
          <w:rFonts w:ascii="Cambria" w:hAnsi="Cambria" w:cs="Calibri Light"/>
          <w:color w:val="000000" w:themeColor="text1"/>
          <w:sz w:val="20"/>
          <w:szCs w:val="20"/>
          <w:lang w:val="es-ES"/>
        </w:rPr>
      </w:pPr>
    </w:p>
    <w:p w14:paraId="603CCB20" w14:textId="1B42045B" w:rsidR="00527BCE" w:rsidRPr="002C4DFE" w:rsidRDefault="00527BCE" w:rsidP="40BF5389">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40BF5389">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las Recomendaciones 1, 3 y 4.  </w:t>
      </w:r>
    </w:p>
    <w:p w14:paraId="17497FE4" w14:textId="77777777" w:rsidR="00527BCE" w:rsidRPr="002C4DFE" w:rsidRDefault="00527BCE" w:rsidP="40BF5389">
      <w:pPr>
        <w:pStyle w:val="ListParagraph"/>
        <w:spacing w:after="0" w:line="240" w:lineRule="auto"/>
        <w:jc w:val="both"/>
        <w:rPr>
          <w:rFonts w:ascii="Cambria" w:hAnsi="Cambria" w:cs="Calibri Light"/>
          <w:color w:val="000000" w:themeColor="text1"/>
          <w:sz w:val="20"/>
          <w:szCs w:val="20"/>
          <w:lang w:val="es-ES"/>
        </w:rPr>
      </w:pPr>
    </w:p>
    <w:p w14:paraId="79BC0B91" w14:textId="77777777" w:rsidR="00527BCE" w:rsidRPr="002C4DFE" w:rsidRDefault="00527BCE" w:rsidP="00527BCE">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40BF5389">
        <w:rPr>
          <w:rFonts w:ascii="Cambria" w:hAnsi="Cambria" w:cs="Calibri Light"/>
          <w:color w:val="000000" w:themeColor="text1"/>
          <w:sz w:val="20"/>
          <w:szCs w:val="20"/>
          <w:lang w:val="es-ES"/>
        </w:rPr>
        <w:t xml:space="preserve">La Comisión acoge con satisfacción la información presentada por el Estado en 2021, considerando que no había presentado información durante 9 años del seguimiento de este caso.  </w:t>
      </w:r>
    </w:p>
    <w:p w14:paraId="03BC10F5" w14:textId="77777777" w:rsidR="00BB56C4" w:rsidRPr="002C4DFE" w:rsidRDefault="00BB56C4" w:rsidP="40BF5389">
      <w:pPr>
        <w:spacing w:after="0" w:line="240" w:lineRule="auto"/>
        <w:rPr>
          <w:rFonts w:ascii="Cambria" w:hAnsi="Cambria"/>
          <w:color w:val="000000" w:themeColor="text1"/>
          <w:sz w:val="20"/>
          <w:szCs w:val="20"/>
          <w:lang w:val="es-ES"/>
        </w:rPr>
      </w:pPr>
    </w:p>
    <w:p w14:paraId="60E335AF" w14:textId="77777777" w:rsidR="00BB56C4" w:rsidRPr="002C4DFE" w:rsidRDefault="00BB56C4" w:rsidP="40BF5389">
      <w:pPr>
        <w:pStyle w:val="ListParagraph"/>
        <w:numPr>
          <w:ilvl w:val="0"/>
          <w:numId w:val="18"/>
        </w:numPr>
        <w:spacing w:after="0" w:line="240" w:lineRule="auto"/>
        <w:ind w:firstLine="0"/>
        <w:jc w:val="both"/>
        <w:rPr>
          <w:rFonts w:ascii="Cambria" w:hAnsi="Cambria" w:cs="Calibri Light"/>
          <w:b/>
          <w:bCs/>
          <w:color w:val="000000" w:themeColor="text1"/>
          <w:sz w:val="20"/>
          <w:szCs w:val="20"/>
          <w:lang w:val="es-ES"/>
        </w:rPr>
      </w:pPr>
      <w:r w:rsidRPr="40BF5389">
        <w:rPr>
          <w:rFonts w:ascii="Cambria" w:hAnsi="Cambria" w:cs="Calibri Light"/>
          <w:b/>
          <w:bCs/>
          <w:color w:val="000000" w:themeColor="text1"/>
          <w:sz w:val="20"/>
          <w:szCs w:val="20"/>
          <w:lang w:val="es-ES"/>
        </w:rPr>
        <w:t xml:space="preserve">Resultados individuales y estructurales del caso </w:t>
      </w:r>
    </w:p>
    <w:p w14:paraId="078F5AA3" w14:textId="77777777" w:rsidR="00BB56C4" w:rsidRPr="002C4DFE" w:rsidRDefault="00BB56C4" w:rsidP="40BF5389">
      <w:pPr>
        <w:spacing w:after="0" w:line="240" w:lineRule="auto"/>
        <w:rPr>
          <w:rFonts w:ascii="Cambria" w:hAnsi="Cambria"/>
          <w:b/>
          <w:bCs/>
          <w:color w:val="000000" w:themeColor="text1"/>
          <w:sz w:val="20"/>
          <w:szCs w:val="20"/>
          <w:lang w:val="es-ES"/>
        </w:rPr>
      </w:pPr>
    </w:p>
    <w:p w14:paraId="2194CD73" w14:textId="77777777" w:rsidR="00BB56C4" w:rsidRPr="002C4DFE" w:rsidRDefault="002D2490" w:rsidP="40BF5389">
      <w:pPr>
        <w:pStyle w:val="ListParagraph"/>
        <w:numPr>
          <w:ilvl w:val="0"/>
          <w:numId w:val="12"/>
        </w:numPr>
        <w:spacing w:after="0" w:line="240" w:lineRule="auto"/>
        <w:ind w:left="0" w:firstLine="720"/>
        <w:jc w:val="both"/>
        <w:rPr>
          <w:rFonts w:ascii="Cambria" w:hAnsi="Cambria"/>
          <w:color w:val="000000" w:themeColor="text1"/>
          <w:sz w:val="20"/>
          <w:szCs w:val="20"/>
          <w:lang w:val="es-ES"/>
        </w:rPr>
      </w:pPr>
      <w:r w:rsidRPr="40BF5389">
        <w:rPr>
          <w:rFonts w:ascii="Cambria" w:hAnsi="Cambria"/>
          <w:color w:val="000000" w:themeColor="text1"/>
          <w:sz w:val="20"/>
          <w:szCs w:val="20"/>
          <w:lang w:val="es-ES"/>
        </w:rPr>
        <w:t>En esta sección se destacan los resultados individuales y estructurales del caso que han sido informados por las parte</w:t>
      </w:r>
      <w:r w:rsidR="005F06F5" w:rsidRPr="40BF5389">
        <w:rPr>
          <w:rFonts w:ascii="Cambria" w:hAnsi="Cambria"/>
          <w:color w:val="000000" w:themeColor="text1"/>
          <w:sz w:val="20"/>
          <w:szCs w:val="20"/>
          <w:lang w:val="es-ES"/>
        </w:rPr>
        <w:t>s.</w:t>
      </w:r>
      <w:r w:rsidR="00BB56C4" w:rsidRPr="40BF5389">
        <w:rPr>
          <w:rFonts w:ascii="Cambria" w:hAnsi="Cambria"/>
          <w:color w:val="000000" w:themeColor="text1"/>
          <w:sz w:val="20"/>
          <w:szCs w:val="20"/>
          <w:lang w:val="es-ES"/>
        </w:rPr>
        <w:t xml:space="preserve"> </w:t>
      </w:r>
    </w:p>
    <w:p w14:paraId="649A6B06" w14:textId="0DBFBFCF" w:rsidR="00BB56C4" w:rsidRDefault="00BB56C4" w:rsidP="40BF5389">
      <w:pPr>
        <w:pStyle w:val="ListParagraph"/>
        <w:spacing w:after="0" w:line="240" w:lineRule="auto"/>
        <w:jc w:val="both"/>
        <w:rPr>
          <w:rFonts w:ascii="Cambria" w:hAnsi="Cambria"/>
          <w:color w:val="000000" w:themeColor="text1"/>
          <w:sz w:val="20"/>
          <w:szCs w:val="20"/>
          <w:lang w:val="es-ES"/>
        </w:rPr>
      </w:pPr>
    </w:p>
    <w:p w14:paraId="102E1A2E" w14:textId="77777777" w:rsidR="00EF7985" w:rsidRPr="002C4DFE" w:rsidRDefault="00EF7985" w:rsidP="40BF5389">
      <w:pPr>
        <w:pStyle w:val="ListParagraph"/>
        <w:spacing w:after="0" w:line="240" w:lineRule="auto"/>
        <w:jc w:val="both"/>
        <w:rPr>
          <w:rFonts w:ascii="Cambria" w:hAnsi="Cambria"/>
          <w:color w:val="000000" w:themeColor="text1"/>
          <w:sz w:val="20"/>
          <w:szCs w:val="20"/>
          <w:lang w:val="es-ES"/>
        </w:rPr>
      </w:pPr>
    </w:p>
    <w:p w14:paraId="1308B281" w14:textId="77777777" w:rsidR="00BB56C4" w:rsidRPr="002C4DFE" w:rsidRDefault="00BB56C4" w:rsidP="40BF5389">
      <w:pPr>
        <w:pStyle w:val="ListParagraph"/>
        <w:numPr>
          <w:ilvl w:val="0"/>
          <w:numId w:val="20"/>
        </w:numPr>
        <w:spacing w:after="0" w:line="240" w:lineRule="auto"/>
        <w:ind w:firstLine="0"/>
        <w:jc w:val="both"/>
        <w:rPr>
          <w:rFonts w:ascii="Cambria" w:hAnsi="Cambria" w:cs="Calibri Light"/>
          <w:b/>
          <w:bCs/>
          <w:color w:val="000000" w:themeColor="text1"/>
          <w:sz w:val="20"/>
          <w:szCs w:val="20"/>
          <w:lang w:val="es-ES"/>
        </w:rPr>
      </w:pPr>
      <w:r w:rsidRPr="40BF5389">
        <w:rPr>
          <w:rFonts w:ascii="Cambria" w:hAnsi="Cambria" w:cs="Calibri Light"/>
          <w:b/>
          <w:bCs/>
          <w:color w:val="000000" w:themeColor="text1"/>
          <w:sz w:val="20"/>
          <w:szCs w:val="20"/>
          <w:lang w:val="es-ES"/>
        </w:rPr>
        <w:t>Resultados individuales del caso</w:t>
      </w:r>
    </w:p>
    <w:p w14:paraId="4FB4B2DD" w14:textId="77777777" w:rsidR="00BB56C4" w:rsidRPr="002C4DFE" w:rsidRDefault="00BB56C4" w:rsidP="40BF5389">
      <w:pPr>
        <w:spacing w:after="0" w:line="240" w:lineRule="auto"/>
        <w:rPr>
          <w:rFonts w:ascii="Cambria" w:hAnsi="Cambria"/>
          <w:b/>
          <w:bCs/>
          <w:color w:val="000000" w:themeColor="text1"/>
          <w:sz w:val="20"/>
          <w:szCs w:val="20"/>
          <w:lang w:val="es-ES"/>
        </w:rPr>
      </w:pPr>
    </w:p>
    <w:p w14:paraId="623EA45F" w14:textId="77777777" w:rsidR="002B12D9" w:rsidRPr="002C4DFE" w:rsidRDefault="00BB56C4" w:rsidP="40BF5389">
      <w:pPr>
        <w:spacing w:after="0" w:line="240" w:lineRule="auto"/>
        <w:rPr>
          <w:rFonts w:ascii="Cambria" w:hAnsi="Cambria"/>
          <w:i/>
          <w:iCs/>
          <w:color w:val="000000" w:themeColor="text1"/>
          <w:sz w:val="20"/>
          <w:szCs w:val="20"/>
          <w:lang w:val="es-ES"/>
        </w:rPr>
      </w:pPr>
      <w:r w:rsidRPr="40BF5389">
        <w:rPr>
          <w:rFonts w:ascii="Cambria" w:hAnsi="Cambria"/>
          <w:i/>
          <w:iCs/>
          <w:color w:val="000000" w:themeColor="text1"/>
          <w:sz w:val="20"/>
          <w:szCs w:val="20"/>
          <w:lang w:val="es-ES"/>
        </w:rPr>
        <w:t>Medida de restitución en el ejercicio del derecho</w:t>
      </w:r>
    </w:p>
    <w:p w14:paraId="1834B36B" w14:textId="77777777" w:rsidR="00BB56C4" w:rsidRPr="002C4DFE" w:rsidRDefault="005F06F5" w:rsidP="40BF5389">
      <w:pPr>
        <w:pStyle w:val="ListParagraph"/>
        <w:numPr>
          <w:ilvl w:val="0"/>
          <w:numId w:val="32"/>
        </w:numPr>
        <w:spacing w:after="0" w:line="240" w:lineRule="auto"/>
        <w:rPr>
          <w:rFonts w:ascii="Cambria" w:hAnsi="Cambria"/>
          <w:color w:val="000000" w:themeColor="text1"/>
          <w:sz w:val="20"/>
          <w:szCs w:val="20"/>
          <w:lang w:val="es-ES"/>
        </w:rPr>
      </w:pPr>
      <w:r w:rsidRPr="40BF5389">
        <w:rPr>
          <w:rFonts w:ascii="Cambria" w:hAnsi="Cambria"/>
          <w:color w:val="000000" w:themeColor="text1"/>
          <w:sz w:val="20"/>
          <w:szCs w:val="20"/>
          <w:lang w:val="es-ES"/>
        </w:rPr>
        <w:t>El 23 de octubre de 2008 el señor Goodman fue sentenciado nuevamente a 50 años de prisión</w:t>
      </w:r>
      <w:r w:rsidR="00BB56C4" w:rsidRPr="40BF5389">
        <w:rPr>
          <w:rFonts w:ascii="Cambria" w:hAnsi="Cambria"/>
          <w:color w:val="000000" w:themeColor="text1"/>
          <w:sz w:val="20"/>
          <w:szCs w:val="20"/>
          <w:lang w:val="es-ES"/>
        </w:rPr>
        <w:t>.</w:t>
      </w:r>
    </w:p>
    <w:p w14:paraId="38D3E0B8" w14:textId="77777777" w:rsidR="00BB56C4" w:rsidRPr="002C4DFE" w:rsidRDefault="00BB56C4" w:rsidP="40BF5389">
      <w:pPr>
        <w:pStyle w:val="ListParagraph"/>
        <w:spacing w:after="0" w:line="240" w:lineRule="auto"/>
        <w:rPr>
          <w:rFonts w:ascii="Cambria" w:hAnsi="Cambria"/>
          <w:color w:val="000000" w:themeColor="text1"/>
          <w:sz w:val="20"/>
          <w:szCs w:val="20"/>
          <w:lang w:val="es-ES"/>
        </w:rPr>
      </w:pPr>
    </w:p>
    <w:p w14:paraId="3360CC4F" w14:textId="77777777" w:rsidR="00BB56C4" w:rsidRPr="002C4DFE" w:rsidRDefault="00BB56C4" w:rsidP="40BF5389">
      <w:pPr>
        <w:pStyle w:val="ListParagraph"/>
        <w:numPr>
          <w:ilvl w:val="0"/>
          <w:numId w:val="20"/>
        </w:numPr>
        <w:spacing w:after="0" w:line="240" w:lineRule="auto"/>
        <w:ind w:firstLine="0"/>
        <w:jc w:val="both"/>
        <w:rPr>
          <w:rFonts w:ascii="Cambria" w:hAnsi="Cambria" w:cs="Calibri Light"/>
          <w:b/>
          <w:bCs/>
          <w:color w:val="000000" w:themeColor="text1"/>
          <w:sz w:val="20"/>
          <w:szCs w:val="20"/>
          <w:lang w:val="es-ES"/>
        </w:rPr>
      </w:pPr>
      <w:r w:rsidRPr="40BF5389">
        <w:rPr>
          <w:rFonts w:ascii="Cambria" w:hAnsi="Cambria" w:cs="Calibri Light"/>
          <w:b/>
          <w:bCs/>
          <w:color w:val="000000" w:themeColor="text1"/>
          <w:sz w:val="20"/>
          <w:szCs w:val="20"/>
          <w:lang w:val="es-ES"/>
        </w:rPr>
        <w:t>Resultados estructurales del caso</w:t>
      </w:r>
    </w:p>
    <w:p w14:paraId="238AC7E5" w14:textId="77777777" w:rsidR="00BB56C4" w:rsidRPr="002C4DFE" w:rsidRDefault="00BB56C4" w:rsidP="40BF5389">
      <w:pPr>
        <w:spacing w:after="0" w:line="240" w:lineRule="auto"/>
        <w:rPr>
          <w:rFonts w:ascii="Cambria" w:hAnsi="Cambria"/>
          <w:color w:val="000000" w:themeColor="text1"/>
          <w:sz w:val="20"/>
          <w:szCs w:val="20"/>
          <w:lang w:val="es-ES"/>
        </w:rPr>
      </w:pPr>
    </w:p>
    <w:p w14:paraId="240956B2" w14:textId="77777777" w:rsidR="00527BCE" w:rsidRPr="002C4DFE" w:rsidRDefault="00527BCE" w:rsidP="40BF5389">
      <w:pPr>
        <w:spacing w:after="0"/>
        <w:rPr>
          <w:rFonts w:ascii="Cambria" w:hAnsi="Cambria"/>
          <w:i/>
          <w:iCs/>
          <w:color w:val="000000" w:themeColor="text1"/>
          <w:sz w:val="20"/>
          <w:szCs w:val="20"/>
          <w:lang w:val="es-ES"/>
        </w:rPr>
      </w:pPr>
      <w:r w:rsidRPr="40BF5389">
        <w:rPr>
          <w:rFonts w:ascii="Cambria" w:hAnsi="Cambria"/>
          <w:i/>
          <w:iCs/>
          <w:color w:val="000000" w:themeColor="text1"/>
          <w:sz w:val="20"/>
          <w:szCs w:val="20"/>
          <w:lang w:val="es-ES"/>
        </w:rPr>
        <w:t>Legislación/Normativa</w:t>
      </w:r>
    </w:p>
    <w:p w14:paraId="154FB61F" w14:textId="77777777" w:rsidR="00527BCE" w:rsidRPr="002C4DFE" w:rsidRDefault="00527BCE" w:rsidP="00527BCE">
      <w:pPr>
        <w:pStyle w:val="ListParagraph"/>
        <w:numPr>
          <w:ilvl w:val="0"/>
          <w:numId w:val="36"/>
        </w:numPr>
        <w:spacing w:line="240" w:lineRule="auto"/>
        <w:jc w:val="both"/>
        <w:rPr>
          <w:rFonts w:ascii="Cambria" w:hAnsi="Cambria"/>
          <w:color w:val="000000" w:themeColor="text1"/>
          <w:sz w:val="20"/>
          <w:szCs w:val="20"/>
          <w:lang w:val="es-ES"/>
        </w:rPr>
      </w:pPr>
      <w:r w:rsidRPr="40BF5389">
        <w:rPr>
          <w:rFonts w:ascii="Cambria" w:hAnsi="Cambria" w:cs="Calibri Light"/>
          <w:color w:val="000000" w:themeColor="text1"/>
          <w:sz w:val="20"/>
          <w:szCs w:val="20"/>
          <w:lang w:val="es-ES"/>
        </w:rPr>
        <w:t xml:space="preserve">Modificación a la legislación penal del país a raíz de la decisión del caso </w:t>
      </w:r>
      <w:proofErr w:type="spellStart"/>
      <w:r w:rsidRPr="40BF5389">
        <w:rPr>
          <w:rFonts w:ascii="Cambria" w:hAnsi="Cambria" w:cs="Calibri Light"/>
          <w:i/>
          <w:iCs/>
          <w:color w:val="000000" w:themeColor="text1"/>
          <w:sz w:val="20"/>
          <w:szCs w:val="20"/>
          <w:lang w:val="es-ES"/>
        </w:rPr>
        <w:t>Bowe</w:t>
      </w:r>
      <w:proofErr w:type="spellEnd"/>
      <w:r w:rsidRPr="40BF5389">
        <w:rPr>
          <w:rFonts w:ascii="Cambria" w:hAnsi="Cambria" w:cs="Calibri Light"/>
          <w:i/>
          <w:iCs/>
          <w:color w:val="000000" w:themeColor="text1"/>
          <w:sz w:val="20"/>
          <w:szCs w:val="20"/>
          <w:lang w:val="es-ES"/>
        </w:rPr>
        <w:t xml:space="preserve"> and </w:t>
      </w:r>
      <w:proofErr w:type="spellStart"/>
      <w:r w:rsidRPr="40BF5389">
        <w:rPr>
          <w:rFonts w:ascii="Cambria" w:hAnsi="Cambria" w:cs="Calibri Light"/>
          <w:i/>
          <w:iCs/>
          <w:color w:val="000000" w:themeColor="text1"/>
          <w:sz w:val="20"/>
          <w:szCs w:val="20"/>
          <w:lang w:val="es-ES"/>
        </w:rPr>
        <w:t>Another</w:t>
      </w:r>
      <w:proofErr w:type="spellEnd"/>
      <w:r w:rsidRPr="40BF5389">
        <w:rPr>
          <w:rFonts w:ascii="Cambria" w:hAnsi="Cambria" w:cs="Calibri Light"/>
          <w:i/>
          <w:iCs/>
          <w:color w:val="000000" w:themeColor="text1"/>
          <w:sz w:val="20"/>
          <w:szCs w:val="20"/>
          <w:lang w:val="es-ES"/>
        </w:rPr>
        <w:t xml:space="preserve"> v. Queen [2006]</w:t>
      </w:r>
      <w:r w:rsidRPr="40BF5389">
        <w:rPr>
          <w:rFonts w:ascii="Cambria" w:hAnsi="Cambria" w:cs="Calibri Light"/>
          <w:color w:val="000000" w:themeColor="text1"/>
          <w:sz w:val="20"/>
          <w:szCs w:val="20"/>
          <w:lang w:val="es-ES"/>
        </w:rPr>
        <w:t xml:space="preserve">, en la que el </w:t>
      </w:r>
      <w:r w:rsidRPr="40BF5389">
        <w:rPr>
          <w:rFonts w:ascii="Cambria" w:hAnsi="Cambria" w:cs="Calibri Light"/>
          <w:i/>
          <w:iCs/>
          <w:color w:val="000000" w:themeColor="text1"/>
          <w:sz w:val="20"/>
          <w:szCs w:val="20"/>
          <w:lang w:val="es-ES"/>
        </w:rPr>
        <w:t xml:space="preserve">Judicial </w:t>
      </w:r>
      <w:proofErr w:type="spellStart"/>
      <w:r w:rsidRPr="40BF5389">
        <w:rPr>
          <w:rFonts w:ascii="Cambria" w:hAnsi="Cambria" w:cs="Calibri Light"/>
          <w:i/>
          <w:iCs/>
          <w:color w:val="000000" w:themeColor="text1"/>
          <w:sz w:val="20"/>
          <w:szCs w:val="20"/>
          <w:lang w:val="es-ES"/>
        </w:rPr>
        <w:t>Committee</w:t>
      </w:r>
      <w:proofErr w:type="spellEnd"/>
      <w:r w:rsidRPr="40BF5389">
        <w:rPr>
          <w:rFonts w:ascii="Cambria" w:hAnsi="Cambria" w:cs="Calibri Light"/>
          <w:i/>
          <w:iCs/>
          <w:color w:val="000000" w:themeColor="text1"/>
          <w:sz w:val="20"/>
          <w:szCs w:val="20"/>
          <w:lang w:val="es-ES"/>
        </w:rPr>
        <w:t xml:space="preserve"> of </w:t>
      </w:r>
      <w:proofErr w:type="spellStart"/>
      <w:r w:rsidRPr="40BF5389">
        <w:rPr>
          <w:rFonts w:ascii="Cambria" w:hAnsi="Cambria" w:cs="Calibri Light"/>
          <w:i/>
          <w:iCs/>
          <w:color w:val="000000" w:themeColor="text1"/>
          <w:sz w:val="20"/>
          <w:szCs w:val="20"/>
          <w:lang w:val="es-ES"/>
        </w:rPr>
        <w:t>the</w:t>
      </w:r>
      <w:proofErr w:type="spellEnd"/>
      <w:r w:rsidRPr="40BF5389">
        <w:rPr>
          <w:rFonts w:ascii="Cambria" w:hAnsi="Cambria" w:cs="Calibri Light"/>
          <w:i/>
          <w:iCs/>
          <w:color w:val="000000" w:themeColor="text1"/>
          <w:sz w:val="20"/>
          <w:szCs w:val="20"/>
          <w:lang w:val="es-ES"/>
        </w:rPr>
        <w:t xml:space="preserve"> </w:t>
      </w:r>
      <w:proofErr w:type="spellStart"/>
      <w:r w:rsidRPr="40BF5389">
        <w:rPr>
          <w:rFonts w:ascii="Cambria" w:hAnsi="Cambria" w:cs="Calibri Light"/>
          <w:i/>
          <w:iCs/>
          <w:color w:val="000000" w:themeColor="text1"/>
          <w:sz w:val="20"/>
          <w:szCs w:val="20"/>
          <w:lang w:val="es-ES"/>
        </w:rPr>
        <w:t>Privy</w:t>
      </w:r>
      <w:proofErr w:type="spellEnd"/>
      <w:r w:rsidRPr="40BF5389">
        <w:rPr>
          <w:rFonts w:ascii="Cambria" w:hAnsi="Cambria" w:cs="Calibri Light"/>
          <w:i/>
          <w:iCs/>
          <w:color w:val="000000" w:themeColor="text1"/>
          <w:sz w:val="20"/>
          <w:szCs w:val="20"/>
          <w:lang w:val="es-ES"/>
        </w:rPr>
        <w:t xml:space="preserve"> Council</w:t>
      </w:r>
      <w:r w:rsidRPr="40BF5389">
        <w:rPr>
          <w:rFonts w:ascii="Cambria" w:hAnsi="Cambria" w:cs="Calibri Light"/>
          <w:color w:val="000000" w:themeColor="text1"/>
          <w:sz w:val="20"/>
          <w:szCs w:val="20"/>
          <w:lang w:val="es-ES"/>
        </w:rPr>
        <w:t xml:space="preserve"> admitió la impugnación de la constitucionalidad de la pena de muerte obligatoria por asesinato por contravenir la prohibición constitucional de las penas inhumanas y degradantes por su falta de individualización. En consecuencia, las personas condenadas a muerte antes de la decisión obtuvieron una revisión de su sentencia.</w:t>
      </w:r>
    </w:p>
    <w:p w14:paraId="2E0A735E" w14:textId="53AF101B" w:rsidR="00527BCE" w:rsidRPr="002C4DFE" w:rsidRDefault="00527BCE" w:rsidP="40BF5389">
      <w:pPr>
        <w:pStyle w:val="Default"/>
        <w:ind w:left="360"/>
        <w:jc w:val="both"/>
        <w:rPr>
          <w:rFonts w:cs="Calibri Light"/>
          <w:color w:val="000000" w:themeColor="text1"/>
          <w:sz w:val="20"/>
          <w:szCs w:val="20"/>
          <w:lang w:val="es-ES"/>
        </w:rPr>
      </w:pPr>
      <w:r w:rsidRPr="40BF5389">
        <w:rPr>
          <w:rFonts w:cs="Calibri Light"/>
          <w:color w:val="000000" w:themeColor="text1"/>
          <w:sz w:val="20"/>
          <w:szCs w:val="20"/>
          <w:lang w:val="es-ES"/>
        </w:rPr>
        <w:t>A</w:t>
      </w:r>
      <w:r w:rsidR="00EF7985" w:rsidRPr="40BF5389">
        <w:rPr>
          <w:rFonts w:cs="Calibri Light"/>
          <w:color w:val="000000" w:themeColor="text1"/>
          <w:sz w:val="20"/>
          <w:szCs w:val="20"/>
          <w:lang w:val="es-ES"/>
        </w:rPr>
        <w:t xml:space="preserve"> </w:t>
      </w:r>
      <w:r w:rsidRPr="40BF5389">
        <w:rPr>
          <w:rFonts w:cs="Calibri Light"/>
          <w:color w:val="000000" w:themeColor="text1"/>
          <w:sz w:val="20"/>
          <w:szCs w:val="20"/>
          <w:lang w:val="es-ES"/>
        </w:rPr>
        <w:t xml:space="preserve">raíz de la decisión en el caso </w:t>
      </w:r>
      <w:proofErr w:type="spellStart"/>
      <w:r w:rsidRPr="40BF5389">
        <w:rPr>
          <w:rFonts w:cs="Calibri Light"/>
          <w:i/>
          <w:iCs/>
          <w:color w:val="000000" w:themeColor="text1"/>
          <w:sz w:val="20"/>
          <w:szCs w:val="20"/>
          <w:lang w:val="es-ES"/>
        </w:rPr>
        <w:t>Bowe</w:t>
      </w:r>
      <w:proofErr w:type="spellEnd"/>
      <w:r w:rsidRPr="40BF5389">
        <w:rPr>
          <w:rFonts w:cs="Calibri Light"/>
          <w:i/>
          <w:iCs/>
          <w:color w:val="000000" w:themeColor="text1"/>
          <w:sz w:val="20"/>
          <w:szCs w:val="20"/>
          <w:lang w:val="es-ES"/>
        </w:rPr>
        <w:t xml:space="preserve">, </w:t>
      </w:r>
      <w:r w:rsidRPr="40BF5389">
        <w:rPr>
          <w:rFonts w:cs="Calibri Light"/>
          <w:color w:val="000000" w:themeColor="text1"/>
          <w:sz w:val="20"/>
          <w:szCs w:val="20"/>
          <w:lang w:val="es-ES"/>
        </w:rPr>
        <w:t xml:space="preserve">se adoptaron medidas legislativas como: </w:t>
      </w:r>
    </w:p>
    <w:p w14:paraId="61F8A826" w14:textId="77777777" w:rsidR="00527BCE" w:rsidRPr="002C4DFE" w:rsidRDefault="00527BCE" w:rsidP="40BF5389">
      <w:pPr>
        <w:pStyle w:val="Default"/>
        <w:ind w:left="360"/>
        <w:jc w:val="both"/>
        <w:rPr>
          <w:rFonts w:cs="Calibri Light"/>
          <w:color w:val="000000" w:themeColor="text1"/>
          <w:sz w:val="20"/>
          <w:szCs w:val="20"/>
          <w:lang w:val="es-ES"/>
        </w:rPr>
      </w:pPr>
    </w:p>
    <w:p w14:paraId="1B57B331" w14:textId="77777777" w:rsidR="00527BCE" w:rsidRPr="002C4DFE" w:rsidRDefault="00527BCE" w:rsidP="40BF5389">
      <w:pPr>
        <w:pStyle w:val="Default"/>
        <w:ind w:left="720"/>
        <w:jc w:val="both"/>
        <w:rPr>
          <w:rFonts w:cs="Calibri Light"/>
          <w:color w:val="000000" w:themeColor="text1"/>
          <w:sz w:val="20"/>
          <w:szCs w:val="20"/>
          <w:lang w:val="es-ES"/>
        </w:rPr>
      </w:pPr>
      <w:r w:rsidRPr="40BF5389">
        <w:rPr>
          <w:rFonts w:cs="Calibri Light"/>
          <w:color w:val="000000" w:themeColor="text1"/>
          <w:sz w:val="20"/>
          <w:szCs w:val="20"/>
          <w:lang w:val="es-ES"/>
        </w:rPr>
        <w:t xml:space="preserve">1) Derogar y sustituir la pena de muerte obligatoria en el Código Penal (Ley de Enmienda) en 2011 y crear directrices para reevaluar las sentencias en las condenas por homicidio; </w:t>
      </w:r>
    </w:p>
    <w:p w14:paraId="0E821C2C" w14:textId="33668662" w:rsidR="00527BCE" w:rsidRDefault="00527BCE" w:rsidP="40BF5389">
      <w:pPr>
        <w:pStyle w:val="Default"/>
        <w:ind w:left="720"/>
        <w:jc w:val="both"/>
        <w:rPr>
          <w:rFonts w:cs="Calibri Light"/>
          <w:color w:val="000000" w:themeColor="text1"/>
          <w:sz w:val="20"/>
          <w:szCs w:val="20"/>
          <w:lang w:val="es-ES"/>
        </w:rPr>
      </w:pPr>
      <w:r w:rsidRPr="40BF5389">
        <w:rPr>
          <w:rFonts w:cs="Calibri Light"/>
          <w:color w:val="000000" w:themeColor="text1"/>
          <w:sz w:val="20"/>
          <w:szCs w:val="20"/>
          <w:lang w:val="es-ES"/>
        </w:rPr>
        <w:t xml:space="preserve">2) Por la decisión en el caso </w:t>
      </w:r>
      <w:proofErr w:type="spellStart"/>
      <w:r w:rsidRPr="40BF5389">
        <w:rPr>
          <w:rFonts w:cs="Calibri Light"/>
          <w:i/>
          <w:iCs/>
          <w:color w:val="000000" w:themeColor="text1"/>
          <w:sz w:val="20"/>
          <w:szCs w:val="20"/>
          <w:lang w:val="es-ES"/>
        </w:rPr>
        <w:t>Tido</w:t>
      </w:r>
      <w:proofErr w:type="spellEnd"/>
      <w:r w:rsidRPr="40BF5389">
        <w:rPr>
          <w:rFonts w:cs="Calibri Light"/>
          <w:i/>
          <w:iCs/>
          <w:color w:val="000000" w:themeColor="text1"/>
          <w:sz w:val="20"/>
          <w:szCs w:val="20"/>
          <w:lang w:val="es-ES"/>
        </w:rPr>
        <w:t xml:space="preserve"> v </w:t>
      </w:r>
      <w:proofErr w:type="spellStart"/>
      <w:r w:rsidRPr="40BF5389">
        <w:rPr>
          <w:rFonts w:cs="Calibri Light"/>
          <w:i/>
          <w:iCs/>
          <w:color w:val="000000" w:themeColor="text1"/>
          <w:sz w:val="20"/>
          <w:szCs w:val="20"/>
          <w:lang w:val="es-ES"/>
        </w:rPr>
        <w:t>The</w:t>
      </w:r>
      <w:proofErr w:type="spellEnd"/>
      <w:r w:rsidRPr="40BF5389">
        <w:rPr>
          <w:rFonts w:cs="Calibri Light"/>
          <w:i/>
          <w:iCs/>
          <w:color w:val="000000" w:themeColor="text1"/>
          <w:sz w:val="20"/>
          <w:szCs w:val="20"/>
          <w:lang w:val="es-ES"/>
        </w:rPr>
        <w:t xml:space="preserve"> Queen [2011]</w:t>
      </w:r>
      <w:r w:rsidRPr="40BF5389">
        <w:rPr>
          <w:rFonts w:cs="Calibri Light"/>
          <w:color w:val="000000" w:themeColor="text1"/>
          <w:sz w:val="20"/>
          <w:szCs w:val="20"/>
          <w:lang w:val="es-ES"/>
        </w:rPr>
        <w:t xml:space="preserve">, el </w:t>
      </w:r>
      <w:proofErr w:type="spellStart"/>
      <w:r w:rsidRPr="40BF5389">
        <w:rPr>
          <w:rFonts w:cs="Calibri Light"/>
          <w:i/>
          <w:iCs/>
          <w:color w:val="000000" w:themeColor="text1"/>
          <w:sz w:val="20"/>
          <w:szCs w:val="20"/>
          <w:lang w:val="es-ES"/>
        </w:rPr>
        <w:t>Privy</w:t>
      </w:r>
      <w:proofErr w:type="spellEnd"/>
      <w:r w:rsidRPr="40BF5389">
        <w:rPr>
          <w:rFonts w:cs="Calibri Light"/>
          <w:i/>
          <w:iCs/>
          <w:color w:val="000000" w:themeColor="text1"/>
          <w:sz w:val="20"/>
          <w:szCs w:val="20"/>
          <w:lang w:val="es-ES"/>
        </w:rPr>
        <w:t xml:space="preserve"> Council</w:t>
      </w:r>
      <w:r w:rsidRPr="40BF5389">
        <w:rPr>
          <w:rFonts w:cs="Calibri Light"/>
          <w:color w:val="000000" w:themeColor="text1"/>
          <w:sz w:val="20"/>
          <w:szCs w:val="20"/>
          <w:lang w:val="es-ES"/>
        </w:rPr>
        <w:t xml:space="preserve"> estableció los criterios y estándares judiciales para la imposición de la pena de muerte sólo en los casos en los que los hechos del delito son los más extremos y excepcionales, a partir de la aplicación </w:t>
      </w:r>
      <w:proofErr w:type="gramStart"/>
      <w:r w:rsidRPr="40BF5389">
        <w:rPr>
          <w:rFonts w:cs="Calibri Light"/>
          <w:color w:val="000000" w:themeColor="text1"/>
          <w:sz w:val="20"/>
          <w:szCs w:val="20"/>
          <w:lang w:val="es-ES"/>
        </w:rPr>
        <w:t>del test</w:t>
      </w:r>
      <w:proofErr w:type="gramEnd"/>
      <w:r w:rsidRPr="40BF5389">
        <w:rPr>
          <w:rFonts w:cs="Calibri Light"/>
          <w:color w:val="000000" w:themeColor="text1"/>
          <w:sz w:val="20"/>
          <w:szCs w:val="20"/>
          <w:lang w:val="es-ES"/>
        </w:rPr>
        <w:t xml:space="preserve"> denominado “</w:t>
      </w:r>
      <w:proofErr w:type="spellStart"/>
      <w:r w:rsidRPr="40BF5389">
        <w:rPr>
          <w:rFonts w:cs="Calibri Light"/>
          <w:i/>
          <w:iCs/>
          <w:color w:val="000000" w:themeColor="text1"/>
          <w:sz w:val="20"/>
          <w:szCs w:val="20"/>
          <w:lang w:val="es-ES"/>
        </w:rPr>
        <w:t>worst</w:t>
      </w:r>
      <w:proofErr w:type="spellEnd"/>
      <w:r w:rsidRPr="40BF5389">
        <w:rPr>
          <w:rFonts w:cs="Calibri Light"/>
          <w:i/>
          <w:iCs/>
          <w:color w:val="000000" w:themeColor="text1"/>
          <w:sz w:val="20"/>
          <w:szCs w:val="20"/>
          <w:lang w:val="es-ES"/>
        </w:rPr>
        <w:t xml:space="preserve"> of </w:t>
      </w:r>
      <w:proofErr w:type="spellStart"/>
      <w:r w:rsidRPr="40BF5389">
        <w:rPr>
          <w:rFonts w:cs="Calibri Light"/>
          <w:i/>
          <w:iCs/>
          <w:color w:val="000000" w:themeColor="text1"/>
          <w:sz w:val="20"/>
          <w:szCs w:val="20"/>
          <w:lang w:val="es-ES"/>
        </w:rPr>
        <w:t>the</w:t>
      </w:r>
      <w:proofErr w:type="spellEnd"/>
      <w:r w:rsidRPr="40BF5389">
        <w:rPr>
          <w:rFonts w:cs="Calibri Light"/>
          <w:i/>
          <w:iCs/>
          <w:color w:val="000000" w:themeColor="text1"/>
          <w:sz w:val="20"/>
          <w:szCs w:val="20"/>
          <w:lang w:val="es-ES"/>
        </w:rPr>
        <w:t xml:space="preserve"> </w:t>
      </w:r>
      <w:proofErr w:type="spellStart"/>
      <w:r w:rsidRPr="40BF5389">
        <w:rPr>
          <w:rFonts w:cs="Calibri Light"/>
          <w:i/>
          <w:iCs/>
          <w:color w:val="000000" w:themeColor="text1"/>
          <w:sz w:val="20"/>
          <w:szCs w:val="20"/>
          <w:lang w:val="es-ES"/>
        </w:rPr>
        <w:t>worst</w:t>
      </w:r>
      <w:proofErr w:type="spellEnd"/>
      <w:r w:rsidRPr="40BF5389">
        <w:rPr>
          <w:rFonts w:cs="Calibri Light"/>
          <w:color w:val="000000" w:themeColor="text1"/>
          <w:sz w:val="20"/>
          <w:szCs w:val="20"/>
          <w:lang w:val="es-ES"/>
        </w:rPr>
        <w:t xml:space="preserve">” </w:t>
      </w:r>
      <w:proofErr w:type="spellStart"/>
      <w:r w:rsidRPr="40BF5389">
        <w:rPr>
          <w:rFonts w:cs="Calibri Light"/>
          <w:color w:val="000000" w:themeColor="text1"/>
          <w:sz w:val="20"/>
          <w:szCs w:val="20"/>
          <w:lang w:val="es-ES"/>
        </w:rPr>
        <w:t>or</w:t>
      </w:r>
      <w:proofErr w:type="spellEnd"/>
      <w:r w:rsidRPr="40BF5389">
        <w:rPr>
          <w:rFonts w:cs="Calibri Light"/>
          <w:color w:val="000000" w:themeColor="text1"/>
          <w:sz w:val="20"/>
          <w:szCs w:val="20"/>
          <w:lang w:val="es-ES"/>
        </w:rPr>
        <w:t xml:space="preserve"> “</w:t>
      </w:r>
      <w:proofErr w:type="spellStart"/>
      <w:r w:rsidRPr="40BF5389">
        <w:rPr>
          <w:rFonts w:cs="Calibri Light"/>
          <w:i/>
          <w:iCs/>
          <w:color w:val="000000" w:themeColor="text1"/>
          <w:sz w:val="20"/>
          <w:szCs w:val="20"/>
          <w:lang w:val="es-ES"/>
        </w:rPr>
        <w:t>the</w:t>
      </w:r>
      <w:proofErr w:type="spellEnd"/>
      <w:r w:rsidRPr="40BF5389">
        <w:rPr>
          <w:rFonts w:cs="Calibri Light"/>
          <w:i/>
          <w:iCs/>
          <w:color w:val="000000" w:themeColor="text1"/>
          <w:sz w:val="20"/>
          <w:szCs w:val="20"/>
          <w:lang w:val="es-ES"/>
        </w:rPr>
        <w:t xml:space="preserve"> </w:t>
      </w:r>
      <w:proofErr w:type="spellStart"/>
      <w:r w:rsidRPr="40BF5389">
        <w:rPr>
          <w:rFonts w:cs="Calibri Light"/>
          <w:i/>
          <w:iCs/>
          <w:color w:val="000000" w:themeColor="text1"/>
          <w:sz w:val="20"/>
          <w:szCs w:val="20"/>
          <w:lang w:val="es-ES"/>
        </w:rPr>
        <w:t>rarest</w:t>
      </w:r>
      <w:proofErr w:type="spellEnd"/>
      <w:r w:rsidRPr="40BF5389">
        <w:rPr>
          <w:rFonts w:cs="Calibri Light"/>
          <w:i/>
          <w:iCs/>
          <w:color w:val="000000" w:themeColor="text1"/>
          <w:sz w:val="20"/>
          <w:szCs w:val="20"/>
          <w:lang w:val="es-ES"/>
        </w:rPr>
        <w:t xml:space="preserve"> of rare</w:t>
      </w:r>
      <w:r w:rsidRPr="40BF5389">
        <w:rPr>
          <w:rFonts w:cs="Calibri Light"/>
          <w:color w:val="000000" w:themeColor="text1"/>
          <w:sz w:val="20"/>
          <w:szCs w:val="20"/>
          <w:lang w:val="es-ES"/>
        </w:rPr>
        <w:t>”.</w:t>
      </w:r>
    </w:p>
    <w:p w14:paraId="7F3E2288" w14:textId="77777777" w:rsidR="00EF7985" w:rsidRPr="002C4DFE" w:rsidRDefault="00EF7985" w:rsidP="40BF5389">
      <w:pPr>
        <w:pStyle w:val="Default"/>
        <w:jc w:val="both"/>
        <w:rPr>
          <w:rFonts w:cs="Calibri Light"/>
          <w:color w:val="000000" w:themeColor="text1"/>
          <w:sz w:val="20"/>
          <w:szCs w:val="20"/>
          <w:lang w:val="es-ES"/>
        </w:rPr>
      </w:pPr>
    </w:p>
    <w:p w14:paraId="1DE1E159" w14:textId="77777777" w:rsidR="00527BCE" w:rsidRPr="002C4DFE" w:rsidRDefault="00527BCE" w:rsidP="40BF5389">
      <w:pPr>
        <w:pStyle w:val="ListParagraph"/>
        <w:numPr>
          <w:ilvl w:val="0"/>
          <w:numId w:val="36"/>
        </w:numPr>
        <w:spacing w:line="240" w:lineRule="auto"/>
        <w:jc w:val="both"/>
        <w:rPr>
          <w:rFonts w:ascii="Cambria" w:hAnsi="Cambria"/>
          <w:i/>
          <w:iCs/>
          <w:color w:val="000000" w:themeColor="text1"/>
          <w:sz w:val="20"/>
          <w:szCs w:val="20"/>
          <w:lang w:val="es-ES"/>
        </w:rPr>
      </w:pPr>
      <w:r w:rsidRPr="40BF5389">
        <w:rPr>
          <w:rFonts w:ascii="Cambria" w:hAnsi="Cambria" w:cs="Calibri Light"/>
          <w:color w:val="000000" w:themeColor="text1"/>
          <w:sz w:val="20"/>
          <w:szCs w:val="20"/>
          <w:lang w:val="es-ES"/>
        </w:rPr>
        <w:t>Enmiendas para permitir la presentación de una acusación voluntaria (</w:t>
      </w:r>
      <w:proofErr w:type="spellStart"/>
      <w:r w:rsidRPr="40BF5389">
        <w:rPr>
          <w:rFonts w:ascii="Cambria" w:hAnsi="Cambria"/>
          <w:i/>
          <w:iCs/>
          <w:color w:val="000000" w:themeColor="text1"/>
          <w:sz w:val="20"/>
          <w:szCs w:val="20"/>
          <w:lang w:val="es-CO"/>
        </w:rPr>
        <w:t>Voluntary</w:t>
      </w:r>
      <w:proofErr w:type="spellEnd"/>
      <w:r w:rsidRPr="40BF5389">
        <w:rPr>
          <w:rFonts w:ascii="Cambria" w:hAnsi="Cambria"/>
          <w:i/>
          <w:iCs/>
          <w:color w:val="000000" w:themeColor="text1"/>
          <w:sz w:val="20"/>
          <w:szCs w:val="20"/>
          <w:lang w:val="es-CO"/>
        </w:rPr>
        <w:t xml:space="preserve"> Bill of </w:t>
      </w:r>
      <w:proofErr w:type="spellStart"/>
      <w:r w:rsidRPr="40BF5389">
        <w:rPr>
          <w:rFonts w:ascii="Cambria" w:hAnsi="Cambria"/>
          <w:i/>
          <w:iCs/>
          <w:color w:val="000000" w:themeColor="text1"/>
          <w:sz w:val="20"/>
          <w:szCs w:val="20"/>
          <w:lang w:val="es-CO"/>
        </w:rPr>
        <w:t>Indictment</w:t>
      </w:r>
      <w:proofErr w:type="spellEnd"/>
      <w:r w:rsidRPr="40BF5389">
        <w:rPr>
          <w:rFonts w:ascii="Cambria" w:hAnsi="Cambria"/>
          <w:color w:val="000000" w:themeColor="text1"/>
          <w:sz w:val="20"/>
          <w:szCs w:val="20"/>
          <w:lang w:val="es-CO"/>
        </w:rPr>
        <w:t xml:space="preserve"> - </w:t>
      </w:r>
      <w:r w:rsidRPr="40BF5389">
        <w:rPr>
          <w:rFonts w:ascii="Cambria" w:hAnsi="Cambria" w:cs="Calibri Light"/>
          <w:color w:val="000000" w:themeColor="text1"/>
          <w:sz w:val="20"/>
          <w:szCs w:val="20"/>
          <w:lang w:val="es-ES"/>
        </w:rPr>
        <w:t>VBI) como alternativa al trámite de Investigación Preliminar, con el fin de acelerar los juicios, prevista en las reglas de 2021 la Corte Suprema (</w:t>
      </w:r>
      <w:r w:rsidRPr="40BF5389">
        <w:rPr>
          <w:rFonts w:ascii="Cambria" w:hAnsi="Cambria" w:cs="Calibri Light"/>
          <w:i/>
          <w:iCs/>
          <w:color w:val="000000" w:themeColor="text1"/>
          <w:sz w:val="20"/>
          <w:szCs w:val="20"/>
          <w:lang w:val="es-ES"/>
        </w:rPr>
        <w:t xml:space="preserve">Supreme </w:t>
      </w:r>
      <w:proofErr w:type="spellStart"/>
      <w:r w:rsidRPr="40BF5389">
        <w:rPr>
          <w:rFonts w:ascii="Cambria" w:hAnsi="Cambria" w:cs="Calibri Light"/>
          <w:i/>
          <w:iCs/>
          <w:color w:val="000000" w:themeColor="text1"/>
          <w:sz w:val="20"/>
          <w:szCs w:val="20"/>
          <w:lang w:val="es-ES"/>
        </w:rPr>
        <w:t>Court</w:t>
      </w:r>
      <w:proofErr w:type="spellEnd"/>
      <w:r w:rsidRPr="40BF5389">
        <w:rPr>
          <w:rFonts w:ascii="Cambria" w:hAnsi="Cambria" w:cs="Calibri Light"/>
          <w:i/>
          <w:iCs/>
          <w:color w:val="000000" w:themeColor="text1"/>
          <w:sz w:val="20"/>
          <w:szCs w:val="20"/>
          <w:lang w:val="es-ES"/>
        </w:rPr>
        <w:t>)</w:t>
      </w:r>
      <w:r w:rsidRPr="40BF5389">
        <w:rPr>
          <w:rFonts w:ascii="Cambria" w:hAnsi="Cambria" w:cs="Calibri Light"/>
          <w:color w:val="000000" w:themeColor="text1"/>
          <w:sz w:val="20"/>
          <w:szCs w:val="20"/>
          <w:lang w:val="es-ES"/>
        </w:rPr>
        <w:t xml:space="preserve">; </w:t>
      </w:r>
    </w:p>
    <w:p w14:paraId="7D8EE646" w14:textId="77777777" w:rsidR="00527BCE" w:rsidRPr="002C4DFE" w:rsidRDefault="00527BCE" w:rsidP="40BF5389">
      <w:pPr>
        <w:pStyle w:val="ListParagraph"/>
        <w:numPr>
          <w:ilvl w:val="0"/>
          <w:numId w:val="36"/>
        </w:numPr>
        <w:spacing w:line="240" w:lineRule="auto"/>
        <w:jc w:val="both"/>
        <w:rPr>
          <w:rFonts w:ascii="Cambria" w:hAnsi="Cambria"/>
          <w:i/>
          <w:iCs/>
          <w:color w:val="000000" w:themeColor="text1"/>
          <w:sz w:val="20"/>
          <w:szCs w:val="20"/>
          <w:lang w:val="es-ES"/>
        </w:rPr>
      </w:pPr>
      <w:r w:rsidRPr="40BF5389">
        <w:rPr>
          <w:rFonts w:ascii="Cambria" w:hAnsi="Cambria" w:cs="Calibri Light"/>
          <w:color w:val="000000" w:themeColor="text1"/>
          <w:sz w:val="20"/>
          <w:szCs w:val="20"/>
          <w:lang w:val="es-ES"/>
        </w:rPr>
        <w:t>Modificación de la Ley de Fianzas que prevé que una persona acusada de un delito sea juzgada en un plazo de tres años a partir de la fecha de su arresto y que establece la opción de que se le conceda la libertad bajo fianza, aun cuando se le imputen delitos graves.</w:t>
      </w:r>
    </w:p>
    <w:p w14:paraId="38F19DBA" w14:textId="0A4D9F99" w:rsidR="00B144E0" w:rsidRPr="002C4DFE" w:rsidRDefault="00B144E0" w:rsidP="40BF5389">
      <w:pPr>
        <w:pStyle w:val="ListParagraph"/>
        <w:spacing w:after="0" w:line="240" w:lineRule="auto"/>
        <w:rPr>
          <w:rFonts w:ascii="Cambria" w:hAnsi="Cambria"/>
          <w:color w:val="000000" w:themeColor="text1"/>
          <w:sz w:val="20"/>
          <w:szCs w:val="20"/>
          <w:lang w:val="es-ES"/>
        </w:rPr>
      </w:pPr>
    </w:p>
    <w:p w14:paraId="471EA66A" w14:textId="77777777" w:rsidR="00527BCE" w:rsidRPr="002C4DFE" w:rsidRDefault="00527BCE" w:rsidP="40BF5389">
      <w:pPr>
        <w:pStyle w:val="Default"/>
        <w:jc w:val="both"/>
        <w:rPr>
          <w:rFonts w:cs="Calibri Light"/>
          <w:i/>
          <w:iCs/>
          <w:color w:val="000000" w:themeColor="text1"/>
          <w:sz w:val="20"/>
          <w:szCs w:val="20"/>
          <w:lang w:val="es-ES"/>
        </w:rPr>
      </w:pPr>
      <w:r w:rsidRPr="40BF5389">
        <w:rPr>
          <w:rFonts w:cs="Calibri Light"/>
          <w:i/>
          <w:iCs/>
          <w:color w:val="000000" w:themeColor="text1"/>
          <w:sz w:val="20"/>
          <w:szCs w:val="20"/>
          <w:lang w:val="es-ES"/>
        </w:rPr>
        <w:t>Políticas públicas</w:t>
      </w:r>
    </w:p>
    <w:p w14:paraId="7DE30CBE" w14:textId="77777777" w:rsidR="00527BCE" w:rsidRPr="002C4DFE" w:rsidRDefault="00527BCE" w:rsidP="40BF5389">
      <w:pPr>
        <w:pStyle w:val="ListParagraph"/>
        <w:numPr>
          <w:ilvl w:val="0"/>
          <w:numId w:val="36"/>
        </w:numPr>
        <w:spacing w:line="240" w:lineRule="auto"/>
        <w:jc w:val="both"/>
        <w:rPr>
          <w:rFonts w:ascii="Cambria" w:hAnsi="Cambria"/>
          <w:i/>
          <w:iCs/>
          <w:color w:val="000000" w:themeColor="text1"/>
          <w:sz w:val="20"/>
          <w:szCs w:val="20"/>
          <w:lang w:val="es-ES"/>
        </w:rPr>
      </w:pPr>
      <w:r w:rsidRPr="40BF5389">
        <w:rPr>
          <w:rFonts w:ascii="Cambria" w:hAnsi="Cambria" w:cs="Calibri Light"/>
          <w:color w:val="000000" w:themeColor="text1"/>
          <w:sz w:val="20"/>
          <w:szCs w:val="20"/>
          <w:lang w:val="es-ES"/>
        </w:rPr>
        <w:t xml:space="preserve">Iniciativa </w:t>
      </w:r>
      <w:r w:rsidRPr="40BF5389">
        <w:rPr>
          <w:rFonts w:ascii="Cambria" w:hAnsi="Cambria" w:cs="Calibri Light"/>
          <w:i/>
          <w:iCs/>
          <w:color w:val="000000" w:themeColor="text1"/>
          <w:sz w:val="20"/>
          <w:szCs w:val="20"/>
          <w:lang w:val="es-ES"/>
        </w:rPr>
        <w:t xml:space="preserve">Swift </w:t>
      </w:r>
      <w:proofErr w:type="spellStart"/>
      <w:r w:rsidRPr="40BF5389">
        <w:rPr>
          <w:rFonts w:ascii="Cambria" w:hAnsi="Cambria" w:cs="Calibri Light"/>
          <w:i/>
          <w:iCs/>
          <w:color w:val="000000" w:themeColor="text1"/>
          <w:sz w:val="20"/>
          <w:szCs w:val="20"/>
          <w:lang w:val="es-ES"/>
        </w:rPr>
        <w:t>Justice</w:t>
      </w:r>
      <w:proofErr w:type="spellEnd"/>
      <w:r w:rsidRPr="40BF5389">
        <w:rPr>
          <w:rFonts w:ascii="Cambria" w:hAnsi="Cambria" w:cs="Calibri Light"/>
          <w:i/>
          <w:iCs/>
          <w:color w:val="000000" w:themeColor="text1"/>
          <w:sz w:val="20"/>
          <w:szCs w:val="20"/>
          <w:lang w:val="es-ES"/>
        </w:rPr>
        <w:t xml:space="preserve">, </w:t>
      </w:r>
      <w:r w:rsidRPr="40BF5389">
        <w:rPr>
          <w:rFonts w:ascii="Cambria" w:hAnsi="Cambria" w:cs="Calibri Light"/>
          <w:color w:val="000000" w:themeColor="text1"/>
          <w:sz w:val="20"/>
          <w:szCs w:val="20"/>
          <w:lang w:val="es-ES"/>
        </w:rPr>
        <w:t>con el objetivo de reducir la acumulación de casos y aumentar la velocidad y la eficiencia del sistema de justicia, asegurando que los crímenes sean investigados en debida forma y que los juicios inicien y se procesen en un tiempo razonable. De acuerdo con el Estado, esta iniciativa ha dado lugar a: (i) un mayor uso de la VBI; (</w:t>
      </w:r>
      <w:proofErr w:type="spellStart"/>
      <w:r w:rsidRPr="40BF5389">
        <w:rPr>
          <w:rFonts w:ascii="Cambria" w:hAnsi="Cambria" w:cs="Calibri Light"/>
          <w:color w:val="000000" w:themeColor="text1"/>
          <w:sz w:val="20"/>
          <w:szCs w:val="20"/>
          <w:lang w:val="es-ES"/>
        </w:rPr>
        <w:t>ii</w:t>
      </w:r>
      <w:proofErr w:type="spellEnd"/>
      <w:r w:rsidRPr="40BF5389">
        <w:rPr>
          <w:rFonts w:ascii="Cambria" w:hAnsi="Cambria" w:cs="Calibri Light"/>
          <w:color w:val="000000" w:themeColor="text1"/>
          <w:sz w:val="20"/>
          <w:szCs w:val="20"/>
          <w:lang w:val="es-ES"/>
        </w:rPr>
        <w:t xml:space="preserve">) una mayor cooperación entre la policía, los fiscales y otros agentes del proceso de justicia penal; </w:t>
      </w:r>
      <w:proofErr w:type="spellStart"/>
      <w:r w:rsidRPr="40BF5389">
        <w:rPr>
          <w:rFonts w:ascii="Cambria" w:hAnsi="Cambria" w:cs="Calibri Light"/>
          <w:color w:val="000000" w:themeColor="text1"/>
          <w:sz w:val="20"/>
          <w:szCs w:val="20"/>
          <w:lang w:val="es-ES"/>
        </w:rPr>
        <w:t>iii</w:t>
      </w:r>
      <w:proofErr w:type="spellEnd"/>
      <w:r w:rsidRPr="40BF5389">
        <w:rPr>
          <w:rFonts w:ascii="Cambria" w:hAnsi="Cambria" w:cs="Calibri Light"/>
          <w:color w:val="000000" w:themeColor="text1"/>
          <w:sz w:val="20"/>
          <w:szCs w:val="20"/>
          <w:lang w:val="es-ES"/>
        </w:rPr>
        <w:t>) el uso del sistema de justicia integrado que proporciona un sistema de información para gestionar casos graves (especialmente los asesinatos); (</w:t>
      </w:r>
      <w:proofErr w:type="spellStart"/>
      <w:r w:rsidRPr="40BF5389">
        <w:rPr>
          <w:rFonts w:ascii="Cambria" w:hAnsi="Cambria" w:cs="Calibri Light"/>
          <w:color w:val="000000" w:themeColor="text1"/>
          <w:sz w:val="20"/>
          <w:szCs w:val="20"/>
          <w:lang w:val="es-ES"/>
        </w:rPr>
        <w:t>iv</w:t>
      </w:r>
      <w:proofErr w:type="spellEnd"/>
      <w:r w:rsidRPr="40BF5389">
        <w:rPr>
          <w:rFonts w:ascii="Cambria" w:hAnsi="Cambria" w:cs="Calibri Light"/>
          <w:color w:val="000000" w:themeColor="text1"/>
          <w:sz w:val="20"/>
          <w:szCs w:val="20"/>
          <w:lang w:val="es-ES"/>
        </w:rPr>
        <w:t>) la mejora del sistema de información judicial; (v) el uso de equipos de gestión de proyectos y casos de la Oficina del Director de la Fiscalía; y (vi) el establecimiento de más tribunales penales.</w:t>
      </w:r>
    </w:p>
    <w:p w14:paraId="5EF0634F" w14:textId="77777777" w:rsidR="00527BCE" w:rsidRPr="009A2EED" w:rsidRDefault="00527BCE" w:rsidP="40BF5389">
      <w:pPr>
        <w:pStyle w:val="ListParagraph"/>
        <w:spacing w:after="0" w:line="240" w:lineRule="auto"/>
        <w:rPr>
          <w:rFonts w:ascii="Cambria" w:hAnsi="Cambria"/>
          <w:color w:val="000000" w:themeColor="text1"/>
          <w:sz w:val="20"/>
          <w:szCs w:val="20"/>
          <w:lang w:val="es-ES"/>
        </w:rPr>
      </w:pPr>
    </w:p>
    <w:sectPr w:rsidR="00527BCE" w:rsidRPr="009A2EED" w:rsidSect="009969F9">
      <w:headerReference w:type="default" r:id="rId9"/>
      <w:footerReference w:type="default" r:id="rId10"/>
      <w:headerReference w:type="first" r:id="rId11"/>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34A8" w14:textId="77777777" w:rsidR="003F070C" w:rsidRDefault="003F070C" w:rsidP="007B15E0">
      <w:pPr>
        <w:spacing w:after="0" w:line="240" w:lineRule="auto"/>
      </w:pPr>
      <w:r>
        <w:separator/>
      </w:r>
    </w:p>
  </w:endnote>
  <w:endnote w:type="continuationSeparator" w:id="0">
    <w:p w14:paraId="2559E8A5" w14:textId="77777777" w:rsidR="003F070C" w:rsidRDefault="003F070C"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964791"/>
      <w:docPartObj>
        <w:docPartGallery w:val="Page Numbers (Bottom of Page)"/>
        <w:docPartUnique/>
      </w:docPartObj>
    </w:sdtPr>
    <w:sdtEndPr>
      <w:rPr>
        <w:noProof/>
        <w:sz w:val="16"/>
        <w:szCs w:val="16"/>
      </w:rPr>
    </w:sdtEndPr>
    <w:sdtContent>
      <w:p w14:paraId="20E425CC" w14:textId="79F5645C" w:rsidR="005818F5" w:rsidRPr="00594FE3" w:rsidRDefault="005818F5">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6666A5">
          <w:rPr>
            <w:noProof/>
            <w:sz w:val="16"/>
            <w:szCs w:val="16"/>
          </w:rPr>
          <w:t>2</w:t>
        </w:r>
        <w:r w:rsidRPr="00594FE3">
          <w:rPr>
            <w:noProof/>
            <w:sz w:val="16"/>
            <w:szCs w:val="16"/>
          </w:rPr>
          <w:fldChar w:fldCharType="end"/>
        </w:r>
      </w:p>
    </w:sdtContent>
  </w:sdt>
  <w:p w14:paraId="6B8AB5AF" w14:textId="77777777" w:rsidR="005818F5" w:rsidRDefault="00581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BED7" w14:textId="77777777" w:rsidR="003F070C" w:rsidRDefault="003F070C" w:rsidP="007B15E0">
      <w:pPr>
        <w:spacing w:after="0" w:line="240" w:lineRule="auto"/>
      </w:pPr>
      <w:r>
        <w:separator/>
      </w:r>
    </w:p>
  </w:footnote>
  <w:footnote w:type="continuationSeparator" w:id="0">
    <w:p w14:paraId="02D922C5" w14:textId="77777777" w:rsidR="003F070C" w:rsidRDefault="003F070C" w:rsidP="007B15E0">
      <w:pPr>
        <w:spacing w:after="0" w:line="240" w:lineRule="auto"/>
      </w:pPr>
      <w:r>
        <w:continuationSeparator/>
      </w:r>
    </w:p>
  </w:footnote>
  <w:footnote w:id="1">
    <w:p w14:paraId="0A6E2742" w14:textId="77777777" w:rsidR="00412B40" w:rsidRPr="00A4696C" w:rsidRDefault="00412B40" w:rsidP="00412B40">
      <w:pPr>
        <w:pStyle w:val="FootnoteText"/>
        <w:spacing w:after="120"/>
        <w:ind w:firstLine="720"/>
        <w:jc w:val="both"/>
        <w:rPr>
          <w:rFonts w:ascii="Cambria" w:hAnsi="Cambria"/>
          <w:sz w:val="16"/>
          <w:szCs w:val="16"/>
          <w:lang w:val="es-CO"/>
        </w:rPr>
      </w:pPr>
      <w:r w:rsidRPr="00A4696C">
        <w:rPr>
          <w:rStyle w:val="FootnoteReference"/>
          <w:rFonts w:ascii="Cambria" w:hAnsi="Cambria"/>
          <w:sz w:val="16"/>
          <w:szCs w:val="16"/>
          <w:lang w:val="es-ES"/>
        </w:rPr>
        <w:footnoteRef/>
      </w:r>
      <w:r w:rsidRPr="00A4696C">
        <w:rPr>
          <w:rFonts w:ascii="Cambria" w:hAnsi="Cambria"/>
          <w:sz w:val="16"/>
          <w:szCs w:val="16"/>
          <w:lang w:val="es-CO"/>
        </w:rPr>
        <w:t xml:space="preserve"> Corte IDH, </w:t>
      </w:r>
      <w:hyperlink r:id="rId1" w:history="1">
        <w:r w:rsidRPr="00A4696C">
          <w:rPr>
            <w:rStyle w:val="Hyperlink"/>
            <w:rFonts w:ascii="Cambria" w:hAnsi="Cambria"/>
            <w:color w:val="auto"/>
            <w:sz w:val="16"/>
            <w:szCs w:val="16"/>
            <w:lang w:val="es-CO"/>
          </w:rPr>
          <w:t>Caso La Cantuta Vs. Perú, Sentencia de 29 de noviembre de 2006</w:t>
        </w:r>
      </w:hyperlink>
      <w:r w:rsidRPr="00A4696C">
        <w:rPr>
          <w:rFonts w:ascii="Cambria" w:hAnsi="Cambria"/>
          <w:sz w:val="16"/>
          <w:szCs w:val="16"/>
          <w:lang w:val="es-CO"/>
        </w:rPr>
        <w:t xml:space="preserve">. Serie C No. 162, </w:t>
      </w:r>
      <w:proofErr w:type="spellStart"/>
      <w:r w:rsidRPr="00A4696C">
        <w:rPr>
          <w:rFonts w:ascii="Cambria" w:hAnsi="Cambria"/>
          <w:sz w:val="16"/>
          <w:szCs w:val="16"/>
          <w:lang w:val="es-CO"/>
        </w:rPr>
        <w:t>párrs</w:t>
      </w:r>
      <w:proofErr w:type="spellEnd"/>
      <w:r w:rsidRPr="00A4696C">
        <w:rPr>
          <w:rFonts w:ascii="Cambria" w:hAnsi="Cambria"/>
          <w:sz w:val="16"/>
          <w:szCs w:val="16"/>
          <w:lang w:val="es-CO"/>
        </w:rPr>
        <w:t xml:space="preserve">. 199-200. </w:t>
      </w:r>
    </w:p>
  </w:footnote>
  <w:footnote w:id="2">
    <w:p w14:paraId="118BFC9D" w14:textId="77777777" w:rsidR="00412B40" w:rsidRPr="00A4696C" w:rsidRDefault="00412B40" w:rsidP="00412B40">
      <w:pPr>
        <w:pStyle w:val="FootnoteText"/>
        <w:spacing w:after="120"/>
        <w:ind w:firstLine="720"/>
        <w:jc w:val="both"/>
        <w:rPr>
          <w:rFonts w:ascii="Cambria" w:hAnsi="Cambria"/>
          <w:sz w:val="16"/>
          <w:szCs w:val="16"/>
          <w:lang w:val="es-ES"/>
        </w:rPr>
      </w:pPr>
      <w:r w:rsidRPr="00A4696C">
        <w:rPr>
          <w:rStyle w:val="FootnoteReference"/>
          <w:rFonts w:ascii="Cambria" w:hAnsi="Cambria"/>
          <w:sz w:val="16"/>
          <w:szCs w:val="16"/>
          <w:lang w:val="es-ES"/>
        </w:rPr>
        <w:footnoteRef/>
      </w:r>
      <w:r w:rsidRPr="00A4696C">
        <w:rPr>
          <w:rFonts w:ascii="Cambria" w:hAnsi="Cambria"/>
          <w:sz w:val="16"/>
          <w:szCs w:val="16"/>
          <w:lang w:val="es-CO"/>
        </w:rPr>
        <w:t xml:space="preserve"> CIDH</w:t>
      </w:r>
      <w:hyperlink r:id="rId2" w:history="1">
        <w:r w:rsidRPr="00A4696C">
          <w:rPr>
            <w:rStyle w:val="Hyperlink"/>
            <w:rFonts w:ascii="Cambria" w:hAnsi="Cambria"/>
            <w:color w:val="auto"/>
            <w:sz w:val="16"/>
            <w:szCs w:val="16"/>
            <w:lang w:val="es-CO"/>
          </w:rPr>
          <w:t>, Lineamientos principales para una política integral de reparaciones</w:t>
        </w:r>
      </w:hyperlink>
      <w:r w:rsidRPr="00A4696C">
        <w:rPr>
          <w:rFonts w:ascii="Cambria" w:hAnsi="Cambria"/>
          <w:sz w:val="16"/>
          <w:szCs w:val="16"/>
          <w:lang w:val="es-CO"/>
        </w:rPr>
        <w:t xml:space="preserve">, 19 de febrero de 2008, OEA/Ser/L/V/II.131, doc. 1, párr. </w:t>
      </w:r>
      <w:r w:rsidRPr="00A4696C">
        <w:rPr>
          <w:rFonts w:ascii="Cambria" w:hAnsi="Cambria"/>
          <w:sz w:val="16"/>
          <w:szCs w:val="16"/>
          <w:lang w:val="es-ES"/>
        </w:rPr>
        <w:t xml:space="preserve">1; Asamblea General de las Naciones Unidas, </w:t>
      </w:r>
      <w:hyperlink r:id="rId3" w:history="1">
        <w:r w:rsidRPr="00A4696C">
          <w:rPr>
            <w:rStyle w:val="Hyperlink"/>
            <w:rFonts w:ascii="Cambria" w:hAnsi="Cambria"/>
            <w:color w:val="auto"/>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A4696C">
        <w:rPr>
          <w:rFonts w:ascii="Cambria" w:hAnsi="Cambria"/>
          <w:sz w:val="16"/>
          <w:szCs w:val="16"/>
          <w:lang w:val="es-ES"/>
        </w:rPr>
        <w:t xml:space="preserve">, 16 de diciembre de 2005. A/RES/60/147.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1F2C" w14:textId="5E57E093" w:rsidR="00A4696C" w:rsidRDefault="00A4696C" w:rsidP="00A4696C">
    <w:pPr>
      <w:pStyle w:val="Header"/>
      <w:rPr>
        <w:rFonts w:ascii="Arial" w:hAnsi="Arial" w:cs="Arial"/>
        <w:color w:val="3B3838" w:themeColor="background2" w:themeShade="40"/>
        <w:szCs w:val="28"/>
      </w:rPr>
    </w:pPr>
    <w:r>
      <w:rPr>
        <w:noProof/>
      </w:rPr>
      <w:drawing>
        <wp:anchor distT="0" distB="0" distL="114300" distR="114300" simplePos="0" relativeHeight="251666432" behindDoc="0" locked="0" layoutInCell="1" allowOverlap="1" wp14:anchorId="0D48CAEB" wp14:editId="673B05BC">
          <wp:simplePos x="0" y="0"/>
          <wp:positionH relativeFrom="column">
            <wp:posOffset>4658995</wp:posOffset>
          </wp:positionH>
          <wp:positionV relativeFrom="paragraph">
            <wp:posOffset>-3175</wp:posOffset>
          </wp:positionV>
          <wp:extent cx="1485900" cy="346075"/>
          <wp:effectExtent l="0" t="0" r="0" b="0"/>
          <wp:wrapSquare wrapText="bothSides"/>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96901A" wp14:editId="2B17E940">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Cs w:val="28"/>
      </w:rPr>
      <w:t xml:space="preserve">                      </w:t>
    </w:r>
  </w:p>
  <w:p w14:paraId="596F99D9" w14:textId="5F844A9D" w:rsidR="00A4696C" w:rsidRDefault="00A4696C" w:rsidP="00A4696C">
    <w:pPr>
      <w:pStyle w:val="Header"/>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5408" behindDoc="0" locked="0" layoutInCell="1" allowOverlap="1" wp14:anchorId="3C9D60C7" wp14:editId="70E014A1">
              <wp:simplePos x="0" y="0"/>
              <wp:positionH relativeFrom="column">
                <wp:posOffset>-5080</wp:posOffset>
              </wp:positionH>
              <wp:positionV relativeFrom="paragraph">
                <wp:posOffset>173990</wp:posOffset>
              </wp:positionV>
              <wp:extent cx="61480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D81F8"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6C8E" w14:textId="77777777" w:rsidR="00A21B68" w:rsidRDefault="00A21B68" w:rsidP="00A21B68">
    <w:pPr>
      <w:pStyle w:val="Header"/>
      <w:spacing w:line="216" w:lineRule="auto"/>
      <w:ind w:hanging="2"/>
      <w:rPr>
        <w:rFonts w:ascii="Arial" w:hAnsi="Arial" w:cs="Arial"/>
        <w:color w:val="3B3838"/>
        <w:sz w:val="28"/>
        <w:szCs w:val="28"/>
        <w:lang w:val="es-ES"/>
      </w:rPr>
    </w:pPr>
    <w:r>
      <w:rPr>
        <w:noProof/>
      </w:rPr>
      <w:drawing>
        <wp:anchor distT="0" distB="0" distL="114300" distR="114300" simplePos="0" relativeHeight="251662336" behindDoc="0" locked="0" layoutInCell="1" allowOverlap="1" wp14:anchorId="7C4D088D" wp14:editId="324E0202">
          <wp:simplePos x="0" y="0"/>
          <wp:positionH relativeFrom="column">
            <wp:posOffset>4088765</wp:posOffset>
          </wp:positionH>
          <wp:positionV relativeFrom="paragraph">
            <wp:posOffset>72390</wp:posOffset>
          </wp:positionV>
          <wp:extent cx="2183130" cy="50863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5AFD912" wp14:editId="76277947">
              <wp:simplePos x="0" y="0"/>
              <wp:positionH relativeFrom="column">
                <wp:posOffset>-166370</wp:posOffset>
              </wp:positionH>
              <wp:positionV relativeFrom="paragraph">
                <wp:posOffset>48895</wp:posOffset>
              </wp:positionV>
              <wp:extent cx="2936875" cy="6648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48D6C426" w14:textId="77777777" w:rsidR="00A21B68" w:rsidRDefault="00A21B68" w:rsidP="00A21B68">
                          <w:pPr>
                            <w:ind w:hanging="2"/>
                          </w:pPr>
                          <w:r w:rsidRPr="00FA03C3">
                            <w:rPr>
                              <w:noProof/>
                            </w:rPr>
                            <w:drawing>
                              <wp:inline distT="0" distB="0" distL="0" distR="0" wp14:anchorId="722FD00D" wp14:editId="2F4D724B">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AFD912"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48D6C426" w14:textId="77777777" w:rsidR="00A21B68" w:rsidRDefault="00A21B68" w:rsidP="00A21B68">
                    <w:pPr>
                      <w:ind w:hanging="2"/>
                    </w:pPr>
                    <w:r w:rsidRPr="00FA03C3">
                      <w:rPr>
                        <w:noProof/>
                      </w:rPr>
                      <w:drawing>
                        <wp:inline distT="0" distB="0" distL="0" distR="0" wp14:anchorId="722FD00D" wp14:editId="2F4D724B">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v:textbox>
            </v:shape>
          </w:pict>
        </mc:Fallback>
      </mc:AlternateConten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621F5E19" w14:textId="77777777" w:rsidR="00A21B68" w:rsidRPr="00AD498E" w:rsidRDefault="00A21B68" w:rsidP="00A21B68">
    <w:pPr>
      <w:pStyle w:val="Header"/>
      <w:spacing w:line="216" w:lineRule="auto"/>
      <w:ind w:left="1" w:hanging="3"/>
      <w:rPr>
        <w:rFonts w:ascii="Arial" w:hAnsi="Arial" w:cs="Arial"/>
        <w:color w:val="3B3838"/>
        <w:sz w:val="28"/>
        <w:szCs w:val="28"/>
        <w:lang w:val="es-ES"/>
      </w:rPr>
    </w:pPr>
  </w:p>
  <w:p w14:paraId="6869CF1A" w14:textId="77777777" w:rsidR="00A21B68" w:rsidRDefault="00A21B68" w:rsidP="00A21B68">
    <w:pPr>
      <w:pBdr>
        <w:top w:val="nil"/>
        <w:left w:val="nil"/>
        <w:bottom w:val="nil"/>
        <w:right w:val="nil"/>
        <w:between w:val="nil"/>
      </w:pBdr>
      <w:spacing w:after="0" w:line="240" w:lineRule="auto"/>
      <w:ind w:left="2" w:hanging="4"/>
      <w:rPr>
        <w:rFonts w:ascii="Arial" w:eastAsia="Arial" w:hAnsi="Arial" w:cs="Arial"/>
        <w:color w:val="404040"/>
        <w:sz w:val="44"/>
        <w:szCs w:val="44"/>
      </w:rPr>
    </w:pPr>
  </w:p>
  <w:p w14:paraId="76CC7482" w14:textId="443DB5E7" w:rsidR="005818F5" w:rsidRPr="00A21B68" w:rsidRDefault="00A21B68" w:rsidP="00A21B68">
    <w:pPr>
      <w:pBdr>
        <w:top w:val="nil"/>
        <w:left w:val="nil"/>
        <w:bottom w:val="nil"/>
        <w:right w:val="nil"/>
        <w:between w:val="nil"/>
      </w:pBdr>
      <w:spacing w:after="0" w:line="240" w:lineRule="auto"/>
      <w:rPr>
        <w:rFonts w:ascii="Arial" w:eastAsia="Arial" w:hAnsi="Arial" w:cs="Arial"/>
        <w:color w:val="404040"/>
        <w:sz w:val="44"/>
        <w:szCs w:val="44"/>
      </w:rPr>
    </w:pPr>
    <w:r>
      <w:rPr>
        <w:noProof/>
      </w:rPr>
      <mc:AlternateContent>
        <mc:Choice Requires="wps">
          <w:drawing>
            <wp:anchor distT="0" distB="0" distL="114300" distR="114300" simplePos="0" relativeHeight="251661312" behindDoc="0" locked="0" layoutInCell="1" hidden="0" allowOverlap="1" wp14:anchorId="63648ECE" wp14:editId="23C751F9">
              <wp:simplePos x="0" y="0"/>
              <wp:positionH relativeFrom="column">
                <wp:posOffset>1</wp:posOffset>
              </wp:positionH>
              <wp:positionV relativeFrom="paragraph">
                <wp:posOffset>152400</wp:posOffset>
              </wp:positionV>
              <wp:extent cx="6148070" cy="15875"/>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271821" y="3780000"/>
                        <a:ext cx="6148358" cy="0"/>
                      </a:xfrm>
                      <a:prstGeom prst="straightConnector1">
                        <a:avLst/>
                      </a:prstGeom>
                      <a:noFill/>
                      <a:ln w="15875" cap="flat" cmpd="sng">
                        <a:solidFill>
                          <a:srgbClr val="000000"/>
                        </a:solidFill>
                        <a:prstDash val="solid"/>
                        <a:miter lim="800000"/>
                        <a:headEnd type="none" w="sm" len="sm"/>
                        <a:tailEnd type="none" w="sm" len="sm"/>
                      </a:ln>
                    </wps:spPr>
                    <wps:bodyPr/>
                  </wps:wsp>
                </a:graphicData>
              </a:graphic>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4297FB7B">
              <v:path fillok="f" arrowok="t" o:connecttype="none"/>
              <o:lock v:ext="edit" shapetype="t"/>
            </v:shapetype>
            <v:shape id="Straight Arrow Connector 1027" style="position:absolute;margin-left:0;margin-top:12pt;width:484.1pt;height:1.25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5q8AEAANIDAAAOAAAAZHJzL2Uyb0RvYy54bWysU8mO2zAMvRfoPwi6N16mmRhBnEGRdHop&#10;2gDTfoAiy7YAbSDVOPn7UnKa6XIoMBgfZEoiH98jqc3D2Rp2UoDau5ZXi5Iz5aTvtBta/v3b47uG&#10;M4zCdcJ4p1p+Ucgftm/fbKawVrUfvekUMAJxuJ5Cy8cYw7ooUI7KClz4oBxd9h6siLSFoehATIRu&#10;TVGX5X0xeegCeKkQ6XQ/X/Jtxu97JePXvkcVmWk5cYt5hbwe01psN2I9gAijllca4gUsrNCOkt6g&#10;9iIK9gP0P1BWS/Do+7iQ3ha+77VUWQOpqcq/1DyNIqishYqD4VYmfD1Y+eV0AKY76l1ZrzhzwlKX&#10;niIIPYyRfQDwE9t556iSHlh2oppNAdcUunMHuO4wHCAV4NyDTX+Sxs4tr+tV1dQVZ5eW362akr65&#10;5uocmSSH++p9c7ekKZHkke+KZ5AAGD8pb1kyWo5XWjc+Va65OH3GSDQo8FdAYuD8ozYmN9g4NpHC&#10;ZbNaUiJBc9YbEcm0gZSjGzIOeqO7FJOiEYbjzgA7iTQ5+UvEKccfbinhXuA4++WrWZ/VkQbbaNvy&#10;rPoqe1Si++g6Fi+B6uzoTfBEDS1nRtELIiMzjkKb//sRG+OIVGrH3IBkHX13yX3J5zQ4mfZ1yNNk&#10;/r7P0c9PcfsTAAD//wMAUEsDBBQABgAIAAAAIQA2lj0M3AAAAAYBAAAPAAAAZHJzL2Rvd25yZXYu&#10;eG1sTI9LT8MwEITvSPwHa5G4UaehRG2IU/EQVyQKoj1uY5NExOvIdl7/nuUEp9XsrGa+Lfaz7cRo&#10;fGgdKVivEhCGKqdbqhV8vL/cbEGEiKSxc2QULCbAvry8KDDXbqI3Mx5iLTiEQo4Kmhj7XMpQNcZi&#10;WLneEHtfzluMLH0ttceJw20n0yTJpMWWuKHB3jw1pvo+DFbBtDzeHhfcvT4PPrWf6+PpNLYbpa6v&#10;5od7ENHM8e8YfvEZHUpmOruBdBCdAn4kKkg3PNndZdsUxJkX2R3IspD/8csfAAAA//8DAFBLAQIt&#10;ABQABgAIAAAAIQC2gziS/gAAAOEBAAATAAAAAAAAAAAAAAAAAAAAAABbQ29udGVudF9UeXBlc10u&#10;eG1sUEsBAi0AFAAGAAgAAAAhADj9If/WAAAAlAEAAAsAAAAAAAAAAAAAAAAALwEAAF9yZWxzLy5y&#10;ZWxzUEsBAi0AFAAGAAgAAAAhADeq/mrwAQAA0gMAAA4AAAAAAAAAAAAAAAAALgIAAGRycy9lMm9E&#10;b2MueG1sUEsBAi0AFAAGAAgAAAAhADaWPQzcAAAABgEAAA8AAAAAAAAAAAAAAAAASgQAAGRycy9k&#10;b3ducmV2LnhtbFBLBQYAAAAABAAEAPMAAABTBQAAAAA=&#10;">
              <v:stroke joinstyle="miter"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F93C3B1A"/>
    <w:lvl w:ilvl="0" w:tplc="CD12D210">
      <w:start w:val="1"/>
      <w:numFmt w:val="decimal"/>
      <w:lvlText w:val="%1."/>
      <w:lvlJc w:val="left"/>
      <w:pPr>
        <w:ind w:left="1437" w:hanging="360"/>
      </w:pPr>
      <w:rPr>
        <w:rFonts w:ascii="Cambria" w:eastAsia="Calibri" w:hAnsi="Cambria" w:cs="Calibri Light" w:hint="default"/>
        <w:b w:val="0"/>
        <w:color w:val="000000" w:themeColor="text1"/>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94E0029"/>
    <w:multiLevelType w:val="hybridMultilevel"/>
    <w:tmpl w:val="E144834E"/>
    <w:lvl w:ilvl="0" w:tplc="FFFFFFFF">
      <w:start w:val="1"/>
      <w:numFmt w:val="decimal"/>
      <w:lvlText w:val="%1."/>
      <w:lvlJc w:val="left"/>
      <w:pPr>
        <w:ind w:left="1437" w:hanging="360"/>
      </w:pPr>
      <w:rPr>
        <w:rFonts w:ascii="Cambria" w:eastAsia="Calibri" w:hAnsi="Cambria" w:cs="Calibri Light" w:hint="default"/>
        <w:b w:val="0"/>
        <w:sz w:val="20"/>
        <w:szCs w:val="20"/>
      </w:rPr>
    </w:lvl>
    <w:lvl w:ilvl="1" w:tplc="FFFFFFFF">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9"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45248"/>
    <w:multiLevelType w:val="hybridMultilevel"/>
    <w:tmpl w:val="E144834E"/>
    <w:lvl w:ilvl="0" w:tplc="FFFFFFFF">
      <w:start w:val="1"/>
      <w:numFmt w:val="decimal"/>
      <w:lvlText w:val="%1."/>
      <w:lvlJc w:val="left"/>
      <w:pPr>
        <w:ind w:left="1437" w:hanging="360"/>
      </w:pPr>
      <w:rPr>
        <w:rFonts w:ascii="Cambria" w:eastAsia="Calibri" w:hAnsi="Cambria" w:cs="Calibri Light" w:hint="default"/>
        <w:b w:val="0"/>
        <w:sz w:val="20"/>
        <w:szCs w:val="20"/>
      </w:rPr>
    </w:lvl>
    <w:lvl w:ilvl="1" w:tplc="FFFFFFFF">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24"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11B09"/>
    <w:multiLevelType w:val="hybridMultilevel"/>
    <w:tmpl w:val="E892C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730B4"/>
    <w:multiLevelType w:val="hybridMultilevel"/>
    <w:tmpl w:val="E144834E"/>
    <w:lvl w:ilvl="0" w:tplc="FFFFFFFF">
      <w:start w:val="1"/>
      <w:numFmt w:val="decimal"/>
      <w:lvlText w:val="%1."/>
      <w:lvlJc w:val="left"/>
      <w:pPr>
        <w:ind w:left="1437" w:hanging="360"/>
      </w:pPr>
      <w:rPr>
        <w:rFonts w:ascii="Cambria" w:eastAsia="Calibri" w:hAnsi="Cambria" w:cs="Calibri Light" w:hint="default"/>
        <w:b w:val="0"/>
        <w:sz w:val="20"/>
        <w:szCs w:val="20"/>
      </w:rPr>
    </w:lvl>
    <w:lvl w:ilvl="1" w:tplc="FFFFFFFF">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33" w15:restartNumberingAfterBreak="0">
    <w:nsid w:val="78E00A47"/>
    <w:multiLevelType w:val="hybridMultilevel"/>
    <w:tmpl w:val="9C4C874E"/>
    <w:lvl w:ilvl="0" w:tplc="9ED01596">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2"/>
  </w:num>
  <w:num w:numId="4">
    <w:abstractNumId w:val="34"/>
  </w:num>
  <w:num w:numId="5">
    <w:abstractNumId w:val="1"/>
  </w:num>
  <w:num w:numId="6">
    <w:abstractNumId w:val="26"/>
  </w:num>
  <w:num w:numId="7">
    <w:abstractNumId w:val="27"/>
  </w:num>
  <w:num w:numId="8">
    <w:abstractNumId w:val="28"/>
  </w:num>
  <w:num w:numId="9">
    <w:abstractNumId w:val="29"/>
  </w:num>
  <w:num w:numId="10">
    <w:abstractNumId w:val="18"/>
  </w:num>
  <w:num w:numId="11">
    <w:abstractNumId w:val="15"/>
  </w:num>
  <w:num w:numId="12">
    <w:abstractNumId w:val="4"/>
  </w:num>
  <w:num w:numId="13">
    <w:abstractNumId w:val="16"/>
  </w:num>
  <w:num w:numId="14">
    <w:abstractNumId w:val="21"/>
  </w:num>
  <w:num w:numId="15">
    <w:abstractNumId w:val="19"/>
  </w:num>
  <w:num w:numId="16">
    <w:abstractNumId w:val="6"/>
  </w:num>
  <w:num w:numId="17">
    <w:abstractNumId w:val="7"/>
  </w:num>
  <w:num w:numId="18">
    <w:abstractNumId w:val="33"/>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0"/>
  </w:num>
  <w:num w:numId="23">
    <w:abstractNumId w:val="35"/>
  </w:num>
  <w:num w:numId="24">
    <w:abstractNumId w:val="31"/>
  </w:num>
  <w:num w:numId="25">
    <w:abstractNumId w:val="17"/>
  </w:num>
  <w:num w:numId="26">
    <w:abstractNumId w:val="3"/>
  </w:num>
  <w:num w:numId="27">
    <w:abstractNumId w:val="22"/>
  </w:num>
  <w:num w:numId="28">
    <w:abstractNumId w:val="24"/>
  </w:num>
  <w:num w:numId="29">
    <w:abstractNumId w:val="12"/>
  </w:num>
  <w:num w:numId="30">
    <w:abstractNumId w:val="11"/>
  </w:num>
  <w:num w:numId="31">
    <w:abstractNumId w:val="9"/>
  </w:num>
  <w:num w:numId="32">
    <w:abstractNumId w:val="30"/>
  </w:num>
  <w:num w:numId="33">
    <w:abstractNumId w:val="23"/>
  </w:num>
  <w:num w:numId="34">
    <w:abstractNumId w:val="32"/>
  </w:num>
  <w:num w:numId="35">
    <w:abstractNumId w:val="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4D"/>
    <w:rsid w:val="00000823"/>
    <w:rsid w:val="000019EF"/>
    <w:rsid w:val="000105E2"/>
    <w:rsid w:val="00010D7D"/>
    <w:rsid w:val="000208BD"/>
    <w:rsid w:val="00027FA3"/>
    <w:rsid w:val="00037C0A"/>
    <w:rsid w:val="0004139E"/>
    <w:rsid w:val="00043872"/>
    <w:rsid w:val="00046E4E"/>
    <w:rsid w:val="000507B2"/>
    <w:rsid w:val="00052627"/>
    <w:rsid w:val="00067A77"/>
    <w:rsid w:val="00076298"/>
    <w:rsid w:val="000823BF"/>
    <w:rsid w:val="00083B2B"/>
    <w:rsid w:val="00095FA8"/>
    <w:rsid w:val="000A6167"/>
    <w:rsid w:val="000A638D"/>
    <w:rsid w:val="000A7817"/>
    <w:rsid w:val="000B2B43"/>
    <w:rsid w:val="000B31A2"/>
    <w:rsid w:val="000C0F1A"/>
    <w:rsid w:val="000C2753"/>
    <w:rsid w:val="000C5C85"/>
    <w:rsid w:val="000D165B"/>
    <w:rsid w:val="000D6083"/>
    <w:rsid w:val="000E0541"/>
    <w:rsid w:val="000E0AD2"/>
    <w:rsid w:val="000E2952"/>
    <w:rsid w:val="000E5EAF"/>
    <w:rsid w:val="000E7806"/>
    <w:rsid w:val="000F3531"/>
    <w:rsid w:val="001007D0"/>
    <w:rsid w:val="0010125B"/>
    <w:rsid w:val="001014B8"/>
    <w:rsid w:val="00102DB2"/>
    <w:rsid w:val="0010319A"/>
    <w:rsid w:val="001031C8"/>
    <w:rsid w:val="00105A2A"/>
    <w:rsid w:val="00106B9F"/>
    <w:rsid w:val="00106CB6"/>
    <w:rsid w:val="001162CB"/>
    <w:rsid w:val="00121DC4"/>
    <w:rsid w:val="00124B0D"/>
    <w:rsid w:val="0012554E"/>
    <w:rsid w:val="001449D7"/>
    <w:rsid w:val="00147131"/>
    <w:rsid w:val="00147493"/>
    <w:rsid w:val="001504BB"/>
    <w:rsid w:val="0015686A"/>
    <w:rsid w:val="001759C1"/>
    <w:rsid w:val="001760BA"/>
    <w:rsid w:val="00176E57"/>
    <w:rsid w:val="0018434D"/>
    <w:rsid w:val="0019188A"/>
    <w:rsid w:val="00193311"/>
    <w:rsid w:val="00195BD5"/>
    <w:rsid w:val="001A1812"/>
    <w:rsid w:val="001B6B90"/>
    <w:rsid w:val="001B704C"/>
    <w:rsid w:val="001C115D"/>
    <w:rsid w:val="001E4A88"/>
    <w:rsid w:val="001F3FB0"/>
    <w:rsid w:val="001F657C"/>
    <w:rsid w:val="0020031E"/>
    <w:rsid w:val="002005E0"/>
    <w:rsid w:val="00201F26"/>
    <w:rsid w:val="00203593"/>
    <w:rsid w:val="00203E47"/>
    <w:rsid w:val="00206693"/>
    <w:rsid w:val="00207922"/>
    <w:rsid w:val="002156DC"/>
    <w:rsid w:val="002160C0"/>
    <w:rsid w:val="00224EDC"/>
    <w:rsid w:val="00231AC2"/>
    <w:rsid w:val="00234C3B"/>
    <w:rsid w:val="00235297"/>
    <w:rsid w:val="0024645A"/>
    <w:rsid w:val="002465DA"/>
    <w:rsid w:val="0024773B"/>
    <w:rsid w:val="00256CEC"/>
    <w:rsid w:val="002667FA"/>
    <w:rsid w:val="00272E0C"/>
    <w:rsid w:val="002746B8"/>
    <w:rsid w:val="00275418"/>
    <w:rsid w:val="002856E7"/>
    <w:rsid w:val="0028678F"/>
    <w:rsid w:val="00287012"/>
    <w:rsid w:val="00291089"/>
    <w:rsid w:val="0029224B"/>
    <w:rsid w:val="00296A3D"/>
    <w:rsid w:val="002A2901"/>
    <w:rsid w:val="002A5153"/>
    <w:rsid w:val="002A67C8"/>
    <w:rsid w:val="002B12D9"/>
    <w:rsid w:val="002B2949"/>
    <w:rsid w:val="002C1DBB"/>
    <w:rsid w:val="002C4DFE"/>
    <w:rsid w:val="002D2200"/>
    <w:rsid w:val="002D2490"/>
    <w:rsid w:val="002D3A69"/>
    <w:rsid w:val="002E04B2"/>
    <w:rsid w:val="002E27BB"/>
    <w:rsid w:val="002E3D31"/>
    <w:rsid w:val="002E6370"/>
    <w:rsid w:val="002F0D2F"/>
    <w:rsid w:val="002F21C5"/>
    <w:rsid w:val="002F70F2"/>
    <w:rsid w:val="00303A21"/>
    <w:rsid w:val="003069AE"/>
    <w:rsid w:val="00312310"/>
    <w:rsid w:val="003151FE"/>
    <w:rsid w:val="003250A4"/>
    <w:rsid w:val="003272C4"/>
    <w:rsid w:val="00334B16"/>
    <w:rsid w:val="003455B5"/>
    <w:rsid w:val="00350C0E"/>
    <w:rsid w:val="0035540A"/>
    <w:rsid w:val="003571CE"/>
    <w:rsid w:val="0036198E"/>
    <w:rsid w:val="003624D8"/>
    <w:rsid w:val="0036660E"/>
    <w:rsid w:val="0036721A"/>
    <w:rsid w:val="00367FC8"/>
    <w:rsid w:val="00371B8A"/>
    <w:rsid w:val="00372935"/>
    <w:rsid w:val="003820A6"/>
    <w:rsid w:val="00382204"/>
    <w:rsid w:val="003917D2"/>
    <w:rsid w:val="00391EDC"/>
    <w:rsid w:val="003936F0"/>
    <w:rsid w:val="003952B2"/>
    <w:rsid w:val="00397989"/>
    <w:rsid w:val="003A028B"/>
    <w:rsid w:val="003A4926"/>
    <w:rsid w:val="003A5479"/>
    <w:rsid w:val="003C1898"/>
    <w:rsid w:val="003C4D23"/>
    <w:rsid w:val="003C78A1"/>
    <w:rsid w:val="003D4EAB"/>
    <w:rsid w:val="003D69FA"/>
    <w:rsid w:val="003D6CC4"/>
    <w:rsid w:val="003E24A8"/>
    <w:rsid w:val="003E2929"/>
    <w:rsid w:val="003E50B8"/>
    <w:rsid w:val="003F070C"/>
    <w:rsid w:val="003F147F"/>
    <w:rsid w:val="003F37F4"/>
    <w:rsid w:val="003F5FAE"/>
    <w:rsid w:val="003F610D"/>
    <w:rsid w:val="003F662D"/>
    <w:rsid w:val="004008D3"/>
    <w:rsid w:val="0040675A"/>
    <w:rsid w:val="00412B40"/>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748B7"/>
    <w:rsid w:val="004810AB"/>
    <w:rsid w:val="00482AB4"/>
    <w:rsid w:val="00495DD0"/>
    <w:rsid w:val="004A1613"/>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28C"/>
    <w:rsid w:val="004C5894"/>
    <w:rsid w:val="004D10AA"/>
    <w:rsid w:val="004E4B65"/>
    <w:rsid w:val="004E611E"/>
    <w:rsid w:val="004F3114"/>
    <w:rsid w:val="004F596A"/>
    <w:rsid w:val="00501FA9"/>
    <w:rsid w:val="00503E3B"/>
    <w:rsid w:val="0050413C"/>
    <w:rsid w:val="00505EAB"/>
    <w:rsid w:val="005061CE"/>
    <w:rsid w:val="00512C07"/>
    <w:rsid w:val="005138D8"/>
    <w:rsid w:val="005157B7"/>
    <w:rsid w:val="0052132E"/>
    <w:rsid w:val="00521FE0"/>
    <w:rsid w:val="00522ECF"/>
    <w:rsid w:val="005242F3"/>
    <w:rsid w:val="00527BCE"/>
    <w:rsid w:val="0053548F"/>
    <w:rsid w:val="005401D5"/>
    <w:rsid w:val="005409CB"/>
    <w:rsid w:val="005421DC"/>
    <w:rsid w:val="005622BE"/>
    <w:rsid w:val="00562570"/>
    <w:rsid w:val="00566512"/>
    <w:rsid w:val="00572FE6"/>
    <w:rsid w:val="005803F5"/>
    <w:rsid w:val="005818F5"/>
    <w:rsid w:val="00581FA1"/>
    <w:rsid w:val="00582E14"/>
    <w:rsid w:val="00584DDA"/>
    <w:rsid w:val="00591815"/>
    <w:rsid w:val="005928CC"/>
    <w:rsid w:val="00594FE3"/>
    <w:rsid w:val="005A5360"/>
    <w:rsid w:val="005B2B05"/>
    <w:rsid w:val="005B5263"/>
    <w:rsid w:val="005B616A"/>
    <w:rsid w:val="005D3B59"/>
    <w:rsid w:val="005D685A"/>
    <w:rsid w:val="005E7475"/>
    <w:rsid w:val="005F06F5"/>
    <w:rsid w:val="005F2936"/>
    <w:rsid w:val="005F3DF9"/>
    <w:rsid w:val="005F74CB"/>
    <w:rsid w:val="005F7859"/>
    <w:rsid w:val="00601491"/>
    <w:rsid w:val="006029C3"/>
    <w:rsid w:val="006122B6"/>
    <w:rsid w:val="006147F5"/>
    <w:rsid w:val="00625F2C"/>
    <w:rsid w:val="00630EF3"/>
    <w:rsid w:val="00634AB3"/>
    <w:rsid w:val="00635858"/>
    <w:rsid w:val="00641554"/>
    <w:rsid w:val="0064196A"/>
    <w:rsid w:val="00642C61"/>
    <w:rsid w:val="006455C0"/>
    <w:rsid w:val="006666A5"/>
    <w:rsid w:val="00667A6C"/>
    <w:rsid w:val="00674765"/>
    <w:rsid w:val="00676015"/>
    <w:rsid w:val="0067651C"/>
    <w:rsid w:val="00680BC6"/>
    <w:rsid w:val="00687F7B"/>
    <w:rsid w:val="006911D6"/>
    <w:rsid w:val="00693302"/>
    <w:rsid w:val="006944C9"/>
    <w:rsid w:val="0069494F"/>
    <w:rsid w:val="00697C56"/>
    <w:rsid w:val="006A1B27"/>
    <w:rsid w:val="006C5092"/>
    <w:rsid w:val="006C79DE"/>
    <w:rsid w:val="006D5231"/>
    <w:rsid w:val="006D5934"/>
    <w:rsid w:val="006D5F27"/>
    <w:rsid w:val="006D66B5"/>
    <w:rsid w:val="006F20E2"/>
    <w:rsid w:val="006F3B19"/>
    <w:rsid w:val="007053CB"/>
    <w:rsid w:val="0071068F"/>
    <w:rsid w:val="00722265"/>
    <w:rsid w:val="00733832"/>
    <w:rsid w:val="00741BD5"/>
    <w:rsid w:val="0074203F"/>
    <w:rsid w:val="007548AC"/>
    <w:rsid w:val="007548C2"/>
    <w:rsid w:val="00760CAE"/>
    <w:rsid w:val="00772AD0"/>
    <w:rsid w:val="00776D45"/>
    <w:rsid w:val="007807D5"/>
    <w:rsid w:val="00784362"/>
    <w:rsid w:val="00787F4C"/>
    <w:rsid w:val="00795EEB"/>
    <w:rsid w:val="00797031"/>
    <w:rsid w:val="007A0AE0"/>
    <w:rsid w:val="007A1626"/>
    <w:rsid w:val="007A2476"/>
    <w:rsid w:val="007A47DB"/>
    <w:rsid w:val="007A5299"/>
    <w:rsid w:val="007A770E"/>
    <w:rsid w:val="007B15E0"/>
    <w:rsid w:val="007B55D6"/>
    <w:rsid w:val="007B5FD8"/>
    <w:rsid w:val="007C2F3E"/>
    <w:rsid w:val="007C3277"/>
    <w:rsid w:val="007C386D"/>
    <w:rsid w:val="007C585C"/>
    <w:rsid w:val="007D1739"/>
    <w:rsid w:val="007D2FC4"/>
    <w:rsid w:val="007D430D"/>
    <w:rsid w:val="007D57AB"/>
    <w:rsid w:val="007D64D4"/>
    <w:rsid w:val="007E2255"/>
    <w:rsid w:val="007E2EC7"/>
    <w:rsid w:val="007F17EE"/>
    <w:rsid w:val="007F670C"/>
    <w:rsid w:val="008047F4"/>
    <w:rsid w:val="00804D77"/>
    <w:rsid w:val="00805D0D"/>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023A"/>
    <w:rsid w:val="00862C26"/>
    <w:rsid w:val="00864126"/>
    <w:rsid w:val="008644BF"/>
    <w:rsid w:val="008665E5"/>
    <w:rsid w:val="008731F6"/>
    <w:rsid w:val="0087629A"/>
    <w:rsid w:val="00884ECA"/>
    <w:rsid w:val="00892979"/>
    <w:rsid w:val="008A3C4E"/>
    <w:rsid w:val="008A688C"/>
    <w:rsid w:val="008C1CF1"/>
    <w:rsid w:val="008C255B"/>
    <w:rsid w:val="008C4A04"/>
    <w:rsid w:val="008C51C1"/>
    <w:rsid w:val="008C6F28"/>
    <w:rsid w:val="008D0BF2"/>
    <w:rsid w:val="008D7730"/>
    <w:rsid w:val="008D78CE"/>
    <w:rsid w:val="008E180A"/>
    <w:rsid w:val="008E27AC"/>
    <w:rsid w:val="008E5D4A"/>
    <w:rsid w:val="008E6708"/>
    <w:rsid w:val="008E74BF"/>
    <w:rsid w:val="008F159D"/>
    <w:rsid w:val="008F2CC9"/>
    <w:rsid w:val="009065FE"/>
    <w:rsid w:val="00922B34"/>
    <w:rsid w:val="00923272"/>
    <w:rsid w:val="009237C0"/>
    <w:rsid w:val="00924ADA"/>
    <w:rsid w:val="00930EA7"/>
    <w:rsid w:val="00931BFE"/>
    <w:rsid w:val="00960A4E"/>
    <w:rsid w:val="009714CF"/>
    <w:rsid w:val="00986C78"/>
    <w:rsid w:val="00990B8B"/>
    <w:rsid w:val="009969F9"/>
    <w:rsid w:val="009A1813"/>
    <w:rsid w:val="009A1CD5"/>
    <w:rsid w:val="009A2EED"/>
    <w:rsid w:val="009A3E21"/>
    <w:rsid w:val="009A52D6"/>
    <w:rsid w:val="009A7096"/>
    <w:rsid w:val="009B26FF"/>
    <w:rsid w:val="009B2E28"/>
    <w:rsid w:val="009B3229"/>
    <w:rsid w:val="009B4B7E"/>
    <w:rsid w:val="009C0B79"/>
    <w:rsid w:val="009C6916"/>
    <w:rsid w:val="009D001C"/>
    <w:rsid w:val="009D3368"/>
    <w:rsid w:val="009F3C88"/>
    <w:rsid w:val="009F6A4D"/>
    <w:rsid w:val="00A1205F"/>
    <w:rsid w:val="00A13B14"/>
    <w:rsid w:val="00A21B68"/>
    <w:rsid w:val="00A26C13"/>
    <w:rsid w:val="00A34B32"/>
    <w:rsid w:val="00A37F5B"/>
    <w:rsid w:val="00A42227"/>
    <w:rsid w:val="00A4696C"/>
    <w:rsid w:val="00A47664"/>
    <w:rsid w:val="00A47974"/>
    <w:rsid w:val="00A5135C"/>
    <w:rsid w:val="00A5352D"/>
    <w:rsid w:val="00A53DAF"/>
    <w:rsid w:val="00A5445D"/>
    <w:rsid w:val="00A5562F"/>
    <w:rsid w:val="00A55ED9"/>
    <w:rsid w:val="00A66701"/>
    <w:rsid w:val="00A700F0"/>
    <w:rsid w:val="00A71D06"/>
    <w:rsid w:val="00A73955"/>
    <w:rsid w:val="00A76EB8"/>
    <w:rsid w:val="00A91FC4"/>
    <w:rsid w:val="00A94C21"/>
    <w:rsid w:val="00A94D10"/>
    <w:rsid w:val="00A95F39"/>
    <w:rsid w:val="00AA0913"/>
    <w:rsid w:val="00AA17F8"/>
    <w:rsid w:val="00AB2989"/>
    <w:rsid w:val="00AB6CAA"/>
    <w:rsid w:val="00AB6EBB"/>
    <w:rsid w:val="00AD42A5"/>
    <w:rsid w:val="00AE21D8"/>
    <w:rsid w:val="00AE48FD"/>
    <w:rsid w:val="00AE7D71"/>
    <w:rsid w:val="00AF141E"/>
    <w:rsid w:val="00AF279F"/>
    <w:rsid w:val="00AF4359"/>
    <w:rsid w:val="00B006D9"/>
    <w:rsid w:val="00B033FC"/>
    <w:rsid w:val="00B03E7E"/>
    <w:rsid w:val="00B12168"/>
    <w:rsid w:val="00B144E0"/>
    <w:rsid w:val="00B243FC"/>
    <w:rsid w:val="00B26E4A"/>
    <w:rsid w:val="00B36444"/>
    <w:rsid w:val="00B4725D"/>
    <w:rsid w:val="00B53870"/>
    <w:rsid w:val="00B54D15"/>
    <w:rsid w:val="00B579B7"/>
    <w:rsid w:val="00B60EE3"/>
    <w:rsid w:val="00B719E1"/>
    <w:rsid w:val="00B71FE1"/>
    <w:rsid w:val="00B72A88"/>
    <w:rsid w:val="00B80B96"/>
    <w:rsid w:val="00B81C34"/>
    <w:rsid w:val="00B84AF5"/>
    <w:rsid w:val="00B92BD9"/>
    <w:rsid w:val="00B92C84"/>
    <w:rsid w:val="00B97925"/>
    <w:rsid w:val="00BA2F04"/>
    <w:rsid w:val="00BA4BE2"/>
    <w:rsid w:val="00BA66A7"/>
    <w:rsid w:val="00BB56C4"/>
    <w:rsid w:val="00BE199A"/>
    <w:rsid w:val="00BE3DC4"/>
    <w:rsid w:val="00BF4335"/>
    <w:rsid w:val="00BF4AB2"/>
    <w:rsid w:val="00BF4B42"/>
    <w:rsid w:val="00C00A2E"/>
    <w:rsid w:val="00C12A43"/>
    <w:rsid w:val="00C1461A"/>
    <w:rsid w:val="00C20670"/>
    <w:rsid w:val="00C2616D"/>
    <w:rsid w:val="00C267BD"/>
    <w:rsid w:val="00C30742"/>
    <w:rsid w:val="00C308AF"/>
    <w:rsid w:val="00C33871"/>
    <w:rsid w:val="00C4012C"/>
    <w:rsid w:val="00C41B14"/>
    <w:rsid w:val="00C53C46"/>
    <w:rsid w:val="00C53D0B"/>
    <w:rsid w:val="00C615C8"/>
    <w:rsid w:val="00C7206E"/>
    <w:rsid w:val="00C80CF4"/>
    <w:rsid w:val="00C81120"/>
    <w:rsid w:val="00C86186"/>
    <w:rsid w:val="00C86B20"/>
    <w:rsid w:val="00C900AD"/>
    <w:rsid w:val="00C92A76"/>
    <w:rsid w:val="00C949DC"/>
    <w:rsid w:val="00CA451B"/>
    <w:rsid w:val="00CA4AEC"/>
    <w:rsid w:val="00CA4DB8"/>
    <w:rsid w:val="00CB20FB"/>
    <w:rsid w:val="00CB49F9"/>
    <w:rsid w:val="00CC430B"/>
    <w:rsid w:val="00CC785D"/>
    <w:rsid w:val="00CE5C6C"/>
    <w:rsid w:val="00CF006C"/>
    <w:rsid w:val="00CF3F6E"/>
    <w:rsid w:val="00CF53A7"/>
    <w:rsid w:val="00D043F4"/>
    <w:rsid w:val="00D12042"/>
    <w:rsid w:val="00D15DFF"/>
    <w:rsid w:val="00D17F89"/>
    <w:rsid w:val="00D259B8"/>
    <w:rsid w:val="00D26E78"/>
    <w:rsid w:val="00D34E24"/>
    <w:rsid w:val="00D4044A"/>
    <w:rsid w:val="00D43714"/>
    <w:rsid w:val="00D450DF"/>
    <w:rsid w:val="00D52122"/>
    <w:rsid w:val="00D53326"/>
    <w:rsid w:val="00D6160A"/>
    <w:rsid w:val="00D6172A"/>
    <w:rsid w:val="00D63D9B"/>
    <w:rsid w:val="00D659F6"/>
    <w:rsid w:val="00D66116"/>
    <w:rsid w:val="00D66A72"/>
    <w:rsid w:val="00D67D9E"/>
    <w:rsid w:val="00D70DB0"/>
    <w:rsid w:val="00D729F2"/>
    <w:rsid w:val="00D74F83"/>
    <w:rsid w:val="00D774B5"/>
    <w:rsid w:val="00D81358"/>
    <w:rsid w:val="00D83C67"/>
    <w:rsid w:val="00D85897"/>
    <w:rsid w:val="00D93ED3"/>
    <w:rsid w:val="00D9422C"/>
    <w:rsid w:val="00D95E46"/>
    <w:rsid w:val="00DA03BE"/>
    <w:rsid w:val="00DA2F5E"/>
    <w:rsid w:val="00DA62E7"/>
    <w:rsid w:val="00DB0B5E"/>
    <w:rsid w:val="00DB32DA"/>
    <w:rsid w:val="00DC0774"/>
    <w:rsid w:val="00DC158A"/>
    <w:rsid w:val="00DD300D"/>
    <w:rsid w:val="00DE55B6"/>
    <w:rsid w:val="00DE7161"/>
    <w:rsid w:val="00E00878"/>
    <w:rsid w:val="00E020CD"/>
    <w:rsid w:val="00E148F4"/>
    <w:rsid w:val="00E15564"/>
    <w:rsid w:val="00E17DF8"/>
    <w:rsid w:val="00E4040B"/>
    <w:rsid w:val="00E42F47"/>
    <w:rsid w:val="00E45179"/>
    <w:rsid w:val="00E50854"/>
    <w:rsid w:val="00E52DC5"/>
    <w:rsid w:val="00E53385"/>
    <w:rsid w:val="00E626AB"/>
    <w:rsid w:val="00E65905"/>
    <w:rsid w:val="00E66D9E"/>
    <w:rsid w:val="00E6768C"/>
    <w:rsid w:val="00E72C34"/>
    <w:rsid w:val="00E734F6"/>
    <w:rsid w:val="00E74C0F"/>
    <w:rsid w:val="00E75A18"/>
    <w:rsid w:val="00E812A7"/>
    <w:rsid w:val="00E82269"/>
    <w:rsid w:val="00E84061"/>
    <w:rsid w:val="00E84FD4"/>
    <w:rsid w:val="00E87E69"/>
    <w:rsid w:val="00E91610"/>
    <w:rsid w:val="00E93362"/>
    <w:rsid w:val="00EB41A5"/>
    <w:rsid w:val="00EB41B7"/>
    <w:rsid w:val="00EB4AD8"/>
    <w:rsid w:val="00EB4C81"/>
    <w:rsid w:val="00EB54F1"/>
    <w:rsid w:val="00EB733A"/>
    <w:rsid w:val="00EC3771"/>
    <w:rsid w:val="00EC3E5A"/>
    <w:rsid w:val="00EC3FEC"/>
    <w:rsid w:val="00EC41AF"/>
    <w:rsid w:val="00EC4841"/>
    <w:rsid w:val="00EC5776"/>
    <w:rsid w:val="00ED2EC8"/>
    <w:rsid w:val="00ED62D4"/>
    <w:rsid w:val="00EE23F9"/>
    <w:rsid w:val="00EE4AEF"/>
    <w:rsid w:val="00EE4E77"/>
    <w:rsid w:val="00EE5B84"/>
    <w:rsid w:val="00EF2DAE"/>
    <w:rsid w:val="00EF3561"/>
    <w:rsid w:val="00EF3FA6"/>
    <w:rsid w:val="00EF7985"/>
    <w:rsid w:val="00F050B7"/>
    <w:rsid w:val="00F116A1"/>
    <w:rsid w:val="00F12373"/>
    <w:rsid w:val="00F13E7F"/>
    <w:rsid w:val="00F147EF"/>
    <w:rsid w:val="00F1793E"/>
    <w:rsid w:val="00F2573C"/>
    <w:rsid w:val="00F257E6"/>
    <w:rsid w:val="00F26A78"/>
    <w:rsid w:val="00F30856"/>
    <w:rsid w:val="00F31058"/>
    <w:rsid w:val="00F34314"/>
    <w:rsid w:val="00F346C3"/>
    <w:rsid w:val="00F50E9E"/>
    <w:rsid w:val="00F53F61"/>
    <w:rsid w:val="00F5419A"/>
    <w:rsid w:val="00F546B4"/>
    <w:rsid w:val="00F57722"/>
    <w:rsid w:val="00F63941"/>
    <w:rsid w:val="00F63E95"/>
    <w:rsid w:val="00F7089E"/>
    <w:rsid w:val="00F71E59"/>
    <w:rsid w:val="00F80539"/>
    <w:rsid w:val="00F808D4"/>
    <w:rsid w:val="00F87A53"/>
    <w:rsid w:val="00F91D0F"/>
    <w:rsid w:val="00F94168"/>
    <w:rsid w:val="00FA222D"/>
    <w:rsid w:val="00FA2231"/>
    <w:rsid w:val="00FA26F0"/>
    <w:rsid w:val="00FA321C"/>
    <w:rsid w:val="00FA471F"/>
    <w:rsid w:val="00FB0E4F"/>
    <w:rsid w:val="00FB2A45"/>
    <w:rsid w:val="00FC447B"/>
    <w:rsid w:val="00FC78AE"/>
    <w:rsid w:val="00FE29D4"/>
    <w:rsid w:val="00FE4B5B"/>
    <w:rsid w:val="00FF155F"/>
    <w:rsid w:val="00FF71E2"/>
    <w:rsid w:val="00FF7502"/>
    <w:rsid w:val="40BF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 w:type="character" w:customStyle="1" w:styleId="normaltextrun">
    <w:name w:val="normaltextrun"/>
    <w:basedOn w:val="DefaultParagraphFont"/>
    <w:rsid w:val="009B2E28"/>
  </w:style>
  <w:style w:type="character" w:customStyle="1" w:styleId="eop">
    <w:name w:val="eop"/>
    <w:basedOn w:val="DefaultParagraphFont"/>
    <w:rsid w:val="009B2E28"/>
  </w:style>
  <w:style w:type="character" w:customStyle="1" w:styleId="superscript">
    <w:name w:val="superscript"/>
    <w:basedOn w:val="DefaultParagraphFont"/>
    <w:rsid w:val="009B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71529">
      <w:bodyDiv w:val="1"/>
      <w:marLeft w:val="0"/>
      <w:marRight w:val="0"/>
      <w:marTop w:val="0"/>
      <w:marBottom w:val="0"/>
      <w:divBdr>
        <w:top w:val="none" w:sz="0" w:space="0" w:color="auto"/>
        <w:left w:val="none" w:sz="0" w:space="0" w:color="auto"/>
        <w:bottom w:val="none" w:sz="0" w:space="0" w:color="auto"/>
        <w:right w:val="none" w:sz="0" w:space="0" w:color="auto"/>
      </w:divBdr>
    </w:div>
    <w:div w:id="1414275848">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 w:id="18872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7sp/Bahamas12265sp.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sp/professionalinterest/pages/remedyandreparation.aspx" TargetMode="External"/><Relationship Id="rId2" Type="http://schemas.openxmlformats.org/officeDocument/2006/relationships/hyperlink" Target="http://www.cidh.org/pdf%20files/Lineamientos%20principales%20para%20una%20pol%C3%ADtica%20integral%20de%20reparaciones.pdf" TargetMode="External"/><Relationship Id="rId1" Type="http://schemas.openxmlformats.org/officeDocument/2006/relationships/hyperlink" Target="http://www.corteidh.or.cr/docs/casos/articulos/seriec_162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0135A-EF0F-42FB-B72F-D4C8092E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2022-03-28T16:00:00Z</dcterms:created>
  <dcterms:modified xsi:type="dcterms:W3CDTF">2022-03-28T16:00:00Z</dcterms:modified>
</cp:coreProperties>
</file>