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152A" w14:textId="77777777" w:rsidR="00E32CB4" w:rsidRPr="007A2172" w:rsidRDefault="00E32CB4" w:rsidP="00E32CB4">
      <w:pPr>
        <w:pStyle w:val="Header"/>
        <w:jc w:val="center"/>
        <w:rPr>
          <w:rFonts w:ascii="Cambria" w:hAnsi="Cambria"/>
          <w:b/>
          <w:sz w:val="20"/>
          <w:szCs w:val="20"/>
          <w:lang w:val="es-ES"/>
        </w:rPr>
      </w:pPr>
    </w:p>
    <w:p w14:paraId="3B39A594" w14:textId="77777777" w:rsidR="00E32CB4" w:rsidRPr="0082430B" w:rsidRDefault="00E32CB4" w:rsidP="00E32CB4">
      <w:pPr>
        <w:pStyle w:val="Header"/>
        <w:jc w:val="center"/>
        <w:rPr>
          <w:rFonts w:ascii="Cambria" w:hAnsi="Cambria"/>
          <w:lang w:val="es-ES"/>
        </w:rPr>
      </w:pPr>
      <w:r w:rsidRPr="0082430B">
        <w:rPr>
          <w:rFonts w:ascii="Cambria" w:hAnsi="Cambria"/>
          <w:b/>
          <w:lang w:val="es-ES"/>
        </w:rPr>
        <w:t xml:space="preserve">FICHA DE SEGUIMIENTO DEL INFORME </w:t>
      </w:r>
      <w:proofErr w:type="spellStart"/>
      <w:r w:rsidRPr="0082430B">
        <w:rPr>
          <w:rFonts w:ascii="Cambria" w:hAnsi="Cambria"/>
          <w:b/>
          <w:lang w:val="es-ES"/>
        </w:rPr>
        <w:t>Nº</w:t>
      </w:r>
      <w:proofErr w:type="spellEnd"/>
      <w:r w:rsidRPr="0082430B">
        <w:rPr>
          <w:rFonts w:ascii="Cambria" w:hAnsi="Cambria"/>
          <w:b/>
          <w:lang w:val="es-ES"/>
        </w:rPr>
        <w:t xml:space="preserve"> 71/18</w:t>
      </w:r>
    </w:p>
    <w:p w14:paraId="2D91F6E2" w14:textId="77777777" w:rsidR="00E32CB4" w:rsidRPr="0082430B" w:rsidRDefault="00E32CB4" w:rsidP="00E32CB4">
      <w:pPr>
        <w:ind w:left="180"/>
        <w:jc w:val="center"/>
        <w:rPr>
          <w:rFonts w:ascii="Cambria" w:hAnsi="Cambria"/>
          <w:b/>
          <w:lang w:val="es-ES"/>
        </w:rPr>
      </w:pPr>
      <w:r w:rsidRPr="0082430B">
        <w:rPr>
          <w:rFonts w:ascii="Cambria" w:hAnsi="Cambria"/>
          <w:b/>
          <w:lang w:val="es-ES"/>
        </w:rPr>
        <w:t>CASO 12.958</w:t>
      </w:r>
    </w:p>
    <w:p w14:paraId="53B906F4" w14:textId="77777777" w:rsidR="00E32CB4" w:rsidRPr="0082430B" w:rsidRDefault="00E32CB4" w:rsidP="00E32CB4">
      <w:pPr>
        <w:ind w:left="180"/>
        <w:jc w:val="center"/>
        <w:rPr>
          <w:rFonts w:ascii="Cambria" w:hAnsi="Cambria"/>
          <w:b/>
          <w:lang w:val="es-ES"/>
        </w:rPr>
      </w:pPr>
      <w:r w:rsidRPr="0082430B">
        <w:rPr>
          <w:rFonts w:ascii="Cambria" w:hAnsi="Cambria"/>
          <w:b/>
          <w:lang w:val="es-ES"/>
        </w:rPr>
        <w:t xml:space="preserve">RUSSELL BUCKLEW </w:t>
      </w:r>
    </w:p>
    <w:p w14:paraId="7C4CAA16" w14:textId="77777777" w:rsidR="00E32CB4" w:rsidRPr="0082430B" w:rsidRDefault="00E32CB4" w:rsidP="00E32CB4">
      <w:pPr>
        <w:ind w:left="180"/>
        <w:jc w:val="center"/>
        <w:rPr>
          <w:rFonts w:ascii="Cambria" w:hAnsi="Cambria"/>
          <w:b/>
          <w:bCs/>
          <w:lang w:val="es-ES"/>
        </w:rPr>
      </w:pPr>
      <w:r w:rsidRPr="0082430B">
        <w:rPr>
          <w:rFonts w:ascii="Cambria" w:hAnsi="Cambria"/>
          <w:b/>
          <w:lang w:val="es-ES"/>
        </w:rPr>
        <w:t>(Estados Unidos)</w:t>
      </w:r>
    </w:p>
    <w:p w14:paraId="2425F9F7" w14:textId="77777777" w:rsidR="00E32CB4" w:rsidRPr="0082430B" w:rsidRDefault="00E32CB4" w:rsidP="00E32CB4">
      <w:pPr>
        <w:jc w:val="center"/>
        <w:rPr>
          <w:rFonts w:ascii="Cambria" w:hAnsi="Cambria"/>
          <w:sz w:val="20"/>
          <w:szCs w:val="20"/>
          <w:lang w:val="es-ES"/>
        </w:rPr>
      </w:pPr>
    </w:p>
    <w:p w14:paraId="5FF348D4" w14:textId="77777777" w:rsidR="00E32CB4" w:rsidRPr="0082430B" w:rsidRDefault="00E32CB4" w:rsidP="00E32CB4">
      <w:pPr>
        <w:numPr>
          <w:ilvl w:val="0"/>
          <w:numId w:val="8"/>
        </w:numPr>
        <w:ind w:left="1440"/>
        <w:rPr>
          <w:rFonts w:ascii="Cambria" w:hAnsi="Cambria" w:cs="Calibri Light"/>
          <w:b/>
          <w:sz w:val="20"/>
          <w:szCs w:val="20"/>
          <w:lang w:val="es-ES"/>
        </w:rPr>
      </w:pPr>
      <w:r w:rsidRPr="0082430B">
        <w:rPr>
          <w:rFonts w:ascii="Cambria" w:hAnsi="Cambria" w:cs="Calibri Light"/>
          <w:b/>
          <w:sz w:val="20"/>
          <w:szCs w:val="20"/>
          <w:lang w:val="es-ES"/>
        </w:rPr>
        <w:t xml:space="preserve">Resumen del caso </w:t>
      </w:r>
    </w:p>
    <w:p w14:paraId="133DCD87" w14:textId="77777777" w:rsidR="00E32CB4" w:rsidRPr="0082430B" w:rsidRDefault="00E32CB4" w:rsidP="00E32CB4">
      <w:pPr>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32CB4" w:rsidRPr="0082430B" w14:paraId="2B364D9D" w14:textId="77777777" w:rsidTr="00D33854">
        <w:trPr>
          <w:jc w:val="center"/>
        </w:trPr>
        <w:tc>
          <w:tcPr>
            <w:tcW w:w="9576" w:type="dxa"/>
            <w:shd w:val="clear" w:color="auto" w:fill="F2F2F2"/>
          </w:tcPr>
          <w:p w14:paraId="450265B8" w14:textId="77777777" w:rsidR="00E32CB4" w:rsidRPr="0082430B" w:rsidRDefault="00E32CB4" w:rsidP="00D33854">
            <w:pPr>
              <w:spacing w:before="120"/>
              <w:rPr>
                <w:rFonts w:ascii="Cambria" w:hAnsi="Cambria"/>
                <w:b/>
                <w:bCs/>
                <w:sz w:val="20"/>
                <w:szCs w:val="20"/>
                <w:lang w:val="es-ES"/>
              </w:rPr>
            </w:pPr>
            <w:r w:rsidRPr="0082430B">
              <w:rPr>
                <w:rFonts w:ascii="Cambria" w:hAnsi="Cambria"/>
                <w:b/>
                <w:sz w:val="20"/>
                <w:szCs w:val="20"/>
                <w:lang w:val="es-ES"/>
              </w:rPr>
              <w:t xml:space="preserve">Víctima (s): </w:t>
            </w:r>
            <w:r w:rsidRPr="0082430B">
              <w:rPr>
                <w:rFonts w:ascii="Cambria" w:hAnsi="Cambria"/>
                <w:bCs/>
                <w:sz w:val="20"/>
                <w:szCs w:val="20"/>
                <w:lang w:val="es-ES"/>
              </w:rPr>
              <w:t xml:space="preserve">Russell </w:t>
            </w:r>
            <w:proofErr w:type="spellStart"/>
            <w:r w:rsidRPr="0082430B">
              <w:rPr>
                <w:rFonts w:ascii="Cambria" w:hAnsi="Cambria"/>
                <w:bCs/>
                <w:sz w:val="20"/>
                <w:szCs w:val="20"/>
                <w:lang w:val="es-ES"/>
              </w:rPr>
              <w:t>Bucklew</w:t>
            </w:r>
            <w:proofErr w:type="spellEnd"/>
          </w:p>
          <w:p w14:paraId="08052E19" w14:textId="77777777" w:rsidR="00E32CB4" w:rsidRPr="0082430B" w:rsidRDefault="00E32CB4" w:rsidP="00D33854">
            <w:pPr>
              <w:jc w:val="both"/>
              <w:rPr>
                <w:rFonts w:ascii="Cambria" w:hAnsi="Cambria"/>
                <w:b/>
                <w:sz w:val="20"/>
                <w:szCs w:val="20"/>
              </w:rPr>
            </w:pPr>
            <w:proofErr w:type="spellStart"/>
            <w:r w:rsidRPr="0082430B">
              <w:rPr>
                <w:rFonts w:ascii="Cambria" w:hAnsi="Cambria"/>
                <w:b/>
                <w:sz w:val="20"/>
                <w:szCs w:val="20"/>
              </w:rPr>
              <w:t>Peticionario</w:t>
            </w:r>
            <w:proofErr w:type="spellEnd"/>
            <w:r w:rsidRPr="0082430B">
              <w:rPr>
                <w:rFonts w:ascii="Cambria" w:hAnsi="Cambria"/>
                <w:b/>
                <w:sz w:val="20"/>
                <w:szCs w:val="20"/>
              </w:rPr>
              <w:t xml:space="preserve"> (s):</w:t>
            </w:r>
            <w:r w:rsidRPr="0082430B">
              <w:rPr>
                <w:rFonts w:ascii="Cambria" w:hAnsi="Cambria"/>
                <w:sz w:val="20"/>
                <w:szCs w:val="20"/>
              </w:rPr>
              <w:t xml:space="preserve"> American Civil Liberties Union</w:t>
            </w:r>
          </w:p>
          <w:p w14:paraId="49C617EC" w14:textId="77777777" w:rsidR="00E32CB4" w:rsidRPr="0082430B" w:rsidRDefault="00E32CB4" w:rsidP="00D33854">
            <w:pPr>
              <w:jc w:val="both"/>
              <w:rPr>
                <w:rFonts w:ascii="Cambria" w:hAnsi="Cambria"/>
                <w:sz w:val="20"/>
                <w:szCs w:val="20"/>
              </w:rPr>
            </w:pPr>
            <w:r w:rsidRPr="0082430B">
              <w:rPr>
                <w:rFonts w:ascii="Cambria" w:hAnsi="Cambria"/>
                <w:b/>
                <w:sz w:val="20"/>
                <w:szCs w:val="20"/>
              </w:rPr>
              <w:t xml:space="preserve">Estado: </w:t>
            </w:r>
            <w:proofErr w:type="spellStart"/>
            <w:r w:rsidRPr="0082430B">
              <w:rPr>
                <w:rFonts w:ascii="Cambria" w:hAnsi="Cambria"/>
                <w:sz w:val="20"/>
                <w:szCs w:val="20"/>
              </w:rPr>
              <w:t>Estados</w:t>
            </w:r>
            <w:proofErr w:type="spellEnd"/>
            <w:r w:rsidRPr="0082430B">
              <w:rPr>
                <w:rFonts w:ascii="Cambria" w:hAnsi="Cambria"/>
                <w:sz w:val="20"/>
                <w:szCs w:val="20"/>
              </w:rPr>
              <w:t xml:space="preserve"> Unidos</w:t>
            </w:r>
          </w:p>
          <w:p w14:paraId="4F90A455" w14:textId="77777777" w:rsidR="00E32CB4" w:rsidRPr="0082430B" w:rsidRDefault="00E32CB4" w:rsidP="00D33854">
            <w:pPr>
              <w:jc w:val="both"/>
              <w:rPr>
                <w:rFonts w:ascii="Cambria" w:hAnsi="Cambria"/>
                <w:sz w:val="20"/>
                <w:szCs w:val="20"/>
                <w:lang w:val="es-ES"/>
              </w:rPr>
            </w:pPr>
            <w:r w:rsidRPr="0082430B">
              <w:rPr>
                <w:rFonts w:ascii="Cambria" w:hAnsi="Cambria"/>
                <w:b/>
                <w:sz w:val="20"/>
                <w:szCs w:val="20"/>
                <w:lang w:val="es-ES"/>
              </w:rPr>
              <w:t xml:space="preserve">Informe de Fondo </w:t>
            </w:r>
            <w:proofErr w:type="spellStart"/>
            <w:r w:rsidRPr="0082430B">
              <w:rPr>
                <w:rFonts w:ascii="Cambria" w:hAnsi="Cambria"/>
                <w:b/>
                <w:sz w:val="20"/>
                <w:szCs w:val="20"/>
                <w:lang w:val="es-ES"/>
              </w:rPr>
              <w:t>Nº</w:t>
            </w:r>
            <w:proofErr w:type="spellEnd"/>
            <w:r w:rsidRPr="0082430B">
              <w:rPr>
                <w:rFonts w:ascii="Cambria" w:hAnsi="Cambria"/>
                <w:b/>
                <w:sz w:val="20"/>
                <w:szCs w:val="20"/>
                <w:lang w:val="es-ES"/>
              </w:rPr>
              <w:t xml:space="preserve">: </w:t>
            </w:r>
            <w:hyperlink r:id="rId8" w:history="1">
              <w:r w:rsidRPr="0082430B">
                <w:rPr>
                  <w:rStyle w:val="Hyperlink"/>
                  <w:rFonts w:ascii="Cambria" w:hAnsi="Cambria"/>
                  <w:color w:val="auto"/>
                  <w:sz w:val="20"/>
                  <w:szCs w:val="20"/>
                  <w:lang w:val="es-ES"/>
                </w:rPr>
                <w:t>71/18</w:t>
              </w:r>
            </w:hyperlink>
            <w:r w:rsidRPr="0082430B">
              <w:rPr>
                <w:rFonts w:ascii="Cambria" w:hAnsi="Cambria"/>
                <w:sz w:val="20"/>
                <w:szCs w:val="20"/>
                <w:lang w:val="es-ES"/>
              </w:rPr>
              <w:t>, publicado el 10 de mayo de 2018</w:t>
            </w:r>
          </w:p>
          <w:p w14:paraId="7AFD246C" w14:textId="77777777" w:rsidR="00E32CB4" w:rsidRPr="0082430B" w:rsidRDefault="00E32CB4" w:rsidP="00D33854">
            <w:pPr>
              <w:jc w:val="both"/>
              <w:rPr>
                <w:rFonts w:ascii="Cambria" w:hAnsi="Cambria"/>
                <w:sz w:val="20"/>
                <w:szCs w:val="20"/>
                <w:lang w:val="es-ES"/>
              </w:rPr>
            </w:pPr>
            <w:r w:rsidRPr="0082430B">
              <w:rPr>
                <w:rFonts w:ascii="Cambria" w:hAnsi="Cambria"/>
                <w:b/>
                <w:sz w:val="20"/>
                <w:szCs w:val="20"/>
                <w:lang w:val="es-ES"/>
              </w:rPr>
              <w:t xml:space="preserve">Informe de Admisibilidad </w:t>
            </w:r>
            <w:proofErr w:type="spellStart"/>
            <w:r w:rsidRPr="0082430B">
              <w:rPr>
                <w:rFonts w:ascii="Cambria" w:hAnsi="Cambria"/>
                <w:b/>
                <w:sz w:val="20"/>
                <w:szCs w:val="20"/>
                <w:lang w:val="es-ES"/>
              </w:rPr>
              <w:t>Nº</w:t>
            </w:r>
            <w:proofErr w:type="spellEnd"/>
            <w:r w:rsidRPr="0082430B">
              <w:rPr>
                <w:rFonts w:ascii="Cambria" w:hAnsi="Cambria"/>
                <w:b/>
                <w:sz w:val="20"/>
                <w:szCs w:val="20"/>
                <w:lang w:val="es-ES"/>
              </w:rPr>
              <w:t xml:space="preserve">: </w:t>
            </w:r>
            <w:hyperlink r:id="rId9" w:history="1">
              <w:r w:rsidRPr="0082430B">
                <w:rPr>
                  <w:rStyle w:val="Hyperlink"/>
                  <w:rFonts w:ascii="Cambria" w:hAnsi="Cambria"/>
                  <w:color w:val="auto"/>
                  <w:sz w:val="20"/>
                  <w:szCs w:val="20"/>
                  <w:lang w:val="es-ES"/>
                </w:rPr>
                <w:t>54/14</w:t>
              </w:r>
            </w:hyperlink>
            <w:r w:rsidRPr="0082430B">
              <w:rPr>
                <w:rFonts w:ascii="Cambria" w:hAnsi="Cambria"/>
                <w:sz w:val="20"/>
                <w:szCs w:val="20"/>
                <w:lang w:val="es-ES"/>
              </w:rPr>
              <w:t>, publicado el 21 de julio de 2014</w:t>
            </w:r>
          </w:p>
          <w:p w14:paraId="5C6B3161" w14:textId="77777777" w:rsidR="00E32CB4" w:rsidRPr="0082430B" w:rsidRDefault="00E32CB4" w:rsidP="00D33854">
            <w:pPr>
              <w:jc w:val="both"/>
              <w:rPr>
                <w:rFonts w:ascii="Cambria" w:hAnsi="Cambria"/>
                <w:sz w:val="20"/>
                <w:szCs w:val="20"/>
                <w:lang w:val="es-ES"/>
              </w:rPr>
            </w:pPr>
            <w:r w:rsidRPr="0082430B">
              <w:rPr>
                <w:rFonts w:ascii="Cambria" w:hAnsi="Cambria"/>
                <w:b/>
                <w:sz w:val="20"/>
                <w:szCs w:val="20"/>
                <w:lang w:val="es-ES"/>
              </w:rPr>
              <w:t xml:space="preserve">Medida Cautelar </w:t>
            </w:r>
            <w:proofErr w:type="spellStart"/>
            <w:r w:rsidRPr="0082430B">
              <w:rPr>
                <w:rFonts w:ascii="Cambria" w:hAnsi="Cambria"/>
                <w:b/>
                <w:sz w:val="20"/>
                <w:szCs w:val="20"/>
                <w:lang w:val="es-ES"/>
              </w:rPr>
              <w:t>Nº</w:t>
            </w:r>
            <w:proofErr w:type="spellEnd"/>
            <w:r w:rsidRPr="0082430B">
              <w:rPr>
                <w:rFonts w:ascii="Cambria" w:hAnsi="Cambria"/>
                <w:b/>
                <w:sz w:val="20"/>
                <w:szCs w:val="20"/>
                <w:lang w:val="es-ES"/>
              </w:rPr>
              <w:t xml:space="preserve">: </w:t>
            </w:r>
            <w:hyperlink r:id="rId10" w:history="1">
              <w:r w:rsidRPr="0082430B">
                <w:rPr>
                  <w:rStyle w:val="Hyperlink"/>
                  <w:rFonts w:ascii="Cambria" w:hAnsi="Cambria"/>
                  <w:color w:val="auto"/>
                  <w:sz w:val="20"/>
                  <w:szCs w:val="20"/>
                  <w:lang w:val="es-ES"/>
                </w:rPr>
                <w:t>177/14</w:t>
              </w:r>
            </w:hyperlink>
            <w:r w:rsidRPr="0082430B">
              <w:rPr>
                <w:rFonts w:ascii="Cambria" w:hAnsi="Cambria"/>
                <w:sz w:val="20"/>
                <w:szCs w:val="20"/>
                <w:lang w:val="es-ES"/>
              </w:rPr>
              <w:t>, otorgada el 20 de mayo de 2014</w:t>
            </w:r>
          </w:p>
          <w:p w14:paraId="175230AE" w14:textId="77777777" w:rsidR="00E32CB4" w:rsidRPr="0082430B" w:rsidRDefault="00E32CB4" w:rsidP="00D33854">
            <w:pPr>
              <w:spacing w:after="120"/>
              <w:jc w:val="both"/>
              <w:rPr>
                <w:rFonts w:ascii="Cambria" w:hAnsi="Cambria"/>
                <w:sz w:val="20"/>
                <w:szCs w:val="20"/>
                <w:lang w:val="es-ES"/>
              </w:rPr>
            </w:pPr>
            <w:r w:rsidRPr="0082430B">
              <w:rPr>
                <w:rFonts w:ascii="Cambria" w:hAnsi="Cambria"/>
                <w:b/>
                <w:sz w:val="20"/>
                <w:szCs w:val="20"/>
                <w:lang w:val="es-ES"/>
              </w:rPr>
              <w:t xml:space="preserve">Temas: </w:t>
            </w:r>
            <w:r w:rsidRPr="0082430B">
              <w:rPr>
                <w:rFonts w:ascii="Cambria" w:hAnsi="Cambria"/>
                <w:sz w:val="20"/>
                <w:szCs w:val="20"/>
                <w:lang w:val="es-ES"/>
              </w:rPr>
              <w:t>Pena de Muerte / Derecho a la Vida / Garantías Judiciales / Protección Judicial / Deber de Adoptar Medidas y Disposiciones de Derecho Interno / Condiciones de Detención / Derecho a la Integridad Personal / Derecho a la Libertad Personal / Tortura y otros Tratos Crueles, Inhumanos y/o Degradantes.</w:t>
            </w:r>
          </w:p>
          <w:p w14:paraId="47223FE7" w14:textId="77777777" w:rsidR="00E32CB4" w:rsidRPr="0082430B" w:rsidRDefault="00E32CB4" w:rsidP="00D33854">
            <w:pPr>
              <w:pStyle w:val="NoSpacing"/>
              <w:spacing w:after="120"/>
              <w:jc w:val="both"/>
              <w:rPr>
                <w:rFonts w:ascii="Cambria" w:hAnsi="Cambria"/>
                <w:sz w:val="20"/>
                <w:szCs w:val="20"/>
                <w:lang w:val="es-ES"/>
              </w:rPr>
            </w:pPr>
            <w:r w:rsidRPr="0082430B">
              <w:rPr>
                <w:rFonts w:ascii="Cambria" w:hAnsi="Cambria"/>
                <w:b/>
                <w:sz w:val="20"/>
                <w:szCs w:val="20"/>
                <w:lang w:val="es-ES"/>
              </w:rPr>
              <w:t xml:space="preserve">Hechos: </w:t>
            </w:r>
            <w:r w:rsidRPr="0082430B">
              <w:rPr>
                <w:rFonts w:ascii="Cambria" w:hAnsi="Cambria"/>
                <w:sz w:val="20"/>
                <w:szCs w:val="20"/>
                <w:lang w:val="es-ES"/>
              </w:rPr>
              <w:t xml:space="preserve">Este caso se refiere a Russell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quien fue condenado a muerte el 15 de mayo de 1997 en el estado de Misuri, en Estados Unidos. En mayo de 1997, el Sr.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fue condenado a muerte por asesinato en primer grado, después de un juicio por jurado. También recibió penas de prisión de 30 años por secuestro, 30 años por robo, 30 años por violación y cinco años por acción criminal armada. La Corte Suprema de Misuri fijó primero su fecha de ejecución para el 21 de mayo de 2014, pero el 9 de mayo de 2014, el Sr.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presentó una demanda en el Tribunal de Distrito de Estados Unidos del Distrito Oeste de Misuri impugnando el protocolo de ejecución de Misuri como se aplicaría a él específicamente. El 20 de mayo de 2014, el Tribunal Supremo de Estados Unidos concedió al Sr.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una suspensión y ordenó a la Corte de Apelaciones de Estados Unidos para el Octavo Circuito que escuchara su caso. El Octavo Circuito dictaminó que el tribunal del distrito federal se equivocó al desestimar la denuncia del Sr.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porque no era evidentemente obvio que no pudiera prevalecer o que una enmienda a la queja sería inútil. </w:t>
            </w:r>
          </w:p>
          <w:p w14:paraId="07FA5FB5" w14:textId="77777777" w:rsidR="00E32CB4" w:rsidRPr="0082430B" w:rsidRDefault="00E32CB4" w:rsidP="00D33854">
            <w:pPr>
              <w:pStyle w:val="NoSpacing"/>
              <w:spacing w:after="120"/>
              <w:jc w:val="both"/>
              <w:rPr>
                <w:lang w:val="es-ES"/>
              </w:rPr>
            </w:pPr>
            <w:r w:rsidRPr="0082430B">
              <w:rPr>
                <w:rFonts w:ascii="Cambria" w:hAnsi="Cambria"/>
                <w:b/>
                <w:sz w:val="20"/>
                <w:szCs w:val="20"/>
                <w:lang w:val="es-ES"/>
              </w:rPr>
              <w:t xml:space="preserve">Derechos violados: </w:t>
            </w:r>
            <w:r w:rsidRPr="0082430B">
              <w:rPr>
                <w:rFonts w:ascii="Cambria" w:hAnsi="Cambria"/>
                <w:sz w:val="20"/>
                <w:szCs w:val="20"/>
                <w:lang w:val="es-ES"/>
              </w:rPr>
              <w:t xml:space="preserve">La Comisión concluyó que Estados Unidos es responsable de la violación de los artículos I (derecho a la vida, a la libertad, a la seguridad e integridad de la persona), (derecho de justicia), XXV (derecho de protección contra la detención arbitraria) y XXVI (derecho a un proceso regular) de la Declaración Americana sobre los Derechos y Deberes del Hombre (en adelante “Declaración Americana”) en el caso de Russell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De llevarse a cabo la ejecución del Sr. Russell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el Estado sería también responsable por una seria e irreparable violación del derecho fundamental a la vida, protegido en el artículo I de la Declaración Americana.</w:t>
            </w:r>
          </w:p>
        </w:tc>
      </w:tr>
    </w:tbl>
    <w:p w14:paraId="5D4C55FA" w14:textId="77777777" w:rsidR="00E32CB4" w:rsidRPr="0082430B" w:rsidRDefault="00E32CB4" w:rsidP="00E32CB4">
      <w:pPr>
        <w:ind w:left="180"/>
        <w:rPr>
          <w:rFonts w:ascii="Cambria" w:hAnsi="Cambria"/>
          <w:sz w:val="20"/>
          <w:szCs w:val="20"/>
          <w:lang w:val="es-ES"/>
        </w:rPr>
      </w:pPr>
    </w:p>
    <w:p w14:paraId="548B3EC5" w14:textId="77777777" w:rsidR="00E32CB4" w:rsidRPr="0082430B" w:rsidRDefault="00E32CB4" w:rsidP="00E32CB4">
      <w:pPr>
        <w:numPr>
          <w:ilvl w:val="0"/>
          <w:numId w:val="8"/>
        </w:numPr>
        <w:ind w:left="1440"/>
        <w:jc w:val="both"/>
        <w:rPr>
          <w:rFonts w:ascii="Cambria" w:hAnsi="Cambria" w:cs="Calibri Light"/>
          <w:b/>
          <w:sz w:val="20"/>
          <w:szCs w:val="20"/>
          <w:lang w:val="es-ES"/>
        </w:rPr>
      </w:pPr>
      <w:r w:rsidRPr="0082430B">
        <w:rPr>
          <w:rFonts w:ascii="Cambria" w:hAnsi="Cambria" w:cs="Calibri Light"/>
          <w:b/>
          <w:sz w:val="20"/>
          <w:szCs w:val="20"/>
          <w:lang w:val="es-ES"/>
        </w:rPr>
        <w:t>Recomendaciones</w:t>
      </w:r>
    </w:p>
    <w:p w14:paraId="7CF3FB6E" w14:textId="77777777" w:rsidR="00E32CB4" w:rsidRPr="0082430B" w:rsidRDefault="00E32CB4" w:rsidP="00E32CB4">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572"/>
      </w:tblGrid>
      <w:tr w:rsidR="00E32CB4" w:rsidRPr="0082430B" w14:paraId="1086123F" w14:textId="77777777" w:rsidTr="00D33854">
        <w:tc>
          <w:tcPr>
            <w:tcW w:w="6930" w:type="dxa"/>
            <w:shd w:val="clear" w:color="auto" w:fill="auto"/>
            <w:vAlign w:val="center"/>
          </w:tcPr>
          <w:p w14:paraId="3701B26F" w14:textId="77777777" w:rsidR="00E32CB4" w:rsidRPr="0082430B" w:rsidRDefault="00E32CB4" w:rsidP="00D33854">
            <w:pPr>
              <w:jc w:val="center"/>
              <w:rPr>
                <w:rFonts w:ascii="Cambria" w:hAnsi="Cambria" w:cs="Calibri Light"/>
                <w:b/>
                <w:sz w:val="18"/>
                <w:szCs w:val="18"/>
                <w:lang w:val="es-ES"/>
              </w:rPr>
            </w:pPr>
            <w:r w:rsidRPr="0082430B">
              <w:rPr>
                <w:rFonts w:ascii="Cambria" w:hAnsi="Cambria" w:cs="Calibri Light"/>
                <w:b/>
                <w:sz w:val="18"/>
                <w:szCs w:val="18"/>
                <w:lang w:val="es-ES"/>
              </w:rPr>
              <w:t>Recomendaciones</w:t>
            </w:r>
          </w:p>
        </w:tc>
        <w:tc>
          <w:tcPr>
            <w:tcW w:w="2610" w:type="dxa"/>
            <w:shd w:val="clear" w:color="auto" w:fill="auto"/>
            <w:vAlign w:val="center"/>
          </w:tcPr>
          <w:p w14:paraId="57270F62" w14:textId="2250E26D" w:rsidR="00E32CB4" w:rsidRPr="0082430B" w:rsidRDefault="00E32CB4" w:rsidP="00D33854">
            <w:pPr>
              <w:jc w:val="center"/>
              <w:rPr>
                <w:rFonts w:ascii="Cambria" w:hAnsi="Cambria" w:cs="Calibri Light"/>
                <w:b/>
                <w:color w:val="000000" w:themeColor="text1"/>
                <w:sz w:val="18"/>
                <w:szCs w:val="18"/>
                <w:lang w:val="es-ES"/>
              </w:rPr>
            </w:pPr>
            <w:r w:rsidRPr="0082430B">
              <w:rPr>
                <w:rFonts w:ascii="Cambria" w:hAnsi="Cambria" w:cs="Calibri Light"/>
                <w:b/>
                <w:color w:val="000000" w:themeColor="text1"/>
                <w:sz w:val="18"/>
                <w:szCs w:val="18"/>
                <w:lang w:val="es-ES"/>
              </w:rPr>
              <w:t xml:space="preserve">Estado de cumplimiento en el </w:t>
            </w:r>
            <w:r w:rsidR="00DD0414" w:rsidRPr="0082430B">
              <w:rPr>
                <w:rFonts w:ascii="Cambria" w:hAnsi="Cambria"/>
                <w:b/>
                <w:color w:val="000000" w:themeColor="text1"/>
                <w:sz w:val="18"/>
                <w:szCs w:val="18"/>
                <w:lang w:val="es-ES"/>
              </w:rPr>
              <w:t>2021</w:t>
            </w:r>
          </w:p>
        </w:tc>
      </w:tr>
      <w:tr w:rsidR="00E32CB4" w:rsidRPr="0082430B" w14:paraId="72E59CD0" w14:textId="77777777" w:rsidTr="00D33854">
        <w:tc>
          <w:tcPr>
            <w:tcW w:w="6930" w:type="dxa"/>
            <w:shd w:val="clear" w:color="auto" w:fill="auto"/>
          </w:tcPr>
          <w:p w14:paraId="0276C718" w14:textId="77777777" w:rsidR="00E32CB4" w:rsidRPr="0082430B" w:rsidRDefault="00E32CB4" w:rsidP="00D33854">
            <w:pPr>
              <w:jc w:val="both"/>
              <w:rPr>
                <w:rFonts w:ascii="Cambria" w:hAnsi="Cambria"/>
                <w:sz w:val="18"/>
                <w:szCs w:val="18"/>
                <w:lang w:val="es-ES"/>
              </w:rPr>
            </w:pPr>
            <w:r w:rsidRPr="0082430B">
              <w:rPr>
                <w:rFonts w:ascii="Cambria" w:hAnsi="Cambria"/>
                <w:sz w:val="18"/>
                <w:szCs w:val="18"/>
                <w:lang w:val="es-ES"/>
              </w:rPr>
              <w:t xml:space="preserve">1. Otorgar a Russell </w:t>
            </w:r>
            <w:proofErr w:type="spellStart"/>
            <w:r w:rsidRPr="0082430B">
              <w:rPr>
                <w:rFonts w:ascii="Cambria" w:hAnsi="Cambria"/>
                <w:sz w:val="18"/>
                <w:szCs w:val="18"/>
                <w:lang w:val="es-ES"/>
              </w:rPr>
              <w:t>Bucklew</w:t>
            </w:r>
            <w:proofErr w:type="spellEnd"/>
            <w:r w:rsidRPr="0082430B">
              <w:rPr>
                <w:rFonts w:ascii="Cambria" w:hAnsi="Cambria"/>
                <w:sz w:val="18"/>
                <w:szCs w:val="18"/>
                <w:lang w:val="es-ES"/>
              </w:rPr>
              <w:t xml:space="preserve"> una reparación efectiva. Teniendo en cuenta las conclusiones de la CIDH sobre la falta de un recurso efectivo para impugnar el método de ejecución, el tiempo que Russell </w:t>
            </w:r>
            <w:proofErr w:type="spellStart"/>
            <w:r w:rsidRPr="0082430B">
              <w:rPr>
                <w:rFonts w:ascii="Cambria" w:hAnsi="Cambria"/>
                <w:sz w:val="18"/>
                <w:szCs w:val="18"/>
                <w:lang w:val="es-ES"/>
              </w:rPr>
              <w:t>Bucklew</w:t>
            </w:r>
            <w:proofErr w:type="spellEnd"/>
            <w:r w:rsidRPr="0082430B">
              <w:rPr>
                <w:rFonts w:ascii="Cambria" w:hAnsi="Cambria"/>
                <w:sz w:val="18"/>
                <w:szCs w:val="18"/>
                <w:lang w:val="es-ES"/>
              </w:rPr>
              <w:t xml:space="preserve"> ya ha permanecido retenido en el corredor de la muerte, su rara condición médica y el riesgo significativo, debido a esa condición, de que la ejecución causaría un sufrimiento excesivo incompatible con la Declaración Americana, la Comisión recomienda que se le conmute la pena, que se lo transfiera del corredor de la muerte y que el Estado garantice que sus condiciones de detención sean compatibles con su dignidad humana.</w:t>
            </w:r>
          </w:p>
        </w:tc>
        <w:tc>
          <w:tcPr>
            <w:tcW w:w="2610" w:type="dxa"/>
            <w:shd w:val="clear" w:color="auto" w:fill="auto"/>
            <w:vAlign w:val="center"/>
          </w:tcPr>
          <w:p w14:paraId="21C08CC8" w14:textId="77777777" w:rsidR="00E32CB4" w:rsidRPr="0082430B" w:rsidRDefault="00E32CB4" w:rsidP="00D33854">
            <w:pPr>
              <w:jc w:val="center"/>
              <w:rPr>
                <w:rFonts w:ascii="Cambria" w:hAnsi="Cambria" w:cs="Calibri Light"/>
                <w:color w:val="000000" w:themeColor="text1"/>
                <w:sz w:val="18"/>
                <w:szCs w:val="18"/>
                <w:lang w:val="es-ES"/>
              </w:rPr>
            </w:pPr>
            <w:r w:rsidRPr="0082430B">
              <w:rPr>
                <w:rFonts w:ascii="Cambria" w:hAnsi="Cambria" w:cs="Calibri Light"/>
                <w:color w:val="000000" w:themeColor="text1"/>
                <w:sz w:val="18"/>
                <w:szCs w:val="18"/>
                <w:lang w:val="es-ES"/>
              </w:rPr>
              <w:t>Incumplimiento</w:t>
            </w:r>
          </w:p>
        </w:tc>
      </w:tr>
      <w:tr w:rsidR="00E32CB4" w:rsidRPr="0082430B" w14:paraId="7FC3C89A" w14:textId="77777777" w:rsidTr="00D33854">
        <w:tc>
          <w:tcPr>
            <w:tcW w:w="6930" w:type="dxa"/>
            <w:shd w:val="clear" w:color="auto" w:fill="auto"/>
          </w:tcPr>
          <w:p w14:paraId="6DBDC554" w14:textId="77777777" w:rsidR="00E32CB4" w:rsidRPr="0082430B" w:rsidRDefault="00E32CB4" w:rsidP="00D33854">
            <w:pPr>
              <w:jc w:val="both"/>
              <w:rPr>
                <w:rFonts w:ascii="Cambria" w:hAnsi="Cambria"/>
                <w:sz w:val="18"/>
                <w:szCs w:val="18"/>
                <w:lang w:val="es-ES"/>
              </w:rPr>
            </w:pPr>
            <w:r w:rsidRPr="0082430B">
              <w:rPr>
                <w:rFonts w:ascii="Cambria" w:hAnsi="Cambria"/>
                <w:sz w:val="18"/>
                <w:szCs w:val="18"/>
                <w:lang w:val="es-ES"/>
              </w:rPr>
              <w:t xml:space="preserve">2. Revisar sus leyes, procedimientos y prácticas para garantizar que las personas sentenciadas a la pena de muerte tengan acceso a recursos judiciales efectivos para </w:t>
            </w:r>
            <w:r w:rsidRPr="0082430B">
              <w:rPr>
                <w:rFonts w:ascii="Cambria" w:hAnsi="Cambria"/>
                <w:sz w:val="18"/>
                <w:szCs w:val="18"/>
                <w:lang w:val="es-ES"/>
              </w:rPr>
              <w:lastRenderedPageBreak/>
              <w:t>impugnar el posible impacto del método de ejecución en sus derechos fundamentales de conformidad con los estándares señalados en este informe de fondo.</w:t>
            </w:r>
          </w:p>
        </w:tc>
        <w:tc>
          <w:tcPr>
            <w:tcW w:w="2610" w:type="dxa"/>
            <w:shd w:val="clear" w:color="auto" w:fill="auto"/>
            <w:vAlign w:val="center"/>
          </w:tcPr>
          <w:p w14:paraId="24482BC4" w14:textId="77777777" w:rsidR="00E32CB4" w:rsidRPr="0082430B" w:rsidRDefault="00E32CB4" w:rsidP="00D33854">
            <w:pPr>
              <w:jc w:val="center"/>
              <w:rPr>
                <w:rFonts w:ascii="Cambria" w:hAnsi="Cambria" w:cs="Calibri Light"/>
                <w:b/>
                <w:sz w:val="18"/>
                <w:szCs w:val="18"/>
                <w:lang w:val="es-ES"/>
              </w:rPr>
            </w:pPr>
            <w:r w:rsidRPr="0082430B">
              <w:rPr>
                <w:rFonts w:ascii="Cambria" w:hAnsi="Cambria" w:cs="Calibri Light"/>
                <w:sz w:val="18"/>
                <w:szCs w:val="18"/>
                <w:lang w:val="es-ES"/>
              </w:rPr>
              <w:lastRenderedPageBreak/>
              <w:t>Pendiente de cumplimiento</w:t>
            </w:r>
          </w:p>
        </w:tc>
      </w:tr>
      <w:tr w:rsidR="00E32CB4" w:rsidRPr="0082430B" w14:paraId="4371820C" w14:textId="77777777" w:rsidTr="00D33854">
        <w:tc>
          <w:tcPr>
            <w:tcW w:w="6930" w:type="dxa"/>
            <w:shd w:val="clear" w:color="auto" w:fill="auto"/>
          </w:tcPr>
          <w:p w14:paraId="14F3CA50" w14:textId="77777777" w:rsidR="00E32CB4" w:rsidRPr="0082430B" w:rsidRDefault="00E32CB4" w:rsidP="00D33854">
            <w:pPr>
              <w:jc w:val="both"/>
              <w:rPr>
                <w:rFonts w:ascii="Cambria" w:hAnsi="Cambria"/>
                <w:sz w:val="18"/>
                <w:szCs w:val="18"/>
                <w:lang w:val="es-ES"/>
              </w:rPr>
            </w:pPr>
            <w:r w:rsidRPr="0082430B">
              <w:rPr>
                <w:rFonts w:ascii="Cambria" w:hAnsi="Cambria"/>
                <w:sz w:val="18"/>
                <w:szCs w:val="18"/>
                <w:lang w:val="es-ES"/>
              </w:rPr>
              <w:t>3. 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p>
        </w:tc>
        <w:tc>
          <w:tcPr>
            <w:tcW w:w="2610" w:type="dxa"/>
            <w:shd w:val="clear" w:color="auto" w:fill="auto"/>
            <w:vAlign w:val="center"/>
          </w:tcPr>
          <w:p w14:paraId="67A51708" w14:textId="77777777" w:rsidR="00E32CB4" w:rsidRPr="0082430B" w:rsidRDefault="00E32CB4" w:rsidP="00D33854">
            <w:pPr>
              <w:jc w:val="center"/>
              <w:rPr>
                <w:rFonts w:ascii="Cambria" w:hAnsi="Cambria" w:cs="Calibri Light"/>
                <w:b/>
                <w:sz w:val="18"/>
                <w:szCs w:val="18"/>
                <w:lang w:val="es-ES"/>
              </w:rPr>
            </w:pPr>
            <w:r w:rsidRPr="0082430B">
              <w:rPr>
                <w:rFonts w:ascii="Cambria" w:hAnsi="Cambria" w:cs="Calibri Light"/>
                <w:sz w:val="18"/>
                <w:szCs w:val="18"/>
                <w:lang w:val="es-ES"/>
              </w:rPr>
              <w:t>Pendiente de cumplimiento</w:t>
            </w:r>
          </w:p>
        </w:tc>
      </w:tr>
    </w:tbl>
    <w:p w14:paraId="7496CEAA" w14:textId="77777777" w:rsidR="00E32CB4" w:rsidRPr="0082430B" w:rsidRDefault="00E32CB4" w:rsidP="00E32CB4">
      <w:pPr>
        <w:jc w:val="both"/>
        <w:rPr>
          <w:rFonts w:ascii="Cambria" w:hAnsi="Cambria" w:cs="Calibri Light"/>
          <w:sz w:val="20"/>
          <w:szCs w:val="20"/>
          <w:lang w:val="es-ES"/>
        </w:rPr>
      </w:pPr>
    </w:p>
    <w:p w14:paraId="58833476" w14:textId="77777777" w:rsidR="00E32CB4" w:rsidRPr="0082430B" w:rsidRDefault="00E32CB4" w:rsidP="00E32CB4">
      <w:pPr>
        <w:pStyle w:val="ListParagraph"/>
        <w:numPr>
          <w:ilvl w:val="0"/>
          <w:numId w:val="8"/>
        </w:numPr>
        <w:ind w:left="1440"/>
        <w:jc w:val="both"/>
        <w:rPr>
          <w:rFonts w:ascii="Cambria" w:hAnsi="Cambria" w:cs="Calibri Light"/>
          <w:b/>
          <w:sz w:val="20"/>
          <w:szCs w:val="20"/>
          <w:lang w:val="es-ES"/>
        </w:rPr>
      </w:pPr>
      <w:r w:rsidRPr="0082430B">
        <w:rPr>
          <w:rFonts w:ascii="Cambria" w:hAnsi="Cambria"/>
          <w:b/>
          <w:sz w:val="20"/>
          <w:szCs w:val="20"/>
          <w:lang w:val="es-ES"/>
        </w:rPr>
        <w:t>Actividad Procesal</w:t>
      </w:r>
    </w:p>
    <w:p w14:paraId="3C807181" w14:textId="77777777" w:rsidR="00E32CB4" w:rsidRPr="0082430B" w:rsidRDefault="00E32CB4" w:rsidP="00E32CB4">
      <w:pPr>
        <w:rPr>
          <w:rFonts w:ascii="Cambria" w:hAnsi="Cambria"/>
          <w:sz w:val="20"/>
          <w:szCs w:val="20"/>
          <w:lang w:val="es-ES"/>
        </w:rPr>
      </w:pPr>
    </w:p>
    <w:p w14:paraId="268F2527" w14:textId="77777777" w:rsidR="00E32CB4" w:rsidRPr="0082430B" w:rsidRDefault="00E32CB4" w:rsidP="00E32CB4">
      <w:pPr>
        <w:pStyle w:val="ListParagraph"/>
        <w:numPr>
          <w:ilvl w:val="0"/>
          <w:numId w:val="20"/>
        </w:numPr>
        <w:ind w:left="0" w:firstLine="720"/>
        <w:jc w:val="both"/>
        <w:rPr>
          <w:rFonts w:ascii="Cambria" w:hAnsi="Cambria"/>
          <w:sz w:val="20"/>
          <w:szCs w:val="20"/>
          <w:lang w:val="es-ES"/>
        </w:rPr>
      </w:pPr>
      <w:r w:rsidRPr="0082430B">
        <w:rPr>
          <w:rFonts w:ascii="Cambria" w:hAnsi="Cambria"/>
          <w:sz w:val="20"/>
          <w:szCs w:val="20"/>
          <w:lang w:val="es-ES"/>
        </w:rPr>
        <w:t>El 23 de agosto de 2019, la CIDH emitió un comunicado de prensa</w:t>
      </w:r>
      <w:r w:rsidRPr="0082430B">
        <w:rPr>
          <w:rStyle w:val="FootnoteReference"/>
          <w:rFonts w:ascii="Cambria" w:hAnsi="Cambria"/>
          <w:sz w:val="20"/>
          <w:szCs w:val="20"/>
          <w:lang w:val="es-ES"/>
        </w:rPr>
        <w:footnoteReference w:id="1"/>
      </w:r>
      <w:r w:rsidRPr="0082430B">
        <w:rPr>
          <w:rFonts w:ascii="Cambria" w:hAnsi="Cambria"/>
          <w:sz w:val="20"/>
          <w:szCs w:val="20"/>
          <w:lang w:val="es-ES"/>
        </w:rPr>
        <w:t xml:space="preserve">, en el cual instaba a los Estados Unidos a suspender la ejecución de Russel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que entonces estaba programada para el 1º de octubre de 2019 en el estado de Misuri, y a otorgarle una reparación efectiva. </w:t>
      </w:r>
    </w:p>
    <w:p w14:paraId="5C9100FD" w14:textId="77777777" w:rsidR="00E32CB4" w:rsidRPr="0082430B" w:rsidRDefault="00E32CB4" w:rsidP="00E32CB4">
      <w:pPr>
        <w:pStyle w:val="ListParagraph"/>
        <w:rPr>
          <w:rFonts w:ascii="Cambria" w:hAnsi="Cambria"/>
          <w:sz w:val="20"/>
          <w:szCs w:val="20"/>
          <w:lang w:val="es-ES"/>
        </w:rPr>
      </w:pPr>
    </w:p>
    <w:p w14:paraId="41DFD01D" w14:textId="77777777" w:rsidR="00E32CB4" w:rsidRPr="0082430B" w:rsidRDefault="00E32CB4" w:rsidP="00E32CB4">
      <w:pPr>
        <w:pStyle w:val="ListParagraph"/>
        <w:numPr>
          <w:ilvl w:val="0"/>
          <w:numId w:val="20"/>
        </w:numPr>
        <w:ind w:left="0" w:firstLine="720"/>
        <w:jc w:val="both"/>
        <w:rPr>
          <w:rFonts w:ascii="Cambria" w:hAnsi="Cambria"/>
          <w:sz w:val="20"/>
          <w:szCs w:val="20"/>
          <w:lang w:val="es-ES"/>
        </w:rPr>
      </w:pPr>
      <w:r w:rsidRPr="0082430B">
        <w:rPr>
          <w:rFonts w:ascii="Cambria" w:hAnsi="Cambria"/>
          <w:sz w:val="20"/>
          <w:szCs w:val="20"/>
          <w:lang w:val="es-ES"/>
        </w:rPr>
        <w:t xml:space="preserve">El 24 de septiembre de 2019, la CIDH celebró una audiencia pública sobre el caso del Sr.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con participación de los Estados Unidos y la parte peticionaria, durante su 173º Período de Sesiones. En la audiencia la CIDH hizo un llamado urgente al Estado, en el sentido de cumplir con las recomendaciones de la CIDH y conmutar la pena del señor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w:t>
      </w:r>
    </w:p>
    <w:p w14:paraId="423FB915" w14:textId="77777777" w:rsidR="00E32CB4" w:rsidRPr="0082430B" w:rsidRDefault="00E32CB4" w:rsidP="00E32CB4">
      <w:pPr>
        <w:pStyle w:val="ListParagraph"/>
        <w:ind w:left="0"/>
        <w:rPr>
          <w:rFonts w:ascii="Cambria" w:hAnsi="Cambria"/>
          <w:sz w:val="20"/>
          <w:szCs w:val="20"/>
          <w:lang w:val="es-ES"/>
        </w:rPr>
      </w:pPr>
    </w:p>
    <w:p w14:paraId="7A9FAA5A" w14:textId="77777777" w:rsidR="00DD0414" w:rsidRPr="0082430B" w:rsidRDefault="00E32CB4" w:rsidP="00DD0414">
      <w:pPr>
        <w:pStyle w:val="ListParagraph"/>
        <w:numPr>
          <w:ilvl w:val="0"/>
          <w:numId w:val="20"/>
        </w:numPr>
        <w:ind w:left="0" w:firstLine="720"/>
        <w:jc w:val="both"/>
        <w:rPr>
          <w:rFonts w:ascii="Cambria" w:hAnsi="Cambria"/>
          <w:sz w:val="20"/>
          <w:szCs w:val="20"/>
          <w:lang w:val="es-ES"/>
        </w:rPr>
      </w:pPr>
      <w:r w:rsidRPr="0082430B">
        <w:rPr>
          <w:rFonts w:ascii="Cambria" w:hAnsi="Cambria"/>
          <w:sz w:val="20"/>
          <w:szCs w:val="20"/>
          <w:lang w:val="es-ES"/>
        </w:rPr>
        <w:t>El 7 de octubre de 2019, la CIDH emitió un comunicado de prensa</w:t>
      </w:r>
      <w:r w:rsidRPr="0082430B">
        <w:rPr>
          <w:rStyle w:val="FootnoteReference"/>
          <w:rFonts w:ascii="Cambria" w:hAnsi="Cambria"/>
          <w:sz w:val="20"/>
          <w:szCs w:val="20"/>
          <w:lang w:val="es-ES"/>
        </w:rPr>
        <w:footnoteReference w:id="2"/>
      </w:r>
      <w:r w:rsidRPr="0082430B">
        <w:rPr>
          <w:rFonts w:ascii="Cambria" w:hAnsi="Cambria"/>
          <w:sz w:val="20"/>
          <w:szCs w:val="20"/>
          <w:lang w:val="es-ES"/>
        </w:rPr>
        <w:t xml:space="preserve">, condenando la ejecución del señor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en el estado de Misuri en violación de sus derechos fundamentales y en contradicción con las recomendaciones formuladas por la Comisión en el Informe de Fondo publicado en su caso.</w:t>
      </w:r>
    </w:p>
    <w:p w14:paraId="5A572B7D" w14:textId="77777777" w:rsidR="00DD0414" w:rsidRPr="0082430B" w:rsidRDefault="00DD0414" w:rsidP="00DD0414">
      <w:pPr>
        <w:pStyle w:val="ListParagraph"/>
        <w:rPr>
          <w:rFonts w:ascii="Cambria" w:hAnsi="Cambria" w:cs="Calibri Light"/>
          <w:color w:val="000000" w:themeColor="text1"/>
          <w:sz w:val="20"/>
          <w:szCs w:val="20"/>
          <w:lang w:val="es-ES"/>
        </w:rPr>
      </w:pPr>
    </w:p>
    <w:p w14:paraId="09EF87D6" w14:textId="7745B8CB" w:rsidR="00DD0414" w:rsidRPr="0082430B" w:rsidRDefault="00DD0414" w:rsidP="00DD0414">
      <w:pPr>
        <w:pStyle w:val="ListParagraph"/>
        <w:numPr>
          <w:ilvl w:val="0"/>
          <w:numId w:val="20"/>
        </w:numPr>
        <w:ind w:left="0" w:firstLine="720"/>
        <w:jc w:val="both"/>
        <w:rPr>
          <w:rFonts w:ascii="Cambria" w:hAnsi="Cambria"/>
          <w:sz w:val="20"/>
          <w:szCs w:val="20"/>
          <w:lang w:val="es-ES"/>
        </w:rPr>
      </w:pPr>
      <w:r w:rsidRPr="0082430B">
        <w:rPr>
          <w:rFonts w:ascii="Cambria" w:hAnsi="Cambria" w:cs="Calibri Light"/>
          <w:color w:val="000000" w:themeColor="text1"/>
          <w:sz w:val="20"/>
          <w:szCs w:val="20"/>
          <w:lang w:val="es-ES"/>
        </w:rPr>
        <w:t xml:space="preserve">En 2021, la CIDH solicitó al Estado información actualizada sobre el cumplimiento de recomendaciones el 16 de agosto. </w:t>
      </w:r>
      <w:r w:rsidR="001E5221" w:rsidRPr="0082430B">
        <w:rPr>
          <w:rFonts w:ascii="Cambria" w:hAnsi="Cambria" w:cs="Calibri Light"/>
          <w:color w:val="000000" w:themeColor="text1"/>
          <w:sz w:val="20"/>
          <w:szCs w:val="20"/>
          <w:lang w:val="es-ES"/>
        </w:rPr>
        <w:t xml:space="preserve">El Estado </w:t>
      </w:r>
      <w:r w:rsidR="001E5221" w:rsidRPr="0082430B">
        <w:rPr>
          <w:rFonts w:ascii="Cambria" w:hAnsi="Cambria"/>
          <w:sz w:val="20"/>
          <w:szCs w:val="20"/>
          <w:lang w:val="es-ES"/>
        </w:rPr>
        <w:t xml:space="preserve">presentó dicha información el 17 de noviembre de 2021.  </w:t>
      </w:r>
    </w:p>
    <w:p w14:paraId="23AE4D52" w14:textId="77777777" w:rsidR="00E32CB4" w:rsidRPr="0082430B" w:rsidRDefault="00E32CB4" w:rsidP="00E32CB4">
      <w:pPr>
        <w:pStyle w:val="ListParagraph"/>
        <w:jc w:val="both"/>
        <w:rPr>
          <w:rFonts w:ascii="Cambria" w:hAnsi="Cambria"/>
          <w:color w:val="000000" w:themeColor="text1"/>
          <w:sz w:val="20"/>
          <w:szCs w:val="20"/>
          <w:lang w:val="es-ES"/>
        </w:rPr>
      </w:pPr>
    </w:p>
    <w:p w14:paraId="70D8FF7A" w14:textId="66B883ED" w:rsidR="00E32CB4" w:rsidRPr="0082430B" w:rsidRDefault="00DD0414" w:rsidP="00E32CB4">
      <w:pPr>
        <w:pStyle w:val="ListParagraph"/>
        <w:numPr>
          <w:ilvl w:val="0"/>
          <w:numId w:val="20"/>
        </w:numPr>
        <w:ind w:left="0" w:firstLine="720"/>
        <w:jc w:val="both"/>
        <w:rPr>
          <w:rFonts w:ascii="Cambria" w:hAnsi="Cambria"/>
          <w:color w:val="000000" w:themeColor="text1"/>
          <w:sz w:val="20"/>
          <w:szCs w:val="20"/>
          <w:lang w:val="es-ES"/>
        </w:rPr>
      </w:pPr>
      <w:r w:rsidRPr="0082430B">
        <w:rPr>
          <w:rFonts w:ascii="Cambria" w:hAnsi="Cambria" w:cs="Calibri Light"/>
          <w:color w:val="000000" w:themeColor="text1"/>
          <w:sz w:val="20"/>
          <w:szCs w:val="20"/>
          <w:lang w:val="es-ES"/>
        </w:rPr>
        <w:t xml:space="preserve">La CIDH </w:t>
      </w:r>
      <w:r w:rsidRPr="0082430B">
        <w:rPr>
          <w:rFonts w:ascii="Cambria" w:hAnsi="Cambria"/>
          <w:color w:val="000000" w:themeColor="text1"/>
          <w:sz w:val="20"/>
          <w:szCs w:val="20"/>
          <w:lang w:val="es-ES"/>
        </w:rPr>
        <w:t>solicitó información actualizada al peticionario sobre el cumplimiento el 16 de agosto de 2021. A la fecha de cierre de este informe, la Comisión no había recibido dicha información del peticionario.</w:t>
      </w:r>
    </w:p>
    <w:p w14:paraId="4FCDF078" w14:textId="77777777" w:rsidR="00E32CB4" w:rsidRPr="0082430B" w:rsidRDefault="00E32CB4" w:rsidP="00E32CB4">
      <w:pPr>
        <w:pStyle w:val="ListParagraph"/>
        <w:jc w:val="both"/>
        <w:rPr>
          <w:rFonts w:ascii="Cambria" w:hAnsi="Cambria" w:cs="Calibri Light"/>
          <w:sz w:val="20"/>
          <w:szCs w:val="20"/>
          <w:lang w:val="es-ES"/>
        </w:rPr>
      </w:pPr>
    </w:p>
    <w:p w14:paraId="2A8EFCE5" w14:textId="77777777" w:rsidR="00E32CB4" w:rsidRPr="0082430B" w:rsidRDefault="00E32CB4" w:rsidP="00E32CB4">
      <w:pPr>
        <w:pStyle w:val="ListParagraph"/>
        <w:numPr>
          <w:ilvl w:val="0"/>
          <w:numId w:val="8"/>
        </w:numPr>
        <w:ind w:left="1440"/>
        <w:jc w:val="both"/>
        <w:rPr>
          <w:rFonts w:ascii="Cambria" w:hAnsi="Cambria" w:cs="Calibri Light"/>
          <w:b/>
          <w:sz w:val="20"/>
          <w:szCs w:val="20"/>
          <w:lang w:val="es-ES"/>
        </w:rPr>
      </w:pPr>
      <w:r w:rsidRPr="0082430B">
        <w:rPr>
          <w:rFonts w:ascii="Cambria" w:hAnsi="Cambria" w:cs="Calibri Light"/>
          <w:b/>
          <w:sz w:val="20"/>
          <w:szCs w:val="20"/>
          <w:lang w:val="es-ES"/>
        </w:rPr>
        <w:t>Análisis relativo a la información proporcionada</w:t>
      </w:r>
    </w:p>
    <w:p w14:paraId="4A8893BD" w14:textId="77777777" w:rsidR="00E32CB4" w:rsidRPr="0082430B" w:rsidRDefault="00E32CB4" w:rsidP="00E32CB4">
      <w:pPr>
        <w:jc w:val="both"/>
        <w:rPr>
          <w:rFonts w:ascii="Cambria" w:hAnsi="Cambria" w:cs="Calibri Light"/>
          <w:sz w:val="20"/>
          <w:szCs w:val="20"/>
          <w:lang w:val="es-ES"/>
        </w:rPr>
      </w:pPr>
    </w:p>
    <w:p w14:paraId="5CB69CC7" w14:textId="2B67D857" w:rsidR="001E5221" w:rsidRPr="0082430B" w:rsidRDefault="001E5221" w:rsidP="001E5221">
      <w:pPr>
        <w:pStyle w:val="ListParagraph"/>
        <w:numPr>
          <w:ilvl w:val="0"/>
          <w:numId w:val="20"/>
        </w:numPr>
        <w:ind w:left="0" w:firstLine="720"/>
        <w:jc w:val="both"/>
        <w:rPr>
          <w:rFonts w:ascii="Cambria" w:hAnsi="Cambria" w:cs="Calibri Light"/>
          <w:color w:val="000000" w:themeColor="text1"/>
          <w:sz w:val="20"/>
          <w:szCs w:val="20"/>
          <w:lang w:val="es-ES"/>
        </w:rPr>
      </w:pPr>
      <w:r w:rsidRPr="0082430B">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1AE4DFE6" w14:textId="5CA75162" w:rsidR="001E5221" w:rsidRPr="0082430B" w:rsidRDefault="001E5221" w:rsidP="5E0D2E72">
      <w:pPr>
        <w:ind w:left="360"/>
        <w:jc w:val="both"/>
        <w:rPr>
          <w:rFonts w:ascii="Cambria" w:hAnsi="Cambria" w:cs="Calibri Light"/>
          <w:color w:val="000000" w:themeColor="text1"/>
          <w:sz w:val="20"/>
          <w:szCs w:val="20"/>
          <w:lang w:val="es-ES"/>
        </w:rPr>
      </w:pPr>
      <w:r w:rsidRPr="0082430B">
        <w:rPr>
          <w:rFonts w:ascii="Cambria" w:hAnsi="Cambria" w:cs="Calibri Light"/>
          <w:color w:val="000000" w:themeColor="text1"/>
          <w:sz w:val="20"/>
          <w:szCs w:val="20"/>
          <w:lang w:val="es-ES"/>
        </w:rPr>
        <w:t xml:space="preserve"> </w:t>
      </w:r>
    </w:p>
    <w:p w14:paraId="0E0473DF" w14:textId="360C70C6" w:rsidR="001E5221" w:rsidRPr="0082430B" w:rsidRDefault="001E5221" w:rsidP="5E0D2E72">
      <w:pPr>
        <w:pStyle w:val="ListParagraph"/>
        <w:numPr>
          <w:ilvl w:val="0"/>
          <w:numId w:val="20"/>
        </w:numPr>
        <w:ind w:left="0" w:firstLine="720"/>
        <w:jc w:val="both"/>
        <w:rPr>
          <w:color w:val="000000" w:themeColor="text1"/>
          <w:sz w:val="20"/>
          <w:szCs w:val="20"/>
          <w:lang w:val="es-ES"/>
        </w:rPr>
      </w:pPr>
      <w:r w:rsidRPr="0082430B">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6EAF752C" w14:textId="023384C8" w:rsidR="00E32CB4" w:rsidRPr="0082430B" w:rsidRDefault="00E32CB4" w:rsidP="5E0D2E72">
      <w:pPr>
        <w:jc w:val="both"/>
        <w:rPr>
          <w:rFonts w:ascii="Cambria" w:hAnsi="Cambria" w:cs="Calibri Light"/>
          <w:color w:val="000000" w:themeColor="text1"/>
          <w:sz w:val="20"/>
          <w:szCs w:val="20"/>
          <w:lang w:val="es-ES"/>
        </w:rPr>
      </w:pPr>
    </w:p>
    <w:p w14:paraId="5C2F0242" w14:textId="77777777" w:rsidR="00E32CB4" w:rsidRPr="0082430B" w:rsidRDefault="00E32CB4" w:rsidP="00E32CB4">
      <w:pPr>
        <w:pStyle w:val="ListParagraph"/>
        <w:numPr>
          <w:ilvl w:val="0"/>
          <w:numId w:val="8"/>
        </w:numPr>
        <w:ind w:left="1440"/>
        <w:jc w:val="both"/>
        <w:rPr>
          <w:rFonts w:ascii="Cambria" w:hAnsi="Cambria" w:cs="Calibri Light"/>
          <w:b/>
          <w:sz w:val="20"/>
          <w:szCs w:val="20"/>
          <w:lang w:val="es-ES"/>
        </w:rPr>
      </w:pPr>
      <w:r w:rsidRPr="0082430B">
        <w:rPr>
          <w:rFonts w:ascii="Cambria" w:hAnsi="Cambria" w:cs="Calibri Light"/>
          <w:b/>
          <w:sz w:val="20"/>
          <w:szCs w:val="20"/>
          <w:lang w:val="es-ES"/>
        </w:rPr>
        <w:t>Análisis del cumplimiento de las recomendaciones</w:t>
      </w:r>
    </w:p>
    <w:p w14:paraId="12767FC3" w14:textId="77777777" w:rsidR="00E32CB4" w:rsidRPr="0082430B" w:rsidRDefault="00E32CB4" w:rsidP="00E32CB4">
      <w:pPr>
        <w:jc w:val="both"/>
        <w:rPr>
          <w:rFonts w:ascii="Cambria" w:hAnsi="Cambria" w:cs="Calibri Light"/>
          <w:sz w:val="20"/>
          <w:szCs w:val="20"/>
          <w:lang w:val="es-ES"/>
        </w:rPr>
      </w:pPr>
    </w:p>
    <w:p w14:paraId="671010E3" w14:textId="77777777" w:rsidR="00E32CB4" w:rsidRPr="0082430B" w:rsidRDefault="00E32CB4" w:rsidP="00E32CB4">
      <w:pPr>
        <w:numPr>
          <w:ilvl w:val="0"/>
          <w:numId w:val="20"/>
        </w:numPr>
        <w:ind w:left="0" w:firstLine="720"/>
        <w:contextualSpacing/>
        <w:jc w:val="both"/>
        <w:rPr>
          <w:rFonts w:ascii="Cambria" w:hAnsi="Cambria"/>
          <w:color w:val="000000" w:themeColor="text1"/>
          <w:sz w:val="20"/>
          <w:szCs w:val="20"/>
          <w:lang w:val="es-ES"/>
        </w:rPr>
      </w:pPr>
      <w:r w:rsidRPr="0082430B">
        <w:rPr>
          <w:rFonts w:ascii="Cambria" w:hAnsi="Cambria" w:cs="Calibri Light"/>
          <w:b/>
          <w:bCs/>
          <w:sz w:val="20"/>
          <w:szCs w:val="20"/>
          <w:lang w:val="es-ES"/>
        </w:rPr>
        <w:t xml:space="preserve">Con respecto a la primera recomendación </w:t>
      </w:r>
      <w:r w:rsidRPr="0082430B">
        <w:rPr>
          <w:rFonts w:ascii="Cambria" w:hAnsi="Cambria" w:cs="Calibri Light"/>
          <w:color w:val="000000" w:themeColor="text1"/>
          <w:sz w:val="20"/>
          <w:szCs w:val="20"/>
          <w:lang w:val="es-ES"/>
        </w:rPr>
        <w:t>en 2020, mediante comunicación de fecha 16 de septiembre dirigida a la Comisión, el Estado informó que no tenía observaciones adicionales con respecto a desarrollos relativos al caso, y remitió a la Comisión a sus memoriales previos en este caso</w:t>
      </w:r>
      <w:r w:rsidRPr="0082430B">
        <w:rPr>
          <w:rFonts w:ascii="Cambria" w:hAnsi="Cambria"/>
          <w:color w:val="000000" w:themeColor="text1"/>
          <w:sz w:val="20"/>
          <w:szCs w:val="20"/>
          <w:lang w:val="es-ES"/>
        </w:rPr>
        <w:t xml:space="preserve">.  </w:t>
      </w:r>
    </w:p>
    <w:p w14:paraId="6E64C561" w14:textId="77777777" w:rsidR="00E32CB4" w:rsidRPr="0082430B" w:rsidRDefault="00E32CB4" w:rsidP="00E32CB4">
      <w:pPr>
        <w:ind w:left="720"/>
        <w:contextualSpacing/>
        <w:jc w:val="both"/>
        <w:rPr>
          <w:rFonts w:ascii="Cambria" w:hAnsi="Cambria"/>
          <w:sz w:val="20"/>
          <w:szCs w:val="20"/>
          <w:lang w:val="es-ES"/>
        </w:rPr>
      </w:pPr>
    </w:p>
    <w:p w14:paraId="2AF5102D" w14:textId="77777777" w:rsidR="00E32CB4" w:rsidRPr="0082430B" w:rsidRDefault="00E32CB4" w:rsidP="00E32CB4">
      <w:pPr>
        <w:numPr>
          <w:ilvl w:val="0"/>
          <w:numId w:val="20"/>
        </w:numPr>
        <w:ind w:left="0" w:firstLine="720"/>
        <w:contextualSpacing/>
        <w:jc w:val="both"/>
        <w:rPr>
          <w:rFonts w:ascii="Cambria" w:hAnsi="Cambria"/>
          <w:sz w:val="20"/>
          <w:szCs w:val="20"/>
          <w:lang w:val="es-ES"/>
        </w:rPr>
      </w:pPr>
      <w:r w:rsidRPr="0082430B">
        <w:rPr>
          <w:rFonts w:ascii="Cambria" w:hAnsi="Cambria"/>
          <w:sz w:val="20"/>
          <w:szCs w:val="20"/>
          <w:lang w:val="es-ES"/>
        </w:rPr>
        <w:t xml:space="preserve">En 2019, los peticionarios informaron a la Comisión que la Corte Suprema de los Estados Unidos había accedido a revisar el caso del señor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mediante decisión del 31 de abril de 2018. Indicaron que, posteriormente, se realizó una fase de discusión oral del caso el 8 de noviembre de 2018 y que, finalmente, el 1 de abril de 2019, dicha Corte confirmó la decisión de desestimar el caso, a favor del estado de Misuri. </w:t>
      </w:r>
      <w:r w:rsidRPr="0082430B">
        <w:rPr>
          <w:rFonts w:ascii="Cambria" w:hAnsi="Cambria"/>
          <w:sz w:val="20"/>
          <w:szCs w:val="20"/>
          <w:lang w:val="es-ES"/>
        </w:rPr>
        <w:lastRenderedPageBreak/>
        <w:t xml:space="preserve">Informaron que la suspensión de la ejecución del señor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había expirado y que, el 25 de junio de 2019, la Suprema Corte de Misuri ordenó su ejecución para el 1 de octubre de 2019, tras considerar que la Octava Enmienda de la Constitución de los Estados Unidos no garantiza una muerte sin dolor y que solo garantiza ser libre de castigos que intensifiquen la pena de muerte y adicionen, en exceso, terror, dolor o desgracia. Al respecto, los peticionarios concluyeron que esta fue la última oportunidad de revisión del caso en el sistema judicial estadounidense. Los peticionarios reiteraron a la Comisión que la ejecución del señor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mediante la inyección letal, a partir del protocolo de Misuri, le causaría un dolor severo y prolongado, e incluso tortura, ligado a su condición médica rara y congénita debida a un hemangioma cavernoso que le causaba tumores en su cabeza, cuello y garganta, y que conllevaba el deterioro severo de su condición física y mental. Asimismo, los peticionarios indicaron que, en junio de 2018, el señor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estuvo a punto de morir de meningitis y que, además, había tenido síntomas de parálisis facial y de estrés </w:t>
      </w:r>
      <w:proofErr w:type="spellStart"/>
      <w:r w:rsidRPr="0082430B">
        <w:rPr>
          <w:rFonts w:ascii="Cambria" w:hAnsi="Cambria"/>
          <w:sz w:val="20"/>
          <w:szCs w:val="20"/>
          <w:lang w:val="es-ES"/>
        </w:rPr>
        <w:t>post-traumático</w:t>
      </w:r>
      <w:proofErr w:type="spellEnd"/>
      <w:r w:rsidRPr="0082430B">
        <w:rPr>
          <w:rFonts w:ascii="Cambria" w:hAnsi="Cambria"/>
          <w:sz w:val="20"/>
          <w:szCs w:val="20"/>
          <w:lang w:val="es-ES"/>
        </w:rPr>
        <w:t xml:space="preserve">, ansiedad y depresión con episodios psicóticos. En criterio de los peticionarios, la ejecución del señor </w:t>
      </w:r>
      <w:proofErr w:type="spellStart"/>
      <w:r w:rsidRPr="0082430B">
        <w:rPr>
          <w:rFonts w:ascii="Cambria" w:hAnsi="Cambria"/>
          <w:sz w:val="20"/>
          <w:szCs w:val="20"/>
          <w:lang w:val="es-ES"/>
        </w:rPr>
        <w:t>Bucklew</w:t>
      </w:r>
      <w:proofErr w:type="spellEnd"/>
      <w:r w:rsidRPr="0082430B">
        <w:rPr>
          <w:rFonts w:ascii="Cambria" w:hAnsi="Cambria"/>
          <w:sz w:val="20"/>
          <w:szCs w:val="20"/>
          <w:lang w:val="es-ES"/>
        </w:rPr>
        <w:t xml:space="preserve"> con dicho método conllevaba la violación a los derechos consagrado en la Octava Enmienda de la Constitución de Estados Unidos, debido a que el método de su ejecución probablemente le causaría un dolor y sufrimiento excesivo e incluso el ahogamiento en su propia sangre y la sensación de sofocación de hasta cuatro minutos antes de morir. </w:t>
      </w:r>
    </w:p>
    <w:p w14:paraId="167A6498" w14:textId="77777777" w:rsidR="00E32CB4" w:rsidRPr="0082430B" w:rsidRDefault="00E32CB4" w:rsidP="00E32CB4">
      <w:pPr>
        <w:ind w:left="720"/>
        <w:contextualSpacing/>
        <w:jc w:val="both"/>
        <w:rPr>
          <w:rFonts w:ascii="Cambria" w:hAnsi="Cambria"/>
          <w:sz w:val="20"/>
          <w:szCs w:val="20"/>
          <w:lang w:val="es-ES"/>
        </w:rPr>
      </w:pPr>
    </w:p>
    <w:p w14:paraId="7071D150" w14:textId="77777777" w:rsidR="00E32CB4" w:rsidRPr="0082430B" w:rsidRDefault="00E32CB4" w:rsidP="00E32CB4">
      <w:pPr>
        <w:numPr>
          <w:ilvl w:val="0"/>
          <w:numId w:val="20"/>
        </w:numPr>
        <w:ind w:left="0" w:firstLine="720"/>
        <w:contextualSpacing/>
        <w:jc w:val="both"/>
        <w:rPr>
          <w:rFonts w:ascii="Cambria" w:hAnsi="Cambria"/>
          <w:sz w:val="20"/>
          <w:szCs w:val="20"/>
          <w:lang w:val="es-ES"/>
        </w:rPr>
      </w:pPr>
      <w:r w:rsidRPr="0082430B">
        <w:rPr>
          <w:rFonts w:ascii="Cambria" w:hAnsi="Cambria" w:cs="Calibri Light"/>
          <w:sz w:val="20"/>
          <w:szCs w:val="20"/>
          <w:lang w:val="es-ES"/>
        </w:rPr>
        <w:t xml:space="preserve">El 7 de octubre de 2019, la Comisión condenó la ejecución judicial de Russell </w:t>
      </w:r>
      <w:proofErr w:type="spellStart"/>
      <w:r w:rsidRPr="0082430B">
        <w:rPr>
          <w:rFonts w:ascii="Cambria" w:hAnsi="Cambria" w:cs="Calibri Light"/>
          <w:sz w:val="20"/>
          <w:szCs w:val="20"/>
          <w:lang w:val="es-ES"/>
        </w:rPr>
        <w:t>Bucklew</w:t>
      </w:r>
      <w:proofErr w:type="spellEnd"/>
      <w:r w:rsidRPr="0082430B">
        <w:rPr>
          <w:rFonts w:ascii="Cambria" w:hAnsi="Cambria" w:cs="Calibri Light"/>
          <w:sz w:val="20"/>
          <w:szCs w:val="20"/>
          <w:lang w:val="es-ES"/>
        </w:rPr>
        <w:t xml:space="preserve"> que tuvo lugar el 1º de octubre de 2019 en el estado de Misuri, Estados Unidos, en violación de sus derechos fundamentales y en contradicción con las recomendaciones formuladas por la Comisión en el Informe de Fondo publicado en su caso.</w:t>
      </w:r>
      <w:r w:rsidRPr="0082430B">
        <w:rPr>
          <w:rStyle w:val="FootnoteReference"/>
          <w:rFonts w:ascii="Cambria" w:hAnsi="Cambria" w:cs="Calibri Light"/>
          <w:lang w:val="es-ES"/>
        </w:rPr>
        <w:footnoteReference w:id="3"/>
      </w:r>
      <w:r w:rsidRPr="0082430B">
        <w:rPr>
          <w:rFonts w:ascii="Cambria" w:hAnsi="Cambria" w:cs="Calibri Light"/>
          <w:sz w:val="20"/>
          <w:szCs w:val="20"/>
          <w:lang w:val="es-ES"/>
        </w:rPr>
        <w:t xml:space="preserve"> La Comisión reitera que Estados Unidos, al ejecutar a Russell </w:t>
      </w:r>
      <w:proofErr w:type="spellStart"/>
      <w:r w:rsidRPr="0082430B">
        <w:rPr>
          <w:rFonts w:ascii="Cambria" w:hAnsi="Cambria" w:cs="Calibri Light"/>
          <w:sz w:val="20"/>
          <w:szCs w:val="20"/>
          <w:lang w:val="es-ES"/>
        </w:rPr>
        <w:t>Bucklew</w:t>
      </w:r>
      <w:proofErr w:type="spellEnd"/>
      <w:r w:rsidRPr="0082430B">
        <w:rPr>
          <w:rFonts w:ascii="Cambria" w:hAnsi="Cambria" w:cs="Calibri Light"/>
          <w:sz w:val="20"/>
          <w:szCs w:val="20"/>
          <w:lang w:val="es-ES"/>
        </w:rPr>
        <w:t xml:space="preserve"> de conformidad con el procedimiento que se siguió, ha cometido una violación grave e irreparable del derecho fundamental a la vida consagrado en el artículo 1 de la Declaración Americana. La CIDH deplora que los Estados Unidos y el Estado de </w:t>
      </w:r>
      <w:r w:rsidRPr="0082430B">
        <w:rPr>
          <w:rFonts w:ascii="Cambria" w:hAnsi="Cambria" w:cs="Calibri Light"/>
          <w:color w:val="000000" w:themeColor="text1"/>
          <w:sz w:val="20"/>
          <w:szCs w:val="20"/>
          <w:lang w:val="es-ES"/>
        </w:rPr>
        <w:t xml:space="preserve">Misuri </w:t>
      </w:r>
      <w:r w:rsidRPr="0082430B">
        <w:rPr>
          <w:rFonts w:ascii="Cambria" w:hAnsi="Cambria" w:cs="Calibri Light"/>
          <w:sz w:val="20"/>
          <w:szCs w:val="20"/>
          <w:lang w:val="es-ES"/>
        </w:rPr>
        <w:t xml:space="preserve">no hayan cumplido con la Recomendación </w:t>
      </w:r>
      <w:proofErr w:type="spellStart"/>
      <w:r w:rsidRPr="0082430B">
        <w:rPr>
          <w:rFonts w:ascii="Cambria" w:hAnsi="Cambria" w:cs="Calibri Light"/>
          <w:sz w:val="20"/>
          <w:szCs w:val="20"/>
          <w:lang w:val="es-ES"/>
        </w:rPr>
        <w:t>Nº</w:t>
      </w:r>
      <w:proofErr w:type="spellEnd"/>
      <w:r w:rsidRPr="0082430B">
        <w:rPr>
          <w:rFonts w:ascii="Cambria" w:hAnsi="Cambria" w:cs="Calibri Light"/>
          <w:sz w:val="20"/>
          <w:szCs w:val="20"/>
          <w:lang w:val="es-ES"/>
        </w:rPr>
        <w:t xml:space="preserve"> 1 del Informe de Fondo </w:t>
      </w:r>
      <w:proofErr w:type="spellStart"/>
      <w:r w:rsidRPr="0082430B">
        <w:rPr>
          <w:rFonts w:ascii="Cambria" w:hAnsi="Cambria" w:cs="Calibri Light"/>
          <w:sz w:val="20"/>
          <w:szCs w:val="20"/>
          <w:lang w:val="es-ES"/>
        </w:rPr>
        <w:t>Nº</w:t>
      </w:r>
      <w:proofErr w:type="spellEnd"/>
      <w:r w:rsidRPr="0082430B">
        <w:rPr>
          <w:rFonts w:ascii="Cambria" w:hAnsi="Cambria" w:cs="Calibri Light"/>
          <w:sz w:val="20"/>
          <w:szCs w:val="20"/>
          <w:lang w:val="es-ES"/>
        </w:rPr>
        <w:t xml:space="preserve"> 71/18, acto que constituye una violación de las obligaciones internacionales del Estado en materia de derechos humanos que le incumben en virtud de la Carta de la Organización de los Estados Americanos (OEA) y de los instrumentos conexos en su calidad de Estado miembro de la OEA. Por lo anterior, la Comisión concluye que el Estado incumplió con la Recomendación 1.</w:t>
      </w:r>
    </w:p>
    <w:p w14:paraId="5977EFCF" w14:textId="77777777" w:rsidR="00E32CB4" w:rsidRPr="0082430B" w:rsidRDefault="00E32CB4" w:rsidP="00E32CB4">
      <w:pPr>
        <w:ind w:left="720"/>
        <w:contextualSpacing/>
        <w:jc w:val="both"/>
        <w:rPr>
          <w:rFonts w:ascii="Cambria" w:hAnsi="Cambria"/>
          <w:sz w:val="20"/>
          <w:szCs w:val="20"/>
          <w:lang w:val="es-ES"/>
        </w:rPr>
      </w:pPr>
    </w:p>
    <w:p w14:paraId="6937BAE1" w14:textId="77777777" w:rsidR="00E32CB4" w:rsidRPr="0082430B" w:rsidRDefault="00E32CB4" w:rsidP="00E32CB4">
      <w:pPr>
        <w:numPr>
          <w:ilvl w:val="0"/>
          <w:numId w:val="20"/>
        </w:numPr>
        <w:ind w:left="0" w:firstLine="720"/>
        <w:contextualSpacing/>
        <w:jc w:val="both"/>
        <w:rPr>
          <w:rFonts w:ascii="Cambria" w:hAnsi="Cambria"/>
          <w:color w:val="000000" w:themeColor="text1"/>
          <w:sz w:val="20"/>
          <w:szCs w:val="20"/>
          <w:lang w:val="es-ES"/>
        </w:rPr>
      </w:pPr>
      <w:r w:rsidRPr="0082430B">
        <w:rPr>
          <w:rFonts w:ascii="Cambria" w:hAnsi="Cambria" w:cs="Calibri Light"/>
          <w:b/>
          <w:bCs/>
          <w:color w:val="000000" w:themeColor="text1"/>
          <w:sz w:val="20"/>
          <w:szCs w:val="20"/>
          <w:lang w:val="es-ES"/>
        </w:rPr>
        <w:t>Respecto a las recomendaciones segunda y tercera</w:t>
      </w:r>
      <w:r w:rsidRPr="0082430B">
        <w:rPr>
          <w:rFonts w:ascii="Cambria" w:hAnsi="Cambria" w:cs="Calibri Light"/>
          <w:color w:val="000000" w:themeColor="text1"/>
          <w:sz w:val="20"/>
          <w:szCs w:val="20"/>
          <w:lang w:val="es-ES"/>
        </w:rPr>
        <w:t>,</w:t>
      </w:r>
      <w:r w:rsidRPr="0082430B">
        <w:rPr>
          <w:rFonts w:ascii="Cambria" w:hAnsi="Cambria" w:cs="Calibri Light"/>
          <w:b/>
          <w:bCs/>
          <w:color w:val="000000" w:themeColor="text1"/>
          <w:sz w:val="20"/>
          <w:szCs w:val="20"/>
          <w:lang w:val="es-ES"/>
        </w:rPr>
        <w:t xml:space="preserve"> </w:t>
      </w:r>
      <w:r w:rsidRPr="0082430B">
        <w:rPr>
          <w:rFonts w:ascii="Cambria" w:hAnsi="Cambria" w:cs="Calibri Light"/>
          <w:color w:val="000000" w:themeColor="text1"/>
          <w:sz w:val="20"/>
          <w:szCs w:val="20"/>
          <w:lang w:val="es-ES"/>
        </w:rPr>
        <w:t>en 2020, el Estado no proveyó</w:t>
      </w:r>
      <w:r w:rsidRPr="0082430B">
        <w:rPr>
          <w:rFonts w:ascii="Cambria" w:hAnsi="Cambria"/>
          <w:color w:val="000000" w:themeColor="text1"/>
          <w:sz w:val="20"/>
          <w:szCs w:val="20"/>
          <w:lang w:val="es-ES"/>
        </w:rPr>
        <w:t xml:space="preserve"> información actualizada sobre el cumplimiento de estas recomendaciones.</w:t>
      </w:r>
    </w:p>
    <w:p w14:paraId="1A092C0C" w14:textId="77777777" w:rsidR="00E32CB4" w:rsidRPr="0082430B" w:rsidRDefault="00E32CB4" w:rsidP="00E32CB4">
      <w:pPr>
        <w:ind w:left="720"/>
        <w:contextualSpacing/>
        <w:jc w:val="both"/>
        <w:rPr>
          <w:rFonts w:ascii="Cambria" w:hAnsi="Cambria"/>
          <w:color w:val="000000" w:themeColor="text1"/>
          <w:sz w:val="20"/>
          <w:szCs w:val="20"/>
          <w:lang w:val="es-ES"/>
        </w:rPr>
      </w:pPr>
    </w:p>
    <w:p w14:paraId="6CEB87D2" w14:textId="77777777" w:rsidR="00E32CB4" w:rsidRPr="0082430B" w:rsidRDefault="00E32CB4" w:rsidP="00E32CB4">
      <w:pPr>
        <w:pStyle w:val="ListParagraph"/>
        <w:numPr>
          <w:ilvl w:val="0"/>
          <w:numId w:val="20"/>
        </w:numPr>
        <w:ind w:left="0" w:firstLine="720"/>
        <w:jc w:val="both"/>
        <w:rPr>
          <w:rFonts w:ascii="Cambria" w:hAnsi="Cambria" w:cs="Calibri Light"/>
          <w:color w:val="000000" w:themeColor="text1"/>
          <w:sz w:val="20"/>
          <w:szCs w:val="20"/>
          <w:lang w:val="es-ES"/>
        </w:rPr>
      </w:pPr>
      <w:r w:rsidRPr="0082430B">
        <w:rPr>
          <w:rFonts w:ascii="Cambria" w:hAnsi="Cambria"/>
          <w:color w:val="000000" w:themeColor="text1"/>
          <w:sz w:val="20"/>
          <w:szCs w:val="20"/>
          <w:lang w:val="es-ES"/>
        </w:rPr>
        <w:t xml:space="preserve">En </w:t>
      </w:r>
      <w:r w:rsidRPr="0082430B">
        <w:rPr>
          <w:rFonts w:ascii="Cambria" w:hAnsi="Cambria" w:cs="Calibri Light"/>
          <w:color w:val="000000" w:themeColor="text1"/>
          <w:sz w:val="20"/>
          <w:szCs w:val="20"/>
          <w:lang w:val="es-ES"/>
        </w:rPr>
        <w:t xml:space="preserve">2020 los peticionarios no dieron respuesta a la solicitud realizada por la Comisión respecto del cumplimiento de las recomendaciones. Según información provista por los peticionarios en </w:t>
      </w:r>
      <w:r w:rsidRPr="0082430B">
        <w:rPr>
          <w:rFonts w:ascii="Cambria" w:hAnsi="Cambria"/>
          <w:color w:val="000000" w:themeColor="text1"/>
          <w:sz w:val="20"/>
          <w:szCs w:val="20"/>
          <w:lang w:val="es-ES"/>
        </w:rPr>
        <w:t xml:space="preserve">2019, la decisión de la Corte Suprema de los Estados Unidos reafirma el uso de un estándar judicial que es contrario a las recomendaciones del </w:t>
      </w:r>
      <w:r w:rsidRPr="0082430B">
        <w:rPr>
          <w:rFonts w:ascii="Cambria" w:hAnsi="Cambria" w:cs="Calibri Light"/>
          <w:color w:val="000000" w:themeColor="text1"/>
          <w:sz w:val="20"/>
          <w:szCs w:val="20"/>
          <w:lang w:val="es-ES"/>
        </w:rPr>
        <w:t xml:space="preserve">Informe de Fondo </w:t>
      </w:r>
      <w:proofErr w:type="spellStart"/>
      <w:r w:rsidRPr="0082430B">
        <w:rPr>
          <w:rFonts w:ascii="Cambria" w:hAnsi="Cambria" w:cs="Calibri Light"/>
          <w:color w:val="000000" w:themeColor="text1"/>
          <w:sz w:val="20"/>
          <w:szCs w:val="20"/>
          <w:lang w:val="es-ES"/>
        </w:rPr>
        <w:t>Nº</w:t>
      </w:r>
      <w:proofErr w:type="spellEnd"/>
      <w:r w:rsidRPr="0082430B">
        <w:rPr>
          <w:rFonts w:ascii="Cambria" w:hAnsi="Cambria" w:cs="Calibri Light"/>
          <w:color w:val="000000" w:themeColor="text1"/>
          <w:sz w:val="20"/>
          <w:szCs w:val="20"/>
          <w:lang w:val="es-ES"/>
        </w:rPr>
        <w:t xml:space="preserve"> 71/18.</w:t>
      </w:r>
    </w:p>
    <w:p w14:paraId="22C67DB9" w14:textId="77777777" w:rsidR="00E32CB4" w:rsidRPr="0082430B" w:rsidRDefault="00E32CB4" w:rsidP="00E32CB4">
      <w:pPr>
        <w:ind w:left="720"/>
        <w:contextualSpacing/>
        <w:jc w:val="both"/>
        <w:rPr>
          <w:rFonts w:ascii="Cambria" w:hAnsi="Cambria"/>
          <w:sz w:val="20"/>
          <w:szCs w:val="20"/>
          <w:lang w:val="es-ES"/>
        </w:rPr>
      </w:pPr>
    </w:p>
    <w:p w14:paraId="33D1F48E" w14:textId="77777777" w:rsidR="00E32CB4" w:rsidRPr="0082430B" w:rsidRDefault="00E32CB4" w:rsidP="00E32CB4">
      <w:pPr>
        <w:numPr>
          <w:ilvl w:val="0"/>
          <w:numId w:val="20"/>
        </w:numPr>
        <w:ind w:left="0" w:firstLine="720"/>
        <w:contextualSpacing/>
        <w:jc w:val="both"/>
        <w:rPr>
          <w:rFonts w:ascii="Cambria" w:hAnsi="Cambria"/>
          <w:sz w:val="20"/>
          <w:szCs w:val="20"/>
          <w:lang w:val="es-ES"/>
        </w:rPr>
      </w:pPr>
      <w:r w:rsidRPr="0082430B">
        <w:rPr>
          <w:rFonts w:ascii="Cambria" w:hAnsi="Cambria" w:cs="Tahoma"/>
          <w:sz w:val="20"/>
          <w:szCs w:val="20"/>
          <w:shd w:val="clear" w:color="auto" w:fill="FFFFFF"/>
          <w:lang w:val="es-US"/>
        </w:rPr>
        <w:t>La Comisión insta a los Estados Unidos a que cumpla estas medidas de no repetición recomendadas en el Informe de Fondo, específicamente, la de revisar sus leyes, procedimientos y prácticas para garantizar que las personas sentenciadas a la pena de muerte tengan acceso a recursos judiciales efectivos para impugnar el posible impacto del método de ejecución en sus derechos fundamentales, y la de adoptar una moratoria en las ejecuciones de las personas condenadas a muerte. Por lo anterior, la Comisión considera que las recomendaciones segunda y tercera están pendientes de cumplimiento.</w:t>
      </w:r>
    </w:p>
    <w:p w14:paraId="189FB6F7" w14:textId="77777777" w:rsidR="00E32CB4" w:rsidRPr="0082430B" w:rsidRDefault="00E32CB4" w:rsidP="00E32CB4">
      <w:pPr>
        <w:jc w:val="both"/>
        <w:rPr>
          <w:rFonts w:ascii="Cambria" w:hAnsi="Cambria" w:cs="Calibri Light"/>
          <w:b/>
          <w:sz w:val="20"/>
          <w:szCs w:val="20"/>
          <w:lang w:val="es-ES"/>
        </w:rPr>
      </w:pPr>
    </w:p>
    <w:p w14:paraId="423AF13B" w14:textId="77777777" w:rsidR="00E32CB4" w:rsidRPr="0082430B" w:rsidRDefault="00E32CB4" w:rsidP="00E32CB4">
      <w:pPr>
        <w:pStyle w:val="ListParagraph"/>
        <w:numPr>
          <w:ilvl w:val="0"/>
          <w:numId w:val="8"/>
        </w:numPr>
        <w:ind w:left="1440"/>
        <w:jc w:val="both"/>
        <w:rPr>
          <w:rFonts w:ascii="Cambria" w:hAnsi="Cambria" w:cs="Calibri Light"/>
          <w:b/>
          <w:sz w:val="20"/>
          <w:szCs w:val="20"/>
          <w:lang w:val="es-ES"/>
        </w:rPr>
      </w:pPr>
      <w:r w:rsidRPr="0082430B">
        <w:rPr>
          <w:rFonts w:ascii="Cambria" w:hAnsi="Cambria" w:cs="Calibri Light"/>
          <w:b/>
          <w:sz w:val="20"/>
          <w:szCs w:val="20"/>
          <w:lang w:val="es-ES"/>
        </w:rPr>
        <w:t xml:space="preserve">Nivel del cumplimiento del caso  </w:t>
      </w:r>
    </w:p>
    <w:p w14:paraId="6A45338E" w14:textId="77777777" w:rsidR="00E32CB4" w:rsidRPr="0082430B" w:rsidRDefault="00E32CB4" w:rsidP="00E32CB4">
      <w:pPr>
        <w:ind w:left="720"/>
        <w:contextualSpacing/>
        <w:jc w:val="both"/>
        <w:rPr>
          <w:rFonts w:ascii="Cambria" w:hAnsi="Cambria"/>
          <w:sz w:val="20"/>
          <w:szCs w:val="20"/>
          <w:lang w:val="es-ES"/>
        </w:rPr>
      </w:pPr>
    </w:p>
    <w:p w14:paraId="7BD7C798" w14:textId="77777777" w:rsidR="00E32CB4" w:rsidRPr="0082430B" w:rsidRDefault="00E32CB4" w:rsidP="00E32CB4">
      <w:pPr>
        <w:numPr>
          <w:ilvl w:val="0"/>
          <w:numId w:val="20"/>
        </w:numPr>
        <w:ind w:left="0" w:firstLine="720"/>
        <w:contextualSpacing/>
        <w:jc w:val="both"/>
        <w:rPr>
          <w:rFonts w:ascii="Cambria" w:hAnsi="Cambria"/>
          <w:sz w:val="20"/>
          <w:szCs w:val="20"/>
          <w:lang w:val="es-ES"/>
        </w:rPr>
      </w:pPr>
      <w:r w:rsidRPr="0082430B">
        <w:rPr>
          <w:rFonts w:ascii="Cambria" w:hAnsi="Cambria"/>
          <w:sz w:val="20"/>
          <w:szCs w:val="20"/>
          <w:lang w:val="es-ES"/>
        </w:rPr>
        <w:t xml:space="preserve">Por lo anterior, la CIDH concluye que el nivel de cumplimiento del caso es pendiente de cumplimiento. En consecuencia, la Comisión seguirá supervisando el cumplimiento de las recomendaciones 2 y 3. </w:t>
      </w:r>
    </w:p>
    <w:p w14:paraId="2010F979" w14:textId="77777777" w:rsidR="00E32CB4" w:rsidRPr="0082430B" w:rsidRDefault="00E32CB4" w:rsidP="00E32CB4">
      <w:pPr>
        <w:ind w:left="720"/>
        <w:contextualSpacing/>
        <w:jc w:val="both"/>
        <w:rPr>
          <w:rFonts w:ascii="Cambria" w:hAnsi="Cambria"/>
          <w:sz w:val="20"/>
          <w:szCs w:val="20"/>
          <w:lang w:val="es-ES"/>
        </w:rPr>
      </w:pPr>
    </w:p>
    <w:p w14:paraId="463F561F" w14:textId="77777777" w:rsidR="00E32CB4" w:rsidRPr="0082430B" w:rsidRDefault="00E32CB4" w:rsidP="00E32CB4">
      <w:pPr>
        <w:numPr>
          <w:ilvl w:val="0"/>
          <w:numId w:val="20"/>
        </w:numPr>
        <w:ind w:left="0" w:firstLine="720"/>
        <w:contextualSpacing/>
        <w:jc w:val="both"/>
        <w:rPr>
          <w:rFonts w:ascii="Cambria" w:hAnsi="Cambria"/>
          <w:sz w:val="20"/>
          <w:szCs w:val="20"/>
          <w:lang w:val="es-ES"/>
        </w:rPr>
      </w:pPr>
      <w:r w:rsidRPr="0082430B">
        <w:rPr>
          <w:rFonts w:ascii="Cambria" w:hAnsi="Cambria"/>
          <w:sz w:val="20"/>
          <w:szCs w:val="20"/>
          <w:lang w:val="es-ES"/>
        </w:rPr>
        <w:lastRenderedPageBreak/>
        <w:t xml:space="preserve">En este sentido, la Comisión insta al Estado adoptar las acciones necesarias para cumplir con las recomendaciones emitidas en el Informe de Fondo </w:t>
      </w:r>
      <w:proofErr w:type="spellStart"/>
      <w:r w:rsidRPr="0082430B">
        <w:rPr>
          <w:rFonts w:ascii="Cambria" w:hAnsi="Cambria"/>
          <w:sz w:val="20"/>
          <w:szCs w:val="20"/>
          <w:lang w:val="es-ES"/>
        </w:rPr>
        <w:t>Nº</w:t>
      </w:r>
      <w:proofErr w:type="spellEnd"/>
      <w:r w:rsidRPr="0082430B">
        <w:rPr>
          <w:rFonts w:ascii="Cambria" w:hAnsi="Cambria"/>
          <w:sz w:val="20"/>
          <w:szCs w:val="20"/>
          <w:lang w:val="es-ES"/>
        </w:rPr>
        <w:t xml:space="preserve"> 71/18, y proporcionar información actualizada y detallada sobre dichas acciones a la CIDH.</w:t>
      </w:r>
    </w:p>
    <w:p w14:paraId="06D7C1D3" w14:textId="77777777" w:rsidR="00E32CB4" w:rsidRPr="0082430B" w:rsidRDefault="00E32CB4" w:rsidP="00E32CB4">
      <w:pPr>
        <w:jc w:val="both"/>
        <w:rPr>
          <w:rFonts w:ascii="Cambria" w:hAnsi="Cambria" w:cs="Calibri Light"/>
          <w:sz w:val="20"/>
          <w:szCs w:val="20"/>
          <w:lang w:val="es-ES"/>
        </w:rPr>
      </w:pPr>
    </w:p>
    <w:p w14:paraId="1E3377F9" w14:textId="77777777" w:rsidR="00E32CB4" w:rsidRPr="0082430B" w:rsidRDefault="00E32CB4" w:rsidP="00E32CB4">
      <w:pPr>
        <w:pStyle w:val="ListParagraph"/>
        <w:numPr>
          <w:ilvl w:val="0"/>
          <w:numId w:val="8"/>
        </w:numPr>
        <w:ind w:left="1440"/>
        <w:jc w:val="both"/>
        <w:rPr>
          <w:rFonts w:ascii="Cambria" w:hAnsi="Cambria" w:cs="Calibri Light"/>
          <w:b/>
          <w:sz w:val="20"/>
          <w:szCs w:val="20"/>
          <w:lang w:val="es-ES"/>
        </w:rPr>
      </w:pPr>
      <w:r w:rsidRPr="0082430B">
        <w:rPr>
          <w:rFonts w:ascii="Cambria" w:hAnsi="Cambria" w:cs="Calibri Light"/>
          <w:b/>
          <w:sz w:val="20"/>
          <w:szCs w:val="20"/>
          <w:lang w:val="es-ES"/>
        </w:rPr>
        <w:t xml:space="preserve">Resultados individuales y estructurales del caso </w:t>
      </w:r>
    </w:p>
    <w:p w14:paraId="378E4767" w14:textId="77777777" w:rsidR="00E32CB4" w:rsidRPr="0082430B" w:rsidRDefault="00E32CB4" w:rsidP="00E32CB4">
      <w:pPr>
        <w:rPr>
          <w:rFonts w:ascii="Cambria" w:hAnsi="Cambria"/>
          <w:b/>
          <w:sz w:val="20"/>
          <w:szCs w:val="20"/>
          <w:lang w:val="es-ES"/>
        </w:rPr>
      </w:pPr>
    </w:p>
    <w:p w14:paraId="6855F9E1" w14:textId="77777777" w:rsidR="00E32CB4" w:rsidRPr="0082430B" w:rsidRDefault="00E32CB4" w:rsidP="00E32CB4">
      <w:pPr>
        <w:pStyle w:val="ListParagraph"/>
        <w:numPr>
          <w:ilvl w:val="0"/>
          <w:numId w:val="20"/>
        </w:numPr>
        <w:ind w:left="90" w:firstLine="630"/>
        <w:jc w:val="both"/>
        <w:rPr>
          <w:rFonts w:ascii="Cambria" w:hAnsi="Cambria"/>
          <w:sz w:val="20"/>
          <w:szCs w:val="20"/>
          <w:lang w:val="es-ES"/>
        </w:rPr>
      </w:pPr>
      <w:r w:rsidRPr="0082430B">
        <w:rPr>
          <w:rFonts w:ascii="Cambria" w:hAnsi="Cambria"/>
          <w:sz w:val="20"/>
          <w:szCs w:val="20"/>
          <w:lang w:val="es-ES"/>
        </w:rPr>
        <w:t>Dado que este caso está pendiente de cumplimiento, no hay resultados individuales o estructurales informados por las partes.</w:t>
      </w:r>
    </w:p>
    <w:p w14:paraId="45B26099" w14:textId="77777777" w:rsidR="00BD17B0" w:rsidRPr="00E32CB4" w:rsidRDefault="00BD17B0" w:rsidP="00E32CB4">
      <w:pPr>
        <w:rPr>
          <w:lang w:val="es-ES"/>
        </w:rPr>
      </w:pPr>
    </w:p>
    <w:sectPr w:rsidR="00BD17B0" w:rsidRPr="00E32CB4"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9F49" w14:textId="77777777" w:rsidR="00695928" w:rsidRDefault="00695928" w:rsidP="00672733">
      <w:r>
        <w:separator/>
      </w:r>
    </w:p>
  </w:endnote>
  <w:endnote w:type="continuationSeparator" w:id="0">
    <w:p w14:paraId="7178DD97" w14:textId="77777777" w:rsidR="00695928" w:rsidRDefault="0069592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C402" w14:textId="77777777" w:rsidR="00695928" w:rsidRDefault="00695928" w:rsidP="00672733">
      <w:r>
        <w:separator/>
      </w:r>
    </w:p>
  </w:footnote>
  <w:footnote w:type="continuationSeparator" w:id="0">
    <w:p w14:paraId="682A571F" w14:textId="77777777" w:rsidR="00695928" w:rsidRDefault="00695928" w:rsidP="00672733">
      <w:r>
        <w:continuationSeparator/>
      </w:r>
    </w:p>
  </w:footnote>
  <w:footnote w:id="1">
    <w:p w14:paraId="4560272C" w14:textId="77777777" w:rsidR="00E32CB4" w:rsidRPr="005621F7" w:rsidRDefault="00E32CB4" w:rsidP="00E32CB4">
      <w:pPr>
        <w:pStyle w:val="FootnoteText"/>
        <w:ind w:firstLine="720"/>
        <w:rPr>
          <w:lang w:val="es-CO"/>
        </w:rPr>
      </w:pPr>
      <w:r w:rsidRPr="005621F7">
        <w:rPr>
          <w:rStyle w:val="FootnoteReference"/>
        </w:rPr>
        <w:footnoteRef/>
      </w:r>
      <w:r w:rsidRPr="005621F7">
        <w:rPr>
          <w:lang w:val="es-US"/>
        </w:rPr>
        <w:t xml:space="preserve"> </w:t>
      </w:r>
      <w:r w:rsidRPr="005621F7">
        <w:rPr>
          <w:rFonts w:ascii="Cambria" w:hAnsi="Cambria"/>
          <w:bCs/>
          <w:sz w:val="16"/>
          <w:szCs w:val="16"/>
          <w:lang w:val="es-CO"/>
        </w:rPr>
        <w:t xml:space="preserve">CIDH, Comunicado de prensa No. </w:t>
      </w:r>
      <w:hyperlink r:id="rId1" w:history="1">
        <w:r w:rsidRPr="005621F7">
          <w:rPr>
            <w:rFonts w:ascii="Cambria" w:hAnsi="Cambria"/>
            <w:bCs/>
            <w:sz w:val="16"/>
            <w:szCs w:val="16"/>
            <w:u w:val="single"/>
            <w:lang w:val="es-CO"/>
          </w:rPr>
          <w:t xml:space="preserve">211/19 - CIDH insta a Estados Unidos a suspender la ejecución de Russell </w:t>
        </w:r>
        <w:proofErr w:type="spellStart"/>
        <w:r w:rsidRPr="005621F7">
          <w:rPr>
            <w:rFonts w:ascii="Cambria" w:hAnsi="Cambria"/>
            <w:bCs/>
            <w:sz w:val="16"/>
            <w:szCs w:val="16"/>
            <w:u w:val="single"/>
            <w:lang w:val="es-CO"/>
          </w:rPr>
          <w:t>Bucklew</w:t>
        </w:r>
        <w:proofErr w:type="spellEnd"/>
      </w:hyperlink>
      <w:r w:rsidRPr="005621F7">
        <w:rPr>
          <w:rFonts w:ascii="Cambria" w:hAnsi="Cambria"/>
          <w:bCs/>
          <w:sz w:val="16"/>
          <w:szCs w:val="16"/>
          <w:u w:val="single"/>
          <w:lang w:val="es-CO"/>
        </w:rPr>
        <w:t>.</w:t>
      </w:r>
      <w:r w:rsidRPr="005621F7">
        <w:rPr>
          <w:rFonts w:ascii="Cambria" w:hAnsi="Cambria"/>
          <w:bCs/>
          <w:sz w:val="16"/>
          <w:szCs w:val="16"/>
          <w:lang w:val="es-CO"/>
        </w:rPr>
        <w:t xml:space="preserve"> Washington D.C., 23 de agosto de 2019</w:t>
      </w:r>
    </w:p>
  </w:footnote>
  <w:footnote w:id="2">
    <w:p w14:paraId="14CB952F" w14:textId="77777777" w:rsidR="00E32CB4" w:rsidRPr="005621F7" w:rsidRDefault="00E32CB4" w:rsidP="00E32CB4">
      <w:pPr>
        <w:pStyle w:val="FootnoteText"/>
        <w:rPr>
          <w:lang w:val="es-US"/>
        </w:rPr>
      </w:pPr>
      <w:r w:rsidRPr="005621F7">
        <w:rPr>
          <w:lang w:val="es-US"/>
        </w:rPr>
        <w:t xml:space="preserve"> </w:t>
      </w:r>
      <w:r w:rsidRPr="005621F7">
        <w:rPr>
          <w:lang w:val="es-US"/>
        </w:rPr>
        <w:tab/>
      </w:r>
      <w:r w:rsidRPr="005621F7">
        <w:rPr>
          <w:rStyle w:val="FootnoteReference"/>
        </w:rPr>
        <w:footnoteRef/>
      </w:r>
      <w:r w:rsidRPr="005621F7">
        <w:rPr>
          <w:lang w:val="es-US"/>
        </w:rPr>
        <w:t xml:space="preserve"> </w:t>
      </w:r>
      <w:r w:rsidRPr="005621F7">
        <w:rPr>
          <w:rFonts w:ascii="Cambria" w:hAnsi="Cambria"/>
          <w:bCs/>
          <w:sz w:val="16"/>
          <w:szCs w:val="16"/>
          <w:lang w:val="es-CO"/>
        </w:rPr>
        <w:t xml:space="preserve">CIDH, Comunicado de prensa No. 249/2019 – </w:t>
      </w:r>
      <w:hyperlink r:id="rId2" w:history="1">
        <w:r w:rsidRPr="005621F7">
          <w:rPr>
            <w:rStyle w:val="Hyperlink"/>
            <w:rFonts w:ascii="Cambria" w:hAnsi="Cambria"/>
            <w:bCs/>
            <w:color w:val="auto"/>
            <w:sz w:val="16"/>
            <w:szCs w:val="16"/>
            <w:lang w:val="es-CO"/>
          </w:rPr>
          <w:t xml:space="preserve">CIDH condena la ejecución de Russel </w:t>
        </w:r>
        <w:proofErr w:type="spellStart"/>
        <w:r w:rsidRPr="005621F7">
          <w:rPr>
            <w:rStyle w:val="Hyperlink"/>
            <w:rFonts w:ascii="Cambria" w:hAnsi="Cambria"/>
            <w:bCs/>
            <w:color w:val="auto"/>
            <w:sz w:val="16"/>
            <w:szCs w:val="16"/>
            <w:lang w:val="es-CO"/>
          </w:rPr>
          <w:t>Bucklew</w:t>
        </w:r>
        <w:proofErr w:type="spellEnd"/>
        <w:r w:rsidRPr="005621F7">
          <w:rPr>
            <w:rStyle w:val="Hyperlink"/>
            <w:rFonts w:ascii="Cambria" w:hAnsi="Cambria"/>
            <w:bCs/>
            <w:color w:val="auto"/>
            <w:sz w:val="16"/>
            <w:szCs w:val="16"/>
            <w:lang w:val="es-CO"/>
          </w:rPr>
          <w:t xml:space="preserve"> en Misuri, Estados Unidos.  </w:t>
        </w:r>
        <w:r w:rsidRPr="005621F7">
          <w:rPr>
            <w:rStyle w:val="Hyperlink"/>
            <w:rFonts w:ascii="Cambria" w:hAnsi="Cambria"/>
            <w:color w:val="auto"/>
            <w:sz w:val="16"/>
            <w:szCs w:val="16"/>
            <w:lang w:val="es-US"/>
          </w:rPr>
          <w:t>Washington</w:t>
        </w:r>
      </w:hyperlink>
      <w:r w:rsidRPr="005621F7">
        <w:rPr>
          <w:rFonts w:ascii="Cambria" w:hAnsi="Cambria"/>
          <w:sz w:val="16"/>
          <w:szCs w:val="16"/>
          <w:lang w:val="es-US"/>
        </w:rPr>
        <w:t xml:space="preserve">, D.C., </w:t>
      </w:r>
      <w:r w:rsidRPr="005621F7">
        <w:rPr>
          <w:rFonts w:ascii="Cambria" w:hAnsi="Cambria"/>
          <w:bCs/>
          <w:sz w:val="16"/>
          <w:szCs w:val="16"/>
          <w:lang w:val="es-CO"/>
        </w:rPr>
        <w:t>7 de octubre de 2019.</w:t>
      </w:r>
    </w:p>
  </w:footnote>
  <w:footnote w:id="3">
    <w:p w14:paraId="6126E984" w14:textId="77777777" w:rsidR="00E32CB4" w:rsidRPr="005621F7" w:rsidRDefault="00E32CB4" w:rsidP="00E32CB4">
      <w:pPr>
        <w:pStyle w:val="FootnoteText"/>
        <w:spacing w:after="120"/>
        <w:ind w:firstLine="720"/>
        <w:jc w:val="both"/>
        <w:rPr>
          <w:rFonts w:ascii="Cambria" w:hAnsi="Cambria"/>
          <w:sz w:val="16"/>
          <w:szCs w:val="16"/>
          <w:lang w:val="es-US"/>
        </w:rPr>
      </w:pPr>
      <w:r w:rsidRPr="005621F7">
        <w:rPr>
          <w:rStyle w:val="FootnoteReference"/>
          <w:rFonts w:ascii="Cambria" w:hAnsi="Cambria"/>
          <w:sz w:val="16"/>
          <w:szCs w:val="16"/>
        </w:rPr>
        <w:footnoteRef/>
      </w:r>
      <w:r w:rsidRPr="005621F7">
        <w:rPr>
          <w:rFonts w:ascii="Cambria" w:hAnsi="Cambria"/>
          <w:sz w:val="16"/>
          <w:szCs w:val="16"/>
          <w:lang w:val="es-US"/>
        </w:rPr>
        <w:t xml:space="preserve"> CIDH, </w:t>
      </w:r>
      <w:hyperlink r:id="rId3" w:history="1">
        <w:r w:rsidRPr="005621F7">
          <w:rPr>
            <w:rStyle w:val="Hyperlink"/>
            <w:rFonts w:ascii="Cambria" w:hAnsi="Cambria"/>
            <w:color w:val="auto"/>
            <w:sz w:val="16"/>
            <w:szCs w:val="16"/>
            <w:lang w:val="es-US"/>
          </w:rPr>
          <w:t xml:space="preserve">Comunicado de prensa 249/19 - CIDH condena ejecución de Russell </w:t>
        </w:r>
        <w:proofErr w:type="spellStart"/>
        <w:r w:rsidRPr="005621F7">
          <w:rPr>
            <w:rStyle w:val="Hyperlink"/>
            <w:rFonts w:ascii="Cambria" w:hAnsi="Cambria"/>
            <w:color w:val="auto"/>
            <w:sz w:val="16"/>
            <w:szCs w:val="16"/>
            <w:lang w:val="es-US"/>
          </w:rPr>
          <w:t>Bucklew</w:t>
        </w:r>
        <w:proofErr w:type="spellEnd"/>
        <w:r w:rsidRPr="005621F7">
          <w:rPr>
            <w:rStyle w:val="Hyperlink"/>
            <w:rFonts w:ascii="Cambria" w:hAnsi="Cambria"/>
            <w:color w:val="auto"/>
            <w:sz w:val="16"/>
            <w:szCs w:val="16"/>
            <w:lang w:val="es-US"/>
          </w:rPr>
          <w:t xml:space="preserve"> en Misuri, Estados Unidos, D.C.</w:t>
        </w:r>
      </w:hyperlink>
      <w:r w:rsidRPr="005621F7">
        <w:rPr>
          <w:rFonts w:ascii="Cambria" w:hAnsi="Cambria"/>
          <w:sz w:val="16"/>
          <w:szCs w:val="16"/>
          <w:lang w:val="es-US"/>
        </w:rPr>
        <w:t>, 7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C2463"/>
    <w:multiLevelType w:val="hybridMultilevel"/>
    <w:tmpl w:val="1B4E05C8"/>
    <w:lvl w:ilvl="0" w:tplc="B2D670F8">
      <w:start w:val="1"/>
      <w:numFmt w:val="decimal"/>
      <w:lvlText w:val="%1."/>
      <w:lvlJc w:val="left"/>
      <w:pPr>
        <w:ind w:left="17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886718120">
    <w:abstractNumId w:val="13"/>
  </w:num>
  <w:num w:numId="2" w16cid:durableId="1494832588">
    <w:abstractNumId w:val="19"/>
  </w:num>
  <w:num w:numId="3" w16cid:durableId="657149662">
    <w:abstractNumId w:val="16"/>
  </w:num>
  <w:num w:numId="4" w16cid:durableId="2041202601">
    <w:abstractNumId w:val="8"/>
  </w:num>
  <w:num w:numId="5" w16cid:durableId="1558318856">
    <w:abstractNumId w:val="6"/>
  </w:num>
  <w:num w:numId="6" w16cid:durableId="877593031">
    <w:abstractNumId w:val="10"/>
  </w:num>
  <w:num w:numId="7" w16cid:durableId="412165147">
    <w:abstractNumId w:val="2"/>
  </w:num>
  <w:num w:numId="8" w16cid:durableId="504054976">
    <w:abstractNumId w:val="15"/>
  </w:num>
  <w:num w:numId="9" w16cid:durableId="469057105">
    <w:abstractNumId w:val="3"/>
  </w:num>
  <w:num w:numId="10" w16cid:durableId="178353551">
    <w:abstractNumId w:val="18"/>
  </w:num>
  <w:num w:numId="11" w16cid:durableId="1752694921">
    <w:abstractNumId w:val="17"/>
  </w:num>
  <w:num w:numId="12" w16cid:durableId="1769961327">
    <w:abstractNumId w:val="14"/>
  </w:num>
  <w:num w:numId="13" w16cid:durableId="63577347">
    <w:abstractNumId w:val="7"/>
  </w:num>
  <w:num w:numId="14" w16cid:durableId="360592990">
    <w:abstractNumId w:val="12"/>
  </w:num>
  <w:num w:numId="15" w16cid:durableId="93748652">
    <w:abstractNumId w:val="0"/>
  </w:num>
  <w:num w:numId="16" w16cid:durableId="589510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4194191">
    <w:abstractNumId w:val="11"/>
  </w:num>
  <w:num w:numId="18" w16cid:durableId="1864395033">
    <w:abstractNumId w:val="4"/>
  </w:num>
  <w:num w:numId="19" w16cid:durableId="122775037">
    <w:abstractNumId w:val="5"/>
  </w:num>
  <w:num w:numId="20" w16cid:durableId="2031714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1E5221"/>
    <w:rsid w:val="002248FB"/>
    <w:rsid w:val="00234E64"/>
    <w:rsid w:val="00322720"/>
    <w:rsid w:val="00453115"/>
    <w:rsid w:val="004758C9"/>
    <w:rsid w:val="0048723C"/>
    <w:rsid w:val="00500FDE"/>
    <w:rsid w:val="00566CD0"/>
    <w:rsid w:val="006265E9"/>
    <w:rsid w:val="00637ED3"/>
    <w:rsid w:val="00662A17"/>
    <w:rsid w:val="006638E5"/>
    <w:rsid w:val="00672733"/>
    <w:rsid w:val="00695928"/>
    <w:rsid w:val="006B1F24"/>
    <w:rsid w:val="006B441C"/>
    <w:rsid w:val="006C11E1"/>
    <w:rsid w:val="007C4DCE"/>
    <w:rsid w:val="007D31D6"/>
    <w:rsid w:val="0082430B"/>
    <w:rsid w:val="008463D3"/>
    <w:rsid w:val="00862E37"/>
    <w:rsid w:val="008818B0"/>
    <w:rsid w:val="008861D6"/>
    <w:rsid w:val="008C3F1E"/>
    <w:rsid w:val="0097712A"/>
    <w:rsid w:val="00987D94"/>
    <w:rsid w:val="00A333D3"/>
    <w:rsid w:val="00B2018D"/>
    <w:rsid w:val="00BD17B0"/>
    <w:rsid w:val="00BF7A78"/>
    <w:rsid w:val="00CD5456"/>
    <w:rsid w:val="00D56DC4"/>
    <w:rsid w:val="00DD0414"/>
    <w:rsid w:val="00E042FE"/>
    <w:rsid w:val="00E32CB4"/>
    <w:rsid w:val="00E516AB"/>
    <w:rsid w:val="00E90CB3"/>
    <w:rsid w:val="00EA0262"/>
    <w:rsid w:val="00EC3D38"/>
    <w:rsid w:val="00EC61E3"/>
    <w:rsid w:val="00ED0AAA"/>
    <w:rsid w:val="00ED1EBA"/>
    <w:rsid w:val="00F41E7E"/>
    <w:rsid w:val="00FD65F9"/>
    <w:rsid w:val="5E0D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CB4"/>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8/USPU12958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as.org/es/cidh/decisiones/pdf/2014/MC177-14ES.pdf" TargetMode="External"/><Relationship Id="rId4" Type="http://schemas.openxmlformats.org/officeDocument/2006/relationships/settings" Target="settings.xml"/><Relationship Id="rId9" Type="http://schemas.openxmlformats.org/officeDocument/2006/relationships/hyperlink" Target="https://www.oas.org/es/cidh/decisiones/2014/USAD684-14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prensa/comunicados/2019/249.asp" TargetMode="External"/><Relationship Id="rId2" Type="http://schemas.openxmlformats.org/officeDocument/2006/relationships/hyperlink" Target="http://www.oas.org/es/cidh/prensa/comunicados/2019/249.asp" TargetMode="External"/><Relationship Id="rId1" Type="http://schemas.openxmlformats.org/officeDocument/2006/relationships/hyperlink" Target="http://www.oas.org/es/cidh/prensa/comunicados/2019/211.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2022-04-21T12:41:00Z</dcterms:created>
  <dcterms:modified xsi:type="dcterms:W3CDTF">2022-04-21T12:41:00Z</dcterms:modified>
</cp:coreProperties>
</file>