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3E01F" w14:textId="77777777" w:rsidR="003A7CE5" w:rsidRPr="000A1667" w:rsidRDefault="003A7CE5" w:rsidP="003A7CE5">
      <w:pPr>
        <w:spacing w:after="0" w:line="240" w:lineRule="auto"/>
        <w:jc w:val="center"/>
        <w:rPr>
          <w:rFonts w:ascii="Cambria" w:hAnsi="Cambria"/>
          <w:b/>
          <w:color w:val="000000" w:themeColor="text1"/>
          <w:lang w:val="es-ES"/>
        </w:rPr>
      </w:pPr>
    </w:p>
    <w:p w14:paraId="5AC9C806" w14:textId="77777777" w:rsidR="003A7CE5" w:rsidRPr="000A1667" w:rsidRDefault="003A7CE5" w:rsidP="003A7CE5">
      <w:pPr>
        <w:pStyle w:val="Header"/>
        <w:jc w:val="center"/>
        <w:rPr>
          <w:color w:val="000000" w:themeColor="text1"/>
          <w:sz w:val="20"/>
          <w:szCs w:val="20"/>
          <w:lang w:val="es-ES"/>
        </w:rPr>
      </w:pPr>
      <w:r w:rsidRPr="000A1667">
        <w:rPr>
          <w:rFonts w:ascii="Cambria" w:hAnsi="Cambria"/>
          <w:b/>
          <w:color w:val="000000" w:themeColor="text1"/>
          <w:sz w:val="20"/>
          <w:szCs w:val="20"/>
          <w:lang w:val="es-ES"/>
        </w:rPr>
        <w:t>FICHA DE SEGUIMIENTO DEL INFORME Nº 81/10</w:t>
      </w:r>
    </w:p>
    <w:p w14:paraId="0A0B78F2" w14:textId="77777777" w:rsidR="003A7CE5" w:rsidRPr="000A1667" w:rsidRDefault="003A7CE5" w:rsidP="003A7CE5">
      <w:pPr>
        <w:spacing w:after="0" w:line="240" w:lineRule="auto"/>
        <w:ind w:left="180"/>
        <w:jc w:val="center"/>
        <w:rPr>
          <w:rFonts w:ascii="Cambria" w:hAnsi="Cambria"/>
          <w:b/>
          <w:color w:val="000000" w:themeColor="text1"/>
          <w:sz w:val="20"/>
          <w:szCs w:val="20"/>
          <w:lang w:val="es-ES"/>
        </w:rPr>
      </w:pPr>
      <w:r w:rsidRPr="000A1667">
        <w:rPr>
          <w:rFonts w:ascii="Cambria" w:hAnsi="Cambria"/>
          <w:b/>
          <w:color w:val="000000" w:themeColor="text1"/>
          <w:sz w:val="20"/>
          <w:szCs w:val="20"/>
          <w:lang w:val="es-ES"/>
        </w:rPr>
        <w:t>CASOS 12.561 y 12.562</w:t>
      </w:r>
    </w:p>
    <w:p w14:paraId="752BA03F" w14:textId="77777777" w:rsidR="003A7CE5" w:rsidRPr="000A1667" w:rsidRDefault="003A7CE5" w:rsidP="003A7CE5">
      <w:pPr>
        <w:spacing w:after="0" w:line="240" w:lineRule="auto"/>
        <w:ind w:left="180"/>
        <w:jc w:val="center"/>
        <w:rPr>
          <w:rFonts w:ascii="Cambria" w:hAnsi="Cambria"/>
          <w:b/>
          <w:color w:val="000000" w:themeColor="text1"/>
          <w:sz w:val="20"/>
          <w:szCs w:val="20"/>
          <w:lang w:val="es-ES"/>
        </w:rPr>
      </w:pPr>
      <w:r w:rsidRPr="000A1667">
        <w:rPr>
          <w:rFonts w:ascii="Cambria" w:hAnsi="Cambria"/>
          <w:b/>
          <w:color w:val="000000" w:themeColor="text1"/>
          <w:sz w:val="20"/>
          <w:szCs w:val="20"/>
          <w:lang w:val="es-ES"/>
        </w:rPr>
        <w:t>WAYNE SMITH Y HUGO ARMENDARIZ Y OTROS.</w:t>
      </w:r>
    </w:p>
    <w:p w14:paraId="25AF83E7" w14:textId="77777777" w:rsidR="003A7CE5" w:rsidRPr="000A1667" w:rsidRDefault="003A7CE5" w:rsidP="003A7CE5">
      <w:pPr>
        <w:spacing w:after="0" w:line="240" w:lineRule="auto"/>
        <w:jc w:val="center"/>
        <w:rPr>
          <w:rFonts w:ascii="Cambria" w:hAnsi="Cambria"/>
          <w:b/>
          <w:color w:val="000000" w:themeColor="text1"/>
          <w:sz w:val="20"/>
          <w:szCs w:val="20"/>
          <w:lang w:val="es-ES"/>
        </w:rPr>
      </w:pPr>
      <w:r w:rsidRPr="000A1667">
        <w:rPr>
          <w:rFonts w:ascii="Cambria" w:hAnsi="Cambria"/>
          <w:b/>
          <w:color w:val="000000" w:themeColor="text1"/>
          <w:sz w:val="20"/>
          <w:szCs w:val="20"/>
          <w:lang w:val="es-ES"/>
        </w:rPr>
        <w:t>(Estados Unidos)</w:t>
      </w:r>
    </w:p>
    <w:p w14:paraId="596407DD" w14:textId="77777777" w:rsidR="003A7CE5" w:rsidRPr="000A1667" w:rsidRDefault="003A7CE5" w:rsidP="003A7CE5">
      <w:pPr>
        <w:spacing w:after="0" w:line="240" w:lineRule="auto"/>
        <w:jc w:val="center"/>
        <w:rPr>
          <w:rFonts w:ascii="Cambria" w:hAnsi="Cambria"/>
          <w:b/>
          <w:color w:val="000000" w:themeColor="text1"/>
          <w:sz w:val="20"/>
          <w:szCs w:val="20"/>
          <w:lang w:val="es-ES"/>
        </w:rPr>
      </w:pPr>
    </w:p>
    <w:p w14:paraId="6D8E860B" w14:textId="77777777" w:rsidR="003A7CE5" w:rsidRPr="000A1667" w:rsidRDefault="003A7CE5" w:rsidP="003A7CE5">
      <w:pPr>
        <w:numPr>
          <w:ilvl w:val="0"/>
          <w:numId w:val="14"/>
        </w:numPr>
        <w:spacing w:after="0" w:line="240" w:lineRule="auto"/>
        <w:ind w:left="1440"/>
        <w:jc w:val="both"/>
        <w:rPr>
          <w:rFonts w:ascii="Cambria" w:hAnsi="Cambria" w:cs="Calibri Light"/>
          <w:b/>
          <w:color w:val="000000" w:themeColor="text1"/>
          <w:sz w:val="20"/>
          <w:szCs w:val="20"/>
          <w:lang w:val="es-ES"/>
        </w:rPr>
      </w:pPr>
      <w:r w:rsidRPr="000A1667">
        <w:rPr>
          <w:rFonts w:ascii="Cambria" w:hAnsi="Cambria" w:cs="Calibri Light"/>
          <w:b/>
          <w:color w:val="000000" w:themeColor="text1"/>
          <w:sz w:val="20"/>
          <w:szCs w:val="20"/>
          <w:lang w:val="es-ES"/>
        </w:rPr>
        <w:t xml:space="preserve">Resumen del caso  </w:t>
      </w:r>
    </w:p>
    <w:p w14:paraId="0FB94F42" w14:textId="77777777" w:rsidR="003A7CE5" w:rsidRPr="000A1667" w:rsidRDefault="003A7CE5" w:rsidP="003A7CE5">
      <w:pPr>
        <w:spacing w:after="0" w:line="240" w:lineRule="auto"/>
        <w:ind w:left="1080"/>
        <w:jc w:val="both"/>
        <w:rPr>
          <w:rFonts w:ascii="Cambria" w:hAnsi="Cambria" w:cs="Calibri Light"/>
          <w:b/>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0A1667" w:rsidRPr="000A1667" w14:paraId="5EBDE7FF" w14:textId="77777777" w:rsidTr="00F11355">
        <w:trPr>
          <w:jc w:val="center"/>
        </w:trPr>
        <w:tc>
          <w:tcPr>
            <w:tcW w:w="9576" w:type="dxa"/>
            <w:shd w:val="clear" w:color="auto" w:fill="F2F2F2"/>
          </w:tcPr>
          <w:p w14:paraId="532242CF" w14:textId="77777777" w:rsidR="003A7CE5" w:rsidRPr="000A1667" w:rsidRDefault="003A7CE5" w:rsidP="00F11355">
            <w:pPr>
              <w:spacing w:before="120" w:after="0" w:line="240" w:lineRule="auto"/>
              <w:jc w:val="both"/>
              <w:rPr>
                <w:rFonts w:ascii="Cambria" w:hAnsi="Cambria"/>
                <w:b/>
                <w:color w:val="000000" w:themeColor="text1"/>
                <w:sz w:val="20"/>
                <w:szCs w:val="20"/>
                <w:lang w:val="es-ES"/>
              </w:rPr>
            </w:pPr>
            <w:r w:rsidRPr="000A1667">
              <w:rPr>
                <w:rFonts w:ascii="Cambria" w:hAnsi="Cambria"/>
                <w:b/>
                <w:color w:val="000000" w:themeColor="text1"/>
                <w:sz w:val="20"/>
                <w:szCs w:val="20"/>
                <w:lang w:val="es-ES"/>
              </w:rPr>
              <w:t xml:space="preserve">Víctima (s): </w:t>
            </w:r>
            <w:r w:rsidRPr="000A1667">
              <w:rPr>
                <w:rFonts w:ascii="Cambria" w:hAnsi="Cambria"/>
                <w:color w:val="000000" w:themeColor="text1"/>
                <w:sz w:val="20"/>
                <w:szCs w:val="20"/>
                <w:lang w:val="es-ES"/>
              </w:rPr>
              <w:t>Wayne Smith y Hugo Armendáriz y otros</w:t>
            </w:r>
          </w:p>
          <w:p w14:paraId="6469E300" w14:textId="77777777" w:rsidR="003A7CE5" w:rsidRPr="000A1667" w:rsidRDefault="003A7CE5" w:rsidP="00F11355">
            <w:pPr>
              <w:spacing w:after="0" w:line="240" w:lineRule="auto"/>
              <w:jc w:val="both"/>
              <w:rPr>
                <w:rFonts w:ascii="Cambria" w:hAnsi="Cambria"/>
                <w:b/>
                <w:color w:val="000000" w:themeColor="text1"/>
                <w:sz w:val="20"/>
                <w:szCs w:val="20"/>
                <w:lang w:val="es-ES"/>
              </w:rPr>
            </w:pPr>
            <w:r w:rsidRPr="000A1667">
              <w:rPr>
                <w:rFonts w:ascii="Cambria" w:hAnsi="Cambria"/>
                <w:b/>
                <w:color w:val="000000" w:themeColor="text1"/>
                <w:sz w:val="20"/>
                <w:szCs w:val="20"/>
                <w:lang w:val="es-ES"/>
              </w:rPr>
              <w:t>Peticionario (s):</w:t>
            </w:r>
            <w:r w:rsidRPr="000A1667">
              <w:rPr>
                <w:rFonts w:ascii="Cambria" w:hAnsi="Cambria"/>
                <w:color w:val="000000" w:themeColor="text1"/>
                <w:sz w:val="20"/>
                <w:szCs w:val="20"/>
                <w:lang w:val="es-ES"/>
              </w:rPr>
              <w:t xml:space="preserve"> Centro por la Justicia y el Derecho Internacional (CEJIL); Gibbs, Houston and </w:t>
            </w:r>
            <w:proofErr w:type="spellStart"/>
            <w:r w:rsidRPr="000A1667">
              <w:rPr>
                <w:rFonts w:ascii="Cambria" w:hAnsi="Cambria"/>
                <w:color w:val="000000" w:themeColor="text1"/>
                <w:sz w:val="20"/>
                <w:szCs w:val="20"/>
                <w:lang w:val="es-ES"/>
              </w:rPr>
              <w:t>Pauw</w:t>
            </w:r>
            <w:proofErr w:type="spellEnd"/>
            <w:r w:rsidRPr="000A1667">
              <w:rPr>
                <w:rFonts w:ascii="Cambria" w:hAnsi="Cambria"/>
                <w:color w:val="000000" w:themeColor="text1"/>
                <w:sz w:val="20"/>
                <w:szCs w:val="20"/>
                <w:lang w:val="es-ES"/>
              </w:rPr>
              <w:t>; Clínica de Derecho Internacional de los Derechos Humanos de la Facultad de Derecho de la Universidad de Seattle</w:t>
            </w:r>
          </w:p>
          <w:p w14:paraId="4D36751B" w14:textId="77777777" w:rsidR="003A7CE5" w:rsidRPr="000A1667" w:rsidRDefault="003A7CE5" w:rsidP="00F11355">
            <w:pPr>
              <w:spacing w:after="0" w:line="240" w:lineRule="auto"/>
              <w:jc w:val="both"/>
              <w:rPr>
                <w:rFonts w:ascii="Cambria" w:hAnsi="Cambria"/>
                <w:color w:val="000000" w:themeColor="text1"/>
                <w:sz w:val="20"/>
                <w:szCs w:val="20"/>
                <w:lang w:val="es-ES"/>
              </w:rPr>
            </w:pPr>
            <w:r w:rsidRPr="000A1667">
              <w:rPr>
                <w:rFonts w:ascii="Cambria" w:hAnsi="Cambria"/>
                <w:b/>
                <w:color w:val="000000" w:themeColor="text1"/>
                <w:sz w:val="20"/>
                <w:szCs w:val="20"/>
                <w:lang w:val="es-ES"/>
              </w:rPr>
              <w:t xml:space="preserve">Estado: </w:t>
            </w:r>
            <w:r w:rsidRPr="000A1667">
              <w:rPr>
                <w:rFonts w:ascii="Cambria" w:hAnsi="Cambria"/>
                <w:color w:val="000000" w:themeColor="text1"/>
                <w:sz w:val="20"/>
                <w:szCs w:val="20"/>
                <w:lang w:val="es-ES"/>
              </w:rPr>
              <w:t>Estados Unidos</w:t>
            </w:r>
          </w:p>
          <w:p w14:paraId="3D375B2F" w14:textId="77777777" w:rsidR="003A7CE5" w:rsidRPr="000A1667" w:rsidRDefault="003A7CE5" w:rsidP="00F11355">
            <w:pPr>
              <w:spacing w:after="0" w:line="240" w:lineRule="auto"/>
              <w:jc w:val="both"/>
              <w:rPr>
                <w:rFonts w:ascii="Cambria" w:hAnsi="Cambria"/>
                <w:color w:val="000000" w:themeColor="text1"/>
                <w:sz w:val="20"/>
                <w:szCs w:val="20"/>
                <w:lang w:val="es-ES"/>
              </w:rPr>
            </w:pPr>
            <w:r w:rsidRPr="000A1667">
              <w:rPr>
                <w:rFonts w:ascii="Cambria" w:hAnsi="Cambria"/>
                <w:b/>
                <w:color w:val="000000" w:themeColor="text1"/>
                <w:sz w:val="20"/>
                <w:szCs w:val="20"/>
                <w:lang w:val="es-ES"/>
              </w:rPr>
              <w:t xml:space="preserve">Informe de Fondo Nº: </w:t>
            </w:r>
            <w:hyperlink r:id="rId8" w:history="1">
              <w:r w:rsidRPr="000A1667">
                <w:rPr>
                  <w:rStyle w:val="Hyperlink"/>
                  <w:rFonts w:ascii="Cambria" w:hAnsi="Cambria"/>
                  <w:color w:val="000000" w:themeColor="text1"/>
                  <w:sz w:val="20"/>
                  <w:szCs w:val="20"/>
                  <w:lang w:val="es-ES"/>
                </w:rPr>
                <w:t>81/10</w:t>
              </w:r>
            </w:hyperlink>
            <w:r w:rsidRPr="000A1667">
              <w:rPr>
                <w:rFonts w:ascii="Cambria" w:hAnsi="Cambria"/>
                <w:color w:val="000000" w:themeColor="text1"/>
                <w:sz w:val="20"/>
                <w:szCs w:val="20"/>
                <w:lang w:val="es-ES"/>
              </w:rPr>
              <w:t>, publicado el 12 de julio de 2010</w:t>
            </w:r>
          </w:p>
          <w:p w14:paraId="0FB1F3C4" w14:textId="77777777" w:rsidR="003A7CE5" w:rsidRPr="000A1667" w:rsidRDefault="003A7CE5" w:rsidP="00F11355">
            <w:pPr>
              <w:spacing w:after="0" w:line="240" w:lineRule="auto"/>
              <w:jc w:val="both"/>
              <w:rPr>
                <w:rFonts w:ascii="Cambria" w:hAnsi="Cambria"/>
                <w:color w:val="000000" w:themeColor="text1"/>
                <w:sz w:val="20"/>
                <w:szCs w:val="20"/>
                <w:lang w:val="es-ES"/>
              </w:rPr>
            </w:pPr>
            <w:r w:rsidRPr="000A1667">
              <w:rPr>
                <w:rFonts w:ascii="Cambria" w:hAnsi="Cambria"/>
                <w:b/>
                <w:color w:val="000000" w:themeColor="text1"/>
                <w:sz w:val="20"/>
                <w:szCs w:val="20"/>
                <w:lang w:val="es-ES"/>
              </w:rPr>
              <w:t xml:space="preserve">Informes de Admisibilidad Nº:  </w:t>
            </w:r>
            <w:hyperlink r:id="rId9" w:history="1">
              <w:r w:rsidRPr="000A1667">
                <w:rPr>
                  <w:rStyle w:val="Hyperlink"/>
                  <w:rFonts w:ascii="Cambria" w:hAnsi="Cambria"/>
                  <w:color w:val="000000" w:themeColor="text1"/>
                  <w:sz w:val="20"/>
                  <w:szCs w:val="20"/>
                  <w:lang w:val="es-ES"/>
                </w:rPr>
                <w:t>56/06</w:t>
              </w:r>
            </w:hyperlink>
            <w:r w:rsidRPr="000A1667">
              <w:rPr>
                <w:rFonts w:ascii="Cambria" w:hAnsi="Cambria"/>
                <w:color w:val="000000" w:themeColor="text1"/>
                <w:sz w:val="20"/>
                <w:szCs w:val="20"/>
                <w:lang w:val="es-ES"/>
              </w:rPr>
              <w:t xml:space="preserve"> y </w:t>
            </w:r>
            <w:hyperlink r:id="rId10" w:history="1">
              <w:r w:rsidRPr="000A1667">
                <w:rPr>
                  <w:rStyle w:val="Hyperlink"/>
                  <w:rFonts w:ascii="Cambria" w:hAnsi="Cambria"/>
                  <w:color w:val="000000" w:themeColor="text1"/>
                  <w:sz w:val="20"/>
                  <w:szCs w:val="20"/>
                  <w:lang w:val="es-ES"/>
                </w:rPr>
                <w:t>57/06</w:t>
              </w:r>
            </w:hyperlink>
            <w:r w:rsidRPr="000A1667">
              <w:rPr>
                <w:rFonts w:ascii="Cambria" w:hAnsi="Cambria"/>
                <w:color w:val="000000" w:themeColor="text1"/>
                <w:sz w:val="20"/>
                <w:szCs w:val="20"/>
                <w:lang w:val="es-ES"/>
              </w:rPr>
              <w:t xml:space="preserve">, publicados el 20 de julio de 2006 </w:t>
            </w:r>
          </w:p>
          <w:p w14:paraId="38E169F0" w14:textId="77777777" w:rsidR="003A7CE5" w:rsidRPr="000A1667" w:rsidRDefault="003A7CE5" w:rsidP="00F11355">
            <w:pPr>
              <w:spacing w:after="120" w:line="240" w:lineRule="auto"/>
              <w:jc w:val="both"/>
              <w:rPr>
                <w:rFonts w:ascii="Cambria" w:hAnsi="Cambria"/>
                <w:b/>
                <w:color w:val="000000" w:themeColor="text1"/>
                <w:sz w:val="20"/>
                <w:szCs w:val="20"/>
                <w:lang w:val="es-ES"/>
              </w:rPr>
            </w:pPr>
            <w:r w:rsidRPr="000A1667">
              <w:rPr>
                <w:rFonts w:ascii="Cambria" w:hAnsi="Cambria"/>
                <w:b/>
                <w:color w:val="000000" w:themeColor="text1"/>
                <w:sz w:val="20"/>
                <w:szCs w:val="20"/>
                <w:lang w:val="es-ES"/>
              </w:rPr>
              <w:t xml:space="preserve">Temas: </w:t>
            </w:r>
            <w:r w:rsidRPr="000A1667">
              <w:rPr>
                <w:rFonts w:ascii="Cambria" w:hAnsi="Cambria"/>
                <w:color w:val="000000" w:themeColor="text1"/>
                <w:sz w:val="20"/>
                <w:szCs w:val="20"/>
                <w:lang w:val="es-ES"/>
              </w:rPr>
              <w:t xml:space="preserve">Deber de Adoptar Medidas y Disposiciones de Derecho Interno / Garantías Judiciales / Protección Judicial / Deportación y Expulsión / Derecho de Circulación y de Residencia / Protección a la Honra. </w:t>
            </w:r>
          </w:p>
          <w:p w14:paraId="3AA9FDD2" w14:textId="77777777" w:rsidR="003A7CE5" w:rsidRPr="000A1667" w:rsidRDefault="003A7CE5" w:rsidP="00433AD6">
            <w:pPr>
              <w:pStyle w:val="BlockText"/>
              <w:spacing w:before="0"/>
              <w:jc w:val="both"/>
              <w:rPr>
                <w:rFonts w:ascii="Cambria" w:hAnsi="Cambria"/>
                <w:color w:val="000000" w:themeColor="text1"/>
                <w:sz w:val="20"/>
                <w:lang w:val="es-ES"/>
              </w:rPr>
            </w:pPr>
            <w:r w:rsidRPr="000A1667">
              <w:rPr>
                <w:rFonts w:ascii="Cambria" w:hAnsi="Cambria"/>
                <w:b/>
                <w:color w:val="000000" w:themeColor="text1"/>
                <w:sz w:val="20"/>
                <w:lang w:val="es-ES"/>
              </w:rPr>
              <w:t xml:space="preserve">Hechos: </w:t>
            </w:r>
            <w:r w:rsidRPr="000A1667">
              <w:rPr>
                <w:rFonts w:ascii="Cambria" w:hAnsi="Cambria"/>
                <w:color w:val="000000" w:themeColor="text1"/>
                <w:sz w:val="20"/>
                <w:lang w:val="es-ES"/>
              </w:rPr>
              <w:t xml:space="preserve">Este caso se refiere a la deportación de Wayne Smith y Hugo </w:t>
            </w:r>
            <w:proofErr w:type="spellStart"/>
            <w:r w:rsidRPr="000A1667">
              <w:rPr>
                <w:rFonts w:ascii="Cambria" w:hAnsi="Cambria"/>
                <w:color w:val="000000" w:themeColor="text1"/>
                <w:sz w:val="20"/>
                <w:lang w:val="es-ES"/>
              </w:rPr>
              <w:t>Armendariz</w:t>
            </w:r>
            <w:proofErr w:type="spellEnd"/>
            <w:r w:rsidRPr="000A1667">
              <w:rPr>
                <w:rFonts w:ascii="Cambria" w:hAnsi="Cambria"/>
                <w:color w:val="000000" w:themeColor="text1"/>
                <w:sz w:val="20"/>
                <w:lang w:val="es-ES"/>
              </w:rPr>
              <w:t xml:space="preserve"> de los Estados Unidos. Ambos eran residentes permanentes, pero fueron deportados sin haber tenido la posibilidad de presentar una defensa significativa ante autoridades administrativas y judiciales, que incluyera la posibilidad de presentar una solicitud de exención de deportación por razones humanitarias. Fueron expulsados de conformidad con la Ley de Reforma de la Inmigración Ilegal y la Responsabilidad de los Inmigrantes de 1996 y la Ley Antiterrorista y de Pena de Muerte Efectiva de 1996, mediante la cual se modificó la Ley de Inmigración y Naturalización al eliminar todo tipo de atribución judicial discrecional de otorgar remedios a residentes permanentes legales condenados por un “crimen agravado”.</w:t>
            </w:r>
          </w:p>
          <w:p w14:paraId="267B2EC4" w14:textId="77777777" w:rsidR="003A7CE5" w:rsidRPr="000A1667" w:rsidRDefault="003A7CE5" w:rsidP="00433AD6">
            <w:pPr>
              <w:pStyle w:val="Default"/>
              <w:spacing w:after="120"/>
              <w:jc w:val="both"/>
              <w:rPr>
                <w:color w:val="000000" w:themeColor="text1"/>
                <w:lang w:val="es-ES"/>
              </w:rPr>
            </w:pPr>
            <w:r w:rsidRPr="000A1667">
              <w:rPr>
                <w:b/>
                <w:color w:val="000000" w:themeColor="text1"/>
                <w:sz w:val="20"/>
                <w:szCs w:val="20"/>
                <w:lang w:val="es-ES"/>
              </w:rPr>
              <w:t xml:space="preserve">Derechos violados: </w:t>
            </w:r>
            <w:r w:rsidRPr="000A1667">
              <w:rPr>
                <w:color w:val="000000" w:themeColor="text1"/>
                <w:sz w:val="20"/>
                <w:szCs w:val="20"/>
                <w:lang w:val="es-ES"/>
              </w:rPr>
              <w:t>La CIDH concluyó que en virtud de la deportación de Wayne Smith y Hugo Armendáriz de Estados Unidos, dicho Estado es responsable por la violación de sus derechos bajo los artículos V, VI, VII, XVIII, y XXVI de la Declaración Americana.</w:t>
            </w:r>
          </w:p>
        </w:tc>
      </w:tr>
    </w:tbl>
    <w:p w14:paraId="367A16D3" w14:textId="77777777" w:rsidR="003A7CE5" w:rsidRPr="000A1667" w:rsidRDefault="003A7CE5" w:rsidP="003A7CE5">
      <w:pPr>
        <w:spacing w:after="0" w:line="240" w:lineRule="auto"/>
        <w:ind w:left="180"/>
        <w:jc w:val="both"/>
        <w:rPr>
          <w:rFonts w:ascii="Cambria" w:hAnsi="Cambria"/>
          <w:color w:val="000000" w:themeColor="text1"/>
          <w:lang w:val="es-ES"/>
        </w:rPr>
      </w:pPr>
    </w:p>
    <w:p w14:paraId="04CA79CB" w14:textId="77777777" w:rsidR="003A7CE5" w:rsidRPr="000A1667" w:rsidRDefault="003A7CE5" w:rsidP="003A7CE5">
      <w:pPr>
        <w:numPr>
          <w:ilvl w:val="0"/>
          <w:numId w:val="14"/>
        </w:numPr>
        <w:spacing w:after="0" w:line="240" w:lineRule="auto"/>
        <w:ind w:left="1440"/>
        <w:jc w:val="both"/>
        <w:rPr>
          <w:rFonts w:ascii="Cambria" w:hAnsi="Cambria" w:cs="Calibri Light"/>
          <w:b/>
          <w:color w:val="000000" w:themeColor="text1"/>
          <w:sz w:val="20"/>
          <w:szCs w:val="20"/>
          <w:lang w:val="es-ES"/>
        </w:rPr>
      </w:pPr>
      <w:r w:rsidRPr="000A1667">
        <w:rPr>
          <w:rFonts w:ascii="Cambria" w:hAnsi="Cambria" w:cs="Calibri Light"/>
          <w:b/>
          <w:color w:val="000000" w:themeColor="text1"/>
          <w:sz w:val="20"/>
          <w:szCs w:val="20"/>
          <w:lang w:val="es-ES"/>
        </w:rPr>
        <w:t>Recomendaciones</w:t>
      </w:r>
    </w:p>
    <w:p w14:paraId="66AF0BC1" w14:textId="77777777" w:rsidR="003A7CE5" w:rsidRPr="000A1667" w:rsidRDefault="003A7CE5" w:rsidP="003A7CE5">
      <w:pPr>
        <w:spacing w:after="0" w:line="240" w:lineRule="auto"/>
        <w:ind w:left="1080"/>
        <w:jc w:val="both"/>
        <w:rPr>
          <w:rFonts w:ascii="Cambria" w:hAnsi="Cambria" w:cs="Calibri Light"/>
          <w:b/>
          <w:color w:val="000000" w:themeColor="text1"/>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9"/>
        <w:gridCol w:w="2313"/>
      </w:tblGrid>
      <w:tr w:rsidR="000A1667" w:rsidRPr="000A1667" w14:paraId="01B0C1CE" w14:textId="77777777" w:rsidTr="00F11355">
        <w:trPr>
          <w:trHeight w:val="323"/>
        </w:trPr>
        <w:tc>
          <w:tcPr>
            <w:tcW w:w="7200" w:type="dxa"/>
            <w:shd w:val="clear" w:color="auto" w:fill="auto"/>
            <w:vAlign w:val="center"/>
          </w:tcPr>
          <w:p w14:paraId="6462CEFE" w14:textId="77777777" w:rsidR="003A7CE5" w:rsidRPr="000A1667" w:rsidRDefault="003A7CE5" w:rsidP="00F11355">
            <w:pPr>
              <w:spacing w:after="0" w:line="240" w:lineRule="auto"/>
              <w:jc w:val="center"/>
              <w:rPr>
                <w:rFonts w:ascii="Cambria" w:hAnsi="Cambria" w:cs="Calibri Light"/>
                <w:b/>
                <w:color w:val="000000" w:themeColor="text1"/>
                <w:sz w:val="18"/>
                <w:szCs w:val="18"/>
                <w:lang w:val="es-ES"/>
              </w:rPr>
            </w:pPr>
            <w:r w:rsidRPr="000A1667">
              <w:rPr>
                <w:rFonts w:ascii="Cambria" w:hAnsi="Cambria" w:cs="Calibri Light"/>
                <w:b/>
                <w:color w:val="000000" w:themeColor="text1"/>
                <w:sz w:val="18"/>
                <w:szCs w:val="18"/>
                <w:lang w:val="es-ES"/>
              </w:rPr>
              <w:t>Recomendaciones</w:t>
            </w:r>
          </w:p>
        </w:tc>
        <w:tc>
          <w:tcPr>
            <w:tcW w:w="2340" w:type="dxa"/>
            <w:shd w:val="clear" w:color="auto" w:fill="auto"/>
            <w:vAlign w:val="center"/>
          </w:tcPr>
          <w:p w14:paraId="3DABC4FC" w14:textId="7926067C" w:rsidR="003A7CE5" w:rsidRPr="000A1667" w:rsidRDefault="003A7CE5" w:rsidP="00F11355">
            <w:pPr>
              <w:spacing w:after="0" w:line="240" w:lineRule="auto"/>
              <w:jc w:val="center"/>
              <w:rPr>
                <w:rFonts w:ascii="Cambria" w:hAnsi="Cambria" w:cs="Calibri Light"/>
                <w:b/>
                <w:color w:val="000000" w:themeColor="text1"/>
                <w:sz w:val="18"/>
                <w:szCs w:val="18"/>
                <w:lang w:val="es-ES"/>
              </w:rPr>
            </w:pPr>
            <w:r w:rsidRPr="000A1667">
              <w:rPr>
                <w:rFonts w:ascii="Cambria" w:hAnsi="Cambria" w:cs="Calibri Light"/>
                <w:b/>
                <w:color w:val="000000" w:themeColor="text1"/>
                <w:sz w:val="18"/>
                <w:szCs w:val="18"/>
                <w:lang w:val="es-ES"/>
              </w:rPr>
              <w:t>Estado de cumplimiento en el 202</w:t>
            </w:r>
            <w:r w:rsidR="006F6890" w:rsidRPr="000A1667">
              <w:rPr>
                <w:rFonts w:ascii="Cambria" w:hAnsi="Cambria" w:cs="Calibri Light"/>
                <w:b/>
                <w:color w:val="000000" w:themeColor="text1"/>
                <w:sz w:val="18"/>
                <w:szCs w:val="18"/>
                <w:lang w:val="es-ES"/>
              </w:rPr>
              <w:t>1</w:t>
            </w:r>
          </w:p>
        </w:tc>
      </w:tr>
      <w:tr w:rsidR="000A1667" w:rsidRPr="000A1667" w14:paraId="6C919111" w14:textId="77777777" w:rsidTr="00F11355">
        <w:tc>
          <w:tcPr>
            <w:tcW w:w="7200" w:type="dxa"/>
            <w:vMerge w:val="restart"/>
            <w:shd w:val="clear" w:color="auto" w:fill="auto"/>
            <w:vAlign w:val="center"/>
          </w:tcPr>
          <w:p w14:paraId="7507AF89" w14:textId="77777777" w:rsidR="003A7CE5" w:rsidRPr="000A1667" w:rsidRDefault="003A7CE5" w:rsidP="00F11355">
            <w:pPr>
              <w:spacing w:after="0" w:line="240" w:lineRule="auto"/>
              <w:jc w:val="both"/>
              <w:rPr>
                <w:rFonts w:ascii="Cambria" w:hAnsi="Cambria"/>
                <w:color w:val="000000" w:themeColor="text1"/>
                <w:sz w:val="18"/>
                <w:szCs w:val="18"/>
                <w:lang w:val="es-ES"/>
              </w:rPr>
            </w:pPr>
            <w:r w:rsidRPr="000A1667">
              <w:rPr>
                <w:rFonts w:ascii="Cambria" w:hAnsi="Cambria"/>
                <w:color w:val="000000" w:themeColor="text1"/>
                <w:sz w:val="18"/>
                <w:szCs w:val="18"/>
                <w:lang w:val="es-ES"/>
              </w:rPr>
              <w:t xml:space="preserve">1. Permita a Wayne Smith y Hugo </w:t>
            </w:r>
            <w:proofErr w:type="spellStart"/>
            <w:r w:rsidRPr="000A1667">
              <w:rPr>
                <w:rFonts w:ascii="Cambria" w:hAnsi="Cambria"/>
                <w:color w:val="000000" w:themeColor="text1"/>
                <w:sz w:val="18"/>
                <w:szCs w:val="18"/>
                <w:lang w:val="es-ES"/>
              </w:rPr>
              <w:t>Armendariz</w:t>
            </w:r>
            <w:proofErr w:type="spellEnd"/>
            <w:r w:rsidRPr="000A1667">
              <w:rPr>
                <w:rFonts w:ascii="Cambria" w:hAnsi="Cambria"/>
                <w:color w:val="000000" w:themeColor="text1"/>
                <w:sz w:val="18"/>
                <w:szCs w:val="18"/>
                <w:lang w:val="es-ES"/>
              </w:rPr>
              <w:t xml:space="preserve"> regresar a los Estados Unidos a expensas del Estado.</w:t>
            </w:r>
          </w:p>
        </w:tc>
        <w:tc>
          <w:tcPr>
            <w:tcW w:w="2340" w:type="dxa"/>
            <w:shd w:val="clear" w:color="auto" w:fill="auto"/>
            <w:vAlign w:val="center"/>
          </w:tcPr>
          <w:p w14:paraId="42E60159" w14:textId="77777777" w:rsidR="003A7CE5" w:rsidRPr="000A1667" w:rsidRDefault="003A7CE5" w:rsidP="00F11355">
            <w:pPr>
              <w:spacing w:after="0" w:line="240" w:lineRule="auto"/>
              <w:jc w:val="center"/>
              <w:rPr>
                <w:rFonts w:ascii="Cambria" w:hAnsi="Cambria"/>
                <w:b/>
                <w:color w:val="000000" w:themeColor="text1"/>
                <w:sz w:val="18"/>
                <w:szCs w:val="18"/>
                <w:lang w:val="es-ES"/>
              </w:rPr>
            </w:pPr>
            <w:r w:rsidRPr="000A1667">
              <w:rPr>
                <w:rFonts w:ascii="Cambria" w:hAnsi="Cambria"/>
                <w:b/>
                <w:color w:val="000000" w:themeColor="text1"/>
                <w:sz w:val="18"/>
                <w:szCs w:val="18"/>
                <w:lang w:val="es-ES"/>
              </w:rPr>
              <w:t>Wayne Smith</w:t>
            </w:r>
            <w:r w:rsidRPr="000A1667">
              <w:rPr>
                <w:rStyle w:val="FootnoteReference"/>
                <w:rFonts w:ascii="Cambria" w:hAnsi="Cambria"/>
                <w:b/>
                <w:color w:val="000000" w:themeColor="text1"/>
                <w:sz w:val="18"/>
                <w:szCs w:val="18"/>
                <w:lang w:val="es-ES"/>
              </w:rPr>
              <w:footnoteReference w:id="1"/>
            </w:r>
          </w:p>
          <w:p w14:paraId="0CCE975D" w14:textId="77777777" w:rsidR="003A7CE5" w:rsidRPr="000A1667" w:rsidRDefault="003A7CE5" w:rsidP="00F11355">
            <w:pPr>
              <w:spacing w:after="0" w:line="240" w:lineRule="auto"/>
              <w:jc w:val="center"/>
              <w:rPr>
                <w:rFonts w:ascii="Cambria" w:hAnsi="Cambria"/>
                <w:color w:val="000000" w:themeColor="text1"/>
                <w:sz w:val="18"/>
                <w:szCs w:val="18"/>
                <w:lang w:val="es-ES"/>
              </w:rPr>
            </w:pPr>
            <w:r w:rsidRPr="000A1667">
              <w:rPr>
                <w:rFonts w:ascii="Cambria" w:hAnsi="Cambria"/>
                <w:color w:val="000000" w:themeColor="text1"/>
                <w:sz w:val="18"/>
                <w:szCs w:val="18"/>
                <w:lang w:val="es-ES"/>
              </w:rPr>
              <w:t>Incumplimiento</w:t>
            </w:r>
          </w:p>
        </w:tc>
      </w:tr>
      <w:tr w:rsidR="000A1667" w:rsidRPr="000A1667" w14:paraId="6CC2EBE7" w14:textId="77777777" w:rsidTr="00F11355">
        <w:tc>
          <w:tcPr>
            <w:tcW w:w="7200" w:type="dxa"/>
            <w:vMerge/>
            <w:shd w:val="clear" w:color="auto" w:fill="auto"/>
            <w:vAlign w:val="center"/>
          </w:tcPr>
          <w:p w14:paraId="2777218D" w14:textId="77777777" w:rsidR="003A7CE5" w:rsidRPr="000A1667" w:rsidRDefault="003A7CE5" w:rsidP="003A7CE5">
            <w:pPr>
              <w:pStyle w:val="ListParagraph"/>
              <w:numPr>
                <w:ilvl w:val="0"/>
                <w:numId w:val="16"/>
              </w:numPr>
              <w:ind w:right="720"/>
              <w:jc w:val="both"/>
              <w:rPr>
                <w:rFonts w:ascii="Cambria" w:hAnsi="Cambria"/>
                <w:color w:val="000000" w:themeColor="text1"/>
                <w:sz w:val="18"/>
                <w:szCs w:val="18"/>
                <w:lang w:val="es-ES"/>
              </w:rPr>
            </w:pPr>
          </w:p>
        </w:tc>
        <w:tc>
          <w:tcPr>
            <w:tcW w:w="2340" w:type="dxa"/>
            <w:shd w:val="clear" w:color="auto" w:fill="auto"/>
            <w:vAlign w:val="center"/>
          </w:tcPr>
          <w:p w14:paraId="204EF91D" w14:textId="77777777" w:rsidR="003A7CE5" w:rsidRPr="000A1667" w:rsidRDefault="003A7CE5" w:rsidP="00F11355">
            <w:pPr>
              <w:spacing w:after="0" w:line="240" w:lineRule="auto"/>
              <w:jc w:val="center"/>
              <w:rPr>
                <w:rFonts w:ascii="Cambria" w:hAnsi="Cambria"/>
                <w:color w:val="000000" w:themeColor="text1"/>
                <w:sz w:val="18"/>
                <w:szCs w:val="18"/>
                <w:lang w:val="es-ES"/>
              </w:rPr>
            </w:pPr>
            <w:r w:rsidRPr="000A1667">
              <w:rPr>
                <w:rFonts w:ascii="Cambria" w:hAnsi="Cambria"/>
                <w:b/>
                <w:color w:val="000000" w:themeColor="text1"/>
                <w:sz w:val="18"/>
                <w:szCs w:val="18"/>
                <w:lang w:val="es-ES"/>
              </w:rPr>
              <w:t xml:space="preserve">Hugo </w:t>
            </w:r>
            <w:proofErr w:type="spellStart"/>
            <w:r w:rsidRPr="000A1667">
              <w:rPr>
                <w:rFonts w:ascii="Cambria" w:hAnsi="Cambria"/>
                <w:b/>
                <w:color w:val="000000" w:themeColor="text1"/>
                <w:sz w:val="18"/>
                <w:szCs w:val="18"/>
                <w:lang w:val="es-ES"/>
              </w:rPr>
              <w:t>Armendariz</w:t>
            </w:r>
            <w:proofErr w:type="spellEnd"/>
          </w:p>
          <w:p w14:paraId="10B78DAD" w14:textId="77777777" w:rsidR="003A7CE5" w:rsidRPr="000A1667" w:rsidRDefault="003A7CE5" w:rsidP="00F11355">
            <w:pPr>
              <w:spacing w:after="0" w:line="240" w:lineRule="auto"/>
              <w:jc w:val="center"/>
              <w:rPr>
                <w:rFonts w:ascii="Cambria" w:hAnsi="Cambria" w:cs="Calibri Light"/>
                <w:color w:val="000000" w:themeColor="text1"/>
                <w:sz w:val="18"/>
                <w:szCs w:val="18"/>
                <w:lang w:val="es-ES"/>
              </w:rPr>
            </w:pPr>
            <w:r w:rsidRPr="000A1667">
              <w:rPr>
                <w:rFonts w:ascii="Cambria" w:hAnsi="Cambria"/>
                <w:color w:val="000000" w:themeColor="text1"/>
                <w:sz w:val="18"/>
                <w:szCs w:val="18"/>
                <w:lang w:val="es-ES"/>
              </w:rPr>
              <w:t>Pendiente de cumplimiento</w:t>
            </w:r>
          </w:p>
        </w:tc>
      </w:tr>
      <w:tr w:rsidR="000A1667" w:rsidRPr="000A1667" w14:paraId="351597C1" w14:textId="77777777" w:rsidTr="00F11355">
        <w:tc>
          <w:tcPr>
            <w:tcW w:w="7200" w:type="dxa"/>
            <w:vMerge w:val="restart"/>
            <w:shd w:val="clear" w:color="auto" w:fill="auto"/>
            <w:vAlign w:val="center"/>
          </w:tcPr>
          <w:p w14:paraId="0CE0F6C1" w14:textId="77777777" w:rsidR="003A7CE5" w:rsidRPr="000A1667" w:rsidRDefault="003A7CE5" w:rsidP="00F11355">
            <w:pPr>
              <w:spacing w:after="0" w:line="240" w:lineRule="auto"/>
              <w:jc w:val="both"/>
              <w:rPr>
                <w:rFonts w:ascii="Cambria" w:hAnsi="Cambria"/>
                <w:color w:val="000000" w:themeColor="text1"/>
                <w:sz w:val="18"/>
                <w:szCs w:val="18"/>
                <w:lang w:val="es-ES"/>
              </w:rPr>
            </w:pPr>
            <w:r w:rsidRPr="000A1667">
              <w:rPr>
                <w:rFonts w:ascii="Cambria" w:hAnsi="Cambria"/>
                <w:color w:val="000000" w:themeColor="text1"/>
                <w:sz w:val="18"/>
                <w:szCs w:val="18"/>
                <w:lang w:val="es-ES"/>
              </w:rPr>
              <w:t>2. Reabra los procedimientos de inmigración respectivos, de los señores Wayne Smith y Hugo Armendáriz, y les permita presentar defensas por razones humanitarias con respecto a su expulsión de los Estados Unidos.</w:t>
            </w:r>
          </w:p>
        </w:tc>
        <w:tc>
          <w:tcPr>
            <w:tcW w:w="2340" w:type="dxa"/>
            <w:shd w:val="clear" w:color="auto" w:fill="auto"/>
            <w:vAlign w:val="center"/>
          </w:tcPr>
          <w:p w14:paraId="2D670B14" w14:textId="77777777" w:rsidR="003A7CE5" w:rsidRPr="000A1667" w:rsidRDefault="003A7CE5" w:rsidP="00F11355">
            <w:pPr>
              <w:spacing w:after="0" w:line="240" w:lineRule="auto"/>
              <w:jc w:val="center"/>
              <w:rPr>
                <w:rFonts w:ascii="Cambria" w:hAnsi="Cambria"/>
                <w:b/>
                <w:color w:val="000000" w:themeColor="text1"/>
                <w:sz w:val="18"/>
                <w:szCs w:val="18"/>
                <w:lang w:val="es-ES"/>
              </w:rPr>
            </w:pPr>
            <w:r w:rsidRPr="000A1667">
              <w:rPr>
                <w:rFonts w:ascii="Cambria" w:hAnsi="Cambria"/>
                <w:b/>
                <w:color w:val="000000" w:themeColor="text1"/>
                <w:sz w:val="18"/>
                <w:szCs w:val="18"/>
                <w:lang w:val="es-ES"/>
              </w:rPr>
              <w:t>Wayne Smith</w:t>
            </w:r>
          </w:p>
          <w:p w14:paraId="6520C43F" w14:textId="77777777" w:rsidR="003A7CE5" w:rsidRPr="000A1667" w:rsidRDefault="003A7CE5" w:rsidP="00F11355">
            <w:pPr>
              <w:spacing w:after="0" w:line="240" w:lineRule="auto"/>
              <w:jc w:val="center"/>
              <w:rPr>
                <w:rFonts w:ascii="Cambria" w:hAnsi="Cambria"/>
                <w:color w:val="000000" w:themeColor="text1"/>
                <w:sz w:val="18"/>
                <w:szCs w:val="18"/>
                <w:lang w:val="es-ES"/>
              </w:rPr>
            </w:pPr>
            <w:r w:rsidRPr="000A1667">
              <w:rPr>
                <w:rFonts w:ascii="Cambria" w:hAnsi="Cambria"/>
                <w:color w:val="000000" w:themeColor="text1"/>
                <w:sz w:val="18"/>
                <w:szCs w:val="18"/>
                <w:lang w:val="es-ES"/>
              </w:rPr>
              <w:t>Incumplimiento</w:t>
            </w:r>
            <w:r w:rsidRPr="000A1667">
              <w:rPr>
                <w:rStyle w:val="FootnoteReference"/>
                <w:rFonts w:ascii="Cambria" w:hAnsi="Cambria"/>
                <w:color w:val="000000" w:themeColor="text1"/>
                <w:sz w:val="18"/>
                <w:szCs w:val="18"/>
                <w:lang w:val="es-ES"/>
              </w:rPr>
              <w:footnoteReference w:id="2"/>
            </w:r>
          </w:p>
        </w:tc>
      </w:tr>
      <w:tr w:rsidR="000A1667" w:rsidRPr="000A1667" w14:paraId="66F697F1" w14:textId="77777777" w:rsidTr="00F11355">
        <w:trPr>
          <w:trHeight w:val="89"/>
        </w:trPr>
        <w:tc>
          <w:tcPr>
            <w:tcW w:w="7200" w:type="dxa"/>
            <w:vMerge/>
            <w:shd w:val="clear" w:color="auto" w:fill="auto"/>
            <w:vAlign w:val="center"/>
          </w:tcPr>
          <w:p w14:paraId="186B8C0D" w14:textId="77777777" w:rsidR="003A7CE5" w:rsidRPr="000A1667" w:rsidRDefault="003A7CE5" w:rsidP="003A7CE5">
            <w:pPr>
              <w:pStyle w:val="ListParagraph"/>
              <w:numPr>
                <w:ilvl w:val="0"/>
                <w:numId w:val="16"/>
              </w:numPr>
              <w:ind w:right="720"/>
              <w:jc w:val="both"/>
              <w:rPr>
                <w:rFonts w:ascii="Cambria" w:hAnsi="Cambria"/>
                <w:color w:val="000000" w:themeColor="text1"/>
                <w:sz w:val="18"/>
                <w:szCs w:val="18"/>
                <w:lang w:val="es-ES"/>
              </w:rPr>
            </w:pPr>
          </w:p>
        </w:tc>
        <w:tc>
          <w:tcPr>
            <w:tcW w:w="2340" w:type="dxa"/>
            <w:shd w:val="clear" w:color="auto" w:fill="auto"/>
            <w:vAlign w:val="center"/>
          </w:tcPr>
          <w:p w14:paraId="70E88664" w14:textId="77777777" w:rsidR="003A7CE5" w:rsidRPr="000A1667" w:rsidRDefault="003A7CE5" w:rsidP="00F11355">
            <w:pPr>
              <w:spacing w:after="0" w:line="240" w:lineRule="auto"/>
              <w:jc w:val="center"/>
              <w:rPr>
                <w:rFonts w:ascii="Cambria" w:hAnsi="Cambria"/>
                <w:b/>
                <w:color w:val="000000" w:themeColor="text1"/>
                <w:sz w:val="18"/>
                <w:szCs w:val="18"/>
                <w:lang w:val="es-ES"/>
              </w:rPr>
            </w:pPr>
            <w:r w:rsidRPr="000A1667">
              <w:rPr>
                <w:rFonts w:ascii="Cambria" w:hAnsi="Cambria"/>
                <w:b/>
                <w:color w:val="000000" w:themeColor="text1"/>
                <w:sz w:val="18"/>
                <w:szCs w:val="18"/>
                <w:lang w:val="es-ES"/>
              </w:rPr>
              <w:t xml:space="preserve">Hugo </w:t>
            </w:r>
            <w:proofErr w:type="spellStart"/>
            <w:r w:rsidRPr="000A1667">
              <w:rPr>
                <w:rFonts w:ascii="Cambria" w:hAnsi="Cambria"/>
                <w:b/>
                <w:color w:val="000000" w:themeColor="text1"/>
                <w:sz w:val="18"/>
                <w:szCs w:val="18"/>
                <w:lang w:val="es-ES"/>
              </w:rPr>
              <w:t>Armendariz</w:t>
            </w:r>
            <w:proofErr w:type="spellEnd"/>
          </w:p>
          <w:p w14:paraId="2378A8F6" w14:textId="77777777" w:rsidR="003A7CE5" w:rsidRPr="000A1667" w:rsidRDefault="003A7CE5" w:rsidP="00F11355">
            <w:pPr>
              <w:spacing w:after="0" w:line="240" w:lineRule="auto"/>
              <w:jc w:val="center"/>
              <w:rPr>
                <w:rFonts w:ascii="Cambria" w:hAnsi="Cambria"/>
                <w:b/>
                <w:color w:val="000000" w:themeColor="text1"/>
                <w:sz w:val="18"/>
                <w:szCs w:val="18"/>
                <w:lang w:val="es-ES"/>
              </w:rPr>
            </w:pPr>
            <w:r w:rsidRPr="000A1667">
              <w:rPr>
                <w:rFonts w:ascii="Cambria" w:hAnsi="Cambria"/>
                <w:color w:val="000000" w:themeColor="text1"/>
                <w:sz w:val="18"/>
                <w:szCs w:val="18"/>
                <w:lang w:val="es-ES"/>
              </w:rPr>
              <w:t>Pendiente de cumplimiento</w:t>
            </w:r>
          </w:p>
        </w:tc>
      </w:tr>
      <w:tr w:rsidR="000A1667" w:rsidRPr="000A1667" w14:paraId="5E9BE69D" w14:textId="77777777" w:rsidTr="00F11355">
        <w:tc>
          <w:tcPr>
            <w:tcW w:w="7200" w:type="dxa"/>
            <w:vMerge w:val="restart"/>
            <w:shd w:val="clear" w:color="auto" w:fill="auto"/>
            <w:vAlign w:val="center"/>
          </w:tcPr>
          <w:p w14:paraId="1D2FE9B2" w14:textId="77777777" w:rsidR="003A7CE5" w:rsidRPr="000A1667" w:rsidRDefault="003A7CE5" w:rsidP="00F11355">
            <w:pPr>
              <w:spacing w:after="0" w:line="240" w:lineRule="auto"/>
              <w:jc w:val="both"/>
              <w:rPr>
                <w:rFonts w:ascii="Cambria" w:hAnsi="Cambria"/>
                <w:color w:val="000000" w:themeColor="text1"/>
                <w:sz w:val="18"/>
                <w:szCs w:val="18"/>
                <w:lang w:val="es-ES"/>
              </w:rPr>
            </w:pPr>
            <w:r w:rsidRPr="000A1667">
              <w:rPr>
                <w:rFonts w:ascii="Cambria" w:hAnsi="Cambria"/>
                <w:color w:val="000000" w:themeColor="text1"/>
                <w:sz w:val="18"/>
                <w:szCs w:val="18"/>
                <w:lang w:val="es-ES"/>
              </w:rPr>
              <w:t xml:space="preserve">3. Permita que un juez de inmigración competente e independiente aplique una prueba de equilibrio a los casos individuales de Wayne Smith y Hugo </w:t>
            </w:r>
            <w:proofErr w:type="spellStart"/>
            <w:r w:rsidRPr="000A1667">
              <w:rPr>
                <w:rFonts w:ascii="Cambria" w:hAnsi="Cambria"/>
                <w:color w:val="000000" w:themeColor="text1"/>
                <w:sz w:val="18"/>
                <w:szCs w:val="18"/>
                <w:lang w:val="es-ES"/>
              </w:rPr>
              <w:t>Armendariz</w:t>
            </w:r>
            <w:proofErr w:type="spellEnd"/>
            <w:r w:rsidRPr="000A1667">
              <w:rPr>
                <w:rFonts w:ascii="Cambria" w:hAnsi="Cambria"/>
                <w:color w:val="000000" w:themeColor="text1"/>
                <w:sz w:val="18"/>
                <w:szCs w:val="18"/>
                <w:lang w:val="es-ES"/>
              </w:rPr>
              <w:t>, que considere debidamente sus defensas por razones humanitarias y pueda proveer una reparación significativa.</w:t>
            </w:r>
          </w:p>
        </w:tc>
        <w:tc>
          <w:tcPr>
            <w:tcW w:w="2340" w:type="dxa"/>
            <w:shd w:val="clear" w:color="auto" w:fill="auto"/>
            <w:vAlign w:val="center"/>
          </w:tcPr>
          <w:p w14:paraId="52250FC7" w14:textId="77777777" w:rsidR="003A7CE5" w:rsidRPr="000A1667" w:rsidRDefault="003A7CE5" w:rsidP="00F11355">
            <w:pPr>
              <w:spacing w:after="0" w:line="240" w:lineRule="auto"/>
              <w:jc w:val="center"/>
              <w:rPr>
                <w:rFonts w:ascii="Cambria" w:hAnsi="Cambria"/>
                <w:b/>
                <w:color w:val="000000" w:themeColor="text1"/>
                <w:sz w:val="18"/>
                <w:szCs w:val="18"/>
                <w:lang w:val="es-ES"/>
              </w:rPr>
            </w:pPr>
            <w:r w:rsidRPr="000A1667">
              <w:rPr>
                <w:rFonts w:ascii="Cambria" w:hAnsi="Cambria"/>
                <w:b/>
                <w:color w:val="000000" w:themeColor="text1"/>
                <w:sz w:val="18"/>
                <w:szCs w:val="18"/>
                <w:lang w:val="es-ES"/>
              </w:rPr>
              <w:t>Wayne Smith</w:t>
            </w:r>
          </w:p>
          <w:p w14:paraId="72DB3562" w14:textId="77777777" w:rsidR="003A7CE5" w:rsidRPr="000A1667" w:rsidRDefault="003A7CE5" w:rsidP="00F11355">
            <w:pPr>
              <w:spacing w:after="0" w:line="240" w:lineRule="auto"/>
              <w:jc w:val="center"/>
              <w:rPr>
                <w:rFonts w:ascii="Cambria" w:hAnsi="Cambria"/>
                <w:color w:val="000000" w:themeColor="text1"/>
                <w:sz w:val="18"/>
                <w:szCs w:val="18"/>
                <w:lang w:val="es-ES"/>
              </w:rPr>
            </w:pPr>
            <w:r w:rsidRPr="000A1667">
              <w:rPr>
                <w:rFonts w:ascii="Cambria" w:hAnsi="Cambria"/>
                <w:color w:val="000000" w:themeColor="text1"/>
                <w:sz w:val="18"/>
                <w:szCs w:val="18"/>
                <w:lang w:val="es-ES"/>
              </w:rPr>
              <w:lastRenderedPageBreak/>
              <w:t>Incumplimiento</w:t>
            </w:r>
            <w:r w:rsidRPr="000A1667">
              <w:rPr>
                <w:rStyle w:val="FootnoteReference"/>
                <w:rFonts w:ascii="Cambria" w:hAnsi="Cambria"/>
                <w:color w:val="000000" w:themeColor="text1"/>
                <w:sz w:val="18"/>
                <w:szCs w:val="18"/>
                <w:lang w:val="es-ES"/>
              </w:rPr>
              <w:footnoteReference w:id="3"/>
            </w:r>
          </w:p>
        </w:tc>
      </w:tr>
      <w:tr w:rsidR="000A1667" w:rsidRPr="000A1667" w14:paraId="6A20AEE5" w14:textId="77777777" w:rsidTr="00F11355">
        <w:tc>
          <w:tcPr>
            <w:tcW w:w="7200" w:type="dxa"/>
            <w:vMerge/>
            <w:shd w:val="clear" w:color="auto" w:fill="auto"/>
            <w:vAlign w:val="center"/>
          </w:tcPr>
          <w:p w14:paraId="1DEAF22C" w14:textId="77777777" w:rsidR="003A7CE5" w:rsidRPr="000A1667" w:rsidRDefault="003A7CE5" w:rsidP="003A7CE5">
            <w:pPr>
              <w:pStyle w:val="ListParagraph"/>
              <w:numPr>
                <w:ilvl w:val="0"/>
                <w:numId w:val="16"/>
              </w:numPr>
              <w:ind w:right="720"/>
              <w:jc w:val="both"/>
              <w:rPr>
                <w:rFonts w:ascii="Cambria" w:hAnsi="Cambria"/>
                <w:color w:val="000000" w:themeColor="text1"/>
                <w:sz w:val="18"/>
                <w:szCs w:val="18"/>
                <w:lang w:val="es-ES"/>
              </w:rPr>
            </w:pPr>
          </w:p>
        </w:tc>
        <w:tc>
          <w:tcPr>
            <w:tcW w:w="2340" w:type="dxa"/>
            <w:shd w:val="clear" w:color="auto" w:fill="auto"/>
            <w:vAlign w:val="center"/>
          </w:tcPr>
          <w:p w14:paraId="5959535B" w14:textId="77777777" w:rsidR="003A7CE5" w:rsidRPr="000A1667" w:rsidRDefault="003A7CE5" w:rsidP="00F11355">
            <w:pPr>
              <w:spacing w:after="0" w:line="240" w:lineRule="auto"/>
              <w:jc w:val="center"/>
              <w:rPr>
                <w:rFonts w:ascii="Cambria" w:hAnsi="Cambria"/>
                <w:b/>
                <w:color w:val="000000" w:themeColor="text1"/>
                <w:sz w:val="18"/>
                <w:szCs w:val="18"/>
                <w:lang w:val="es-ES"/>
              </w:rPr>
            </w:pPr>
            <w:r w:rsidRPr="000A1667">
              <w:rPr>
                <w:rFonts w:ascii="Cambria" w:hAnsi="Cambria"/>
                <w:b/>
                <w:color w:val="000000" w:themeColor="text1"/>
                <w:sz w:val="18"/>
                <w:szCs w:val="18"/>
                <w:lang w:val="es-ES"/>
              </w:rPr>
              <w:t xml:space="preserve">Hugo </w:t>
            </w:r>
            <w:proofErr w:type="spellStart"/>
            <w:r w:rsidRPr="000A1667">
              <w:rPr>
                <w:rFonts w:ascii="Cambria" w:hAnsi="Cambria"/>
                <w:b/>
                <w:color w:val="000000" w:themeColor="text1"/>
                <w:sz w:val="18"/>
                <w:szCs w:val="18"/>
                <w:lang w:val="es-ES"/>
              </w:rPr>
              <w:t>Armendariz</w:t>
            </w:r>
            <w:proofErr w:type="spellEnd"/>
          </w:p>
          <w:p w14:paraId="52DFADF0" w14:textId="77777777" w:rsidR="003A7CE5" w:rsidRPr="000A1667" w:rsidRDefault="003A7CE5" w:rsidP="00F11355">
            <w:pPr>
              <w:spacing w:after="0" w:line="240" w:lineRule="auto"/>
              <w:jc w:val="center"/>
              <w:rPr>
                <w:rFonts w:ascii="Cambria" w:hAnsi="Cambria"/>
                <w:b/>
                <w:color w:val="000000" w:themeColor="text1"/>
                <w:sz w:val="18"/>
                <w:szCs w:val="18"/>
                <w:lang w:val="es-ES"/>
              </w:rPr>
            </w:pPr>
            <w:r w:rsidRPr="000A1667">
              <w:rPr>
                <w:rFonts w:ascii="Cambria" w:hAnsi="Cambria"/>
                <w:color w:val="000000" w:themeColor="text1"/>
                <w:sz w:val="18"/>
                <w:szCs w:val="18"/>
                <w:lang w:val="es-ES"/>
              </w:rPr>
              <w:t>Pendiente de cumplimiento</w:t>
            </w:r>
          </w:p>
        </w:tc>
      </w:tr>
      <w:tr w:rsidR="003A7CE5" w:rsidRPr="000A1667" w14:paraId="3BCB62EB" w14:textId="77777777" w:rsidTr="00F11355">
        <w:tc>
          <w:tcPr>
            <w:tcW w:w="7200" w:type="dxa"/>
            <w:shd w:val="clear" w:color="auto" w:fill="auto"/>
            <w:vAlign w:val="center"/>
          </w:tcPr>
          <w:p w14:paraId="02E277D0" w14:textId="77777777" w:rsidR="003A7CE5" w:rsidRPr="000A1667" w:rsidRDefault="003A7CE5" w:rsidP="00F11355">
            <w:pPr>
              <w:spacing w:after="0" w:line="240" w:lineRule="auto"/>
              <w:jc w:val="both"/>
              <w:rPr>
                <w:rFonts w:ascii="Cambria" w:hAnsi="Cambria"/>
                <w:color w:val="000000" w:themeColor="text1"/>
                <w:sz w:val="18"/>
                <w:szCs w:val="18"/>
                <w:lang w:val="es-ES"/>
              </w:rPr>
            </w:pPr>
            <w:r w:rsidRPr="000A1667">
              <w:rPr>
                <w:rFonts w:ascii="Cambria" w:hAnsi="Cambria"/>
                <w:color w:val="000000" w:themeColor="text1"/>
                <w:sz w:val="18"/>
                <w:szCs w:val="18"/>
                <w:lang w:val="es-ES"/>
              </w:rPr>
              <w:t>4. Implemente leyes para asegurar que los derechos a la vida familiar de los residentes no ciudadanos bajo los artículos V, VI, y VII de la Declaración Americana, están debidamente protegidos y gozan del debido proceso en los procedimientos de inmigración que tratan sobre expulsión.</w:t>
            </w:r>
          </w:p>
        </w:tc>
        <w:tc>
          <w:tcPr>
            <w:tcW w:w="2340" w:type="dxa"/>
            <w:shd w:val="clear" w:color="auto" w:fill="auto"/>
            <w:vAlign w:val="center"/>
          </w:tcPr>
          <w:p w14:paraId="451B1A43" w14:textId="71FEA562" w:rsidR="003A7CE5" w:rsidRPr="000A1667" w:rsidRDefault="00A95306" w:rsidP="00F11355">
            <w:pPr>
              <w:spacing w:after="0" w:line="240" w:lineRule="auto"/>
              <w:jc w:val="center"/>
              <w:rPr>
                <w:rFonts w:ascii="Cambria" w:hAnsi="Cambria"/>
                <w:bCs/>
                <w:color w:val="000000" w:themeColor="text1"/>
                <w:sz w:val="18"/>
                <w:szCs w:val="18"/>
                <w:lang w:val="es-ES"/>
              </w:rPr>
            </w:pPr>
            <w:r w:rsidRPr="000A1667">
              <w:rPr>
                <w:rFonts w:ascii="Cambria" w:hAnsi="Cambria"/>
                <w:bCs/>
                <w:color w:val="000000" w:themeColor="text1"/>
                <w:sz w:val="18"/>
                <w:szCs w:val="18"/>
                <w:lang w:val="es-ES"/>
              </w:rPr>
              <w:t>Cumplimiento parcial</w:t>
            </w:r>
          </w:p>
        </w:tc>
      </w:tr>
    </w:tbl>
    <w:p w14:paraId="049EB568" w14:textId="77777777" w:rsidR="003A7CE5" w:rsidRPr="000A1667" w:rsidRDefault="003A7CE5" w:rsidP="003A7CE5">
      <w:pPr>
        <w:pStyle w:val="ListParagraph"/>
        <w:ind w:left="1440"/>
        <w:jc w:val="both"/>
        <w:rPr>
          <w:rFonts w:ascii="Cambria" w:hAnsi="Cambria" w:cs="Calibri Light"/>
          <w:b/>
          <w:color w:val="000000" w:themeColor="text1"/>
          <w:sz w:val="20"/>
          <w:szCs w:val="20"/>
          <w:lang w:val="es-ES"/>
        </w:rPr>
      </w:pPr>
    </w:p>
    <w:p w14:paraId="57A1F6B3" w14:textId="77777777" w:rsidR="003A7CE5" w:rsidRPr="000A1667" w:rsidRDefault="003A7CE5" w:rsidP="003A7CE5">
      <w:pPr>
        <w:pStyle w:val="ListParagraph"/>
        <w:numPr>
          <w:ilvl w:val="0"/>
          <w:numId w:val="14"/>
        </w:numPr>
        <w:ind w:left="1440"/>
        <w:jc w:val="both"/>
        <w:rPr>
          <w:rFonts w:ascii="Cambria" w:hAnsi="Cambria" w:cs="Calibri Light"/>
          <w:b/>
          <w:color w:val="000000" w:themeColor="text1"/>
          <w:sz w:val="20"/>
          <w:szCs w:val="20"/>
          <w:lang w:val="es-ES"/>
        </w:rPr>
      </w:pPr>
      <w:r w:rsidRPr="000A1667">
        <w:rPr>
          <w:rFonts w:ascii="Cambria" w:hAnsi="Cambria"/>
          <w:b/>
          <w:color w:val="000000" w:themeColor="text1"/>
          <w:sz w:val="20"/>
          <w:szCs w:val="20"/>
          <w:lang w:val="es-ES"/>
        </w:rPr>
        <w:t xml:space="preserve">Actividad Procesal </w:t>
      </w:r>
    </w:p>
    <w:p w14:paraId="7B821966" w14:textId="77777777" w:rsidR="003A7CE5" w:rsidRPr="000A1667" w:rsidRDefault="003A7CE5" w:rsidP="003A7CE5">
      <w:pPr>
        <w:spacing w:after="0" w:line="240" w:lineRule="auto"/>
        <w:jc w:val="both"/>
        <w:rPr>
          <w:rFonts w:ascii="Cambria" w:hAnsi="Cambria" w:cs="Calibri Light"/>
          <w:color w:val="000000" w:themeColor="text1"/>
          <w:sz w:val="20"/>
          <w:szCs w:val="20"/>
          <w:lang w:val="es-ES"/>
        </w:rPr>
      </w:pPr>
    </w:p>
    <w:p w14:paraId="6CE902ED" w14:textId="77777777" w:rsidR="00ED786B" w:rsidRPr="000A1667" w:rsidRDefault="003A7CE5" w:rsidP="00ED786B">
      <w:pPr>
        <w:pStyle w:val="ListParagraph"/>
        <w:numPr>
          <w:ilvl w:val="0"/>
          <w:numId w:val="13"/>
        </w:numPr>
        <w:jc w:val="both"/>
        <w:rPr>
          <w:rFonts w:ascii="Cambria" w:hAnsi="Cambria" w:cs="Calibri Light"/>
          <w:color w:val="000000" w:themeColor="text1"/>
          <w:sz w:val="20"/>
          <w:szCs w:val="20"/>
          <w:lang w:val="es-ES"/>
        </w:rPr>
      </w:pPr>
      <w:r w:rsidRPr="000A1667">
        <w:rPr>
          <w:rFonts w:ascii="Cambria" w:hAnsi="Cambria" w:cs="Calibri Light"/>
          <w:color w:val="000000" w:themeColor="text1"/>
          <w:sz w:val="20"/>
          <w:szCs w:val="20"/>
          <w:lang w:val="es-ES"/>
        </w:rPr>
        <w:t>El 26 de marzo de 2011, la CIDH llevó a cabo una reunión de trabajo con ambas partes durante su 141</w:t>
      </w:r>
      <w:r w:rsidRPr="000A1667">
        <w:rPr>
          <w:rFonts w:ascii="Cambria" w:hAnsi="Cambria" w:cs="Cambria"/>
          <w:color w:val="000000" w:themeColor="text1"/>
          <w:sz w:val="20"/>
          <w:szCs w:val="20"/>
          <w:lang w:val="es-ES"/>
        </w:rPr>
        <w:t>º</w:t>
      </w:r>
      <w:r w:rsidRPr="000A1667">
        <w:rPr>
          <w:rFonts w:ascii="Cambria" w:hAnsi="Cambria" w:cs="Calibri Light"/>
          <w:color w:val="000000" w:themeColor="text1"/>
          <w:sz w:val="20"/>
          <w:szCs w:val="20"/>
          <w:vertAlign w:val="superscript"/>
          <w:lang w:val="es-ES"/>
        </w:rPr>
        <w:t xml:space="preserve"> </w:t>
      </w:r>
      <w:r w:rsidRPr="000A1667">
        <w:rPr>
          <w:rFonts w:ascii="Cambria" w:hAnsi="Cambria" w:cs="Calibri Light"/>
          <w:color w:val="000000" w:themeColor="text1"/>
          <w:sz w:val="20"/>
          <w:szCs w:val="20"/>
          <w:lang w:val="es-ES"/>
        </w:rPr>
        <w:t xml:space="preserve">Periodo of Sesiones sobre el seguimiento a las recomendaciones formuladas en el Informe de Fondo </w:t>
      </w:r>
      <w:r w:rsidRPr="000A1667">
        <w:rPr>
          <w:rFonts w:ascii="Cambria" w:hAnsi="Cambria" w:cs="Cambria"/>
          <w:color w:val="000000" w:themeColor="text1"/>
          <w:sz w:val="20"/>
          <w:szCs w:val="20"/>
          <w:lang w:val="es-ES"/>
        </w:rPr>
        <w:t>Nº</w:t>
      </w:r>
      <w:r w:rsidRPr="000A1667">
        <w:rPr>
          <w:rFonts w:ascii="Cambria" w:hAnsi="Cambria" w:cs="Calibri Light"/>
          <w:color w:val="000000" w:themeColor="text1"/>
          <w:sz w:val="20"/>
          <w:szCs w:val="20"/>
          <w:lang w:val="es-ES"/>
        </w:rPr>
        <w:t xml:space="preserve"> 81/10.</w:t>
      </w:r>
    </w:p>
    <w:p w14:paraId="5CFDAB7A" w14:textId="75BA4147" w:rsidR="00ED786B" w:rsidRPr="000A1667" w:rsidRDefault="006F6890" w:rsidP="00ED786B">
      <w:pPr>
        <w:pStyle w:val="ListParagraph"/>
        <w:numPr>
          <w:ilvl w:val="0"/>
          <w:numId w:val="13"/>
        </w:numPr>
        <w:jc w:val="both"/>
        <w:rPr>
          <w:rFonts w:ascii="Cambria" w:hAnsi="Cambria" w:cs="Calibri Light"/>
          <w:color w:val="000000" w:themeColor="text1"/>
          <w:sz w:val="20"/>
          <w:szCs w:val="20"/>
          <w:lang w:val="es-ES"/>
        </w:rPr>
      </w:pPr>
      <w:r w:rsidRPr="000A1667">
        <w:rPr>
          <w:rFonts w:ascii="Cambria" w:hAnsi="Cambria" w:cs="Calibri Light"/>
          <w:color w:val="000000" w:themeColor="text1"/>
          <w:sz w:val="20"/>
          <w:szCs w:val="20"/>
          <w:lang w:val="es-ES"/>
        </w:rPr>
        <w:t xml:space="preserve">En 2021, la CIDH solicitó al Estado información actualizada sobre el cumplimiento de recomendaciones el 23 de agosto. </w:t>
      </w:r>
      <w:r w:rsidR="00ED786B" w:rsidRPr="000A1667">
        <w:rPr>
          <w:rFonts w:ascii="Cambria" w:hAnsi="Cambria" w:cs="Calibri Light"/>
          <w:color w:val="000000" w:themeColor="text1"/>
          <w:sz w:val="20"/>
          <w:szCs w:val="20"/>
          <w:lang w:val="es-ES"/>
        </w:rPr>
        <w:t xml:space="preserve">El Estado </w:t>
      </w:r>
      <w:r w:rsidR="00ED786B" w:rsidRPr="000A1667">
        <w:rPr>
          <w:rFonts w:ascii="Cambria" w:hAnsi="Cambria"/>
          <w:color w:val="000000" w:themeColor="text1"/>
          <w:sz w:val="20"/>
          <w:szCs w:val="20"/>
          <w:lang w:val="es-ES"/>
        </w:rPr>
        <w:t xml:space="preserve">presentó dicha información el 17 de noviembre de 2021.  </w:t>
      </w:r>
    </w:p>
    <w:p w14:paraId="6881B586" w14:textId="77777777" w:rsidR="003A7CE5" w:rsidRPr="000A1667" w:rsidRDefault="003A7CE5" w:rsidP="003A7CE5">
      <w:pPr>
        <w:pStyle w:val="ListParagraph"/>
        <w:jc w:val="both"/>
        <w:rPr>
          <w:rFonts w:ascii="Cambria" w:hAnsi="Cambria" w:cs="Calibri Light"/>
          <w:color w:val="000000" w:themeColor="text1"/>
          <w:sz w:val="20"/>
          <w:szCs w:val="20"/>
          <w:lang w:val="es-ES"/>
        </w:rPr>
      </w:pPr>
    </w:p>
    <w:p w14:paraId="531DC060" w14:textId="031926D9" w:rsidR="003A7CE5" w:rsidRPr="000A1667" w:rsidRDefault="006F6890" w:rsidP="003A7CE5">
      <w:pPr>
        <w:pStyle w:val="ListParagraph"/>
        <w:numPr>
          <w:ilvl w:val="0"/>
          <w:numId w:val="13"/>
        </w:numPr>
        <w:jc w:val="both"/>
        <w:rPr>
          <w:rFonts w:ascii="Cambria" w:hAnsi="Cambria" w:cs="Calibri Light"/>
          <w:color w:val="000000" w:themeColor="text1"/>
          <w:sz w:val="20"/>
          <w:szCs w:val="20"/>
          <w:lang w:val="es-ES"/>
        </w:rPr>
      </w:pPr>
      <w:r w:rsidRPr="000A1667">
        <w:rPr>
          <w:rFonts w:ascii="Cambria" w:hAnsi="Cambria" w:cs="Calibri Light"/>
          <w:color w:val="000000" w:themeColor="text1"/>
          <w:sz w:val="20"/>
          <w:szCs w:val="20"/>
          <w:lang w:val="es-ES"/>
        </w:rPr>
        <w:t xml:space="preserve">La CIDH </w:t>
      </w:r>
      <w:r w:rsidRPr="000A1667">
        <w:rPr>
          <w:rFonts w:ascii="Cambria" w:hAnsi="Cambria"/>
          <w:color w:val="000000" w:themeColor="text1"/>
          <w:sz w:val="20"/>
          <w:szCs w:val="20"/>
          <w:lang w:val="es-ES"/>
        </w:rPr>
        <w:t xml:space="preserve">solicitó información actualizada al peticionario sobre el cumplimiento el 23 de agosto de 2021. </w:t>
      </w:r>
      <w:r w:rsidR="003A7CE5" w:rsidRPr="000A1667">
        <w:rPr>
          <w:rFonts w:ascii="Cambria" w:hAnsi="Cambria"/>
          <w:color w:val="000000" w:themeColor="text1"/>
          <w:sz w:val="20"/>
          <w:szCs w:val="20"/>
          <w:lang w:val="es-ES"/>
        </w:rPr>
        <w:t>Los peticionarios presentaron dicha información el 28 de septiembre.</w:t>
      </w:r>
    </w:p>
    <w:p w14:paraId="376A15E4" w14:textId="77777777" w:rsidR="003A7CE5" w:rsidRPr="000A1667" w:rsidRDefault="003A7CE5" w:rsidP="003A7CE5">
      <w:pPr>
        <w:spacing w:after="0" w:line="240" w:lineRule="auto"/>
        <w:jc w:val="both"/>
        <w:rPr>
          <w:rFonts w:ascii="Cambria" w:hAnsi="Cambria" w:cs="Calibri Light"/>
          <w:color w:val="000000" w:themeColor="text1"/>
          <w:sz w:val="20"/>
          <w:szCs w:val="20"/>
          <w:lang w:val="es-ES"/>
        </w:rPr>
      </w:pPr>
    </w:p>
    <w:p w14:paraId="7BD69EB2" w14:textId="77777777" w:rsidR="003A7CE5" w:rsidRPr="000A1667" w:rsidRDefault="003A7CE5" w:rsidP="003A7CE5">
      <w:pPr>
        <w:pStyle w:val="ListParagraph"/>
        <w:numPr>
          <w:ilvl w:val="0"/>
          <w:numId w:val="14"/>
        </w:numPr>
        <w:ind w:left="1440"/>
        <w:jc w:val="both"/>
        <w:rPr>
          <w:rFonts w:ascii="Cambria" w:hAnsi="Cambria" w:cs="Calibri Light"/>
          <w:b/>
          <w:color w:val="000000" w:themeColor="text1"/>
          <w:sz w:val="20"/>
          <w:szCs w:val="20"/>
          <w:lang w:val="es-ES"/>
        </w:rPr>
      </w:pPr>
      <w:r w:rsidRPr="000A1667">
        <w:rPr>
          <w:rFonts w:ascii="Cambria" w:hAnsi="Cambria" w:cs="Calibri Light"/>
          <w:b/>
          <w:color w:val="000000" w:themeColor="text1"/>
          <w:sz w:val="20"/>
          <w:szCs w:val="20"/>
          <w:lang w:val="es-ES"/>
        </w:rPr>
        <w:t>Análisis relativo a la información proporcionada</w:t>
      </w:r>
    </w:p>
    <w:p w14:paraId="5006CD07" w14:textId="77777777" w:rsidR="003A7CE5" w:rsidRPr="000A1667" w:rsidRDefault="003A7CE5" w:rsidP="003A7CE5">
      <w:pPr>
        <w:spacing w:after="0" w:line="240" w:lineRule="auto"/>
        <w:jc w:val="both"/>
        <w:rPr>
          <w:rFonts w:ascii="Cambria" w:hAnsi="Cambria" w:cs="Calibri Light"/>
          <w:color w:val="000000" w:themeColor="text1"/>
          <w:sz w:val="20"/>
          <w:szCs w:val="20"/>
          <w:lang w:val="es-ES"/>
        </w:rPr>
      </w:pPr>
    </w:p>
    <w:p w14:paraId="377A3B64" w14:textId="79B5B964" w:rsidR="00ED786B" w:rsidRPr="000A1667" w:rsidRDefault="00ED786B" w:rsidP="00ED786B">
      <w:pPr>
        <w:pStyle w:val="ListParagraph"/>
        <w:numPr>
          <w:ilvl w:val="0"/>
          <w:numId w:val="13"/>
        </w:numPr>
        <w:jc w:val="both"/>
        <w:rPr>
          <w:rFonts w:ascii="Cambria" w:hAnsi="Cambria" w:cs="Calibri Light"/>
          <w:color w:val="000000" w:themeColor="text1"/>
          <w:sz w:val="20"/>
          <w:szCs w:val="20"/>
          <w:lang w:val="es-ES"/>
        </w:rPr>
      </w:pPr>
      <w:r w:rsidRPr="000A1667">
        <w:rPr>
          <w:rFonts w:ascii="Cambria" w:hAnsi="Cambria" w:cs="Calibri Light"/>
          <w:color w:val="000000" w:themeColor="text1"/>
          <w:sz w:val="20"/>
          <w:szCs w:val="20"/>
          <w:lang w:val="es-ES"/>
        </w:rPr>
        <w:t xml:space="preserve">La Comisión considera que la información proporcionada por el Estado en 2021 no es relevante para actualizar el seguimiento del caso, puesto que es repetitiva de la información presentada en años anteriores sin contener información sobre medidas adoptadas recientemente para cumplir con al menos una de las recomendaciones. </w:t>
      </w:r>
      <w:r w:rsidRPr="000A1667">
        <w:rPr>
          <w:rFonts w:ascii="Cambria" w:hAnsi="Cambria" w:cs="Calibri Light"/>
          <w:color w:val="000000" w:themeColor="text1"/>
          <w:sz w:val="20"/>
          <w:szCs w:val="20"/>
          <w:lang w:val="es-ES_tradnl"/>
        </w:rPr>
        <w:t>Ante la ausencia de información actualizada sobre el nivel de cumplimiento de las recomendaciones, la CIDH reitera el análisis del cumplimiento y las conclusiones realizadas en su Informe Anual 2020.</w:t>
      </w:r>
    </w:p>
    <w:p w14:paraId="4B962791" w14:textId="77777777" w:rsidR="00ED786B" w:rsidRPr="000A1667" w:rsidRDefault="00ED786B" w:rsidP="00ED786B">
      <w:pPr>
        <w:pStyle w:val="ListParagraph"/>
        <w:jc w:val="both"/>
        <w:rPr>
          <w:rFonts w:ascii="Cambria" w:hAnsi="Cambria" w:cs="Calibri Light"/>
          <w:color w:val="000000" w:themeColor="text1"/>
          <w:sz w:val="20"/>
          <w:szCs w:val="20"/>
          <w:highlight w:val="cyan"/>
          <w:lang w:val="es-ES"/>
        </w:rPr>
      </w:pPr>
    </w:p>
    <w:p w14:paraId="2FF468D3" w14:textId="34AB50CD" w:rsidR="003A7CE5" w:rsidRPr="000A1667" w:rsidRDefault="003A7CE5" w:rsidP="003A7CE5">
      <w:pPr>
        <w:pStyle w:val="ListParagraph"/>
        <w:numPr>
          <w:ilvl w:val="0"/>
          <w:numId w:val="13"/>
        </w:numPr>
        <w:jc w:val="both"/>
        <w:rPr>
          <w:rFonts w:ascii="Cambria" w:hAnsi="Cambria" w:cs="Calibri Light"/>
          <w:color w:val="000000" w:themeColor="text1"/>
          <w:sz w:val="20"/>
          <w:szCs w:val="20"/>
          <w:lang w:val="es-ES"/>
        </w:rPr>
      </w:pPr>
      <w:r w:rsidRPr="000A1667">
        <w:rPr>
          <w:rFonts w:ascii="Cambria" w:hAnsi="Cambria"/>
          <w:color w:val="000000" w:themeColor="text1"/>
          <w:sz w:val="20"/>
          <w:szCs w:val="20"/>
          <w:lang w:val="es-ES"/>
        </w:rPr>
        <w:t>La Comisión considera que la información proporcionada por los peticionarios en 202</w:t>
      </w:r>
      <w:r w:rsidR="006F6890" w:rsidRPr="000A1667">
        <w:rPr>
          <w:rFonts w:ascii="Cambria" w:hAnsi="Cambria"/>
          <w:color w:val="000000" w:themeColor="text1"/>
          <w:sz w:val="20"/>
          <w:szCs w:val="20"/>
          <w:lang w:val="es-ES"/>
        </w:rPr>
        <w:t>1</w:t>
      </w:r>
      <w:r w:rsidRPr="000A1667">
        <w:rPr>
          <w:rFonts w:ascii="Cambria" w:hAnsi="Cambria"/>
          <w:color w:val="000000" w:themeColor="text1"/>
          <w:sz w:val="20"/>
          <w:szCs w:val="20"/>
          <w:lang w:val="es-ES"/>
        </w:rPr>
        <w:t xml:space="preserve"> es relevante dado que es actualizada y amplia, sobre medidas de cumplimiento de al menos una de las recomendaciones emitidas en el Informe de Fondo Nº 81/10. Previamente, los peticionarios presentaron información en 2018</w:t>
      </w:r>
      <w:r w:rsidRPr="000A1667">
        <w:rPr>
          <w:rFonts w:ascii="Cambria" w:hAnsi="Cambria" w:cs="Calibri Light"/>
          <w:color w:val="000000" w:themeColor="text1"/>
          <w:sz w:val="20"/>
          <w:szCs w:val="20"/>
          <w:lang w:val="es-ES"/>
        </w:rPr>
        <w:t>.</w:t>
      </w:r>
    </w:p>
    <w:p w14:paraId="4E6633FA" w14:textId="77777777" w:rsidR="003A7CE5" w:rsidRPr="000A1667" w:rsidRDefault="003A7CE5" w:rsidP="003A7CE5">
      <w:pPr>
        <w:spacing w:after="0" w:line="240" w:lineRule="auto"/>
        <w:jc w:val="both"/>
        <w:rPr>
          <w:rFonts w:ascii="Cambria" w:hAnsi="Cambria" w:cs="Calibri Light"/>
          <w:color w:val="000000" w:themeColor="text1"/>
          <w:sz w:val="20"/>
          <w:szCs w:val="20"/>
          <w:lang w:val="es-ES"/>
        </w:rPr>
      </w:pPr>
    </w:p>
    <w:p w14:paraId="41E4E90B" w14:textId="77777777" w:rsidR="003A7CE5" w:rsidRPr="000A1667" w:rsidRDefault="003A7CE5" w:rsidP="003A7CE5">
      <w:pPr>
        <w:pStyle w:val="ListParagraph"/>
        <w:numPr>
          <w:ilvl w:val="0"/>
          <w:numId w:val="14"/>
        </w:numPr>
        <w:ind w:left="1440"/>
        <w:jc w:val="both"/>
        <w:rPr>
          <w:rFonts w:ascii="Cambria" w:hAnsi="Cambria" w:cs="Calibri Light"/>
          <w:b/>
          <w:color w:val="000000" w:themeColor="text1"/>
          <w:sz w:val="20"/>
          <w:szCs w:val="20"/>
          <w:lang w:val="es-ES"/>
        </w:rPr>
      </w:pPr>
      <w:r w:rsidRPr="000A1667">
        <w:rPr>
          <w:rFonts w:ascii="Cambria" w:hAnsi="Cambria" w:cs="Calibri Light"/>
          <w:b/>
          <w:color w:val="000000" w:themeColor="text1"/>
          <w:sz w:val="20"/>
          <w:szCs w:val="20"/>
          <w:lang w:val="es-ES"/>
        </w:rPr>
        <w:t xml:space="preserve">Análisis del cumplimiento de las recomendaciones </w:t>
      </w:r>
    </w:p>
    <w:p w14:paraId="05CD2211" w14:textId="77777777" w:rsidR="003A7CE5" w:rsidRPr="000A1667" w:rsidRDefault="003A7CE5" w:rsidP="003A7CE5">
      <w:pPr>
        <w:pStyle w:val="ListParagraph"/>
        <w:jc w:val="both"/>
        <w:rPr>
          <w:rFonts w:ascii="Cambria" w:hAnsi="Cambria"/>
          <w:color w:val="000000" w:themeColor="text1"/>
          <w:sz w:val="20"/>
          <w:szCs w:val="20"/>
          <w:lang w:val="es-ES"/>
        </w:rPr>
      </w:pPr>
    </w:p>
    <w:p w14:paraId="29A09C33" w14:textId="622927B5" w:rsidR="003A7CE5" w:rsidRPr="000A1667" w:rsidRDefault="003A7CE5" w:rsidP="003A7CE5">
      <w:pPr>
        <w:pStyle w:val="ListParagraph"/>
        <w:numPr>
          <w:ilvl w:val="0"/>
          <w:numId w:val="13"/>
        </w:numPr>
        <w:jc w:val="both"/>
        <w:rPr>
          <w:rFonts w:ascii="Cambria" w:hAnsi="Cambria" w:cs="Calibri Light"/>
          <w:color w:val="000000" w:themeColor="text1"/>
          <w:sz w:val="20"/>
          <w:szCs w:val="20"/>
          <w:lang w:val="es-ES"/>
        </w:rPr>
      </w:pPr>
      <w:r w:rsidRPr="000A1667">
        <w:rPr>
          <w:rFonts w:ascii="Cambria" w:hAnsi="Cambria" w:cs="Calibri Light"/>
          <w:b/>
          <w:color w:val="000000" w:themeColor="text1"/>
          <w:sz w:val="20"/>
          <w:szCs w:val="20"/>
          <w:lang w:val="es-ES"/>
        </w:rPr>
        <w:t xml:space="preserve">En relación con </w:t>
      </w:r>
      <w:r w:rsidR="006F6890" w:rsidRPr="000A1667">
        <w:rPr>
          <w:rFonts w:ascii="Cambria" w:hAnsi="Cambria" w:cs="Calibri Light"/>
          <w:b/>
          <w:color w:val="000000" w:themeColor="text1"/>
          <w:sz w:val="20"/>
          <w:szCs w:val="20"/>
          <w:lang w:val="es-ES"/>
        </w:rPr>
        <w:t>las recomendaciones</w:t>
      </w:r>
      <w:r w:rsidRPr="000A1667">
        <w:rPr>
          <w:rFonts w:ascii="Cambria" w:hAnsi="Cambria" w:cs="Calibri Light"/>
          <w:b/>
          <w:color w:val="000000" w:themeColor="text1"/>
          <w:sz w:val="20"/>
          <w:szCs w:val="20"/>
          <w:lang w:val="es-ES"/>
        </w:rPr>
        <w:t xml:space="preserve"> 1, 2 y 3</w:t>
      </w:r>
      <w:r w:rsidRPr="000A1667">
        <w:rPr>
          <w:rFonts w:ascii="Cambria" w:hAnsi="Cambria" w:cs="Calibri Light"/>
          <w:color w:val="000000" w:themeColor="text1"/>
          <w:sz w:val="20"/>
          <w:szCs w:val="20"/>
          <w:lang w:val="es-ES"/>
        </w:rPr>
        <w:t>, en 2012, el Estado reiteró que no estaba de acuerdo y rechazaba estas recomendaciones</w:t>
      </w:r>
      <w:r w:rsidRPr="000A1667">
        <w:rPr>
          <w:rStyle w:val="FootnoteReference"/>
          <w:rFonts w:ascii="Cambria" w:hAnsi="Cambria" w:cs="Calibri Light"/>
          <w:color w:val="000000" w:themeColor="text1"/>
          <w:sz w:val="20"/>
          <w:szCs w:val="20"/>
          <w:lang w:val="es-ES"/>
        </w:rPr>
        <w:footnoteReference w:id="4"/>
      </w:r>
      <w:r w:rsidRPr="000A1667">
        <w:rPr>
          <w:rFonts w:ascii="Cambria" w:hAnsi="Cambria" w:cs="Calibri Light"/>
          <w:color w:val="000000" w:themeColor="text1"/>
          <w:sz w:val="20"/>
          <w:szCs w:val="20"/>
          <w:lang w:val="es-ES"/>
        </w:rPr>
        <w:t>. En 2020, el Estado reiteró su posición sin presentar nueva información sobre acciones tomadas para dar cumplimiento a esta recomendación.</w:t>
      </w:r>
    </w:p>
    <w:p w14:paraId="119528F2" w14:textId="77777777" w:rsidR="003A7CE5" w:rsidRPr="000A1667" w:rsidRDefault="003A7CE5" w:rsidP="003A7CE5">
      <w:pPr>
        <w:pStyle w:val="ListParagraph"/>
        <w:jc w:val="both"/>
        <w:rPr>
          <w:rFonts w:ascii="Cambria" w:hAnsi="Cambria" w:cs="Calibri Light"/>
          <w:color w:val="000000" w:themeColor="text1"/>
          <w:sz w:val="20"/>
          <w:szCs w:val="20"/>
          <w:lang w:val="es-ES"/>
        </w:rPr>
      </w:pPr>
    </w:p>
    <w:p w14:paraId="22508C48" w14:textId="77777777" w:rsidR="003A7CE5" w:rsidRPr="000A1667" w:rsidRDefault="003A7CE5" w:rsidP="003A7CE5">
      <w:pPr>
        <w:pStyle w:val="ListParagraph"/>
        <w:numPr>
          <w:ilvl w:val="0"/>
          <w:numId w:val="13"/>
        </w:numPr>
        <w:jc w:val="both"/>
        <w:rPr>
          <w:rFonts w:ascii="Cambria" w:hAnsi="Cambria" w:cs="Calibri Light"/>
          <w:color w:val="000000" w:themeColor="text1"/>
          <w:sz w:val="20"/>
          <w:szCs w:val="20"/>
          <w:lang w:val="es-ES"/>
        </w:rPr>
      </w:pPr>
      <w:r w:rsidRPr="000A1667">
        <w:rPr>
          <w:rFonts w:ascii="Cambria" w:hAnsi="Cambria" w:cs="Calibri Light"/>
          <w:color w:val="000000" w:themeColor="text1"/>
          <w:sz w:val="20"/>
          <w:szCs w:val="20"/>
          <w:lang w:val="es-ES"/>
        </w:rPr>
        <w:t xml:space="preserve">En 2018, los peticionarios informaron a la Comisión que el Estado no había adoptado medidas para cumplir las tres primeras recomendaciones. Como señalaron los peticionarios en 2011, Wayne Smith falleció en Trinidad el 15 de julio de 2011, sin haber recibido permiso para regresar a Estados Unidos. Además, los peticionarios informaron que Estados Unidos no había adoptado ninguna medida para reparar a la familia del señor Smith. Por su parte, los peticionarios informaron que Hugo </w:t>
      </w:r>
      <w:proofErr w:type="spellStart"/>
      <w:r w:rsidRPr="000A1667">
        <w:rPr>
          <w:rFonts w:ascii="Cambria" w:hAnsi="Cambria" w:cs="Calibri Light"/>
          <w:color w:val="000000" w:themeColor="text1"/>
          <w:sz w:val="20"/>
          <w:szCs w:val="20"/>
          <w:lang w:val="es-ES"/>
        </w:rPr>
        <w:t>Armendariz</w:t>
      </w:r>
      <w:proofErr w:type="spellEnd"/>
      <w:r w:rsidRPr="000A1667">
        <w:rPr>
          <w:rFonts w:ascii="Cambria" w:hAnsi="Cambria" w:cs="Calibri Light"/>
          <w:color w:val="000000" w:themeColor="text1"/>
          <w:sz w:val="20"/>
          <w:szCs w:val="20"/>
          <w:lang w:val="es-ES"/>
        </w:rPr>
        <w:t xml:space="preserve"> sigue viviendo en México, separado de los miembros de su familia que están en Estados Unidos, es decir sus hermanos y sus padres, quienes son personas mayores. Indicaron que se le ha negado la posibilidad de reingresar al país sin costo, no se ha reabierto su procedimiento de inmigración y el Estado no ha permitido que un juez de inmigración que sea independiente y competente aplique una ponderación judicial a su caso, teniendo en cuenta, de forma </w:t>
      </w:r>
      <w:r w:rsidRPr="000A1667">
        <w:rPr>
          <w:rFonts w:ascii="Cambria" w:hAnsi="Cambria" w:cs="Calibri Light"/>
          <w:color w:val="000000" w:themeColor="text1"/>
          <w:sz w:val="20"/>
          <w:szCs w:val="20"/>
          <w:lang w:val="es-ES"/>
        </w:rPr>
        <w:lastRenderedPageBreak/>
        <w:t xml:space="preserve">debida, los factores humanitarios. Los peticionarios señalaron que, según la información obtenida durante su intento más reciente de obtener una visa de turista para reingresar a Estados Unidos el 9 de junio de 2016, la prohibición permanente de reingreso de Hugo </w:t>
      </w:r>
      <w:proofErr w:type="spellStart"/>
      <w:r w:rsidRPr="000A1667">
        <w:rPr>
          <w:rFonts w:ascii="Cambria" w:hAnsi="Cambria" w:cs="Calibri Light"/>
          <w:color w:val="000000" w:themeColor="text1"/>
          <w:sz w:val="20"/>
          <w:szCs w:val="20"/>
          <w:lang w:val="es-ES"/>
        </w:rPr>
        <w:t>Armendariz</w:t>
      </w:r>
      <w:proofErr w:type="spellEnd"/>
      <w:r w:rsidRPr="000A1667">
        <w:rPr>
          <w:rFonts w:ascii="Cambria" w:hAnsi="Cambria" w:cs="Calibri Light"/>
          <w:color w:val="000000" w:themeColor="text1"/>
          <w:sz w:val="20"/>
          <w:szCs w:val="20"/>
          <w:lang w:val="es-ES"/>
        </w:rPr>
        <w:t xml:space="preserve"> al país sigue vigente. </w:t>
      </w:r>
      <w:r w:rsidRPr="000A1667">
        <w:rPr>
          <w:rFonts w:ascii="Cambria" w:hAnsi="Cambria"/>
          <w:color w:val="000000" w:themeColor="text1"/>
          <w:sz w:val="20"/>
          <w:szCs w:val="20"/>
          <w:lang w:val="es-ES"/>
        </w:rPr>
        <w:t xml:space="preserve">Los peticionarios expresaron que Estados Unidos no está cumpliendo con las Recomendaciones 1, 2 y 3 y solicitaron a la Comisión que inste a los Estados Unidos a cumplir, de manera plena y célere, con sus recomendaciones respecto del señor </w:t>
      </w:r>
      <w:proofErr w:type="spellStart"/>
      <w:r w:rsidRPr="000A1667">
        <w:rPr>
          <w:rFonts w:ascii="Cambria" w:hAnsi="Cambria"/>
          <w:color w:val="000000" w:themeColor="text1"/>
          <w:sz w:val="20"/>
          <w:szCs w:val="20"/>
          <w:lang w:val="es-ES"/>
        </w:rPr>
        <w:t>Armendariz</w:t>
      </w:r>
      <w:proofErr w:type="spellEnd"/>
      <w:r w:rsidRPr="000A1667">
        <w:rPr>
          <w:rFonts w:ascii="Cambria" w:hAnsi="Cambria"/>
          <w:color w:val="000000" w:themeColor="text1"/>
          <w:sz w:val="20"/>
          <w:szCs w:val="20"/>
          <w:lang w:val="es-ES"/>
        </w:rPr>
        <w:t>, así como a proporcionarles reparación a los miembros de la familia del señor Smith,</w:t>
      </w:r>
    </w:p>
    <w:p w14:paraId="07225AC2" w14:textId="77777777" w:rsidR="003A7CE5" w:rsidRPr="000A1667" w:rsidRDefault="003A7CE5" w:rsidP="003A7CE5">
      <w:pPr>
        <w:pStyle w:val="ListParagraph"/>
        <w:jc w:val="both"/>
        <w:rPr>
          <w:rFonts w:ascii="Cambria" w:hAnsi="Cambria" w:cs="Calibri Light"/>
          <w:color w:val="000000" w:themeColor="text1"/>
          <w:sz w:val="20"/>
          <w:szCs w:val="20"/>
          <w:lang w:val="es-ES"/>
        </w:rPr>
      </w:pPr>
    </w:p>
    <w:p w14:paraId="4C008B95" w14:textId="7BAB3F6A" w:rsidR="003A7CE5" w:rsidRPr="000A1667" w:rsidRDefault="003A7CE5" w:rsidP="003A7CE5">
      <w:pPr>
        <w:pStyle w:val="ListParagraph"/>
        <w:numPr>
          <w:ilvl w:val="0"/>
          <w:numId w:val="13"/>
        </w:numPr>
        <w:jc w:val="both"/>
        <w:rPr>
          <w:rFonts w:ascii="Cambria" w:hAnsi="Cambria" w:cs="Calibri Light"/>
          <w:color w:val="000000" w:themeColor="text1"/>
          <w:sz w:val="20"/>
          <w:szCs w:val="20"/>
          <w:lang w:val="es-ES"/>
        </w:rPr>
      </w:pPr>
      <w:r w:rsidRPr="000A1667">
        <w:rPr>
          <w:rFonts w:ascii="Cambria" w:hAnsi="Cambria" w:cs="Calibri Light"/>
          <w:color w:val="000000" w:themeColor="text1"/>
          <w:sz w:val="20"/>
          <w:szCs w:val="20"/>
          <w:lang w:val="es-ES"/>
        </w:rPr>
        <w:t>En 2019, los peticionarios reiteraron la información arriba descrita, en el sentido de destacar que el Estado no ha cumplido con las recomendaciones hechas por la CIDH ni ha tomado medidas con ese fin</w:t>
      </w:r>
      <w:r w:rsidRPr="000A1667">
        <w:rPr>
          <w:rFonts w:ascii="Cambria" w:hAnsi="Cambria"/>
          <w:color w:val="000000" w:themeColor="text1"/>
          <w:sz w:val="20"/>
          <w:szCs w:val="20"/>
          <w:lang w:val="es-ES"/>
        </w:rPr>
        <w:t>. El 2020, los peticionarios informaron que no contaban con información que sugiera el cumplimiento de las recomendaciones establecidas por la CIDH.</w:t>
      </w:r>
      <w:r w:rsidRPr="000A1667">
        <w:rPr>
          <w:rFonts w:ascii="Cambria" w:hAnsi="Cambria" w:cs="Calibri Light"/>
          <w:color w:val="000000" w:themeColor="text1"/>
          <w:sz w:val="20"/>
          <w:szCs w:val="20"/>
          <w:lang w:val="es-ES"/>
        </w:rPr>
        <w:t xml:space="preserve"> </w:t>
      </w:r>
    </w:p>
    <w:p w14:paraId="4BF7BB6E" w14:textId="77777777" w:rsidR="003A7CE5" w:rsidRPr="000A1667" w:rsidRDefault="003A7CE5" w:rsidP="003A7CE5">
      <w:pPr>
        <w:pStyle w:val="ListParagraph"/>
        <w:rPr>
          <w:rFonts w:ascii="Cambria" w:hAnsi="Cambria" w:cs="Calibri Light"/>
          <w:color w:val="000000" w:themeColor="text1"/>
          <w:sz w:val="20"/>
          <w:szCs w:val="20"/>
          <w:lang w:val="es-ES"/>
        </w:rPr>
      </w:pPr>
    </w:p>
    <w:p w14:paraId="79DE3ECD" w14:textId="77777777" w:rsidR="003A7CE5" w:rsidRPr="000A1667" w:rsidRDefault="003A7CE5" w:rsidP="003A7CE5">
      <w:pPr>
        <w:pStyle w:val="ListParagraph"/>
        <w:numPr>
          <w:ilvl w:val="0"/>
          <w:numId w:val="13"/>
        </w:numPr>
        <w:jc w:val="both"/>
        <w:rPr>
          <w:rFonts w:ascii="Cambria" w:hAnsi="Cambria" w:cs="Calibri Light"/>
          <w:color w:val="000000" w:themeColor="text1"/>
          <w:sz w:val="20"/>
          <w:szCs w:val="20"/>
          <w:lang w:val="es-ES"/>
        </w:rPr>
      </w:pPr>
      <w:r w:rsidRPr="000A1667">
        <w:rPr>
          <w:rFonts w:ascii="Cambria" w:hAnsi="Cambria"/>
          <w:color w:val="000000" w:themeColor="text1"/>
          <w:sz w:val="20"/>
          <w:szCs w:val="20"/>
          <w:lang w:val="es-ES"/>
        </w:rPr>
        <w:t>La CIDH lamenta que el señor Smith haya fallecido lejos del lugar en donde reside su familia, lo cual implica que el Estado haya perdido, de manera irrevocable, la oportunidad de cumplir con su obligación internacional respecto a él. En este sentido, la Comisión insta al Estado a proporcionar una reparación integral a los miembros de la familia del señor Smith</w:t>
      </w:r>
      <w:r w:rsidRPr="000A1667">
        <w:rPr>
          <w:rStyle w:val="FootnoteReference"/>
          <w:rFonts w:ascii="Cambria" w:hAnsi="Cambria"/>
          <w:color w:val="000000" w:themeColor="text1"/>
          <w:sz w:val="20"/>
          <w:szCs w:val="20"/>
          <w:lang w:val="es-ES"/>
        </w:rPr>
        <w:footnoteReference w:id="5"/>
      </w:r>
      <w:r w:rsidRPr="000A1667">
        <w:rPr>
          <w:rFonts w:ascii="Cambria" w:hAnsi="Cambria"/>
          <w:color w:val="000000" w:themeColor="text1"/>
          <w:sz w:val="20"/>
          <w:szCs w:val="20"/>
          <w:lang w:val="es-ES"/>
        </w:rPr>
        <w:t>. Por lo anterior, la Comisión reitera que el Estado no ha cumplido con las Recomendaciones 1, 2 y 3 con respecto al señor Wayne Smith</w:t>
      </w:r>
      <w:r w:rsidRPr="000A1667">
        <w:rPr>
          <w:rStyle w:val="FootnoteReference"/>
          <w:rFonts w:ascii="Cambria" w:hAnsi="Cambria"/>
          <w:color w:val="000000" w:themeColor="text1"/>
          <w:sz w:val="20"/>
          <w:szCs w:val="20"/>
          <w:lang w:val="es-ES"/>
        </w:rPr>
        <w:footnoteReference w:id="6"/>
      </w:r>
      <w:r w:rsidRPr="000A1667">
        <w:rPr>
          <w:rFonts w:ascii="Cambria" w:hAnsi="Cambria"/>
          <w:color w:val="000000" w:themeColor="text1"/>
          <w:sz w:val="20"/>
          <w:szCs w:val="20"/>
          <w:lang w:val="es-ES"/>
        </w:rPr>
        <w:t xml:space="preserve"> y considera que estas mismas recomendaciones están pendientes de cumplimiento con respecto al Sr. Hugo </w:t>
      </w:r>
      <w:proofErr w:type="spellStart"/>
      <w:r w:rsidRPr="000A1667">
        <w:rPr>
          <w:rFonts w:ascii="Cambria" w:hAnsi="Cambria"/>
          <w:color w:val="000000" w:themeColor="text1"/>
          <w:sz w:val="20"/>
          <w:szCs w:val="20"/>
          <w:lang w:val="es-ES"/>
        </w:rPr>
        <w:t>Armendariz</w:t>
      </w:r>
      <w:proofErr w:type="spellEnd"/>
      <w:r w:rsidRPr="000A1667">
        <w:rPr>
          <w:rFonts w:ascii="Cambria" w:hAnsi="Cambria" w:cs="Calibri Light"/>
          <w:color w:val="000000" w:themeColor="text1"/>
          <w:sz w:val="20"/>
          <w:szCs w:val="20"/>
          <w:lang w:val="es-ES"/>
        </w:rPr>
        <w:t xml:space="preserve">.  </w:t>
      </w:r>
    </w:p>
    <w:p w14:paraId="5E1C487D" w14:textId="77777777" w:rsidR="003A7CE5" w:rsidRPr="000A1667" w:rsidRDefault="003A7CE5" w:rsidP="003A7CE5">
      <w:pPr>
        <w:pStyle w:val="ListParagraph"/>
        <w:rPr>
          <w:rFonts w:ascii="Cambria" w:hAnsi="Cambria" w:cs="Calibri Light"/>
          <w:color w:val="000000" w:themeColor="text1"/>
          <w:sz w:val="20"/>
          <w:szCs w:val="20"/>
          <w:lang w:val="es-ES"/>
        </w:rPr>
      </w:pPr>
    </w:p>
    <w:p w14:paraId="7E15D3B9" w14:textId="77777777" w:rsidR="003A7CE5" w:rsidRPr="000A1667" w:rsidRDefault="003A7CE5" w:rsidP="003A7CE5">
      <w:pPr>
        <w:pStyle w:val="ListParagraph"/>
        <w:numPr>
          <w:ilvl w:val="0"/>
          <w:numId w:val="13"/>
        </w:numPr>
        <w:jc w:val="both"/>
        <w:rPr>
          <w:rFonts w:ascii="Cambria" w:hAnsi="Cambria" w:cs="Calibri Light"/>
          <w:b/>
          <w:color w:val="000000" w:themeColor="text1"/>
          <w:sz w:val="20"/>
          <w:szCs w:val="20"/>
          <w:lang w:val="es-ES"/>
        </w:rPr>
      </w:pPr>
      <w:r w:rsidRPr="000A1667">
        <w:rPr>
          <w:rFonts w:ascii="Cambria" w:hAnsi="Cambria"/>
          <w:b/>
          <w:color w:val="000000" w:themeColor="text1"/>
          <w:sz w:val="20"/>
          <w:szCs w:val="20"/>
          <w:lang w:val="es-ES"/>
        </w:rPr>
        <w:t>Con respecto a la cuarta recomendación</w:t>
      </w:r>
      <w:r w:rsidRPr="000A1667">
        <w:rPr>
          <w:rFonts w:ascii="Cambria" w:hAnsi="Cambria" w:cs="Calibri Light"/>
          <w:b/>
          <w:color w:val="000000" w:themeColor="text1"/>
          <w:sz w:val="20"/>
          <w:szCs w:val="20"/>
          <w:lang w:val="es-ES"/>
        </w:rPr>
        <w:t xml:space="preserve">, </w:t>
      </w:r>
      <w:r w:rsidRPr="000A1667">
        <w:rPr>
          <w:rFonts w:ascii="Cambria" w:hAnsi="Cambria" w:cs="Calibri Light"/>
          <w:color w:val="000000" w:themeColor="text1"/>
          <w:sz w:val="20"/>
          <w:szCs w:val="20"/>
          <w:lang w:val="es-ES"/>
        </w:rPr>
        <w:t>en 2012, el Estado reiteró que no estaba de acuerdo con la misma y que la rechazaba</w:t>
      </w:r>
      <w:r w:rsidRPr="000A1667">
        <w:rPr>
          <w:rStyle w:val="FootnoteReference"/>
          <w:rFonts w:ascii="Cambria" w:hAnsi="Cambria" w:cs="Calibri Light"/>
          <w:color w:val="000000" w:themeColor="text1"/>
          <w:sz w:val="20"/>
          <w:szCs w:val="20"/>
          <w:lang w:val="es-ES"/>
        </w:rPr>
        <w:footnoteReference w:id="7"/>
      </w:r>
      <w:r w:rsidRPr="000A1667">
        <w:rPr>
          <w:rFonts w:ascii="Cambria" w:hAnsi="Cambria" w:cs="Calibri Light"/>
          <w:color w:val="000000" w:themeColor="text1"/>
          <w:sz w:val="20"/>
          <w:szCs w:val="20"/>
          <w:lang w:val="es-ES"/>
        </w:rPr>
        <w:t>. En 2020, el Estado reiteró sus respuestas anteriores en relación con esta recomendación, sin mencionar ningún esfuerzo adoptado este año para cumplirla.</w:t>
      </w:r>
    </w:p>
    <w:p w14:paraId="26686B20" w14:textId="77777777" w:rsidR="003A7CE5" w:rsidRPr="000A1667" w:rsidRDefault="003A7CE5" w:rsidP="003A7CE5">
      <w:pPr>
        <w:pStyle w:val="ListParagraph"/>
        <w:rPr>
          <w:rFonts w:ascii="Cambria" w:hAnsi="Cambria"/>
          <w:color w:val="000000" w:themeColor="text1"/>
          <w:sz w:val="20"/>
          <w:szCs w:val="20"/>
          <w:lang w:val="es-ES"/>
        </w:rPr>
      </w:pPr>
    </w:p>
    <w:p w14:paraId="563FE4EA" w14:textId="77777777" w:rsidR="00DC633F" w:rsidRPr="000A1667" w:rsidRDefault="003A7CE5" w:rsidP="003A7CE5">
      <w:pPr>
        <w:pStyle w:val="ListParagraph"/>
        <w:numPr>
          <w:ilvl w:val="0"/>
          <w:numId w:val="13"/>
        </w:numPr>
        <w:jc w:val="both"/>
        <w:rPr>
          <w:rFonts w:ascii="Cambria" w:hAnsi="Cambria" w:cs="Calibri Light"/>
          <w:b/>
          <w:color w:val="000000" w:themeColor="text1"/>
          <w:sz w:val="20"/>
          <w:szCs w:val="20"/>
          <w:lang w:val="es-ES"/>
        </w:rPr>
      </w:pPr>
      <w:r w:rsidRPr="000A1667">
        <w:rPr>
          <w:rFonts w:ascii="Cambria" w:hAnsi="Cambria"/>
          <w:color w:val="000000" w:themeColor="text1"/>
          <w:sz w:val="20"/>
          <w:szCs w:val="20"/>
          <w:lang w:val="es-ES"/>
        </w:rPr>
        <w:t xml:space="preserve">En 2013, los peticionarios indicaron que </w:t>
      </w:r>
      <w:r w:rsidRPr="000A1667">
        <w:rPr>
          <w:rFonts w:ascii="Cambria" w:hAnsi="Cambria" w:cs="Calibri"/>
          <w:color w:val="000000" w:themeColor="text1"/>
          <w:sz w:val="20"/>
          <w:szCs w:val="20"/>
          <w:lang w:val="es-ES"/>
        </w:rPr>
        <w:t>la legislación de Estados Unidos todavía establecía que quienes fueran declarados culpables de un crimen agravado —un término amplio que comprende incluso delitos menores— estarían sujetos a deportación obligatoria. Bajo esa legislación, estas personas no tendrían la posibilidad de que las autoridades judiciales considerasen razones legítimas de carácter humanitario o de otro tipo para evaluar su deportación, de conformidad con un análisis de cada caso, ni tendrían la posibilidad de que esas autoridades tuvieran en cuenta el interés superior de los menores de edad afectados</w:t>
      </w:r>
      <w:r w:rsidRPr="000A1667">
        <w:rPr>
          <w:rStyle w:val="FootnoteReference"/>
          <w:rFonts w:ascii="Cambria" w:hAnsi="Cambria"/>
          <w:color w:val="000000" w:themeColor="text1"/>
          <w:sz w:val="20"/>
          <w:szCs w:val="20"/>
          <w:lang w:val="es-ES"/>
        </w:rPr>
        <w:footnoteReference w:id="8"/>
      </w:r>
      <w:r w:rsidRPr="000A1667">
        <w:rPr>
          <w:rFonts w:ascii="Cambria" w:hAnsi="Cambria"/>
          <w:color w:val="000000" w:themeColor="text1"/>
          <w:sz w:val="20"/>
          <w:szCs w:val="20"/>
          <w:lang w:val="es-ES"/>
        </w:rPr>
        <w:t xml:space="preserve">. </w:t>
      </w:r>
    </w:p>
    <w:p w14:paraId="6C3DC7B0" w14:textId="77777777" w:rsidR="00DC633F" w:rsidRPr="000A1667" w:rsidRDefault="00DC633F" w:rsidP="00DC633F">
      <w:pPr>
        <w:pStyle w:val="ListParagraph"/>
        <w:rPr>
          <w:rFonts w:ascii="Cambria" w:hAnsi="Cambria"/>
          <w:color w:val="000000" w:themeColor="text1"/>
          <w:sz w:val="20"/>
          <w:szCs w:val="20"/>
          <w:lang w:val="es-ES"/>
        </w:rPr>
      </w:pPr>
    </w:p>
    <w:p w14:paraId="1E655466" w14:textId="4B4CA417" w:rsidR="00DC633F" w:rsidRPr="000A1667" w:rsidRDefault="003A7CE5" w:rsidP="003A7CE5">
      <w:pPr>
        <w:pStyle w:val="ListParagraph"/>
        <w:numPr>
          <w:ilvl w:val="0"/>
          <w:numId w:val="13"/>
        </w:numPr>
        <w:jc w:val="both"/>
        <w:rPr>
          <w:rFonts w:ascii="Cambria" w:hAnsi="Cambria" w:cs="Calibri Light"/>
          <w:b/>
          <w:color w:val="000000" w:themeColor="text1"/>
          <w:sz w:val="20"/>
          <w:szCs w:val="20"/>
          <w:lang w:val="es-ES"/>
        </w:rPr>
      </w:pPr>
      <w:r w:rsidRPr="000A1667">
        <w:rPr>
          <w:rFonts w:ascii="Cambria" w:hAnsi="Cambria"/>
          <w:color w:val="000000" w:themeColor="text1"/>
          <w:sz w:val="20"/>
          <w:szCs w:val="20"/>
          <w:lang w:val="es-ES"/>
        </w:rPr>
        <w:t>En 2016, los peticionarios informaron que</w:t>
      </w:r>
      <w:r w:rsidR="0038448F" w:rsidRPr="000A1667">
        <w:rPr>
          <w:rFonts w:ascii="Cambria" w:hAnsi="Cambria"/>
          <w:color w:val="000000" w:themeColor="text1"/>
          <w:sz w:val="20"/>
          <w:szCs w:val="20"/>
          <w:lang w:val="es-ES"/>
        </w:rPr>
        <w:t>,</w:t>
      </w:r>
      <w:r w:rsidRPr="000A1667">
        <w:rPr>
          <w:rFonts w:ascii="Cambria" w:hAnsi="Cambria" w:cs="Cambria"/>
          <w:color w:val="000000" w:themeColor="text1"/>
          <w:sz w:val="20"/>
          <w:szCs w:val="20"/>
          <w:lang w:val="es-ES"/>
        </w:rPr>
        <w:t xml:space="preserve"> en noviembre de 2015, la Corte del Circuito Quinto mantuvo la decisión de la Corte Distrital de bloquear la expansión del DACA (por sus siglas en inglés </w:t>
      </w:r>
      <w:proofErr w:type="spellStart"/>
      <w:r w:rsidRPr="000A1667">
        <w:rPr>
          <w:rFonts w:ascii="Cambria" w:hAnsi="Cambria" w:cs="Cambria"/>
          <w:i/>
          <w:iCs/>
          <w:color w:val="000000" w:themeColor="text1"/>
          <w:sz w:val="20"/>
          <w:szCs w:val="20"/>
          <w:lang w:val="es-ES"/>
        </w:rPr>
        <w:t>Deferred</w:t>
      </w:r>
      <w:proofErr w:type="spellEnd"/>
      <w:r w:rsidRPr="000A1667">
        <w:rPr>
          <w:rFonts w:ascii="Cambria" w:hAnsi="Cambria" w:cs="Cambria"/>
          <w:i/>
          <w:iCs/>
          <w:color w:val="000000" w:themeColor="text1"/>
          <w:sz w:val="20"/>
          <w:szCs w:val="20"/>
          <w:lang w:val="es-ES"/>
        </w:rPr>
        <w:t xml:space="preserve"> </w:t>
      </w:r>
      <w:proofErr w:type="spellStart"/>
      <w:r w:rsidRPr="000A1667">
        <w:rPr>
          <w:rFonts w:ascii="Cambria" w:hAnsi="Cambria" w:cs="Cambria"/>
          <w:i/>
          <w:iCs/>
          <w:color w:val="000000" w:themeColor="text1"/>
          <w:sz w:val="20"/>
          <w:szCs w:val="20"/>
          <w:lang w:val="es-ES"/>
        </w:rPr>
        <w:t>Action</w:t>
      </w:r>
      <w:proofErr w:type="spellEnd"/>
      <w:r w:rsidRPr="000A1667">
        <w:rPr>
          <w:rFonts w:ascii="Cambria" w:hAnsi="Cambria" w:cs="Cambria"/>
          <w:i/>
          <w:iCs/>
          <w:color w:val="000000" w:themeColor="text1"/>
          <w:sz w:val="20"/>
          <w:szCs w:val="20"/>
          <w:lang w:val="es-ES"/>
        </w:rPr>
        <w:t xml:space="preserve"> </w:t>
      </w:r>
      <w:proofErr w:type="spellStart"/>
      <w:r w:rsidRPr="000A1667">
        <w:rPr>
          <w:rFonts w:ascii="Cambria" w:hAnsi="Cambria" w:cs="Cambria"/>
          <w:i/>
          <w:iCs/>
          <w:color w:val="000000" w:themeColor="text1"/>
          <w:sz w:val="20"/>
          <w:szCs w:val="20"/>
          <w:lang w:val="es-ES"/>
        </w:rPr>
        <w:t>for</w:t>
      </w:r>
      <w:proofErr w:type="spellEnd"/>
      <w:r w:rsidRPr="000A1667">
        <w:rPr>
          <w:rFonts w:ascii="Cambria" w:hAnsi="Cambria" w:cs="Cambria"/>
          <w:i/>
          <w:iCs/>
          <w:color w:val="000000" w:themeColor="text1"/>
          <w:sz w:val="20"/>
          <w:szCs w:val="20"/>
          <w:lang w:val="es-ES"/>
        </w:rPr>
        <w:t xml:space="preserve"> </w:t>
      </w:r>
      <w:proofErr w:type="spellStart"/>
      <w:r w:rsidRPr="000A1667">
        <w:rPr>
          <w:rFonts w:ascii="Cambria" w:hAnsi="Cambria" w:cs="Cambria"/>
          <w:i/>
          <w:iCs/>
          <w:color w:val="000000" w:themeColor="text1"/>
          <w:sz w:val="20"/>
          <w:szCs w:val="20"/>
          <w:lang w:val="es-ES"/>
        </w:rPr>
        <w:t>Childhood</w:t>
      </w:r>
      <w:proofErr w:type="spellEnd"/>
      <w:r w:rsidRPr="000A1667">
        <w:rPr>
          <w:rFonts w:ascii="Cambria" w:hAnsi="Cambria" w:cs="Cambria"/>
          <w:i/>
          <w:iCs/>
          <w:color w:val="000000" w:themeColor="text1"/>
          <w:sz w:val="20"/>
          <w:szCs w:val="20"/>
          <w:lang w:val="es-ES"/>
        </w:rPr>
        <w:t xml:space="preserve"> </w:t>
      </w:r>
      <w:proofErr w:type="spellStart"/>
      <w:r w:rsidRPr="000A1667">
        <w:rPr>
          <w:rFonts w:ascii="Cambria" w:hAnsi="Cambria" w:cs="Cambria"/>
          <w:i/>
          <w:iCs/>
          <w:color w:val="000000" w:themeColor="text1"/>
          <w:sz w:val="20"/>
          <w:szCs w:val="20"/>
          <w:lang w:val="es-ES"/>
        </w:rPr>
        <w:t>Arrivals</w:t>
      </w:r>
      <w:proofErr w:type="spellEnd"/>
      <w:r w:rsidRPr="000A1667">
        <w:rPr>
          <w:rFonts w:ascii="Cambria" w:hAnsi="Cambria" w:cs="Cambria"/>
          <w:color w:val="000000" w:themeColor="text1"/>
          <w:sz w:val="20"/>
          <w:szCs w:val="20"/>
          <w:lang w:val="es-ES"/>
        </w:rPr>
        <w:t xml:space="preserve">) y la creación del DAPA (por sus siglas en inglés </w:t>
      </w:r>
      <w:proofErr w:type="spellStart"/>
      <w:r w:rsidRPr="000A1667">
        <w:rPr>
          <w:rFonts w:ascii="Cambria" w:hAnsi="Cambria" w:cs="Cambria"/>
          <w:i/>
          <w:iCs/>
          <w:color w:val="000000" w:themeColor="text1"/>
          <w:sz w:val="20"/>
          <w:szCs w:val="20"/>
          <w:lang w:val="es-ES"/>
        </w:rPr>
        <w:t>Deferred</w:t>
      </w:r>
      <w:proofErr w:type="spellEnd"/>
      <w:r w:rsidRPr="000A1667">
        <w:rPr>
          <w:rFonts w:ascii="Cambria" w:hAnsi="Cambria" w:cs="Cambria"/>
          <w:i/>
          <w:iCs/>
          <w:color w:val="000000" w:themeColor="text1"/>
          <w:sz w:val="20"/>
          <w:szCs w:val="20"/>
          <w:lang w:val="es-ES"/>
        </w:rPr>
        <w:t xml:space="preserve"> </w:t>
      </w:r>
      <w:proofErr w:type="spellStart"/>
      <w:r w:rsidRPr="000A1667">
        <w:rPr>
          <w:rFonts w:ascii="Cambria" w:hAnsi="Cambria" w:cs="Cambria"/>
          <w:i/>
          <w:iCs/>
          <w:color w:val="000000" w:themeColor="text1"/>
          <w:sz w:val="20"/>
          <w:szCs w:val="20"/>
          <w:lang w:val="es-ES"/>
        </w:rPr>
        <w:t>Action</w:t>
      </w:r>
      <w:proofErr w:type="spellEnd"/>
      <w:r w:rsidRPr="000A1667">
        <w:rPr>
          <w:rFonts w:ascii="Cambria" w:hAnsi="Cambria" w:cs="Cambria"/>
          <w:i/>
          <w:iCs/>
          <w:color w:val="000000" w:themeColor="text1"/>
          <w:sz w:val="20"/>
          <w:szCs w:val="20"/>
          <w:lang w:val="es-ES"/>
        </w:rPr>
        <w:t xml:space="preserve"> </w:t>
      </w:r>
      <w:proofErr w:type="spellStart"/>
      <w:r w:rsidRPr="000A1667">
        <w:rPr>
          <w:rFonts w:ascii="Cambria" w:hAnsi="Cambria" w:cs="Cambria"/>
          <w:i/>
          <w:iCs/>
          <w:color w:val="000000" w:themeColor="text1"/>
          <w:sz w:val="20"/>
          <w:szCs w:val="20"/>
          <w:lang w:val="es-ES"/>
        </w:rPr>
        <w:t>for</w:t>
      </w:r>
      <w:proofErr w:type="spellEnd"/>
      <w:r w:rsidRPr="000A1667">
        <w:rPr>
          <w:rFonts w:ascii="Cambria" w:hAnsi="Cambria" w:cs="Cambria"/>
          <w:i/>
          <w:iCs/>
          <w:color w:val="000000" w:themeColor="text1"/>
          <w:sz w:val="20"/>
          <w:szCs w:val="20"/>
          <w:lang w:val="es-ES"/>
        </w:rPr>
        <w:t xml:space="preserve"> </w:t>
      </w:r>
      <w:proofErr w:type="spellStart"/>
      <w:r w:rsidRPr="000A1667">
        <w:rPr>
          <w:rFonts w:ascii="Cambria" w:hAnsi="Cambria" w:cs="Cambria"/>
          <w:i/>
          <w:iCs/>
          <w:color w:val="000000" w:themeColor="text1"/>
          <w:sz w:val="20"/>
          <w:szCs w:val="20"/>
          <w:lang w:val="es-ES"/>
        </w:rPr>
        <w:t>Unauthorized</w:t>
      </w:r>
      <w:proofErr w:type="spellEnd"/>
      <w:r w:rsidRPr="000A1667">
        <w:rPr>
          <w:rFonts w:ascii="Cambria" w:hAnsi="Cambria" w:cs="Cambria"/>
          <w:i/>
          <w:iCs/>
          <w:color w:val="000000" w:themeColor="text1"/>
          <w:sz w:val="20"/>
          <w:szCs w:val="20"/>
          <w:lang w:val="es-ES"/>
        </w:rPr>
        <w:t xml:space="preserve"> </w:t>
      </w:r>
      <w:proofErr w:type="spellStart"/>
      <w:r w:rsidRPr="000A1667">
        <w:rPr>
          <w:rFonts w:ascii="Cambria" w:hAnsi="Cambria" w:cs="Cambria"/>
          <w:i/>
          <w:iCs/>
          <w:color w:val="000000" w:themeColor="text1"/>
          <w:sz w:val="20"/>
          <w:szCs w:val="20"/>
          <w:lang w:val="es-ES"/>
        </w:rPr>
        <w:t>Immigrant</w:t>
      </w:r>
      <w:proofErr w:type="spellEnd"/>
      <w:r w:rsidRPr="000A1667">
        <w:rPr>
          <w:rFonts w:ascii="Cambria" w:hAnsi="Cambria" w:cs="Cambria"/>
          <w:i/>
          <w:iCs/>
          <w:color w:val="000000" w:themeColor="text1"/>
          <w:sz w:val="20"/>
          <w:szCs w:val="20"/>
          <w:lang w:val="es-ES"/>
        </w:rPr>
        <w:t xml:space="preserve"> </w:t>
      </w:r>
      <w:proofErr w:type="spellStart"/>
      <w:r w:rsidRPr="000A1667">
        <w:rPr>
          <w:rFonts w:ascii="Cambria" w:hAnsi="Cambria" w:cs="Cambria"/>
          <w:i/>
          <w:iCs/>
          <w:color w:val="000000" w:themeColor="text1"/>
          <w:sz w:val="20"/>
          <w:szCs w:val="20"/>
          <w:lang w:val="es-ES"/>
        </w:rPr>
        <w:t>Parents</w:t>
      </w:r>
      <w:proofErr w:type="spellEnd"/>
      <w:r w:rsidRPr="000A1667">
        <w:rPr>
          <w:rFonts w:ascii="Cambria" w:hAnsi="Cambria" w:cs="Cambria"/>
          <w:color w:val="000000" w:themeColor="text1"/>
          <w:sz w:val="20"/>
          <w:szCs w:val="20"/>
          <w:lang w:val="es-ES"/>
        </w:rPr>
        <w:t>). Además, indicaron que, el 23 de junio de 2016, la Corte Suprema de Estados Unidos se negó a revisar este tema, confirmando la decisión de las cortes inferiores</w:t>
      </w:r>
      <w:r w:rsidRPr="000A1667">
        <w:rPr>
          <w:rStyle w:val="FootnoteReference"/>
          <w:rFonts w:ascii="Cambria" w:hAnsi="Cambria" w:cs="Cambria"/>
          <w:color w:val="000000" w:themeColor="text1"/>
          <w:sz w:val="20"/>
          <w:szCs w:val="20"/>
          <w:lang w:val="es-ES"/>
        </w:rPr>
        <w:footnoteReference w:id="9"/>
      </w:r>
      <w:r w:rsidRPr="000A1667">
        <w:rPr>
          <w:rFonts w:ascii="Cambria" w:hAnsi="Cambria" w:cs="Cambria"/>
          <w:color w:val="000000" w:themeColor="text1"/>
          <w:sz w:val="20"/>
          <w:szCs w:val="20"/>
          <w:lang w:val="es-ES"/>
        </w:rPr>
        <w:t>.</w:t>
      </w:r>
      <w:r w:rsidRPr="000A1667">
        <w:rPr>
          <w:rFonts w:ascii="Cambria" w:hAnsi="Cambria" w:cs="Calibri Light"/>
          <w:b/>
          <w:color w:val="000000" w:themeColor="text1"/>
          <w:sz w:val="20"/>
          <w:szCs w:val="20"/>
          <w:lang w:val="es-ES"/>
        </w:rPr>
        <w:t xml:space="preserve"> </w:t>
      </w:r>
    </w:p>
    <w:p w14:paraId="7903BC80" w14:textId="77777777" w:rsidR="00DC633F" w:rsidRPr="000A1667" w:rsidRDefault="00DC633F" w:rsidP="00DC633F">
      <w:pPr>
        <w:pStyle w:val="ListParagraph"/>
        <w:jc w:val="both"/>
        <w:rPr>
          <w:rFonts w:ascii="Cambria" w:hAnsi="Cambria" w:cs="Calibri Light"/>
          <w:b/>
          <w:color w:val="000000" w:themeColor="text1"/>
          <w:sz w:val="20"/>
          <w:szCs w:val="20"/>
          <w:lang w:val="es-ES"/>
        </w:rPr>
      </w:pPr>
    </w:p>
    <w:p w14:paraId="0EE27B7A" w14:textId="46469F98" w:rsidR="003A7CE5" w:rsidRPr="000A1667" w:rsidRDefault="003A7CE5" w:rsidP="003A7CE5">
      <w:pPr>
        <w:pStyle w:val="ListParagraph"/>
        <w:numPr>
          <w:ilvl w:val="0"/>
          <w:numId w:val="13"/>
        </w:numPr>
        <w:jc w:val="both"/>
        <w:rPr>
          <w:rFonts w:ascii="Cambria" w:hAnsi="Cambria" w:cs="Calibri Light"/>
          <w:b/>
          <w:color w:val="000000" w:themeColor="text1"/>
          <w:sz w:val="20"/>
          <w:szCs w:val="20"/>
          <w:lang w:val="es-ES"/>
        </w:rPr>
      </w:pPr>
      <w:r w:rsidRPr="000A1667">
        <w:rPr>
          <w:rFonts w:ascii="Cambria" w:hAnsi="Cambria"/>
          <w:color w:val="000000" w:themeColor="text1"/>
          <w:sz w:val="20"/>
          <w:szCs w:val="20"/>
          <w:lang w:val="es-ES"/>
        </w:rPr>
        <w:t>En 2018, los peticionarios informaron que el Estado había tomado medidas para socavar aún más los derechos al debido proceso y a la vida familiar de los residentes no ciudadanos</w:t>
      </w:r>
      <w:r w:rsidRPr="000A1667">
        <w:rPr>
          <w:rFonts w:ascii="Cambria" w:hAnsi="Cambria" w:cs="Calibri Light"/>
          <w:color w:val="000000" w:themeColor="text1"/>
          <w:sz w:val="20"/>
          <w:szCs w:val="20"/>
          <w:lang w:val="es-ES"/>
        </w:rPr>
        <w:t>. Los peticionarios observaron que, durante los meses precedentes, el Fiscal General de Estados Unidos (</w:t>
      </w:r>
      <w:proofErr w:type="spellStart"/>
      <w:r w:rsidRPr="000A1667">
        <w:rPr>
          <w:rFonts w:ascii="Cambria" w:hAnsi="Cambria" w:cs="Calibri Light"/>
          <w:i/>
          <w:color w:val="000000" w:themeColor="text1"/>
          <w:sz w:val="20"/>
          <w:szCs w:val="20"/>
          <w:lang w:val="es-ES"/>
        </w:rPr>
        <w:t>the</w:t>
      </w:r>
      <w:proofErr w:type="spellEnd"/>
      <w:r w:rsidRPr="000A1667">
        <w:rPr>
          <w:rFonts w:ascii="Cambria" w:hAnsi="Cambria" w:cs="Calibri Light"/>
          <w:i/>
          <w:color w:val="000000" w:themeColor="text1"/>
          <w:sz w:val="20"/>
          <w:szCs w:val="20"/>
          <w:lang w:val="es-ES"/>
        </w:rPr>
        <w:t xml:space="preserve"> </w:t>
      </w:r>
      <w:proofErr w:type="spellStart"/>
      <w:r w:rsidRPr="000A1667">
        <w:rPr>
          <w:rFonts w:ascii="Cambria" w:hAnsi="Cambria" w:cs="Calibri Light"/>
          <w:i/>
          <w:color w:val="000000" w:themeColor="text1"/>
          <w:sz w:val="20"/>
          <w:szCs w:val="20"/>
          <w:lang w:val="es-ES"/>
        </w:rPr>
        <w:t>Attorney</w:t>
      </w:r>
      <w:proofErr w:type="spellEnd"/>
      <w:r w:rsidRPr="000A1667">
        <w:rPr>
          <w:rFonts w:ascii="Cambria" w:hAnsi="Cambria" w:cs="Calibri Light"/>
          <w:i/>
          <w:color w:val="000000" w:themeColor="text1"/>
          <w:sz w:val="20"/>
          <w:szCs w:val="20"/>
          <w:lang w:val="es-ES"/>
        </w:rPr>
        <w:t xml:space="preserve"> General</w:t>
      </w:r>
      <w:r w:rsidRPr="000A1667">
        <w:rPr>
          <w:rFonts w:ascii="Cambria" w:hAnsi="Cambria" w:cs="Calibri Light"/>
          <w:color w:val="000000" w:themeColor="text1"/>
          <w:sz w:val="20"/>
          <w:szCs w:val="20"/>
          <w:lang w:val="es-ES"/>
        </w:rPr>
        <w:t xml:space="preserve">): había impuesto obstáculos procesales con los cuales hacía más difícil que las personas que fueran objeto de un procedimiento de expulsión solicitaran y obtuvieran aplazamientos, los cuales, a su vez, suelen ser necesarios para obtener asistencia letrada; había limitado la discrecionalidad de los jueces de inmigración para suspender la tramitación de casos, mientras se esperan decisiones de otros organismos o tribunales que puedan servir de base para obtener la condición migratoria legal; había </w:t>
      </w:r>
      <w:r w:rsidRPr="000A1667">
        <w:rPr>
          <w:rFonts w:ascii="Cambria" w:eastAsia="Times New Roman" w:hAnsi="Cambria" w:cs="Courier New"/>
          <w:color w:val="000000" w:themeColor="text1"/>
          <w:sz w:val="20"/>
          <w:szCs w:val="20"/>
          <w:lang w:val="es-ES"/>
        </w:rPr>
        <w:t xml:space="preserve">limitado gravemente la capacidad de los jueces de inmigración para terminar o desestimar los casos, una herramienta que ha sido utilizada por los jueces para </w:t>
      </w:r>
      <w:r w:rsidRPr="000A1667">
        <w:rPr>
          <w:rFonts w:ascii="Cambria" w:eastAsia="Times New Roman" w:hAnsi="Cambria" w:cs="Courier New"/>
          <w:color w:val="000000" w:themeColor="text1"/>
          <w:sz w:val="20"/>
          <w:szCs w:val="20"/>
          <w:lang w:val="es-ES"/>
        </w:rPr>
        <w:lastRenderedPageBreak/>
        <w:t>cerrar casos donde, entre otras cosas, existen razones de peso para respetar los derechos de la familia; y había impuesto a los jueces de inmigración cuotas mínimas de resolución de casos, de conformidad con las cuales debía emitirse un determinado número de fallos dentro de ciertos períodos de tiempo. De no cumplir con esas cuotas de resolución, los jueces se verían expuestos a sanciones disciplinarias. Los peticionarios destacaron que todas estas medidas les permitían concluir que existía una agenda política dirigida a racionalizar los procedimientos de remoción y a deportar a un gran número de personas, a costa de la vulneración de los derechos al debido proceso y a la unidad familiar. Sin embargo, los peticionarios notaron que muchos jueces de inmigración se oponen a estas medidas y que aún conservan una discrecionalidad significativa para otorgar un alivio acorde a la equidad. Los peticionarios reiteraron que es importante que la Comisión emita recomendaciones detalladas sobre las obligaciones del Estado de respetar y proteger la vida familiar, especialmente durante este período en el cual los jueces de inmigración están siendo presionados para emitir decisiones expeditas. En su criterio, esta orientación debe aclarar que estas obligaciones aplican a todos los agentes estatales.</w:t>
      </w:r>
    </w:p>
    <w:p w14:paraId="21A7AA6C" w14:textId="77777777" w:rsidR="003A7CE5" w:rsidRPr="000A1667" w:rsidRDefault="003A7CE5" w:rsidP="003A7CE5">
      <w:pPr>
        <w:pStyle w:val="ListParagraph"/>
        <w:jc w:val="both"/>
        <w:rPr>
          <w:rFonts w:ascii="Cambria" w:hAnsi="Cambria" w:cs="Calibri Light"/>
          <w:b/>
          <w:color w:val="000000" w:themeColor="text1"/>
          <w:sz w:val="20"/>
          <w:szCs w:val="20"/>
          <w:lang w:val="es-ES"/>
        </w:rPr>
      </w:pPr>
    </w:p>
    <w:p w14:paraId="3841C66E" w14:textId="77777777" w:rsidR="003A7CE5" w:rsidRPr="000A1667" w:rsidRDefault="003A7CE5" w:rsidP="003A7CE5">
      <w:pPr>
        <w:pStyle w:val="ListParagraph"/>
        <w:numPr>
          <w:ilvl w:val="0"/>
          <w:numId w:val="13"/>
        </w:numPr>
        <w:jc w:val="both"/>
        <w:rPr>
          <w:rFonts w:ascii="Cambria" w:hAnsi="Cambria" w:cs="Calibri Light"/>
          <w:color w:val="000000" w:themeColor="text1"/>
          <w:sz w:val="20"/>
          <w:szCs w:val="20"/>
          <w:lang w:val="es-ES"/>
        </w:rPr>
      </w:pPr>
      <w:r w:rsidRPr="000A1667">
        <w:rPr>
          <w:rFonts w:ascii="Cambria" w:hAnsi="Cambria" w:cs="Calibri Light"/>
          <w:color w:val="000000" w:themeColor="text1"/>
          <w:sz w:val="20"/>
          <w:szCs w:val="20"/>
          <w:lang w:val="es-ES"/>
        </w:rPr>
        <w:t>En 2019, los peticionarios reiteraron los hechos arriba mencionados,</w:t>
      </w:r>
      <w:r w:rsidRPr="000A1667">
        <w:rPr>
          <w:color w:val="000000" w:themeColor="text1"/>
          <w:lang w:val="es-ES"/>
        </w:rPr>
        <w:t xml:space="preserve"> </w:t>
      </w:r>
      <w:r w:rsidRPr="000A1667">
        <w:rPr>
          <w:rFonts w:ascii="Cambria" w:hAnsi="Cambria" w:cs="Calibri Light"/>
          <w:color w:val="000000" w:themeColor="text1"/>
          <w:sz w:val="20"/>
          <w:szCs w:val="20"/>
          <w:lang w:val="es-ES"/>
        </w:rPr>
        <w:t>pero también declararon que los Estados Unidos han anunciado que ampliarán la "política de remoción acelerada", que consiste en la expulsión de no ciudadanos detenidos en cualquier parte del territorio y que no puedan demostrar satisfactoriamente a un oficial de inmigración que han estado presentes físicamente de manera continua en los Estados Unidos durante al menos dos años. En estos casos, el oficial de inmigración puede emitir inmediatamente una orden de expulsión sin la intervención de un juez de inmigración ni la posibilidad de solicitar una exención por razones humanitarias o en virtud del interés superior de los niños.</w:t>
      </w:r>
    </w:p>
    <w:p w14:paraId="4E663198" w14:textId="77777777" w:rsidR="003A7CE5" w:rsidRPr="000A1667" w:rsidRDefault="003A7CE5" w:rsidP="003A7CE5">
      <w:pPr>
        <w:pStyle w:val="ListParagraph"/>
        <w:rPr>
          <w:rFonts w:ascii="Cambria" w:hAnsi="Cambria" w:cs="Calibri Light"/>
          <w:color w:val="000000" w:themeColor="text1"/>
          <w:sz w:val="20"/>
          <w:szCs w:val="20"/>
          <w:lang w:val="es-ES"/>
        </w:rPr>
      </w:pPr>
    </w:p>
    <w:p w14:paraId="2D6F1C0C" w14:textId="68312897" w:rsidR="006F6890" w:rsidRPr="000A1667" w:rsidRDefault="003A7CE5" w:rsidP="006F6890">
      <w:pPr>
        <w:pStyle w:val="ListParagraph"/>
        <w:numPr>
          <w:ilvl w:val="0"/>
          <w:numId w:val="13"/>
        </w:numPr>
        <w:jc w:val="both"/>
        <w:rPr>
          <w:rFonts w:ascii="Cambria" w:hAnsi="Cambria" w:cs="Calibri Light"/>
          <w:color w:val="000000" w:themeColor="text1"/>
          <w:sz w:val="20"/>
          <w:szCs w:val="20"/>
          <w:lang w:val="es-ES"/>
        </w:rPr>
      </w:pPr>
      <w:r w:rsidRPr="000A1667">
        <w:rPr>
          <w:rFonts w:ascii="Cambria" w:hAnsi="Cambria" w:cs="Calibri Light"/>
          <w:color w:val="000000" w:themeColor="text1"/>
          <w:sz w:val="20"/>
          <w:szCs w:val="20"/>
          <w:lang w:val="es-ES"/>
        </w:rPr>
        <w:t>En 2020, los peticionarios expresaron que las medidas reportadas por ellos en 2018 y 2019, continuaban en vigencia en los Estados Unidos. Con respecto a la política de remoción expedita (</w:t>
      </w:r>
      <w:proofErr w:type="spellStart"/>
      <w:r w:rsidRPr="000A1667">
        <w:rPr>
          <w:rFonts w:ascii="Cambria" w:hAnsi="Cambria" w:cs="Calibri Light"/>
          <w:color w:val="000000" w:themeColor="text1"/>
          <w:sz w:val="20"/>
          <w:szCs w:val="20"/>
          <w:lang w:val="es-ES"/>
        </w:rPr>
        <w:t>expedited</w:t>
      </w:r>
      <w:proofErr w:type="spellEnd"/>
      <w:r w:rsidRPr="000A1667">
        <w:rPr>
          <w:rFonts w:ascii="Cambria" w:hAnsi="Cambria" w:cs="Calibri Light"/>
          <w:color w:val="000000" w:themeColor="text1"/>
          <w:sz w:val="20"/>
          <w:szCs w:val="20"/>
          <w:lang w:val="es-ES"/>
        </w:rPr>
        <w:t xml:space="preserve"> </w:t>
      </w:r>
      <w:proofErr w:type="spellStart"/>
      <w:r w:rsidRPr="000A1667">
        <w:rPr>
          <w:rFonts w:ascii="Cambria" w:hAnsi="Cambria" w:cs="Calibri Light"/>
          <w:color w:val="000000" w:themeColor="text1"/>
          <w:sz w:val="20"/>
          <w:szCs w:val="20"/>
          <w:lang w:val="es-ES"/>
        </w:rPr>
        <w:t>removal</w:t>
      </w:r>
      <w:proofErr w:type="spellEnd"/>
      <w:r w:rsidRPr="000A1667">
        <w:rPr>
          <w:rFonts w:ascii="Cambria" w:hAnsi="Cambria" w:cs="Calibri Light"/>
          <w:color w:val="000000" w:themeColor="text1"/>
          <w:sz w:val="20"/>
          <w:szCs w:val="20"/>
          <w:lang w:val="es-ES"/>
        </w:rPr>
        <w:t xml:space="preserve">), los peticionarios informaron que la política se encuentra bajo revisión provisional en la Corte de Distrito para el Distrito de Columbia. Además, los peticionarios reportaron recientes desarrollos judiciales y jurisprudenciales en Estados Unidos para la protección de los vínculos familiares y la situación de los migrantes con familias que llegaran como niños al país. Por ejemplo, los peticionarios mencionaron la decisión emitida en 2018 dentro del caso </w:t>
      </w:r>
      <w:proofErr w:type="spellStart"/>
      <w:r w:rsidRPr="000A1667">
        <w:rPr>
          <w:rFonts w:ascii="Cambria" w:hAnsi="Cambria" w:cs="Calibri Light"/>
          <w:i/>
          <w:color w:val="000000" w:themeColor="text1"/>
          <w:sz w:val="20"/>
          <w:szCs w:val="20"/>
          <w:lang w:val="es-ES"/>
        </w:rPr>
        <w:t>Matter</w:t>
      </w:r>
      <w:proofErr w:type="spellEnd"/>
      <w:r w:rsidRPr="000A1667">
        <w:rPr>
          <w:rFonts w:ascii="Cambria" w:hAnsi="Cambria" w:cs="Calibri Light"/>
          <w:i/>
          <w:color w:val="000000" w:themeColor="text1"/>
          <w:sz w:val="20"/>
          <w:szCs w:val="20"/>
          <w:lang w:val="es-ES"/>
        </w:rPr>
        <w:t xml:space="preserve"> of Castro-</w:t>
      </w:r>
      <w:proofErr w:type="spellStart"/>
      <w:r w:rsidRPr="000A1667">
        <w:rPr>
          <w:rFonts w:ascii="Cambria" w:hAnsi="Cambria" w:cs="Calibri Light"/>
          <w:i/>
          <w:color w:val="000000" w:themeColor="text1"/>
          <w:sz w:val="20"/>
          <w:szCs w:val="20"/>
          <w:lang w:val="es-ES"/>
        </w:rPr>
        <w:t>Tum</w:t>
      </w:r>
      <w:proofErr w:type="spellEnd"/>
      <w:r w:rsidRPr="000A1667">
        <w:rPr>
          <w:rFonts w:ascii="Cambria" w:hAnsi="Cambria" w:cs="Calibri Light"/>
          <w:color w:val="000000" w:themeColor="text1"/>
          <w:sz w:val="20"/>
          <w:szCs w:val="20"/>
          <w:lang w:val="es-ES"/>
        </w:rPr>
        <w:t xml:space="preserve">, que limitaría la habilidad de los jueces de inmigración a archivar casos administrativamente ante decisiones pendientes que puedan proveer una base para obtener estatus legal. Al respecto, los peticionarios indicaron que la Cuarta y Séptima Cortes de Apelaciones del Circuito removieron la restricción sobre cierre administrativo de casos citada en el caso de </w:t>
      </w:r>
      <w:r w:rsidRPr="000A1667">
        <w:rPr>
          <w:rFonts w:ascii="Cambria" w:hAnsi="Cambria" w:cs="Calibri Light"/>
          <w:i/>
          <w:color w:val="000000" w:themeColor="text1"/>
          <w:sz w:val="20"/>
          <w:szCs w:val="20"/>
          <w:lang w:val="es-ES"/>
        </w:rPr>
        <w:t>Castro-</w:t>
      </w:r>
      <w:proofErr w:type="spellStart"/>
      <w:r w:rsidRPr="000A1667">
        <w:rPr>
          <w:rFonts w:ascii="Cambria" w:hAnsi="Cambria" w:cs="Calibri Light"/>
          <w:i/>
          <w:color w:val="000000" w:themeColor="text1"/>
          <w:sz w:val="20"/>
          <w:szCs w:val="20"/>
          <w:lang w:val="es-ES"/>
        </w:rPr>
        <w:t>Tum</w:t>
      </w:r>
      <w:proofErr w:type="spellEnd"/>
      <w:r w:rsidRPr="000A1667">
        <w:rPr>
          <w:rFonts w:ascii="Cambria" w:hAnsi="Cambria" w:cs="Calibri Light"/>
          <w:color w:val="000000" w:themeColor="text1"/>
          <w:sz w:val="20"/>
          <w:szCs w:val="20"/>
          <w:lang w:val="es-ES"/>
        </w:rPr>
        <w:t xml:space="preserve">, pero informaron que la decisión solamente sería aplicable a los casos en dichas cortes. Sobre este punto, los peticionarios expresaron su preocupación acerca de la regla propuesta por el Departamento de Justicia para codificar la guía del anterior Fiscal General, </w:t>
      </w:r>
      <w:proofErr w:type="spellStart"/>
      <w:r w:rsidRPr="000A1667">
        <w:rPr>
          <w:rFonts w:ascii="Cambria" w:hAnsi="Cambria" w:cs="Calibri Light"/>
          <w:color w:val="000000" w:themeColor="text1"/>
          <w:sz w:val="20"/>
          <w:szCs w:val="20"/>
          <w:lang w:val="es-ES"/>
        </w:rPr>
        <w:t>Sessions</w:t>
      </w:r>
      <w:proofErr w:type="spellEnd"/>
      <w:r w:rsidRPr="000A1667">
        <w:rPr>
          <w:rFonts w:ascii="Cambria" w:hAnsi="Cambria" w:cs="Calibri Light"/>
          <w:color w:val="000000" w:themeColor="text1"/>
          <w:sz w:val="20"/>
          <w:szCs w:val="20"/>
          <w:lang w:val="es-ES"/>
        </w:rPr>
        <w:t xml:space="preserve">, para restringir el archivo administrativo de casos, la cual permitiría también, al director de la Oficina Ejecutiva de Revisión de Inmigración, a revertir, individualmente, las decisiones del Consejo de Apelaciones de Inmigración. Otro retroceso reportado en la regulación de inmigración tomó lugar en el caso </w:t>
      </w:r>
      <w:r w:rsidRPr="000A1667">
        <w:rPr>
          <w:rFonts w:ascii="Cambria" w:hAnsi="Cambria" w:cs="Calibri Light"/>
          <w:i/>
          <w:color w:val="000000" w:themeColor="text1"/>
          <w:sz w:val="20"/>
          <w:szCs w:val="20"/>
          <w:lang w:val="es-ES"/>
        </w:rPr>
        <w:t>Barton v. Barr</w:t>
      </w:r>
      <w:r w:rsidRPr="000A1667">
        <w:rPr>
          <w:rFonts w:ascii="Cambria" w:hAnsi="Cambria" w:cs="Calibri Light"/>
          <w:color w:val="000000" w:themeColor="text1"/>
          <w:sz w:val="20"/>
          <w:szCs w:val="20"/>
          <w:lang w:val="es-ES"/>
        </w:rPr>
        <w:t xml:space="preserve"> (2020) de la Corte Suprema, puesto que omite consideraciones familiares al momento de decidir sobre la regla de “stop time” empleada para evaluar la condición de siete años de residencia necesaria para cancelar la remoción de residentes permanentes. Finalmente, los peticionarios indicaron que, durante los ocho años anteriores, el Departamento de Seguridad Interior (DHS, por sus siglas en inglés) ha aceptado no deportar a algunos jóvenes indocumentados que vinieran al país como niños, basado en la política de Acción Diferida para la Llegada de Niños (</w:t>
      </w:r>
      <w:proofErr w:type="spellStart"/>
      <w:r w:rsidRPr="000A1667">
        <w:rPr>
          <w:rFonts w:ascii="Cambria" w:hAnsi="Cambria" w:cs="Calibri Light"/>
          <w:color w:val="000000" w:themeColor="text1"/>
          <w:sz w:val="20"/>
          <w:szCs w:val="20"/>
          <w:lang w:val="es-ES"/>
        </w:rPr>
        <w:t>Deferred</w:t>
      </w:r>
      <w:proofErr w:type="spellEnd"/>
      <w:r w:rsidRPr="000A1667">
        <w:rPr>
          <w:rFonts w:ascii="Cambria" w:hAnsi="Cambria" w:cs="Calibri Light"/>
          <w:color w:val="000000" w:themeColor="text1"/>
          <w:sz w:val="20"/>
          <w:szCs w:val="20"/>
          <w:lang w:val="es-ES"/>
        </w:rPr>
        <w:t xml:space="preserve"> </w:t>
      </w:r>
      <w:proofErr w:type="spellStart"/>
      <w:r w:rsidRPr="000A1667">
        <w:rPr>
          <w:rFonts w:ascii="Cambria" w:hAnsi="Cambria" w:cs="Calibri Light"/>
          <w:color w:val="000000" w:themeColor="text1"/>
          <w:sz w:val="20"/>
          <w:szCs w:val="20"/>
          <w:lang w:val="es-ES"/>
        </w:rPr>
        <w:t>Actions</w:t>
      </w:r>
      <w:proofErr w:type="spellEnd"/>
      <w:r w:rsidRPr="000A1667">
        <w:rPr>
          <w:rFonts w:ascii="Cambria" w:hAnsi="Cambria" w:cs="Calibri Light"/>
          <w:color w:val="000000" w:themeColor="text1"/>
          <w:sz w:val="20"/>
          <w:szCs w:val="20"/>
          <w:lang w:val="es-ES"/>
        </w:rPr>
        <w:t xml:space="preserve"> </w:t>
      </w:r>
      <w:proofErr w:type="spellStart"/>
      <w:r w:rsidRPr="000A1667">
        <w:rPr>
          <w:rFonts w:ascii="Cambria" w:hAnsi="Cambria" w:cs="Calibri Light"/>
          <w:color w:val="000000" w:themeColor="text1"/>
          <w:sz w:val="20"/>
          <w:szCs w:val="20"/>
          <w:lang w:val="es-ES"/>
        </w:rPr>
        <w:t>for</w:t>
      </w:r>
      <w:proofErr w:type="spellEnd"/>
      <w:r w:rsidRPr="000A1667">
        <w:rPr>
          <w:rFonts w:ascii="Cambria" w:hAnsi="Cambria" w:cs="Calibri Light"/>
          <w:color w:val="000000" w:themeColor="text1"/>
          <w:sz w:val="20"/>
          <w:szCs w:val="20"/>
          <w:lang w:val="es-ES"/>
        </w:rPr>
        <w:t xml:space="preserve"> </w:t>
      </w:r>
      <w:proofErr w:type="spellStart"/>
      <w:r w:rsidRPr="000A1667">
        <w:rPr>
          <w:rFonts w:ascii="Cambria" w:hAnsi="Cambria" w:cs="Calibri Light"/>
          <w:color w:val="000000" w:themeColor="text1"/>
          <w:sz w:val="20"/>
          <w:szCs w:val="20"/>
          <w:lang w:val="es-ES"/>
        </w:rPr>
        <w:t>Childhood</w:t>
      </w:r>
      <w:proofErr w:type="spellEnd"/>
      <w:r w:rsidRPr="000A1667">
        <w:rPr>
          <w:rFonts w:ascii="Cambria" w:hAnsi="Cambria" w:cs="Calibri Light"/>
          <w:color w:val="000000" w:themeColor="text1"/>
          <w:sz w:val="20"/>
          <w:szCs w:val="20"/>
          <w:lang w:val="es-ES"/>
        </w:rPr>
        <w:t xml:space="preserve"> </w:t>
      </w:r>
      <w:proofErr w:type="spellStart"/>
      <w:r w:rsidRPr="000A1667">
        <w:rPr>
          <w:rFonts w:ascii="Cambria" w:hAnsi="Cambria" w:cs="Calibri Light"/>
          <w:color w:val="000000" w:themeColor="text1"/>
          <w:sz w:val="20"/>
          <w:szCs w:val="20"/>
          <w:lang w:val="es-ES"/>
        </w:rPr>
        <w:t>ARrivals</w:t>
      </w:r>
      <w:proofErr w:type="spellEnd"/>
      <w:r w:rsidRPr="000A1667">
        <w:rPr>
          <w:rFonts w:ascii="Cambria" w:hAnsi="Cambria" w:cs="Calibri Light"/>
          <w:color w:val="000000" w:themeColor="text1"/>
          <w:sz w:val="20"/>
          <w:szCs w:val="20"/>
          <w:lang w:val="es-ES"/>
        </w:rPr>
        <w:t xml:space="preserve"> (DACA, por sus siglas en inglés). Sin embargo, en 2017, el Fiscal General de Estados Unidos anunció que la política sería terminada y que Estados Unidos comenzaría deportando individuos que, de otra forma, cualificarían para DACA. El 18 de junio de 2020, la Corte Suprema remitió de vuelta el caso a consideración del DHS, enfatizando que las razones del Fiscal General para terminar con el programa no serían adecuadas.</w:t>
      </w:r>
      <w:r w:rsidRPr="000A1667">
        <w:rPr>
          <w:rStyle w:val="FootnoteReference"/>
          <w:rFonts w:ascii="Cambria" w:hAnsi="Cambria" w:cs="Calibri Light"/>
          <w:color w:val="000000" w:themeColor="text1"/>
          <w:sz w:val="20"/>
          <w:szCs w:val="20"/>
        </w:rPr>
        <w:footnoteReference w:id="10"/>
      </w:r>
      <w:r w:rsidRPr="000A1667">
        <w:rPr>
          <w:rFonts w:ascii="Cambria" w:hAnsi="Cambria" w:cs="Calibri Light"/>
          <w:color w:val="000000" w:themeColor="text1"/>
          <w:sz w:val="20"/>
          <w:szCs w:val="20"/>
          <w:lang w:val="es-ES"/>
        </w:rPr>
        <w:t xml:space="preserve"> A pesar de ello, los peticionarios informaron que el DHS anunció que no recibiría nuevas solicitudes de individuos que no han sido aprobados para DACA previamente, revelando la terminación total del programa.</w:t>
      </w:r>
    </w:p>
    <w:p w14:paraId="08094BB1" w14:textId="4340A0BA" w:rsidR="0012788D" w:rsidRPr="000A1667" w:rsidRDefault="006F6890" w:rsidP="00A95306">
      <w:pPr>
        <w:pStyle w:val="ListParagraph"/>
        <w:numPr>
          <w:ilvl w:val="0"/>
          <w:numId w:val="13"/>
        </w:numPr>
        <w:jc w:val="both"/>
        <w:rPr>
          <w:rFonts w:ascii="Cambria" w:hAnsi="Cambria" w:cs="Calibri Light"/>
          <w:color w:val="000000" w:themeColor="text1"/>
          <w:sz w:val="20"/>
          <w:szCs w:val="20"/>
          <w:lang w:val="es-ES"/>
        </w:rPr>
      </w:pPr>
      <w:r w:rsidRPr="000A1667">
        <w:rPr>
          <w:rFonts w:ascii="Cambria" w:hAnsi="Cambria" w:cs="Calibri Light"/>
          <w:color w:val="000000" w:themeColor="text1"/>
          <w:sz w:val="20"/>
          <w:szCs w:val="20"/>
          <w:lang w:val="es-ES"/>
        </w:rPr>
        <w:lastRenderedPageBreak/>
        <w:t xml:space="preserve">En 2021 los peticionarios </w:t>
      </w:r>
      <w:r w:rsidR="0012788D" w:rsidRPr="000A1667">
        <w:rPr>
          <w:rFonts w:ascii="Cambria" w:hAnsi="Cambria" w:cs="Calibri Light"/>
          <w:color w:val="000000" w:themeColor="text1"/>
          <w:sz w:val="20"/>
          <w:szCs w:val="20"/>
          <w:lang w:val="es-ES"/>
        </w:rPr>
        <w:t xml:space="preserve">informaron de la existencia de una propuesta de reforma a la ley H.R. 1177, U.S. </w:t>
      </w:r>
      <w:proofErr w:type="spellStart"/>
      <w:r w:rsidR="0012788D" w:rsidRPr="000A1667">
        <w:rPr>
          <w:rFonts w:ascii="Cambria" w:hAnsi="Cambria" w:cs="Calibri Light"/>
          <w:color w:val="000000" w:themeColor="text1"/>
          <w:sz w:val="20"/>
          <w:szCs w:val="20"/>
          <w:lang w:val="es-ES"/>
        </w:rPr>
        <w:t>Citizenship</w:t>
      </w:r>
      <w:proofErr w:type="spellEnd"/>
      <w:r w:rsidR="0012788D" w:rsidRPr="000A1667">
        <w:rPr>
          <w:rFonts w:ascii="Cambria" w:hAnsi="Cambria" w:cs="Calibri Light"/>
          <w:color w:val="000000" w:themeColor="text1"/>
          <w:sz w:val="20"/>
          <w:szCs w:val="20"/>
          <w:lang w:val="es-ES"/>
        </w:rPr>
        <w:t xml:space="preserve"> </w:t>
      </w:r>
      <w:proofErr w:type="spellStart"/>
      <w:r w:rsidR="0012788D" w:rsidRPr="000A1667">
        <w:rPr>
          <w:rFonts w:ascii="Cambria" w:hAnsi="Cambria" w:cs="Calibri Light"/>
          <w:color w:val="000000" w:themeColor="text1"/>
          <w:sz w:val="20"/>
          <w:szCs w:val="20"/>
          <w:lang w:val="es-ES"/>
        </w:rPr>
        <w:t>Act</w:t>
      </w:r>
      <w:proofErr w:type="spellEnd"/>
      <w:r w:rsidR="0012788D" w:rsidRPr="000A1667">
        <w:rPr>
          <w:rFonts w:ascii="Cambria" w:hAnsi="Cambria" w:cs="Calibri Light"/>
          <w:color w:val="000000" w:themeColor="text1"/>
          <w:sz w:val="20"/>
          <w:szCs w:val="20"/>
          <w:lang w:val="es-ES"/>
        </w:rPr>
        <w:t xml:space="preserve">, que se encuentra actualmente en el Congreso y respecto de la cual el Presidente </w:t>
      </w:r>
      <w:r w:rsidR="007714DE" w:rsidRPr="000A1667">
        <w:rPr>
          <w:rFonts w:ascii="Cambria" w:hAnsi="Cambria" w:cs="Calibri Light"/>
          <w:color w:val="000000" w:themeColor="text1"/>
          <w:sz w:val="20"/>
          <w:szCs w:val="20"/>
          <w:lang w:val="es-ES"/>
        </w:rPr>
        <w:t xml:space="preserve">de </w:t>
      </w:r>
      <w:r w:rsidR="00433AD6" w:rsidRPr="000A1667">
        <w:rPr>
          <w:rFonts w:ascii="Cambria" w:hAnsi="Cambria" w:cs="Calibri Light"/>
          <w:color w:val="000000" w:themeColor="text1"/>
          <w:sz w:val="20"/>
          <w:szCs w:val="20"/>
          <w:lang w:val="es-ES"/>
        </w:rPr>
        <w:t xml:space="preserve">los </w:t>
      </w:r>
      <w:r w:rsidR="007714DE" w:rsidRPr="000A1667">
        <w:rPr>
          <w:rFonts w:ascii="Cambria" w:hAnsi="Cambria" w:cs="Calibri Light"/>
          <w:color w:val="000000" w:themeColor="text1"/>
          <w:sz w:val="20"/>
          <w:szCs w:val="20"/>
          <w:lang w:val="es-ES"/>
        </w:rPr>
        <w:t>Estados Unidos</w:t>
      </w:r>
      <w:r w:rsidR="0012788D" w:rsidRPr="000A1667">
        <w:rPr>
          <w:rFonts w:ascii="Cambria" w:hAnsi="Cambria" w:cs="Calibri Light"/>
          <w:color w:val="000000" w:themeColor="text1"/>
          <w:sz w:val="20"/>
          <w:szCs w:val="20"/>
          <w:lang w:val="es-ES"/>
        </w:rPr>
        <w:t xml:space="preserve"> expresó su respaldo. Los peticionarios expresaron que la aprobación de la reforma constituiría un paso sustancial en el caso, pero no un cumplimiento total de la recomendación. La propuesta de reforma, en la sección 1204 crearía amplias exenciones de los motivos de deportación, además de que busca asegurar la unidad familiar. No obstante, las personas que son inadmisibles por motivos de seguridad, o “a causa de un delito agravado” y que podrían ser deportadas por estos motivos</w:t>
      </w:r>
      <w:r w:rsidR="007714DE" w:rsidRPr="000A1667">
        <w:rPr>
          <w:rFonts w:ascii="Cambria" w:hAnsi="Cambria" w:cs="Calibri Light"/>
          <w:color w:val="000000" w:themeColor="text1"/>
          <w:sz w:val="20"/>
          <w:szCs w:val="20"/>
          <w:lang w:val="es-ES"/>
        </w:rPr>
        <w:t xml:space="preserve">, </w:t>
      </w:r>
      <w:r w:rsidR="0012788D" w:rsidRPr="000A1667">
        <w:rPr>
          <w:rFonts w:ascii="Cambria" w:hAnsi="Cambria" w:cs="Calibri Light"/>
          <w:color w:val="000000" w:themeColor="text1"/>
          <w:sz w:val="20"/>
          <w:szCs w:val="20"/>
          <w:lang w:val="es-ES"/>
        </w:rPr>
        <w:t>no serían elegibles para esta exención. Los peticionarios expresaron que, si bien la propuesta de reforma representa un avance, es deficiente en atender el problema específico del caso Smith y Armendáriz al no prever mecanismos que limiten los procesos de deportación en casos relacionados con los “delitos agravados”</w:t>
      </w:r>
      <w:r w:rsidR="00561F9B" w:rsidRPr="000A1667">
        <w:rPr>
          <w:rFonts w:ascii="Cambria" w:hAnsi="Cambria" w:cs="Calibri Light"/>
          <w:color w:val="000000" w:themeColor="text1"/>
          <w:sz w:val="20"/>
          <w:szCs w:val="20"/>
          <w:lang w:val="es-ES"/>
        </w:rPr>
        <w:t xml:space="preserve">, sobre todo en el marco de un debido proceso en el cual se debe realizar un análisis caso por caso. Los peticionarios refirieron que al día de hoy la propuesta de reforma no ha sido aprobada y los procesos y las detenciones continúan </w:t>
      </w:r>
      <w:r w:rsidR="00ED786B" w:rsidRPr="000A1667">
        <w:rPr>
          <w:rFonts w:ascii="Cambria" w:hAnsi="Cambria" w:cs="Calibri Light"/>
          <w:color w:val="000000" w:themeColor="text1"/>
          <w:sz w:val="20"/>
          <w:szCs w:val="20"/>
          <w:lang w:val="es-ES"/>
        </w:rPr>
        <w:t>resolviéndose</w:t>
      </w:r>
      <w:r w:rsidR="00561F9B" w:rsidRPr="000A1667">
        <w:rPr>
          <w:rFonts w:ascii="Cambria" w:hAnsi="Cambria" w:cs="Calibri Light"/>
          <w:color w:val="000000" w:themeColor="text1"/>
          <w:sz w:val="20"/>
          <w:szCs w:val="20"/>
          <w:lang w:val="es-ES"/>
        </w:rPr>
        <w:t xml:space="preserve"> con discrecionalidad</w:t>
      </w:r>
      <w:r w:rsidR="00433AD6" w:rsidRPr="000A1667">
        <w:rPr>
          <w:rFonts w:ascii="Cambria" w:hAnsi="Cambria" w:cs="Calibri Light"/>
          <w:color w:val="000000" w:themeColor="text1"/>
          <w:sz w:val="20"/>
          <w:szCs w:val="20"/>
          <w:lang w:val="es-ES"/>
        </w:rPr>
        <w:t>.</w:t>
      </w:r>
    </w:p>
    <w:p w14:paraId="148CB566" w14:textId="06787D74" w:rsidR="003A7CE5" w:rsidRPr="000A1667" w:rsidRDefault="003A7CE5" w:rsidP="000A1667">
      <w:pPr>
        <w:pStyle w:val="ListParagraph"/>
        <w:jc w:val="both"/>
        <w:rPr>
          <w:rFonts w:ascii="Cambria" w:hAnsi="Cambria" w:cs="Calibri Light"/>
          <w:color w:val="000000" w:themeColor="text1"/>
          <w:sz w:val="20"/>
          <w:szCs w:val="20"/>
          <w:lang w:val="es-ES"/>
        </w:rPr>
      </w:pPr>
      <w:r w:rsidRPr="000A1667">
        <w:rPr>
          <w:rFonts w:ascii="Cambria" w:hAnsi="Cambria" w:cs="Calibri Light"/>
          <w:color w:val="000000" w:themeColor="text1"/>
          <w:sz w:val="20"/>
          <w:szCs w:val="20"/>
          <w:lang w:val="es-ES"/>
        </w:rPr>
        <w:t xml:space="preserve"> </w:t>
      </w:r>
    </w:p>
    <w:p w14:paraId="7517C386" w14:textId="2EBA734D" w:rsidR="003A7CE5" w:rsidRPr="000A1667" w:rsidRDefault="003A7CE5" w:rsidP="00A95306">
      <w:pPr>
        <w:pStyle w:val="ListParagraph"/>
        <w:numPr>
          <w:ilvl w:val="0"/>
          <w:numId w:val="13"/>
        </w:numPr>
        <w:jc w:val="both"/>
        <w:rPr>
          <w:rFonts w:ascii="Cambria" w:hAnsi="Cambria" w:cs="Calibri Light"/>
          <w:b/>
          <w:color w:val="000000" w:themeColor="text1"/>
          <w:sz w:val="20"/>
          <w:szCs w:val="20"/>
          <w:lang w:val="es-ES"/>
        </w:rPr>
      </w:pPr>
      <w:r w:rsidRPr="000A1667">
        <w:rPr>
          <w:rFonts w:ascii="Cambria" w:hAnsi="Cambria" w:cs="Calibri Light"/>
          <w:color w:val="000000" w:themeColor="text1"/>
          <w:sz w:val="20"/>
          <w:szCs w:val="20"/>
          <w:lang w:val="es-ES"/>
        </w:rPr>
        <w:t xml:space="preserve">La Comisión </w:t>
      </w:r>
      <w:r w:rsidR="00561F9B" w:rsidRPr="000A1667">
        <w:rPr>
          <w:rFonts w:ascii="Cambria" w:hAnsi="Cambria" w:cs="Calibri Light"/>
          <w:color w:val="000000" w:themeColor="text1"/>
          <w:sz w:val="20"/>
          <w:szCs w:val="20"/>
          <w:lang w:val="es-ES"/>
        </w:rPr>
        <w:t xml:space="preserve">celebra la iniciativa de reforma a la ley H.R. 1177, U.S. </w:t>
      </w:r>
      <w:proofErr w:type="spellStart"/>
      <w:r w:rsidR="00561F9B" w:rsidRPr="000A1667">
        <w:rPr>
          <w:rFonts w:ascii="Cambria" w:hAnsi="Cambria" w:cs="Calibri Light"/>
          <w:color w:val="000000" w:themeColor="text1"/>
          <w:sz w:val="20"/>
          <w:szCs w:val="20"/>
          <w:lang w:val="es-ES"/>
        </w:rPr>
        <w:t>Citizenship</w:t>
      </w:r>
      <w:proofErr w:type="spellEnd"/>
      <w:r w:rsidR="00561F9B" w:rsidRPr="000A1667">
        <w:rPr>
          <w:rFonts w:ascii="Cambria" w:hAnsi="Cambria" w:cs="Calibri Light"/>
          <w:color w:val="000000" w:themeColor="text1"/>
          <w:sz w:val="20"/>
          <w:szCs w:val="20"/>
          <w:lang w:val="es-ES"/>
        </w:rPr>
        <w:t xml:space="preserve"> </w:t>
      </w:r>
      <w:proofErr w:type="spellStart"/>
      <w:r w:rsidR="00561F9B" w:rsidRPr="000A1667">
        <w:rPr>
          <w:rFonts w:ascii="Cambria" w:hAnsi="Cambria" w:cs="Calibri Light"/>
          <w:color w:val="000000" w:themeColor="text1"/>
          <w:sz w:val="20"/>
          <w:szCs w:val="20"/>
          <w:lang w:val="es-ES"/>
        </w:rPr>
        <w:t>Act</w:t>
      </w:r>
      <w:proofErr w:type="spellEnd"/>
      <w:r w:rsidR="00A95306" w:rsidRPr="000A1667">
        <w:rPr>
          <w:rFonts w:ascii="Cambria" w:hAnsi="Cambria" w:cs="Calibri Light"/>
          <w:color w:val="000000" w:themeColor="text1"/>
          <w:sz w:val="20"/>
          <w:szCs w:val="20"/>
          <w:lang w:val="es-ES"/>
        </w:rPr>
        <w:t xml:space="preserve">, la cual representa un avance en el proceso de cumplimiento de las modificaciones legislativas en aras de garantizar los derechos a la vida familiar de los residentes no ciudadanos. Sin perjuicio de lo anterior, la Comisión </w:t>
      </w:r>
      <w:r w:rsidR="00561F9B" w:rsidRPr="000A1667">
        <w:rPr>
          <w:rFonts w:ascii="Cambria" w:hAnsi="Cambria" w:cs="Calibri Light"/>
          <w:color w:val="000000" w:themeColor="text1"/>
          <w:sz w:val="20"/>
          <w:szCs w:val="20"/>
          <w:lang w:val="es-ES"/>
        </w:rPr>
        <w:t>reitera</w:t>
      </w:r>
      <w:r w:rsidRPr="000A1667">
        <w:rPr>
          <w:rFonts w:ascii="Cambria" w:hAnsi="Cambria" w:cs="Calibri Light"/>
          <w:color w:val="000000" w:themeColor="text1"/>
          <w:sz w:val="20"/>
          <w:szCs w:val="20"/>
          <w:lang w:val="es-ES"/>
        </w:rPr>
        <w:t xml:space="preserve"> su recomendación en el sentido de llamar al Estado a implementar leyes que garanticen </w:t>
      </w:r>
      <w:r w:rsidR="00A95306" w:rsidRPr="000A1667">
        <w:rPr>
          <w:rFonts w:ascii="Cambria" w:hAnsi="Cambria" w:cs="Calibri Light"/>
          <w:color w:val="000000" w:themeColor="text1"/>
          <w:sz w:val="20"/>
          <w:szCs w:val="20"/>
          <w:lang w:val="es-ES"/>
        </w:rPr>
        <w:t xml:space="preserve">en casos como el presente estos derechos sin distinción, </w:t>
      </w:r>
      <w:r w:rsidR="00561F9B" w:rsidRPr="000A1667">
        <w:rPr>
          <w:rFonts w:ascii="Cambria" w:hAnsi="Cambria" w:cs="Calibri Light"/>
          <w:color w:val="000000" w:themeColor="text1"/>
          <w:sz w:val="20"/>
          <w:szCs w:val="20"/>
          <w:lang w:val="es-ES"/>
        </w:rPr>
        <w:t>de acuerdo con estándares interamericanos en la materia</w:t>
      </w:r>
      <w:r w:rsidRPr="000A1667">
        <w:rPr>
          <w:rFonts w:ascii="Cambria" w:hAnsi="Cambria" w:cs="Calibri Light"/>
          <w:color w:val="000000" w:themeColor="text1"/>
          <w:sz w:val="20"/>
          <w:szCs w:val="20"/>
          <w:lang w:val="es-ES"/>
        </w:rPr>
        <w:t>. Adicionalmente, CIDH quisiera resaltar que en numerosas oportunidades ha expresado su preocupación sobre las consecuencias negativas de las políticas de inmigración restrictivas de los Estados Unidos, en los derechos de las familias y el derecho a un juicio justo y el debido proceso</w:t>
      </w:r>
      <w:r w:rsidRPr="000A1667">
        <w:rPr>
          <w:rStyle w:val="FootnoteReference"/>
          <w:rFonts w:ascii="Cambria" w:hAnsi="Cambria" w:cs="Calibri Light"/>
          <w:color w:val="000000" w:themeColor="text1"/>
          <w:sz w:val="20"/>
          <w:szCs w:val="20"/>
        </w:rPr>
        <w:footnoteReference w:id="11"/>
      </w:r>
      <w:r w:rsidR="007714DE" w:rsidRPr="000A1667">
        <w:rPr>
          <w:rFonts w:ascii="Cambria" w:hAnsi="Cambria" w:cs="Calibri Light"/>
          <w:color w:val="000000" w:themeColor="text1"/>
          <w:sz w:val="20"/>
          <w:szCs w:val="20"/>
          <w:lang w:val="es-ES"/>
        </w:rPr>
        <w:t>.</w:t>
      </w:r>
      <w:r w:rsidRPr="000A1667">
        <w:rPr>
          <w:rFonts w:ascii="Cambria" w:hAnsi="Cambria" w:cs="Calibri Light"/>
          <w:color w:val="000000" w:themeColor="text1"/>
          <w:sz w:val="20"/>
          <w:szCs w:val="20"/>
          <w:lang w:val="es-ES"/>
        </w:rPr>
        <w:t xml:space="preserve"> En 2015, la CIDH emitió su informe temático sobre</w:t>
      </w:r>
      <w:r w:rsidRPr="000A1667">
        <w:rPr>
          <w:color w:val="000000" w:themeColor="text1"/>
          <w:lang w:val="es-BO"/>
        </w:rPr>
        <w:t xml:space="preserve"> </w:t>
      </w:r>
      <w:r w:rsidRPr="000A1667">
        <w:rPr>
          <w:rFonts w:ascii="Cambria" w:hAnsi="Cambria" w:cs="Calibri Light"/>
          <w:i/>
          <w:color w:val="000000" w:themeColor="text1"/>
          <w:sz w:val="20"/>
          <w:szCs w:val="20"/>
          <w:lang w:val="es-ES"/>
        </w:rPr>
        <w:t>Refugiados y migrantes en Estados Unidos: familias y niños no acompañados</w:t>
      </w:r>
      <w:r w:rsidRPr="000A1667">
        <w:rPr>
          <w:rFonts w:ascii="Cambria" w:hAnsi="Cambria" w:cs="Calibri Light"/>
          <w:color w:val="000000" w:themeColor="text1"/>
          <w:sz w:val="20"/>
          <w:szCs w:val="20"/>
          <w:lang w:val="es-ES"/>
        </w:rPr>
        <w:t>, abordando la situación de las familias migrantes y refugiadas que se desplazaron a los Estados Unidos por razones humanitarias.</w:t>
      </w:r>
      <w:r w:rsidRPr="000A1667">
        <w:rPr>
          <w:rStyle w:val="FootnoteReference"/>
          <w:rFonts w:ascii="Cambria" w:hAnsi="Cambria" w:cs="Calibri Light"/>
          <w:color w:val="000000" w:themeColor="text1"/>
          <w:sz w:val="20"/>
          <w:szCs w:val="20"/>
        </w:rPr>
        <w:footnoteReference w:id="12"/>
      </w:r>
      <w:r w:rsidRPr="000A1667">
        <w:rPr>
          <w:rFonts w:ascii="Cambria" w:hAnsi="Cambria" w:cs="Calibri Light"/>
          <w:color w:val="000000" w:themeColor="text1"/>
          <w:sz w:val="20"/>
          <w:szCs w:val="20"/>
          <w:lang w:val="es-ES"/>
        </w:rPr>
        <w:t xml:space="preserve"> Adicionalmente, del 19 al 23 de agosto de 2019, la CIDH condujo una visita de trabajo a los Estados Unidos, observando las consecuencias negativas de las políticas de migración, refugio y asilo implementadas recientemente en el país, con respecto a la separación familiar y la situación de niños, niñas y adolescentes.</w:t>
      </w:r>
      <w:r w:rsidRPr="000A1667">
        <w:rPr>
          <w:rStyle w:val="FootnoteReference"/>
          <w:rFonts w:ascii="Cambria" w:hAnsi="Cambria" w:cs="Calibri Light"/>
          <w:color w:val="000000" w:themeColor="text1"/>
          <w:sz w:val="20"/>
          <w:szCs w:val="20"/>
        </w:rPr>
        <w:footnoteReference w:id="13"/>
      </w:r>
      <w:r w:rsidRPr="000A1667">
        <w:rPr>
          <w:rFonts w:ascii="Cambria" w:hAnsi="Cambria" w:cs="Calibri Light"/>
          <w:color w:val="000000" w:themeColor="text1"/>
          <w:sz w:val="20"/>
          <w:szCs w:val="20"/>
          <w:lang w:val="es-ES"/>
        </w:rPr>
        <w:t xml:space="preserve"> Ambas acciones derivaron en la emisión de recomendaciones a los Estados Unidos, que entre otros aspectos, demanda y alienta al Estado a: observar los efectos negativos de la detención migratoria en la estructura e integridad de la unidad familiar; desistir de sujetar a familias a procedimientos de remoción expeditos y detenciones arbitrarias; observar las garantías del debido proceso y juicio justo para familias que alcanzan la etapa de procedimientos de inmigración, así como conducir procedimientos separados para niños, niñas y adolescentes; priorizar el interés superior del niño y el principio de unidad familiar en todas las decisiones judiciales o administrativas que involucren a esta población y sus familias; y continuar con la implementación de medidas dirigidas a reunificar las familias separadas como consecuencia de un procedimiento de inmigración. </w:t>
      </w:r>
    </w:p>
    <w:p w14:paraId="2BB4D1BC" w14:textId="77777777" w:rsidR="003A7CE5" w:rsidRPr="000A1667" w:rsidRDefault="003A7CE5" w:rsidP="003A7CE5">
      <w:pPr>
        <w:pStyle w:val="ListParagraph"/>
        <w:jc w:val="both"/>
        <w:rPr>
          <w:rFonts w:ascii="Cambria" w:hAnsi="Cambria" w:cs="Calibri Light"/>
          <w:b/>
          <w:color w:val="000000" w:themeColor="text1"/>
          <w:sz w:val="20"/>
          <w:szCs w:val="20"/>
          <w:lang w:val="es-ES"/>
        </w:rPr>
      </w:pPr>
    </w:p>
    <w:p w14:paraId="52DEDC0F" w14:textId="5FCE4952" w:rsidR="003A7CE5" w:rsidRPr="000A1667" w:rsidRDefault="003A7CE5" w:rsidP="003A7CE5">
      <w:pPr>
        <w:pStyle w:val="ListParagraph"/>
        <w:numPr>
          <w:ilvl w:val="0"/>
          <w:numId w:val="13"/>
        </w:numPr>
        <w:jc w:val="both"/>
        <w:rPr>
          <w:rFonts w:ascii="Cambria" w:hAnsi="Cambria" w:cs="Calibri Light"/>
          <w:b/>
          <w:color w:val="000000" w:themeColor="text1"/>
          <w:sz w:val="20"/>
          <w:szCs w:val="20"/>
          <w:lang w:val="es-ES"/>
        </w:rPr>
      </w:pPr>
      <w:r w:rsidRPr="000A1667">
        <w:rPr>
          <w:rFonts w:ascii="Cambria" w:hAnsi="Cambria" w:cs="Calibri Light"/>
          <w:color w:val="000000" w:themeColor="text1"/>
          <w:sz w:val="20"/>
          <w:szCs w:val="20"/>
          <w:lang w:val="es-ES"/>
        </w:rPr>
        <w:lastRenderedPageBreak/>
        <w:t xml:space="preserve">Finalmente, la CIDH invita a las partes a observar los </w:t>
      </w:r>
      <w:r w:rsidRPr="000A1667">
        <w:rPr>
          <w:rFonts w:ascii="Cambria" w:hAnsi="Cambria" w:cs="Calibri Light"/>
          <w:i/>
          <w:color w:val="000000" w:themeColor="text1"/>
          <w:sz w:val="20"/>
          <w:szCs w:val="20"/>
          <w:lang w:val="es-ES"/>
        </w:rPr>
        <w:t>Movilidad Humana. Estándares Interamericanos</w:t>
      </w:r>
      <w:r w:rsidRPr="000A1667">
        <w:rPr>
          <w:rStyle w:val="FootnoteReference"/>
          <w:rFonts w:ascii="Cambria" w:hAnsi="Cambria" w:cs="Calibri Light"/>
          <w:color w:val="000000" w:themeColor="text1"/>
          <w:sz w:val="20"/>
          <w:szCs w:val="20"/>
        </w:rPr>
        <w:footnoteReference w:id="14"/>
      </w:r>
      <w:r w:rsidRPr="000A1667">
        <w:rPr>
          <w:rFonts w:ascii="Cambria" w:hAnsi="Cambria" w:cs="Calibri Light"/>
          <w:color w:val="000000" w:themeColor="text1"/>
          <w:sz w:val="20"/>
          <w:szCs w:val="20"/>
          <w:lang w:val="es-ES"/>
        </w:rPr>
        <w:t xml:space="preserve"> y los </w:t>
      </w:r>
      <w:r w:rsidRPr="000A1667">
        <w:rPr>
          <w:rFonts w:ascii="Cambria" w:hAnsi="Cambria" w:cs="Calibri Light"/>
          <w:i/>
          <w:color w:val="000000" w:themeColor="text1"/>
          <w:sz w:val="20"/>
          <w:szCs w:val="20"/>
          <w:lang w:val="es-ES"/>
        </w:rPr>
        <w:t>Principios interamericanos sobre los derechos humanos de todas las personas migrantes, refugiadas, apátridas y víctimas de la trata de personas</w:t>
      </w:r>
      <w:r w:rsidRPr="000A1667">
        <w:rPr>
          <w:rStyle w:val="FootnoteReference"/>
          <w:rFonts w:ascii="Cambria" w:hAnsi="Cambria" w:cs="Calibri Light"/>
          <w:i/>
          <w:color w:val="000000" w:themeColor="text1"/>
          <w:sz w:val="20"/>
          <w:szCs w:val="20"/>
        </w:rPr>
        <w:footnoteReference w:id="15"/>
      </w:r>
      <w:r w:rsidRPr="000A1667">
        <w:rPr>
          <w:rFonts w:ascii="Cambria" w:hAnsi="Cambria" w:cs="Calibri Light"/>
          <w:i/>
          <w:color w:val="000000" w:themeColor="text1"/>
          <w:sz w:val="20"/>
          <w:szCs w:val="20"/>
          <w:lang w:val="es-ES"/>
        </w:rPr>
        <w:t xml:space="preserve"> </w:t>
      </w:r>
      <w:r w:rsidRPr="000A1667">
        <w:rPr>
          <w:rFonts w:ascii="Cambria" w:hAnsi="Cambria" w:cs="Calibri Light"/>
          <w:color w:val="000000" w:themeColor="text1"/>
          <w:sz w:val="20"/>
          <w:szCs w:val="20"/>
          <w:lang w:val="es-ES"/>
        </w:rPr>
        <w:t xml:space="preserve">en el diseño, implementación y monitoreo de políticas de inmigración y legislación que pudiera afectar los derechos de la familia. La CIDH continuará monitoreando estas tendencias restrictivas y sus impactos en los procedimientos de remoción y deportación que involucren familias. </w:t>
      </w:r>
      <w:r w:rsidR="009C4980" w:rsidRPr="000A1667">
        <w:rPr>
          <w:rFonts w:ascii="Cambria" w:hAnsi="Cambria"/>
          <w:color w:val="000000" w:themeColor="text1"/>
          <w:sz w:val="20"/>
          <w:szCs w:val="20"/>
          <w:lang w:val="es-CO"/>
        </w:rPr>
        <w:t>En vista de lo anterior, la Comisión observa que se ha aportado información relevante para actualizar el estado de cumplimiento de esta recomendación y considera que el nivel de dicha recomendación es parcial</w:t>
      </w:r>
      <w:r w:rsidR="00A95306" w:rsidRPr="000A1667">
        <w:rPr>
          <w:rFonts w:ascii="Cambria" w:hAnsi="Cambria" w:cs="Calibri Light"/>
          <w:color w:val="000000" w:themeColor="text1"/>
          <w:sz w:val="20"/>
          <w:szCs w:val="20"/>
          <w:lang w:val="es-ES"/>
        </w:rPr>
        <w:t>.</w:t>
      </w:r>
    </w:p>
    <w:p w14:paraId="4AACFF38" w14:textId="77777777" w:rsidR="003A7CE5" w:rsidRPr="000A1667" w:rsidRDefault="003A7CE5" w:rsidP="003A7CE5">
      <w:pPr>
        <w:spacing w:after="0" w:line="240" w:lineRule="auto"/>
        <w:jc w:val="both"/>
        <w:rPr>
          <w:rFonts w:ascii="Cambria" w:hAnsi="Cambria" w:cs="Calibri Light"/>
          <w:b/>
          <w:color w:val="000000" w:themeColor="text1"/>
          <w:sz w:val="20"/>
          <w:szCs w:val="20"/>
          <w:lang w:val="es-ES"/>
        </w:rPr>
      </w:pPr>
    </w:p>
    <w:p w14:paraId="69C7E407" w14:textId="77777777" w:rsidR="003A7CE5" w:rsidRPr="000A1667" w:rsidRDefault="003A7CE5" w:rsidP="003A7CE5">
      <w:pPr>
        <w:pStyle w:val="ListParagraph"/>
        <w:numPr>
          <w:ilvl w:val="0"/>
          <w:numId w:val="14"/>
        </w:numPr>
        <w:ind w:left="1440"/>
        <w:jc w:val="both"/>
        <w:rPr>
          <w:rFonts w:ascii="Cambria" w:hAnsi="Cambria" w:cs="Calibri Light"/>
          <w:b/>
          <w:color w:val="000000" w:themeColor="text1"/>
          <w:sz w:val="20"/>
          <w:szCs w:val="20"/>
          <w:lang w:val="es-ES"/>
        </w:rPr>
      </w:pPr>
      <w:r w:rsidRPr="000A1667">
        <w:rPr>
          <w:rFonts w:ascii="Cambria" w:hAnsi="Cambria" w:cs="Calibri Light"/>
          <w:b/>
          <w:color w:val="000000" w:themeColor="text1"/>
          <w:sz w:val="20"/>
          <w:szCs w:val="20"/>
          <w:lang w:val="es-ES"/>
        </w:rPr>
        <w:t xml:space="preserve">Nivel del cumplimiento del caso  </w:t>
      </w:r>
    </w:p>
    <w:p w14:paraId="3483D4D5" w14:textId="77777777" w:rsidR="003A7CE5" w:rsidRPr="000A1667" w:rsidRDefault="003A7CE5" w:rsidP="003A7CE5">
      <w:pPr>
        <w:spacing w:after="0" w:line="240" w:lineRule="auto"/>
        <w:jc w:val="both"/>
        <w:rPr>
          <w:rFonts w:ascii="Cambria" w:hAnsi="Cambria" w:cs="Calibri Light"/>
          <w:color w:val="000000" w:themeColor="text1"/>
          <w:sz w:val="20"/>
          <w:szCs w:val="20"/>
          <w:lang w:val="es-ES"/>
        </w:rPr>
      </w:pPr>
    </w:p>
    <w:p w14:paraId="4088C59F" w14:textId="154B8A32" w:rsidR="003A7CE5" w:rsidRPr="000A1667" w:rsidRDefault="003A7CE5" w:rsidP="003A7CE5">
      <w:pPr>
        <w:pStyle w:val="ListParagraph"/>
        <w:numPr>
          <w:ilvl w:val="0"/>
          <w:numId w:val="13"/>
        </w:numPr>
        <w:jc w:val="both"/>
        <w:rPr>
          <w:rFonts w:ascii="Cambria" w:hAnsi="Cambria"/>
          <w:color w:val="000000" w:themeColor="text1"/>
          <w:sz w:val="20"/>
          <w:szCs w:val="20"/>
          <w:lang w:val="es-ES"/>
        </w:rPr>
      </w:pPr>
      <w:r w:rsidRPr="000A1667">
        <w:rPr>
          <w:rFonts w:ascii="Cambria" w:hAnsi="Cambria" w:cs="Calibri Light"/>
          <w:color w:val="000000" w:themeColor="text1"/>
          <w:sz w:val="20"/>
          <w:szCs w:val="20"/>
          <w:lang w:val="es-ES"/>
        </w:rPr>
        <w:t xml:space="preserve">Por lo anterior, la CIDH concluye que el caso está </w:t>
      </w:r>
      <w:r w:rsidR="00DC633F" w:rsidRPr="000A1667">
        <w:rPr>
          <w:rFonts w:ascii="Cambria" w:hAnsi="Cambria" w:cs="Calibri Light"/>
          <w:color w:val="000000" w:themeColor="text1"/>
          <w:sz w:val="20"/>
          <w:szCs w:val="20"/>
          <w:lang w:val="es-ES"/>
        </w:rPr>
        <w:t>parcialmente cumplid</w:t>
      </w:r>
      <w:r w:rsidR="00786CA2" w:rsidRPr="000A1667">
        <w:rPr>
          <w:rFonts w:ascii="Cambria" w:hAnsi="Cambria" w:cs="Calibri Light"/>
          <w:color w:val="000000" w:themeColor="text1"/>
          <w:sz w:val="20"/>
          <w:szCs w:val="20"/>
          <w:lang w:val="es-ES"/>
        </w:rPr>
        <w:t>o</w:t>
      </w:r>
      <w:r w:rsidRPr="000A1667">
        <w:rPr>
          <w:rFonts w:ascii="Cambria" w:hAnsi="Cambria" w:cs="Calibri Light"/>
          <w:color w:val="000000" w:themeColor="text1"/>
          <w:sz w:val="20"/>
          <w:szCs w:val="20"/>
          <w:lang w:val="es-ES"/>
        </w:rPr>
        <w:t xml:space="preserve">. En consecuencia, la Comisión continuará monitoreando el cumplimiento de las recomendaciones 1, 2, 3 y 4; las primeras tres recomendaciones, en relación con el señor Hugo </w:t>
      </w:r>
      <w:proofErr w:type="spellStart"/>
      <w:r w:rsidRPr="000A1667">
        <w:rPr>
          <w:rFonts w:ascii="Cambria" w:hAnsi="Cambria" w:cs="Calibri Light"/>
          <w:color w:val="000000" w:themeColor="text1"/>
          <w:sz w:val="20"/>
          <w:szCs w:val="20"/>
          <w:lang w:val="es-ES"/>
        </w:rPr>
        <w:t>Armendariz</w:t>
      </w:r>
      <w:proofErr w:type="spellEnd"/>
      <w:r w:rsidRPr="000A1667">
        <w:rPr>
          <w:rFonts w:ascii="Cambria" w:hAnsi="Cambria" w:cs="Calibri Light"/>
          <w:color w:val="000000" w:themeColor="text1"/>
          <w:sz w:val="20"/>
          <w:szCs w:val="20"/>
          <w:lang w:val="es-ES"/>
        </w:rPr>
        <w:t xml:space="preserve">. La Comisión insta al Estado a adoptar las medidas necesarias para cumplir con las recomendaciones emitidas en el Informe de Fondo </w:t>
      </w:r>
      <w:r w:rsidRPr="000A1667">
        <w:rPr>
          <w:rFonts w:ascii="Cambria" w:hAnsi="Cambria"/>
          <w:color w:val="000000" w:themeColor="text1"/>
          <w:sz w:val="20"/>
          <w:szCs w:val="20"/>
          <w:lang w:val="es-ES"/>
        </w:rPr>
        <w:t xml:space="preserve">Nº 81/10, y a remitirle información actualizada y detallada sobre las mismas. </w:t>
      </w:r>
    </w:p>
    <w:p w14:paraId="5A124139" w14:textId="77777777" w:rsidR="003A7CE5" w:rsidRPr="000A1667" w:rsidRDefault="003A7CE5" w:rsidP="003A7CE5">
      <w:pPr>
        <w:pStyle w:val="ListParagraph"/>
        <w:jc w:val="both"/>
        <w:rPr>
          <w:rFonts w:ascii="Cambria" w:hAnsi="Cambria"/>
          <w:color w:val="000000" w:themeColor="text1"/>
          <w:sz w:val="20"/>
          <w:szCs w:val="20"/>
          <w:lang w:val="es-ES"/>
        </w:rPr>
      </w:pPr>
    </w:p>
    <w:p w14:paraId="095D0718" w14:textId="77777777" w:rsidR="003A7CE5" w:rsidRPr="000A1667" w:rsidRDefault="003A7CE5" w:rsidP="003A7CE5">
      <w:pPr>
        <w:pStyle w:val="ListParagraph"/>
        <w:numPr>
          <w:ilvl w:val="0"/>
          <w:numId w:val="14"/>
        </w:numPr>
        <w:ind w:left="1440"/>
        <w:jc w:val="both"/>
        <w:rPr>
          <w:rFonts w:ascii="Cambria" w:hAnsi="Cambria"/>
          <w:b/>
          <w:color w:val="000000" w:themeColor="text1"/>
          <w:sz w:val="20"/>
          <w:szCs w:val="20"/>
          <w:lang w:val="es-ES"/>
        </w:rPr>
      </w:pPr>
      <w:r w:rsidRPr="000A1667">
        <w:rPr>
          <w:rFonts w:ascii="Cambria" w:hAnsi="Cambria"/>
          <w:b/>
          <w:color w:val="000000" w:themeColor="text1"/>
          <w:sz w:val="20"/>
          <w:szCs w:val="20"/>
          <w:lang w:val="es-ES"/>
        </w:rPr>
        <w:t xml:space="preserve">Resultados individuales y estructurales del caso </w:t>
      </w:r>
    </w:p>
    <w:p w14:paraId="1F1FF39A" w14:textId="77777777" w:rsidR="00DC633F" w:rsidRPr="000A1667" w:rsidRDefault="00DC633F" w:rsidP="00DC633F">
      <w:pPr>
        <w:spacing w:after="0" w:line="240" w:lineRule="auto"/>
        <w:jc w:val="both"/>
        <w:rPr>
          <w:rFonts w:ascii="Cambria" w:hAnsi="Cambria"/>
          <w:b/>
          <w:color w:val="000000" w:themeColor="text1"/>
          <w:sz w:val="20"/>
          <w:szCs w:val="20"/>
          <w:lang w:val="es-ES"/>
        </w:rPr>
      </w:pPr>
    </w:p>
    <w:p w14:paraId="27D110F8" w14:textId="77777777" w:rsidR="00DC633F" w:rsidRPr="000A1667" w:rsidRDefault="00DC633F" w:rsidP="00DC633F">
      <w:pPr>
        <w:pStyle w:val="ListParagraph"/>
        <w:numPr>
          <w:ilvl w:val="0"/>
          <w:numId w:val="18"/>
        </w:numPr>
        <w:ind w:left="1440" w:hanging="720"/>
        <w:jc w:val="both"/>
        <w:rPr>
          <w:rFonts w:ascii="Cambria" w:hAnsi="Cambria" w:cs="Calibri Light"/>
          <w:b/>
          <w:color w:val="000000" w:themeColor="text1"/>
          <w:sz w:val="20"/>
          <w:szCs w:val="20"/>
          <w:lang w:val="es-ES"/>
        </w:rPr>
      </w:pPr>
      <w:r w:rsidRPr="000A1667">
        <w:rPr>
          <w:rFonts w:ascii="Cambria" w:hAnsi="Cambria" w:cs="Calibri Light"/>
          <w:b/>
          <w:color w:val="000000" w:themeColor="text1"/>
          <w:sz w:val="20"/>
          <w:szCs w:val="20"/>
          <w:lang w:val="es-ES"/>
        </w:rPr>
        <w:t>Resultados individuales del caso</w:t>
      </w:r>
    </w:p>
    <w:p w14:paraId="1A84D283" w14:textId="77777777" w:rsidR="00DC633F" w:rsidRPr="000A1667" w:rsidRDefault="00DC633F" w:rsidP="00DC633F">
      <w:pPr>
        <w:spacing w:after="0" w:line="240" w:lineRule="auto"/>
        <w:jc w:val="both"/>
        <w:rPr>
          <w:rFonts w:ascii="Cambria" w:hAnsi="Cambria"/>
          <w:iCs/>
          <w:color w:val="000000" w:themeColor="text1"/>
          <w:sz w:val="20"/>
          <w:szCs w:val="20"/>
          <w:lang w:val="es-ES"/>
        </w:rPr>
      </w:pPr>
    </w:p>
    <w:p w14:paraId="43AB2391" w14:textId="6CDA601B" w:rsidR="00DC633F" w:rsidRPr="000A1667" w:rsidRDefault="00DC633F" w:rsidP="00DC633F">
      <w:pPr>
        <w:numPr>
          <w:ilvl w:val="0"/>
          <w:numId w:val="19"/>
        </w:numPr>
        <w:spacing w:after="0" w:line="240" w:lineRule="auto"/>
        <w:jc w:val="both"/>
        <w:rPr>
          <w:rFonts w:ascii="Cambria" w:hAnsi="Cambria"/>
          <w:iCs/>
          <w:color w:val="000000" w:themeColor="text1"/>
          <w:sz w:val="20"/>
          <w:szCs w:val="20"/>
          <w:lang w:val="es-ES"/>
        </w:rPr>
      </w:pPr>
      <w:r w:rsidRPr="000A1667">
        <w:rPr>
          <w:rFonts w:ascii="Cambria" w:hAnsi="Cambria"/>
          <w:iCs/>
          <w:color w:val="000000" w:themeColor="text1"/>
          <w:sz w:val="20"/>
          <w:szCs w:val="20"/>
          <w:lang w:val="es-ES"/>
        </w:rPr>
        <w:t xml:space="preserve">No se han reportado resultados con alcance individual en el presente caso. </w:t>
      </w:r>
    </w:p>
    <w:p w14:paraId="1780418D" w14:textId="77777777" w:rsidR="00DC633F" w:rsidRPr="000A1667" w:rsidRDefault="00DC633F" w:rsidP="00DC633F">
      <w:pPr>
        <w:spacing w:after="0" w:line="240" w:lineRule="auto"/>
        <w:ind w:left="720"/>
        <w:jc w:val="both"/>
        <w:rPr>
          <w:rFonts w:ascii="Cambria" w:hAnsi="Cambria"/>
          <w:color w:val="000000" w:themeColor="text1"/>
          <w:sz w:val="20"/>
          <w:szCs w:val="20"/>
          <w:lang w:val="es-ES"/>
        </w:rPr>
      </w:pPr>
    </w:p>
    <w:p w14:paraId="2E5F89D4" w14:textId="3404783F" w:rsidR="00DC633F" w:rsidRPr="000A1667" w:rsidRDefault="00DC633F" w:rsidP="00DC633F">
      <w:pPr>
        <w:pStyle w:val="ListParagraph"/>
        <w:numPr>
          <w:ilvl w:val="0"/>
          <w:numId w:val="18"/>
        </w:numPr>
        <w:ind w:left="1440" w:hanging="720"/>
        <w:jc w:val="both"/>
        <w:rPr>
          <w:rFonts w:ascii="Cambria" w:hAnsi="Cambria" w:cs="Calibri Light"/>
          <w:b/>
          <w:color w:val="000000" w:themeColor="text1"/>
          <w:sz w:val="20"/>
          <w:szCs w:val="20"/>
          <w:lang w:val="es-ES"/>
        </w:rPr>
      </w:pPr>
      <w:r w:rsidRPr="000A1667">
        <w:rPr>
          <w:rFonts w:ascii="Cambria" w:hAnsi="Cambria" w:cs="Calibri Light"/>
          <w:b/>
          <w:color w:val="000000" w:themeColor="text1"/>
          <w:sz w:val="20"/>
          <w:szCs w:val="20"/>
          <w:lang w:val="es-ES"/>
        </w:rPr>
        <w:t>Resultados estructurales del caso</w:t>
      </w:r>
    </w:p>
    <w:p w14:paraId="2A85D40B" w14:textId="77777777" w:rsidR="00DC633F" w:rsidRPr="000A1667" w:rsidRDefault="00DC633F" w:rsidP="00DC633F">
      <w:pPr>
        <w:pStyle w:val="ListParagraph"/>
        <w:ind w:left="1440"/>
        <w:jc w:val="both"/>
        <w:rPr>
          <w:rFonts w:ascii="Cambria" w:hAnsi="Cambria" w:cs="Calibri Light"/>
          <w:b/>
          <w:color w:val="000000" w:themeColor="text1"/>
          <w:sz w:val="20"/>
          <w:szCs w:val="20"/>
          <w:lang w:val="es-ES"/>
        </w:rPr>
      </w:pPr>
    </w:p>
    <w:p w14:paraId="47172F86" w14:textId="7994D1DE" w:rsidR="00DC633F" w:rsidRPr="000A1667" w:rsidRDefault="00622485" w:rsidP="00DC633F">
      <w:pPr>
        <w:pStyle w:val="ListParagraph"/>
        <w:numPr>
          <w:ilvl w:val="0"/>
          <w:numId w:val="19"/>
        </w:numPr>
        <w:jc w:val="both"/>
        <w:rPr>
          <w:rFonts w:ascii="Cambria" w:hAnsi="Cambria"/>
          <w:i/>
          <w:iCs/>
          <w:color w:val="000000" w:themeColor="text1"/>
          <w:sz w:val="20"/>
          <w:szCs w:val="20"/>
          <w:lang w:val="es-ES"/>
        </w:rPr>
      </w:pPr>
      <w:r w:rsidRPr="000A1667">
        <w:rPr>
          <w:rFonts w:ascii="Cambria" w:hAnsi="Cambria"/>
          <w:i/>
          <w:iCs/>
          <w:color w:val="000000" w:themeColor="text1"/>
          <w:sz w:val="20"/>
          <w:szCs w:val="20"/>
          <w:lang w:val="es-ES"/>
        </w:rPr>
        <w:t xml:space="preserve">Legislación/normativa </w:t>
      </w:r>
    </w:p>
    <w:p w14:paraId="5D442363" w14:textId="49BD84C4" w:rsidR="00622485" w:rsidRPr="000A1667" w:rsidRDefault="00622485" w:rsidP="00622485">
      <w:pPr>
        <w:pStyle w:val="ListParagraph"/>
        <w:numPr>
          <w:ilvl w:val="0"/>
          <w:numId w:val="20"/>
        </w:numPr>
        <w:jc w:val="both"/>
        <w:rPr>
          <w:color w:val="000000" w:themeColor="text1"/>
          <w:lang w:val="es-ES"/>
        </w:rPr>
      </w:pPr>
      <w:r w:rsidRPr="000A1667">
        <w:rPr>
          <w:rFonts w:ascii="Cambria" w:hAnsi="Cambria" w:cs="Calibri Light"/>
          <w:color w:val="000000" w:themeColor="text1"/>
          <w:sz w:val="20"/>
          <w:szCs w:val="20"/>
          <w:lang w:val="es-ES"/>
        </w:rPr>
        <w:t xml:space="preserve">Iniciativa de reforma a la ley H.R. 1177, U.S. </w:t>
      </w:r>
      <w:proofErr w:type="spellStart"/>
      <w:r w:rsidRPr="000A1667">
        <w:rPr>
          <w:rFonts w:ascii="Cambria" w:hAnsi="Cambria" w:cs="Calibri Light"/>
          <w:color w:val="000000" w:themeColor="text1"/>
          <w:sz w:val="20"/>
          <w:szCs w:val="20"/>
          <w:lang w:val="es-ES"/>
        </w:rPr>
        <w:t>Citizenship</w:t>
      </w:r>
      <w:proofErr w:type="spellEnd"/>
      <w:r w:rsidRPr="000A1667">
        <w:rPr>
          <w:rFonts w:ascii="Cambria" w:hAnsi="Cambria" w:cs="Calibri Light"/>
          <w:color w:val="000000" w:themeColor="text1"/>
          <w:sz w:val="20"/>
          <w:szCs w:val="20"/>
          <w:lang w:val="es-ES"/>
        </w:rPr>
        <w:t xml:space="preserve"> </w:t>
      </w:r>
      <w:proofErr w:type="spellStart"/>
      <w:r w:rsidRPr="000A1667">
        <w:rPr>
          <w:rFonts w:ascii="Cambria" w:hAnsi="Cambria" w:cs="Calibri Light"/>
          <w:color w:val="000000" w:themeColor="text1"/>
          <w:sz w:val="20"/>
          <w:szCs w:val="20"/>
          <w:lang w:val="es-ES"/>
        </w:rPr>
        <w:t>Act</w:t>
      </w:r>
      <w:proofErr w:type="spellEnd"/>
    </w:p>
    <w:p w14:paraId="32E0274D" w14:textId="77777777" w:rsidR="003A7CE5" w:rsidRPr="000A1667" w:rsidRDefault="003A7CE5" w:rsidP="003A7CE5">
      <w:pPr>
        <w:pStyle w:val="Header"/>
        <w:jc w:val="center"/>
        <w:rPr>
          <w:color w:val="000000" w:themeColor="text1"/>
          <w:lang w:val="es-ES"/>
        </w:rPr>
      </w:pPr>
    </w:p>
    <w:p w14:paraId="45B26099" w14:textId="77777777" w:rsidR="00BD17B0" w:rsidRPr="000A1667" w:rsidRDefault="00BD17B0" w:rsidP="003A7CE5">
      <w:pPr>
        <w:rPr>
          <w:color w:val="000000" w:themeColor="text1"/>
          <w:lang w:val="es-ES"/>
        </w:rPr>
      </w:pPr>
    </w:p>
    <w:sectPr w:rsidR="00BD17B0" w:rsidRPr="000A1667" w:rsidSect="00566CD0">
      <w:headerReference w:type="default" r:id="rId11"/>
      <w:foot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6F64F" w14:textId="77777777" w:rsidR="00622C9D" w:rsidRDefault="00622C9D" w:rsidP="00672733">
      <w:r>
        <w:separator/>
      </w:r>
    </w:p>
  </w:endnote>
  <w:endnote w:type="continuationSeparator" w:id="0">
    <w:p w14:paraId="1FAD2B13" w14:textId="77777777" w:rsidR="00622C9D" w:rsidRDefault="00622C9D"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62D5B" w14:textId="77777777" w:rsidR="00622C9D" w:rsidRDefault="00622C9D" w:rsidP="00672733">
      <w:r>
        <w:separator/>
      </w:r>
    </w:p>
  </w:footnote>
  <w:footnote w:type="continuationSeparator" w:id="0">
    <w:p w14:paraId="0949AD64" w14:textId="77777777" w:rsidR="00622C9D" w:rsidRDefault="00622C9D" w:rsidP="00672733">
      <w:r>
        <w:continuationSeparator/>
      </w:r>
    </w:p>
  </w:footnote>
  <w:footnote w:id="1">
    <w:p w14:paraId="5C508AC4" w14:textId="42D3AF8B" w:rsidR="003A7CE5" w:rsidRPr="009F3F68" w:rsidRDefault="003A7CE5" w:rsidP="003A7CE5">
      <w:pPr>
        <w:pStyle w:val="FootnoteText"/>
        <w:spacing w:after="120"/>
        <w:ind w:firstLine="864"/>
        <w:jc w:val="both"/>
        <w:rPr>
          <w:rFonts w:ascii="Cambria" w:hAnsi="Cambria"/>
          <w:sz w:val="16"/>
          <w:szCs w:val="16"/>
          <w:lang w:val="es-CO"/>
        </w:rPr>
      </w:pPr>
      <w:r w:rsidRPr="009F3F68">
        <w:rPr>
          <w:rStyle w:val="FootnoteReference"/>
          <w:rFonts w:ascii="Cambria" w:hAnsi="Cambria"/>
          <w:sz w:val="16"/>
          <w:szCs w:val="16"/>
        </w:rPr>
        <w:footnoteRef/>
      </w:r>
      <w:r w:rsidRPr="009F3F68">
        <w:rPr>
          <w:rFonts w:ascii="Cambria" w:hAnsi="Cambria"/>
          <w:sz w:val="16"/>
          <w:szCs w:val="16"/>
          <w:lang w:val="es-CO"/>
        </w:rPr>
        <w:t xml:space="preserve"> </w:t>
      </w:r>
      <w:r w:rsidRPr="009F3F68">
        <w:rPr>
          <w:rFonts w:ascii="Cambria" w:hAnsi="Cambria"/>
          <w:sz w:val="16"/>
          <w:szCs w:val="16"/>
          <w:lang w:val="es-ES"/>
        </w:rPr>
        <w:t xml:space="preserve">CIDH, Informe Anual 2013, </w:t>
      </w:r>
      <w:hyperlink r:id="rId1" w:history="1">
        <w:r w:rsidRPr="009F3F68">
          <w:rPr>
            <w:rStyle w:val="Hyperlink"/>
            <w:rFonts w:ascii="Cambria" w:hAnsi="Cambria"/>
            <w:sz w:val="16"/>
            <w:szCs w:val="16"/>
            <w:lang w:val="es-ES"/>
          </w:rPr>
          <w:t>Capítulo II, Sección D: Estado del cumplimiento de las recomendaciones de la CIDH</w:t>
        </w:r>
      </w:hyperlink>
      <w:r w:rsidRPr="009F3F68">
        <w:rPr>
          <w:rFonts w:ascii="Cambria" w:hAnsi="Cambria"/>
          <w:sz w:val="16"/>
          <w:szCs w:val="16"/>
          <w:lang w:val="es-ES"/>
        </w:rPr>
        <w:t xml:space="preserve">, </w:t>
      </w:r>
      <w:proofErr w:type="spellStart"/>
      <w:r w:rsidRPr="009F3F68">
        <w:rPr>
          <w:rFonts w:ascii="Cambria" w:hAnsi="Cambria"/>
          <w:sz w:val="16"/>
          <w:szCs w:val="16"/>
          <w:lang w:val="es-US"/>
        </w:rPr>
        <w:t>párrs</w:t>
      </w:r>
      <w:proofErr w:type="spellEnd"/>
      <w:r w:rsidRPr="009F3F68">
        <w:rPr>
          <w:rFonts w:ascii="Cambria" w:hAnsi="Cambria"/>
          <w:sz w:val="16"/>
          <w:szCs w:val="16"/>
          <w:lang w:val="es-US"/>
        </w:rPr>
        <w:t xml:space="preserve">. </w:t>
      </w:r>
      <w:r w:rsidRPr="009F3F68">
        <w:rPr>
          <w:rFonts w:ascii="Cambria" w:hAnsi="Cambria"/>
          <w:sz w:val="16"/>
          <w:szCs w:val="16"/>
          <w:lang w:val="es-CO"/>
        </w:rPr>
        <w:t>720 y 722.</w:t>
      </w:r>
    </w:p>
  </w:footnote>
  <w:footnote w:id="2">
    <w:p w14:paraId="18E85A38" w14:textId="77777777" w:rsidR="003A7CE5" w:rsidRPr="009F3F68" w:rsidRDefault="003A7CE5" w:rsidP="003A7CE5">
      <w:pPr>
        <w:pStyle w:val="FootnoteText"/>
        <w:spacing w:after="120"/>
        <w:ind w:firstLine="864"/>
        <w:jc w:val="both"/>
        <w:rPr>
          <w:rFonts w:ascii="Cambria" w:hAnsi="Cambria"/>
          <w:sz w:val="16"/>
          <w:szCs w:val="16"/>
          <w:lang w:val="es-CO"/>
        </w:rPr>
      </w:pPr>
      <w:r w:rsidRPr="009F3F68">
        <w:rPr>
          <w:rStyle w:val="FootnoteReference"/>
          <w:rFonts w:ascii="Cambria" w:hAnsi="Cambria"/>
          <w:sz w:val="16"/>
          <w:szCs w:val="16"/>
        </w:rPr>
        <w:footnoteRef/>
      </w:r>
      <w:r w:rsidRPr="009F3F68">
        <w:rPr>
          <w:rFonts w:ascii="Cambria" w:hAnsi="Cambria"/>
          <w:sz w:val="16"/>
          <w:szCs w:val="16"/>
          <w:lang w:val="es-CO"/>
        </w:rPr>
        <w:t xml:space="preserve"> </w:t>
      </w:r>
      <w:r w:rsidRPr="009F3F68">
        <w:rPr>
          <w:rFonts w:ascii="Cambria" w:hAnsi="Cambria"/>
          <w:sz w:val="16"/>
          <w:szCs w:val="16"/>
          <w:lang w:val="es-ES"/>
        </w:rPr>
        <w:t xml:space="preserve">CIDH, Informe Anual 2013, </w:t>
      </w:r>
      <w:hyperlink r:id="rId2" w:history="1">
        <w:r w:rsidRPr="009F3F68">
          <w:rPr>
            <w:rStyle w:val="Hyperlink"/>
            <w:rFonts w:ascii="Cambria" w:hAnsi="Cambria"/>
            <w:sz w:val="16"/>
            <w:szCs w:val="16"/>
            <w:lang w:val="es-ES"/>
          </w:rPr>
          <w:t>Capítulo II, Sección D: Estado del cumplimiento de las recomendaciones de la CIDH</w:t>
        </w:r>
      </w:hyperlink>
      <w:r w:rsidRPr="009F3F68">
        <w:rPr>
          <w:rFonts w:ascii="Cambria" w:hAnsi="Cambria"/>
          <w:sz w:val="16"/>
          <w:szCs w:val="16"/>
          <w:lang w:val="es-ES"/>
        </w:rPr>
        <w:t xml:space="preserve">, </w:t>
      </w:r>
      <w:proofErr w:type="spellStart"/>
      <w:r w:rsidRPr="009F3F68">
        <w:rPr>
          <w:rFonts w:ascii="Cambria" w:hAnsi="Cambria"/>
          <w:sz w:val="16"/>
          <w:szCs w:val="16"/>
          <w:lang w:val="es-US"/>
        </w:rPr>
        <w:t>párrs</w:t>
      </w:r>
      <w:proofErr w:type="spellEnd"/>
      <w:r w:rsidRPr="009F3F68">
        <w:rPr>
          <w:rFonts w:ascii="Cambria" w:hAnsi="Cambria"/>
          <w:sz w:val="16"/>
          <w:szCs w:val="16"/>
          <w:lang w:val="es-US"/>
        </w:rPr>
        <w:t xml:space="preserve">. </w:t>
      </w:r>
      <w:r w:rsidRPr="009F3F68">
        <w:rPr>
          <w:rFonts w:ascii="Cambria" w:hAnsi="Cambria"/>
          <w:sz w:val="16"/>
          <w:szCs w:val="16"/>
          <w:lang w:val="es-CO"/>
        </w:rPr>
        <w:t>720 y 722.</w:t>
      </w:r>
    </w:p>
  </w:footnote>
  <w:footnote w:id="3">
    <w:p w14:paraId="24D9E818" w14:textId="77777777" w:rsidR="003A7CE5" w:rsidRPr="009F3F68" w:rsidRDefault="003A7CE5" w:rsidP="003A7CE5">
      <w:pPr>
        <w:pStyle w:val="FootnoteText"/>
        <w:spacing w:after="120"/>
        <w:ind w:firstLine="864"/>
        <w:jc w:val="both"/>
        <w:rPr>
          <w:rFonts w:ascii="Cambria" w:hAnsi="Cambria"/>
          <w:sz w:val="16"/>
          <w:szCs w:val="16"/>
          <w:lang w:val="es-CO"/>
        </w:rPr>
      </w:pPr>
      <w:r w:rsidRPr="009F3F68">
        <w:rPr>
          <w:rStyle w:val="FootnoteReference"/>
          <w:rFonts w:ascii="Cambria" w:hAnsi="Cambria"/>
          <w:sz w:val="16"/>
          <w:szCs w:val="16"/>
        </w:rPr>
        <w:footnoteRef/>
      </w:r>
      <w:r w:rsidRPr="009F3F68">
        <w:rPr>
          <w:rFonts w:ascii="Cambria" w:hAnsi="Cambria"/>
          <w:sz w:val="16"/>
          <w:szCs w:val="16"/>
          <w:lang w:val="es-CO"/>
        </w:rPr>
        <w:t xml:space="preserve"> </w:t>
      </w:r>
      <w:r w:rsidRPr="009F3F68">
        <w:rPr>
          <w:rFonts w:ascii="Cambria" w:hAnsi="Cambria"/>
          <w:sz w:val="16"/>
          <w:szCs w:val="16"/>
          <w:lang w:val="es-ES"/>
        </w:rPr>
        <w:t xml:space="preserve">CIDH, Informe Anual 2013, </w:t>
      </w:r>
      <w:hyperlink r:id="rId3" w:history="1">
        <w:r w:rsidRPr="009F3F68">
          <w:rPr>
            <w:rStyle w:val="Hyperlink"/>
            <w:rFonts w:ascii="Cambria" w:hAnsi="Cambria"/>
            <w:sz w:val="16"/>
            <w:szCs w:val="16"/>
            <w:lang w:val="es-ES"/>
          </w:rPr>
          <w:t>Capítulo II, Sección D: Estado del cumplimiento de las recomendaciones de la CIDH</w:t>
        </w:r>
      </w:hyperlink>
      <w:r w:rsidRPr="009F3F68">
        <w:rPr>
          <w:rFonts w:ascii="Cambria" w:hAnsi="Cambria"/>
          <w:sz w:val="16"/>
          <w:szCs w:val="16"/>
          <w:lang w:val="es-ES"/>
        </w:rPr>
        <w:t xml:space="preserve">, </w:t>
      </w:r>
      <w:proofErr w:type="spellStart"/>
      <w:r w:rsidRPr="009F3F68">
        <w:rPr>
          <w:rFonts w:ascii="Cambria" w:hAnsi="Cambria"/>
          <w:sz w:val="16"/>
          <w:szCs w:val="16"/>
          <w:lang w:val="es-US"/>
        </w:rPr>
        <w:t>párrs</w:t>
      </w:r>
      <w:proofErr w:type="spellEnd"/>
      <w:r w:rsidRPr="009F3F68">
        <w:rPr>
          <w:rFonts w:ascii="Cambria" w:hAnsi="Cambria"/>
          <w:sz w:val="16"/>
          <w:szCs w:val="16"/>
          <w:lang w:val="es-US"/>
        </w:rPr>
        <w:t xml:space="preserve">. </w:t>
      </w:r>
      <w:r w:rsidRPr="009F3F68">
        <w:rPr>
          <w:rFonts w:ascii="Cambria" w:hAnsi="Cambria"/>
          <w:sz w:val="16"/>
          <w:szCs w:val="16"/>
          <w:lang w:val="es-CO"/>
        </w:rPr>
        <w:t>720 y 722.</w:t>
      </w:r>
    </w:p>
  </w:footnote>
  <w:footnote w:id="4">
    <w:p w14:paraId="56A99AB6" w14:textId="77777777" w:rsidR="003A7CE5" w:rsidRPr="009F3F68" w:rsidRDefault="003A7CE5" w:rsidP="003A7CE5">
      <w:pPr>
        <w:pStyle w:val="FootnoteText"/>
        <w:spacing w:after="120"/>
        <w:ind w:firstLine="864"/>
        <w:rPr>
          <w:rFonts w:ascii="Cambria" w:hAnsi="Cambria"/>
          <w:sz w:val="16"/>
          <w:szCs w:val="16"/>
          <w:lang w:val="es-CO"/>
        </w:rPr>
      </w:pPr>
      <w:r w:rsidRPr="009F3F68">
        <w:rPr>
          <w:rStyle w:val="FootnoteReference"/>
          <w:rFonts w:ascii="Cambria" w:hAnsi="Cambria"/>
          <w:sz w:val="16"/>
          <w:szCs w:val="16"/>
        </w:rPr>
        <w:footnoteRef/>
      </w:r>
      <w:r w:rsidRPr="009F3F68">
        <w:rPr>
          <w:rFonts w:ascii="Cambria" w:hAnsi="Cambria"/>
          <w:sz w:val="16"/>
          <w:szCs w:val="16"/>
          <w:lang w:val="es-CO"/>
        </w:rPr>
        <w:t xml:space="preserve"> </w:t>
      </w:r>
      <w:r w:rsidRPr="009F3F68">
        <w:rPr>
          <w:rFonts w:ascii="Cambria" w:hAnsi="Cambria"/>
          <w:sz w:val="16"/>
          <w:szCs w:val="16"/>
          <w:lang w:val="es-ES"/>
        </w:rPr>
        <w:t xml:space="preserve">CIDH, Informe Anual 2012, </w:t>
      </w:r>
      <w:hyperlink r:id="rId4" w:history="1">
        <w:r w:rsidRPr="009F3F68">
          <w:rPr>
            <w:rStyle w:val="Hyperlink"/>
            <w:rFonts w:ascii="Cambria" w:hAnsi="Cambria"/>
            <w:sz w:val="16"/>
            <w:szCs w:val="16"/>
            <w:lang w:val="es-ES"/>
          </w:rPr>
          <w:t>Capítulo III, Sección D: Estado del cumplimiento de las recomendaciones de la CIDH</w:t>
        </w:r>
      </w:hyperlink>
      <w:r w:rsidRPr="009F3F68">
        <w:rPr>
          <w:rFonts w:ascii="Cambria" w:hAnsi="Cambria"/>
          <w:sz w:val="16"/>
          <w:szCs w:val="16"/>
          <w:lang w:val="es-ES"/>
        </w:rPr>
        <w:t xml:space="preserve">, </w:t>
      </w:r>
      <w:r w:rsidRPr="009F3F68">
        <w:rPr>
          <w:rFonts w:ascii="Cambria" w:hAnsi="Cambria"/>
          <w:sz w:val="16"/>
          <w:szCs w:val="16"/>
          <w:lang w:val="es-US"/>
        </w:rPr>
        <w:t>párr. 643.</w:t>
      </w:r>
    </w:p>
  </w:footnote>
  <w:footnote w:id="5">
    <w:p w14:paraId="43A12896" w14:textId="77777777" w:rsidR="003A7CE5" w:rsidRPr="009F3F68" w:rsidRDefault="003A7CE5" w:rsidP="003A7CE5">
      <w:pPr>
        <w:pStyle w:val="FootnoteText"/>
        <w:spacing w:after="120"/>
        <w:ind w:firstLine="864"/>
        <w:rPr>
          <w:rFonts w:ascii="Cambria" w:hAnsi="Cambria"/>
          <w:sz w:val="16"/>
          <w:szCs w:val="16"/>
          <w:lang w:val="es-CO"/>
        </w:rPr>
      </w:pPr>
      <w:r w:rsidRPr="009F3F68">
        <w:rPr>
          <w:rStyle w:val="FootnoteReference"/>
          <w:rFonts w:ascii="Cambria" w:hAnsi="Cambria"/>
          <w:sz w:val="16"/>
          <w:szCs w:val="16"/>
        </w:rPr>
        <w:footnoteRef/>
      </w:r>
      <w:r w:rsidRPr="009F3F68">
        <w:rPr>
          <w:rFonts w:ascii="Cambria" w:hAnsi="Cambria"/>
          <w:sz w:val="16"/>
          <w:szCs w:val="16"/>
          <w:lang w:val="es-CO"/>
        </w:rPr>
        <w:t xml:space="preserve"> </w:t>
      </w:r>
      <w:r w:rsidRPr="009F3F68">
        <w:rPr>
          <w:rFonts w:ascii="Cambria" w:hAnsi="Cambria"/>
          <w:sz w:val="16"/>
          <w:szCs w:val="16"/>
          <w:lang w:val="es-ES"/>
        </w:rPr>
        <w:t xml:space="preserve">CIDH, Informe Anual 2011, </w:t>
      </w:r>
      <w:hyperlink r:id="rId5" w:history="1">
        <w:r w:rsidRPr="009F3F68">
          <w:rPr>
            <w:rStyle w:val="Hyperlink"/>
            <w:rFonts w:ascii="Cambria" w:hAnsi="Cambria"/>
            <w:sz w:val="16"/>
            <w:szCs w:val="16"/>
            <w:lang w:val="es-ES"/>
          </w:rPr>
          <w:t>Capítulo III, Sección D: Estado del cumplimiento de las recomendaciones de la CIDH</w:t>
        </w:r>
      </w:hyperlink>
      <w:r w:rsidRPr="009F3F68">
        <w:rPr>
          <w:rFonts w:ascii="Cambria" w:hAnsi="Cambria"/>
          <w:sz w:val="16"/>
          <w:szCs w:val="16"/>
          <w:lang w:val="es-ES"/>
        </w:rPr>
        <w:t xml:space="preserve">, </w:t>
      </w:r>
      <w:r w:rsidRPr="009F3F68">
        <w:rPr>
          <w:rFonts w:ascii="Cambria" w:hAnsi="Cambria"/>
          <w:sz w:val="16"/>
          <w:szCs w:val="16"/>
          <w:lang w:val="es-US"/>
        </w:rPr>
        <w:t>párr. 681.</w:t>
      </w:r>
    </w:p>
  </w:footnote>
  <w:footnote w:id="6">
    <w:p w14:paraId="189ECE9F" w14:textId="77777777" w:rsidR="003A7CE5" w:rsidRPr="009F3F68" w:rsidRDefault="003A7CE5" w:rsidP="003A7CE5">
      <w:pPr>
        <w:pStyle w:val="FootnoteText"/>
        <w:spacing w:after="120"/>
        <w:ind w:firstLine="864"/>
        <w:rPr>
          <w:rFonts w:ascii="Cambria" w:hAnsi="Cambria"/>
          <w:sz w:val="16"/>
          <w:szCs w:val="16"/>
          <w:lang w:val="es-CO"/>
        </w:rPr>
      </w:pPr>
      <w:r w:rsidRPr="009F3F68">
        <w:rPr>
          <w:rStyle w:val="FootnoteReference"/>
          <w:rFonts w:ascii="Cambria" w:hAnsi="Cambria"/>
          <w:sz w:val="16"/>
          <w:szCs w:val="16"/>
        </w:rPr>
        <w:footnoteRef/>
      </w:r>
      <w:r w:rsidRPr="009F3F68">
        <w:rPr>
          <w:rFonts w:ascii="Cambria" w:hAnsi="Cambria"/>
          <w:sz w:val="16"/>
          <w:szCs w:val="16"/>
          <w:lang w:val="es-CO"/>
        </w:rPr>
        <w:t xml:space="preserve"> </w:t>
      </w:r>
      <w:r w:rsidRPr="009F3F68">
        <w:rPr>
          <w:rFonts w:ascii="Cambria" w:hAnsi="Cambria"/>
          <w:sz w:val="16"/>
          <w:szCs w:val="16"/>
          <w:lang w:val="es-ES"/>
        </w:rPr>
        <w:t xml:space="preserve">CIDH, Informe Anual 2012, </w:t>
      </w:r>
      <w:hyperlink r:id="rId6" w:history="1">
        <w:r w:rsidRPr="009F3F68">
          <w:rPr>
            <w:rStyle w:val="Hyperlink"/>
            <w:rFonts w:ascii="Cambria" w:hAnsi="Cambria"/>
            <w:sz w:val="16"/>
            <w:szCs w:val="16"/>
            <w:lang w:val="es-ES"/>
          </w:rPr>
          <w:t>Capítulo III, Sección D: Estado del cumplimiento de las recomendaciones de la CIDH</w:t>
        </w:r>
      </w:hyperlink>
      <w:r w:rsidRPr="009F3F68">
        <w:rPr>
          <w:rFonts w:ascii="Cambria" w:hAnsi="Cambria"/>
          <w:sz w:val="16"/>
          <w:szCs w:val="16"/>
          <w:lang w:val="es-ES"/>
        </w:rPr>
        <w:t xml:space="preserve">, </w:t>
      </w:r>
      <w:r w:rsidRPr="009F3F68">
        <w:rPr>
          <w:rFonts w:ascii="Cambria" w:hAnsi="Cambria"/>
          <w:sz w:val="16"/>
          <w:szCs w:val="16"/>
          <w:lang w:val="es-US"/>
        </w:rPr>
        <w:t>párr. 643.</w:t>
      </w:r>
    </w:p>
  </w:footnote>
  <w:footnote w:id="7">
    <w:p w14:paraId="1F697238" w14:textId="77777777" w:rsidR="003A7CE5" w:rsidRPr="009F3F68" w:rsidRDefault="003A7CE5" w:rsidP="003A7CE5">
      <w:pPr>
        <w:pStyle w:val="FootnoteText"/>
        <w:spacing w:after="120"/>
        <w:ind w:firstLine="864"/>
        <w:rPr>
          <w:rFonts w:ascii="Cambria" w:hAnsi="Cambria"/>
          <w:sz w:val="16"/>
          <w:szCs w:val="16"/>
          <w:lang w:val="es-CO"/>
        </w:rPr>
      </w:pPr>
      <w:r w:rsidRPr="009F3F68">
        <w:rPr>
          <w:rStyle w:val="FootnoteReference"/>
          <w:rFonts w:ascii="Cambria" w:hAnsi="Cambria"/>
          <w:sz w:val="16"/>
          <w:szCs w:val="16"/>
        </w:rPr>
        <w:footnoteRef/>
      </w:r>
      <w:r w:rsidRPr="009F3F68">
        <w:rPr>
          <w:rFonts w:ascii="Cambria" w:hAnsi="Cambria"/>
          <w:sz w:val="16"/>
          <w:szCs w:val="16"/>
          <w:lang w:val="es-CO"/>
        </w:rPr>
        <w:t xml:space="preserve"> </w:t>
      </w:r>
      <w:r w:rsidRPr="009F3F68">
        <w:rPr>
          <w:rFonts w:ascii="Cambria" w:hAnsi="Cambria"/>
          <w:sz w:val="16"/>
          <w:szCs w:val="16"/>
          <w:lang w:val="es-ES"/>
        </w:rPr>
        <w:t xml:space="preserve">CIDH, Informe Anual 2012, </w:t>
      </w:r>
      <w:hyperlink r:id="rId7" w:history="1">
        <w:r w:rsidRPr="009F3F68">
          <w:rPr>
            <w:rStyle w:val="Hyperlink"/>
            <w:rFonts w:ascii="Cambria" w:hAnsi="Cambria"/>
            <w:sz w:val="16"/>
            <w:szCs w:val="16"/>
            <w:lang w:val="es-ES"/>
          </w:rPr>
          <w:t>Capítulo III, Sección D: Estado del cumplimiento de las recomendaciones de la CIDH</w:t>
        </w:r>
      </w:hyperlink>
      <w:r w:rsidRPr="009F3F68">
        <w:rPr>
          <w:rFonts w:ascii="Cambria" w:hAnsi="Cambria"/>
          <w:sz w:val="16"/>
          <w:szCs w:val="16"/>
          <w:lang w:val="es-ES"/>
        </w:rPr>
        <w:t xml:space="preserve">, </w:t>
      </w:r>
      <w:r w:rsidRPr="009F3F68">
        <w:rPr>
          <w:rFonts w:ascii="Cambria" w:hAnsi="Cambria"/>
          <w:sz w:val="16"/>
          <w:szCs w:val="16"/>
          <w:lang w:val="es-US"/>
        </w:rPr>
        <w:t>párr. 643.</w:t>
      </w:r>
    </w:p>
  </w:footnote>
  <w:footnote w:id="8">
    <w:p w14:paraId="2B4F9A9F" w14:textId="77777777" w:rsidR="003A7CE5" w:rsidRPr="009F3F68" w:rsidRDefault="003A7CE5" w:rsidP="003A7CE5">
      <w:pPr>
        <w:pStyle w:val="FootnoteText"/>
        <w:spacing w:after="120"/>
        <w:ind w:firstLine="864"/>
        <w:rPr>
          <w:rFonts w:ascii="Cambria" w:hAnsi="Cambria"/>
          <w:sz w:val="16"/>
          <w:szCs w:val="16"/>
          <w:lang w:val="es-CO"/>
        </w:rPr>
      </w:pPr>
      <w:r w:rsidRPr="009F3F68">
        <w:rPr>
          <w:rStyle w:val="FootnoteReference"/>
          <w:rFonts w:ascii="Cambria" w:hAnsi="Cambria"/>
          <w:sz w:val="16"/>
          <w:szCs w:val="16"/>
        </w:rPr>
        <w:footnoteRef/>
      </w:r>
      <w:r w:rsidRPr="009F3F68">
        <w:rPr>
          <w:rFonts w:ascii="Cambria" w:hAnsi="Cambria"/>
          <w:sz w:val="16"/>
          <w:szCs w:val="16"/>
          <w:lang w:val="es-CO"/>
        </w:rPr>
        <w:t xml:space="preserve"> </w:t>
      </w:r>
      <w:r w:rsidRPr="009F3F68">
        <w:rPr>
          <w:rFonts w:ascii="Cambria" w:hAnsi="Cambria"/>
          <w:sz w:val="16"/>
          <w:szCs w:val="16"/>
          <w:lang w:val="es-ES"/>
        </w:rPr>
        <w:t xml:space="preserve">CIDH, Informe Anual 2013, </w:t>
      </w:r>
      <w:hyperlink r:id="rId8" w:history="1">
        <w:r w:rsidRPr="009F3F68">
          <w:rPr>
            <w:rStyle w:val="Hyperlink"/>
            <w:rFonts w:ascii="Cambria" w:hAnsi="Cambria"/>
            <w:sz w:val="16"/>
            <w:szCs w:val="16"/>
            <w:lang w:val="es-ES"/>
          </w:rPr>
          <w:t>Capítulo II, Sección D: Estado del cumplimiento de las recomendaciones de la CIDH</w:t>
        </w:r>
      </w:hyperlink>
      <w:r w:rsidRPr="009F3F68">
        <w:rPr>
          <w:rFonts w:ascii="Cambria" w:hAnsi="Cambria"/>
          <w:sz w:val="16"/>
          <w:szCs w:val="16"/>
          <w:lang w:val="es-ES"/>
        </w:rPr>
        <w:t xml:space="preserve">, </w:t>
      </w:r>
      <w:r w:rsidRPr="009F3F68">
        <w:rPr>
          <w:rFonts w:ascii="Cambria" w:hAnsi="Cambria"/>
          <w:sz w:val="16"/>
          <w:szCs w:val="16"/>
          <w:lang w:val="es-US"/>
        </w:rPr>
        <w:t>párr. 721.</w:t>
      </w:r>
    </w:p>
  </w:footnote>
  <w:footnote w:id="9">
    <w:p w14:paraId="27EB9C28" w14:textId="77777777" w:rsidR="003A7CE5" w:rsidRPr="00ED786B" w:rsidRDefault="003A7CE5" w:rsidP="003A7CE5">
      <w:pPr>
        <w:pStyle w:val="FootnoteText"/>
        <w:spacing w:after="120"/>
        <w:ind w:firstLine="864"/>
      </w:pPr>
      <w:r w:rsidRPr="009F3F68">
        <w:rPr>
          <w:rStyle w:val="FootnoteReference"/>
          <w:rFonts w:ascii="Cambria" w:hAnsi="Cambria"/>
          <w:sz w:val="16"/>
          <w:szCs w:val="16"/>
        </w:rPr>
        <w:footnoteRef/>
      </w:r>
      <w:r w:rsidRPr="009F3F68">
        <w:rPr>
          <w:rFonts w:ascii="Cambria" w:hAnsi="Cambria"/>
          <w:sz w:val="16"/>
          <w:szCs w:val="16"/>
          <w:lang w:val="es-CO"/>
        </w:rPr>
        <w:t xml:space="preserve"> </w:t>
      </w:r>
      <w:r w:rsidRPr="009F3F68">
        <w:rPr>
          <w:rFonts w:ascii="Cambria" w:hAnsi="Cambria"/>
          <w:sz w:val="16"/>
          <w:szCs w:val="16"/>
          <w:lang w:val="es-ES"/>
        </w:rPr>
        <w:t xml:space="preserve">CIDH, Informe Anual 2017, </w:t>
      </w:r>
      <w:hyperlink r:id="rId9" w:history="1">
        <w:r w:rsidRPr="009F3F68">
          <w:rPr>
            <w:rStyle w:val="Hyperlink"/>
            <w:rFonts w:ascii="Cambria" w:hAnsi="Cambria"/>
            <w:sz w:val="16"/>
            <w:szCs w:val="16"/>
            <w:lang w:val="es-ES"/>
          </w:rPr>
          <w:t>Capítulo II, Sección F: Estado del cumplimiento de las recomendaciones de la CIDH</w:t>
        </w:r>
      </w:hyperlink>
      <w:r w:rsidRPr="009F3F68">
        <w:rPr>
          <w:rFonts w:ascii="Cambria" w:hAnsi="Cambria"/>
          <w:sz w:val="16"/>
          <w:szCs w:val="16"/>
          <w:lang w:val="es-ES"/>
        </w:rPr>
        <w:t xml:space="preserve">, </w:t>
      </w:r>
      <w:r w:rsidRPr="009F3F68">
        <w:rPr>
          <w:rFonts w:ascii="Cambria" w:hAnsi="Cambria"/>
          <w:sz w:val="16"/>
          <w:szCs w:val="16"/>
          <w:lang w:val="es-US"/>
        </w:rPr>
        <w:t xml:space="preserve">párr. </w:t>
      </w:r>
      <w:r w:rsidRPr="00ED786B">
        <w:rPr>
          <w:rFonts w:ascii="Cambria" w:hAnsi="Cambria"/>
          <w:sz w:val="16"/>
          <w:szCs w:val="16"/>
        </w:rPr>
        <w:t>1270.</w:t>
      </w:r>
    </w:p>
  </w:footnote>
  <w:footnote w:id="10">
    <w:p w14:paraId="14D26E92" w14:textId="1CEBE905" w:rsidR="003A7CE5" w:rsidRPr="003A7CE5" w:rsidRDefault="003A7CE5" w:rsidP="003A7CE5">
      <w:pPr>
        <w:pStyle w:val="FootnoteText"/>
        <w:spacing w:after="120"/>
        <w:ind w:firstLine="720"/>
        <w:jc w:val="both"/>
        <w:rPr>
          <w:lang w:val="es-ES"/>
        </w:rPr>
      </w:pPr>
      <w:r w:rsidRPr="009F3F68">
        <w:rPr>
          <w:rStyle w:val="FootnoteReference"/>
        </w:rPr>
        <w:footnoteRef/>
      </w:r>
      <w:r w:rsidRPr="009F3F68">
        <w:t xml:space="preserve"> </w:t>
      </w:r>
      <w:r w:rsidRPr="009F3F68">
        <w:rPr>
          <w:rFonts w:ascii="Cambria" w:hAnsi="Cambria"/>
          <w:sz w:val="16"/>
          <w:szCs w:val="16"/>
        </w:rPr>
        <w:t xml:space="preserve">Supreme Court of the US. </w:t>
      </w:r>
      <w:hyperlink r:id="rId10" w:history="1">
        <w:r w:rsidRPr="009F3F68">
          <w:rPr>
            <w:rStyle w:val="Hyperlink"/>
            <w:rFonts w:ascii="Cambria" w:hAnsi="Cambria"/>
            <w:sz w:val="16"/>
            <w:szCs w:val="16"/>
          </w:rPr>
          <w:t>Department of Homeland Security v. Regents of the University of California</w:t>
        </w:r>
      </w:hyperlink>
      <w:r w:rsidRPr="009F3F68">
        <w:rPr>
          <w:rFonts w:ascii="Cambria" w:hAnsi="Cambria"/>
          <w:sz w:val="16"/>
          <w:szCs w:val="16"/>
        </w:rPr>
        <w:t xml:space="preserve">. </w:t>
      </w:r>
      <w:r w:rsidRPr="003A7CE5">
        <w:rPr>
          <w:rFonts w:ascii="Cambria" w:hAnsi="Cambria"/>
          <w:sz w:val="16"/>
          <w:szCs w:val="16"/>
          <w:lang w:val="es-ES"/>
        </w:rPr>
        <w:t xml:space="preserve">S. </w:t>
      </w:r>
      <w:proofErr w:type="spellStart"/>
      <w:r w:rsidRPr="003A7CE5">
        <w:rPr>
          <w:rFonts w:ascii="Cambria" w:hAnsi="Cambria"/>
          <w:sz w:val="16"/>
          <w:szCs w:val="16"/>
          <w:lang w:val="es-ES"/>
        </w:rPr>
        <w:t>Ct</w:t>
      </w:r>
      <w:proofErr w:type="spellEnd"/>
      <w:r w:rsidRPr="003A7CE5">
        <w:rPr>
          <w:rFonts w:ascii="Cambria" w:hAnsi="Cambria"/>
          <w:sz w:val="16"/>
          <w:szCs w:val="16"/>
          <w:lang w:val="es-ES"/>
        </w:rPr>
        <w:t xml:space="preserve">. 1891, </w:t>
      </w:r>
      <w:proofErr w:type="spellStart"/>
      <w:r w:rsidRPr="003A7CE5">
        <w:rPr>
          <w:rFonts w:ascii="Cambria" w:hAnsi="Cambria"/>
          <w:sz w:val="16"/>
          <w:szCs w:val="16"/>
          <w:lang w:val="es-ES"/>
        </w:rPr>
        <w:t>September</w:t>
      </w:r>
      <w:proofErr w:type="spellEnd"/>
      <w:r w:rsidRPr="003A7CE5">
        <w:rPr>
          <w:rFonts w:ascii="Cambria" w:hAnsi="Cambria"/>
          <w:sz w:val="16"/>
          <w:szCs w:val="16"/>
          <w:lang w:val="es-ES"/>
        </w:rPr>
        <w:t xml:space="preserve"> 12, 2020</w:t>
      </w:r>
      <w:r w:rsidR="00F17070">
        <w:rPr>
          <w:rFonts w:ascii="Cambria" w:hAnsi="Cambria"/>
          <w:sz w:val="16"/>
          <w:szCs w:val="16"/>
          <w:lang w:val="es-ES"/>
        </w:rPr>
        <w:t>.</w:t>
      </w:r>
    </w:p>
  </w:footnote>
  <w:footnote w:id="11">
    <w:p w14:paraId="67E887D1" w14:textId="77777777" w:rsidR="003A7CE5" w:rsidRPr="009F3F68" w:rsidRDefault="003A7CE5" w:rsidP="003A7CE5">
      <w:pPr>
        <w:pStyle w:val="FootnoteText"/>
        <w:spacing w:after="120"/>
        <w:ind w:firstLine="720"/>
        <w:jc w:val="both"/>
        <w:rPr>
          <w:rFonts w:ascii="Cambria" w:hAnsi="Cambria"/>
          <w:sz w:val="16"/>
          <w:szCs w:val="16"/>
          <w:lang w:val="es-BO"/>
        </w:rPr>
      </w:pPr>
      <w:r w:rsidRPr="009F3F68">
        <w:rPr>
          <w:rStyle w:val="FootnoteReference"/>
        </w:rPr>
        <w:footnoteRef/>
      </w:r>
      <w:r w:rsidRPr="009F3F68">
        <w:rPr>
          <w:lang w:val="es-BO"/>
        </w:rPr>
        <w:t xml:space="preserve"> </w:t>
      </w:r>
      <w:r w:rsidRPr="009F3F68">
        <w:rPr>
          <w:rFonts w:ascii="Cambria" w:hAnsi="Cambria"/>
          <w:sz w:val="16"/>
          <w:szCs w:val="16"/>
          <w:lang w:val="es-BO"/>
        </w:rPr>
        <w:t xml:space="preserve">CIDH. Comunicado de Prensa N° 110/14, </w:t>
      </w:r>
      <w:hyperlink r:id="rId11" w:history="1">
        <w:r w:rsidRPr="009F3F68">
          <w:rPr>
            <w:rStyle w:val="Hyperlink"/>
            <w:rFonts w:ascii="Cambria" w:hAnsi="Cambria"/>
            <w:sz w:val="16"/>
            <w:szCs w:val="16"/>
            <w:lang w:val="es-BO"/>
          </w:rPr>
          <w:t>CIDH culmina su visita en los Estados Unidos de América</w:t>
        </w:r>
      </w:hyperlink>
      <w:r w:rsidRPr="009F3F68">
        <w:rPr>
          <w:rFonts w:ascii="Cambria" w:hAnsi="Cambria"/>
          <w:sz w:val="16"/>
          <w:szCs w:val="16"/>
          <w:lang w:val="es-BO"/>
        </w:rPr>
        <w:t xml:space="preserve">. </w:t>
      </w:r>
      <w:r w:rsidRPr="003A7CE5">
        <w:rPr>
          <w:rFonts w:ascii="Cambria" w:hAnsi="Cambria"/>
          <w:sz w:val="16"/>
          <w:szCs w:val="16"/>
          <w:lang w:val="es-ES"/>
        </w:rPr>
        <w:t xml:space="preserve">San Antonio, Texas. </w:t>
      </w:r>
      <w:r w:rsidRPr="009F3F68">
        <w:rPr>
          <w:rFonts w:ascii="Cambria" w:hAnsi="Cambria"/>
          <w:sz w:val="16"/>
          <w:szCs w:val="16"/>
          <w:lang w:val="es-BO"/>
        </w:rPr>
        <w:t xml:space="preserve">2 de octubre de 2014; CIDH. Comunicado de Prensa </w:t>
      </w:r>
      <w:proofErr w:type="spellStart"/>
      <w:r w:rsidRPr="009F3F68">
        <w:rPr>
          <w:rFonts w:ascii="Cambria" w:hAnsi="Cambria"/>
          <w:sz w:val="16"/>
          <w:szCs w:val="16"/>
          <w:lang w:val="es-BO"/>
        </w:rPr>
        <w:t>N°</w:t>
      </w:r>
      <w:proofErr w:type="spellEnd"/>
      <w:r w:rsidRPr="009F3F68">
        <w:rPr>
          <w:rFonts w:ascii="Cambria" w:hAnsi="Cambria"/>
          <w:sz w:val="16"/>
          <w:szCs w:val="16"/>
          <w:lang w:val="es-BO"/>
        </w:rPr>
        <w:t xml:space="preserve"> 105/14, </w:t>
      </w:r>
      <w:hyperlink r:id="rId12" w:history="1">
        <w:r w:rsidRPr="009F3F68">
          <w:rPr>
            <w:rStyle w:val="Hyperlink"/>
            <w:rFonts w:ascii="Cambria" w:hAnsi="Cambria"/>
            <w:sz w:val="16"/>
            <w:szCs w:val="16"/>
            <w:lang w:val="es-BO"/>
          </w:rPr>
          <w:t xml:space="preserve">CIDH visita frontera sur de Estados Unidos preocupada por situación de </w:t>
        </w:r>
        <w:proofErr w:type="gramStart"/>
        <w:r w:rsidRPr="009F3F68">
          <w:rPr>
            <w:rStyle w:val="Hyperlink"/>
            <w:rFonts w:ascii="Cambria" w:hAnsi="Cambria"/>
            <w:sz w:val="16"/>
            <w:szCs w:val="16"/>
            <w:lang w:val="es-BO"/>
          </w:rPr>
          <w:t>niños y niñas</w:t>
        </w:r>
        <w:proofErr w:type="gramEnd"/>
        <w:r w:rsidRPr="009F3F68">
          <w:rPr>
            <w:rStyle w:val="Hyperlink"/>
            <w:rFonts w:ascii="Cambria" w:hAnsi="Cambria"/>
            <w:sz w:val="16"/>
            <w:szCs w:val="16"/>
            <w:lang w:val="es-BO"/>
          </w:rPr>
          <w:t xml:space="preserve"> no acompañados y familias</w:t>
        </w:r>
      </w:hyperlink>
      <w:r w:rsidRPr="009F3F68">
        <w:rPr>
          <w:rFonts w:ascii="Cambria" w:hAnsi="Cambria"/>
          <w:sz w:val="16"/>
          <w:szCs w:val="16"/>
          <w:lang w:val="es-BO"/>
        </w:rPr>
        <w:t xml:space="preserve">. Washington, D.C., 22 de septiembre de 2014; CIDH. Comunicado de Prensa N° 8/17, CIDH </w:t>
      </w:r>
      <w:hyperlink r:id="rId13" w:history="1">
        <w:r w:rsidRPr="009F3F68">
          <w:rPr>
            <w:rStyle w:val="Hyperlink"/>
            <w:rFonts w:ascii="Cambria" w:hAnsi="Cambria"/>
            <w:sz w:val="16"/>
            <w:szCs w:val="16"/>
            <w:lang w:val="es-BO"/>
          </w:rPr>
          <w:t>expresa preocupación por órdenes ejecutivas sobre migración y refugio en los Estados Unidos</w:t>
        </w:r>
      </w:hyperlink>
      <w:r w:rsidRPr="009F3F68">
        <w:rPr>
          <w:rFonts w:ascii="Cambria" w:hAnsi="Cambria"/>
          <w:sz w:val="16"/>
          <w:szCs w:val="16"/>
          <w:lang w:val="es-BO"/>
        </w:rPr>
        <w:t>. Washington, DC. 1 de febrero de 2017; CIDH, Comunicado de Prensa N° 180/19.</w:t>
      </w:r>
      <w:r w:rsidRPr="009F3F68">
        <w:rPr>
          <w:lang w:val="es-BO"/>
        </w:rPr>
        <w:t xml:space="preserve"> </w:t>
      </w:r>
      <w:hyperlink r:id="rId14" w:history="1">
        <w:r w:rsidRPr="009F3F68">
          <w:rPr>
            <w:rStyle w:val="Hyperlink"/>
            <w:rFonts w:ascii="Cambria" w:hAnsi="Cambria"/>
            <w:sz w:val="16"/>
            <w:szCs w:val="16"/>
            <w:lang w:val="es-BO"/>
          </w:rPr>
          <w:t>CIDH expresa profunda preocupación por la situación de personas migrantes y refugiadas en Estados Unidos, México y Centroamérica</w:t>
        </w:r>
      </w:hyperlink>
      <w:r w:rsidRPr="009F3F68">
        <w:rPr>
          <w:rFonts w:ascii="Cambria" w:hAnsi="Cambria"/>
          <w:sz w:val="16"/>
          <w:szCs w:val="16"/>
          <w:lang w:val="es-BO"/>
        </w:rPr>
        <w:t>. Washington, D.C., 23 de julio 2019; CIDH, Comunicado de Prensa N° 179/20.</w:t>
      </w:r>
      <w:r w:rsidRPr="009F3F68">
        <w:rPr>
          <w:lang w:val="es-BO"/>
        </w:rPr>
        <w:t xml:space="preserve"> </w:t>
      </w:r>
      <w:hyperlink r:id="rId15" w:history="1">
        <w:r w:rsidRPr="009F3F68">
          <w:rPr>
            <w:rStyle w:val="Hyperlink"/>
            <w:rFonts w:ascii="Cambria" w:hAnsi="Cambria"/>
            <w:sz w:val="16"/>
            <w:szCs w:val="16"/>
            <w:lang w:val="es-BO"/>
          </w:rPr>
          <w:t>La CIDH manifiesta su preocupación por restricción de derechos de las personas migrantes y refugiadas en Estados Unidos, frente a la pandemia del COVID-19</w:t>
        </w:r>
      </w:hyperlink>
      <w:r w:rsidRPr="009F3F68">
        <w:rPr>
          <w:rFonts w:ascii="Cambria" w:hAnsi="Cambria"/>
          <w:sz w:val="16"/>
          <w:szCs w:val="16"/>
          <w:lang w:val="es-BO"/>
        </w:rPr>
        <w:t>. Washington, D.C., 2 de julio de 2020; CIDH, Comunicado de Prensa 262/20.</w:t>
      </w:r>
      <w:r w:rsidRPr="009F3F68">
        <w:rPr>
          <w:lang w:val="es-BO"/>
        </w:rPr>
        <w:t xml:space="preserve"> </w:t>
      </w:r>
      <w:hyperlink r:id="rId16" w:history="1">
        <w:r w:rsidRPr="009F3F68">
          <w:rPr>
            <w:rStyle w:val="Hyperlink"/>
            <w:rFonts w:ascii="Cambria" w:hAnsi="Cambria"/>
            <w:sz w:val="16"/>
            <w:szCs w:val="16"/>
            <w:lang w:val="es-BO"/>
          </w:rPr>
          <w:t>La CIDH expresa su preocupación por las denuncias de esterilizaciones e intervenciones quirúrgicas sin consentimiento en centro de detención migratoria en Estados Unidos</w:t>
        </w:r>
      </w:hyperlink>
      <w:r w:rsidRPr="009F3F68">
        <w:rPr>
          <w:rFonts w:ascii="Cambria" w:hAnsi="Cambria"/>
          <w:sz w:val="16"/>
          <w:szCs w:val="16"/>
          <w:lang w:val="es-BO"/>
        </w:rPr>
        <w:t>. Washington, D.C., 30 de octubre de 2020</w:t>
      </w:r>
    </w:p>
  </w:footnote>
  <w:footnote w:id="12">
    <w:p w14:paraId="5EAF4047" w14:textId="77777777" w:rsidR="003A7CE5" w:rsidRPr="009F3F68" w:rsidRDefault="003A7CE5" w:rsidP="003A7CE5">
      <w:pPr>
        <w:pStyle w:val="FootnoteText"/>
        <w:spacing w:after="120"/>
        <w:ind w:firstLine="720"/>
        <w:jc w:val="both"/>
        <w:rPr>
          <w:lang w:val="es-BO"/>
        </w:rPr>
      </w:pPr>
      <w:r w:rsidRPr="009F3F68">
        <w:rPr>
          <w:rStyle w:val="FootnoteReference"/>
        </w:rPr>
        <w:footnoteRef/>
      </w:r>
      <w:r w:rsidRPr="009F3F68">
        <w:rPr>
          <w:lang w:val="es-BO"/>
        </w:rPr>
        <w:t xml:space="preserve"> </w:t>
      </w:r>
      <w:r w:rsidRPr="009F3F68">
        <w:rPr>
          <w:rFonts w:ascii="Cambria" w:hAnsi="Cambria"/>
          <w:sz w:val="16"/>
          <w:szCs w:val="16"/>
          <w:lang w:val="es-BO"/>
        </w:rPr>
        <w:t xml:space="preserve">CIDH. </w:t>
      </w:r>
      <w:hyperlink r:id="rId17" w:history="1">
        <w:r w:rsidRPr="009F3F68">
          <w:rPr>
            <w:rStyle w:val="Hyperlink"/>
            <w:rFonts w:ascii="Cambria" w:hAnsi="Cambria"/>
            <w:sz w:val="16"/>
            <w:szCs w:val="16"/>
            <w:lang w:val="es-BO"/>
          </w:rPr>
          <w:t>Refugiados y migrantes en Estados Unidos: Familias y niños no acompañados</w:t>
        </w:r>
      </w:hyperlink>
      <w:r w:rsidRPr="009F3F68">
        <w:rPr>
          <w:rFonts w:ascii="Cambria" w:hAnsi="Cambria"/>
          <w:sz w:val="16"/>
          <w:szCs w:val="16"/>
          <w:lang w:val="es-BO"/>
        </w:rPr>
        <w:t>. OAS/</w:t>
      </w:r>
      <w:proofErr w:type="spellStart"/>
      <w:r w:rsidRPr="009F3F68">
        <w:rPr>
          <w:rFonts w:ascii="Cambria" w:hAnsi="Cambria"/>
          <w:sz w:val="16"/>
          <w:szCs w:val="16"/>
          <w:lang w:val="es-BO"/>
        </w:rPr>
        <w:t>Ser.L</w:t>
      </w:r>
      <w:proofErr w:type="spellEnd"/>
      <w:r w:rsidRPr="009F3F68">
        <w:rPr>
          <w:rFonts w:ascii="Cambria" w:hAnsi="Cambria"/>
          <w:sz w:val="16"/>
          <w:szCs w:val="16"/>
          <w:lang w:val="es-BO"/>
        </w:rPr>
        <w:t>/V/II. 155. Doc. 16. 24 de julio de 2015.</w:t>
      </w:r>
    </w:p>
  </w:footnote>
  <w:footnote w:id="13">
    <w:p w14:paraId="0441DE74" w14:textId="77777777" w:rsidR="003A7CE5" w:rsidRPr="009F3F68" w:rsidRDefault="003A7CE5" w:rsidP="003A7CE5">
      <w:pPr>
        <w:pStyle w:val="FootnoteText"/>
        <w:spacing w:after="120"/>
        <w:ind w:firstLine="720"/>
        <w:jc w:val="both"/>
        <w:rPr>
          <w:lang w:val="es-BO"/>
        </w:rPr>
      </w:pPr>
      <w:r w:rsidRPr="009F3F68">
        <w:rPr>
          <w:rStyle w:val="FootnoteReference"/>
        </w:rPr>
        <w:footnoteRef/>
      </w:r>
      <w:r w:rsidRPr="009F3F68">
        <w:rPr>
          <w:lang w:val="es-BO"/>
        </w:rPr>
        <w:t xml:space="preserve"> </w:t>
      </w:r>
      <w:r w:rsidRPr="009F3F68">
        <w:rPr>
          <w:rFonts w:ascii="Cambria" w:hAnsi="Cambria"/>
          <w:sz w:val="16"/>
          <w:szCs w:val="16"/>
          <w:lang w:val="es-BO"/>
        </w:rPr>
        <w:t xml:space="preserve">CIDH. Comunicado de Prensa N° 228/19, </w:t>
      </w:r>
      <w:hyperlink r:id="rId18" w:history="1">
        <w:r w:rsidRPr="009F3F68">
          <w:rPr>
            <w:rStyle w:val="Hyperlink"/>
            <w:rFonts w:ascii="Cambria" w:hAnsi="Cambria"/>
            <w:sz w:val="16"/>
            <w:szCs w:val="16"/>
            <w:lang w:val="es-BO"/>
          </w:rPr>
          <w:t>CIDH realizó visita a la frontera sur de Estados Unidos de América</w:t>
        </w:r>
      </w:hyperlink>
      <w:r w:rsidRPr="009F3F68">
        <w:rPr>
          <w:rFonts w:ascii="Cambria" w:hAnsi="Cambria"/>
          <w:sz w:val="16"/>
          <w:szCs w:val="16"/>
          <w:lang w:val="es-BO"/>
        </w:rPr>
        <w:t>, Washington, D.C., 16 de septiembre de 2019.</w:t>
      </w:r>
    </w:p>
  </w:footnote>
  <w:footnote w:id="14">
    <w:p w14:paraId="6DFFC8E0" w14:textId="77777777" w:rsidR="003A7CE5" w:rsidRPr="009F3F68" w:rsidRDefault="003A7CE5" w:rsidP="003A7CE5">
      <w:pPr>
        <w:pStyle w:val="FootnoteText"/>
        <w:spacing w:after="120"/>
        <w:ind w:firstLine="720"/>
        <w:jc w:val="both"/>
        <w:rPr>
          <w:lang w:val="es-BO"/>
        </w:rPr>
      </w:pPr>
      <w:r w:rsidRPr="009F3F68">
        <w:rPr>
          <w:rStyle w:val="FootnoteReference"/>
        </w:rPr>
        <w:footnoteRef/>
      </w:r>
      <w:r w:rsidRPr="009F3F68">
        <w:rPr>
          <w:rFonts w:ascii="Cambria" w:hAnsi="Cambria"/>
          <w:sz w:val="16"/>
          <w:lang w:val="es-BO"/>
        </w:rPr>
        <w:t xml:space="preserve"> </w:t>
      </w:r>
      <w:r w:rsidRPr="009F3F68">
        <w:rPr>
          <w:rFonts w:ascii="Cambria" w:hAnsi="Cambria"/>
          <w:sz w:val="16"/>
          <w:szCs w:val="16"/>
          <w:lang w:val="es-BO"/>
        </w:rPr>
        <w:t>CIDH</w:t>
      </w:r>
      <w:r w:rsidRPr="009F3F68">
        <w:rPr>
          <w:rFonts w:ascii="Cambria" w:hAnsi="Cambria"/>
          <w:sz w:val="16"/>
          <w:lang w:val="es-BO"/>
        </w:rPr>
        <w:t xml:space="preserve">. </w:t>
      </w:r>
      <w:hyperlink r:id="rId19" w:history="1">
        <w:r w:rsidRPr="009F3F68">
          <w:rPr>
            <w:rStyle w:val="Hyperlink"/>
            <w:rFonts w:ascii="Cambria" w:hAnsi="Cambria"/>
            <w:sz w:val="16"/>
            <w:lang w:val="es-BO"/>
          </w:rPr>
          <w:t>Estándares Interamericanos. Movilidad Humana</w:t>
        </w:r>
      </w:hyperlink>
      <w:r w:rsidRPr="009F3F68">
        <w:rPr>
          <w:rFonts w:ascii="Cambria" w:hAnsi="Cambria"/>
          <w:sz w:val="16"/>
          <w:lang w:val="es-BO"/>
        </w:rPr>
        <w:t>. OEA/</w:t>
      </w:r>
      <w:proofErr w:type="spellStart"/>
      <w:r w:rsidRPr="009F3F68">
        <w:rPr>
          <w:rFonts w:ascii="Cambria" w:hAnsi="Cambria"/>
          <w:sz w:val="16"/>
          <w:lang w:val="es-BO"/>
        </w:rPr>
        <w:t>Ser.L</w:t>
      </w:r>
      <w:proofErr w:type="spellEnd"/>
      <w:r w:rsidRPr="009F3F68">
        <w:rPr>
          <w:rFonts w:ascii="Cambria" w:hAnsi="Cambria"/>
          <w:sz w:val="16"/>
          <w:lang w:val="es-BO"/>
        </w:rPr>
        <w:t xml:space="preserve">/V/II. Doc. 46/15. 31 de </w:t>
      </w:r>
      <w:proofErr w:type="spellStart"/>
      <w:r w:rsidRPr="009F3F68">
        <w:rPr>
          <w:rFonts w:ascii="Cambria" w:hAnsi="Cambria"/>
          <w:sz w:val="16"/>
          <w:lang w:val="es-BO"/>
        </w:rPr>
        <w:t>diciemre</w:t>
      </w:r>
      <w:proofErr w:type="spellEnd"/>
      <w:r w:rsidRPr="009F3F68">
        <w:rPr>
          <w:rFonts w:ascii="Cambria" w:hAnsi="Cambria"/>
          <w:sz w:val="16"/>
          <w:lang w:val="es-BO"/>
        </w:rPr>
        <w:t xml:space="preserve"> de 2015</w:t>
      </w:r>
    </w:p>
  </w:footnote>
  <w:footnote w:id="15">
    <w:p w14:paraId="08CA372F" w14:textId="77777777" w:rsidR="003A7CE5" w:rsidRPr="003F3D27" w:rsidRDefault="003A7CE5" w:rsidP="003A7CE5">
      <w:pPr>
        <w:pStyle w:val="FootnoteText"/>
        <w:spacing w:after="120"/>
        <w:ind w:firstLine="720"/>
        <w:jc w:val="both"/>
        <w:rPr>
          <w:lang w:val="es-BO"/>
        </w:rPr>
      </w:pPr>
      <w:r w:rsidRPr="009F3F68">
        <w:rPr>
          <w:rStyle w:val="FootnoteReference"/>
        </w:rPr>
        <w:footnoteRef/>
      </w:r>
      <w:r w:rsidRPr="009F3F68">
        <w:rPr>
          <w:lang w:val="es-BO"/>
        </w:rPr>
        <w:t xml:space="preserve"> </w:t>
      </w:r>
      <w:r w:rsidRPr="009F3F68">
        <w:rPr>
          <w:rFonts w:ascii="Cambria" w:hAnsi="Cambria"/>
          <w:sz w:val="16"/>
          <w:szCs w:val="16"/>
          <w:lang w:val="es-BO"/>
        </w:rPr>
        <w:t>CIDH</w:t>
      </w:r>
      <w:r w:rsidRPr="009F3F68">
        <w:rPr>
          <w:rFonts w:ascii="Cambria" w:hAnsi="Cambria"/>
          <w:sz w:val="16"/>
          <w:lang w:val="es-BO"/>
        </w:rPr>
        <w:t>. Resolución N° 04/19</w:t>
      </w:r>
      <w:r w:rsidRPr="009F3F68">
        <w:rPr>
          <w:lang w:val="es-BO"/>
        </w:rPr>
        <w:t xml:space="preserve"> </w:t>
      </w:r>
      <w:hyperlink r:id="rId20" w:history="1">
        <w:r w:rsidRPr="009F3F68">
          <w:rPr>
            <w:rStyle w:val="Hyperlink"/>
            <w:rFonts w:ascii="Cambria" w:hAnsi="Cambria"/>
            <w:sz w:val="16"/>
            <w:lang w:val="es-BO"/>
          </w:rPr>
          <w:t>Principios interamericanos sobre los derechos humanos de todas las personas migrantes, refugiadas, apátridas y víctimas de la trata de personas</w:t>
        </w:r>
      </w:hyperlink>
      <w:r w:rsidRPr="009F3F68">
        <w:rPr>
          <w:rFonts w:ascii="Cambria" w:hAnsi="Cambria"/>
          <w:sz w:val="16"/>
          <w:lang w:val="es-BO"/>
        </w:rPr>
        <w:t>. 7 de diciembre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74F643C0">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5682E"/>
    <w:multiLevelType w:val="hybridMultilevel"/>
    <w:tmpl w:val="C054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8" w15:restartNumberingAfterBreak="0">
    <w:nsid w:val="427662E5"/>
    <w:multiLevelType w:val="hybridMultilevel"/>
    <w:tmpl w:val="601EE2DA"/>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5C5B82"/>
    <w:multiLevelType w:val="hybridMultilevel"/>
    <w:tmpl w:val="3E663DB0"/>
    <w:lvl w:ilvl="0" w:tplc="20327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216337"/>
    <w:multiLevelType w:val="hybridMultilevel"/>
    <w:tmpl w:val="8196C2FA"/>
    <w:lvl w:ilvl="0" w:tplc="8ADC9432">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0A07D1"/>
    <w:multiLevelType w:val="hybridMultilevel"/>
    <w:tmpl w:val="7C5437E8"/>
    <w:lvl w:ilvl="0" w:tplc="363C2D1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92294D"/>
    <w:multiLevelType w:val="hybridMultilevel"/>
    <w:tmpl w:val="3226669E"/>
    <w:lvl w:ilvl="0" w:tplc="6400DF4A">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A766E8"/>
    <w:multiLevelType w:val="hybridMultilevel"/>
    <w:tmpl w:val="BF0C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412FF0"/>
    <w:multiLevelType w:val="hybridMultilevel"/>
    <w:tmpl w:val="C9067B9A"/>
    <w:lvl w:ilvl="0" w:tplc="4BCC38A6">
      <w:start w:val="6"/>
      <w:numFmt w:val="decimal"/>
      <w:lvlText w:val="%1."/>
      <w:lvlJc w:val="left"/>
      <w:pPr>
        <w:ind w:left="0" w:firstLine="720"/>
      </w:pPr>
      <w:rPr>
        <w:rFonts w:hint="default"/>
        <w:b w:val="0"/>
        <w:color w:val="000000" w:themeColor="text1"/>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6" w15:restartNumberingAfterBreak="0">
    <w:nsid w:val="78E00A47"/>
    <w:multiLevelType w:val="hybridMultilevel"/>
    <w:tmpl w:val="AE7C49BC"/>
    <w:lvl w:ilvl="0" w:tplc="04160013">
      <w:start w:val="1"/>
      <w:numFmt w:val="upperRoman"/>
      <w:lvlText w:val="%1."/>
      <w:lvlJc w:val="right"/>
      <w:pPr>
        <w:ind w:left="81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994624A"/>
    <w:multiLevelType w:val="hybridMultilevel"/>
    <w:tmpl w:val="8174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abstractNum w:abstractNumId="19" w15:restartNumberingAfterBreak="0">
    <w:nsid w:val="7E6E1466"/>
    <w:multiLevelType w:val="hybridMultilevel"/>
    <w:tmpl w:val="4A3AE872"/>
    <w:lvl w:ilvl="0" w:tplc="98E411EE">
      <w:numFmt w:val="bullet"/>
      <w:lvlText w:val="-"/>
      <w:lvlJc w:val="left"/>
      <w:pPr>
        <w:ind w:left="1080" w:hanging="360"/>
      </w:pPr>
      <w:rPr>
        <w:rFonts w:ascii="Cambria" w:eastAsiaTheme="minorHAnsi" w:hAnsi="Cambria" w:cs="Calibri Light" w:hint="default"/>
        <w:color w:val="FF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57441437">
    <w:abstractNumId w:val="7"/>
  </w:num>
  <w:num w:numId="2" w16cid:durableId="1092892197">
    <w:abstractNumId w:val="18"/>
  </w:num>
  <w:num w:numId="3" w16cid:durableId="354233623">
    <w:abstractNumId w:val="12"/>
  </w:num>
  <w:num w:numId="4" w16cid:durableId="1201698557">
    <w:abstractNumId w:val="4"/>
  </w:num>
  <w:num w:numId="5" w16cid:durableId="1455295433">
    <w:abstractNumId w:val="3"/>
  </w:num>
  <w:num w:numId="6" w16cid:durableId="894779551">
    <w:abstractNumId w:val="6"/>
  </w:num>
  <w:num w:numId="7" w16cid:durableId="93936517">
    <w:abstractNumId w:val="0"/>
  </w:num>
  <w:num w:numId="8" w16cid:durableId="2008247259">
    <w:abstractNumId w:val="1"/>
  </w:num>
  <w:num w:numId="9" w16cid:durableId="363870824">
    <w:abstractNumId w:val="17"/>
  </w:num>
  <w:num w:numId="10" w16cid:durableId="342822422">
    <w:abstractNumId w:val="13"/>
  </w:num>
  <w:num w:numId="11" w16cid:durableId="1249656628">
    <w:abstractNumId w:val="16"/>
  </w:num>
  <w:num w:numId="12" w16cid:durableId="2022076786">
    <w:abstractNumId w:val="15"/>
  </w:num>
  <w:num w:numId="13" w16cid:durableId="231476043">
    <w:abstractNumId w:val="8"/>
  </w:num>
  <w:num w:numId="14" w16cid:durableId="1666325206">
    <w:abstractNumId w:val="11"/>
  </w:num>
  <w:num w:numId="15" w16cid:durableId="377627307">
    <w:abstractNumId w:val="2"/>
  </w:num>
  <w:num w:numId="16" w16cid:durableId="1239049934">
    <w:abstractNumId w:val="9"/>
  </w:num>
  <w:num w:numId="17" w16cid:durableId="885070130">
    <w:abstractNumId w:val="10"/>
  </w:num>
  <w:num w:numId="18" w16cid:durableId="1833707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79413826">
    <w:abstractNumId w:val="14"/>
  </w:num>
  <w:num w:numId="20" w16cid:durableId="116975708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A1667"/>
    <w:rsid w:val="000B20E3"/>
    <w:rsid w:val="000B5E1D"/>
    <w:rsid w:val="00105B23"/>
    <w:rsid w:val="0012788D"/>
    <w:rsid w:val="00181DA0"/>
    <w:rsid w:val="001F07B3"/>
    <w:rsid w:val="001F08D4"/>
    <w:rsid w:val="00207F98"/>
    <w:rsid w:val="00221D83"/>
    <w:rsid w:val="002248FB"/>
    <w:rsid w:val="00234E64"/>
    <w:rsid w:val="002B08BC"/>
    <w:rsid w:val="00322720"/>
    <w:rsid w:val="0038448F"/>
    <w:rsid w:val="003A7CE5"/>
    <w:rsid w:val="003C58AF"/>
    <w:rsid w:val="003F4793"/>
    <w:rsid w:val="00433AD6"/>
    <w:rsid w:val="00453115"/>
    <w:rsid w:val="004758C9"/>
    <w:rsid w:val="0048723C"/>
    <w:rsid w:val="004C5501"/>
    <w:rsid w:val="00500FDE"/>
    <w:rsid w:val="00561F9B"/>
    <w:rsid w:val="00566CD0"/>
    <w:rsid w:val="00622485"/>
    <w:rsid w:val="00622C9D"/>
    <w:rsid w:val="00635709"/>
    <w:rsid w:val="00637ED3"/>
    <w:rsid w:val="006638E5"/>
    <w:rsid w:val="00672733"/>
    <w:rsid w:val="006B1F24"/>
    <w:rsid w:val="006F6890"/>
    <w:rsid w:val="00757595"/>
    <w:rsid w:val="007714DE"/>
    <w:rsid w:val="0078107C"/>
    <w:rsid w:val="00786CA2"/>
    <w:rsid w:val="007C4DCE"/>
    <w:rsid w:val="007F2517"/>
    <w:rsid w:val="008463D3"/>
    <w:rsid w:val="008727D4"/>
    <w:rsid w:val="008818B0"/>
    <w:rsid w:val="008861D6"/>
    <w:rsid w:val="009C4980"/>
    <w:rsid w:val="00A81756"/>
    <w:rsid w:val="00A95306"/>
    <w:rsid w:val="00BD17B0"/>
    <w:rsid w:val="00BF7A78"/>
    <w:rsid w:val="00CB413B"/>
    <w:rsid w:val="00CF1774"/>
    <w:rsid w:val="00D125D1"/>
    <w:rsid w:val="00D427BD"/>
    <w:rsid w:val="00D56DC4"/>
    <w:rsid w:val="00D917F9"/>
    <w:rsid w:val="00DC633F"/>
    <w:rsid w:val="00DD4805"/>
    <w:rsid w:val="00E042FE"/>
    <w:rsid w:val="00E313E9"/>
    <w:rsid w:val="00E516AB"/>
    <w:rsid w:val="00E90CB3"/>
    <w:rsid w:val="00EA0262"/>
    <w:rsid w:val="00EB3CF3"/>
    <w:rsid w:val="00EC61E3"/>
    <w:rsid w:val="00ED0AAA"/>
    <w:rsid w:val="00ED1EBA"/>
    <w:rsid w:val="00ED786B"/>
    <w:rsid w:val="00F17070"/>
    <w:rsid w:val="00F2500C"/>
    <w:rsid w:val="00F41E7E"/>
    <w:rsid w:val="00F453C4"/>
    <w:rsid w:val="00F94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8AF"/>
    <w:pPr>
      <w:spacing w:after="200" w:line="276" w:lineRule="auto"/>
    </w:pPr>
    <w:rPr>
      <w:rFonts w:ascii="Calibri" w:eastAsia="Calibri" w:hAnsi="Calibri" w:cs="Times New Roman"/>
      <w:sz w:val="22"/>
      <w:szCs w:val="22"/>
      <w:lang w:val="pt-BR"/>
    </w:rPr>
  </w:style>
  <w:style w:type="paragraph" w:styleId="Heading1">
    <w:name w:val="heading 1"/>
    <w:basedOn w:val="Normal"/>
    <w:next w:val="Normal"/>
    <w:link w:val="Heading1Char"/>
    <w:uiPriority w:val="9"/>
    <w:qFormat/>
    <w:rsid w:val="006B1F2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spacing w:after="0" w:line="240" w:lineRule="auto"/>
    </w:pPr>
    <w:rPr>
      <w:rFonts w:asciiTheme="minorHAnsi" w:eastAsiaTheme="minorHAnsi" w:hAnsiTheme="minorHAnsi" w:cstheme="minorBidi"/>
      <w:sz w:val="24"/>
      <w:szCs w:val="24"/>
      <w:lang w:val="en-US"/>
    </w:r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spacing w:after="0" w:line="240" w:lineRule="auto"/>
    </w:pPr>
    <w:rPr>
      <w:rFonts w:asciiTheme="minorHAnsi" w:eastAsiaTheme="minorHAnsi" w:hAnsiTheme="minorHAnsi" w:cstheme="minorBidi"/>
      <w:sz w:val="24"/>
      <w:szCs w:val="24"/>
      <w:lang w:val="en-US"/>
    </w:r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spacing w:after="0" w:line="240" w:lineRule="auto"/>
      <w:ind w:left="720"/>
      <w:contextualSpacing/>
    </w:pPr>
    <w:rPr>
      <w:rFonts w:asciiTheme="minorHAnsi" w:eastAsiaTheme="minorHAnsi" w:hAnsiTheme="minorHAnsi" w:cstheme="minorBidi"/>
      <w:sz w:val="24"/>
      <w:szCs w:val="24"/>
      <w:lang w:val="en-US"/>
    </w:rPr>
  </w:style>
  <w:style w:type="paragraph" w:styleId="Subtitle">
    <w:name w:val="Subtitle"/>
    <w:basedOn w:val="Normal"/>
    <w:next w:val="Normal"/>
    <w:link w:val="SubtitleChar"/>
    <w:uiPriority w:val="11"/>
    <w:qFormat/>
    <w:rsid w:val="00045E5E"/>
    <w:pPr>
      <w:numPr>
        <w:ilvl w:val="1"/>
      </w:numPr>
      <w:spacing w:after="160" w:line="240" w:lineRule="auto"/>
    </w:pPr>
    <w:rPr>
      <w:rFonts w:asciiTheme="minorHAnsi" w:eastAsiaTheme="minorEastAsia" w:hAnsiTheme="minorHAnsi" w:cstheme="minorBidi"/>
      <w:color w:val="5A5A5A" w:themeColor="text1" w:themeTint="A5"/>
      <w:spacing w:val="15"/>
      <w:lang w:val="en-US"/>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pPr>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line="240" w:lineRule="auto"/>
    </w:pPr>
    <w:rPr>
      <w:rFonts w:asciiTheme="minorHAnsi" w:eastAsiaTheme="minorHAnsi" w:hAnsiTheme="minorHAnsi" w:cstheme="minorBidi"/>
      <w:i/>
      <w:iCs/>
      <w:color w:val="44546A" w:themeColor="text2"/>
      <w:sz w:val="18"/>
      <w:szCs w:val="18"/>
      <w:lang w:val="en-US"/>
    </w:rPr>
  </w:style>
  <w:style w:type="paragraph" w:customStyle="1" w:styleId="Appelnotedebasde">
    <w:name w:val="Appel note de bas de..."/>
    <w:basedOn w:val="Normal"/>
    <w:link w:val="FootnoteReference"/>
    <w:uiPriority w:val="99"/>
    <w:rsid w:val="00757595"/>
    <w:pPr>
      <w:spacing w:after="160" w:line="240" w:lineRule="exact"/>
    </w:pPr>
    <w:rPr>
      <w:rFonts w:asciiTheme="minorHAnsi" w:eastAsiaTheme="minorHAnsi" w:hAnsiTheme="minorHAnsi" w:cstheme="minorBidi"/>
      <w:sz w:val="24"/>
      <w:szCs w:val="24"/>
      <w:vertAlign w:val="superscript"/>
      <w:lang w:val="en-US"/>
    </w:rPr>
  </w:style>
  <w:style w:type="character" w:styleId="Hyperlink">
    <w:name w:val="Hyperlink"/>
    <w:uiPriority w:val="99"/>
    <w:unhideWhenUsed/>
    <w:rsid w:val="00757595"/>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757595"/>
  </w:style>
  <w:style w:type="paragraph" w:styleId="NoSpacing">
    <w:name w:val="No Spacing"/>
    <w:uiPriority w:val="1"/>
    <w:qFormat/>
    <w:rsid w:val="00D125D1"/>
    <w:rPr>
      <w:rFonts w:ascii="Calibri" w:eastAsia="Calibri" w:hAnsi="Calibri" w:cs="Times New Roman"/>
      <w:sz w:val="22"/>
      <w:szCs w:val="22"/>
      <w:lang w:val="pt-BR"/>
    </w:rPr>
  </w:style>
  <w:style w:type="paragraph" w:styleId="BlockText">
    <w:name w:val="Block Text"/>
    <w:basedOn w:val="Normal"/>
    <w:uiPriority w:val="99"/>
    <w:rsid w:val="00D125D1"/>
    <w:pPr>
      <w:spacing w:before="100" w:beforeAutospacing="1" w:after="100" w:afterAutospacing="1" w:line="240" w:lineRule="auto"/>
    </w:pPr>
    <w:rPr>
      <w:rFonts w:ascii="Times New Roman" w:eastAsia="MS Mincho" w:hAnsi="Times New Roman"/>
      <w:sz w:val="24"/>
      <w:szCs w:val="24"/>
      <w:lang w:val="en-US"/>
    </w:rPr>
  </w:style>
  <w:style w:type="paragraph" w:customStyle="1" w:styleId="Default">
    <w:name w:val="Default"/>
    <w:rsid w:val="003A7CE5"/>
    <w:pPr>
      <w:autoSpaceDE w:val="0"/>
      <w:autoSpaceDN w:val="0"/>
      <w:adjustRightInd w:val="0"/>
    </w:pPr>
    <w:rPr>
      <w:rFonts w:ascii="Cambria" w:eastAsia="Calibri" w:hAnsi="Cambria" w:cs="Cambria"/>
      <w:color w:val="000000"/>
    </w:rPr>
  </w:style>
  <w:style w:type="paragraph" w:styleId="HTMLPreformatted">
    <w:name w:val="HTML Preformatted"/>
    <w:basedOn w:val="Normal"/>
    <w:link w:val="HTMLPreformattedChar"/>
    <w:uiPriority w:val="99"/>
    <w:semiHidden/>
    <w:unhideWhenUsed/>
    <w:rsid w:val="00127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12788D"/>
    <w:rPr>
      <w:rFonts w:ascii="Courier New" w:eastAsia="Times New Roman" w:hAnsi="Courier New" w:cs="Courier New"/>
      <w:sz w:val="20"/>
      <w:szCs w:val="20"/>
    </w:rPr>
  </w:style>
  <w:style w:type="character" w:customStyle="1" w:styleId="y2iqfc">
    <w:name w:val="y2iqfc"/>
    <w:basedOn w:val="DefaultParagraphFont"/>
    <w:rsid w:val="0012788D"/>
  </w:style>
  <w:style w:type="paragraph" w:styleId="NormalWeb">
    <w:name w:val="Normal (Web)"/>
    <w:basedOn w:val="Normal"/>
    <w:uiPriority w:val="99"/>
    <w:semiHidden/>
    <w:unhideWhenUsed/>
    <w:rsid w:val="0012788D"/>
    <w:pPr>
      <w:spacing w:before="100" w:beforeAutospacing="1" w:after="100" w:afterAutospacing="1" w:line="240" w:lineRule="auto"/>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7714DE"/>
    <w:rPr>
      <w:sz w:val="16"/>
      <w:szCs w:val="16"/>
    </w:rPr>
  </w:style>
  <w:style w:type="paragraph" w:styleId="CommentText">
    <w:name w:val="annotation text"/>
    <w:basedOn w:val="Normal"/>
    <w:link w:val="CommentTextChar"/>
    <w:uiPriority w:val="99"/>
    <w:semiHidden/>
    <w:unhideWhenUsed/>
    <w:rsid w:val="007714DE"/>
    <w:pPr>
      <w:spacing w:line="240" w:lineRule="auto"/>
    </w:pPr>
    <w:rPr>
      <w:sz w:val="20"/>
      <w:szCs w:val="20"/>
    </w:rPr>
  </w:style>
  <w:style w:type="character" w:customStyle="1" w:styleId="CommentTextChar">
    <w:name w:val="Comment Text Char"/>
    <w:basedOn w:val="DefaultParagraphFont"/>
    <w:link w:val="CommentText"/>
    <w:uiPriority w:val="99"/>
    <w:semiHidden/>
    <w:rsid w:val="007714DE"/>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7714DE"/>
    <w:rPr>
      <w:b/>
      <w:bCs/>
    </w:rPr>
  </w:style>
  <w:style w:type="character" w:customStyle="1" w:styleId="CommentSubjectChar">
    <w:name w:val="Comment Subject Char"/>
    <w:basedOn w:val="CommentTextChar"/>
    <w:link w:val="CommentSubject"/>
    <w:uiPriority w:val="99"/>
    <w:semiHidden/>
    <w:rsid w:val="007714DE"/>
    <w:rPr>
      <w:rFonts w:ascii="Calibri" w:eastAsia="Calibri" w:hAnsi="Calibri" w:cs="Times New Roman"/>
      <w:b/>
      <w:bCs/>
      <w:sz w:val="20"/>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0634">
      <w:bodyDiv w:val="1"/>
      <w:marLeft w:val="0"/>
      <w:marRight w:val="0"/>
      <w:marTop w:val="0"/>
      <w:marBottom w:val="0"/>
      <w:divBdr>
        <w:top w:val="none" w:sz="0" w:space="0" w:color="auto"/>
        <w:left w:val="none" w:sz="0" w:space="0" w:color="auto"/>
        <w:bottom w:val="none" w:sz="0" w:space="0" w:color="auto"/>
        <w:right w:val="none" w:sz="0" w:space="0" w:color="auto"/>
      </w:divBdr>
    </w:div>
    <w:div w:id="197008524">
      <w:bodyDiv w:val="1"/>
      <w:marLeft w:val="0"/>
      <w:marRight w:val="0"/>
      <w:marTop w:val="0"/>
      <w:marBottom w:val="0"/>
      <w:divBdr>
        <w:top w:val="none" w:sz="0" w:space="0" w:color="auto"/>
        <w:left w:val="none" w:sz="0" w:space="0" w:color="auto"/>
        <w:bottom w:val="none" w:sz="0" w:space="0" w:color="auto"/>
        <w:right w:val="none" w:sz="0" w:space="0" w:color="auto"/>
      </w:divBdr>
    </w:div>
    <w:div w:id="1668513340">
      <w:bodyDiv w:val="1"/>
      <w:marLeft w:val="0"/>
      <w:marRight w:val="0"/>
      <w:marTop w:val="0"/>
      <w:marBottom w:val="0"/>
      <w:divBdr>
        <w:top w:val="none" w:sz="0" w:space="0" w:color="auto"/>
        <w:left w:val="none" w:sz="0" w:space="0" w:color="auto"/>
        <w:bottom w:val="none" w:sz="0" w:space="0" w:color="auto"/>
        <w:right w:val="none" w:sz="0" w:space="0" w:color="auto"/>
      </w:divBdr>
      <w:divsChild>
        <w:div w:id="2033143522">
          <w:marLeft w:val="0"/>
          <w:marRight w:val="0"/>
          <w:marTop w:val="0"/>
          <w:marBottom w:val="0"/>
          <w:divBdr>
            <w:top w:val="none" w:sz="0" w:space="0" w:color="auto"/>
            <w:left w:val="none" w:sz="0" w:space="0" w:color="auto"/>
            <w:bottom w:val="none" w:sz="0" w:space="0" w:color="auto"/>
            <w:right w:val="none" w:sz="0" w:space="0" w:color="auto"/>
          </w:divBdr>
          <w:divsChild>
            <w:div w:id="1538539958">
              <w:marLeft w:val="0"/>
              <w:marRight w:val="0"/>
              <w:marTop w:val="0"/>
              <w:marBottom w:val="0"/>
              <w:divBdr>
                <w:top w:val="none" w:sz="0" w:space="0" w:color="auto"/>
                <w:left w:val="none" w:sz="0" w:space="0" w:color="auto"/>
                <w:bottom w:val="none" w:sz="0" w:space="0" w:color="auto"/>
                <w:right w:val="none" w:sz="0" w:space="0" w:color="auto"/>
              </w:divBdr>
              <w:divsChild>
                <w:div w:id="985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dh.org/annualrep/2010sp/97.USPU12562ES.doc"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dh.oas.org/annualrep/2006sp/EEUU526.03sp.htm" TargetMode="External"/><Relationship Id="rId4" Type="http://schemas.openxmlformats.org/officeDocument/2006/relationships/settings" Target="settings.xml"/><Relationship Id="rId9" Type="http://schemas.openxmlformats.org/officeDocument/2006/relationships/hyperlink" Target="http://www.cidh.oas.org/annualrep/2006sp/EEUU8.03sp.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ocs/anual/2013/docs-es/InformeAnual-Cap2-D.pdf" TargetMode="External"/><Relationship Id="rId13" Type="http://schemas.openxmlformats.org/officeDocument/2006/relationships/hyperlink" Target="https://www.oas.org/es/cidh/prensa/Comunicados/2017/008.asp" TargetMode="External"/><Relationship Id="rId18" Type="http://schemas.openxmlformats.org/officeDocument/2006/relationships/hyperlink" Target="https://www.oas.org/es/cidh/prensa/Comunicados/2019/228.asp" TargetMode="External"/><Relationship Id="rId3" Type="http://schemas.openxmlformats.org/officeDocument/2006/relationships/hyperlink" Target="http://www.oas.org/es/cidh/docs/anual/2013/docs-es/InformeAnual-Cap2-D.pdf" TargetMode="External"/><Relationship Id="rId7" Type="http://schemas.openxmlformats.org/officeDocument/2006/relationships/hyperlink" Target="http://www.oas.org/es/cidh/docs/anual/2012/Cap.3.D.doc" TargetMode="External"/><Relationship Id="rId12" Type="http://schemas.openxmlformats.org/officeDocument/2006/relationships/hyperlink" Target="http://www.oas.org/es/cidh/prensa/Comunicados/2014/105.asp" TargetMode="External"/><Relationship Id="rId17" Type="http://schemas.openxmlformats.org/officeDocument/2006/relationships/hyperlink" Target="http://www.oas.org/es/cidh/informes/pdfs/Refugiados-Migrantes-EEUU.pdf" TargetMode="External"/><Relationship Id="rId2" Type="http://schemas.openxmlformats.org/officeDocument/2006/relationships/hyperlink" Target="http://www.oas.org/es/cidh/docs/anual/2013/docs-es/InformeAnual-Cap2-D.pdf" TargetMode="External"/><Relationship Id="rId16" Type="http://schemas.openxmlformats.org/officeDocument/2006/relationships/hyperlink" Target="https://www.oas.org/es/cidh/prensa/Comunicados/2020/262.asp" TargetMode="External"/><Relationship Id="rId20" Type="http://schemas.openxmlformats.org/officeDocument/2006/relationships/hyperlink" Target="https://www.oas.org/es/cidh/informes/pdfs/Principios%20DDHH%20migrantes%20-%20ES.pdf" TargetMode="External"/><Relationship Id="rId1" Type="http://schemas.openxmlformats.org/officeDocument/2006/relationships/hyperlink" Target="http://www.oas.org/es/cidh/docs/anual/2013/docs-es/InformeAnual-Cap2-D.pdf" TargetMode="External"/><Relationship Id="rId6" Type="http://schemas.openxmlformats.org/officeDocument/2006/relationships/hyperlink" Target="http://www.oas.org/es/cidh/docs/anual/2012/Cap.3.D.doc" TargetMode="External"/><Relationship Id="rId11" Type="http://schemas.openxmlformats.org/officeDocument/2006/relationships/hyperlink" Target="http://www.oas.org/es/cidh/prensa/Comunicados/2014/110.asp" TargetMode="External"/><Relationship Id="rId5" Type="http://schemas.openxmlformats.org/officeDocument/2006/relationships/hyperlink" Target="http://www.oas.org/es/cidh/docs/anual/2011/Cap3D.doc" TargetMode="External"/><Relationship Id="rId15" Type="http://schemas.openxmlformats.org/officeDocument/2006/relationships/hyperlink" Target="https://www.oas.org/es/cidh/prensa/Comunicados/2020/179.asp" TargetMode="External"/><Relationship Id="rId10" Type="http://schemas.openxmlformats.org/officeDocument/2006/relationships/hyperlink" Target="https://www.supremecourt.gov/opinions/19pdf/18-587_5ifl.pdf" TargetMode="External"/><Relationship Id="rId19" Type="http://schemas.openxmlformats.org/officeDocument/2006/relationships/hyperlink" Target="http://www.oas.org/es/cidh/informes/pdfs/MovilidadHumana.pdf" TargetMode="External"/><Relationship Id="rId4" Type="http://schemas.openxmlformats.org/officeDocument/2006/relationships/hyperlink" Target="http://www.oas.org/es/cidh/docs/anual/2012/Cap.3.D.doc" TargetMode="External"/><Relationship Id="rId9" Type="http://schemas.openxmlformats.org/officeDocument/2006/relationships/hyperlink" Target="http://www.oas.org/es/cidh/docs/anual/2017/docs/IA2017cap.2-es.pdf" TargetMode="External"/><Relationship Id="rId14" Type="http://schemas.openxmlformats.org/officeDocument/2006/relationships/hyperlink" Target="https://www.oas.org/es/cidh/prensa/Comunicados/2019/180.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2969</Words>
  <Characters>16925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2022-04-21T13:48:00Z</dcterms:created>
  <dcterms:modified xsi:type="dcterms:W3CDTF">2022-04-21T13:48:00Z</dcterms:modified>
</cp:coreProperties>
</file>