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ED9" w:rsidRPr="008F799B" w:rsidRDefault="00595ED9" w:rsidP="00102E8B">
      <w:pPr>
        <w:pStyle w:val="Header"/>
        <w:jc w:val="center"/>
        <w:rPr>
          <w:rFonts w:ascii="Cambria" w:hAnsi="Cambria"/>
          <w:b/>
          <w:sz w:val="20"/>
          <w:szCs w:val="20"/>
          <w:lang w:val="es-ES"/>
        </w:rPr>
      </w:pPr>
      <w:bookmarkStart w:id="0" w:name="_GoBack"/>
    </w:p>
    <w:p w:rsidR="006A022F" w:rsidRPr="008F799B" w:rsidRDefault="009F5F45" w:rsidP="00102E8B">
      <w:pPr>
        <w:pStyle w:val="Header"/>
        <w:jc w:val="center"/>
        <w:rPr>
          <w:rFonts w:ascii="Cambria" w:hAnsi="Cambria"/>
          <w:sz w:val="20"/>
          <w:szCs w:val="20"/>
          <w:lang w:val="es-ES"/>
        </w:rPr>
      </w:pPr>
      <w:r w:rsidRPr="008F799B">
        <w:rPr>
          <w:rFonts w:ascii="Cambria" w:hAnsi="Cambria"/>
          <w:b/>
          <w:sz w:val="20"/>
          <w:szCs w:val="20"/>
          <w:lang w:val="es-ES"/>
        </w:rPr>
        <w:t>FICHA DE SEGUIMIENTO DEL INFORME Nº</w:t>
      </w:r>
      <w:r w:rsidR="00356334" w:rsidRPr="008F799B">
        <w:rPr>
          <w:rFonts w:ascii="Cambria" w:hAnsi="Cambria"/>
          <w:b/>
          <w:sz w:val="20"/>
          <w:szCs w:val="20"/>
          <w:lang w:val="es-ES"/>
        </w:rPr>
        <w:t xml:space="preserve"> </w:t>
      </w:r>
      <w:r w:rsidR="006A022F" w:rsidRPr="008F799B">
        <w:rPr>
          <w:rFonts w:ascii="Cambria" w:hAnsi="Cambria"/>
          <w:b/>
          <w:sz w:val="20"/>
          <w:szCs w:val="20"/>
          <w:lang w:val="es-ES"/>
        </w:rPr>
        <w:t>50/01</w:t>
      </w:r>
    </w:p>
    <w:p w:rsidR="003A1FB0" w:rsidRPr="008F799B" w:rsidRDefault="00356334" w:rsidP="003A1FB0">
      <w:pPr>
        <w:spacing w:after="0" w:line="240" w:lineRule="auto"/>
        <w:jc w:val="center"/>
        <w:rPr>
          <w:rFonts w:ascii="Cambria" w:hAnsi="Cambria"/>
          <w:b/>
          <w:sz w:val="20"/>
          <w:szCs w:val="20"/>
          <w:lang w:val="es-ES"/>
        </w:rPr>
      </w:pPr>
      <w:r w:rsidRPr="008F799B">
        <w:rPr>
          <w:rFonts w:ascii="Cambria" w:hAnsi="Cambria"/>
          <w:b/>
          <w:sz w:val="20"/>
          <w:szCs w:val="20"/>
          <w:lang w:val="es-ES"/>
        </w:rPr>
        <w:t xml:space="preserve"> </w:t>
      </w:r>
      <w:r w:rsidR="009F5F45" w:rsidRPr="008F799B">
        <w:rPr>
          <w:rFonts w:ascii="Cambria" w:hAnsi="Cambria"/>
          <w:b/>
          <w:sz w:val="20"/>
          <w:szCs w:val="20"/>
          <w:lang w:val="es-ES"/>
        </w:rPr>
        <w:t xml:space="preserve">CASO </w:t>
      </w:r>
      <w:r w:rsidR="006A022F" w:rsidRPr="008F799B">
        <w:rPr>
          <w:rFonts w:ascii="Cambria" w:hAnsi="Cambria"/>
          <w:b/>
          <w:sz w:val="20"/>
          <w:szCs w:val="20"/>
          <w:lang w:val="es-ES"/>
        </w:rPr>
        <w:t>12.069</w:t>
      </w:r>
    </w:p>
    <w:p w:rsidR="003A1FB0" w:rsidRPr="008F799B" w:rsidRDefault="00102E8B" w:rsidP="003A1FB0">
      <w:pPr>
        <w:spacing w:after="0" w:line="240" w:lineRule="auto"/>
        <w:jc w:val="center"/>
        <w:rPr>
          <w:rFonts w:ascii="Cambria" w:hAnsi="Cambria"/>
          <w:b/>
          <w:sz w:val="20"/>
          <w:szCs w:val="20"/>
          <w:lang w:val="es-ES"/>
        </w:rPr>
      </w:pPr>
      <w:r w:rsidRPr="008F799B">
        <w:rPr>
          <w:rFonts w:ascii="Cambria" w:hAnsi="Cambria"/>
          <w:b/>
          <w:sz w:val="20"/>
          <w:szCs w:val="20"/>
          <w:lang w:val="es-ES"/>
        </w:rPr>
        <w:t>DAMION THOMAS</w:t>
      </w:r>
    </w:p>
    <w:p w:rsidR="00356334" w:rsidRPr="008F799B" w:rsidRDefault="00356334" w:rsidP="00356334">
      <w:pPr>
        <w:spacing w:after="0" w:line="240" w:lineRule="auto"/>
        <w:jc w:val="center"/>
        <w:rPr>
          <w:rFonts w:ascii="Cambria" w:hAnsi="Cambria"/>
          <w:b/>
          <w:sz w:val="20"/>
          <w:szCs w:val="20"/>
          <w:lang w:val="es-ES"/>
        </w:rPr>
      </w:pPr>
      <w:r w:rsidRPr="008F799B">
        <w:rPr>
          <w:rFonts w:ascii="Cambria" w:hAnsi="Cambria"/>
          <w:b/>
          <w:sz w:val="20"/>
          <w:szCs w:val="20"/>
          <w:lang w:val="es-ES"/>
        </w:rPr>
        <w:t xml:space="preserve"> (</w:t>
      </w:r>
      <w:r w:rsidR="00B95416" w:rsidRPr="008F799B">
        <w:rPr>
          <w:rFonts w:ascii="Cambria" w:hAnsi="Cambria"/>
          <w:b/>
          <w:sz w:val="20"/>
          <w:szCs w:val="20"/>
          <w:lang w:val="es-ES"/>
        </w:rPr>
        <w:t>Jamaica</w:t>
      </w:r>
      <w:r w:rsidRPr="008F799B">
        <w:rPr>
          <w:rFonts w:ascii="Cambria" w:hAnsi="Cambria"/>
          <w:b/>
          <w:sz w:val="20"/>
          <w:szCs w:val="20"/>
          <w:lang w:val="es-ES"/>
        </w:rPr>
        <w:t>)</w:t>
      </w:r>
    </w:p>
    <w:p w:rsidR="00356334" w:rsidRPr="008F799B" w:rsidRDefault="00356334" w:rsidP="00356334">
      <w:pPr>
        <w:spacing w:after="0" w:line="240" w:lineRule="auto"/>
        <w:jc w:val="center"/>
        <w:rPr>
          <w:rFonts w:ascii="Cambria" w:hAnsi="Cambria"/>
          <w:sz w:val="20"/>
          <w:szCs w:val="20"/>
          <w:lang w:val="es-ES"/>
        </w:rPr>
      </w:pPr>
    </w:p>
    <w:p w:rsidR="009F5F45" w:rsidRPr="008F799B" w:rsidRDefault="009F5F45" w:rsidP="009F5F45">
      <w:pPr>
        <w:numPr>
          <w:ilvl w:val="0"/>
          <w:numId w:val="1"/>
        </w:numPr>
        <w:spacing w:after="0" w:line="240" w:lineRule="auto"/>
        <w:ind w:left="1440"/>
        <w:rPr>
          <w:rFonts w:ascii="Cambria" w:hAnsi="Cambria" w:cs="Calibri Light"/>
          <w:b/>
          <w:sz w:val="20"/>
          <w:szCs w:val="20"/>
          <w:lang w:val="es-ES"/>
        </w:rPr>
      </w:pPr>
      <w:r w:rsidRPr="008F799B">
        <w:rPr>
          <w:rFonts w:ascii="Cambria" w:hAnsi="Cambria" w:cs="Calibri Light"/>
          <w:b/>
          <w:sz w:val="20"/>
          <w:szCs w:val="20"/>
          <w:lang w:val="es-ES"/>
        </w:rPr>
        <w:t xml:space="preserve">Resumen del caso </w:t>
      </w:r>
    </w:p>
    <w:p w:rsidR="00356334" w:rsidRPr="008F799B" w:rsidRDefault="00356334" w:rsidP="00356334">
      <w:pPr>
        <w:spacing w:after="0" w:line="240" w:lineRule="auto"/>
        <w:ind w:left="1080"/>
        <w:rPr>
          <w:rFonts w:ascii="Cambria" w:hAnsi="Cambria" w:cs="Calibri Light"/>
          <w:sz w:val="20"/>
          <w:szCs w:val="20"/>
          <w:lang w:val="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9576"/>
      </w:tblGrid>
      <w:tr w:rsidR="008F799B" w:rsidRPr="008F799B" w:rsidTr="00D6088E">
        <w:trPr>
          <w:jc w:val="center"/>
        </w:trPr>
        <w:tc>
          <w:tcPr>
            <w:tcW w:w="9576" w:type="dxa"/>
            <w:shd w:val="clear" w:color="auto" w:fill="F2F2F2"/>
          </w:tcPr>
          <w:p w:rsidR="00356334" w:rsidRPr="008F799B" w:rsidRDefault="009F5F45" w:rsidP="00102E8B">
            <w:pPr>
              <w:spacing w:before="120" w:after="0" w:line="240" w:lineRule="auto"/>
              <w:rPr>
                <w:rFonts w:ascii="Cambria" w:hAnsi="Cambria"/>
                <w:b/>
                <w:sz w:val="20"/>
                <w:szCs w:val="20"/>
              </w:rPr>
            </w:pPr>
            <w:proofErr w:type="spellStart"/>
            <w:r w:rsidRPr="008F799B">
              <w:rPr>
                <w:rFonts w:ascii="Cambria" w:hAnsi="Cambria"/>
                <w:b/>
                <w:sz w:val="20"/>
                <w:szCs w:val="20"/>
              </w:rPr>
              <w:t>Víctima</w:t>
            </w:r>
            <w:proofErr w:type="spellEnd"/>
            <w:r w:rsidRPr="008F799B">
              <w:rPr>
                <w:rFonts w:ascii="Cambria" w:hAnsi="Cambria"/>
                <w:b/>
                <w:sz w:val="20"/>
                <w:szCs w:val="20"/>
              </w:rPr>
              <w:t xml:space="preserve"> (s): </w:t>
            </w:r>
            <w:r w:rsidR="00F00612" w:rsidRPr="008F799B">
              <w:rPr>
                <w:rFonts w:ascii="Cambria" w:hAnsi="Cambria"/>
                <w:sz w:val="20"/>
                <w:szCs w:val="20"/>
              </w:rPr>
              <w:t>Damion Thomas</w:t>
            </w:r>
          </w:p>
          <w:p w:rsidR="00356334" w:rsidRPr="008F799B" w:rsidRDefault="009F5F45" w:rsidP="00102E8B">
            <w:pPr>
              <w:spacing w:after="0" w:line="240" w:lineRule="auto"/>
              <w:rPr>
                <w:rFonts w:ascii="Cambria" w:hAnsi="Cambria"/>
                <w:b/>
                <w:sz w:val="20"/>
                <w:szCs w:val="20"/>
              </w:rPr>
            </w:pPr>
            <w:proofErr w:type="spellStart"/>
            <w:r w:rsidRPr="008F799B">
              <w:rPr>
                <w:rFonts w:ascii="Cambria" w:hAnsi="Cambria"/>
                <w:b/>
                <w:sz w:val="20"/>
                <w:szCs w:val="20"/>
              </w:rPr>
              <w:t>Peticionario</w:t>
            </w:r>
            <w:proofErr w:type="spellEnd"/>
            <w:r w:rsidRPr="008F799B">
              <w:rPr>
                <w:rFonts w:ascii="Cambria" w:hAnsi="Cambria"/>
                <w:b/>
                <w:sz w:val="20"/>
                <w:szCs w:val="20"/>
              </w:rPr>
              <w:t xml:space="preserve"> (s):</w:t>
            </w:r>
            <w:r w:rsidRPr="008F799B">
              <w:rPr>
                <w:rFonts w:ascii="Cambria" w:hAnsi="Cambria"/>
                <w:sz w:val="20"/>
                <w:szCs w:val="20"/>
              </w:rPr>
              <w:t xml:space="preserve"> </w:t>
            </w:r>
            <w:r w:rsidR="00F00612" w:rsidRPr="008F799B">
              <w:rPr>
                <w:rFonts w:ascii="Cambria" w:hAnsi="Cambria"/>
                <w:sz w:val="20"/>
                <w:szCs w:val="20"/>
              </w:rPr>
              <w:t xml:space="preserve">Allen &amp; </w:t>
            </w:r>
            <w:proofErr w:type="spellStart"/>
            <w:r w:rsidR="00F00612" w:rsidRPr="008F799B">
              <w:rPr>
                <w:rFonts w:ascii="Cambria" w:hAnsi="Cambria"/>
                <w:sz w:val="20"/>
                <w:szCs w:val="20"/>
              </w:rPr>
              <w:t>Overy</w:t>
            </w:r>
            <w:proofErr w:type="spellEnd"/>
            <w:r w:rsidR="00F00612" w:rsidRPr="008F799B">
              <w:rPr>
                <w:rFonts w:ascii="Cambria" w:hAnsi="Cambria"/>
                <w:sz w:val="20"/>
                <w:szCs w:val="20"/>
              </w:rPr>
              <w:t xml:space="preserve"> LLP</w:t>
            </w:r>
          </w:p>
          <w:p w:rsidR="00356334" w:rsidRPr="008F799B" w:rsidRDefault="009F5F45" w:rsidP="00102E8B">
            <w:pPr>
              <w:spacing w:after="0" w:line="240" w:lineRule="auto"/>
              <w:rPr>
                <w:rFonts w:ascii="Cambria" w:hAnsi="Cambria"/>
                <w:sz w:val="20"/>
                <w:szCs w:val="20"/>
              </w:rPr>
            </w:pPr>
            <w:r w:rsidRPr="008F799B">
              <w:rPr>
                <w:rFonts w:ascii="Cambria" w:hAnsi="Cambria"/>
                <w:b/>
                <w:sz w:val="20"/>
                <w:szCs w:val="20"/>
              </w:rPr>
              <w:t xml:space="preserve">Estado: </w:t>
            </w:r>
            <w:r w:rsidR="00B95416" w:rsidRPr="008F799B">
              <w:rPr>
                <w:rFonts w:ascii="Cambria" w:hAnsi="Cambria"/>
                <w:sz w:val="20"/>
                <w:szCs w:val="20"/>
              </w:rPr>
              <w:t>Jamaica</w:t>
            </w:r>
          </w:p>
          <w:p w:rsidR="00356334" w:rsidRPr="008F799B" w:rsidRDefault="009F5F45" w:rsidP="00102E8B">
            <w:pPr>
              <w:spacing w:after="0" w:line="240" w:lineRule="auto"/>
              <w:rPr>
                <w:rFonts w:ascii="Cambria" w:hAnsi="Cambria"/>
                <w:sz w:val="20"/>
                <w:szCs w:val="20"/>
              </w:rPr>
            </w:pPr>
            <w:proofErr w:type="spellStart"/>
            <w:r w:rsidRPr="008F799B">
              <w:rPr>
                <w:rFonts w:ascii="Cambria" w:hAnsi="Cambria"/>
                <w:b/>
                <w:sz w:val="20"/>
                <w:szCs w:val="20"/>
              </w:rPr>
              <w:t>Informe</w:t>
            </w:r>
            <w:proofErr w:type="spellEnd"/>
            <w:r w:rsidRPr="008F799B">
              <w:rPr>
                <w:rFonts w:ascii="Cambria" w:hAnsi="Cambria"/>
                <w:b/>
                <w:sz w:val="20"/>
                <w:szCs w:val="20"/>
              </w:rPr>
              <w:t xml:space="preserve"> de </w:t>
            </w:r>
            <w:proofErr w:type="spellStart"/>
            <w:r w:rsidRPr="008F799B">
              <w:rPr>
                <w:rFonts w:ascii="Cambria" w:hAnsi="Cambria"/>
                <w:b/>
                <w:sz w:val="20"/>
                <w:szCs w:val="20"/>
              </w:rPr>
              <w:t>Fondo</w:t>
            </w:r>
            <w:proofErr w:type="spellEnd"/>
            <w:r w:rsidRPr="008F799B">
              <w:rPr>
                <w:rFonts w:ascii="Cambria" w:hAnsi="Cambria"/>
                <w:b/>
                <w:sz w:val="20"/>
                <w:szCs w:val="20"/>
              </w:rPr>
              <w:t xml:space="preserve"> Nº: </w:t>
            </w:r>
            <w:hyperlink r:id="rId8" w:history="1">
              <w:r w:rsidR="006A022F" w:rsidRPr="008F799B">
                <w:rPr>
                  <w:rStyle w:val="Hyperlink"/>
                  <w:rFonts w:ascii="Cambria" w:hAnsi="Cambria"/>
                  <w:color w:val="auto"/>
                  <w:sz w:val="20"/>
                  <w:szCs w:val="20"/>
                </w:rPr>
                <w:t>50/01</w:t>
              </w:r>
            </w:hyperlink>
            <w:r w:rsidR="006A022F" w:rsidRPr="008F799B">
              <w:rPr>
                <w:rFonts w:ascii="Cambria" w:hAnsi="Cambria"/>
                <w:sz w:val="20"/>
                <w:szCs w:val="20"/>
              </w:rPr>
              <w:t xml:space="preserve">, </w:t>
            </w:r>
            <w:proofErr w:type="spellStart"/>
            <w:r w:rsidR="005B1923" w:rsidRPr="008F799B">
              <w:rPr>
                <w:rFonts w:ascii="Cambria" w:hAnsi="Cambria"/>
                <w:sz w:val="20"/>
                <w:szCs w:val="20"/>
              </w:rPr>
              <w:t>publicado</w:t>
            </w:r>
            <w:proofErr w:type="spellEnd"/>
            <w:r w:rsidR="005B1923" w:rsidRPr="008F799B">
              <w:rPr>
                <w:rFonts w:ascii="Cambria" w:hAnsi="Cambria"/>
                <w:sz w:val="20"/>
                <w:szCs w:val="20"/>
              </w:rPr>
              <w:t xml:space="preserve"> el 4 de </w:t>
            </w:r>
            <w:proofErr w:type="spellStart"/>
            <w:r w:rsidR="005B1923" w:rsidRPr="008F799B">
              <w:rPr>
                <w:rFonts w:ascii="Cambria" w:hAnsi="Cambria"/>
                <w:sz w:val="20"/>
                <w:szCs w:val="20"/>
              </w:rPr>
              <w:t>abril</w:t>
            </w:r>
            <w:proofErr w:type="spellEnd"/>
            <w:r w:rsidR="005B1923" w:rsidRPr="008F799B">
              <w:rPr>
                <w:rFonts w:ascii="Cambria" w:hAnsi="Cambria"/>
                <w:sz w:val="20"/>
                <w:szCs w:val="20"/>
              </w:rPr>
              <w:t xml:space="preserve"> de</w:t>
            </w:r>
            <w:r w:rsidR="006A022F" w:rsidRPr="008F799B">
              <w:rPr>
                <w:rFonts w:ascii="Cambria" w:hAnsi="Cambria"/>
                <w:sz w:val="20"/>
                <w:szCs w:val="20"/>
              </w:rPr>
              <w:t xml:space="preserve"> 2001</w:t>
            </w:r>
          </w:p>
          <w:p w:rsidR="00356334" w:rsidRPr="008F799B" w:rsidRDefault="009F5F45" w:rsidP="00102E8B">
            <w:pPr>
              <w:spacing w:after="0" w:line="240" w:lineRule="auto"/>
              <w:rPr>
                <w:rFonts w:ascii="Cambria" w:hAnsi="Cambria"/>
                <w:sz w:val="20"/>
                <w:szCs w:val="20"/>
                <w:lang w:val="es-US"/>
              </w:rPr>
            </w:pPr>
            <w:r w:rsidRPr="008F799B">
              <w:rPr>
                <w:rFonts w:ascii="Cambria" w:hAnsi="Cambria"/>
                <w:b/>
                <w:sz w:val="20"/>
                <w:szCs w:val="20"/>
                <w:lang w:val="es-US"/>
              </w:rPr>
              <w:t xml:space="preserve">Informe de Admisibilidad Nº: </w:t>
            </w:r>
            <w:hyperlink r:id="rId9" w:history="1">
              <w:r w:rsidR="00DF1BBF" w:rsidRPr="008F799B">
                <w:rPr>
                  <w:rStyle w:val="Hyperlink"/>
                  <w:rFonts w:ascii="Cambria" w:hAnsi="Cambria"/>
                  <w:color w:val="auto"/>
                  <w:sz w:val="20"/>
                  <w:szCs w:val="20"/>
                  <w:lang w:val="es-US"/>
                </w:rPr>
                <w:t>54/00</w:t>
              </w:r>
            </w:hyperlink>
            <w:r w:rsidR="00DF1BBF" w:rsidRPr="008F799B">
              <w:rPr>
                <w:rFonts w:ascii="Cambria" w:hAnsi="Cambria"/>
                <w:sz w:val="20"/>
                <w:szCs w:val="20"/>
                <w:lang w:val="es-US"/>
              </w:rPr>
              <w:t xml:space="preserve">, </w:t>
            </w:r>
            <w:r w:rsidR="00A6398F" w:rsidRPr="008F799B">
              <w:rPr>
                <w:rFonts w:ascii="Cambria" w:hAnsi="Cambria"/>
                <w:sz w:val="20"/>
                <w:szCs w:val="20"/>
                <w:lang w:val="es-US"/>
              </w:rPr>
              <w:t>publicado el 15 de junio de</w:t>
            </w:r>
            <w:r w:rsidR="00DF1BBF" w:rsidRPr="008F799B">
              <w:rPr>
                <w:rFonts w:ascii="Cambria" w:hAnsi="Cambria"/>
                <w:sz w:val="20"/>
                <w:szCs w:val="20"/>
                <w:lang w:val="es-US"/>
              </w:rPr>
              <w:t xml:space="preserve"> 2000</w:t>
            </w:r>
          </w:p>
          <w:p w:rsidR="00A6398F" w:rsidRPr="008F799B" w:rsidRDefault="009F5F45" w:rsidP="00476922">
            <w:pPr>
              <w:spacing w:after="120" w:line="240" w:lineRule="auto"/>
              <w:jc w:val="both"/>
              <w:rPr>
                <w:rFonts w:ascii="Cambria" w:hAnsi="Cambria"/>
                <w:b/>
                <w:sz w:val="20"/>
                <w:szCs w:val="20"/>
                <w:lang w:val="es-ES"/>
              </w:rPr>
            </w:pPr>
            <w:r w:rsidRPr="008F799B">
              <w:rPr>
                <w:rFonts w:ascii="Cambria" w:hAnsi="Cambria"/>
                <w:b/>
                <w:sz w:val="20"/>
                <w:szCs w:val="20"/>
                <w:lang w:val="es-ES"/>
              </w:rPr>
              <w:t>Temas</w:t>
            </w:r>
            <w:r w:rsidR="00E642EB" w:rsidRPr="008F799B">
              <w:rPr>
                <w:rFonts w:ascii="Cambria" w:hAnsi="Cambria"/>
                <w:b/>
                <w:sz w:val="20"/>
                <w:szCs w:val="20"/>
                <w:lang w:val="es-ES"/>
              </w:rPr>
              <w:t>:</w:t>
            </w:r>
            <w:r w:rsidR="00E642EB" w:rsidRPr="008F799B">
              <w:rPr>
                <w:rFonts w:ascii="Cambria" w:hAnsi="Cambria"/>
                <w:sz w:val="20"/>
                <w:szCs w:val="20"/>
                <w:lang w:val="es-ES"/>
              </w:rPr>
              <w:t xml:space="preserve"> </w:t>
            </w:r>
            <w:r w:rsidR="00330CE8" w:rsidRPr="008F799B">
              <w:rPr>
                <w:rFonts w:ascii="Cambria" w:hAnsi="Cambria"/>
                <w:sz w:val="20"/>
                <w:szCs w:val="20"/>
                <w:lang w:val="es-ES"/>
              </w:rPr>
              <w:t xml:space="preserve">Deber de Adoptar Medidas y Disposiciones de Derecho Interno / </w:t>
            </w:r>
            <w:r w:rsidR="00E642EB" w:rsidRPr="008F799B">
              <w:rPr>
                <w:rFonts w:ascii="Cambria" w:hAnsi="Cambria"/>
                <w:sz w:val="20"/>
                <w:szCs w:val="20"/>
                <w:lang w:val="es-ES"/>
              </w:rPr>
              <w:t>Derecho a la Vida / Pena de Muerte / Tortura, Tratos Crueles, Inhumanos y/o Degradantes / Derecho a la Integridad Personal / Garantías Judiciales / Protección Judicial / Condiciones de Detención</w:t>
            </w:r>
            <w:r w:rsidR="008F799B" w:rsidRPr="008F799B">
              <w:rPr>
                <w:rFonts w:ascii="Cambria" w:hAnsi="Cambria"/>
                <w:sz w:val="20"/>
                <w:szCs w:val="20"/>
                <w:lang w:val="es-ES"/>
              </w:rPr>
              <w:t xml:space="preserve"> / Derecho a la Libertad Personal</w:t>
            </w:r>
            <w:r w:rsidR="00E642EB" w:rsidRPr="008F799B">
              <w:rPr>
                <w:rFonts w:ascii="Cambria" w:hAnsi="Cambria"/>
                <w:sz w:val="20"/>
                <w:szCs w:val="20"/>
                <w:lang w:val="es-ES"/>
              </w:rPr>
              <w:t>.</w:t>
            </w:r>
          </w:p>
          <w:p w:rsidR="00356334" w:rsidRPr="008F799B" w:rsidRDefault="00E62DC2" w:rsidP="00476922">
            <w:pPr>
              <w:spacing w:after="120" w:line="240" w:lineRule="auto"/>
              <w:jc w:val="both"/>
              <w:rPr>
                <w:rFonts w:ascii="Cambria" w:hAnsi="Cambria"/>
                <w:sz w:val="20"/>
                <w:szCs w:val="20"/>
                <w:lang w:val="es-ES"/>
              </w:rPr>
            </w:pPr>
            <w:r w:rsidRPr="008F799B">
              <w:rPr>
                <w:rFonts w:ascii="Cambria" w:hAnsi="Cambria"/>
                <w:b/>
                <w:sz w:val="20"/>
                <w:szCs w:val="20"/>
                <w:lang w:val="es-ES"/>
              </w:rPr>
              <w:t xml:space="preserve">Hechos: </w:t>
            </w:r>
            <w:r w:rsidRPr="008F799B">
              <w:rPr>
                <w:rFonts w:ascii="Cambria" w:hAnsi="Cambria"/>
                <w:sz w:val="20"/>
                <w:szCs w:val="20"/>
                <w:lang w:val="es-ES"/>
              </w:rPr>
              <w:t xml:space="preserve">Este caso se refiere al abuso físico y psicológico que fue infligido a </w:t>
            </w:r>
            <w:proofErr w:type="spellStart"/>
            <w:r w:rsidRPr="008F799B">
              <w:rPr>
                <w:rFonts w:ascii="Cambria" w:hAnsi="Cambria"/>
                <w:sz w:val="20"/>
                <w:szCs w:val="20"/>
                <w:lang w:val="es-ES"/>
              </w:rPr>
              <w:t>Damion</w:t>
            </w:r>
            <w:proofErr w:type="spellEnd"/>
            <w:r w:rsidRPr="008F799B">
              <w:rPr>
                <w:rFonts w:ascii="Cambria" w:hAnsi="Cambria"/>
                <w:sz w:val="20"/>
                <w:szCs w:val="20"/>
                <w:lang w:val="es-ES"/>
              </w:rPr>
              <w:t xml:space="preserve"> Thomas, quien había sido condenado por homicidio no punible con pena capital </w:t>
            </w:r>
            <w:r w:rsidRPr="008F799B">
              <w:rPr>
                <w:rFonts w:ascii="Cambria" w:eastAsia="Times New Roman" w:hAnsi="Cambria"/>
                <w:sz w:val="20"/>
                <w:szCs w:val="20"/>
                <w:lang w:val="es-ES"/>
              </w:rPr>
              <w:t>el 3 de mayo de 1996 y, posteriormente, recluido en la Penitenciaría del Distrito de St. Catherine.</w:t>
            </w:r>
          </w:p>
          <w:p w:rsidR="00356334" w:rsidRPr="008F799B" w:rsidRDefault="009F5F45" w:rsidP="00472368">
            <w:pPr>
              <w:pStyle w:val="Default"/>
              <w:spacing w:after="120"/>
              <w:jc w:val="both"/>
              <w:rPr>
                <w:color w:val="auto"/>
                <w:lang w:val="es-ES"/>
              </w:rPr>
            </w:pPr>
            <w:r w:rsidRPr="008F799B">
              <w:rPr>
                <w:b/>
                <w:color w:val="auto"/>
                <w:sz w:val="20"/>
                <w:szCs w:val="20"/>
                <w:lang w:val="es-ES"/>
              </w:rPr>
              <w:t xml:space="preserve">Derechos violados: </w:t>
            </w:r>
            <w:r w:rsidR="00DC198A" w:rsidRPr="008F799B">
              <w:rPr>
                <w:color w:val="auto"/>
                <w:sz w:val="20"/>
                <w:szCs w:val="20"/>
                <w:lang w:val="es-ES"/>
              </w:rPr>
              <w:t>La Comisión concluyó que</w:t>
            </w:r>
            <w:r w:rsidR="00DC198A" w:rsidRPr="008F799B">
              <w:rPr>
                <w:b/>
                <w:color w:val="auto"/>
                <w:sz w:val="20"/>
                <w:szCs w:val="20"/>
                <w:lang w:val="es-ES"/>
              </w:rPr>
              <w:t xml:space="preserve"> </w:t>
            </w:r>
            <w:r w:rsidR="00DC198A" w:rsidRPr="008F799B">
              <w:rPr>
                <w:color w:val="auto"/>
                <w:sz w:val="20"/>
                <w:szCs w:val="20"/>
                <w:lang w:val="es-ES"/>
              </w:rPr>
              <w:t xml:space="preserve">el Estado es responsable por no respetar la integridad física, mental y moral de </w:t>
            </w:r>
            <w:proofErr w:type="spellStart"/>
            <w:r w:rsidR="00DC198A" w:rsidRPr="008F799B">
              <w:rPr>
                <w:color w:val="auto"/>
                <w:sz w:val="20"/>
                <w:szCs w:val="20"/>
                <w:lang w:val="es-ES"/>
              </w:rPr>
              <w:t>Damion</w:t>
            </w:r>
            <w:proofErr w:type="spellEnd"/>
            <w:r w:rsidR="00DC198A" w:rsidRPr="008F799B">
              <w:rPr>
                <w:color w:val="auto"/>
                <w:sz w:val="20"/>
                <w:szCs w:val="20"/>
                <w:lang w:val="es-ES"/>
              </w:rPr>
              <w:t xml:space="preserve"> Thomas y, en todas las circunstancias, someter a </w:t>
            </w:r>
            <w:proofErr w:type="spellStart"/>
            <w:r w:rsidR="00DC198A" w:rsidRPr="008F799B">
              <w:rPr>
                <w:color w:val="auto"/>
                <w:sz w:val="20"/>
                <w:szCs w:val="20"/>
                <w:lang w:val="es-ES"/>
              </w:rPr>
              <w:t>Damion</w:t>
            </w:r>
            <w:proofErr w:type="spellEnd"/>
            <w:r w:rsidR="00DC198A" w:rsidRPr="008F799B">
              <w:rPr>
                <w:color w:val="auto"/>
                <w:sz w:val="20"/>
                <w:szCs w:val="20"/>
                <w:lang w:val="es-ES"/>
              </w:rPr>
              <w:t xml:space="preserve"> Thomas a un castigo o tratamiento cruel o inhumano, contrario al artículo 5(1) y 5(2) de la Convención, todo ello, en conjunción con la violación de las obligaciones que impone al Estado el </w:t>
            </w:r>
            <w:r w:rsidR="002E3081" w:rsidRPr="008F799B">
              <w:rPr>
                <w:color w:val="auto"/>
                <w:sz w:val="20"/>
                <w:szCs w:val="20"/>
                <w:lang w:val="es-ES"/>
              </w:rPr>
              <w:t>artículo 1(1) de la Convención</w:t>
            </w:r>
            <w:r w:rsidR="006A022F" w:rsidRPr="008F799B">
              <w:rPr>
                <w:snapToGrid w:val="0"/>
                <w:color w:val="auto"/>
                <w:sz w:val="20"/>
                <w:szCs w:val="20"/>
                <w:lang w:val="es-ES"/>
              </w:rPr>
              <w:t>.</w:t>
            </w:r>
          </w:p>
        </w:tc>
      </w:tr>
    </w:tbl>
    <w:p w:rsidR="00F27893" w:rsidRPr="008F799B" w:rsidRDefault="00F27893" w:rsidP="00F27893">
      <w:pPr>
        <w:pStyle w:val="ListParagraph"/>
        <w:spacing w:after="0" w:line="240" w:lineRule="auto"/>
        <w:ind w:left="1080"/>
        <w:jc w:val="both"/>
        <w:rPr>
          <w:rFonts w:ascii="Cambria" w:hAnsi="Cambria" w:cs="Calibri Light"/>
          <w:b/>
          <w:sz w:val="20"/>
          <w:szCs w:val="20"/>
          <w:lang w:val="es-ES"/>
        </w:rPr>
      </w:pPr>
    </w:p>
    <w:p w:rsidR="00356334" w:rsidRPr="008F799B" w:rsidRDefault="00A50155" w:rsidP="00F27893">
      <w:pPr>
        <w:pStyle w:val="ListParagraph"/>
        <w:numPr>
          <w:ilvl w:val="0"/>
          <w:numId w:val="1"/>
        </w:numPr>
        <w:spacing w:after="0" w:line="240" w:lineRule="auto"/>
        <w:ind w:left="1440"/>
        <w:jc w:val="both"/>
        <w:rPr>
          <w:rFonts w:ascii="Cambria" w:hAnsi="Cambria" w:cs="Calibri Light"/>
          <w:b/>
          <w:sz w:val="20"/>
          <w:szCs w:val="20"/>
          <w:lang w:val="es-ES"/>
        </w:rPr>
      </w:pPr>
      <w:r w:rsidRPr="008F799B">
        <w:rPr>
          <w:rFonts w:ascii="Cambria" w:hAnsi="Cambria" w:cs="Calibri Light"/>
          <w:b/>
          <w:sz w:val="20"/>
          <w:szCs w:val="20"/>
          <w:lang w:val="es-ES"/>
        </w:rPr>
        <w:t>Recomendaciones</w:t>
      </w:r>
    </w:p>
    <w:p w:rsidR="00356334" w:rsidRPr="008F799B" w:rsidRDefault="00356334" w:rsidP="00356334">
      <w:pPr>
        <w:spacing w:after="0" w:line="240" w:lineRule="auto"/>
        <w:ind w:left="1080"/>
        <w:jc w:val="both"/>
        <w:rPr>
          <w:rFonts w:ascii="Cambria" w:hAnsi="Cambria" w:cs="Calibri Light"/>
          <w:sz w:val="20"/>
          <w:szCs w:val="20"/>
          <w:lang w:val="es-ES"/>
        </w:rPr>
      </w:pPr>
    </w:p>
    <w:tbl>
      <w:tblPr>
        <w:tblW w:w="963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0"/>
        <w:gridCol w:w="2610"/>
      </w:tblGrid>
      <w:tr w:rsidR="008F799B" w:rsidRPr="008F799B" w:rsidTr="00815B3A">
        <w:tc>
          <w:tcPr>
            <w:tcW w:w="7020" w:type="dxa"/>
            <w:shd w:val="clear" w:color="auto" w:fill="auto"/>
          </w:tcPr>
          <w:p w:rsidR="00A50155" w:rsidRPr="008F799B" w:rsidRDefault="00A50155" w:rsidP="00815B3A">
            <w:pPr>
              <w:spacing w:before="120" w:after="0" w:line="240" w:lineRule="auto"/>
              <w:ind w:right="345"/>
              <w:jc w:val="center"/>
              <w:rPr>
                <w:rFonts w:ascii="Cambria" w:hAnsi="Cambria" w:cs="Calibri Light"/>
                <w:b/>
                <w:sz w:val="18"/>
                <w:szCs w:val="18"/>
                <w:lang w:val="es-ES"/>
              </w:rPr>
            </w:pPr>
            <w:r w:rsidRPr="008F799B">
              <w:rPr>
                <w:rFonts w:ascii="Cambria" w:hAnsi="Cambria" w:cs="Calibri Light"/>
                <w:b/>
                <w:sz w:val="18"/>
                <w:szCs w:val="18"/>
                <w:lang w:val="es-ES"/>
              </w:rPr>
              <w:t>Recomendaciones</w:t>
            </w:r>
          </w:p>
        </w:tc>
        <w:tc>
          <w:tcPr>
            <w:tcW w:w="2610" w:type="dxa"/>
            <w:shd w:val="clear" w:color="auto" w:fill="auto"/>
          </w:tcPr>
          <w:p w:rsidR="00A50155" w:rsidRPr="008F799B" w:rsidRDefault="00A50155" w:rsidP="00815B3A">
            <w:pPr>
              <w:spacing w:after="0" w:line="240" w:lineRule="auto"/>
              <w:ind w:right="345"/>
              <w:jc w:val="center"/>
              <w:rPr>
                <w:rFonts w:ascii="Cambria" w:hAnsi="Cambria" w:cs="Calibri Light"/>
                <w:b/>
                <w:sz w:val="18"/>
                <w:szCs w:val="18"/>
                <w:lang w:val="es-ES"/>
              </w:rPr>
            </w:pPr>
            <w:r w:rsidRPr="008F799B">
              <w:rPr>
                <w:rFonts w:ascii="Cambria" w:hAnsi="Cambria" w:cs="Calibri Light"/>
                <w:b/>
                <w:sz w:val="18"/>
                <w:szCs w:val="18"/>
                <w:lang w:val="es-ES"/>
              </w:rPr>
              <w:t>E</w:t>
            </w:r>
            <w:r w:rsidR="001A53DE" w:rsidRPr="008F799B">
              <w:rPr>
                <w:rFonts w:ascii="Cambria" w:hAnsi="Cambria" w:cs="Calibri Light"/>
                <w:b/>
                <w:sz w:val="18"/>
                <w:szCs w:val="18"/>
                <w:lang w:val="es-ES"/>
              </w:rPr>
              <w:t>stado de cumplimiento en el 2019</w:t>
            </w:r>
          </w:p>
        </w:tc>
      </w:tr>
      <w:tr w:rsidR="008F799B" w:rsidRPr="008F799B" w:rsidTr="00815B3A">
        <w:tc>
          <w:tcPr>
            <w:tcW w:w="7020" w:type="dxa"/>
            <w:shd w:val="clear" w:color="auto" w:fill="auto"/>
            <w:vAlign w:val="center"/>
          </w:tcPr>
          <w:p w:rsidR="00356334" w:rsidRPr="008F799B" w:rsidRDefault="00476922" w:rsidP="00B85953">
            <w:pPr>
              <w:pStyle w:val="BodyTextIndent2"/>
              <w:ind w:firstLine="0"/>
              <w:rPr>
                <w:rFonts w:ascii="Cambria" w:hAnsi="Cambria"/>
                <w:sz w:val="18"/>
                <w:szCs w:val="18"/>
              </w:rPr>
            </w:pPr>
            <w:r w:rsidRPr="008F799B">
              <w:rPr>
                <w:rFonts w:ascii="Cambria" w:hAnsi="Cambria"/>
                <w:sz w:val="18"/>
                <w:szCs w:val="18"/>
              </w:rPr>
              <w:t xml:space="preserve">1. </w:t>
            </w:r>
            <w:r w:rsidR="003B4683" w:rsidRPr="008F799B">
              <w:rPr>
                <w:rFonts w:ascii="Cambria" w:hAnsi="Cambria"/>
                <w:sz w:val="18"/>
                <w:szCs w:val="18"/>
              </w:rPr>
              <w:t xml:space="preserve">Otorgar a </w:t>
            </w:r>
            <w:proofErr w:type="spellStart"/>
            <w:r w:rsidR="003B4683" w:rsidRPr="008F799B">
              <w:rPr>
                <w:rFonts w:ascii="Cambria" w:hAnsi="Cambria"/>
                <w:sz w:val="18"/>
                <w:szCs w:val="18"/>
              </w:rPr>
              <w:t>Damion</w:t>
            </w:r>
            <w:proofErr w:type="spellEnd"/>
            <w:r w:rsidR="003B4683" w:rsidRPr="008F799B">
              <w:rPr>
                <w:rFonts w:ascii="Cambria" w:hAnsi="Cambria"/>
                <w:sz w:val="18"/>
                <w:szCs w:val="18"/>
              </w:rPr>
              <w:t xml:space="preserve"> Thomas una reparación efectiva, que incluya una indemnización</w:t>
            </w:r>
            <w:r w:rsidR="001263F7" w:rsidRPr="008F799B">
              <w:rPr>
                <w:rFonts w:ascii="Cambria" w:hAnsi="Cambria"/>
                <w:sz w:val="18"/>
                <w:szCs w:val="18"/>
              </w:rPr>
              <w:t>.</w:t>
            </w:r>
          </w:p>
        </w:tc>
        <w:tc>
          <w:tcPr>
            <w:tcW w:w="2610" w:type="dxa"/>
            <w:shd w:val="clear" w:color="auto" w:fill="auto"/>
            <w:vAlign w:val="center"/>
          </w:tcPr>
          <w:p w:rsidR="00356334" w:rsidRPr="008F799B" w:rsidRDefault="001B255D" w:rsidP="00E17BC1">
            <w:pPr>
              <w:spacing w:after="0" w:line="240" w:lineRule="auto"/>
              <w:jc w:val="center"/>
              <w:rPr>
                <w:rFonts w:ascii="Cambria" w:hAnsi="Cambria" w:cs="Calibri Light"/>
                <w:b/>
                <w:sz w:val="18"/>
                <w:szCs w:val="18"/>
                <w:lang w:val="es-ES"/>
              </w:rPr>
            </w:pPr>
            <w:r w:rsidRPr="008F799B">
              <w:rPr>
                <w:rFonts w:ascii="Cambria" w:hAnsi="Cambria"/>
                <w:sz w:val="18"/>
                <w:szCs w:val="18"/>
                <w:lang w:val="es-ES"/>
              </w:rPr>
              <w:t>Pendiente de cumplimiento</w:t>
            </w:r>
          </w:p>
        </w:tc>
      </w:tr>
      <w:tr w:rsidR="008F799B" w:rsidRPr="008F799B" w:rsidTr="00815B3A">
        <w:tc>
          <w:tcPr>
            <w:tcW w:w="7020" w:type="dxa"/>
            <w:shd w:val="clear" w:color="auto" w:fill="auto"/>
            <w:vAlign w:val="center"/>
          </w:tcPr>
          <w:p w:rsidR="00356334" w:rsidRPr="008F799B" w:rsidRDefault="00476922" w:rsidP="00B85953">
            <w:pPr>
              <w:pStyle w:val="BodyTextIndent2"/>
              <w:ind w:firstLine="0"/>
              <w:rPr>
                <w:rFonts w:ascii="Cambria" w:hAnsi="Cambria"/>
                <w:sz w:val="18"/>
                <w:szCs w:val="18"/>
              </w:rPr>
            </w:pPr>
            <w:r w:rsidRPr="008F799B">
              <w:rPr>
                <w:rFonts w:ascii="Cambria" w:hAnsi="Cambria"/>
                <w:sz w:val="18"/>
                <w:szCs w:val="18"/>
              </w:rPr>
              <w:t xml:space="preserve">2. </w:t>
            </w:r>
            <w:r w:rsidR="003B4683" w:rsidRPr="008F799B">
              <w:rPr>
                <w:rFonts w:ascii="Cambria" w:hAnsi="Cambria"/>
                <w:sz w:val="18"/>
                <w:szCs w:val="18"/>
              </w:rPr>
              <w:t>Realizar investigaciones exhaustivas e imparciales de los hechos de los incidentes denunciados por los peticionarios, a fin de determinar y atribuir la responsabilidad a quienes corresponda por las violaciones mencionadas, y adoptar medidas de reparación adecuadas</w:t>
            </w:r>
            <w:r w:rsidR="001263F7" w:rsidRPr="008F799B">
              <w:rPr>
                <w:rFonts w:ascii="Cambria" w:hAnsi="Cambria"/>
                <w:sz w:val="18"/>
                <w:szCs w:val="18"/>
              </w:rPr>
              <w:t>.</w:t>
            </w:r>
          </w:p>
        </w:tc>
        <w:tc>
          <w:tcPr>
            <w:tcW w:w="2610" w:type="dxa"/>
            <w:shd w:val="clear" w:color="auto" w:fill="auto"/>
            <w:vAlign w:val="center"/>
          </w:tcPr>
          <w:p w:rsidR="00356334" w:rsidRPr="008F799B" w:rsidRDefault="001B255D" w:rsidP="00E17BC1">
            <w:pPr>
              <w:spacing w:after="0" w:line="240" w:lineRule="auto"/>
              <w:jc w:val="center"/>
              <w:rPr>
                <w:rFonts w:ascii="Cambria" w:hAnsi="Cambria" w:cs="Calibri Light"/>
                <w:b/>
                <w:sz w:val="18"/>
                <w:szCs w:val="18"/>
                <w:highlight w:val="yellow"/>
                <w:lang w:val="es-ES"/>
              </w:rPr>
            </w:pPr>
            <w:r w:rsidRPr="008F799B">
              <w:rPr>
                <w:rFonts w:ascii="Cambria" w:hAnsi="Cambria"/>
                <w:sz w:val="18"/>
                <w:szCs w:val="18"/>
                <w:lang w:val="es-ES"/>
              </w:rPr>
              <w:t>Pendiente de cumplimiento</w:t>
            </w:r>
          </w:p>
        </w:tc>
      </w:tr>
      <w:tr w:rsidR="008F799B" w:rsidRPr="008F799B" w:rsidTr="00815B3A">
        <w:tc>
          <w:tcPr>
            <w:tcW w:w="7020" w:type="dxa"/>
            <w:shd w:val="clear" w:color="auto" w:fill="auto"/>
            <w:vAlign w:val="center"/>
          </w:tcPr>
          <w:p w:rsidR="00356334" w:rsidRPr="008F799B" w:rsidRDefault="00476922" w:rsidP="00B85953">
            <w:pPr>
              <w:spacing w:after="0" w:line="240" w:lineRule="auto"/>
              <w:jc w:val="both"/>
              <w:rPr>
                <w:rFonts w:ascii="Cambria" w:hAnsi="Cambria" w:cs="Calibri Light"/>
                <w:sz w:val="18"/>
                <w:szCs w:val="18"/>
                <w:lang w:val="es-ES"/>
              </w:rPr>
            </w:pPr>
            <w:r w:rsidRPr="008F799B">
              <w:rPr>
                <w:rFonts w:ascii="Cambria" w:hAnsi="Cambria"/>
                <w:sz w:val="18"/>
                <w:szCs w:val="18"/>
                <w:lang w:val="es-ES"/>
              </w:rPr>
              <w:t xml:space="preserve">3. </w:t>
            </w:r>
            <w:r w:rsidR="003B4683" w:rsidRPr="008F799B">
              <w:rPr>
                <w:rFonts w:ascii="Cambria" w:hAnsi="Cambria"/>
                <w:sz w:val="18"/>
                <w:szCs w:val="18"/>
                <w:lang w:val="es-ES"/>
              </w:rPr>
              <w:t>Revisar sus prácticas y procedimientos para asegurar que los funcionarios involucrados en la reclusión y supervisión de reclusos en Jamaica reciban la capacitación correspondiente en relación con las normas de un trato humano de dichas personas, incluida la restricción del uso de la fuerza contra tales personas</w:t>
            </w:r>
            <w:r w:rsidR="001263F7" w:rsidRPr="008F799B">
              <w:rPr>
                <w:rFonts w:ascii="Cambria" w:hAnsi="Cambria"/>
                <w:sz w:val="18"/>
                <w:szCs w:val="18"/>
                <w:lang w:val="es-ES"/>
              </w:rPr>
              <w:t>.</w:t>
            </w:r>
          </w:p>
        </w:tc>
        <w:tc>
          <w:tcPr>
            <w:tcW w:w="2610" w:type="dxa"/>
            <w:shd w:val="clear" w:color="auto" w:fill="auto"/>
            <w:vAlign w:val="center"/>
          </w:tcPr>
          <w:p w:rsidR="00356334" w:rsidRPr="008F799B" w:rsidRDefault="001B255D" w:rsidP="00E17BC1">
            <w:pPr>
              <w:spacing w:after="0" w:line="240" w:lineRule="auto"/>
              <w:jc w:val="center"/>
              <w:rPr>
                <w:rFonts w:ascii="Cambria" w:hAnsi="Cambria" w:cs="Calibri Light"/>
                <w:b/>
                <w:sz w:val="18"/>
                <w:szCs w:val="18"/>
                <w:highlight w:val="yellow"/>
                <w:lang w:val="es-ES"/>
              </w:rPr>
            </w:pPr>
            <w:r w:rsidRPr="008F799B">
              <w:rPr>
                <w:rFonts w:ascii="Cambria" w:hAnsi="Cambria"/>
                <w:sz w:val="18"/>
                <w:szCs w:val="18"/>
                <w:lang w:val="es-ES"/>
              </w:rPr>
              <w:t>Cumplimiento parcial</w:t>
            </w:r>
          </w:p>
        </w:tc>
      </w:tr>
      <w:tr w:rsidR="001263F7" w:rsidRPr="008F799B" w:rsidTr="00815B3A">
        <w:tc>
          <w:tcPr>
            <w:tcW w:w="7020" w:type="dxa"/>
            <w:shd w:val="clear" w:color="auto" w:fill="auto"/>
            <w:vAlign w:val="center"/>
          </w:tcPr>
          <w:p w:rsidR="001263F7" w:rsidRPr="008F799B" w:rsidRDefault="00476922" w:rsidP="00B85953">
            <w:pPr>
              <w:pStyle w:val="BodyTextIndent2"/>
              <w:ind w:firstLine="0"/>
              <w:rPr>
                <w:rFonts w:ascii="Cambria" w:hAnsi="Cambria"/>
                <w:sz w:val="18"/>
                <w:szCs w:val="18"/>
              </w:rPr>
            </w:pPr>
            <w:r w:rsidRPr="008F799B">
              <w:rPr>
                <w:rFonts w:ascii="Cambria" w:hAnsi="Cambria"/>
                <w:sz w:val="18"/>
                <w:szCs w:val="18"/>
              </w:rPr>
              <w:t xml:space="preserve">4. </w:t>
            </w:r>
            <w:r w:rsidR="003B4683" w:rsidRPr="008F799B">
              <w:rPr>
                <w:rFonts w:ascii="Cambria" w:hAnsi="Cambria"/>
                <w:sz w:val="18"/>
                <w:szCs w:val="18"/>
              </w:rPr>
              <w:t>Revisar sus prácticas y procedimientos para asegurar que las denuncias presentadas por los reclusos en relación con el presunto maltrato de parte de los funcionarios de la penitenciaría y demás condiciones de su reclusión sean investigadas y resueltas</w:t>
            </w:r>
            <w:r w:rsidR="001263F7" w:rsidRPr="008F799B">
              <w:rPr>
                <w:rFonts w:ascii="Cambria" w:hAnsi="Cambria"/>
                <w:sz w:val="18"/>
                <w:szCs w:val="18"/>
              </w:rPr>
              <w:t>.</w:t>
            </w:r>
          </w:p>
        </w:tc>
        <w:tc>
          <w:tcPr>
            <w:tcW w:w="2610" w:type="dxa"/>
            <w:shd w:val="clear" w:color="auto" w:fill="auto"/>
            <w:vAlign w:val="center"/>
          </w:tcPr>
          <w:p w:rsidR="001263F7" w:rsidRPr="008F799B" w:rsidRDefault="001B255D" w:rsidP="00E17BC1">
            <w:pPr>
              <w:spacing w:after="0" w:line="240" w:lineRule="auto"/>
              <w:jc w:val="center"/>
              <w:rPr>
                <w:rFonts w:ascii="Cambria" w:hAnsi="Cambria" w:cs="Calibri Light"/>
                <w:b/>
                <w:sz w:val="18"/>
                <w:szCs w:val="18"/>
                <w:highlight w:val="yellow"/>
                <w:lang w:val="es-ES"/>
              </w:rPr>
            </w:pPr>
            <w:r w:rsidRPr="008F799B">
              <w:rPr>
                <w:rFonts w:ascii="Cambria" w:hAnsi="Cambria"/>
                <w:sz w:val="18"/>
                <w:szCs w:val="18"/>
                <w:lang w:val="es-ES"/>
              </w:rPr>
              <w:t>Cumplimiento parcial</w:t>
            </w:r>
          </w:p>
        </w:tc>
      </w:tr>
    </w:tbl>
    <w:p w:rsidR="00F27893" w:rsidRPr="008F799B" w:rsidRDefault="00F27893" w:rsidP="00F27893">
      <w:pPr>
        <w:spacing w:after="0" w:line="240" w:lineRule="auto"/>
        <w:jc w:val="both"/>
        <w:rPr>
          <w:rFonts w:ascii="Cambria" w:hAnsi="Cambria"/>
          <w:b/>
          <w:sz w:val="20"/>
          <w:szCs w:val="20"/>
          <w:lang w:val="es-ES"/>
        </w:rPr>
      </w:pPr>
    </w:p>
    <w:p w:rsidR="00C844B0" w:rsidRPr="008F799B" w:rsidRDefault="00C844B0" w:rsidP="00F27893">
      <w:pPr>
        <w:pStyle w:val="ListParagraph"/>
        <w:numPr>
          <w:ilvl w:val="0"/>
          <w:numId w:val="1"/>
        </w:numPr>
        <w:spacing w:after="0" w:line="240" w:lineRule="auto"/>
        <w:ind w:left="1440"/>
        <w:jc w:val="both"/>
        <w:rPr>
          <w:rFonts w:ascii="Cambria" w:hAnsi="Cambria" w:cs="Calibri Light"/>
          <w:b/>
          <w:sz w:val="20"/>
          <w:szCs w:val="20"/>
          <w:lang w:val="es-ES"/>
        </w:rPr>
      </w:pPr>
      <w:r w:rsidRPr="008F799B">
        <w:rPr>
          <w:rFonts w:ascii="Cambria" w:hAnsi="Cambria"/>
          <w:b/>
          <w:sz w:val="20"/>
          <w:szCs w:val="20"/>
          <w:lang w:val="es-ES"/>
        </w:rPr>
        <w:t>Actividad Procesal</w:t>
      </w:r>
    </w:p>
    <w:p w:rsidR="00356334" w:rsidRPr="008F799B" w:rsidRDefault="00356334" w:rsidP="00356334">
      <w:pPr>
        <w:spacing w:after="0" w:line="240" w:lineRule="auto"/>
        <w:jc w:val="both"/>
        <w:rPr>
          <w:rFonts w:ascii="Cambria" w:hAnsi="Cambria" w:cs="Calibri Light"/>
          <w:sz w:val="20"/>
          <w:szCs w:val="20"/>
          <w:lang w:val="es-ES"/>
        </w:rPr>
      </w:pPr>
    </w:p>
    <w:p w:rsidR="009A7C27" w:rsidRPr="008F799B" w:rsidRDefault="009A7C27" w:rsidP="009A7C27">
      <w:pPr>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cs="Calibri Light"/>
          <w:sz w:val="20"/>
          <w:szCs w:val="20"/>
          <w:lang w:val="es-ES"/>
        </w:rPr>
        <w:t xml:space="preserve">En 2019, la CIDH solicitó información actualizada sobre el cumplimiento de las recomendaciones al Estado y a los peticionarios el 11 de julio. A la fecha de cierre de este informe, </w:t>
      </w:r>
      <w:r w:rsidRPr="008F799B">
        <w:rPr>
          <w:rFonts w:ascii="Cambria" w:hAnsi="Cambria"/>
          <w:sz w:val="20"/>
          <w:szCs w:val="20"/>
          <w:lang w:val="es-ES_tradnl"/>
        </w:rPr>
        <w:t>la Comisión no había recibido dicha información de ninguna de las partes.</w:t>
      </w:r>
    </w:p>
    <w:p w:rsidR="00356334" w:rsidRPr="008F799B" w:rsidRDefault="00356334" w:rsidP="00356334">
      <w:pPr>
        <w:spacing w:after="0" w:line="240" w:lineRule="auto"/>
        <w:jc w:val="both"/>
        <w:rPr>
          <w:rFonts w:ascii="Cambria" w:hAnsi="Cambria" w:cs="Calibri Light"/>
          <w:sz w:val="20"/>
          <w:szCs w:val="20"/>
          <w:lang w:val="es-ES_tradnl"/>
        </w:rPr>
      </w:pPr>
    </w:p>
    <w:p w:rsidR="00C844B0" w:rsidRPr="008F799B" w:rsidRDefault="00C844B0" w:rsidP="00C844B0">
      <w:pPr>
        <w:pStyle w:val="ListParagraph"/>
        <w:numPr>
          <w:ilvl w:val="0"/>
          <w:numId w:val="1"/>
        </w:numPr>
        <w:spacing w:after="0" w:line="240" w:lineRule="auto"/>
        <w:ind w:left="1440"/>
        <w:jc w:val="both"/>
        <w:rPr>
          <w:rFonts w:ascii="Cambria" w:hAnsi="Cambria" w:cs="Calibri Light"/>
          <w:b/>
          <w:sz w:val="20"/>
          <w:szCs w:val="20"/>
          <w:lang w:val="es-ES"/>
        </w:rPr>
      </w:pPr>
      <w:r w:rsidRPr="008F799B">
        <w:rPr>
          <w:rFonts w:ascii="Cambria" w:hAnsi="Cambria" w:cs="Calibri Light"/>
          <w:b/>
          <w:sz w:val="20"/>
          <w:szCs w:val="20"/>
          <w:lang w:val="es-ES"/>
        </w:rPr>
        <w:t xml:space="preserve">Análisis </w:t>
      </w:r>
      <w:r w:rsidR="002E388D" w:rsidRPr="008F799B">
        <w:rPr>
          <w:rFonts w:ascii="Cambria" w:hAnsi="Cambria" w:cs="Calibri Light"/>
          <w:b/>
          <w:sz w:val="20"/>
          <w:szCs w:val="20"/>
          <w:lang w:val="es-ES"/>
        </w:rPr>
        <w:t>relativo a la información proporcionada</w:t>
      </w:r>
    </w:p>
    <w:p w:rsidR="00E54990" w:rsidRPr="008F799B" w:rsidRDefault="00E54990" w:rsidP="00E54990">
      <w:pPr>
        <w:spacing w:after="0" w:line="240" w:lineRule="auto"/>
        <w:ind w:left="360"/>
        <w:jc w:val="both"/>
        <w:rPr>
          <w:rFonts w:ascii="Cambria" w:hAnsi="Cambria" w:cs="Calibri Light"/>
          <w:b/>
          <w:sz w:val="20"/>
          <w:szCs w:val="20"/>
          <w:lang w:val="es-ES"/>
        </w:rPr>
      </w:pPr>
    </w:p>
    <w:p w:rsidR="005636F8" w:rsidRPr="008F799B" w:rsidRDefault="009A7C27" w:rsidP="00356334">
      <w:pPr>
        <w:pStyle w:val="ListParagraph"/>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cs="Calibri Light"/>
          <w:sz w:val="20"/>
          <w:szCs w:val="20"/>
          <w:lang w:val="es-ES"/>
        </w:rPr>
        <w:t xml:space="preserve">En 2019, ninguna de las partes proporcionó información a la Comisión sobre las acciones adoptadas por el Estado para cumplir con las recomendaciones emitidas en el Informe de Fondo Nº 50/01. </w:t>
      </w:r>
    </w:p>
    <w:p w:rsidR="00521D6E" w:rsidRPr="008F799B" w:rsidRDefault="00521D6E" w:rsidP="00521D6E">
      <w:pPr>
        <w:pStyle w:val="ListParagraph"/>
        <w:spacing w:after="0" w:line="240" w:lineRule="auto"/>
        <w:jc w:val="both"/>
        <w:rPr>
          <w:rFonts w:ascii="Cambria" w:hAnsi="Cambria" w:cs="Calibri Light"/>
          <w:sz w:val="20"/>
          <w:szCs w:val="20"/>
          <w:lang w:val="es-ES"/>
        </w:rPr>
      </w:pPr>
    </w:p>
    <w:p w:rsidR="00356334" w:rsidRPr="008F799B" w:rsidRDefault="005636F8" w:rsidP="00356334">
      <w:pPr>
        <w:pStyle w:val="ListParagraph"/>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cs="Calibri Light"/>
          <w:sz w:val="20"/>
          <w:szCs w:val="20"/>
          <w:lang w:val="es-ES"/>
        </w:rPr>
        <w:lastRenderedPageBreak/>
        <w:t>La Comisión observa con preocupación que el Estado no haya presentado información sobre las medidas adoptadas para implementar las recomendaciones contenidas en el Informe de Fondo Nº 50/01 desde el 2015 y los peticionarios desde 2010.</w:t>
      </w:r>
    </w:p>
    <w:p w:rsidR="00521D6E" w:rsidRPr="008F799B" w:rsidRDefault="00521D6E" w:rsidP="00521D6E">
      <w:pPr>
        <w:pStyle w:val="ListParagraph"/>
        <w:spacing w:after="0" w:line="240" w:lineRule="auto"/>
        <w:jc w:val="both"/>
        <w:rPr>
          <w:rFonts w:ascii="Cambria" w:hAnsi="Cambria" w:cs="Calibri Light"/>
          <w:sz w:val="20"/>
          <w:szCs w:val="20"/>
          <w:lang w:val="es-ES"/>
        </w:rPr>
      </w:pPr>
    </w:p>
    <w:p w:rsidR="00521D6E" w:rsidRPr="008F799B" w:rsidRDefault="00521D6E" w:rsidP="00356334">
      <w:pPr>
        <w:pStyle w:val="ListParagraph"/>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cs="Calibri Light"/>
          <w:sz w:val="20"/>
          <w:szCs w:val="20"/>
          <w:lang w:val="es-ES"/>
        </w:rPr>
        <w:t>En este sentido, ante la ausencia de información actualizada sobre el nivel de cumplimiento de las recomendaciones, la CIDH reitera, a continuación, el análisis del cumplimiento y las conclusiones realizadas en su Informe Anual 2018.</w:t>
      </w:r>
    </w:p>
    <w:p w:rsidR="005743D6" w:rsidRPr="008F799B" w:rsidRDefault="005743D6" w:rsidP="005743D6">
      <w:pPr>
        <w:pStyle w:val="ListParagraph"/>
        <w:rPr>
          <w:rFonts w:ascii="Cambria" w:hAnsi="Cambria" w:cs="Calibri Light"/>
          <w:sz w:val="20"/>
          <w:szCs w:val="20"/>
          <w:lang w:val="es-ES"/>
        </w:rPr>
      </w:pPr>
    </w:p>
    <w:p w:rsidR="005743D6" w:rsidRPr="008F799B" w:rsidRDefault="005743D6" w:rsidP="005743D6">
      <w:pPr>
        <w:pStyle w:val="ListParagraph"/>
        <w:numPr>
          <w:ilvl w:val="0"/>
          <w:numId w:val="1"/>
        </w:numPr>
        <w:spacing w:after="0" w:line="240" w:lineRule="auto"/>
        <w:ind w:left="1440"/>
        <w:jc w:val="both"/>
        <w:rPr>
          <w:rFonts w:ascii="Cambria" w:hAnsi="Cambria" w:cs="Calibri Light"/>
          <w:b/>
          <w:sz w:val="20"/>
          <w:szCs w:val="20"/>
          <w:lang w:val="es-ES"/>
        </w:rPr>
      </w:pPr>
      <w:r w:rsidRPr="008F799B">
        <w:rPr>
          <w:rFonts w:ascii="Cambria" w:hAnsi="Cambria" w:cs="Calibri Light"/>
          <w:b/>
          <w:sz w:val="20"/>
          <w:szCs w:val="20"/>
          <w:lang w:val="es-ES"/>
        </w:rPr>
        <w:t>Análisis del cumplimiento de las recomendaciones</w:t>
      </w:r>
    </w:p>
    <w:p w:rsidR="005636F8" w:rsidRPr="008F799B" w:rsidRDefault="005636F8" w:rsidP="005636F8">
      <w:pPr>
        <w:pStyle w:val="ListParagraph"/>
        <w:spacing w:after="0" w:line="240" w:lineRule="auto"/>
        <w:jc w:val="both"/>
        <w:rPr>
          <w:rFonts w:ascii="Cambria" w:hAnsi="Cambria" w:cs="Calibri Light"/>
          <w:sz w:val="20"/>
          <w:szCs w:val="20"/>
          <w:lang w:val="es-ES"/>
        </w:rPr>
      </w:pPr>
    </w:p>
    <w:p w:rsidR="00B85953" w:rsidRPr="008F799B" w:rsidRDefault="00A200F7" w:rsidP="00B85953">
      <w:pPr>
        <w:pStyle w:val="ListParagraph"/>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cs="Calibri Light"/>
          <w:b/>
          <w:sz w:val="20"/>
          <w:szCs w:val="20"/>
          <w:lang w:val="es-ES"/>
        </w:rPr>
        <w:t>En relación con la primera recomendación</w:t>
      </w:r>
      <w:r w:rsidR="004A3F8B" w:rsidRPr="008F799B">
        <w:rPr>
          <w:rFonts w:ascii="Cambria" w:hAnsi="Cambria" w:cs="Calibri Light"/>
          <w:sz w:val="20"/>
          <w:szCs w:val="20"/>
          <w:lang w:val="es-ES"/>
        </w:rPr>
        <w:t>, e</w:t>
      </w:r>
      <w:r w:rsidR="00B85953" w:rsidRPr="008F799B">
        <w:rPr>
          <w:rFonts w:ascii="Cambria" w:hAnsi="Cambria" w:cs="Calibri Light"/>
          <w:sz w:val="20"/>
          <w:szCs w:val="20"/>
          <w:lang w:val="es-ES"/>
        </w:rPr>
        <w:t xml:space="preserve">n 2015, </w:t>
      </w:r>
      <w:r w:rsidR="00573FC8" w:rsidRPr="008F799B">
        <w:rPr>
          <w:rFonts w:ascii="Cambria" w:hAnsi="Cambria"/>
          <w:sz w:val="20"/>
          <w:szCs w:val="20"/>
          <w:lang w:val="es-ES"/>
        </w:rPr>
        <w:t>el Estado reiteró que</w:t>
      </w:r>
      <w:r w:rsidR="00221270" w:rsidRPr="008F799B">
        <w:rPr>
          <w:rFonts w:ascii="Cambria" w:hAnsi="Cambria"/>
          <w:sz w:val="20"/>
          <w:szCs w:val="20"/>
          <w:lang w:val="es-ES"/>
        </w:rPr>
        <w:t>, en su criterio,</w:t>
      </w:r>
      <w:r w:rsidR="00573FC8" w:rsidRPr="008F799B">
        <w:rPr>
          <w:rFonts w:ascii="Cambria" w:hAnsi="Cambria"/>
          <w:sz w:val="20"/>
          <w:szCs w:val="20"/>
          <w:lang w:val="es-ES"/>
        </w:rPr>
        <w:t xml:space="preserve"> la línea de acción adecuada para </w:t>
      </w:r>
      <w:r w:rsidR="004A3F8B" w:rsidRPr="008F799B">
        <w:rPr>
          <w:rFonts w:ascii="Cambria" w:hAnsi="Cambria"/>
          <w:sz w:val="20"/>
          <w:szCs w:val="20"/>
          <w:lang w:val="es-ES"/>
        </w:rPr>
        <w:t xml:space="preserve">que el señor Thomas obtuviera reparación era que </w:t>
      </w:r>
      <w:r w:rsidR="00573FC8" w:rsidRPr="008F799B">
        <w:rPr>
          <w:rFonts w:ascii="Cambria" w:hAnsi="Cambria"/>
          <w:sz w:val="20"/>
          <w:szCs w:val="20"/>
          <w:lang w:val="es-ES"/>
        </w:rPr>
        <w:t xml:space="preserve">agotara </w:t>
      </w:r>
      <w:r w:rsidR="004A3F8B" w:rsidRPr="008F799B">
        <w:rPr>
          <w:rFonts w:ascii="Cambria" w:hAnsi="Cambria"/>
          <w:sz w:val="20"/>
          <w:szCs w:val="20"/>
          <w:lang w:val="es-ES"/>
        </w:rPr>
        <w:t>los recursos internos ante</w:t>
      </w:r>
      <w:r w:rsidR="00573FC8" w:rsidRPr="008F799B">
        <w:rPr>
          <w:rFonts w:ascii="Cambria" w:hAnsi="Cambria"/>
          <w:sz w:val="20"/>
          <w:szCs w:val="20"/>
          <w:lang w:val="es-ES"/>
        </w:rPr>
        <w:t xml:space="preserve"> los tribunales locales</w:t>
      </w:r>
      <w:r w:rsidR="004A3F8B" w:rsidRPr="008F799B">
        <w:rPr>
          <w:rFonts w:ascii="Cambria" w:hAnsi="Cambria"/>
          <w:sz w:val="20"/>
          <w:szCs w:val="20"/>
          <w:lang w:val="es-ES"/>
        </w:rPr>
        <w:t>.</w:t>
      </w:r>
      <w:r w:rsidR="00573FC8" w:rsidRPr="008F799B">
        <w:rPr>
          <w:rFonts w:ascii="Cambria" w:hAnsi="Cambria" w:cs="Calibri Light"/>
          <w:sz w:val="20"/>
          <w:szCs w:val="20"/>
          <w:lang w:val="es-ES"/>
        </w:rPr>
        <w:t xml:space="preserve"> </w:t>
      </w:r>
      <w:r w:rsidR="00573FC8" w:rsidRPr="008F799B">
        <w:rPr>
          <w:rFonts w:ascii="Cambria" w:hAnsi="Cambria"/>
          <w:sz w:val="20"/>
          <w:szCs w:val="20"/>
          <w:lang w:val="es-ES"/>
        </w:rPr>
        <w:t>Asimismo, el Estado consideró como vaga e incoherente la mención hecha por la CIDH en cuanto a otorgar una indemnización a las víctimas, aclarando que el tipo de compensación dependería del objetivo para el cual se otorga, lo cual</w:t>
      </w:r>
      <w:r w:rsidR="00221270" w:rsidRPr="008F799B">
        <w:rPr>
          <w:rFonts w:ascii="Cambria" w:hAnsi="Cambria"/>
          <w:sz w:val="20"/>
          <w:szCs w:val="20"/>
          <w:lang w:val="es-ES"/>
        </w:rPr>
        <w:t>, en su criterio, no</w:t>
      </w:r>
      <w:r w:rsidR="00573FC8" w:rsidRPr="008F799B">
        <w:rPr>
          <w:rFonts w:ascii="Cambria" w:hAnsi="Cambria"/>
          <w:sz w:val="20"/>
          <w:szCs w:val="20"/>
          <w:lang w:val="es-ES"/>
        </w:rPr>
        <w:t xml:space="preserve"> habría sido establecido por la Comisión</w:t>
      </w:r>
      <w:r w:rsidR="0019200D" w:rsidRPr="008F799B">
        <w:rPr>
          <w:rStyle w:val="FootnoteReference"/>
          <w:rFonts w:ascii="Cambria" w:hAnsi="Cambria" w:cs="Calibri Light"/>
          <w:sz w:val="20"/>
          <w:szCs w:val="20"/>
          <w:vertAlign w:val="superscript"/>
          <w:lang w:val="es-ES"/>
        </w:rPr>
        <w:footnoteReference w:id="1"/>
      </w:r>
      <w:r w:rsidR="00573FC8" w:rsidRPr="008F799B">
        <w:rPr>
          <w:rFonts w:ascii="Cambria" w:hAnsi="Cambria"/>
          <w:sz w:val="20"/>
          <w:szCs w:val="20"/>
          <w:lang w:val="es-ES"/>
        </w:rPr>
        <w:t>.</w:t>
      </w:r>
    </w:p>
    <w:p w:rsidR="00B85953" w:rsidRPr="008F799B" w:rsidRDefault="00B85953" w:rsidP="00B85953">
      <w:pPr>
        <w:pStyle w:val="ListParagraph"/>
        <w:spacing w:after="0" w:line="240" w:lineRule="auto"/>
        <w:jc w:val="both"/>
        <w:rPr>
          <w:rFonts w:ascii="Cambria" w:hAnsi="Cambria" w:cs="Calibri Light"/>
          <w:sz w:val="20"/>
          <w:szCs w:val="20"/>
          <w:highlight w:val="cyan"/>
          <w:lang w:val="es-ES"/>
        </w:rPr>
      </w:pPr>
    </w:p>
    <w:p w:rsidR="000A5DFA" w:rsidRPr="008F799B" w:rsidRDefault="00150D21" w:rsidP="000A5DFA">
      <w:pPr>
        <w:pStyle w:val="ListParagraph"/>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cs="Calibri Light"/>
          <w:sz w:val="20"/>
          <w:szCs w:val="20"/>
          <w:lang w:val="es-ES"/>
        </w:rPr>
        <w:t>En 2010, los peticionarios informaron que</w:t>
      </w:r>
      <w:r w:rsidR="000A5DFA" w:rsidRPr="008F799B">
        <w:rPr>
          <w:rFonts w:ascii="Cambria" w:hAnsi="Cambria" w:cs="Calibri Light"/>
          <w:sz w:val="20"/>
          <w:szCs w:val="20"/>
          <w:lang w:val="es-ES"/>
        </w:rPr>
        <w:t xml:space="preserve"> </w:t>
      </w:r>
      <w:proofErr w:type="spellStart"/>
      <w:r w:rsidRPr="008F799B">
        <w:rPr>
          <w:rFonts w:ascii="Cambria" w:hAnsi="Cambria" w:cs="Calibri Light"/>
          <w:sz w:val="20"/>
          <w:szCs w:val="20"/>
          <w:lang w:val="es-ES"/>
        </w:rPr>
        <w:t>D</w:t>
      </w:r>
      <w:r w:rsidR="000A5DFA" w:rsidRPr="008F799B">
        <w:rPr>
          <w:rFonts w:ascii="Cambria" w:hAnsi="Cambria" w:cs="Calibri Light"/>
          <w:sz w:val="20"/>
          <w:szCs w:val="20"/>
          <w:lang w:val="es-ES"/>
        </w:rPr>
        <w:t>amion</w:t>
      </w:r>
      <w:proofErr w:type="spellEnd"/>
      <w:r w:rsidR="000A5DFA" w:rsidRPr="008F799B">
        <w:rPr>
          <w:rFonts w:ascii="Cambria" w:hAnsi="Cambria" w:cs="Calibri Light"/>
          <w:sz w:val="20"/>
          <w:szCs w:val="20"/>
          <w:lang w:val="es-ES"/>
        </w:rPr>
        <w:t xml:space="preserve"> Thomas </w:t>
      </w:r>
      <w:r w:rsidRPr="008F799B">
        <w:rPr>
          <w:rFonts w:ascii="Cambria" w:hAnsi="Cambria" w:cs="Calibri Light"/>
          <w:sz w:val="20"/>
          <w:szCs w:val="20"/>
          <w:lang w:val="es-ES"/>
        </w:rPr>
        <w:t>no había obtenido ninguna reparación por parte de Jamaica, ni ha recibido ninguna compensación.</w:t>
      </w:r>
      <w:r w:rsidR="0019200D" w:rsidRPr="008F799B">
        <w:rPr>
          <w:rStyle w:val="FootnoteReference"/>
          <w:rFonts w:ascii="Cambria" w:hAnsi="Cambria" w:cs="Calibri Light"/>
          <w:sz w:val="20"/>
          <w:szCs w:val="20"/>
          <w:vertAlign w:val="superscript"/>
          <w:lang w:val="es-ES"/>
        </w:rPr>
        <w:footnoteReference w:id="2"/>
      </w:r>
    </w:p>
    <w:p w:rsidR="00B85953" w:rsidRPr="008F799B" w:rsidRDefault="00B85953" w:rsidP="00B85953">
      <w:pPr>
        <w:pStyle w:val="ListParagraph"/>
        <w:rPr>
          <w:rFonts w:ascii="Cambria" w:hAnsi="Cambria"/>
          <w:sz w:val="20"/>
          <w:szCs w:val="20"/>
          <w:lang w:val="es-ES"/>
        </w:rPr>
      </w:pPr>
    </w:p>
    <w:p w:rsidR="00B85953" w:rsidRPr="008F799B" w:rsidRDefault="00221270" w:rsidP="00B85953">
      <w:pPr>
        <w:pStyle w:val="ListParagraph"/>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sz w:val="20"/>
          <w:szCs w:val="20"/>
          <w:lang w:val="es-ES"/>
        </w:rPr>
        <w:t>L</w:t>
      </w:r>
      <w:r w:rsidR="000526FA" w:rsidRPr="008F799B">
        <w:rPr>
          <w:rFonts w:ascii="Cambria" w:hAnsi="Cambria"/>
          <w:sz w:val="20"/>
          <w:szCs w:val="20"/>
          <w:lang w:val="es-ES"/>
        </w:rPr>
        <w:t>a CIDH recuerda al Estado que, de acuerdo con los principios derecho internacional, todo incumplimiento de una obligación internacional que ocasione un perjuicio da lugar al deber de repararlo de manera adecuada</w:t>
      </w:r>
      <w:r w:rsidR="00B85953" w:rsidRPr="008F799B">
        <w:rPr>
          <w:rStyle w:val="FootnoteReference"/>
          <w:rFonts w:ascii="Cambria" w:hAnsi="Cambria"/>
          <w:sz w:val="20"/>
          <w:szCs w:val="20"/>
          <w:vertAlign w:val="superscript"/>
          <w:lang w:val="es-ES"/>
        </w:rPr>
        <w:footnoteReference w:id="3"/>
      </w:r>
      <w:r w:rsidR="008F3EF9" w:rsidRPr="008F799B">
        <w:rPr>
          <w:rFonts w:ascii="Cambria" w:hAnsi="Cambria"/>
          <w:sz w:val="20"/>
          <w:szCs w:val="20"/>
          <w:lang w:val="es-ES"/>
        </w:rPr>
        <w:t>. De conformidad con la jurisprudencia del sistema interamericano, las víctimas de violaciones de derechos humanos tienen derecho a percibir una indemnización adecuada por el daño sufrido, la cual debe concretarse en medidas individuales para restituir, indemnizar y rehabilitar a la víctima, así como medidas de satisfacción y garantías de que no se repitan tales actos</w:t>
      </w:r>
      <w:r w:rsidR="00B85953" w:rsidRPr="008F799B">
        <w:rPr>
          <w:rStyle w:val="FootnoteReference"/>
          <w:rFonts w:ascii="Cambria" w:hAnsi="Cambria"/>
          <w:sz w:val="20"/>
          <w:szCs w:val="20"/>
          <w:vertAlign w:val="superscript"/>
          <w:lang w:val="es-ES"/>
        </w:rPr>
        <w:footnoteReference w:id="4"/>
      </w:r>
      <w:r w:rsidR="008F3EF9" w:rsidRPr="008F799B">
        <w:rPr>
          <w:rFonts w:ascii="Cambria" w:hAnsi="Cambria"/>
          <w:sz w:val="20"/>
          <w:szCs w:val="20"/>
          <w:lang w:val="es-ES"/>
        </w:rPr>
        <w:t>.</w:t>
      </w:r>
      <w:r w:rsidR="00B85953" w:rsidRPr="008F799B">
        <w:rPr>
          <w:rFonts w:ascii="Cambria" w:hAnsi="Cambria"/>
          <w:sz w:val="20"/>
          <w:szCs w:val="20"/>
          <w:lang w:val="es-ES"/>
        </w:rPr>
        <w:t xml:space="preserve"> </w:t>
      </w:r>
      <w:r w:rsidR="00D332D1" w:rsidRPr="008F799B">
        <w:rPr>
          <w:rFonts w:ascii="Cambria" w:hAnsi="Cambria"/>
          <w:sz w:val="20"/>
          <w:szCs w:val="20"/>
          <w:lang w:val="es-ES"/>
        </w:rPr>
        <w:t>Además, un Estado no puede recurrir a su derecho interno para modificar esta obligación o hacer caso omiso de ella</w:t>
      </w:r>
      <w:r w:rsidR="00B85953" w:rsidRPr="008F799B">
        <w:rPr>
          <w:rStyle w:val="FootnoteReference"/>
          <w:rFonts w:ascii="Cambria" w:hAnsi="Cambria"/>
          <w:sz w:val="20"/>
          <w:szCs w:val="20"/>
          <w:vertAlign w:val="superscript"/>
          <w:lang w:val="es-ES"/>
        </w:rPr>
        <w:footnoteReference w:id="5"/>
      </w:r>
      <w:r w:rsidR="00D332D1" w:rsidRPr="008F799B">
        <w:rPr>
          <w:rFonts w:ascii="Cambria" w:hAnsi="Cambria"/>
          <w:sz w:val="20"/>
          <w:szCs w:val="20"/>
          <w:lang w:val="es-ES"/>
        </w:rPr>
        <w:t>.</w:t>
      </w:r>
      <w:r w:rsidR="00D332D1" w:rsidRPr="008F799B">
        <w:rPr>
          <w:rFonts w:ascii="Cambria" w:hAnsi="Cambria"/>
          <w:sz w:val="20"/>
          <w:szCs w:val="20"/>
          <w:vertAlign w:val="superscript"/>
          <w:lang w:val="es-ES"/>
        </w:rPr>
        <w:t xml:space="preserve"> </w:t>
      </w:r>
      <w:r w:rsidR="00D332D1" w:rsidRPr="008F799B">
        <w:rPr>
          <w:rFonts w:ascii="Cambria" w:hAnsi="Cambria"/>
          <w:sz w:val="20"/>
          <w:szCs w:val="20"/>
          <w:lang w:val="es-ES"/>
        </w:rPr>
        <w:t xml:space="preserve">En este sentido, la Comisión invita al Estado a garantizarle compensación al señor Thomas, y a informarle de esta acción. </w:t>
      </w:r>
      <w:r w:rsidR="00B85953" w:rsidRPr="008F799B">
        <w:rPr>
          <w:rFonts w:ascii="Cambria" w:hAnsi="Cambria"/>
          <w:sz w:val="20"/>
          <w:szCs w:val="20"/>
          <w:lang w:val="es-ES"/>
        </w:rPr>
        <w:t xml:space="preserve"> </w:t>
      </w:r>
      <w:r w:rsidR="00D332D1" w:rsidRPr="008F799B">
        <w:rPr>
          <w:rFonts w:ascii="Cambria" w:hAnsi="Cambria"/>
          <w:sz w:val="20"/>
          <w:szCs w:val="20"/>
          <w:lang w:val="es-ES"/>
        </w:rPr>
        <w:t>Por lo anterior, la CIDH considera que la Recomendación 1 se encuentra pendiente de cumplimiento.</w:t>
      </w:r>
      <w:r w:rsidR="00B85953" w:rsidRPr="008F799B">
        <w:rPr>
          <w:rFonts w:ascii="Cambria" w:hAnsi="Cambria"/>
          <w:sz w:val="20"/>
          <w:szCs w:val="20"/>
          <w:lang w:val="es-ES"/>
        </w:rPr>
        <w:t xml:space="preserve"> </w:t>
      </w:r>
      <w:r w:rsidR="00573FC8" w:rsidRPr="008F799B">
        <w:rPr>
          <w:rFonts w:ascii="Cambria" w:hAnsi="Cambria"/>
          <w:sz w:val="20"/>
          <w:szCs w:val="20"/>
          <w:lang w:val="es-ES"/>
        </w:rPr>
        <w:t xml:space="preserve"> </w:t>
      </w:r>
    </w:p>
    <w:p w:rsidR="00B85953" w:rsidRPr="008F799B" w:rsidRDefault="00B85953" w:rsidP="00B85953">
      <w:pPr>
        <w:pStyle w:val="ListParagraph"/>
        <w:spacing w:after="0" w:line="240" w:lineRule="auto"/>
        <w:jc w:val="both"/>
        <w:rPr>
          <w:rFonts w:ascii="Cambria" w:hAnsi="Cambria" w:cs="Calibri Light"/>
          <w:sz w:val="20"/>
          <w:szCs w:val="20"/>
          <w:lang w:val="es-ES"/>
        </w:rPr>
      </w:pPr>
    </w:p>
    <w:p w:rsidR="001976FC" w:rsidRPr="008F799B" w:rsidRDefault="001976FC" w:rsidP="001976FC">
      <w:pPr>
        <w:pStyle w:val="ListParagraph"/>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cs="Calibri Light"/>
          <w:b/>
          <w:sz w:val="20"/>
          <w:szCs w:val="20"/>
          <w:lang w:val="es-ES"/>
        </w:rPr>
        <w:t>Respecto de la segunda recomendación</w:t>
      </w:r>
      <w:r w:rsidRPr="008F799B">
        <w:rPr>
          <w:rFonts w:ascii="Cambria" w:hAnsi="Cambria" w:cs="Calibri Light"/>
          <w:sz w:val="20"/>
          <w:szCs w:val="20"/>
          <w:lang w:val="es-ES"/>
        </w:rPr>
        <w:t xml:space="preserve">, en 2007, el Estado informó que había llevado el asunto relacionado con el señor </w:t>
      </w:r>
      <w:proofErr w:type="spellStart"/>
      <w:r w:rsidRPr="008F799B">
        <w:rPr>
          <w:rFonts w:ascii="Cambria" w:hAnsi="Cambria" w:cs="Calibri Light"/>
          <w:sz w:val="20"/>
          <w:szCs w:val="20"/>
          <w:lang w:val="es-ES"/>
        </w:rPr>
        <w:t>Damion</w:t>
      </w:r>
      <w:proofErr w:type="spellEnd"/>
      <w:r w:rsidRPr="008F799B">
        <w:rPr>
          <w:rFonts w:ascii="Cambria" w:hAnsi="Cambria" w:cs="Calibri Light"/>
          <w:sz w:val="20"/>
          <w:szCs w:val="20"/>
          <w:lang w:val="es-ES"/>
        </w:rPr>
        <w:t xml:space="preserve"> Thomas ante la Oficina de Defensoría Pública</w:t>
      </w:r>
      <w:r w:rsidR="008833A0" w:rsidRPr="008F799B">
        <w:rPr>
          <w:rFonts w:ascii="Cambria" w:hAnsi="Cambria" w:cs="Calibri Light"/>
          <w:sz w:val="20"/>
          <w:szCs w:val="20"/>
          <w:lang w:val="es-ES"/>
        </w:rPr>
        <w:t xml:space="preserve">, </w:t>
      </w:r>
      <w:r w:rsidRPr="008F799B">
        <w:rPr>
          <w:rFonts w:ascii="Cambria" w:hAnsi="Cambria" w:cs="Calibri Light"/>
          <w:sz w:val="20"/>
          <w:szCs w:val="20"/>
          <w:lang w:val="es-ES"/>
        </w:rPr>
        <w:t>que es la que, de acuerdo con la legislación de Jamaica, tiene la facultad de recibir e investigar las quejas de los internos</w:t>
      </w:r>
      <w:r w:rsidR="0019200D" w:rsidRPr="008F799B">
        <w:rPr>
          <w:rStyle w:val="FootnoteReference"/>
          <w:rFonts w:ascii="Cambria" w:hAnsi="Cambria" w:cs="Calibri Light"/>
          <w:sz w:val="20"/>
          <w:szCs w:val="20"/>
          <w:vertAlign w:val="superscript"/>
          <w:lang w:val="es-ES"/>
        </w:rPr>
        <w:footnoteReference w:id="6"/>
      </w:r>
      <w:r w:rsidRPr="008F799B">
        <w:rPr>
          <w:rFonts w:ascii="Cambria" w:hAnsi="Cambria" w:cs="Calibri Light"/>
          <w:sz w:val="20"/>
          <w:szCs w:val="20"/>
          <w:lang w:val="es-ES"/>
        </w:rPr>
        <w:t xml:space="preserve">. En 2015, </w:t>
      </w:r>
      <w:r w:rsidRPr="008F799B">
        <w:rPr>
          <w:rFonts w:ascii="Cambria" w:hAnsi="Cambria"/>
          <w:sz w:val="20"/>
          <w:szCs w:val="20"/>
          <w:lang w:val="es-ES"/>
        </w:rPr>
        <w:t>el Estado informó que había realizado las investigaciones exhaustivas e imparciales sobre las denuncias del Sr. Thomas. Sin embargo, el Estado señaló que el Sr. Thomas no ha proporcionado ninguna información que facilite la investigación</w:t>
      </w:r>
      <w:r w:rsidR="0019200D" w:rsidRPr="008F799B">
        <w:rPr>
          <w:rStyle w:val="FootnoteReference"/>
          <w:rFonts w:ascii="Cambria" w:hAnsi="Cambria" w:cs="Calibri Light"/>
          <w:sz w:val="20"/>
          <w:szCs w:val="20"/>
          <w:vertAlign w:val="superscript"/>
          <w:lang w:val="es-ES"/>
        </w:rPr>
        <w:footnoteReference w:id="7"/>
      </w:r>
      <w:r w:rsidRPr="008F799B">
        <w:rPr>
          <w:rFonts w:ascii="Cambria" w:hAnsi="Cambria"/>
          <w:sz w:val="20"/>
          <w:szCs w:val="20"/>
          <w:lang w:val="es-ES"/>
        </w:rPr>
        <w:t>.</w:t>
      </w:r>
    </w:p>
    <w:p w:rsidR="001976FC" w:rsidRPr="008F799B" w:rsidRDefault="001976FC" w:rsidP="001976FC">
      <w:pPr>
        <w:pStyle w:val="ListParagraph"/>
        <w:rPr>
          <w:rFonts w:ascii="Cambria" w:hAnsi="Cambria"/>
          <w:sz w:val="20"/>
          <w:szCs w:val="20"/>
          <w:lang w:val="es-ES"/>
        </w:rPr>
      </w:pPr>
    </w:p>
    <w:p w:rsidR="00616DFE" w:rsidRPr="008F799B" w:rsidRDefault="001976FC" w:rsidP="003D6E3A">
      <w:pPr>
        <w:pStyle w:val="ListParagraph"/>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sz w:val="20"/>
          <w:szCs w:val="20"/>
          <w:lang w:val="es-ES"/>
        </w:rPr>
        <w:t xml:space="preserve">En 2010, los peticionarios informaron que el Estado de Jamaica no había realizado ninguna investigación sobre los hechos de los incidentes del presente caso. Los peticionarios expresaron además que, </w:t>
      </w:r>
      <w:r w:rsidRPr="008F799B">
        <w:rPr>
          <w:rFonts w:ascii="Cambria" w:hAnsi="Cambria"/>
          <w:sz w:val="20"/>
          <w:szCs w:val="20"/>
          <w:lang w:val="es-ES"/>
        </w:rPr>
        <w:lastRenderedPageBreak/>
        <w:t xml:space="preserve">hasta donde sabían, no se había atribuido responsabilidad a ninguna persona con ocasión de las violaciones a los derechos humanos de </w:t>
      </w:r>
      <w:proofErr w:type="spellStart"/>
      <w:r w:rsidRPr="008F799B">
        <w:rPr>
          <w:rFonts w:ascii="Cambria" w:hAnsi="Cambria"/>
          <w:sz w:val="20"/>
          <w:szCs w:val="20"/>
          <w:lang w:val="es-ES"/>
        </w:rPr>
        <w:t>Damion</w:t>
      </w:r>
      <w:proofErr w:type="spellEnd"/>
      <w:r w:rsidRPr="008F799B">
        <w:rPr>
          <w:rFonts w:ascii="Cambria" w:hAnsi="Cambria"/>
          <w:sz w:val="20"/>
          <w:szCs w:val="20"/>
          <w:lang w:val="es-ES"/>
        </w:rPr>
        <w:t xml:space="preserve"> Thomas y que tampoco se habían tomado medidas correctivas</w:t>
      </w:r>
      <w:r w:rsidR="0019200D" w:rsidRPr="008F799B">
        <w:rPr>
          <w:rStyle w:val="FootnoteReference"/>
          <w:rFonts w:ascii="Cambria" w:hAnsi="Cambria" w:cs="Calibri Light"/>
          <w:sz w:val="20"/>
          <w:szCs w:val="20"/>
          <w:vertAlign w:val="superscript"/>
          <w:lang w:val="es-ES"/>
        </w:rPr>
        <w:footnoteReference w:id="8"/>
      </w:r>
      <w:r w:rsidR="003D6E3A" w:rsidRPr="008F799B">
        <w:rPr>
          <w:rFonts w:ascii="Cambria" w:hAnsi="Cambria"/>
          <w:sz w:val="20"/>
          <w:szCs w:val="20"/>
          <w:lang w:val="es-ES"/>
        </w:rPr>
        <w:t>.</w:t>
      </w:r>
    </w:p>
    <w:p w:rsidR="003D6E3A" w:rsidRPr="008F799B" w:rsidRDefault="003D6E3A" w:rsidP="003D6E3A">
      <w:pPr>
        <w:pStyle w:val="ListParagraph"/>
        <w:rPr>
          <w:rFonts w:ascii="Cambria" w:hAnsi="Cambria" w:cs="Calibri Light"/>
          <w:sz w:val="20"/>
          <w:szCs w:val="20"/>
          <w:lang w:val="es-ES"/>
        </w:rPr>
      </w:pPr>
    </w:p>
    <w:p w:rsidR="00ED7CA2" w:rsidRPr="008F799B" w:rsidRDefault="003D6E3A" w:rsidP="003D6E3A">
      <w:pPr>
        <w:pStyle w:val="ListParagraph"/>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sz w:val="20"/>
          <w:szCs w:val="20"/>
          <w:lang w:val="es-ES"/>
        </w:rPr>
        <w:t xml:space="preserve">La Comisión </w:t>
      </w:r>
      <w:r w:rsidR="0010294F" w:rsidRPr="008F799B">
        <w:rPr>
          <w:rFonts w:ascii="Cambria" w:hAnsi="Cambria"/>
          <w:sz w:val="20"/>
          <w:szCs w:val="20"/>
          <w:lang w:val="es-ES"/>
        </w:rPr>
        <w:t>toma nota d</w:t>
      </w:r>
      <w:r w:rsidRPr="008F799B">
        <w:rPr>
          <w:rFonts w:ascii="Cambria" w:hAnsi="Cambria"/>
          <w:sz w:val="20"/>
          <w:szCs w:val="20"/>
          <w:lang w:val="es-ES"/>
        </w:rPr>
        <w:t xml:space="preserve">e la información presentada por el Estado </w:t>
      </w:r>
      <w:r w:rsidR="0010294F" w:rsidRPr="008F799B">
        <w:rPr>
          <w:rFonts w:ascii="Cambria" w:hAnsi="Cambria"/>
          <w:sz w:val="20"/>
          <w:szCs w:val="20"/>
          <w:lang w:val="es-ES"/>
        </w:rPr>
        <w:t>conforme a la cual</w:t>
      </w:r>
      <w:r w:rsidRPr="008F799B">
        <w:rPr>
          <w:rFonts w:ascii="Cambria" w:hAnsi="Cambria"/>
          <w:sz w:val="20"/>
          <w:szCs w:val="20"/>
          <w:lang w:val="es-ES"/>
        </w:rPr>
        <w:t xml:space="preserve"> indica que ha realizado investigaciones exhaustivas e imparciales en relación con las violaciones a los derechos del señor Thomas. </w:t>
      </w:r>
      <w:r w:rsidRPr="008F799B">
        <w:rPr>
          <w:rFonts w:ascii="Cambria" w:hAnsi="Cambria" w:cs="Calibri Light"/>
          <w:sz w:val="20"/>
          <w:szCs w:val="20"/>
          <w:lang w:val="es-ES"/>
        </w:rPr>
        <w:t>Igualmente,</w:t>
      </w:r>
      <w:r w:rsidR="00ED7CA2" w:rsidRPr="008F799B">
        <w:rPr>
          <w:rFonts w:ascii="Cambria" w:hAnsi="Cambria" w:cs="Calibri Light"/>
          <w:sz w:val="20"/>
          <w:szCs w:val="20"/>
          <w:lang w:val="es-ES"/>
        </w:rPr>
        <w:t xml:space="preserve"> </w:t>
      </w:r>
      <w:r w:rsidR="0010294F" w:rsidRPr="008F799B">
        <w:rPr>
          <w:rFonts w:ascii="Cambria" w:hAnsi="Cambria" w:cs="Calibri Light"/>
          <w:sz w:val="20"/>
          <w:szCs w:val="20"/>
          <w:lang w:val="es-ES"/>
        </w:rPr>
        <w:t>la Comisión toma</w:t>
      </w:r>
      <w:r w:rsidR="00ED7CA2" w:rsidRPr="008F799B">
        <w:rPr>
          <w:rFonts w:ascii="Cambria" w:hAnsi="Cambria" w:cs="Calibri Light"/>
          <w:sz w:val="20"/>
          <w:szCs w:val="20"/>
          <w:lang w:val="es-ES"/>
        </w:rPr>
        <w:t xml:space="preserve"> </w:t>
      </w:r>
      <w:r w:rsidRPr="008F799B">
        <w:rPr>
          <w:rFonts w:ascii="Cambria" w:hAnsi="Cambria" w:cs="Calibri Light"/>
          <w:sz w:val="20"/>
          <w:szCs w:val="20"/>
          <w:lang w:val="es-ES"/>
        </w:rPr>
        <w:t>nota</w:t>
      </w:r>
      <w:r w:rsidR="0010294F" w:rsidRPr="008F799B">
        <w:rPr>
          <w:rFonts w:ascii="Cambria" w:hAnsi="Cambria" w:cs="Calibri Light"/>
          <w:sz w:val="20"/>
          <w:szCs w:val="20"/>
          <w:lang w:val="es-ES"/>
        </w:rPr>
        <w:t xml:space="preserve"> de</w:t>
      </w:r>
      <w:r w:rsidRPr="008F799B">
        <w:rPr>
          <w:rFonts w:ascii="Cambria" w:hAnsi="Cambria" w:cs="Calibri Light"/>
          <w:sz w:val="20"/>
          <w:szCs w:val="20"/>
          <w:lang w:val="es-ES"/>
        </w:rPr>
        <w:t xml:space="preserve"> la información presentada por los peticionarios conforme a la cual ninguna investigación ha sido adelantada al respecto. En este sentido, la </w:t>
      </w:r>
      <w:r w:rsidR="0010294F" w:rsidRPr="008F799B">
        <w:rPr>
          <w:rFonts w:ascii="Cambria" w:hAnsi="Cambria" w:cs="Calibri Light"/>
          <w:sz w:val="20"/>
          <w:szCs w:val="20"/>
          <w:lang w:val="es-ES"/>
        </w:rPr>
        <w:t>CIDH</w:t>
      </w:r>
      <w:r w:rsidRPr="008F799B">
        <w:rPr>
          <w:rFonts w:ascii="Cambria" w:hAnsi="Cambria" w:cs="Calibri Light"/>
          <w:sz w:val="20"/>
          <w:szCs w:val="20"/>
          <w:lang w:val="es-ES"/>
        </w:rPr>
        <w:t xml:space="preserve"> solicita al Estado que presente información detallada y actualizada sobre las acciones adoptadas para cumplir con esta recomendación</w:t>
      </w:r>
      <w:r w:rsidR="00ED7CA2" w:rsidRPr="008F799B">
        <w:rPr>
          <w:rFonts w:ascii="Cambria" w:hAnsi="Cambria" w:cs="Calibri Light"/>
          <w:sz w:val="20"/>
          <w:szCs w:val="20"/>
          <w:lang w:val="es-ES"/>
        </w:rPr>
        <w:t>.</w:t>
      </w:r>
      <w:r w:rsidRPr="008F799B">
        <w:rPr>
          <w:rFonts w:ascii="Cambria" w:hAnsi="Cambria" w:cs="Calibri Light"/>
          <w:sz w:val="20"/>
          <w:szCs w:val="20"/>
          <w:lang w:val="es-ES"/>
        </w:rPr>
        <w:t xml:space="preserve"> Por lo anterior, </w:t>
      </w:r>
      <w:r w:rsidRPr="008F799B">
        <w:rPr>
          <w:rFonts w:ascii="Cambria" w:hAnsi="Cambria"/>
          <w:sz w:val="20"/>
          <w:szCs w:val="20"/>
          <w:lang w:val="es-ES"/>
        </w:rPr>
        <w:t>la Comisión considera que la Recomendación 2 está pendiente de cumplimiento.</w:t>
      </w:r>
    </w:p>
    <w:p w:rsidR="001976FC" w:rsidRPr="008F799B" w:rsidRDefault="001976FC" w:rsidP="001976FC">
      <w:pPr>
        <w:spacing w:after="0" w:line="240" w:lineRule="auto"/>
        <w:jc w:val="both"/>
        <w:rPr>
          <w:rFonts w:ascii="Cambria" w:hAnsi="Cambria" w:cs="Calibri Light"/>
          <w:sz w:val="20"/>
          <w:szCs w:val="20"/>
          <w:lang w:val="es-ES"/>
        </w:rPr>
      </w:pPr>
    </w:p>
    <w:p w:rsidR="00A672C8" w:rsidRPr="008F799B" w:rsidRDefault="00874A88" w:rsidP="00E959D8">
      <w:pPr>
        <w:pStyle w:val="ListParagraph"/>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cs="Calibri Light"/>
          <w:b/>
          <w:sz w:val="20"/>
          <w:szCs w:val="20"/>
          <w:lang w:val="es-ES"/>
        </w:rPr>
        <w:t xml:space="preserve">Respecto de la </w:t>
      </w:r>
      <w:r w:rsidR="00E959D8" w:rsidRPr="008F799B">
        <w:rPr>
          <w:rFonts w:ascii="Cambria" w:hAnsi="Cambria" w:cs="Calibri Light"/>
          <w:b/>
          <w:sz w:val="20"/>
          <w:szCs w:val="20"/>
          <w:lang w:val="es-ES"/>
        </w:rPr>
        <w:t>tercera</w:t>
      </w:r>
      <w:r w:rsidRPr="008F799B">
        <w:rPr>
          <w:rFonts w:ascii="Cambria" w:hAnsi="Cambria" w:cs="Calibri Light"/>
          <w:b/>
          <w:sz w:val="20"/>
          <w:szCs w:val="20"/>
          <w:lang w:val="es-ES"/>
        </w:rPr>
        <w:t xml:space="preserve"> recomendación</w:t>
      </w:r>
      <w:r w:rsidR="00E959D8" w:rsidRPr="008F799B">
        <w:rPr>
          <w:rFonts w:ascii="Cambria" w:hAnsi="Cambria" w:cs="Calibri Light"/>
          <w:sz w:val="20"/>
          <w:szCs w:val="20"/>
          <w:lang w:val="es-ES"/>
        </w:rPr>
        <w:t>, e</w:t>
      </w:r>
      <w:r w:rsidR="00193C86" w:rsidRPr="008F799B">
        <w:rPr>
          <w:rFonts w:ascii="Cambria" w:hAnsi="Cambria" w:cs="Calibri Light"/>
          <w:sz w:val="20"/>
          <w:szCs w:val="20"/>
          <w:lang w:val="es-ES"/>
        </w:rPr>
        <w:t xml:space="preserve">n 2015, </w:t>
      </w:r>
      <w:r w:rsidR="00E959D8" w:rsidRPr="008F799B">
        <w:rPr>
          <w:rFonts w:ascii="Cambria" w:hAnsi="Cambria"/>
          <w:sz w:val="20"/>
          <w:szCs w:val="20"/>
          <w:lang w:val="es-ES"/>
        </w:rPr>
        <w:t xml:space="preserve">el Estado indicó que en Jamaica se brinda capacitación al personal involucrado en el encarcelamiento y supervisión de los reclusos, y que existe una supervisión constante al respecto con el fin de garantizar el cumplimiento de los estándares de un trato humano. En este sentido, el Estado informó que la </w:t>
      </w:r>
      <w:r w:rsidR="00103974" w:rsidRPr="008F799B">
        <w:rPr>
          <w:rFonts w:ascii="Cambria" w:hAnsi="Cambria"/>
          <w:sz w:val="20"/>
          <w:szCs w:val="20"/>
          <w:lang w:val="es-ES"/>
        </w:rPr>
        <w:t>Unidad de Inspección</w:t>
      </w:r>
      <w:r w:rsidR="00E959D8" w:rsidRPr="008F799B">
        <w:rPr>
          <w:rFonts w:ascii="Cambria" w:hAnsi="Cambria"/>
          <w:sz w:val="20"/>
          <w:szCs w:val="20"/>
          <w:lang w:val="es-ES"/>
        </w:rPr>
        <w:t xml:space="preserve"> del Departamento de Servicios Correccionales brinda capacitación para sensibilizar al personal penitenciario la cual incluye las normas y obligaciones internacionales pertinentes, así como la legislación jamaicana sobre normas de trato humano y restricciones al uso de la fuerza</w:t>
      </w:r>
      <w:r w:rsidR="0019200D" w:rsidRPr="008F799B">
        <w:rPr>
          <w:rStyle w:val="FootnoteReference"/>
          <w:rFonts w:ascii="Cambria" w:hAnsi="Cambria" w:cs="Calibri Light"/>
          <w:sz w:val="20"/>
          <w:szCs w:val="20"/>
          <w:vertAlign w:val="superscript"/>
          <w:lang w:val="es-ES"/>
        </w:rPr>
        <w:footnoteReference w:id="9"/>
      </w:r>
      <w:r w:rsidR="0010294F" w:rsidRPr="008F799B">
        <w:rPr>
          <w:rFonts w:ascii="Cambria" w:hAnsi="Cambria"/>
          <w:sz w:val="20"/>
          <w:szCs w:val="20"/>
          <w:lang w:val="es-ES"/>
        </w:rPr>
        <w:t>.</w:t>
      </w:r>
    </w:p>
    <w:p w:rsidR="00E959D8" w:rsidRPr="008F799B" w:rsidRDefault="00E959D8" w:rsidP="00E959D8">
      <w:pPr>
        <w:spacing w:after="0" w:line="240" w:lineRule="auto"/>
        <w:jc w:val="both"/>
        <w:rPr>
          <w:rFonts w:ascii="Cambria" w:hAnsi="Cambria" w:cs="Calibri Light"/>
          <w:sz w:val="20"/>
          <w:szCs w:val="20"/>
          <w:lang w:val="es-ES"/>
        </w:rPr>
      </w:pPr>
    </w:p>
    <w:p w:rsidR="000A5DFA" w:rsidRPr="008F799B" w:rsidRDefault="000A5DFA" w:rsidP="00A672C8">
      <w:pPr>
        <w:pStyle w:val="ListParagraph"/>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cs="Calibri Light"/>
          <w:sz w:val="20"/>
          <w:szCs w:val="20"/>
          <w:lang w:val="es-ES"/>
        </w:rPr>
        <w:t xml:space="preserve">In 2008, </w:t>
      </w:r>
      <w:r w:rsidR="003356C5" w:rsidRPr="008F799B">
        <w:rPr>
          <w:rFonts w:ascii="Cambria" w:hAnsi="Cambria" w:cs="Calibri Light"/>
          <w:sz w:val="20"/>
          <w:szCs w:val="20"/>
          <w:lang w:val="es-ES"/>
        </w:rPr>
        <w:t>los peticionarios indicaron que</w:t>
      </w:r>
      <w:r w:rsidRPr="008F799B">
        <w:rPr>
          <w:rFonts w:ascii="Cambria" w:hAnsi="Cambria" w:cs="Calibri Light"/>
          <w:sz w:val="20"/>
          <w:szCs w:val="20"/>
          <w:lang w:val="es-ES"/>
        </w:rPr>
        <w:t xml:space="preserve"> </w:t>
      </w:r>
      <w:r w:rsidR="003356C5" w:rsidRPr="008F799B">
        <w:rPr>
          <w:rFonts w:ascii="Cambria" w:hAnsi="Cambria"/>
          <w:sz w:val="20"/>
          <w:szCs w:val="20"/>
          <w:lang w:val="es-ES"/>
        </w:rPr>
        <w:t xml:space="preserve">el Estado de Jamaica no ha realizado ninguna revisión de las prácticas y procedimientos de los funcionarios involucrados en la reclusión y supervisión de reclusos en Jamaica (ni en la prisión del Distrito de Saint Catherine, ni en el </w:t>
      </w:r>
      <w:proofErr w:type="spellStart"/>
      <w:r w:rsidR="003356C5" w:rsidRPr="008F799B">
        <w:rPr>
          <w:rFonts w:ascii="Cambria" w:hAnsi="Cambria"/>
          <w:sz w:val="20"/>
          <w:szCs w:val="20"/>
          <w:lang w:val="es-ES"/>
        </w:rPr>
        <w:t>Horizon</w:t>
      </w:r>
      <w:proofErr w:type="spellEnd"/>
      <w:r w:rsidR="003356C5" w:rsidRPr="008F799B">
        <w:rPr>
          <w:rFonts w:ascii="Cambria" w:hAnsi="Cambria"/>
          <w:sz w:val="20"/>
          <w:szCs w:val="20"/>
          <w:lang w:val="es-ES"/>
        </w:rPr>
        <w:t xml:space="preserve"> </w:t>
      </w:r>
      <w:proofErr w:type="spellStart"/>
      <w:r w:rsidR="003356C5" w:rsidRPr="008F799B">
        <w:rPr>
          <w:rFonts w:ascii="Cambria" w:hAnsi="Cambria"/>
          <w:sz w:val="20"/>
          <w:szCs w:val="20"/>
          <w:lang w:val="es-ES"/>
        </w:rPr>
        <w:t>Remand</w:t>
      </w:r>
      <w:proofErr w:type="spellEnd"/>
      <w:r w:rsidR="003356C5" w:rsidRPr="008F799B">
        <w:rPr>
          <w:rFonts w:ascii="Cambria" w:hAnsi="Cambria"/>
          <w:sz w:val="20"/>
          <w:szCs w:val="20"/>
          <w:lang w:val="es-ES"/>
        </w:rPr>
        <w:t xml:space="preserve"> Centre, al cual el Sr. </w:t>
      </w:r>
      <w:proofErr w:type="spellStart"/>
      <w:r w:rsidR="003356C5" w:rsidRPr="008F799B">
        <w:rPr>
          <w:rFonts w:ascii="Cambria" w:hAnsi="Cambria"/>
          <w:sz w:val="20"/>
          <w:szCs w:val="20"/>
          <w:lang w:val="es-ES"/>
        </w:rPr>
        <w:t>Damion</w:t>
      </w:r>
      <w:proofErr w:type="spellEnd"/>
      <w:r w:rsidR="003356C5" w:rsidRPr="008F799B">
        <w:rPr>
          <w:rFonts w:ascii="Cambria" w:hAnsi="Cambria"/>
          <w:sz w:val="20"/>
          <w:szCs w:val="20"/>
          <w:lang w:val="es-ES"/>
        </w:rPr>
        <w:t xml:space="preserve"> Thomas fue trasladado el 3 de marzo de 2007).  Tampoco tenemos conocimiento de que los funcionarios estén recibiendo capacitación relacionada con el trato humano de los reclusos y las restricciones del uso de la fuerza contra ellos</w:t>
      </w:r>
      <w:r w:rsidR="00565EEC" w:rsidRPr="008F799B">
        <w:rPr>
          <w:rStyle w:val="FootnoteReference"/>
          <w:rFonts w:ascii="Cambria" w:hAnsi="Cambria"/>
          <w:sz w:val="20"/>
          <w:szCs w:val="20"/>
          <w:vertAlign w:val="superscript"/>
          <w:lang w:val="es-ES"/>
        </w:rPr>
        <w:footnoteReference w:id="10"/>
      </w:r>
      <w:r w:rsidR="002F1FC2" w:rsidRPr="008F799B">
        <w:rPr>
          <w:rFonts w:ascii="Cambria" w:hAnsi="Cambria"/>
          <w:sz w:val="20"/>
          <w:szCs w:val="20"/>
          <w:lang w:val="es-ES"/>
        </w:rPr>
        <w:t>.</w:t>
      </w:r>
    </w:p>
    <w:p w:rsidR="00A672C8" w:rsidRPr="008F799B" w:rsidRDefault="00A672C8" w:rsidP="00A672C8">
      <w:pPr>
        <w:pStyle w:val="NoSpacing"/>
        <w:ind w:left="720"/>
        <w:jc w:val="both"/>
        <w:rPr>
          <w:rFonts w:ascii="Cambria" w:hAnsi="Cambria"/>
          <w:sz w:val="20"/>
          <w:szCs w:val="20"/>
          <w:highlight w:val="yellow"/>
          <w:lang w:val="es-ES"/>
        </w:rPr>
      </w:pPr>
    </w:p>
    <w:p w:rsidR="00221270" w:rsidRPr="008F799B" w:rsidRDefault="00221270" w:rsidP="00221270">
      <w:pPr>
        <w:pStyle w:val="NoSpacing"/>
        <w:numPr>
          <w:ilvl w:val="0"/>
          <w:numId w:val="14"/>
        </w:numPr>
        <w:ind w:left="0" w:firstLine="720"/>
        <w:jc w:val="both"/>
        <w:rPr>
          <w:rFonts w:ascii="Cambria" w:hAnsi="Cambria"/>
          <w:sz w:val="20"/>
          <w:szCs w:val="20"/>
          <w:lang w:val="es-ES"/>
        </w:rPr>
      </w:pPr>
      <w:r w:rsidRPr="008F799B">
        <w:rPr>
          <w:rFonts w:ascii="Cambria" w:hAnsi="Cambria"/>
          <w:sz w:val="20"/>
          <w:szCs w:val="20"/>
          <w:lang w:val="es-ES"/>
        </w:rPr>
        <w:t>La CIDH valora las acciones adoptadas por el Estado para cumplir con esta recomendación, en particular, la provisión de capacitación por parte de la Unidad de Inspección del Departamento de Servicios Correccionales al personal penitenciario sobre las normas y obligaciones de derechos humanos. Al mismo tiempo, la Comisión observa que no ha recibido información actualizada sobre las medidas adoptadas por el Estado para cumplir con esta recomendación desde 2015 e invita a las partes a presentar esta información a la CIDH. Sobre esta base, la Comisión considera que la Recomendación 3 está parcialmente cumplida.</w:t>
      </w:r>
    </w:p>
    <w:p w:rsidR="003F0DF7" w:rsidRPr="008F799B" w:rsidRDefault="003F0DF7" w:rsidP="003F0DF7">
      <w:pPr>
        <w:pStyle w:val="NoSpacing"/>
        <w:jc w:val="both"/>
        <w:rPr>
          <w:rFonts w:ascii="Cambria" w:hAnsi="Cambria"/>
          <w:sz w:val="20"/>
          <w:szCs w:val="20"/>
          <w:highlight w:val="yellow"/>
          <w:lang w:val="es-ES"/>
        </w:rPr>
      </w:pPr>
    </w:p>
    <w:p w:rsidR="00ED7CA2" w:rsidRPr="008F799B" w:rsidRDefault="00C844B0" w:rsidP="00EE69E2">
      <w:pPr>
        <w:pStyle w:val="Default"/>
        <w:numPr>
          <w:ilvl w:val="0"/>
          <w:numId w:val="14"/>
        </w:numPr>
        <w:ind w:left="0" w:firstLine="720"/>
        <w:jc w:val="both"/>
        <w:rPr>
          <w:color w:val="auto"/>
          <w:sz w:val="20"/>
          <w:szCs w:val="20"/>
          <w:lang w:val="es-ES"/>
        </w:rPr>
      </w:pPr>
      <w:r w:rsidRPr="008F799B">
        <w:rPr>
          <w:rFonts w:cs="Calibri Light"/>
          <w:b/>
          <w:color w:val="auto"/>
          <w:sz w:val="20"/>
          <w:szCs w:val="20"/>
          <w:lang w:val="es-ES"/>
        </w:rPr>
        <w:t>Respecto de la cuarta recomendación</w:t>
      </w:r>
      <w:r w:rsidR="003F0DF7" w:rsidRPr="008F799B">
        <w:rPr>
          <w:rFonts w:cs="Calibri Light"/>
          <w:color w:val="auto"/>
          <w:sz w:val="20"/>
          <w:szCs w:val="20"/>
          <w:lang w:val="es-ES"/>
        </w:rPr>
        <w:t xml:space="preserve">, </w:t>
      </w:r>
      <w:r w:rsidR="00992CC6" w:rsidRPr="008F799B">
        <w:rPr>
          <w:rFonts w:cs="Calibri Light"/>
          <w:color w:val="auto"/>
          <w:sz w:val="20"/>
          <w:szCs w:val="20"/>
          <w:lang w:val="es-ES"/>
        </w:rPr>
        <w:t>en 2015, el Estado</w:t>
      </w:r>
      <w:r w:rsidR="003F0DF7" w:rsidRPr="008F799B">
        <w:rPr>
          <w:rFonts w:cs="Calibri Light"/>
          <w:color w:val="auto"/>
          <w:sz w:val="20"/>
          <w:szCs w:val="20"/>
          <w:lang w:val="es-ES"/>
        </w:rPr>
        <w:t xml:space="preserve"> </w:t>
      </w:r>
      <w:r w:rsidR="00992CC6" w:rsidRPr="008F799B">
        <w:rPr>
          <w:color w:val="auto"/>
          <w:sz w:val="20"/>
          <w:szCs w:val="20"/>
          <w:lang w:val="es-ES"/>
        </w:rPr>
        <w:t>indicó que existen distintos mecanismos para investigar y monitorear las denuncias o quejas realizadas por los detenidos; en este sentido determinó que dichas denuncias se pueden hacer ante el Superintendente del centro de detención en el cual se encuentra, el cual está obligado a investigar. De la misma forma, señaló como otras autoridades competentes para investigar dichas denuncias, al Departamento de Servicios Correccionales, en algunos casos la fuerza de policía; la Unidad de Inspección del Ministerio de Seguridad Nacional el cual investiga incidentes en los centro correccionales y puede recomendar acciones disciplinarias en contra de los oficiales, sub Comité Parlamentario que revisa el sistema de detención y sus políticas, el Defensor Público como una comisión independiente del Parlamento y la Comisión Independiente de Investigación INDECOM, la cual recibe denuncias de cualquier persona en relación a los oficiales correc</w:t>
      </w:r>
      <w:r w:rsidR="00E83A5F" w:rsidRPr="008F799B">
        <w:rPr>
          <w:color w:val="auto"/>
          <w:sz w:val="20"/>
          <w:szCs w:val="20"/>
          <w:lang w:val="es-ES"/>
        </w:rPr>
        <w:t>cionales</w:t>
      </w:r>
      <w:r w:rsidR="0019200D" w:rsidRPr="008F799B">
        <w:rPr>
          <w:rStyle w:val="FootnoteReference"/>
          <w:rFonts w:cs="Calibri Light"/>
          <w:color w:val="auto"/>
          <w:sz w:val="20"/>
          <w:szCs w:val="20"/>
          <w:vertAlign w:val="superscript"/>
          <w:lang w:val="es-ES"/>
        </w:rPr>
        <w:footnoteReference w:id="11"/>
      </w:r>
      <w:r w:rsidR="00E83A5F" w:rsidRPr="008F799B">
        <w:rPr>
          <w:color w:val="auto"/>
          <w:sz w:val="20"/>
          <w:szCs w:val="20"/>
          <w:lang w:val="es-ES"/>
        </w:rPr>
        <w:t>.</w:t>
      </w:r>
    </w:p>
    <w:p w:rsidR="00ED7CA2" w:rsidRPr="008F799B" w:rsidRDefault="00ED7CA2" w:rsidP="00ED7CA2">
      <w:pPr>
        <w:pStyle w:val="ListParagraph"/>
        <w:rPr>
          <w:rFonts w:ascii="Cambria" w:hAnsi="Cambria" w:cs="Calibri Light"/>
          <w:sz w:val="20"/>
          <w:szCs w:val="20"/>
          <w:lang w:val="es-ES"/>
        </w:rPr>
      </w:pPr>
    </w:p>
    <w:p w:rsidR="002945EE" w:rsidRPr="008F799B" w:rsidRDefault="003356C5" w:rsidP="002945EE">
      <w:pPr>
        <w:pStyle w:val="ListParagraph"/>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cs="Calibri Light"/>
          <w:sz w:val="20"/>
          <w:szCs w:val="20"/>
          <w:lang w:val="es-ES"/>
        </w:rPr>
        <w:t>E</w:t>
      </w:r>
      <w:r w:rsidR="00ED7CA2" w:rsidRPr="008F799B">
        <w:rPr>
          <w:rFonts w:ascii="Cambria" w:hAnsi="Cambria" w:cs="Calibri Light"/>
          <w:sz w:val="20"/>
          <w:szCs w:val="20"/>
          <w:lang w:val="es-ES"/>
        </w:rPr>
        <w:t xml:space="preserve">n 2008, </w:t>
      </w:r>
      <w:r w:rsidR="00150B3B" w:rsidRPr="008F799B">
        <w:rPr>
          <w:rFonts w:ascii="Cambria" w:hAnsi="Cambria" w:cs="Calibri Light"/>
          <w:sz w:val="20"/>
          <w:szCs w:val="20"/>
          <w:lang w:val="es-ES"/>
        </w:rPr>
        <w:t>los peticionarios indicaron que el Estado de</w:t>
      </w:r>
      <w:r w:rsidR="00150B3B" w:rsidRPr="008F799B">
        <w:rPr>
          <w:rFonts w:ascii="Cambria" w:hAnsi="Cambria"/>
          <w:sz w:val="20"/>
          <w:szCs w:val="20"/>
          <w:lang w:val="es-ES"/>
        </w:rPr>
        <w:t xml:space="preserve"> Jamaica no ha realizado ninguna revisión de las prácticas y procedimientos a través de los cuales los reclusos pueden presentar denuncias en relación con un presunto maltrato o sobre sus condiciones de detención.</w:t>
      </w:r>
      <w:r w:rsidR="00ED7CA2" w:rsidRPr="008F799B">
        <w:rPr>
          <w:rFonts w:ascii="Cambria" w:hAnsi="Cambria" w:cs="Calibri Light"/>
          <w:sz w:val="20"/>
          <w:szCs w:val="20"/>
          <w:lang w:val="es-ES"/>
        </w:rPr>
        <w:t xml:space="preserve"> </w:t>
      </w:r>
      <w:r w:rsidR="00150B3B" w:rsidRPr="008F799B">
        <w:rPr>
          <w:rFonts w:ascii="Cambria" w:hAnsi="Cambria" w:cs="Calibri Light"/>
          <w:sz w:val="20"/>
          <w:szCs w:val="20"/>
          <w:lang w:val="es-ES"/>
        </w:rPr>
        <w:t xml:space="preserve">Los peticionarios manifestaron que, en su criterio, </w:t>
      </w:r>
      <w:r w:rsidR="00150B3B" w:rsidRPr="008F799B">
        <w:rPr>
          <w:rFonts w:ascii="Cambria" w:hAnsi="Cambria"/>
          <w:sz w:val="20"/>
          <w:szCs w:val="20"/>
          <w:lang w:val="es-ES"/>
        </w:rPr>
        <w:t>las denuncias de maltrato presentadas por los reclusos jamaicanos, o las denuncias sobre sus condiciones de detención, aún no son adecuadamente investigadas y resueltas</w:t>
      </w:r>
      <w:r w:rsidR="00565EEC" w:rsidRPr="008F799B">
        <w:rPr>
          <w:rStyle w:val="FootnoteReference"/>
          <w:rFonts w:ascii="Cambria" w:hAnsi="Cambria" w:cs="Calibri Light"/>
          <w:sz w:val="20"/>
          <w:szCs w:val="20"/>
          <w:vertAlign w:val="superscript"/>
          <w:lang w:val="es-ES"/>
        </w:rPr>
        <w:footnoteReference w:id="12"/>
      </w:r>
      <w:r w:rsidR="00150B3B" w:rsidRPr="008F799B">
        <w:rPr>
          <w:rFonts w:ascii="Cambria" w:hAnsi="Cambria"/>
          <w:sz w:val="20"/>
          <w:szCs w:val="20"/>
          <w:lang w:val="es-ES"/>
        </w:rPr>
        <w:t>.</w:t>
      </w:r>
    </w:p>
    <w:p w:rsidR="002945EE" w:rsidRPr="008F799B" w:rsidRDefault="002945EE" w:rsidP="002945EE">
      <w:pPr>
        <w:pStyle w:val="ListParagraph"/>
        <w:rPr>
          <w:rFonts w:ascii="Cambria" w:hAnsi="Cambria" w:cs="Calibri Light"/>
          <w:sz w:val="20"/>
          <w:szCs w:val="20"/>
          <w:lang w:val="es-ES"/>
        </w:rPr>
      </w:pPr>
    </w:p>
    <w:p w:rsidR="00EE69E2" w:rsidRPr="008F799B" w:rsidRDefault="00EE69E2" w:rsidP="00EE69E2">
      <w:pPr>
        <w:pStyle w:val="ListParagraph"/>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sz w:val="20"/>
          <w:szCs w:val="20"/>
          <w:lang w:val="es-ES"/>
        </w:rPr>
        <w:t>La Comisión toma nota de la información presentada por el Estado sobre los mecanismos establecidos para que los reclusos presenten quejas. Al mismo tiempo, la Comisión observa que no ha recibido información actualizada sobre las medidas adoptadas por el Estado para cumplir con esta recomendación desde 2015, e invita a las partes a presentar esta información a la CIDH. Sobre esta base, la Comisión considera que la Recomendación 4 está parcialmente cumplida.</w:t>
      </w:r>
    </w:p>
    <w:p w:rsidR="00733A9E" w:rsidRPr="008F799B" w:rsidRDefault="00733A9E" w:rsidP="00356334">
      <w:pPr>
        <w:spacing w:after="0" w:line="240" w:lineRule="auto"/>
        <w:rPr>
          <w:rFonts w:ascii="Cambria" w:hAnsi="Cambria"/>
          <w:sz w:val="20"/>
          <w:szCs w:val="20"/>
          <w:lang w:val="es-ES"/>
        </w:rPr>
      </w:pPr>
    </w:p>
    <w:p w:rsidR="00356334" w:rsidRPr="008F799B" w:rsidRDefault="00C844B0" w:rsidP="00C844B0">
      <w:pPr>
        <w:numPr>
          <w:ilvl w:val="0"/>
          <w:numId w:val="1"/>
        </w:numPr>
        <w:spacing w:after="0" w:line="240" w:lineRule="auto"/>
        <w:ind w:left="1440"/>
        <w:jc w:val="both"/>
        <w:rPr>
          <w:rFonts w:ascii="Cambria" w:hAnsi="Cambria" w:cs="Calibri Light"/>
          <w:b/>
          <w:sz w:val="20"/>
          <w:szCs w:val="20"/>
          <w:lang w:val="es-ES"/>
        </w:rPr>
      </w:pPr>
      <w:r w:rsidRPr="008F799B">
        <w:rPr>
          <w:rFonts w:ascii="Cambria" w:hAnsi="Cambria" w:cs="Calibri Light"/>
          <w:b/>
          <w:sz w:val="20"/>
          <w:szCs w:val="20"/>
          <w:lang w:val="es-ES"/>
        </w:rPr>
        <w:t>Nivel del cumplimiento del caso</w:t>
      </w:r>
    </w:p>
    <w:p w:rsidR="00356334" w:rsidRPr="008F799B" w:rsidRDefault="00356334" w:rsidP="00356334">
      <w:pPr>
        <w:spacing w:after="0" w:line="240" w:lineRule="auto"/>
        <w:jc w:val="both"/>
        <w:rPr>
          <w:rFonts w:ascii="Cambria" w:hAnsi="Cambria" w:cs="Calibri Light"/>
          <w:sz w:val="20"/>
          <w:szCs w:val="20"/>
          <w:lang w:val="es-ES"/>
        </w:rPr>
      </w:pPr>
    </w:p>
    <w:p w:rsidR="00CB46BE" w:rsidRPr="008F799B" w:rsidRDefault="00DA4A35" w:rsidP="00CB46BE">
      <w:pPr>
        <w:pStyle w:val="ListParagraph"/>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cs="Calibri Light"/>
          <w:sz w:val="20"/>
          <w:szCs w:val="20"/>
          <w:lang w:val="es-ES"/>
        </w:rPr>
        <w:t>Por lo anterior, la Comisión concluye que el nivel de cumplimiento del caso es parcial. En consecuencia, la CIDH seguirá supervisando el cumplimiento de las Recomendaciones 1, 2, 3 y 4</w:t>
      </w:r>
      <w:r w:rsidR="00790D0D" w:rsidRPr="008F799B">
        <w:rPr>
          <w:rFonts w:ascii="Cambria" w:hAnsi="Cambria" w:cs="Calibri Light"/>
          <w:sz w:val="20"/>
          <w:szCs w:val="20"/>
          <w:lang w:val="es-ES"/>
        </w:rPr>
        <w:t xml:space="preserve">.  </w:t>
      </w:r>
    </w:p>
    <w:p w:rsidR="00CB46BE" w:rsidRPr="008F799B" w:rsidRDefault="00CB46BE" w:rsidP="00CB46BE">
      <w:pPr>
        <w:pStyle w:val="ListParagraph"/>
        <w:spacing w:after="0" w:line="240" w:lineRule="auto"/>
        <w:jc w:val="both"/>
        <w:rPr>
          <w:rFonts w:ascii="Cambria" w:hAnsi="Cambria" w:cs="Calibri Light"/>
          <w:sz w:val="20"/>
          <w:szCs w:val="20"/>
          <w:lang w:val="es-ES"/>
        </w:rPr>
      </w:pPr>
    </w:p>
    <w:p w:rsidR="00790D0D" w:rsidRPr="008F799B" w:rsidRDefault="00DA4A35" w:rsidP="00CB46BE">
      <w:pPr>
        <w:pStyle w:val="ListParagraph"/>
        <w:numPr>
          <w:ilvl w:val="0"/>
          <w:numId w:val="14"/>
        </w:numPr>
        <w:spacing w:after="0" w:line="240" w:lineRule="auto"/>
        <w:ind w:left="0" w:firstLine="720"/>
        <w:jc w:val="both"/>
        <w:rPr>
          <w:rFonts w:ascii="Cambria" w:hAnsi="Cambria" w:cs="Calibri Light"/>
          <w:sz w:val="20"/>
          <w:szCs w:val="20"/>
          <w:lang w:val="es-ES"/>
        </w:rPr>
      </w:pPr>
      <w:r w:rsidRPr="008F799B">
        <w:rPr>
          <w:rFonts w:ascii="Cambria" w:hAnsi="Cambria" w:cs="Calibri Light"/>
          <w:sz w:val="20"/>
          <w:szCs w:val="20"/>
          <w:lang w:val="es-ES"/>
        </w:rPr>
        <w:t>La Comisión invita al Estado a adoptar acciones para cumplir con las recomendaciones emitidas en el Informe de Fondo Nº 50/01 y a proporcionar información sobre dichas acciones</w:t>
      </w:r>
      <w:r w:rsidR="00790D0D" w:rsidRPr="008F799B">
        <w:rPr>
          <w:rFonts w:ascii="Cambria" w:hAnsi="Cambria" w:cs="Calibri Light"/>
          <w:sz w:val="20"/>
          <w:szCs w:val="20"/>
          <w:lang w:val="es-ES"/>
        </w:rPr>
        <w:t xml:space="preserve">. </w:t>
      </w:r>
      <w:r w:rsidRPr="008F799B">
        <w:rPr>
          <w:rFonts w:ascii="Cambria" w:hAnsi="Cambria" w:cs="Calibri Light"/>
          <w:sz w:val="20"/>
          <w:szCs w:val="20"/>
          <w:lang w:val="es-ES"/>
        </w:rPr>
        <w:t xml:space="preserve">Igualmente, la Comisión invita a los peticionarios a presentar información sobre el cumplimiento de las recomendaciones por parte del Estado. </w:t>
      </w:r>
    </w:p>
    <w:p w:rsidR="00356334" w:rsidRPr="008F799B" w:rsidRDefault="00356334" w:rsidP="00356334">
      <w:pPr>
        <w:spacing w:after="0" w:line="240" w:lineRule="auto"/>
        <w:rPr>
          <w:rFonts w:ascii="Cambria" w:hAnsi="Cambria"/>
          <w:sz w:val="20"/>
          <w:szCs w:val="20"/>
          <w:lang w:val="es-ES"/>
        </w:rPr>
      </w:pPr>
    </w:p>
    <w:p w:rsidR="00356334" w:rsidRPr="008F799B" w:rsidRDefault="00C844B0" w:rsidP="00324CA1">
      <w:pPr>
        <w:pStyle w:val="ListParagraph"/>
        <w:numPr>
          <w:ilvl w:val="0"/>
          <w:numId w:val="1"/>
        </w:numPr>
        <w:spacing w:after="0" w:line="240" w:lineRule="auto"/>
        <w:ind w:left="1440"/>
        <w:rPr>
          <w:rFonts w:ascii="Cambria" w:hAnsi="Cambria"/>
          <w:b/>
          <w:sz w:val="20"/>
          <w:szCs w:val="20"/>
          <w:lang w:val="es-ES"/>
        </w:rPr>
      </w:pPr>
      <w:r w:rsidRPr="008F799B">
        <w:rPr>
          <w:rFonts w:ascii="Cambria" w:hAnsi="Cambria"/>
          <w:b/>
          <w:sz w:val="20"/>
          <w:szCs w:val="20"/>
          <w:lang w:val="es-ES"/>
        </w:rPr>
        <w:t>Resultados individuales y estructurales del caso</w:t>
      </w:r>
    </w:p>
    <w:p w:rsidR="00356334" w:rsidRPr="008F799B" w:rsidRDefault="00356334" w:rsidP="00356334">
      <w:pPr>
        <w:spacing w:after="0" w:line="240" w:lineRule="auto"/>
        <w:rPr>
          <w:rFonts w:ascii="Cambria" w:hAnsi="Cambria"/>
          <w:b/>
          <w:sz w:val="20"/>
          <w:szCs w:val="20"/>
          <w:lang w:val="es-ES"/>
        </w:rPr>
      </w:pPr>
    </w:p>
    <w:p w:rsidR="00202CF5" w:rsidRPr="008F799B" w:rsidRDefault="00293502" w:rsidP="00202CF5">
      <w:pPr>
        <w:pStyle w:val="ListParagraph"/>
        <w:numPr>
          <w:ilvl w:val="0"/>
          <w:numId w:val="14"/>
        </w:numPr>
        <w:spacing w:after="0" w:line="240" w:lineRule="auto"/>
        <w:ind w:left="0" w:firstLine="720"/>
        <w:jc w:val="both"/>
        <w:rPr>
          <w:rFonts w:ascii="Cambria" w:hAnsi="Cambria"/>
          <w:sz w:val="20"/>
          <w:szCs w:val="20"/>
          <w:lang w:val="es-ES"/>
        </w:rPr>
      </w:pPr>
      <w:r w:rsidRPr="008F799B">
        <w:rPr>
          <w:rFonts w:ascii="Cambria" w:hAnsi="Cambria" w:cs="Calibri Light"/>
          <w:sz w:val="20"/>
          <w:szCs w:val="20"/>
          <w:lang w:val="es-ES"/>
        </w:rPr>
        <w:t>En esta sección se destacan los resultados individuales y estructurales del caso informados por las partes.</w:t>
      </w:r>
    </w:p>
    <w:p w:rsidR="00202CF5" w:rsidRPr="008F799B" w:rsidRDefault="00202CF5" w:rsidP="00356334">
      <w:pPr>
        <w:spacing w:after="0" w:line="240" w:lineRule="auto"/>
        <w:rPr>
          <w:rFonts w:ascii="Cambria" w:hAnsi="Cambria"/>
          <w:b/>
          <w:sz w:val="20"/>
          <w:szCs w:val="20"/>
          <w:lang w:val="es-ES"/>
        </w:rPr>
      </w:pPr>
    </w:p>
    <w:p w:rsidR="00356334" w:rsidRPr="008F799B" w:rsidRDefault="00C844B0" w:rsidP="00C844B0">
      <w:pPr>
        <w:pStyle w:val="ListParagraph"/>
        <w:numPr>
          <w:ilvl w:val="0"/>
          <w:numId w:val="22"/>
        </w:numPr>
        <w:spacing w:after="0" w:line="240" w:lineRule="auto"/>
        <w:ind w:left="1440" w:hanging="720"/>
        <w:jc w:val="both"/>
        <w:rPr>
          <w:rFonts w:ascii="Cambria" w:hAnsi="Cambria"/>
          <w:b/>
          <w:sz w:val="20"/>
          <w:szCs w:val="20"/>
          <w:lang w:val="es-ES"/>
        </w:rPr>
      </w:pPr>
      <w:r w:rsidRPr="008F799B">
        <w:rPr>
          <w:rFonts w:ascii="Cambria" w:hAnsi="Cambria"/>
          <w:b/>
          <w:sz w:val="20"/>
          <w:szCs w:val="20"/>
          <w:lang w:val="es-ES"/>
        </w:rPr>
        <w:t>Resultados individuales del caso</w:t>
      </w:r>
    </w:p>
    <w:p w:rsidR="00356334" w:rsidRPr="008F799B" w:rsidRDefault="00356334" w:rsidP="00356334">
      <w:pPr>
        <w:spacing w:after="0" w:line="240" w:lineRule="auto"/>
        <w:rPr>
          <w:rFonts w:ascii="Cambria" w:hAnsi="Cambria"/>
          <w:b/>
          <w:sz w:val="20"/>
          <w:szCs w:val="20"/>
          <w:lang w:val="es-ES"/>
        </w:rPr>
      </w:pPr>
    </w:p>
    <w:p w:rsidR="00356334" w:rsidRPr="008F799B" w:rsidRDefault="00475471" w:rsidP="00356334">
      <w:pPr>
        <w:pStyle w:val="ListParagraph"/>
        <w:numPr>
          <w:ilvl w:val="0"/>
          <w:numId w:val="3"/>
        </w:numPr>
        <w:spacing w:after="0" w:line="240" w:lineRule="auto"/>
        <w:rPr>
          <w:rFonts w:ascii="Cambria" w:hAnsi="Cambria"/>
          <w:sz w:val="20"/>
          <w:szCs w:val="20"/>
          <w:lang w:val="es-ES"/>
        </w:rPr>
      </w:pPr>
      <w:r w:rsidRPr="008F799B">
        <w:rPr>
          <w:rFonts w:ascii="Cambria" w:hAnsi="Cambria" w:cs="Calibri Light"/>
          <w:sz w:val="20"/>
          <w:szCs w:val="20"/>
          <w:lang w:val="es-ES"/>
        </w:rPr>
        <w:t>No hay resultados individuales informados por las partes</w:t>
      </w:r>
      <w:r w:rsidR="00202CF5" w:rsidRPr="008F799B">
        <w:rPr>
          <w:rFonts w:ascii="Cambria" w:hAnsi="Cambria"/>
          <w:sz w:val="20"/>
          <w:szCs w:val="20"/>
          <w:lang w:val="es-ES"/>
        </w:rPr>
        <w:t xml:space="preserve">. </w:t>
      </w:r>
    </w:p>
    <w:p w:rsidR="00356334" w:rsidRPr="008F799B" w:rsidRDefault="00356334" w:rsidP="00356334">
      <w:pPr>
        <w:spacing w:after="0" w:line="240" w:lineRule="auto"/>
        <w:rPr>
          <w:rFonts w:ascii="Cambria" w:hAnsi="Cambria"/>
          <w:sz w:val="20"/>
          <w:szCs w:val="20"/>
          <w:lang w:val="es-ES"/>
        </w:rPr>
      </w:pPr>
    </w:p>
    <w:p w:rsidR="00356334" w:rsidRPr="008F799B" w:rsidRDefault="00C844B0" w:rsidP="00AB70E8">
      <w:pPr>
        <w:pStyle w:val="ListParagraph"/>
        <w:numPr>
          <w:ilvl w:val="0"/>
          <w:numId w:val="22"/>
        </w:numPr>
        <w:spacing w:after="0" w:line="240" w:lineRule="auto"/>
        <w:ind w:left="1440" w:hanging="720"/>
        <w:jc w:val="both"/>
        <w:rPr>
          <w:rFonts w:ascii="Cambria" w:hAnsi="Cambria"/>
          <w:b/>
          <w:sz w:val="20"/>
          <w:szCs w:val="20"/>
          <w:lang w:val="es-ES"/>
        </w:rPr>
      </w:pPr>
      <w:r w:rsidRPr="008F799B">
        <w:rPr>
          <w:rFonts w:ascii="Cambria" w:hAnsi="Cambria"/>
          <w:b/>
          <w:sz w:val="20"/>
          <w:szCs w:val="20"/>
          <w:lang w:val="es-ES"/>
        </w:rPr>
        <w:t>Resultados estructurales del caso</w:t>
      </w:r>
    </w:p>
    <w:p w:rsidR="00C844B0" w:rsidRPr="008F799B" w:rsidRDefault="00C844B0" w:rsidP="00C844B0">
      <w:pPr>
        <w:pStyle w:val="ListParagraph"/>
        <w:spacing w:after="0" w:line="240" w:lineRule="auto"/>
        <w:ind w:left="1440"/>
        <w:jc w:val="both"/>
        <w:rPr>
          <w:rFonts w:ascii="Cambria" w:hAnsi="Cambria"/>
          <w:b/>
          <w:sz w:val="20"/>
          <w:szCs w:val="20"/>
          <w:lang w:val="es-ES"/>
        </w:rPr>
      </w:pPr>
    </w:p>
    <w:p w:rsidR="00202CF5" w:rsidRPr="008F799B" w:rsidRDefault="002A59BA" w:rsidP="00AB70E8">
      <w:pPr>
        <w:spacing w:after="0" w:line="240" w:lineRule="auto"/>
        <w:jc w:val="both"/>
        <w:rPr>
          <w:rFonts w:ascii="Cambria" w:hAnsi="Cambria"/>
          <w:i/>
          <w:sz w:val="20"/>
          <w:szCs w:val="20"/>
          <w:lang w:val="es-ES"/>
        </w:rPr>
      </w:pPr>
      <w:r w:rsidRPr="008F799B">
        <w:rPr>
          <w:rFonts w:ascii="Cambria" w:hAnsi="Cambria"/>
          <w:i/>
          <w:sz w:val="20"/>
          <w:szCs w:val="20"/>
          <w:lang w:val="es-ES"/>
        </w:rPr>
        <w:t>Fortalecimiento institucional</w:t>
      </w:r>
    </w:p>
    <w:p w:rsidR="004B5CCB" w:rsidRPr="008F799B" w:rsidRDefault="00202CF5" w:rsidP="002A59BA">
      <w:pPr>
        <w:pStyle w:val="ListParagraph"/>
        <w:numPr>
          <w:ilvl w:val="0"/>
          <w:numId w:val="3"/>
        </w:numPr>
        <w:spacing w:after="0" w:line="240" w:lineRule="auto"/>
        <w:jc w:val="both"/>
        <w:rPr>
          <w:rFonts w:ascii="Cambria" w:hAnsi="Cambria"/>
          <w:sz w:val="20"/>
          <w:szCs w:val="20"/>
          <w:lang w:val="es-ES"/>
        </w:rPr>
      </w:pPr>
      <w:r w:rsidRPr="008F799B">
        <w:rPr>
          <w:rFonts w:ascii="Cambria" w:hAnsi="Cambria"/>
          <w:sz w:val="20"/>
          <w:szCs w:val="20"/>
          <w:lang w:val="es-ES"/>
        </w:rPr>
        <w:t>P</w:t>
      </w:r>
      <w:r w:rsidR="002A59BA" w:rsidRPr="008F799B">
        <w:rPr>
          <w:rFonts w:ascii="Cambria" w:hAnsi="Cambria"/>
          <w:sz w:val="20"/>
          <w:szCs w:val="20"/>
          <w:lang w:val="es-ES"/>
        </w:rPr>
        <w:t>rovisió</w:t>
      </w:r>
      <w:r w:rsidR="005F4E3A" w:rsidRPr="008F799B">
        <w:rPr>
          <w:rFonts w:ascii="Cambria" w:hAnsi="Cambria"/>
          <w:sz w:val="20"/>
          <w:szCs w:val="20"/>
          <w:lang w:val="es-ES"/>
        </w:rPr>
        <w:t xml:space="preserve">n </w:t>
      </w:r>
      <w:r w:rsidR="002A59BA" w:rsidRPr="008F799B">
        <w:rPr>
          <w:rFonts w:ascii="Cambria" w:hAnsi="Cambria"/>
          <w:sz w:val="20"/>
          <w:szCs w:val="20"/>
          <w:lang w:val="es-ES"/>
        </w:rPr>
        <w:t xml:space="preserve">de capacitación a por parte de la Unidad de Inspección del Departamento de Servicios Correccionales al personal penitenciario en relación con los estándares y obligaciones de derechos humanos. </w:t>
      </w:r>
    </w:p>
    <w:p w:rsidR="004B5CCB" w:rsidRPr="008F799B" w:rsidRDefault="004B5CCB">
      <w:pPr>
        <w:rPr>
          <w:rFonts w:ascii="Cambria" w:hAnsi="Cambria"/>
          <w:sz w:val="20"/>
          <w:szCs w:val="20"/>
          <w:lang w:val="es-ES"/>
        </w:rPr>
      </w:pPr>
    </w:p>
    <w:p w:rsidR="004B5CCB" w:rsidRPr="008F799B" w:rsidRDefault="004B5CCB">
      <w:pPr>
        <w:rPr>
          <w:rFonts w:ascii="Cambria" w:hAnsi="Cambria"/>
          <w:sz w:val="20"/>
          <w:szCs w:val="20"/>
          <w:lang w:val="es-ES"/>
        </w:rPr>
      </w:pPr>
    </w:p>
    <w:p w:rsidR="004B5CCB" w:rsidRPr="008F799B" w:rsidRDefault="004B5CCB">
      <w:pPr>
        <w:rPr>
          <w:rFonts w:ascii="Cambria" w:hAnsi="Cambria"/>
          <w:sz w:val="20"/>
          <w:szCs w:val="20"/>
          <w:lang w:val="es-ES"/>
        </w:rPr>
      </w:pPr>
    </w:p>
    <w:p w:rsidR="004B5CCB" w:rsidRPr="008F799B" w:rsidRDefault="004B5CCB">
      <w:pPr>
        <w:rPr>
          <w:rFonts w:ascii="Cambria" w:hAnsi="Cambria"/>
          <w:sz w:val="20"/>
          <w:szCs w:val="20"/>
          <w:lang w:val="es-ES"/>
        </w:rPr>
      </w:pPr>
    </w:p>
    <w:bookmarkEnd w:id="0"/>
    <w:p w:rsidR="004B5CCB" w:rsidRPr="008F799B" w:rsidRDefault="004B5CCB">
      <w:pPr>
        <w:rPr>
          <w:rFonts w:ascii="Cambria" w:hAnsi="Cambria"/>
          <w:sz w:val="20"/>
          <w:szCs w:val="20"/>
          <w:lang w:val="es-ES"/>
        </w:rPr>
      </w:pPr>
    </w:p>
    <w:sectPr w:rsidR="004B5CCB" w:rsidRPr="008F799B" w:rsidSect="005C55F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262" w:rsidRDefault="00544262" w:rsidP="00102E8B">
      <w:pPr>
        <w:spacing w:after="0" w:line="240" w:lineRule="auto"/>
      </w:pPr>
      <w:r>
        <w:separator/>
      </w:r>
    </w:p>
  </w:endnote>
  <w:endnote w:type="continuationSeparator" w:id="0">
    <w:p w:rsidR="00544262" w:rsidRDefault="00544262" w:rsidP="00102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F1" w:rsidRDefault="005C55F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324" w:rsidRPr="00887324" w:rsidRDefault="00887324">
    <w:pPr>
      <w:pStyle w:val="Footer"/>
      <w:jc w:val="center"/>
      <w:rPr>
        <w:sz w:val="16"/>
        <w:szCs w:val="16"/>
      </w:rPr>
    </w:pPr>
    <w:r w:rsidRPr="00887324">
      <w:rPr>
        <w:sz w:val="16"/>
        <w:szCs w:val="16"/>
      </w:rPr>
      <w:fldChar w:fldCharType="begin"/>
    </w:r>
    <w:r w:rsidRPr="00887324">
      <w:rPr>
        <w:sz w:val="16"/>
        <w:szCs w:val="16"/>
      </w:rPr>
      <w:instrText xml:space="preserve"> PAGE   \* MERGEFORMAT </w:instrText>
    </w:r>
    <w:r w:rsidRPr="00887324">
      <w:rPr>
        <w:sz w:val="16"/>
        <w:szCs w:val="16"/>
      </w:rPr>
      <w:fldChar w:fldCharType="separate"/>
    </w:r>
    <w:r w:rsidR="008F799B">
      <w:rPr>
        <w:noProof/>
        <w:sz w:val="16"/>
        <w:szCs w:val="16"/>
      </w:rPr>
      <w:t>4</w:t>
    </w:r>
    <w:r w:rsidRPr="00887324">
      <w:rPr>
        <w:noProof/>
        <w:sz w:val="16"/>
        <w:szCs w:val="16"/>
      </w:rPr>
      <w:fldChar w:fldCharType="end"/>
    </w:r>
  </w:p>
  <w:p w:rsidR="00887324" w:rsidRDefault="0088732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F1" w:rsidRDefault="005C55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262" w:rsidRDefault="00544262" w:rsidP="00102E8B">
      <w:pPr>
        <w:spacing w:after="0" w:line="240" w:lineRule="auto"/>
      </w:pPr>
      <w:r>
        <w:separator/>
      </w:r>
    </w:p>
  </w:footnote>
  <w:footnote w:type="continuationSeparator" w:id="0">
    <w:p w:rsidR="00544262" w:rsidRDefault="00544262" w:rsidP="00102E8B">
      <w:pPr>
        <w:spacing w:after="0" w:line="240" w:lineRule="auto"/>
      </w:pPr>
      <w:r>
        <w:continuationSeparator/>
      </w:r>
    </w:p>
  </w:footnote>
  <w:footnote w:id="1">
    <w:p w:rsidR="0019200D" w:rsidRPr="00E62DC2" w:rsidRDefault="0019200D" w:rsidP="00565EEC">
      <w:pPr>
        <w:pStyle w:val="FootnoteText"/>
        <w:spacing w:after="120"/>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EF6F4D" w:rsidRPr="00E62DC2">
        <w:rPr>
          <w:rFonts w:ascii="Cambria" w:hAnsi="Cambria"/>
          <w:sz w:val="16"/>
          <w:szCs w:val="16"/>
          <w:lang w:val="es-ES"/>
        </w:rPr>
        <w:t xml:space="preserve">CIDH, Informe Anual 2017, </w:t>
      </w:r>
      <w:r w:rsidR="008F799B">
        <w:fldChar w:fldCharType="begin"/>
      </w:r>
      <w:r w:rsidR="008F799B" w:rsidRPr="008F799B">
        <w:rPr>
          <w:lang w:val="es-MX"/>
        </w:rPr>
        <w:instrText xml:space="preserve"> HYPERLINK "http://www.oas.org/es/cidh/docs/anual/2017/docs/IA2017cap.2-es.pdf" </w:instrText>
      </w:r>
      <w:r w:rsidR="008F799B">
        <w:fldChar w:fldCharType="separate"/>
      </w:r>
      <w:r w:rsidR="00EF6F4D" w:rsidRPr="00E62DC2">
        <w:rPr>
          <w:rStyle w:val="Hyperlink"/>
          <w:rFonts w:ascii="Cambria" w:hAnsi="Cambria"/>
          <w:color w:val="auto"/>
          <w:sz w:val="16"/>
          <w:szCs w:val="16"/>
          <w:lang w:val="es-ES"/>
        </w:rPr>
        <w:t>Capítulo II, Sección F: Estado del cumplimiento de las recomendaciones de la CIDH</w:t>
      </w:r>
      <w:r w:rsidR="008F799B">
        <w:rPr>
          <w:rStyle w:val="Hyperlink"/>
          <w:rFonts w:ascii="Cambria" w:hAnsi="Cambria"/>
          <w:color w:val="auto"/>
          <w:sz w:val="16"/>
          <w:szCs w:val="16"/>
          <w:lang w:val="es-ES"/>
        </w:rPr>
        <w:fldChar w:fldCharType="end"/>
      </w:r>
      <w:r w:rsidR="00EF6F4D" w:rsidRPr="00E62DC2">
        <w:rPr>
          <w:rFonts w:ascii="Cambria" w:hAnsi="Cambria"/>
          <w:sz w:val="16"/>
          <w:szCs w:val="16"/>
          <w:lang w:val="es-ES"/>
        </w:rPr>
        <w:t>, párr. 1694.</w:t>
      </w:r>
    </w:p>
  </w:footnote>
  <w:footnote w:id="2">
    <w:p w:rsidR="0019200D" w:rsidRPr="00E62DC2" w:rsidRDefault="0019200D" w:rsidP="00565EEC">
      <w:pPr>
        <w:pStyle w:val="FootnoteText"/>
        <w:spacing w:after="120"/>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9E6021" w:rsidRPr="00E62DC2">
        <w:rPr>
          <w:rFonts w:ascii="Cambria" w:hAnsi="Cambria"/>
          <w:sz w:val="16"/>
          <w:szCs w:val="16"/>
          <w:lang w:val="es-CO"/>
        </w:rPr>
        <w:t>CIDH,</w:t>
      </w:r>
      <w:r w:rsidR="0010294F" w:rsidRPr="00E62DC2">
        <w:rPr>
          <w:rFonts w:ascii="Cambria" w:hAnsi="Cambria"/>
          <w:sz w:val="16"/>
          <w:szCs w:val="16"/>
          <w:lang w:val="es-CO"/>
        </w:rPr>
        <w:t xml:space="preserve"> Informe Anual 2011,</w:t>
      </w:r>
      <w:r w:rsidR="009E6021" w:rsidRPr="00E62DC2">
        <w:rPr>
          <w:rFonts w:ascii="Cambria" w:hAnsi="Cambria"/>
          <w:sz w:val="16"/>
          <w:szCs w:val="16"/>
          <w:lang w:val="es-CO"/>
        </w:rPr>
        <w:t xml:space="preserve"> </w:t>
      </w:r>
      <w:r w:rsidR="008F799B">
        <w:fldChar w:fldCharType="begin"/>
      </w:r>
      <w:r w:rsidR="008F799B" w:rsidRPr="008F799B">
        <w:rPr>
          <w:lang w:val="es-MX"/>
        </w:rPr>
        <w:instrText xml:space="preserve"> HYPERLINK "http://www.oas.org/es/cidh/docs/anual/2011/Cap3D.doc" </w:instrText>
      </w:r>
      <w:r w:rsidR="008F799B">
        <w:fldChar w:fldCharType="separate"/>
      </w:r>
      <w:r w:rsidR="009E6021" w:rsidRPr="00E62DC2">
        <w:rPr>
          <w:rStyle w:val="Hyperlink"/>
          <w:rFonts w:ascii="Cambria" w:hAnsi="Cambria"/>
          <w:color w:val="auto"/>
          <w:sz w:val="16"/>
          <w:szCs w:val="16"/>
          <w:lang w:val="es-ES"/>
        </w:rPr>
        <w:t>Capítulo III, Sección D: Estado del cumplimiento de las recomendaciones de la CIDH</w:t>
      </w:r>
      <w:r w:rsidR="008F799B">
        <w:rPr>
          <w:rStyle w:val="Hyperlink"/>
          <w:rFonts w:ascii="Cambria" w:hAnsi="Cambria"/>
          <w:color w:val="auto"/>
          <w:sz w:val="16"/>
          <w:szCs w:val="16"/>
          <w:lang w:val="es-ES"/>
        </w:rPr>
        <w:fldChar w:fldCharType="end"/>
      </w:r>
      <w:r w:rsidR="009E6021" w:rsidRPr="00E62DC2">
        <w:rPr>
          <w:rFonts w:ascii="Cambria" w:hAnsi="Cambria"/>
          <w:sz w:val="16"/>
          <w:szCs w:val="16"/>
          <w:lang w:val="es-ES"/>
        </w:rPr>
        <w:t xml:space="preserve">, párr. </w:t>
      </w:r>
      <w:r w:rsidR="009E6021" w:rsidRPr="00E62DC2">
        <w:rPr>
          <w:rFonts w:ascii="Cambria" w:hAnsi="Cambria"/>
          <w:sz w:val="16"/>
          <w:szCs w:val="16"/>
          <w:lang w:val="es-CO"/>
        </w:rPr>
        <w:t>849.</w:t>
      </w:r>
    </w:p>
  </w:footnote>
  <w:footnote w:id="3">
    <w:p w:rsidR="00B85953" w:rsidRPr="00E62DC2" w:rsidRDefault="00B85953" w:rsidP="00565EEC">
      <w:pPr>
        <w:pStyle w:val="FootnoteText"/>
        <w:spacing w:after="120" w:line="240" w:lineRule="auto"/>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vertAlign w:val="superscript"/>
          <w:lang w:val="es-CO"/>
        </w:rPr>
        <w:t xml:space="preserve"> </w:t>
      </w:r>
      <w:r w:rsidR="000526FA" w:rsidRPr="00E62DC2">
        <w:rPr>
          <w:rFonts w:ascii="Cambria" w:hAnsi="Cambria"/>
          <w:sz w:val="16"/>
          <w:szCs w:val="16"/>
          <w:lang w:val="es-CO"/>
        </w:rPr>
        <w:t xml:space="preserve">Corte IDH, </w:t>
      </w:r>
      <w:hyperlink r:id="rId1" w:history="1">
        <w:r w:rsidR="000526FA" w:rsidRPr="00E62DC2">
          <w:rPr>
            <w:rStyle w:val="Hyperlink"/>
            <w:rFonts w:ascii="Cambria" w:hAnsi="Cambria"/>
            <w:color w:val="auto"/>
            <w:sz w:val="16"/>
            <w:szCs w:val="16"/>
            <w:lang w:val="es-CO"/>
          </w:rPr>
          <w:t>Caso La Cantuta Vs. Perú, Sentencia de 29 de noviembre de 2006</w:t>
        </w:r>
      </w:hyperlink>
      <w:r w:rsidR="000526FA" w:rsidRPr="00E62DC2">
        <w:rPr>
          <w:rFonts w:ascii="Cambria" w:hAnsi="Cambria"/>
          <w:sz w:val="16"/>
          <w:szCs w:val="16"/>
          <w:lang w:val="es-CO"/>
        </w:rPr>
        <w:t xml:space="preserve">. Serie C No. 162, </w:t>
      </w:r>
      <w:proofErr w:type="spellStart"/>
      <w:r w:rsidR="000526FA" w:rsidRPr="00E62DC2">
        <w:rPr>
          <w:rFonts w:ascii="Cambria" w:hAnsi="Cambria"/>
          <w:sz w:val="16"/>
          <w:szCs w:val="16"/>
          <w:lang w:val="es-CO"/>
        </w:rPr>
        <w:t>párrs</w:t>
      </w:r>
      <w:proofErr w:type="spellEnd"/>
      <w:r w:rsidR="000526FA" w:rsidRPr="00E62DC2">
        <w:rPr>
          <w:rFonts w:ascii="Cambria" w:hAnsi="Cambria"/>
          <w:sz w:val="16"/>
          <w:szCs w:val="16"/>
          <w:lang w:val="es-CO"/>
        </w:rPr>
        <w:t>. 199-200.</w:t>
      </w:r>
    </w:p>
  </w:footnote>
  <w:footnote w:id="4">
    <w:p w:rsidR="00B85953" w:rsidRPr="00E62DC2" w:rsidRDefault="00B85953" w:rsidP="00565EEC">
      <w:pPr>
        <w:pStyle w:val="FootnoteText"/>
        <w:spacing w:after="120" w:line="240" w:lineRule="auto"/>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8F3EF9" w:rsidRPr="00E62DC2">
        <w:rPr>
          <w:rFonts w:ascii="Cambria" w:hAnsi="Cambria"/>
          <w:sz w:val="16"/>
          <w:szCs w:val="16"/>
          <w:lang w:val="es-CO"/>
        </w:rPr>
        <w:t>CIDH</w:t>
      </w:r>
      <w:r w:rsidR="008F799B">
        <w:fldChar w:fldCharType="begin"/>
      </w:r>
      <w:r w:rsidR="008F799B" w:rsidRPr="008F799B">
        <w:rPr>
          <w:lang w:val="es-MX"/>
        </w:rPr>
        <w:instrText xml:space="preserve"> HYPERLINK "http://www.cidh.org/pdf%20files/Lineamientos%20principales%20para%20una%20pol%C3%ADtica%20integral%20de%20reparaciones.pdf" </w:instrText>
      </w:r>
      <w:r w:rsidR="008F799B">
        <w:fldChar w:fldCharType="separate"/>
      </w:r>
      <w:r w:rsidR="008F3EF9" w:rsidRPr="00E62DC2">
        <w:rPr>
          <w:rStyle w:val="Hyperlink"/>
          <w:rFonts w:ascii="Cambria" w:hAnsi="Cambria"/>
          <w:color w:val="auto"/>
          <w:sz w:val="16"/>
          <w:szCs w:val="16"/>
          <w:lang w:val="es-CO"/>
        </w:rPr>
        <w:t>, Lineamientos principales para una política integral de reparaciones</w:t>
      </w:r>
      <w:r w:rsidR="008F799B">
        <w:rPr>
          <w:rStyle w:val="Hyperlink"/>
          <w:rFonts w:ascii="Cambria" w:hAnsi="Cambria"/>
          <w:color w:val="auto"/>
          <w:sz w:val="16"/>
          <w:szCs w:val="16"/>
          <w:lang w:val="es-CO"/>
        </w:rPr>
        <w:fldChar w:fldCharType="end"/>
      </w:r>
      <w:r w:rsidR="008F3EF9" w:rsidRPr="00E62DC2">
        <w:rPr>
          <w:rFonts w:ascii="Cambria" w:hAnsi="Cambria"/>
          <w:sz w:val="16"/>
          <w:szCs w:val="16"/>
          <w:lang w:val="es-CO"/>
        </w:rPr>
        <w:t xml:space="preserve">, 19 de febrero de 2008, OEA/Ser/L/V/II.131, doc. 1, párr. </w:t>
      </w:r>
      <w:r w:rsidR="008F3EF9" w:rsidRPr="00E62DC2">
        <w:rPr>
          <w:rFonts w:ascii="Cambria" w:hAnsi="Cambria"/>
          <w:sz w:val="16"/>
          <w:szCs w:val="16"/>
          <w:lang w:val="es-ES"/>
        </w:rPr>
        <w:t xml:space="preserve">1; Asamblea General de las Naciones Unidas, </w:t>
      </w:r>
      <w:hyperlink r:id="rId2" w:history="1">
        <w:r w:rsidR="008F3EF9" w:rsidRPr="00E62DC2">
          <w:rPr>
            <w:rStyle w:val="Hyperlink"/>
            <w:rFonts w:ascii="Cambria" w:hAnsi="Cambria"/>
            <w:color w:val="auto"/>
            <w:sz w:val="16"/>
            <w:szCs w:val="16"/>
            <w:lang w:val="es-ES"/>
          </w:rPr>
          <w:t>Resolución 60/147. Principios y directrices básicos sobre el derecho de las víctimas de violaciones manifiestas de las normas internacionales de derechos humanos y de violaciones graves del derecho internacional humanitario a interponer recursos y obtener reparaciones</w:t>
        </w:r>
      </w:hyperlink>
      <w:r w:rsidR="008F3EF9" w:rsidRPr="00E62DC2">
        <w:rPr>
          <w:rFonts w:ascii="Cambria" w:hAnsi="Cambria"/>
          <w:sz w:val="16"/>
          <w:szCs w:val="16"/>
          <w:lang w:val="es-ES"/>
        </w:rPr>
        <w:t>, 16 de diciembre de 2005. A/RES/60/147.</w:t>
      </w:r>
    </w:p>
  </w:footnote>
  <w:footnote w:id="5">
    <w:p w:rsidR="00B85953" w:rsidRPr="00E62DC2" w:rsidRDefault="00B85953" w:rsidP="00565EEC">
      <w:pPr>
        <w:pStyle w:val="FootnoteText"/>
        <w:spacing w:after="120" w:line="240" w:lineRule="auto"/>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vertAlign w:val="superscript"/>
          <w:lang w:val="es-CO"/>
        </w:rPr>
        <w:t xml:space="preserve"> </w:t>
      </w:r>
      <w:r w:rsidR="00D332D1" w:rsidRPr="00E62DC2">
        <w:rPr>
          <w:rFonts w:ascii="Cambria" w:hAnsi="Cambria"/>
          <w:sz w:val="16"/>
          <w:szCs w:val="16"/>
          <w:lang w:val="es-ES"/>
        </w:rPr>
        <w:t xml:space="preserve">Corte IDH, </w:t>
      </w:r>
      <w:r w:rsidR="008F799B">
        <w:fldChar w:fldCharType="begin"/>
      </w:r>
      <w:r w:rsidR="008F799B" w:rsidRPr="008F799B">
        <w:rPr>
          <w:lang w:val="es-MX"/>
        </w:rPr>
        <w:instrText xml:space="preserve"> HYPERLINK "http://www.corteidh.or.cr/docs/casos/articulos/seriec_162_esp.pdf" </w:instrText>
      </w:r>
      <w:r w:rsidR="008F799B">
        <w:fldChar w:fldCharType="separate"/>
      </w:r>
      <w:r w:rsidR="00D332D1" w:rsidRPr="00E62DC2">
        <w:rPr>
          <w:rStyle w:val="Hyperlink"/>
          <w:rFonts w:ascii="Cambria" w:hAnsi="Cambria"/>
          <w:color w:val="auto"/>
          <w:sz w:val="16"/>
          <w:szCs w:val="16"/>
          <w:lang w:val="es-ES"/>
        </w:rPr>
        <w:t>Caso La Cantuta Vs. Perú, Sentencia de 29 de noviembre de 2006</w:t>
      </w:r>
      <w:r w:rsidR="008F799B">
        <w:rPr>
          <w:rStyle w:val="Hyperlink"/>
          <w:rFonts w:ascii="Cambria" w:hAnsi="Cambria"/>
          <w:color w:val="auto"/>
          <w:sz w:val="16"/>
          <w:szCs w:val="16"/>
          <w:lang w:val="es-ES"/>
        </w:rPr>
        <w:fldChar w:fldCharType="end"/>
      </w:r>
      <w:r w:rsidR="00D332D1" w:rsidRPr="00E62DC2">
        <w:rPr>
          <w:rFonts w:ascii="Cambria" w:hAnsi="Cambria"/>
          <w:sz w:val="16"/>
          <w:szCs w:val="16"/>
          <w:lang w:val="es-ES"/>
        </w:rPr>
        <w:t>. Serie C No. 162, párr. 200.</w:t>
      </w:r>
    </w:p>
  </w:footnote>
  <w:footnote w:id="6">
    <w:p w:rsidR="0019200D" w:rsidRPr="00E62DC2" w:rsidRDefault="0019200D" w:rsidP="00565EEC">
      <w:pPr>
        <w:pStyle w:val="FootnoteText"/>
        <w:spacing w:after="120"/>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10294F" w:rsidRPr="00E62DC2">
        <w:rPr>
          <w:rFonts w:ascii="Cambria" w:hAnsi="Cambria"/>
          <w:sz w:val="16"/>
          <w:szCs w:val="16"/>
          <w:lang w:val="es-CO"/>
        </w:rPr>
        <w:t xml:space="preserve">CIDH, Informe Anual 2011, </w:t>
      </w:r>
      <w:r w:rsidR="008F799B">
        <w:fldChar w:fldCharType="begin"/>
      </w:r>
      <w:r w:rsidR="008F799B" w:rsidRPr="008F799B">
        <w:rPr>
          <w:lang w:val="es-MX"/>
        </w:rPr>
        <w:instrText xml:space="preserve"> HYPERLINK "http://www.oas.org/es/cidh/docs/anual/2011/Cap3D.doc" </w:instrText>
      </w:r>
      <w:r w:rsidR="008F799B">
        <w:fldChar w:fldCharType="separate"/>
      </w:r>
      <w:r w:rsidR="0010294F" w:rsidRPr="00E62DC2">
        <w:rPr>
          <w:rStyle w:val="Hyperlink"/>
          <w:rFonts w:ascii="Cambria" w:hAnsi="Cambria"/>
          <w:color w:val="auto"/>
          <w:sz w:val="16"/>
          <w:szCs w:val="16"/>
          <w:lang w:val="es-ES"/>
        </w:rPr>
        <w:t>Capítulo III, Sección D: Estado del cumplimiento de las recomendaciones de la CIDH</w:t>
      </w:r>
      <w:r w:rsidR="008F799B">
        <w:rPr>
          <w:rStyle w:val="Hyperlink"/>
          <w:rFonts w:ascii="Cambria" w:hAnsi="Cambria"/>
          <w:color w:val="auto"/>
          <w:sz w:val="16"/>
          <w:szCs w:val="16"/>
          <w:lang w:val="es-ES"/>
        </w:rPr>
        <w:fldChar w:fldCharType="end"/>
      </w:r>
      <w:r w:rsidR="0010294F" w:rsidRPr="00E62DC2">
        <w:rPr>
          <w:rFonts w:ascii="Cambria" w:hAnsi="Cambria"/>
          <w:sz w:val="16"/>
          <w:szCs w:val="16"/>
          <w:lang w:val="es-ES"/>
        </w:rPr>
        <w:t>,</w:t>
      </w:r>
      <w:r w:rsidR="009E6021" w:rsidRPr="00E62DC2">
        <w:rPr>
          <w:rFonts w:ascii="Cambria" w:hAnsi="Cambria"/>
          <w:sz w:val="16"/>
          <w:szCs w:val="16"/>
          <w:lang w:val="es-ES"/>
        </w:rPr>
        <w:t xml:space="preserve"> párr.</w:t>
      </w:r>
      <w:r w:rsidRPr="00E62DC2">
        <w:rPr>
          <w:rFonts w:ascii="Cambria" w:hAnsi="Cambria"/>
          <w:sz w:val="16"/>
          <w:szCs w:val="16"/>
          <w:lang w:val="es-CO"/>
        </w:rPr>
        <w:t xml:space="preserve"> </w:t>
      </w:r>
      <w:r w:rsidR="009E6021" w:rsidRPr="00E62DC2">
        <w:rPr>
          <w:rFonts w:ascii="Cambria" w:hAnsi="Cambria"/>
          <w:sz w:val="16"/>
          <w:szCs w:val="16"/>
          <w:lang w:val="es-CO"/>
        </w:rPr>
        <w:t>849</w:t>
      </w:r>
      <w:r w:rsidRPr="00E62DC2">
        <w:rPr>
          <w:rFonts w:ascii="Cambria" w:hAnsi="Cambria"/>
          <w:sz w:val="16"/>
          <w:szCs w:val="16"/>
          <w:lang w:val="es-CO"/>
        </w:rPr>
        <w:t>.</w:t>
      </w:r>
    </w:p>
  </w:footnote>
  <w:footnote w:id="7">
    <w:p w:rsidR="0019200D" w:rsidRPr="00E62DC2" w:rsidRDefault="0019200D" w:rsidP="00565EEC">
      <w:pPr>
        <w:pStyle w:val="FootnoteText"/>
        <w:spacing w:after="120"/>
        <w:ind w:firstLine="720"/>
        <w:jc w:val="both"/>
        <w:rPr>
          <w:rFonts w:ascii="Cambria" w:hAnsi="Cambria"/>
          <w:sz w:val="16"/>
          <w:szCs w:val="16"/>
          <w:lang w:val="es-US"/>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10294F" w:rsidRPr="00E62DC2">
        <w:rPr>
          <w:rFonts w:ascii="Cambria" w:hAnsi="Cambria"/>
          <w:sz w:val="16"/>
          <w:szCs w:val="16"/>
          <w:lang w:val="es-ES"/>
        </w:rPr>
        <w:t xml:space="preserve">CIDH, Informe Anual 2017, </w:t>
      </w:r>
      <w:r w:rsidR="008F799B">
        <w:fldChar w:fldCharType="begin"/>
      </w:r>
      <w:r w:rsidR="008F799B" w:rsidRPr="008F799B">
        <w:rPr>
          <w:lang w:val="es-MX"/>
        </w:rPr>
        <w:instrText xml:space="preserve"> HYPERLINK "http://www.oas.org/es/ci</w:instrText>
      </w:r>
      <w:r w:rsidR="008F799B" w:rsidRPr="008F799B">
        <w:rPr>
          <w:lang w:val="es-MX"/>
        </w:rPr>
        <w:instrText xml:space="preserve">dh/docs/anual/2017/docs/IA2017cap.2-es.pdf" </w:instrText>
      </w:r>
      <w:r w:rsidR="008F799B">
        <w:fldChar w:fldCharType="separate"/>
      </w:r>
      <w:r w:rsidR="0010294F" w:rsidRPr="00E62DC2">
        <w:rPr>
          <w:rStyle w:val="Hyperlink"/>
          <w:rFonts w:ascii="Cambria" w:hAnsi="Cambria"/>
          <w:color w:val="auto"/>
          <w:sz w:val="16"/>
          <w:szCs w:val="16"/>
          <w:lang w:val="es-ES"/>
        </w:rPr>
        <w:t>Capítulo II, Sección F: Estado del cumplimiento de las recomendaciones de la CIDH</w:t>
      </w:r>
      <w:r w:rsidR="008F799B">
        <w:rPr>
          <w:rStyle w:val="Hyperlink"/>
          <w:rFonts w:ascii="Cambria" w:hAnsi="Cambria"/>
          <w:color w:val="auto"/>
          <w:sz w:val="16"/>
          <w:szCs w:val="16"/>
          <w:lang w:val="es-ES"/>
        </w:rPr>
        <w:fldChar w:fldCharType="end"/>
      </w:r>
      <w:r w:rsidR="0010294F" w:rsidRPr="00E62DC2">
        <w:rPr>
          <w:rFonts w:ascii="Cambria" w:hAnsi="Cambria"/>
          <w:sz w:val="16"/>
          <w:szCs w:val="16"/>
          <w:lang w:val="es-ES"/>
        </w:rPr>
        <w:t xml:space="preserve">, párr. </w:t>
      </w:r>
      <w:r w:rsidR="0010294F" w:rsidRPr="00E62DC2">
        <w:rPr>
          <w:rFonts w:ascii="Cambria" w:hAnsi="Cambria"/>
          <w:sz w:val="16"/>
          <w:szCs w:val="16"/>
          <w:lang w:val="es-US"/>
        </w:rPr>
        <w:t>1694</w:t>
      </w:r>
      <w:r w:rsidRPr="00E62DC2">
        <w:rPr>
          <w:rFonts w:ascii="Cambria" w:hAnsi="Cambria"/>
          <w:sz w:val="16"/>
          <w:szCs w:val="16"/>
          <w:lang w:val="es-US"/>
        </w:rPr>
        <w:t>.</w:t>
      </w:r>
    </w:p>
  </w:footnote>
  <w:footnote w:id="8">
    <w:p w:rsidR="0019200D" w:rsidRPr="0010294F" w:rsidRDefault="0019200D" w:rsidP="00565EEC">
      <w:pPr>
        <w:pStyle w:val="FootnoteText"/>
        <w:spacing w:after="120"/>
        <w:ind w:firstLine="720"/>
        <w:jc w:val="both"/>
        <w:rPr>
          <w:rFonts w:ascii="Cambria" w:hAnsi="Cambria"/>
          <w:color w:val="000000" w:themeColor="text1"/>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10294F" w:rsidRPr="00E62DC2">
        <w:rPr>
          <w:rFonts w:ascii="Cambria" w:hAnsi="Cambria"/>
          <w:sz w:val="16"/>
          <w:szCs w:val="16"/>
          <w:lang w:val="es-CO"/>
        </w:rPr>
        <w:t xml:space="preserve">CIDH, Informe Anual 2011, </w:t>
      </w:r>
      <w:r w:rsidR="008F799B">
        <w:fldChar w:fldCharType="begin"/>
      </w:r>
      <w:r w:rsidR="008F799B" w:rsidRPr="008F799B">
        <w:rPr>
          <w:lang w:val="es-MX"/>
        </w:rPr>
        <w:instrText xml:space="preserve"> HYPERLINK "http://www.oas.org/es/cidh/docs/anual/2011/Cap3D.doc" </w:instrText>
      </w:r>
      <w:r w:rsidR="008F799B">
        <w:fldChar w:fldCharType="separate"/>
      </w:r>
      <w:r w:rsidR="0010294F" w:rsidRPr="00E62DC2">
        <w:rPr>
          <w:rStyle w:val="Hyperlink"/>
          <w:rFonts w:ascii="Cambria" w:hAnsi="Cambria"/>
          <w:color w:val="auto"/>
          <w:sz w:val="16"/>
          <w:szCs w:val="16"/>
          <w:lang w:val="es-ES"/>
        </w:rPr>
        <w:t>Capítulo III, Sección D: Estado del cumplimiento de las recomendaciones de la CIDH</w:t>
      </w:r>
      <w:r w:rsidR="008F799B">
        <w:rPr>
          <w:rStyle w:val="Hyperlink"/>
          <w:rFonts w:ascii="Cambria" w:hAnsi="Cambria"/>
          <w:color w:val="auto"/>
          <w:sz w:val="16"/>
          <w:szCs w:val="16"/>
          <w:lang w:val="es-ES"/>
        </w:rPr>
        <w:fldChar w:fldCharType="end"/>
      </w:r>
      <w:r w:rsidR="0010294F" w:rsidRPr="00E62DC2">
        <w:rPr>
          <w:rFonts w:ascii="Cambria" w:hAnsi="Cambria"/>
          <w:sz w:val="16"/>
          <w:szCs w:val="16"/>
          <w:lang w:val="es-ES"/>
        </w:rPr>
        <w:t>,</w:t>
      </w:r>
      <w:r w:rsidR="00BB5B2F" w:rsidRPr="00E62DC2">
        <w:rPr>
          <w:rFonts w:ascii="Cambria" w:hAnsi="Cambria"/>
          <w:sz w:val="16"/>
          <w:szCs w:val="16"/>
          <w:lang w:val="es-ES"/>
        </w:rPr>
        <w:t xml:space="preserve"> párr.</w:t>
      </w:r>
      <w:r w:rsidRPr="00E62DC2">
        <w:rPr>
          <w:rFonts w:ascii="Cambria" w:hAnsi="Cambria"/>
          <w:sz w:val="16"/>
          <w:szCs w:val="16"/>
          <w:lang w:val="es-CO"/>
        </w:rPr>
        <w:t xml:space="preserve"> </w:t>
      </w:r>
      <w:r w:rsidR="00BB5B2F" w:rsidRPr="00E62DC2">
        <w:rPr>
          <w:rFonts w:ascii="Cambria" w:hAnsi="Cambria"/>
          <w:sz w:val="16"/>
          <w:szCs w:val="16"/>
          <w:lang w:val="es-CO"/>
        </w:rPr>
        <w:t>852</w:t>
      </w:r>
      <w:r w:rsidRPr="00E62DC2">
        <w:rPr>
          <w:rFonts w:ascii="Cambria" w:hAnsi="Cambria"/>
          <w:sz w:val="16"/>
          <w:szCs w:val="16"/>
          <w:lang w:val="es-CO"/>
        </w:rPr>
        <w:t>.</w:t>
      </w:r>
    </w:p>
  </w:footnote>
  <w:footnote w:id="9">
    <w:p w:rsidR="0019200D" w:rsidRPr="00E62DC2" w:rsidRDefault="0019200D" w:rsidP="00565EEC">
      <w:pPr>
        <w:pStyle w:val="FootnoteText"/>
        <w:spacing w:after="120"/>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5B55CB" w:rsidRPr="00E62DC2">
        <w:rPr>
          <w:rFonts w:ascii="Cambria" w:hAnsi="Cambria"/>
          <w:sz w:val="16"/>
          <w:szCs w:val="16"/>
          <w:lang w:val="es-ES"/>
        </w:rPr>
        <w:t xml:space="preserve">CIDH, Informe Anual 2017, </w:t>
      </w:r>
      <w:r w:rsidR="008F799B">
        <w:fldChar w:fldCharType="begin"/>
      </w:r>
      <w:r w:rsidR="008F799B" w:rsidRPr="008F799B">
        <w:rPr>
          <w:lang w:val="es-MX"/>
        </w:rPr>
        <w:instrText xml:space="preserve"> HYPERLINK "http://www.oas.org/es/cidh/docs/anual/2017/docs/IA2017cap.2-es.pdf" </w:instrText>
      </w:r>
      <w:r w:rsidR="008F799B">
        <w:fldChar w:fldCharType="separate"/>
      </w:r>
      <w:r w:rsidR="005B55CB" w:rsidRPr="00E62DC2">
        <w:rPr>
          <w:rStyle w:val="Hyperlink"/>
          <w:rFonts w:ascii="Cambria" w:hAnsi="Cambria"/>
          <w:color w:val="auto"/>
          <w:sz w:val="16"/>
          <w:szCs w:val="16"/>
          <w:lang w:val="es-ES"/>
        </w:rPr>
        <w:t>Capítulo II, Sección F: Estado del cumplimiento de las recomendaciones de la CIDH</w:t>
      </w:r>
      <w:r w:rsidR="008F799B">
        <w:rPr>
          <w:rStyle w:val="Hyperlink"/>
          <w:rFonts w:ascii="Cambria" w:hAnsi="Cambria"/>
          <w:color w:val="auto"/>
          <w:sz w:val="16"/>
          <w:szCs w:val="16"/>
          <w:lang w:val="es-ES"/>
        </w:rPr>
        <w:fldChar w:fldCharType="end"/>
      </w:r>
      <w:r w:rsidR="005B55CB" w:rsidRPr="00E62DC2">
        <w:rPr>
          <w:rFonts w:ascii="Cambria" w:hAnsi="Cambria"/>
          <w:sz w:val="16"/>
          <w:szCs w:val="16"/>
          <w:lang w:val="es-ES"/>
        </w:rPr>
        <w:t xml:space="preserve">, párr. </w:t>
      </w:r>
      <w:r w:rsidR="00290FFD" w:rsidRPr="00E62DC2">
        <w:rPr>
          <w:rFonts w:ascii="Cambria" w:hAnsi="Cambria"/>
          <w:sz w:val="16"/>
          <w:szCs w:val="16"/>
          <w:lang w:val="es-CO"/>
        </w:rPr>
        <w:t>1695</w:t>
      </w:r>
      <w:r w:rsidRPr="00E62DC2">
        <w:rPr>
          <w:rFonts w:ascii="Cambria" w:hAnsi="Cambria"/>
          <w:sz w:val="16"/>
          <w:szCs w:val="16"/>
          <w:lang w:val="es-CO"/>
        </w:rPr>
        <w:t>.</w:t>
      </w:r>
    </w:p>
  </w:footnote>
  <w:footnote w:id="10">
    <w:p w:rsidR="00565EEC" w:rsidRPr="00E62DC2" w:rsidRDefault="00565EEC" w:rsidP="00565EEC">
      <w:pPr>
        <w:pStyle w:val="FootnoteText"/>
        <w:spacing w:after="120"/>
        <w:ind w:firstLine="720"/>
        <w:jc w:val="both"/>
        <w:rPr>
          <w:rFonts w:ascii="Cambria" w:hAnsi="Cambria"/>
          <w:sz w:val="16"/>
          <w:szCs w:val="16"/>
          <w:lang w:val="es-US"/>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10294F" w:rsidRPr="00E62DC2">
        <w:rPr>
          <w:rFonts w:ascii="Cambria" w:hAnsi="Cambria"/>
          <w:sz w:val="16"/>
          <w:szCs w:val="16"/>
          <w:lang w:val="es-CO"/>
        </w:rPr>
        <w:t xml:space="preserve">CIDH, Informe Anual 2011, </w:t>
      </w:r>
      <w:r w:rsidR="008F799B">
        <w:fldChar w:fldCharType="begin"/>
      </w:r>
      <w:r w:rsidR="008F799B" w:rsidRPr="008F799B">
        <w:rPr>
          <w:lang w:val="es-MX"/>
        </w:rPr>
        <w:instrText xml:space="preserve"> HYPERLINK "http://www.oas.org/es/cidh/docs/anual/2011/Cap3D.doc" </w:instrText>
      </w:r>
      <w:r w:rsidR="008F799B">
        <w:fldChar w:fldCharType="separate"/>
      </w:r>
      <w:r w:rsidR="0010294F" w:rsidRPr="00E62DC2">
        <w:rPr>
          <w:rStyle w:val="Hyperlink"/>
          <w:rFonts w:ascii="Cambria" w:hAnsi="Cambria"/>
          <w:color w:val="auto"/>
          <w:sz w:val="16"/>
          <w:szCs w:val="16"/>
          <w:lang w:val="es-ES"/>
        </w:rPr>
        <w:t>Capítulo III, Sección D: Estado del cumplimiento de las recomendaciones de la CIDH</w:t>
      </w:r>
      <w:r w:rsidR="008F799B">
        <w:rPr>
          <w:rStyle w:val="Hyperlink"/>
          <w:rFonts w:ascii="Cambria" w:hAnsi="Cambria"/>
          <w:color w:val="auto"/>
          <w:sz w:val="16"/>
          <w:szCs w:val="16"/>
          <w:lang w:val="es-ES"/>
        </w:rPr>
        <w:fldChar w:fldCharType="end"/>
      </w:r>
      <w:r w:rsidR="0010294F" w:rsidRPr="00E62DC2">
        <w:rPr>
          <w:rFonts w:ascii="Cambria" w:hAnsi="Cambria"/>
          <w:sz w:val="16"/>
          <w:szCs w:val="16"/>
          <w:lang w:val="es-ES"/>
        </w:rPr>
        <w:t>, párr.</w:t>
      </w:r>
      <w:r w:rsidR="002F1FC2" w:rsidRPr="00E62DC2">
        <w:rPr>
          <w:rFonts w:ascii="Cambria" w:hAnsi="Cambria"/>
          <w:sz w:val="16"/>
          <w:szCs w:val="16"/>
          <w:lang w:val="es-CO"/>
        </w:rPr>
        <w:t xml:space="preserve"> </w:t>
      </w:r>
      <w:r w:rsidR="002F1FC2" w:rsidRPr="00E62DC2">
        <w:rPr>
          <w:rFonts w:ascii="Cambria" w:hAnsi="Cambria"/>
          <w:sz w:val="16"/>
          <w:szCs w:val="16"/>
          <w:lang w:val="es-US"/>
        </w:rPr>
        <w:t>850</w:t>
      </w:r>
      <w:r w:rsidRPr="00E62DC2">
        <w:rPr>
          <w:rFonts w:ascii="Cambria" w:hAnsi="Cambria"/>
          <w:sz w:val="16"/>
          <w:szCs w:val="16"/>
          <w:lang w:val="es-US"/>
        </w:rPr>
        <w:t>.</w:t>
      </w:r>
    </w:p>
  </w:footnote>
  <w:footnote w:id="11">
    <w:p w:rsidR="0019200D" w:rsidRPr="00E62DC2" w:rsidRDefault="0019200D" w:rsidP="00565EEC">
      <w:pPr>
        <w:pStyle w:val="FootnoteText"/>
        <w:spacing w:after="120"/>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E83A5F" w:rsidRPr="00E62DC2">
        <w:rPr>
          <w:rFonts w:ascii="Cambria" w:hAnsi="Cambria"/>
          <w:sz w:val="16"/>
          <w:szCs w:val="16"/>
          <w:lang w:val="es-ES"/>
        </w:rPr>
        <w:t xml:space="preserve">CIDH, Informe Anual 2017, </w:t>
      </w:r>
      <w:r w:rsidR="008F799B">
        <w:fldChar w:fldCharType="begin"/>
      </w:r>
      <w:r w:rsidR="008F799B" w:rsidRPr="008F799B">
        <w:rPr>
          <w:lang w:val="es-MX"/>
        </w:rPr>
        <w:instrText xml:space="preserve"> HYPERLINK "http://www.oas.org/es/cidh/docs/anual/2017/docs/IA2017cap.2-es.pdf" </w:instrText>
      </w:r>
      <w:r w:rsidR="008F799B">
        <w:fldChar w:fldCharType="separate"/>
      </w:r>
      <w:r w:rsidR="00E83A5F" w:rsidRPr="00E62DC2">
        <w:rPr>
          <w:rStyle w:val="Hyperlink"/>
          <w:rFonts w:ascii="Cambria" w:hAnsi="Cambria"/>
          <w:color w:val="auto"/>
          <w:sz w:val="16"/>
          <w:szCs w:val="16"/>
          <w:lang w:val="es-ES"/>
        </w:rPr>
        <w:t>Capítulo II, Sección F: Estado del cumplimiento de las recomendaciones de la CIDH</w:t>
      </w:r>
      <w:r w:rsidR="008F799B">
        <w:rPr>
          <w:rStyle w:val="Hyperlink"/>
          <w:rFonts w:ascii="Cambria" w:hAnsi="Cambria"/>
          <w:color w:val="auto"/>
          <w:sz w:val="16"/>
          <w:szCs w:val="16"/>
          <w:lang w:val="es-ES"/>
        </w:rPr>
        <w:fldChar w:fldCharType="end"/>
      </w:r>
      <w:r w:rsidR="00E83A5F" w:rsidRPr="00E62DC2">
        <w:rPr>
          <w:rFonts w:ascii="Cambria" w:hAnsi="Cambria"/>
          <w:sz w:val="16"/>
          <w:szCs w:val="16"/>
          <w:lang w:val="es-ES"/>
        </w:rPr>
        <w:t xml:space="preserve">, párr. </w:t>
      </w:r>
      <w:r w:rsidR="00E83A5F" w:rsidRPr="00E62DC2">
        <w:rPr>
          <w:rFonts w:ascii="Cambria" w:hAnsi="Cambria"/>
          <w:sz w:val="16"/>
          <w:szCs w:val="16"/>
          <w:lang w:val="es-CO"/>
        </w:rPr>
        <w:t>1695</w:t>
      </w:r>
      <w:r w:rsidRPr="00E62DC2">
        <w:rPr>
          <w:rFonts w:ascii="Cambria" w:hAnsi="Cambria"/>
          <w:sz w:val="16"/>
          <w:szCs w:val="16"/>
          <w:lang w:val="es-CO"/>
        </w:rPr>
        <w:t>.</w:t>
      </w:r>
    </w:p>
  </w:footnote>
  <w:footnote w:id="12">
    <w:p w:rsidR="00565EEC" w:rsidRPr="0010294F" w:rsidRDefault="00565EEC" w:rsidP="00565EEC">
      <w:pPr>
        <w:pStyle w:val="FootnoteText"/>
        <w:spacing w:after="120"/>
        <w:ind w:firstLine="720"/>
        <w:jc w:val="both"/>
        <w:rPr>
          <w:rFonts w:ascii="Cambria" w:hAnsi="Cambria"/>
          <w:sz w:val="16"/>
          <w:szCs w:val="16"/>
          <w:lang w:val="es-CO"/>
        </w:rPr>
      </w:pPr>
      <w:r w:rsidRPr="00E62DC2">
        <w:rPr>
          <w:rStyle w:val="FootnoteReference"/>
          <w:rFonts w:ascii="Cambria" w:hAnsi="Cambria"/>
          <w:sz w:val="16"/>
          <w:szCs w:val="16"/>
          <w:vertAlign w:val="superscript"/>
        </w:rPr>
        <w:footnoteRef/>
      </w:r>
      <w:r w:rsidRPr="00E62DC2">
        <w:rPr>
          <w:rFonts w:ascii="Cambria" w:hAnsi="Cambria"/>
          <w:sz w:val="16"/>
          <w:szCs w:val="16"/>
          <w:lang w:val="es-CO"/>
        </w:rPr>
        <w:t xml:space="preserve"> </w:t>
      </w:r>
      <w:r w:rsidR="0010294F" w:rsidRPr="00E62DC2">
        <w:rPr>
          <w:rFonts w:ascii="Cambria" w:hAnsi="Cambria"/>
          <w:sz w:val="16"/>
          <w:szCs w:val="16"/>
          <w:lang w:val="es-CO"/>
        </w:rPr>
        <w:t xml:space="preserve">CIDH, Informe Anual 2011, </w:t>
      </w:r>
      <w:r w:rsidR="008F799B">
        <w:fldChar w:fldCharType="begin"/>
      </w:r>
      <w:r w:rsidR="008F799B" w:rsidRPr="008F799B">
        <w:rPr>
          <w:lang w:val="es-MX"/>
        </w:rPr>
        <w:instrText xml:space="preserve"> HYPERLINK "http://www.oas.org/es/cidh/docs/anual/2011/Cap3D.doc" </w:instrText>
      </w:r>
      <w:r w:rsidR="008F799B">
        <w:fldChar w:fldCharType="separate"/>
      </w:r>
      <w:r w:rsidR="0010294F" w:rsidRPr="00E62DC2">
        <w:rPr>
          <w:rStyle w:val="Hyperlink"/>
          <w:rFonts w:ascii="Cambria" w:hAnsi="Cambria"/>
          <w:color w:val="auto"/>
          <w:sz w:val="16"/>
          <w:szCs w:val="16"/>
          <w:lang w:val="es-ES"/>
        </w:rPr>
        <w:t>Capítulo III, Sección D: Estado del cumplimiento de las recomendaciones de la CIDH</w:t>
      </w:r>
      <w:r w:rsidR="008F799B">
        <w:rPr>
          <w:rStyle w:val="Hyperlink"/>
          <w:rFonts w:ascii="Cambria" w:hAnsi="Cambria"/>
          <w:color w:val="auto"/>
          <w:sz w:val="16"/>
          <w:szCs w:val="16"/>
          <w:lang w:val="es-ES"/>
        </w:rPr>
        <w:fldChar w:fldCharType="end"/>
      </w:r>
      <w:r w:rsidR="0010294F" w:rsidRPr="00E62DC2">
        <w:rPr>
          <w:rFonts w:ascii="Cambria" w:hAnsi="Cambria"/>
          <w:sz w:val="16"/>
          <w:szCs w:val="16"/>
          <w:lang w:val="es-ES"/>
        </w:rPr>
        <w:t>, párr.</w:t>
      </w:r>
      <w:r w:rsidR="0010294F" w:rsidRPr="00E62DC2">
        <w:rPr>
          <w:rFonts w:ascii="Cambria" w:hAnsi="Cambria"/>
          <w:sz w:val="16"/>
          <w:szCs w:val="16"/>
          <w:lang w:val="es-CO"/>
        </w:rPr>
        <w:t xml:space="preserve"> 850</w:t>
      </w:r>
      <w:r w:rsidRPr="00E62DC2">
        <w:rPr>
          <w:rFonts w:ascii="Cambria" w:hAnsi="Cambria"/>
          <w:sz w:val="16"/>
          <w:szCs w:val="16"/>
          <w:lang w:val="es-CO"/>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F1" w:rsidRDefault="005C55F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E8B" w:rsidRDefault="00102E8B" w:rsidP="00102E8B">
    <w:pPr>
      <w:pStyle w:val="Header"/>
      <w:jc w:val="center"/>
    </w:pPr>
    <w:r>
      <w:rPr>
        <w:noProof/>
        <w:lang w:val="es-MX" w:eastAsia="es-MX"/>
      </w:rPr>
      <w:drawing>
        <wp:inline distT="0" distB="0" distL="0" distR="0">
          <wp:extent cx="2277110" cy="116840"/>
          <wp:effectExtent l="0" t="0" r="8890" b="0"/>
          <wp:docPr id="5" name="Picture 5" descr="iachr-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achr-peq"/>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7110" cy="116840"/>
                  </a:xfrm>
                  <a:prstGeom prst="rect">
                    <a:avLst/>
                  </a:prstGeom>
                  <a:noFill/>
                  <a:ln>
                    <a:noFill/>
                  </a:ln>
                </pic:spPr>
              </pic:pic>
            </a:graphicData>
          </a:graphic>
        </wp:inline>
      </w:drawing>
    </w:r>
  </w:p>
  <w:p w:rsidR="00102E8B" w:rsidRDefault="008F799B" w:rsidP="00102E8B">
    <w:pPr>
      <w:pStyle w:val="Header"/>
    </w:pPr>
    <w:r>
      <w:pict>
        <v:rect id="_x0000_i1025" style="width:0;height:1.5pt" o:hralign="center" o:hrstd="t" o:hr="t" fillcolor="#a0a0a0" stroked="f"/>
      </w:pict>
    </w:r>
  </w:p>
  <w:p w:rsidR="00102E8B" w:rsidRDefault="00102E8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5F1" w:rsidRDefault="005C55F1" w:rsidP="005C55F1">
    <w:pPr>
      <w:pStyle w:val="Header"/>
    </w:pPr>
    <w:r>
      <w:rPr>
        <w:noProof/>
        <w:lang w:val="es-MX" w:eastAsia="es-MX"/>
      </w:rPr>
      <w:drawing>
        <wp:anchor distT="0" distB="0" distL="114300" distR="114300" simplePos="0" relativeHeight="251657216" behindDoc="1" locked="0" layoutInCell="1" allowOverlap="1">
          <wp:simplePos x="0" y="0"/>
          <wp:positionH relativeFrom="column">
            <wp:posOffset>4010025</wp:posOffset>
          </wp:positionH>
          <wp:positionV relativeFrom="paragraph">
            <wp:posOffset>-67310</wp:posOffset>
          </wp:positionV>
          <wp:extent cx="1962150" cy="433705"/>
          <wp:effectExtent l="0" t="0" r="0" b="4445"/>
          <wp:wrapThrough wrapText="bothSides">
            <wp:wrapPolygon edited="0">
              <wp:start x="0" y="0"/>
              <wp:lineTo x="0" y="20873"/>
              <wp:lineTo x="21390" y="20873"/>
              <wp:lineTo x="21390" y="0"/>
              <wp:lineTo x="0" y="0"/>
            </wp:wrapPolygon>
          </wp:wrapThrough>
          <wp:docPr id="4" name="Picture 4"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h-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2150" cy="433705"/>
                  </a:xfrm>
                  <a:prstGeom prst="rect">
                    <a:avLst/>
                  </a:prstGeom>
                  <a:noFill/>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8240" behindDoc="1" locked="0" layoutInCell="1" allowOverlap="1">
          <wp:simplePos x="0" y="0"/>
          <wp:positionH relativeFrom="column">
            <wp:posOffset>-28575</wp:posOffset>
          </wp:positionH>
          <wp:positionV relativeFrom="paragraph">
            <wp:posOffset>-57785</wp:posOffset>
          </wp:positionV>
          <wp:extent cx="1933575" cy="427990"/>
          <wp:effectExtent l="0" t="0" r="9525" b="0"/>
          <wp:wrapThrough wrapText="bothSides">
            <wp:wrapPolygon edited="0">
              <wp:start x="0" y="0"/>
              <wp:lineTo x="0" y="20190"/>
              <wp:lineTo x="21494" y="20190"/>
              <wp:lineTo x="21494" y="0"/>
              <wp:lineTo x="0" y="0"/>
            </wp:wrapPolygon>
          </wp:wrapThrough>
          <wp:docPr id="1" name="Picture 1" descr="IA2019-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A2019-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3575" cy="427990"/>
                  </a:xfrm>
                  <a:prstGeom prst="rect">
                    <a:avLst/>
                  </a:prstGeom>
                  <a:noFill/>
                </pic:spPr>
              </pic:pic>
            </a:graphicData>
          </a:graphic>
          <wp14:sizeRelH relativeFrom="page">
            <wp14:pctWidth>0</wp14:pctWidth>
          </wp14:sizeRelH>
          <wp14:sizeRelV relativeFrom="page">
            <wp14:pctHeight>0</wp14:pctHeight>
          </wp14:sizeRelV>
        </wp:anchor>
      </w:drawing>
    </w:r>
  </w:p>
  <w:p w:rsidR="005C55F1" w:rsidRDefault="005C55F1" w:rsidP="005C55F1">
    <w:pPr>
      <w:pStyle w:val="Header"/>
    </w:pPr>
  </w:p>
  <w:p w:rsidR="00102E8B" w:rsidRPr="005C55F1" w:rsidRDefault="008F799B" w:rsidP="005C55F1">
    <w:pPr>
      <w:tabs>
        <w:tab w:val="center" w:pos="4680"/>
        <w:tab w:val="right" w:pos="9360"/>
      </w:tabs>
      <w:spacing w:after="0" w:line="240" w:lineRule="auto"/>
      <w:jc w:val="center"/>
    </w:pPr>
    <w:r>
      <w:pict>
        <v:rect id="_x0000_i1026" style="width:468pt;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D5906"/>
    <w:multiLevelType w:val="hybridMultilevel"/>
    <w:tmpl w:val="691A8EA4"/>
    <w:lvl w:ilvl="0" w:tplc="D5CEEB68">
      <w:start w:val="1"/>
      <w:numFmt w:val="decimal"/>
      <w:lvlText w:val="%1."/>
      <w:lvlJc w:val="left"/>
      <w:pPr>
        <w:ind w:left="720" w:hanging="360"/>
      </w:pPr>
      <w:rPr>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F6840"/>
    <w:multiLevelType w:val="hybridMultilevel"/>
    <w:tmpl w:val="509018EA"/>
    <w:lvl w:ilvl="0" w:tplc="1D70DBA2">
      <w:start w:val="1"/>
      <w:numFmt w:val="decimal"/>
      <w:lvlText w:val="%1."/>
      <w:lvlJc w:val="left"/>
      <w:pPr>
        <w:tabs>
          <w:tab w:val="num" w:pos="720"/>
        </w:tabs>
        <w:ind w:left="0" w:firstLine="720"/>
      </w:pPr>
      <w:rPr>
        <w:rFonts w:cs="Times New Roman" w:hint="default"/>
        <w:b w:val="0"/>
        <w:i w:val="0"/>
        <w:strike w:val="0"/>
        <w:sz w:val="20"/>
        <w:szCs w:val="20"/>
      </w:rPr>
    </w:lvl>
    <w:lvl w:ilvl="1" w:tplc="04090005">
      <w:start w:val="1"/>
      <w:numFmt w:val="bullet"/>
      <w:lvlText w:val=""/>
      <w:lvlJc w:val="left"/>
      <w:pPr>
        <w:tabs>
          <w:tab w:val="num" w:pos="1440"/>
        </w:tabs>
        <w:ind w:left="1440" w:hanging="360"/>
      </w:pPr>
      <w:rPr>
        <w:rFonts w:ascii="Wingdings" w:hAnsi="Wingdings" w:hint="default"/>
      </w:rPr>
    </w:lvl>
    <w:lvl w:ilvl="2" w:tplc="E16A2C48">
      <w:start w:val="1"/>
      <w:numFmt w:val="decimal"/>
      <w:lvlText w:val="%3."/>
      <w:lvlJc w:val="left"/>
      <w:pPr>
        <w:tabs>
          <w:tab w:val="num" w:pos="1980"/>
        </w:tabs>
        <w:ind w:left="1260" w:firstLine="720"/>
      </w:pPr>
      <w:rPr>
        <w:rFonts w:hint="default"/>
        <w:b w:val="0"/>
        <w:i w:val="0"/>
        <w:sz w:val="20"/>
        <w:szCs w:val="20"/>
      </w:rPr>
    </w:lvl>
    <w:lvl w:ilvl="3" w:tplc="FA309624">
      <w:start w:val="1"/>
      <w:numFmt w:val="decimal"/>
      <w:lvlText w:val="%4."/>
      <w:lvlJc w:val="left"/>
      <w:pPr>
        <w:tabs>
          <w:tab w:val="num" w:pos="720"/>
        </w:tabs>
        <w:ind w:left="0" w:firstLine="720"/>
      </w:pPr>
      <w:rPr>
        <w:rFonts w:ascii="Univers" w:hAnsi="Univers" w:hint="default"/>
        <w:b w:val="0"/>
        <w:i w:val="0"/>
        <w:sz w:val="20"/>
        <w:szCs w:val="20"/>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A04824"/>
    <w:multiLevelType w:val="hybridMultilevel"/>
    <w:tmpl w:val="BEF2E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C3622"/>
    <w:multiLevelType w:val="hybridMultilevel"/>
    <w:tmpl w:val="63B0ED4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E62D1F"/>
    <w:multiLevelType w:val="hybridMultilevel"/>
    <w:tmpl w:val="49406F50"/>
    <w:lvl w:ilvl="0" w:tplc="DF509394">
      <w:start w:val="1"/>
      <w:numFmt w:val="decimal"/>
      <w:lvlText w:val="%1."/>
      <w:lvlJc w:val="left"/>
      <w:pPr>
        <w:ind w:left="43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12FE8"/>
    <w:multiLevelType w:val="hybridMultilevel"/>
    <w:tmpl w:val="8354A6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9F4323"/>
    <w:multiLevelType w:val="hybridMultilevel"/>
    <w:tmpl w:val="707CB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251293"/>
    <w:multiLevelType w:val="hybridMultilevel"/>
    <w:tmpl w:val="3EBAEA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D515B"/>
    <w:multiLevelType w:val="hybridMultilevel"/>
    <w:tmpl w:val="687AACAC"/>
    <w:lvl w:ilvl="0" w:tplc="EC1C9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92402B0"/>
    <w:multiLevelType w:val="hybridMultilevel"/>
    <w:tmpl w:val="4F4ED13C"/>
    <w:lvl w:ilvl="0" w:tplc="0409000F">
      <w:start w:val="3"/>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3B01C4"/>
    <w:multiLevelType w:val="hybridMultilevel"/>
    <w:tmpl w:val="2BC81DD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525904"/>
    <w:multiLevelType w:val="hybridMultilevel"/>
    <w:tmpl w:val="49406F50"/>
    <w:lvl w:ilvl="0" w:tplc="DF509394">
      <w:start w:val="1"/>
      <w:numFmt w:val="decimal"/>
      <w:lvlText w:val="%1."/>
      <w:lvlJc w:val="left"/>
      <w:pPr>
        <w:ind w:left="43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16337"/>
    <w:multiLevelType w:val="hybridMultilevel"/>
    <w:tmpl w:val="8196C2FA"/>
    <w:lvl w:ilvl="0" w:tplc="8ADC9432">
      <w:start w:val="1"/>
      <w:numFmt w:val="decimal"/>
      <w:lvlText w:val="%1."/>
      <w:lvlJc w:val="left"/>
      <w:pPr>
        <w:ind w:left="720" w:hanging="360"/>
      </w:pPr>
      <w:rPr>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CAB7BF3"/>
    <w:multiLevelType w:val="hybridMultilevel"/>
    <w:tmpl w:val="72103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0A07D1"/>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84D531B"/>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B772F3D"/>
    <w:multiLevelType w:val="hybridMultilevel"/>
    <w:tmpl w:val="6E3C9274"/>
    <w:lvl w:ilvl="0" w:tplc="28D62046">
      <w:start w:val="854"/>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0F01204"/>
    <w:multiLevelType w:val="hybridMultilevel"/>
    <w:tmpl w:val="F628235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1AB2F40"/>
    <w:multiLevelType w:val="hybridMultilevel"/>
    <w:tmpl w:val="7EF03F36"/>
    <w:lvl w:ilvl="0" w:tplc="ECC6F3D2">
      <w:start w:val="682"/>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6197C19"/>
    <w:multiLevelType w:val="hybridMultilevel"/>
    <w:tmpl w:val="707CB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4624A"/>
    <w:multiLevelType w:val="hybridMultilevel"/>
    <w:tmpl w:val="DAC2C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CD7D89"/>
    <w:multiLevelType w:val="hybridMultilevel"/>
    <w:tmpl w:val="ABBA8D18"/>
    <w:lvl w:ilvl="0" w:tplc="36DC0F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A375366"/>
    <w:multiLevelType w:val="hybridMultilevel"/>
    <w:tmpl w:val="49406F50"/>
    <w:lvl w:ilvl="0" w:tplc="DF50939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num w:numId="1">
    <w:abstractNumId w:val="14"/>
  </w:num>
  <w:num w:numId="2">
    <w:abstractNumId w:val="2"/>
  </w:num>
  <w:num w:numId="3">
    <w:abstractNumId w:val="20"/>
  </w:num>
  <w:num w:numId="4">
    <w:abstractNumId w:val="1"/>
  </w:num>
  <w:num w:numId="5">
    <w:abstractNumId w:val="8"/>
  </w:num>
  <w:num w:numId="6">
    <w:abstractNumId w:val="16"/>
  </w:num>
  <w:num w:numId="7">
    <w:abstractNumId w:val="18"/>
  </w:num>
  <w:num w:numId="8">
    <w:abstractNumId w:val="7"/>
  </w:num>
  <w:num w:numId="9">
    <w:abstractNumId w:val="13"/>
  </w:num>
  <w:num w:numId="10">
    <w:abstractNumId w:val="17"/>
  </w:num>
  <w:num w:numId="11">
    <w:abstractNumId w:val="3"/>
  </w:num>
  <w:num w:numId="12">
    <w:abstractNumId w:val="9"/>
  </w:num>
  <w:num w:numId="13">
    <w:abstractNumId w:val="10"/>
  </w:num>
  <w:num w:numId="14">
    <w:abstractNumId w:val="22"/>
  </w:num>
  <w:num w:numId="15">
    <w:abstractNumId w:val="19"/>
  </w:num>
  <w:num w:numId="16">
    <w:abstractNumId w:val="6"/>
  </w:num>
  <w:num w:numId="17">
    <w:abstractNumId w:val="0"/>
  </w:num>
  <w:num w:numId="18">
    <w:abstractNumId w:val="11"/>
  </w:num>
  <w:num w:numId="19">
    <w:abstractNumId w:val="4"/>
  </w:num>
  <w:num w:numId="20">
    <w:abstractNumId w:val="21"/>
  </w:num>
  <w:num w:numId="21">
    <w:abstractNumId w:val="15"/>
  </w:num>
  <w:num w:numId="22">
    <w:abstractNumId w:val="5"/>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024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334"/>
    <w:rsid w:val="000526FA"/>
    <w:rsid w:val="000A5DFA"/>
    <w:rsid w:val="0010294F"/>
    <w:rsid w:val="00102E8B"/>
    <w:rsid w:val="00103974"/>
    <w:rsid w:val="001263F7"/>
    <w:rsid w:val="00150B3B"/>
    <w:rsid w:val="00150D21"/>
    <w:rsid w:val="00191BF3"/>
    <w:rsid w:val="0019200D"/>
    <w:rsid w:val="00193C86"/>
    <w:rsid w:val="001976FC"/>
    <w:rsid w:val="001A53DE"/>
    <w:rsid w:val="001B1515"/>
    <w:rsid w:val="001B255D"/>
    <w:rsid w:val="001C3511"/>
    <w:rsid w:val="001F799E"/>
    <w:rsid w:val="00202CF5"/>
    <w:rsid w:val="00221270"/>
    <w:rsid w:val="00290FFD"/>
    <w:rsid w:val="00293502"/>
    <w:rsid w:val="002945EE"/>
    <w:rsid w:val="002A59BA"/>
    <w:rsid w:val="002E3081"/>
    <w:rsid w:val="002E388D"/>
    <w:rsid w:val="002F1FC2"/>
    <w:rsid w:val="00304895"/>
    <w:rsid w:val="00324CA1"/>
    <w:rsid w:val="00330A6F"/>
    <w:rsid w:val="00330CE8"/>
    <w:rsid w:val="00334C22"/>
    <w:rsid w:val="003356C5"/>
    <w:rsid w:val="00356334"/>
    <w:rsid w:val="003A1FB0"/>
    <w:rsid w:val="003B4683"/>
    <w:rsid w:val="003D6E3A"/>
    <w:rsid w:val="003F0DF7"/>
    <w:rsid w:val="00452982"/>
    <w:rsid w:val="00472368"/>
    <w:rsid w:val="00475471"/>
    <w:rsid w:val="00476922"/>
    <w:rsid w:val="004A3F8B"/>
    <w:rsid w:val="004A60E6"/>
    <w:rsid w:val="004B5CCB"/>
    <w:rsid w:val="00521D6E"/>
    <w:rsid w:val="00544262"/>
    <w:rsid w:val="005636F8"/>
    <w:rsid w:val="00565EEC"/>
    <w:rsid w:val="00573FC8"/>
    <w:rsid w:val="005743D6"/>
    <w:rsid w:val="00595ED9"/>
    <w:rsid w:val="005A1AD1"/>
    <w:rsid w:val="005B1923"/>
    <w:rsid w:val="005B55CB"/>
    <w:rsid w:val="005C55F1"/>
    <w:rsid w:val="005F22F9"/>
    <w:rsid w:val="005F4E3A"/>
    <w:rsid w:val="00616DFE"/>
    <w:rsid w:val="00624F11"/>
    <w:rsid w:val="006418C1"/>
    <w:rsid w:val="00676A1A"/>
    <w:rsid w:val="006A022F"/>
    <w:rsid w:val="00700981"/>
    <w:rsid w:val="00733A9E"/>
    <w:rsid w:val="00790D0D"/>
    <w:rsid w:val="00791FDD"/>
    <w:rsid w:val="007E22D7"/>
    <w:rsid w:val="00815B3A"/>
    <w:rsid w:val="00826926"/>
    <w:rsid w:val="00852677"/>
    <w:rsid w:val="00874A88"/>
    <w:rsid w:val="008833A0"/>
    <w:rsid w:val="00887324"/>
    <w:rsid w:val="008C08C1"/>
    <w:rsid w:val="008F3EF9"/>
    <w:rsid w:val="008F799B"/>
    <w:rsid w:val="00926073"/>
    <w:rsid w:val="0093106C"/>
    <w:rsid w:val="0098336C"/>
    <w:rsid w:val="009851D3"/>
    <w:rsid w:val="00992CC6"/>
    <w:rsid w:val="009A4ECC"/>
    <w:rsid w:val="009A7C27"/>
    <w:rsid w:val="009D7421"/>
    <w:rsid w:val="009E6021"/>
    <w:rsid w:val="009F5F45"/>
    <w:rsid w:val="00A200F7"/>
    <w:rsid w:val="00A50155"/>
    <w:rsid w:val="00A6398F"/>
    <w:rsid w:val="00A672C8"/>
    <w:rsid w:val="00AB70E8"/>
    <w:rsid w:val="00AD019A"/>
    <w:rsid w:val="00AF13AB"/>
    <w:rsid w:val="00B57583"/>
    <w:rsid w:val="00B57C5D"/>
    <w:rsid w:val="00B85953"/>
    <w:rsid w:val="00B95416"/>
    <w:rsid w:val="00BB5B2F"/>
    <w:rsid w:val="00BC592B"/>
    <w:rsid w:val="00C51DDA"/>
    <w:rsid w:val="00C844B0"/>
    <w:rsid w:val="00C97DC1"/>
    <w:rsid w:val="00CB46BE"/>
    <w:rsid w:val="00D07202"/>
    <w:rsid w:val="00D332D1"/>
    <w:rsid w:val="00DA4A35"/>
    <w:rsid w:val="00DB43C6"/>
    <w:rsid w:val="00DC198A"/>
    <w:rsid w:val="00DF1BBF"/>
    <w:rsid w:val="00E022B7"/>
    <w:rsid w:val="00E17BC1"/>
    <w:rsid w:val="00E338DA"/>
    <w:rsid w:val="00E50C69"/>
    <w:rsid w:val="00E54990"/>
    <w:rsid w:val="00E62DC2"/>
    <w:rsid w:val="00E642EB"/>
    <w:rsid w:val="00E83A5F"/>
    <w:rsid w:val="00E959D8"/>
    <w:rsid w:val="00EB28CB"/>
    <w:rsid w:val="00ED7CA2"/>
    <w:rsid w:val="00EE69E2"/>
    <w:rsid w:val="00EF6F4D"/>
    <w:rsid w:val="00F00612"/>
    <w:rsid w:val="00F27893"/>
    <w:rsid w:val="00F82BF2"/>
    <w:rsid w:val="00FB7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33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List Paragraph1,Colorful List - Accent 11,List Paragraph11"/>
    <w:basedOn w:val="Normal"/>
    <w:link w:val="ListParagraphChar"/>
    <w:uiPriority w:val="34"/>
    <w:qFormat/>
    <w:rsid w:val="00356334"/>
    <w:pPr>
      <w:ind w:left="720"/>
      <w:contextualSpacing/>
    </w:pPr>
  </w:style>
  <w:style w:type="paragraph" w:styleId="Header">
    <w:name w:val="header"/>
    <w:basedOn w:val="Normal"/>
    <w:link w:val="HeaderChar"/>
    <w:uiPriority w:val="99"/>
    <w:unhideWhenUsed/>
    <w:rsid w:val="00356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334"/>
    <w:rPr>
      <w:rFonts w:ascii="Calibri" w:eastAsia="Calibri" w:hAnsi="Calibri" w:cs="Times New Roman"/>
    </w:rPr>
  </w:style>
  <w:style w:type="paragraph" w:styleId="BodyTextIndent2">
    <w:name w:val="Body Text Indent 2"/>
    <w:basedOn w:val="Normal"/>
    <w:link w:val="BodyTextIndent2Char"/>
    <w:rsid w:val="001263F7"/>
    <w:pPr>
      <w:spacing w:after="0" w:line="240" w:lineRule="auto"/>
      <w:ind w:firstLine="720"/>
      <w:jc w:val="both"/>
    </w:pPr>
    <w:rPr>
      <w:rFonts w:ascii="Univers" w:eastAsia="Times New Roman" w:hAnsi="Univers"/>
      <w:szCs w:val="20"/>
      <w:lang w:val="es-ES" w:eastAsia="es-ES"/>
    </w:rPr>
  </w:style>
  <w:style w:type="character" w:customStyle="1" w:styleId="BodyTextIndent2Char">
    <w:name w:val="Body Text Indent 2 Char"/>
    <w:basedOn w:val="DefaultParagraphFont"/>
    <w:link w:val="BodyTextIndent2"/>
    <w:uiPriority w:val="99"/>
    <w:rsid w:val="001263F7"/>
    <w:rPr>
      <w:rFonts w:ascii="Univers" w:eastAsia="Times New Roman" w:hAnsi="Univers" w:cs="Times New Roman"/>
      <w:szCs w:val="20"/>
      <w:lang w:val="es-ES" w:eastAsia="es-ES"/>
    </w:rPr>
  </w:style>
  <w:style w:type="character" w:styleId="Hyperlink">
    <w:name w:val="Hyperlink"/>
    <w:basedOn w:val="DefaultParagraphFont"/>
    <w:uiPriority w:val="99"/>
    <w:unhideWhenUsed/>
    <w:rsid w:val="00DF1BBF"/>
    <w:rPr>
      <w:color w:val="0563C1" w:themeColor="hyperlink"/>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4B5CCB"/>
    <w:rPr>
      <w:rFonts w:ascii="Calibri" w:eastAsia="Calibri" w:hAnsi="Calibri" w:cs="Times New Roman"/>
    </w:rPr>
  </w:style>
  <w:style w:type="paragraph" w:styleId="NormalWeb">
    <w:name w:val="Normal (Web)"/>
    <w:basedOn w:val="Normal"/>
    <w:uiPriority w:val="99"/>
    <w:semiHidden/>
    <w:unhideWhenUsed/>
    <w:rsid w:val="004B5CC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4B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95"/>
    <w:rPr>
      <w:rFonts w:ascii="Tahoma" w:eastAsia="Calibri" w:hAnsi="Tahoma" w:cs="Tahoma"/>
      <w:sz w:val="16"/>
      <w:szCs w:val="16"/>
    </w:rPr>
  </w:style>
  <w:style w:type="paragraph" w:styleId="Footer">
    <w:name w:val="footer"/>
    <w:basedOn w:val="Normal"/>
    <w:link w:val="FooterChar"/>
    <w:uiPriority w:val="99"/>
    <w:unhideWhenUsed/>
    <w:rsid w:val="00102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E8B"/>
    <w:rPr>
      <w:rFonts w:ascii="Calibri" w:eastAsia="Calibri" w:hAnsi="Calibri" w:cs="Times New Roman"/>
    </w:rPr>
  </w:style>
  <w:style w:type="character" w:styleId="FollowedHyperlink">
    <w:name w:val="FollowedHyperlink"/>
    <w:basedOn w:val="DefaultParagraphFont"/>
    <w:uiPriority w:val="99"/>
    <w:semiHidden/>
    <w:unhideWhenUsed/>
    <w:rsid w:val="00102E8B"/>
    <w:rPr>
      <w:color w:val="954F72" w:themeColor="followedHyperlink"/>
      <w:u w:val="single"/>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B85953"/>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B85953"/>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B85953"/>
    <w:rPr>
      <w:rFonts w:ascii="Calibri" w:eastAsia="Calibri" w:hAnsi="Calibri" w:cs="Times New Roman"/>
      <w:sz w:val="20"/>
      <w:szCs w:val="20"/>
    </w:rPr>
  </w:style>
  <w:style w:type="paragraph" w:customStyle="1" w:styleId="Appelnotedebasde">
    <w:name w:val="Appel note de bas de..."/>
    <w:basedOn w:val="Normal"/>
    <w:link w:val="FootnoteReference"/>
    <w:uiPriority w:val="99"/>
    <w:rsid w:val="00B85953"/>
    <w:pPr>
      <w:spacing w:after="160" w:line="240" w:lineRule="exact"/>
    </w:pPr>
    <w:rPr>
      <w:rFonts w:asciiTheme="minorHAnsi" w:eastAsiaTheme="minorHAnsi" w:hAnsiTheme="minorHAnsi" w:cstheme="minorBidi"/>
    </w:rPr>
  </w:style>
  <w:style w:type="paragraph" w:styleId="NoSpacing">
    <w:name w:val="No Spacing"/>
    <w:uiPriority w:val="1"/>
    <w:qFormat/>
    <w:rsid w:val="00193C86"/>
    <w:pPr>
      <w:spacing w:after="0" w:line="240" w:lineRule="auto"/>
    </w:pPr>
    <w:rPr>
      <w:rFonts w:ascii="Calibri" w:eastAsia="Calibri" w:hAnsi="Calibri" w:cs="Times New Roman"/>
    </w:rPr>
  </w:style>
  <w:style w:type="paragraph" w:customStyle="1" w:styleId="Default">
    <w:name w:val="Default"/>
    <w:rsid w:val="00992CC6"/>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6334"/>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Párrafo de lista1,List Paragraph1,Colorful List - Accent 11,List Paragraph11"/>
    <w:basedOn w:val="Normal"/>
    <w:link w:val="ListParagraphChar"/>
    <w:uiPriority w:val="34"/>
    <w:qFormat/>
    <w:rsid w:val="00356334"/>
    <w:pPr>
      <w:ind w:left="720"/>
      <w:contextualSpacing/>
    </w:pPr>
  </w:style>
  <w:style w:type="paragraph" w:styleId="Header">
    <w:name w:val="header"/>
    <w:basedOn w:val="Normal"/>
    <w:link w:val="HeaderChar"/>
    <w:uiPriority w:val="99"/>
    <w:unhideWhenUsed/>
    <w:rsid w:val="00356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6334"/>
    <w:rPr>
      <w:rFonts w:ascii="Calibri" w:eastAsia="Calibri" w:hAnsi="Calibri" w:cs="Times New Roman"/>
    </w:rPr>
  </w:style>
  <w:style w:type="paragraph" w:styleId="BodyTextIndent2">
    <w:name w:val="Body Text Indent 2"/>
    <w:basedOn w:val="Normal"/>
    <w:link w:val="BodyTextIndent2Char"/>
    <w:rsid w:val="001263F7"/>
    <w:pPr>
      <w:spacing w:after="0" w:line="240" w:lineRule="auto"/>
      <w:ind w:firstLine="720"/>
      <w:jc w:val="both"/>
    </w:pPr>
    <w:rPr>
      <w:rFonts w:ascii="Univers" w:eastAsia="Times New Roman" w:hAnsi="Univers"/>
      <w:szCs w:val="20"/>
      <w:lang w:val="es-ES" w:eastAsia="es-ES"/>
    </w:rPr>
  </w:style>
  <w:style w:type="character" w:customStyle="1" w:styleId="BodyTextIndent2Char">
    <w:name w:val="Body Text Indent 2 Char"/>
    <w:basedOn w:val="DefaultParagraphFont"/>
    <w:link w:val="BodyTextIndent2"/>
    <w:uiPriority w:val="99"/>
    <w:rsid w:val="001263F7"/>
    <w:rPr>
      <w:rFonts w:ascii="Univers" w:eastAsia="Times New Roman" w:hAnsi="Univers" w:cs="Times New Roman"/>
      <w:szCs w:val="20"/>
      <w:lang w:val="es-ES" w:eastAsia="es-ES"/>
    </w:rPr>
  </w:style>
  <w:style w:type="character" w:styleId="Hyperlink">
    <w:name w:val="Hyperlink"/>
    <w:basedOn w:val="DefaultParagraphFont"/>
    <w:uiPriority w:val="99"/>
    <w:unhideWhenUsed/>
    <w:rsid w:val="00DF1BBF"/>
    <w:rPr>
      <w:color w:val="0563C1" w:themeColor="hyperlink"/>
      <w:u w:val="single"/>
    </w:rPr>
  </w:style>
  <w:style w:type="character" w:customStyle="1" w:styleId="ListParagraphChar">
    <w:name w:val="List Paragraph Char"/>
    <w:aliases w:val="Párrafo de lista1 Char,List Paragraph1 Char,Colorful List - Accent 11 Char,List Paragraph11 Char"/>
    <w:link w:val="ListParagraph"/>
    <w:uiPriority w:val="34"/>
    <w:qFormat/>
    <w:locked/>
    <w:rsid w:val="004B5CCB"/>
    <w:rPr>
      <w:rFonts w:ascii="Calibri" w:eastAsia="Calibri" w:hAnsi="Calibri" w:cs="Times New Roman"/>
    </w:rPr>
  </w:style>
  <w:style w:type="paragraph" w:styleId="NormalWeb">
    <w:name w:val="Normal (Web)"/>
    <w:basedOn w:val="Normal"/>
    <w:uiPriority w:val="99"/>
    <w:semiHidden/>
    <w:unhideWhenUsed/>
    <w:rsid w:val="004B5CCB"/>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4B5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48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895"/>
    <w:rPr>
      <w:rFonts w:ascii="Tahoma" w:eastAsia="Calibri" w:hAnsi="Tahoma" w:cs="Tahoma"/>
      <w:sz w:val="16"/>
      <w:szCs w:val="16"/>
    </w:rPr>
  </w:style>
  <w:style w:type="paragraph" w:styleId="Footer">
    <w:name w:val="footer"/>
    <w:basedOn w:val="Normal"/>
    <w:link w:val="FooterChar"/>
    <w:uiPriority w:val="99"/>
    <w:unhideWhenUsed/>
    <w:rsid w:val="00102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2E8B"/>
    <w:rPr>
      <w:rFonts w:ascii="Calibri" w:eastAsia="Calibri" w:hAnsi="Calibri" w:cs="Times New Roman"/>
    </w:rPr>
  </w:style>
  <w:style w:type="character" w:styleId="FollowedHyperlink">
    <w:name w:val="FollowedHyperlink"/>
    <w:basedOn w:val="DefaultParagraphFont"/>
    <w:uiPriority w:val="99"/>
    <w:semiHidden/>
    <w:unhideWhenUsed/>
    <w:rsid w:val="00102E8B"/>
    <w:rPr>
      <w:color w:val="954F72" w:themeColor="followedHyperlink"/>
      <w:u w:val="single"/>
    </w:rPr>
  </w:style>
  <w:style w:type="character" w:styleId="FootnoteReference">
    <w:name w:val="footnote reference"/>
    <w:aliases w:val="Footnotes refss,Texto de nota al pie,referencia nota al pie,BVI fnr,Appel note de bas de page,Footnote symbol,Footnote number,f,Ref. de nota al pie.,4_G,16 Point,Superscript 6 Point,Texto nota al pie,Ref. de nota al pi,Ref,f1,4,norma"/>
    <w:link w:val="Appelnotedebasde"/>
    <w:uiPriority w:val="99"/>
    <w:unhideWhenUsed/>
    <w:qFormat/>
    <w:rsid w:val="00B85953"/>
  </w:style>
  <w:style w:type="paragraph" w:styleId="FootnoteText">
    <w:name w:val="footnote text"/>
    <w:aliases w:val="Footnote Text Char Char Char Char Char,Footnote Text Char Char Char Char,Footnote reference,FA Fu,Footnote Text Char Char Char,fn,single space,Footnote Text Char Char Char Car,FA Fu Car,Footnote Text Cha,FA Fußnotentext,ft,C,footnote text"/>
    <w:basedOn w:val="Normal"/>
    <w:link w:val="FootnoteTextChar"/>
    <w:unhideWhenUsed/>
    <w:qFormat/>
    <w:rsid w:val="00B85953"/>
    <w:rPr>
      <w:sz w:val="20"/>
      <w:szCs w:val="20"/>
    </w:rPr>
  </w:style>
  <w:style w:type="character" w:customStyle="1" w:styleId="FootnoteTextChar">
    <w:name w:val="Footnote Text Char"/>
    <w:aliases w:val="Footnote Text Char Char Char Char Char Char,Footnote Text Char Char Char Char Char1,Footnote reference Char,FA Fu Char,Footnote Text Char Char Char Char1,fn Char,single space Char,Footnote Text Char Char Char Car Char,FA Fu Car Char"/>
    <w:basedOn w:val="DefaultParagraphFont"/>
    <w:link w:val="FootnoteText"/>
    <w:rsid w:val="00B85953"/>
    <w:rPr>
      <w:rFonts w:ascii="Calibri" w:eastAsia="Calibri" w:hAnsi="Calibri" w:cs="Times New Roman"/>
      <w:sz w:val="20"/>
      <w:szCs w:val="20"/>
    </w:rPr>
  </w:style>
  <w:style w:type="paragraph" w:customStyle="1" w:styleId="Appelnotedebasde">
    <w:name w:val="Appel note de bas de..."/>
    <w:basedOn w:val="Normal"/>
    <w:link w:val="FootnoteReference"/>
    <w:uiPriority w:val="99"/>
    <w:rsid w:val="00B85953"/>
    <w:pPr>
      <w:spacing w:after="160" w:line="240" w:lineRule="exact"/>
    </w:pPr>
    <w:rPr>
      <w:rFonts w:asciiTheme="minorHAnsi" w:eastAsiaTheme="minorHAnsi" w:hAnsiTheme="minorHAnsi" w:cstheme="minorBidi"/>
    </w:rPr>
  </w:style>
  <w:style w:type="paragraph" w:styleId="NoSpacing">
    <w:name w:val="No Spacing"/>
    <w:uiPriority w:val="1"/>
    <w:qFormat/>
    <w:rsid w:val="00193C86"/>
    <w:pPr>
      <w:spacing w:after="0" w:line="240" w:lineRule="auto"/>
    </w:pPr>
    <w:rPr>
      <w:rFonts w:ascii="Calibri" w:eastAsia="Calibri" w:hAnsi="Calibri" w:cs="Times New Roman"/>
    </w:rPr>
  </w:style>
  <w:style w:type="paragraph" w:customStyle="1" w:styleId="Default">
    <w:name w:val="Default"/>
    <w:rsid w:val="00992CC6"/>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813467">
      <w:bodyDiv w:val="1"/>
      <w:marLeft w:val="0"/>
      <w:marRight w:val="0"/>
      <w:marTop w:val="0"/>
      <w:marBottom w:val="0"/>
      <w:divBdr>
        <w:top w:val="none" w:sz="0" w:space="0" w:color="auto"/>
        <w:left w:val="none" w:sz="0" w:space="0" w:color="auto"/>
        <w:bottom w:val="none" w:sz="0" w:space="0" w:color="auto"/>
        <w:right w:val="none" w:sz="0" w:space="0" w:color="auto"/>
      </w:divBdr>
    </w:div>
    <w:div w:id="591667756">
      <w:bodyDiv w:val="1"/>
      <w:marLeft w:val="0"/>
      <w:marRight w:val="0"/>
      <w:marTop w:val="0"/>
      <w:marBottom w:val="0"/>
      <w:divBdr>
        <w:top w:val="none" w:sz="0" w:space="0" w:color="auto"/>
        <w:left w:val="none" w:sz="0" w:space="0" w:color="auto"/>
        <w:bottom w:val="none" w:sz="0" w:space="0" w:color="auto"/>
        <w:right w:val="none" w:sz="0" w:space="0" w:color="auto"/>
      </w:divBdr>
    </w:div>
    <w:div w:id="603149784">
      <w:bodyDiv w:val="1"/>
      <w:marLeft w:val="0"/>
      <w:marRight w:val="0"/>
      <w:marTop w:val="0"/>
      <w:marBottom w:val="0"/>
      <w:divBdr>
        <w:top w:val="none" w:sz="0" w:space="0" w:color="auto"/>
        <w:left w:val="none" w:sz="0" w:space="0" w:color="auto"/>
        <w:bottom w:val="none" w:sz="0" w:space="0" w:color="auto"/>
        <w:right w:val="none" w:sz="0" w:space="0" w:color="auto"/>
      </w:divBdr>
    </w:div>
    <w:div w:id="611862041">
      <w:bodyDiv w:val="1"/>
      <w:marLeft w:val="0"/>
      <w:marRight w:val="0"/>
      <w:marTop w:val="0"/>
      <w:marBottom w:val="0"/>
      <w:divBdr>
        <w:top w:val="none" w:sz="0" w:space="0" w:color="auto"/>
        <w:left w:val="none" w:sz="0" w:space="0" w:color="auto"/>
        <w:bottom w:val="none" w:sz="0" w:space="0" w:color="auto"/>
        <w:right w:val="none" w:sz="0" w:space="0" w:color="auto"/>
      </w:divBdr>
    </w:div>
    <w:div w:id="1166287123">
      <w:bodyDiv w:val="1"/>
      <w:marLeft w:val="0"/>
      <w:marRight w:val="0"/>
      <w:marTop w:val="0"/>
      <w:marBottom w:val="0"/>
      <w:divBdr>
        <w:top w:val="none" w:sz="0" w:space="0" w:color="auto"/>
        <w:left w:val="none" w:sz="0" w:space="0" w:color="auto"/>
        <w:bottom w:val="none" w:sz="0" w:space="0" w:color="auto"/>
        <w:right w:val="none" w:sz="0" w:space="0" w:color="auto"/>
      </w:divBdr>
    </w:div>
    <w:div w:id="1392579414">
      <w:bodyDiv w:val="1"/>
      <w:marLeft w:val="0"/>
      <w:marRight w:val="0"/>
      <w:marTop w:val="0"/>
      <w:marBottom w:val="0"/>
      <w:divBdr>
        <w:top w:val="none" w:sz="0" w:space="0" w:color="auto"/>
        <w:left w:val="none" w:sz="0" w:space="0" w:color="auto"/>
        <w:bottom w:val="none" w:sz="0" w:space="0" w:color="auto"/>
        <w:right w:val="none" w:sz="0" w:space="0" w:color="auto"/>
      </w:divBdr>
    </w:div>
    <w:div w:id="1452553213">
      <w:bodyDiv w:val="1"/>
      <w:marLeft w:val="0"/>
      <w:marRight w:val="0"/>
      <w:marTop w:val="0"/>
      <w:marBottom w:val="0"/>
      <w:divBdr>
        <w:top w:val="none" w:sz="0" w:space="0" w:color="auto"/>
        <w:left w:val="none" w:sz="0" w:space="0" w:color="auto"/>
        <w:bottom w:val="none" w:sz="0" w:space="0" w:color="auto"/>
        <w:right w:val="none" w:sz="0" w:space="0" w:color="auto"/>
      </w:divBdr>
    </w:div>
    <w:div w:id="1536580924">
      <w:bodyDiv w:val="1"/>
      <w:marLeft w:val="0"/>
      <w:marRight w:val="0"/>
      <w:marTop w:val="0"/>
      <w:marBottom w:val="0"/>
      <w:divBdr>
        <w:top w:val="none" w:sz="0" w:space="0" w:color="auto"/>
        <w:left w:val="none" w:sz="0" w:space="0" w:color="auto"/>
        <w:bottom w:val="none" w:sz="0" w:space="0" w:color="auto"/>
        <w:right w:val="none" w:sz="0" w:space="0" w:color="auto"/>
      </w:divBdr>
    </w:div>
    <w:div w:id="1946880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dh.oas.org/annualrep/2000sp/CapituloIII/Fondo/Jamaica12.069.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idh.oas.org/annualrep/2000sp/CapituloIII/Admisible/Jamaica12.069.ht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sp/professionalinterest/pages/remedyandreparation.aspx" TargetMode="External"/><Relationship Id="rId1" Type="http://schemas.openxmlformats.org/officeDocument/2006/relationships/hyperlink" Target="http://www.corteidh.or.cr/docs/casos/articulos/seriec_162_esp.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1791</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CIDH Intern 17 (Rocha, Thais)</dc:creator>
  <cp:lastModifiedBy>Daniel Garcia</cp:lastModifiedBy>
  <cp:revision>15</cp:revision>
  <dcterms:created xsi:type="dcterms:W3CDTF">2019-08-06T19:40:00Z</dcterms:created>
  <dcterms:modified xsi:type="dcterms:W3CDTF">2020-01-10T19:49:00Z</dcterms:modified>
</cp:coreProperties>
</file>