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A3" w:rsidRDefault="009678A3" w:rsidP="00594FE3">
      <w:pPr>
        <w:pStyle w:val="Header"/>
        <w:jc w:val="center"/>
        <w:rPr>
          <w:rFonts w:ascii="Cambria" w:hAnsi="Cambria"/>
          <w:b/>
          <w:szCs w:val="20"/>
          <w:lang w:val="es-ES"/>
        </w:rPr>
      </w:pPr>
    </w:p>
    <w:p w:rsidR="009A3E21" w:rsidRPr="009678A3" w:rsidRDefault="009678A3" w:rsidP="00594FE3">
      <w:pPr>
        <w:pStyle w:val="Header"/>
        <w:jc w:val="center"/>
        <w:rPr>
          <w:rFonts w:ascii="Cambria" w:hAnsi="Cambria"/>
          <w:szCs w:val="20"/>
          <w:lang w:val="es-ES"/>
        </w:rPr>
      </w:pPr>
      <w:r w:rsidRPr="009678A3">
        <w:rPr>
          <w:rFonts w:ascii="Cambria" w:hAnsi="Cambria"/>
          <w:b/>
          <w:szCs w:val="20"/>
          <w:lang w:val="es-ES"/>
        </w:rPr>
        <w:t>FICH</w:t>
      </w:r>
      <w:r w:rsidR="00D77B62">
        <w:rPr>
          <w:rFonts w:ascii="Cambria" w:hAnsi="Cambria"/>
          <w:b/>
          <w:szCs w:val="20"/>
          <w:lang w:val="es-ES"/>
        </w:rPr>
        <w:t>A DE SEGUIMIENTO DEL INFORME Nº</w:t>
      </w:r>
      <w:r w:rsidRPr="009678A3">
        <w:rPr>
          <w:rFonts w:ascii="Cambria" w:hAnsi="Cambria"/>
          <w:b/>
          <w:szCs w:val="20"/>
          <w:lang w:val="es-ES"/>
        </w:rPr>
        <w:t xml:space="preserve"> 79/07</w:t>
      </w:r>
    </w:p>
    <w:p w:rsidR="009A3E21" w:rsidRPr="009678A3" w:rsidRDefault="001E601A" w:rsidP="00594FE3">
      <w:pPr>
        <w:spacing w:after="0" w:line="240" w:lineRule="auto"/>
        <w:jc w:val="center"/>
        <w:rPr>
          <w:rFonts w:ascii="Cambria" w:hAnsi="Cambria"/>
          <w:b/>
          <w:szCs w:val="20"/>
          <w:lang w:val="es-ES"/>
        </w:rPr>
      </w:pPr>
      <w:r w:rsidRPr="009678A3">
        <w:rPr>
          <w:rFonts w:ascii="Cambria" w:hAnsi="Cambria"/>
          <w:b/>
          <w:szCs w:val="20"/>
          <w:lang w:val="es-ES"/>
        </w:rPr>
        <w:t>C</w:t>
      </w:r>
      <w:r>
        <w:rPr>
          <w:rFonts w:ascii="Cambria" w:hAnsi="Cambria"/>
          <w:b/>
          <w:szCs w:val="20"/>
          <w:lang w:val="es-ES"/>
        </w:rPr>
        <w:t>ASO</w:t>
      </w:r>
      <w:r w:rsidRPr="009678A3">
        <w:rPr>
          <w:rFonts w:ascii="Cambria" w:hAnsi="Cambria"/>
          <w:b/>
          <w:szCs w:val="20"/>
          <w:lang w:val="es-ES"/>
        </w:rPr>
        <w:t xml:space="preserve"> 12.513</w:t>
      </w:r>
    </w:p>
    <w:p w:rsidR="009A3E21" w:rsidRPr="009678A3" w:rsidRDefault="001E601A" w:rsidP="00594FE3">
      <w:pPr>
        <w:spacing w:after="0" w:line="240" w:lineRule="auto"/>
        <w:jc w:val="center"/>
        <w:rPr>
          <w:rFonts w:ascii="Cambria" w:hAnsi="Cambria"/>
          <w:b/>
          <w:szCs w:val="20"/>
          <w:lang w:val="es-ES"/>
        </w:rPr>
      </w:pPr>
      <w:r>
        <w:rPr>
          <w:rFonts w:ascii="Cambria" w:hAnsi="Cambria"/>
          <w:b/>
          <w:szCs w:val="20"/>
          <w:lang w:val="es-ES"/>
        </w:rPr>
        <w:t>PRINCE</w:t>
      </w:r>
      <w:r w:rsidRPr="009678A3">
        <w:rPr>
          <w:rFonts w:ascii="Cambria" w:hAnsi="Cambria"/>
          <w:b/>
          <w:szCs w:val="20"/>
          <w:lang w:val="es-ES"/>
        </w:rPr>
        <w:t xml:space="preserve"> P</w:t>
      </w:r>
      <w:r>
        <w:rPr>
          <w:rFonts w:ascii="Cambria" w:hAnsi="Cambria"/>
          <w:b/>
          <w:szCs w:val="20"/>
          <w:lang w:val="es-ES"/>
        </w:rPr>
        <w:t>INDER</w:t>
      </w:r>
    </w:p>
    <w:p w:rsidR="007B15E0" w:rsidRPr="009678A3" w:rsidRDefault="007B15E0" w:rsidP="00594FE3">
      <w:pPr>
        <w:spacing w:after="0" w:line="240" w:lineRule="auto"/>
        <w:jc w:val="center"/>
        <w:rPr>
          <w:rFonts w:ascii="Cambria" w:hAnsi="Cambria"/>
          <w:b/>
          <w:szCs w:val="20"/>
          <w:lang w:val="es-ES"/>
        </w:rPr>
      </w:pPr>
      <w:r w:rsidRPr="009678A3">
        <w:rPr>
          <w:rFonts w:ascii="Cambria" w:hAnsi="Cambria"/>
          <w:b/>
          <w:szCs w:val="20"/>
          <w:lang w:val="es-ES"/>
        </w:rPr>
        <w:t>(</w:t>
      </w:r>
      <w:r w:rsidR="00F95924" w:rsidRPr="009678A3">
        <w:rPr>
          <w:rFonts w:ascii="Cambria" w:hAnsi="Cambria"/>
          <w:b/>
          <w:szCs w:val="20"/>
          <w:lang w:val="es-ES"/>
        </w:rPr>
        <w:t xml:space="preserve">Las </w:t>
      </w:r>
      <w:r w:rsidRPr="009678A3">
        <w:rPr>
          <w:rFonts w:ascii="Cambria" w:hAnsi="Cambria"/>
          <w:b/>
          <w:szCs w:val="20"/>
          <w:lang w:val="es-ES"/>
        </w:rPr>
        <w:t>Bahamas</w:t>
      </w:r>
      <w:r w:rsidR="00F95924" w:rsidRPr="009678A3">
        <w:rPr>
          <w:rFonts w:ascii="Cambria" w:hAnsi="Cambria"/>
          <w:b/>
          <w:szCs w:val="20"/>
          <w:lang w:val="es-ES"/>
        </w:rPr>
        <w:t xml:space="preserve"> (Commonwealth de)</w:t>
      </w:r>
      <w:r w:rsidRPr="009678A3">
        <w:rPr>
          <w:rFonts w:ascii="Cambria" w:hAnsi="Cambria"/>
          <w:b/>
          <w:szCs w:val="20"/>
          <w:lang w:val="es-ES"/>
        </w:rPr>
        <w:t>)</w:t>
      </w:r>
    </w:p>
    <w:p w:rsidR="007B15E0" w:rsidRPr="00F95924" w:rsidRDefault="007B15E0" w:rsidP="007B15E0">
      <w:pPr>
        <w:spacing w:after="0" w:line="240" w:lineRule="auto"/>
        <w:jc w:val="center"/>
        <w:rPr>
          <w:rFonts w:ascii="Cambria" w:hAnsi="Cambria"/>
          <w:sz w:val="20"/>
          <w:szCs w:val="20"/>
          <w:lang w:val="es-ES"/>
        </w:rPr>
      </w:pPr>
    </w:p>
    <w:p w:rsidR="00C12A43" w:rsidRPr="00F95924" w:rsidRDefault="00C12A43" w:rsidP="009678A3">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 xml:space="preserve">Resumen del caso </w:t>
      </w:r>
    </w:p>
    <w:p w:rsidR="007B15E0" w:rsidRPr="00F95924" w:rsidRDefault="007B15E0" w:rsidP="007B15E0">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B15E0" w:rsidRPr="000C1947" w:rsidTr="002005E0">
        <w:trPr>
          <w:jc w:val="center"/>
        </w:trPr>
        <w:tc>
          <w:tcPr>
            <w:tcW w:w="9576" w:type="dxa"/>
            <w:shd w:val="clear" w:color="auto" w:fill="F2F2F2"/>
          </w:tcPr>
          <w:p w:rsidR="007B15E0" w:rsidRPr="00F95924" w:rsidRDefault="00C12A43" w:rsidP="009678A3">
            <w:pPr>
              <w:spacing w:before="120" w:after="0" w:line="240" w:lineRule="auto"/>
              <w:rPr>
                <w:rFonts w:ascii="Cambria" w:hAnsi="Cambria"/>
                <w:b/>
                <w:sz w:val="20"/>
                <w:szCs w:val="20"/>
                <w:lang w:val="es-ES"/>
              </w:rPr>
            </w:pPr>
            <w:r w:rsidRPr="00F95924">
              <w:rPr>
                <w:rFonts w:ascii="Cambria" w:hAnsi="Cambria"/>
                <w:b/>
                <w:sz w:val="20"/>
                <w:szCs w:val="20"/>
                <w:lang w:val="es-ES"/>
              </w:rPr>
              <w:t xml:space="preserve">Víctima </w:t>
            </w:r>
            <w:r w:rsidR="007B15E0" w:rsidRPr="00F95924">
              <w:rPr>
                <w:rFonts w:ascii="Cambria" w:hAnsi="Cambria"/>
                <w:b/>
                <w:sz w:val="20"/>
                <w:szCs w:val="20"/>
                <w:lang w:val="es-ES"/>
              </w:rPr>
              <w:t xml:space="preserve">(s): </w:t>
            </w:r>
            <w:r w:rsidR="007B15E0" w:rsidRPr="00F95924">
              <w:rPr>
                <w:rFonts w:ascii="Cambria" w:hAnsi="Cambria"/>
                <w:sz w:val="20"/>
                <w:szCs w:val="20"/>
                <w:lang w:val="es-ES"/>
              </w:rPr>
              <w:t xml:space="preserve">Prince </w:t>
            </w:r>
            <w:proofErr w:type="spellStart"/>
            <w:r w:rsidR="007B15E0" w:rsidRPr="00F95924">
              <w:rPr>
                <w:rFonts w:ascii="Cambria" w:hAnsi="Cambria"/>
                <w:sz w:val="20"/>
                <w:szCs w:val="20"/>
                <w:lang w:val="es-ES"/>
              </w:rPr>
              <w:t>Pinder</w:t>
            </w:r>
            <w:proofErr w:type="spellEnd"/>
          </w:p>
          <w:p w:rsidR="007B15E0" w:rsidRPr="00F95924" w:rsidRDefault="00C12A43" w:rsidP="004A77BF">
            <w:pPr>
              <w:spacing w:after="0" w:line="240" w:lineRule="auto"/>
              <w:rPr>
                <w:rFonts w:ascii="Cambria" w:hAnsi="Cambria"/>
                <w:b/>
                <w:sz w:val="20"/>
                <w:szCs w:val="20"/>
                <w:lang w:val="es-ES"/>
              </w:rPr>
            </w:pPr>
            <w:r w:rsidRPr="00F95924">
              <w:rPr>
                <w:rFonts w:ascii="Cambria" w:hAnsi="Cambria"/>
                <w:b/>
                <w:sz w:val="20"/>
                <w:szCs w:val="20"/>
                <w:lang w:val="es-ES"/>
              </w:rPr>
              <w:t xml:space="preserve">Peticionario </w:t>
            </w:r>
            <w:r w:rsidR="007B15E0" w:rsidRPr="00F95924">
              <w:rPr>
                <w:rFonts w:ascii="Cambria" w:hAnsi="Cambria"/>
                <w:b/>
                <w:sz w:val="20"/>
                <w:szCs w:val="20"/>
                <w:lang w:val="es-ES"/>
              </w:rPr>
              <w:t>(s):</w:t>
            </w:r>
            <w:r w:rsidR="00D17F89" w:rsidRPr="00F95924">
              <w:rPr>
                <w:rFonts w:ascii="Cambria" w:hAnsi="Cambria"/>
                <w:sz w:val="20"/>
                <w:szCs w:val="20"/>
                <w:lang w:val="es-ES"/>
              </w:rPr>
              <w:t xml:space="preserve"> </w:t>
            </w:r>
            <w:r w:rsidR="00D17F89" w:rsidRPr="00F95924">
              <w:rPr>
                <w:rFonts w:ascii="Cambria" w:hAnsi="Cambria" w:cs="Arial"/>
                <w:sz w:val="20"/>
                <w:szCs w:val="20"/>
                <w:lang w:val="es-ES"/>
              </w:rPr>
              <w:t>Adela Williams</w:t>
            </w:r>
          </w:p>
          <w:p w:rsidR="007B15E0" w:rsidRPr="00F95924" w:rsidRDefault="00C12A43" w:rsidP="004A77BF">
            <w:pPr>
              <w:spacing w:after="0" w:line="240" w:lineRule="auto"/>
              <w:rPr>
                <w:rFonts w:ascii="Cambria" w:hAnsi="Cambria"/>
                <w:sz w:val="20"/>
                <w:szCs w:val="20"/>
                <w:lang w:val="es-ES"/>
              </w:rPr>
            </w:pPr>
            <w:r w:rsidRPr="00F95924">
              <w:rPr>
                <w:rFonts w:ascii="Cambria" w:hAnsi="Cambria"/>
                <w:b/>
                <w:sz w:val="20"/>
                <w:szCs w:val="20"/>
                <w:lang w:val="es-ES"/>
              </w:rPr>
              <w:t>Estado</w:t>
            </w:r>
            <w:r w:rsidR="007B15E0" w:rsidRPr="00F95924">
              <w:rPr>
                <w:rFonts w:ascii="Cambria" w:hAnsi="Cambria"/>
                <w:b/>
                <w:sz w:val="20"/>
                <w:szCs w:val="20"/>
                <w:lang w:val="es-ES"/>
              </w:rPr>
              <w:t xml:space="preserve">: </w:t>
            </w:r>
            <w:r w:rsidR="00F95924" w:rsidRPr="00F95924">
              <w:rPr>
                <w:rFonts w:ascii="Cambria" w:hAnsi="Cambria"/>
                <w:sz w:val="20"/>
                <w:szCs w:val="20"/>
                <w:lang w:val="es-ES"/>
              </w:rPr>
              <w:t>Las</w:t>
            </w:r>
            <w:r w:rsidR="00F95924" w:rsidRPr="00F95924">
              <w:rPr>
                <w:rFonts w:ascii="Cambria" w:hAnsi="Cambria"/>
                <w:b/>
                <w:sz w:val="20"/>
                <w:szCs w:val="20"/>
                <w:lang w:val="es-ES"/>
              </w:rPr>
              <w:t xml:space="preserve"> </w:t>
            </w:r>
            <w:r w:rsidR="00FA2231" w:rsidRPr="00F95924">
              <w:rPr>
                <w:rFonts w:ascii="Cambria" w:hAnsi="Cambria"/>
                <w:sz w:val="20"/>
                <w:szCs w:val="20"/>
                <w:lang w:val="es-ES"/>
              </w:rPr>
              <w:t xml:space="preserve">Bahamas (Commonwealth </w:t>
            </w:r>
            <w:r w:rsidR="00CF53A7" w:rsidRPr="00F95924">
              <w:rPr>
                <w:rFonts w:ascii="Cambria" w:hAnsi="Cambria"/>
                <w:sz w:val="20"/>
                <w:szCs w:val="20"/>
                <w:lang w:val="es-ES"/>
              </w:rPr>
              <w:t>de</w:t>
            </w:r>
            <w:r w:rsidR="00FA2231" w:rsidRPr="00F95924">
              <w:rPr>
                <w:rFonts w:ascii="Cambria" w:hAnsi="Cambria"/>
                <w:sz w:val="20"/>
                <w:szCs w:val="20"/>
                <w:lang w:val="es-ES"/>
              </w:rPr>
              <w:t>)</w:t>
            </w:r>
          </w:p>
          <w:p w:rsidR="005421DC" w:rsidRPr="00F95924" w:rsidRDefault="00C12A43" w:rsidP="004A77BF">
            <w:pPr>
              <w:spacing w:after="0" w:line="240" w:lineRule="auto"/>
              <w:rPr>
                <w:rFonts w:ascii="Cambria" w:hAnsi="Cambria"/>
                <w:sz w:val="20"/>
                <w:szCs w:val="20"/>
                <w:lang w:val="es-ES"/>
              </w:rPr>
            </w:pPr>
            <w:r w:rsidRPr="00F95924">
              <w:rPr>
                <w:rFonts w:ascii="Cambria" w:hAnsi="Cambria"/>
                <w:b/>
                <w:sz w:val="20"/>
                <w:szCs w:val="20"/>
                <w:lang w:val="es-ES"/>
              </w:rPr>
              <w:t>Informe de Fondo Nº</w:t>
            </w:r>
            <w:r w:rsidR="005E7475" w:rsidRPr="00F95924">
              <w:rPr>
                <w:rFonts w:ascii="Cambria" w:hAnsi="Cambria"/>
                <w:b/>
                <w:sz w:val="20"/>
                <w:szCs w:val="20"/>
                <w:lang w:val="es-ES"/>
              </w:rPr>
              <w:t>:</w:t>
            </w:r>
            <w:r w:rsidR="00B03E7E" w:rsidRPr="00F95924">
              <w:rPr>
                <w:rFonts w:ascii="Cambria" w:hAnsi="Cambria"/>
                <w:b/>
                <w:sz w:val="20"/>
                <w:szCs w:val="20"/>
                <w:lang w:val="es-ES"/>
              </w:rPr>
              <w:t xml:space="preserve"> </w:t>
            </w:r>
            <w:r w:rsidR="000C1947">
              <w:fldChar w:fldCharType="begin"/>
            </w:r>
            <w:r w:rsidR="000C1947" w:rsidRPr="000C1947">
              <w:rPr>
                <w:lang w:val="es-CO"/>
              </w:rPr>
              <w:instrText xml:space="preserve"> HYPERLINK "http://www.cidh.oas.org/annualrep/2007sp/Bahamas12513sp.htm" </w:instrText>
            </w:r>
            <w:r w:rsidR="000C1947">
              <w:fldChar w:fldCharType="separate"/>
            </w:r>
            <w:r w:rsidR="007B15E0" w:rsidRPr="00F95924">
              <w:rPr>
                <w:rStyle w:val="Hyperlink"/>
                <w:rFonts w:ascii="Cambria" w:hAnsi="Cambria"/>
                <w:sz w:val="20"/>
                <w:szCs w:val="20"/>
                <w:lang w:val="es-ES"/>
              </w:rPr>
              <w:t>79/07</w:t>
            </w:r>
            <w:r w:rsidR="000C1947">
              <w:rPr>
                <w:rStyle w:val="Hyperlink"/>
                <w:rFonts w:ascii="Cambria" w:hAnsi="Cambria"/>
                <w:sz w:val="20"/>
                <w:szCs w:val="20"/>
                <w:lang w:val="es-ES"/>
              </w:rPr>
              <w:fldChar w:fldCharType="end"/>
            </w:r>
            <w:r w:rsidR="007B15E0" w:rsidRPr="00F95924">
              <w:rPr>
                <w:rFonts w:ascii="Cambria" w:hAnsi="Cambria"/>
                <w:sz w:val="20"/>
                <w:szCs w:val="20"/>
                <w:lang w:val="es-ES"/>
              </w:rPr>
              <w:t>,</w:t>
            </w:r>
            <w:r w:rsidR="005E7475" w:rsidRPr="00F95924">
              <w:rPr>
                <w:rFonts w:ascii="Cambria" w:hAnsi="Cambria"/>
                <w:sz w:val="20"/>
                <w:szCs w:val="20"/>
                <w:lang w:val="es-ES"/>
              </w:rPr>
              <w:t xml:space="preserve"> </w:t>
            </w:r>
            <w:r w:rsidR="00AB59C6">
              <w:rPr>
                <w:rFonts w:ascii="Cambria" w:hAnsi="Cambria"/>
                <w:sz w:val="20"/>
                <w:szCs w:val="20"/>
                <w:lang w:val="es-ES"/>
              </w:rPr>
              <w:t xml:space="preserve">publicado el 15 de </w:t>
            </w:r>
            <w:r w:rsidR="00916856">
              <w:rPr>
                <w:rFonts w:ascii="Cambria" w:hAnsi="Cambria"/>
                <w:sz w:val="20"/>
                <w:szCs w:val="20"/>
                <w:lang w:val="es-ES"/>
              </w:rPr>
              <w:t>octub</w:t>
            </w:r>
            <w:r w:rsidR="00916856" w:rsidRPr="00F95924">
              <w:rPr>
                <w:rFonts w:ascii="Cambria" w:hAnsi="Cambria"/>
                <w:sz w:val="20"/>
                <w:szCs w:val="20"/>
                <w:lang w:val="es-ES"/>
              </w:rPr>
              <w:t>r</w:t>
            </w:r>
            <w:r w:rsidR="00916856">
              <w:rPr>
                <w:rFonts w:ascii="Cambria" w:hAnsi="Cambria"/>
                <w:sz w:val="20"/>
                <w:szCs w:val="20"/>
                <w:lang w:val="es-ES"/>
              </w:rPr>
              <w:t>e</w:t>
            </w:r>
            <w:r w:rsidR="00CF53A7" w:rsidRPr="00F95924">
              <w:rPr>
                <w:rFonts w:ascii="Cambria" w:hAnsi="Cambria"/>
                <w:sz w:val="20"/>
                <w:szCs w:val="20"/>
                <w:lang w:val="es-ES"/>
              </w:rPr>
              <w:t xml:space="preserve"> </w:t>
            </w:r>
            <w:r w:rsidR="00AB59C6">
              <w:rPr>
                <w:rFonts w:ascii="Cambria" w:hAnsi="Cambria"/>
                <w:sz w:val="20"/>
                <w:szCs w:val="20"/>
                <w:lang w:val="es-ES"/>
              </w:rPr>
              <w:t xml:space="preserve">de </w:t>
            </w:r>
            <w:r w:rsidR="005E7475" w:rsidRPr="00F95924">
              <w:rPr>
                <w:rFonts w:ascii="Cambria" w:hAnsi="Cambria"/>
                <w:sz w:val="20"/>
                <w:szCs w:val="20"/>
                <w:lang w:val="es-ES"/>
              </w:rPr>
              <w:t>2007</w:t>
            </w:r>
            <w:r w:rsidR="007B15E0" w:rsidRPr="00F95924">
              <w:rPr>
                <w:rFonts w:ascii="Cambria" w:hAnsi="Cambria"/>
                <w:sz w:val="20"/>
                <w:szCs w:val="20"/>
                <w:lang w:val="es-ES"/>
              </w:rPr>
              <w:t xml:space="preserve"> </w:t>
            </w:r>
          </w:p>
          <w:p w:rsidR="005421DC" w:rsidRPr="00F95924" w:rsidRDefault="00D77B62" w:rsidP="004A77BF">
            <w:pPr>
              <w:spacing w:after="0" w:line="240" w:lineRule="auto"/>
              <w:rPr>
                <w:rFonts w:ascii="Cambria" w:hAnsi="Cambria"/>
                <w:sz w:val="20"/>
                <w:szCs w:val="20"/>
                <w:lang w:val="es-ES"/>
              </w:rPr>
            </w:pPr>
            <w:r>
              <w:rPr>
                <w:rFonts w:ascii="Cambria" w:hAnsi="Cambria"/>
                <w:b/>
                <w:sz w:val="20"/>
                <w:szCs w:val="20"/>
                <w:lang w:val="es-ES"/>
              </w:rPr>
              <w:t>Informe de Admisibilidad Nº</w:t>
            </w:r>
            <w:r w:rsidR="005E7475" w:rsidRPr="00F95924">
              <w:rPr>
                <w:rFonts w:ascii="Cambria" w:hAnsi="Cambria"/>
                <w:b/>
                <w:sz w:val="20"/>
                <w:szCs w:val="20"/>
                <w:lang w:val="es-ES"/>
              </w:rPr>
              <w:t>:</w:t>
            </w:r>
            <w:r w:rsidR="00D63D9B" w:rsidRPr="00F95924">
              <w:rPr>
                <w:rFonts w:ascii="Cambria" w:hAnsi="Cambria"/>
                <w:b/>
                <w:sz w:val="20"/>
                <w:szCs w:val="20"/>
                <w:lang w:val="es-ES"/>
              </w:rPr>
              <w:t xml:space="preserve"> </w:t>
            </w:r>
            <w:r w:rsidR="000C1947">
              <w:fldChar w:fldCharType="begin"/>
            </w:r>
            <w:r w:rsidR="000C1947" w:rsidRPr="000C1947">
              <w:rPr>
                <w:lang w:val="es-CO"/>
              </w:rPr>
              <w:instrText xml:space="preserve"> HYPERLINK "http://www.cidh.oas.org/annualrep/2005sp/Bahamas95.03sp.htm" </w:instrText>
            </w:r>
            <w:r w:rsidR="000C1947">
              <w:fldChar w:fldCharType="separate"/>
            </w:r>
            <w:r w:rsidR="007B15E0" w:rsidRPr="00F95924">
              <w:rPr>
                <w:rStyle w:val="Hyperlink"/>
                <w:rFonts w:ascii="Cambria" w:hAnsi="Cambria"/>
                <w:sz w:val="20"/>
                <w:szCs w:val="20"/>
                <w:lang w:val="es-ES"/>
              </w:rPr>
              <w:t>49/05</w:t>
            </w:r>
            <w:r w:rsidR="000C1947">
              <w:rPr>
                <w:rStyle w:val="Hyperlink"/>
                <w:rFonts w:ascii="Cambria" w:hAnsi="Cambria"/>
                <w:sz w:val="20"/>
                <w:szCs w:val="20"/>
                <w:lang w:val="es-ES"/>
              </w:rPr>
              <w:fldChar w:fldCharType="end"/>
            </w:r>
            <w:r w:rsidR="00D63D9B" w:rsidRPr="00F95924">
              <w:rPr>
                <w:rFonts w:ascii="Cambria" w:hAnsi="Cambria"/>
                <w:sz w:val="20"/>
                <w:szCs w:val="20"/>
                <w:lang w:val="es-ES"/>
              </w:rPr>
              <w:t xml:space="preserve">, </w:t>
            </w:r>
            <w:r w:rsidR="000E2952" w:rsidRPr="00F95924">
              <w:rPr>
                <w:rFonts w:ascii="Cambria" w:hAnsi="Cambria"/>
                <w:sz w:val="20"/>
                <w:szCs w:val="20"/>
                <w:lang w:val="es-ES"/>
              </w:rPr>
              <w:t>a</w:t>
            </w:r>
            <w:r w:rsidR="00B71FE1" w:rsidRPr="00F95924">
              <w:rPr>
                <w:rFonts w:ascii="Cambria" w:hAnsi="Cambria"/>
                <w:sz w:val="20"/>
                <w:szCs w:val="20"/>
                <w:lang w:val="es-ES"/>
              </w:rPr>
              <w:t xml:space="preserve">probado el 12 de octubre de </w:t>
            </w:r>
            <w:r w:rsidR="000E2952" w:rsidRPr="00F95924">
              <w:rPr>
                <w:rFonts w:ascii="Cambria" w:hAnsi="Cambria"/>
                <w:sz w:val="20"/>
                <w:szCs w:val="20"/>
                <w:lang w:val="es-ES"/>
              </w:rPr>
              <w:t>2005</w:t>
            </w:r>
          </w:p>
          <w:p w:rsidR="00C12A43" w:rsidRPr="00F95924" w:rsidRDefault="00CF53A7" w:rsidP="00B03E7E">
            <w:pPr>
              <w:spacing w:after="120" w:line="240" w:lineRule="auto"/>
              <w:jc w:val="both"/>
              <w:rPr>
                <w:rFonts w:ascii="Cambria" w:hAnsi="Cambria"/>
                <w:sz w:val="20"/>
                <w:szCs w:val="20"/>
                <w:lang w:val="es-ES"/>
              </w:rPr>
            </w:pPr>
            <w:r w:rsidRPr="00F95924">
              <w:rPr>
                <w:rFonts w:ascii="Cambria" w:hAnsi="Cambria"/>
                <w:b/>
                <w:sz w:val="20"/>
                <w:szCs w:val="20"/>
                <w:lang w:val="es-ES"/>
              </w:rPr>
              <w:t>Temas</w:t>
            </w:r>
            <w:r w:rsidR="007B15E0" w:rsidRPr="00F95924">
              <w:rPr>
                <w:rFonts w:ascii="Cambria" w:hAnsi="Cambria"/>
                <w:b/>
                <w:sz w:val="20"/>
                <w:szCs w:val="20"/>
                <w:lang w:val="es-ES"/>
              </w:rPr>
              <w:t>:</w:t>
            </w:r>
            <w:r w:rsidR="004A77BF" w:rsidRPr="00F95924">
              <w:rPr>
                <w:rFonts w:ascii="Cambria" w:hAnsi="Cambria"/>
                <w:sz w:val="20"/>
                <w:szCs w:val="20"/>
                <w:lang w:val="es-ES"/>
              </w:rPr>
              <w:t xml:space="preserve"> </w:t>
            </w:r>
            <w:r w:rsidR="000C1947" w:rsidRPr="00FF7127">
              <w:rPr>
                <w:rFonts w:ascii="Cambria" w:eastAsia="Times New Roman" w:hAnsi="Cambria"/>
                <w:color w:val="000000"/>
                <w:sz w:val="20"/>
                <w:szCs w:val="20"/>
                <w:lang w:val="es-MX" w:eastAsia="es-MX"/>
              </w:rPr>
              <w:t>Deber de Adoptar Medidas y Disposiciones de Derecho Interno</w:t>
            </w:r>
            <w:r w:rsidR="000C1947">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0C1947" w:rsidRPr="00FF7127">
              <w:rPr>
                <w:rFonts w:ascii="Cambria" w:eastAsia="Times New Roman" w:hAnsi="Cambria"/>
                <w:color w:val="000000"/>
                <w:sz w:val="20"/>
                <w:szCs w:val="20"/>
                <w:lang w:val="es-MX" w:eastAsia="es-MX"/>
              </w:rPr>
              <w:t>Tortura, Tratos Crueles, Inhumanos y/o Degradantes</w:t>
            </w:r>
            <w:r w:rsidR="000C1947">
              <w:rPr>
                <w:rFonts w:ascii="Cambria" w:eastAsia="Times New Roman" w:hAnsi="Cambria"/>
                <w:color w:val="000000"/>
                <w:sz w:val="20"/>
                <w:szCs w:val="20"/>
                <w:lang w:val="es-MX" w:eastAsia="es-MX"/>
              </w:rPr>
              <w:t xml:space="preserve"> / Detención Arbitraria</w:t>
            </w:r>
            <w:bookmarkStart w:id="0" w:name="_GoBack"/>
            <w:bookmarkEnd w:id="0"/>
          </w:p>
          <w:p w:rsidR="005E7475" w:rsidRPr="00F95924" w:rsidRDefault="00986C78" w:rsidP="00B03E7E">
            <w:pPr>
              <w:spacing w:after="120" w:line="240" w:lineRule="auto"/>
              <w:jc w:val="both"/>
              <w:rPr>
                <w:rFonts w:ascii="Cambria" w:hAnsi="Cambria"/>
                <w:sz w:val="20"/>
                <w:szCs w:val="20"/>
                <w:lang w:val="es-ES"/>
              </w:rPr>
            </w:pPr>
            <w:r w:rsidRPr="00F95924">
              <w:rPr>
                <w:rFonts w:ascii="Cambria" w:hAnsi="Cambria"/>
                <w:b/>
                <w:sz w:val="20"/>
                <w:szCs w:val="20"/>
                <w:lang w:val="es-ES"/>
              </w:rPr>
              <w:t>Hechos</w:t>
            </w:r>
            <w:r w:rsidR="007B15E0" w:rsidRPr="00F95924">
              <w:rPr>
                <w:rFonts w:ascii="Cambria" w:hAnsi="Cambria"/>
                <w:b/>
                <w:sz w:val="20"/>
                <w:szCs w:val="20"/>
                <w:lang w:val="es-ES"/>
              </w:rPr>
              <w:t xml:space="preserve">: </w:t>
            </w:r>
            <w:r w:rsidR="005D685A" w:rsidRPr="00F95924">
              <w:rPr>
                <w:rFonts w:ascii="Cambria" w:hAnsi="Cambria"/>
                <w:sz w:val="20"/>
                <w:szCs w:val="20"/>
                <w:lang w:val="es-ES"/>
              </w:rPr>
              <w:t xml:space="preserve">Este caso </w:t>
            </w:r>
            <w:r w:rsidR="00CA4DB8" w:rsidRPr="00F95924">
              <w:rPr>
                <w:rFonts w:ascii="Cambria" w:hAnsi="Cambria"/>
                <w:sz w:val="20"/>
                <w:szCs w:val="20"/>
                <w:lang w:val="es-ES"/>
              </w:rPr>
              <w:t>corresponde al</w:t>
            </w:r>
            <w:r w:rsidR="005D685A" w:rsidRPr="00F95924">
              <w:rPr>
                <w:rFonts w:ascii="Cambria" w:hAnsi="Cambria"/>
                <w:sz w:val="20"/>
                <w:szCs w:val="20"/>
                <w:lang w:val="es-ES"/>
              </w:rPr>
              <w:t xml:space="preserve"> señor Price </w:t>
            </w:r>
            <w:proofErr w:type="spellStart"/>
            <w:r w:rsidR="005D685A" w:rsidRPr="00F95924">
              <w:rPr>
                <w:rFonts w:ascii="Cambria" w:hAnsi="Cambria"/>
                <w:sz w:val="20"/>
                <w:szCs w:val="20"/>
                <w:lang w:val="es-ES"/>
              </w:rPr>
              <w:t>Pinder</w:t>
            </w:r>
            <w:proofErr w:type="spellEnd"/>
            <w:r w:rsidR="005D685A" w:rsidRPr="00F95924">
              <w:rPr>
                <w:rFonts w:ascii="Cambria" w:hAnsi="Cambria"/>
                <w:sz w:val="20"/>
                <w:szCs w:val="20"/>
                <w:lang w:val="es-ES"/>
              </w:rPr>
              <w:t xml:space="preserve">, </w:t>
            </w:r>
            <w:r w:rsidR="001760BA" w:rsidRPr="00F95924">
              <w:rPr>
                <w:rFonts w:ascii="Cambria" w:hAnsi="Cambria"/>
                <w:sz w:val="20"/>
                <w:szCs w:val="20"/>
                <w:lang w:val="es-ES"/>
              </w:rPr>
              <w:t xml:space="preserve">nacional </w:t>
            </w:r>
            <w:r w:rsidR="005D685A" w:rsidRPr="00F95924">
              <w:rPr>
                <w:rFonts w:ascii="Cambria" w:hAnsi="Cambria"/>
                <w:sz w:val="20"/>
                <w:szCs w:val="20"/>
                <w:lang w:val="es-ES"/>
              </w:rPr>
              <w:t xml:space="preserve">de Bahamas, que fue condenado </w:t>
            </w:r>
            <w:r w:rsidR="00272E0C" w:rsidRPr="00F95924">
              <w:rPr>
                <w:rFonts w:ascii="Cambria" w:hAnsi="Cambria"/>
                <w:sz w:val="20"/>
                <w:szCs w:val="20"/>
                <w:lang w:val="es-ES"/>
              </w:rPr>
              <w:t xml:space="preserve">el 28 de julio de 1987, </w:t>
            </w:r>
            <w:r w:rsidR="002F70F2" w:rsidRPr="00F95924">
              <w:rPr>
                <w:rFonts w:ascii="Cambria" w:hAnsi="Cambria"/>
                <w:sz w:val="20"/>
                <w:szCs w:val="20"/>
                <w:lang w:val="es-ES"/>
              </w:rPr>
              <w:t xml:space="preserve">por dos delitos </w:t>
            </w:r>
            <w:r w:rsidR="00272E0C" w:rsidRPr="00F95924">
              <w:rPr>
                <w:rFonts w:ascii="Cambria" w:hAnsi="Cambria"/>
                <w:sz w:val="20"/>
                <w:szCs w:val="20"/>
                <w:lang w:val="es-ES"/>
              </w:rPr>
              <w:t>de asalto a mano armada y un delito de tentati</w:t>
            </w:r>
            <w:r w:rsidR="002E6370" w:rsidRPr="00F95924">
              <w:rPr>
                <w:rFonts w:ascii="Cambria" w:hAnsi="Cambria"/>
                <w:sz w:val="20"/>
                <w:szCs w:val="20"/>
                <w:lang w:val="es-ES"/>
              </w:rPr>
              <w:t>v</w:t>
            </w:r>
            <w:r w:rsidR="00272E0C" w:rsidRPr="00F95924">
              <w:rPr>
                <w:rFonts w:ascii="Cambria" w:hAnsi="Cambria"/>
                <w:sz w:val="20"/>
                <w:szCs w:val="20"/>
                <w:lang w:val="es-ES"/>
              </w:rPr>
              <w:t>a de asalto a mano armada en contravención de los artí</w:t>
            </w:r>
            <w:r w:rsidR="002E6370" w:rsidRPr="00F95924">
              <w:rPr>
                <w:rFonts w:ascii="Cambria" w:hAnsi="Cambria"/>
                <w:sz w:val="20"/>
                <w:szCs w:val="20"/>
                <w:lang w:val="es-ES"/>
              </w:rPr>
              <w:t>c</w:t>
            </w:r>
            <w:r w:rsidR="00272E0C" w:rsidRPr="00F95924">
              <w:rPr>
                <w:rFonts w:ascii="Cambria" w:hAnsi="Cambria"/>
                <w:sz w:val="20"/>
                <w:szCs w:val="20"/>
                <w:lang w:val="es-ES"/>
              </w:rPr>
              <w:t xml:space="preserve">ulos </w:t>
            </w:r>
            <w:r w:rsidR="00E6768C" w:rsidRPr="00F95924">
              <w:rPr>
                <w:rFonts w:ascii="Cambria" w:hAnsi="Cambria"/>
                <w:sz w:val="20"/>
                <w:szCs w:val="20"/>
                <w:lang w:val="es-ES"/>
              </w:rPr>
              <w:t xml:space="preserve">360(2) </w:t>
            </w:r>
            <w:r w:rsidR="002E6370" w:rsidRPr="00F95924">
              <w:rPr>
                <w:rFonts w:ascii="Cambria" w:hAnsi="Cambria"/>
                <w:sz w:val="20"/>
                <w:szCs w:val="20"/>
                <w:lang w:val="es-ES"/>
              </w:rPr>
              <w:t>y</w:t>
            </w:r>
            <w:r w:rsidR="00E6768C" w:rsidRPr="00F95924">
              <w:rPr>
                <w:rFonts w:ascii="Cambria" w:hAnsi="Cambria"/>
                <w:sz w:val="20"/>
                <w:szCs w:val="20"/>
                <w:lang w:val="es-ES"/>
              </w:rPr>
              <w:t xml:space="preserve"> 86(2) </w:t>
            </w:r>
            <w:r w:rsidR="002E6370" w:rsidRPr="00F95924">
              <w:rPr>
                <w:rFonts w:ascii="Cambria" w:hAnsi="Cambria"/>
                <w:sz w:val="20"/>
                <w:szCs w:val="20"/>
                <w:lang w:val="es-ES"/>
              </w:rPr>
              <w:t>del Código Penal de Bahamas</w:t>
            </w:r>
            <w:r w:rsidR="00B03E7E" w:rsidRPr="00F95924">
              <w:rPr>
                <w:rFonts w:ascii="Cambria" w:hAnsi="Cambria"/>
                <w:sz w:val="20"/>
                <w:szCs w:val="20"/>
                <w:lang w:val="es-ES"/>
              </w:rPr>
              <w:t xml:space="preserve">. </w:t>
            </w:r>
            <w:r w:rsidR="002E6370" w:rsidRPr="00F95924">
              <w:rPr>
                <w:rFonts w:ascii="Cambria" w:hAnsi="Cambria"/>
                <w:sz w:val="20"/>
                <w:szCs w:val="20"/>
                <w:lang w:val="es-ES"/>
              </w:rPr>
              <w:t>Fue sen</w:t>
            </w:r>
            <w:r w:rsidR="008E5D4A" w:rsidRPr="00F95924">
              <w:rPr>
                <w:rFonts w:ascii="Cambria" w:hAnsi="Cambria"/>
                <w:sz w:val="20"/>
                <w:szCs w:val="20"/>
                <w:lang w:val="es-ES"/>
              </w:rPr>
              <w:t>t</w:t>
            </w:r>
            <w:r w:rsidR="002E6370" w:rsidRPr="00F95924">
              <w:rPr>
                <w:rFonts w:ascii="Cambria" w:hAnsi="Cambria"/>
                <w:sz w:val="20"/>
                <w:szCs w:val="20"/>
                <w:lang w:val="es-ES"/>
              </w:rPr>
              <w:t xml:space="preserve">enciado </w:t>
            </w:r>
            <w:r w:rsidR="008E5D4A" w:rsidRPr="00F95924">
              <w:rPr>
                <w:rFonts w:ascii="Cambria" w:hAnsi="Cambria"/>
                <w:sz w:val="20"/>
                <w:szCs w:val="20"/>
                <w:lang w:val="es-ES"/>
              </w:rPr>
              <w:t xml:space="preserve">con una condena de 30 años de prisión </w:t>
            </w:r>
            <w:r w:rsidR="001F3FB0" w:rsidRPr="00F95924">
              <w:rPr>
                <w:rFonts w:ascii="Cambria" w:hAnsi="Cambria"/>
                <w:sz w:val="20"/>
                <w:szCs w:val="20"/>
                <w:lang w:val="es-ES"/>
              </w:rPr>
              <w:t>y también a ser flagelado con seis latigazos aplicados en dos seri</w:t>
            </w:r>
            <w:r w:rsidR="00CA4DB8" w:rsidRPr="00F95924">
              <w:rPr>
                <w:rFonts w:ascii="Cambria" w:hAnsi="Cambria"/>
                <w:sz w:val="20"/>
                <w:szCs w:val="20"/>
                <w:lang w:val="es-ES"/>
              </w:rPr>
              <w:t>e</w:t>
            </w:r>
            <w:r w:rsidR="001F3FB0" w:rsidRPr="00F95924">
              <w:rPr>
                <w:rFonts w:ascii="Cambria" w:hAnsi="Cambria"/>
                <w:sz w:val="20"/>
                <w:szCs w:val="20"/>
                <w:lang w:val="es-ES"/>
              </w:rPr>
              <w:t>s de tres azotes cada uno, según lo autoriza el Estatuto (de Medidas Punitivas) de la Legislación Penal de Bahamas, de 1991</w:t>
            </w:r>
            <w:r w:rsidR="006D5934" w:rsidRPr="00F95924">
              <w:rPr>
                <w:rFonts w:ascii="Cambria" w:hAnsi="Cambria"/>
                <w:sz w:val="20"/>
                <w:szCs w:val="20"/>
                <w:lang w:val="es-ES"/>
              </w:rPr>
              <w:t>.</w:t>
            </w:r>
            <w:r w:rsidR="00A73955" w:rsidRPr="00F95924">
              <w:rPr>
                <w:rFonts w:ascii="Cambria" w:hAnsi="Cambria"/>
                <w:sz w:val="20"/>
                <w:szCs w:val="20"/>
                <w:lang w:val="es-ES"/>
              </w:rPr>
              <w:t xml:space="preserve"> </w:t>
            </w:r>
          </w:p>
          <w:p w:rsidR="007B15E0" w:rsidRPr="00F95924" w:rsidRDefault="00986C78" w:rsidP="009678A3">
            <w:pPr>
              <w:spacing w:after="120" w:line="240" w:lineRule="auto"/>
              <w:jc w:val="both"/>
              <w:rPr>
                <w:rFonts w:ascii="Cambria" w:hAnsi="Cambria"/>
                <w:b/>
                <w:sz w:val="20"/>
                <w:szCs w:val="20"/>
                <w:lang w:val="es-ES"/>
              </w:rPr>
            </w:pPr>
            <w:r w:rsidRPr="00F95924">
              <w:rPr>
                <w:rFonts w:ascii="Cambria" w:hAnsi="Cambria"/>
                <w:b/>
                <w:sz w:val="20"/>
                <w:szCs w:val="20"/>
                <w:lang w:val="es-ES"/>
              </w:rPr>
              <w:t>Derechos violados</w:t>
            </w:r>
            <w:r w:rsidR="007B15E0" w:rsidRPr="00F95924">
              <w:rPr>
                <w:rFonts w:ascii="Cambria" w:hAnsi="Cambria"/>
                <w:b/>
                <w:sz w:val="20"/>
                <w:szCs w:val="20"/>
                <w:lang w:val="es-ES"/>
              </w:rPr>
              <w:t xml:space="preserve">: </w:t>
            </w:r>
            <w:r w:rsidR="007C2F3E" w:rsidRPr="00F95924">
              <w:rPr>
                <w:rFonts w:ascii="Cambria" w:hAnsi="Cambria"/>
                <w:sz w:val="20"/>
                <w:szCs w:val="20"/>
                <w:lang w:val="es-ES"/>
              </w:rPr>
              <w:t>La Comisión concluyó</w:t>
            </w:r>
            <w:r w:rsidR="007C2F3E" w:rsidRPr="00F95924">
              <w:rPr>
                <w:rFonts w:ascii="Cambria" w:hAnsi="Cambria"/>
                <w:b/>
                <w:sz w:val="20"/>
                <w:szCs w:val="20"/>
                <w:lang w:val="es-ES"/>
              </w:rPr>
              <w:t xml:space="preserve"> </w:t>
            </w:r>
            <w:r w:rsidR="003E24A8" w:rsidRPr="00F95924">
              <w:rPr>
                <w:rFonts w:ascii="Cambria" w:hAnsi="Cambria"/>
                <w:sz w:val="20"/>
                <w:szCs w:val="20"/>
                <w:lang w:val="es-ES"/>
              </w:rPr>
              <w:t>que</w:t>
            </w:r>
            <w:r w:rsidR="007C2F3E" w:rsidRPr="00F95924">
              <w:rPr>
                <w:rFonts w:ascii="Cambria" w:hAnsi="Cambria"/>
                <w:sz w:val="20"/>
                <w:szCs w:val="20"/>
                <w:lang w:val="es-ES"/>
              </w:rPr>
              <w:t xml:space="preserve"> el Estado violó los derechos que reconocen al Sr. Prince </w:t>
            </w:r>
            <w:proofErr w:type="spellStart"/>
            <w:r w:rsidR="007C2F3E" w:rsidRPr="00F95924">
              <w:rPr>
                <w:rFonts w:ascii="Cambria" w:hAnsi="Cambria"/>
                <w:sz w:val="20"/>
                <w:szCs w:val="20"/>
                <w:lang w:val="es-ES"/>
              </w:rPr>
              <w:t>Pinder</w:t>
            </w:r>
            <w:proofErr w:type="spellEnd"/>
            <w:r w:rsidR="007C2F3E" w:rsidRPr="00F95924">
              <w:rPr>
                <w:rFonts w:ascii="Cambria" w:hAnsi="Cambria"/>
                <w:sz w:val="20"/>
                <w:szCs w:val="20"/>
                <w:lang w:val="es-ES"/>
              </w:rPr>
              <w:t xml:space="preserve"> los artículos I, XXV y XXVI de la Declaración Americana de los Derechos y Deberes del Hombre, al autorizar que se le imponga una pena corporal judicial conforme al Estatuto (de Medidas Punitivas) de la Legislación Penal y condenarlo a sufrir seis azotes, en dos series de tres.</w:t>
            </w:r>
          </w:p>
        </w:tc>
      </w:tr>
    </w:tbl>
    <w:p w:rsidR="007B15E0" w:rsidRPr="00F95924" w:rsidRDefault="007B15E0" w:rsidP="007B15E0">
      <w:pPr>
        <w:spacing w:after="0" w:line="240" w:lineRule="auto"/>
        <w:ind w:left="180"/>
        <w:rPr>
          <w:rFonts w:ascii="Cambria" w:hAnsi="Cambria"/>
          <w:sz w:val="20"/>
          <w:szCs w:val="20"/>
          <w:lang w:val="es-ES"/>
        </w:rPr>
      </w:pPr>
    </w:p>
    <w:p w:rsidR="007B15E0" w:rsidRPr="00F95924" w:rsidRDefault="007B15E0" w:rsidP="009678A3">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Recom</w:t>
      </w:r>
      <w:r w:rsidR="003E24A8" w:rsidRPr="00F95924">
        <w:rPr>
          <w:rFonts w:ascii="Cambria" w:hAnsi="Cambria" w:cs="Calibri Light"/>
          <w:b/>
          <w:sz w:val="20"/>
          <w:szCs w:val="20"/>
          <w:lang w:val="es-ES"/>
        </w:rPr>
        <w:t xml:space="preserve">endaciones </w:t>
      </w:r>
    </w:p>
    <w:p w:rsidR="007B15E0" w:rsidRPr="00F95924" w:rsidRDefault="007B15E0" w:rsidP="007B15E0">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E24A8" w:rsidRPr="000C1947" w:rsidTr="003E24A8">
        <w:tc>
          <w:tcPr>
            <w:tcW w:w="7290" w:type="dxa"/>
            <w:shd w:val="clear" w:color="auto" w:fill="auto"/>
            <w:vAlign w:val="center"/>
          </w:tcPr>
          <w:p w:rsidR="003E24A8" w:rsidRPr="00F95924" w:rsidRDefault="003E24A8" w:rsidP="00787F4C">
            <w:pPr>
              <w:spacing w:after="0" w:line="240" w:lineRule="auto"/>
              <w:jc w:val="center"/>
              <w:rPr>
                <w:rFonts w:ascii="Cambria" w:hAnsi="Cambria" w:cs="Calibri Light"/>
                <w:b/>
                <w:sz w:val="18"/>
                <w:szCs w:val="18"/>
                <w:lang w:val="es-ES"/>
              </w:rPr>
            </w:pPr>
            <w:r w:rsidRPr="00F95924">
              <w:rPr>
                <w:rFonts w:ascii="Cambria" w:hAnsi="Cambria" w:cs="Calibri Light"/>
                <w:b/>
                <w:sz w:val="18"/>
                <w:szCs w:val="18"/>
                <w:lang w:val="es-ES"/>
              </w:rPr>
              <w:t>Recomendaciones</w:t>
            </w:r>
          </w:p>
        </w:tc>
        <w:tc>
          <w:tcPr>
            <w:tcW w:w="2250" w:type="dxa"/>
            <w:shd w:val="clear" w:color="auto" w:fill="auto"/>
            <w:vAlign w:val="center"/>
          </w:tcPr>
          <w:p w:rsidR="003E24A8" w:rsidRPr="00F95924" w:rsidRDefault="003E24A8" w:rsidP="00787F4C">
            <w:pPr>
              <w:spacing w:after="0" w:line="240" w:lineRule="auto"/>
              <w:jc w:val="center"/>
              <w:rPr>
                <w:rFonts w:ascii="Cambria" w:hAnsi="Cambria" w:cs="Calibri Light"/>
                <w:b/>
                <w:sz w:val="18"/>
                <w:szCs w:val="18"/>
                <w:lang w:val="es-ES"/>
              </w:rPr>
            </w:pPr>
            <w:r w:rsidRPr="00F95924">
              <w:rPr>
                <w:rFonts w:ascii="Cambria" w:hAnsi="Cambria" w:cs="Calibri Light"/>
                <w:b/>
                <w:sz w:val="18"/>
                <w:szCs w:val="18"/>
                <w:lang w:val="es-ES"/>
              </w:rPr>
              <w:t>E</w:t>
            </w:r>
            <w:r w:rsidR="00AA55AB">
              <w:rPr>
                <w:rFonts w:ascii="Cambria" w:hAnsi="Cambria" w:cs="Calibri Light"/>
                <w:b/>
                <w:sz w:val="18"/>
                <w:szCs w:val="18"/>
                <w:lang w:val="es-ES"/>
              </w:rPr>
              <w:t>stado de cumplimiento en el 2019</w:t>
            </w:r>
          </w:p>
        </w:tc>
      </w:tr>
      <w:tr w:rsidR="007B15E0" w:rsidRPr="00F95924" w:rsidTr="003E24A8">
        <w:tc>
          <w:tcPr>
            <w:tcW w:w="7290" w:type="dxa"/>
            <w:shd w:val="clear" w:color="auto" w:fill="auto"/>
            <w:vAlign w:val="center"/>
          </w:tcPr>
          <w:p w:rsidR="007B15E0" w:rsidRPr="00F95924" w:rsidRDefault="009D3368" w:rsidP="009D3368">
            <w:pPr>
              <w:spacing w:after="0" w:line="240" w:lineRule="auto"/>
              <w:jc w:val="both"/>
              <w:rPr>
                <w:rFonts w:ascii="Cambria" w:hAnsi="Cambria" w:cs="Calibri Light"/>
                <w:sz w:val="18"/>
                <w:szCs w:val="18"/>
                <w:lang w:val="es-ES"/>
              </w:rPr>
            </w:pPr>
            <w:r w:rsidRPr="00F95924">
              <w:rPr>
                <w:rFonts w:ascii="Cambria" w:hAnsi="Cambria"/>
                <w:color w:val="000000"/>
                <w:sz w:val="18"/>
                <w:szCs w:val="18"/>
                <w:lang w:val="es-ES"/>
              </w:rPr>
              <w:t xml:space="preserve">1. </w:t>
            </w:r>
            <w:r w:rsidR="003E24A8" w:rsidRPr="00F95924">
              <w:rPr>
                <w:rFonts w:ascii="Cambria" w:hAnsi="Cambria"/>
                <w:color w:val="000000"/>
                <w:sz w:val="18"/>
                <w:szCs w:val="18"/>
                <w:lang w:val="es-ES"/>
              </w:rPr>
              <w:t xml:space="preserve">Que otorgue a Prince </w:t>
            </w:r>
            <w:proofErr w:type="spellStart"/>
            <w:r w:rsidR="003E24A8" w:rsidRPr="00F95924">
              <w:rPr>
                <w:rFonts w:ascii="Cambria" w:hAnsi="Cambria"/>
                <w:color w:val="000000"/>
                <w:sz w:val="18"/>
                <w:szCs w:val="18"/>
                <w:lang w:val="es-ES"/>
              </w:rPr>
              <w:t>Pinder</w:t>
            </w:r>
            <w:proofErr w:type="spellEnd"/>
            <w:r w:rsidR="003E24A8" w:rsidRPr="00F95924">
              <w:rPr>
                <w:rFonts w:ascii="Cambria" w:hAnsi="Cambria"/>
                <w:color w:val="000000"/>
                <w:sz w:val="18"/>
                <w:szCs w:val="18"/>
                <w:lang w:val="es-ES"/>
              </w:rPr>
              <w:t xml:space="preserve"> un recurso efectivo que comprenda a) la conmutación de la pena de castigo corporal judicial y b) rehabilitación.</w:t>
            </w:r>
          </w:p>
        </w:tc>
        <w:tc>
          <w:tcPr>
            <w:tcW w:w="2250" w:type="dxa"/>
            <w:shd w:val="clear" w:color="auto" w:fill="auto"/>
            <w:vAlign w:val="center"/>
          </w:tcPr>
          <w:p w:rsidR="007B15E0" w:rsidRPr="00F95924" w:rsidRDefault="003E24A8" w:rsidP="009D3368">
            <w:pPr>
              <w:spacing w:after="0" w:line="240" w:lineRule="auto"/>
              <w:jc w:val="center"/>
              <w:rPr>
                <w:rFonts w:ascii="Cambria" w:hAnsi="Cambria" w:cs="Calibri Light"/>
                <w:b/>
                <w:sz w:val="18"/>
                <w:szCs w:val="18"/>
                <w:highlight w:val="yellow"/>
                <w:lang w:val="es-ES"/>
              </w:rPr>
            </w:pPr>
            <w:r w:rsidRPr="00F95924">
              <w:rPr>
                <w:rFonts w:ascii="Cambria" w:hAnsi="Cambria" w:cs="Calibri"/>
                <w:sz w:val="18"/>
                <w:szCs w:val="18"/>
                <w:lang w:val="es-ES"/>
              </w:rPr>
              <w:t>Pendiente de cumplimiento</w:t>
            </w:r>
          </w:p>
        </w:tc>
      </w:tr>
      <w:tr w:rsidR="007B15E0" w:rsidRPr="00F95924" w:rsidTr="003E24A8">
        <w:tc>
          <w:tcPr>
            <w:tcW w:w="7290" w:type="dxa"/>
            <w:shd w:val="clear" w:color="auto" w:fill="auto"/>
            <w:vAlign w:val="center"/>
          </w:tcPr>
          <w:p w:rsidR="007B15E0" w:rsidRPr="00F95924" w:rsidRDefault="009D3368" w:rsidP="009D3368">
            <w:pPr>
              <w:spacing w:after="0" w:line="240" w:lineRule="auto"/>
              <w:jc w:val="both"/>
              <w:rPr>
                <w:rFonts w:ascii="Cambria" w:hAnsi="Cambria" w:cs="Calibri Light"/>
                <w:sz w:val="18"/>
                <w:szCs w:val="18"/>
                <w:lang w:val="es-ES"/>
              </w:rPr>
            </w:pPr>
            <w:r w:rsidRPr="00F95924">
              <w:rPr>
                <w:rFonts w:ascii="Cambria" w:hAnsi="Cambria"/>
                <w:color w:val="000000"/>
                <w:sz w:val="18"/>
                <w:szCs w:val="18"/>
                <w:lang w:val="es-ES"/>
              </w:rPr>
              <w:t xml:space="preserve">2. </w:t>
            </w:r>
            <w:r w:rsidR="003E24A8" w:rsidRPr="00F95924">
              <w:rPr>
                <w:rFonts w:ascii="Cambria" w:hAnsi="Cambria"/>
                <w:color w:val="000000"/>
                <w:sz w:val="18"/>
                <w:szCs w:val="18"/>
                <w:lang w:val="es-ES"/>
              </w:rPr>
              <w:t>Que adopte las medidas legales o de otro género que puedan ser necesarias para abolir el castigo de la flagelación previsto en el Estatuto (de Medidas Punitivas) de la Legislación Penal de ese país, de 1991.</w:t>
            </w:r>
          </w:p>
        </w:tc>
        <w:tc>
          <w:tcPr>
            <w:tcW w:w="2250" w:type="dxa"/>
            <w:shd w:val="clear" w:color="auto" w:fill="auto"/>
            <w:vAlign w:val="center"/>
          </w:tcPr>
          <w:p w:rsidR="007B15E0" w:rsidRPr="00F95924" w:rsidRDefault="003E24A8" w:rsidP="009D3368">
            <w:pPr>
              <w:spacing w:after="0" w:line="240" w:lineRule="auto"/>
              <w:jc w:val="center"/>
              <w:rPr>
                <w:rFonts w:ascii="Cambria" w:hAnsi="Cambria" w:cs="Calibri Light"/>
                <w:b/>
                <w:sz w:val="18"/>
                <w:szCs w:val="18"/>
                <w:highlight w:val="yellow"/>
                <w:lang w:val="es-ES"/>
              </w:rPr>
            </w:pPr>
            <w:r w:rsidRPr="00F95924">
              <w:rPr>
                <w:rFonts w:ascii="Cambria" w:hAnsi="Cambria" w:cs="Calibri"/>
                <w:sz w:val="18"/>
                <w:szCs w:val="18"/>
                <w:lang w:val="es-ES"/>
              </w:rPr>
              <w:t>Pendiente de cumplimiento</w:t>
            </w:r>
          </w:p>
        </w:tc>
      </w:tr>
    </w:tbl>
    <w:p w:rsidR="008C51C1" w:rsidRPr="00F95924" w:rsidRDefault="008C51C1" w:rsidP="007B15E0">
      <w:pPr>
        <w:spacing w:after="0" w:line="240" w:lineRule="auto"/>
        <w:jc w:val="both"/>
        <w:rPr>
          <w:rFonts w:ascii="Cambria" w:hAnsi="Cambria" w:cs="Calibri Light"/>
          <w:color w:val="FF0000"/>
          <w:sz w:val="20"/>
          <w:szCs w:val="20"/>
          <w:lang w:val="es-ES"/>
        </w:rPr>
      </w:pPr>
    </w:p>
    <w:p w:rsidR="003E24A8" w:rsidRPr="009678A3" w:rsidRDefault="003E24A8" w:rsidP="009678A3">
      <w:pPr>
        <w:numPr>
          <w:ilvl w:val="0"/>
          <w:numId w:val="1"/>
        </w:numPr>
        <w:spacing w:after="0" w:line="240" w:lineRule="auto"/>
        <w:ind w:left="1440"/>
        <w:rPr>
          <w:rFonts w:ascii="Cambria" w:hAnsi="Cambria" w:cs="Calibri Light"/>
          <w:b/>
          <w:sz w:val="20"/>
          <w:szCs w:val="20"/>
          <w:lang w:val="es-ES"/>
        </w:rPr>
      </w:pPr>
      <w:r w:rsidRPr="009678A3">
        <w:rPr>
          <w:rFonts w:ascii="Cambria" w:hAnsi="Cambria" w:cs="Calibri Light"/>
          <w:b/>
          <w:sz w:val="20"/>
          <w:szCs w:val="20"/>
          <w:lang w:val="es-ES"/>
        </w:rPr>
        <w:t>Actividad Procesal</w:t>
      </w:r>
    </w:p>
    <w:p w:rsidR="003E24A8" w:rsidRPr="00D12119" w:rsidRDefault="003E24A8" w:rsidP="003E24A8">
      <w:pPr>
        <w:pStyle w:val="ListParagraph"/>
        <w:spacing w:after="0" w:line="240" w:lineRule="auto"/>
        <w:rPr>
          <w:rFonts w:ascii="Cambria" w:hAnsi="Cambria"/>
          <w:b/>
          <w:color w:val="FF0000"/>
          <w:sz w:val="20"/>
          <w:szCs w:val="20"/>
          <w:lang w:val="es-ES"/>
        </w:rPr>
      </w:pPr>
    </w:p>
    <w:p w:rsidR="000A301D" w:rsidRPr="00D12119" w:rsidRDefault="000A301D" w:rsidP="000A301D">
      <w:pPr>
        <w:pStyle w:val="ListParagraph"/>
        <w:numPr>
          <w:ilvl w:val="0"/>
          <w:numId w:val="12"/>
        </w:numPr>
        <w:spacing w:after="0" w:line="240" w:lineRule="auto"/>
        <w:ind w:left="0" w:firstLine="720"/>
        <w:jc w:val="both"/>
        <w:rPr>
          <w:rFonts w:ascii="Cambria" w:hAnsi="Cambria" w:cs="Calibri Light"/>
          <w:color w:val="FF0000"/>
          <w:sz w:val="20"/>
          <w:szCs w:val="20"/>
          <w:lang w:val="es-ES"/>
        </w:rPr>
      </w:pPr>
      <w:r w:rsidRPr="00D12119">
        <w:rPr>
          <w:rFonts w:ascii="Cambria" w:hAnsi="Cambria" w:cs="Calibri Light"/>
          <w:color w:val="FF0000"/>
          <w:sz w:val="20"/>
          <w:szCs w:val="20"/>
          <w:lang w:val="es-ES"/>
        </w:rPr>
        <w:t xml:space="preserve">En 2019, la CIDH solicitó información actualizada sobre el cumplimiento de las recomendaciones al Estado y a los peticionarios el 11 de julio. A la fecha de cierre de este informe, </w:t>
      </w:r>
      <w:r w:rsidRPr="00D12119">
        <w:rPr>
          <w:rFonts w:ascii="Cambria" w:hAnsi="Cambria"/>
          <w:color w:val="FF0000"/>
          <w:sz w:val="20"/>
          <w:szCs w:val="20"/>
          <w:lang w:val="es-ES_tradnl"/>
        </w:rPr>
        <w:t>la Comisión no había recibido dicha información de ninguna de las partes.</w:t>
      </w:r>
    </w:p>
    <w:p w:rsidR="009D3368" w:rsidRPr="00D12119" w:rsidRDefault="009D3368" w:rsidP="00207922">
      <w:pPr>
        <w:spacing w:after="0" w:line="240" w:lineRule="auto"/>
        <w:jc w:val="both"/>
        <w:rPr>
          <w:rFonts w:ascii="Cambria" w:hAnsi="Cambria" w:cs="Calibri Light"/>
          <w:sz w:val="20"/>
          <w:szCs w:val="20"/>
          <w:lang w:val="es-ES"/>
        </w:rPr>
      </w:pPr>
    </w:p>
    <w:p w:rsidR="003E24A8" w:rsidRPr="00D12119" w:rsidRDefault="007D3C8E" w:rsidP="009678A3">
      <w:pPr>
        <w:numPr>
          <w:ilvl w:val="0"/>
          <w:numId w:val="1"/>
        </w:numPr>
        <w:spacing w:after="0" w:line="240" w:lineRule="auto"/>
        <w:ind w:left="1440"/>
        <w:rPr>
          <w:rFonts w:ascii="Cambria" w:hAnsi="Cambria" w:cs="Calibri Light"/>
          <w:b/>
          <w:sz w:val="20"/>
          <w:szCs w:val="20"/>
          <w:lang w:val="es-ES"/>
        </w:rPr>
      </w:pPr>
      <w:r w:rsidRPr="00D12119">
        <w:rPr>
          <w:rFonts w:ascii="Cambria" w:hAnsi="Cambria" w:cs="Calibri Light"/>
          <w:b/>
          <w:sz w:val="20"/>
          <w:szCs w:val="20"/>
          <w:lang w:val="es-ES"/>
        </w:rPr>
        <w:t>Análisis relativo</w:t>
      </w:r>
      <w:r w:rsidR="003E24A8" w:rsidRPr="00D12119">
        <w:rPr>
          <w:rFonts w:ascii="Cambria" w:hAnsi="Cambria" w:cs="Calibri Light"/>
          <w:b/>
          <w:sz w:val="20"/>
          <w:szCs w:val="20"/>
          <w:lang w:val="es-ES"/>
        </w:rPr>
        <w:t xml:space="preserve"> a </w:t>
      </w:r>
      <w:r w:rsidR="00EF179E" w:rsidRPr="00D12119">
        <w:rPr>
          <w:rFonts w:ascii="Cambria" w:hAnsi="Cambria" w:cs="Calibri Light"/>
          <w:b/>
          <w:sz w:val="20"/>
          <w:szCs w:val="20"/>
          <w:lang w:val="es-ES"/>
        </w:rPr>
        <w:t xml:space="preserve">la </w:t>
      </w:r>
      <w:r w:rsidR="003E24A8" w:rsidRPr="00D12119">
        <w:rPr>
          <w:rFonts w:ascii="Cambria" w:hAnsi="Cambria" w:cs="Calibri Light"/>
          <w:b/>
          <w:sz w:val="20"/>
          <w:szCs w:val="20"/>
          <w:lang w:val="es-ES"/>
        </w:rPr>
        <w:t>información proporcionada</w:t>
      </w:r>
    </w:p>
    <w:p w:rsidR="001759C1" w:rsidRPr="00D12119" w:rsidRDefault="001759C1" w:rsidP="001759C1">
      <w:pPr>
        <w:pStyle w:val="ListParagraph"/>
        <w:spacing w:after="0" w:line="240" w:lineRule="auto"/>
        <w:ind w:left="1080"/>
        <w:jc w:val="both"/>
        <w:rPr>
          <w:rFonts w:ascii="Cambria" w:hAnsi="Cambria" w:cs="Calibri Light"/>
          <w:color w:val="FF0000"/>
          <w:sz w:val="20"/>
          <w:szCs w:val="20"/>
          <w:lang w:val="es-ES"/>
        </w:rPr>
      </w:pPr>
    </w:p>
    <w:p w:rsidR="00B728EB" w:rsidRPr="00982F27" w:rsidRDefault="00982F27" w:rsidP="00B728EB">
      <w:pPr>
        <w:pStyle w:val="ListParagraph"/>
        <w:numPr>
          <w:ilvl w:val="0"/>
          <w:numId w:val="12"/>
        </w:numPr>
        <w:spacing w:after="0" w:line="240" w:lineRule="auto"/>
        <w:ind w:left="0" w:firstLine="720"/>
        <w:jc w:val="both"/>
        <w:rPr>
          <w:rFonts w:ascii="Cambria" w:hAnsi="Cambria"/>
          <w:color w:val="FF0000"/>
          <w:sz w:val="20"/>
          <w:szCs w:val="20"/>
          <w:lang w:val="es-ES"/>
        </w:rPr>
      </w:pPr>
      <w:bookmarkStart w:id="1" w:name="_Hlk529145"/>
      <w:r w:rsidRPr="00D12119">
        <w:rPr>
          <w:rFonts w:ascii="Cambria" w:hAnsi="Cambria" w:cs="Calibri Light"/>
          <w:color w:val="FF0000"/>
          <w:sz w:val="20"/>
          <w:szCs w:val="20"/>
          <w:lang w:val="es-ES"/>
        </w:rPr>
        <w:t>En 2019, ninguna de las partes proporcionó información a la Comisión sobre las acciones adoptadas por el Estado para cumplir con las recomendaciones emiti</w:t>
      </w:r>
      <w:r w:rsidR="00056698">
        <w:rPr>
          <w:rFonts w:ascii="Cambria" w:hAnsi="Cambria" w:cs="Calibri Light"/>
          <w:color w:val="FF0000"/>
          <w:sz w:val="20"/>
          <w:szCs w:val="20"/>
          <w:lang w:val="es-ES"/>
        </w:rPr>
        <w:t>das en el Informe de Fondo Nº 79/07</w:t>
      </w:r>
      <w:r w:rsidRPr="00D12119">
        <w:rPr>
          <w:rFonts w:ascii="Cambria" w:hAnsi="Cambria" w:cs="Calibri Light"/>
          <w:color w:val="FF0000"/>
          <w:sz w:val="20"/>
          <w:szCs w:val="20"/>
          <w:lang w:val="es-ES"/>
        </w:rPr>
        <w:t xml:space="preserve">. </w:t>
      </w:r>
      <w:r w:rsidR="00B728EB" w:rsidRPr="00982F27">
        <w:rPr>
          <w:rFonts w:ascii="Cambria" w:hAnsi="Cambria"/>
          <w:color w:val="FF0000"/>
          <w:sz w:val="20"/>
          <w:szCs w:val="20"/>
          <w:lang w:val="es-ES"/>
        </w:rPr>
        <w:t>La Comisión observa con preocupación que el Estado no ha presentado información sobre las medidas adoptadas para implementar las recomendaciones contenidas en el Informe de Fondo No. 79/07 de la CIDH, desde 2012 y los peticionarios desde 2007</w:t>
      </w:r>
      <w:r w:rsidR="00B728EB" w:rsidRPr="00982F27">
        <w:rPr>
          <w:rFonts w:ascii="Cambria" w:hAnsi="Cambria" w:cs="Calibri Light"/>
          <w:color w:val="FF0000"/>
          <w:sz w:val="20"/>
          <w:szCs w:val="20"/>
          <w:lang w:val="es-ES"/>
        </w:rPr>
        <w:t>.</w:t>
      </w:r>
      <w:r w:rsidR="00B728EB" w:rsidRPr="00982F27">
        <w:rPr>
          <w:rFonts w:ascii="Cambria" w:hAnsi="Cambria"/>
          <w:color w:val="FF0000"/>
          <w:sz w:val="20"/>
          <w:szCs w:val="20"/>
          <w:lang w:val="es-ES"/>
        </w:rPr>
        <w:t xml:space="preserve"> </w:t>
      </w:r>
    </w:p>
    <w:p w:rsidR="00B728EB" w:rsidRPr="00B728EB" w:rsidRDefault="00B728EB" w:rsidP="00B728EB">
      <w:pPr>
        <w:pStyle w:val="ListParagraph"/>
        <w:spacing w:after="0" w:line="240" w:lineRule="auto"/>
        <w:jc w:val="both"/>
        <w:rPr>
          <w:rFonts w:ascii="Cambria" w:hAnsi="Cambria"/>
          <w:color w:val="FF0000"/>
          <w:sz w:val="20"/>
          <w:szCs w:val="20"/>
          <w:lang w:val="es-ES"/>
        </w:rPr>
      </w:pPr>
    </w:p>
    <w:p w:rsidR="00D12119" w:rsidRPr="00B728EB" w:rsidRDefault="00982F27" w:rsidP="00D12119">
      <w:pPr>
        <w:pStyle w:val="ListParagraph"/>
        <w:numPr>
          <w:ilvl w:val="0"/>
          <w:numId w:val="12"/>
        </w:numPr>
        <w:spacing w:after="0" w:line="240" w:lineRule="auto"/>
        <w:ind w:left="0" w:firstLine="720"/>
        <w:jc w:val="both"/>
        <w:rPr>
          <w:rFonts w:ascii="Cambria" w:hAnsi="Cambria"/>
          <w:color w:val="FF0000"/>
          <w:sz w:val="20"/>
          <w:szCs w:val="20"/>
          <w:lang w:val="es-ES"/>
        </w:rPr>
      </w:pPr>
      <w:r w:rsidRPr="00D12119">
        <w:rPr>
          <w:rFonts w:ascii="Cambria" w:hAnsi="Cambria" w:cs="Calibri Light"/>
          <w:color w:val="FF0000"/>
          <w:sz w:val="20"/>
          <w:szCs w:val="20"/>
          <w:lang w:val="es-ES"/>
        </w:rPr>
        <w:lastRenderedPageBreak/>
        <w:t>En este sentido, ante la ausencia de información actualizada sobre el nivel de cumplimiento de las recomendaciones, la CIDH reitera, a continuación, el análisis del cumplimiento y las conclusiones realizadas en su Informe Anual 2018.</w:t>
      </w:r>
    </w:p>
    <w:bookmarkEnd w:id="1"/>
    <w:p w:rsidR="00D31E48" w:rsidRDefault="00D31E48" w:rsidP="00D31E48">
      <w:pPr>
        <w:spacing w:after="0" w:line="240" w:lineRule="auto"/>
        <w:ind w:left="1440"/>
        <w:rPr>
          <w:rFonts w:ascii="Cambria" w:hAnsi="Cambria" w:cs="Calibri Light"/>
          <w:b/>
          <w:sz w:val="20"/>
          <w:szCs w:val="20"/>
          <w:lang w:val="es-ES"/>
        </w:rPr>
      </w:pPr>
    </w:p>
    <w:p w:rsidR="000019EF" w:rsidRPr="00916856" w:rsidRDefault="000019EF" w:rsidP="009678A3">
      <w:pPr>
        <w:numPr>
          <w:ilvl w:val="0"/>
          <w:numId w:val="1"/>
        </w:numPr>
        <w:spacing w:after="0" w:line="240" w:lineRule="auto"/>
        <w:ind w:left="1440"/>
        <w:rPr>
          <w:rFonts w:ascii="Cambria" w:hAnsi="Cambria" w:cs="Calibri Light"/>
          <w:b/>
          <w:sz w:val="20"/>
          <w:szCs w:val="20"/>
          <w:lang w:val="es-ES"/>
        </w:rPr>
      </w:pPr>
      <w:r w:rsidRPr="00916856">
        <w:rPr>
          <w:rFonts w:ascii="Cambria" w:hAnsi="Cambria" w:cs="Calibri Light"/>
          <w:b/>
          <w:sz w:val="20"/>
          <w:szCs w:val="20"/>
          <w:lang w:val="es-ES"/>
        </w:rPr>
        <w:t>Análisis del cumplimiento de las recomendaciones</w:t>
      </w:r>
    </w:p>
    <w:p w:rsidR="00207922" w:rsidRPr="00916856" w:rsidRDefault="00207922" w:rsidP="00207922">
      <w:pPr>
        <w:spacing w:after="0" w:line="240" w:lineRule="auto"/>
        <w:jc w:val="both"/>
        <w:rPr>
          <w:rFonts w:ascii="Cambria" w:hAnsi="Cambria" w:cs="Calibri Light"/>
          <w:sz w:val="20"/>
          <w:szCs w:val="20"/>
          <w:lang w:val="es-ES"/>
        </w:rPr>
      </w:pPr>
    </w:p>
    <w:p w:rsidR="00BE52AD"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b/>
          <w:sz w:val="20"/>
          <w:szCs w:val="20"/>
          <w:lang w:val="es-ES"/>
        </w:rPr>
        <w:t>En relación con la primera recomendación</w:t>
      </w:r>
      <w:r w:rsidR="00027FA3" w:rsidRPr="00916856">
        <w:rPr>
          <w:rFonts w:ascii="Cambria" w:hAnsi="Cambria" w:cs="Calibri Light"/>
          <w:sz w:val="20"/>
          <w:szCs w:val="20"/>
          <w:lang w:val="es-ES"/>
        </w:rPr>
        <w:t>,</w:t>
      </w:r>
      <w:r w:rsidR="001E4A88" w:rsidRPr="00916856">
        <w:rPr>
          <w:rFonts w:ascii="Cambria" w:hAnsi="Cambria" w:cs="Calibri Light"/>
          <w:sz w:val="20"/>
          <w:szCs w:val="20"/>
          <w:lang w:val="es-ES"/>
        </w:rPr>
        <w:t xml:space="preserve"> </w:t>
      </w:r>
      <w:r w:rsidR="00C267BD" w:rsidRPr="00916856">
        <w:rPr>
          <w:rFonts w:ascii="Cambria" w:hAnsi="Cambria" w:cs="Calibri Light"/>
          <w:sz w:val="20"/>
          <w:szCs w:val="20"/>
          <w:lang w:val="es-ES"/>
        </w:rPr>
        <w:t>el 10 de abril de</w:t>
      </w:r>
      <w:r w:rsidR="001E4A88" w:rsidRPr="00916856">
        <w:rPr>
          <w:rFonts w:ascii="Cambria" w:hAnsi="Cambria" w:cs="Calibri Light"/>
          <w:sz w:val="20"/>
          <w:szCs w:val="20"/>
          <w:lang w:val="es-ES"/>
        </w:rPr>
        <w:t xml:space="preserve"> 2012, </w:t>
      </w:r>
      <w:r w:rsidR="00A91FC4" w:rsidRPr="00916856">
        <w:rPr>
          <w:rFonts w:ascii="Cambria" w:hAnsi="Cambria" w:cs="Calibri Light"/>
          <w:sz w:val="20"/>
          <w:szCs w:val="20"/>
          <w:lang w:val="es-ES"/>
        </w:rPr>
        <w:t xml:space="preserve">el Estado informó que la fecha programada </w:t>
      </w:r>
      <w:r w:rsidR="00046E4E" w:rsidRPr="00916856">
        <w:rPr>
          <w:rFonts w:ascii="Cambria" w:hAnsi="Cambria" w:cs="Calibri Light"/>
          <w:sz w:val="20"/>
          <w:szCs w:val="20"/>
          <w:lang w:val="es-ES"/>
        </w:rPr>
        <w:t>para ponerlo en liber</w:t>
      </w:r>
      <w:r w:rsidR="008C255B" w:rsidRPr="00916856">
        <w:rPr>
          <w:rFonts w:ascii="Cambria" w:hAnsi="Cambria" w:cs="Calibri Light"/>
          <w:sz w:val="20"/>
          <w:szCs w:val="20"/>
          <w:lang w:val="es-ES"/>
        </w:rPr>
        <w:t>t</w:t>
      </w:r>
      <w:r w:rsidR="00046E4E" w:rsidRPr="00916856">
        <w:rPr>
          <w:rFonts w:ascii="Cambria" w:hAnsi="Cambria" w:cs="Calibri Light"/>
          <w:sz w:val="20"/>
          <w:szCs w:val="20"/>
          <w:lang w:val="es-ES"/>
        </w:rPr>
        <w:t>ad a</w:t>
      </w:r>
      <w:r w:rsidR="00124B0D" w:rsidRPr="00916856">
        <w:rPr>
          <w:rFonts w:ascii="Cambria" w:hAnsi="Cambria" w:cs="Calibri Light"/>
          <w:sz w:val="20"/>
          <w:szCs w:val="20"/>
          <w:lang w:val="es-ES"/>
        </w:rPr>
        <w:t xml:space="preserve">l señor </w:t>
      </w:r>
      <w:proofErr w:type="spellStart"/>
      <w:r w:rsidR="00124B0D" w:rsidRPr="00916856">
        <w:rPr>
          <w:rFonts w:ascii="Cambria" w:hAnsi="Cambria" w:cs="Calibri Light"/>
          <w:sz w:val="20"/>
          <w:szCs w:val="20"/>
          <w:lang w:val="es-ES"/>
        </w:rPr>
        <w:t>Pinder</w:t>
      </w:r>
      <w:proofErr w:type="spellEnd"/>
      <w:r w:rsidR="00124B0D" w:rsidRPr="00916856">
        <w:rPr>
          <w:rFonts w:ascii="Cambria" w:hAnsi="Cambria" w:cs="Calibri Light"/>
          <w:sz w:val="20"/>
          <w:szCs w:val="20"/>
          <w:lang w:val="es-ES"/>
        </w:rPr>
        <w:t xml:space="preserve"> </w:t>
      </w:r>
      <w:r w:rsidR="007A770E" w:rsidRPr="00916856">
        <w:rPr>
          <w:rFonts w:ascii="Cambria" w:hAnsi="Cambria" w:cs="Calibri Light"/>
          <w:sz w:val="20"/>
          <w:szCs w:val="20"/>
          <w:lang w:val="es-ES"/>
        </w:rPr>
        <w:t>era</w:t>
      </w:r>
      <w:r w:rsidR="00124B0D" w:rsidRPr="00916856">
        <w:rPr>
          <w:rFonts w:ascii="Cambria" w:hAnsi="Cambria" w:cs="Calibri Light"/>
          <w:sz w:val="20"/>
          <w:szCs w:val="20"/>
          <w:lang w:val="es-ES"/>
        </w:rPr>
        <w:t xml:space="preserve"> el 28 de julio de 2017. Sin embargo, el Estado no presentó información sobre las recomendaciones de la CIDH relacionadas con la </w:t>
      </w:r>
      <w:r w:rsidR="007B55D6" w:rsidRPr="00916856">
        <w:rPr>
          <w:rFonts w:ascii="Cambria" w:hAnsi="Cambria" w:cs="Calibri Light"/>
          <w:sz w:val="20"/>
          <w:szCs w:val="20"/>
          <w:lang w:val="es-ES"/>
        </w:rPr>
        <w:t>pena</w:t>
      </w:r>
      <w:r w:rsidR="008C255B" w:rsidRPr="00916856">
        <w:rPr>
          <w:rFonts w:ascii="Cambria" w:hAnsi="Cambria" w:cs="Calibri Light"/>
          <w:sz w:val="20"/>
          <w:szCs w:val="20"/>
          <w:lang w:val="es-ES"/>
        </w:rPr>
        <w:t xml:space="preserve"> judicial</w:t>
      </w:r>
      <w:r w:rsidR="007B55D6" w:rsidRPr="00916856">
        <w:rPr>
          <w:rFonts w:ascii="Cambria" w:hAnsi="Cambria" w:cs="Calibri Light"/>
          <w:sz w:val="20"/>
          <w:szCs w:val="20"/>
          <w:lang w:val="es-ES"/>
        </w:rPr>
        <w:t xml:space="preserve"> de castigo corporal impuesta al señor </w:t>
      </w:r>
      <w:proofErr w:type="spellStart"/>
      <w:r w:rsidR="007B55D6" w:rsidRPr="00916856">
        <w:rPr>
          <w:rFonts w:ascii="Cambria" w:hAnsi="Cambria" w:cs="Calibri Light"/>
          <w:sz w:val="20"/>
          <w:szCs w:val="20"/>
          <w:lang w:val="es-ES"/>
        </w:rPr>
        <w:t>Pinder</w:t>
      </w:r>
      <w:proofErr w:type="spellEnd"/>
      <w:r w:rsidR="007B55D6" w:rsidRPr="00916856">
        <w:rPr>
          <w:rFonts w:ascii="Cambria" w:hAnsi="Cambria" w:cs="Calibri Light"/>
          <w:sz w:val="20"/>
          <w:szCs w:val="20"/>
          <w:lang w:val="es-ES"/>
        </w:rPr>
        <w:t xml:space="preserve"> y sobre el marco jurídico que autoriz</w:t>
      </w:r>
      <w:r w:rsidR="004B145C" w:rsidRPr="00916856">
        <w:rPr>
          <w:rFonts w:ascii="Cambria" w:hAnsi="Cambria" w:cs="Calibri Light"/>
          <w:sz w:val="20"/>
          <w:szCs w:val="20"/>
          <w:lang w:val="es-ES"/>
        </w:rPr>
        <w:t>a</w:t>
      </w:r>
      <w:r w:rsidR="007B55D6" w:rsidRPr="00916856">
        <w:rPr>
          <w:rFonts w:ascii="Cambria" w:hAnsi="Cambria" w:cs="Calibri Light"/>
          <w:sz w:val="20"/>
          <w:szCs w:val="20"/>
          <w:lang w:val="es-ES"/>
        </w:rPr>
        <w:t xml:space="preserve"> este tipo de sanci</w:t>
      </w:r>
      <w:r w:rsidR="004B145C" w:rsidRPr="00916856">
        <w:rPr>
          <w:rFonts w:ascii="Cambria" w:hAnsi="Cambria" w:cs="Calibri Light"/>
          <w:sz w:val="20"/>
          <w:szCs w:val="20"/>
          <w:lang w:val="es-ES"/>
        </w:rPr>
        <w:t>ó</w:t>
      </w:r>
      <w:r w:rsidR="007B55D6" w:rsidRPr="00916856">
        <w:rPr>
          <w:rFonts w:ascii="Cambria" w:hAnsi="Cambria" w:cs="Calibri Light"/>
          <w:sz w:val="20"/>
          <w:szCs w:val="20"/>
          <w:lang w:val="es-ES"/>
        </w:rPr>
        <w:t xml:space="preserve">n. </w:t>
      </w:r>
    </w:p>
    <w:p w:rsidR="00BE52AD"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rsidR="001E4A88" w:rsidRPr="00916856" w:rsidRDefault="0098323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Pr>
          <w:rFonts w:ascii="Cambria" w:hAnsi="Cambria" w:cs="Calibri Light"/>
          <w:sz w:val="20"/>
          <w:szCs w:val="20"/>
          <w:lang w:val="es-ES"/>
        </w:rPr>
        <w:t>Considerando la ausencia de información actualizada al respecto</w:t>
      </w:r>
      <w:r w:rsidR="00BE52AD">
        <w:rPr>
          <w:rFonts w:ascii="Cambria" w:hAnsi="Cambria" w:cs="Calibri Light"/>
          <w:sz w:val="20"/>
          <w:szCs w:val="20"/>
          <w:lang w:val="es-ES"/>
        </w:rPr>
        <w:t xml:space="preserve">, la </w:t>
      </w:r>
      <w:r w:rsidR="007B55D6" w:rsidRPr="00916856">
        <w:rPr>
          <w:rFonts w:ascii="Cambria" w:hAnsi="Cambria" w:cs="Calibri Light"/>
          <w:sz w:val="20"/>
          <w:szCs w:val="20"/>
          <w:lang w:val="es-ES"/>
        </w:rPr>
        <w:t>Comisión considera que</w:t>
      </w:r>
      <w:r w:rsidR="008C255B" w:rsidRPr="00916856">
        <w:rPr>
          <w:rFonts w:ascii="Cambria" w:hAnsi="Cambria" w:cs="Calibri Light"/>
          <w:sz w:val="20"/>
          <w:szCs w:val="20"/>
          <w:lang w:val="es-ES"/>
        </w:rPr>
        <w:t xml:space="preserve"> continúa pendiente el cumplimiento de</w:t>
      </w:r>
      <w:r w:rsidR="007B55D6" w:rsidRPr="00916856">
        <w:rPr>
          <w:rFonts w:ascii="Cambria" w:hAnsi="Cambria" w:cs="Calibri Light"/>
          <w:sz w:val="20"/>
          <w:szCs w:val="20"/>
          <w:lang w:val="es-ES"/>
        </w:rPr>
        <w:t xml:space="preserve"> la Recomendación 1</w:t>
      </w:r>
      <w:r w:rsidR="008C255B" w:rsidRPr="00916856">
        <w:rPr>
          <w:rFonts w:ascii="Cambria" w:hAnsi="Cambria" w:cs="Calibri Light"/>
          <w:sz w:val="20"/>
          <w:szCs w:val="20"/>
          <w:lang w:val="es-ES"/>
        </w:rPr>
        <w:t>.</w:t>
      </w:r>
      <w:r w:rsidR="007B55D6" w:rsidRPr="00916856">
        <w:rPr>
          <w:rFonts w:ascii="Cambria" w:hAnsi="Cambria" w:cs="Calibri Light"/>
          <w:sz w:val="20"/>
          <w:szCs w:val="20"/>
          <w:lang w:val="es-ES"/>
        </w:rPr>
        <w:t xml:space="preserve"> </w:t>
      </w:r>
    </w:p>
    <w:p w:rsidR="00027FA3" w:rsidRPr="00916856" w:rsidRDefault="00027FA3"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BE52AD"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b/>
          <w:sz w:val="20"/>
          <w:szCs w:val="20"/>
          <w:lang w:val="es-ES"/>
        </w:rPr>
        <w:t>Respecto de la segunda recomendación</w:t>
      </w:r>
      <w:r w:rsidR="00027FA3" w:rsidRPr="00916856">
        <w:rPr>
          <w:rFonts w:ascii="Cambria" w:hAnsi="Cambria" w:cs="Calibri Light"/>
          <w:b/>
          <w:sz w:val="20"/>
          <w:szCs w:val="20"/>
          <w:lang w:val="es-ES"/>
        </w:rPr>
        <w:t xml:space="preserve">, </w:t>
      </w:r>
      <w:r w:rsidR="004B145C" w:rsidRPr="00916856">
        <w:rPr>
          <w:rFonts w:ascii="Cambria" w:hAnsi="Cambria" w:cs="Calibri Light"/>
          <w:sz w:val="20"/>
          <w:szCs w:val="20"/>
          <w:lang w:val="es-ES"/>
        </w:rPr>
        <w:t>la Comisión observa con preocupación que las partes no han suministrado información con r</w:t>
      </w:r>
      <w:r w:rsidR="00E42F47" w:rsidRPr="00916856">
        <w:rPr>
          <w:rFonts w:ascii="Cambria" w:hAnsi="Cambria" w:cs="Calibri Light"/>
          <w:sz w:val="20"/>
          <w:szCs w:val="20"/>
          <w:lang w:val="es-ES"/>
        </w:rPr>
        <w:t>e</w:t>
      </w:r>
      <w:r w:rsidR="004B145C" w:rsidRPr="00916856">
        <w:rPr>
          <w:rFonts w:ascii="Cambria" w:hAnsi="Cambria" w:cs="Calibri Light"/>
          <w:sz w:val="20"/>
          <w:szCs w:val="20"/>
          <w:lang w:val="es-ES"/>
        </w:rPr>
        <w:t xml:space="preserve">specto a las acciones adoptadas para cumplir con esta recomendación desde la publicación del Informe </w:t>
      </w:r>
      <w:r w:rsidR="00CF5410" w:rsidRPr="00916856">
        <w:rPr>
          <w:rFonts w:ascii="Cambria" w:hAnsi="Cambria" w:cs="Calibri Light"/>
          <w:sz w:val="20"/>
          <w:szCs w:val="20"/>
          <w:lang w:val="es-ES"/>
        </w:rPr>
        <w:t xml:space="preserve">de Fondo </w:t>
      </w:r>
      <w:r w:rsidR="004B145C" w:rsidRPr="00916856">
        <w:rPr>
          <w:rFonts w:ascii="Cambria" w:hAnsi="Cambria" w:cs="Calibri Light"/>
          <w:sz w:val="20"/>
          <w:szCs w:val="20"/>
          <w:lang w:val="es-ES"/>
        </w:rPr>
        <w:t xml:space="preserve">No. 79/07. </w:t>
      </w:r>
    </w:p>
    <w:p w:rsidR="00BE52AD"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rsidR="00027FA3" w:rsidRPr="00916856" w:rsidRDefault="004B145C"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Al r</w:t>
      </w:r>
      <w:r w:rsidR="00E42F47" w:rsidRPr="00916856">
        <w:rPr>
          <w:rFonts w:ascii="Cambria" w:hAnsi="Cambria" w:cs="Calibri Light"/>
          <w:sz w:val="20"/>
          <w:szCs w:val="20"/>
          <w:lang w:val="es-ES"/>
        </w:rPr>
        <w:t>e</w:t>
      </w:r>
      <w:r w:rsidRPr="00916856">
        <w:rPr>
          <w:rFonts w:ascii="Cambria" w:hAnsi="Cambria" w:cs="Calibri Light"/>
          <w:sz w:val="20"/>
          <w:szCs w:val="20"/>
          <w:lang w:val="es-ES"/>
        </w:rPr>
        <w:t>specto, la Comisión considera que</w:t>
      </w:r>
      <w:r w:rsidR="008C255B" w:rsidRPr="00916856">
        <w:rPr>
          <w:rFonts w:ascii="Cambria" w:hAnsi="Cambria" w:cs="Calibri Light"/>
          <w:sz w:val="20"/>
          <w:szCs w:val="20"/>
          <w:lang w:val="es-ES"/>
        </w:rPr>
        <w:t xml:space="preserve"> continúa pendiente el cumplimiento de</w:t>
      </w:r>
      <w:r w:rsidRPr="00916856">
        <w:rPr>
          <w:rFonts w:ascii="Cambria" w:hAnsi="Cambria" w:cs="Calibri Light"/>
          <w:sz w:val="20"/>
          <w:szCs w:val="20"/>
          <w:lang w:val="es-ES"/>
        </w:rPr>
        <w:t xml:space="preserve"> la Recomendación 2</w:t>
      </w:r>
      <w:r w:rsidR="00F12373" w:rsidRPr="00916856">
        <w:rPr>
          <w:rFonts w:ascii="Cambria" w:hAnsi="Cambria" w:cs="Calibri Light"/>
          <w:sz w:val="20"/>
          <w:szCs w:val="20"/>
          <w:lang w:val="es-ES"/>
        </w:rPr>
        <w:t xml:space="preserve">. </w:t>
      </w:r>
    </w:p>
    <w:p w:rsidR="00207922" w:rsidRPr="00916856" w:rsidRDefault="00207922" w:rsidP="00207922">
      <w:pPr>
        <w:spacing w:after="0" w:line="240" w:lineRule="auto"/>
        <w:rPr>
          <w:rFonts w:ascii="Cambria" w:hAnsi="Cambria"/>
          <w:sz w:val="20"/>
          <w:szCs w:val="20"/>
          <w:lang w:val="es-ES"/>
        </w:rPr>
      </w:pPr>
    </w:p>
    <w:p w:rsidR="000019EF" w:rsidRPr="00916856" w:rsidRDefault="000019EF" w:rsidP="00A847CC">
      <w:pPr>
        <w:numPr>
          <w:ilvl w:val="0"/>
          <w:numId w:val="1"/>
        </w:numPr>
        <w:spacing w:after="0" w:line="240" w:lineRule="auto"/>
        <w:ind w:left="1440"/>
        <w:rPr>
          <w:rFonts w:ascii="Cambria" w:hAnsi="Cambria" w:cs="Calibri Light"/>
          <w:b/>
          <w:sz w:val="20"/>
          <w:szCs w:val="20"/>
          <w:lang w:val="es-ES"/>
        </w:rPr>
      </w:pPr>
      <w:r w:rsidRPr="00916856">
        <w:rPr>
          <w:rFonts w:ascii="Cambria" w:hAnsi="Cambria" w:cs="Calibri Light"/>
          <w:b/>
          <w:sz w:val="20"/>
          <w:szCs w:val="20"/>
          <w:lang w:val="es-ES"/>
        </w:rPr>
        <w:t xml:space="preserve">Nivel Estado del cumplimiento del caso </w:t>
      </w:r>
    </w:p>
    <w:p w:rsidR="00207922" w:rsidRPr="00916856" w:rsidRDefault="00207922" w:rsidP="00207922">
      <w:pPr>
        <w:spacing w:after="0" w:line="240" w:lineRule="auto"/>
        <w:jc w:val="both"/>
        <w:rPr>
          <w:rFonts w:ascii="Cambria" w:hAnsi="Cambria" w:cs="Calibri Light"/>
          <w:sz w:val="20"/>
          <w:szCs w:val="20"/>
          <w:lang w:val="es-ES"/>
        </w:rPr>
      </w:pPr>
    </w:p>
    <w:p w:rsidR="00E148F4" w:rsidRPr="00B728EB" w:rsidRDefault="00E148F4"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 xml:space="preserve">Por lo anterior, la Comisión concluye que el nivel de cumplimiento </w:t>
      </w:r>
      <w:r w:rsidRPr="00B728EB">
        <w:rPr>
          <w:rFonts w:ascii="Cambria" w:hAnsi="Cambria" w:cs="Calibri Light"/>
          <w:sz w:val="20"/>
          <w:szCs w:val="20"/>
          <w:lang w:val="es-ES"/>
        </w:rPr>
        <w:t xml:space="preserve">del caso es pendiente. En consecuencia, la CIDH seguirá supervisando el cumplimiento de las Recomendaciones 1 y 2.  </w:t>
      </w:r>
    </w:p>
    <w:p w:rsidR="00D15DFF" w:rsidRPr="00916856" w:rsidRDefault="00D15DFF"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D15DFF" w:rsidRPr="00916856" w:rsidRDefault="00F12373"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La Comisión</w:t>
      </w:r>
      <w:r w:rsidR="00A46DFA">
        <w:rPr>
          <w:rFonts w:ascii="Cambria" w:hAnsi="Cambria" w:cs="Calibri Light"/>
          <w:sz w:val="20"/>
          <w:szCs w:val="20"/>
          <w:lang w:val="es-ES"/>
        </w:rPr>
        <w:t xml:space="preserve"> llama </w:t>
      </w:r>
      <w:r w:rsidRPr="00916856">
        <w:rPr>
          <w:rFonts w:ascii="Cambria" w:hAnsi="Cambria" w:cs="Calibri Light"/>
          <w:sz w:val="20"/>
          <w:szCs w:val="20"/>
          <w:lang w:val="es-ES"/>
        </w:rPr>
        <w:t>a las partes a que suministren información detallada con respecto a las acciones adoptadas para cumplir con las recomendaciones mencionadas</w:t>
      </w:r>
      <w:r w:rsidR="00D15DFF" w:rsidRPr="00916856">
        <w:rPr>
          <w:rFonts w:ascii="Cambria" w:hAnsi="Cambria" w:cs="Calibri Light"/>
          <w:sz w:val="20"/>
          <w:szCs w:val="20"/>
          <w:lang w:val="es-ES"/>
        </w:rPr>
        <w:t>.</w:t>
      </w:r>
    </w:p>
    <w:p w:rsidR="00207922" w:rsidRPr="00F95924" w:rsidRDefault="00207922" w:rsidP="00D15DFF">
      <w:pPr>
        <w:shd w:val="clear" w:color="auto" w:fill="FFFFFF" w:themeFill="background1"/>
        <w:spacing w:after="0" w:line="240" w:lineRule="auto"/>
        <w:ind w:left="360"/>
        <w:jc w:val="both"/>
        <w:rPr>
          <w:rFonts w:ascii="Cambria" w:hAnsi="Cambria"/>
          <w:color w:val="FF0000"/>
          <w:sz w:val="20"/>
          <w:szCs w:val="20"/>
          <w:lang w:val="es-ES"/>
        </w:rPr>
      </w:pPr>
    </w:p>
    <w:p w:rsidR="00E148F4" w:rsidRPr="00F95924" w:rsidRDefault="00E148F4" w:rsidP="00A847CC">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 xml:space="preserve">Resultados individuales y estructurales del caso </w:t>
      </w:r>
    </w:p>
    <w:p w:rsidR="00CB49F9" w:rsidRPr="00F95924" w:rsidRDefault="00CB49F9" w:rsidP="00CB49F9">
      <w:pPr>
        <w:pStyle w:val="ListParagraph"/>
        <w:spacing w:after="0" w:line="240" w:lineRule="auto"/>
        <w:ind w:left="1080"/>
        <w:rPr>
          <w:rFonts w:ascii="Cambria" w:hAnsi="Cambria"/>
          <w:color w:val="FF0000"/>
          <w:sz w:val="20"/>
          <w:szCs w:val="20"/>
          <w:lang w:val="es-ES"/>
        </w:rPr>
      </w:pPr>
    </w:p>
    <w:p w:rsidR="00F1793E" w:rsidRPr="00F95924" w:rsidRDefault="00E148F4" w:rsidP="00A847CC">
      <w:pPr>
        <w:pStyle w:val="ListParagraph"/>
        <w:numPr>
          <w:ilvl w:val="0"/>
          <w:numId w:val="12"/>
        </w:numPr>
        <w:spacing w:after="0" w:line="240" w:lineRule="auto"/>
        <w:ind w:left="0" w:firstLine="720"/>
        <w:jc w:val="both"/>
        <w:rPr>
          <w:rFonts w:ascii="Cambria" w:hAnsi="Cambria"/>
          <w:b/>
          <w:sz w:val="20"/>
          <w:szCs w:val="20"/>
          <w:lang w:val="es-ES"/>
        </w:rPr>
      </w:pPr>
      <w:r w:rsidRPr="00F95924">
        <w:rPr>
          <w:rFonts w:ascii="Cambria" w:hAnsi="Cambria"/>
          <w:sz w:val="20"/>
          <w:szCs w:val="20"/>
          <w:lang w:val="es-ES"/>
        </w:rPr>
        <w:t xml:space="preserve">Dado que este caso se encuentra pendiente de cumplimiento, no hay resultados individuales o estructurales informados por las partes. </w:t>
      </w: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371B8A" w:rsidRPr="00F95924" w:rsidRDefault="00371B8A">
      <w:pPr>
        <w:rPr>
          <w:rFonts w:ascii="Cambria" w:hAnsi="Cambria"/>
          <w:sz w:val="20"/>
          <w:szCs w:val="20"/>
          <w:lang w:val="es-ES"/>
        </w:rPr>
      </w:pPr>
    </w:p>
    <w:sectPr w:rsidR="00371B8A" w:rsidRPr="00F95924" w:rsidSect="009678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B1" w:rsidRDefault="008649B1" w:rsidP="007B15E0">
      <w:pPr>
        <w:spacing w:after="0" w:line="240" w:lineRule="auto"/>
      </w:pPr>
      <w:r>
        <w:separator/>
      </w:r>
    </w:p>
  </w:endnote>
  <w:endnote w:type="continuationSeparator" w:id="0">
    <w:p w:rsidR="008649B1" w:rsidRDefault="008649B1"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61" w:rsidRDefault="0004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A847CC" w:rsidRDefault="005818F5" w:rsidP="00A847CC">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0C1947">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61" w:rsidRDefault="0004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B1" w:rsidRDefault="008649B1" w:rsidP="007B15E0">
      <w:pPr>
        <w:spacing w:after="0" w:line="240" w:lineRule="auto"/>
      </w:pPr>
      <w:r>
        <w:separator/>
      </w:r>
    </w:p>
  </w:footnote>
  <w:footnote w:type="continuationSeparator" w:id="0">
    <w:p w:rsidR="008649B1" w:rsidRDefault="008649B1"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61" w:rsidRDefault="0004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60800"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0C1947"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AD" w:rsidRDefault="00966FAD" w:rsidP="00966FAD">
    <w:pPr>
      <w:pStyle w:val="Header"/>
    </w:pPr>
    <w:r>
      <w:rPr>
        <w:noProof/>
      </w:rPr>
      <w:drawing>
        <wp:anchor distT="0" distB="0" distL="114300" distR="114300" simplePos="0" relativeHeight="251662848"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rsidR="00966FAD" w:rsidRDefault="00966FAD" w:rsidP="00966FAD">
    <w:pPr>
      <w:pStyle w:val="Header"/>
    </w:pPr>
  </w:p>
  <w:p w:rsidR="009678A3" w:rsidRPr="00966FAD" w:rsidRDefault="000C1947" w:rsidP="00966FAD">
    <w:pPr>
      <w:tabs>
        <w:tab w:val="center" w:pos="4680"/>
        <w:tab w:val="right" w:pos="9360"/>
      </w:tabs>
      <w:spacing w:after="0" w:line="240" w:lineRule="auto"/>
      <w:jc w:val="center"/>
    </w:pPr>
    <w:r>
      <w:pict>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1"/>
  </w:num>
  <w:num w:numId="5">
    <w:abstractNumId w:val="1"/>
  </w:num>
  <w:num w:numId="6">
    <w:abstractNumId w:val="23"/>
  </w:num>
  <w:num w:numId="7">
    <w:abstractNumId w:val="25"/>
  </w:num>
  <w:num w:numId="8">
    <w:abstractNumId w:val="26"/>
  </w:num>
  <w:num w:numId="9">
    <w:abstractNumId w:val="27"/>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3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2"/>
  </w:num>
  <w:num w:numId="24">
    <w:abstractNumId w:val="29"/>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5461"/>
    <w:rsid w:val="00046E4E"/>
    <w:rsid w:val="000507B2"/>
    <w:rsid w:val="00052627"/>
    <w:rsid w:val="00056698"/>
    <w:rsid w:val="00067A77"/>
    <w:rsid w:val="00076298"/>
    <w:rsid w:val="00081755"/>
    <w:rsid w:val="000823BF"/>
    <w:rsid w:val="00083B2B"/>
    <w:rsid w:val="000A301D"/>
    <w:rsid w:val="000A6167"/>
    <w:rsid w:val="000A638D"/>
    <w:rsid w:val="000B2B43"/>
    <w:rsid w:val="000B31A2"/>
    <w:rsid w:val="000C0F1A"/>
    <w:rsid w:val="000C1947"/>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E601A"/>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7E2F"/>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3C8E"/>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49B1"/>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16856"/>
    <w:rsid w:val="00922B34"/>
    <w:rsid w:val="009237C0"/>
    <w:rsid w:val="00930EA7"/>
    <w:rsid w:val="00931BFE"/>
    <w:rsid w:val="00960A4E"/>
    <w:rsid w:val="00966FAD"/>
    <w:rsid w:val="009678A3"/>
    <w:rsid w:val="009714CF"/>
    <w:rsid w:val="00982F27"/>
    <w:rsid w:val="0098323F"/>
    <w:rsid w:val="00986C78"/>
    <w:rsid w:val="00990B8B"/>
    <w:rsid w:val="009A1813"/>
    <w:rsid w:val="009A1CD5"/>
    <w:rsid w:val="009A3E21"/>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6DFA"/>
    <w:rsid w:val="00A47974"/>
    <w:rsid w:val="00A5135C"/>
    <w:rsid w:val="00A53DAF"/>
    <w:rsid w:val="00A5445D"/>
    <w:rsid w:val="00A5562F"/>
    <w:rsid w:val="00A55ED9"/>
    <w:rsid w:val="00A66701"/>
    <w:rsid w:val="00A700F0"/>
    <w:rsid w:val="00A71D06"/>
    <w:rsid w:val="00A73955"/>
    <w:rsid w:val="00A847CC"/>
    <w:rsid w:val="00A91FC4"/>
    <w:rsid w:val="00A94C21"/>
    <w:rsid w:val="00A94D10"/>
    <w:rsid w:val="00A95F39"/>
    <w:rsid w:val="00AA17F8"/>
    <w:rsid w:val="00AA55AB"/>
    <w:rsid w:val="00AB2989"/>
    <w:rsid w:val="00AB59C6"/>
    <w:rsid w:val="00AB6CAA"/>
    <w:rsid w:val="00AB6EBB"/>
    <w:rsid w:val="00AD42A5"/>
    <w:rsid w:val="00AE21D8"/>
    <w:rsid w:val="00AE48FD"/>
    <w:rsid w:val="00AE7D71"/>
    <w:rsid w:val="00AF141E"/>
    <w:rsid w:val="00AF279F"/>
    <w:rsid w:val="00AF4359"/>
    <w:rsid w:val="00B033FC"/>
    <w:rsid w:val="00B03E7E"/>
    <w:rsid w:val="00B144E0"/>
    <w:rsid w:val="00B243FC"/>
    <w:rsid w:val="00B26E4A"/>
    <w:rsid w:val="00B36444"/>
    <w:rsid w:val="00B4725D"/>
    <w:rsid w:val="00B53870"/>
    <w:rsid w:val="00B54D15"/>
    <w:rsid w:val="00B579B7"/>
    <w:rsid w:val="00B60EE3"/>
    <w:rsid w:val="00B719E1"/>
    <w:rsid w:val="00B71FE1"/>
    <w:rsid w:val="00B728EB"/>
    <w:rsid w:val="00B72A88"/>
    <w:rsid w:val="00B80B96"/>
    <w:rsid w:val="00B81C34"/>
    <w:rsid w:val="00B84AF5"/>
    <w:rsid w:val="00B92BD9"/>
    <w:rsid w:val="00B92C84"/>
    <w:rsid w:val="00B97925"/>
    <w:rsid w:val="00BA2F04"/>
    <w:rsid w:val="00BA66A7"/>
    <w:rsid w:val="00BB56C4"/>
    <w:rsid w:val="00BE199A"/>
    <w:rsid w:val="00BE3DC4"/>
    <w:rsid w:val="00BE52AD"/>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03E2"/>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CF5410"/>
    <w:rsid w:val="00D043F4"/>
    <w:rsid w:val="00D12042"/>
    <w:rsid w:val="00D12119"/>
    <w:rsid w:val="00D15DFF"/>
    <w:rsid w:val="00D17F89"/>
    <w:rsid w:val="00D26E78"/>
    <w:rsid w:val="00D31E48"/>
    <w:rsid w:val="00D34E24"/>
    <w:rsid w:val="00D4044A"/>
    <w:rsid w:val="00D450DF"/>
    <w:rsid w:val="00D52122"/>
    <w:rsid w:val="00D53326"/>
    <w:rsid w:val="00D6160A"/>
    <w:rsid w:val="00D63D9B"/>
    <w:rsid w:val="00D659F6"/>
    <w:rsid w:val="00D66116"/>
    <w:rsid w:val="00D66A72"/>
    <w:rsid w:val="00D67D9E"/>
    <w:rsid w:val="00D72543"/>
    <w:rsid w:val="00D74F83"/>
    <w:rsid w:val="00D774B5"/>
    <w:rsid w:val="00D77B62"/>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56022"/>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179E"/>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7A53"/>
    <w:rsid w:val="00F91D0F"/>
    <w:rsid w:val="00F94168"/>
    <w:rsid w:val="00F95924"/>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5398">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1B13-88DA-405D-9A74-96330749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2019-10-31T14:13:00Z</dcterms:created>
  <dcterms:modified xsi:type="dcterms:W3CDTF">2020-01-10T22:03:00Z</dcterms:modified>
</cp:coreProperties>
</file>