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BD" w:rsidRDefault="00893DBD" w:rsidP="00BB56C4">
      <w:pPr>
        <w:pStyle w:val="Header"/>
        <w:jc w:val="center"/>
        <w:rPr>
          <w:rFonts w:ascii="Cambria" w:hAnsi="Cambria"/>
          <w:b/>
          <w:sz w:val="20"/>
          <w:szCs w:val="20"/>
          <w:lang w:val="es-ES"/>
        </w:rPr>
      </w:pPr>
    </w:p>
    <w:p w:rsidR="00BB56C4" w:rsidRPr="00893DBD" w:rsidRDefault="00893DBD" w:rsidP="00BB56C4">
      <w:pPr>
        <w:pStyle w:val="Header"/>
        <w:jc w:val="center"/>
        <w:rPr>
          <w:szCs w:val="20"/>
          <w:lang w:val="es-ES"/>
        </w:rPr>
      </w:pPr>
      <w:r w:rsidRPr="00893DBD">
        <w:rPr>
          <w:rFonts w:ascii="Cambria" w:hAnsi="Cambria"/>
          <w:b/>
          <w:szCs w:val="20"/>
          <w:lang w:val="es-ES"/>
        </w:rPr>
        <w:t>FICHA DE SEGUIMIENTO DEL INFORME Nº 12/14</w:t>
      </w:r>
    </w:p>
    <w:p w:rsidR="00BB56C4" w:rsidRPr="00893DBD" w:rsidRDefault="00893DBD" w:rsidP="00BB56C4">
      <w:pPr>
        <w:spacing w:after="0" w:line="240" w:lineRule="auto"/>
        <w:jc w:val="center"/>
        <w:rPr>
          <w:rFonts w:ascii="Cambria" w:hAnsi="Cambria"/>
          <w:b/>
          <w:szCs w:val="20"/>
          <w:lang w:val="es-ES"/>
        </w:rPr>
      </w:pPr>
      <w:r w:rsidRPr="00893DBD">
        <w:rPr>
          <w:rFonts w:ascii="Cambria" w:hAnsi="Cambria"/>
          <w:b/>
          <w:szCs w:val="20"/>
          <w:lang w:val="es-ES"/>
        </w:rPr>
        <w:t>C</w:t>
      </w:r>
      <w:r w:rsidR="00074498">
        <w:rPr>
          <w:rFonts w:ascii="Cambria" w:hAnsi="Cambria"/>
          <w:b/>
          <w:szCs w:val="20"/>
          <w:lang w:val="es-ES"/>
        </w:rPr>
        <w:t>ASO</w:t>
      </w:r>
      <w:r w:rsidRPr="00893DBD">
        <w:rPr>
          <w:rFonts w:ascii="Cambria" w:hAnsi="Cambria"/>
          <w:b/>
          <w:szCs w:val="20"/>
          <w:lang w:val="es-ES"/>
        </w:rPr>
        <w:t xml:space="preserve"> 12.231</w:t>
      </w:r>
    </w:p>
    <w:p w:rsidR="00BB56C4" w:rsidRPr="00893DBD" w:rsidRDefault="00074498" w:rsidP="00BB56C4">
      <w:pPr>
        <w:spacing w:after="0" w:line="240" w:lineRule="auto"/>
        <w:jc w:val="center"/>
        <w:rPr>
          <w:rFonts w:ascii="Cambria" w:hAnsi="Cambria"/>
          <w:b/>
          <w:szCs w:val="20"/>
          <w:lang w:val="es-ES"/>
        </w:rPr>
      </w:pPr>
      <w:r w:rsidRPr="00893DBD">
        <w:rPr>
          <w:rFonts w:ascii="Cambria" w:hAnsi="Cambria"/>
          <w:b/>
          <w:szCs w:val="20"/>
          <w:lang w:val="es-ES"/>
        </w:rPr>
        <w:t>P</w:t>
      </w:r>
      <w:r>
        <w:rPr>
          <w:rFonts w:ascii="Cambria" w:hAnsi="Cambria"/>
          <w:b/>
          <w:szCs w:val="20"/>
          <w:lang w:val="es-ES"/>
        </w:rPr>
        <w:t>ETER</w:t>
      </w:r>
      <w:r w:rsidRPr="00893DBD">
        <w:rPr>
          <w:rFonts w:ascii="Cambria" w:hAnsi="Cambria"/>
          <w:b/>
          <w:szCs w:val="20"/>
          <w:lang w:val="es-ES"/>
        </w:rPr>
        <w:t xml:space="preserve"> C</w:t>
      </w:r>
      <w:r>
        <w:rPr>
          <w:rFonts w:ascii="Cambria" w:hAnsi="Cambria"/>
          <w:b/>
          <w:szCs w:val="20"/>
          <w:lang w:val="es-ES"/>
        </w:rPr>
        <w:t>ASH</w:t>
      </w:r>
    </w:p>
    <w:p w:rsidR="00BB56C4" w:rsidRPr="00893DBD" w:rsidRDefault="00BB56C4" w:rsidP="00BB56C4">
      <w:pPr>
        <w:spacing w:after="0" w:line="240" w:lineRule="auto"/>
        <w:jc w:val="center"/>
        <w:rPr>
          <w:rFonts w:ascii="Cambria" w:hAnsi="Cambria"/>
          <w:b/>
          <w:szCs w:val="20"/>
          <w:lang w:val="es-ES"/>
        </w:rPr>
      </w:pPr>
      <w:r w:rsidRPr="00893DBD">
        <w:rPr>
          <w:rFonts w:ascii="Cambria" w:hAnsi="Cambria"/>
          <w:b/>
          <w:szCs w:val="20"/>
          <w:lang w:val="es-ES"/>
        </w:rPr>
        <w:t>(</w:t>
      </w:r>
      <w:r w:rsidR="003E7F8D" w:rsidRPr="00893DBD">
        <w:rPr>
          <w:rFonts w:ascii="Cambria" w:hAnsi="Cambria"/>
          <w:b/>
          <w:szCs w:val="20"/>
          <w:lang w:val="es-ES"/>
        </w:rPr>
        <w:t xml:space="preserve">Las </w:t>
      </w:r>
      <w:r w:rsidRPr="00893DBD">
        <w:rPr>
          <w:rFonts w:ascii="Cambria" w:hAnsi="Cambria"/>
          <w:b/>
          <w:szCs w:val="20"/>
          <w:lang w:val="es-ES"/>
        </w:rPr>
        <w:t>Bahamas</w:t>
      </w:r>
      <w:r w:rsidR="003E7F8D" w:rsidRPr="00893DBD">
        <w:rPr>
          <w:rFonts w:ascii="Cambria" w:hAnsi="Cambria"/>
          <w:b/>
          <w:szCs w:val="20"/>
          <w:lang w:val="es-ES"/>
        </w:rPr>
        <w:t xml:space="preserve"> (Commonwealth de)</w:t>
      </w:r>
      <w:r w:rsidRPr="00893DBD">
        <w:rPr>
          <w:rFonts w:ascii="Cambria" w:hAnsi="Cambria"/>
          <w:b/>
          <w:szCs w:val="20"/>
          <w:lang w:val="es-ES"/>
        </w:rPr>
        <w:t>)</w:t>
      </w:r>
    </w:p>
    <w:p w:rsidR="00BB56C4" w:rsidRPr="00367A66" w:rsidRDefault="00BB56C4" w:rsidP="00BB56C4">
      <w:pPr>
        <w:tabs>
          <w:tab w:val="left" w:pos="7317"/>
        </w:tabs>
        <w:spacing w:after="0" w:line="240" w:lineRule="auto"/>
        <w:jc w:val="both"/>
        <w:rPr>
          <w:rFonts w:ascii="Cambria" w:hAnsi="Cambria"/>
          <w:sz w:val="20"/>
          <w:szCs w:val="20"/>
          <w:lang w:val="es-ES"/>
        </w:rPr>
      </w:pPr>
      <w:r w:rsidRPr="00367A66">
        <w:rPr>
          <w:rFonts w:ascii="Cambria" w:hAnsi="Cambria"/>
          <w:sz w:val="20"/>
          <w:szCs w:val="20"/>
          <w:lang w:val="es-ES"/>
        </w:rPr>
        <w:tab/>
      </w:r>
    </w:p>
    <w:p w:rsidR="00BB56C4" w:rsidRPr="00367A66" w:rsidRDefault="00BB56C4" w:rsidP="00893DBD">
      <w:pPr>
        <w:pStyle w:val="NoSpacing"/>
        <w:numPr>
          <w:ilvl w:val="0"/>
          <w:numId w:val="18"/>
        </w:numPr>
        <w:ind w:left="1440" w:hanging="720"/>
        <w:jc w:val="both"/>
        <w:rPr>
          <w:rFonts w:ascii="Cambria" w:hAnsi="Cambria" w:cs="Calibri Light"/>
          <w:b/>
          <w:sz w:val="20"/>
          <w:szCs w:val="20"/>
          <w:lang w:val="es-ES"/>
        </w:rPr>
      </w:pPr>
      <w:r w:rsidRPr="00367A66">
        <w:rPr>
          <w:rFonts w:ascii="Cambria" w:hAnsi="Cambria" w:cs="Calibri Light"/>
          <w:b/>
          <w:sz w:val="20"/>
          <w:szCs w:val="20"/>
          <w:lang w:val="es-ES"/>
        </w:rPr>
        <w:t xml:space="preserve">Resumen del caso </w:t>
      </w:r>
    </w:p>
    <w:p w:rsidR="00BB56C4" w:rsidRPr="00367A66" w:rsidRDefault="00BB56C4" w:rsidP="00BB56C4">
      <w:pPr>
        <w:spacing w:after="0" w:line="240" w:lineRule="auto"/>
        <w:ind w:left="1080"/>
        <w:jc w:val="both"/>
        <w:rPr>
          <w:rFonts w:ascii="Cambria" w:hAnsi="Cambria" w:cs="Calibri Light"/>
          <w:sz w:val="20"/>
          <w:szCs w:val="20"/>
          <w:lang w:val="es-E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5"/>
      </w:tblGrid>
      <w:tr w:rsidR="00BB56C4" w:rsidRPr="00672933" w:rsidTr="00821020">
        <w:trPr>
          <w:jc w:val="center"/>
        </w:trPr>
        <w:tc>
          <w:tcPr>
            <w:tcW w:w="9535" w:type="dxa"/>
            <w:shd w:val="clear" w:color="auto" w:fill="F2F2F2"/>
          </w:tcPr>
          <w:p w:rsidR="00BB56C4" w:rsidRPr="00367A66" w:rsidRDefault="00BB56C4" w:rsidP="00893DBD">
            <w:pPr>
              <w:spacing w:before="120" w:after="0" w:line="240" w:lineRule="auto"/>
              <w:jc w:val="both"/>
              <w:rPr>
                <w:rFonts w:ascii="Cambria" w:hAnsi="Cambria"/>
                <w:sz w:val="20"/>
                <w:szCs w:val="20"/>
                <w:lang w:val="es-ES"/>
              </w:rPr>
            </w:pPr>
            <w:r w:rsidRPr="00367A66">
              <w:rPr>
                <w:rFonts w:ascii="Cambria" w:hAnsi="Cambria"/>
                <w:b/>
                <w:sz w:val="20"/>
                <w:szCs w:val="20"/>
                <w:lang w:val="es-ES"/>
              </w:rPr>
              <w:t xml:space="preserve">Víctima (s): </w:t>
            </w:r>
            <w:r w:rsidRPr="00367A66">
              <w:rPr>
                <w:rFonts w:ascii="Cambria" w:hAnsi="Cambria"/>
                <w:sz w:val="20"/>
                <w:szCs w:val="20"/>
                <w:lang w:val="es-ES"/>
              </w:rPr>
              <w:t>Peter Cash</w:t>
            </w:r>
          </w:p>
          <w:p w:rsidR="00BB56C4" w:rsidRPr="00367A66" w:rsidRDefault="00BB56C4" w:rsidP="002005E0">
            <w:pPr>
              <w:spacing w:after="0" w:line="240" w:lineRule="auto"/>
              <w:jc w:val="both"/>
              <w:rPr>
                <w:rFonts w:ascii="Cambria" w:hAnsi="Cambria"/>
                <w:b/>
                <w:sz w:val="20"/>
                <w:szCs w:val="20"/>
                <w:lang w:val="es-ES"/>
              </w:rPr>
            </w:pPr>
            <w:r w:rsidRPr="00367A66">
              <w:rPr>
                <w:rFonts w:ascii="Cambria" w:hAnsi="Cambria"/>
                <w:b/>
                <w:sz w:val="20"/>
                <w:szCs w:val="20"/>
                <w:lang w:val="es-ES"/>
              </w:rPr>
              <w:t xml:space="preserve">Peticionario (s): </w:t>
            </w:r>
            <w:r w:rsidRPr="00367A66">
              <w:rPr>
                <w:rFonts w:ascii="Cambria" w:hAnsi="Cambria"/>
                <w:sz w:val="20"/>
                <w:szCs w:val="20"/>
                <w:lang w:val="es-ES"/>
              </w:rPr>
              <w:t xml:space="preserve">Mr. Richard </w:t>
            </w:r>
            <w:proofErr w:type="spellStart"/>
            <w:r w:rsidRPr="00367A66">
              <w:rPr>
                <w:rFonts w:ascii="Cambria" w:hAnsi="Cambria"/>
                <w:sz w:val="20"/>
                <w:szCs w:val="20"/>
                <w:lang w:val="es-ES"/>
              </w:rPr>
              <w:t>Sallybanks</w:t>
            </w:r>
            <w:proofErr w:type="spellEnd"/>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Estado: </w:t>
            </w:r>
            <w:r w:rsidR="003E7F8D" w:rsidRPr="00367A66">
              <w:rPr>
                <w:rFonts w:ascii="Cambria" w:hAnsi="Cambria"/>
                <w:sz w:val="20"/>
                <w:szCs w:val="20"/>
                <w:lang w:val="es-ES"/>
              </w:rPr>
              <w:t>Las</w:t>
            </w:r>
            <w:r w:rsidR="003E7F8D" w:rsidRPr="00367A66">
              <w:rPr>
                <w:rFonts w:ascii="Cambria" w:hAnsi="Cambria"/>
                <w:b/>
                <w:sz w:val="20"/>
                <w:szCs w:val="20"/>
                <w:lang w:val="es-ES"/>
              </w:rPr>
              <w:t xml:space="preserve"> </w:t>
            </w:r>
            <w:r w:rsidRPr="00367A66">
              <w:rPr>
                <w:rFonts w:ascii="Cambria" w:hAnsi="Cambria"/>
                <w:sz w:val="20"/>
                <w:szCs w:val="20"/>
                <w:lang w:val="es-ES"/>
              </w:rPr>
              <w:t xml:space="preserve">Bahamas (Commonwealth </w:t>
            </w:r>
            <w:r w:rsidR="003E7F8D" w:rsidRPr="00367A66">
              <w:rPr>
                <w:rFonts w:ascii="Cambria" w:hAnsi="Cambria"/>
                <w:sz w:val="20"/>
                <w:szCs w:val="20"/>
                <w:lang w:val="es-ES"/>
              </w:rPr>
              <w:t>de</w:t>
            </w:r>
            <w:r w:rsidRPr="00367A66">
              <w:rPr>
                <w:rFonts w:ascii="Cambria" w:hAnsi="Cambria"/>
                <w:sz w:val="20"/>
                <w:szCs w:val="20"/>
                <w:lang w:val="es-ES"/>
              </w:rPr>
              <w:t>)</w:t>
            </w:r>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Informe de Fondo Nº: </w:t>
            </w:r>
            <w:hyperlink r:id="rId8" w:history="1">
              <w:r w:rsidRPr="00367A66">
                <w:rPr>
                  <w:rStyle w:val="Hyperlink"/>
                  <w:rFonts w:ascii="Cambria" w:hAnsi="Cambria"/>
                  <w:sz w:val="20"/>
                  <w:szCs w:val="20"/>
                  <w:lang w:val="es-ES"/>
                </w:rPr>
                <w:t>12/14,</w:t>
              </w:r>
            </w:hyperlink>
            <w:r w:rsidRPr="00367A66">
              <w:rPr>
                <w:rFonts w:ascii="Cambria" w:hAnsi="Cambria"/>
                <w:sz w:val="20"/>
                <w:szCs w:val="20"/>
                <w:lang w:val="es-ES"/>
              </w:rPr>
              <w:t xml:space="preserve"> publicado en 2 de abril de 2014</w:t>
            </w:r>
          </w:p>
          <w:p w:rsidR="00BB56C4" w:rsidRPr="00367A66" w:rsidRDefault="00BB56C4" w:rsidP="002005E0">
            <w:pPr>
              <w:spacing w:after="0" w:line="240" w:lineRule="auto"/>
              <w:jc w:val="both"/>
              <w:rPr>
                <w:rFonts w:ascii="Cambria" w:hAnsi="Cambria"/>
                <w:sz w:val="20"/>
                <w:szCs w:val="20"/>
                <w:lang w:val="es-ES"/>
              </w:rPr>
            </w:pPr>
            <w:r w:rsidRPr="00367A66">
              <w:rPr>
                <w:rFonts w:ascii="Cambria" w:hAnsi="Cambria"/>
                <w:b/>
                <w:sz w:val="20"/>
                <w:szCs w:val="20"/>
                <w:lang w:val="es-ES"/>
              </w:rPr>
              <w:t xml:space="preserve">Informe de Admisibilidad: </w:t>
            </w:r>
            <w:r w:rsidRPr="00367A66">
              <w:rPr>
                <w:rFonts w:ascii="Cambria" w:hAnsi="Cambria"/>
                <w:sz w:val="20"/>
                <w:szCs w:val="20"/>
                <w:lang w:val="es-ES"/>
              </w:rPr>
              <w:t>Analizado junto con el Informe de Fondo Nº. 12/14</w:t>
            </w:r>
          </w:p>
          <w:p w:rsidR="00BB56C4" w:rsidRPr="00367A66" w:rsidRDefault="00BB56C4" w:rsidP="002005E0">
            <w:pPr>
              <w:spacing w:after="0" w:line="240" w:lineRule="auto"/>
              <w:jc w:val="both"/>
              <w:rPr>
                <w:rFonts w:ascii="Cambria" w:hAnsi="Cambria"/>
                <w:b/>
                <w:sz w:val="20"/>
                <w:szCs w:val="20"/>
                <w:lang w:val="es-ES"/>
              </w:rPr>
            </w:pPr>
            <w:r w:rsidRPr="00367A66">
              <w:rPr>
                <w:rFonts w:ascii="Cambria" w:hAnsi="Cambria"/>
                <w:b/>
                <w:sz w:val="20"/>
                <w:szCs w:val="20"/>
                <w:lang w:val="es-ES"/>
              </w:rPr>
              <w:t xml:space="preserve">Medidas cautelares: </w:t>
            </w:r>
            <w:r w:rsidRPr="00367A66">
              <w:rPr>
                <w:rFonts w:ascii="Cambria" w:hAnsi="Cambria"/>
                <w:sz w:val="20"/>
                <w:szCs w:val="20"/>
                <w:lang w:val="es-ES"/>
              </w:rPr>
              <w:t>Otorgada en 18 de noviembre de 1999</w:t>
            </w:r>
          </w:p>
          <w:p w:rsidR="00BB56C4" w:rsidRPr="00367A66" w:rsidRDefault="00BB56C4" w:rsidP="002005E0">
            <w:pPr>
              <w:spacing w:after="120" w:line="240" w:lineRule="auto"/>
              <w:jc w:val="both"/>
              <w:rPr>
                <w:rFonts w:ascii="Cambria" w:hAnsi="Cambria"/>
                <w:b/>
                <w:sz w:val="20"/>
                <w:szCs w:val="20"/>
                <w:lang w:val="es-ES"/>
              </w:rPr>
            </w:pPr>
            <w:r w:rsidRPr="00367A66">
              <w:rPr>
                <w:rFonts w:ascii="Cambria" w:hAnsi="Cambria"/>
                <w:b/>
                <w:sz w:val="20"/>
                <w:szCs w:val="20"/>
                <w:lang w:val="es-ES"/>
              </w:rPr>
              <w:t xml:space="preserve">Temas: </w:t>
            </w:r>
            <w:bookmarkStart w:id="0" w:name="_GoBack"/>
            <w:r w:rsidR="00672933" w:rsidRPr="00FF7127">
              <w:rPr>
                <w:rFonts w:ascii="Cambria" w:eastAsia="Times New Roman" w:hAnsi="Cambria"/>
                <w:color w:val="000000"/>
                <w:sz w:val="20"/>
                <w:szCs w:val="20"/>
                <w:lang w:val="es-MX" w:eastAsia="es-MX"/>
              </w:rPr>
              <w:t>Deber de Adoptar Medidas y Disposiciones de Derecho Interno</w:t>
            </w:r>
            <w:r w:rsidR="00672933">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672933" w:rsidRPr="00FF7127">
              <w:rPr>
                <w:rFonts w:ascii="Cambria" w:eastAsia="Times New Roman" w:hAnsi="Cambria"/>
                <w:color w:val="000000"/>
                <w:sz w:val="20"/>
                <w:szCs w:val="20"/>
                <w:lang w:val="es-MX" w:eastAsia="es-MX"/>
              </w:rPr>
              <w:t>Tortura, Tratos Crueles, Inhumanos y/o Degradantes</w:t>
            </w:r>
            <w:r w:rsidR="00672933">
              <w:rPr>
                <w:rFonts w:ascii="Cambria" w:eastAsia="Times New Roman" w:hAnsi="Cambria"/>
                <w:color w:val="000000"/>
                <w:sz w:val="20"/>
                <w:szCs w:val="20"/>
                <w:lang w:val="es-MX" w:eastAsia="es-MX"/>
              </w:rPr>
              <w:t xml:space="preserve"> / Detención Arbitraria</w:t>
            </w:r>
            <w:bookmarkEnd w:id="0"/>
          </w:p>
          <w:p w:rsidR="00BB56C4" w:rsidRPr="00367A66" w:rsidRDefault="00BB56C4" w:rsidP="002005E0">
            <w:pPr>
              <w:spacing w:after="120" w:line="240" w:lineRule="auto"/>
              <w:jc w:val="both"/>
              <w:rPr>
                <w:rFonts w:ascii="Cambria" w:hAnsi="Cambria"/>
                <w:sz w:val="20"/>
                <w:szCs w:val="20"/>
                <w:lang w:val="es-ES"/>
              </w:rPr>
            </w:pPr>
            <w:r w:rsidRPr="00367A66">
              <w:rPr>
                <w:rFonts w:ascii="Cambria" w:hAnsi="Cambria"/>
                <w:b/>
                <w:sz w:val="20"/>
                <w:szCs w:val="20"/>
                <w:lang w:val="es-ES"/>
              </w:rPr>
              <w:t xml:space="preserve">Hechos: </w:t>
            </w:r>
            <w:r w:rsidR="007548AC" w:rsidRPr="00367A66">
              <w:rPr>
                <w:rFonts w:ascii="Cambria" w:hAnsi="Cambria"/>
                <w:sz w:val="20"/>
                <w:szCs w:val="20"/>
                <w:lang w:val="es-ES"/>
              </w:rPr>
              <w:t xml:space="preserve">Este caso corresponde al señor </w:t>
            </w:r>
            <w:r w:rsidRPr="00367A66">
              <w:rPr>
                <w:rFonts w:ascii="Cambria" w:hAnsi="Cambria"/>
                <w:sz w:val="20"/>
                <w:szCs w:val="20"/>
                <w:lang w:val="es-ES"/>
              </w:rPr>
              <w:t xml:space="preserve">Peter Cash, </w:t>
            </w:r>
            <w:r w:rsidR="007548AC" w:rsidRPr="00367A66">
              <w:rPr>
                <w:rFonts w:ascii="Cambria" w:hAnsi="Cambria"/>
                <w:sz w:val="20"/>
                <w:szCs w:val="20"/>
                <w:lang w:val="es-ES"/>
              </w:rPr>
              <w:t xml:space="preserve">ciudadano de Bahamas, quien fue condenado por el </w:t>
            </w:r>
            <w:r w:rsidR="00367FC8" w:rsidRPr="00367A66">
              <w:rPr>
                <w:rFonts w:ascii="Cambria" w:hAnsi="Cambria"/>
                <w:sz w:val="20"/>
                <w:szCs w:val="20"/>
                <w:lang w:val="es-ES"/>
              </w:rPr>
              <w:t>homicidio</w:t>
            </w:r>
            <w:r w:rsidR="007548AC" w:rsidRPr="00367A66">
              <w:rPr>
                <w:rFonts w:ascii="Cambria" w:hAnsi="Cambria"/>
                <w:sz w:val="20"/>
                <w:szCs w:val="20"/>
                <w:lang w:val="es-ES"/>
              </w:rPr>
              <w:t xml:space="preserve"> de </w:t>
            </w:r>
            <w:r w:rsidRPr="00367A66">
              <w:rPr>
                <w:rFonts w:ascii="Cambria" w:hAnsi="Cambria"/>
                <w:sz w:val="20"/>
                <w:szCs w:val="20"/>
                <w:lang w:val="es-ES"/>
              </w:rPr>
              <w:t xml:space="preserve">Joyce </w:t>
            </w:r>
            <w:proofErr w:type="spellStart"/>
            <w:r w:rsidRPr="00367A66">
              <w:rPr>
                <w:rFonts w:ascii="Cambria" w:hAnsi="Cambria"/>
                <w:sz w:val="20"/>
                <w:szCs w:val="20"/>
                <w:lang w:val="es-ES"/>
              </w:rPr>
              <w:t>Elaine</w:t>
            </w:r>
            <w:proofErr w:type="spellEnd"/>
            <w:r w:rsidRPr="00367A66">
              <w:rPr>
                <w:rFonts w:ascii="Cambria" w:hAnsi="Cambria"/>
                <w:sz w:val="20"/>
                <w:szCs w:val="20"/>
                <w:lang w:val="es-ES"/>
              </w:rPr>
              <w:t xml:space="preserve"> </w:t>
            </w:r>
            <w:proofErr w:type="spellStart"/>
            <w:r w:rsidRPr="00367A66">
              <w:rPr>
                <w:rFonts w:ascii="Cambria" w:hAnsi="Cambria"/>
                <w:sz w:val="20"/>
                <w:szCs w:val="20"/>
                <w:lang w:val="es-ES"/>
              </w:rPr>
              <w:t>Adderley</w:t>
            </w:r>
            <w:proofErr w:type="spellEnd"/>
            <w:r w:rsidRPr="00367A66">
              <w:rPr>
                <w:rFonts w:ascii="Cambria" w:hAnsi="Cambria"/>
                <w:sz w:val="20"/>
                <w:szCs w:val="20"/>
                <w:lang w:val="es-ES"/>
              </w:rPr>
              <w:t xml:space="preserve">, </w:t>
            </w:r>
            <w:r w:rsidR="00CE5C6C" w:rsidRPr="00367A66">
              <w:rPr>
                <w:rFonts w:ascii="Cambria" w:hAnsi="Cambria"/>
                <w:sz w:val="20"/>
                <w:szCs w:val="20"/>
                <w:lang w:val="es-ES"/>
              </w:rPr>
              <w:t xml:space="preserve">primordialmente </w:t>
            </w:r>
            <w:r w:rsidR="004A6837" w:rsidRPr="00367A66">
              <w:rPr>
                <w:rFonts w:ascii="Cambria" w:hAnsi="Cambria"/>
                <w:sz w:val="20"/>
                <w:szCs w:val="20"/>
                <w:lang w:val="es-ES"/>
              </w:rPr>
              <w:t>por</w:t>
            </w:r>
            <w:r w:rsidR="00CE5C6C" w:rsidRPr="00367A66">
              <w:rPr>
                <w:rFonts w:ascii="Cambria" w:hAnsi="Cambria"/>
                <w:sz w:val="20"/>
                <w:szCs w:val="20"/>
                <w:lang w:val="es-ES"/>
              </w:rPr>
              <w:t xml:space="preserve"> su confesión</w:t>
            </w:r>
            <w:r w:rsidR="004A6837" w:rsidRPr="00367A66">
              <w:rPr>
                <w:rFonts w:ascii="Cambria" w:hAnsi="Cambria"/>
                <w:sz w:val="20"/>
                <w:szCs w:val="20"/>
                <w:lang w:val="es-ES"/>
              </w:rPr>
              <w:t xml:space="preserve"> obtenida mediante el uso de la fuerza, y sentenciado a muerte obliga</w:t>
            </w:r>
            <w:r w:rsidR="0074203F" w:rsidRPr="00367A66">
              <w:rPr>
                <w:rFonts w:ascii="Cambria" w:hAnsi="Cambria"/>
                <w:sz w:val="20"/>
                <w:szCs w:val="20"/>
                <w:lang w:val="es-ES"/>
              </w:rPr>
              <w:t>t</w:t>
            </w:r>
            <w:r w:rsidR="004A6837" w:rsidRPr="00367A66">
              <w:rPr>
                <w:rFonts w:ascii="Cambria" w:hAnsi="Cambria"/>
                <w:sz w:val="20"/>
                <w:szCs w:val="20"/>
                <w:lang w:val="es-ES"/>
              </w:rPr>
              <w:t xml:space="preserve">oria en la </w:t>
            </w:r>
            <w:r w:rsidR="00845F3F" w:rsidRPr="00367A66">
              <w:rPr>
                <w:rFonts w:ascii="Cambria" w:hAnsi="Cambria"/>
                <w:sz w:val="20"/>
                <w:szCs w:val="20"/>
                <w:lang w:val="es-ES"/>
              </w:rPr>
              <w:t>cárcel</w:t>
            </w:r>
            <w:r w:rsidR="004A6837" w:rsidRPr="00367A66">
              <w:rPr>
                <w:rFonts w:ascii="Cambria" w:hAnsi="Cambria"/>
                <w:sz w:val="20"/>
                <w:szCs w:val="20"/>
                <w:lang w:val="es-ES"/>
              </w:rPr>
              <w:t xml:space="preserve"> de Fox Hill en </w:t>
            </w:r>
            <w:r w:rsidR="00845F3F" w:rsidRPr="00367A66">
              <w:rPr>
                <w:rFonts w:ascii="Cambria" w:hAnsi="Cambria"/>
                <w:sz w:val="20"/>
                <w:szCs w:val="20"/>
                <w:lang w:val="es-ES"/>
              </w:rPr>
              <w:t xml:space="preserve">Las </w:t>
            </w:r>
            <w:r w:rsidR="004A6837" w:rsidRPr="00367A66">
              <w:rPr>
                <w:rFonts w:ascii="Cambria" w:hAnsi="Cambria"/>
                <w:sz w:val="20"/>
                <w:szCs w:val="20"/>
                <w:lang w:val="es-ES"/>
              </w:rPr>
              <w:t xml:space="preserve">Bahamas. Durante su detención el señor Cash </w:t>
            </w:r>
            <w:r w:rsidR="007A5299" w:rsidRPr="00367A66">
              <w:rPr>
                <w:rFonts w:ascii="Cambria" w:hAnsi="Cambria"/>
                <w:sz w:val="20"/>
                <w:szCs w:val="20"/>
                <w:lang w:val="es-ES"/>
              </w:rPr>
              <w:t>sufrió tortura y malos tratos</w:t>
            </w:r>
            <w:r w:rsidRPr="00367A66">
              <w:rPr>
                <w:rFonts w:ascii="Cambria" w:hAnsi="Cambria"/>
                <w:sz w:val="20"/>
                <w:szCs w:val="20"/>
                <w:lang w:val="es-ES"/>
              </w:rPr>
              <w:t xml:space="preserve">. </w:t>
            </w:r>
          </w:p>
          <w:p w:rsidR="00BB56C4" w:rsidRPr="00367A66" w:rsidRDefault="00BB56C4" w:rsidP="00893DBD">
            <w:pPr>
              <w:spacing w:after="120" w:line="240" w:lineRule="auto"/>
              <w:jc w:val="both"/>
              <w:rPr>
                <w:rFonts w:ascii="Cambria" w:hAnsi="Cambria"/>
                <w:sz w:val="20"/>
                <w:szCs w:val="20"/>
                <w:lang w:val="es-ES"/>
              </w:rPr>
            </w:pPr>
            <w:r w:rsidRPr="00367A66">
              <w:rPr>
                <w:rFonts w:ascii="Cambria" w:hAnsi="Cambria"/>
                <w:b/>
                <w:sz w:val="20"/>
                <w:szCs w:val="20"/>
                <w:lang w:val="es-ES"/>
              </w:rPr>
              <w:t xml:space="preserve">Derechos violados: </w:t>
            </w:r>
            <w:r w:rsidRPr="00367A66">
              <w:rPr>
                <w:rFonts w:ascii="Cambria" w:hAnsi="Cambria"/>
                <w:sz w:val="20"/>
                <w:szCs w:val="20"/>
                <w:lang w:val="es-ES"/>
              </w:rPr>
              <w:t>La Comisión concluyó que el Estado de Bahamas era responsable de: a) la violación de los 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w:t>
            </w:r>
          </w:p>
        </w:tc>
      </w:tr>
    </w:tbl>
    <w:p w:rsidR="00BB56C4" w:rsidRPr="00367A66" w:rsidRDefault="00BB56C4" w:rsidP="00BB56C4">
      <w:pPr>
        <w:spacing w:after="0" w:line="240" w:lineRule="auto"/>
        <w:ind w:left="180"/>
        <w:jc w:val="both"/>
        <w:rPr>
          <w:rFonts w:ascii="Cambria" w:hAnsi="Cambria"/>
          <w:sz w:val="20"/>
          <w:szCs w:val="20"/>
          <w:lang w:val="es-ES"/>
        </w:rPr>
      </w:pPr>
    </w:p>
    <w:p w:rsidR="00BB56C4" w:rsidRPr="00367A66" w:rsidRDefault="00BB56C4" w:rsidP="00893DBD">
      <w:pPr>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Recomendaciones</w:t>
      </w:r>
    </w:p>
    <w:p w:rsidR="00BB56C4" w:rsidRPr="00367A66" w:rsidRDefault="00BB56C4" w:rsidP="00BB56C4">
      <w:pPr>
        <w:spacing w:after="0" w:line="240" w:lineRule="auto"/>
        <w:ind w:left="1080"/>
        <w:jc w:val="both"/>
        <w:rPr>
          <w:rFonts w:ascii="Cambria" w:hAnsi="Cambria" w:cs="Calibri Light"/>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672933" w:rsidTr="00EE2BCE">
        <w:trPr>
          <w:trHeight w:val="119"/>
        </w:trPr>
        <w:tc>
          <w:tcPr>
            <w:tcW w:w="729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Light"/>
                <w:b/>
                <w:sz w:val="18"/>
                <w:szCs w:val="18"/>
                <w:lang w:val="es-ES"/>
              </w:rPr>
              <w:t>Recomendaciones</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Light"/>
                <w:b/>
                <w:sz w:val="18"/>
                <w:szCs w:val="18"/>
                <w:lang w:val="es-ES"/>
              </w:rPr>
              <w:t>E</w:t>
            </w:r>
            <w:r w:rsidR="00623426">
              <w:rPr>
                <w:rFonts w:ascii="Cambria" w:hAnsi="Cambria" w:cs="Calibri Light"/>
                <w:b/>
                <w:sz w:val="18"/>
                <w:szCs w:val="18"/>
                <w:lang w:val="es-ES"/>
              </w:rPr>
              <w:t>stado de cumplimiento en el 2019</w:t>
            </w:r>
          </w:p>
        </w:tc>
      </w:tr>
      <w:tr w:rsidR="00BB56C4" w:rsidRPr="00367A66" w:rsidTr="00EE2BCE">
        <w:trPr>
          <w:trHeight w:val="638"/>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1. </w:t>
            </w:r>
            <w:r w:rsidRPr="00367A66">
              <w:rPr>
                <w:rFonts w:ascii="Cambria" w:hAnsi="Cambria"/>
                <w:sz w:val="18"/>
                <w:szCs w:val="18"/>
                <w:lang w:val="es-ES"/>
              </w:rPr>
              <w:t>Otorgue una reparación efectiva, que incluya un nuevo juicio al Señor Cash, de acuerdo con las protecciones judiciales de la Declaración Americana, o que, en su defecto, disponga el indulto o la conmutación de la sentencia.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lang w:val="es-ES"/>
              </w:rPr>
            </w:pPr>
            <w:r w:rsidRPr="00367A66">
              <w:rPr>
                <w:rFonts w:ascii="Cambria" w:hAnsi="Cambria" w:cs="Calibri"/>
                <w:sz w:val="18"/>
                <w:szCs w:val="18"/>
                <w:lang w:val="es-ES"/>
              </w:rPr>
              <w:t>Cumplimiento total</w:t>
            </w:r>
          </w:p>
        </w:tc>
      </w:tr>
      <w:tr w:rsidR="00BB56C4" w:rsidRPr="00367A66" w:rsidTr="00EE2BCE">
        <w:trPr>
          <w:trHeight w:val="489"/>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2. </w:t>
            </w:r>
            <w:r w:rsidRPr="00367A66">
              <w:rPr>
                <w:rFonts w:ascii="Cambria" w:hAnsi="Cambria"/>
                <w:sz w:val="18"/>
                <w:szCs w:val="18"/>
                <w:lang w:val="es-ES"/>
              </w:rPr>
              <w:t>Realice una investigación para identificar a los funcionarios judiciales involucrados en el ataque contra el Señor Cash para arrancarle confesiones y les aplique el debido castigo que disponga la ley</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396"/>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3. </w:t>
            </w:r>
            <w:r w:rsidRPr="00367A66">
              <w:rPr>
                <w:rFonts w:ascii="Cambria" w:hAnsi="Cambria"/>
                <w:sz w:val="18"/>
                <w:szCs w:val="18"/>
                <w:lang w:val="es-ES"/>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4. </w:t>
            </w:r>
            <w:r w:rsidRPr="00367A66">
              <w:rPr>
                <w:rFonts w:ascii="Cambria" w:hAnsi="Cambria"/>
                <w:sz w:val="18"/>
                <w:szCs w:val="18"/>
                <w:lang w:val="es-ES"/>
              </w:rPr>
              <w:t>Adopte las medidas legislativas y de otra índole necesarias para garantizar la efectiva vigencia en Las Bahamas de los derechos consagrados en los artículos I, XXV y XXVI de la Declaración Americana a la seguridad personal y a un trato humano, así como el derecho a no ser objeto de un castigo cruel, degradante o inusual estando bajo custodia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79"/>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5.</w:t>
            </w:r>
            <w:r w:rsidRPr="00367A66">
              <w:rPr>
                <w:rFonts w:ascii="Cambria" w:hAnsi="Cambria"/>
                <w:sz w:val="18"/>
                <w:szCs w:val="18"/>
                <w:lang w:val="es-ES"/>
              </w:rPr>
              <w:t xml:space="preserve"> 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585"/>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lastRenderedPageBreak/>
              <w:t xml:space="preserve">6. </w:t>
            </w:r>
            <w:r w:rsidRPr="00367A66">
              <w:rPr>
                <w:rFonts w:ascii="Cambria" w:hAnsi="Cambria"/>
                <w:sz w:val="18"/>
                <w:szCs w:val="18"/>
                <w:lang w:val="es-ES"/>
              </w:rPr>
              <w:t>Adopte las medidas legislativas y de otra índole necesaria para garantizar la efectiva vigencia en Las Bahamas del derecho dispuesto en el artículo XXIV de la Declaración Americana a solicitar la amnistía, el indulto o la conmutación de la sentencia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7. </w:t>
            </w:r>
            <w:r w:rsidRPr="00367A66">
              <w:rPr>
                <w:rFonts w:ascii="Cambria" w:hAnsi="Cambria"/>
                <w:sz w:val="18"/>
                <w:szCs w:val="18"/>
                <w:lang w:val="es-E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683"/>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 xml:space="preserve">8. </w:t>
            </w:r>
            <w:r w:rsidRPr="00367A66">
              <w:rPr>
                <w:rFonts w:ascii="Cambria" w:hAnsi="Cambria"/>
                <w:sz w:val="18"/>
                <w:szCs w:val="18"/>
                <w:lang w:val="es-ES"/>
              </w:rPr>
              <w:t>Adopte las medidas legislativas y de otra índole necesarias para garantizar la efectiva vigencia en Las Bahamas del derecho a una audiencia justa e imparcial consagrado en los artículos XVIII y XXVI de la Declaración Americana.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r w:rsidR="00BB56C4" w:rsidRPr="00367A66" w:rsidTr="00EE2BCE">
        <w:trPr>
          <w:trHeight w:val="585"/>
        </w:trPr>
        <w:tc>
          <w:tcPr>
            <w:tcW w:w="7290" w:type="dxa"/>
            <w:shd w:val="clear" w:color="auto" w:fill="auto"/>
          </w:tcPr>
          <w:p w:rsidR="00BB56C4" w:rsidRPr="00367A66" w:rsidRDefault="00BB56C4" w:rsidP="002005E0">
            <w:pPr>
              <w:spacing w:after="0" w:line="240" w:lineRule="auto"/>
              <w:jc w:val="both"/>
              <w:rPr>
                <w:rFonts w:ascii="Cambria" w:hAnsi="Cambria" w:cs="Calibri Light"/>
                <w:sz w:val="18"/>
                <w:szCs w:val="18"/>
                <w:lang w:val="es-ES"/>
              </w:rPr>
            </w:pPr>
            <w:r w:rsidRPr="00367A66">
              <w:rPr>
                <w:rFonts w:ascii="Cambria" w:hAnsi="Cambria" w:cs="Calibri Light"/>
                <w:sz w:val="18"/>
                <w:szCs w:val="18"/>
                <w:lang w:val="es-ES"/>
              </w:rPr>
              <w:t>9.</w:t>
            </w:r>
            <w:r w:rsidRPr="00367A66">
              <w:rPr>
                <w:rFonts w:ascii="Cambria" w:hAnsi="Cambria"/>
                <w:sz w:val="18"/>
                <w:szCs w:val="18"/>
                <w:lang w:val="es-ES"/>
              </w:rPr>
              <w:t xml:space="preserve"> Adopte las medidas legislativas y de otra índole necesaria para garantizar la plena vigencia en Las Bahamas del derecho consagrado en el artículo XXV de la Declaración Americana a ser juzgado sin demora injustificada.</w:t>
            </w:r>
          </w:p>
        </w:tc>
        <w:tc>
          <w:tcPr>
            <w:tcW w:w="2250" w:type="dxa"/>
            <w:shd w:val="clear" w:color="auto" w:fill="auto"/>
            <w:vAlign w:val="center"/>
          </w:tcPr>
          <w:p w:rsidR="00BB56C4" w:rsidRPr="00367A66" w:rsidRDefault="00BB56C4" w:rsidP="002005E0">
            <w:pPr>
              <w:spacing w:after="0" w:line="240" w:lineRule="auto"/>
              <w:jc w:val="center"/>
              <w:rPr>
                <w:rFonts w:ascii="Cambria" w:hAnsi="Cambria" w:cs="Calibri Light"/>
                <w:b/>
                <w:sz w:val="18"/>
                <w:szCs w:val="18"/>
                <w:highlight w:val="yellow"/>
                <w:lang w:val="es-ES"/>
              </w:rPr>
            </w:pPr>
            <w:r w:rsidRPr="00367A66">
              <w:rPr>
                <w:rFonts w:ascii="Cambria" w:hAnsi="Cambria" w:cs="Calibri"/>
                <w:sz w:val="18"/>
                <w:szCs w:val="18"/>
                <w:lang w:val="es-ES"/>
              </w:rPr>
              <w:t xml:space="preserve">Pendiente de cumplimiento </w:t>
            </w:r>
          </w:p>
        </w:tc>
      </w:tr>
    </w:tbl>
    <w:p w:rsidR="00BB56C4" w:rsidRPr="00367A66" w:rsidRDefault="00BB56C4" w:rsidP="00BB56C4">
      <w:pPr>
        <w:spacing w:after="0" w:line="240" w:lineRule="auto"/>
        <w:jc w:val="both"/>
        <w:rPr>
          <w:rFonts w:ascii="Cambria" w:hAnsi="Cambria" w:cs="Calibri Light"/>
          <w:sz w:val="18"/>
          <w:szCs w:val="18"/>
          <w:lang w:val="es-ES"/>
        </w:rPr>
      </w:pP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b/>
          <w:sz w:val="20"/>
          <w:szCs w:val="20"/>
          <w:lang w:val="es-ES"/>
        </w:rPr>
        <w:t>Actividad Procesal</w:t>
      </w:r>
    </w:p>
    <w:p w:rsidR="00BB56C4" w:rsidRPr="00367A66" w:rsidRDefault="00BB56C4" w:rsidP="00BB56C4">
      <w:pPr>
        <w:pStyle w:val="ListParagraph"/>
        <w:spacing w:after="0" w:line="240" w:lineRule="auto"/>
        <w:ind w:left="1077"/>
        <w:jc w:val="both"/>
        <w:rPr>
          <w:rFonts w:ascii="Cambria" w:hAnsi="Cambria" w:cs="Calibri Light"/>
          <w:sz w:val="20"/>
          <w:szCs w:val="20"/>
          <w:lang w:val="es-ES"/>
        </w:rPr>
      </w:pPr>
    </w:p>
    <w:p w:rsidR="00206C15" w:rsidRPr="00206C15" w:rsidRDefault="00206C15" w:rsidP="00206C15">
      <w:pPr>
        <w:pStyle w:val="ListParagraph"/>
        <w:numPr>
          <w:ilvl w:val="0"/>
          <w:numId w:val="12"/>
        </w:numPr>
        <w:spacing w:after="0" w:line="240" w:lineRule="auto"/>
        <w:ind w:left="0" w:firstLine="720"/>
        <w:jc w:val="both"/>
        <w:rPr>
          <w:rFonts w:ascii="Cambria" w:hAnsi="Cambria" w:cs="Calibri Light"/>
          <w:sz w:val="20"/>
          <w:szCs w:val="20"/>
          <w:lang w:val="es-ES"/>
        </w:rPr>
      </w:pPr>
      <w:r w:rsidRPr="00206C15">
        <w:rPr>
          <w:rFonts w:ascii="Cambria" w:hAnsi="Cambria" w:cs="Calibri Light"/>
          <w:color w:val="FF0000"/>
          <w:sz w:val="20"/>
          <w:szCs w:val="20"/>
          <w:lang w:val="es-US"/>
        </w:rPr>
        <w:t xml:space="preserve">En </w:t>
      </w:r>
      <w:r w:rsidRPr="00206C15">
        <w:rPr>
          <w:rFonts w:ascii="Cambria" w:hAnsi="Cambria" w:cs="Calibri Light"/>
          <w:color w:val="FF0000"/>
          <w:sz w:val="20"/>
          <w:szCs w:val="20"/>
          <w:lang w:val="es-ES"/>
        </w:rPr>
        <w:t xml:space="preserve">2019, la CIDH solicitó información actualizada sobre el cumplimiento de las recomendaciones al Estado y a los peticionarios el 11 de julio. A la fecha de cierre de este informe, </w:t>
      </w:r>
      <w:r w:rsidRPr="00206C15">
        <w:rPr>
          <w:rFonts w:ascii="Cambria" w:hAnsi="Cambria"/>
          <w:color w:val="FF0000"/>
          <w:sz w:val="20"/>
          <w:szCs w:val="20"/>
          <w:lang w:val="es-ES_tradnl"/>
        </w:rPr>
        <w:t>la Comisión no había recibido dicha información de ninguna de las partes</w:t>
      </w:r>
    </w:p>
    <w:p w:rsidR="00206C15" w:rsidRPr="00367A66" w:rsidRDefault="00206C15" w:rsidP="00BB56C4">
      <w:pPr>
        <w:spacing w:after="0" w:line="240" w:lineRule="auto"/>
        <w:jc w:val="both"/>
        <w:rPr>
          <w:rFonts w:ascii="Cambria" w:hAnsi="Cambria" w:cs="Calibri Light"/>
          <w:sz w:val="20"/>
          <w:szCs w:val="20"/>
          <w:lang w:val="es-ES"/>
        </w:rPr>
      </w:pPr>
    </w:p>
    <w:p w:rsidR="00BB56C4" w:rsidRPr="00367A66" w:rsidRDefault="00AE18C1" w:rsidP="00893DBD">
      <w:pPr>
        <w:pStyle w:val="ListParagraph"/>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t>Análisis relativo</w:t>
      </w:r>
      <w:r w:rsidR="00BB56C4" w:rsidRPr="00367A66">
        <w:rPr>
          <w:rFonts w:ascii="Cambria" w:hAnsi="Cambria" w:cs="Calibri Light"/>
          <w:b/>
          <w:sz w:val="20"/>
          <w:szCs w:val="20"/>
          <w:lang w:val="es-ES"/>
        </w:rPr>
        <w:t xml:space="preserve"> a</w:t>
      </w:r>
      <w:r w:rsidR="00C5357E">
        <w:rPr>
          <w:rFonts w:ascii="Cambria" w:hAnsi="Cambria" w:cs="Calibri Light"/>
          <w:b/>
          <w:sz w:val="20"/>
          <w:szCs w:val="20"/>
          <w:lang w:val="es-ES"/>
        </w:rPr>
        <w:t xml:space="preserve"> la</w:t>
      </w:r>
      <w:r w:rsidR="00BB56C4" w:rsidRPr="00367A66">
        <w:rPr>
          <w:rFonts w:ascii="Cambria" w:hAnsi="Cambria" w:cs="Calibri Light"/>
          <w:b/>
          <w:sz w:val="20"/>
          <w:szCs w:val="20"/>
          <w:lang w:val="es-ES"/>
        </w:rPr>
        <w:t xml:space="preserve"> información proporcionada</w:t>
      </w:r>
    </w:p>
    <w:p w:rsidR="00BB56C4" w:rsidRPr="00367A66" w:rsidRDefault="00BB56C4" w:rsidP="00BB56C4">
      <w:pPr>
        <w:shd w:val="clear" w:color="auto" w:fill="FFFFFF" w:themeFill="background1"/>
        <w:spacing w:after="0" w:line="240" w:lineRule="auto"/>
        <w:jc w:val="both"/>
        <w:rPr>
          <w:rFonts w:ascii="Cambria" w:hAnsi="Cambria" w:cs="Calibri Light"/>
          <w:sz w:val="20"/>
          <w:szCs w:val="20"/>
          <w:lang w:val="es-ES"/>
        </w:rPr>
      </w:pPr>
    </w:p>
    <w:p w:rsidR="00BB56C4" w:rsidRPr="00867648" w:rsidRDefault="00206C15" w:rsidP="00867648">
      <w:pPr>
        <w:pStyle w:val="ListParagraph"/>
        <w:numPr>
          <w:ilvl w:val="0"/>
          <w:numId w:val="12"/>
        </w:numPr>
        <w:spacing w:after="0" w:line="240" w:lineRule="auto"/>
        <w:ind w:left="0" w:firstLine="720"/>
        <w:jc w:val="both"/>
        <w:rPr>
          <w:rFonts w:ascii="Cambria" w:hAnsi="Cambria" w:cs="Calibri Light"/>
          <w:sz w:val="20"/>
          <w:szCs w:val="20"/>
          <w:lang w:val="es-ES"/>
        </w:rPr>
      </w:pPr>
      <w:bookmarkStart w:id="1" w:name="_Hlk768274"/>
      <w:r w:rsidRPr="00206C15">
        <w:rPr>
          <w:rFonts w:ascii="Cambria" w:hAnsi="Cambria" w:cs="Calibri Light"/>
          <w:color w:val="FF0000"/>
          <w:sz w:val="20"/>
          <w:szCs w:val="20"/>
          <w:lang w:val="es-ES"/>
        </w:rPr>
        <w:t>En 2019, ninguna de las partes proporcionó información a la Comisión sobre las acciones adoptadas por el Estado para cumplir con las recomendaciones emitida</w:t>
      </w:r>
      <w:r w:rsidR="00C247D9">
        <w:rPr>
          <w:rFonts w:ascii="Cambria" w:hAnsi="Cambria" w:cs="Calibri Light"/>
          <w:color w:val="FF0000"/>
          <w:sz w:val="20"/>
          <w:szCs w:val="20"/>
          <w:lang w:val="es-ES"/>
        </w:rPr>
        <w:t>s en el Informe de Fondo Nº 12/14</w:t>
      </w:r>
      <w:r w:rsidRPr="00206C15">
        <w:rPr>
          <w:rFonts w:ascii="Cambria" w:hAnsi="Cambria" w:cs="Calibri Light"/>
          <w:color w:val="FF0000"/>
          <w:sz w:val="20"/>
          <w:szCs w:val="20"/>
          <w:lang w:val="es-ES"/>
        </w:rPr>
        <w:t xml:space="preserve">. </w:t>
      </w:r>
      <w:r w:rsidR="005F2936" w:rsidRPr="00867648">
        <w:rPr>
          <w:rFonts w:ascii="Cambria" w:hAnsi="Cambria" w:cs="Calibri Light"/>
          <w:color w:val="FF0000"/>
          <w:sz w:val="20"/>
          <w:szCs w:val="20"/>
          <w:lang w:val="es-ES"/>
        </w:rPr>
        <w:t>La Comisión observa con preocupación que las partes no ha</w:t>
      </w:r>
      <w:r w:rsidR="00845F3F" w:rsidRPr="00867648">
        <w:rPr>
          <w:rFonts w:ascii="Cambria" w:hAnsi="Cambria" w:cs="Calibri Light"/>
          <w:color w:val="FF0000"/>
          <w:sz w:val="20"/>
          <w:szCs w:val="20"/>
          <w:lang w:val="es-ES"/>
        </w:rPr>
        <w:t>n</w:t>
      </w:r>
      <w:r w:rsidR="005F2936" w:rsidRPr="00867648">
        <w:rPr>
          <w:rFonts w:ascii="Cambria" w:hAnsi="Cambria" w:cs="Calibri Light"/>
          <w:color w:val="FF0000"/>
          <w:sz w:val="20"/>
          <w:szCs w:val="20"/>
          <w:lang w:val="es-ES"/>
        </w:rPr>
        <w:t xml:space="preserve"> presentado información sobre las medidas adoptadas para implementar las recomendaciones contenidas en el Informe </w:t>
      </w:r>
      <w:r w:rsidR="003B353B" w:rsidRPr="00867648">
        <w:rPr>
          <w:rFonts w:ascii="Cambria" w:hAnsi="Cambria" w:cs="Calibri Light"/>
          <w:color w:val="FF0000"/>
          <w:sz w:val="20"/>
          <w:szCs w:val="20"/>
          <w:lang w:val="es-ES"/>
        </w:rPr>
        <w:t>de Fondo</w:t>
      </w:r>
      <w:r w:rsidR="005F2936" w:rsidRPr="00867648">
        <w:rPr>
          <w:rFonts w:ascii="Cambria" w:hAnsi="Cambria" w:cs="Calibri Light"/>
          <w:color w:val="FF0000"/>
          <w:sz w:val="20"/>
          <w:szCs w:val="20"/>
          <w:lang w:val="es-ES"/>
        </w:rPr>
        <w:t xml:space="preserve"> N</w:t>
      </w:r>
      <w:r w:rsidR="00AC6A47" w:rsidRPr="00867648">
        <w:rPr>
          <w:rFonts w:ascii="Cambria" w:hAnsi="Cambria" w:cs="Calibri Light"/>
          <w:color w:val="FF0000"/>
          <w:sz w:val="20"/>
          <w:szCs w:val="20"/>
          <w:lang w:val="es-ES"/>
        </w:rPr>
        <w:t>º</w:t>
      </w:r>
      <w:r w:rsidR="005F2936" w:rsidRPr="00867648">
        <w:rPr>
          <w:rFonts w:ascii="Cambria" w:hAnsi="Cambria" w:cs="Calibri Light"/>
          <w:color w:val="FF0000"/>
          <w:sz w:val="20"/>
          <w:szCs w:val="20"/>
          <w:lang w:val="es-ES"/>
        </w:rPr>
        <w:t xml:space="preserve"> 12/14 desde la publicación de este informe</w:t>
      </w:r>
      <w:bookmarkEnd w:id="1"/>
      <w:r w:rsidR="008B6CC4" w:rsidRPr="00867648">
        <w:rPr>
          <w:rFonts w:ascii="Cambria" w:hAnsi="Cambria" w:cs="Calibri Light"/>
          <w:color w:val="FF0000"/>
          <w:sz w:val="20"/>
          <w:szCs w:val="20"/>
          <w:lang w:val="es-ES"/>
        </w:rPr>
        <w:t xml:space="preserve"> en 2014</w:t>
      </w:r>
      <w:r w:rsidR="005F2936" w:rsidRPr="00867648">
        <w:rPr>
          <w:rFonts w:ascii="Cambria" w:hAnsi="Cambria" w:cs="Calibri Light"/>
          <w:color w:val="FF0000"/>
          <w:sz w:val="20"/>
          <w:szCs w:val="20"/>
          <w:lang w:val="es-ES"/>
        </w:rPr>
        <w:t>.</w:t>
      </w:r>
    </w:p>
    <w:p w:rsidR="00867648" w:rsidRPr="00867648" w:rsidRDefault="00867648" w:rsidP="00867648">
      <w:pPr>
        <w:pStyle w:val="ListParagraph"/>
        <w:spacing w:after="0" w:line="240" w:lineRule="auto"/>
        <w:jc w:val="both"/>
        <w:rPr>
          <w:rFonts w:ascii="Cambria" w:hAnsi="Cambria" w:cs="Calibri Light"/>
          <w:sz w:val="20"/>
          <w:szCs w:val="20"/>
          <w:lang w:val="es-ES"/>
        </w:rPr>
      </w:pPr>
    </w:p>
    <w:p w:rsidR="00867648" w:rsidRPr="00867648" w:rsidRDefault="00867648" w:rsidP="00867648">
      <w:pPr>
        <w:pStyle w:val="ListParagraph"/>
        <w:numPr>
          <w:ilvl w:val="0"/>
          <w:numId w:val="12"/>
        </w:numPr>
        <w:spacing w:after="0" w:line="240" w:lineRule="auto"/>
        <w:ind w:left="0" w:firstLine="720"/>
        <w:jc w:val="both"/>
        <w:rPr>
          <w:rFonts w:ascii="Cambria" w:hAnsi="Cambria" w:cs="Calibri Light"/>
          <w:sz w:val="20"/>
          <w:szCs w:val="20"/>
          <w:lang w:val="es-ES"/>
        </w:rPr>
      </w:pPr>
      <w:r w:rsidRPr="00206C15">
        <w:rPr>
          <w:rFonts w:ascii="Cambria" w:hAnsi="Cambria" w:cs="Calibri Light"/>
          <w:color w:val="FF0000"/>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rsidR="00BB56C4" w:rsidRPr="00367A66" w:rsidRDefault="00BB56C4" w:rsidP="00BB56C4">
      <w:pPr>
        <w:pStyle w:val="ListParagraph"/>
        <w:shd w:val="clear" w:color="auto" w:fill="FFFFFF" w:themeFill="background1"/>
        <w:spacing w:after="0" w:line="240" w:lineRule="auto"/>
        <w:ind w:left="1080"/>
        <w:jc w:val="both"/>
        <w:rPr>
          <w:rFonts w:ascii="Cambria" w:hAnsi="Cambria" w:cs="Calibri Light"/>
          <w:sz w:val="20"/>
          <w:szCs w:val="20"/>
          <w:lang w:val="es-ES"/>
        </w:rPr>
      </w:pPr>
    </w:p>
    <w:p w:rsidR="00BB56C4" w:rsidRPr="00367A66" w:rsidRDefault="00BB56C4" w:rsidP="00893DBD">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367A66">
        <w:rPr>
          <w:rFonts w:ascii="Cambria" w:hAnsi="Cambria" w:cs="Calibri Light"/>
          <w:b/>
          <w:sz w:val="20"/>
          <w:szCs w:val="20"/>
          <w:lang w:val="es-ES"/>
        </w:rPr>
        <w:t>Análisis del cumplimiento de las recomendaciones</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367A66">
        <w:rPr>
          <w:rFonts w:ascii="Cambria" w:hAnsi="Cambria" w:cs="Calibri Light"/>
          <w:b/>
          <w:sz w:val="20"/>
          <w:szCs w:val="20"/>
          <w:lang w:val="es-ES"/>
        </w:rPr>
        <w:t>En relación con la primera recomendación</w:t>
      </w:r>
      <w:r w:rsidRPr="00367A66">
        <w:rPr>
          <w:rFonts w:ascii="Cambria" w:hAnsi="Cambria" w:cs="Calibri Light"/>
          <w:sz w:val="20"/>
          <w:szCs w:val="20"/>
          <w:lang w:val="es-ES"/>
        </w:rPr>
        <w:t xml:space="preserve">, </w:t>
      </w:r>
      <w:r w:rsidR="005F2936" w:rsidRPr="00367A66">
        <w:rPr>
          <w:rFonts w:ascii="Cambria" w:hAnsi="Cambria" w:cs="Calibri Light"/>
          <w:sz w:val="20"/>
          <w:szCs w:val="20"/>
          <w:lang w:val="es-ES"/>
        </w:rPr>
        <w:t>las partes no han p</w:t>
      </w:r>
      <w:r w:rsidR="00B579B7" w:rsidRPr="00367A66">
        <w:rPr>
          <w:rFonts w:ascii="Cambria" w:hAnsi="Cambria" w:cs="Calibri Light"/>
          <w:sz w:val="20"/>
          <w:szCs w:val="20"/>
          <w:lang w:val="es-ES"/>
        </w:rPr>
        <w:t>r</w:t>
      </w:r>
      <w:r w:rsidR="005F2936" w:rsidRPr="00367A66">
        <w:rPr>
          <w:rFonts w:ascii="Cambria" w:hAnsi="Cambria" w:cs="Calibri Light"/>
          <w:sz w:val="20"/>
          <w:szCs w:val="20"/>
          <w:lang w:val="es-ES"/>
        </w:rPr>
        <w:t>esentado informaci</w:t>
      </w:r>
      <w:r w:rsidR="00B579B7" w:rsidRPr="00367A66">
        <w:rPr>
          <w:rFonts w:ascii="Cambria" w:hAnsi="Cambria" w:cs="Calibri Light"/>
          <w:sz w:val="20"/>
          <w:szCs w:val="20"/>
          <w:lang w:val="es-ES"/>
        </w:rPr>
        <w:t>ó</w:t>
      </w:r>
      <w:r w:rsidR="005F2936" w:rsidRPr="00367A66">
        <w:rPr>
          <w:rFonts w:ascii="Cambria" w:hAnsi="Cambria" w:cs="Calibri Light"/>
          <w:sz w:val="20"/>
          <w:szCs w:val="20"/>
          <w:lang w:val="es-ES"/>
        </w:rPr>
        <w:t>n sobre las medidas adoptadas por el Estado para cumplir con</w:t>
      </w:r>
      <w:r w:rsidR="00B579B7" w:rsidRPr="00367A66">
        <w:rPr>
          <w:rFonts w:ascii="Cambria" w:hAnsi="Cambria" w:cs="Calibri Light"/>
          <w:sz w:val="20"/>
          <w:szCs w:val="20"/>
          <w:lang w:val="es-ES"/>
        </w:rPr>
        <w:t xml:space="preserve"> </w:t>
      </w:r>
      <w:r w:rsidR="005F2936" w:rsidRPr="00367A66">
        <w:rPr>
          <w:rFonts w:ascii="Cambria" w:hAnsi="Cambria" w:cs="Calibri Light"/>
          <w:sz w:val="20"/>
          <w:szCs w:val="20"/>
          <w:lang w:val="es-ES"/>
        </w:rPr>
        <w:t>esta recomendación. No obstan</w:t>
      </w:r>
      <w:r w:rsidR="00B579B7" w:rsidRPr="00367A66">
        <w:rPr>
          <w:rFonts w:ascii="Cambria" w:hAnsi="Cambria" w:cs="Calibri Light"/>
          <w:sz w:val="20"/>
          <w:szCs w:val="20"/>
          <w:lang w:val="es-ES"/>
        </w:rPr>
        <w:t>t</w:t>
      </w:r>
      <w:r w:rsidR="005F2936" w:rsidRPr="00367A66">
        <w:rPr>
          <w:rFonts w:ascii="Cambria" w:hAnsi="Cambria" w:cs="Calibri Light"/>
          <w:sz w:val="20"/>
          <w:szCs w:val="20"/>
          <w:lang w:val="es-ES"/>
        </w:rPr>
        <w:t xml:space="preserve">e, </w:t>
      </w:r>
      <w:r w:rsidR="003E2FE4">
        <w:rPr>
          <w:rFonts w:ascii="Cambria" w:hAnsi="Cambria" w:cs="Calibri Light"/>
          <w:sz w:val="20"/>
          <w:szCs w:val="20"/>
          <w:lang w:val="es-ES"/>
        </w:rPr>
        <w:t xml:space="preserve">de acuerdo con información de público conocimiento, </w:t>
      </w:r>
      <w:r w:rsidR="00625F2C" w:rsidRPr="00367A66">
        <w:rPr>
          <w:rFonts w:ascii="Cambria" w:hAnsi="Cambria" w:cs="Calibri Light"/>
          <w:sz w:val="20"/>
          <w:szCs w:val="20"/>
          <w:lang w:val="es-ES"/>
        </w:rPr>
        <w:t xml:space="preserve">la Comisión </w:t>
      </w:r>
      <w:r w:rsidR="00B90217">
        <w:rPr>
          <w:rFonts w:ascii="Cambria" w:hAnsi="Cambria" w:cs="Calibri Light"/>
          <w:sz w:val="20"/>
          <w:szCs w:val="20"/>
          <w:lang w:val="es-ES"/>
        </w:rPr>
        <w:t>tuvo acceso a la información</w:t>
      </w:r>
      <w:r w:rsidR="00625F2C" w:rsidRPr="00367A66">
        <w:rPr>
          <w:rFonts w:ascii="Cambria" w:hAnsi="Cambria" w:cs="Calibri Light"/>
          <w:sz w:val="20"/>
          <w:szCs w:val="20"/>
          <w:lang w:val="es-ES"/>
        </w:rPr>
        <w:t xml:space="preserve"> de que la sentencia de muerte del señor Cash fue declarada nula en noviembre de 2011 y que </w:t>
      </w:r>
      <w:r w:rsidR="00B579B7" w:rsidRPr="00367A66">
        <w:rPr>
          <w:rFonts w:ascii="Cambria" w:hAnsi="Cambria" w:cs="Calibri Light"/>
          <w:sz w:val="20"/>
          <w:szCs w:val="20"/>
          <w:lang w:val="es-ES"/>
        </w:rPr>
        <w:t xml:space="preserve">fue sentenciado </w:t>
      </w:r>
      <w:r w:rsidR="00625F2C" w:rsidRPr="00367A66">
        <w:rPr>
          <w:rFonts w:ascii="Cambria" w:hAnsi="Cambria" w:cs="Calibri Light"/>
          <w:sz w:val="20"/>
          <w:szCs w:val="20"/>
          <w:lang w:val="es-ES"/>
        </w:rPr>
        <w:t xml:space="preserve">nuevamente a 30 años de prisión, el 20 de abril de </w:t>
      </w:r>
      <w:r w:rsidR="00B90217">
        <w:rPr>
          <w:rFonts w:ascii="Cambria" w:hAnsi="Cambria" w:cs="Calibri Light"/>
          <w:sz w:val="20"/>
          <w:szCs w:val="20"/>
          <w:lang w:val="es-ES"/>
        </w:rPr>
        <w:t>2012</w:t>
      </w:r>
      <w:r w:rsidRPr="00367A66">
        <w:rPr>
          <w:rStyle w:val="FootnoteReference"/>
          <w:rFonts w:ascii="Cambria" w:hAnsi="Cambria" w:cs="Calibri Light"/>
          <w:sz w:val="20"/>
          <w:szCs w:val="20"/>
          <w:lang w:val="es-ES"/>
        </w:rPr>
        <w:footnoteReference w:id="1"/>
      </w:r>
      <w:r w:rsidR="00B90217">
        <w:rPr>
          <w:rFonts w:ascii="Cambria" w:hAnsi="Cambria" w:cs="Calibri Light"/>
          <w:sz w:val="20"/>
          <w:szCs w:val="20"/>
          <w:lang w:val="es-ES"/>
        </w:rPr>
        <w:t>.</w:t>
      </w:r>
      <w:r w:rsidRPr="00367A66">
        <w:rPr>
          <w:rFonts w:ascii="Cambria" w:hAnsi="Cambria" w:cs="Calibri Light"/>
          <w:sz w:val="20"/>
          <w:szCs w:val="20"/>
          <w:lang w:val="es-ES"/>
        </w:rPr>
        <w:t xml:space="preserve"> </w:t>
      </w:r>
      <w:r w:rsidR="00AC6A47">
        <w:rPr>
          <w:rFonts w:ascii="Cambria" w:hAnsi="Cambria" w:cs="Calibri Light"/>
          <w:sz w:val="20"/>
          <w:szCs w:val="20"/>
          <w:lang w:val="es-ES"/>
        </w:rPr>
        <w:t>En este sentido</w:t>
      </w:r>
      <w:r w:rsidR="00B579B7" w:rsidRPr="00367A66">
        <w:rPr>
          <w:rFonts w:ascii="Cambria" w:hAnsi="Cambria" w:cs="Calibri Light"/>
          <w:sz w:val="20"/>
          <w:szCs w:val="20"/>
          <w:lang w:val="es-ES"/>
        </w:rPr>
        <w:t>, la Comisión concluye que la Recomendación 1 se ha cumplido totalmente</w:t>
      </w:r>
      <w:r w:rsidRPr="00367A66">
        <w:rPr>
          <w:rFonts w:ascii="Cambria" w:hAnsi="Cambria" w:cs="Calibri Light"/>
          <w:sz w:val="20"/>
          <w:szCs w:val="20"/>
          <w:lang w:val="es-ES"/>
        </w:rPr>
        <w:t xml:space="preserve">.  </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1007D0" w:rsidP="00893DBD">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367A66">
        <w:rPr>
          <w:rFonts w:ascii="Cambria" w:hAnsi="Cambria" w:cs="Calibri Light"/>
          <w:b/>
          <w:sz w:val="20"/>
          <w:szCs w:val="20"/>
          <w:lang w:val="es-ES"/>
        </w:rPr>
        <w:t xml:space="preserve">Con respecto a las recomendaciones, del 2 al 9, </w:t>
      </w:r>
      <w:r w:rsidRPr="00367A66">
        <w:rPr>
          <w:rFonts w:ascii="Cambria" w:hAnsi="Cambria" w:cs="Calibri Light"/>
          <w:sz w:val="20"/>
          <w:szCs w:val="20"/>
          <w:lang w:val="es-ES"/>
        </w:rPr>
        <w:t>las partes no han presentado ninguna información sobre las medidas adoptadas por el</w:t>
      </w:r>
      <w:r w:rsidR="003B353B" w:rsidRPr="00367A66">
        <w:rPr>
          <w:rFonts w:ascii="Cambria" w:hAnsi="Cambria" w:cs="Calibri Light"/>
          <w:sz w:val="20"/>
          <w:szCs w:val="20"/>
          <w:lang w:val="es-ES"/>
        </w:rPr>
        <w:t xml:space="preserve"> Estado de</w:t>
      </w:r>
      <w:r w:rsidRPr="00367A66">
        <w:rPr>
          <w:rFonts w:ascii="Cambria" w:hAnsi="Cambria" w:cs="Calibri Light"/>
          <w:sz w:val="20"/>
          <w:szCs w:val="20"/>
          <w:lang w:val="es-ES"/>
        </w:rPr>
        <w:t xml:space="preserve"> Bahamas para implementar las recomendaciones desde la publicación del info</w:t>
      </w:r>
      <w:r w:rsidR="005803F5" w:rsidRPr="00367A66">
        <w:rPr>
          <w:rFonts w:ascii="Cambria" w:hAnsi="Cambria" w:cs="Calibri Light"/>
          <w:sz w:val="20"/>
          <w:szCs w:val="20"/>
          <w:lang w:val="es-ES"/>
        </w:rPr>
        <w:t>r</w:t>
      </w:r>
      <w:r w:rsidRPr="00367A66">
        <w:rPr>
          <w:rFonts w:ascii="Cambria" w:hAnsi="Cambria" w:cs="Calibri Light"/>
          <w:sz w:val="20"/>
          <w:szCs w:val="20"/>
          <w:lang w:val="es-ES"/>
        </w:rPr>
        <w:t xml:space="preserve">me sobre méritos en </w:t>
      </w:r>
      <w:r w:rsidR="00BB56C4" w:rsidRPr="00367A66">
        <w:rPr>
          <w:rFonts w:ascii="Cambria" w:hAnsi="Cambria" w:cs="Calibri Light"/>
          <w:sz w:val="20"/>
          <w:szCs w:val="20"/>
          <w:lang w:val="es-ES"/>
        </w:rPr>
        <w:t xml:space="preserve">2014. </w:t>
      </w:r>
      <w:r w:rsidR="005803F5" w:rsidRPr="00367A66">
        <w:rPr>
          <w:rFonts w:ascii="Cambria" w:hAnsi="Cambria" w:cs="Calibri Light"/>
          <w:sz w:val="20"/>
          <w:szCs w:val="20"/>
          <w:lang w:val="es-ES"/>
        </w:rPr>
        <w:t xml:space="preserve">En </w:t>
      </w:r>
      <w:r w:rsidR="00AC6A47">
        <w:rPr>
          <w:rFonts w:ascii="Cambria" w:hAnsi="Cambria" w:cs="Calibri Light"/>
          <w:sz w:val="20"/>
          <w:szCs w:val="20"/>
          <w:lang w:val="es-ES"/>
        </w:rPr>
        <w:t>base a esto</w:t>
      </w:r>
      <w:r w:rsidR="005803F5" w:rsidRPr="00367A66">
        <w:rPr>
          <w:rFonts w:ascii="Cambria" w:hAnsi="Cambria" w:cs="Calibri Light"/>
          <w:sz w:val="20"/>
          <w:szCs w:val="20"/>
          <w:lang w:val="es-ES"/>
        </w:rPr>
        <w:t>, la Comisión concluye que las recomendaciones de la 2 al 9 aún están pendiente</w:t>
      </w:r>
      <w:r w:rsidR="004A1C31" w:rsidRPr="00367A66">
        <w:rPr>
          <w:rFonts w:ascii="Cambria" w:hAnsi="Cambria" w:cs="Calibri Light"/>
          <w:sz w:val="20"/>
          <w:szCs w:val="20"/>
          <w:lang w:val="es-ES"/>
        </w:rPr>
        <w:t>s</w:t>
      </w:r>
      <w:r w:rsidR="005803F5" w:rsidRPr="00367A66">
        <w:rPr>
          <w:rFonts w:ascii="Cambria" w:hAnsi="Cambria" w:cs="Calibri Light"/>
          <w:sz w:val="20"/>
          <w:szCs w:val="20"/>
          <w:lang w:val="es-ES"/>
        </w:rPr>
        <w:t xml:space="preserve"> de cumplimiento</w:t>
      </w:r>
      <w:r w:rsidR="00BB56C4" w:rsidRPr="00367A66">
        <w:rPr>
          <w:rFonts w:ascii="Cambria" w:hAnsi="Cambria" w:cs="Calibri Light"/>
          <w:sz w:val="20"/>
          <w:szCs w:val="20"/>
          <w:lang w:val="es-ES"/>
        </w:rPr>
        <w:t>.</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 xml:space="preserve">Nivel del cumplimiento del caso </w:t>
      </w:r>
    </w:p>
    <w:p w:rsidR="00BB56C4" w:rsidRPr="00367A66"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67A66">
        <w:rPr>
          <w:rFonts w:ascii="Cambria" w:hAnsi="Cambria" w:cs="Calibri Light"/>
          <w:sz w:val="20"/>
          <w:szCs w:val="20"/>
          <w:lang w:val="es-ES"/>
        </w:rPr>
        <w:t xml:space="preserve">Por lo anterior, la Comisión concluye que el nivel de cumplimiento del </w:t>
      </w:r>
      <w:r w:rsidRPr="002762B9">
        <w:rPr>
          <w:rFonts w:ascii="Cambria" w:hAnsi="Cambria" w:cs="Calibri Light"/>
          <w:sz w:val="20"/>
          <w:szCs w:val="20"/>
          <w:lang w:val="es-ES"/>
        </w:rPr>
        <w:t>caso es parcial. En</w:t>
      </w:r>
      <w:r w:rsidRPr="00367A66">
        <w:rPr>
          <w:rFonts w:ascii="Cambria" w:hAnsi="Cambria" w:cs="Calibri Light"/>
          <w:sz w:val="20"/>
          <w:szCs w:val="20"/>
          <w:lang w:val="es-ES"/>
        </w:rPr>
        <w:t xml:space="preserve"> consecuencia, la CIDH seguirá supervisando el cumplimiento de las Recomendaciones 2, 3, 4, 5, 6, 7, 8 y 9.</w:t>
      </w:r>
    </w:p>
    <w:p w:rsidR="00BB56C4" w:rsidRPr="00367A66" w:rsidRDefault="00BB56C4" w:rsidP="00893DBD">
      <w:pPr>
        <w:pStyle w:val="ListParagraph"/>
        <w:spacing w:after="0" w:line="240" w:lineRule="auto"/>
        <w:ind w:left="0" w:firstLine="720"/>
        <w:jc w:val="both"/>
        <w:rPr>
          <w:rFonts w:ascii="Cambria" w:hAnsi="Cambria" w:cs="Calibri Light"/>
          <w:sz w:val="20"/>
          <w:szCs w:val="20"/>
          <w:lang w:val="es-ES"/>
        </w:rPr>
      </w:pPr>
    </w:p>
    <w:p w:rsidR="00BB56C4" w:rsidRPr="00367A66" w:rsidRDefault="00BA66A7" w:rsidP="00893DBD">
      <w:pPr>
        <w:pStyle w:val="ListParagraph"/>
        <w:numPr>
          <w:ilvl w:val="0"/>
          <w:numId w:val="12"/>
        </w:numPr>
        <w:spacing w:after="0" w:line="240" w:lineRule="auto"/>
        <w:ind w:left="0" w:firstLine="720"/>
        <w:jc w:val="both"/>
        <w:rPr>
          <w:rFonts w:ascii="Cambria" w:hAnsi="Cambria" w:cs="Calibri Light"/>
          <w:sz w:val="20"/>
          <w:szCs w:val="20"/>
          <w:lang w:val="es-ES"/>
        </w:rPr>
      </w:pPr>
      <w:r w:rsidRPr="00367A66">
        <w:rPr>
          <w:rFonts w:ascii="Cambria" w:hAnsi="Cambria" w:cs="Calibri Light"/>
          <w:sz w:val="20"/>
          <w:szCs w:val="20"/>
          <w:lang w:val="es-ES"/>
        </w:rPr>
        <w:t xml:space="preserve">La Comisión </w:t>
      </w:r>
      <w:r w:rsidR="0030412B">
        <w:rPr>
          <w:rFonts w:ascii="Cambria" w:hAnsi="Cambria" w:cs="Calibri Light"/>
          <w:sz w:val="20"/>
          <w:szCs w:val="20"/>
          <w:lang w:val="es-ES"/>
        </w:rPr>
        <w:t>llama</w:t>
      </w:r>
      <w:r w:rsidRPr="00367A66">
        <w:rPr>
          <w:rFonts w:ascii="Cambria" w:hAnsi="Cambria" w:cs="Calibri Light"/>
          <w:sz w:val="20"/>
          <w:szCs w:val="20"/>
          <w:lang w:val="es-ES"/>
        </w:rPr>
        <w:t xml:space="preserve"> a las partes a que suministren informaci</w:t>
      </w:r>
      <w:r w:rsidR="009065FE" w:rsidRPr="00367A66">
        <w:rPr>
          <w:rFonts w:ascii="Cambria" w:hAnsi="Cambria" w:cs="Calibri Light"/>
          <w:sz w:val="20"/>
          <w:szCs w:val="20"/>
          <w:lang w:val="es-ES"/>
        </w:rPr>
        <w:t>ó</w:t>
      </w:r>
      <w:r w:rsidRPr="00367A66">
        <w:rPr>
          <w:rFonts w:ascii="Cambria" w:hAnsi="Cambria" w:cs="Calibri Light"/>
          <w:sz w:val="20"/>
          <w:szCs w:val="20"/>
          <w:lang w:val="es-ES"/>
        </w:rPr>
        <w:t>n detallada sobre las medidas adop</w:t>
      </w:r>
      <w:r w:rsidR="009065FE" w:rsidRPr="00367A66">
        <w:rPr>
          <w:rFonts w:ascii="Cambria" w:hAnsi="Cambria" w:cs="Calibri Light"/>
          <w:sz w:val="20"/>
          <w:szCs w:val="20"/>
          <w:lang w:val="es-ES"/>
        </w:rPr>
        <w:t>t</w:t>
      </w:r>
      <w:r w:rsidRPr="00367A66">
        <w:rPr>
          <w:rFonts w:ascii="Cambria" w:hAnsi="Cambria" w:cs="Calibri Light"/>
          <w:sz w:val="20"/>
          <w:szCs w:val="20"/>
          <w:lang w:val="es-ES"/>
        </w:rPr>
        <w:t>adas po</w:t>
      </w:r>
      <w:r w:rsidR="009065FE" w:rsidRPr="00367A66">
        <w:rPr>
          <w:rFonts w:ascii="Cambria" w:hAnsi="Cambria" w:cs="Calibri Light"/>
          <w:sz w:val="20"/>
          <w:szCs w:val="20"/>
          <w:lang w:val="es-ES"/>
        </w:rPr>
        <w:t>r</w:t>
      </w:r>
      <w:r w:rsidRPr="00367A66">
        <w:rPr>
          <w:rFonts w:ascii="Cambria" w:hAnsi="Cambria" w:cs="Calibri Light"/>
          <w:sz w:val="20"/>
          <w:szCs w:val="20"/>
          <w:lang w:val="es-ES"/>
        </w:rPr>
        <w:t xml:space="preserve"> el Estado con r</w:t>
      </w:r>
      <w:r w:rsidR="009065FE" w:rsidRPr="00367A66">
        <w:rPr>
          <w:rFonts w:ascii="Cambria" w:hAnsi="Cambria" w:cs="Calibri Light"/>
          <w:sz w:val="20"/>
          <w:szCs w:val="20"/>
          <w:lang w:val="es-ES"/>
        </w:rPr>
        <w:t>e</w:t>
      </w:r>
      <w:r w:rsidRPr="00367A66">
        <w:rPr>
          <w:rFonts w:ascii="Cambria" w:hAnsi="Cambria" w:cs="Calibri Light"/>
          <w:sz w:val="20"/>
          <w:szCs w:val="20"/>
          <w:lang w:val="es-ES"/>
        </w:rPr>
        <w:t>specto a las recomendaciones mencionadas</w:t>
      </w:r>
      <w:r w:rsidR="00BB56C4" w:rsidRPr="00367A66">
        <w:rPr>
          <w:rFonts w:ascii="Cambria" w:hAnsi="Cambria" w:cs="Calibri Light"/>
          <w:sz w:val="20"/>
          <w:szCs w:val="20"/>
          <w:lang w:val="es-ES"/>
        </w:rPr>
        <w:t>.</w:t>
      </w:r>
    </w:p>
    <w:p w:rsidR="00BB56C4" w:rsidRPr="00367A66" w:rsidRDefault="00BB56C4" w:rsidP="00BB56C4">
      <w:pPr>
        <w:pStyle w:val="ListParagraph"/>
        <w:spacing w:after="0" w:line="240" w:lineRule="auto"/>
        <w:ind w:left="90" w:firstLine="720"/>
        <w:jc w:val="both"/>
        <w:rPr>
          <w:rFonts w:ascii="Cambria" w:hAnsi="Cambria" w:cs="Calibri Light"/>
          <w:sz w:val="20"/>
          <w:szCs w:val="20"/>
          <w:lang w:val="es-ES"/>
        </w:rPr>
      </w:pPr>
      <w:r w:rsidRPr="00367A66">
        <w:rPr>
          <w:rFonts w:ascii="Cambria" w:hAnsi="Cambria" w:cs="Calibri Light"/>
          <w:sz w:val="20"/>
          <w:szCs w:val="20"/>
          <w:lang w:val="es-ES"/>
        </w:rPr>
        <w:t xml:space="preserve"> </w:t>
      </w:r>
    </w:p>
    <w:p w:rsidR="00BB56C4" w:rsidRPr="00367A66" w:rsidRDefault="00BB56C4" w:rsidP="00893DBD">
      <w:pPr>
        <w:pStyle w:val="ListParagraph"/>
        <w:numPr>
          <w:ilvl w:val="0"/>
          <w:numId w:val="18"/>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 xml:space="preserve">Resultados individuales y estructurales del caso </w:t>
      </w:r>
    </w:p>
    <w:p w:rsidR="00BB56C4" w:rsidRPr="00367A66" w:rsidRDefault="00BB56C4" w:rsidP="00BB56C4">
      <w:pPr>
        <w:shd w:val="clear" w:color="auto" w:fill="FFFFFF" w:themeFill="background1"/>
        <w:spacing w:after="0" w:line="240" w:lineRule="auto"/>
        <w:ind w:left="90" w:firstLine="720"/>
        <w:jc w:val="both"/>
        <w:rPr>
          <w:rFonts w:ascii="Cambria" w:hAnsi="Cambria"/>
          <w:sz w:val="20"/>
          <w:szCs w:val="20"/>
          <w:lang w:val="es-ES"/>
        </w:rPr>
      </w:pPr>
    </w:p>
    <w:p w:rsidR="00BB56C4" w:rsidRPr="00367A66" w:rsidRDefault="00BB56C4" w:rsidP="00893DBD">
      <w:pPr>
        <w:pStyle w:val="ListParagraph"/>
        <w:numPr>
          <w:ilvl w:val="0"/>
          <w:numId w:val="12"/>
        </w:numPr>
        <w:spacing w:after="0" w:line="240" w:lineRule="auto"/>
        <w:ind w:left="0" w:firstLine="720"/>
        <w:jc w:val="both"/>
        <w:rPr>
          <w:b/>
          <w:sz w:val="20"/>
          <w:szCs w:val="20"/>
          <w:lang w:val="es-ES"/>
        </w:rPr>
      </w:pPr>
      <w:r w:rsidRPr="00367A66">
        <w:rPr>
          <w:rFonts w:ascii="Cambria" w:hAnsi="Cambria" w:cs="Calibri Light"/>
          <w:sz w:val="20"/>
          <w:szCs w:val="20"/>
          <w:lang w:val="es-ES"/>
        </w:rPr>
        <w:t>En esta sección se destaca</w:t>
      </w:r>
      <w:r w:rsidR="0026166B">
        <w:rPr>
          <w:rFonts w:ascii="Cambria" w:hAnsi="Cambria" w:cs="Calibri Light"/>
          <w:sz w:val="20"/>
          <w:szCs w:val="20"/>
          <w:lang w:val="es-ES"/>
        </w:rPr>
        <w:t>n</w:t>
      </w:r>
      <w:r w:rsidRPr="00367A66">
        <w:rPr>
          <w:rFonts w:ascii="Cambria" w:hAnsi="Cambria" w:cs="Calibri Light"/>
          <w:sz w:val="20"/>
          <w:szCs w:val="20"/>
          <w:lang w:val="es-ES"/>
        </w:rPr>
        <w:t xml:space="preserve"> los resultados individuales y estructurales del caso informados por las partes. </w:t>
      </w:r>
    </w:p>
    <w:p w:rsidR="00BB56C4" w:rsidRPr="00367A66" w:rsidRDefault="00BB56C4" w:rsidP="00BB56C4">
      <w:pPr>
        <w:pStyle w:val="ListParagraph"/>
        <w:spacing w:after="0" w:line="240" w:lineRule="auto"/>
        <w:rPr>
          <w:rFonts w:ascii="Cambria" w:hAnsi="Cambria"/>
          <w:b/>
          <w:sz w:val="20"/>
          <w:szCs w:val="20"/>
          <w:lang w:val="es-ES"/>
        </w:rPr>
      </w:pPr>
    </w:p>
    <w:p w:rsidR="00BB56C4" w:rsidRPr="00367A66"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Resultados individuales del caso</w:t>
      </w:r>
    </w:p>
    <w:p w:rsidR="00BB56C4" w:rsidRPr="00367A66" w:rsidRDefault="00BB56C4" w:rsidP="00BB56C4">
      <w:pPr>
        <w:spacing w:after="0" w:line="240" w:lineRule="auto"/>
        <w:rPr>
          <w:rFonts w:ascii="Cambria" w:hAnsi="Cambria"/>
          <w:sz w:val="20"/>
          <w:szCs w:val="20"/>
          <w:lang w:val="es-ES"/>
        </w:rPr>
      </w:pPr>
    </w:p>
    <w:p w:rsidR="00BB56C4" w:rsidRPr="00367A66" w:rsidRDefault="00BB56C4" w:rsidP="00BB56C4">
      <w:pPr>
        <w:pStyle w:val="Default"/>
        <w:jc w:val="both"/>
        <w:rPr>
          <w:color w:val="auto"/>
          <w:sz w:val="20"/>
          <w:szCs w:val="20"/>
          <w:lang w:val="es-ES"/>
        </w:rPr>
      </w:pPr>
      <w:r w:rsidRPr="00367A66">
        <w:rPr>
          <w:i/>
          <w:color w:val="auto"/>
          <w:sz w:val="20"/>
          <w:szCs w:val="20"/>
          <w:lang w:val="es-ES"/>
        </w:rPr>
        <w:t>Medidas de restitución en el ejercicio del derecho</w:t>
      </w:r>
      <w:r w:rsidRPr="00367A66">
        <w:rPr>
          <w:color w:val="auto"/>
          <w:sz w:val="20"/>
          <w:szCs w:val="20"/>
          <w:lang w:val="es-ES"/>
        </w:rPr>
        <w:t xml:space="preserve"> </w:t>
      </w:r>
    </w:p>
    <w:p w:rsidR="00BB56C4" w:rsidRPr="00367A66" w:rsidRDefault="009065FE" w:rsidP="00BB56C4">
      <w:pPr>
        <w:pStyle w:val="ListParagraph"/>
        <w:numPr>
          <w:ilvl w:val="0"/>
          <w:numId w:val="31"/>
        </w:numPr>
        <w:spacing w:after="0" w:line="240" w:lineRule="auto"/>
        <w:jc w:val="both"/>
        <w:rPr>
          <w:rFonts w:ascii="Cambria" w:hAnsi="Cambria"/>
          <w:b/>
          <w:sz w:val="20"/>
          <w:szCs w:val="20"/>
          <w:lang w:val="es-ES"/>
        </w:rPr>
      </w:pPr>
      <w:r w:rsidRPr="00367A66">
        <w:rPr>
          <w:rFonts w:ascii="Cambria" w:hAnsi="Cambria" w:cs="Calibri Light"/>
          <w:sz w:val="20"/>
          <w:szCs w:val="20"/>
          <w:lang w:val="es-ES"/>
        </w:rPr>
        <w:t xml:space="preserve">La sentencia del señor </w:t>
      </w:r>
      <w:r w:rsidR="00BB56C4" w:rsidRPr="00367A66">
        <w:rPr>
          <w:rFonts w:ascii="Cambria" w:hAnsi="Cambria" w:cs="Calibri Light"/>
          <w:sz w:val="20"/>
          <w:szCs w:val="20"/>
          <w:lang w:val="es-ES"/>
        </w:rPr>
        <w:t xml:space="preserve">Cash </w:t>
      </w:r>
      <w:r w:rsidRPr="00367A66">
        <w:rPr>
          <w:rFonts w:ascii="Cambria" w:hAnsi="Cambria" w:cs="Calibri Light"/>
          <w:sz w:val="20"/>
          <w:szCs w:val="20"/>
          <w:lang w:val="es-ES"/>
        </w:rPr>
        <w:t>fue declarada nula en noviembre de 2011 y</w:t>
      </w:r>
      <w:r w:rsidR="00B90217">
        <w:rPr>
          <w:rFonts w:ascii="Cambria" w:hAnsi="Cambria" w:cs="Calibri Light"/>
          <w:sz w:val="20"/>
          <w:szCs w:val="20"/>
          <w:lang w:val="es-ES"/>
        </w:rPr>
        <w:t xml:space="preserve"> el mismo</w:t>
      </w:r>
      <w:r w:rsidRPr="00367A66">
        <w:rPr>
          <w:rFonts w:ascii="Cambria" w:hAnsi="Cambria" w:cs="Calibri Light"/>
          <w:sz w:val="20"/>
          <w:szCs w:val="20"/>
          <w:lang w:val="es-ES"/>
        </w:rPr>
        <w:t xml:space="preserve"> fue sentenciado nuevamente a 30 años de prisión, el 20 de abril de 2012</w:t>
      </w:r>
      <w:r w:rsidR="00BB56C4" w:rsidRPr="00367A66">
        <w:rPr>
          <w:rFonts w:ascii="Cambria" w:hAnsi="Cambria" w:cs="Calibri Light"/>
          <w:sz w:val="20"/>
          <w:szCs w:val="20"/>
          <w:lang w:val="es-ES"/>
        </w:rPr>
        <w:t>.</w:t>
      </w:r>
    </w:p>
    <w:p w:rsidR="00BB56C4" w:rsidRPr="00367A66" w:rsidRDefault="00BB56C4" w:rsidP="00BB56C4">
      <w:pPr>
        <w:spacing w:after="0" w:line="240" w:lineRule="auto"/>
        <w:jc w:val="both"/>
        <w:rPr>
          <w:rFonts w:ascii="Cambria" w:hAnsi="Cambria" w:cs="Calibri Light"/>
          <w:sz w:val="20"/>
          <w:szCs w:val="20"/>
          <w:lang w:val="es-ES"/>
        </w:rPr>
      </w:pPr>
    </w:p>
    <w:p w:rsidR="00BB56C4" w:rsidRPr="00367A66" w:rsidRDefault="00BB56C4" w:rsidP="00893DBD">
      <w:pPr>
        <w:pStyle w:val="ListParagraph"/>
        <w:numPr>
          <w:ilvl w:val="0"/>
          <w:numId w:val="20"/>
        </w:numPr>
        <w:spacing w:after="0" w:line="240" w:lineRule="auto"/>
        <w:ind w:firstLine="0"/>
        <w:jc w:val="both"/>
        <w:rPr>
          <w:rFonts w:ascii="Cambria" w:hAnsi="Cambria" w:cs="Calibri Light"/>
          <w:b/>
          <w:sz w:val="20"/>
          <w:szCs w:val="20"/>
          <w:lang w:val="es-ES"/>
        </w:rPr>
      </w:pPr>
      <w:r w:rsidRPr="00367A66">
        <w:rPr>
          <w:rFonts w:ascii="Cambria" w:hAnsi="Cambria" w:cs="Calibri Light"/>
          <w:b/>
          <w:sz w:val="20"/>
          <w:szCs w:val="20"/>
          <w:lang w:val="es-ES"/>
        </w:rPr>
        <w:t>Resultados estructurales del caso</w:t>
      </w:r>
    </w:p>
    <w:p w:rsidR="00BB56C4" w:rsidRPr="00367A66" w:rsidRDefault="00BB56C4" w:rsidP="00BB56C4">
      <w:pPr>
        <w:pStyle w:val="ListParagraph"/>
        <w:spacing w:after="0" w:line="240" w:lineRule="auto"/>
        <w:jc w:val="both"/>
        <w:rPr>
          <w:rFonts w:ascii="Cambria" w:hAnsi="Cambria"/>
          <w:b/>
          <w:sz w:val="20"/>
          <w:szCs w:val="20"/>
          <w:lang w:val="es-ES"/>
        </w:rPr>
      </w:pPr>
    </w:p>
    <w:p w:rsidR="00BB56C4" w:rsidRPr="00367A66" w:rsidRDefault="00BB56C4" w:rsidP="00BB56C4">
      <w:pPr>
        <w:pStyle w:val="ListParagraph"/>
        <w:numPr>
          <w:ilvl w:val="0"/>
          <w:numId w:val="21"/>
        </w:numPr>
        <w:spacing w:after="0" w:line="240" w:lineRule="auto"/>
        <w:rPr>
          <w:rFonts w:ascii="Cambria" w:hAnsi="Cambria"/>
          <w:sz w:val="20"/>
          <w:szCs w:val="20"/>
          <w:lang w:val="es-ES"/>
        </w:rPr>
      </w:pPr>
      <w:r w:rsidRPr="00367A66">
        <w:rPr>
          <w:rFonts w:ascii="Cambria" w:hAnsi="Cambria"/>
          <w:sz w:val="20"/>
          <w:szCs w:val="20"/>
          <w:lang w:val="es-ES"/>
        </w:rPr>
        <w:t>No hay resultados individuales o estructurales informados por las partes.</w:t>
      </w:r>
    </w:p>
    <w:p w:rsidR="00BB56C4" w:rsidRPr="00367A66" w:rsidRDefault="00BB56C4" w:rsidP="00BB56C4">
      <w:pPr>
        <w:pStyle w:val="ListParagraph"/>
        <w:spacing w:after="0" w:line="240" w:lineRule="auto"/>
        <w:jc w:val="both"/>
        <w:rPr>
          <w:rFonts w:ascii="Cambria" w:hAnsi="Cambria"/>
          <w:sz w:val="20"/>
          <w:szCs w:val="20"/>
          <w:lang w:val="es-ES"/>
        </w:rPr>
      </w:pPr>
    </w:p>
    <w:p w:rsidR="00BB56C4" w:rsidRPr="00367A66" w:rsidRDefault="00BB56C4" w:rsidP="003B353B">
      <w:pPr>
        <w:rPr>
          <w:rFonts w:ascii="Cambria" w:hAnsi="Cambria"/>
          <w:sz w:val="20"/>
          <w:szCs w:val="20"/>
          <w:lang w:val="es-ES"/>
        </w:rPr>
      </w:pPr>
    </w:p>
    <w:sectPr w:rsidR="00BB56C4" w:rsidRPr="00367A66" w:rsidSect="00893D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AC" w:rsidRDefault="00B477AC" w:rsidP="007B15E0">
      <w:pPr>
        <w:spacing w:after="0" w:line="240" w:lineRule="auto"/>
      </w:pPr>
      <w:r>
        <w:separator/>
      </w:r>
    </w:p>
  </w:endnote>
  <w:endnote w:type="continuationSeparator" w:id="0">
    <w:p w:rsidR="00B477AC" w:rsidRDefault="00B477AC"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20" w:rsidRDefault="0082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893DBD" w:rsidRDefault="005818F5" w:rsidP="00893DB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672933">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20" w:rsidRDefault="0082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AC" w:rsidRDefault="00B477AC" w:rsidP="007B15E0">
      <w:pPr>
        <w:spacing w:after="0" w:line="240" w:lineRule="auto"/>
      </w:pPr>
      <w:r>
        <w:separator/>
      </w:r>
    </w:p>
  </w:footnote>
  <w:footnote w:type="continuationSeparator" w:id="0">
    <w:p w:rsidR="00B477AC" w:rsidRDefault="00B477AC" w:rsidP="007B15E0">
      <w:pPr>
        <w:spacing w:after="0" w:line="240" w:lineRule="auto"/>
      </w:pPr>
      <w:r>
        <w:continuationSeparator/>
      </w:r>
    </w:p>
  </w:footnote>
  <w:footnote w:id="1">
    <w:p w:rsidR="005818F5" w:rsidRPr="00CA3AFE" w:rsidRDefault="005818F5" w:rsidP="00CA3AFE">
      <w:pPr>
        <w:pStyle w:val="FootnoteText"/>
        <w:spacing w:after="120"/>
        <w:ind w:firstLine="720"/>
        <w:jc w:val="both"/>
        <w:rPr>
          <w:rFonts w:ascii="Cambria" w:hAnsi="Cambria"/>
          <w:sz w:val="16"/>
          <w:szCs w:val="16"/>
        </w:rPr>
      </w:pPr>
      <w:r w:rsidRPr="00CA3AFE">
        <w:rPr>
          <w:rStyle w:val="FootnoteReference"/>
          <w:rFonts w:ascii="Cambria" w:hAnsi="Cambria"/>
          <w:sz w:val="16"/>
          <w:szCs w:val="16"/>
        </w:rPr>
        <w:footnoteRef/>
      </w:r>
      <w:r w:rsidRPr="00CA3AFE">
        <w:rPr>
          <w:rFonts w:ascii="Cambria" w:hAnsi="Cambria"/>
          <w:sz w:val="16"/>
          <w:szCs w:val="16"/>
        </w:rPr>
        <w:t xml:space="preserve"> Bahamas Local, </w:t>
      </w:r>
      <w:hyperlink r:id="rId1" w:history="1">
        <w:r w:rsidRPr="00CA3AFE">
          <w:rPr>
            <w:rStyle w:val="Hyperlink"/>
            <w:rFonts w:ascii="Cambria" w:hAnsi="Cambria"/>
            <w:sz w:val="16"/>
            <w:szCs w:val="16"/>
          </w:rPr>
          <w:t>Murder convict get 30 years in re-sentencing</w:t>
        </w:r>
      </w:hyperlink>
      <w:r w:rsidR="00AC6A47">
        <w:rPr>
          <w:rFonts w:ascii="Cambria" w:hAnsi="Cambria"/>
          <w:sz w:val="16"/>
          <w:szCs w:val="16"/>
        </w:rPr>
        <w:t xml:space="preserve">, 23 de </w:t>
      </w:r>
      <w:proofErr w:type="spellStart"/>
      <w:r w:rsidR="00AC6A47">
        <w:rPr>
          <w:rFonts w:ascii="Cambria" w:hAnsi="Cambria"/>
          <w:sz w:val="16"/>
          <w:szCs w:val="16"/>
        </w:rPr>
        <w:t>abril</w:t>
      </w:r>
      <w:proofErr w:type="spellEnd"/>
      <w:r w:rsidR="00AC6A47">
        <w:rPr>
          <w:rFonts w:ascii="Cambria" w:hAnsi="Cambria"/>
          <w:sz w:val="16"/>
          <w:szCs w:val="16"/>
        </w:rPr>
        <w:t xml:space="preserve"> de</w:t>
      </w:r>
      <w:r w:rsidRPr="00CA3AFE">
        <w:rPr>
          <w:rFonts w:ascii="Cambria" w:hAnsi="Cambria"/>
          <w:sz w:val="16"/>
          <w:szCs w:val="16"/>
        </w:rPr>
        <w:t xml:space="preserve">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20" w:rsidRDefault="0082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59776"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672933"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20" w:rsidRDefault="00821020" w:rsidP="00821020">
    <w:pPr>
      <w:pStyle w:val="Header"/>
    </w:pPr>
    <w:r>
      <w:tab/>
    </w:r>
    <w:r>
      <w:rPr>
        <w:noProof/>
      </w:rPr>
      <w:drawing>
        <wp:anchor distT="0" distB="0" distL="114300" distR="114300" simplePos="0" relativeHeight="251661824" behindDoc="1" locked="0" layoutInCell="1" allowOverlap="1" wp14:anchorId="6AAC2135" wp14:editId="6882CE4F">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D31A7A7" wp14:editId="74F9B4A4">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1"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rsidR="00821020" w:rsidRDefault="00821020" w:rsidP="00821020">
    <w:pPr>
      <w:pStyle w:val="Header"/>
    </w:pPr>
  </w:p>
  <w:p w:rsidR="00821020" w:rsidRPr="005C55F1" w:rsidRDefault="00672933" w:rsidP="00821020">
    <w:pPr>
      <w:tabs>
        <w:tab w:val="center" w:pos="4680"/>
        <w:tab w:val="right" w:pos="9360"/>
      </w:tabs>
      <w:spacing w:after="0" w:line="240" w:lineRule="auto"/>
      <w:jc w:val="center"/>
    </w:pPr>
    <w:r>
      <w:pict>
        <v:rect id="_x0000_i1026" style="width:143.45pt;height:1.5pt" o:hrpct="966" o:hralign="center" o:hrstd="t" o:hr="t" fillcolor="#a0a0a0" stroked="f"/>
      </w:pict>
    </w:r>
  </w:p>
  <w:p w:rsidR="00893DBD" w:rsidRPr="00821020" w:rsidRDefault="00893DBD" w:rsidP="00821020">
    <w:pPr>
      <w:pStyle w:val="Header"/>
      <w:tabs>
        <w:tab w:val="clear" w:pos="4680"/>
        <w:tab w:val="clear" w:pos="9360"/>
        <w:tab w:val="left" w:pos="26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E696AA78"/>
    <w:lvl w:ilvl="0" w:tplc="5CFEE82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1"/>
  </w:num>
  <w:num w:numId="5">
    <w:abstractNumId w:val="1"/>
  </w:num>
  <w:num w:numId="6">
    <w:abstractNumId w:val="23"/>
  </w:num>
  <w:num w:numId="7">
    <w:abstractNumId w:val="25"/>
  </w:num>
  <w:num w:numId="8">
    <w:abstractNumId w:val="26"/>
  </w:num>
  <w:num w:numId="9">
    <w:abstractNumId w:val="27"/>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3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2"/>
  </w:num>
  <w:num w:numId="24">
    <w:abstractNumId w:val="29"/>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4498"/>
    <w:rsid w:val="00076298"/>
    <w:rsid w:val="000823BF"/>
    <w:rsid w:val="00083B2B"/>
    <w:rsid w:val="00087812"/>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6C15"/>
    <w:rsid w:val="00207922"/>
    <w:rsid w:val="002156DC"/>
    <w:rsid w:val="002160C0"/>
    <w:rsid w:val="00224EDC"/>
    <w:rsid w:val="00231AC2"/>
    <w:rsid w:val="00234C3B"/>
    <w:rsid w:val="00235297"/>
    <w:rsid w:val="0024645A"/>
    <w:rsid w:val="002465DA"/>
    <w:rsid w:val="0024773B"/>
    <w:rsid w:val="00256CEC"/>
    <w:rsid w:val="0026166B"/>
    <w:rsid w:val="002667FA"/>
    <w:rsid w:val="00272E0C"/>
    <w:rsid w:val="00275418"/>
    <w:rsid w:val="002762B9"/>
    <w:rsid w:val="002856E7"/>
    <w:rsid w:val="0028678F"/>
    <w:rsid w:val="00287012"/>
    <w:rsid w:val="00291089"/>
    <w:rsid w:val="0029224B"/>
    <w:rsid w:val="00296A3D"/>
    <w:rsid w:val="002A2901"/>
    <w:rsid w:val="002A5153"/>
    <w:rsid w:val="002A5EF7"/>
    <w:rsid w:val="002A67C8"/>
    <w:rsid w:val="002B2949"/>
    <w:rsid w:val="002C1DBB"/>
    <w:rsid w:val="002D2200"/>
    <w:rsid w:val="002D2490"/>
    <w:rsid w:val="002D3A69"/>
    <w:rsid w:val="002D5D21"/>
    <w:rsid w:val="002E04B2"/>
    <w:rsid w:val="002E27BB"/>
    <w:rsid w:val="002E6370"/>
    <w:rsid w:val="002F0D2F"/>
    <w:rsid w:val="002F21C5"/>
    <w:rsid w:val="002F70F2"/>
    <w:rsid w:val="00303A21"/>
    <w:rsid w:val="0030412B"/>
    <w:rsid w:val="00312310"/>
    <w:rsid w:val="003151FE"/>
    <w:rsid w:val="003250A4"/>
    <w:rsid w:val="003272C4"/>
    <w:rsid w:val="00334B16"/>
    <w:rsid w:val="003455B5"/>
    <w:rsid w:val="00350C0E"/>
    <w:rsid w:val="003571CE"/>
    <w:rsid w:val="0036198E"/>
    <w:rsid w:val="003624D8"/>
    <w:rsid w:val="0036660E"/>
    <w:rsid w:val="0036721A"/>
    <w:rsid w:val="00367A66"/>
    <w:rsid w:val="00367FC8"/>
    <w:rsid w:val="00371B8A"/>
    <w:rsid w:val="00372935"/>
    <w:rsid w:val="003820A6"/>
    <w:rsid w:val="003917D2"/>
    <w:rsid w:val="00391EDC"/>
    <w:rsid w:val="003936F0"/>
    <w:rsid w:val="00397989"/>
    <w:rsid w:val="003A028B"/>
    <w:rsid w:val="003A4926"/>
    <w:rsid w:val="003A5479"/>
    <w:rsid w:val="003B353B"/>
    <w:rsid w:val="003D4EAB"/>
    <w:rsid w:val="003D69FA"/>
    <w:rsid w:val="003D6CC4"/>
    <w:rsid w:val="003E24A8"/>
    <w:rsid w:val="003E2929"/>
    <w:rsid w:val="003E2FE4"/>
    <w:rsid w:val="003E50B8"/>
    <w:rsid w:val="003E7F8D"/>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3898"/>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3426"/>
    <w:rsid w:val="00625F2C"/>
    <w:rsid w:val="00630EF3"/>
    <w:rsid w:val="00634AB3"/>
    <w:rsid w:val="00635858"/>
    <w:rsid w:val="00641554"/>
    <w:rsid w:val="00642C61"/>
    <w:rsid w:val="006455C0"/>
    <w:rsid w:val="00667A6C"/>
    <w:rsid w:val="00672933"/>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63D51"/>
    <w:rsid w:val="00772FCA"/>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1020"/>
    <w:rsid w:val="00826DF1"/>
    <w:rsid w:val="00835E9E"/>
    <w:rsid w:val="00842302"/>
    <w:rsid w:val="00845F3F"/>
    <w:rsid w:val="00851133"/>
    <w:rsid w:val="00854261"/>
    <w:rsid w:val="008549E5"/>
    <w:rsid w:val="00857090"/>
    <w:rsid w:val="00862C26"/>
    <w:rsid w:val="00864126"/>
    <w:rsid w:val="008644BF"/>
    <w:rsid w:val="008665E5"/>
    <w:rsid w:val="00867648"/>
    <w:rsid w:val="008731F6"/>
    <w:rsid w:val="0087629A"/>
    <w:rsid w:val="00884ECA"/>
    <w:rsid w:val="00893DBD"/>
    <w:rsid w:val="008A3C4E"/>
    <w:rsid w:val="008A688C"/>
    <w:rsid w:val="008B6CC4"/>
    <w:rsid w:val="008C255B"/>
    <w:rsid w:val="008C4A04"/>
    <w:rsid w:val="008C51C1"/>
    <w:rsid w:val="008C6F28"/>
    <w:rsid w:val="008D0BF2"/>
    <w:rsid w:val="008D7730"/>
    <w:rsid w:val="008D78CE"/>
    <w:rsid w:val="008E180A"/>
    <w:rsid w:val="008E27AC"/>
    <w:rsid w:val="008E44EE"/>
    <w:rsid w:val="008E4EC9"/>
    <w:rsid w:val="008E5D4A"/>
    <w:rsid w:val="008E6708"/>
    <w:rsid w:val="008F159D"/>
    <w:rsid w:val="008F2CC9"/>
    <w:rsid w:val="009065FE"/>
    <w:rsid w:val="00922B34"/>
    <w:rsid w:val="009237C0"/>
    <w:rsid w:val="00930EA7"/>
    <w:rsid w:val="00931BFE"/>
    <w:rsid w:val="00960A4E"/>
    <w:rsid w:val="009712A7"/>
    <w:rsid w:val="009714CF"/>
    <w:rsid w:val="009747D6"/>
    <w:rsid w:val="00986C78"/>
    <w:rsid w:val="00990B8B"/>
    <w:rsid w:val="00997F2C"/>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C6A47"/>
    <w:rsid w:val="00AD42A5"/>
    <w:rsid w:val="00AE18C1"/>
    <w:rsid w:val="00AE21D8"/>
    <w:rsid w:val="00AE48FD"/>
    <w:rsid w:val="00AE7D71"/>
    <w:rsid w:val="00AF141E"/>
    <w:rsid w:val="00AF279F"/>
    <w:rsid w:val="00AF4359"/>
    <w:rsid w:val="00B033FC"/>
    <w:rsid w:val="00B03E7E"/>
    <w:rsid w:val="00B05212"/>
    <w:rsid w:val="00B144E0"/>
    <w:rsid w:val="00B243FC"/>
    <w:rsid w:val="00B26E4A"/>
    <w:rsid w:val="00B36444"/>
    <w:rsid w:val="00B4725D"/>
    <w:rsid w:val="00B477AC"/>
    <w:rsid w:val="00B53870"/>
    <w:rsid w:val="00B54D15"/>
    <w:rsid w:val="00B579B7"/>
    <w:rsid w:val="00B60EE3"/>
    <w:rsid w:val="00B719E1"/>
    <w:rsid w:val="00B71FE1"/>
    <w:rsid w:val="00B72A88"/>
    <w:rsid w:val="00B80B96"/>
    <w:rsid w:val="00B81C34"/>
    <w:rsid w:val="00B84AF5"/>
    <w:rsid w:val="00B90217"/>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47D9"/>
    <w:rsid w:val="00C2616D"/>
    <w:rsid w:val="00C267BD"/>
    <w:rsid w:val="00C30742"/>
    <w:rsid w:val="00C308AF"/>
    <w:rsid w:val="00C33871"/>
    <w:rsid w:val="00C35FB9"/>
    <w:rsid w:val="00C4012C"/>
    <w:rsid w:val="00C41B14"/>
    <w:rsid w:val="00C5357E"/>
    <w:rsid w:val="00C53C46"/>
    <w:rsid w:val="00C53D0B"/>
    <w:rsid w:val="00C55173"/>
    <w:rsid w:val="00C615C8"/>
    <w:rsid w:val="00C7206E"/>
    <w:rsid w:val="00C80CF4"/>
    <w:rsid w:val="00C81120"/>
    <w:rsid w:val="00C86186"/>
    <w:rsid w:val="00C86B20"/>
    <w:rsid w:val="00C900AD"/>
    <w:rsid w:val="00C92A76"/>
    <w:rsid w:val="00C949DC"/>
    <w:rsid w:val="00CA3AFE"/>
    <w:rsid w:val="00CA4AEC"/>
    <w:rsid w:val="00CA4DB8"/>
    <w:rsid w:val="00CB20FB"/>
    <w:rsid w:val="00CB49F9"/>
    <w:rsid w:val="00CC430B"/>
    <w:rsid w:val="00CC785D"/>
    <w:rsid w:val="00CD2692"/>
    <w:rsid w:val="00CE5C6C"/>
    <w:rsid w:val="00CF006C"/>
    <w:rsid w:val="00CF076D"/>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97451"/>
    <w:rsid w:val="00DA03BE"/>
    <w:rsid w:val="00DA2F5E"/>
    <w:rsid w:val="00DA62E7"/>
    <w:rsid w:val="00DB0B5E"/>
    <w:rsid w:val="00DB32DA"/>
    <w:rsid w:val="00DC158A"/>
    <w:rsid w:val="00DD300D"/>
    <w:rsid w:val="00DE7161"/>
    <w:rsid w:val="00DF177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B66D7"/>
    <w:rsid w:val="00EC3771"/>
    <w:rsid w:val="00EC3E5A"/>
    <w:rsid w:val="00EC41AF"/>
    <w:rsid w:val="00EC4841"/>
    <w:rsid w:val="00EC5776"/>
    <w:rsid w:val="00ED62D4"/>
    <w:rsid w:val="00EE23F9"/>
    <w:rsid w:val="00EE2BCE"/>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186"/>
    <w:rsid w:val="00F50CA9"/>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447B"/>
    <w:rsid w:val="00FC5FD7"/>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61577">
      <w:bodyDiv w:val="1"/>
      <w:marLeft w:val="0"/>
      <w:marRight w:val="0"/>
      <w:marTop w:val="0"/>
      <w:marBottom w:val="0"/>
      <w:divBdr>
        <w:top w:val="none" w:sz="0" w:space="0" w:color="auto"/>
        <w:left w:val="none" w:sz="0" w:space="0" w:color="auto"/>
        <w:bottom w:val="none" w:sz="0" w:space="0" w:color="auto"/>
        <w:right w:val="none" w:sz="0" w:space="0" w:color="auto"/>
      </w:divBdr>
    </w:div>
    <w:div w:id="437411907">
      <w:bodyDiv w:val="1"/>
      <w:marLeft w:val="0"/>
      <w:marRight w:val="0"/>
      <w:marTop w:val="0"/>
      <w:marBottom w:val="0"/>
      <w:divBdr>
        <w:top w:val="none" w:sz="0" w:space="0" w:color="auto"/>
        <w:left w:val="none" w:sz="0" w:space="0" w:color="auto"/>
        <w:bottom w:val="none" w:sz="0" w:space="0" w:color="auto"/>
        <w:right w:val="none" w:sz="0" w:space="0" w:color="auto"/>
      </w:divBdr>
    </w:div>
    <w:div w:id="472330236">
      <w:bodyDiv w:val="1"/>
      <w:marLeft w:val="0"/>
      <w:marRight w:val="0"/>
      <w:marTop w:val="0"/>
      <w:marBottom w:val="0"/>
      <w:divBdr>
        <w:top w:val="none" w:sz="0" w:space="0" w:color="auto"/>
        <w:left w:val="none" w:sz="0" w:space="0" w:color="auto"/>
        <w:bottom w:val="none" w:sz="0" w:space="0" w:color="auto"/>
        <w:right w:val="none" w:sz="0" w:space="0" w:color="auto"/>
      </w:divBdr>
    </w:div>
    <w:div w:id="680936773">
      <w:bodyDiv w:val="1"/>
      <w:marLeft w:val="0"/>
      <w:marRight w:val="0"/>
      <w:marTop w:val="0"/>
      <w:marBottom w:val="0"/>
      <w:divBdr>
        <w:top w:val="none" w:sz="0" w:space="0" w:color="auto"/>
        <w:left w:val="none" w:sz="0" w:space="0" w:color="auto"/>
        <w:bottom w:val="none" w:sz="0" w:space="0" w:color="auto"/>
        <w:right w:val="none" w:sz="0" w:space="0" w:color="auto"/>
      </w:divBdr>
    </w:div>
    <w:div w:id="987824446">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BAPU12231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uact=8&amp;ved=2ahUKEwjSwIn4-KngAhUEpoMKHX-JDfoQFjAAegQIChAB&amp;url=https%3A%2F%2Fwww.bahamaslocal.com%2Fnewsitem%2F47944%2FMurder_convict_gets_30_years_in_resentencing.html&amp;usg=AOvVaw3o689UVTiazXI1w7iZ8LU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54C4-56E6-4E19-ABC4-3A2A7DF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2019-10-31T14:11:00Z</dcterms:created>
  <dcterms:modified xsi:type="dcterms:W3CDTF">2020-01-10T22:01:00Z</dcterms:modified>
</cp:coreProperties>
</file>