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AA30A" w14:textId="77777777" w:rsidR="00D074D3" w:rsidRPr="00EF5569" w:rsidRDefault="00D074D3" w:rsidP="00DD79D0">
      <w:pPr>
        <w:pStyle w:val="Header"/>
        <w:jc w:val="center"/>
        <w:rPr>
          <w:rFonts w:ascii="Cambria" w:hAnsi="Cambria"/>
          <w:b/>
          <w:sz w:val="20"/>
          <w:szCs w:val="20"/>
          <w:lang w:val="es-ES"/>
        </w:rPr>
      </w:pPr>
    </w:p>
    <w:p w14:paraId="6FCB1102" w14:textId="548487B5" w:rsidR="0071717C" w:rsidRPr="00EF5569" w:rsidRDefault="00D074D3" w:rsidP="00DD79D0">
      <w:pPr>
        <w:pStyle w:val="Header"/>
        <w:jc w:val="center"/>
        <w:rPr>
          <w:rFonts w:ascii="Cambria" w:hAnsi="Cambria"/>
          <w:lang w:val="es-ES"/>
        </w:rPr>
      </w:pPr>
      <w:r w:rsidRPr="00EF5569">
        <w:rPr>
          <w:rFonts w:ascii="Cambria" w:hAnsi="Cambria"/>
          <w:b/>
          <w:color w:val="000000"/>
          <w:lang w:val="es-ES"/>
        </w:rPr>
        <w:t>FICHA DE SEGUIMIENTO DEL INFORME Nº</w:t>
      </w:r>
      <w:r w:rsidR="0071717C" w:rsidRPr="00EF5569">
        <w:rPr>
          <w:rFonts w:ascii="Cambria" w:hAnsi="Cambria"/>
          <w:b/>
          <w:lang w:val="es-ES"/>
        </w:rPr>
        <w:t xml:space="preserve"> 28/09</w:t>
      </w:r>
    </w:p>
    <w:p w14:paraId="5C585AFB" w14:textId="3027C2AE" w:rsidR="0071717C" w:rsidRPr="00EF5569" w:rsidRDefault="00D074D3" w:rsidP="0071717C">
      <w:pPr>
        <w:spacing w:after="0" w:line="240" w:lineRule="auto"/>
        <w:jc w:val="center"/>
        <w:rPr>
          <w:rFonts w:ascii="Cambria" w:hAnsi="Cambria"/>
          <w:b/>
          <w:lang w:val="es-ES"/>
        </w:rPr>
      </w:pPr>
      <w:r w:rsidRPr="00EF5569">
        <w:rPr>
          <w:rFonts w:ascii="Cambria" w:hAnsi="Cambria"/>
          <w:b/>
          <w:color w:val="000000"/>
          <w:lang w:val="es-ES"/>
        </w:rPr>
        <w:t xml:space="preserve">CASO </w:t>
      </w:r>
      <w:r w:rsidR="0071717C" w:rsidRPr="00EF5569">
        <w:rPr>
          <w:rFonts w:ascii="Cambria" w:hAnsi="Cambria"/>
          <w:b/>
          <w:lang w:val="es-ES"/>
        </w:rPr>
        <w:t>12.269</w:t>
      </w:r>
    </w:p>
    <w:p w14:paraId="44A746B2" w14:textId="16860965" w:rsidR="0071717C" w:rsidRPr="00EF5569" w:rsidRDefault="00DD79D0" w:rsidP="0071717C">
      <w:pPr>
        <w:spacing w:after="0" w:line="240" w:lineRule="auto"/>
        <w:jc w:val="center"/>
        <w:rPr>
          <w:rFonts w:ascii="Cambria" w:hAnsi="Cambria"/>
          <w:b/>
          <w:lang w:val="es-ES"/>
        </w:rPr>
      </w:pPr>
      <w:r w:rsidRPr="00EF5569">
        <w:rPr>
          <w:rFonts w:ascii="Cambria" w:hAnsi="Cambria"/>
          <w:b/>
          <w:lang w:val="es-ES"/>
        </w:rPr>
        <w:t>DEXTER LENDORE</w:t>
      </w:r>
    </w:p>
    <w:p w14:paraId="604FE9A3" w14:textId="77777777" w:rsidR="0071717C" w:rsidRPr="00EF5569" w:rsidRDefault="0071717C" w:rsidP="0071717C">
      <w:pPr>
        <w:spacing w:after="0" w:line="240" w:lineRule="auto"/>
        <w:jc w:val="center"/>
        <w:rPr>
          <w:rFonts w:ascii="Cambria" w:hAnsi="Cambria"/>
          <w:b/>
          <w:lang w:val="es-ES"/>
        </w:rPr>
      </w:pPr>
      <w:r w:rsidRPr="00EF5569">
        <w:rPr>
          <w:rFonts w:ascii="Cambria" w:hAnsi="Cambria"/>
          <w:b/>
          <w:lang w:val="es-ES"/>
        </w:rPr>
        <w:t>(Trinidad and Tobago)</w:t>
      </w:r>
    </w:p>
    <w:p w14:paraId="74C2FD49" w14:textId="77777777" w:rsidR="0071717C" w:rsidRPr="00EF5569" w:rsidRDefault="0071717C" w:rsidP="0071717C">
      <w:pPr>
        <w:spacing w:after="0" w:line="240" w:lineRule="auto"/>
        <w:jc w:val="center"/>
        <w:rPr>
          <w:rFonts w:ascii="Cambria" w:hAnsi="Cambria"/>
          <w:sz w:val="20"/>
          <w:szCs w:val="20"/>
          <w:lang w:val="es-ES"/>
        </w:rPr>
      </w:pPr>
    </w:p>
    <w:p w14:paraId="777BC903" w14:textId="5DA12DF0" w:rsidR="0071717C" w:rsidRPr="00EF5569" w:rsidRDefault="00D074D3" w:rsidP="00DD79D0">
      <w:pPr>
        <w:numPr>
          <w:ilvl w:val="0"/>
          <w:numId w:val="6"/>
        </w:numPr>
        <w:spacing w:after="0" w:line="240" w:lineRule="auto"/>
        <w:ind w:left="1440"/>
        <w:jc w:val="both"/>
        <w:rPr>
          <w:rFonts w:ascii="Cambria" w:hAnsi="Cambria" w:cs="Calibri Light"/>
          <w:b/>
          <w:sz w:val="20"/>
          <w:szCs w:val="20"/>
          <w:lang w:val="es-ES"/>
        </w:rPr>
      </w:pPr>
      <w:r w:rsidRPr="00EF5569">
        <w:rPr>
          <w:rFonts w:ascii="Cambria" w:hAnsi="Cambria" w:cs="Calibri Light"/>
          <w:b/>
          <w:color w:val="000000"/>
          <w:sz w:val="20"/>
          <w:szCs w:val="20"/>
          <w:lang w:val="es-ES"/>
        </w:rPr>
        <w:t>Resumen del caso</w:t>
      </w:r>
      <w:r w:rsidR="0071717C" w:rsidRPr="00EF5569">
        <w:rPr>
          <w:rFonts w:ascii="Cambria" w:hAnsi="Cambria" w:cs="Calibri Light"/>
          <w:b/>
          <w:sz w:val="20"/>
          <w:szCs w:val="20"/>
          <w:lang w:val="es-ES"/>
        </w:rPr>
        <w:t xml:space="preserve">  </w:t>
      </w:r>
    </w:p>
    <w:p w14:paraId="62DB5CB7" w14:textId="77777777" w:rsidR="0071717C" w:rsidRPr="00EF5569" w:rsidRDefault="0071717C" w:rsidP="0071717C">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71717C" w:rsidRPr="00CA5848" w14:paraId="0A776B51" w14:textId="77777777" w:rsidTr="0071717C">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1480D696" w14:textId="2A4968EB" w:rsidR="0071717C" w:rsidRPr="00EF5569" w:rsidRDefault="00D074D3" w:rsidP="00DD79D0">
            <w:pPr>
              <w:spacing w:before="120" w:after="0" w:line="240" w:lineRule="auto"/>
              <w:jc w:val="both"/>
              <w:rPr>
                <w:rFonts w:ascii="Cambria" w:hAnsi="Cambria"/>
                <w:b/>
                <w:sz w:val="20"/>
                <w:szCs w:val="20"/>
                <w:lang w:val="es-ES"/>
              </w:rPr>
            </w:pPr>
            <w:r w:rsidRPr="00EF5569">
              <w:rPr>
                <w:rFonts w:ascii="Cambria" w:hAnsi="Cambria"/>
                <w:b/>
                <w:color w:val="000000"/>
                <w:sz w:val="20"/>
                <w:szCs w:val="20"/>
                <w:lang w:val="es-ES"/>
              </w:rPr>
              <w:t xml:space="preserve">Víctima (s): </w:t>
            </w:r>
            <w:r w:rsidR="0071717C" w:rsidRPr="00EF5569">
              <w:rPr>
                <w:rFonts w:ascii="Cambria" w:hAnsi="Cambria"/>
                <w:sz w:val="20"/>
                <w:szCs w:val="20"/>
                <w:lang w:val="es-ES"/>
              </w:rPr>
              <w:t xml:space="preserve">Dexter Lendore </w:t>
            </w:r>
          </w:p>
          <w:p w14:paraId="2DB506DE" w14:textId="6CEB86B9" w:rsidR="0071717C" w:rsidRPr="00EF5569" w:rsidRDefault="00D074D3" w:rsidP="00875784">
            <w:pPr>
              <w:spacing w:after="0" w:line="240" w:lineRule="auto"/>
              <w:jc w:val="both"/>
              <w:rPr>
                <w:rFonts w:ascii="Cambria" w:hAnsi="Cambria"/>
                <w:b/>
                <w:sz w:val="20"/>
                <w:szCs w:val="20"/>
                <w:lang w:val="es-ES"/>
              </w:rPr>
            </w:pPr>
            <w:r w:rsidRPr="00EF5569">
              <w:rPr>
                <w:rFonts w:ascii="Cambria" w:hAnsi="Cambria"/>
                <w:b/>
                <w:color w:val="000000"/>
                <w:sz w:val="20"/>
                <w:szCs w:val="20"/>
                <w:lang w:val="es-ES"/>
              </w:rPr>
              <w:t>Peticionario (s):</w:t>
            </w:r>
            <w:r w:rsidR="0071717C" w:rsidRPr="00EF5569">
              <w:rPr>
                <w:rFonts w:ascii="Cambria" w:hAnsi="Cambria"/>
                <w:sz w:val="20"/>
                <w:szCs w:val="20"/>
                <w:lang w:val="es-ES"/>
              </w:rPr>
              <w:t xml:space="preserve"> Collyer-Bristow</w:t>
            </w:r>
          </w:p>
          <w:p w14:paraId="14D54C57" w14:textId="0B02AF69" w:rsidR="0071717C" w:rsidRPr="00EF5569" w:rsidRDefault="00D074D3" w:rsidP="00875784">
            <w:pPr>
              <w:spacing w:after="0" w:line="240" w:lineRule="auto"/>
              <w:jc w:val="both"/>
              <w:rPr>
                <w:rFonts w:ascii="Cambria" w:hAnsi="Cambria"/>
                <w:sz w:val="20"/>
                <w:szCs w:val="20"/>
                <w:lang w:val="es-ES"/>
              </w:rPr>
            </w:pPr>
            <w:r w:rsidRPr="00EF5569">
              <w:rPr>
                <w:rFonts w:ascii="Cambria" w:hAnsi="Cambria"/>
                <w:b/>
                <w:color w:val="000000"/>
                <w:sz w:val="20"/>
                <w:szCs w:val="20"/>
                <w:lang w:val="es-ES"/>
              </w:rPr>
              <w:t>Estado:</w:t>
            </w:r>
            <w:r w:rsidR="0071717C" w:rsidRPr="00EF5569">
              <w:rPr>
                <w:rFonts w:ascii="Cambria" w:hAnsi="Cambria"/>
                <w:b/>
                <w:sz w:val="20"/>
                <w:szCs w:val="20"/>
                <w:lang w:val="es-ES"/>
              </w:rPr>
              <w:t xml:space="preserve"> </w:t>
            </w:r>
            <w:r w:rsidR="0071717C" w:rsidRPr="00EF5569">
              <w:rPr>
                <w:rFonts w:ascii="Cambria" w:hAnsi="Cambria"/>
                <w:sz w:val="20"/>
                <w:szCs w:val="20"/>
                <w:lang w:val="es-ES"/>
              </w:rPr>
              <w:t xml:space="preserve">Trinidad </w:t>
            </w:r>
            <w:r w:rsidR="00586C9D" w:rsidRPr="00EF5569">
              <w:rPr>
                <w:rFonts w:ascii="Cambria" w:hAnsi="Cambria"/>
                <w:sz w:val="20"/>
                <w:szCs w:val="20"/>
                <w:lang w:val="es-ES"/>
              </w:rPr>
              <w:t>y</w:t>
            </w:r>
            <w:r w:rsidR="0071717C" w:rsidRPr="00EF5569">
              <w:rPr>
                <w:rFonts w:ascii="Cambria" w:hAnsi="Cambria"/>
                <w:sz w:val="20"/>
                <w:szCs w:val="20"/>
                <w:lang w:val="es-ES"/>
              </w:rPr>
              <w:t xml:space="preserve"> Tobago</w:t>
            </w:r>
          </w:p>
          <w:p w14:paraId="55DE6957" w14:textId="78B2B4FB" w:rsidR="0071717C" w:rsidRPr="00EF5569" w:rsidRDefault="00D074D3" w:rsidP="00875784">
            <w:pPr>
              <w:spacing w:after="0" w:line="240" w:lineRule="auto"/>
              <w:jc w:val="both"/>
              <w:rPr>
                <w:rFonts w:ascii="Cambria" w:hAnsi="Cambria"/>
                <w:sz w:val="20"/>
                <w:szCs w:val="20"/>
                <w:lang w:val="es-ES"/>
              </w:rPr>
            </w:pPr>
            <w:r w:rsidRPr="00EF5569">
              <w:rPr>
                <w:rFonts w:ascii="Cambria" w:hAnsi="Cambria"/>
                <w:b/>
                <w:sz w:val="20"/>
                <w:szCs w:val="20"/>
                <w:lang w:val="es-ES"/>
              </w:rPr>
              <w:t>Informe de Fondo Nº:</w:t>
            </w:r>
            <w:r w:rsidR="0071717C" w:rsidRPr="00EF5569">
              <w:rPr>
                <w:rFonts w:ascii="Cambria" w:hAnsi="Cambria"/>
                <w:b/>
                <w:sz w:val="20"/>
                <w:szCs w:val="20"/>
                <w:lang w:val="es-ES"/>
              </w:rPr>
              <w:t xml:space="preserve"> </w:t>
            </w:r>
            <w:hyperlink r:id="rId8" w:history="1">
              <w:r w:rsidR="0071717C" w:rsidRPr="00EF5569">
                <w:rPr>
                  <w:rStyle w:val="Hyperlink"/>
                  <w:rFonts w:ascii="Cambria" w:hAnsi="Cambria"/>
                  <w:color w:val="auto"/>
                  <w:sz w:val="20"/>
                  <w:szCs w:val="20"/>
                  <w:lang w:val="es-ES"/>
                </w:rPr>
                <w:t>28/09</w:t>
              </w:r>
            </w:hyperlink>
            <w:r w:rsidR="0071717C" w:rsidRPr="00EF5569">
              <w:rPr>
                <w:rFonts w:ascii="Cambria" w:hAnsi="Cambria"/>
                <w:sz w:val="20"/>
                <w:szCs w:val="20"/>
                <w:lang w:val="es-ES"/>
              </w:rPr>
              <w:t xml:space="preserve">, </w:t>
            </w:r>
            <w:r w:rsidR="00BB06B6" w:rsidRPr="00EF5569">
              <w:rPr>
                <w:rFonts w:ascii="Cambria" w:hAnsi="Cambria"/>
                <w:sz w:val="20"/>
                <w:szCs w:val="20"/>
                <w:lang w:val="es-ES"/>
              </w:rPr>
              <w:t>publicado el 20 de marzo de 2009</w:t>
            </w:r>
          </w:p>
          <w:p w14:paraId="507C103D" w14:textId="733F5B33" w:rsidR="0071717C" w:rsidRPr="00EF5569" w:rsidRDefault="00D074D3" w:rsidP="00875784">
            <w:pPr>
              <w:spacing w:after="0" w:line="240" w:lineRule="auto"/>
              <w:jc w:val="both"/>
              <w:rPr>
                <w:rFonts w:ascii="Cambria" w:hAnsi="Cambria"/>
                <w:sz w:val="20"/>
                <w:szCs w:val="20"/>
                <w:lang w:val="es-ES"/>
              </w:rPr>
            </w:pPr>
            <w:r w:rsidRPr="00EF5569">
              <w:rPr>
                <w:rFonts w:ascii="Cambria" w:hAnsi="Cambria"/>
                <w:b/>
                <w:sz w:val="20"/>
                <w:szCs w:val="20"/>
                <w:lang w:val="es-ES"/>
              </w:rPr>
              <w:t>Informe de Admisibilidad Nº:</w:t>
            </w:r>
            <w:r w:rsidR="0071717C" w:rsidRPr="00EF5569">
              <w:rPr>
                <w:rFonts w:ascii="Cambria" w:hAnsi="Cambria"/>
                <w:b/>
                <w:sz w:val="20"/>
                <w:szCs w:val="20"/>
                <w:lang w:val="es-ES"/>
              </w:rPr>
              <w:t xml:space="preserve"> </w:t>
            </w:r>
            <w:hyperlink r:id="rId9" w:history="1">
              <w:r w:rsidR="0071717C" w:rsidRPr="00EF5569">
                <w:rPr>
                  <w:rStyle w:val="Hyperlink"/>
                  <w:rFonts w:ascii="Cambria" w:hAnsi="Cambria"/>
                  <w:color w:val="auto"/>
                  <w:sz w:val="20"/>
                  <w:szCs w:val="20"/>
                  <w:lang w:val="es-ES"/>
                </w:rPr>
                <w:t>21/05</w:t>
              </w:r>
            </w:hyperlink>
            <w:r w:rsidR="0071717C" w:rsidRPr="00EF5569">
              <w:rPr>
                <w:rFonts w:ascii="Cambria" w:hAnsi="Cambria"/>
                <w:sz w:val="20"/>
                <w:szCs w:val="20"/>
                <w:lang w:val="es-ES"/>
              </w:rPr>
              <w:t xml:space="preserve">, </w:t>
            </w:r>
            <w:r w:rsidR="007C016D" w:rsidRPr="00EF5569">
              <w:rPr>
                <w:rFonts w:ascii="Cambria" w:hAnsi="Cambria"/>
                <w:sz w:val="20"/>
                <w:szCs w:val="20"/>
                <w:lang w:val="es-ES"/>
              </w:rPr>
              <w:t>publicado el 25 de febrero de 2005</w:t>
            </w:r>
          </w:p>
          <w:p w14:paraId="1C7926FD" w14:textId="3F5ACF33" w:rsidR="009336C2" w:rsidRPr="00EF5569" w:rsidRDefault="00D074D3" w:rsidP="00DD79D0">
            <w:pPr>
              <w:spacing w:after="120" w:line="240" w:lineRule="auto"/>
              <w:jc w:val="both"/>
              <w:rPr>
                <w:rFonts w:ascii="Cambria" w:hAnsi="Cambria"/>
                <w:b/>
                <w:sz w:val="20"/>
                <w:szCs w:val="20"/>
                <w:lang w:val="es-ES"/>
              </w:rPr>
            </w:pPr>
            <w:r w:rsidRPr="00EF5569">
              <w:rPr>
                <w:rFonts w:ascii="Cambria" w:hAnsi="Cambria"/>
                <w:b/>
                <w:sz w:val="20"/>
                <w:szCs w:val="20"/>
                <w:lang w:val="es-ES"/>
              </w:rPr>
              <w:t>Temas:</w:t>
            </w:r>
            <w:r w:rsidR="0071717C" w:rsidRPr="00EF5569">
              <w:rPr>
                <w:rFonts w:ascii="Cambria" w:hAnsi="Cambria"/>
                <w:b/>
                <w:sz w:val="20"/>
                <w:szCs w:val="20"/>
                <w:lang w:val="es-ES"/>
              </w:rPr>
              <w:t xml:space="preserve"> </w:t>
            </w:r>
            <w:r w:rsidR="009336C2" w:rsidRPr="00EF5569">
              <w:rPr>
                <w:rFonts w:ascii="Cambria" w:hAnsi="Cambria"/>
                <w:sz w:val="20"/>
                <w:szCs w:val="20"/>
                <w:lang w:val="es-ES"/>
              </w:rPr>
              <w:t xml:space="preserve">Debido proceso legal / Garantías judiciales y protección judicial / Obligación de respetar los derechos / </w:t>
            </w:r>
            <w:r w:rsidR="009336C2" w:rsidRPr="00EF5569">
              <w:rPr>
                <w:rFonts w:ascii="Cambria" w:hAnsi="Cambria" w:cs="Calibri"/>
                <w:sz w:val="20"/>
                <w:szCs w:val="20"/>
                <w:lang w:val="es-ES"/>
              </w:rPr>
              <w:t>Personas Privadas de Libertad</w:t>
            </w:r>
            <w:r w:rsidR="009336C2" w:rsidRPr="00EF5569">
              <w:rPr>
                <w:rFonts w:ascii="Cambria" w:hAnsi="Cambria"/>
                <w:b/>
                <w:sz w:val="20"/>
                <w:szCs w:val="20"/>
                <w:lang w:val="es-ES"/>
              </w:rPr>
              <w:t xml:space="preserve"> / </w:t>
            </w:r>
            <w:r w:rsidR="009336C2" w:rsidRPr="00EF5569">
              <w:rPr>
                <w:rFonts w:ascii="Cambria" w:hAnsi="Cambria"/>
                <w:sz w:val="20"/>
                <w:szCs w:val="20"/>
                <w:lang w:val="es-ES"/>
              </w:rPr>
              <w:t>Tratos o penas crueles, inhumanos y/o degradantes</w:t>
            </w:r>
          </w:p>
          <w:p w14:paraId="74290AE9" w14:textId="107247BF" w:rsidR="0071717C" w:rsidRPr="00EF5569" w:rsidRDefault="00D074D3" w:rsidP="00DD79D0">
            <w:pPr>
              <w:spacing w:after="120" w:line="240" w:lineRule="auto"/>
              <w:jc w:val="both"/>
              <w:rPr>
                <w:rFonts w:ascii="Cambria" w:eastAsia="Times New Roman" w:hAnsi="Cambria"/>
                <w:sz w:val="20"/>
                <w:szCs w:val="20"/>
                <w:lang w:val="es-ES"/>
              </w:rPr>
            </w:pPr>
            <w:r w:rsidRPr="00EF5569">
              <w:rPr>
                <w:rFonts w:ascii="Cambria" w:hAnsi="Cambria"/>
                <w:b/>
                <w:color w:val="000000"/>
                <w:sz w:val="20"/>
                <w:szCs w:val="20"/>
                <w:lang w:val="es-ES"/>
              </w:rPr>
              <w:t>Hechos:</w:t>
            </w:r>
            <w:r w:rsidR="0071717C" w:rsidRPr="00EF5569">
              <w:rPr>
                <w:rFonts w:ascii="Cambria" w:hAnsi="Cambria"/>
                <w:b/>
                <w:sz w:val="20"/>
                <w:szCs w:val="20"/>
                <w:lang w:val="es-ES"/>
              </w:rPr>
              <w:t xml:space="preserve"> </w:t>
            </w:r>
            <w:r w:rsidR="00A225A3" w:rsidRPr="00EF5569">
              <w:rPr>
                <w:rFonts w:ascii="Cambria" w:hAnsi="Cambria"/>
                <w:sz w:val="20"/>
                <w:szCs w:val="20"/>
                <w:lang w:val="es-ES"/>
              </w:rPr>
              <w:t xml:space="preserve">Este caso se refiere a las condiciones de </w:t>
            </w:r>
            <w:r w:rsidR="00DA196B" w:rsidRPr="00EF5569">
              <w:rPr>
                <w:rFonts w:ascii="Cambria" w:hAnsi="Cambria"/>
                <w:sz w:val="20"/>
                <w:szCs w:val="20"/>
                <w:lang w:val="es-ES"/>
              </w:rPr>
              <w:t>privación de la libertad</w:t>
            </w:r>
            <w:r w:rsidR="00A225A3" w:rsidRPr="00EF5569">
              <w:rPr>
                <w:rFonts w:ascii="Cambria" w:hAnsi="Cambria"/>
                <w:sz w:val="20"/>
                <w:szCs w:val="20"/>
                <w:lang w:val="es-ES"/>
              </w:rPr>
              <w:t xml:space="preserve"> del señor Dexter Lendore, quien fue detenido en el corredor de la muerte de la prisión estatal en Puerto España, Trinidad y Tobago, y cuya sentencia fue posteriormente conm</w:t>
            </w:r>
            <w:r w:rsidR="00DA196B" w:rsidRPr="00EF5569">
              <w:rPr>
                <w:rFonts w:ascii="Cambria" w:hAnsi="Cambria"/>
                <w:sz w:val="20"/>
                <w:szCs w:val="20"/>
                <w:lang w:val="es-ES"/>
              </w:rPr>
              <w:t>u</w:t>
            </w:r>
            <w:r w:rsidR="00A225A3" w:rsidRPr="00EF5569">
              <w:rPr>
                <w:rFonts w:ascii="Cambria" w:hAnsi="Cambria"/>
                <w:sz w:val="20"/>
                <w:szCs w:val="20"/>
                <w:lang w:val="es-ES"/>
              </w:rPr>
              <w:t>tada a 75 años de prisión con trabajos forzados.</w:t>
            </w:r>
          </w:p>
          <w:p w14:paraId="0F6AACE4" w14:textId="717DCC48" w:rsidR="0071717C" w:rsidRPr="00EF5569" w:rsidRDefault="00D074D3" w:rsidP="002059F8">
            <w:pPr>
              <w:pStyle w:val="Default"/>
              <w:jc w:val="both"/>
              <w:rPr>
                <w:lang w:val="es-ES"/>
              </w:rPr>
            </w:pPr>
            <w:r w:rsidRPr="00EF5569">
              <w:rPr>
                <w:b/>
                <w:sz w:val="20"/>
                <w:szCs w:val="20"/>
                <w:lang w:val="es-ES"/>
              </w:rPr>
              <w:t>Derechos violados:</w:t>
            </w:r>
            <w:r w:rsidR="0071717C" w:rsidRPr="00EF5569">
              <w:rPr>
                <w:b/>
                <w:sz w:val="20"/>
                <w:szCs w:val="20"/>
                <w:lang w:val="es-ES"/>
              </w:rPr>
              <w:t xml:space="preserve"> </w:t>
            </w:r>
            <w:r w:rsidR="002059F8" w:rsidRPr="00EF5569">
              <w:rPr>
                <w:sz w:val="20"/>
                <w:szCs w:val="20"/>
                <w:lang w:val="es-ES"/>
              </w:rPr>
              <w:t>La Comisión Interamericana concluyó que Trinidad y Tobago es responsable de la violación de los derechos del señor Lendore, protegidos por los artículos 8(1) y 8(2) de la Convención Americana, en conjunción con la violación del artículo 1(1) del mismo instrumento internacional, debido a que no se le proveyó de asistencia legal competente y efectiva durante un procedimiento criminal; y que el Estado es asimismo responsable por la violación de los derechos del señor Lendore protegidos por los artículos 25 y 8 de la Convención Americana, en conjunción con la violación del artículo 1(1) de la Convención Americana, así como también la violación de los artículos XVIII y XXVI de la Declaración Americana, por no otorgar al Señor acceso efectivo a una Moción Constitucional para la protección de sus derechos fundamentales.</w:t>
            </w:r>
          </w:p>
        </w:tc>
      </w:tr>
    </w:tbl>
    <w:p w14:paraId="225CB6A7" w14:textId="77777777" w:rsidR="0071717C" w:rsidRPr="00EF5569" w:rsidRDefault="0071717C" w:rsidP="0071717C">
      <w:pPr>
        <w:spacing w:after="0" w:line="240" w:lineRule="auto"/>
        <w:ind w:left="180"/>
        <w:jc w:val="both"/>
        <w:rPr>
          <w:rFonts w:ascii="Cambria" w:hAnsi="Cambria"/>
          <w:sz w:val="20"/>
          <w:szCs w:val="20"/>
          <w:lang w:val="es-ES"/>
        </w:rPr>
      </w:pPr>
    </w:p>
    <w:p w14:paraId="59D7EF4C" w14:textId="4119903E" w:rsidR="0071717C" w:rsidRPr="00EF5569" w:rsidRDefault="00586C9D" w:rsidP="00E306C6">
      <w:pPr>
        <w:numPr>
          <w:ilvl w:val="0"/>
          <w:numId w:val="6"/>
        </w:numPr>
        <w:spacing w:after="0" w:line="240" w:lineRule="auto"/>
        <w:ind w:left="1440"/>
        <w:jc w:val="both"/>
        <w:rPr>
          <w:rFonts w:ascii="Cambria" w:hAnsi="Cambria" w:cs="Calibri Light"/>
          <w:b/>
          <w:sz w:val="20"/>
          <w:szCs w:val="20"/>
          <w:lang w:val="es-ES"/>
        </w:rPr>
      </w:pPr>
      <w:r w:rsidRPr="00EF5569">
        <w:rPr>
          <w:rFonts w:ascii="Cambria" w:hAnsi="Cambria" w:cs="Calibri Light"/>
          <w:b/>
          <w:color w:val="000000"/>
          <w:sz w:val="20"/>
          <w:szCs w:val="20"/>
          <w:lang w:val="es-ES"/>
        </w:rPr>
        <w:t>Recomendaciones</w:t>
      </w:r>
    </w:p>
    <w:p w14:paraId="4C040D27" w14:textId="77777777" w:rsidR="0071717C" w:rsidRPr="00EF5569" w:rsidRDefault="0071717C" w:rsidP="0071717C">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586C9D" w:rsidRPr="00CA5848" w14:paraId="60C69CEC" w14:textId="77777777" w:rsidTr="00586C9D">
        <w:tc>
          <w:tcPr>
            <w:tcW w:w="7020" w:type="dxa"/>
            <w:tcBorders>
              <w:top w:val="single" w:sz="4" w:space="0" w:color="auto"/>
              <w:left w:val="single" w:sz="4" w:space="0" w:color="auto"/>
              <w:bottom w:val="single" w:sz="4" w:space="0" w:color="auto"/>
              <w:right w:val="single" w:sz="4" w:space="0" w:color="auto"/>
            </w:tcBorders>
            <w:hideMark/>
          </w:tcPr>
          <w:p w14:paraId="52796324" w14:textId="489AA7B9" w:rsidR="00586C9D" w:rsidRPr="00EF5569" w:rsidRDefault="00586C9D" w:rsidP="009E11CF">
            <w:pPr>
              <w:spacing w:before="120" w:after="0" w:line="240" w:lineRule="auto"/>
              <w:jc w:val="center"/>
              <w:rPr>
                <w:rFonts w:ascii="Cambria" w:hAnsi="Cambria" w:cs="Calibri Light"/>
                <w:b/>
                <w:sz w:val="18"/>
                <w:szCs w:val="18"/>
                <w:lang w:val="es-ES"/>
              </w:rPr>
            </w:pPr>
            <w:r w:rsidRPr="00EF5569">
              <w:rPr>
                <w:rFonts w:ascii="Cambria" w:hAnsi="Cambria" w:cs="Calibri Light"/>
                <w:b/>
                <w:sz w:val="18"/>
                <w:szCs w:val="18"/>
                <w:lang w:val="es-ES"/>
              </w:rPr>
              <w:t>Recomendaciones</w:t>
            </w:r>
          </w:p>
        </w:tc>
        <w:tc>
          <w:tcPr>
            <w:tcW w:w="2520" w:type="dxa"/>
            <w:tcBorders>
              <w:top w:val="single" w:sz="4" w:space="0" w:color="auto"/>
              <w:left w:val="single" w:sz="4" w:space="0" w:color="auto"/>
              <w:bottom w:val="single" w:sz="4" w:space="0" w:color="auto"/>
              <w:right w:val="single" w:sz="4" w:space="0" w:color="auto"/>
            </w:tcBorders>
            <w:hideMark/>
          </w:tcPr>
          <w:p w14:paraId="15DD2AFB" w14:textId="43EC1FD6" w:rsidR="00586C9D" w:rsidRPr="00EF5569" w:rsidRDefault="00586C9D" w:rsidP="00586C9D">
            <w:pPr>
              <w:spacing w:after="0" w:line="240" w:lineRule="auto"/>
              <w:jc w:val="center"/>
              <w:rPr>
                <w:rFonts w:ascii="Cambria" w:hAnsi="Cambria" w:cs="Calibri Light"/>
                <w:b/>
                <w:sz w:val="18"/>
                <w:szCs w:val="18"/>
                <w:lang w:val="es-ES"/>
              </w:rPr>
            </w:pPr>
            <w:r w:rsidRPr="00EF5569">
              <w:rPr>
                <w:rFonts w:ascii="Cambria" w:hAnsi="Cambria" w:cs="Calibri Light"/>
                <w:b/>
                <w:color w:val="000000"/>
                <w:sz w:val="18"/>
                <w:szCs w:val="18"/>
                <w:lang w:val="es-ES"/>
              </w:rPr>
              <w:t>Estado de cumplimiento en el 2018</w:t>
            </w:r>
          </w:p>
        </w:tc>
      </w:tr>
      <w:tr w:rsidR="0071717C" w:rsidRPr="00EF5569" w14:paraId="6DC40CAD" w14:textId="77777777" w:rsidTr="00586C9D">
        <w:tc>
          <w:tcPr>
            <w:tcW w:w="7020" w:type="dxa"/>
            <w:tcBorders>
              <w:top w:val="single" w:sz="4" w:space="0" w:color="auto"/>
              <w:left w:val="single" w:sz="4" w:space="0" w:color="auto"/>
              <w:bottom w:val="single" w:sz="4" w:space="0" w:color="auto"/>
              <w:right w:val="single" w:sz="4" w:space="0" w:color="auto"/>
            </w:tcBorders>
            <w:hideMark/>
          </w:tcPr>
          <w:p w14:paraId="3E7EFD59" w14:textId="551C9A0C" w:rsidR="0071717C" w:rsidRPr="00EF5569" w:rsidRDefault="00385239" w:rsidP="00385239">
            <w:pPr>
              <w:spacing w:after="0" w:line="240" w:lineRule="auto"/>
              <w:jc w:val="both"/>
              <w:rPr>
                <w:rFonts w:ascii="Cambria" w:hAnsi="Cambria" w:cs="Calibri Light"/>
                <w:sz w:val="18"/>
                <w:szCs w:val="18"/>
                <w:lang w:val="es-ES"/>
              </w:rPr>
            </w:pPr>
            <w:r w:rsidRPr="00EF5569">
              <w:rPr>
                <w:rFonts w:ascii="Cambria" w:hAnsi="Cambria"/>
                <w:sz w:val="18"/>
                <w:szCs w:val="18"/>
                <w:lang w:val="es-ES"/>
              </w:rPr>
              <w:t xml:space="preserve">1. </w:t>
            </w:r>
            <w:r w:rsidR="009E11CF" w:rsidRPr="00EF5569">
              <w:rPr>
                <w:rFonts w:ascii="Cambria" w:hAnsi="Cambria"/>
                <w:color w:val="000000"/>
                <w:sz w:val="18"/>
                <w:szCs w:val="18"/>
                <w:lang w:val="es-ES"/>
              </w:rPr>
              <w:t>Conceder al señor Lendore un recurso efectivo, que incluya un nuevo juicio conforme a los mecanismos de protección del debido proceso preceptuados por el artículo 8 de la Convención Americana, o bien, si no es posible llevar a cabo un nuevo juicio en cumplimiento de esos mecanismos de protección, la liberación y el pago de una indemnización al señor Lendore</w:t>
            </w:r>
            <w:r w:rsidR="0071717C" w:rsidRPr="00EF5569">
              <w:rPr>
                <w:rFonts w:ascii="Cambria" w:hAnsi="Cambria"/>
                <w:sz w:val="18"/>
                <w:szCs w:val="18"/>
                <w:lang w:val="es-ES"/>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8CA2396" w14:textId="02BC4A92" w:rsidR="0071717C" w:rsidRPr="00EF5569" w:rsidRDefault="009E11CF" w:rsidP="00385239">
            <w:pPr>
              <w:spacing w:after="0" w:line="240" w:lineRule="auto"/>
              <w:jc w:val="center"/>
              <w:rPr>
                <w:rFonts w:ascii="Cambria" w:hAnsi="Cambria" w:cs="Calibri Light"/>
                <w:b/>
                <w:sz w:val="18"/>
                <w:szCs w:val="18"/>
                <w:highlight w:val="yellow"/>
                <w:lang w:val="es-ES"/>
              </w:rPr>
            </w:pPr>
            <w:r w:rsidRPr="00EF5569">
              <w:rPr>
                <w:rFonts w:ascii="Cambria" w:hAnsi="Cambria"/>
                <w:sz w:val="18"/>
                <w:szCs w:val="18"/>
                <w:lang w:val="es-ES"/>
              </w:rPr>
              <w:t>Pendiente de cumplimiento</w:t>
            </w:r>
          </w:p>
        </w:tc>
      </w:tr>
      <w:tr w:rsidR="0071717C" w:rsidRPr="00EF5569" w14:paraId="225FE6BD" w14:textId="77777777" w:rsidTr="00586C9D">
        <w:tc>
          <w:tcPr>
            <w:tcW w:w="7020" w:type="dxa"/>
            <w:tcBorders>
              <w:top w:val="single" w:sz="4" w:space="0" w:color="auto"/>
              <w:left w:val="single" w:sz="4" w:space="0" w:color="auto"/>
              <w:bottom w:val="single" w:sz="4" w:space="0" w:color="auto"/>
              <w:right w:val="single" w:sz="4" w:space="0" w:color="auto"/>
            </w:tcBorders>
          </w:tcPr>
          <w:p w14:paraId="1F7DA5A5" w14:textId="777856DA" w:rsidR="0071717C" w:rsidRPr="00EF5569" w:rsidRDefault="00385239" w:rsidP="00A52273">
            <w:pPr>
              <w:spacing w:after="0" w:line="240" w:lineRule="auto"/>
              <w:ind w:right="-14"/>
              <w:jc w:val="both"/>
              <w:rPr>
                <w:rFonts w:ascii="Cambria" w:hAnsi="Cambria"/>
                <w:sz w:val="18"/>
                <w:szCs w:val="18"/>
                <w:lang w:val="es-ES"/>
              </w:rPr>
            </w:pPr>
            <w:r w:rsidRPr="00EF5569">
              <w:rPr>
                <w:rFonts w:ascii="Cambria" w:hAnsi="Cambria"/>
                <w:sz w:val="18"/>
                <w:szCs w:val="18"/>
                <w:lang w:val="es-ES"/>
              </w:rPr>
              <w:t xml:space="preserve">2. </w:t>
            </w:r>
            <w:r w:rsidR="009E11CF" w:rsidRPr="00EF5569">
              <w:rPr>
                <w:rFonts w:ascii="Cambria" w:hAnsi="Cambria"/>
                <w:color w:val="000000"/>
                <w:sz w:val="18"/>
                <w:szCs w:val="18"/>
                <w:lang w:val="es-ES"/>
              </w:rPr>
              <w:t>Adoptar las medidas legislativas o de otro género que sean necesarias para garantizar al señor Lendore condiciones de detención congruentes con las normas internacionales de tratamiento humano previstas por el artículo 5 de la Convención Americana, los artículos XXV y XXVI de la Declaración Americana y otros instrumentos pertinentes, incluido el traslado del señor Lendore del pabellón de la muerte</w:t>
            </w:r>
            <w:r w:rsidR="0071717C" w:rsidRPr="00EF5569">
              <w:rPr>
                <w:rFonts w:ascii="Cambria" w:hAnsi="Cambria"/>
                <w:sz w:val="18"/>
                <w:szCs w:val="18"/>
                <w:lang w:val="es-ES"/>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2487FE9" w14:textId="0FEE6CDD" w:rsidR="0071717C" w:rsidRPr="00EF5569" w:rsidRDefault="009E11CF" w:rsidP="00385239">
            <w:pPr>
              <w:spacing w:after="0" w:line="240" w:lineRule="auto"/>
              <w:jc w:val="center"/>
              <w:rPr>
                <w:rFonts w:ascii="Cambria" w:hAnsi="Cambria" w:cs="Calibri Light"/>
                <w:b/>
                <w:sz w:val="18"/>
                <w:szCs w:val="18"/>
                <w:highlight w:val="yellow"/>
                <w:lang w:val="es-ES"/>
              </w:rPr>
            </w:pPr>
            <w:r w:rsidRPr="00EF5569">
              <w:rPr>
                <w:rFonts w:ascii="Cambria" w:hAnsi="Cambria"/>
                <w:sz w:val="18"/>
                <w:szCs w:val="18"/>
                <w:lang w:val="es-ES"/>
              </w:rPr>
              <w:t>Pendiente de cumplimiento</w:t>
            </w:r>
          </w:p>
        </w:tc>
      </w:tr>
      <w:tr w:rsidR="0071717C" w:rsidRPr="00EF5569" w14:paraId="691E7EFE" w14:textId="77777777" w:rsidTr="00586C9D">
        <w:tc>
          <w:tcPr>
            <w:tcW w:w="7020" w:type="dxa"/>
            <w:tcBorders>
              <w:top w:val="single" w:sz="4" w:space="0" w:color="auto"/>
              <w:left w:val="single" w:sz="4" w:space="0" w:color="auto"/>
              <w:bottom w:val="single" w:sz="4" w:space="0" w:color="auto"/>
              <w:right w:val="single" w:sz="4" w:space="0" w:color="auto"/>
            </w:tcBorders>
          </w:tcPr>
          <w:p w14:paraId="54239303" w14:textId="04099EDC" w:rsidR="0071717C" w:rsidRPr="00EF5569" w:rsidRDefault="00385239" w:rsidP="00385239">
            <w:pPr>
              <w:spacing w:after="0" w:line="240" w:lineRule="auto"/>
              <w:jc w:val="both"/>
              <w:rPr>
                <w:rFonts w:ascii="Cambria" w:hAnsi="Cambria"/>
                <w:sz w:val="18"/>
                <w:szCs w:val="18"/>
                <w:lang w:val="es-ES"/>
              </w:rPr>
            </w:pPr>
            <w:r w:rsidRPr="00EF5569">
              <w:rPr>
                <w:rFonts w:ascii="Cambria" w:hAnsi="Cambria"/>
                <w:sz w:val="18"/>
                <w:szCs w:val="18"/>
                <w:lang w:val="es-ES"/>
              </w:rPr>
              <w:t xml:space="preserve">3. </w:t>
            </w:r>
            <w:r w:rsidR="009E11CF" w:rsidRPr="00EF5569">
              <w:rPr>
                <w:rFonts w:ascii="Cambria" w:hAnsi="Cambria"/>
                <w:color w:val="000000"/>
                <w:sz w:val="18"/>
                <w:szCs w:val="18"/>
                <w:lang w:val="es-ES"/>
              </w:rPr>
              <w:t>Adoptar las medidas legislativas o de otro género que sean necesarias para garantizar la observancia efectiva, en Trinidad y Tobago, del derecho a la protección judicial previsto por los artículos XVIII y XXVI de la Declaración Americana, en relación con la posibilidad de promover Mociones Constitucionales</w:t>
            </w:r>
            <w:r w:rsidR="0071717C" w:rsidRPr="00EF5569">
              <w:rPr>
                <w:rFonts w:ascii="Cambria" w:hAnsi="Cambria"/>
                <w:sz w:val="18"/>
                <w:szCs w:val="18"/>
                <w:lang w:val="es-ES"/>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3CBB653" w14:textId="3A393A10" w:rsidR="0071717C" w:rsidRPr="00EF5569" w:rsidRDefault="009E11CF" w:rsidP="00385239">
            <w:pPr>
              <w:spacing w:after="0" w:line="240" w:lineRule="auto"/>
              <w:jc w:val="center"/>
              <w:rPr>
                <w:rFonts w:ascii="Cambria" w:hAnsi="Cambria" w:cs="Calibri Light"/>
                <w:b/>
                <w:sz w:val="18"/>
                <w:szCs w:val="18"/>
                <w:highlight w:val="yellow"/>
                <w:lang w:val="es-ES"/>
              </w:rPr>
            </w:pPr>
            <w:r w:rsidRPr="00EF5569">
              <w:rPr>
                <w:rFonts w:ascii="Cambria" w:hAnsi="Cambria"/>
                <w:sz w:val="18"/>
                <w:szCs w:val="18"/>
                <w:lang w:val="es-ES"/>
              </w:rPr>
              <w:t>Pendiente de cumplimiento</w:t>
            </w:r>
          </w:p>
        </w:tc>
      </w:tr>
    </w:tbl>
    <w:p w14:paraId="51FAC564" w14:textId="77777777" w:rsidR="0071717C" w:rsidRPr="00EF5569" w:rsidRDefault="0071717C" w:rsidP="0071717C">
      <w:pPr>
        <w:spacing w:after="0" w:line="240" w:lineRule="auto"/>
        <w:jc w:val="both"/>
        <w:rPr>
          <w:rFonts w:ascii="Cambria" w:hAnsi="Cambria" w:cs="Calibri Light"/>
          <w:sz w:val="20"/>
          <w:szCs w:val="20"/>
          <w:lang w:val="es-ES"/>
        </w:rPr>
      </w:pPr>
    </w:p>
    <w:p w14:paraId="1C73757B" w14:textId="2865BC1C" w:rsidR="0071717C" w:rsidRPr="00EF5569" w:rsidRDefault="00586C9D" w:rsidP="00E306C6">
      <w:pPr>
        <w:pStyle w:val="ListParagraph"/>
        <w:numPr>
          <w:ilvl w:val="0"/>
          <w:numId w:val="6"/>
        </w:numPr>
        <w:spacing w:after="0" w:line="240" w:lineRule="auto"/>
        <w:ind w:left="1440"/>
        <w:jc w:val="both"/>
        <w:rPr>
          <w:rFonts w:ascii="Cambria" w:hAnsi="Cambria" w:cs="Calibri Light"/>
          <w:b/>
          <w:sz w:val="20"/>
          <w:szCs w:val="20"/>
          <w:lang w:val="es-ES"/>
        </w:rPr>
      </w:pPr>
      <w:r w:rsidRPr="00EF5569">
        <w:rPr>
          <w:rFonts w:ascii="Cambria" w:hAnsi="Cambria"/>
          <w:b/>
          <w:color w:val="000000"/>
          <w:sz w:val="20"/>
          <w:szCs w:val="20"/>
          <w:lang w:val="es-ES"/>
        </w:rPr>
        <w:t>Actividad Procesal</w:t>
      </w:r>
      <w:r w:rsidR="0071717C" w:rsidRPr="00EF5569">
        <w:rPr>
          <w:rFonts w:ascii="Cambria" w:hAnsi="Cambria"/>
          <w:b/>
          <w:sz w:val="20"/>
          <w:szCs w:val="20"/>
          <w:lang w:val="es-ES"/>
        </w:rPr>
        <w:t xml:space="preserve"> </w:t>
      </w:r>
    </w:p>
    <w:p w14:paraId="54C21F0D" w14:textId="77777777" w:rsidR="002E30F3" w:rsidRPr="00EF5569" w:rsidRDefault="002E30F3" w:rsidP="002E30F3">
      <w:pPr>
        <w:pStyle w:val="ListParagraph"/>
        <w:spacing w:after="0" w:line="240" w:lineRule="auto"/>
        <w:ind w:left="1077"/>
        <w:jc w:val="both"/>
        <w:rPr>
          <w:rFonts w:ascii="Cambria" w:hAnsi="Cambria" w:cs="Calibri Light"/>
          <w:sz w:val="20"/>
          <w:szCs w:val="20"/>
          <w:lang w:val="es-ES"/>
        </w:rPr>
      </w:pPr>
    </w:p>
    <w:p w14:paraId="5DBFEB81" w14:textId="2628CB9E" w:rsidR="002E30F3" w:rsidRPr="00EF5569" w:rsidRDefault="0023154D" w:rsidP="00385239">
      <w:pPr>
        <w:pStyle w:val="ListParagraph"/>
        <w:numPr>
          <w:ilvl w:val="0"/>
          <w:numId w:val="14"/>
        </w:numPr>
        <w:spacing w:after="0" w:line="240" w:lineRule="auto"/>
        <w:ind w:left="0" w:firstLine="709"/>
        <w:jc w:val="both"/>
        <w:rPr>
          <w:rFonts w:ascii="Cambria" w:hAnsi="Cambria" w:cs="Calibri Light"/>
          <w:sz w:val="20"/>
          <w:szCs w:val="20"/>
          <w:lang w:val="es-ES"/>
        </w:rPr>
      </w:pPr>
      <w:r w:rsidRPr="00EF5569">
        <w:rPr>
          <w:rFonts w:ascii="Cambria" w:hAnsi="Cambria" w:cs="Calibri Light"/>
          <w:sz w:val="20"/>
          <w:szCs w:val="20"/>
          <w:lang w:val="es-ES"/>
        </w:rPr>
        <w:t xml:space="preserve">En 2018, </w:t>
      </w:r>
      <w:r w:rsidRPr="00EF5569">
        <w:rPr>
          <w:rFonts w:ascii="Cambria" w:hAnsi="Cambria" w:cs="Calibri Light"/>
          <w:color w:val="000000"/>
          <w:sz w:val="20"/>
          <w:szCs w:val="20"/>
          <w:lang w:val="es-ES"/>
        </w:rPr>
        <w:t>la CIDH solicitó información actualizada sobre el cumplimiento al Estado el 25 de julio</w:t>
      </w:r>
      <w:r w:rsidR="002E30F3" w:rsidRPr="00EF5569">
        <w:rPr>
          <w:rFonts w:ascii="Cambria" w:hAnsi="Cambria" w:cs="Calibri Light"/>
          <w:sz w:val="20"/>
          <w:szCs w:val="20"/>
          <w:lang w:val="es-ES"/>
        </w:rPr>
        <w:t xml:space="preserve">. </w:t>
      </w:r>
      <w:r w:rsidRPr="00EF5569">
        <w:rPr>
          <w:rFonts w:ascii="Cambria" w:hAnsi="Cambria"/>
          <w:color w:val="000000"/>
          <w:sz w:val="20"/>
          <w:szCs w:val="20"/>
          <w:lang w:val="es-ES"/>
        </w:rPr>
        <w:t>A la fecha de cierre de este informe, la Comisión no había recibido dicha información del Estado</w:t>
      </w:r>
      <w:r w:rsidR="002E30F3" w:rsidRPr="00EF5569">
        <w:rPr>
          <w:rFonts w:ascii="Cambria" w:hAnsi="Cambria" w:cs="Calibri Light"/>
          <w:sz w:val="20"/>
          <w:szCs w:val="20"/>
          <w:lang w:val="es-ES"/>
        </w:rPr>
        <w:t xml:space="preserve">. </w:t>
      </w:r>
    </w:p>
    <w:p w14:paraId="6C1CD319" w14:textId="26BA9E1D" w:rsidR="002E30F3" w:rsidRPr="00EF5569" w:rsidRDefault="002E30F3" w:rsidP="002E30F3">
      <w:pPr>
        <w:pStyle w:val="ListParagraph"/>
        <w:spacing w:after="0" w:line="240" w:lineRule="auto"/>
        <w:ind w:left="709"/>
        <w:jc w:val="both"/>
        <w:rPr>
          <w:rFonts w:ascii="Cambria" w:hAnsi="Cambria" w:cs="Calibri Light"/>
          <w:sz w:val="20"/>
          <w:szCs w:val="20"/>
          <w:lang w:val="es-ES"/>
        </w:rPr>
      </w:pPr>
      <w:r w:rsidRPr="00EF5569">
        <w:rPr>
          <w:rFonts w:ascii="Cambria" w:hAnsi="Cambria" w:cs="Calibri Light"/>
          <w:sz w:val="20"/>
          <w:szCs w:val="20"/>
          <w:lang w:val="es-ES"/>
        </w:rPr>
        <w:t xml:space="preserve"> </w:t>
      </w:r>
    </w:p>
    <w:p w14:paraId="76394DC0" w14:textId="63C0FA81" w:rsidR="0071717C" w:rsidRPr="00EF5569" w:rsidRDefault="0023154D" w:rsidP="002E30F3">
      <w:pPr>
        <w:pStyle w:val="ListParagraph"/>
        <w:numPr>
          <w:ilvl w:val="0"/>
          <w:numId w:val="14"/>
        </w:numPr>
        <w:spacing w:after="0" w:line="240" w:lineRule="auto"/>
        <w:ind w:left="0" w:firstLine="709"/>
        <w:jc w:val="both"/>
        <w:rPr>
          <w:rFonts w:ascii="Cambria" w:hAnsi="Cambria" w:cs="Calibri Light"/>
          <w:sz w:val="20"/>
          <w:szCs w:val="20"/>
          <w:lang w:val="es-ES"/>
        </w:rPr>
      </w:pPr>
      <w:r w:rsidRPr="00EF5569">
        <w:rPr>
          <w:rFonts w:ascii="Cambria" w:hAnsi="Cambria" w:cs="Calibri Light"/>
          <w:color w:val="000000"/>
          <w:sz w:val="20"/>
          <w:szCs w:val="20"/>
          <w:lang w:val="es-ES"/>
        </w:rPr>
        <w:t>La CIDH solicitó a los peticionarios información actualizada sobre el cumplimiento el 11 de septiembre de 2018</w:t>
      </w:r>
      <w:r w:rsidR="00A6625D" w:rsidRPr="00EF5569">
        <w:rPr>
          <w:rFonts w:ascii="Cambria" w:hAnsi="Cambria" w:cs="Calibri Light"/>
          <w:sz w:val="20"/>
          <w:szCs w:val="20"/>
          <w:lang w:val="es-ES"/>
        </w:rPr>
        <w:t>,</w:t>
      </w:r>
      <w:r w:rsidR="002E30F3" w:rsidRPr="00EF5569">
        <w:rPr>
          <w:rFonts w:ascii="Cambria" w:hAnsi="Cambria" w:cs="Calibri Light"/>
          <w:sz w:val="20"/>
          <w:szCs w:val="20"/>
          <w:lang w:val="es-ES"/>
        </w:rPr>
        <w:t xml:space="preserve"> </w:t>
      </w:r>
      <w:r w:rsidRPr="00EF5569">
        <w:rPr>
          <w:rFonts w:ascii="Cambria" w:hAnsi="Cambria" w:cs="Calibri Light"/>
          <w:sz w:val="20"/>
          <w:szCs w:val="20"/>
          <w:lang w:val="es-ES"/>
        </w:rPr>
        <w:t>y los peticionarios presentaron dicha información el 3 de octubre de 2018.</w:t>
      </w:r>
    </w:p>
    <w:p w14:paraId="0F68AE2C" w14:textId="255A9469" w:rsidR="0071717C" w:rsidRPr="00EF5569" w:rsidRDefault="00586C9D" w:rsidP="00172180">
      <w:pPr>
        <w:pStyle w:val="ListParagraph"/>
        <w:numPr>
          <w:ilvl w:val="0"/>
          <w:numId w:val="6"/>
        </w:numPr>
        <w:spacing w:after="0" w:line="240" w:lineRule="auto"/>
        <w:ind w:left="1440"/>
        <w:jc w:val="both"/>
        <w:rPr>
          <w:rFonts w:ascii="Cambria" w:hAnsi="Cambria" w:cs="Calibri Light"/>
          <w:b/>
          <w:sz w:val="20"/>
          <w:szCs w:val="20"/>
          <w:lang w:val="es-ES"/>
        </w:rPr>
      </w:pPr>
      <w:r w:rsidRPr="00EF5569">
        <w:rPr>
          <w:rFonts w:ascii="Cambria" w:hAnsi="Cambria" w:cs="Calibri Light"/>
          <w:b/>
          <w:color w:val="000000"/>
          <w:sz w:val="20"/>
          <w:szCs w:val="20"/>
          <w:lang w:val="es-ES"/>
        </w:rPr>
        <w:lastRenderedPageBreak/>
        <w:t xml:space="preserve">Análisis relativo a </w:t>
      </w:r>
      <w:r w:rsidR="00FE764A" w:rsidRPr="00EF5569">
        <w:rPr>
          <w:rFonts w:ascii="Cambria" w:hAnsi="Cambria" w:cs="Calibri Light"/>
          <w:b/>
          <w:color w:val="000000" w:themeColor="text1"/>
          <w:sz w:val="20"/>
          <w:szCs w:val="20"/>
          <w:lang w:val="es-ES"/>
        </w:rPr>
        <w:t xml:space="preserve">la </w:t>
      </w:r>
      <w:r w:rsidRPr="00EF5569">
        <w:rPr>
          <w:rFonts w:ascii="Cambria" w:hAnsi="Cambria" w:cs="Calibri Light"/>
          <w:b/>
          <w:color w:val="000000"/>
          <w:sz w:val="20"/>
          <w:szCs w:val="20"/>
          <w:lang w:val="es-ES"/>
        </w:rPr>
        <w:t>información proporcionada</w:t>
      </w:r>
      <w:r w:rsidR="0071717C" w:rsidRPr="00EF5569">
        <w:rPr>
          <w:rFonts w:ascii="Cambria" w:hAnsi="Cambria" w:cs="Calibri Light"/>
          <w:b/>
          <w:sz w:val="20"/>
          <w:szCs w:val="20"/>
          <w:lang w:val="es-ES"/>
        </w:rPr>
        <w:t xml:space="preserve"> </w:t>
      </w:r>
    </w:p>
    <w:p w14:paraId="3DEE855B" w14:textId="77777777" w:rsidR="0071717C" w:rsidRPr="00EF5569" w:rsidRDefault="0071717C" w:rsidP="0071717C">
      <w:pPr>
        <w:spacing w:after="0" w:line="240" w:lineRule="auto"/>
        <w:jc w:val="both"/>
        <w:rPr>
          <w:rFonts w:ascii="Cambria" w:hAnsi="Cambria" w:cs="Calibri Light"/>
          <w:sz w:val="20"/>
          <w:szCs w:val="20"/>
          <w:lang w:val="es-ES"/>
        </w:rPr>
      </w:pPr>
    </w:p>
    <w:p w14:paraId="027ED6D1" w14:textId="53FE4761" w:rsidR="00385239" w:rsidRPr="00EF5569" w:rsidRDefault="004046D4" w:rsidP="00385239">
      <w:pPr>
        <w:pStyle w:val="ListParagraph"/>
        <w:numPr>
          <w:ilvl w:val="0"/>
          <w:numId w:val="14"/>
        </w:numPr>
        <w:spacing w:after="0" w:line="240" w:lineRule="auto"/>
        <w:ind w:left="0" w:firstLine="709"/>
        <w:jc w:val="both"/>
        <w:rPr>
          <w:rFonts w:ascii="Cambria" w:hAnsi="Cambria" w:cs="Calibri Light"/>
          <w:sz w:val="20"/>
          <w:szCs w:val="20"/>
          <w:lang w:val="es-ES"/>
        </w:rPr>
      </w:pPr>
      <w:r w:rsidRPr="00EF5569">
        <w:rPr>
          <w:rFonts w:ascii="Cambria" w:hAnsi="Cambria" w:cs="Arial"/>
          <w:color w:val="000000"/>
          <w:sz w:val="20"/>
          <w:szCs w:val="20"/>
          <w:lang w:val="es-ES"/>
        </w:rPr>
        <w:t>En 2018, el Estado no proporcionó información en respuesta a la solicitud de la Comisión de información actualizada sobre el cumplimiento</w:t>
      </w:r>
      <w:r w:rsidR="00385239" w:rsidRPr="00EF5569">
        <w:rPr>
          <w:rFonts w:ascii="Cambria" w:hAnsi="Cambria" w:cs="Calibri Light"/>
          <w:sz w:val="20"/>
          <w:szCs w:val="20"/>
          <w:lang w:val="es-ES"/>
        </w:rPr>
        <w:t xml:space="preserve">. </w:t>
      </w:r>
      <w:r w:rsidR="000709C1" w:rsidRPr="00EF5569">
        <w:rPr>
          <w:rFonts w:ascii="Cambria" w:hAnsi="Cambria" w:cs="Calibri Light"/>
          <w:sz w:val="20"/>
          <w:szCs w:val="20"/>
          <w:lang w:val="es-ES"/>
        </w:rPr>
        <w:t xml:space="preserve">La Comisión observa con </w:t>
      </w:r>
      <w:r w:rsidR="002F509B" w:rsidRPr="00EF5569">
        <w:rPr>
          <w:rFonts w:ascii="Cambria" w:hAnsi="Cambria" w:cs="Calibri Light"/>
          <w:sz w:val="20"/>
          <w:szCs w:val="20"/>
          <w:lang w:val="es-ES"/>
        </w:rPr>
        <w:t>preocupación</w:t>
      </w:r>
      <w:r w:rsidR="000709C1" w:rsidRPr="00EF5569">
        <w:rPr>
          <w:rFonts w:ascii="Cambria" w:hAnsi="Cambria" w:cs="Calibri Light"/>
          <w:sz w:val="20"/>
          <w:szCs w:val="20"/>
          <w:lang w:val="es-ES"/>
        </w:rPr>
        <w:t xml:space="preserve"> que el Estado de Trinidad y </w:t>
      </w:r>
      <w:r w:rsidR="002F509B" w:rsidRPr="00EF5569">
        <w:rPr>
          <w:rFonts w:ascii="Cambria" w:hAnsi="Cambria" w:cs="Calibri Light"/>
          <w:sz w:val="20"/>
          <w:szCs w:val="20"/>
          <w:lang w:val="es-ES"/>
        </w:rPr>
        <w:t>Tobago</w:t>
      </w:r>
      <w:r w:rsidR="000709C1" w:rsidRPr="00EF5569">
        <w:rPr>
          <w:rFonts w:ascii="Cambria" w:hAnsi="Cambria" w:cs="Calibri Light"/>
          <w:sz w:val="20"/>
          <w:szCs w:val="20"/>
          <w:lang w:val="es-ES"/>
        </w:rPr>
        <w:t xml:space="preserve"> nunca le haya presentado información sobre las medidas adoptadas para implementar las recomendaciones incluidas en el Informe de Fondo </w:t>
      </w:r>
      <w:r w:rsidR="000709C1" w:rsidRPr="00EF5569">
        <w:rPr>
          <w:rFonts w:ascii="Cambria" w:hAnsi="Cambria"/>
          <w:color w:val="000000"/>
          <w:sz w:val="20"/>
          <w:szCs w:val="20"/>
          <w:lang w:val="es-ES"/>
        </w:rPr>
        <w:t>Nº</w:t>
      </w:r>
      <w:r w:rsidR="000709C1" w:rsidRPr="00EF5569">
        <w:rPr>
          <w:rFonts w:ascii="Cambria" w:hAnsi="Cambria" w:cs="Calibri Light"/>
          <w:sz w:val="20"/>
          <w:szCs w:val="20"/>
          <w:lang w:val="es-ES"/>
        </w:rPr>
        <w:t xml:space="preserve"> 28/09.</w:t>
      </w:r>
    </w:p>
    <w:p w14:paraId="5703D2D6" w14:textId="77777777" w:rsidR="00385239" w:rsidRPr="00EF5569" w:rsidRDefault="00385239" w:rsidP="00385239">
      <w:pPr>
        <w:spacing w:after="0" w:line="240" w:lineRule="auto"/>
        <w:ind w:firstLine="709"/>
        <w:jc w:val="both"/>
        <w:rPr>
          <w:rFonts w:ascii="Cambria" w:hAnsi="Cambria" w:cs="Calibri Light"/>
          <w:sz w:val="20"/>
          <w:szCs w:val="20"/>
          <w:lang w:val="es-ES"/>
        </w:rPr>
      </w:pPr>
    </w:p>
    <w:p w14:paraId="089A481E" w14:textId="2722814C" w:rsidR="002E30F3" w:rsidRPr="00EF5569" w:rsidRDefault="002F509B" w:rsidP="00385239">
      <w:pPr>
        <w:numPr>
          <w:ilvl w:val="0"/>
          <w:numId w:val="14"/>
        </w:numPr>
        <w:spacing w:after="0" w:line="240" w:lineRule="auto"/>
        <w:ind w:left="0" w:firstLine="709"/>
        <w:jc w:val="both"/>
        <w:rPr>
          <w:rFonts w:ascii="Cambria" w:hAnsi="Cambria" w:cs="Calibri Light"/>
          <w:sz w:val="20"/>
          <w:szCs w:val="20"/>
          <w:lang w:val="es-ES"/>
        </w:rPr>
      </w:pPr>
      <w:r w:rsidRPr="00EF5569">
        <w:rPr>
          <w:rFonts w:ascii="Cambria" w:hAnsi="Cambria"/>
          <w:color w:val="000000" w:themeColor="text1"/>
          <w:sz w:val="20"/>
          <w:szCs w:val="20"/>
          <w:lang w:val="es-ES"/>
        </w:rPr>
        <w:t>La Comisión considera que la información proporcionada por los peticionarios en 2018 es relevante dado que es actualizada y amplia sobre medidas adoptadas relativas al cumplimiento de al menos una de las recomendaciones emitidas en el Informe Nº</w:t>
      </w:r>
      <w:r w:rsidR="00BC5ACA" w:rsidRPr="00EF5569">
        <w:rPr>
          <w:rFonts w:ascii="Cambria" w:hAnsi="Cambria" w:cs="Calibri Light"/>
          <w:sz w:val="20"/>
          <w:szCs w:val="20"/>
          <w:lang w:val="es-ES"/>
        </w:rPr>
        <w:t xml:space="preserve"> 28/09. </w:t>
      </w:r>
      <w:r w:rsidRPr="00EF5569">
        <w:rPr>
          <w:rFonts w:ascii="Cambria" w:hAnsi="Cambria" w:cs="Calibri Light"/>
          <w:color w:val="000000" w:themeColor="text1"/>
          <w:sz w:val="20"/>
          <w:szCs w:val="20"/>
          <w:lang w:val="es-ES"/>
        </w:rPr>
        <w:t xml:space="preserve">La Comisión valora positivamente que </w:t>
      </w:r>
      <w:r w:rsidR="00DA196B" w:rsidRPr="00EF5569">
        <w:rPr>
          <w:rFonts w:ascii="Cambria" w:hAnsi="Cambria" w:cs="Calibri Light"/>
          <w:color w:val="000000" w:themeColor="text1"/>
          <w:sz w:val="20"/>
          <w:szCs w:val="20"/>
          <w:lang w:val="es-ES"/>
        </w:rPr>
        <w:t>los peticionarios</w:t>
      </w:r>
      <w:r w:rsidRPr="00EF5569">
        <w:rPr>
          <w:rFonts w:ascii="Cambria" w:hAnsi="Cambria" w:cs="Calibri Light"/>
          <w:color w:val="000000" w:themeColor="text1"/>
          <w:sz w:val="20"/>
          <w:szCs w:val="20"/>
          <w:lang w:val="es-ES"/>
        </w:rPr>
        <w:t xml:space="preserve"> haya</w:t>
      </w:r>
      <w:r w:rsidR="00DA196B" w:rsidRPr="00EF5569">
        <w:rPr>
          <w:rFonts w:ascii="Cambria" w:hAnsi="Cambria" w:cs="Calibri Light"/>
          <w:color w:val="000000" w:themeColor="text1"/>
          <w:sz w:val="20"/>
          <w:szCs w:val="20"/>
          <w:lang w:val="es-ES"/>
        </w:rPr>
        <w:t>n</w:t>
      </w:r>
      <w:r w:rsidRPr="00EF5569">
        <w:rPr>
          <w:rFonts w:ascii="Cambria" w:hAnsi="Cambria" w:cs="Calibri Light"/>
          <w:color w:val="000000" w:themeColor="text1"/>
          <w:sz w:val="20"/>
          <w:szCs w:val="20"/>
          <w:lang w:val="es-ES"/>
        </w:rPr>
        <w:t xml:space="preserve"> remitido información a la CIDH después de 10 años.</w:t>
      </w:r>
      <w:r w:rsidR="001E5322" w:rsidRPr="00EF5569">
        <w:rPr>
          <w:rFonts w:ascii="Cambria" w:hAnsi="Cambria"/>
          <w:sz w:val="20"/>
          <w:szCs w:val="20"/>
          <w:lang w:val="es-ES"/>
        </w:rPr>
        <w:t xml:space="preserve"> </w:t>
      </w:r>
    </w:p>
    <w:p w14:paraId="4CE15DC8" w14:textId="77777777" w:rsidR="00A52273" w:rsidRPr="00EF5569" w:rsidRDefault="00A52273" w:rsidP="0071717C">
      <w:pPr>
        <w:spacing w:after="0" w:line="240" w:lineRule="auto"/>
        <w:jc w:val="both"/>
        <w:rPr>
          <w:rFonts w:ascii="Cambria" w:hAnsi="Cambria" w:cs="Calibri Light"/>
          <w:sz w:val="20"/>
          <w:szCs w:val="20"/>
          <w:lang w:val="es-ES"/>
        </w:rPr>
      </w:pPr>
    </w:p>
    <w:p w14:paraId="06A886AF" w14:textId="158913B4" w:rsidR="0071717C" w:rsidRPr="00EF5569" w:rsidRDefault="00586C9D" w:rsidP="00E61AB5">
      <w:pPr>
        <w:pStyle w:val="ListParagraph"/>
        <w:numPr>
          <w:ilvl w:val="0"/>
          <w:numId w:val="6"/>
        </w:numPr>
        <w:spacing w:after="0" w:line="240" w:lineRule="auto"/>
        <w:ind w:left="1440"/>
        <w:jc w:val="both"/>
        <w:rPr>
          <w:rFonts w:ascii="Cambria" w:hAnsi="Cambria" w:cs="Calibri Light"/>
          <w:b/>
          <w:sz w:val="20"/>
          <w:szCs w:val="20"/>
          <w:lang w:val="es-ES"/>
        </w:rPr>
      </w:pPr>
      <w:r w:rsidRPr="00EF5569">
        <w:rPr>
          <w:rFonts w:ascii="Cambria" w:hAnsi="Cambria" w:cs="Calibri Light"/>
          <w:b/>
          <w:color w:val="000000"/>
          <w:sz w:val="20"/>
          <w:szCs w:val="20"/>
          <w:lang w:val="es-ES"/>
        </w:rPr>
        <w:t>Análisis del cumplimiento de las recomendaciones</w:t>
      </w:r>
      <w:r w:rsidR="0071717C" w:rsidRPr="00EF5569">
        <w:rPr>
          <w:rFonts w:ascii="Cambria" w:hAnsi="Cambria" w:cs="Calibri Light"/>
          <w:b/>
          <w:sz w:val="20"/>
          <w:szCs w:val="20"/>
          <w:lang w:val="es-ES"/>
        </w:rPr>
        <w:t xml:space="preserve"> </w:t>
      </w:r>
    </w:p>
    <w:p w14:paraId="0A439150" w14:textId="77777777" w:rsidR="0071717C" w:rsidRPr="00EF5569" w:rsidRDefault="0071717C" w:rsidP="0071717C">
      <w:pPr>
        <w:spacing w:after="0" w:line="240" w:lineRule="auto"/>
        <w:jc w:val="both"/>
        <w:rPr>
          <w:rFonts w:ascii="Cambria" w:hAnsi="Cambria" w:cs="Calibri Light"/>
          <w:sz w:val="20"/>
          <w:szCs w:val="20"/>
          <w:lang w:val="es-ES"/>
        </w:rPr>
      </w:pPr>
    </w:p>
    <w:p w14:paraId="65DDC0FC" w14:textId="51475D85" w:rsidR="00A52273" w:rsidRPr="00EF5569" w:rsidRDefault="00586C9D" w:rsidP="00385239">
      <w:pPr>
        <w:pStyle w:val="ListParagraph"/>
        <w:numPr>
          <w:ilvl w:val="0"/>
          <w:numId w:val="14"/>
        </w:numPr>
        <w:shd w:val="clear" w:color="auto" w:fill="FFFFFF" w:themeFill="background1"/>
        <w:spacing w:after="0" w:line="240" w:lineRule="auto"/>
        <w:ind w:left="0" w:firstLine="709"/>
        <w:jc w:val="both"/>
        <w:rPr>
          <w:rFonts w:ascii="Cambria" w:hAnsi="Cambria" w:cs="Calibri Light"/>
          <w:sz w:val="20"/>
          <w:szCs w:val="20"/>
          <w:lang w:val="es-ES"/>
        </w:rPr>
      </w:pPr>
      <w:r w:rsidRPr="00EF5569">
        <w:rPr>
          <w:rFonts w:ascii="Cambria" w:hAnsi="Cambria" w:cs="Calibri Light"/>
          <w:b/>
          <w:sz w:val="20"/>
          <w:szCs w:val="20"/>
          <w:lang w:val="es-ES"/>
        </w:rPr>
        <w:t>En relación con la primera recomendación</w:t>
      </w:r>
      <w:r w:rsidR="00385239" w:rsidRPr="00EF5569">
        <w:rPr>
          <w:rFonts w:ascii="Cambria" w:hAnsi="Cambria" w:cs="Calibri Light"/>
          <w:sz w:val="20"/>
          <w:szCs w:val="20"/>
          <w:lang w:val="es-ES"/>
        </w:rPr>
        <w:t>,</w:t>
      </w:r>
      <w:r w:rsidR="006B0D63" w:rsidRPr="00EF5569">
        <w:rPr>
          <w:rFonts w:ascii="Cambria" w:hAnsi="Cambria" w:cs="Calibri Light"/>
          <w:sz w:val="20"/>
          <w:szCs w:val="20"/>
          <w:lang w:val="es-ES"/>
        </w:rPr>
        <w:t xml:space="preserve"> el Estado </w:t>
      </w:r>
      <w:r w:rsidR="00CA5848">
        <w:rPr>
          <w:rFonts w:ascii="Cambria" w:hAnsi="Cambria" w:cs="Calibri Light"/>
          <w:sz w:val="20"/>
          <w:szCs w:val="20"/>
          <w:lang w:val="es-ES"/>
        </w:rPr>
        <w:t>no</w:t>
      </w:r>
      <w:r w:rsidR="006B0D63" w:rsidRPr="00EF5569">
        <w:rPr>
          <w:rFonts w:ascii="Cambria" w:hAnsi="Cambria" w:cs="Calibri Light"/>
          <w:sz w:val="20"/>
          <w:szCs w:val="20"/>
          <w:lang w:val="es-ES"/>
        </w:rPr>
        <w:t xml:space="preserve"> ha presentado información relativa a las acciones adoptadas para cumplir con esta recomendación</w:t>
      </w:r>
      <w:r w:rsidR="00CA5848">
        <w:rPr>
          <w:rFonts w:ascii="Cambria" w:hAnsi="Cambria" w:cs="Calibri Light"/>
          <w:sz w:val="20"/>
          <w:szCs w:val="20"/>
          <w:lang w:val="es-ES"/>
        </w:rPr>
        <w:t xml:space="preserve"> a lo largo del seguimiento</w:t>
      </w:r>
      <w:r w:rsidR="00DA196B" w:rsidRPr="00EF5569">
        <w:rPr>
          <w:rFonts w:ascii="Cambria" w:hAnsi="Cambria" w:cs="Calibri Light"/>
          <w:sz w:val="20"/>
          <w:szCs w:val="20"/>
          <w:lang w:val="es-ES"/>
        </w:rPr>
        <w:t>.</w:t>
      </w:r>
      <w:r w:rsidR="00AE4CF8" w:rsidRPr="00EF5569">
        <w:rPr>
          <w:rFonts w:ascii="Cambria" w:hAnsi="Cambria" w:cs="Calibri Light"/>
          <w:sz w:val="20"/>
          <w:szCs w:val="20"/>
          <w:lang w:val="es-ES"/>
        </w:rPr>
        <w:t xml:space="preserve"> </w:t>
      </w:r>
      <w:r w:rsidR="00385239" w:rsidRPr="00EF5569">
        <w:rPr>
          <w:rFonts w:ascii="Cambria" w:hAnsi="Cambria" w:cs="Calibri Light"/>
          <w:sz w:val="20"/>
          <w:szCs w:val="20"/>
          <w:lang w:val="es-ES"/>
        </w:rPr>
        <w:t xml:space="preserve"> </w:t>
      </w:r>
    </w:p>
    <w:p w14:paraId="73FE55BC" w14:textId="77777777" w:rsidR="00A52273" w:rsidRPr="00EF5569" w:rsidRDefault="00A52273" w:rsidP="00A52273">
      <w:pPr>
        <w:pStyle w:val="ListParagraph"/>
        <w:shd w:val="clear" w:color="auto" w:fill="FFFFFF" w:themeFill="background1"/>
        <w:spacing w:after="0" w:line="240" w:lineRule="auto"/>
        <w:ind w:left="709"/>
        <w:jc w:val="both"/>
        <w:rPr>
          <w:rFonts w:ascii="Cambria" w:hAnsi="Cambria" w:cs="Calibri Light"/>
          <w:color w:val="FF0000"/>
          <w:sz w:val="20"/>
          <w:szCs w:val="20"/>
          <w:lang w:val="es-ES"/>
        </w:rPr>
      </w:pPr>
    </w:p>
    <w:p w14:paraId="26C33BA2" w14:textId="3C32592D" w:rsidR="00336E6F" w:rsidRPr="00EF5569" w:rsidRDefault="006B0D63" w:rsidP="00336E6F">
      <w:pPr>
        <w:pStyle w:val="ListParagraph"/>
        <w:numPr>
          <w:ilvl w:val="0"/>
          <w:numId w:val="14"/>
        </w:numPr>
        <w:shd w:val="clear" w:color="auto" w:fill="FFFFFF" w:themeFill="background1"/>
        <w:spacing w:after="0" w:line="240" w:lineRule="auto"/>
        <w:ind w:left="0" w:firstLine="709"/>
        <w:jc w:val="both"/>
        <w:rPr>
          <w:rFonts w:ascii="Cambria" w:hAnsi="Cambria" w:cs="Calibri Light"/>
          <w:sz w:val="20"/>
          <w:szCs w:val="20"/>
          <w:lang w:val="es-ES"/>
        </w:rPr>
      </w:pPr>
      <w:r w:rsidRPr="00EF5569">
        <w:rPr>
          <w:rFonts w:ascii="Cambria" w:hAnsi="Cambria" w:cs="Calibri Light"/>
          <w:sz w:val="20"/>
          <w:szCs w:val="20"/>
          <w:lang w:val="es-ES"/>
        </w:rPr>
        <w:t>En 2018, los peticionarios informaron que no han actuado por el señor Dexter Lendore por</w:t>
      </w:r>
      <w:r w:rsidR="00DA196B" w:rsidRPr="00EF5569">
        <w:rPr>
          <w:rFonts w:ascii="Cambria" w:hAnsi="Cambria" w:cs="Calibri Light"/>
          <w:sz w:val="20"/>
          <w:szCs w:val="20"/>
          <w:lang w:val="es-ES"/>
        </w:rPr>
        <w:t xml:space="preserve"> un</w:t>
      </w:r>
      <w:r w:rsidRPr="00EF5569">
        <w:rPr>
          <w:rFonts w:ascii="Cambria" w:hAnsi="Cambria" w:cs="Calibri Light"/>
          <w:sz w:val="20"/>
          <w:szCs w:val="20"/>
          <w:lang w:val="es-ES"/>
        </w:rPr>
        <w:t xml:space="preserve"> </w:t>
      </w:r>
      <w:r w:rsidR="00DA196B" w:rsidRPr="00EF5569">
        <w:rPr>
          <w:rFonts w:ascii="Cambria" w:hAnsi="Cambria" w:cs="Calibri Light"/>
          <w:sz w:val="20"/>
          <w:szCs w:val="20"/>
          <w:lang w:val="es-ES"/>
        </w:rPr>
        <w:t>periodo</w:t>
      </w:r>
      <w:r w:rsidRPr="00EF5569">
        <w:rPr>
          <w:rFonts w:ascii="Cambria" w:hAnsi="Cambria" w:cs="Calibri Light"/>
          <w:sz w:val="20"/>
          <w:szCs w:val="20"/>
          <w:lang w:val="es-ES"/>
        </w:rPr>
        <w:t xml:space="preserve"> considerable de tiempo. Al mismo tiempo, los peticionarios presentaron una </w:t>
      </w:r>
      <w:r w:rsidR="00DA196B" w:rsidRPr="00EF5569">
        <w:rPr>
          <w:rFonts w:ascii="Cambria" w:hAnsi="Cambria" w:cs="Calibri Light"/>
          <w:sz w:val="20"/>
          <w:szCs w:val="20"/>
          <w:lang w:val="es-ES"/>
        </w:rPr>
        <w:t>decisión</w:t>
      </w:r>
      <w:r w:rsidRPr="00EF5569">
        <w:rPr>
          <w:rFonts w:ascii="Cambria" w:hAnsi="Cambria" w:cs="Calibri Light"/>
          <w:sz w:val="20"/>
          <w:szCs w:val="20"/>
          <w:lang w:val="es-ES"/>
        </w:rPr>
        <w:t xml:space="preserve"> del Comité Judicial del Consejo Privado</w:t>
      </w:r>
      <w:r w:rsidR="002D56F8" w:rsidRPr="00EF5569">
        <w:rPr>
          <w:rFonts w:ascii="Cambria" w:hAnsi="Cambria" w:cs="Calibri Light"/>
          <w:sz w:val="20"/>
          <w:szCs w:val="20"/>
          <w:lang w:val="es-ES"/>
        </w:rPr>
        <w:t>,</w:t>
      </w:r>
      <w:r w:rsidR="00FA47FA" w:rsidRPr="00EF5569">
        <w:rPr>
          <w:rFonts w:ascii="Cambria" w:hAnsi="Cambria" w:cs="Calibri Light"/>
          <w:sz w:val="20"/>
          <w:szCs w:val="20"/>
          <w:lang w:val="es-ES"/>
        </w:rPr>
        <w:t xml:space="preserve"> </w:t>
      </w:r>
      <w:r w:rsidR="002D56F8" w:rsidRPr="00EF5569">
        <w:rPr>
          <w:rFonts w:ascii="Cambria" w:hAnsi="Cambria" w:cs="Calibri Light"/>
          <w:sz w:val="20"/>
          <w:szCs w:val="20"/>
          <w:lang w:val="es-ES"/>
        </w:rPr>
        <w:t>L</w:t>
      </w:r>
      <w:r w:rsidRPr="00EF5569">
        <w:rPr>
          <w:rFonts w:ascii="Cambria" w:hAnsi="Cambria" w:cs="Calibri Light"/>
          <w:sz w:val="20"/>
          <w:szCs w:val="20"/>
          <w:lang w:val="es-ES"/>
        </w:rPr>
        <w:t>endore y</w:t>
      </w:r>
      <w:r w:rsidR="001D7402" w:rsidRPr="00EF5569">
        <w:rPr>
          <w:rFonts w:ascii="Cambria" w:hAnsi="Cambria" w:cs="Calibri Light"/>
          <w:sz w:val="20"/>
          <w:szCs w:val="20"/>
          <w:lang w:val="es-ES"/>
        </w:rPr>
        <w:t xml:space="preserve"> </w:t>
      </w:r>
      <w:r w:rsidRPr="00EF5569">
        <w:rPr>
          <w:rFonts w:ascii="Cambria" w:hAnsi="Cambria" w:cs="Calibri Light"/>
          <w:sz w:val="20"/>
          <w:szCs w:val="20"/>
          <w:lang w:val="es-ES"/>
        </w:rPr>
        <w:t>otros c</w:t>
      </w:r>
      <w:r w:rsidR="001D7402" w:rsidRPr="00EF5569">
        <w:rPr>
          <w:rFonts w:ascii="Cambria" w:hAnsi="Cambria" w:cs="Calibri Light"/>
          <w:sz w:val="20"/>
          <w:szCs w:val="20"/>
          <w:lang w:val="es-ES"/>
        </w:rPr>
        <w:t xml:space="preserve">. </w:t>
      </w:r>
      <w:r w:rsidRPr="00EF5569">
        <w:rPr>
          <w:rFonts w:ascii="Cambria" w:hAnsi="Cambria" w:cs="Calibri Light"/>
          <w:sz w:val="20"/>
          <w:szCs w:val="20"/>
          <w:lang w:val="es-ES"/>
        </w:rPr>
        <w:t>el Fiscal General de Trinidad and Tobago (2017)</w:t>
      </w:r>
      <w:r w:rsidR="00365BD5" w:rsidRPr="00EF5569">
        <w:rPr>
          <w:rStyle w:val="FootnoteReference"/>
          <w:rFonts w:ascii="Cambria" w:hAnsi="Cambria" w:cs="Calibri Light"/>
          <w:sz w:val="20"/>
          <w:szCs w:val="20"/>
          <w:lang w:val="es-ES"/>
        </w:rPr>
        <w:footnoteReference w:id="1"/>
      </w:r>
      <w:r w:rsidRPr="00EF5569">
        <w:rPr>
          <w:rFonts w:ascii="Cambria" w:hAnsi="Cambria" w:cs="Calibri Light"/>
          <w:sz w:val="20"/>
          <w:szCs w:val="20"/>
          <w:lang w:val="es-ES"/>
        </w:rPr>
        <w:t>,</w:t>
      </w:r>
      <w:r w:rsidR="002D56F8" w:rsidRPr="00EF5569">
        <w:rPr>
          <w:rFonts w:ascii="Cambria" w:hAnsi="Cambria" w:cs="Calibri Light"/>
          <w:i/>
          <w:sz w:val="20"/>
          <w:szCs w:val="20"/>
          <w:lang w:val="es-ES"/>
        </w:rPr>
        <w:t xml:space="preserve"> </w:t>
      </w:r>
      <w:r w:rsidR="00E81639" w:rsidRPr="00EF5569">
        <w:rPr>
          <w:rFonts w:ascii="Cambria" w:hAnsi="Cambria" w:cs="Calibri Light"/>
          <w:sz w:val="20"/>
          <w:szCs w:val="20"/>
          <w:lang w:val="es-ES"/>
        </w:rPr>
        <w:t xml:space="preserve">la cual concierne al señor Dexter Lendore. En este caso, el señor </w:t>
      </w:r>
      <w:r w:rsidR="001D7402" w:rsidRPr="00EF5569">
        <w:rPr>
          <w:rFonts w:ascii="Cambria" w:hAnsi="Cambria" w:cs="Calibri Light"/>
          <w:sz w:val="20"/>
          <w:szCs w:val="20"/>
          <w:lang w:val="es-ES"/>
        </w:rPr>
        <w:t xml:space="preserve">Dexter Lendore, </w:t>
      </w:r>
      <w:r w:rsidR="001A123F" w:rsidRPr="00EF5569">
        <w:rPr>
          <w:rFonts w:ascii="Cambria" w:hAnsi="Cambria" w:cs="Calibri Light"/>
          <w:sz w:val="20"/>
          <w:szCs w:val="20"/>
          <w:lang w:val="es-ES"/>
        </w:rPr>
        <w:t>junto con otros individuos</w:t>
      </w:r>
      <w:r w:rsidR="00DA196B" w:rsidRPr="00EF5569">
        <w:rPr>
          <w:rFonts w:ascii="Cambria" w:hAnsi="Cambria" w:cs="Calibri Light"/>
          <w:sz w:val="20"/>
          <w:szCs w:val="20"/>
          <w:lang w:val="es-ES"/>
        </w:rPr>
        <w:t>,</w:t>
      </w:r>
      <w:r w:rsidR="001A123F" w:rsidRPr="00EF5569">
        <w:rPr>
          <w:rFonts w:ascii="Cambria" w:hAnsi="Cambria" w:cs="Calibri Light"/>
          <w:sz w:val="20"/>
          <w:szCs w:val="20"/>
          <w:lang w:val="es-ES"/>
        </w:rPr>
        <w:t xml:space="preserve"> cuyas sentencias de pena de muerte habían sido conmutadas a prisión perpetua o a prisión por 75 años en Trinidad y Tobago, impugnaron la constitucionalidad de las sentencias sustitutorias argumentando que estas sentencias fueron impuestas sobre un amplio grupo de prisioneros sin </w:t>
      </w:r>
      <w:r w:rsidR="00DA196B" w:rsidRPr="00EF5569">
        <w:rPr>
          <w:rFonts w:ascii="Cambria" w:hAnsi="Cambria" w:cs="Calibri Light"/>
          <w:sz w:val="20"/>
          <w:szCs w:val="20"/>
          <w:lang w:val="es-ES"/>
        </w:rPr>
        <w:t>haber considerado</w:t>
      </w:r>
      <w:r w:rsidR="001A123F" w:rsidRPr="00EF5569">
        <w:rPr>
          <w:rFonts w:ascii="Cambria" w:hAnsi="Cambria" w:cs="Calibri Light"/>
          <w:sz w:val="20"/>
          <w:szCs w:val="20"/>
          <w:lang w:val="es-ES"/>
        </w:rPr>
        <w:t xml:space="preserve"> las circunstancias individuales de cada uno. </w:t>
      </w:r>
      <w:r w:rsidR="00DA196B" w:rsidRPr="00EF5569">
        <w:rPr>
          <w:rFonts w:ascii="Cambria" w:hAnsi="Cambria" w:cs="Calibri Light"/>
          <w:sz w:val="20"/>
          <w:szCs w:val="20"/>
          <w:lang w:val="es-ES"/>
        </w:rPr>
        <w:t>Sin embargo, e</w:t>
      </w:r>
      <w:r w:rsidR="001A123F" w:rsidRPr="00EF5569">
        <w:rPr>
          <w:rFonts w:ascii="Cambria" w:hAnsi="Cambria" w:cs="Calibri Light"/>
          <w:sz w:val="20"/>
          <w:szCs w:val="20"/>
          <w:lang w:val="es-ES"/>
        </w:rPr>
        <w:t>l Comité Judicial del Consejo Privado</w:t>
      </w:r>
      <w:r w:rsidR="00DA196B" w:rsidRPr="00EF5569">
        <w:rPr>
          <w:rFonts w:ascii="Cambria" w:hAnsi="Cambria" w:cs="Calibri Light"/>
          <w:sz w:val="20"/>
          <w:szCs w:val="20"/>
          <w:lang w:val="es-ES"/>
        </w:rPr>
        <w:t xml:space="preserve"> </w:t>
      </w:r>
      <w:r w:rsidR="001A123F" w:rsidRPr="00EF5569">
        <w:rPr>
          <w:rFonts w:ascii="Cambria" w:hAnsi="Cambria" w:cs="Calibri Light"/>
          <w:sz w:val="20"/>
          <w:szCs w:val="20"/>
          <w:lang w:val="es-ES"/>
        </w:rPr>
        <w:t xml:space="preserve">no </w:t>
      </w:r>
      <w:r w:rsidR="00DA196B" w:rsidRPr="00EF5569">
        <w:rPr>
          <w:rFonts w:ascii="Cambria" w:hAnsi="Cambria" w:cs="Calibri Light"/>
          <w:sz w:val="20"/>
          <w:szCs w:val="20"/>
          <w:lang w:val="es-ES"/>
        </w:rPr>
        <w:t>concedió</w:t>
      </w:r>
      <w:r w:rsidR="001A123F" w:rsidRPr="00EF5569">
        <w:rPr>
          <w:rFonts w:ascii="Cambria" w:hAnsi="Cambria" w:cs="Calibri Light"/>
          <w:sz w:val="20"/>
          <w:szCs w:val="20"/>
          <w:lang w:val="es-ES"/>
        </w:rPr>
        <w:t xml:space="preserve"> la impugnación rechazando el argumento de que cada prisionero tuviera derecho </w:t>
      </w:r>
      <w:r w:rsidR="00DA196B" w:rsidRPr="00EF5569">
        <w:rPr>
          <w:rFonts w:ascii="Cambria" w:hAnsi="Cambria" w:cs="Calibri Light"/>
          <w:sz w:val="20"/>
          <w:szCs w:val="20"/>
          <w:lang w:val="es-ES"/>
        </w:rPr>
        <w:t xml:space="preserve">a que </w:t>
      </w:r>
      <w:r w:rsidR="001A123F" w:rsidRPr="00EF5569">
        <w:rPr>
          <w:rFonts w:ascii="Cambria" w:hAnsi="Cambria" w:cs="Calibri Light"/>
          <w:sz w:val="20"/>
          <w:szCs w:val="20"/>
          <w:lang w:val="es-ES"/>
        </w:rPr>
        <w:t>su sentencia sustituta</w:t>
      </w:r>
      <w:r w:rsidR="00995232" w:rsidRPr="00EF5569">
        <w:rPr>
          <w:rFonts w:ascii="Cambria" w:hAnsi="Cambria" w:cs="Calibri Light"/>
          <w:sz w:val="20"/>
          <w:szCs w:val="20"/>
          <w:lang w:val="es-ES"/>
        </w:rPr>
        <w:t xml:space="preserve"> se determinara</w:t>
      </w:r>
      <w:r w:rsidR="00DA196B" w:rsidRPr="00EF5569">
        <w:rPr>
          <w:rFonts w:ascii="Cambria" w:hAnsi="Cambria" w:cs="Calibri Light"/>
          <w:sz w:val="20"/>
          <w:szCs w:val="20"/>
          <w:lang w:val="es-ES"/>
        </w:rPr>
        <w:t xml:space="preserve"> de acuerdo con sus circunstancias individuales</w:t>
      </w:r>
      <w:r w:rsidR="001A123F" w:rsidRPr="00EF5569">
        <w:rPr>
          <w:rFonts w:ascii="Cambria" w:hAnsi="Cambria" w:cs="Calibri Light"/>
          <w:sz w:val="20"/>
          <w:szCs w:val="20"/>
          <w:lang w:val="es-ES"/>
        </w:rPr>
        <w:t>.</w:t>
      </w:r>
    </w:p>
    <w:p w14:paraId="5BB41A4C" w14:textId="77777777" w:rsidR="007955F4" w:rsidRPr="00EF5569" w:rsidRDefault="007955F4" w:rsidP="007955F4">
      <w:pPr>
        <w:pStyle w:val="ListParagraph"/>
        <w:rPr>
          <w:rFonts w:ascii="Cambria" w:hAnsi="Cambria" w:cs="Calibri Light"/>
          <w:color w:val="FF0000"/>
          <w:sz w:val="20"/>
          <w:szCs w:val="20"/>
          <w:lang w:val="es-ES"/>
        </w:rPr>
      </w:pPr>
    </w:p>
    <w:p w14:paraId="121A1623" w14:textId="76BB2E7C" w:rsidR="00C4409A" w:rsidRPr="00EF5569" w:rsidRDefault="00690CBD" w:rsidP="00BB68B7">
      <w:pPr>
        <w:pStyle w:val="ListParagraph"/>
        <w:numPr>
          <w:ilvl w:val="0"/>
          <w:numId w:val="14"/>
        </w:numPr>
        <w:shd w:val="clear" w:color="auto" w:fill="FFFFFF" w:themeFill="background1"/>
        <w:spacing w:after="0" w:line="240" w:lineRule="auto"/>
        <w:ind w:left="0" w:firstLine="709"/>
        <w:jc w:val="both"/>
        <w:rPr>
          <w:rFonts w:ascii="Cambria" w:hAnsi="Cambria" w:cs="Calibri Light"/>
          <w:sz w:val="20"/>
          <w:szCs w:val="20"/>
          <w:lang w:val="es-ES"/>
        </w:rPr>
      </w:pPr>
      <w:r w:rsidRPr="00EF5569">
        <w:rPr>
          <w:rFonts w:ascii="Cambria" w:hAnsi="Cambria" w:cs="Calibri Light"/>
          <w:sz w:val="20"/>
          <w:szCs w:val="20"/>
          <w:lang w:val="es-ES"/>
        </w:rPr>
        <w:t>La Comisión valora positivamente la información remitida por los peticionarios. Al mismo tiempo, observa que el Estado no ha adoptado las acciones para garantizarle al señor Dexter Lendore un nuevo juicio o, si esto no fuese posible, liberarlo de prisión y proveerle indemnización. Por lo anterior, la Comisión considera que la recomendación 1 está pendiente de cumplimiento.</w:t>
      </w:r>
    </w:p>
    <w:p w14:paraId="2AC7D5F7" w14:textId="77777777" w:rsidR="00C4409A" w:rsidRPr="00EF5569" w:rsidRDefault="00C4409A" w:rsidP="00C4409A">
      <w:pPr>
        <w:pStyle w:val="ListParagraph"/>
        <w:rPr>
          <w:rFonts w:ascii="Cambria" w:hAnsi="Cambria" w:cs="Calibri Light"/>
          <w:color w:val="FF0000"/>
          <w:sz w:val="20"/>
          <w:szCs w:val="20"/>
          <w:lang w:val="es-ES"/>
        </w:rPr>
      </w:pPr>
    </w:p>
    <w:p w14:paraId="70488FF6" w14:textId="3B030064" w:rsidR="00C4409A" w:rsidRPr="00EF5569" w:rsidRDefault="00033431" w:rsidP="00240C37">
      <w:pPr>
        <w:pStyle w:val="ListParagraph"/>
        <w:numPr>
          <w:ilvl w:val="0"/>
          <w:numId w:val="14"/>
        </w:numPr>
        <w:shd w:val="clear" w:color="auto" w:fill="FFFFFF" w:themeFill="background1"/>
        <w:spacing w:after="0" w:line="240" w:lineRule="auto"/>
        <w:ind w:left="0" w:firstLine="709"/>
        <w:jc w:val="both"/>
        <w:rPr>
          <w:rFonts w:ascii="Cambria" w:hAnsi="Cambria" w:cs="Calibri Light"/>
          <w:sz w:val="20"/>
          <w:szCs w:val="20"/>
          <w:lang w:val="es-ES"/>
        </w:rPr>
      </w:pPr>
      <w:r w:rsidRPr="00EF5569">
        <w:rPr>
          <w:rFonts w:ascii="Cambria" w:hAnsi="Cambria"/>
          <w:b/>
          <w:color w:val="000000"/>
          <w:sz w:val="20"/>
          <w:szCs w:val="20"/>
          <w:lang w:val="es-ES"/>
        </w:rPr>
        <w:t>Respecto de las recomendaciones segunda y tercera</w:t>
      </w:r>
      <w:r w:rsidR="00C4409A" w:rsidRPr="00EF5569">
        <w:rPr>
          <w:rFonts w:ascii="Cambria" w:hAnsi="Cambria" w:cs="Calibri Light"/>
          <w:sz w:val="20"/>
          <w:szCs w:val="20"/>
          <w:lang w:val="es-ES"/>
        </w:rPr>
        <w:t xml:space="preserve">, </w:t>
      </w:r>
      <w:r w:rsidR="00335BE0" w:rsidRPr="00EF5569">
        <w:rPr>
          <w:rFonts w:ascii="Cambria" w:hAnsi="Cambria" w:cs="Calibri Light"/>
          <w:sz w:val="20"/>
          <w:szCs w:val="20"/>
          <w:lang w:val="es-ES"/>
        </w:rPr>
        <w:t>ninguna de las partes remitió información sobre las acciones adoptadas por el Estado para cumplir con estas recomendaciones.</w:t>
      </w:r>
      <w:r w:rsidR="00240C37" w:rsidRPr="00EF5569">
        <w:rPr>
          <w:rFonts w:ascii="Cambria" w:hAnsi="Cambria" w:cs="Calibri Light"/>
          <w:sz w:val="20"/>
          <w:szCs w:val="20"/>
          <w:lang w:val="es-ES"/>
        </w:rPr>
        <w:t xml:space="preserve">  </w:t>
      </w:r>
    </w:p>
    <w:p w14:paraId="5F7B7DA4" w14:textId="77777777" w:rsidR="00B45489" w:rsidRPr="00EF5569" w:rsidRDefault="00B45489" w:rsidP="00B45489">
      <w:pPr>
        <w:pStyle w:val="ListParagraph"/>
        <w:rPr>
          <w:rFonts w:ascii="Cambria" w:hAnsi="Cambria" w:cs="Calibri Light"/>
          <w:sz w:val="20"/>
          <w:szCs w:val="20"/>
          <w:lang w:val="es-ES"/>
        </w:rPr>
      </w:pPr>
    </w:p>
    <w:p w14:paraId="035ECFB0" w14:textId="0BB050C1" w:rsidR="00A52273" w:rsidRPr="00EF5569" w:rsidRDefault="00335BE0" w:rsidP="00564144">
      <w:pPr>
        <w:pStyle w:val="ListParagraph"/>
        <w:numPr>
          <w:ilvl w:val="0"/>
          <w:numId w:val="14"/>
        </w:numPr>
        <w:shd w:val="clear" w:color="auto" w:fill="FFFFFF" w:themeFill="background1"/>
        <w:spacing w:after="0" w:line="240" w:lineRule="auto"/>
        <w:ind w:left="0" w:firstLine="709"/>
        <w:jc w:val="both"/>
        <w:rPr>
          <w:rFonts w:ascii="Cambria" w:hAnsi="Cambria" w:cs="Calibri Light"/>
          <w:sz w:val="20"/>
          <w:szCs w:val="20"/>
          <w:lang w:val="es-ES"/>
        </w:rPr>
      </w:pPr>
      <w:r w:rsidRPr="00EF5569">
        <w:rPr>
          <w:rFonts w:ascii="Cambria" w:hAnsi="Cambria" w:cs="Calibri Light"/>
          <w:sz w:val="20"/>
          <w:szCs w:val="20"/>
          <w:lang w:val="es-ES"/>
        </w:rPr>
        <w:t>Por lo anterior, la Comisión considera que el nivel de cumplimiento de las recomendaciones 2 y 3 es p</w:t>
      </w:r>
      <w:r w:rsidR="00CA5848">
        <w:rPr>
          <w:rFonts w:ascii="Cambria" w:hAnsi="Cambria" w:cs="Calibri Light"/>
          <w:sz w:val="20"/>
          <w:szCs w:val="20"/>
          <w:lang w:val="es-ES"/>
        </w:rPr>
        <w:t>endiente</w:t>
      </w:r>
      <w:r w:rsidRPr="00EF5569">
        <w:rPr>
          <w:rFonts w:ascii="Cambria" w:hAnsi="Cambria" w:cs="Calibri Light"/>
          <w:sz w:val="20"/>
          <w:szCs w:val="20"/>
          <w:lang w:val="es-ES"/>
        </w:rPr>
        <w:t>.</w:t>
      </w:r>
    </w:p>
    <w:p w14:paraId="3E531D4C" w14:textId="77777777" w:rsidR="0071717C" w:rsidRPr="00EF5569" w:rsidRDefault="0071717C" w:rsidP="0071717C">
      <w:pPr>
        <w:spacing w:after="0" w:line="240" w:lineRule="auto"/>
        <w:jc w:val="both"/>
        <w:rPr>
          <w:rFonts w:ascii="Cambria" w:hAnsi="Cambria"/>
          <w:sz w:val="20"/>
          <w:szCs w:val="20"/>
          <w:lang w:val="es-ES"/>
        </w:rPr>
      </w:pPr>
    </w:p>
    <w:p w14:paraId="1597B07F" w14:textId="3184E1CB" w:rsidR="0071717C" w:rsidRPr="00EF5569" w:rsidRDefault="00BB06B6" w:rsidP="00564144">
      <w:pPr>
        <w:pStyle w:val="ListParagraph"/>
        <w:numPr>
          <w:ilvl w:val="0"/>
          <w:numId w:val="6"/>
        </w:numPr>
        <w:spacing w:after="0" w:line="240" w:lineRule="auto"/>
        <w:ind w:left="1440"/>
        <w:jc w:val="both"/>
        <w:rPr>
          <w:rFonts w:ascii="Cambria" w:hAnsi="Cambria" w:cs="Calibri Light"/>
          <w:b/>
          <w:sz w:val="20"/>
          <w:szCs w:val="20"/>
          <w:lang w:val="es-ES"/>
        </w:rPr>
      </w:pPr>
      <w:r w:rsidRPr="00EF5569">
        <w:rPr>
          <w:rFonts w:ascii="Cambria" w:hAnsi="Cambria" w:cs="Calibri Light"/>
          <w:b/>
          <w:color w:val="000000"/>
          <w:sz w:val="20"/>
          <w:szCs w:val="20"/>
          <w:lang w:val="es-ES"/>
        </w:rPr>
        <w:t>Nivel del cumplimiento del caso</w:t>
      </w:r>
      <w:r w:rsidR="0071717C" w:rsidRPr="00EF5569">
        <w:rPr>
          <w:rFonts w:ascii="Cambria" w:hAnsi="Cambria" w:cs="Calibri Light"/>
          <w:b/>
          <w:sz w:val="20"/>
          <w:szCs w:val="20"/>
          <w:lang w:val="es-ES"/>
        </w:rPr>
        <w:t xml:space="preserve">  </w:t>
      </w:r>
    </w:p>
    <w:p w14:paraId="775AC157" w14:textId="77777777" w:rsidR="0071717C" w:rsidRPr="00EF5569" w:rsidRDefault="0071717C" w:rsidP="0071717C">
      <w:pPr>
        <w:spacing w:after="0" w:line="240" w:lineRule="auto"/>
        <w:jc w:val="both"/>
        <w:rPr>
          <w:rFonts w:ascii="Cambria" w:hAnsi="Cambria" w:cs="Calibri Light"/>
          <w:sz w:val="20"/>
          <w:szCs w:val="20"/>
          <w:lang w:val="es-ES"/>
        </w:rPr>
      </w:pPr>
    </w:p>
    <w:p w14:paraId="19C75AD0" w14:textId="723151B5" w:rsidR="002968FB" w:rsidRPr="00EF5569" w:rsidRDefault="00DD406E" w:rsidP="002968FB">
      <w:pPr>
        <w:pStyle w:val="ListParagraph"/>
        <w:numPr>
          <w:ilvl w:val="0"/>
          <w:numId w:val="14"/>
        </w:numPr>
        <w:shd w:val="clear" w:color="auto" w:fill="FFFFFF" w:themeFill="background1"/>
        <w:spacing w:after="0" w:line="240" w:lineRule="auto"/>
        <w:ind w:left="0" w:firstLine="709"/>
        <w:jc w:val="both"/>
        <w:rPr>
          <w:rFonts w:ascii="Cambria" w:hAnsi="Cambria" w:cs="Calibri Light"/>
          <w:sz w:val="20"/>
          <w:szCs w:val="20"/>
          <w:lang w:val="es-ES"/>
        </w:rPr>
      </w:pPr>
      <w:r w:rsidRPr="00EF5569">
        <w:rPr>
          <w:rFonts w:ascii="Cambria" w:hAnsi="Cambria" w:cs="Calibri Light"/>
          <w:sz w:val="20"/>
          <w:szCs w:val="20"/>
          <w:lang w:val="es-ES"/>
        </w:rPr>
        <w:t>Por lo anterior, la Comisión concluye que el nivel de cumplimiento del caso es pendiente</w:t>
      </w:r>
      <w:r w:rsidR="00385239" w:rsidRPr="00EF5569">
        <w:rPr>
          <w:rFonts w:ascii="Cambria" w:hAnsi="Cambria" w:cs="Calibri Light"/>
          <w:sz w:val="20"/>
          <w:szCs w:val="20"/>
          <w:lang w:val="es-ES"/>
        </w:rPr>
        <w:t xml:space="preserve">. </w:t>
      </w:r>
      <w:r w:rsidRPr="00EF5569">
        <w:rPr>
          <w:rFonts w:ascii="Cambria" w:hAnsi="Cambria" w:cs="Calibri Light"/>
          <w:sz w:val="20"/>
          <w:szCs w:val="20"/>
          <w:lang w:val="es-ES"/>
        </w:rPr>
        <w:t>En consecuencia, la CIDH seguirá supervisando el cumplimiento de las Recomendaciones 1, 2 y 3</w:t>
      </w:r>
      <w:r w:rsidR="00385239" w:rsidRPr="00EF5569">
        <w:rPr>
          <w:rFonts w:ascii="Cambria" w:hAnsi="Cambria" w:cs="Calibri Light"/>
          <w:sz w:val="20"/>
          <w:szCs w:val="20"/>
          <w:lang w:val="es-ES"/>
        </w:rPr>
        <w:t>.</w:t>
      </w:r>
    </w:p>
    <w:p w14:paraId="12852AF7" w14:textId="77777777" w:rsidR="002968FB" w:rsidRPr="00EF5569" w:rsidRDefault="002968FB" w:rsidP="002968FB">
      <w:pPr>
        <w:pStyle w:val="ListParagraph"/>
        <w:shd w:val="clear" w:color="auto" w:fill="FFFFFF" w:themeFill="background1"/>
        <w:spacing w:after="0" w:line="240" w:lineRule="auto"/>
        <w:ind w:left="709"/>
        <w:jc w:val="both"/>
        <w:rPr>
          <w:rFonts w:ascii="Cambria" w:hAnsi="Cambria" w:cs="Calibri Light"/>
          <w:sz w:val="20"/>
          <w:szCs w:val="20"/>
          <w:lang w:val="es-ES"/>
        </w:rPr>
      </w:pPr>
    </w:p>
    <w:p w14:paraId="5D7EAC1C" w14:textId="4A72876B" w:rsidR="00530811" w:rsidRPr="00EF5569" w:rsidRDefault="009336C2" w:rsidP="002968FB">
      <w:pPr>
        <w:pStyle w:val="ListParagraph"/>
        <w:numPr>
          <w:ilvl w:val="0"/>
          <w:numId w:val="14"/>
        </w:numPr>
        <w:shd w:val="clear" w:color="auto" w:fill="FFFFFF" w:themeFill="background1"/>
        <w:spacing w:after="0" w:line="240" w:lineRule="auto"/>
        <w:ind w:left="0" w:firstLine="709"/>
        <w:jc w:val="both"/>
        <w:rPr>
          <w:rFonts w:ascii="Cambria" w:hAnsi="Cambria" w:cs="Calibri Light"/>
          <w:sz w:val="20"/>
          <w:szCs w:val="20"/>
          <w:lang w:val="es-ES"/>
        </w:rPr>
      </w:pPr>
      <w:r w:rsidRPr="00EF5569">
        <w:rPr>
          <w:rFonts w:ascii="Cambria" w:hAnsi="Cambria" w:cs="Calibri Light"/>
          <w:sz w:val="20"/>
          <w:szCs w:val="20"/>
          <w:lang w:val="es-ES"/>
        </w:rPr>
        <w:t>La Comisión invita al Estado a adoptar acciones para cumplir con las recomendaciones emitidas en el Informe de Fondo Nº</w:t>
      </w:r>
      <w:r w:rsidR="00530811" w:rsidRPr="00EF5569">
        <w:rPr>
          <w:rFonts w:ascii="Cambria" w:hAnsi="Cambria"/>
          <w:sz w:val="20"/>
          <w:szCs w:val="20"/>
          <w:lang w:val="es-ES"/>
        </w:rPr>
        <w:t xml:space="preserve"> 28/09, </w:t>
      </w:r>
      <w:r w:rsidRPr="00EF5569">
        <w:rPr>
          <w:rFonts w:ascii="Cambria" w:hAnsi="Cambria"/>
          <w:sz w:val="20"/>
          <w:szCs w:val="20"/>
          <w:lang w:val="es-ES"/>
        </w:rPr>
        <w:t>y a remitir a la Comisión información actualizada y detallada sobre estas medidas</w:t>
      </w:r>
      <w:r w:rsidR="00530811" w:rsidRPr="00EF5569">
        <w:rPr>
          <w:rFonts w:ascii="Cambria" w:hAnsi="Cambria"/>
          <w:sz w:val="20"/>
          <w:szCs w:val="20"/>
          <w:lang w:val="es-ES"/>
        </w:rPr>
        <w:t xml:space="preserve">. </w:t>
      </w:r>
    </w:p>
    <w:p w14:paraId="08BD6DC2" w14:textId="4C356235" w:rsidR="0071717C" w:rsidRPr="00EF5569" w:rsidRDefault="0071717C" w:rsidP="0071717C">
      <w:pPr>
        <w:spacing w:after="0" w:line="240" w:lineRule="auto"/>
        <w:jc w:val="both"/>
        <w:rPr>
          <w:rFonts w:ascii="Cambria" w:hAnsi="Cambria"/>
          <w:sz w:val="20"/>
          <w:szCs w:val="20"/>
          <w:lang w:val="es-ES"/>
        </w:rPr>
      </w:pPr>
    </w:p>
    <w:p w14:paraId="3705773A" w14:textId="606557C4" w:rsidR="00995232" w:rsidRPr="00EF5569" w:rsidRDefault="00995232" w:rsidP="0071717C">
      <w:pPr>
        <w:spacing w:after="0" w:line="240" w:lineRule="auto"/>
        <w:jc w:val="both"/>
        <w:rPr>
          <w:rFonts w:ascii="Cambria" w:hAnsi="Cambria"/>
          <w:sz w:val="20"/>
          <w:szCs w:val="20"/>
          <w:lang w:val="es-ES"/>
        </w:rPr>
      </w:pPr>
    </w:p>
    <w:p w14:paraId="2AE4EAAC" w14:textId="34FC45D3" w:rsidR="00995232" w:rsidRPr="00EF5569" w:rsidRDefault="00995232" w:rsidP="0071717C">
      <w:pPr>
        <w:spacing w:after="0" w:line="240" w:lineRule="auto"/>
        <w:jc w:val="both"/>
        <w:rPr>
          <w:rFonts w:ascii="Cambria" w:hAnsi="Cambria"/>
          <w:sz w:val="20"/>
          <w:szCs w:val="20"/>
          <w:lang w:val="es-ES"/>
        </w:rPr>
      </w:pPr>
    </w:p>
    <w:p w14:paraId="4D0F7D34" w14:textId="77777777" w:rsidR="00995232" w:rsidRPr="00EF5569" w:rsidRDefault="00995232" w:rsidP="0071717C">
      <w:pPr>
        <w:spacing w:after="0" w:line="240" w:lineRule="auto"/>
        <w:jc w:val="both"/>
        <w:rPr>
          <w:rFonts w:ascii="Cambria" w:hAnsi="Cambria"/>
          <w:sz w:val="20"/>
          <w:szCs w:val="20"/>
          <w:lang w:val="es-ES"/>
        </w:rPr>
      </w:pPr>
    </w:p>
    <w:p w14:paraId="6628561C" w14:textId="5E1A6E60" w:rsidR="0071717C" w:rsidRPr="00EF5569" w:rsidRDefault="00BB06B6" w:rsidP="00385239">
      <w:pPr>
        <w:pStyle w:val="ListParagraph"/>
        <w:numPr>
          <w:ilvl w:val="0"/>
          <w:numId w:val="6"/>
        </w:numPr>
        <w:spacing w:after="0" w:line="240" w:lineRule="auto"/>
        <w:jc w:val="both"/>
        <w:rPr>
          <w:rFonts w:ascii="Cambria" w:hAnsi="Cambria"/>
          <w:b/>
          <w:sz w:val="20"/>
          <w:szCs w:val="20"/>
          <w:lang w:val="es-ES"/>
        </w:rPr>
      </w:pPr>
      <w:r w:rsidRPr="00EF5569">
        <w:rPr>
          <w:rFonts w:ascii="Cambria" w:hAnsi="Cambria"/>
          <w:b/>
          <w:color w:val="000000"/>
          <w:sz w:val="20"/>
          <w:szCs w:val="20"/>
          <w:lang w:val="es-ES"/>
        </w:rPr>
        <w:lastRenderedPageBreak/>
        <w:t>Resultados individuales y estructurales del caso</w:t>
      </w:r>
      <w:r w:rsidR="0071717C" w:rsidRPr="00EF5569">
        <w:rPr>
          <w:rFonts w:ascii="Cambria" w:hAnsi="Cambria"/>
          <w:b/>
          <w:sz w:val="20"/>
          <w:szCs w:val="20"/>
          <w:lang w:val="es-ES"/>
        </w:rPr>
        <w:t xml:space="preserve"> </w:t>
      </w:r>
    </w:p>
    <w:p w14:paraId="347C5793" w14:textId="77777777" w:rsidR="0071717C" w:rsidRPr="00EF5569" w:rsidRDefault="0071717C" w:rsidP="0071717C">
      <w:pPr>
        <w:spacing w:after="0" w:line="240" w:lineRule="auto"/>
        <w:jc w:val="both"/>
        <w:rPr>
          <w:rFonts w:ascii="Cambria" w:hAnsi="Cambria"/>
          <w:b/>
          <w:sz w:val="20"/>
          <w:szCs w:val="20"/>
          <w:lang w:val="es-ES"/>
        </w:rPr>
      </w:pPr>
    </w:p>
    <w:p w14:paraId="6A1979F1" w14:textId="2DD843DE" w:rsidR="00F36DFA" w:rsidRPr="00EF5569" w:rsidRDefault="009336C2" w:rsidP="0071717C">
      <w:pPr>
        <w:pStyle w:val="ListParagraph"/>
        <w:numPr>
          <w:ilvl w:val="0"/>
          <w:numId w:val="14"/>
        </w:numPr>
        <w:autoSpaceDE w:val="0"/>
        <w:autoSpaceDN w:val="0"/>
        <w:adjustRightInd w:val="0"/>
        <w:spacing w:after="0" w:line="240" w:lineRule="auto"/>
        <w:ind w:left="0" w:firstLine="709"/>
        <w:jc w:val="both"/>
        <w:rPr>
          <w:rFonts w:ascii="Cambria" w:hAnsi="Cambria"/>
          <w:b/>
          <w:sz w:val="20"/>
          <w:szCs w:val="20"/>
          <w:lang w:val="es-ES"/>
        </w:rPr>
      </w:pPr>
      <w:r w:rsidRPr="00EF5569">
        <w:rPr>
          <w:rFonts w:ascii="Cambria" w:hAnsi="Cambria"/>
          <w:sz w:val="20"/>
          <w:szCs w:val="20"/>
          <w:lang w:val="es-ES"/>
        </w:rPr>
        <w:t>Dado que este</w:t>
      </w:r>
      <w:bookmarkStart w:id="0" w:name="_GoBack"/>
      <w:bookmarkEnd w:id="0"/>
      <w:r w:rsidRPr="00EF5569">
        <w:rPr>
          <w:rFonts w:ascii="Cambria" w:hAnsi="Cambria"/>
          <w:sz w:val="20"/>
          <w:szCs w:val="20"/>
          <w:lang w:val="es-ES"/>
        </w:rPr>
        <w:t xml:space="preserve"> caso está pendiente de cumplimiento, no hay resultados individuales o estructurales que hayan sido informados por las partes.</w:t>
      </w:r>
    </w:p>
    <w:p w14:paraId="772BCB36" w14:textId="77777777" w:rsidR="00F36DFA" w:rsidRPr="00EF5569" w:rsidRDefault="00F36DFA" w:rsidP="00F36DFA">
      <w:pPr>
        <w:pStyle w:val="ListParagraph"/>
        <w:autoSpaceDE w:val="0"/>
        <w:autoSpaceDN w:val="0"/>
        <w:adjustRightInd w:val="0"/>
        <w:spacing w:after="0" w:line="240" w:lineRule="auto"/>
        <w:ind w:left="709"/>
        <w:jc w:val="both"/>
        <w:rPr>
          <w:rFonts w:ascii="Cambria" w:hAnsi="Cambria"/>
          <w:b/>
          <w:sz w:val="20"/>
          <w:szCs w:val="20"/>
          <w:lang w:val="es-ES"/>
        </w:rPr>
      </w:pPr>
    </w:p>
    <w:p w14:paraId="328D0D96" w14:textId="17C7608B" w:rsidR="00791FDD" w:rsidRPr="00EF5569" w:rsidRDefault="00791FDD" w:rsidP="0071717C">
      <w:pPr>
        <w:rPr>
          <w:rFonts w:ascii="Cambria" w:hAnsi="Cambria"/>
          <w:sz w:val="20"/>
          <w:szCs w:val="20"/>
          <w:lang w:val="es-ES"/>
        </w:rPr>
      </w:pPr>
    </w:p>
    <w:sectPr w:rsidR="00791FDD" w:rsidRPr="00EF5569" w:rsidSect="00DD79D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800E3" w14:textId="77777777" w:rsidR="00385239" w:rsidRDefault="00385239" w:rsidP="000A534D">
      <w:pPr>
        <w:spacing w:after="0" w:line="240" w:lineRule="auto"/>
      </w:pPr>
      <w:r>
        <w:separator/>
      </w:r>
    </w:p>
  </w:endnote>
  <w:endnote w:type="continuationSeparator" w:id="0">
    <w:p w14:paraId="7A5E0E07" w14:textId="77777777" w:rsidR="00385239" w:rsidRDefault="00385239" w:rsidP="000A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6795" w14:textId="7DEE62BD" w:rsidR="00AF27F7" w:rsidRPr="00AF27F7" w:rsidRDefault="00AF27F7" w:rsidP="00AF27F7">
    <w:pPr>
      <w:pStyle w:val="Footer"/>
      <w:jc w:val="center"/>
      <w:rPr>
        <w:rFonts w:ascii="Cambria" w:hAnsi="Cambria"/>
        <w:sz w:val="16"/>
        <w:szCs w:val="16"/>
      </w:rPr>
    </w:pPr>
    <w:r w:rsidRPr="00AF27F7">
      <w:rPr>
        <w:rStyle w:val="PageNumber"/>
        <w:rFonts w:ascii="Cambria" w:hAnsi="Cambria"/>
        <w:sz w:val="16"/>
        <w:szCs w:val="16"/>
      </w:rPr>
      <w:fldChar w:fldCharType="begin"/>
    </w:r>
    <w:r w:rsidRPr="00AF27F7">
      <w:rPr>
        <w:rStyle w:val="PageNumber"/>
        <w:rFonts w:ascii="Cambria" w:hAnsi="Cambria"/>
        <w:sz w:val="16"/>
        <w:szCs w:val="16"/>
      </w:rPr>
      <w:instrText xml:space="preserve"> PAGE </w:instrText>
    </w:r>
    <w:r w:rsidRPr="00AF27F7">
      <w:rPr>
        <w:rStyle w:val="PageNumber"/>
        <w:rFonts w:ascii="Cambria" w:hAnsi="Cambria"/>
        <w:sz w:val="16"/>
        <w:szCs w:val="16"/>
      </w:rPr>
      <w:fldChar w:fldCharType="separate"/>
    </w:r>
    <w:r w:rsidR="00CA5848">
      <w:rPr>
        <w:rStyle w:val="PageNumber"/>
        <w:rFonts w:ascii="Cambria" w:hAnsi="Cambria"/>
        <w:noProof/>
        <w:sz w:val="16"/>
        <w:szCs w:val="16"/>
      </w:rPr>
      <w:t>2</w:t>
    </w:r>
    <w:r w:rsidRPr="00AF27F7">
      <w:rPr>
        <w:rStyle w:val="PageNumbe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F1668" w14:textId="77777777" w:rsidR="00385239" w:rsidRDefault="00385239" w:rsidP="000A534D">
      <w:pPr>
        <w:spacing w:after="0" w:line="240" w:lineRule="auto"/>
      </w:pPr>
      <w:r>
        <w:separator/>
      </w:r>
    </w:p>
  </w:footnote>
  <w:footnote w:type="continuationSeparator" w:id="0">
    <w:p w14:paraId="0ED4CA39" w14:textId="77777777" w:rsidR="00385239" w:rsidRDefault="00385239" w:rsidP="000A534D">
      <w:pPr>
        <w:spacing w:after="0" w:line="240" w:lineRule="auto"/>
      </w:pPr>
      <w:r>
        <w:continuationSeparator/>
      </w:r>
    </w:p>
  </w:footnote>
  <w:footnote w:id="1">
    <w:p w14:paraId="1475E9AC" w14:textId="7031FBC7" w:rsidR="00365BD5" w:rsidRPr="00B43AF1" w:rsidRDefault="00365BD5" w:rsidP="00365BD5">
      <w:pPr>
        <w:pStyle w:val="FootnoteText"/>
        <w:spacing w:after="120"/>
        <w:ind w:firstLine="720"/>
        <w:jc w:val="both"/>
        <w:rPr>
          <w:rFonts w:ascii="Cambria" w:hAnsi="Cambria"/>
          <w:sz w:val="16"/>
          <w:szCs w:val="16"/>
          <w:lang w:val="es-CO"/>
        </w:rPr>
      </w:pPr>
      <w:r w:rsidRPr="006C7295">
        <w:rPr>
          <w:rStyle w:val="FootnoteReference"/>
          <w:rFonts w:ascii="Cambria" w:hAnsi="Cambria"/>
          <w:sz w:val="16"/>
          <w:szCs w:val="16"/>
        </w:rPr>
        <w:footnoteRef/>
      </w:r>
      <w:r w:rsidRPr="00B43AF1">
        <w:rPr>
          <w:rFonts w:ascii="Cambria" w:hAnsi="Cambria"/>
          <w:sz w:val="16"/>
          <w:szCs w:val="16"/>
          <w:lang w:val="es-CO"/>
        </w:rPr>
        <w:t xml:space="preserve"> </w:t>
      </w:r>
      <w:r w:rsidR="00B43AF1" w:rsidRPr="00B43AF1">
        <w:rPr>
          <w:rFonts w:ascii="Cambria" w:hAnsi="Cambria" w:cs="Calibri Light"/>
          <w:sz w:val="16"/>
          <w:szCs w:val="16"/>
          <w:lang w:val="es-CO"/>
        </w:rPr>
        <w:t xml:space="preserve">Comité Judicial del Consejo Privado de Trinidad y </w:t>
      </w:r>
      <w:r w:rsidR="00EF5569" w:rsidRPr="00B43AF1">
        <w:rPr>
          <w:rFonts w:ascii="Cambria" w:hAnsi="Cambria" w:cs="Calibri Light"/>
          <w:sz w:val="16"/>
          <w:szCs w:val="16"/>
          <w:lang w:val="es-CO"/>
        </w:rPr>
        <w:t>Tobago</w:t>
      </w:r>
      <w:r w:rsidRPr="00B43AF1">
        <w:rPr>
          <w:rFonts w:ascii="Cambria" w:hAnsi="Cambria" w:cs="Calibri Light"/>
          <w:sz w:val="16"/>
          <w:szCs w:val="16"/>
          <w:lang w:val="es-CO"/>
        </w:rPr>
        <w:t xml:space="preserve">, </w:t>
      </w:r>
      <w:hyperlink r:id="rId1" w:history="1">
        <w:r w:rsidRPr="00B43AF1">
          <w:rPr>
            <w:rStyle w:val="Hyperlink"/>
            <w:rFonts w:ascii="Cambria" w:hAnsi="Cambria"/>
            <w:color w:val="auto"/>
            <w:sz w:val="16"/>
            <w:szCs w:val="16"/>
            <w:lang w:val="es-CO"/>
          </w:rPr>
          <w:t xml:space="preserve">Lendore </w:t>
        </w:r>
        <w:r w:rsidR="00B43AF1" w:rsidRPr="00B43AF1">
          <w:rPr>
            <w:rStyle w:val="Hyperlink"/>
            <w:rFonts w:ascii="Cambria" w:hAnsi="Cambria"/>
            <w:color w:val="auto"/>
            <w:sz w:val="16"/>
            <w:szCs w:val="16"/>
            <w:lang w:val="es-CO"/>
          </w:rPr>
          <w:t>y</w:t>
        </w:r>
        <w:r w:rsidRPr="00B43AF1">
          <w:rPr>
            <w:rStyle w:val="Hyperlink"/>
            <w:rFonts w:ascii="Cambria" w:hAnsi="Cambria"/>
            <w:color w:val="auto"/>
            <w:sz w:val="16"/>
            <w:szCs w:val="16"/>
            <w:lang w:val="es-CO"/>
          </w:rPr>
          <w:t xml:space="preserve"> </w:t>
        </w:r>
        <w:r w:rsidR="00B43AF1" w:rsidRPr="00B43AF1">
          <w:rPr>
            <w:rStyle w:val="Hyperlink"/>
            <w:rFonts w:ascii="Cambria" w:hAnsi="Cambria"/>
            <w:color w:val="auto"/>
            <w:sz w:val="16"/>
            <w:szCs w:val="16"/>
            <w:lang w:val="es-CO"/>
          </w:rPr>
          <w:t>otros</w:t>
        </w:r>
        <w:r w:rsidR="00B43AF1">
          <w:rPr>
            <w:rStyle w:val="Hyperlink"/>
            <w:rFonts w:ascii="Cambria" w:hAnsi="Cambria"/>
            <w:color w:val="auto"/>
            <w:sz w:val="16"/>
            <w:szCs w:val="16"/>
            <w:lang w:val="es-CO"/>
          </w:rPr>
          <w:t xml:space="preserve"> c</w:t>
        </w:r>
        <w:r w:rsidRPr="00B43AF1">
          <w:rPr>
            <w:rStyle w:val="Hyperlink"/>
            <w:rFonts w:ascii="Cambria" w:hAnsi="Cambria"/>
            <w:color w:val="auto"/>
            <w:sz w:val="16"/>
            <w:szCs w:val="16"/>
            <w:lang w:val="es-CO"/>
          </w:rPr>
          <w:t xml:space="preserve">. </w:t>
        </w:r>
        <w:r w:rsidR="00B43AF1">
          <w:rPr>
            <w:rStyle w:val="Hyperlink"/>
            <w:rFonts w:ascii="Cambria" w:hAnsi="Cambria"/>
            <w:color w:val="auto"/>
            <w:sz w:val="16"/>
            <w:szCs w:val="16"/>
            <w:lang w:val="es-CO"/>
          </w:rPr>
          <w:t>Fiscal General de</w:t>
        </w:r>
        <w:r w:rsidRPr="00B43AF1">
          <w:rPr>
            <w:rStyle w:val="Hyperlink"/>
            <w:rFonts w:ascii="Cambria" w:hAnsi="Cambria"/>
            <w:color w:val="auto"/>
            <w:sz w:val="16"/>
            <w:szCs w:val="16"/>
            <w:lang w:val="es-CO"/>
          </w:rPr>
          <w:t xml:space="preserve"> Trinidad </w:t>
        </w:r>
        <w:r w:rsidR="00B43AF1">
          <w:rPr>
            <w:rStyle w:val="Hyperlink"/>
            <w:rFonts w:ascii="Cambria" w:hAnsi="Cambria"/>
            <w:color w:val="auto"/>
            <w:sz w:val="16"/>
            <w:szCs w:val="16"/>
            <w:lang w:val="es-CO"/>
          </w:rPr>
          <w:t>y Tobago (Trinidad y</w:t>
        </w:r>
        <w:r w:rsidRPr="00B43AF1">
          <w:rPr>
            <w:rStyle w:val="Hyperlink"/>
            <w:rFonts w:ascii="Cambria" w:hAnsi="Cambria"/>
            <w:color w:val="auto"/>
            <w:sz w:val="16"/>
            <w:szCs w:val="16"/>
            <w:lang w:val="es-CO"/>
          </w:rPr>
          <w:t xml:space="preserve"> Tobago)</w:t>
        </w:r>
      </w:hyperlink>
      <w:r w:rsidRPr="00B43AF1">
        <w:rPr>
          <w:rFonts w:ascii="Cambria" w:hAnsi="Cambria"/>
          <w:sz w:val="16"/>
          <w:szCs w:val="16"/>
          <w:lang w:val="es-CO"/>
        </w:rPr>
        <w:t xml:space="preserve"> </w:t>
      </w:r>
      <w:r w:rsidR="00B43AF1" w:rsidRPr="00B43AF1">
        <w:rPr>
          <w:rFonts w:ascii="Cambria" w:hAnsi="Cambria"/>
          <w:sz w:val="16"/>
          <w:szCs w:val="16"/>
          <w:lang w:val="es-CO"/>
        </w:rPr>
        <w:t>[2017] UKPC 25 (</w:t>
      </w:r>
      <w:r w:rsidR="00B43AF1">
        <w:rPr>
          <w:rFonts w:ascii="Cambria" w:hAnsi="Cambria"/>
          <w:sz w:val="16"/>
          <w:szCs w:val="16"/>
          <w:lang w:val="es-CO"/>
        </w:rPr>
        <w:t>Reino Unido</w:t>
      </w:r>
      <w:r w:rsidR="00B43AF1" w:rsidRPr="00B43AF1">
        <w:rPr>
          <w:rFonts w:ascii="Cambria" w:hAnsi="Cambria"/>
          <w:sz w:val="16"/>
          <w:szCs w:val="16"/>
          <w:lang w:val="es-CO"/>
        </w:rPr>
        <w:t>)</w:t>
      </w:r>
      <w:r w:rsidRPr="00B43AF1">
        <w:rPr>
          <w:rFonts w:ascii="Cambria" w:hAnsi="Cambria"/>
          <w:sz w:val="16"/>
          <w:szCs w:val="16"/>
          <w:lang w:val="es-CO"/>
        </w:rPr>
        <w:t xml:space="preserve"> </w:t>
      </w:r>
      <w:r w:rsidR="00B43AF1" w:rsidRPr="00B43AF1">
        <w:rPr>
          <w:rFonts w:ascii="Cambria" w:hAnsi="Cambria"/>
          <w:sz w:val="16"/>
          <w:szCs w:val="16"/>
          <w:lang w:val="es-CO"/>
        </w:rPr>
        <w:t>(solo disponible en inglés).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26B4" w14:textId="77777777" w:rsidR="00DD79D0" w:rsidRDefault="00DD79D0" w:rsidP="00DD79D0">
    <w:pPr>
      <w:pStyle w:val="Header"/>
      <w:jc w:val="center"/>
    </w:pPr>
    <w:r>
      <w:rPr>
        <w:noProof/>
        <w:lang w:val="es-US" w:eastAsia="es-US"/>
      </w:rPr>
      <w:drawing>
        <wp:inline distT="0" distB="0" distL="0" distR="0" wp14:anchorId="4D7DA8B1" wp14:editId="68BD6D62">
          <wp:extent cx="2277110" cy="116840"/>
          <wp:effectExtent l="0" t="0" r="889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16840"/>
                  </a:xfrm>
                  <a:prstGeom prst="rect">
                    <a:avLst/>
                  </a:prstGeom>
                  <a:noFill/>
                  <a:ln>
                    <a:noFill/>
                  </a:ln>
                </pic:spPr>
              </pic:pic>
            </a:graphicData>
          </a:graphic>
        </wp:inline>
      </w:drawing>
    </w:r>
  </w:p>
  <w:p w14:paraId="3A759FBB" w14:textId="77777777" w:rsidR="00DD79D0" w:rsidRDefault="00CA5848" w:rsidP="00DD79D0">
    <w:pPr>
      <w:pStyle w:val="Header"/>
    </w:pPr>
    <w:r>
      <w:pict w14:anchorId="7FC11B95">
        <v:rect id="_x0000_i1025" style="width:0;height:1.5pt" o:hralign="center" o:hrstd="t" o:hr="t" fillcolor="#a0a0a0" stroked="f"/>
      </w:pict>
    </w:r>
  </w:p>
  <w:p w14:paraId="708365D6" w14:textId="77777777" w:rsidR="00DD79D0" w:rsidRDefault="00DD7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381C" w14:textId="24345645" w:rsidR="00D074D3" w:rsidRDefault="00D074D3" w:rsidP="00D074D3">
    <w:pPr>
      <w:pStyle w:val="Header"/>
    </w:pPr>
    <w:r>
      <w:rPr>
        <w:noProof/>
        <w:lang w:val="es-US" w:eastAsia="es-US"/>
      </w:rPr>
      <w:drawing>
        <wp:anchor distT="0" distB="0" distL="114300" distR="114300" simplePos="0" relativeHeight="251660288" behindDoc="1" locked="0" layoutInCell="1" allowOverlap="1" wp14:anchorId="20C11400" wp14:editId="6879D02E">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59264" behindDoc="1" locked="0" layoutInCell="1" allowOverlap="1" wp14:anchorId="2A2900C5" wp14:editId="18818DC6">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63A20" w14:textId="77777777" w:rsidR="00D074D3" w:rsidRDefault="00D074D3" w:rsidP="00D074D3">
    <w:pPr>
      <w:pStyle w:val="Header"/>
    </w:pPr>
  </w:p>
  <w:p w14:paraId="4288F91A" w14:textId="75E18494" w:rsidR="00DD79D0" w:rsidRPr="00D074D3" w:rsidRDefault="00CA5848" w:rsidP="00D074D3">
    <w:pPr>
      <w:pStyle w:val="Header"/>
    </w:pPr>
    <w:r>
      <w:pict w14:anchorId="020F44F6">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191"/>
    <w:multiLevelType w:val="hybridMultilevel"/>
    <w:tmpl w:val="1E76F166"/>
    <w:lvl w:ilvl="0" w:tplc="40CC2976">
      <w:start w:val="1111"/>
      <w:numFmt w:val="decimal"/>
      <w:lvlText w:val="%1-"/>
      <w:lvlJc w:val="left"/>
      <w:pPr>
        <w:ind w:left="1200" w:hanging="480"/>
      </w:pPr>
      <w:rPr>
        <w:rFonts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619D"/>
    <w:multiLevelType w:val="hybridMultilevel"/>
    <w:tmpl w:val="9252DE8A"/>
    <w:lvl w:ilvl="0" w:tplc="B08C88B8">
      <w:start w:val="832"/>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9C70E0"/>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15:restartNumberingAfterBreak="0">
    <w:nsid w:val="23AF1FCC"/>
    <w:multiLevelType w:val="hybridMultilevel"/>
    <w:tmpl w:val="DEB21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3815CD"/>
    <w:multiLevelType w:val="hybridMultilevel"/>
    <w:tmpl w:val="26BA08F0"/>
    <w:lvl w:ilvl="0" w:tplc="9F84156C">
      <w:start w:val="906"/>
      <w:numFmt w:val="decimal"/>
      <w:lvlText w:val="%1-"/>
      <w:lvlJc w:val="left"/>
      <w:pPr>
        <w:ind w:left="1095" w:hanging="375"/>
      </w:pPr>
      <w:rPr>
        <w:rFonts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177E2"/>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15:restartNumberingAfterBreak="0">
    <w:nsid w:val="59654905"/>
    <w:multiLevelType w:val="hybridMultilevel"/>
    <w:tmpl w:val="62106212"/>
    <w:lvl w:ilvl="0" w:tplc="78002CA6">
      <w:start w:val="1"/>
      <w:numFmt w:val="decimal"/>
      <w:lvlText w:val="%1-"/>
      <w:lvlJc w:val="left"/>
      <w:pPr>
        <w:ind w:left="720" w:hanging="360"/>
      </w:pPr>
      <w:rPr>
        <w:rFonts w:asciiTheme="majorHAnsi" w:hAnsiTheme="maj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94624A"/>
    <w:multiLevelType w:val="hybridMultilevel"/>
    <w:tmpl w:val="82B0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75366"/>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1"/>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lvlOverride w:ilvl="0">
      <w:startOverride w:val="8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4"/>
  </w:num>
  <w:num w:numId="16">
    <w:abstractNumId w:val="1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CD"/>
    <w:rsid w:val="00033431"/>
    <w:rsid w:val="000709C1"/>
    <w:rsid w:val="0009659C"/>
    <w:rsid w:val="000A534D"/>
    <w:rsid w:val="000B2B2A"/>
    <w:rsid w:val="000C2DF8"/>
    <w:rsid w:val="000C5060"/>
    <w:rsid w:val="000F10D9"/>
    <w:rsid w:val="001274F4"/>
    <w:rsid w:val="00172180"/>
    <w:rsid w:val="00184040"/>
    <w:rsid w:val="001A123F"/>
    <w:rsid w:val="001A3DE6"/>
    <w:rsid w:val="001D7402"/>
    <w:rsid w:val="001E5322"/>
    <w:rsid w:val="002059F8"/>
    <w:rsid w:val="0023154D"/>
    <w:rsid w:val="00240C37"/>
    <w:rsid w:val="002968FB"/>
    <w:rsid w:val="002D56F8"/>
    <w:rsid w:val="002E195E"/>
    <w:rsid w:val="002E30F3"/>
    <w:rsid w:val="002F509B"/>
    <w:rsid w:val="00335BE0"/>
    <w:rsid w:val="00336E6F"/>
    <w:rsid w:val="00336FDE"/>
    <w:rsid w:val="00365BD5"/>
    <w:rsid w:val="00385239"/>
    <w:rsid w:val="003B16B2"/>
    <w:rsid w:val="003B287C"/>
    <w:rsid w:val="004046D4"/>
    <w:rsid w:val="004C473A"/>
    <w:rsid w:val="00503A62"/>
    <w:rsid w:val="00516526"/>
    <w:rsid w:val="00530811"/>
    <w:rsid w:val="00564144"/>
    <w:rsid w:val="00570757"/>
    <w:rsid w:val="00586C9D"/>
    <w:rsid w:val="005D654E"/>
    <w:rsid w:val="006030D6"/>
    <w:rsid w:val="00612AB0"/>
    <w:rsid w:val="00652DC2"/>
    <w:rsid w:val="0065419E"/>
    <w:rsid w:val="0065780B"/>
    <w:rsid w:val="00690CBD"/>
    <w:rsid w:val="006B0D63"/>
    <w:rsid w:val="006C7295"/>
    <w:rsid w:val="006D4D59"/>
    <w:rsid w:val="0071717C"/>
    <w:rsid w:val="007517FE"/>
    <w:rsid w:val="00791FDD"/>
    <w:rsid w:val="007955F4"/>
    <w:rsid w:val="007A0596"/>
    <w:rsid w:val="007C016D"/>
    <w:rsid w:val="007F4805"/>
    <w:rsid w:val="00826178"/>
    <w:rsid w:val="00830FB7"/>
    <w:rsid w:val="008335BC"/>
    <w:rsid w:val="00835DBB"/>
    <w:rsid w:val="00860C62"/>
    <w:rsid w:val="00875784"/>
    <w:rsid w:val="00892478"/>
    <w:rsid w:val="009336C2"/>
    <w:rsid w:val="00995232"/>
    <w:rsid w:val="009E11CF"/>
    <w:rsid w:val="00A225A3"/>
    <w:rsid w:val="00A52273"/>
    <w:rsid w:val="00A6625D"/>
    <w:rsid w:val="00AE4CF8"/>
    <w:rsid w:val="00AF27F7"/>
    <w:rsid w:val="00AF418C"/>
    <w:rsid w:val="00AF4E5B"/>
    <w:rsid w:val="00B43AF1"/>
    <w:rsid w:val="00B45489"/>
    <w:rsid w:val="00BA523D"/>
    <w:rsid w:val="00BB06B6"/>
    <w:rsid w:val="00BB68B7"/>
    <w:rsid w:val="00BC5ACA"/>
    <w:rsid w:val="00BE21D6"/>
    <w:rsid w:val="00C04DB2"/>
    <w:rsid w:val="00C05045"/>
    <w:rsid w:val="00C14144"/>
    <w:rsid w:val="00C4409A"/>
    <w:rsid w:val="00C445C7"/>
    <w:rsid w:val="00C63E1D"/>
    <w:rsid w:val="00CA5848"/>
    <w:rsid w:val="00D0113C"/>
    <w:rsid w:val="00D074D3"/>
    <w:rsid w:val="00D12336"/>
    <w:rsid w:val="00D90A68"/>
    <w:rsid w:val="00D96D03"/>
    <w:rsid w:val="00DA196B"/>
    <w:rsid w:val="00DD406E"/>
    <w:rsid w:val="00DD79D0"/>
    <w:rsid w:val="00E06EC0"/>
    <w:rsid w:val="00E306C6"/>
    <w:rsid w:val="00E42E67"/>
    <w:rsid w:val="00E61AB5"/>
    <w:rsid w:val="00E81639"/>
    <w:rsid w:val="00E973A4"/>
    <w:rsid w:val="00EB549C"/>
    <w:rsid w:val="00EC666B"/>
    <w:rsid w:val="00ED08CD"/>
    <w:rsid w:val="00EF5569"/>
    <w:rsid w:val="00F207D2"/>
    <w:rsid w:val="00F36DFA"/>
    <w:rsid w:val="00F40072"/>
    <w:rsid w:val="00F656F6"/>
    <w:rsid w:val="00FA47FA"/>
    <w:rsid w:val="00FC70A9"/>
    <w:rsid w:val="00FE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shapelayout v:ext="edit">
      <o:idmap v:ext="edit" data="1"/>
    </o:shapelayout>
  </w:shapeDefaults>
  <w:decimalSymbol w:val="."/>
  <w:listSeparator w:val=","/>
  <w14:docId w14:val="33678F90"/>
  <w15:docId w15:val="{66CC3CF2-7240-46E0-916B-26C59611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C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1717C"/>
    <w:pPr>
      <w:keepNext/>
      <w:spacing w:before="240" w:after="60" w:line="240" w:lineRule="auto"/>
      <w:outlineLvl w:val="0"/>
    </w:pPr>
    <w:rPr>
      <w:rFonts w:ascii="Arial" w:eastAsia="Times New Roman" w:hAnsi="Arial" w:cs="Arial"/>
      <w:b/>
      <w:bCs/>
      <w:kern w:val="32"/>
      <w:sz w:val="32"/>
      <w:szCs w:val="32"/>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8CD"/>
    <w:rPr>
      <w:rFonts w:ascii="Calibri" w:eastAsia="Calibri" w:hAnsi="Calibri" w:cs="Times New Roman"/>
    </w:rPr>
  </w:style>
  <w:style w:type="paragraph" w:styleId="ListParagraph">
    <w:name w:val="List Paragraph"/>
    <w:aliases w:val="Párrafo de lista1,List Paragraph1,Colorful List - Accent 11,List Paragraph11"/>
    <w:basedOn w:val="Normal"/>
    <w:link w:val="ListParagraphChar"/>
    <w:uiPriority w:val="34"/>
    <w:qFormat/>
    <w:rsid w:val="00ED08CD"/>
    <w:pPr>
      <w:ind w:left="720"/>
      <w:contextualSpacing/>
    </w:pPr>
  </w:style>
  <w:style w:type="character" w:styleId="Hyperlink">
    <w:name w:val="Hyperlink"/>
    <w:basedOn w:val="DefaultParagraphFont"/>
    <w:uiPriority w:val="99"/>
    <w:unhideWhenUsed/>
    <w:rsid w:val="00336FDE"/>
    <w:rPr>
      <w:color w:val="0563C1" w:themeColor="hyperlink"/>
      <w:u w:val="single"/>
    </w:rPr>
  </w:style>
  <w:style w:type="paragraph" w:styleId="Footer">
    <w:name w:val="footer"/>
    <w:basedOn w:val="Normal"/>
    <w:link w:val="FooterChar"/>
    <w:uiPriority w:val="99"/>
    <w:unhideWhenUsed/>
    <w:rsid w:val="000A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4D"/>
    <w:rPr>
      <w:rFonts w:ascii="Calibri" w:eastAsia="Calibri" w:hAnsi="Calibri" w:cs="Times New Roman"/>
    </w:rPr>
  </w:style>
  <w:style w:type="character" w:customStyle="1" w:styleId="Heading1Char">
    <w:name w:val="Heading 1 Char"/>
    <w:basedOn w:val="DefaultParagraphFont"/>
    <w:link w:val="Heading1"/>
    <w:rsid w:val="0071717C"/>
    <w:rPr>
      <w:rFonts w:ascii="Arial" w:eastAsia="Times New Roman" w:hAnsi="Arial" w:cs="Arial"/>
      <w:b/>
      <w:bCs/>
      <w:kern w:val="32"/>
      <w:sz w:val="32"/>
      <w:szCs w:val="32"/>
      <w:lang w:val="es-ES_tradnl" w:eastAsia="es-ES_tradnl"/>
    </w:rPr>
  </w:style>
  <w:style w:type="paragraph" w:styleId="BlockText">
    <w:name w:val="Block Text"/>
    <w:basedOn w:val="Normal"/>
    <w:semiHidden/>
    <w:unhideWhenUsed/>
    <w:rsid w:val="0071717C"/>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1717C"/>
    <w:rPr>
      <w:rFonts w:ascii="Calibri" w:eastAsia="Calibri" w:hAnsi="Calibri" w:cs="Times New Roman"/>
    </w:rPr>
  </w:style>
  <w:style w:type="character" w:styleId="FollowedHyperlink">
    <w:name w:val="FollowedHyperlink"/>
    <w:basedOn w:val="DefaultParagraphFont"/>
    <w:uiPriority w:val="99"/>
    <w:semiHidden/>
    <w:unhideWhenUsed/>
    <w:rsid w:val="00835DBB"/>
    <w:rPr>
      <w:color w:val="954F72" w:themeColor="followedHyperlink"/>
      <w:u w:val="single"/>
    </w:rPr>
  </w:style>
  <w:style w:type="paragraph" w:styleId="BalloonText">
    <w:name w:val="Balloon Text"/>
    <w:basedOn w:val="Normal"/>
    <w:link w:val="BalloonTextChar"/>
    <w:uiPriority w:val="99"/>
    <w:semiHidden/>
    <w:unhideWhenUsed/>
    <w:rsid w:val="0057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57"/>
    <w:rPr>
      <w:rFonts w:ascii="Tahoma" w:eastAsia="Calibri" w:hAnsi="Tahoma" w:cs="Tahoma"/>
      <w:sz w:val="16"/>
      <w:szCs w:val="16"/>
    </w:rPr>
  </w:style>
  <w:style w:type="character" w:styleId="PageNumber">
    <w:name w:val="page number"/>
    <w:basedOn w:val="DefaultParagraphFont"/>
    <w:uiPriority w:val="99"/>
    <w:semiHidden/>
    <w:unhideWhenUsed/>
    <w:rsid w:val="00AF27F7"/>
  </w:style>
  <w:style w:type="character" w:styleId="CommentReference">
    <w:name w:val="annotation reference"/>
    <w:basedOn w:val="DefaultParagraphFont"/>
    <w:uiPriority w:val="99"/>
    <w:semiHidden/>
    <w:unhideWhenUsed/>
    <w:rsid w:val="00FA47FA"/>
    <w:rPr>
      <w:sz w:val="16"/>
      <w:szCs w:val="16"/>
    </w:rPr>
  </w:style>
  <w:style w:type="paragraph" w:styleId="CommentText">
    <w:name w:val="annotation text"/>
    <w:basedOn w:val="Normal"/>
    <w:link w:val="CommentTextChar"/>
    <w:uiPriority w:val="99"/>
    <w:semiHidden/>
    <w:unhideWhenUsed/>
    <w:rsid w:val="00FA47FA"/>
    <w:pPr>
      <w:spacing w:line="240" w:lineRule="auto"/>
    </w:pPr>
    <w:rPr>
      <w:sz w:val="20"/>
      <w:szCs w:val="20"/>
    </w:rPr>
  </w:style>
  <w:style w:type="character" w:customStyle="1" w:styleId="CommentTextChar">
    <w:name w:val="Comment Text Char"/>
    <w:basedOn w:val="DefaultParagraphFont"/>
    <w:link w:val="CommentText"/>
    <w:uiPriority w:val="99"/>
    <w:semiHidden/>
    <w:rsid w:val="00FA47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47FA"/>
    <w:rPr>
      <w:b/>
      <w:bCs/>
    </w:rPr>
  </w:style>
  <w:style w:type="character" w:customStyle="1" w:styleId="CommentSubjectChar">
    <w:name w:val="Comment Subject Char"/>
    <w:basedOn w:val="CommentTextChar"/>
    <w:link w:val="CommentSubject"/>
    <w:uiPriority w:val="99"/>
    <w:semiHidden/>
    <w:rsid w:val="00FA47FA"/>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36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BD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65BD5"/>
    <w:rPr>
      <w:vertAlign w:val="superscript"/>
    </w:rPr>
  </w:style>
  <w:style w:type="paragraph" w:customStyle="1" w:styleId="Default">
    <w:name w:val="Default"/>
    <w:rsid w:val="002059F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TT12269.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5sp/TT12269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cpc.uk/cases/docs/jcpc-2015-0055-judg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6CD2-2AAE-4FCB-88BB-2D6BBC34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1036</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(Rocha, Thais)</dc:creator>
  <cp:keywords/>
  <dc:description/>
  <cp:lastModifiedBy>Dos Anjos, Fernanda</cp:lastModifiedBy>
  <cp:revision>66</cp:revision>
  <dcterms:created xsi:type="dcterms:W3CDTF">2019-02-14T19:37:00Z</dcterms:created>
  <dcterms:modified xsi:type="dcterms:W3CDTF">2019-03-15T00:45:00Z</dcterms:modified>
</cp:coreProperties>
</file>